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11491F" w:rsidRPr="00447371" w:rsidP="0011491F" w14:paraId="616382FB" w14:textId="77777777">
      <w:pPr>
        <w:jc w:val="center"/>
        <w:rPr>
          <w:b/>
        </w:rPr>
      </w:pPr>
      <w:bookmarkStart w:id="0" w:name="_Hlk82008716"/>
      <w:r w:rsidRPr="00447371">
        <w:rPr>
          <w:b/>
          <w:kern w:val="0"/>
        </w:rPr>
        <w:t>Before</w:t>
      </w:r>
      <w:r w:rsidRPr="00447371">
        <w:rPr>
          <w:b/>
        </w:rPr>
        <w:t xml:space="preserve"> the</w:t>
      </w:r>
    </w:p>
    <w:p w:rsidR="0011491F" w:rsidRPr="00447371" w:rsidP="0011491F" w14:paraId="41A4C9F9" w14:textId="77777777">
      <w:pPr>
        <w:pStyle w:val="StyleBoldCentered"/>
        <w:rPr>
          <w:rFonts w:ascii="Times New Roman" w:hAnsi="Times New Roman"/>
        </w:rPr>
      </w:pPr>
      <w:r w:rsidRPr="00447371">
        <w:rPr>
          <w:rFonts w:ascii="Times New Roman" w:hAnsi="Times New Roman"/>
        </w:rPr>
        <w:t>F</w:t>
      </w:r>
      <w:r w:rsidRPr="00447371">
        <w:rPr>
          <w:rFonts w:ascii="Times New Roman" w:hAnsi="Times New Roman"/>
          <w:caps w:val="0"/>
        </w:rPr>
        <w:t>ederal Communications Commission</w:t>
      </w:r>
    </w:p>
    <w:p w:rsidR="0011491F" w:rsidRPr="00447371" w:rsidP="0011491F" w14:paraId="69E539C9" w14:textId="77777777">
      <w:pPr>
        <w:pStyle w:val="StyleBoldCentered"/>
        <w:rPr>
          <w:rFonts w:ascii="Times New Roman" w:hAnsi="Times New Roman"/>
        </w:rPr>
      </w:pPr>
      <w:r w:rsidRPr="00447371">
        <w:rPr>
          <w:rFonts w:ascii="Times New Roman" w:hAnsi="Times New Roman"/>
          <w:caps w:val="0"/>
        </w:rPr>
        <w:t>Washington, D.C. 20554</w:t>
      </w:r>
    </w:p>
    <w:p w:rsidR="0011491F" w:rsidRPr="00447371" w:rsidP="0011491F" w14:paraId="19E6B62E" w14:textId="77777777"/>
    <w:tbl>
      <w:tblPr>
        <w:tblW w:w="0" w:type="auto"/>
        <w:tblLayout w:type="fixed"/>
        <w:tblLook w:val="0000"/>
      </w:tblPr>
      <w:tblGrid>
        <w:gridCol w:w="4698"/>
        <w:gridCol w:w="630"/>
        <w:gridCol w:w="4248"/>
      </w:tblGrid>
      <w:tr w14:paraId="4547CA38" w14:textId="77777777" w:rsidTr="004C5228">
        <w:tblPrEx>
          <w:tblW w:w="0" w:type="auto"/>
          <w:tblLayout w:type="fixed"/>
          <w:tblLook w:val="0000"/>
        </w:tblPrEx>
        <w:tc>
          <w:tcPr>
            <w:tcW w:w="4698" w:type="dxa"/>
          </w:tcPr>
          <w:p w:rsidR="0011491F" w:rsidP="004C5228" w14:paraId="42E7B43D" w14:textId="77777777">
            <w:pPr>
              <w:tabs>
                <w:tab w:val="center" w:pos="4680"/>
              </w:tabs>
              <w:suppressAutoHyphens/>
              <w:rPr>
                <w:spacing w:val="-2"/>
              </w:rPr>
            </w:pPr>
          </w:p>
          <w:p w:rsidR="0011491F" w:rsidRPr="00447371" w:rsidP="004C5228" w14:paraId="4DFA6479" w14:textId="77777777">
            <w:pPr>
              <w:tabs>
                <w:tab w:val="center" w:pos="4680"/>
              </w:tabs>
              <w:suppressAutoHyphens/>
              <w:rPr>
                <w:spacing w:val="-2"/>
              </w:rPr>
            </w:pPr>
            <w:r w:rsidRPr="00447371">
              <w:rPr>
                <w:spacing w:val="-2"/>
              </w:rPr>
              <w:t>In the Matter of</w:t>
            </w:r>
          </w:p>
          <w:p w:rsidR="0011491F" w:rsidRPr="00447371" w:rsidP="004C5228" w14:paraId="19ED4768" w14:textId="77777777">
            <w:pPr>
              <w:tabs>
                <w:tab w:val="center" w:pos="4680"/>
              </w:tabs>
              <w:suppressAutoHyphens/>
              <w:rPr>
                <w:spacing w:val="-2"/>
              </w:rPr>
            </w:pPr>
          </w:p>
          <w:p w:rsidR="0011491F" w:rsidP="004C5228" w14:paraId="3ED92544" w14:textId="77777777">
            <w:pPr>
              <w:tabs>
                <w:tab w:val="center" w:pos="4680"/>
              </w:tabs>
              <w:suppressAutoHyphens/>
              <w:rPr>
                <w:spacing w:val="-2"/>
              </w:rPr>
            </w:pPr>
            <w:r w:rsidRPr="00C83D3B">
              <w:rPr>
                <w:spacing w:val="-2"/>
              </w:rPr>
              <w:t>Monitoring DISH’s Compliance with Conditions Granting an Extension of Time to Complete Construction of Facilities and Buildout Commitments</w:t>
            </w:r>
          </w:p>
          <w:p w:rsidR="0011491F" w:rsidP="004C5228" w14:paraId="2B777C4B" w14:textId="77777777">
            <w:pPr>
              <w:tabs>
                <w:tab w:val="center" w:pos="4680"/>
              </w:tabs>
              <w:suppressAutoHyphens/>
              <w:rPr>
                <w:spacing w:val="-2"/>
              </w:rPr>
            </w:pPr>
          </w:p>
          <w:p w:rsidR="0011491F" w:rsidRPr="00447371" w:rsidP="004C5228" w14:paraId="21E813E0" w14:textId="77777777">
            <w:pPr>
              <w:tabs>
                <w:tab w:val="center" w:pos="4680"/>
              </w:tabs>
              <w:suppressAutoHyphens/>
              <w:rPr>
                <w:spacing w:val="-2"/>
              </w:rPr>
            </w:pPr>
            <w:r>
              <w:rPr>
                <w:spacing w:val="-2"/>
              </w:rPr>
              <w:t>EchoStar Construction Milestone Extension Request</w:t>
            </w:r>
          </w:p>
        </w:tc>
        <w:tc>
          <w:tcPr>
            <w:tcW w:w="630" w:type="dxa"/>
          </w:tcPr>
          <w:p w:rsidR="0011491F" w:rsidRPr="00447371" w:rsidP="004C5228" w14:paraId="5F4F4EEA" w14:textId="77777777">
            <w:pPr>
              <w:tabs>
                <w:tab w:val="center" w:pos="4680"/>
              </w:tabs>
              <w:suppressAutoHyphens/>
              <w:rPr>
                <w:b/>
                <w:spacing w:val="-2"/>
              </w:rPr>
            </w:pPr>
            <w:r w:rsidRPr="00447371">
              <w:rPr>
                <w:b/>
                <w:spacing w:val="-2"/>
              </w:rPr>
              <w:t>)</w:t>
            </w:r>
          </w:p>
          <w:p w:rsidR="0011491F" w:rsidRPr="00447371" w:rsidP="004C5228" w14:paraId="00935F59" w14:textId="77777777">
            <w:pPr>
              <w:tabs>
                <w:tab w:val="center" w:pos="4680"/>
              </w:tabs>
              <w:suppressAutoHyphens/>
              <w:rPr>
                <w:b/>
                <w:spacing w:val="-2"/>
              </w:rPr>
            </w:pPr>
            <w:r w:rsidRPr="00447371">
              <w:rPr>
                <w:b/>
                <w:spacing w:val="-2"/>
              </w:rPr>
              <w:t>)</w:t>
            </w:r>
          </w:p>
          <w:p w:rsidR="0011491F" w:rsidP="004C5228" w14:paraId="30BD81DF" w14:textId="77777777">
            <w:pPr>
              <w:tabs>
                <w:tab w:val="center" w:pos="4680"/>
              </w:tabs>
              <w:suppressAutoHyphens/>
              <w:rPr>
                <w:b/>
                <w:spacing w:val="-2"/>
              </w:rPr>
            </w:pPr>
            <w:r w:rsidRPr="00447371">
              <w:rPr>
                <w:b/>
                <w:spacing w:val="-2"/>
              </w:rPr>
              <w:t>)</w:t>
            </w:r>
          </w:p>
          <w:p w:rsidR="0011491F" w:rsidP="004C5228" w14:paraId="712C05C0" w14:textId="77777777">
            <w:pPr>
              <w:tabs>
                <w:tab w:val="center" w:pos="4680"/>
              </w:tabs>
              <w:suppressAutoHyphens/>
              <w:rPr>
                <w:b/>
                <w:spacing w:val="-2"/>
              </w:rPr>
            </w:pPr>
            <w:r>
              <w:rPr>
                <w:b/>
                <w:spacing w:val="-2"/>
              </w:rPr>
              <w:t>)</w:t>
            </w:r>
          </w:p>
          <w:p w:rsidR="0011491F" w:rsidP="004C5228" w14:paraId="40E595DE" w14:textId="77777777">
            <w:pPr>
              <w:tabs>
                <w:tab w:val="center" w:pos="4680"/>
              </w:tabs>
              <w:suppressAutoHyphens/>
              <w:rPr>
                <w:b/>
                <w:spacing w:val="-2"/>
              </w:rPr>
            </w:pPr>
            <w:r>
              <w:rPr>
                <w:b/>
                <w:spacing w:val="-2"/>
              </w:rPr>
              <w:t>)</w:t>
            </w:r>
          </w:p>
          <w:p w:rsidR="0011491F" w:rsidP="004C5228" w14:paraId="42B3324D" w14:textId="77777777">
            <w:pPr>
              <w:tabs>
                <w:tab w:val="center" w:pos="4680"/>
              </w:tabs>
              <w:suppressAutoHyphens/>
              <w:rPr>
                <w:b/>
                <w:spacing w:val="-2"/>
              </w:rPr>
            </w:pPr>
            <w:r w:rsidRPr="00447371">
              <w:rPr>
                <w:b/>
                <w:spacing w:val="-2"/>
              </w:rPr>
              <w:t>)</w:t>
            </w:r>
          </w:p>
          <w:p w:rsidR="0011491F" w:rsidP="004C5228" w14:paraId="6F9D86D7" w14:textId="77777777">
            <w:pPr>
              <w:tabs>
                <w:tab w:val="center" w:pos="4680"/>
              </w:tabs>
              <w:suppressAutoHyphens/>
              <w:rPr>
                <w:b/>
                <w:spacing w:val="-2"/>
              </w:rPr>
            </w:pPr>
            <w:r>
              <w:rPr>
                <w:b/>
                <w:spacing w:val="-2"/>
              </w:rPr>
              <w:t>)</w:t>
            </w:r>
          </w:p>
          <w:p w:rsidR="0011491F" w:rsidP="004C5228" w14:paraId="094AE244" w14:textId="77777777">
            <w:pPr>
              <w:tabs>
                <w:tab w:val="center" w:pos="4680"/>
              </w:tabs>
              <w:suppressAutoHyphens/>
              <w:rPr>
                <w:b/>
                <w:spacing w:val="-2"/>
              </w:rPr>
            </w:pPr>
            <w:r>
              <w:rPr>
                <w:b/>
                <w:spacing w:val="-2"/>
              </w:rPr>
              <w:t>)</w:t>
            </w:r>
          </w:p>
          <w:p w:rsidR="0011491F" w:rsidP="004C5228" w14:paraId="18D6FD6F" w14:textId="77777777">
            <w:pPr>
              <w:tabs>
                <w:tab w:val="center" w:pos="4680"/>
              </w:tabs>
              <w:suppressAutoHyphens/>
              <w:rPr>
                <w:b/>
                <w:spacing w:val="-2"/>
              </w:rPr>
            </w:pPr>
            <w:r>
              <w:rPr>
                <w:b/>
                <w:spacing w:val="-2"/>
              </w:rPr>
              <w:t>)</w:t>
            </w:r>
          </w:p>
          <w:p w:rsidR="0011491F" w:rsidP="004C5228" w14:paraId="0AC53DAE" w14:textId="77777777">
            <w:pPr>
              <w:tabs>
                <w:tab w:val="center" w:pos="4680"/>
              </w:tabs>
              <w:suppressAutoHyphens/>
              <w:rPr>
                <w:b/>
                <w:spacing w:val="-2"/>
              </w:rPr>
            </w:pPr>
            <w:r>
              <w:rPr>
                <w:b/>
                <w:spacing w:val="-2"/>
              </w:rPr>
              <w:t>)</w:t>
            </w:r>
          </w:p>
          <w:p w:rsidR="0011491F" w:rsidRPr="00447371" w:rsidP="004C5228" w14:paraId="4BDBF216" w14:textId="77777777">
            <w:pPr>
              <w:tabs>
                <w:tab w:val="center" w:pos="4680"/>
              </w:tabs>
              <w:suppressAutoHyphens/>
              <w:rPr>
                <w:b/>
                <w:spacing w:val="-2"/>
              </w:rPr>
            </w:pPr>
            <w:r>
              <w:rPr>
                <w:b/>
                <w:spacing w:val="-2"/>
              </w:rPr>
              <w:t>)</w:t>
            </w:r>
          </w:p>
        </w:tc>
        <w:tc>
          <w:tcPr>
            <w:tcW w:w="4248" w:type="dxa"/>
          </w:tcPr>
          <w:p w:rsidR="0011491F" w:rsidRPr="00447371" w:rsidP="004C5228" w14:paraId="4FE30078" w14:textId="77777777">
            <w:pPr>
              <w:tabs>
                <w:tab w:val="center" w:pos="4680"/>
              </w:tabs>
              <w:suppressAutoHyphens/>
              <w:rPr>
                <w:spacing w:val="-2"/>
              </w:rPr>
            </w:pPr>
          </w:p>
          <w:p w:rsidR="0011491F" w:rsidRPr="00447371" w:rsidP="004C5228" w14:paraId="5295EA90" w14:textId="77777777">
            <w:pPr>
              <w:tabs>
                <w:tab w:val="center" w:pos="4680"/>
              </w:tabs>
              <w:suppressAutoHyphens/>
              <w:rPr>
                <w:spacing w:val="-2"/>
              </w:rPr>
            </w:pPr>
          </w:p>
          <w:p w:rsidR="0011491F" w:rsidP="004C5228" w14:paraId="5C547086" w14:textId="77777777">
            <w:pPr>
              <w:tabs>
                <w:tab w:val="center" w:pos="4680"/>
              </w:tabs>
              <w:suppressAutoHyphens/>
              <w:rPr>
                <w:spacing w:val="-2"/>
              </w:rPr>
            </w:pPr>
          </w:p>
          <w:p w:rsidR="0011491F" w:rsidP="004C5228" w14:paraId="2E6DB932" w14:textId="77777777">
            <w:pPr>
              <w:tabs>
                <w:tab w:val="center" w:pos="4680"/>
              </w:tabs>
              <w:suppressAutoHyphens/>
              <w:rPr>
                <w:spacing w:val="-2"/>
              </w:rPr>
            </w:pPr>
            <w:r w:rsidRPr="00447371">
              <w:rPr>
                <w:spacing w:val="-2"/>
              </w:rPr>
              <w:t>WT Docket No. 2</w:t>
            </w:r>
            <w:r>
              <w:rPr>
                <w:spacing w:val="-2"/>
              </w:rPr>
              <w:t>2-212</w:t>
            </w:r>
          </w:p>
          <w:p w:rsidR="0011491F" w:rsidP="004C5228" w14:paraId="426677F3" w14:textId="77777777">
            <w:pPr>
              <w:tabs>
                <w:tab w:val="center" w:pos="4680"/>
              </w:tabs>
              <w:suppressAutoHyphens/>
              <w:rPr>
                <w:spacing w:val="-2"/>
              </w:rPr>
            </w:pPr>
          </w:p>
          <w:p w:rsidR="0011491F" w:rsidP="004C5228" w14:paraId="70147560" w14:textId="77777777">
            <w:pPr>
              <w:tabs>
                <w:tab w:val="center" w:pos="4680"/>
              </w:tabs>
              <w:suppressAutoHyphens/>
              <w:rPr>
                <w:spacing w:val="-2"/>
              </w:rPr>
            </w:pPr>
          </w:p>
          <w:p w:rsidR="0011491F" w:rsidP="004C5228" w14:paraId="5BE7C462" w14:textId="77777777">
            <w:pPr>
              <w:tabs>
                <w:tab w:val="center" w:pos="4680"/>
              </w:tabs>
              <w:suppressAutoHyphens/>
              <w:rPr>
                <w:spacing w:val="-2"/>
              </w:rPr>
            </w:pPr>
          </w:p>
          <w:p w:rsidR="0011491F" w:rsidP="004C5228" w14:paraId="6565BBA4" w14:textId="77777777">
            <w:pPr>
              <w:tabs>
                <w:tab w:val="center" w:pos="4680"/>
              </w:tabs>
              <w:suppressAutoHyphens/>
              <w:rPr>
                <w:spacing w:val="-2"/>
              </w:rPr>
            </w:pPr>
          </w:p>
          <w:p w:rsidR="0011491F" w:rsidRPr="00447371" w:rsidP="004C5228" w14:paraId="0ADC6CD4" w14:textId="77777777">
            <w:pPr>
              <w:tabs>
                <w:tab w:val="center" w:pos="4680"/>
              </w:tabs>
              <w:suppressAutoHyphens/>
              <w:rPr>
                <w:spacing w:val="-2"/>
              </w:rPr>
            </w:pPr>
            <w:r w:rsidRPr="00986859">
              <w:rPr>
                <w:spacing w:val="-2"/>
              </w:rPr>
              <w:t>ULS Lead Call Signs WQXK340, WQTX200, T070272001, T060430001, WQJY944, WQWQ558, WQWQ819</w:t>
            </w:r>
          </w:p>
        </w:tc>
      </w:tr>
    </w:tbl>
    <w:p w:rsidR="0011491F" w:rsidP="0011491F" w14:paraId="6E25B1F0" w14:textId="77777777">
      <w:pPr>
        <w:pStyle w:val="StyleBoldCentered"/>
        <w:rPr>
          <w:rFonts w:ascii="Times New Roman" w:hAnsi="Times New Roman"/>
        </w:rPr>
      </w:pPr>
    </w:p>
    <w:p w:rsidR="0011491F" w:rsidRPr="00B94BEF" w:rsidP="0011491F" w14:paraId="37283E19" w14:textId="77777777">
      <w:pPr>
        <w:pStyle w:val="StyleBoldCentered"/>
        <w:rPr>
          <w:rFonts w:ascii="Times New Roman" w:hAnsi="Times New Roman"/>
        </w:rPr>
      </w:pPr>
      <w:r>
        <w:rPr>
          <w:rFonts w:ascii="Times New Roman" w:hAnsi="Times New Roman"/>
        </w:rPr>
        <w:t>Order on ReconsiderAtion</w:t>
      </w:r>
    </w:p>
    <w:p w:rsidR="0011491F" w:rsidRPr="00B94BEF" w:rsidP="0011491F" w14:paraId="1DE30CF1" w14:textId="77777777">
      <w:pPr>
        <w:tabs>
          <w:tab w:val="left" w:pos="720"/>
          <w:tab w:val="right" w:pos="9360"/>
        </w:tabs>
        <w:suppressAutoHyphens/>
        <w:spacing w:line="227" w:lineRule="auto"/>
        <w:rPr>
          <w:b/>
          <w:spacing w:val="-2"/>
        </w:rPr>
      </w:pPr>
    </w:p>
    <w:p w:rsidR="0011491F" w:rsidRPr="00447371" w:rsidP="0011491F" w14:paraId="2A743472" w14:textId="479890A0">
      <w:pPr>
        <w:tabs>
          <w:tab w:val="left" w:pos="720"/>
          <w:tab w:val="right" w:pos="9360"/>
        </w:tabs>
        <w:suppressAutoHyphens/>
        <w:spacing w:line="227" w:lineRule="auto"/>
        <w:rPr>
          <w:spacing w:val="-2"/>
        </w:rPr>
      </w:pPr>
      <w:r w:rsidRPr="00B94BEF">
        <w:rPr>
          <w:b/>
          <w:spacing w:val="-2"/>
        </w:rPr>
        <w:t xml:space="preserve">Adopted:  </w:t>
      </w:r>
      <w:r w:rsidR="00BD2255">
        <w:rPr>
          <w:b/>
          <w:spacing w:val="-2"/>
        </w:rPr>
        <w:t xml:space="preserve">May </w:t>
      </w:r>
      <w:r w:rsidR="00BD4084">
        <w:rPr>
          <w:b/>
          <w:spacing w:val="-2"/>
        </w:rPr>
        <w:t>12</w:t>
      </w:r>
      <w:r w:rsidRPr="00B94BEF">
        <w:rPr>
          <w:b/>
          <w:spacing w:val="-2"/>
        </w:rPr>
        <w:t>, 202</w:t>
      </w:r>
      <w:r>
        <w:rPr>
          <w:b/>
          <w:spacing w:val="-2"/>
        </w:rPr>
        <w:t>6</w:t>
      </w:r>
      <w:r w:rsidRPr="00B94BEF">
        <w:rPr>
          <w:b/>
          <w:spacing w:val="-2"/>
        </w:rPr>
        <w:tab/>
        <w:t xml:space="preserve">Released:  </w:t>
      </w:r>
      <w:r w:rsidR="00BD2255">
        <w:rPr>
          <w:b/>
          <w:spacing w:val="-2"/>
        </w:rPr>
        <w:t xml:space="preserve">May </w:t>
      </w:r>
      <w:r w:rsidR="00BD4084">
        <w:rPr>
          <w:b/>
          <w:spacing w:val="-2"/>
        </w:rPr>
        <w:t>12</w:t>
      </w:r>
      <w:r>
        <w:rPr>
          <w:b/>
          <w:spacing w:val="-2"/>
        </w:rPr>
        <w:t>, 2026</w:t>
      </w:r>
    </w:p>
    <w:p w:rsidR="0011491F" w:rsidP="0011491F" w14:paraId="470CCA69" w14:textId="77777777"/>
    <w:p w:rsidR="0011491F" w:rsidRPr="0027152A" w:rsidP="0011491F" w14:paraId="50BE058B" w14:textId="77777777">
      <w:r w:rsidRPr="009B44E7">
        <w:t xml:space="preserve">By the </w:t>
      </w:r>
      <w:r>
        <w:t>Chief, Wireless Telecommunications Bureau:</w:t>
      </w:r>
    </w:p>
    <w:p w:rsidR="0011491F" w:rsidRPr="00071E01" w:rsidP="0011491F" w14:paraId="24E798D0" w14:textId="77777777"/>
    <w:p w:rsidR="0011491F" w:rsidRPr="0060628A" w:rsidP="0011491F" w14:paraId="63DE2BF1" w14:textId="77777777">
      <w:pPr>
        <w:pStyle w:val="ParaNum"/>
      </w:pPr>
      <w:bookmarkStart w:id="1" w:name="_Toc337037896"/>
      <w:bookmarkStart w:id="2" w:name="_Toc337038071"/>
      <w:bookmarkStart w:id="3" w:name="_Toc337038150"/>
      <w:bookmarkStart w:id="4" w:name="_Toc337040592"/>
      <w:bookmarkStart w:id="5" w:name="_Toc337040716"/>
      <w:bookmarkStart w:id="6" w:name="_Toc337040912"/>
      <w:bookmarkStart w:id="7" w:name="_Toc388552561"/>
      <w:bookmarkStart w:id="8" w:name="_Toc410997741"/>
      <w:bookmarkStart w:id="9" w:name="_Toc410997782"/>
      <w:bookmarkStart w:id="10" w:name="_Toc446680981"/>
      <w:bookmarkStart w:id="11" w:name="_Toc446681027"/>
      <w:bookmarkStart w:id="12" w:name="_Toc42767860"/>
      <w:bookmarkStart w:id="13" w:name="_Toc42768163"/>
      <w:bookmarkStart w:id="14" w:name="_Toc54164886"/>
      <w:bookmarkStart w:id="15" w:name="_Toc147150069"/>
      <w:bookmarkStart w:id="16" w:name="_Toc150423883"/>
      <w:r>
        <w:t xml:space="preserve">For the reasons discussed below, we dismiss the Petition for Reconsideration (Petition) filed by </w:t>
      </w:r>
      <w:r>
        <w:t>VTel</w:t>
      </w:r>
      <w:r>
        <w:t xml:space="preserve"> Wireless, Inc (</w:t>
      </w:r>
      <w:r>
        <w:t>VTel</w:t>
      </w:r>
      <w:r>
        <w:t>) for lack of standing.</w:t>
      </w:r>
      <w:r>
        <w:rPr>
          <w:rStyle w:val="FootnoteReference"/>
        </w:rPr>
        <w:footnoteReference w:id="3"/>
      </w:r>
    </w:p>
    <w:p w:rsidR="0011491F" w:rsidRPr="00447371" w:rsidP="0011491F" w14:paraId="5D48A839" w14:textId="77777777">
      <w:pPr>
        <w:pStyle w:val="Heading1"/>
      </w:pPr>
      <w:r w:rsidRPr="00447371">
        <w:t>Background</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rsidR="0011491F" w:rsidP="0011491F" w14:paraId="476A6D38" w14:textId="1D4752D1">
      <w:pPr>
        <w:pStyle w:val="ParaNum"/>
      </w:pPr>
      <w:bookmarkStart w:id="17" w:name="_Toc54164887"/>
      <w:bookmarkStart w:id="18" w:name="_Toc337037905"/>
      <w:bookmarkStart w:id="19" w:name="_Toc337038080"/>
      <w:bookmarkStart w:id="20" w:name="_Toc337038159"/>
      <w:bookmarkStart w:id="21" w:name="_Toc337040601"/>
      <w:bookmarkStart w:id="22" w:name="_Toc337040725"/>
      <w:bookmarkStart w:id="23" w:name="_Toc337040921"/>
      <w:bookmarkStart w:id="24" w:name="_Toc388552568"/>
      <w:bookmarkStart w:id="25" w:name="_Toc410997747"/>
      <w:bookmarkStart w:id="26" w:name="_Toc410997790"/>
      <w:bookmarkStart w:id="27" w:name="_Toc446680987"/>
      <w:bookmarkStart w:id="28" w:name="_Toc446681035"/>
      <w:bookmarkStart w:id="29" w:name="_Toc42767863"/>
      <w:bookmarkStart w:id="30" w:name="_Toc42768165"/>
      <w:r>
        <w:t>On September 17, 2024, EchoStar Corporation (EchoStar) requested an extension of its final construction deadline for some of its wireless licenses (Extension Request), which the Wireless Telecommunications Bureau (WTB or Bureau) granted in ULS.</w:t>
      </w:r>
      <w:r>
        <w:rPr>
          <w:rStyle w:val="FootnoteReference"/>
        </w:rPr>
        <w:footnoteReference w:id="4"/>
      </w:r>
      <w:r>
        <w:t xml:space="preserve">  On October 21, 2024, </w:t>
      </w:r>
      <w:r>
        <w:t>VTel</w:t>
      </w:r>
      <w:r>
        <w:t>, filed its Petition asking WTB to reconsider granting EchoStar’s Extension Request.</w:t>
      </w:r>
      <w:r>
        <w:rPr>
          <w:rStyle w:val="FootnoteReference"/>
        </w:rPr>
        <w:footnoteReference w:id="5"/>
      </w:r>
      <w:r>
        <w:t xml:space="preserve">  </w:t>
      </w:r>
    </w:p>
    <w:p w:rsidR="0011491F" w:rsidRPr="00447371" w:rsidP="0011491F" w14:paraId="58ECE75E" w14:textId="77777777">
      <w:pPr>
        <w:pStyle w:val="ParaNum"/>
      </w:pPr>
      <w:r>
        <w:t>VTel’s</w:t>
      </w:r>
      <w:r>
        <w:t xml:space="preserve"> Petition challenges WTB’s authority to extend a construction deadline that has been set by the Commission and asserts that </w:t>
      </w:r>
      <w:r>
        <w:t>VTel</w:t>
      </w:r>
      <w:r>
        <w:t xml:space="preserve"> has standing to file such a petition due to alleged competitive injury.</w:t>
      </w:r>
      <w:r>
        <w:rPr>
          <w:rStyle w:val="FootnoteReference"/>
        </w:rPr>
        <w:footnoteReference w:id="6"/>
      </w:r>
      <w:r>
        <w:t xml:space="preserve">  The foundation of </w:t>
      </w:r>
      <w:r>
        <w:t>VTel’s</w:t>
      </w:r>
      <w:r>
        <w:t xml:space="preserve"> standing arguments is that </w:t>
      </w:r>
      <w:r>
        <w:t>VTel</w:t>
      </w:r>
      <w:r>
        <w:t xml:space="preserve"> participated in Auctions 96 and 97, in which EchoStar won many of the licenses at issue.</w:t>
      </w:r>
      <w:r>
        <w:rPr>
          <w:rStyle w:val="FootnoteReference"/>
        </w:rPr>
        <w:footnoteReference w:id="7"/>
      </w:r>
      <w:r>
        <w:t xml:space="preserve">  </w:t>
      </w:r>
      <w:r>
        <w:t>VTel</w:t>
      </w:r>
      <w:r>
        <w:t xml:space="preserve"> characterizes the grant of </w:t>
      </w:r>
      <w:r>
        <w:t xml:space="preserve">EchoStar’s Extension Request as a post-auction change to the requirements of the relevant licenses such that </w:t>
      </w:r>
      <w:r>
        <w:t>VTel</w:t>
      </w:r>
      <w:r>
        <w:t xml:space="preserve"> was deprived of the ability to compete in a valid and fair bidding process.</w:t>
      </w:r>
      <w:r>
        <w:rPr>
          <w:rStyle w:val="FootnoteReference"/>
        </w:rPr>
        <w:footnoteReference w:id="8"/>
      </w:r>
      <w:r>
        <w:t xml:space="preserve">  </w:t>
      </w:r>
      <w:r>
        <w:t>VTel</w:t>
      </w:r>
      <w:r>
        <w:t xml:space="preserve"> also asserts a variety of competitive injuries, including delayed access to roaming on EchoStar’s unfinished network and delayed access to directly acquire the spectrum licenses that would be reauctioned if EchoStar failed to meet its construction obligations under the original deadline.</w:t>
      </w:r>
      <w:r>
        <w:rPr>
          <w:rStyle w:val="FootnoteReference"/>
        </w:rPr>
        <w:footnoteReference w:id="9"/>
      </w:r>
      <w:r>
        <w:t xml:space="preserve">  </w:t>
      </w:r>
      <w:r w:rsidRPr="00394B27">
        <w:t>EchoStar challenge</w:t>
      </w:r>
      <w:r>
        <w:t>s</w:t>
      </w:r>
      <w:r w:rsidRPr="00394B27">
        <w:t xml:space="preserve"> </w:t>
      </w:r>
      <w:r w:rsidRPr="00394B27">
        <w:t>VTel’s</w:t>
      </w:r>
      <w:r w:rsidRPr="00394B27">
        <w:t xml:space="preserve"> standing, arguing that its claims are speculative and that no concrete injury has been demonstrated.</w:t>
      </w:r>
      <w:r>
        <w:rPr>
          <w:sz w:val="20"/>
          <w:vertAlign w:val="superscript"/>
        </w:rPr>
        <w:footnoteReference w:id="10"/>
      </w:r>
    </w:p>
    <w:bookmarkEnd w:id="17"/>
    <w:p w:rsidR="0011491F" w:rsidRPr="00447371" w:rsidP="0011491F" w14:paraId="1374DBD1" w14:textId="77777777">
      <w:pPr>
        <w:pStyle w:val="Heading1"/>
      </w:pPr>
      <w:r>
        <w:t>Discussion</w:t>
      </w:r>
    </w:p>
    <w:p w:rsidR="0011491F" w:rsidRPr="00A119BF" w:rsidP="0011491F" w14:paraId="05218C2A" w14:textId="77777777">
      <w:pPr>
        <w:pStyle w:val="ParaNum"/>
        <w:rPr>
          <w:snapToGrid/>
          <w:kern w:val="2"/>
          <w:szCs w:val="22"/>
        </w:rPr>
      </w:pPr>
      <w:bookmarkStart w:id="31" w:name="_Toc54164888"/>
      <w:r w:rsidRPr="002725FC">
        <w:t xml:space="preserve">In order to demonstrate standing, a petitioner such as </w:t>
      </w:r>
      <w:r w:rsidRPr="002725FC">
        <w:t>VTel</w:t>
      </w:r>
      <w:r w:rsidRPr="002725FC">
        <w:t xml:space="preserve"> must demonstrate, among other thing</w:t>
      </w:r>
      <w:r>
        <w:t>s</w:t>
      </w:r>
      <w:r w:rsidRPr="002725FC">
        <w:t>, that the challenged action would cause it to suffer a direct injury.</w:t>
      </w:r>
      <w:r>
        <w:rPr>
          <w:rStyle w:val="FootnoteReference"/>
          <w:szCs w:val="22"/>
        </w:rPr>
        <w:footnoteReference w:id="11"/>
      </w:r>
      <w:r w:rsidRPr="002725FC">
        <w:t xml:space="preserve">  The injury must be both “concrete and particularized” and “actual or imminent, not conjectural or hypothetical.”</w:t>
      </w:r>
      <w:r>
        <w:rPr>
          <w:rStyle w:val="FootnoteReference"/>
          <w:szCs w:val="22"/>
        </w:rPr>
        <w:footnoteReference w:id="12"/>
      </w:r>
      <w:r w:rsidRPr="002725FC">
        <w:t xml:space="preserve">  </w:t>
      </w:r>
      <w:r>
        <w:t>Speculative injuries are insufficient.</w:t>
      </w:r>
      <w:r>
        <w:rPr>
          <w:rStyle w:val="FootnoteReference"/>
        </w:rPr>
        <w:footnoteReference w:id="13"/>
      </w:r>
      <w:r>
        <w:t xml:space="preserve">  </w:t>
      </w:r>
      <w:r w:rsidRPr="002725FC">
        <w:t>VTel’s</w:t>
      </w:r>
      <w:r w:rsidRPr="002725FC">
        <w:t xml:space="preserve"> claimed injuries do not fulfill these requirements.</w:t>
      </w:r>
    </w:p>
    <w:p w:rsidR="0011491F" w:rsidRPr="00A119BF" w:rsidP="0011491F" w14:paraId="730AD350" w14:textId="77777777">
      <w:pPr>
        <w:pStyle w:val="ParaNum"/>
        <w:rPr>
          <w:snapToGrid/>
          <w:kern w:val="2"/>
          <w:szCs w:val="22"/>
        </w:rPr>
      </w:pPr>
      <w:r>
        <w:t>VTel’s</w:t>
      </w:r>
      <w:r>
        <w:t xml:space="preserve"> first claimed harm, that the grant of the Extension Request is a post-auction change to the licensing requirements implicating the fairness of the auction process, is unconvincing.  The Commission’s rules state that we may waive specific requirements of our rules on our own motion or on request.</w:t>
      </w:r>
      <w:r>
        <w:rPr>
          <w:rStyle w:val="FootnoteReference"/>
        </w:rPr>
        <w:footnoteReference w:id="14"/>
      </w:r>
      <w:r>
        <w:t xml:space="preserve">  Buildout requirements applicable to licenses issued at auction are not excepted from that procedure, and any relevant party, including other winning bidders in Auctions 96 and 97, could and can make such a request.</w:t>
      </w:r>
      <w:r>
        <w:rPr>
          <w:rStyle w:val="FootnoteReference"/>
        </w:rPr>
        <w:footnoteReference w:id="15"/>
      </w:r>
      <w:r>
        <w:t xml:space="preserve">  Whether any such extension request is ultimately submitted or granted does not change the underlying requirements for those licenses.</w:t>
      </w:r>
      <w:r>
        <w:rPr>
          <w:rStyle w:val="FootnoteReference"/>
        </w:rPr>
        <w:footnoteReference w:id="16"/>
      </w:r>
      <w:r>
        <w:t xml:space="preserve">  There is thus no </w:t>
      </w:r>
      <w:r>
        <w:rPr>
          <w:i/>
          <w:iCs/>
        </w:rPr>
        <w:t>ex post</w:t>
      </w:r>
      <w:r>
        <w:t xml:space="preserve"> change to the license terms or the Commission rules, including the auction rules, let alone one that would constitute an injury-in-fact for the purpose of standing.</w:t>
      </w:r>
    </w:p>
    <w:p w:rsidR="0011491F" w:rsidP="0011491F" w14:paraId="01599CC7" w14:textId="00DE291B">
      <w:pPr>
        <w:pStyle w:val="ParaNum"/>
      </w:pPr>
      <w:r>
        <w:t>VTel’s</w:t>
      </w:r>
      <w:r>
        <w:t xml:space="preserve"> second and third claimed harms are too attenuated and too speculative to support standing.  </w:t>
      </w:r>
      <w:r>
        <w:t>VTel</w:t>
      </w:r>
      <w:r>
        <w:t xml:space="preserve"> alleges that it is harmed because the grant of the extension means that it will take additional time for EchoStar to either:</w:t>
      </w:r>
      <w:r w:rsidR="00757732">
        <w:t xml:space="preserve"> </w:t>
      </w:r>
      <w:r>
        <w:t xml:space="preserve"> (1) forfeit its licenses back to the Commission for reauction (thus </w:t>
      </w:r>
      <w:r>
        <w:t xml:space="preserve">affording </w:t>
      </w:r>
      <w:r>
        <w:t>VTel</w:t>
      </w:r>
      <w:r>
        <w:t xml:space="preserve"> potential access to them as licensee); or (2) successfully build out the licenses so that the spectrum becomes available to </w:t>
      </w:r>
      <w:r>
        <w:t>VTel</w:t>
      </w:r>
      <w:r>
        <w:t xml:space="preserve"> through a hypothetical roaming agreement.</w:t>
      </w:r>
      <w:r>
        <w:rPr>
          <w:rStyle w:val="FootnoteReference"/>
        </w:rPr>
        <w:footnoteReference w:id="17"/>
      </w:r>
      <w:r>
        <w:t xml:space="preserve">  Both these hypothetical situations are speculative and uncertain.  In the reauction scenario, spectrum access for </w:t>
      </w:r>
      <w:r>
        <w:t>VTel</w:t>
      </w:r>
      <w:r>
        <w:t xml:space="preserve"> would require EchoStar’s licenses in fact terminating, and the</w:t>
      </w:r>
      <w:r>
        <w:t xml:space="preserve"> </w:t>
      </w:r>
      <w:r>
        <w:t>Commission scheduling an inventory auction for those</w:t>
      </w:r>
      <w:r>
        <w:t xml:space="preserve"> licenses</w:t>
      </w:r>
      <w:r>
        <w:t xml:space="preserve">.  In the roaming agreement scenario, </w:t>
      </w:r>
      <w:r>
        <w:t>VTel’s</w:t>
      </w:r>
      <w:r>
        <w:t xml:space="preserve"> spectrum access would depend on EchoStar building out its network in licenses and locations useful to </w:t>
      </w:r>
      <w:r>
        <w:t>VTel</w:t>
      </w:r>
      <w:r>
        <w:t xml:space="preserve">, and </w:t>
      </w:r>
      <w:r>
        <w:t>VTel</w:t>
      </w:r>
      <w:r>
        <w:t xml:space="preserve"> and EchoStar then successfully negotiating a roaming agreement.  In either case, </w:t>
      </w:r>
      <w:r>
        <w:t>VTel’s</w:t>
      </w:r>
      <w:r>
        <w:t xml:space="preserve"> desired outcome hinges not primarily on the grant or denial of the Extension Request, but on a variety of other factors, including some outside the control of either </w:t>
      </w:r>
      <w:r>
        <w:t>VTel</w:t>
      </w:r>
      <w:r>
        <w:t xml:space="preserve"> or the Commission.</w:t>
      </w:r>
      <w:r>
        <w:rPr>
          <w:rStyle w:val="FootnoteReference"/>
        </w:rPr>
        <w:footnoteReference w:id="18"/>
      </w:r>
      <w:r>
        <w:t xml:space="preserve">  </w:t>
      </w:r>
      <w:r>
        <w:t>VTel</w:t>
      </w:r>
      <w:r>
        <w:t xml:space="preserve"> cannot reasonably claim imminent particularized injury when its theories of harm are essentially being offered in the alternative and depend on the actions of a third party.  Accordingly, </w:t>
      </w:r>
      <w:r>
        <w:t>VTel’s</w:t>
      </w:r>
      <w:r>
        <w:t xml:space="preserve"> claimed injuries are insufficient to support standing in this matter.</w:t>
      </w:r>
    </w:p>
    <w:p w:rsidR="0011491F" w:rsidRPr="00447371" w:rsidP="0011491F" w14:paraId="65E02361" w14:textId="77777777">
      <w:pPr>
        <w:pStyle w:val="ParaNum"/>
      </w:pPr>
      <w:r w:rsidRPr="00E43127">
        <w:t xml:space="preserve">Because we conclude that </w:t>
      </w:r>
      <w:r w:rsidRPr="00E43127">
        <w:t>VTel</w:t>
      </w:r>
      <w:r w:rsidRPr="00E43127">
        <w:t xml:space="preserve"> lacks standing to bring this Petition, we do not address </w:t>
      </w:r>
      <w:r w:rsidRPr="00E43127">
        <w:t>VTel’s</w:t>
      </w:r>
      <w:r w:rsidRPr="00E43127">
        <w:t xml:space="preserve"> subsequent arguments concerning WTB’s</w:t>
      </w:r>
      <w:r>
        <w:t xml:space="preserve"> authority to grant the Extension Request or the adequacy of EchoStar’s justification for the grant.</w:t>
      </w:r>
    </w:p>
    <w:p w:rsidR="0011491F" w:rsidRPr="00447371" w:rsidP="0011491F" w14:paraId="62BA3D11" w14:textId="77777777">
      <w:pPr>
        <w:pStyle w:val="Heading1"/>
      </w:pPr>
      <w:r w:rsidRPr="00447371">
        <w:rPr>
          <w:rFonts w:ascii="Times New Roman" w:hAnsi="Times New Roman"/>
        </w:rPr>
        <w:t>ORDERING CLAUSES</w:t>
      </w:r>
    </w:p>
    <w:bookmarkEnd w:id="18"/>
    <w:bookmarkEnd w:id="19"/>
    <w:bookmarkEnd w:id="20"/>
    <w:bookmarkEnd w:id="21"/>
    <w:bookmarkEnd w:id="22"/>
    <w:bookmarkEnd w:id="23"/>
    <w:bookmarkEnd w:id="24"/>
    <w:bookmarkEnd w:id="25"/>
    <w:bookmarkEnd w:id="26"/>
    <w:bookmarkEnd w:id="27"/>
    <w:bookmarkEnd w:id="28"/>
    <w:bookmarkEnd w:id="29"/>
    <w:bookmarkEnd w:id="30"/>
    <w:bookmarkEnd w:id="31"/>
    <w:p w:rsidR="0011491F" w:rsidP="0011491F" w14:paraId="1DC5B202" w14:textId="5F347848">
      <w:pPr>
        <w:pStyle w:val="ParaNum"/>
      </w:pPr>
      <w:r w:rsidRPr="00AF65D6">
        <w:t xml:space="preserve">ACCORDINGLY, pursuant to </w:t>
      </w:r>
      <w:r>
        <w:t>s</w:t>
      </w:r>
      <w:r w:rsidRPr="00AF65D6">
        <w:t>ections 4(</w:t>
      </w:r>
      <w:r w:rsidRPr="00AF65D6">
        <w:t>i</w:t>
      </w:r>
      <w:r w:rsidRPr="00AF65D6">
        <w:t>) and 405 of the Communications Act of 1934, as amended, 47 U.S.C. §§ 154(</w:t>
      </w:r>
      <w:r w:rsidRPr="00AF65D6">
        <w:t>i</w:t>
      </w:r>
      <w:r w:rsidRPr="00AF65D6">
        <w:t xml:space="preserve">), 405, and </w:t>
      </w:r>
      <w:r>
        <w:t>s</w:t>
      </w:r>
      <w:r w:rsidRPr="00AF65D6">
        <w:t>ection 1.106 of the Commission</w:t>
      </w:r>
      <w:r>
        <w:t>’</w:t>
      </w:r>
      <w:r w:rsidRPr="00AF65D6">
        <w:t xml:space="preserve">s </w:t>
      </w:r>
      <w:r>
        <w:t>r</w:t>
      </w:r>
      <w:r w:rsidRPr="00AF65D6">
        <w:t>ules, 47 C.F.R. § 1.106, IT IS ORDERED that the petition for reconsideration filed by</w:t>
      </w:r>
      <w:r>
        <w:t xml:space="preserve"> </w:t>
      </w:r>
      <w:r>
        <w:t>VTel</w:t>
      </w:r>
      <w:r>
        <w:t xml:space="preserve"> Wireless, Inc. on October 21, 2024 </w:t>
      </w:r>
      <w:r w:rsidRPr="00AF65D6">
        <w:t xml:space="preserve">IS </w:t>
      </w:r>
      <w:r>
        <w:t>DISMIISSED</w:t>
      </w:r>
      <w:r w:rsidRPr="00AF65D6">
        <w:t xml:space="preserve">. </w:t>
      </w:r>
    </w:p>
    <w:p w:rsidR="0011491F" w:rsidP="0011491F" w14:paraId="444AC1BB" w14:textId="422193B7">
      <w:pPr>
        <w:pStyle w:val="ParaNum"/>
      </w:pPr>
      <w:r w:rsidRPr="00AF65D6">
        <w:t>Th</w:t>
      </w:r>
      <w:r>
        <w:t>is</w:t>
      </w:r>
      <w:r w:rsidRPr="00AF65D6">
        <w:t xml:space="preserve"> action </w:t>
      </w:r>
      <w:r>
        <w:t xml:space="preserve">is </w:t>
      </w:r>
      <w:r w:rsidRPr="00AF65D6">
        <w:t xml:space="preserve">taken under delegated authority pursuant to </w:t>
      </w:r>
      <w:r>
        <w:t>s</w:t>
      </w:r>
      <w:r w:rsidRPr="00AF65D6">
        <w:t xml:space="preserve">ections 0.131 and 0.331 of the </w:t>
      </w:r>
      <w:r>
        <w:t>Commission’s rules</w:t>
      </w:r>
      <w:r w:rsidRPr="00AF65D6">
        <w:t>, 47 C.F.R. §§ 0.131, 0.331.</w:t>
      </w:r>
    </w:p>
    <w:p w:rsidR="006D2D92" w:rsidP="0017296B" w14:paraId="67B4A1CC" w14:textId="77777777">
      <w:r>
        <w:tab/>
      </w:r>
      <w:r>
        <w:tab/>
      </w:r>
      <w:r>
        <w:tab/>
      </w:r>
      <w:r>
        <w:tab/>
      </w:r>
      <w:r>
        <w:tab/>
      </w:r>
      <w:r>
        <w:tab/>
        <w:t>FEDERAL COMMUNICATIONS COMMISSION</w:t>
      </w:r>
    </w:p>
    <w:p w:rsidR="006D2D92" w:rsidP="0017296B" w14:paraId="17AFF28B" w14:textId="77777777"/>
    <w:p w:rsidR="006D2D92" w:rsidP="0017296B" w14:paraId="53F87365" w14:textId="77777777"/>
    <w:p w:rsidR="006D2D92" w:rsidP="0017296B" w14:paraId="7D6FCCAB" w14:textId="77777777"/>
    <w:p w:rsidR="006D2D92" w:rsidP="0017296B" w14:paraId="450BBA4D" w14:textId="77777777"/>
    <w:p w:rsidR="0011491F" w:rsidP="0011491F" w14:paraId="14509443" w14:textId="77777777">
      <w:pPr>
        <w:keepNext/>
      </w:pPr>
      <w:r>
        <w:tab/>
      </w:r>
      <w:r>
        <w:tab/>
      </w:r>
      <w:r>
        <w:tab/>
      </w:r>
      <w:r>
        <w:tab/>
      </w:r>
      <w:r>
        <w:tab/>
      </w:r>
      <w:r>
        <w:tab/>
        <w:t>Joel Taubenblatt</w:t>
      </w:r>
    </w:p>
    <w:p w:rsidR="00412FC5" w:rsidP="00A119BF" w14:paraId="60B75395" w14:textId="1E1CEF34">
      <w:pPr>
        <w:keepNext/>
        <w:keepLines/>
      </w:pPr>
      <w:r>
        <w:tab/>
      </w:r>
      <w:r>
        <w:tab/>
      </w:r>
      <w:r>
        <w:tab/>
      </w:r>
      <w:r>
        <w:tab/>
      </w:r>
      <w:r>
        <w:tab/>
      </w:r>
      <w:r>
        <w:tab/>
        <w:t>Chief, Wireless Telecommunications Bureau</w:t>
      </w:r>
      <w:bookmarkEnd w:id="0"/>
    </w:p>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8C697A" w14:paraId="4590AD0A" w14:textId="77777777">
      <w:pPr>
        <w:spacing w:line="20" w:lineRule="exact"/>
      </w:pPr>
    </w:p>
  </w:endnote>
  <w:endnote w:type="continuationSeparator" w:id="1">
    <w:p w:rsidR="008C697A" w14:paraId="1088ECE4" w14:textId="77777777">
      <w:r>
        <w:t xml:space="preserve"> </w:t>
      </w:r>
    </w:p>
  </w:endnote>
  <w:endnote w:type="continuationNotice" w:id="2">
    <w:p w:rsidR="008C697A" w14:paraId="19A1C80A"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1CE95447"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3E52EF2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4C75B2" w14:paraId="28F771AF" w14:textId="4CB54DBB">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6B2075B0"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8C697A" w14:paraId="3EC8ADA5" w14:textId="77777777">
      <w:r>
        <w:separator/>
      </w:r>
    </w:p>
  </w:footnote>
  <w:footnote w:type="continuationSeparator" w:id="1">
    <w:p w:rsidR="008C697A" w:rsidP="00C721AC" w14:paraId="120E84C8" w14:textId="77777777">
      <w:pPr>
        <w:spacing w:before="120"/>
        <w:rPr>
          <w:sz w:val="20"/>
        </w:rPr>
      </w:pPr>
      <w:r>
        <w:rPr>
          <w:sz w:val="20"/>
        </w:rPr>
        <w:t xml:space="preserve">(Continued from previous page)  </w:t>
      </w:r>
      <w:r>
        <w:rPr>
          <w:sz w:val="20"/>
        </w:rPr>
        <w:separator/>
      </w:r>
    </w:p>
  </w:footnote>
  <w:footnote w:type="continuationNotice" w:id="2">
    <w:p w:rsidR="008C697A" w:rsidP="00C721AC" w14:paraId="2E395DF1" w14:textId="77777777">
      <w:pPr>
        <w:jc w:val="right"/>
        <w:rPr>
          <w:sz w:val="20"/>
        </w:rPr>
      </w:pPr>
      <w:r>
        <w:rPr>
          <w:sz w:val="20"/>
        </w:rPr>
        <w:t>(continued….)</w:t>
      </w:r>
    </w:p>
  </w:footnote>
  <w:footnote w:id="3">
    <w:p w:rsidR="0011491F" w:rsidP="0011491F" w14:paraId="39FCA5E2" w14:textId="77777777">
      <w:pPr>
        <w:pStyle w:val="FootnoteText"/>
      </w:pPr>
      <w:r>
        <w:rPr>
          <w:rStyle w:val="FootnoteReference"/>
        </w:rPr>
        <w:footnoteRef/>
      </w:r>
      <w:r>
        <w:t xml:space="preserve"> </w:t>
      </w:r>
      <w:r w:rsidRPr="00563C56">
        <w:t xml:space="preserve">Petition </w:t>
      </w:r>
      <w:r>
        <w:t xml:space="preserve">for Reconsideration </w:t>
      </w:r>
      <w:r w:rsidRPr="00563C56">
        <w:t xml:space="preserve">of </w:t>
      </w:r>
      <w:r>
        <w:t>VTel</w:t>
      </w:r>
      <w:r w:rsidRPr="00563C56">
        <w:t xml:space="preserve"> </w:t>
      </w:r>
      <w:r>
        <w:t xml:space="preserve">Wireless, Inc. </w:t>
      </w:r>
      <w:r w:rsidRPr="00563C56">
        <w:t xml:space="preserve">(filed </w:t>
      </w:r>
      <w:r>
        <w:t>Oct. 21, 2024</w:t>
      </w:r>
      <w:r w:rsidRPr="00563C56">
        <w:t>)</w:t>
      </w:r>
      <w:r>
        <w:t xml:space="preserve"> (</w:t>
      </w:r>
      <w:r>
        <w:t>VTel</w:t>
      </w:r>
      <w:r>
        <w:t xml:space="preserve"> Petition).  The </w:t>
      </w:r>
      <w:r>
        <w:t>VTel</w:t>
      </w:r>
      <w:r>
        <w:t xml:space="preserve"> Petition was filed both in ULS (Lead call signs and associated ULS File Nos. </w:t>
      </w:r>
      <w:r w:rsidRPr="00986859">
        <w:rPr>
          <w:spacing w:val="-2"/>
        </w:rPr>
        <w:t>WQXK340</w:t>
      </w:r>
      <w:r>
        <w:rPr>
          <w:spacing w:val="-2"/>
        </w:rPr>
        <w:t xml:space="preserve"> (ULS File No. </w:t>
      </w:r>
      <w:r w:rsidRPr="00856843">
        <w:rPr>
          <w:spacing w:val="-2"/>
        </w:rPr>
        <w:t>0011244477</w:t>
      </w:r>
      <w:r>
        <w:rPr>
          <w:spacing w:val="-2"/>
        </w:rPr>
        <w:t>),</w:t>
      </w:r>
      <w:r w:rsidRPr="00986859">
        <w:rPr>
          <w:spacing w:val="-2"/>
        </w:rPr>
        <w:t xml:space="preserve"> WQTX200</w:t>
      </w:r>
      <w:r>
        <w:rPr>
          <w:spacing w:val="-2"/>
        </w:rPr>
        <w:t xml:space="preserve"> (ULS File No. </w:t>
      </w:r>
      <w:r w:rsidRPr="00CA6A25">
        <w:rPr>
          <w:spacing w:val="-2"/>
        </w:rPr>
        <w:t>0011245219</w:t>
      </w:r>
      <w:r>
        <w:rPr>
          <w:spacing w:val="-2"/>
        </w:rPr>
        <w:t>)</w:t>
      </w:r>
      <w:r w:rsidRPr="00986859">
        <w:rPr>
          <w:spacing w:val="-2"/>
        </w:rPr>
        <w:t>, T070272001</w:t>
      </w:r>
      <w:r>
        <w:rPr>
          <w:spacing w:val="-2"/>
        </w:rPr>
        <w:t xml:space="preserve"> (ULS File No. </w:t>
      </w:r>
      <w:r w:rsidRPr="00C91BD3">
        <w:rPr>
          <w:spacing w:val="-2"/>
        </w:rPr>
        <w:t>0011245488</w:t>
      </w:r>
      <w:r>
        <w:rPr>
          <w:spacing w:val="-2"/>
        </w:rPr>
        <w:t>)</w:t>
      </w:r>
      <w:r w:rsidRPr="00986859">
        <w:rPr>
          <w:spacing w:val="-2"/>
        </w:rPr>
        <w:t>, T060430001</w:t>
      </w:r>
      <w:r>
        <w:rPr>
          <w:spacing w:val="-2"/>
        </w:rPr>
        <w:t xml:space="preserve"> (ULS File No. </w:t>
      </w:r>
      <w:r w:rsidRPr="00E30E0C">
        <w:rPr>
          <w:spacing w:val="-2"/>
        </w:rPr>
        <w:t>0011245357</w:t>
      </w:r>
      <w:r>
        <w:rPr>
          <w:spacing w:val="-2"/>
        </w:rPr>
        <w:t>)</w:t>
      </w:r>
      <w:r w:rsidRPr="00986859">
        <w:rPr>
          <w:spacing w:val="-2"/>
        </w:rPr>
        <w:t>, WQJY944</w:t>
      </w:r>
      <w:r>
        <w:rPr>
          <w:spacing w:val="-2"/>
        </w:rPr>
        <w:t xml:space="preserve"> (ULS File No. </w:t>
      </w:r>
      <w:r w:rsidRPr="000F7814">
        <w:rPr>
          <w:spacing w:val="-2"/>
        </w:rPr>
        <w:t>0011245624</w:t>
      </w:r>
      <w:r>
        <w:rPr>
          <w:spacing w:val="-2"/>
        </w:rPr>
        <w:t>)</w:t>
      </w:r>
      <w:r w:rsidRPr="00986859">
        <w:rPr>
          <w:spacing w:val="-2"/>
        </w:rPr>
        <w:t>, WQWQ558</w:t>
      </w:r>
      <w:r>
        <w:rPr>
          <w:spacing w:val="-2"/>
        </w:rPr>
        <w:t xml:space="preserve"> (ULS File No. </w:t>
      </w:r>
      <w:r w:rsidRPr="00990CAA">
        <w:rPr>
          <w:spacing w:val="-2"/>
        </w:rPr>
        <w:t>0011244682</w:t>
      </w:r>
      <w:r>
        <w:rPr>
          <w:spacing w:val="-2"/>
        </w:rPr>
        <w:t>)</w:t>
      </w:r>
      <w:r w:rsidRPr="00986859">
        <w:rPr>
          <w:spacing w:val="-2"/>
        </w:rPr>
        <w:t>, WQWQ819</w:t>
      </w:r>
      <w:r>
        <w:rPr>
          <w:spacing w:val="-2"/>
        </w:rPr>
        <w:t xml:space="preserve"> (ULS File No. </w:t>
      </w:r>
      <w:r w:rsidRPr="00D63D57">
        <w:rPr>
          <w:spacing w:val="-2"/>
        </w:rPr>
        <w:t>0011244484</w:t>
      </w:r>
      <w:r>
        <w:rPr>
          <w:spacing w:val="-2"/>
        </w:rPr>
        <w:t xml:space="preserve">)) and </w:t>
      </w:r>
      <w:r w:rsidRPr="00CA3985">
        <w:t>W</w:t>
      </w:r>
      <w:r>
        <w:t>T</w:t>
      </w:r>
      <w:r w:rsidRPr="00CA3985">
        <w:t xml:space="preserve"> Docket No. </w:t>
      </w:r>
      <w:r>
        <w:t xml:space="preserve">22-212.  </w:t>
      </w:r>
      <w:r>
        <w:rPr>
          <w:i/>
          <w:iCs/>
        </w:rPr>
        <w:t>See</w:t>
      </w:r>
      <w:r>
        <w:t xml:space="preserve"> Letter from Bennet L. Ross, Counsel for </w:t>
      </w:r>
      <w:r>
        <w:t>VTel</w:t>
      </w:r>
      <w:r>
        <w:t xml:space="preserve"> Wireless, Inc., Wiley Rein LLP, to Marlene H. Dortch, Secretary, FCC, WT Docket No. 22-212 (filed Oct. 21, 2024).</w:t>
      </w:r>
    </w:p>
  </w:footnote>
  <w:footnote w:id="4">
    <w:p w:rsidR="0011491F" w:rsidRPr="00A44A57" w:rsidP="0011491F" w14:paraId="2C749A08" w14:textId="77777777">
      <w:pPr>
        <w:pStyle w:val="FootnoteText"/>
      </w:pPr>
      <w:r w:rsidRPr="0011491F">
        <w:rPr>
          <w:rStyle w:val="FootnoteReference"/>
        </w:rPr>
        <w:footnoteRef/>
      </w:r>
      <w:r>
        <w:t xml:space="preserve"> The Extension Request was filed in ULS on September 17, 2024 (Lead call signs and associated ULS File Nos. </w:t>
      </w:r>
      <w:r w:rsidRPr="00986859">
        <w:rPr>
          <w:spacing w:val="-2"/>
        </w:rPr>
        <w:t>WQXK340</w:t>
      </w:r>
      <w:r>
        <w:rPr>
          <w:spacing w:val="-2"/>
        </w:rPr>
        <w:t xml:space="preserve"> (ULS File No. </w:t>
      </w:r>
      <w:r w:rsidRPr="00856843">
        <w:rPr>
          <w:spacing w:val="-2"/>
        </w:rPr>
        <w:t>0011244477</w:t>
      </w:r>
      <w:r>
        <w:rPr>
          <w:spacing w:val="-2"/>
        </w:rPr>
        <w:t>),</w:t>
      </w:r>
      <w:r w:rsidRPr="00986859">
        <w:rPr>
          <w:spacing w:val="-2"/>
        </w:rPr>
        <w:t xml:space="preserve"> WQTX200</w:t>
      </w:r>
      <w:r>
        <w:rPr>
          <w:spacing w:val="-2"/>
        </w:rPr>
        <w:t xml:space="preserve"> (ULS File No. </w:t>
      </w:r>
      <w:r w:rsidRPr="00CA6A25">
        <w:rPr>
          <w:spacing w:val="-2"/>
        </w:rPr>
        <w:t>0011245219</w:t>
      </w:r>
      <w:r>
        <w:rPr>
          <w:spacing w:val="-2"/>
        </w:rPr>
        <w:t>)</w:t>
      </w:r>
      <w:r w:rsidRPr="00986859">
        <w:rPr>
          <w:spacing w:val="-2"/>
        </w:rPr>
        <w:t>, T070272001</w:t>
      </w:r>
      <w:r>
        <w:rPr>
          <w:spacing w:val="-2"/>
        </w:rPr>
        <w:t xml:space="preserve"> (ULS File No. </w:t>
      </w:r>
      <w:r w:rsidRPr="00C91BD3">
        <w:rPr>
          <w:spacing w:val="-2"/>
        </w:rPr>
        <w:t>0011245488</w:t>
      </w:r>
      <w:r>
        <w:rPr>
          <w:spacing w:val="-2"/>
        </w:rPr>
        <w:t>)</w:t>
      </w:r>
      <w:r w:rsidRPr="00986859">
        <w:rPr>
          <w:spacing w:val="-2"/>
        </w:rPr>
        <w:t>, T060430001</w:t>
      </w:r>
      <w:r>
        <w:rPr>
          <w:spacing w:val="-2"/>
        </w:rPr>
        <w:t xml:space="preserve"> (ULS File No. </w:t>
      </w:r>
      <w:r w:rsidRPr="00E30E0C">
        <w:rPr>
          <w:spacing w:val="-2"/>
        </w:rPr>
        <w:t>0011245357</w:t>
      </w:r>
      <w:r>
        <w:rPr>
          <w:spacing w:val="-2"/>
        </w:rPr>
        <w:t>)</w:t>
      </w:r>
      <w:r w:rsidRPr="00986859">
        <w:rPr>
          <w:spacing w:val="-2"/>
        </w:rPr>
        <w:t>, WQJY944</w:t>
      </w:r>
      <w:r>
        <w:rPr>
          <w:spacing w:val="-2"/>
        </w:rPr>
        <w:t xml:space="preserve"> (ULS File No. </w:t>
      </w:r>
      <w:r w:rsidRPr="000F7814">
        <w:rPr>
          <w:spacing w:val="-2"/>
        </w:rPr>
        <w:t>0011245624</w:t>
      </w:r>
      <w:r>
        <w:rPr>
          <w:spacing w:val="-2"/>
        </w:rPr>
        <w:t>)</w:t>
      </w:r>
      <w:r w:rsidRPr="00986859">
        <w:rPr>
          <w:spacing w:val="-2"/>
        </w:rPr>
        <w:t>, WQWQ558</w:t>
      </w:r>
      <w:r>
        <w:rPr>
          <w:spacing w:val="-2"/>
        </w:rPr>
        <w:t xml:space="preserve"> (ULS File No. </w:t>
      </w:r>
      <w:r w:rsidRPr="00990CAA">
        <w:rPr>
          <w:spacing w:val="-2"/>
        </w:rPr>
        <w:t>0011244682</w:t>
      </w:r>
      <w:r>
        <w:rPr>
          <w:spacing w:val="-2"/>
        </w:rPr>
        <w:t>)</w:t>
      </w:r>
      <w:r w:rsidRPr="00986859">
        <w:rPr>
          <w:spacing w:val="-2"/>
        </w:rPr>
        <w:t>, WQWQ819</w:t>
      </w:r>
      <w:r>
        <w:rPr>
          <w:spacing w:val="-2"/>
        </w:rPr>
        <w:t xml:space="preserve"> (ULS File No. </w:t>
      </w:r>
      <w:r w:rsidRPr="00D63D57">
        <w:rPr>
          <w:spacing w:val="-2"/>
        </w:rPr>
        <w:t>0011244484</w:t>
      </w:r>
      <w:r>
        <w:rPr>
          <w:spacing w:val="-2"/>
        </w:rPr>
        <w:t xml:space="preserve">)).  </w:t>
      </w:r>
      <w:r>
        <w:rPr>
          <w:i/>
          <w:iCs/>
        </w:rPr>
        <w:t>See, e.g.</w:t>
      </w:r>
      <w:r>
        <w:t>,</w:t>
      </w:r>
      <w:r>
        <w:rPr>
          <w:i/>
          <w:iCs/>
        </w:rPr>
        <w:t xml:space="preserve"> </w:t>
      </w:r>
      <w:r w:rsidRPr="00B33CAD">
        <w:t>Request for Extension of Time</w:t>
      </w:r>
      <w:r>
        <w:t xml:space="preserve">, </w:t>
      </w:r>
      <w:r>
        <w:rPr>
          <w:spacing w:val="-2"/>
        </w:rPr>
        <w:t xml:space="preserve">ULS File No. </w:t>
      </w:r>
      <w:r w:rsidRPr="00856843">
        <w:rPr>
          <w:spacing w:val="-2"/>
        </w:rPr>
        <w:t>0011244477</w:t>
      </w:r>
      <w:r>
        <w:rPr>
          <w:spacing w:val="-2"/>
        </w:rPr>
        <w:t xml:space="preserve">, Exhibit 1 (filed Sept. 17, 2024) (Extension Request).  A courtesy copy was also filed in </w:t>
      </w:r>
      <w:r w:rsidRPr="00CA3985">
        <w:t>W</w:t>
      </w:r>
      <w:r>
        <w:t>T</w:t>
      </w:r>
      <w:r w:rsidRPr="00CA3985">
        <w:t xml:space="preserve"> Docket No. </w:t>
      </w:r>
      <w:r>
        <w:t xml:space="preserve">22-212.  </w:t>
      </w:r>
      <w:r>
        <w:rPr>
          <w:i/>
          <w:iCs/>
          <w:spacing w:val="-2"/>
        </w:rPr>
        <w:t xml:space="preserve">See </w:t>
      </w:r>
      <w:r w:rsidRPr="005E6E5F">
        <w:t>Letter</w:t>
      </w:r>
      <w:r w:rsidRPr="00CA3985">
        <w:t xml:space="preserve"> from </w:t>
      </w:r>
      <w:r>
        <w:t>Jeffrey H. Blum, Executive</w:t>
      </w:r>
      <w:r w:rsidRPr="00CA3985">
        <w:t xml:space="preserve"> Vice President, </w:t>
      </w:r>
      <w:r>
        <w:t>DISH</w:t>
      </w:r>
      <w:r w:rsidRPr="00CA3985">
        <w:t>, to Marlene H. Dortch, Secretary, FCC</w:t>
      </w:r>
      <w:r>
        <w:t xml:space="preserve">, WT Docket No. 22-212 </w:t>
      </w:r>
      <w:r w:rsidRPr="00CA3985">
        <w:t xml:space="preserve">(filed </w:t>
      </w:r>
      <w:r>
        <w:t>Sept</w:t>
      </w:r>
      <w:r w:rsidRPr="00CA3985">
        <w:t>. 1</w:t>
      </w:r>
      <w:r>
        <w:t>8</w:t>
      </w:r>
      <w:r w:rsidRPr="00CA3985">
        <w:t>, 20</w:t>
      </w:r>
      <w:r>
        <w:t>24</w:t>
      </w:r>
      <w:r w:rsidRPr="00CA3985">
        <w:t>) (</w:t>
      </w:r>
      <w:r>
        <w:t>Extension Request</w:t>
      </w:r>
      <w:r w:rsidRPr="00CA3985">
        <w:t xml:space="preserve">). </w:t>
      </w:r>
    </w:p>
  </w:footnote>
  <w:footnote w:id="5">
    <w:p w:rsidR="0011491F" w:rsidP="0011491F" w14:paraId="1045F0F6" w14:textId="77777777">
      <w:pPr>
        <w:pStyle w:val="FootnoteText"/>
      </w:pPr>
      <w:r w:rsidRPr="0011491F">
        <w:rPr>
          <w:rStyle w:val="FootnoteReference"/>
        </w:rPr>
        <w:footnoteRef/>
      </w:r>
      <w:r>
        <w:t xml:space="preserve"> </w:t>
      </w:r>
      <w:r>
        <w:rPr>
          <w:i/>
          <w:iCs/>
        </w:rPr>
        <w:t xml:space="preserve">See generally </w:t>
      </w:r>
      <w:r>
        <w:t>VTel</w:t>
      </w:r>
      <w:r>
        <w:t xml:space="preserve"> Petition.</w:t>
      </w:r>
    </w:p>
  </w:footnote>
  <w:footnote w:id="6">
    <w:p w:rsidR="0011491F" w:rsidP="0011491F" w14:paraId="6639CEDA" w14:textId="7F641821">
      <w:pPr>
        <w:pStyle w:val="FootnoteText"/>
      </w:pPr>
      <w:r w:rsidRPr="0011491F">
        <w:rPr>
          <w:rStyle w:val="FootnoteReference"/>
        </w:rPr>
        <w:footnoteRef/>
      </w:r>
      <w:r>
        <w:t xml:space="preserve"> </w:t>
      </w:r>
      <w:r>
        <w:t>VTel</w:t>
      </w:r>
      <w:r>
        <w:t xml:space="preserve"> Petition at 7</w:t>
      </w:r>
      <w:r w:rsidR="00757732">
        <w:t>–</w:t>
      </w:r>
      <w:r>
        <w:t>14.</w:t>
      </w:r>
    </w:p>
  </w:footnote>
  <w:footnote w:id="7">
    <w:p w:rsidR="0011491F" w:rsidP="0011491F" w14:paraId="52C177F5" w14:textId="77777777">
      <w:pPr>
        <w:pStyle w:val="FootnoteText"/>
      </w:pPr>
      <w:r w:rsidRPr="0011491F">
        <w:rPr>
          <w:rStyle w:val="FootnoteReference"/>
        </w:rPr>
        <w:footnoteRef/>
      </w:r>
      <w:r>
        <w:t xml:space="preserve"> </w:t>
      </w:r>
      <w:r>
        <w:t>VTel</w:t>
      </w:r>
      <w:r>
        <w:t xml:space="preserve"> Petition at 8.</w:t>
      </w:r>
    </w:p>
  </w:footnote>
  <w:footnote w:id="8">
    <w:p w:rsidR="0011491F" w:rsidP="0011491F" w14:paraId="6323C805" w14:textId="77777777">
      <w:pPr>
        <w:pStyle w:val="FootnoteText"/>
      </w:pPr>
      <w:r w:rsidRPr="0011491F">
        <w:rPr>
          <w:rStyle w:val="FootnoteReference"/>
        </w:rPr>
        <w:footnoteRef/>
      </w:r>
      <w:r>
        <w:t xml:space="preserve"> </w:t>
      </w:r>
      <w:r>
        <w:t>VTel</w:t>
      </w:r>
      <w:r>
        <w:t xml:space="preserve"> Petition at 8.</w:t>
      </w:r>
    </w:p>
  </w:footnote>
  <w:footnote w:id="9">
    <w:p w:rsidR="0011491F" w:rsidP="0011491F" w14:paraId="6EBD55BC" w14:textId="6D808F5F">
      <w:pPr>
        <w:pStyle w:val="FootnoteText"/>
      </w:pPr>
      <w:r w:rsidRPr="0011491F">
        <w:rPr>
          <w:rStyle w:val="FootnoteReference"/>
        </w:rPr>
        <w:footnoteRef/>
      </w:r>
      <w:r>
        <w:t xml:space="preserve"> </w:t>
      </w:r>
      <w:r>
        <w:t>VTel</w:t>
      </w:r>
      <w:r>
        <w:t xml:space="preserve"> Petition at 8</w:t>
      </w:r>
      <w:r w:rsidR="00757732">
        <w:t>–</w:t>
      </w:r>
      <w:r>
        <w:t>9.</w:t>
      </w:r>
    </w:p>
  </w:footnote>
  <w:footnote w:id="10">
    <w:p w:rsidR="0011491F" w:rsidRPr="00DC5DAF" w:rsidP="0011491F" w14:paraId="708EF90B" w14:textId="423032CC">
      <w:pPr>
        <w:pStyle w:val="FootnoteText"/>
      </w:pPr>
      <w:r w:rsidRPr="0011491F">
        <w:rPr>
          <w:rStyle w:val="FootnoteReference"/>
        </w:rPr>
        <w:footnoteRef/>
      </w:r>
      <w:r>
        <w:t xml:space="preserve"> </w:t>
      </w:r>
      <w:r w:rsidRPr="008E66CF">
        <w:rPr>
          <w:i/>
          <w:iCs/>
        </w:rPr>
        <w:t>See</w:t>
      </w:r>
      <w:r>
        <w:rPr>
          <w:i/>
          <w:iCs/>
        </w:rPr>
        <w:t xml:space="preserve"> </w:t>
      </w:r>
      <w:r w:rsidR="004C4880">
        <w:t>Echo</w:t>
      </w:r>
      <w:r w:rsidR="003741A9">
        <w:t>S</w:t>
      </w:r>
      <w:r w:rsidR="004C4880">
        <w:t xml:space="preserve">tar </w:t>
      </w:r>
      <w:r>
        <w:t>Opposition to Petition for Reconsideration at 19</w:t>
      </w:r>
      <w:r w:rsidR="00757732">
        <w:t>–</w:t>
      </w:r>
      <w:r>
        <w:t xml:space="preserve">23 (filed Oct. 31, 2024) (EchoStar Opposition).  EchoStar’s Opposition was filed both in ULS (Lead call signs and associated ULS File Nos. </w:t>
      </w:r>
      <w:r w:rsidRPr="00986859">
        <w:rPr>
          <w:spacing w:val="-2"/>
        </w:rPr>
        <w:t>WQXK340</w:t>
      </w:r>
      <w:r>
        <w:rPr>
          <w:spacing w:val="-2"/>
        </w:rPr>
        <w:t xml:space="preserve"> (ULS File No. </w:t>
      </w:r>
      <w:r w:rsidRPr="00856843">
        <w:rPr>
          <w:spacing w:val="-2"/>
        </w:rPr>
        <w:t>0011244477</w:t>
      </w:r>
      <w:r>
        <w:rPr>
          <w:spacing w:val="-2"/>
        </w:rPr>
        <w:t>),</w:t>
      </w:r>
      <w:r w:rsidRPr="00986859">
        <w:rPr>
          <w:spacing w:val="-2"/>
        </w:rPr>
        <w:t xml:space="preserve"> WQTX200</w:t>
      </w:r>
      <w:r>
        <w:rPr>
          <w:spacing w:val="-2"/>
        </w:rPr>
        <w:t xml:space="preserve"> (ULS File No. </w:t>
      </w:r>
      <w:r w:rsidRPr="00CA6A25">
        <w:rPr>
          <w:spacing w:val="-2"/>
        </w:rPr>
        <w:t>0011245219</w:t>
      </w:r>
      <w:r>
        <w:rPr>
          <w:spacing w:val="-2"/>
        </w:rPr>
        <w:t>)</w:t>
      </w:r>
      <w:r w:rsidRPr="00986859">
        <w:rPr>
          <w:spacing w:val="-2"/>
        </w:rPr>
        <w:t>, T070272001</w:t>
      </w:r>
      <w:r>
        <w:rPr>
          <w:spacing w:val="-2"/>
        </w:rPr>
        <w:t xml:space="preserve"> (ULS File No. </w:t>
      </w:r>
      <w:r w:rsidRPr="00C91BD3">
        <w:rPr>
          <w:spacing w:val="-2"/>
        </w:rPr>
        <w:t>0011245488</w:t>
      </w:r>
      <w:r>
        <w:rPr>
          <w:spacing w:val="-2"/>
        </w:rPr>
        <w:t>)</w:t>
      </w:r>
      <w:r w:rsidRPr="00986859">
        <w:rPr>
          <w:spacing w:val="-2"/>
        </w:rPr>
        <w:t>, T060430001</w:t>
      </w:r>
      <w:r>
        <w:rPr>
          <w:spacing w:val="-2"/>
        </w:rPr>
        <w:t xml:space="preserve"> (ULS File No. </w:t>
      </w:r>
      <w:r w:rsidRPr="00E30E0C">
        <w:rPr>
          <w:spacing w:val="-2"/>
        </w:rPr>
        <w:t>0011245357</w:t>
      </w:r>
      <w:r>
        <w:rPr>
          <w:spacing w:val="-2"/>
        </w:rPr>
        <w:t>)</w:t>
      </w:r>
      <w:r w:rsidRPr="00986859">
        <w:rPr>
          <w:spacing w:val="-2"/>
        </w:rPr>
        <w:t>, WQJY944</w:t>
      </w:r>
      <w:r>
        <w:rPr>
          <w:spacing w:val="-2"/>
        </w:rPr>
        <w:t xml:space="preserve"> (ULS File No. </w:t>
      </w:r>
      <w:r w:rsidRPr="000F7814">
        <w:rPr>
          <w:spacing w:val="-2"/>
        </w:rPr>
        <w:t>0011245624</w:t>
      </w:r>
      <w:r>
        <w:rPr>
          <w:spacing w:val="-2"/>
        </w:rPr>
        <w:t>)</w:t>
      </w:r>
      <w:r w:rsidRPr="00986859">
        <w:rPr>
          <w:spacing w:val="-2"/>
        </w:rPr>
        <w:t>, WQWQ558</w:t>
      </w:r>
      <w:r>
        <w:rPr>
          <w:spacing w:val="-2"/>
        </w:rPr>
        <w:t xml:space="preserve"> (ULS File No. </w:t>
      </w:r>
      <w:r w:rsidRPr="00990CAA">
        <w:rPr>
          <w:spacing w:val="-2"/>
        </w:rPr>
        <w:t>0011244682</w:t>
      </w:r>
      <w:r>
        <w:rPr>
          <w:spacing w:val="-2"/>
        </w:rPr>
        <w:t>)</w:t>
      </w:r>
      <w:r w:rsidRPr="00986859">
        <w:rPr>
          <w:spacing w:val="-2"/>
        </w:rPr>
        <w:t>, WQWQ819</w:t>
      </w:r>
      <w:r>
        <w:rPr>
          <w:spacing w:val="-2"/>
        </w:rPr>
        <w:t xml:space="preserve"> (ULS File No. </w:t>
      </w:r>
      <w:r w:rsidRPr="00D63D57">
        <w:rPr>
          <w:spacing w:val="-2"/>
        </w:rPr>
        <w:t>0011244484</w:t>
      </w:r>
      <w:r>
        <w:rPr>
          <w:spacing w:val="-2"/>
        </w:rPr>
        <w:t xml:space="preserve">)) and </w:t>
      </w:r>
      <w:r w:rsidRPr="00CA3985">
        <w:t>W</w:t>
      </w:r>
      <w:r>
        <w:t>T</w:t>
      </w:r>
      <w:r w:rsidRPr="00CA3985">
        <w:t xml:space="preserve"> Docket No. </w:t>
      </w:r>
      <w:r>
        <w:t xml:space="preserve">22-212.  </w:t>
      </w:r>
      <w:r>
        <w:rPr>
          <w:i/>
          <w:iCs/>
        </w:rPr>
        <w:t>See</w:t>
      </w:r>
      <w:r>
        <w:t xml:space="preserve"> </w:t>
      </w:r>
      <w:r w:rsidRPr="00CA3985">
        <w:t xml:space="preserve">Letter from </w:t>
      </w:r>
      <w:r>
        <w:t>Jeffrey H. Blum, Executive</w:t>
      </w:r>
      <w:r w:rsidRPr="00CA3985">
        <w:t xml:space="preserve"> Vice President, </w:t>
      </w:r>
      <w:r>
        <w:t>DISH</w:t>
      </w:r>
      <w:r w:rsidRPr="00CA3985">
        <w:t>, to Marlene H. Dortch, Secretary, FCC</w:t>
      </w:r>
      <w:r>
        <w:t>, WT Docket No. 22-212 (filed Oct. 31, 2024).</w:t>
      </w:r>
    </w:p>
  </w:footnote>
  <w:footnote w:id="11">
    <w:p w:rsidR="0011491F" w:rsidRPr="0017718A" w:rsidP="0011491F" w14:paraId="37F4FCA1" w14:textId="77777777">
      <w:pPr>
        <w:pStyle w:val="FootnoteText"/>
      </w:pPr>
      <w:r w:rsidRPr="0011491F">
        <w:rPr>
          <w:rStyle w:val="FootnoteReference"/>
        </w:rPr>
        <w:footnoteRef/>
      </w:r>
      <w:r>
        <w:t xml:space="preserve"> </w:t>
      </w:r>
      <w:r>
        <w:rPr>
          <w:i/>
        </w:rPr>
        <w:t>See, e.g.</w:t>
      </w:r>
      <w:r w:rsidRPr="000A266F">
        <w:rPr>
          <w:iCs/>
        </w:rPr>
        <w:t>,</w:t>
      </w:r>
      <w:r>
        <w:rPr>
          <w:i/>
        </w:rPr>
        <w:t xml:space="preserve"> </w:t>
      </w:r>
      <w:r w:rsidRPr="00F86961">
        <w:rPr>
          <w:i/>
        </w:rPr>
        <w:t>Applications of AT&amp;T Mobility Spectrum LLC</w:t>
      </w:r>
      <w:r>
        <w:t xml:space="preserve">, </w:t>
      </w:r>
      <w:r w:rsidRPr="00F86961">
        <w:t>Memorandum Opinion and Order</w:t>
      </w:r>
      <w:r>
        <w:rPr>
          <w:i/>
        </w:rPr>
        <w:t xml:space="preserve">, </w:t>
      </w:r>
      <w:r>
        <w:t xml:space="preserve">27 FCC </w:t>
      </w:r>
      <w:r>
        <w:t>Rcd</w:t>
      </w:r>
      <w:r>
        <w:t xml:space="preserve"> 16459, 16465, para. 16 (2012); </w:t>
      </w:r>
      <w:r w:rsidRPr="00F86961">
        <w:rPr>
          <w:i/>
        </w:rPr>
        <w:t>Wireless Co., L.P.</w:t>
      </w:r>
      <w:r>
        <w:t xml:space="preserve">, </w:t>
      </w:r>
      <w:r w:rsidRPr="00F86961">
        <w:t>Order</w:t>
      </w:r>
      <w:r>
        <w:t xml:space="preserve">, 10 FCC </w:t>
      </w:r>
      <w:r>
        <w:t>Rcd</w:t>
      </w:r>
      <w:r>
        <w:t xml:space="preserve"> 13233, 13235, para. 7 (WTB 1995) (</w:t>
      </w:r>
      <w:r>
        <w:rPr>
          <w:i/>
        </w:rPr>
        <w:t>Wireless Co</w:t>
      </w:r>
      <w:r>
        <w:t xml:space="preserve">.), </w:t>
      </w:r>
      <w:r w:rsidRPr="0061357B">
        <w:rPr>
          <w:i/>
        </w:rPr>
        <w:t>citing</w:t>
      </w:r>
      <w:r>
        <w:t xml:space="preserve"> </w:t>
      </w:r>
      <w:r>
        <w:rPr>
          <w:i/>
        </w:rPr>
        <w:t>Sierra Club v</w:t>
      </w:r>
      <w:r>
        <w:t xml:space="preserve">. </w:t>
      </w:r>
      <w:r w:rsidRPr="0017718A">
        <w:rPr>
          <w:i/>
        </w:rPr>
        <w:t>Morton</w:t>
      </w:r>
      <w:r>
        <w:t xml:space="preserve">, 405 U.S. 727, 733 (1972); </w:t>
      </w:r>
      <w:r>
        <w:rPr>
          <w:i/>
        </w:rPr>
        <w:t xml:space="preserve">see also New World Radio, Inc. v. FCC, </w:t>
      </w:r>
      <w:r>
        <w:t xml:space="preserve">294 F.3d 164 (D.C. Cir. 2002).  </w:t>
      </w:r>
      <w:r>
        <w:rPr>
          <w:i/>
        </w:rPr>
        <w:t>See generally</w:t>
      </w:r>
      <w:r>
        <w:t xml:space="preserve"> </w:t>
      </w:r>
      <w:r w:rsidRPr="0017718A">
        <w:rPr>
          <w:i/>
        </w:rPr>
        <w:t>T-Mobile License LLC, AT&amp;T Mobility Spectrum LLC, New Cingular Wireless PCS LLC</w:t>
      </w:r>
      <w:r>
        <w:t xml:space="preserve">, Memorandum Opinion and Order, 29 FCC </w:t>
      </w:r>
      <w:r>
        <w:t>Rcd</w:t>
      </w:r>
      <w:r>
        <w:t xml:space="preserve"> 6350, 6355, para. 12 (2014).</w:t>
      </w:r>
    </w:p>
  </w:footnote>
  <w:footnote w:id="12">
    <w:p w:rsidR="0011491F" w:rsidRPr="00FF5DC3" w:rsidP="0011491F" w14:paraId="4C8C7A0A" w14:textId="77777777">
      <w:pPr>
        <w:pStyle w:val="FootnoteText"/>
      </w:pPr>
      <w:r w:rsidRPr="0011491F">
        <w:rPr>
          <w:rStyle w:val="FootnoteReference"/>
        </w:rPr>
        <w:footnoteRef/>
      </w:r>
      <w:r>
        <w:t xml:space="preserve"> </w:t>
      </w:r>
      <w:r>
        <w:rPr>
          <w:i/>
        </w:rPr>
        <w:t>Conference Group, LLC v. FCC</w:t>
      </w:r>
      <w:r w:rsidRPr="00F75477">
        <w:rPr>
          <w:iCs/>
        </w:rPr>
        <w:t>,</w:t>
      </w:r>
      <w:r>
        <w:rPr>
          <w:i/>
        </w:rPr>
        <w:t xml:space="preserve"> </w:t>
      </w:r>
      <w:r>
        <w:t xml:space="preserve">720 F.3d 956 (D.C. Cir. 2013), </w:t>
      </w:r>
      <w:r>
        <w:rPr>
          <w:i/>
        </w:rPr>
        <w:t xml:space="preserve">quoting Lujan v. Defenders of Wildlife, </w:t>
      </w:r>
      <w:r>
        <w:t>504 U.S. 555, 560 (1992).</w:t>
      </w:r>
    </w:p>
  </w:footnote>
  <w:footnote w:id="13">
    <w:p w:rsidR="0011491F" w:rsidP="0011491F" w14:paraId="4432AB66" w14:textId="77777777">
      <w:pPr>
        <w:pStyle w:val="FootnoteText"/>
      </w:pPr>
      <w:r w:rsidRPr="0011491F">
        <w:rPr>
          <w:rStyle w:val="FootnoteReference"/>
        </w:rPr>
        <w:footnoteRef/>
      </w:r>
      <w:r>
        <w:t xml:space="preserve"> </w:t>
      </w:r>
      <w:r w:rsidRPr="00B019E9">
        <w:rPr>
          <w:i/>
          <w:iCs/>
        </w:rPr>
        <w:t>See</w:t>
      </w:r>
      <w:r>
        <w:t xml:space="preserve"> </w:t>
      </w:r>
      <w:r>
        <w:rPr>
          <w:i/>
        </w:rPr>
        <w:t>Clapper v. Amnesty International USA</w:t>
      </w:r>
      <w:r w:rsidRPr="00F848D4">
        <w:t>,</w:t>
      </w:r>
      <w:r>
        <w:rPr>
          <w:i/>
        </w:rPr>
        <w:t xml:space="preserve"> </w:t>
      </w:r>
      <w:r>
        <w:t>568 U.S. 398, 414 (2013).</w:t>
      </w:r>
    </w:p>
  </w:footnote>
  <w:footnote w:id="14">
    <w:p w:rsidR="0011491F" w:rsidP="0011491F" w14:paraId="66E632C2" w14:textId="77777777">
      <w:pPr>
        <w:pStyle w:val="FootnoteText"/>
      </w:pPr>
      <w:r>
        <w:rPr>
          <w:rStyle w:val="FootnoteReference"/>
        </w:rPr>
        <w:footnoteRef/>
      </w:r>
      <w:r>
        <w:t xml:space="preserve"> 47 CFR § 1.925.</w:t>
      </w:r>
    </w:p>
  </w:footnote>
  <w:footnote w:id="15">
    <w:p w:rsidR="0011491F" w:rsidRPr="00727430" w:rsidP="0011491F" w14:paraId="283619FD" w14:textId="1BA54E79">
      <w:pPr>
        <w:pStyle w:val="FootnoteText"/>
      </w:pPr>
      <w:r w:rsidRPr="0011491F">
        <w:rPr>
          <w:rStyle w:val="FootnoteReference"/>
        </w:rPr>
        <w:footnoteRef/>
      </w:r>
      <w:r>
        <w:t xml:space="preserve"> </w:t>
      </w:r>
      <w:r>
        <w:rPr>
          <w:i/>
          <w:iCs/>
        </w:rPr>
        <w:t xml:space="preserve">See </w:t>
      </w:r>
      <w:r>
        <w:t xml:space="preserve">47 CFR § 1.925; </w:t>
      </w:r>
      <w:r>
        <w:rPr>
          <w:i/>
          <w:iCs/>
        </w:rPr>
        <w:t>see also</w:t>
      </w:r>
      <w:r>
        <w:t xml:space="preserve"> EchoStar Opposition at 19</w:t>
      </w:r>
      <w:r w:rsidR="00757732">
        <w:t>–</w:t>
      </w:r>
      <w:r>
        <w:t>20.</w:t>
      </w:r>
    </w:p>
  </w:footnote>
  <w:footnote w:id="16">
    <w:p w:rsidR="0011491F" w:rsidP="0011491F" w14:paraId="3E8FCCC3" w14:textId="628B10AD">
      <w:pPr>
        <w:pStyle w:val="FootnoteText"/>
      </w:pPr>
      <w:r>
        <w:rPr>
          <w:rStyle w:val="FootnoteReference"/>
        </w:rPr>
        <w:footnoteRef/>
      </w:r>
      <w:r>
        <w:t xml:space="preserve"> Further, all extension requests are evaluated under the same standard. </w:t>
      </w:r>
      <w:r>
        <w:rPr>
          <w:i/>
          <w:iCs/>
        </w:rPr>
        <w:t xml:space="preserve"> See </w:t>
      </w:r>
      <w:r>
        <w:t xml:space="preserve">47 CFR §§ 1.946(e), 1.925(b)(3).  This universally applicable review standard is a sharp contrast to </w:t>
      </w:r>
      <w:r w:rsidRPr="00FE25BA">
        <w:rPr>
          <w:i/>
          <w:iCs/>
        </w:rPr>
        <w:t>U.S. Airwaves v</w:t>
      </w:r>
      <w:r>
        <w:rPr>
          <w:i/>
          <w:iCs/>
        </w:rPr>
        <w:t>.</w:t>
      </w:r>
      <w:r w:rsidRPr="00FE25BA">
        <w:rPr>
          <w:i/>
          <w:iCs/>
        </w:rPr>
        <w:t xml:space="preserve"> FCC</w:t>
      </w:r>
      <w:r>
        <w:t xml:space="preserve">, which concerned a change to the financial options offered to auction participants at the time of the auction.  The new financial options were available only to the winning bidders, retroactively depriving the other participants of the ability to factor those options into their auction decision-making.  </w:t>
      </w:r>
      <w:r>
        <w:rPr>
          <w:i/>
          <w:iCs/>
        </w:rPr>
        <w:t>See U</w:t>
      </w:r>
      <w:r w:rsidRPr="00680711">
        <w:rPr>
          <w:i/>
          <w:iCs/>
        </w:rPr>
        <w:t>.S. Airwaves v.</w:t>
      </w:r>
      <w:r>
        <w:t xml:space="preserve"> </w:t>
      </w:r>
      <w:r w:rsidRPr="00680711">
        <w:rPr>
          <w:i/>
          <w:iCs/>
        </w:rPr>
        <w:t>FCC</w:t>
      </w:r>
      <w:r w:rsidRPr="00680711">
        <w:t>, 232 F.3d 227 (D.C. Cir. 2000)</w:t>
      </w:r>
      <w:r>
        <w:t xml:space="preserve">.  Here, </w:t>
      </w:r>
      <w:r>
        <w:t>VTel</w:t>
      </w:r>
      <w:r>
        <w:t xml:space="preserve"> has not been deprived of any options for fulfilling its construction requirements, nor has EchoStar been offered options unavailable to </w:t>
      </w:r>
      <w:r>
        <w:t>VTel</w:t>
      </w:r>
      <w:r>
        <w:t>, including at the time of the auction.</w:t>
      </w:r>
    </w:p>
  </w:footnote>
  <w:footnote w:id="17">
    <w:p w:rsidR="0011491F" w:rsidP="0011491F" w14:paraId="2DAF241E" w14:textId="7DCFEAA5">
      <w:pPr>
        <w:pStyle w:val="FootnoteText"/>
      </w:pPr>
      <w:r>
        <w:rPr>
          <w:rStyle w:val="FootnoteReference"/>
        </w:rPr>
        <w:footnoteRef/>
      </w:r>
      <w:r>
        <w:t xml:space="preserve"> </w:t>
      </w:r>
      <w:r>
        <w:t>VTel</w:t>
      </w:r>
      <w:r>
        <w:t xml:space="preserve"> Petition at 8</w:t>
      </w:r>
      <w:r w:rsidR="00757732">
        <w:t>–</w:t>
      </w:r>
      <w:r>
        <w:t>9.</w:t>
      </w:r>
    </w:p>
  </w:footnote>
  <w:footnote w:id="18">
    <w:p w:rsidR="0011491F" w:rsidRPr="00074F22" w:rsidP="0011491F" w14:paraId="33094D1E" w14:textId="6C5B8C1B">
      <w:pPr>
        <w:pStyle w:val="FootnoteText"/>
        <w:tabs>
          <w:tab w:val="left" w:pos="2890"/>
        </w:tabs>
      </w:pPr>
      <w:r w:rsidRPr="0011491F">
        <w:rPr>
          <w:rStyle w:val="FootnoteReference"/>
        </w:rPr>
        <w:footnoteRef/>
      </w:r>
      <w:r>
        <w:t xml:space="preserve"> </w:t>
      </w:r>
      <w:r>
        <w:t>VTel</w:t>
      </w:r>
      <w:r>
        <w:t xml:space="preserve"> does not even allege, for example, that the grant of the Extension Request interrupted previously ongoing roaming negotiations.  </w:t>
      </w:r>
      <w:r>
        <w:rPr>
          <w:i/>
          <w:iCs/>
        </w:rPr>
        <w:t>See</w:t>
      </w:r>
      <w:r>
        <w:t xml:space="preserve"> </w:t>
      </w:r>
      <w:r>
        <w:t>VTel</w:t>
      </w:r>
      <w:r>
        <w:t xml:space="preserve"> Petition at 8</w:t>
      </w:r>
      <w:r w:rsidR="00757732">
        <w:t>–</w:t>
      </w:r>
      <w:r>
        <w:t>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CE67E7E" w14:textId="7621FF76">
    <w:pPr>
      <w:pStyle w:val="Header"/>
      <w:rPr>
        <w:b w:val="0"/>
      </w:rPr>
    </w:pPr>
    <w:r>
      <w:tab/>
      <w:t>Federal Communications Commission</w:t>
    </w:r>
    <w:r>
      <w:tab/>
    </w:r>
    <w:r w:rsidR="00C43D3F">
      <w:t xml:space="preserve">DA </w:t>
    </w:r>
    <w:r w:rsidRPr="005F15B0" w:rsidR="005F15B0">
      <w:t>26-469</w:t>
    </w:r>
  </w:p>
  <w:p w:rsidR="00D25FB5" w14:paraId="118FA25C" w14:textId="2CB5EB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4E545D31"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68D8E217" w14:textId="65A715EC">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C43D3F">
      <w:t xml:space="preserve">DA </w:t>
    </w:r>
    <w:r w:rsidRPr="005F15B0" w:rsidR="005F15B0">
      <w:t>26-469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841385711">
    <w:abstractNumId w:val="1"/>
  </w:num>
  <w:num w:numId="2" w16cid:durableId="627471489">
    <w:abstractNumId w:val="5"/>
  </w:num>
  <w:num w:numId="3" w16cid:durableId="1537429322">
    <w:abstractNumId w:val="3"/>
  </w:num>
  <w:num w:numId="4" w16cid:durableId="88158391">
    <w:abstractNumId w:val="4"/>
  </w:num>
  <w:num w:numId="5" w16cid:durableId="685061058">
    <w:abstractNumId w:val="2"/>
  </w:num>
  <w:num w:numId="6" w16cid:durableId="13777045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bordersDoNotSurroundHeader/>
  <w:bordersDoNotSurroundFooter/>
  <w:proofState w:spelling="clean"/>
  <w:formsDesig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91F"/>
    <w:rsid w:val="00036039"/>
    <w:rsid w:val="00037F90"/>
    <w:rsid w:val="00071E01"/>
    <w:rsid w:val="00074F22"/>
    <w:rsid w:val="000875BF"/>
    <w:rsid w:val="00096D8C"/>
    <w:rsid w:val="000A266F"/>
    <w:rsid w:val="000B34B7"/>
    <w:rsid w:val="000C0B65"/>
    <w:rsid w:val="000E05FE"/>
    <w:rsid w:val="000E3D42"/>
    <w:rsid w:val="000F7814"/>
    <w:rsid w:val="0011491F"/>
    <w:rsid w:val="00122BD5"/>
    <w:rsid w:val="00133F79"/>
    <w:rsid w:val="0017296B"/>
    <w:rsid w:val="0017718A"/>
    <w:rsid w:val="00194A66"/>
    <w:rsid w:val="001D6BCF"/>
    <w:rsid w:val="001E01CA"/>
    <w:rsid w:val="0027152A"/>
    <w:rsid w:val="002725FC"/>
    <w:rsid w:val="00275CF5"/>
    <w:rsid w:val="0028301F"/>
    <w:rsid w:val="00285017"/>
    <w:rsid w:val="002A2D2E"/>
    <w:rsid w:val="002B7BCE"/>
    <w:rsid w:val="002C00E8"/>
    <w:rsid w:val="003349FD"/>
    <w:rsid w:val="00343749"/>
    <w:rsid w:val="003660ED"/>
    <w:rsid w:val="003741A9"/>
    <w:rsid w:val="00383A15"/>
    <w:rsid w:val="00394B27"/>
    <w:rsid w:val="003B0550"/>
    <w:rsid w:val="003B694F"/>
    <w:rsid w:val="003F171C"/>
    <w:rsid w:val="00412FC5"/>
    <w:rsid w:val="00422276"/>
    <w:rsid w:val="004242F1"/>
    <w:rsid w:val="00445A00"/>
    <w:rsid w:val="00447371"/>
    <w:rsid w:val="00451B0F"/>
    <w:rsid w:val="00473E8E"/>
    <w:rsid w:val="00482123"/>
    <w:rsid w:val="004C2EE3"/>
    <w:rsid w:val="004C4880"/>
    <w:rsid w:val="004C5228"/>
    <w:rsid w:val="004C75B2"/>
    <w:rsid w:val="004E4A22"/>
    <w:rsid w:val="004F06BD"/>
    <w:rsid w:val="00511968"/>
    <w:rsid w:val="00520DC8"/>
    <w:rsid w:val="0055614C"/>
    <w:rsid w:val="00563C56"/>
    <w:rsid w:val="00566D06"/>
    <w:rsid w:val="005E14C2"/>
    <w:rsid w:val="005E6E5F"/>
    <w:rsid w:val="005F15B0"/>
    <w:rsid w:val="0060628A"/>
    <w:rsid w:val="00607BA5"/>
    <w:rsid w:val="0061180A"/>
    <w:rsid w:val="0061357B"/>
    <w:rsid w:val="00626EB6"/>
    <w:rsid w:val="00655D03"/>
    <w:rsid w:val="00680711"/>
    <w:rsid w:val="00683388"/>
    <w:rsid w:val="00683F84"/>
    <w:rsid w:val="006A6A81"/>
    <w:rsid w:val="006D2D92"/>
    <w:rsid w:val="006F7393"/>
    <w:rsid w:val="0070224F"/>
    <w:rsid w:val="007115F7"/>
    <w:rsid w:val="00727430"/>
    <w:rsid w:val="00757732"/>
    <w:rsid w:val="00785689"/>
    <w:rsid w:val="0079754B"/>
    <w:rsid w:val="007A1E6D"/>
    <w:rsid w:val="007B0EB2"/>
    <w:rsid w:val="00810B6F"/>
    <w:rsid w:val="00822CE0"/>
    <w:rsid w:val="00841AB1"/>
    <w:rsid w:val="00856843"/>
    <w:rsid w:val="008B277D"/>
    <w:rsid w:val="008C68F1"/>
    <w:rsid w:val="008C697A"/>
    <w:rsid w:val="008E66CF"/>
    <w:rsid w:val="00921803"/>
    <w:rsid w:val="00926503"/>
    <w:rsid w:val="009726D8"/>
    <w:rsid w:val="00986859"/>
    <w:rsid w:val="00990CAA"/>
    <w:rsid w:val="009B44E7"/>
    <w:rsid w:val="009D7308"/>
    <w:rsid w:val="009F76DB"/>
    <w:rsid w:val="00A119BF"/>
    <w:rsid w:val="00A32C3B"/>
    <w:rsid w:val="00A44A57"/>
    <w:rsid w:val="00A45F4F"/>
    <w:rsid w:val="00A600A9"/>
    <w:rsid w:val="00A7008D"/>
    <w:rsid w:val="00AA55B7"/>
    <w:rsid w:val="00AA5B9E"/>
    <w:rsid w:val="00AB2407"/>
    <w:rsid w:val="00AB53DF"/>
    <w:rsid w:val="00AF65D6"/>
    <w:rsid w:val="00B019E9"/>
    <w:rsid w:val="00B07E5C"/>
    <w:rsid w:val="00B14DC7"/>
    <w:rsid w:val="00B33CAD"/>
    <w:rsid w:val="00B811F7"/>
    <w:rsid w:val="00B9297C"/>
    <w:rsid w:val="00B94BEF"/>
    <w:rsid w:val="00BA5DC6"/>
    <w:rsid w:val="00BA6196"/>
    <w:rsid w:val="00BC6D8C"/>
    <w:rsid w:val="00BD2255"/>
    <w:rsid w:val="00BD4084"/>
    <w:rsid w:val="00C200E7"/>
    <w:rsid w:val="00C34006"/>
    <w:rsid w:val="00C36B4C"/>
    <w:rsid w:val="00C426B1"/>
    <w:rsid w:val="00C43D3F"/>
    <w:rsid w:val="00C66160"/>
    <w:rsid w:val="00C721AC"/>
    <w:rsid w:val="00C83D3B"/>
    <w:rsid w:val="00C90D6A"/>
    <w:rsid w:val="00C91BD3"/>
    <w:rsid w:val="00CA247E"/>
    <w:rsid w:val="00CA3985"/>
    <w:rsid w:val="00CA6A25"/>
    <w:rsid w:val="00CA6D21"/>
    <w:rsid w:val="00CC72B6"/>
    <w:rsid w:val="00D0218D"/>
    <w:rsid w:val="00D25FB5"/>
    <w:rsid w:val="00D33B08"/>
    <w:rsid w:val="00D44223"/>
    <w:rsid w:val="00D63D57"/>
    <w:rsid w:val="00DA2529"/>
    <w:rsid w:val="00DB130A"/>
    <w:rsid w:val="00DB2EBB"/>
    <w:rsid w:val="00DC10A1"/>
    <w:rsid w:val="00DC5DAF"/>
    <w:rsid w:val="00DC655F"/>
    <w:rsid w:val="00DD0B59"/>
    <w:rsid w:val="00DD7EBD"/>
    <w:rsid w:val="00DF62B6"/>
    <w:rsid w:val="00E07225"/>
    <w:rsid w:val="00E30E0C"/>
    <w:rsid w:val="00E43127"/>
    <w:rsid w:val="00E5409F"/>
    <w:rsid w:val="00EE6488"/>
    <w:rsid w:val="00F021FA"/>
    <w:rsid w:val="00F62E97"/>
    <w:rsid w:val="00F64209"/>
    <w:rsid w:val="00F75477"/>
    <w:rsid w:val="00F848D4"/>
    <w:rsid w:val="00F86961"/>
    <w:rsid w:val="00F93BF5"/>
    <w:rsid w:val="00FC6FC8"/>
    <w:rsid w:val="00FE25BA"/>
    <w:rsid w:val="00FF5DC3"/>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02893D0B"/>
  <w15:chartTrackingRefBased/>
  <w15:docId w15:val="{C79271AB-4A3E-4071-B256-65E9D70920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D4084"/>
    <w:pPr>
      <w:widowControl w:val="0"/>
    </w:pPr>
    <w:rPr>
      <w:snapToGrid w:val="0"/>
      <w:kern w:val="28"/>
      <w:sz w:val="22"/>
    </w:rPr>
  </w:style>
  <w:style w:type="paragraph" w:styleId="Heading1">
    <w:name w:val="heading 1"/>
    <w:basedOn w:val="Normal"/>
    <w:next w:val="ParaNum"/>
    <w:link w:val="Heading1Char"/>
    <w:qFormat/>
    <w:rsid w:val="00BD4084"/>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BD4084"/>
    <w:pPr>
      <w:keepNext/>
      <w:numPr>
        <w:ilvl w:val="1"/>
        <w:numId w:val="3"/>
      </w:numPr>
      <w:spacing w:after="120"/>
      <w:outlineLvl w:val="1"/>
    </w:pPr>
    <w:rPr>
      <w:b/>
    </w:rPr>
  </w:style>
  <w:style w:type="paragraph" w:styleId="Heading3">
    <w:name w:val="heading 3"/>
    <w:basedOn w:val="Normal"/>
    <w:next w:val="ParaNum"/>
    <w:qFormat/>
    <w:rsid w:val="00BD4084"/>
    <w:pPr>
      <w:keepNext/>
      <w:numPr>
        <w:ilvl w:val="2"/>
        <w:numId w:val="3"/>
      </w:numPr>
      <w:tabs>
        <w:tab w:val="left" w:pos="2160"/>
      </w:tabs>
      <w:spacing w:after="120"/>
      <w:outlineLvl w:val="2"/>
    </w:pPr>
    <w:rPr>
      <w:b/>
    </w:rPr>
  </w:style>
  <w:style w:type="paragraph" w:styleId="Heading4">
    <w:name w:val="heading 4"/>
    <w:basedOn w:val="Normal"/>
    <w:next w:val="ParaNum"/>
    <w:qFormat/>
    <w:rsid w:val="00BD4084"/>
    <w:pPr>
      <w:keepNext/>
      <w:numPr>
        <w:ilvl w:val="3"/>
        <w:numId w:val="3"/>
      </w:numPr>
      <w:tabs>
        <w:tab w:val="left" w:pos="2880"/>
      </w:tabs>
      <w:spacing w:after="120"/>
      <w:outlineLvl w:val="3"/>
    </w:pPr>
    <w:rPr>
      <w:b/>
    </w:rPr>
  </w:style>
  <w:style w:type="paragraph" w:styleId="Heading5">
    <w:name w:val="heading 5"/>
    <w:basedOn w:val="Normal"/>
    <w:next w:val="ParaNum"/>
    <w:qFormat/>
    <w:rsid w:val="00BD4084"/>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BD4084"/>
    <w:pPr>
      <w:numPr>
        <w:ilvl w:val="5"/>
        <w:numId w:val="3"/>
      </w:numPr>
      <w:tabs>
        <w:tab w:val="left" w:pos="4320"/>
      </w:tabs>
      <w:spacing w:after="120"/>
      <w:outlineLvl w:val="5"/>
    </w:pPr>
    <w:rPr>
      <w:b/>
    </w:rPr>
  </w:style>
  <w:style w:type="paragraph" w:styleId="Heading7">
    <w:name w:val="heading 7"/>
    <w:basedOn w:val="Normal"/>
    <w:next w:val="ParaNum"/>
    <w:qFormat/>
    <w:rsid w:val="00BD4084"/>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BD4084"/>
    <w:pPr>
      <w:numPr>
        <w:ilvl w:val="7"/>
        <w:numId w:val="3"/>
      </w:numPr>
      <w:tabs>
        <w:tab w:val="clear" w:pos="5400"/>
        <w:tab w:val="left" w:pos="5760"/>
      </w:tabs>
      <w:spacing w:after="120"/>
      <w:ind w:left="5760" w:hanging="720"/>
      <w:outlineLvl w:val="7"/>
    </w:pPr>
    <w:rPr>
      <w:b/>
    </w:rPr>
  </w:style>
  <w:style w:type="paragraph" w:styleId="Heading9">
    <w:name w:val="heading 9"/>
    <w:aliases w:val="9,Heading 9.table,Titre 9,Topic,t,table"/>
    <w:basedOn w:val="Normal"/>
    <w:next w:val="ParaNum"/>
    <w:qFormat/>
    <w:rsid w:val="00BD4084"/>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BD4084"/>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BD4084"/>
  </w:style>
  <w:style w:type="paragraph" w:customStyle="1" w:styleId="ParaNum">
    <w:name w:val="ParaNum"/>
    <w:basedOn w:val="Normal"/>
    <w:link w:val="ParaNumChar1"/>
    <w:rsid w:val="00BD4084"/>
    <w:pPr>
      <w:numPr>
        <w:numId w:val="2"/>
      </w:numPr>
      <w:tabs>
        <w:tab w:val="clear" w:pos="1080"/>
        <w:tab w:val="num" w:pos="1440"/>
      </w:tabs>
      <w:spacing w:after="120"/>
    </w:pPr>
  </w:style>
  <w:style w:type="paragraph" w:styleId="EndnoteText">
    <w:name w:val="endnote text"/>
    <w:basedOn w:val="Normal"/>
    <w:semiHidden/>
    <w:rsid w:val="00BD4084"/>
    <w:rPr>
      <w:sz w:val="20"/>
    </w:rPr>
  </w:style>
  <w:style w:type="character" w:styleId="EndnoteReference">
    <w:name w:val="endnote reference"/>
    <w:semiHidden/>
    <w:rsid w:val="00BD4084"/>
    <w:rPr>
      <w:vertAlign w:val="superscript"/>
    </w:rPr>
  </w:style>
  <w:style w:type="paragraph" w:styleId="FootnoteText">
    <w:name w:val="footnote text"/>
    <w:aliases w:val="Char Char Char,Footnote Text Char Char,Footnote Text Char Char Char Char,Footnote Text Char Char Char Char Char1 Char,Footnote Text Char1,Footnote Text Char1 Char Char,Footnote Text Char1 Char Char Char1 Char,Footnote Text Char1 Char2,f,fn"/>
    <w:link w:val="FootnoteTextChar"/>
    <w:rsid w:val="00BD4084"/>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sid w:val="00BD4084"/>
    <w:rPr>
      <w:rFonts w:ascii="Times New Roman" w:hAnsi="Times New Roman"/>
      <w:dstrike w:val="0"/>
      <w:color w:val="auto"/>
      <w:sz w:val="20"/>
      <w:vertAlign w:val="superscript"/>
    </w:rPr>
  </w:style>
  <w:style w:type="paragraph" w:styleId="TOC1">
    <w:name w:val="toc 1"/>
    <w:basedOn w:val="Normal"/>
    <w:next w:val="Normal"/>
    <w:semiHidden/>
    <w:rsid w:val="00BD4084"/>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BD4084"/>
    <w:pPr>
      <w:tabs>
        <w:tab w:val="left" w:pos="720"/>
        <w:tab w:val="right" w:leader="dot" w:pos="9360"/>
      </w:tabs>
      <w:suppressAutoHyphens/>
      <w:ind w:left="720" w:right="720" w:hanging="360"/>
    </w:pPr>
    <w:rPr>
      <w:noProof/>
    </w:rPr>
  </w:style>
  <w:style w:type="paragraph" w:styleId="TOC3">
    <w:name w:val="toc 3"/>
    <w:basedOn w:val="Normal"/>
    <w:next w:val="Normal"/>
    <w:semiHidden/>
    <w:rsid w:val="00BD4084"/>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BD4084"/>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BD4084"/>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BD4084"/>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BD4084"/>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BD4084"/>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BD4084"/>
    <w:pPr>
      <w:tabs>
        <w:tab w:val="left" w:pos="3240"/>
        <w:tab w:val="right" w:leader="dot" w:pos="9360"/>
      </w:tabs>
      <w:suppressAutoHyphens/>
      <w:ind w:left="3240" w:hanging="360"/>
    </w:pPr>
    <w:rPr>
      <w:noProof/>
    </w:rPr>
  </w:style>
  <w:style w:type="paragraph" w:styleId="TOAHeading">
    <w:name w:val="toa heading"/>
    <w:basedOn w:val="Normal"/>
    <w:next w:val="Normal"/>
    <w:semiHidden/>
    <w:rsid w:val="00BD4084"/>
    <w:pPr>
      <w:tabs>
        <w:tab w:val="right" w:pos="9360"/>
      </w:tabs>
      <w:suppressAutoHyphens/>
    </w:pPr>
  </w:style>
  <w:style w:type="character" w:customStyle="1" w:styleId="EquationCaption">
    <w:name w:val="_Equation Caption"/>
    <w:rsid w:val="00BD4084"/>
  </w:style>
  <w:style w:type="paragraph" w:styleId="Header">
    <w:name w:val="header"/>
    <w:basedOn w:val="Normal"/>
    <w:autoRedefine/>
    <w:rsid w:val="00BD4084"/>
    <w:pPr>
      <w:tabs>
        <w:tab w:val="center" w:pos="4680"/>
        <w:tab w:val="right" w:pos="9360"/>
      </w:tabs>
    </w:pPr>
    <w:rPr>
      <w:b/>
    </w:rPr>
  </w:style>
  <w:style w:type="paragraph" w:styleId="Footer">
    <w:name w:val="footer"/>
    <w:basedOn w:val="Normal"/>
    <w:link w:val="FooterChar"/>
    <w:uiPriority w:val="99"/>
    <w:rsid w:val="00BD4084"/>
    <w:pPr>
      <w:tabs>
        <w:tab w:val="center" w:pos="4320"/>
        <w:tab w:val="right" w:pos="8640"/>
      </w:tabs>
    </w:pPr>
  </w:style>
  <w:style w:type="character" w:styleId="PageNumber">
    <w:name w:val="page number"/>
    <w:basedOn w:val="DefaultParagraphFont"/>
    <w:rsid w:val="00BD4084"/>
  </w:style>
  <w:style w:type="paragraph" w:styleId="BlockText">
    <w:name w:val="Block Text"/>
    <w:basedOn w:val="Normal"/>
    <w:rsid w:val="00BD4084"/>
    <w:pPr>
      <w:spacing w:after="240"/>
      <w:ind w:left="1440" w:right="1440"/>
    </w:pPr>
  </w:style>
  <w:style w:type="paragraph" w:customStyle="1" w:styleId="Paratitle">
    <w:name w:val="Para title"/>
    <w:basedOn w:val="Normal"/>
    <w:rsid w:val="00BD4084"/>
    <w:pPr>
      <w:tabs>
        <w:tab w:val="center" w:pos="9270"/>
      </w:tabs>
      <w:spacing w:after="240"/>
    </w:pPr>
    <w:rPr>
      <w:spacing w:val="-2"/>
    </w:rPr>
  </w:style>
  <w:style w:type="paragraph" w:customStyle="1" w:styleId="Bullet">
    <w:name w:val="Bullet"/>
    <w:basedOn w:val="Normal"/>
    <w:rsid w:val="00BD4084"/>
    <w:pPr>
      <w:tabs>
        <w:tab w:val="left" w:pos="2160"/>
      </w:tabs>
      <w:spacing w:after="220"/>
      <w:ind w:left="2160" w:hanging="720"/>
    </w:pPr>
  </w:style>
  <w:style w:type="paragraph" w:customStyle="1" w:styleId="TableFormat">
    <w:name w:val="TableFormat"/>
    <w:basedOn w:val="Bullet"/>
    <w:rsid w:val="00BD4084"/>
    <w:pPr>
      <w:tabs>
        <w:tab w:val="clear" w:pos="2160"/>
        <w:tab w:val="left" w:pos="5040"/>
      </w:tabs>
      <w:ind w:left="5040" w:hanging="3600"/>
    </w:pPr>
  </w:style>
  <w:style w:type="paragraph" w:customStyle="1" w:styleId="TOCTitle">
    <w:name w:val="TOC Title"/>
    <w:basedOn w:val="Normal"/>
    <w:rsid w:val="00BD4084"/>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BD4084"/>
    <w:pPr>
      <w:jc w:val="center"/>
    </w:pPr>
    <w:rPr>
      <w:rFonts w:ascii="Times New Roman Bold" w:hAnsi="Times New Roman Bold"/>
      <w:b/>
      <w:bCs/>
      <w:caps/>
      <w:szCs w:val="22"/>
    </w:rPr>
  </w:style>
  <w:style w:type="character" w:styleId="Hyperlink">
    <w:name w:val="Hyperlink"/>
    <w:rsid w:val="00BD4084"/>
    <w:rPr>
      <w:color w:val="0000FF"/>
      <w:u w:val="single"/>
    </w:rPr>
  </w:style>
  <w:style w:type="character" w:customStyle="1" w:styleId="FooterChar">
    <w:name w:val="Footer Char"/>
    <w:link w:val="Footer"/>
    <w:uiPriority w:val="99"/>
    <w:rsid w:val="00BD4084"/>
    <w:rPr>
      <w:snapToGrid w:val="0"/>
      <w:kern w:val="28"/>
      <w:sz w:val="22"/>
    </w:rPr>
  </w:style>
  <w:style w:type="character" w:customStyle="1" w:styleId="FootnoteTextChar">
    <w:name w:val="Footnote Text Char"/>
    <w:aliases w:val="Char Char Char Char,Footnote Text Char Char Char,Footnote Text Char Char Char Char Char,Footnote Text Char Char Char Char Char1 Char Char,Footnote Text Char1 Char,Footnote Text Char1 Char Char Char,Footnote Text Char1 Char2 Char"/>
    <w:link w:val="FootnoteText"/>
    <w:rsid w:val="0011491F"/>
  </w:style>
  <w:style w:type="character" w:customStyle="1" w:styleId="Heading1Char">
    <w:name w:val="Heading 1 Char"/>
    <w:link w:val="Heading1"/>
    <w:rsid w:val="0011491F"/>
    <w:rPr>
      <w:rFonts w:ascii="Times New Roman Bold" w:hAnsi="Times New Roman Bold"/>
      <w:b/>
      <w:caps/>
      <w:snapToGrid w:val="0"/>
      <w:kern w:val="28"/>
      <w:sz w:val="22"/>
    </w:rPr>
  </w:style>
  <w:style w:type="character" w:customStyle="1" w:styleId="ParaNumChar1">
    <w:name w:val="ParaNum Char1"/>
    <w:link w:val="ParaNum"/>
    <w:rsid w:val="0011491F"/>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