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4C2EE3" w14:paraId="3AB52480" w14:textId="77777777">
      <w:pPr>
        <w:jc w:val="center"/>
        <w:rPr>
          <w:b/>
        </w:rPr>
      </w:pPr>
      <w:r w:rsidRPr="0070224F">
        <w:rPr>
          <w:rFonts w:ascii="Times New Roman Bold" w:hAnsi="Times New Roman Bold"/>
          <w:b/>
          <w:kern w:val="0"/>
          <w:szCs w:val="22"/>
        </w:rPr>
        <w:t>Before</w:t>
      </w:r>
      <w:r>
        <w:rPr>
          <w:b/>
        </w:rPr>
        <w:t xml:space="preserve"> the</w:t>
      </w:r>
    </w:p>
    <w:p w:rsidR="00921803" w:rsidP="00921803" w14:paraId="5246057C" w14:textId="77777777">
      <w:pPr>
        <w:pStyle w:val="StyleBoldCentered"/>
      </w:pPr>
      <w:r>
        <w:t>F</w:t>
      </w:r>
      <w:r>
        <w:rPr>
          <w:caps w:val="0"/>
        </w:rPr>
        <w:t>ederal Communications Commission</w:t>
      </w:r>
    </w:p>
    <w:p w:rsidR="004C2EE3" w:rsidP="00096D8C" w14:paraId="634D4EB8" w14:textId="77777777">
      <w:pPr>
        <w:pStyle w:val="StyleBoldCentered"/>
      </w:pPr>
      <w:r>
        <w:rPr>
          <w:caps w:val="0"/>
        </w:rPr>
        <w:t>Washington, D.C. 20554</w:t>
      </w:r>
    </w:p>
    <w:p w:rsidR="004C2EE3" w:rsidP="0070224F" w14:paraId="27D1DF88" w14:textId="77777777"/>
    <w:p w:rsidR="004C2EE3" w:rsidP="0070224F" w14:paraId="39793375" w14:textId="77777777"/>
    <w:tbl>
      <w:tblPr>
        <w:tblW w:w="0" w:type="auto"/>
        <w:tblLayout w:type="fixed"/>
        <w:tblLook w:val="0000"/>
      </w:tblPr>
      <w:tblGrid>
        <w:gridCol w:w="4698"/>
        <w:gridCol w:w="630"/>
        <w:gridCol w:w="4248"/>
      </w:tblGrid>
      <w:tr w14:paraId="603D0754" w14:textId="77777777">
        <w:tblPrEx>
          <w:tblW w:w="0" w:type="auto"/>
          <w:tblLayout w:type="fixed"/>
          <w:tblLook w:val="0000"/>
        </w:tblPrEx>
        <w:tc>
          <w:tcPr>
            <w:tcW w:w="4698" w:type="dxa"/>
          </w:tcPr>
          <w:p w:rsidR="004C2EE3" w14:paraId="79B7DB2E" w14:textId="77777777">
            <w:pPr>
              <w:tabs>
                <w:tab w:val="center" w:pos="4680"/>
              </w:tabs>
              <w:suppressAutoHyphens/>
              <w:rPr>
                <w:spacing w:val="-2"/>
              </w:rPr>
            </w:pPr>
            <w:r>
              <w:rPr>
                <w:spacing w:val="-2"/>
              </w:rPr>
              <w:t>In the Matter of</w:t>
            </w:r>
          </w:p>
          <w:p w:rsidR="004C2EE3" w14:paraId="1D605F16" w14:textId="77777777">
            <w:pPr>
              <w:tabs>
                <w:tab w:val="center" w:pos="4680"/>
              </w:tabs>
              <w:suppressAutoHyphens/>
              <w:rPr>
                <w:spacing w:val="-2"/>
              </w:rPr>
            </w:pPr>
          </w:p>
          <w:p w:rsidR="00A21901" w:rsidP="00A21901" w14:paraId="556EF701" w14:textId="628C6D39">
            <w:pPr>
              <w:tabs>
                <w:tab w:val="center" w:pos="4680"/>
              </w:tabs>
              <w:suppressAutoHyphens/>
              <w:rPr>
                <w:spacing w:val="-2"/>
              </w:rPr>
            </w:pPr>
            <w:r>
              <w:rPr>
                <w:spacing w:val="-2"/>
              </w:rPr>
              <w:t>July 1, 2026</w:t>
            </w:r>
          </w:p>
          <w:p w:rsidR="004C2EE3" w:rsidRPr="007115F7" w:rsidP="00A21901" w14:paraId="152C8DB6" w14:textId="1D06B79C">
            <w:pPr>
              <w:tabs>
                <w:tab w:val="center" w:pos="4680"/>
              </w:tabs>
              <w:suppressAutoHyphens/>
              <w:rPr>
                <w:spacing w:val="-2"/>
              </w:rPr>
            </w:pPr>
            <w:r>
              <w:rPr>
                <w:spacing w:val="-2"/>
              </w:rPr>
              <w:t>Annual Access Charge Tariff Filings</w:t>
            </w:r>
          </w:p>
        </w:tc>
        <w:tc>
          <w:tcPr>
            <w:tcW w:w="630" w:type="dxa"/>
          </w:tcPr>
          <w:p w:rsidR="004C2EE3" w14:paraId="694533DD" w14:textId="77777777">
            <w:pPr>
              <w:tabs>
                <w:tab w:val="center" w:pos="4680"/>
              </w:tabs>
              <w:suppressAutoHyphens/>
              <w:rPr>
                <w:b/>
                <w:spacing w:val="-2"/>
              </w:rPr>
            </w:pPr>
            <w:r>
              <w:rPr>
                <w:b/>
                <w:spacing w:val="-2"/>
              </w:rPr>
              <w:t>)</w:t>
            </w:r>
          </w:p>
          <w:p w:rsidR="004C2EE3" w14:paraId="1EE3A0B2" w14:textId="77777777">
            <w:pPr>
              <w:tabs>
                <w:tab w:val="center" w:pos="4680"/>
              </w:tabs>
              <w:suppressAutoHyphens/>
              <w:rPr>
                <w:b/>
                <w:spacing w:val="-2"/>
              </w:rPr>
            </w:pPr>
            <w:r>
              <w:rPr>
                <w:b/>
                <w:spacing w:val="-2"/>
              </w:rPr>
              <w:t>)</w:t>
            </w:r>
          </w:p>
          <w:p w:rsidR="004C2EE3" w14:paraId="1D98865C" w14:textId="77777777">
            <w:pPr>
              <w:tabs>
                <w:tab w:val="center" w:pos="4680"/>
              </w:tabs>
              <w:suppressAutoHyphens/>
              <w:rPr>
                <w:b/>
                <w:spacing w:val="-2"/>
              </w:rPr>
            </w:pPr>
            <w:r>
              <w:rPr>
                <w:b/>
                <w:spacing w:val="-2"/>
              </w:rPr>
              <w:t>)</w:t>
            </w:r>
          </w:p>
          <w:p w:rsidR="004C2EE3" w14:paraId="38DC1211" w14:textId="2619E878">
            <w:pPr>
              <w:tabs>
                <w:tab w:val="center" w:pos="4680"/>
              </w:tabs>
              <w:suppressAutoHyphens/>
              <w:rPr>
                <w:b/>
                <w:spacing w:val="-2"/>
              </w:rPr>
            </w:pPr>
            <w:r>
              <w:rPr>
                <w:b/>
                <w:spacing w:val="-2"/>
              </w:rPr>
              <w:t>)</w:t>
            </w:r>
          </w:p>
          <w:p w:rsidR="004C2EE3" w:rsidRPr="00A21901" w14:paraId="2248D853" w14:textId="24DC2B3D">
            <w:pPr>
              <w:tabs>
                <w:tab w:val="center" w:pos="4680"/>
              </w:tabs>
              <w:suppressAutoHyphens/>
              <w:rPr>
                <w:b/>
                <w:spacing w:val="-2"/>
              </w:rPr>
            </w:pPr>
          </w:p>
        </w:tc>
        <w:tc>
          <w:tcPr>
            <w:tcW w:w="4248" w:type="dxa"/>
          </w:tcPr>
          <w:p w:rsidR="004C2EE3" w14:paraId="5F9FB0E8" w14:textId="77777777">
            <w:pPr>
              <w:tabs>
                <w:tab w:val="center" w:pos="4680"/>
              </w:tabs>
              <w:suppressAutoHyphens/>
              <w:rPr>
                <w:spacing w:val="-2"/>
              </w:rPr>
            </w:pPr>
          </w:p>
          <w:p w:rsidR="004C2EE3" w14:paraId="0C529C6F" w14:textId="77777777">
            <w:pPr>
              <w:pStyle w:val="TOAHeading"/>
              <w:tabs>
                <w:tab w:val="center" w:pos="4680"/>
                <w:tab w:val="clear" w:pos="9360"/>
              </w:tabs>
              <w:rPr>
                <w:spacing w:val="-2"/>
              </w:rPr>
            </w:pPr>
          </w:p>
          <w:p w:rsidR="004C2EE3" w14:paraId="5848143B" w14:textId="40471526">
            <w:pPr>
              <w:tabs>
                <w:tab w:val="center" w:pos="4680"/>
              </w:tabs>
              <w:suppressAutoHyphens/>
              <w:rPr>
                <w:spacing w:val="-2"/>
              </w:rPr>
            </w:pPr>
            <w:r>
              <w:rPr>
                <w:spacing w:val="-2"/>
              </w:rPr>
              <w:t xml:space="preserve">WC Docket No. </w:t>
            </w:r>
            <w:r w:rsidR="009D3A35">
              <w:rPr>
                <w:spacing w:val="-2"/>
              </w:rPr>
              <w:t>26-50</w:t>
            </w:r>
          </w:p>
        </w:tc>
      </w:tr>
    </w:tbl>
    <w:p w:rsidR="00841AB1" w:rsidP="00F021FA" w14:paraId="14497E7D" w14:textId="481088B6">
      <w:pPr>
        <w:pStyle w:val="StyleBoldCentered"/>
      </w:pPr>
      <w:r>
        <w:t>Order</w:t>
      </w:r>
    </w:p>
    <w:p w:rsidR="004C2EE3" w14:paraId="628636D5" w14:textId="77777777">
      <w:pPr>
        <w:tabs>
          <w:tab w:val="left" w:pos="-720"/>
        </w:tabs>
        <w:suppressAutoHyphens/>
        <w:spacing w:line="227" w:lineRule="auto"/>
        <w:rPr>
          <w:spacing w:val="-2"/>
        </w:rPr>
      </w:pPr>
    </w:p>
    <w:p w:rsidR="004C2EE3" w:rsidP="00133F79" w14:paraId="51F276C6" w14:textId="69B5BA3B">
      <w:pPr>
        <w:tabs>
          <w:tab w:val="left" w:pos="720"/>
          <w:tab w:val="right" w:pos="9360"/>
        </w:tabs>
        <w:suppressAutoHyphens/>
        <w:spacing w:line="227" w:lineRule="auto"/>
        <w:rPr>
          <w:spacing w:val="-2"/>
        </w:rPr>
      </w:pPr>
      <w:r>
        <w:rPr>
          <w:b/>
          <w:spacing w:val="-2"/>
        </w:rPr>
        <w:t xml:space="preserve">Adopted:  </w:t>
      </w:r>
      <w:r w:rsidR="009D3A35">
        <w:rPr>
          <w:b/>
          <w:spacing w:val="-2"/>
        </w:rPr>
        <w:t>May 15, 202</w:t>
      </w:r>
      <w:r w:rsidR="0040217F">
        <w:rPr>
          <w:b/>
          <w:spacing w:val="-2"/>
        </w:rPr>
        <w:t>6</w:t>
      </w:r>
      <w:r>
        <w:rPr>
          <w:b/>
          <w:spacing w:val="-2"/>
        </w:rPr>
        <w:tab/>
      </w:r>
      <w:r w:rsidR="00822CE0">
        <w:rPr>
          <w:b/>
          <w:spacing w:val="-2"/>
        </w:rPr>
        <w:t>Released</w:t>
      </w:r>
      <w:r>
        <w:rPr>
          <w:b/>
          <w:spacing w:val="-2"/>
        </w:rPr>
        <w:t>:</w:t>
      </w:r>
      <w:r w:rsidR="00822CE0">
        <w:rPr>
          <w:b/>
          <w:spacing w:val="-2"/>
        </w:rPr>
        <w:t xml:space="preserve"> </w:t>
      </w:r>
      <w:r>
        <w:rPr>
          <w:b/>
          <w:spacing w:val="-2"/>
        </w:rPr>
        <w:t xml:space="preserve"> </w:t>
      </w:r>
      <w:r w:rsidR="009D3A35">
        <w:rPr>
          <w:b/>
          <w:spacing w:val="-2"/>
        </w:rPr>
        <w:t>May 15, 202</w:t>
      </w:r>
      <w:r w:rsidR="0040217F">
        <w:rPr>
          <w:b/>
          <w:spacing w:val="-2"/>
        </w:rPr>
        <w:t>6</w:t>
      </w:r>
    </w:p>
    <w:p w:rsidR="00822CE0" w14:paraId="5DC36B43" w14:textId="77777777"/>
    <w:p w:rsidR="004C2EE3" w14:paraId="2CF6C14F" w14:textId="1B78F802">
      <w:pPr>
        <w:rPr>
          <w:spacing w:val="-2"/>
        </w:rPr>
      </w:pPr>
      <w:r>
        <w:t xml:space="preserve">By </w:t>
      </w:r>
      <w:r w:rsidR="004E4A22">
        <w:t>the</w:t>
      </w:r>
      <w:r w:rsidR="002A2D2E">
        <w:t xml:space="preserve"> </w:t>
      </w:r>
      <w:r w:rsidR="00F10EE9">
        <w:t>Chief, Pricing Policy Division, Wireline Competition Bureau</w:t>
      </w:r>
      <w:r>
        <w:rPr>
          <w:spacing w:val="-2"/>
        </w:rPr>
        <w:t>:</w:t>
      </w:r>
    </w:p>
    <w:p w:rsidR="00822CE0" w14:paraId="1162B09E" w14:textId="77777777">
      <w:pPr>
        <w:rPr>
          <w:spacing w:val="-2"/>
        </w:rPr>
      </w:pPr>
    </w:p>
    <w:p w:rsidR="00412FC5" w:rsidRPr="00E71FB9" w:rsidP="00C36B4C" w14:paraId="121E6ABA" w14:textId="7BFE5DCA">
      <w:pPr>
        <w:pStyle w:val="Heading1"/>
      </w:pPr>
      <w:r w:rsidRPr="00E71FB9">
        <w:t>Introduction</w:t>
      </w:r>
    </w:p>
    <w:p w:rsidR="00375EF9" w:rsidRPr="00E71FB9" w:rsidP="002609DB" w14:paraId="736ECBC4" w14:textId="0ACF22FF">
      <w:pPr>
        <w:pStyle w:val="ParaNum"/>
        <w:widowControl/>
        <w:numPr>
          <w:ilvl w:val="0"/>
          <w:numId w:val="2"/>
        </w:numPr>
        <w:tabs>
          <w:tab w:val="clear" w:pos="1080"/>
          <w:tab w:val="num" w:pos="1440"/>
        </w:tabs>
        <w:spacing w:line="259" w:lineRule="auto"/>
        <w:rPr>
          <w:snapToGrid/>
          <w:kern w:val="0"/>
        </w:rPr>
      </w:pPr>
      <w:r w:rsidRPr="00E71FB9">
        <w:t xml:space="preserve">In this Order, the Wireline Competition Bureau (Bureau) sets forth the Tariff Review Plans (TRPs) </w:t>
      </w:r>
      <w:r w:rsidRPr="00E71FB9" w:rsidR="00521EEE">
        <w:t>that may be used</w:t>
      </w:r>
      <w:r w:rsidRPr="00E71FB9">
        <w:t xml:space="preserve"> by incumbent local exchange carriers (LECs or carriers) to substantiate their annual </w:t>
      </w:r>
      <w:r w:rsidRPr="00E71FB9" w:rsidR="00ED46B5">
        <w:t>July 2026</w:t>
      </w:r>
      <w:r w:rsidRPr="00E71FB9">
        <w:t xml:space="preserve"> interstate access service tariff revisions.</w:t>
      </w:r>
      <w:bookmarkStart w:id="0" w:name="_Ref6419077"/>
      <w:r>
        <w:rPr>
          <w:rStyle w:val="FootnoteReference"/>
          <w:spacing w:val="-3"/>
          <w:sz w:val="22"/>
        </w:rPr>
        <w:footnoteReference w:id="3"/>
      </w:r>
      <w:bookmarkEnd w:id="0"/>
      <w:r w:rsidRPr="00E71FB9">
        <w:t xml:space="preserve">  </w:t>
      </w:r>
      <w:r w:rsidRPr="00E71FB9" w:rsidR="00521EEE">
        <w:t>Specifically, we remind carriers of their existing obligations under the Commission’s rules, request information that supports the rate-level changes proposed in carriers</w:t>
      </w:r>
      <w:r w:rsidRPr="00E71FB9" w:rsidR="00A01153">
        <w:t>’</w:t>
      </w:r>
      <w:r w:rsidRPr="00E71FB9" w:rsidR="00521EEE">
        <w:t xml:space="preserve"> July 1 annual tariff filing</w:t>
      </w:r>
      <w:r w:rsidRPr="00E71FB9" w:rsidR="00B6165C">
        <w:t>s</w:t>
      </w:r>
      <w:r w:rsidRPr="00E71FB9" w:rsidR="00521EEE">
        <w:t xml:space="preserve">, and minimize regulatory burdens on carriers by providing TRP workbooks developed by Commission staff in consultation with industry </w:t>
      </w:r>
      <w:r w:rsidRPr="00E71FB9" w:rsidR="00FC34A7">
        <w:t xml:space="preserve">and </w:t>
      </w:r>
      <w:r w:rsidRPr="00E71FB9" w:rsidR="00521EEE">
        <w:t xml:space="preserve">consistent with the Commission’s rules.  </w:t>
      </w:r>
      <w:r w:rsidRPr="00E71FB9">
        <w:t>We also waive section 69.3(a) and (h) of the Commission’s rules to the extent necessary to implement reforms associated with various Commission orders.</w:t>
      </w:r>
      <w:r>
        <w:rPr>
          <w:rStyle w:val="FootnoteReference"/>
          <w:sz w:val="22"/>
        </w:rPr>
        <w:footnoteReference w:id="4"/>
      </w:r>
      <w:r w:rsidRPr="00E71FB9">
        <w:t xml:space="preserve">  </w:t>
      </w:r>
    </w:p>
    <w:p w:rsidR="00375EF9" w:rsidRPr="004D78B9" w:rsidP="002609DB" w14:paraId="7C8C0FDE" w14:textId="4C368610">
      <w:pPr>
        <w:pStyle w:val="ParaNum"/>
        <w:widowControl/>
        <w:numPr>
          <w:ilvl w:val="0"/>
          <w:numId w:val="2"/>
        </w:numPr>
        <w:tabs>
          <w:tab w:val="clear" w:pos="1080"/>
          <w:tab w:val="num" w:pos="1440"/>
        </w:tabs>
        <w:spacing w:line="259" w:lineRule="auto"/>
        <w:rPr>
          <w:snapToGrid/>
          <w:kern w:val="0"/>
          <w:szCs w:val="22"/>
        </w:rPr>
      </w:pPr>
      <w:r w:rsidRPr="004C3EAA">
        <w:rPr>
          <w:szCs w:val="22"/>
        </w:rPr>
        <w:t xml:space="preserve">Under the Commission’s rules, incumbent </w:t>
      </w:r>
      <w:r w:rsidR="00906C99">
        <w:rPr>
          <w:szCs w:val="22"/>
        </w:rPr>
        <w:t>LECs</w:t>
      </w:r>
      <w:r w:rsidRPr="004C3EAA">
        <w:rPr>
          <w:szCs w:val="22"/>
        </w:rPr>
        <w:t xml:space="preserve"> are required annually to submit </w:t>
      </w:r>
      <w:r w:rsidRPr="004C3EAA" w:rsidR="00925998">
        <w:rPr>
          <w:szCs w:val="22"/>
        </w:rPr>
        <w:t xml:space="preserve">to the Commission effective July 1 </w:t>
      </w:r>
      <w:r w:rsidR="00925998">
        <w:rPr>
          <w:szCs w:val="22"/>
        </w:rPr>
        <w:t xml:space="preserve">revised </w:t>
      </w:r>
      <w:r w:rsidRPr="004C3EAA">
        <w:rPr>
          <w:szCs w:val="22"/>
        </w:rPr>
        <w:t>access charge tariffs containing rates</w:t>
      </w:r>
      <w:r w:rsidR="00901108">
        <w:rPr>
          <w:szCs w:val="22"/>
        </w:rPr>
        <w:t xml:space="preserve"> charged for </w:t>
      </w:r>
      <w:r w:rsidRPr="004C3EAA">
        <w:rPr>
          <w:szCs w:val="22"/>
        </w:rPr>
        <w:t>telecommunications service as well as</w:t>
      </w:r>
      <w:r w:rsidRPr="00FE0EF6" w:rsidR="00465827">
        <w:rPr>
          <w:szCs w:val="22"/>
        </w:rPr>
        <w:t xml:space="preserve"> </w:t>
      </w:r>
      <w:r w:rsidRPr="004C3EAA">
        <w:rPr>
          <w:szCs w:val="22"/>
        </w:rPr>
        <w:t>supporting information.</w:t>
      </w:r>
      <w:r>
        <w:rPr>
          <w:rStyle w:val="FootnoteReference"/>
          <w:szCs w:val="22"/>
        </w:rPr>
        <w:footnoteReference w:id="5"/>
      </w:r>
      <w:r w:rsidRPr="004C3EAA">
        <w:rPr>
          <w:szCs w:val="22"/>
        </w:rPr>
        <w:t xml:space="preserve"> </w:t>
      </w:r>
      <w:r w:rsidRPr="004C3EAA" w:rsidR="00BD24F0">
        <w:rPr>
          <w:szCs w:val="22"/>
        </w:rPr>
        <w:t xml:space="preserve"> Every year the Bureau releases TRP workbooks developed in coordination with industry </w:t>
      </w:r>
      <w:r w:rsidR="00CD323C">
        <w:rPr>
          <w:szCs w:val="22"/>
        </w:rPr>
        <w:t>which</w:t>
      </w:r>
      <w:r w:rsidRPr="00FE0EF6" w:rsidR="004C3EAA">
        <w:rPr>
          <w:szCs w:val="22"/>
        </w:rPr>
        <w:t xml:space="preserve"> carriers may use to submit their</w:t>
      </w:r>
      <w:r w:rsidRPr="004C3EAA" w:rsidR="00BD24F0">
        <w:rPr>
          <w:szCs w:val="22"/>
        </w:rPr>
        <w:t xml:space="preserve"> </w:t>
      </w:r>
      <w:r w:rsidR="001D061F">
        <w:rPr>
          <w:szCs w:val="22"/>
        </w:rPr>
        <w:t>supporting information</w:t>
      </w:r>
      <w:r w:rsidRPr="004C3EAA" w:rsidR="00BD24F0">
        <w:rPr>
          <w:szCs w:val="22"/>
        </w:rPr>
        <w:t xml:space="preserve"> for the July 1 annual tariff filing.</w:t>
      </w:r>
      <w:r>
        <w:rPr>
          <w:rStyle w:val="FootnoteReference"/>
          <w:szCs w:val="22"/>
        </w:rPr>
        <w:footnoteReference w:id="6"/>
      </w:r>
      <w:r w:rsidR="00BD24F0">
        <w:rPr>
          <w:szCs w:val="22"/>
        </w:rPr>
        <w:t xml:space="preserve">  </w:t>
      </w:r>
      <w:r w:rsidRPr="004D78B9">
        <w:rPr>
          <w:szCs w:val="22"/>
        </w:rPr>
        <w:t xml:space="preserve">The </w:t>
      </w:r>
      <w:r w:rsidR="00E71FB9">
        <w:rPr>
          <w:szCs w:val="22"/>
        </w:rPr>
        <w:t>2026</w:t>
      </w:r>
      <w:r w:rsidRPr="004D78B9" w:rsidR="00E71FB9">
        <w:rPr>
          <w:szCs w:val="22"/>
        </w:rPr>
        <w:t xml:space="preserve"> </w:t>
      </w:r>
      <w:r w:rsidRPr="004D78B9">
        <w:rPr>
          <w:szCs w:val="22"/>
        </w:rPr>
        <w:t xml:space="preserve">TRPs implement the recovery rules adopted in the </w:t>
      </w:r>
      <w:r w:rsidRPr="004D78B9">
        <w:rPr>
          <w:i/>
          <w:szCs w:val="22"/>
        </w:rPr>
        <w:t xml:space="preserve">USF/ICC </w:t>
      </w:r>
      <w:r w:rsidRPr="002557AB">
        <w:rPr>
          <w:i/>
          <w:iCs/>
          <w:szCs w:val="22"/>
        </w:rPr>
        <w:t>Transformation</w:t>
      </w:r>
      <w:r w:rsidRPr="00C11F30">
        <w:rPr>
          <w:i/>
          <w:iCs/>
          <w:szCs w:val="22"/>
        </w:rPr>
        <w:t xml:space="preserve"> </w:t>
      </w:r>
      <w:r w:rsidRPr="004D78B9">
        <w:rPr>
          <w:i/>
          <w:szCs w:val="22"/>
        </w:rPr>
        <w:t>Order</w:t>
      </w:r>
      <w:r w:rsidRPr="004D78B9">
        <w:rPr>
          <w:szCs w:val="22"/>
        </w:rPr>
        <w:t>.</w:t>
      </w:r>
      <w:r>
        <w:rPr>
          <w:rStyle w:val="FootnoteReference"/>
          <w:sz w:val="22"/>
        </w:rPr>
        <w:footnoteReference w:id="7"/>
      </w:r>
      <w:r w:rsidRPr="004D78B9">
        <w:rPr>
          <w:szCs w:val="22"/>
        </w:rPr>
        <w:t xml:space="preserve">  The </w:t>
      </w:r>
      <w:r w:rsidR="00E71FB9">
        <w:rPr>
          <w:szCs w:val="22"/>
        </w:rPr>
        <w:t>2026</w:t>
      </w:r>
      <w:r w:rsidRPr="004D78B9" w:rsidR="00E71FB9">
        <w:rPr>
          <w:szCs w:val="22"/>
        </w:rPr>
        <w:t xml:space="preserve"> </w:t>
      </w:r>
      <w:r w:rsidRPr="004D78B9">
        <w:rPr>
          <w:szCs w:val="22"/>
        </w:rPr>
        <w:t xml:space="preserve">TRPs for rate-of-return </w:t>
      </w:r>
      <w:r w:rsidRPr="00FD072F">
        <w:t>carriers</w:t>
      </w:r>
      <w:r w:rsidRPr="004D78B9">
        <w:rPr>
          <w:szCs w:val="22"/>
        </w:rPr>
        <w:t xml:space="preserve"> also implement the </w:t>
      </w:r>
      <w:r w:rsidRPr="004D78B9">
        <w:rPr>
          <w:szCs w:val="22"/>
        </w:rPr>
        <w:t xml:space="preserve">universal service reforms and tariffing requirements adopted in the </w:t>
      </w:r>
      <w:r w:rsidRPr="004D78B9">
        <w:rPr>
          <w:i/>
          <w:szCs w:val="22"/>
        </w:rPr>
        <w:t>Rate-of-Return Reform Order</w:t>
      </w:r>
      <w:r>
        <w:rPr>
          <w:szCs w:val="22"/>
        </w:rPr>
        <w:t>,</w:t>
      </w:r>
      <w:r>
        <w:rPr>
          <w:rStyle w:val="FootnoteReference"/>
          <w:sz w:val="22"/>
          <w:szCs w:val="22"/>
        </w:rPr>
        <w:footnoteReference w:id="8"/>
      </w:r>
      <w:r>
        <w:rPr>
          <w:szCs w:val="22"/>
        </w:rPr>
        <w:t xml:space="preserve"> and </w:t>
      </w:r>
      <w:r w:rsidRPr="004D78B9">
        <w:rPr>
          <w:i/>
          <w:szCs w:val="22"/>
        </w:rPr>
        <w:t xml:space="preserve">Rate-of-Return </w:t>
      </w:r>
      <w:r>
        <w:rPr>
          <w:i/>
          <w:szCs w:val="22"/>
        </w:rPr>
        <w:t>BDS</w:t>
      </w:r>
      <w:r w:rsidRPr="004D78B9">
        <w:rPr>
          <w:i/>
          <w:szCs w:val="22"/>
        </w:rPr>
        <w:t xml:space="preserve"> Order</w:t>
      </w:r>
      <w:r>
        <w:rPr>
          <w:iCs/>
          <w:szCs w:val="22"/>
        </w:rPr>
        <w:t>.</w:t>
      </w:r>
      <w:r>
        <w:rPr>
          <w:rStyle w:val="FootnoteReference"/>
          <w:sz w:val="22"/>
          <w:szCs w:val="22"/>
        </w:rPr>
        <w:footnoteReference w:id="9"/>
      </w:r>
      <w:r>
        <w:rPr>
          <w:szCs w:val="22"/>
        </w:rPr>
        <w:t xml:space="preserve"> </w:t>
      </w:r>
      <w:bookmarkStart w:id="9" w:name="_Hlk40077620"/>
      <w:r w:rsidR="001919DC">
        <w:rPr>
          <w:szCs w:val="22"/>
        </w:rPr>
        <w:t xml:space="preserve"> </w:t>
      </w:r>
      <w:r w:rsidRPr="004D78B9">
        <w:rPr>
          <w:szCs w:val="22"/>
        </w:rPr>
        <w:t xml:space="preserve">Completed versions of the </w:t>
      </w:r>
      <w:r w:rsidR="00177EE8">
        <w:rPr>
          <w:szCs w:val="22"/>
        </w:rPr>
        <w:t>2026</w:t>
      </w:r>
      <w:r w:rsidRPr="004D78B9" w:rsidR="00177EE8">
        <w:rPr>
          <w:szCs w:val="22"/>
        </w:rPr>
        <w:t xml:space="preserve"> </w:t>
      </w:r>
      <w:r w:rsidRPr="004D78B9">
        <w:rPr>
          <w:szCs w:val="22"/>
        </w:rPr>
        <w:t>TRPs appended to this document will provide the supporting documentation to fulfill, in part, the requirements contained in sections 51.700 through 51.715, 51.901 through 51.919, 61.38, 61.39, 61.41 through 61.50, and 69.3 of the Commission’s rules.</w:t>
      </w:r>
      <w:r>
        <w:rPr>
          <w:rStyle w:val="FootnoteReference"/>
          <w:spacing w:val="-3"/>
          <w:sz w:val="22"/>
        </w:rPr>
        <w:footnoteReference w:id="10"/>
      </w:r>
      <w:r w:rsidRPr="004D78B9">
        <w:rPr>
          <w:szCs w:val="22"/>
        </w:rPr>
        <w:t xml:space="preserve">  </w:t>
      </w:r>
      <w:bookmarkEnd w:id="9"/>
      <w:r w:rsidRPr="004D78B9">
        <w:rPr>
          <w:szCs w:val="22"/>
        </w:rPr>
        <w:t xml:space="preserve">The </w:t>
      </w:r>
      <w:r w:rsidR="00177EE8">
        <w:rPr>
          <w:szCs w:val="22"/>
        </w:rPr>
        <w:t>2026</w:t>
      </w:r>
      <w:r w:rsidRPr="004D78B9" w:rsidR="00177EE8">
        <w:rPr>
          <w:szCs w:val="22"/>
        </w:rPr>
        <w:t xml:space="preserve"> </w:t>
      </w:r>
      <w:r w:rsidRPr="004D78B9">
        <w:rPr>
          <w:szCs w:val="22"/>
        </w:rPr>
        <w:t xml:space="preserve">TRPs display support data in a consistent manner, thereby facilitating review of </w:t>
      </w:r>
      <w:r>
        <w:rPr>
          <w:szCs w:val="22"/>
        </w:rPr>
        <w:t>carriers’</w:t>
      </w:r>
      <w:r w:rsidRPr="004D78B9">
        <w:rPr>
          <w:szCs w:val="22"/>
        </w:rPr>
        <w:t xml:space="preserve"> rate revisions by the Commission and interested parties.  Carriers may, but are not required to, use the </w:t>
      </w:r>
      <w:r w:rsidR="00177EE8">
        <w:rPr>
          <w:szCs w:val="22"/>
        </w:rPr>
        <w:t>2026</w:t>
      </w:r>
      <w:r w:rsidRPr="004D78B9" w:rsidR="00177EE8">
        <w:rPr>
          <w:szCs w:val="22"/>
        </w:rPr>
        <w:t xml:space="preserve"> </w:t>
      </w:r>
      <w:r w:rsidRPr="004D78B9">
        <w:rPr>
          <w:szCs w:val="22"/>
        </w:rPr>
        <w:t xml:space="preserve">TRPs the Bureau developed for the </w:t>
      </w:r>
      <w:r w:rsidR="00177EE8">
        <w:rPr>
          <w:szCs w:val="22"/>
        </w:rPr>
        <w:t>2026</w:t>
      </w:r>
      <w:r w:rsidRPr="004D78B9" w:rsidR="00177EE8">
        <w:rPr>
          <w:szCs w:val="22"/>
        </w:rPr>
        <w:t xml:space="preserve"> </w:t>
      </w:r>
      <w:r w:rsidRPr="004D78B9">
        <w:rPr>
          <w:szCs w:val="22"/>
        </w:rPr>
        <w:t>annual tariff filings.  In the alternative, carriers may submit TRP worksheets developed by the carrier consistent with the Commission’s rules.</w:t>
      </w:r>
      <w:r w:rsidR="00BA5642">
        <w:rPr>
          <w:szCs w:val="22"/>
        </w:rPr>
        <w:t xml:space="preserve">  </w:t>
      </w:r>
    </w:p>
    <w:p w:rsidR="00375EF9" w:rsidP="00375EF9" w14:paraId="2449A69F" w14:textId="77777777">
      <w:pPr>
        <w:pStyle w:val="Heading1"/>
      </w:pPr>
      <w:r>
        <w:t>background</w:t>
      </w:r>
    </w:p>
    <w:p w:rsidR="00375EF9" w:rsidRPr="00B359AB" w:rsidP="002609DB" w14:paraId="3889D5B0" w14:textId="77777777">
      <w:pPr>
        <w:pStyle w:val="ParaNum"/>
        <w:widowControl/>
        <w:numPr>
          <w:ilvl w:val="0"/>
          <w:numId w:val="2"/>
        </w:numPr>
        <w:tabs>
          <w:tab w:val="clear" w:pos="1080"/>
          <w:tab w:val="num" w:pos="1440"/>
        </w:tabs>
        <w:spacing w:line="259" w:lineRule="auto"/>
        <w:rPr>
          <w:szCs w:val="22"/>
        </w:rPr>
      </w:pPr>
      <w:r w:rsidRPr="00B359AB">
        <w:rPr>
          <w:szCs w:val="22"/>
        </w:rPr>
        <w:t xml:space="preserve">In the </w:t>
      </w:r>
      <w:r w:rsidRPr="00B359AB">
        <w:rPr>
          <w:i/>
          <w:szCs w:val="22"/>
        </w:rPr>
        <w:t>USF/ICC Transformation Order</w:t>
      </w:r>
      <w:r w:rsidRPr="00B359AB">
        <w:rPr>
          <w:szCs w:val="22"/>
        </w:rPr>
        <w:t xml:space="preserve">, the Commission </w:t>
      </w:r>
      <w:r>
        <w:rPr>
          <w:szCs w:val="22"/>
        </w:rPr>
        <w:t>required</w:t>
      </w:r>
      <w:r w:rsidRPr="00B359AB">
        <w:rPr>
          <w:szCs w:val="22"/>
        </w:rPr>
        <w:t xml:space="preserve"> </w:t>
      </w:r>
      <w:r>
        <w:rPr>
          <w:szCs w:val="22"/>
        </w:rPr>
        <w:t>carriers</w:t>
      </w:r>
      <w:r w:rsidRPr="00B359AB">
        <w:rPr>
          <w:szCs w:val="22"/>
        </w:rPr>
        <w:t xml:space="preserve"> to </w:t>
      </w:r>
      <w:r>
        <w:rPr>
          <w:szCs w:val="22"/>
        </w:rPr>
        <w:t>reduce</w:t>
      </w:r>
      <w:r w:rsidRPr="00B359AB">
        <w:rPr>
          <w:szCs w:val="22"/>
        </w:rPr>
        <w:t>, over a period of years, many of their switched access charges</w:t>
      </w:r>
      <w:r>
        <w:rPr>
          <w:szCs w:val="22"/>
        </w:rPr>
        <w:t xml:space="preserve"> until those rates eventually reached zero, as part of the Commission’s transition to a</w:t>
      </w:r>
      <w:r w:rsidRPr="00B359AB">
        <w:rPr>
          <w:szCs w:val="22"/>
        </w:rPr>
        <w:t xml:space="preserve"> bill-and-keep</w:t>
      </w:r>
      <w:r>
        <w:rPr>
          <w:szCs w:val="22"/>
        </w:rPr>
        <w:t xml:space="preserve"> </w:t>
      </w:r>
      <w:r w:rsidRPr="00B359AB">
        <w:rPr>
          <w:szCs w:val="22"/>
        </w:rPr>
        <w:t>regime.</w:t>
      </w:r>
      <w:r>
        <w:rPr>
          <w:rStyle w:val="FootnoteReference"/>
          <w:sz w:val="22"/>
        </w:rPr>
        <w:footnoteReference w:id="11"/>
      </w:r>
      <w:r w:rsidRPr="00B359AB">
        <w:rPr>
          <w:szCs w:val="22"/>
        </w:rPr>
        <w:t xml:space="preserve">  </w:t>
      </w:r>
      <w:r>
        <w:rPr>
          <w:szCs w:val="22"/>
        </w:rPr>
        <w:t>At the same time, t</w:t>
      </w:r>
      <w:r w:rsidRPr="00B359AB">
        <w:rPr>
          <w:szCs w:val="22"/>
        </w:rPr>
        <w:t>he Commission adopted a recovery mechanism to mitigate the impact of reduced intercarrier compensation revenues on carriers and to facilitate continued investment in broadband infrastructure.</w:t>
      </w:r>
      <w:r>
        <w:rPr>
          <w:rStyle w:val="FootnoteReference"/>
          <w:sz w:val="22"/>
        </w:rPr>
        <w:footnoteReference w:id="12"/>
      </w:r>
      <w:r w:rsidRPr="00B359AB">
        <w:rPr>
          <w:szCs w:val="22"/>
        </w:rPr>
        <w:t xml:space="preserve">  As part of the recovery mechanism, the Commission defined as “Eligible </w:t>
      </w:r>
      <w:r w:rsidRPr="00FD072F">
        <w:t>Recovery</w:t>
      </w:r>
      <w:r w:rsidRPr="00B359AB">
        <w:rPr>
          <w:szCs w:val="22"/>
        </w:rPr>
        <w:t xml:space="preserve">” the amount of intercarrier compensation revenue reductions that </w:t>
      </w:r>
      <w:r>
        <w:rPr>
          <w:szCs w:val="22"/>
        </w:rPr>
        <w:t>carriers</w:t>
      </w:r>
      <w:r w:rsidRPr="00B359AB">
        <w:rPr>
          <w:szCs w:val="22"/>
        </w:rPr>
        <w:t xml:space="preserve"> would be eligible to recover through a combination of an end-user</w:t>
      </w:r>
      <w:r>
        <w:rPr>
          <w:szCs w:val="22"/>
        </w:rPr>
        <w:t xml:space="preserve"> charge</w:t>
      </w:r>
      <w:r w:rsidRPr="00B359AB">
        <w:rPr>
          <w:szCs w:val="22"/>
        </w:rPr>
        <w:t>,</w:t>
      </w:r>
      <w:r>
        <w:rPr>
          <w:szCs w:val="22"/>
        </w:rPr>
        <w:t xml:space="preserve"> the</w:t>
      </w:r>
      <w:r w:rsidRPr="00B359AB">
        <w:rPr>
          <w:szCs w:val="22"/>
        </w:rPr>
        <w:t xml:space="preserve"> Access Recovery Charge (ARC),</w:t>
      </w:r>
      <w:r>
        <w:rPr>
          <w:rStyle w:val="FootnoteReference"/>
          <w:sz w:val="22"/>
        </w:rPr>
        <w:footnoteReference w:id="13"/>
      </w:r>
      <w:r w:rsidRPr="00B359AB">
        <w:rPr>
          <w:szCs w:val="22"/>
        </w:rPr>
        <w:t xml:space="preserve"> and, where eligible and if </w:t>
      </w:r>
      <w:r>
        <w:rPr>
          <w:szCs w:val="22"/>
        </w:rPr>
        <w:t>a carrier</w:t>
      </w:r>
      <w:r w:rsidRPr="00B359AB">
        <w:rPr>
          <w:szCs w:val="22"/>
        </w:rPr>
        <w:t xml:space="preserve"> elects to receive it, Connect America Fund Intercarrier Compensation (CAF ICC) support.</w:t>
      </w:r>
      <w:r>
        <w:rPr>
          <w:rStyle w:val="FootnoteReference"/>
          <w:sz w:val="22"/>
        </w:rPr>
        <w:footnoteReference w:id="14"/>
      </w:r>
      <w:r w:rsidRPr="00E7413E">
        <w:t xml:space="preserve"> </w:t>
      </w:r>
      <w:r w:rsidRPr="00B359AB">
        <w:rPr>
          <w:szCs w:val="22"/>
        </w:rPr>
        <w:t xml:space="preserve"> </w:t>
      </w:r>
      <w:r>
        <w:rPr>
          <w:szCs w:val="22"/>
        </w:rPr>
        <w:t>A carrier’s</w:t>
      </w:r>
      <w:r w:rsidRPr="00B359AB">
        <w:rPr>
          <w:szCs w:val="22"/>
        </w:rPr>
        <w:t xml:space="preserve"> Eligible Recovery is based on a decreasing percentage of the cumulative reduction in revenue each year resulting from the intercarrier compensation reform transition.</w:t>
      </w:r>
      <w:r>
        <w:rPr>
          <w:rStyle w:val="FootnoteReference"/>
          <w:sz w:val="22"/>
        </w:rPr>
        <w:footnoteReference w:id="15"/>
      </w:r>
    </w:p>
    <w:p w:rsidR="00375EF9" w:rsidRPr="00902211" w:rsidP="002609DB" w14:paraId="1AD7960F" w14:textId="77777777">
      <w:pPr>
        <w:pStyle w:val="ParaNum"/>
        <w:widowControl/>
        <w:numPr>
          <w:ilvl w:val="0"/>
          <w:numId w:val="2"/>
        </w:numPr>
        <w:tabs>
          <w:tab w:val="clear" w:pos="1080"/>
          <w:tab w:val="num" w:pos="1440"/>
        </w:tabs>
        <w:spacing w:line="259" w:lineRule="auto"/>
        <w:rPr>
          <w:szCs w:val="22"/>
        </w:rPr>
      </w:pPr>
      <w:r w:rsidRPr="00B359AB">
        <w:t xml:space="preserve">In the </w:t>
      </w:r>
      <w:r w:rsidRPr="00B359AB">
        <w:rPr>
          <w:i/>
        </w:rPr>
        <w:t>Rate-of-Return Reform Order</w:t>
      </w:r>
      <w:r w:rsidRPr="00B359AB">
        <w:t>,</w:t>
      </w:r>
      <w:r w:rsidRPr="00B359AB">
        <w:rPr>
          <w:i/>
        </w:rPr>
        <w:t xml:space="preserve"> </w:t>
      </w:r>
      <w:r w:rsidRPr="00B359AB">
        <w:t xml:space="preserve">the Commission modified the rules governing the provision of high-cost universal service support </w:t>
      </w:r>
      <w:r>
        <w:t>for</w:t>
      </w:r>
      <w:r w:rsidRPr="00B359AB">
        <w:t xml:space="preserve"> rate-of-return </w:t>
      </w:r>
      <w:r>
        <w:t>carriers</w:t>
      </w:r>
      <w:r w:rsidRPr="00B359AB">
        <w:t>.</w:t>
      </w:r>
      <w:r>
        <w:rPr>
          <w:rStyle w:val="FootnoteReference"/>
          <w:sz w:val="22"/>
        </w:rPr>
        <w:footnoteReference w:id="16"/>
      </w:r>
      <w:r w:rsidRPr="00B359AB">
        <w:t xml:space="preserve">  The Commission allowed rate-of-return </w:t>
      </w:r>
      <w:r>
        <w:t>carriers</w:t>
      </w:r>
      <w:r w:rsidRPr="00B359AB">
        <w:t xml:space="preserve"> the option of electing </w:t>
      </w:r>
      <w:r w:rsidRPr="004A7004">
        <w:rPr>
          <w:szCs w:val="22"/>
        </w:rPr>
        <w:t>Alternative Connect America Cost</w:t>
      </w:r>
      <w:r>
        <w:rPr>
          <w:szCs w:val="22"/>
        </w:rPr>
        <w:t xml:space="preserve"> </w:t>
      </w:r>
      <w:r w:rsidRPr="004A7004">
        <w:rPr>
          <w:szCs w:val="22"/>
        </w:rPr>
        <w:t xml:space="preserve">Model </w:t>
      </w:r>
      <w:r>
        <w:rPr>
          <w:szCs w:val="22"/>
        </w:rPr>
        <w:t xml:space="preserve">(A-CAM) </w:t>
      </w:r>
      <w:r w:rsidRPr="00B359AB">
        <w:t>support for a term of 10 years in exchange for meeting defined build-out obligations.</w:t>
      </w:r>
      <w:r>
        <w:rPr>
          <w:rStyle w:val="FootnoteReference"/>
          <w:sz w:val="22"/>
        </w:rPr>
        <w:footnoteReference w:id="17"/>
      </w:r>
      <w:r w:rsidRPr="00B359AB">
        <w:t xml:space="preserve">  For rate-of-return </w:t>
      </w:r>
      <w:r>
        <w:t>carriers</w:t>
      </w:r>
      <w:r w:rsidRPr="00B359AB">
        <w:t xml:space="preserve"> not electing model-based support, the Commission modernized the existing </w:t>
      </w:r>
      <w:r>
        <w:t>I</w:t>
      </w:r>
      <w:r w:rsidRPr="00B359AB">
        <w:t xml:space="preserve">nterstate </w:t>
      </w:r>
      <w:r>
        <w:t>C</w:t>
      </w:r>
      <w:r w:rsidRPr="00B359AB">
        <w:t xml:space="preserve">ommon </w:t>
      </w:r>
      <w:r>
        <w:t>L</w:t>
      </w:r>
      <w:r w:rsidRPr="00B359AB">
        <w:t xml:space="preserve">ine </w:t>
      </w:r>
      <w:r>
        <w:t>S</w:t>
      </w:r>
      <w:r w:rsidRPr="00B359AB">
        <w:t>upport</w:t>
      </w:r>
      <w:r>
        <w:t xml:space="preserve"> (ICLS)</w:t>
      </w:r>
      <w:r w:rsidRPr="00B359AB">
        <w:t xml:space="preserve"> </w:t>
      </w:r>
      <w:r w:rsidRPr="00C73C11">
        <w:rPr>
          <w:szCs w:val="22"/>
        </w:rPr>
        <w:t>rules</w:t>
      </w:r>
      <w:r w:rsidRPr="00B359AB">
        <w:t xml:space="preserve"> to provide support in situations where the customer no longer subscribes to traditional regulated local exchange voice service, i.e., </w:t>
      </w:r>
      <w:r>
        <w:t xml:space="preserve">where the customer purchases only </w:t>
      </w:r>
      <w:r w:rsidRPr="00B359AB">
        <w:t xml:space="preserve">stand-alone </w:t>
      </w:r>
      <w:r w:rsidRPr="00B359AB">
        <w:t>broadband.</w:t>
      </w:r>
      <w:r>
        <w:rPr>
          <w:rStyle w:val="FootnoteReference"/>
          <w:sz w:val="22"/>
        </w:rPr>
        <w:footnoteReference w:id="18"/>
      </w:r>
      <w:r w:rsidRPr="00B359AB">
        <w:t xml:space="preserve">  This revised form of support is known as Connect America Fund Broadband Loop Support (CAF BLS).</w:t>
      </w:r>
      <w:r>
        <w:rPr>
          <w:rStyle w:val="FootnoteReference"/>
          <w:szCs w:val="22"/>
        </w:rPr>
        <w:footnoteReference w:id="19"/>
      </w:r>
      <w:r w:rsidRPr="00B359AB">
        <w:t xml:space="preserve">  As part of its implementation of the </w:t>
      </w:r>
      <w:r w:rsidRPr="004A7004">
        <w:rPr>
          <w:i/>
          <w:iCs/>
        </w:rPr>
        <w:t>Rate-of-Return Reform Order</w:t>
      </w:r>
      <w:r w:rsidRPr="00B359AB">
        <w:t xml:space="preserve">, the Commission revised certain cost allocation and tariffing rules for rate-of-return </w:t>
      </w:r>
      <w:r>
        <w:t>carriers</w:t>
      </w:r>
      <w:r w:rsidRPr="00B359AB">
        <w:t xml:space="preserve"> to introduce supported </w:t>
      </w:r>
      <w:bookmarkStart w:id="15" w:name="_Hlk158895358"/>
      <w:r w:rsidRPr="00B359AB">
        <w:t>Consumer Broadband-only Loop (CBOL) services</w:t>
      </w:r>
      <w:bookmarkEnd w:id="15"/>
      <w:r w:rsidRPr="00B359AB">
        <w:t>.</w:t>
      </w:r>
      <w:r>
        <w:rPr>
          <w:rStyle w:val="FootnoteReference"/>
          <w:sz w:val="22"/>
        </w:rPr>
        <w:footnoteReference w:id="20"/>
      </w:r>
      <w:r>
        <w:rPr>
          <w:szCs w:val="22"/>
        </w:rPr>
        <w:t xml:space="preserve">  </w:t>
      </w:r>
      <w:r w:rsidRPr="00902211">
        <w:rPr>
          <w:szCs w:val="22"/>
        </w:rPr>
        <w:t>The Commission required rate-of-return carriers offering supported stand-alone broadband loops to move costs for these loops from the special access service category to a new CBOL service category.</w:t>
      </w:r>
      <w:r>
        <w:rPr>
          <w:rStyle w:val="FootnoteReference"/>
          <w:sz w:val="22"/>
        </w:rPr>
        <w:footnoteReference w:id="21"/>
      </w:r>
      <w:r w:rsidRPr="00902211">
        <w:rPr>
          <w:szCs w:val="22"/>
        </w:rPr>
        <w:t xml:space="preserve">  The amount to be moved is to be determined </w:t>
      </w:r>
      <w:bookmarkStart w:id="16" w:name="_Hlk511045717"/>
      <w:r w:rsidRPr="00902211">
        <w:rPr>
          <w:szCs w:val="22"/>
        </w:rPr>
        <w:t>consistent with the part 36 and part 69 cost allocation rules</w:t>
      </w:r>
      <w:bookmarkEnd w:id="16"/>
      <w:r w:rsidRPr="00902211">
        <w:rPr>
          <w:szCs w:val="22"/>
        </w:rPr>
        <w:t>.</w:t>
      </w:r>
      <w:r>
        <w:rPr>
          <w:rStyle w:val="FootnoteReference"/>
        </w:rPr>
        <w:footnoteReference w:id="22"/>
      </w:r>
    </w:p>
    <w:p w:rsidR="00375EF9" w:rsidP="002609DB" w14:paraId="5BA47E1C" w14:textId="77777777">
      <w:pPr>
        <w:pStyle w:val="ParaNum"/>
        <w:widowControl/>
        <w:numPr>
          <w:ilvl w:val="0"/>
          <w:numId w:val="2"/>
        </w:numPr>
        <w:tabs>
          <w:tab w:val="clear" w:pos="1080"/>
          <w:tab w:val="num" w:pos="1440"/>
        </w:tabs>
        <w:spacing w:line="259" w:lineRule="auto"/>
        <w:rPr>
          <w:szCs w:val="22"/>
        </w:rPr>
      </w:pPr>
      <w:r w:rsidRPr="00B359AB">
        <w:rPr>
          <w:szCs w:val="22"/>
        </w:rPr>
        <w:t xml:space="preserve">The Commission also adopted rules governing the tariffing of CBOL rates, including a $42 per-loop, per-month rate cap for rate-of-return </w:t>
      </w:r>
      <w:r>
        <w:rPr>
          <w:szCs w:val="22"/>
        </w:rPr>
        <w:t>carriers</w:t>
      </w:r>
      <w:r w:rsidRPr="00B359AB">
        <w:rPr>
          <w:szCs w:val="22"/>
        </w:rPr>
        <w:t xml:space="preserve"> electing model-based or Alaska Plan support and a </w:t>
      </w:r>
      <w:r>
        <w:rPr>
          <w:szCs w:val="22"/>
        </w:rPr>
        <w:t xml:space="preserve">cost-based </w:t>
      </w:r>
      <w:r w:rsidRPr="00B359AB">
        <w:rPr>
          <w:szCs w:val="22"/>
        </w:rPr>
        <w:t>rate</w:t>
      </w:r>
      <w:r>
        <w:rPr>
          <w:szCs w:val="22"/>
        </w:rPr>
        <w:t>-setting</w:t>
      </w:r>
      <w:r w:rsidRPr="00B359AB">
        <w:rPr>
          <w:szCs w:val="22"/>
        </w:rPr>
        <w:t xml:space="preserve"> methodology for rate-of-return </w:t>
      </w:r>
      <w:r>
        <w:rPr>
          <w:szCs w:val="22"/>
        </w:rPr>
        <w:t>carriers</w:t>
      </w:r>
      <w:r w:rsidRPr="00B359AB">
        <w:rPr>
          <w:szCs w:val="22"/>
        </w:rPr>
        <w:t xml:space="preserve"> receiving CAF BLS.</w:t>
      </w:r>
      <w:bookmarkStart w:id="20" w:name="OLE_LINK6"/>
      <w:r>
        <w:rPr>
          <w:rStyle w:val="FootnoteReference"/>
          <w:sz w:val="22"/>
        </w:rPr>
        <w:footnoteReference w:id="23"/>
      </w:r>
      <w:bookmarkEnd w:id="20"/>
      <w:r w:rsidRPr="00B359AB">
        <w:rPr>
          <w:szCs w:val="22"/>
        </w:rPr>
        <w:t xml:space="preserve">  For rate-of-return </w:t>
      </w:r>
      <w:r>
        <w:rPr>
          <w:szCs w:val="22"/>
        </w:rPr>
        <w:t>carriers</w:t>
      </w:r>
      <w:r w:rsidRPr="00B359AB">
        <w:rPr>
          <w:szCs w:val="22"/>
        </w:rPr>
        <w:t xml:space="preserve"> electing model-based support, the Commission determined that such carriers would not be eligible to participate in the National Exchange Carrier Association</w:t>
      </w:r>
      <w:r>
        <w:rPr>
          <w:szCs w:val="22"/>
        </w:rPr>
        <w:t>, Inc.</w:t>
      </w:r>
      <w:r w:rsidRPr="00B359AB">
        <w:rPr>
          <w:szCs w:val="22"/>
        </w:rPr>
        <w:t xml:space="preserve"> (NECA) common line pooling mechanism but could elect to have NECA tariff their common line rates.</w:t>
      </w:r>
      <w:r>
        <w:rPr>
          <w:rStyle w:val="FootnoteReference"/>
          <w:sz w:val="22"/>
        </w:rPr>
        <w:footnoteReference w:id="24"/>
      </w:r>
      <w:r w:rsidRPr="00B359AB">
        <w:rPr>
          <w:szCs w:val="22"/>
        </w:rPr>
        <w:t xml:space="preserve">  The Commission further required rate-of-return </w:t>
      </w:r>
      <w:r>
        <w:rPr>
          <w:szCs w:val="22"/>
        </w:rPr>
        <w:t>carriers</w:t>
      </w:r>
      <w:r w:rsidRPr="00B359AB">
        <w:rPr>
          <w:szCs w:val="22"/>
        </w:rPr>
        <w:t xml:space="preserve"> to impute an amount equal to the ARC they assess on voice/broadband lines to their supported CBOL service.</w:t>
      </w:r>
      <w:r>
        <w:rPr>
          <w:rStyle w:val="FootnoteReference"/>
          <w:sz w:val="22"/>
        </w:rPr>
        <w:footnoteReference w:id="25"/>
      </w:r>
      <w:r w:rsidRPr="00B359AB">
        <w:rPr>
          <w:szCs w:val="22"/>
        </w:rPr>
        <w:t xml:space="preserve">  </w:t>
      </w:r>
      <w:r>
        <w:rPr>
          <w:szCs w:val="22"/>
        </w:rPr>
        <w:t>R</w:t>
      </w:r>
      <w:r w:rsidRPr="00B359AB">
        <w:rPr>
          <w:szCs w:val="22"/>
        </w:rPr>
        <w:t xml:space="preserve">ate-of-return </w:t>
      </w:r>
      <w:r>
        <w:rPr>
          <w:szCs w:val="22"/>
        </w:rPr>
        <w:t>carriers</w:t>
      </w:r>
      <w:r w:rsidRPr="00B359AB">
        <w:rPr>
          <w:szCs w:val="22"/>
        </w:rPr>
        <w:t xml:space="preserve"> must also true-up th</w:t>
      </w:r>
      <w:r>
        <w:rPr>
          <w:szCs w:val="22"/>
        </w:rPr>
        <w:t>e</w:t>
      </w:r>
      <w:r w:rsidRPr="00B359AB">
        <w:rPr>
          <w:szCs w:val="22"/>
        </w:rPr>
        <w:t xml:space="preserve"> imputation</w:t>
      </w:r>
      <w:r>
        <w:rPr>
          <w:szCs w:val="22"/>
        </w:rPr>
        <w:t xml:space="preserve"> made two years prior to the most recent</w:t>
      </w:r>
      <w:r w:rsidRPr="00026503">
        <w:rPr>
          <w:szCs w:val="22"/>
        </w:rPr>
        <w:t xml:space="preserve"> annual filing.</w:t>
      </w:r>
      <w:r>
        <w:rPr>
          <w:rStyle w:val="FootnoteReference"/>
          <w:sz w:val="22"/>
        </w:rPr>
        <w:footnoteReference w:id="26"/>
      </w:r>
      <w:r w:rsidRPr="00026503">
        <w:rPr>
          <w:szCs w:val="22"/>
        </w:rPr>
        <w:t xml:space="preserve"> </w:t>
      </w:r>
    </w:p>
    <w:p w:rsidR="00375EF9" w:rsidRPr="00FA40B9" w:rsidP="002609DB" w14:paraId="5086EF02" w14:textId="62C1EC3A">
      <w:pPr>
        <w:pStyle w:val="ParaNum"/>
        <w:widowControl/>
        <w:numPr>
          <w:ilvl w:val="0"/>
          <w:numId w:val="2"/>
        </w:numPr>
        <w:tabs>
          <w:tab w:val="clear" w:pos="1080"/>
          <w:tab w:val="num" w:pos="1440"/>
        </w:tabs>
        <w:spacing w:line="259" w:lineRule="auto"/>
      </w:pPr>
      <w:bookmarkStart w:id="26" w:name="_Hlk160537170"/>
      <w:r w:rsidRPr="0075418B">
        <w:t xml:space="preserve">In the </w:t>
      </w:r>
      <w:r w:rsidRPr="0075418B">
        <w:rPr>
          <w:i/>
        </w:rPr>
        <w:t xml:space="preserve">Rate-of-Return </w:t>
      </w:r>
      <w:r>
        <w:rPr>
          <w:i/>
        </w:rPr>
        <w:t>BDS</w:t>
      </w:r>
      <w:r w:rsidRPr="0075418B">
        <w:rPr>
          <w:i/>
        </w:rPr>
        <w:t xml:space="preserve"> Order</w:t>
      </w:r>
      <w:r w:rsidRPr="0075418B">
        <w:t xml:space="preserve">, the Commission </w:t>
      </w:r>
      <w:r>
        <w:t>permitted</w:t>
      </w:r>
      <w:r w:rsidRPr="0075418B">
        <w:t xml:space="preserve"> rate-of-return carriers receiving model-based or fixed </w:t>
      </w:r>
      <w:r>
        <w:t xml:space="preserve">high-cost </w:t>
      </w:r>
      <w:r w:rsidRPr="0075418B">
        <w:t xml:space="preserve">universal service support </w:t>
      </w:r>
      <w:r>
        <w:t xml:space="preserve">(electing carriers) </w:t>
      </w:r>
      <w:r w:rsidRPr="0075418B">
        <w:t xml:space="preserve">to </w:t>
      </w:r>
      <w:r>
        <w:t xml:space="preserve">voluntarily </w:t>
      </w:r>
      <w:r w:rsidRPr="0075418B">
        <w:t xml:space="preserve">elect </w:t>
      </w:r>
      <w:r>
        <w:t>to transition certain</w:t>
      </w:r>
      <w:r w:rsidRPr="00D369E9">
        <w:t xml:space="preserve"> </w:t>
      </w:r>
      <w:r>
        <w:t>business data service (BDS) offerings from rate-of-return to incentive regulation.</w:t>
      </w:r>
      <w:r>
        <w:rPr>
          <w:rStyle w:val="FootnoteReference"/>
          <w:szCs w:val="22"/>
        </w:rPr>
        <w:footnoteReference w:id="27"/>
      </w:r>
      <w:r>
        <w:t xml:space="preserve">  </w:t>
      </w:r>
      <w:bookmarkEnd w:id="26"/>
      <w:r w:rsidRPr="001F2A54">
        <w:t xml:space="preserve">For electing carriers’ high capacity (above DS3) </w:t>
      </w:r>
      <w:r w:rsidRPr="005F67F0">
        <w:rPr>
          <w:szCs w:val="22"/>
        </w:rPr>
        <w:t>transport</w:t>
      </w:r>
      <w:r w:rsidRPr="001F2A54">
        <w:t xml:space="preserve"> and end user channel termination services,</w:t>
      </w:r>
      <w:r>
        <w:t xml:space="preserve"> the Commission eliminated ex ante pricing regulation and granted forbearance from tariffing requirements related to those services.</w:t>
      </w:r>
      <w:r>
        <w:rPr>
          <w:rStyle w:val="FootnoteReference"/>
          <w:szCs w:val="22"/>
        </w:rPr>
        <w:footnoteReference w:id="28"/>
      </w:r>
      <w:r>
        <w:t xml:space="preserve">  </w:t>
      </w:r>
      <w:r w:rsidRPr="006A4724">
        <w:t>The Commission adopted a competitive market test for electing carriers’ low capacity (DS3 and below)</w:t>
      </w:r>
      <w:r>
        <w:t xml:space="preserve"> </w:t>
      </w:r>
      <w:r w:rsidRPr="006A4724">
        <w:t xml:space="preserve">end user channel termination services to identify study areas where sufficient </w:t>
      </w:r>
      <w:r w:rsidRPr="006A4724">
        <w:t>competition justifies removing ex ante pricing regulation and tariffing requirements for these services.</w:t>
      </w:r>
      <w:r>
        <w:rPr>
          <w:rStyle w:val="FootnoteReference"/>
        </w:rPr>
        <w:footnoteReference w:id="29"/>
      </w:r>
      <w:r w:rsidRPr="006A4724">
        <w:t xml:space="preserve">    </w:t>
      </w:r>
      <w:r>
        <w:t>The Commission preserved ex ante pricing regulation while permitting contract-based tariffs and volume and term discounts f</w:t>
      </w:r>
      <w:r w:rsidRPr="0026693C">
        <w:t xml:space="preserve">or </w:t>
      </w:r>
      <w:r>
        <w:t xml:space="preserve">electing carriers’ </w:t>
      </w:r>
      <w:r w:rsidRPr="0026693C">
        <w:t xml:space="preserve">low capacity </w:t>
      </w:r>
      <w:r>
        <w:t xml:space="preserve">(DS3 and below) transport and </w:t>
      </w:r>
      <w:r w:rsidRPr="0026693C">
        <w:t xml:space="preserve">end user channel termination </w:t>
      </w:r>
      <w:r>
        <w:t xml:space="preserve">services offered </w:t>
      </w:r>
      <w:r w:rsidRPr="0026693C">
        <w:t>in noncompetitive study areas</w:t>
      </w:r>
      <w:r>
        <w:t>.</w:t>
      </w:r>
      <w:r>
        <w:rPr>
          <w:rStyle w:val="FootnoteReference"/>
        </w:rPr>
        <w:footnoteReference w:id="30"/>
      </w:r>
      <w:r>
        <w:t xml:space="preserve">  </w:t>
      </w:r>
      <w:r w:rsidRPr="00FA40B9">
        <w:rPr>
          <w:szCs w:val="22"/>
        </w:rPr>
        <w:t>The Commission</w:t>
      </w:r>
      <w:r>
        <w:rPr>
          <w:szCs w:val="22"/>
        </w:rPr>
        <w:t xml:space="preserve"> also</w:t>
      </w:r>
      <w:r w:rsidRPr="00FA40B9">
        <w:rPr>
          <w:szCs w:val="22"/>
        </w:rPr>
        <w:t xml:space="preserve"> adopted a methodology for electing carriers’ low capacity</w:t>
      </w:r>
      <w:r>
        <w:rPr>
          <w:szCs w:val="22"/>
        </w:rPr>
        <w:t xml:space="preserve"> (DS3 and below)</w:t>
      </w:r>
      <w:r w:rsidRPr="00FA40B9">
        <w:rPr>
          <w:szCs w:val="22"/>
        </w:rPr>
        <w:t xml:space="preserve"> BDS to establish their initial </w:t>
      </w:r>
      <w:r w:rsidR="00406ED4">
        <w:rPr>
          <w:szCs w:val="22"/>
        </w:rPr>
        <w:t xml:space="preserve">and going forward </w:t>
      </w:r>
      <w:r w:rsidRPr="00FA40B9">
        <w:rPr>
          <w:szCs w:val="22"/>
        </w:rPr>
        <w:t>rates under incentive regulation</w:t>
      </w:r>
      <w:r>
        <w:rPr>
          <w:szCs w:val="22"/>
        </w:rPr>
        <w:t>.</w:t>
      </w:r>
      <w:r>
        <w:rPr>
          <w:rStyle w:val="FootnoteReference"/>
          <w:szCs w:val="22"/>
        </w:rPr>
        <w:footnoteReference w:id="31"/>
      </w:r>
      <w:r w:rsidRPr="00FA40B9">
        <w:rPr>
          <w:szCs w:val="22"/>
        </w:rPr>
        <w:t xml:space="preserve"> </w:t>
      </w:r>
      <w:r>
        <w:rPr>
          <w:szCs w:val="22"/>
        </w:rPr>
        <w:t xml:space="preserve"> The Commission granted electing carriers forbearance from cost assignment rules and separations rules and related reporting requirements,</w:t>
      </w:r>
      <w:r>
        <w:rPr>
          <w:rStyle w:val="FootnoteReference"/>
          <w:szCs w:val="22"/>
        </w:rPr>
        <w:footnoteReference w:id="32"/>
      </w:r>
      <w:r>
        <w:rPr>
          <w:szCs w:val="22"/>
        </w:rPr>
        <w:t xml:space="preserve"> </w:t>
      </w:r>
      <w:r w:rsidRPr="00FA40B9">
        <w:rPr>
          <w:szCs w:val="22"/>
        </w:rPr>
        <w:t>and allowed electing carriers subject to the separations category relationship freeze to opt out of the freeze and update their category relationships.</w:t>
      </w:r>
      <w:r>
        <w:rPr>
          <w:rStyle w:val="FootnoteReference"/>
          <w:szCs w:val="22"/>
        </w:rPr>
        <w:footnoteReference w:id="33"/>
      </w:r>
      <w:r w:rsidRPr="00FA40B9">
        <w:rPr>
          <w:szCs w:val="22"/>
        </w:rPr>
        <w:t xml:space="preserve"> </w:t>
      </w:r>
    </w:p>
    <w:p w:rsidR="00375EF9" w:rsidRPr="005718E4" w:rsidP="002609DB" w14:paraId="638BFCB6" w14:textId="77777777">
      <w:pPr>
        <w:pStyle w:val="ParaNum"/>
        <w:widowControl/>
        <w:numPr>
          <w:ilvl w:val="0"/>
          <w:numId w:val="2"/>
        </w:numPr>
        <w:tabs>
          <w:tab w:val="clear" w:pos="1080"/>
          <w:tab w:val="num" w:pos="1440"/>
        </w:tabs>
        <w:spacing w:line="259" w:lineRule="auto"/>
      </w:pPr>
      <w:bookmarkStart w:id="27" w:name="_Hlk160536495"/>
      <w:r>
        <w:rPr>
          <w:szCs w:val="22"/>
        </w:rPr>
        <w:t>To prevent internal cost-shifting among study areas, the Commission required “electing carriers to elect incentive regulation at the holding company-level for study areas in all states where that carrier receives fixed support.”</w:t>
      </w:r>
      <w:r>
        <w:rPr>
          <w:rStyle w:val="FootnoteReference"/>
          <w:szCs w:val="22"/>
        </w:rPr>
        <w:footnoteReference w:id="34"/>
      </w:r>
      <w:r>
        <w:rPr>
          <w:szCs w:val="22"/>
        </w:rPr>
        <w:t xml:space="preserve">  Although a voluntary </w:t>
      </w:r>
      <w:r w:rsidRPr="00FD072F">
        <w:t>election</w:t>
      </w:r>
      <w:r>
        <w:rPr>
          <w:szCs w:val="22"/>
        </w:rPr>
        <w:t>, the Commission made the election irrevocable, prohibiting carriers from returning their study areas to rate-of-return regulation.</w:t>
      </w:r>
      <w:r>
        <w:rPr>
          <w:rStyle w:val="FootnoteReference"/>
          <w:szCs w:val="22"/>
        </w:rPr>
        <w:footnoteReference w:id="35"/>
      </w:r>
      <w:r>
        <w:rPr>
          <w:szCs w:val="22"/>
        </w:rPr>
        <w:t xml:space="preserve">  </w:t>
      </w:r>
    </w:p>
    <w:p w:rsidR="00375EF9" w:rsidRPr="001C26E2" w:rsidP="002609DB" w14:paraId="0C6ABBEB" w14:textId="77777777">
      <w:pPr>
        <w:pStyle w:val="ParaNum"/>
        <w:widowControl/>
        <w:numPr>
          <w:ilvl w:val="0"/>
          <w:numId w:val="2"/>
        </w:numPr>
        <w:tabs>
          <w:tab w:val="clear" w:pos="1080"/>
          <w:tab w:val="num" w:pos="1440"/>
        </w:tabs>
        <w:spacing w:line="259" w:lineRule="auto"/>
      </w:pPr>
      <w:r>
        <w:rPr>
          <w:szCs w:val="22"/>
        </w:rPr>
        <w:t>The Commission adopted a 36-month transition period for electing carriers during which tariffing would be permissive followed by mandatory detariffing.</w:t>
      </w:r>
      <w:r>
        <w:rPr>
          <w:rStyle w:val="FootnoteReference"/>
          <w:szCs w:val="22"/>
        </w:rPr>
        <w:footnoteReference w:id="36"/>
      </w:r>
      <w:r>
        <w:rPr>
          <w:szCs w:val="22"/>
        </w:rPr>
        <w:t xml:space="preserve">  </w:t>
      </w:r>
      <w:bookmarkEnd w:id="27"/>
      <w:r w:rsidRPr="00055494">
        <w:rPr>
          <w:szCs w:val="22"/>
        </w:rPr>
        <w:t xml:space="preserve">The Commission required electing carriers to detariff their high capacity (above DS3) transport and end user channel termination services within </w:t>
      </w:r>
      <w:r>
        <w:rPr>
          <w:szCs w:val="22"/>
        </w:rPr>
        <w:t>36</w:t>
      </w:r>
      <w:r w:rsidRPr="00055494">
        <w:rPr>
          <w:szCs w:val="22"/>
        </w:rPr>
        <w:t xml:space="preserve"> months after the effective date of </w:t>
      </w:r>
      <w:r>
        <w:rPr>
          <w:szCs w:val="22"/>
        </w:rPr>
        <w:t>their</w:t>
      </w:r>
      <w:r w:rsidRPr="00055494">
        <w:rPr>
          <w:szCs w:val="22"/>
        </w:rPr>
        <w:t xml:space="preserve"> BDS election</w:t>
      </w:r>
      <w:r>
        <w:rPr>
          <w:szCs w:val="22"/>
        </w:rPr>
        <w:t xml:space="preserve"> and required electing carriers to </w:t>
      </w:r>
      <w:r w:rsidRPr="00055494">
        <w:rPr>
          <w:szCs w:val="22"/>
        </w:rPr>
        <w:t xml:space="preserve">detariff their low capacity (DS3 and below) end user channel termination services in competitive study areas within </w:t>
      </w:r>
      <w:r>
        <w:rPr>
          <w:szCs w:val="22"/>
        </w:rPr>
        <w:t>36</w:t>
      </w:r>
      <w:r w:rsidRPr="00055494">
        <w:rPr>
          <w:szCs w:val="22"/>
        </w:rPr>
        <w:t xml:space="preserve"> months after those services were deemed competitive.</w:t>
      </w:r>
      <w:r>
        <w:rPr>
          <w:rStyle w:val="FootnoteReference"/>
          <w:szCs w:val="22"/>
        </w:rPr>
        <w:footnoteReference w:id="37"/>
      </w:r>
      <w:r w:rsidRPr="00055494">
        <w:rPr>
          <w:szCs w:val="22"/>
        </w:rPr>
        <w:t xml:space="preserve">  </w:t>
      </w:r>
      <w:r>
        <w:rPr>
          <w:szCs w:val="22"/>
        </w:rPr>
        <w:t>Additionally, t</w:t>
      </w:r>
      <w:r w:rsidRPr="00055494">
        <w:rPr>
          <w:szCs w:val="22"/>
        </w:rPr>
        <w:t xml:space="preserve">he Commission required electing carriers to freeze their tariffed BDS rates no longer subject to ex ante pricing regulation for six months after electing incentive regulation or </w:t>
      </w:r>
      <w:r w:rsidRPr="00FD072F">
        <w:t>after</w:t>
      </w:r>
      <w:r w:rsidRPr="00055494">
        <w:rPr>
          <w:szCs w:val="22"/>
        </w:rPr>
        <w:t xml:space="preserve"> study areas offering low capacity end user channel termination services were deemed competitive, provided those rates remain tariffed.</w:t>
      </w:r>
      <w:r>
        <w:rPr>
          <w:rStyle w:val="FootnoteReference"/>
          <w:szCs w:val="22"/>
        </w:rPr>
        <w:footnoteReference w:id="38"/>
      </w:r>
      <w:r w:rsidRPr="00055494">
        <w:rPr>
          <w:szCs w:val="22"/>
        </w:rPr>
        <w:t xml:space="preserve">  </w:t>
      </w:r>
      <w:r>
        <w:rPr>
          <w:szCs w:val="22"/>
        </w:rPr>
        <w:t>Finally, the Commission required electing c</w:t>
      </w:r>
      <w:r w:rsidRPr="0081029F">
        <w:rPr>
          <w:szCs w:val="22"/>
        </w:rPr>
        <w:t xml:space="preserve">arriers to exit the NECA traffic sensitive pool for their BDS offerings but </w:t>
      </w:r>
      <w:r w:rsidRPr="0081029F">
        <w:rPr>
          <w:szCs w:val="22"/>
        </w:rPr>
        <w:t xml:space="preserve">allowed </w:t>
      </w:r>
      <w:r>
        <w:rPr>
          <w:szCs w:val="22"/>
        </w:rPr>
        <w:t xml:space="preserve">electing carriers </w:t>
      </w:r>
      <w:r w:rsidRPr="0081029F">
        <w:rPr>
          <w:szCs w:val="22"/>
        </w:rPr>
        <w:t>to continue participating in the NECA traffic sensitive tariff pool for access services other than BDS.</w:t>
      </w:r>
      <w:r>
        <w:rPr>
          <w:rStyle w:val="FootnoteReference"/>
          <w:szCs w:val="22"/>
        </w:rPr>
        <w:footnoteReference w:id="39"/>
      </w:r>
      <w:r w:rsidRPr="0081029F">
        <w:rPr>
          <w:szCs w:val="22"/>
        </w:rPr>
        <w:t xml:space="preserve">  </w:t>
      </w:r>
      <w:r w:rsidRPr="00055494">
        <w:rPr>
          <w:szCs w:val="22"/>
        </w:rPr>
        <w:t xml:space="preserve"> </w:t>
      </w:r>
      <w:bookmarkStart w:id="28" w:name="_Hlk160185507"/>
    </w:p>
    <w:p w:rsidR="001C26E2" w:rsidRPr="00696949" w:rsidP="002609DB" w14:paraId="277D7E8D" w14:textId="6FEB9412">
      <w:pPr>
        <w:pStyle w:val="ParaNum"/>
        <w:widowControl/>
        <w:numPr>
          <w:ilvl w:val="0"/>
          <w:numId w:val="2"/>
        </w:numPr>
        <w:tabs>
          <w:tab w:val="clear" w:pos="1080"/>
          <w:tab w:val="num" w:pos="1440"/>
        </w:tabs>
        <w:spacing w:line="259" w:lineRule="auto"/>
      </w:pPr>
      <w:r>
        <w:rPr>
          <w:szCs w:val="22"/>
        </w:rPr>
        <w:t>M</w:t>
      </w:r>
      <w:r w:rsidR="005B2ACD">
        <w:rPr>
          <w:szCs w:val="22"/>
        </w:rPr>
        <w:t>ore recently</w:t>
      </w:r>
      <w:r>
        <w:rPr>
          <w:szCs w:val="22"/>
        </w:rPr>
        <w:t>,</w:t>
      </w:r>
      <w:r w:rsidR="005B2ACD">
        <w:rPr>
          <w:szCs w:val="22"/>
        </w:rPr>
        <w:t xml:space="preserve"> the Commission has sought comment on a number of proposals </w:t>
      </w:r>
      <w:r w:rsidR="001E1E0E">
        <w:rPr>
          <w:szCs w:val="22"/>
        </w:rPr>
        <w:t xml:space="preserve">that could potentially </w:t>
      </w:r>
      <w:r w:rsidR="005B2ACD">
        <w:rPr>
          <w:szCs w:val="22"/>
        </w:rPr>
        <w:t>affect the annual tariff filing and TRP filing process.  In August 2025, the Commission sought comment on eliminating rate regulation and tariffing of business data services.</w:t>
      </w:r>
      <w:r>
        <w:rPr>
          <w:rStyle w:val="FootnoteReference"/>
          <w:szCs w:val="22"/>
        </w:rPr>
        <w:footnoteReference w:id="40"/>
      </w:r>
      <w:r w:rsidR="005B2ACD">
        <w:rPr>
          <w:szCs w:val="22"/>
        </w:rPr>
        <w:t xml:space="preserve">  The comment cycle for that proceeding has concluded.  Further, in February 2026 </w:t>
      </w:r>
      <w:r>
        <w:rPr>
          <w:szCs w:val="22"/>
        </w:rPr>
        <w:t xml:space="preserve">the Commission </w:t>
      </w:r>
      <w:r w:rsidR="005B2ACD">
        <w:rPr>
          <w:szCs w:val="22"/>
        </w:rPr>
        <w:t>sought</w:t>
      </w:r>
      <w:r>
        <w:rPr>
          <w:szCs w:val="22"/>
        </w:rPr>
        <w:t xml:space="preserve"> comment on transitioning </w:t>
      </w:r>
      <w:r w:rsidR="00406ED4">
        <w:rPr>
          <w:szCs w:val="22"/>
        </w:rPr>
        <w:t xml:space="preserve">all </w:t>
      </w:r>
      <w:r>
        <w:rPr>
          <w:szCs w:val="22"/>
        </w:rPr>
        <w:t xml:space="preserve">originating and terminating switched access </w:t>
      </w:r>
      <w:r w:rsidR="00B07709">
        <w:rPr>
          <w:szCs w:val="22"/>
        </w:rPr>
        <w:t xml:space="preserve">intercarrier </w:t>
      </w:r>
      <w:r>
        <w:rPr>
          <w:szCs w:val="22"/>
        </w:rPr>
        <w:t xml:space="preserve">charges to bill-and-keep, </w:t>
      </w:r>
      <w:r w:rsidRPr="00B07709" w:rsidR="00B07709">
        <w:rPr>
          <w:szCs w:val="22"/>
        </w:rPr>
        <w:t>eliminating ex ante rate regulation of switched access end user charges</w:t>
      </w:r>
      <w:r w:rsidR="00B07709">
        <w:rPr>
          <w:szCs w:val="22"/>
        </w:rPr>
        <w:t>,</w:t>
      </w:r>
      <w:r w:rsidRPr="00B07709" w:rsidR="00B07709">
        <w:rPr>
          <w:szCs w:val="22"/>
        </w:rPr>
        <w:t xml:space="preserve"> </w:t>
      </w:r>
      <w:r>
        <w:rPr>
          <w:szCs w:val="22"/>
        </w:rPr>
        <w:t>de</w:t>
      </w:r>
      <w:r w:rsidR="00406ED4">
        <w:rPr>
          <w:szCs w:val="22"/>
        </w:rPr>
        <w:t xml:space="preserve">tariffing these </w:t>
      </w:r>
      <w:r w:rsidRPr="00B07709" w:rsidR="00B07709">
        <w:rPr>
          <w:szCs w:val="22"/>
        </w:rPr>
        <w:t xml:space="preserve">intercarrier </w:t>
      </w:r>
      <w:r w:rsidRPr="00406ED4" w:rsidR="00406ED4">
        <w:rPr>
          <w:szCs w:val="22"/>
        </w:rPr>
        <w:t>and end-user charges</w:t>
      </w:r>
      <w:r w:rsidR="00B07709">
        <w:rPr>
          <w:szCs w:val="22"/>
        </w:rPr>
        <w:t>,</w:t>
      </w:r>
      <w:r>
        <w:rPr>
          <w:szCs w:val="22"/>
        </w:rPr>
        <w:t xml:space="preserve"> and phasing-out CAF ICC.</w:t>
      </w:r>
      <w:r>
        <w:rPr>
          <w:rStyle w:val="FootnoteReference"/>
          <w:szCs w:val="22"/>
        </w:rPr>
        <w:footnoteReference w:id="41"/>
      </w:r>
      <w:r>
        <w:rPr>
          <w:szCs w:val="22"/>
        </w:rPr>
        <w:t xml:space="preserve">  Comments </w:t>
      </w:r>
      <w:r w:rsidR="000E461B">
        <w:rPr>
          <w:szCs w:val="22"/>
        </w:rPr>
        <w:t xml:space="preserve">for that proceeding </w:t>
      </w:r>
      <w:r>
        <w:rPr>
          <w:szCs w:val="22"/>
        </w:rPr>
        <w:t>are due May 26, 2026</w:t>
      </w:r>
      <w:r w:rsidR="006458DB">
        <w:rPr>
          <w:szCs w:val="22"/>
        </w:rPr>
        <w:t>,</w:t>
      </w:r>
      <w:r w:rsidR="000E461B">
        <w:rPr>
          <w:szCs w:val="22"/>
        </w:rPr>
        <w:t xml:space="preserve"> and</w:t>
      </w:r>
      <w:r>
        <w:rPr>
          <w:szCs w:val="22"/>
        </w:rPr>
        <w:t xml:space="preserve"> reply comments are due </w:t>
      </w:r>
      <w:r w:rsidR="005B2ACD">
        <w:rPr>
          <w:szCs w:val="22"/>
        </w:rPr>
        <w:t>June 22, 2026.</w:t>
      </w:r>
      <w:r>
        <w:rPr>
          <w:rStyle w:val="FootnoteReference"/>
          <w:szCs w:val="22"/>
        </w:rPr>
        <w:footnoteReference w:id="42"/>
      </w:r>
      <w:r w:rsidR="005B2ACD">
        <w:rPr>
          <w:szCs w:val="22"/>
        </w:rPr>
        <w:t xml:space="preserve">  </w:t>
      </w:r>
    </w:p>
    <w:bookmarkEnd w:id="28"/>
    <w:p w:rsidR="00375EF9" w:rsidP="00375EF9" w14:paraId="75B7EC20" w14:textId="77777777">
      <w:pPr>
        <w:pStyle w:val="Heading1"/>
      </w:pPr>
      <w:r>
        <w:t>implementation of the commission’s orders</w:t>
      </w:r>
    </w:p>
    <w:p w:rsidR="00375EF9" w:rsidP="00375EF9" w14:paraId="2BEA8BF3" w14:textId="77777777">
      <w:pPr>
        <w:pStyle w:val="Heading2"/>
      </w:pPr>
      <w:r>
        <w:t>Annual Tariff Filing Rate-Level Limitation</w:t>
      </w:r>
    </w:p>
    <w:p w:rsidR="00375EF9" w:rsidRPr="00F4473D" w:rsidP="002609DB" w14:paraId="6007BAB9" w14:textId="79B58919">
      <w:pPr>
        <w:pStyle w:val="ParaNum"/>
        <w:widowControl/>
        <w:numPr>
          <w:ilvl w:val="0"/>
          <w:numId w:val="2"/>
        </w:numPr>
        <w:tabs>
          <w:tab w:val="clear" w:pos="1080"/>
          <w:tab w:val="num" w:pos="1440"/>
        </w:tabs>
        <w:spacing w:line="259" w:lineRule="auto"/>
        <w:rPr>
          <w:szCs w:val="22"/>
        </w:rPr>
      </w:pPr>
      <w:r w:rsidRPr="00B359AB">
        <w:rPr>
          <w:szCs w:val="22"/>
        </w:rPr>
        <w:t>Section 69.3(a)</w:t>
      </w:r>
      <w:r w:rsidR="009303BB">
        <w:rPr>
          <w:szCs w:val="22"/>
        </w:rPr>
        <w:t xml:space="preserve"> </w:t>
      </w:r>
      <w:r w:rsidRPr="00B359AB">
        <w:rPr>
          <w:szCs w:val="22"/>
        </w:rPr>
        <w:t xml:space="preserve">of the Commission’s rules </w:t>
      </w:r>
      <w:r>
        <w:rPr>
          <w:szCs w:val="22"/>
        </w:rPr>
        <w:t xml:space="preserve">requires carriers to file </w:t>
      </w:r>
      <w:r w:rsidRPr="00893CB8">
        <w:rPr>
          <w:szCs w:val="22"/>
        </w:rPr>
        <w:t>a</w:t>
      </w:r>
      <w:r>
        <w:rPr>
          <w:szCs w:val="22"/>
        </w:rPr>
        <w:t xml:space="preserve">n access charge </w:t>
      </w:r>
      <w:r w:rsidRPr="00893CB8">
        <w:rPr>
          <w:szCs w:val="22"/>
        </w:rPr>
        <w:t>tariff with th</w:t>
      </w:r>
      <w:r>
        <w:rPr>
          <w:szCs w:val="22"/>
        </w:rPr>
        <w:t>e</w:t>
      </w:r>
      <w:r w:rsidRPr="00893CB8">
        <w:rPr>
          <w:szCs w:val="22"/>
        </w:rPr>
        <w:t xml:space="preserve"> Commission for a two-year period</w:t>
      </w:r>
      <w:r>
        <w:rPr>
          <w:szCs w:val="22"/>
        </w:rPr>
        <w:t xml:space="preserve"> </w:t>
      </w:r>
      <w:r w:rsidRPr="00893CB8">
        <w:rPr>
          <w:szCs w:val="22"/>
        </w:rPr>
        <w:t>with a scheduled effective date of July 1</w:t>
      </w:r>
      <w:r>
        <w:rPr>
          <w:szCs w:val="22"/>
        </w:rPr>
        <w:t xml:space="preserve"> and limits</w:t>
      </w:r>
      <w:r w:rsidRPr="00893CB8">
        <w:rPr>
          <w:szCs w:val="22"/>
        </w:rPr>
        <w:t xml:space="preserve"> </w:t>
      </w:r>
      <w:r>
        <w:rPr>
          <w:szCs w:val="22"/>
        </w:rPr>
        <w:t>s</w:t>
      </w:r>
      <w:r w:rsidRPr="00893CB8">
        <w:rPr>
          <w:szCs w:val="22"/>
        </w:rPr>
        <w:t>uch tariff filings to rate</w:t>
      </w:r>
      <w:r>
        <w:rPr>
          <w:szCs w:val="22"/>
        </w:rPr>
        <w:t>-</w:t>
      </w:r>
      <w:r w:rsidRPr="00893CB8">
        <w:rPr>
          <w:szCs w:val="22"/>
        </w:rPr>
        <w:t>level changes.</w:t>
      </w:r>
      <w:r>
        <w:rPr>
          <w:rStyle w:val="FootnoteReference"/>
          <w:sz w:val="22"/>
        </w:rPr>
        <w:footnoteReference w:id="43"/>
      </w:r>
      <w:r w:rsidRPr="00B359AB">
        <w:rPr>
          <w:szCs w:val="22"/>
        </w:rPr>
        <w:t xml:space="preserve">  </w:t>
      </w:r>
      <w:r w:rsidR="009303BB">
        <w:rPr>
          <w:szCs w:val="22"/>
        </w:rPr>
        <w:t xml:space="preserve">Similarly, section 69.3(h) of the Commission’s rules requires price cap carriers to file an access charge tariff filing with the Commission for a one-year period with a scheduled effective date of July 1 and limits such tariff filings to </w:t>
      </w:r>
      <w:r w:rsidRPr="009303BB" w:rsidR="009303BB">
        <w:rPr>
          <w:szCs w:val="22"/>
        </w:rPr>
        <w:t>changes in the Price Cap Indexes, rate level changes, and the incorporation of new services into the affected indexes</w:t>
      </w:r>
      <w:r w:rsidR="009303BB">
        <w:rPr>
          <w:szCs w:val="22"/>
        </w:rPr>
        <w:t>.</w:t>
      </w:r>
      <w:r>
        <w:rPr>
          <w:rStyle w:val="FootnoteReference"/>
          <w:szCs w:val="22"/>
        </w:rPr>
        <w:footnoteReference w:id="44"/>
      </w:r>
      <w:r w:rsidR="009303BB">
        <w:rPr>
          <w:szCs w:val="22"/>
        </w:rPr>
        <w:t xml:space="preserve">  </w:t>
      </w:r>
      <w:r w:rsidRPr="00F4473D">
        <w:rPr>
          <w:szCs w:val="22"/>
        </w:rPr>
        <w:t xml:space="preserve">We find good cause to waive </w:t>
      </w:r>
      <w:r w:rsidR="009303BB">
        <w:rPr>
          <w:szCs w:val="22"/>
        </w:rPr>
        <w:t>the rate level change</w:t>
      </w:r>
      <w:r w:rsidRPr="00F4473D" w:rsidR="009303BB">
        <w:rPr>
          <w:szCs w:val="22"/>
        </w:rPr>
        <w:t xml:space="preserve"> </w:t>
      </w:r>
      <w:r w:rsidRPr="00F4473D">
        <w:rPr>
          <w:szCs w:val="22"/>
        </w:rPr>
        <w:t>limitation</w:t>
      </w:r>
      <w:r w:rsidR="004D5D9D">
        <w:rPr>
          <w:szCs w:val="22"/>
        </w:rPr>
        <w:t>s</w:t>
      </w:r>
      <w:r w:rsidRPr="00F4473D">
        <w:rPr>
          <w:szCs w:val="22"/>
        </w:rPr>
        <w:t xml:space="preserve"> </w:t>
      </w:r>
      <w:r w:rsidR="004D5D9D">
        <w:rPr>
          <w:szCs w:val="22"/>
        </w:rPr>
        <w:t xml:space="preserve">in section 69(a) and (h) of the Commission’s rules </w:t>
      </w:r>
      <w:r w:rsidRPr="00F4473D">
        <w:rPr>
          <w:szCs w:val="22"/>
        </w:rPr>
        <w:t xml:space="preserve">in order to facilitate implementation of non-rate-level reforms associated with the </w:t>
      </w:r>
      <w:r w:rsidRPr="00F4473D">
        <w:rPr>
          <w:i/>
          <w:szCs w:val="22"/>
        </w:rPr>
        <w:t>USF/ICC Transformation Order</w:t>
      </w:r>
      <w:r w:rsidRPr="00F4473D">
        <w:rPr>
          <w:szCs w:val="22"/>
        </w:rPr>
        <w:t xml:space="preserve">, </w:t>
      </w:r>
      <w:r w:rsidRPr="00F4473D">
        <w:rPr>
          <w:i/>
          <w:szCs w:val="22"/>
        </w:rPr>
        <w:t>Rate-of-Return Reform Order</w:t>
      </w:r>
      <w:r w:rsidRPr="00F4473D">
        <w:rPr>
          <w:szCs w:val="22"/>
        </w:rPr>
        <w:t xml:space="preserve">, </w:t>
      </w:r>
      <w:r>
        <w:rPr>
          <w:szCs w:val="22"/>
        </w:rPr>
        <w:t xml:space="preserve">and </w:t>
      </w:r>
      <w:r w:rsidRPr="00F4473D">
        <w:rPr>
          <w:i/>
          <w:szCs w:val="22"/>
        </w:rPr>
        <w:t xml:space="preserve">Rate-of-Return </w:t>
      </w:r>
      <w:r>
        <w:rPr>
          <w:i/>
          <w:szCs w:val="22"/>
        </w:rPr>
        <w:t>BDS</w:t>
      </w:r>
      <w:r w:rsidRPr="00F4473D">
        <w:rPr>
          <w:i/>
          <w:szCs w:val="22"/>
        </w:rPr>
        <w:t xml:space="preserve"> Order</w:t>
      </w:r>
      <w:r w:rsidRPr="00F4473D">
        <w:rPr>
          <w:szCs w:val="22"/>
        </w:rPr>
        <w:t>.</w:t>
      </w:r>
      <w:r>
        <w:rPr>
          <w:rStyle w:val="FootnoteReference"/>
          <w:szCs w:val="22"/>
        </w:rPr>
        <w:footnoteReference w:id="45"/>
      </w:r>
      <w:r w:rsidRPr="00F4473D">
        <w:rPr>
          <w:szCs w:val="22"/>
        </w:rPr>
        <w:t xml:space="preserve">  This waiver is consistent with actions </w:t>
      </w:r>
      <w:r>
        <w:rPr>
          <w:szCs w:val="22"/>
        </w:rPr>
        <w:t>the Bureau has</w:t>
      </w:r>
      <w:r w:rsidRPr="00F4473D">
        <w:rPr>
          <w:szCs w:val="22"/>
        </w:rPr>
        <w:t xml:space="preserve"> taken in prior annual access tariff filing periods.</w:t>
      </w:r>
      <w:r>
        <w:rPr>
          <w:rStyle w:val="FootnoteReference"/>
          <w:sz w:val="22"/>
        </w:rPr>
        <w:footnoteReference w:id="46"/>
      </w:r>
      <w:r w:rsidRPr="00F4473D">
        <w:rPr>
          <w:szCs w:val="22"/>
        </w:rPr>
        <w:t xml:space="preserve"> </w:t>
      </w:r>
      <w:r>
        <w:rPr>
          <w:szCs w:val="22"/>
        </w:rPr>
        <w:t xml:space="preserve"> </w:t>
      </w:r>
    </w:p>
    <w:p w:rsidR="00375EF9" w:rsidP="00375EF9" w14:paraId="2393360F" w14:textId="77777777">
      <w:pPr>
        <w:pStyle w:val="Heading2"/>
      </w:pPr>
      <w:r>
        <w:t>Exogenous Costs</w:t>
      </w:r>
    </w:p>
    <w:p w:rsidR="00375EF9" w:rsidP="002609DB" w14:paraId="618D91AC" w14:textId="395A1483">
      <w:pPr>
        <w:pStyle w:val="ParaNum"/>
        <w:widowControl/>
        <w:numPr>
          <w:ilvl w:val="0"/>
          <w:numId w:val="2"/>
        </w:numPr>
        <w:tabs>
          <w:tab w:val="clear" w:pos="1080"/>
          <w:tab w:val="num" w:pos="1440"/>
        </w:tabs>
        <w:spacing w:line="259" w:lineRule="auto"/>
      </w:pPr>
      <w:r>
        <w:t>R</w:t>
      </w:r>
      <w:r w:rsidRPr="005939F2">
        <w:t xml:space="preserve">ate-of-return carriers receiving model-based universal service support may recover increases in telecommunications relay service (TRS) fees, regulatory fees, and North American Numbering Plan Administration (NANPA) fees (collectively, exogenous costs) attributable to common </w:t>
      </w:r>
      <w:r w:rsidRPr="005939F2">
        <w:t>line through tariffed end</w:t>
      </w:r>
      <w:r>
        <w:t>-</w:t>
      </w:r>
      <w:r w:rsidRPr="005939F2">
        <w:t>user charges and CAF ICC support.</w:t>
      </w:r>
      <w:r>
        <w:rPr>
          <w:rStyle w:val="FootnoteReference"/>
        </w:rPr>
        <w:footnoteReference w:id="47"/>
      </w:r>
      <w:r>
        <w:t xml:space="preserve"> </w:t>
      </w:r>
      <w:r w:rsidRPr="005939F2">
        <w:t xml:space="preserve"> </w:t>
      </w:r>
      <w:r w:rsidR="00515E57">
        <w:t>We remind m</w:t>
      </w:r>
      <w:r>
        <w:t xml:space="preserve">odel-based rate-of-return carriers </w:t>
      </w:r>
      <w:r w:rsidR="00515E57">
        <w:t xml:space="preserve">that they </w:t>
      </w:r>
      <w:r>
        <w:t>must first look to recover exogenous cost increases attributable to common line through their subscriber line charges (SLCs), special access surcharges, and line port charges up to the maximum rate caps permitted for these carriers by the Commission’s rules.</w:t>
      </w:r>
      <w:r>
        <w:rPr>
          <w:rStyle w:val="FootnoteReference"/>
        </w:rPr>
        <w:footnoteReference w:id="48"/>
      </w:r>
      <w:r>
        <w:t xml:space="preserve">  To the extent that model-based rate-of-return carriers are charging maximum SLCs, special access surcharges, and/or line port charges, they may recover otherwise unrecoverable exogenous cost increases attributable to common line through Eligible Recovery (ARCs, then, where eligible and if they so elect, CAF ICC support).</w:t>
      </w:r>
      <w:r>
        <w:rPr>
          <w:rStyle w:val="FootnoteReference"/>
        </w:rPr>
        <w:footnoteReference w:id="49"/>
      </w:r>
      <w:r>
        <w:t xml:space="preserve">  </w:t>
      </w:r>
      <w:r w:rsidR="00E826E3">
        <w:t>M</w:t>
      </w:r>
      <w:r>
        <w:t>odel-based rate-of-return carriers that are charging less than the maximum SLCs, special access surcharges, and/or line port charges permitted for these carriers</w:t>
      </w:r>
      <w:r>
        <w:rPr>
          <w:rStyle w:val="FootnoteReference"/>
        </w:rPr>
        <w:footnoteReference w:id="50"/>
      </w:r>
      <w:r>
        <w:t xml:space="preserve"> </w:t>
      </w:r>
      <w:r w:rsidR="00E826E3">
        <w:t xml:space="preserve">are reminded </w:t>
      </w:r>
      <w:r w:rsidR="001B3A4A">
        <w:t xml:space="preserve">that they </w:t>
      </w:r>
      <w:r>
        <w:t>may not recover any portion of exogenous cost increases attributable to common line through Eligible Recovery.</w:t>
      </w:r>
      <w:r>
        <w:rPr>
          <w:rStyle w:val="FootnoteReference"/>
        </w:rPr>
        <w:footnoteReference w:id="51"/>
      </w:r>
      <w:r>
        <w:t xml:space="preserve">  </w:t>
      </w:r>
    </w:p>
    <w:p w:rsidR="00375EF9" w:rsidP="002609DB" w14:paraId="0F1A647B" w14:textId="7064B379">
      <w:pPr>
        <w:pStyle w:val="ParaNum"/>
        <w:widowControl/>
        <w:numPr>
          <w:ilvl w:val="0"/>
          <w:numId w:val="2"/>
        </w:numPr>
        <w:tabs>
          <w:tab w:val="clear" w:pos="1080"/>
          <w:tab w:val="num" w:pos="1440"/>
        </w:tabs>
        <w:spacing w:line="259" w:lineRule="auto"/>
      </w:pPr>
      <w:r>
        <w:t xml:space="preserve">We </w:t>
      </w:r>
      <w:r w:rsidR="00CD1C31">
        <w:t>request</w:t>
      </w:r>
      <w:r w:rsidR="00210720">
        <w:t xml:space="preserve"> that</w:t>
      </w:r>
      <w:r w:rsidR="00CD1C31">
        <w:t xml:space="preserve"> </w:t>
      </w:r>
      <w:r w:rsidR="00210720">
        <w:t>m</w:t>
      </w:r>
      <w:r>
        <w:t>odel-based rate-of-return carriers that voluntarily reduce their SLCs,</w:t>
      </w:r>
      <w:r w:rsidRPr="00DF7D5A">
        <w:t xml:space="preserve"> </w:t>
      </w:r>
      <w:r>
        <w:t xml:space="preserve">special access surcharges, and/or line port charges below the maximums allowed under the Commission’s rules and seek to recover exogenous cost increases attributable to switched access (other than common line) through Eligible Recovery continue to maintain and make </w:t>
      </w:r>
      <w:r w:rsidRPr="001C32C1">
        <w:t xml:space="preserve">available upon request to Commission staff </w:t>
      </w:r>
      <w:r>
        <w:t>a worksheet reporting the portions of the total increases attributable to common line, switched access (other than common line), and special access.</w:t>
      </w:r>
      <w:r>
        <w:rPr>
          <w:rStyle w:val="FootnoteReference"/>
        </w:rPr>
        <w:footnoteReference w:id="52"/>
      </w:r>
      <w:r>
        <w:t xml:space="preserve">  This will ensure model-based rate-of-return carriers </w:t>
      </w:r>
      <w:r w:rsidRPr="0066401B">
        <w:t>that voluntarily reduce</w:t>
      </w:r>
      <w:r>
        <w:t xml:space="preserve"> common-line rates </w:t>
      </w:r>
      <w:r w:rsidRPr="00A877A8">
        <w:t xml:space="preserve">do not add </w:t>
      </w:r>
      <w:r>
        <w:t>exogenous cost increases attributable to common line to Eligible Recovery</w:t>
      </w:r>
      <w:r w:rsidRPr="00A877A8">
        <w:t xml:space="preserve"> for recovery through ARCs or CAF ICC</w:t>
      </w:r>
      <w:r>
        <w:t xml:space="preserve"> support.</w:t>
      </w:r>
      <w:r>
        <w:rPr>
          <w:rStyle w:val="FootnoteReference"/>
        </w:rPr>
        <w:footnoteReference w:id="53"/>
      </w:r>
      <w:r>
        <w:t xml:space="preserve">  We ask that this worksheet be prepared twice, once for the original filing, and again as support for the two year true-up.</w:t>
      </w:r>
      <w:r>
        <w:rPr>
          <w:rStyle w:val="FootnoteReference"/>
        </w:rPr>
        <w:footnoteReference w:id="54"/>
      </w:r>
    </w:p>
    <w:p w:rsidR="00375EF9" w:rsidRPr="00FC6FB2" w:rsidP="00375EF9" w14:paraId="028D72DE" w14:textId="77777777">
      <w:pPr>
        <w:pStyle w:val="Heading2"/>
        <w:rPr>
          <w:snapToGrid/>
          <w:kern w:val="0"/>
          <w:szCs w:val="22"/>
        </w:rPr>
      </w:pPr>
      <w:r>
        <w:t xml:space="preserve">Rate-of-Return Carriers’ </w:t>
      </w:r>
      <w:r w:rsidRPr="00FC6FB2">
        <w:t>Consumer Broadband-</w:t>
      </w:r>
      <w:r>
        <w:t>O</w:t>
      </w:r>
      <w:r w:rsidRPr="00FC6FB2">
        <w:t>nly Loop (CBOL) Rates</w:t>
      </w:r>
    </w:p>
    <w:p w:rsidR="00375EF9" w:rsidRPr="00096BF1" w:rsidP="002609DB" w14:paraId="077C5A43" w14:textId="3A50EBAA">
      <w:pPr>
        <w:pStyle w:val="ParaNum"/>
        <w:widowControl/>
        <w:numPr>
          <w:ilvl w:val="0"/>
          <w:numId w:val="2"/>
        </w:numPr>
        <w:tabs>
          <w:tab w:val="clear" w:pos="1080"/>
          <w:tab w:val="num" w:pos="1440"/>
        </w:tabs>
        <w:spacing w:line="259" w:lineRule="auto"/>
        <w:rPr>
          <w:szCs w:val="22"/>
        </w:rPr>
      </w:pPr>
      <w:r>
        <w:rPr>
          <w:szCs w:val="22"/>
        </w:rPr>
        <w:t>P</w:t>
      </w:r>
      <w:r w:rsidRPr="00B359AB">
        <w:rPr>
          <w:snapToGrid/>
          <w:kern w:val="0"/>
          <w:szCs w:val="22"/>
        </w:rPr>
        <w:t xml:space="preserve">ursuant to the </w:t>
      </w:r>
      <w:r w:rsidRPr="00B359AB">
        <w:rPr>
          <w:i/>
          <w:snapToGrid/>
          <w:kern w:val="0"/>
          <w:szCs w:val="22"/>
        </w:rPr>
        <w:t>USF/ICC Transformation Order</w:t>
      </w:r>
      <w:r w:rsidRPr="00B359AB">
        <w:rPr>
          <w:snapToGrid/>
          <w:kern w:val="0"/>
          <w:szCs w:val="22"/>
        </w:rPr>
        <w:t xml:space="preserve">, all rate-of-return </w:t>
      </w:r>
      <w:r>
        <w:rPr>
          <w:snapToGrid/>
          <w:kern w:val="0"/>
          <w:szCs w:val="22"/>
        </w:rPr>
        <w:t>carriers</w:t>
      </w:r>
      <w:r w:rsidRPr="00B359AB">
        <w:rPr>
          <w:snapToGrid/>
          <w:kern w:val="0"/>
          <w:szCs w:val="22"/>
        </w:rPr>
        <w:t xml:space="preserve"> must </w:t>
      </w:r>
      <w:r w:rsidR="00776EA7">
        <w:rPr>
          <w:snapToGrid/>
          <w:kern w:val="0"/>
          <w:szCs w:val="22"/>
        </w:rPr>
        <w:t xml:space="preserve">annually </w:t>
      </w:r>
      <w:r w:rsidRPr="00B359AB">
        <w:rPr>
          <w:snapToGrid/>
          <w:kern w:val="0"/>
          <w:szCs w:val="22"/>
        </w:rPr>
        <w:t xml:space="preserve">file a TRP </w:t>
      </w:r>
      <w:r w:rsidR="00772AC0">
        <w:rPr>
          <w:snapToGrid/>
          <w:kern w:val="0"/>
          <w:szCs w:val="22"/>
        </w:rPr>
        <w:t>each</w:t>
      </w:r>
      <w:r w:rsidRPr="00B359AB">
        <w:rPr>
          <w:snapToGrid/>
          <w:kern w:val="0"/>
          <w:szCs w:val="22"/>
        </w:rPr>
        <w:t xml:space="preserve"> year to comply with the </w:t>
      </w:r>
      <w:r w:rsidRPr="002609DB">
        <w:t>requirements</w:t>
      </w:r>
      <w:r w:rsidRPr="00B359AB">
        <w:rPr>
          <w:snapToGrid/>
          <w:kern w:val="0"/>
          <w:szCs w:val="22"/>
        </w:rPr>
        <w:t xml:space="preserve"> of sections 51.917(d)</w:t>
      </w:r>
      <w:r>
        <w:rPr>
          <w:snapToGrid/>
          <w:kern w:val="0"/>
          <w:szCs w:val="22"/>
        </w:rPr>
        <w:t>(1)</w:t>
      </w:r>
      <w:r w:rsidRPr="00B359AB">
        <w:rPr>
          <w:snapToGrid/>
          <w:kern w:val="0"/>
          <w:szCs w:val="22"/>
        </w:rPr>
        <w:t>(iv), and 51.917(e) of the Commission’s rules.</w:t>
      </w:r>
      <w:r>
        <w:rPr>
          <w:kern w:val="0"/>
          <w:vertAlign w:val="superscript"/>
        </w:rPr>
        <w:footnoteReference w:id="55"/>
      </w:r>
      <w:r w:rsidRPr="00B359AB">
        <w:rPr>
          <w:snapToGrid/>
          <w:kern w:val="0"/>
          <w:szCs w:val="22"/>
        </w:rPr>
        <w:t xml:space="preserve">  </w:t>
      </w:r>
      <w:r w:rsidR="00062F44">
        <w:rPr>
          <w:snapToGrid/>
          <w:kern w:val="0"/>
          <w:szCs w:val="22"/>
        </w:rPr>
        <w:t>Specifically, w</w:t>
      </w:r>
      <w:r w:rsidR="00F83E7A">
        <w:rPr>
          <w:snapToGrid/>
          <w:kern w:val="0"/>
          <w:szCs w:val="22"/>
        </w:rPr>
        <w:t xml:space="preserve">e remind </w:t>
      </w:r>
      <w:r w:rsidR="00F83E7A">
        <w:rPr>
          <w:szCs w:val="22"/>
        </w:rPr>
        <w:t>r</w:t>
      </w:r>
      <w:r w:rsidRPr="00096BF1">
        <w:rPr>
          <w:szCs w:val="22"/>
        </w:rPr>
        <w:t xml:space="preserve">ate-of-return carriers that provide CBOL service and receive CAF BLS </w:t>
      </w:r>
      <w:r w:rsidR="00F83E7A">
        <w:rPr>
          <w:szCs w:val="22"/>
        </w:rPr>
        <w:t xml:space="preserve">that they </w:t>
      </w:r>
      <w:r w:rsidRPr="00096BF1">
        <w:rPr>
          <w:szCs w:val="22"/>
        </w:rPr>
        <w:t xml:space="preserve">are required to revise their CBOL rates to reflect the level of </w:t>
      </w:r>
      <w:bookmarkStart w:id="30" w:name="_Hlk508972931"/>
      <w:r w:rsidRPr="00096BF1">
        <w:rPr>
          <w:szCs w:val="22"/>
        </w:rPr>
        <w:t xml:space="preserve">CAF BLS </w:t>
      </w:r>
      <w:bookmarkEnd w:id="30"/>
      <w:r w:rsidRPr="00096BF1">
        <w:rPr>
          <w:szCs w:val="22"/>
        </w:rPr>
        <w:t>they expect to receive this coming tariff year.</w:t>
      </w:r>
      <w:r>
        <w:rPr>
          <w:vertAlign w:val="superscript"/>
        </w:rPr>
        <w:footnoteReference w:id="56"/>
      </w:r>
      <w:r w:rsidRPr="00E7413E">
        <w:t xml:space="preserve"> </w:t>
      </w:r>
      <w:r w:rsidRPr="00096BF1">
        <w:rPr>
          <w:szCs w:val="22"/>
        </w:rPr>
        <w:t xml:space="preserve"> </w:t>
      </w:r>
      <w:r w:rsidR="00EE5D76">
        <w:rPr>
          <w:szCs w:val="22"/>
        </w:rPr>
        <w:t>R</w:t>
      </w:r>
      <w:r w:rsidRPr="00096BF1">
        <w:rPr>
          <w:szCs w:val="22"/>
        </w:rPr>
        <w:t xml:space="preserve">ate-of-return carriers subject to section </w:t>
      </w:r>
      <w:r w:rsidR="005B5C41">
        <w:rPr>
          <w:szCs w:val="22"/>
        </w:rPr>
        <w:t>61.38</w:t>
      </w:r>
      <w:r w:rsidRPr="00096BF1">
        <w:rPr>
          <w:szCs w:val="22"/>
        </w:rPr>
        <w:t xml:space="preserve"> of the Commission’s rules</w:t>
      </w:r>
      <w:r w:rsidR="00EE5D76">
        <w:rPr>
          <w:szCs w:val="22"/>
        </w:rPr>
        <w:t xml:space="preserve"> are reminded</w:t>
      </w:r>
      <w:r w:rsidRPr="00096BF1">
        <w:rPr>
          <w:szCs w:val="22"/>
        </w:rPr>
        <w:t xml:space="preserve"> </w:t>
      </w:r>
      <w:r w:rsidR="00F83E7A">
        <w:rPr>
          <w:szCs w:val="22"/>
        </w:rPr>
        <w:t xml:space="preserve">that they </w:t>
      </w:r>
      <w:r w:rsidRPr="00096BF1">
        <w:rPr>
          <w:szCs w:val="22"/>
        </w:rPr>
        <w:t xml:space="preserve">must base rate-of-return regulated rates for the coming tariff </w:t>
      </w:r>
      <w:r w:rsidRPr="00096BF1">
        <w:rPr>
          <w:szCs w:val="22"/>
        </w:rPr>
        <w:t>year on new cost studies.</w:t>
      </w:r>
      <w:r>
        <w:rPr>
          <w:vertAlign w:val="superscript"/>
        </w:rPr>
        <w:footnoteReference w:id="57"/>
      </w:r>
      <w:r w:rsidRPr="00096BF1">
        <w:rPr>
          <w:szCs w:val="22"/>
        </w:rPr>
        <w:t xml:space="preserve">  </w:t>
      </w:r>
      <w:r w:rsidR="00F83E7A">
        <w:rPr>
          <w:szCs w:val="22"/>
        </w:rPr>
        <w:t xml:space="preserve">We </w:t>
      </w:r>
      <w:r w:rsidR="00EE5D76">
        <w:rPr>
          <w:szCs w:val="22"/>
        </w:rPr>
        <w:t xml:space="preserve">also </w:t>
      </w:r>
      <w:r w:rsidR="00F83E7A">
        <w:rPr>
          <w:szCs w:val="22"/>
        </w:rPr>
        <w:t>remind r</w:t>
      </w:r>
      <w:r w:rsidRPr="00096BF1">
        <w:rPr>
          <w:szCs w:val="22"/>
        </w:rPr>
        <w:t xml:space="preserve">ate-of-return carriers subject to section </w:t>
      </w:r>
      <w:r w:rsidR="005B5C41">
        <w:rPr>
          <w:szCs w:val="22"/>
        </w:rPr>
        <w:t>61.39</w:t>
      </w:r>
      <w:r w:rsidRPr="00096BF1">
        <w:rPr>
          <w:szCs w:val="22"/>
        </w:rPr>
        <w:t xml:space="preserve"> of the Commission’s rules </w:t>
      </w:r>
      <w:r w:rsidR="00F83E7A">
        <w:rPr>
          <w:szCs w:val="22"/>
        </w:rPr>
        <w:t xml:space="preserve">that they </w:t>
      </w:r>
      <w:r w:rsidRPr="00096BF1">
        <w:rPr>
          <w:szCs w:val="22"/>
        </w:rPr>
        <w:t xml:space="preserve">may base </w:t>
      </w:r>
      <w:r w:rsidRPr="00E7413E">
        <w:t xml:space="preserve">rates for services subject to rate-of-return regulation </w:t>
      </w:r>
      <w:r>
        <w:t xml:space="preserve">on </w:t>
      </w:r>
      <w:r w:rsidRPr="00E7413E">
        <w:t xml:space="preserve">last year’s </w:t>
      </w:r>
      <w:r>
        <w:t xml:space="preserve">cost </w:t>
      </w:r>
      <w:r w:rsidRPr="00E7413E">
        <w:t>studies</w:t>
      </w:r>
      <w:r>
        <w:t>, or may elect to conduct new cost studies</w:t>
      </w:r>
      <w:r w:rsidRPr="00096BF1">
        <w:rPr>
          <w:rFonts w:eastAsia="Calibri"/>
          <w:kern w:val="0"/>
        </w:rPr>
        <w:t>.</w:t>
      </w:r>
      <w:r>
        <w:rPr>
          <w:rStyle w:val="FootnoteReference"/>
          <w:rFonts w:eastAsia="Calibri"/>
          <w:kern w:val="0"/>
          <w:sz w:val="22"/>
        </w:rPr>
        <w:footnoteReference w:id="58"/>
      </w:r>
      <w:r w:rsidRPr="00096BF1">
        <w:rPr>
          <w:rFonts w:eastAsia="Calibri"/>
          <w:snapToGrid/>
          <w:kern w:val="0"/>
          <w:szCs w:val="22"/>
        </w:rPr>
        <w:t xml:space="preserve">  </w:t>
      </w:r>
    </w:p>
    <w:p w:rsidR="00375EF9" w:rsidRPr="00B359AB" w:rsidP="002609DB" w14:paraId="489F64E1" w14:textId="4D6D9D18">
      <w:pPr>
        <w:pStyle w:val="ParaNum"/>
        <w:widowControl/>
        <w:numPr>
          <w:ilvl w:val="0"/>
          <w:numId w:val="2"/>
        </w:numPr>
        <w:tabs>
          <w:tab w:val="clear" w:pos="1080"/>
          <w:tab w:val="num" w:pos="1440"/>
        </w:tabs>
        <w:spacing w:line="259" w:lineRule="auto"/>
        <w:rPr>
          <w:szCs w:val="22"/>
        </w:rPr>
      </w:pPr>
      <w:r w:rsidRPr="00B359AB">
        <w:rPr>
          <w:szCs w:val="22"/>
        </w:rPr>
        <w:t xml:space="preserve">We remind rate-of-return </w:t>
      </w:r>
      <w:r>
        <w:rPr>
          <w:szCs w:val="22"/>
        </w:rPr>
        <w:t>carriers</w:t>
      </w:r>
      <w:r w:rsidRPr="00B359AB">
        <w:rPr>
          <w:szCs w:val="22"/>
        </w:rPr>
        <w:t xml:space="preserve"> that offer CBOL service that they are responsible for ensuring that all relevant carrier data is </w:t>
      </w:r>
      <w:r w:rsidRPr="00FD072F">
        <w:t>reflected</w:t>
      </w:r>
      <w:r w:rsidRPr="00B359AB">
        <w:rPr>
          <w:szCs w:val="22"/>
        </w:rPr>
        <w:t xml:space="preserve"> in TRPs filed with the Commission, whether CBOLs are provided on a tariffed or detariffed basis.  Thus, </w:t>
      </w:r>
      <w:bookmarkStart w:id="33" w:name="OLE_LINK7"/>
      <w:bookmarkStart w:id="34" w:name="OLE_LINK8"/>
      <w:bookmarkStart w:id="35" w:name="OLE_LINK9"/>
      <w:r w:rsidR="00F83E7A">
        <w:rPr>
          <w:szCs w:val="22"/>
        </w:rPr>
        <w:t xml:space="preserve">we remind </w:t>
      </w:r>
      <w:r w:rsidRPr="00B359AB">
        <w:rPr>
          <w:szCs w:val="22"/>
        </w:rPr>
        <w:t>carrier</w:t>
      </w:r>
      <w:r w:rsidR="00F83E7A">
        <w:rPr>
          <w:szCs w:val="22"/>
        </w:rPr>
        <w:t>s</w:t>
      </w:r>
      <w:r w:rsidRPr="00B359AB">
        <w:rPr>
          <w:szCs w:val="22"/>
        </w:rPr>
        <w:t xml:space="preserve"> receiving CAF BLS that </w:t>
      </w:r>
      <w:r w:rsidR="00A56A71">
        <w:rPr>
          <w:szCs w:val="22"/>
        </w:rPr>
        <w:t>are</w:t>
      </w:r>
      <w:r w:rsidRPr="00B359AB">
        <w:rPr>
          <w:szCs w:val="22"/>
        </w:rPr>
        <w:t xml:space="preserve"> tariffing a CBOL rate, the filing entity—whether the carrier, NECA</w:t>
      </w:r>
      <w:r>
        <w:rPr>
          <w:szCs w:val="22"/>
        </w:rPr>
        <w:t>,</w:t>
      </w:r>
      <w:r w:rsidRPr="00B359AB">
        <w:rPr>
          <w:szCs w:val="22"/>
        </w:rPr>
        <w:t xml:space="preserve"> or consultant—must include in the TRP the data necessary to determine the maximum permitted CBOL rate.</w:t>
      </w:r>
      <w:bookmarkEnd w:id="33"/>
      <w:bookmarkEnd w:id="34"/>
      <w:r>
        <w:rPr>
          <w:rStyle w:val="FootnoteReference"/>
          <w:sz w:val="22"/>
        </w:rPr>
        <w:footnoteReference w:id="59"/>
      </w:r>
      <w:r w:rsidRPr="00B359AB">
        <w:rPr>
          <w:szCs w:val="22"/>
        </w:rPr>
        <w:t xml:space="preserve">  </w:t>
      </w:r>
      <w:bookmarkEnd w:id="35"/>
      <w:r w:rsidRPr="00B359AB">
        <w:rPr>
          <w:szCs w:val="22"/>
        </w:rPr>
        <w:t xml:space="preserve">Similarly, </w:t>
      </w:r>
      <w:r w:rsidR="00F83E7A">
        <w:rPr>
          <w:szCs w:val="22"/>
        </w:rPr>
        <w:t xml:space="preserve">we remind </w:t>
      </w:r>
      <w:r w:rsidRPr="00B359AB">
        <w:rPr>
          <w:szCs w:val="22"/>
        </w:rPr>
        <w:t xml:space="preserve">the entity filing special access rates for a rate-of-return </w:t>
      </w:r>
      <w:r>
        <w:rPr>
          <w:szCs w:val="22"/>
        </w:rPr>
        <w:t xml:space="preserve">carrier </w:t>
      </w:r>
      <w:r w:rsidR="00F83E7A">
        <w:rPr>
          <w:szCs w:val="22"/>
        </w:rPr>
        <w:t xml:space="preserve">that they are required to </w:t>
      </w:r>
      <w:r w:rsidRPr="00B359AB">
        <w:rPr>
          <w:szCs w:val="22"/>
        </w:rPr>
        <w:t>include in the</w:t>
      </w:r>
      <w:r>
        <w:rPr>
          <w:szCs w:val="22"/>
        </w:rPr>
        <w:t xml:space="preserve"> </w:t>
      </w:r>
      <w:r w:rsidRPr="00B359AB">
        <w:rPr>
          <w:szCs w:val="22"/>
        </w:rPr>
        <w:t>TRP the special access costs reallocated to the CBOL category</w:t>
      </w:r>
      <w:r w:rsidRPr="001045DD">
        <w:t xml:space="preserve"> </w:t>
      </w:r>
      <w:r>
        <w:t>and the special access costs, net of that reallocation, i.e., the revenue requirement on which special access rates are based</w:t>
      </w:r>
      <w:r w:rsidRPr="00B359AB">
        <w:rPr>
          <w:szCs w:val="22"/>
        </w:rPr>
        <w:t xml:space="preserve">.  </w:t>
      </w:r>
      <w:r w:rsidR="00137C7D">
        <w:rPr>
          <w:szCs w:val="22"/>
        </w:rPr>
        <w:t>C</w:t>
      </w:r>
      <w:r w:rsidRPr="00B359AB">
        <w:rPr>
          <w:szCs w:val="22"/>
        </w:rPr>
        <w:t>arrier</w:t>
      </w:r>
      <w:r w:rsidR="00F83E7A">
        <w:rPr>
          <w:szCs w:val="22"/>
        </w:rPr>
        <w:t>s</w:t>
      </w:r>
      <w:r w:rsidRPr="00B359AB">
        <w:rPr>
          <w:szCs w:val="22"/>
        </w:rPr>
        <w:t xml:space="preserve"> that ha</w:t>
      </w:r>
      <w:r w:rsidR="00F83E7A">
        <w:rPr>
          <w:szCs w:val="22"/>
        </w:rPr>
        <w:t>ve</w:t>
      </w:r>
      <w:r w:rsidRPr="00B359AB">
        <w:rPr>
          <w:szCs w:val="22"/>
        </w:rPr>
        <w:t xml:space="preserve"> detariffed </w:t>
      </w:r>
      <w:r w:rsidR="001513BA">
        <w:rPr>
          <w:szCs w:val="22"/>
        </w:rPr>
        <w:t>their</w:t>
      </w:r>
      <w:r w:rsidRPr="00B359AB">
        <w:rPr>
          <w:szCs w:val="22"/>
        </w:rPr>
        <w:t xml:space="preserve"> CBOL rates</w:t>
      </w:r>
      <w:r w:rsidRPr="00B359AB" w:rsidR="00F83E7A">
        <w:rPr>
          <w:szCs w:val="22"/>
        </w:rPr>
        <w:t xml:space="preserve"> </w:t>
      </w:r>
      <w:r w:rsidR="00137C7D">
        <w:rPr>
          <w:szCs w:val="22"/>
        </w:rPr>
        <w:t xml:space="preserve">should </w:t>
      </w:r>
      <w:r w:rsidRPr="00B359AB">
        <w:rPr>
          <w:szCs w:val="22"/>
        </w:rPr>
        <w:t xml:space="preserve">provide the required information related to those rates in the relevant portion of the TRP.  </w:t>
      </w:r>
    </w:p>
    <w:p w:rsidR="00375EF9" w:rsidP="002609DB" w14:paraId="25EDE07A" w14:textId="0F1CF2CC">
      <w:pPr>
        <w:pStyle w:val="ParaNum"/>
        <w:widowControl/>
        <w:numPr>
          <w:ilvl w:val="0"/>
          <w:numId w:val="2"/>
        </w:numPr>
        <w:tabs>
          <w:tab w:val="clear" w:pos="1080"/>
          <w:tab w:val="num" w:pos="1440"/>
        </w:tabs>
        <w:spacing w:line="259" w:lineRule="auto"/>
        <w:rPr>
          <w:szCs w:val="22"/>
        </w:rPr>
      </w:pPr>
      <w:r w:rsidRPr="00B359AB">
        <w:rPr>
          <w:szCs w:val="22"/>
        </w:rPr>
        <w:t xml:space="preserve">In the </w:t>
      </w:r>
      <w:r w:rsidRPr="00B359AB">
        <w:rPr>
          <w:i/>
          <w:szCs w:val="22"/>
        </w:rPr>
        <w:t>Rate-of-Return Reform Order</w:t>
      </w:r>
      <w:r w:rsidRPr="00B359AB">
        <w:rPr>
          <w:szCs w:val="22"/>
        </w:rPr>
        <w:t xml:space="preserve">, the Commission required rate-of-return </w:t>
      </w:r>
      <w:r>
        <w:rPr>
          <w:szCs w:val="22"/>
        </w:rPr>
        <w:t>carriers</w:t>
      </w:r>
      <w:r w:rsidRPr="00B359AB">
        <w:rPr>
          <w:szCs w:val="22"/>
        </w:rPr>
        <w:t xml:space="preserve"> to impute to their supported CBOL lines an amount equal to the ARC they assess on voice/broadband lines.</w:t>
      </w:r>
      <w:r>
        <w:rPr>
          <w:rStyle w:val="FootnoteReference"/>
          <w:sz w:val="22"/>
        </w:rPr>
        <w:footnoteReference w:id="60"/>
      </w:r>
      <w:r w:rsidRPr="00B359AB">
        <w:rPr>
          <w:szCs w:val="22"/>
        </w:rPr>
        <w:t xml:space="preserve">  </w:t>
      </w:r>
      <w:r w:rsidR="00F83E7A">
        <w:rPr>
          <w:szCs w:val="22"/>
        </w:rPr>
        <w:t>We remind carriers that this</w:t>
      </w:r>
      <w:r w:rsidRPr="00B359AB">
        <w:rPr>
          <w:szCs w:val="22"/>
        </w:rPr>
        <w:t xml:space="preserve"> ARC imputation applies to all supported lines, and is calculated </w:t>
      </w:r>
      <w:r>
        <w:rPr>
          <w:szCs w:val="22"/>
        </w:rPr>
        <w:t>separately for</w:t>
      </w:r>
      <w:r w:rsidRPr="00B359AB">
        <w:rPr>
          <w:szCs w:val="22"/>
        </w:rPr>
        <w:t xml:space="preserve"> </w:t>
      </w:r>
      <w:r>
        <w:rPr>
          <w:szCs w:val="22"/>
        </w:rPr>
        <w:t xml:space="preserve">each </w:t>
      </w:r>
      <w:r w:rsidRPr="00B359AB">
        <w:rPr>
          <w:szCs w:val="22"/>
        </w:rPr>
        <w:t xml:space="preserve">type of broadband-only </w:t>
      </w:r>
      <w:r>
        <w:rPr>
          <w:szCs w:val="22"/>
        </w:rPr>
        <w:t xml:space="preserve">customer group </w:t>
      </w:r>
      <w:r w:rsidRPr="00B359AB">
        <w:rPr>
          <w:szCs w:val="22"/>
        </w:rPr>
        <w:t>(i.e., residential, single-line business, or multi-line business).</w:t>
      </w:r>
      <w:r>
        <w:rPr>
          <w:rStyle w:val="FootnoteReference"/>
          <w:sz w:val="22"/>
        </w:rPr>
        <w:footnoteReference w:id="61"/>
      </w:r>
      <w:r w:rsidRPr="00B359AB">
        <w:rPr>
          <w:szCs w:val="22"/>
        </w:rPr>
        <w:t xml:space="preserve">  </w:t>
      </w:r>
      <w:r w:rsidR="00F83E7A">
        <w:rPr>
          <w:szCs w:val="22"/>
        </w:rPr>
        <w:t xml:space="preserve">We </w:t>
      </w:r>
      <w:r w:rsidR="009111C5">
        <w:rPr>
          <w:szCs w:val="22"/>
        </w:rPr>
        <w:t xml:space="preserve">also </w:t>
      </w:r>
      <w:r w:rsidR="00F83E7A">
        <w:rPr>
          <w:szCs w:val="22"/>
        </w:rPr>
        <w:t>remind r</w:t>
      </w:r>
      <w:r w:rsidRPr="00B359AB">
        <w:rPr>
          <w:szCs w:val="22"/>
        </w:rPr>
        <w:t xml:space="preserve">ate-of-return </w:t>
      </w:r>
      <w:r>
        <w:rPr>
          <w:szCs w:val="22"/>
        </w:rPr>
        <w:t>carriers</w:t>
      </w:r>
      <w:r w:rsidR="00F83E7A">
        <w:rPr>
          <w:szCs w:val="22"/>
        </w:rPr>
        <w:t xml:space="preserve"> that </w:t>
      </w:r>
      <w:r>
        <w:rPr>
          <w:szCs w:val="22"/>
        </w:rPr>
        <w:t>calculat</w:t>
      </w:r>
      <w:r w:rsidR="00F83E7A">
        <w:rPr>
          <w:szCs w:val="22"/>
        </w:rPr>
        <w:t xml:space="preserve">e </w:t>
      </w:r>
      <w:r>
        <w:rPr>
          <w:szCs w:val="22"/>
        </w:rPr>
        <w:t xml:space="preserve">CAF ICC support </w:t>
      </w:r>
      <w:r w:rsidR="00F83E7A">
        <w:rPr>
          <w:szCs w:val="22"/>
        </w:rPr>
        <w:t>to</w:t>
      </w:r>
      <w:r w:rsidRPr="00B359AB" w:rsidR="00F83E7A">
        <w:rPr>
          <w:szCs w:val="22"/>
        </w:rPr>
        <w:t xml:space="preserve"> </w:t>
      </w:r>
      <w:r w:rsidRPr="00B359AB">
        <w:rPr>
          <w:szCs w:val="22"/>
        </w:rPr>
        <w:t xml:space="preserve">reflect imputed ARC revenues from CBOL lines and </w:t>
      </w:r>
      <w:r w:rsidR="00F83E7A">
        <w:rPr>
          <w:szCs w:val="22"/>
        </w:rPr>
        <w:t xml:space="preserve">remind rate-of-return carriers that calculate </w:t>
      </w:r>
      <w:r>
        <w:rPr>
          <w:szCs w:val="22"/>
        </w:rPr>
        <w:t xml:space="preserve">Eligible Recovery </w:t>
      </w:r>
      <w:r w:rsidR="00F83E7A">
        <w:rPr>
          <w:szCs w:val="22"/>
        </w:rPr>
        <w:t xml:space="preserve">to </w:t>
      </w:r>
      <w:r>
        <w:rPr>
          <w:szCs w:val="22"/>
        </w:rPr>
        <w:t xml:space="preserve">reflect </w:t>
      </w:r>
      <w:r w:rsidRPr="00B359AB">
        <w:rPr>
          <w:szCs w:val="22"/>
        </w:rPr>
        <w:t>the true-up of the imputation made two years ago.</w:t>
      </w:r>
      <w:r>
        <w:rPr>
          <w:vertAlign w:val="superscript"/>
        </w:rPr>
        <w:footnoteReference w:id="62"/>
      </w:r>
      <w:r w:rsidRPr="00B359AB">
        <w:rPr>
          <w:szCs w:val="22"/>
        </w:rPr>
        <w:t xml:space="preserve"> </w:t>
      </w:r>
    </w:p>
    <w:p w:rsidR="00375EF9" w:rsidP="00375EF9" w14:paraId="646EB816" w14:textId="77777777">
      <w:pPr>
        <w:pStyle w:val="Heading1"/>
      </w:pPr>
      <w:r>
        <w:t>Price Cap Tariff Review Plan</w:t>
      </w:r>
    </w:p>
    <w:p w:rsidR="00FD072F" w:rsidRPr="00FD072F" w:rsidP="002609DB" w14:paraId="1D0295ED" w14:textId="2BE272FC">
      <w:pPr>
        <w:pStyle w:val="ParaNum"/>
        <w:widowControl/>
        <w:numPr>
          <w:ilvl w:val="0"/>
          <w:numId w:val="2"/>
        </w:numPr>
        <w:tabs>
          <w:tab w:val="clear" w:pos="1080"/>
          <w:tab w:val="num" w:pos="1440"/>
        </w:tabs>
        <w:spacing w:line="259" w:lineRule="auto"/>
        <w:rPr>
          <w:bCs/>
        </w:rPr>
      </w:pPr>
      <w:r w:rsidRPr="00234EDB">
        <w:rPr>
          <w:kern w:val="0"/>
          <w:szCs w:val="22"/>
        </w:rPr>
        <w:t>Section</w:t>
      </w:r>
      <w:r w:rsidR="00886BD2">
        <w:rPr>
          <w:kern w:val="0"/>
          <w:szCs w:val="22"/>
        </w:rPr>
        <w:t xml:space="preserve">s 61.43 and </w:t>
      </w:r>
      <w:r w:rsidRPr="00234EDB">
        <w:rPr>
          <w:kern w:val="0"/>
          <w:szCs w:val="22"/>
        </w:rPr>
        <w:t>69.3(h) of the Commission’s rules requires price cap carriers to file tariffs each year that meet the notice requirements of section 61.58 of the Commission’s rules with a scheduled effective date of July 1.</w:t>
      </w:r>
      <w:r>
        <w:rPr>
          <w:rStyle w:val="FootnoteReference"/>
          <w:kern w:val="0"/>
        </w:rPr>
        <w:footnoteReference w:id="63"/>
      </w:r>
      <w:r w:rsidRPr="00234EDB">
        <w:rPr>
          <w:kern w:val="0"/>
          <w:szCs w:val="22"/>
        </w:rPr>
        <w:t xml:space="preserve">  Section 69.3(h) also limits price cap </w:t>
      </w:r>
      <w:r w:rsidRPr="002609DB">
        <w:t>annual</w:t>
      </w:r>
      <w:r w:rsidRPr="00234EDB">
        <w:rPr>
          <w:kern w:val="0"/>
          <w:szCs w:val="22"/>
        </w:rPr>
        <w:t xml:space="preserve"> tariff filings to changes in the Price Cap Indexes, rate level changes (with </w:t>
      </w:r>
      <w:r w:rsidRPr="002609DB">
        <w:t>corresponding</w:t>
      </w:r>
      <w:r w:rsidRPr="00234EDB">
        <w:rPr>
          <w:kern w:val="0"/>
          <w:szCs w:val="22"/>
        </w:rPr>
        <w:t xml:space="preserve"> </w:t>
      </w:r>
      <w:r w:rsidRPr="002609DB">
        <w:t>adjustments</w:t>
      </w:r>
      <w:r w:rsidRPr="00234EDB">
        <w:rPr>
          <w:kern w:val="0"/>
          <w:szCs w:val="22"/>
        </w:rPr>
        <w:t xml:space="preserve"> to the affected Actual Price Indexes and Service Band Indexes), </w:t>
      </w:r>
      <w:r w:rsidRPr="002609DB">
        <w:t>and</w:t>
      </w:r>
      <w:r w:rsidRPr="00234EDB">
        <w:rPr>
          <w:bCs/>
          <w:kern w:val="0"/>
          <w:szCs w:val="22"/>
        </w:rPr>
        <w:t xml:space="preserve"> the incorporation of new services into the affected indexes as required by section 61.49 of the Commission’s rules.</w:t>
      </w:r>
      <w:r>
        <w:rPr>
          <w:rStyle w:val="FootnoteReference"/>
          <w:kern w:val="0"/>
        </w:rPr>
        <w:footnoteReference w:id="64"/>
      </w:r>
      <w:r w:rsidRPr="00234EDB">
        <w:rPr>
          <w:bCs/>
          <w:kern w:val="0"/>
          <w:szCs w:val="22"/>
        </w:rPr>
        <w:t xml:space="preserve"> </w:t>
      </w:r>
      <w:r w:rsidR="00B449FC">
        <w:rPr>
          <w:bCs/>
          <w:kern w:val="0"/>
          <w:szCs w:val="22"/>
        </w:rPr>
        <w:t xml:space="preserve"> </w:t>
      </w:r>
      <w:r w:rsidRPr="00234EDB">
        <w:rPr>
          <w:bCs/>
          <w:kern w:val="0"/>
          <w:szCs w:val="22"/>
        </w:rPr>
        <w:t xml:space="preserve">We outline the </w:t>
      </w:r>
      <w:r w:rsidR="00B449FC">
        <w:rPr>
          <w:bCs/>
          <w:szCs w:val="22"/>
        </w:rPr>
        <w:t>2026</w:t>
      </w:r>
      <w:r w:rsidRPr="00234EDB" w:rsidR="00B449FC">
        <w:rPr>
          <w:bCs/>
          <w:szCs w:val="22"/>
        </w:rPr>
        <w:t xml:space="preserve"> </w:t>
      </w:r>
      <w:r w:rsidRPr="00234EDB">
        <w:rPr>
          <w:bCs/>
          <w:szCs w:val="22"/>
        </w:rPr>
        <w:t xml:space="preserve">price cap annual access TRPs that comply with these existing requirements below.  As noted above, price cap carriers may, but are not required to, use the </w:t>
      </w:r>
      <w:r w:rsidR="00B449FC">
        <w:rPr>
          <w:bCs/>
          <w:szCs w:val="22"/>
        </w:rPr>
        <w:t>2026</w:t>
      </w:r>
      <w:r w:rsidRPr="00234EDB" w:rsidR="00B449FC">
        <w:rPr>
          <w:bCs/>
          <w:szCs w:val="22"/>
        </w:rPr>
        <w:t xml:space="preserve"> </w:t>
      </w:r>
      <w:r w:rsidRPr="00234EDB">
        <w:rPr>
          <w:bCs/>
          <w:szCs w:val="22"/>
        </w:rPr>
        <w:t xml:space="preserve">price cap annual TRPs or may submit TRP worksheets developed by the carrier; the </w:t>
      </w:r>
      <w:r w:rsidR="00B449FC">
        <w:rPr>
          <w:bCs/>
          <w:szCs w:val="22"/>
        </w:rPr>
        <w:t>2026</w:t>
      </w:r>
      <w:r w:rsidRPr="00234EDB" w:rsidR="00B449FC">
        <w:rPr>
          <w:bCs/>
          <w:szCs w:val="22"/>
        </w:rPr>
        <w:t xml:space="preserve"> </w:t>
      </w:r>
      <w:r w:rsidRPr="00234EDB">
        <w:rPr>
          <w:bCs/>
          <w:szCs w:val="22"/>
        </w:rPr>
        <w:t>price cap annual TRPs were developed by Commission staff to ensure compliance with the Commission’s rules.</w:t>
      </w:r>
    </w:p>
    <w:p w:rsidR="00375EF9" w:rsidP="00375EF9" w14:paraId="36F27EAE" w14:textId="28F368A7">
      <w:pPr>
        <w:pStyle w:val="Heading2"/>
      </w:pPr>
      <w:r>
        <w:t>Price Cap TRPs</w:t>
      </w:r>
    </w:p>
    <w:p w:rsidR="00375EF9" w:rsidP="00375EF9" w14:paraId="0FF2ADE2" w14:textId="77777777">
      <w:pPr>
        <w:pStyle w:val="Heading3"/>
      </w:pPr>
      <w:r w:rsidRPr="000C58D1">
        <w:t xml:space="preserve">ARC </w:t>
      </w:r>
      <w:r>
        <w:t>Workbooks</w:t>
      </w:r>
    </w:p>
    <w:p w:rsidR="00375EF9" w:rsidRPr="00B359AB" w:rsidP="002609DB" w14:paraId="6C057451" w14:textId="371540EE">
      <w:pPr>
        <w:pStyle w:val="ParaNum"/>
        <w:widowControl/>
        <w:numPr>
          <w:ilvl w:val="0"/>
          <w:numId w:val="2"/>
        </w:numPr>
        <w:tabs>
          <w:tab w:val="clear" w:pos="1080"/>
          <w:tab w:val="num" w:pos="1440"/>
        </w:tabs>
        <w:spacing w:line="259" w:lineRule="auto"/>
        <w:rPr>
          <w:szCs w:val="22"/>
        </w:rPr>
      </w:pPr>
      <w:r w:rsidRPr="00B359AB">
        <w:rPr>
          <w:szCs w:val="22"/>
        </w:rPr>
        <w:t xml:space="preserve">The ARC </w:t>
      </w:r>
      <w:r>
        <w:rPr>
          <w:szCs w:val="22"/>
        </w:rPr>
        <w:t>workbooks</w:t>
      </w:r>
      <w:r w:rsidRPr="00B359AB">
        <w:rPr>
          <w:szCs w:val="22"/>
        </w:rPr>
        <w:t xml:space="preserve"> consist of three individual </w:t>
      </w:r>
      <w:r>
        <w:rPr>
          <w:szCs w:val="22"/>
        </w:rPr>
        <w:t>workbooks</w:t>
      </w:r>
      <w:r w:rsidRPr="00B359AB">
        <w:rPr>
          <w:szCs w:val="22"/>
        </w:rPr>
        <w:t xml:space="preserve"> that demonstrate the calculations necessary to determine an ARC rate.  </w:t>
      </w:r>
      <w:r w:rsidRPr="00FD072F">
        <w:t>These</w:t>
      </w:r>
      <w:r w:rsidRPr="00B359AB">
        <w:rPr>
          <w:szCs w:val="22"/>
        </w:rPr>
        <w:t xml:space="preserve"> </w:t>
      </w:r>
      <w:r>
        <w:rPr>
          <w:szCs w:val="22"/>
        </w:rPr>
        <w:t>workbooks</w:t>
      </w:r>
      <w:r w:rsidRPr="00B359AB">
        <w:rPr>
          <w:szCs w:val="22"/>
        </w:rPr>
        <w:t xml:space="preserve"> were created to comply with sections 51.915(e) and (f) of the Commission’s rules, and include the </w:t>
      </w:r>
      <w:r w:rsidR="00425170">
        <w:rPr>
          <w:szCs w:val="22"/>
        </w:rPr>
        <w:t>2026</w:t>
      </w:r>
      <w:r w:rsidRPr="00B359AB" w:rsidR="00425170">
        <w:rPr>
          <w:szCs w:val="22"/>
        </w:rPr>
        <w:t xml:space="preserve"> </w:t>
      </w:r>
      <w:r w:rsidRPr="00B359AB">
        <w:rPr>
          <w:szCs w:val="22"/>
        </w:rPr>
        <w:t xml:space="preserve">Rate Ceiling, </w:t>
      </w:r>
      <w:r w:rsidR="00425170">
        <w:rPr>
          <w:szCs w:val="22"/>
        </w:rPr>
        <w:t>2026</w:t>
      </w:r>
      <w:r w:rsidRPr="00B359AB" w:rsidR="00425170">
        <w:rPr>
          <w:szCs w:val="22"/>
        </w:rPr>
        <w:t xml:space="preserve"> </w:t>
      </w:r>
      <w:r w:rsidRPr="00B359AB">
        <w:rPr>
          <w:szCs w:val="22"/>
        </w:rPr>
        <w:t xml:space="preserve">Tariff Rate Comparison, and </w:t>
      </w:r>
      <w:r w:rsidR="00425170">
        <w:rPr>
          <w:szCs w:val="22"/>
        </w:rPr>
        <w:t>2026</w:t>
      </w:r>
      <w:r w:rsidRPr="00B359AB" w:rsidR="00425170">
        <w:rPr>
          <w:szCs w:val="22"/>
        </w:rPr>
        <w:t xml:space="preserve"> </w:t>
      </w:r>
      <w:r w:rsidRPr="00B359AB">
        <w:rPr>
          <w:szCs w:val="22"/>
        </w:rPr>
        <w:t xml:space="preserve">True Up </w:t>
      </w:r>
      <w:r>
        <w:rPr>
          <w:szCs w:val="22"/>
        </w:rPr>
        <w:t>workbooks</w:t>
      </w:r>
      <w:r w:rsidRPr="00B359AB">
        <w:rPr>
          <w:szCs w:val="22"/>
        </w:rPr>
        <w:t>.</w:t>
      </w:r>
      <w:r>
        <w:rPr>
          <w:rStyle w:val="FootnoteReference"/>
          <w:sz w:val="22"/>
        </w:rPr>
        <w:footnoteReference w:id="65"/>
      </w:r>
      <w:r w:rsidRPr="00B359AB">
        <w:rPr>
          <w:szCs w:val="22"/>
        </w:rPr>
        <w:t xml:space="preserve"> </w:t>
      </w:r>
    </w:p>
    <w:p w:rsidR="00375EF9" w:rsidRPr="005F43CF" w:rsidP="00375EF9" w14:paraId="284C30A0" w14:textId="77777777">
      <w:pPr>
        <w:pStyle w:val="Heading3"/>
      </w:pPr>
      <w:r w:rsidRPr="005F43CF">
        <w:t xml:space="preserve">Eligible Recovery </w:t>
      </w:r>
      <w:r>
        <w:t>Workbook</w:t>
      </w:r>
    </w:p>
    <w:p w:rsidR="00375EF9" w:rsidRPr="00B359AB" w:rsidP="002609DB" w14:paraId="0DF244DE" w14:textId="4568ADF9">
      <w:pPr>
        <w:pStyle w:val="ParaNum"/>
        <w:widowControl/>
        <w:numPr>
          <w:ilvl w:val="0"/>
          <w:numId w:val="2"/>
        </w:numPr>
        <w:tabs>
          <w:tab w:val="clear" w:pos="1080"/>
          <w:tab w:val="num" w:pos="1440"/>
        </w:tabs>
        <w:spacing w:line="259" w:lineRule="auto"/>
        <w:rPr>
          <w:szCs w:val="22"/>
        </w:rPr>
      </w:pPr>
      <w:r w:rsidRPr="00B359AB">
        <w:rPr>
          <w:szCs w:val="22"/>
        </w:rPr>
        <w:t xml:space="preserve">The </w:t>
      </w:r>
      <w:r w:rsidR="00425170">
        <w:rPr>
          <w:szCs w:val="22"/>
        </w:rPr>
        <w:t>2026</w:t>
      </w:r>
      <w:r w:rsidRPr="00B359AB" w:rsidR="00425170">
        <w:rPr>
          <w:szCs w:val="22"/>
        </w:rPr>
        <w:t xml:space="preserve"> </w:t>
      </w:r>
      <w:r w:rsidRPr="00B359AB">
        <w:rPr>
          <w:szCs w:val="22"/>
        </w:rPr>
        <w:t xml:space="preserve">Eligible Recovery </w:t>
      </w:r>
      <w:r>
        <w:rPr>
          <w:szCs w:val="22"/>
        </w:rPr>
        <w:t>workbook</w:t>
      </w:r>
      <w:r w:rsidRPr="00B359AB">
        <w:rPr>
          <w:szCs w:val="22"/>
        </w:rPr>
        <w:t xml:space="preserve"> calculates the amount of Eligible Recovery a price cap </w:t>
      </w:r>
      <w:r>
        <w:rPr>
          <w:szCs w:val="22"/>
        </w:rPr>
        <w:t>carrier</w:t>
      </w:r>
      <w:r w:rsidRPr="00B359AB">
        <w:rPr>
          <w:szCs w:val="22"/>
        </w:rPr>
        <w:t xml:space="preserve"> is entitled to receive pursuant to section 51.915(d) of the Commission’s rules.</w:t>
      </w:r>
      <w:r>
        <w:rPr>
          <w:rStyle w:val="FootnoteReference"/>
          <w:sz w:val="22"/>
        </w:rPr>
        <w:footnoteReference w:id="66"/>
      </w:r>
      <w:r w:rsidRPr="00B359AB">
        <w:rPr>
          <w:szCs w:val="22"/>
        </w:rPr>
        <w:t xml:space="preserve">  This year, the Eligible Recovery </w:t>
      </w:r>
      <w:r>
        <w:rPr>
          <w:szCs w:val="22"/>
        </w:rPr>
        <w:t>workbook</w:t>
      </w:r>
      <w:r w:rsidRPr="00B359AB">
        <w:rPr>
          <w:szCs w:val="22"/>
        </w:rPr>
        <w:t xml:space="preserve"> has been modified to change formulas in compliance with section </w:t>
      </w:r>
      <w:bookmarkStart w:id="36" w:name="_Hlk511126984"/>
      <w:r w:rsidRPr="00B359AB">
        <w:rPr>
          <w:szCs w:val="22"/>
        </w:rPr>
        <w:t>51.915(d)(viii)</w:t>
      </w:r>
      <w:bookmarkEnd w:id="36"/>
      <w:r w:rsidRPr="00B359AB">
        <w:rPr>
          <w:szCs w:val="22"/>
        </w:rPr>
        <w:t xml:space="preserve"> of the Commission’s rules.</w:t>
      </w:r>
      <w:r>
        <w:rPr>
          <w:rStyle w:val="FootnoteReference"/>
          <w:sz w:val="22"/>
        </w:rPr>
        <w:footnoteReference w:id="67"/>
      </w:r>
      <w:r w:rsidRPr="00B359AB">
        <w:rPr>
          <w:szCs w:val="22"/>
        </w:rPr>
        <w:t xml:space="preserve">  </w:t>
      </w:r>
    </w:p>
    <w:p w:rsidR="00375EF9" w:rsidRPr="005F43CF" w:rsidP="00375EF9" w14:paraId="2248AADA" w14:textId="77777777">
      <w:pPr>
        <w:pStyle w:val="Heading3"/>
      </w:pPr>
      <w:bookmarkStart w:id="37" w:name="_Hlk71886454"/>
      <w:r w:rsidRPr="005F43CF">
        <w:t xml:space="preserve">ICC Summary </w:t>
      </w:r>
      <w:r>
        <w:t>Workbook</w:t>
      </w:r>
    </w:p>
    <w:p w:rsidR="00375EF9" w:rsidRPr="006D1A86" w:rsidP="002609DB" w14:paraId="58CF3B7F" w14:textId="41CE5A2C">
      <w:pPr>
        <w:pStyle w:val="ParaNum"/>
        <w:widowControl/>
        <w:numPr>
          <w:ilvl w:val="0"/>
          <w:numId w:val="2"/>
        </w:numPr>
        <w:tabs>
          <w:tab w:val="clear" w:pos="1080"/>
          <w:tab w:val="num" w:pos="1440"/>
        </w:tabs>
        <w:spacing w:line="259" w:lineRule="auto"/>
        <w:rPr>
          <w:szCs w:val="22"/>
        </w:rPr>
      </w:pPr>
      <w:r w:rsidRPr="00B359AB">
        <w:rPr>
          <w:szCs w:val="22"/>
        </w:rPr>
        <w:t xml:space="preserve">The </w:t>
      </w:r>
      <w:r w:rsidR="00425170">
        <w:rPr>
          <w:szCs w:val="22"/>
        </w:rPr>
        <w:t>2026</w:t>
      </w:r>
      <w:r w:rsidRPr="00B359AB" w:rsidR="00425170">
        <w:rPr>
          <w:szCs w:val="22"/>
        </w:rPr>
        <w:t xml:space="preserve"> </w:t>
      </w:r>
      <w:r w:rsidRPr="00B359AB">
        <w:rPr>
          <w:szCs w:val="22"/>
        </w:rPr>
        <w:t xml:space="preserve">Price Cap Summary </w:t>
      </w:r>
      <w:r>
        <w:rPr>
          <w:szCs w:val="22"/>
        </w:rPr>
        <w:t>workbook</w:t>
      </w:r>
      <w:r w:rsidRPr="00B359AB">
        <w:rPr>
          <w:szCs w:val="22"/>
        </w:rPr>
        <w:t xml:space="preserve"> provides a summary of data contained in the ARC</w:t>
      </w:r>
      <w:r>
        <w:rPr>
          <w:szCs w:val="22"/>
        </w:rPr>
        <w:t xml:space="preserve"> workbooks (</w:t>
      </w:r>
      <w:r w:rsidR="00425170">
        <w:rPr>
          <w:szCs w:val="22"/>
        </w:rPr>
        <w:t>2026</w:t>
      </w:r>
      <w:r w:rsidRPr="006D1A86" w:rsidR="00425170">
        <w:rPr>
          <w:szCs w:val="22"/>
        </w:rPr>
        <w:t xml:space="preserve"> </w:t>
      </w:r>
      <w:r w:rsidRPr="006D1A86">
        <w:rPr>
          <w:szCs w:val="22"/>
        </w:rPr>
        <w:t xml:space="preserve">Rate Ceiling, </w:t>
      </w:r>
      <w:r w:rsidR="00425170">
        <w:rPr>
          <w:szCs w:val="22"/>
        </w:rPr>
        <w:t>2026</w:t>
      </w:r>
      <w:r w:rsidRPr="006D1A86" w:rsidR="00425170">
        <w:rPr>
          <w:szCs w:val="22"/>
        </w:rPr>
        <w:t xml:space="preserve"> </w:t>
      </w:r>
      <w:r w:rsidRPr="006D1A86">
        <w:rPr>
          <w:szCs w:val="22"/>
        </w:rPr>
        <w:t xml:space="preserve">Tariff Rate Comparison, and </w:t>
      </w:r>
      <w:r w:rsidR="00425170">
        <w:rPr>
          <w:szCs w:val="22"/>
        </w:rPr>
        <w:t>2026</w:t>
      </w:r>
      <w:r w:rsidRPr="006D1A86" w:rsidR="00425170">
        <w:rPr>
          <w:szCs w:val="22"/>
        </w:rPr>
        <w:t xml:space="preserve"> </w:t>
      </w:r>
      <w:r w:rsidRPr="006D1A86">
        <w:rPr>
          <w:szCs w:val="22"/>
        </w:rPr>
        <w:t xml:space="preserve">True Up </w:t>
      </w:r>
      <w:r>
        <w:rPr>
          <w:szCs w:val="22"/>
        </w:rPr>
        <w:t>workbooks)</w:t>
      </w:r>
      <w:r w:rsidRPr="006D1A86">
        <w:rPr>
          <w:szCs w:val="22"/>
        </w:rPr>
        <w:t xml:space="preserve"> and </w:t>
      </w:r>
      <w:r w:rsidR="00425170">
        <w:rPr>
          <w:szCs w:val="22"/>
        </w:rPr>
        <w:t>2026</w:t>
      </w:r>
      <w:r w:rsidRPr="006D1A86" w:rsidR="00425170">
        <w:rPr>
          <w:szCs w:val="22"/>
        </w:rPr>
        <w:t xml:space="preserve"> </w:t>
      </w:r>
      <w:r w:rsidRPr="006D1A86">
        <w:rPr>
          <w:szCs w:val="22"/>
        </w:rPr>
        <w:t xml:space="preserve">Eligible Recovery </w:t>
      </w:r>
      <w:r>
        <w:rPr>
          <w:szCs w:val="22"/>
        </w:rPr>
        <w:t>workbook</w:t>
      </w:r>
      <w:r w:rsidRPr="006D1A86">
        <w:rPr>
          <w:szCs w:val="22"/>
        </w:rPr>
        <w:t xml:space="preserve">. </w:t>
      </w:r>
    </w:p>
    <w:bookmarkEnd w:id="37"/>
    <w:p w:rsidR="00375EF9" w:rsidP="00375EF9" w14:paraId="212A49DC" w14:textId="77777777">
      <w:pPr>
        <w:pStyle w:val="Heading3"/>
      </w:pPr>
      <w:r w:rsidRPr="005F43CF">
        <w:t xml:space="preserve">IND1 </w:t>
      </w:r>
      <w:r>
        <w:t>Worksheet</w:t>
      </w:r>
    </w:p>
    <w:p w:rsidR="00375EF9" w:rsidRPr="00B359AB" w:rsidP="002609DB" w14:paraId="6E6044C7" w14:textId="5EBAA0E7">
      <w:pPr>
        <w:pStyle w:val="ParaNum"/>
        <w:widowControl/>
        <w:numPr>
          <w:ilvl w:val="0"/>
          <w:numId w:val="2"/>
        </w:numPr>
        <w:tabs>
          <w:tab w:val="clear" w:pos="1080"/>
          <w:tab w:val="num" w:pos="1440"/>
        </w:tabs>
        <w:spacing w:line="259" w:lineRule="auto"/>
        <w:rPr>
          <w:szCs w:val="22"/>
        </w:rPr>
      </w:pPr>
      <w:r w:rsidRPr="00B359AB">
        <w:rPr>
          <w:szCs w:val="22"/>
        </w:rPr>
        <w:t xml:space="preserve">The IND1 </w:t>
      </w:r>
      <w:r>
        <w:rPr>
          <w:szCs w:val="22"/>
        </w:rPr>
        <w:t>worksheet</w:t>
      </w:r>
      <w:r w:rsidRPr="00B359AB">
        <w:rPr>
          <w:szCs w:val="22"/>
        </w:rPr>
        <w:t xml:space="preserve"> displays price cap indices (PCIs), actual price indices (APIs), service band indices (SBIs), and upper SBI limits.  There are no changes to this </w:t>
      </w:r>
      <w:r>
        <w:rPr>
          <w:szCs w:val="22"/>
        </w:rPr>
        <w:t>worksheet</w:t>
      </w:r>
      <w:r w:rsidRPr="00B359AB">
        <w:rPr>
          <w:szCs w:val="22"/>
        </w:rPr>
        <w:t xml:space="preserve">.  For the special access basket, to assist in verifying the historical indices reported in IND1, </w:t>
      </w:r>
      <w:r w:rsidR="008C3C9A">
        <w:rPr>
          <w:szCs w:val="22"/>
        </w:rPr>
        <w:t xml:space="preserve">we request that </w:t>
      </w:r>
      <w:r w:rsidRPr="00B359AB">
        <w:rPr>
          <w:szCs w:val="22"/>
        </w:rPr>
        <w:t xml:space="preserve">price cap </w:t>
      </w:r>
      <w:r>
        <w:rPr>
          <w:szCs w:val="22"/>
        </w:rPr>
        <w:t xml:space="preserve">carriers </w:t>
      </w:r>
      <w:r w:rsidRPr="00B359AB">
        <w:rPr>
          <w:szCs w:val="22"/>
        </w:rPr>
        <w:t>continue to file workpapers that identify transmittals in which the current index levels became effective.</w:t>
      </w:r>
    </w:p>
    <w:p w:rsidR="00375EF9" w:rsidP="00375EF9" w14:paraId="7E3B678C" w14:textId="77777777">
      <w:pPr>
        <w:pStyle w:val="Heading3"/>
      </w:pPr>
      <w:r w:rsidRPr="005F43CF">
        <w:t xml:space="preserve">CAP </w:t>
      </w:r>
      <w:r>
        <w:t>Worksheet</w:t>
      </w:r>
    </w:p>
    <w:p w:rsidR="00375EF9" w:rsidRPr="00B359AB" w:rsidP="002609DB" w14:paraId="48005D5F" w14:textId="77777777">
      <w:pPr>
        <w:pStyle w:val="ParaNum"/>
        <w:widowControl/>
        <w:numPr>
          <w:ilvl w:val="0"/>
          <w:numId w:val="2"/>
        </w:numPr>
        <w:tabs>
          <w:tab w:val="clear" w:pos="1080"/>
          <w:tab w:val="num" w:pos="1440"/>
        </w:tabs>
        <w:spacing w:line="259" w:lineRule="auto"/>
        <w:rPr>
          <w:szCs w:val="22"/>
        </w:rPr>
      </w:pPr>
      <w:r w:rsidRPr="00B359AB">
        <w:rPr>
          <w:szCs w:val="22"/>
        </w:rPr>
        <w:t xml:space="preserve">Price cap </w:t>
      </w:r>
      <w:r>
        <w:rPr>
          <w:szCs w:val="22"/>
        </w:rPr>
        <w:t>carriers</w:t>
      </w:r>
      <w:r w:rsidRPr="00B359AB">
        <w:rPr>
          <w:szCs w:val="22"/>
        </w:rPr>
        <w:t xml:space="preserve"> develop the End User Common Line (EUCL) Charge, the Presubscribed Interexchange Carrier Charge (PICC) and Carrier Common Line (CCL) rates, which are the rates that recover common line, marketing and transport interconnection (CMT) revenue, on CAP-1, CAP-2, CAP-3, CAP-4, and CAP-5. </w:t>
      </w:r>
    </w:p>
    <w:p w:rsidR="00375EF9" w:rsidRPr="00B359AB" w:rsidP="002609DB" w14:paraId="510AD48F" w14:textId="0F3864F9">
      <w:pPr>
        <w:pStyle w:val="ParaNum"/>
        <w:widowControl/>
        <w:numPr>
          <w:ilvl w:val="0"/>
          <w:numId w:val="2"/>
        </w:numPr>
        <w:tabs>
          <w:tab w:val="clear" w:pos="1080"/>
          <w:tab w:val="num" w:pos="1440"/>
        </w:tabs>
        <w:spacing w:line="259" w:lineRule="auto"/>
        <w:rPr>
          <w:szCs w:val="22"/>
        </w:rPr>
      </w:pPr>
      <w:r>
        <w:rPr>
          <w:szCs w:val="22"/>
        </w:rPr>
        <w:t>We request that p</w:t>
      </w:r>
      <w:r w:rsidRPr="00B359AB">
        <w:rPr>
          <w:szCs w:val="22"/>
        </w:rPr>
        <w:t xml:space="preserve">rice cap </w:t>
      </w:r>
      <w:r>
        <w:rPr>
          <w:szCs w:val="22"/>
        </w:rPr>
        <w:t>carriers</w:t>
      </w:r>
      <w:r w:rsidRPr="00B359AB">
        <w:rPr>
          <w:szCs w:val="22"/>
        </w:rPr>
        <w:t xml:space="preserve"> that price certain common line rate elements separately by jurisdiction within a study area </w:t>
      </w:r>
      <w:r>
        <w:rPr>
          <w:szCs w:val="22"/>
        </w:rPr>
        <w:t xml:space="preserve">to </w:t>
      </w:r>
      <w:r w:rsidRPr="00B359AB">
        <w:rPr>
          <w:szCs w:val="22"/>
        </w:rPr>
        <w:t xml:space="preserve">develop such individual rates, instead of a roll up or average rate, on the CAP-1J form. </w:t>
      </w:r>
    </w:p>
    <w:p w:rsidR="00375EF9" w:rsidRPr="005F43CF" w:rsidP="00375EF9" w14:paraId="278963FE" w14:textId="77777777">
      <w:pPr>
        <w:pStyle w:val="Heading3"/>
      </w:pPr>
      <w:r w:rsidRPr="005F43CF">
        <w:t>PCI1</w:t>
      </w:r>
      <w:r>
        <w:t xml:space="preserve"> Worksheet</w:t>
      </w:r>
    </w:p>
    <w:p w:rsidR="00375EF9" w:rsidRPr="00B359AB" w:rsidP="002609DB" w14:paraId="5CCDCC48" w14:textId="77777777">
      <w:pPr>
        <w:pStyle w:val="ParaNum"/>
        <w:widowControl/>
        <w:numPr>
          <w:ilvl w:val="0"/>
          <w:numId w:val="2"/>
        </w:numPr>
        <w:tabs>
          <w:tab w:val="clear" w:pos="1080"/>
          <w:tab w:val="num" w:pos="1440"/>
        </w:tabs>
        <w:spacing w:line="259" w:lineRule="auto"/>
        <w:rPr>
          <w:szCs w:val="22"/>
        </w:rPr>
      </w:pPr>
      <w:r w:rsidRPr="00B359AB">
        <w:rPr>
          <w:szCs w:val="22"/>
        </w:rPr>
        <w:t xml:space="preserve">The PCI1 </w:t>
      </w:r>
      <w:r>
        <w:rPr>
          <w:szCs w:val="22"/>
        </w:rPr>
        <w:t>worksheet</w:t>
      </w:r>
      <w:r w:rsidRPr="00B359AB">
        <w:rPr>
          <w:szCs w:val="22"/>
        </w:rPr>
        <w:t xml:space="preserve"> displays the calculation of the proposed PCIs for the price cap baskets and includes the following data: (1) the Gross Domestic Product Price Index (GDP-PI) measuring inflation; (2) the productivity offset (X-Factor);</w:t>
      </w:r>
      <w:r>
        <w:rPr>
          <w:rStyle w:val="FootnoteReference"/>
          <w:spacing w:val="-3"/>
          <w:sz w:val="22"/>
        </w:rPr>
        <w:footnoteReference w:id="68"/>
      </w:r>
      <w:r w:rsidRPr="00B359AB">
        <w:rPr>
          <w:szCs w:val="22"/>
        </w:rPr>
        <w:t xml:space="preserve"> (3) the exogenous cost change (Z); (4) the base-year (calendar-year </w:t>
      </w:r>
      <w:r>
        <w:rPr>
          <w:szCs w:val="22"/>
        </w:rPr>
        <w:t>2023</w:t>
      </w:r>
      <w:r w:rsidRPr="00B359AB">
        <w:rPr>
          <w:szCs w:val="22"/>
        </w:rPr>
        <w:t xml:space="preserve">) revenue (R) for each basket; (5) the weighting factor (w) used in computing the PCIs; and (6) the immediately preceding PCIs.  There are no revisions to this </w:t>
      </w:r>
      <w:r>
        <w:rPr>
          <w:szCs w:val="22"/>
        </w:rPr>
        <w:t>worksheet</w:t>
      </w:r>
      <w:r w:rsidRPr="00B359AB">
        <w:rPr>
          <w:szCs w:val="22"/>
        </w:rPr>
        <w:t>.</w:t>
      </w:r>
    </w:p>
    <w:p w:rsidR="00375EF9" w:rsidP="00375EF9" w14:paraId="5E22CB28" w14:textId="77777777">
      <w:pPr>
        <w:pStyle w:val="Heading3"/>
      </w:pPr>
      <w:r w:rsidRPr="005F43CF">
        <w:t xml:space="preserve">SUM1 </w:t>
      </w:r>
      <w:r>
        <w:t>Worksheet</w:t>
      </w:r>
    </w:p>
    <w:p w:rsidR="00375EF9" w:rsidRPr="00B359AB" w:rsidP="002609DB" w14:paraId="77D8B809" w14:textId="77777777">
      <w:pPr>
        <w:pStyle w:val="ParaNum"/>
        <w:widowControl/>
        <w:numPr>
          <w:ilvl w:val="0"/>
          <w:numId w:val="2"/>
        </w:numPr>
        <w:tabs>
          <w:tab w:val="clear" w:pos="1080"/>
          <w:tab w:val="num" w:pos="1440"/>
        </w:tabs>
        <w:spacing w:line="259" w:lineRule="auto"/>
        <w:rPr>
          <w:szCs w:val="22"/>
        </w:rPr>
      </w:pPr>
      <w:r w:rsidRPr="00B359AB">
        <w:rPr>
          <w:szCs w:val="22"/>
        </w:rPr>
        <w:t xml:space="preserve">This is a summary </w:t>
      </w:r>
      <w:r>
        <w:rPr>
          <w:szCs w:val="22"/>
        </w:rPr>
        <w:t>worksheet</w:t>
      </w:r>
      <w:r w:rsidRPr="00B359AB">
        <w:rPr>
          <w:szCs w:val="22"/>
        </w:rPr>
        <w:t xml:space="preserve"> displaying the revenues in baskets and categories.  It displays the base-year demand multiplied by: (1) rates at last PCI update; (2) current rates; and (3) proposed rates.  SUM1 calculates the difference in revenues using base-year demand, under current and proposed rates.  It also displays “R,” the revenue variable in the PCI formula that equals base period demand multiplied by rates at last PCI update.  There are no revisions to the SUM1 </w:t>
      </w:r>
      <w:r>
        <w:rPr>
          <w:szCs w:val="22"/>
        </w:rPr>
        <w:t>worksheet</w:t>
      </w:r>
      <w:r w:rsidRPr="00B359AB">
        <w:rPr>
          <w:szCs w:val="22"/>
        </w:rPr>
        <w:t>.</w:t>
      </w:r>
    </w:p>
    <w:p w:rsidR="00375EF9" w:rsidP="00375EF9" w14:paraId="501930CC" w14:textId="77777777">
      <w:pPr>
        <w:pStyle w:val="Heading3"/>
      </w:pPr>
      <w:r>
        <w:t xml:space="preserve">Exogenous Costs Workbook and Worksheets </w:t>
      </w:r>
    </w:p>
    <w:p w:rsidR="00375EF9" w:rsidRPr="00E16BE8" w:rsidP="002609DB" w14:paraId="7171E1F1" w14:textId="246615BD">
      <w:pPr>
        <w:pStyle w:val="ParaNum"/>
        <w:widowControl/>
        <w:numPr>
          <w:ilvl w:val="0"/>
          <w:numId w:val="2"/>
        </w:numPr>
        <w:tabs>
          <w:tab w:val="clear" w:pos="1080"/>
          <w:tab w:val="num" w:pos="1440"/>
        </w:tabs>
        <w:spacing w:line="259" w:lineRule="auto"/>
        <w:rPr>
          <w:szCs w:val="22"/>
        </w:rPr>
      </w:pPr>
      <w:r>
        <w:rPr>
          <w:szCs w:val="22"/>
        </w:rPr>
        <w:t>The</w:t>
      </w:r>
      <w:r w:rsidRPr="00E16BE8">
        <w:rPr>
          <w:szCs w:val="22"/>
        </w:rPr>
        <w:t xml:space="preserve"> </w:t>
      </w:r>
      <w:r w:rsidR="00425170">
        <w:rPr>
          <w:szCs w:val="22"/>
        </w:rPr>
        <w:t>2026</w:t>
      </w:r>
      <w:r w:rsidRPr="00E16BE8" w:rsidR="00425170">
        <w:rPr>
          <w:szCs w:val="22"/>
        </w:rPr>
        <w:t xml:space="preserve"> </w:t>
      </w:r>
      <w:r w:rsidRPr="00E16BE8">
        <w:rPr>
          <w:szCs w:val="22"/>
        </w:rPr>
        <w:t>Template for Exog</w:t>
      </w:r>
      <w:r>
        <w:rPr>
          <w:szCs w:val="22"/>
        </w:rPr>
        <w:t>enous</w:t>
      </w:r>
      <w:r w:rsidRPr="00E16BE8">
        <w:rPr>
          <w:szCs w:val="22"/>
        </w:rPr>
        <w:t xml:space="preserve"> Cost Calculations </w:t>
      </w:r>
      <w:r>
        <w:rPr>
          <w:szCs w:val="22"/>
        </w:rPr>
        <w:t xml:space="preserve">workbook </w:t>
      </w:r>
      <w:r w:rsidRPr="00E16BE8">
        <w:rPr>
          <w:szCs w:val="22"/>
        </w:rPr>
        <w:t>is used to perform the detailed set of calculations that yield the exogenous cost adjustments.  These exogenous cost adjustments are transferred to the price cap ILEC TRPs used to set common line and special access rates.</w:t>
      </w:r>
    </w:p>
    <w:p w:rsidR="00676ABC" w:rsidP="002609DB" w14:paraId="4D874938" w14:textId="77777777">
      <w:pPr>
        <w:pStyle w:val="ParaNum"/>
        <w:widowControl/>
        <w:numPr>
          <w:ilvl w:val="0"/>
          <w:numId w:val="2"/>
        </w:numPr>
        <w:tabs>
          <w:tab w:val="clear" w:pos="1080"/>
          <w:tab w:val="num" w:pos="1440"/>
        </w:tabs>
        <w:spacing w:line="259" w:lineRule="auto"/>
        <w:rPr>
          <w:szCs w:val="22"/>
        </w:rPr>
      </w:pPr>
      <w:r w:rsidRPr="00B359AB">
        <w:rPr>
          <w:szCs w:val="22"/>
        </w:rPr>
        <w:t xml:space="preserve">The EXG1 </w:t>
      </w:r>
      <w:r>
        <w:rPr>
          <w:szCs w:val="22"/>
        </w:rPr>
        <w:t xml:space="preserve">worksheet </w:t>
      </w:r>
      <w:r w:rsidRPr="00B359AB">
        <w:rPr>
          <w:szCs w:val="22"/>
        </w:rPr>
        <w:t xml:space="preserve">displays the exogenous cost changes to the PCIs attributable to any: (1) sale of exchanges; (2) FCC regulatory fees; (3) excess deferred taxes; (4) amortization of investment tax credits; (5) low end adjustment calculations; (6) fees associated with TRS; (7) changes in the allocation of costs between regulated and unregulated activities; (8) NANPA expenses; (9) removal of thousand block number pooling; or (10) other exogenous cost changes the price cap </w:t>
      </w:r>
      <w:r>
        <w:rPr>
          <w:szCs w:val="22"/>
        </w:rPr>
        <w:t>carriers</w:t>
      </w:r>
      <w:r w:rsidRPr="00B359AB">
        <w:rPr>
          <w:szCs w:val="22"/>
        </w:rPr>
        <w:t xml:space="preserve"> may file.  There are no revisions to the EXG1 </w:t>
      </w:r>
      <w:r>
        <w:rPr>
          <w:szCs w:val="22"/>
        </w:rPr>
        <w:t>worksheet</w:t>
      </w:r>
      <w:r w:rsidRPr="00B359AB">
        <w:rPr>
          <w:szCs w:val="22"/>
        </w:rPr>
        <w:t xml:space="preserve">.  The EXG2 </w:t>
      </w:r>
      <w:r>
        <w:rPr>
          <w:szCs w:val="22"/>
        </w:rPr>
        <w:t>worksheet</w:t>
      </w:r>
      <w:r w:rsidRPr="00B359AB">
        <w:rPr>
          <w:szCs w:val="22"/>
        </w:rPr>
        <w:t xml:space="preserve"> displays the net exogenous shifts related to bands and zones. There are no revisions to the EXG2 </w:t>
      </w:r>
      <w:r>
        <w:rPr>
          <w:szCs w:val="22"/>
        </w:rPr>
        <w:t>worksheet</w:t>
      </w:r>
      <w:r w:rsidRPr="00B359AB">
        <w:rPr>
          <w:szCs w:val="22"/>
        </w:rPr>
        <w:t xml:space="preserve">.  </w:t>
      </w:r>
    </w:p>
    <w:p w:rsidR="00375EF9" w:rsidRPr="00676ABC" w:rsidP="00676ABC" w14:paraId="46EABD12" w14:textId="65B0F760">
      <w:pPr>
        <w:pStyle w:val="ParaNum"/>
        <w:widowControl/>
        <w:numPr>
          <w:ilvl w:val="0"/>
          <w:numId w:val="2"/>
        </w:numPr>
        <w:tabs>
          <w:tab w:val="clear" w:pos="1080"/>
          <w:tab w:val="num" w:pos="1440"/>
        </w:tabs>
        <w:spacing w:line="259" w:lineRule="auto"/>
        <w:rPr>
          <w:szCs w:val="22"/>
        </w:rPr>
      </w:pPr>
      <w:r w:rsidRPr="00676ABC">
        <w:rPr>
          <w:szCs w:val="22"/>
        </w:rPr>
        <w:t>We remind p</w:t>
      </w:r>
      <w:r w:rsidRPr="00676ABC" w:rsidR="004F6660">
        <w:rPr>
          <w:szCs w:val="22"/>
        </w:rPr>
        <w:t>rice cap carriers</w:t>
      </w:r>
      <w:r w:rsidRPr="00676ABC" w:rsidR="00451094">
        <w:rPr>
          <w:szCs w:val="22"/>
        </w:rPr>
        <w:t>, pursuant to our rules,</w:t>
      </w:r>
      <w:r w:rsidRPr="00676ABC" w:rsidR="004F6660">
        <w:rPr>
          <w:szCs w:val="22"/>
        </w:rPr>
        <w:t xml:space="preserve"> </w:t>
      </w:r>
      <w:r w:rsidRPr="00676ABC">
        <w:rPr>
          <w:szCs w:val="22"/>
        </w:rPr>
        <w:t xml:space="preserve">to </w:t>
      </w:r>
      <w:r w:rsidRPr="00676ABC" w:rsidR="004F6660">
        <w:rPr>
          <w:szCs w:val="22"/>
        </w:rPr>
        <w:t xml:space="preserve">reflect an exogenous cost adjustment for TRS in a mid-September filing to incorporate the final contribution factor for tariff year </w:t>
      </w:r>
      <w:r w:rsidRPr="00676ABC" w:rsidR="00425170">
        <w:rPr>
          <w:szCs w:val="22"/>
        </w:rPr>
        <w:t>2025-26</w:t>
      </w:r>
      <w:r w:rsidRPr="00676ABC" w:rsidR="004F6660">
        <w:rPr>
          <w:szCs w:val="22"/>
        </w:rPr>
        <w:t xml:space="preserve"> in rates to become effective </w:t>
      </w:r>
      <w:r w:rsidRPr="00676ABC" w:rsidR="00425170">
        <w:rPr>
          <w:szCs w:val="22"/>
        </w:rPr>
        <w:t>October 1, 2026</w:t>
      </w:r>
      <w:r w:rsidRPr="00676ABC" w:rsidR="004F6660">
        <w:rPr>
          <w:szCs w:val="22"/>
        </w:rPr>
        <w:t xml:space="preserve"> as this factor was not available by </w:t>
      </w:r>
      <w:r w:rsidRPr="00676ABC" w:rsidR="00425170">
        <w:rPr>
          <w:szCs w:val="22"/>
        </w:rPr>
        <w:t>May 1, 2026</w:t>
      </w:r>
      <w:r w:rsidRPr="00676ABC" w:rsidR="004F6660">
        <w:rPr>
          <w:szCs w:val="22"/>
        </w:rPr>
        <w:t>.</w:t>
      </w:r>
      <w:r>
        <w:rPr>
          <w:rStyle w:val="FootnoteReference"/>
          <w:szCs w:val="22"/>
        </w:rPr>
        <w:footnoteReference w:id="69"/>
      </w:r>
      <w:r w:rsidRPr="00676ABC" w:rsidR="004F6660">
        <w:rPr>
          <w:szCs w:val="22"/>
        </w:rPr>
        <w:t xml:space="preserve">  </w:t>
      </w:r>
      <w:bookmarkStart w:id="40" w:name="_Hlk198021615"/>
      <w:r w:rsidRPr="00676ABC">
        <w:rPr>
          <w:szCs w:val="22"/>
        </w:rPr>
        <w:t xml:space="preserve">We </w:t>
      </w:r>
      <w:r w:rsidRPr="00676ABC" w:rsidR="00B643CF">
        <w:rPr>
          <w:szCs w:val="22"/>
        </w:rPr>
        <w:t xml:space="preserve">also </w:t>
      </w:r>
      <w:r w:rsidRPr="00676ABC">
        <w:rPr>
          <w:szCs w:val="22"/>
        </w:rPr>
        <w:t>remind price cap carriers t</w:t>
      </w:r>
      <w:r w:rsidRPr="00676ABC" w:rsidR="004F6660">
        <w:rPr>
          <w:szCs w:val="22"/>
        </w:rPr>
        <w:t xml:space="preserve">hat </w:t>
      </w:r>
      <w:r w:rsidRPr="00676ABC">
        <w:rPr>
          <w:szCs w:val="22"/>
        </w:rPr>
        <w:t xml:space="preserve">the </w:t>
      </w:r>
      <w:r w:rsidRPr="00676ABC" w:rsidR="004F6660">
        <w:rPr>
          <w:szCs w:val="22"/>
        </w:rPr>
        <w:t>exogenous cost adjustment for TRS shall be “grossed up” to spread the entire adjustment over the remaining months in the tariff year.</w:t>
      </w:r>
      <w:r>
        <w:rPr>
          <w:rStyle w:val="FootnoteReference"/>
          <w:szCs w:val="22"/>
        </w:rPr>
        <w:footnoteReference w:id="70"/>
      </w:r>
      <w:r w:rsidRPr="00676ABC" w:rsidR="004F6660">
        <w:rPr>
          <w:szCs w:val="22"/>
        </w:rPr>
        <w:t xml:space="preserve">  </w:t>
      </w:r>
      <w:bookmarkStart w:id="41" w:name="_Hlk7164914"/>
      <w:r w:rsidRPr="00676ABC" w:rsidR="00B643CF">
        <w:rPr>
          <w:szCs w:val="22"/>
        </w:rPr>
        <w:t>T</w:t>
      </w:r>
      <w:r w:rsidRPr="00676ABC">
        <w:rPr>
          <w:szCs w:val="22"/>
        </w:rPr>
        <w:t xml:space="preserve">he </w:t>
      </w:r>
      <w:r w:rsidRPr="00676ABC" w:rsidR="004F6660">
        <w:rPr>
          <w:szCs w:val="22"/>
        </w:rPr>
        <w:t xml:space="preserve">exogenous cost adjustments for regulatory and NANPA fees also shall be reflected in rates that take effect </w:t>
      </w:r>
      <w:r w:rsidRPr="00676ABC" w:rsidR="00425170">
        <w:rPr>
          <w:szCs w:val="22"/>
        </w:rPr>
        <w:t>October 1, 2026</w:t>
      </w:r>
      <w:r w:rsidRPr="00676ABC" w:rsidR="004F6660">
        <w:rPr>
          <w:szCs w:val="22"/>
        </w:rPr>
        <w:t>, as these fees are fiscal-year obligations.</w:t>
      </w:r>
      <w:r>
        <w:rPr>
          <w:rStyle w:val="FootnoteReference"/>
          <w:szCs w:val="22"/>
        </w:rPr>
        <w:footnoteReference w:id="71"/>
      </w:r>
      <w:r w:rsidRPr="00676ABC" w:rsidR="004F6660">
        <w:rPr>
          <w:szCs w:val="22"/>
        </w:rPr>
        <w:t xml:space="preserve"> </w:t>
      </w:r>
      <w:bookmarkEnd w:id="41"/>
      <w:r w:rsidRPr="00676ABC" w:rsidR="004F6660">
        <w:rPr>
          <w:szCs w:val="22"/>
        </w:rPr>
        <w:t xml:space="preserve"> </w:t>
      </w:r>
      <w:bookmarkStart w:id="43" w:name="_Hlk198020791"/>
      <w:r w:rsidRPr="00676ABC" w:rsidR="004F6660">
        <w:rPr>
          <w:szCs w:val="22"/>
        </w:rPr>
        <w:t xml:space="preserve">The exogenous cost adjustment for TRS for tariff year </w:t>
      </w:r>
      <w:r w:rsidR="00B81B1F">
        <w:rPr>
          <w:szCs w:val="22"/>
        </w:rPr>
        <w:t>2025-26</w:t>
      </w:r>
      <w:r w:rsidRPr="00530D77" w:rsidR="00684C2E">
        <w:rPr>
          <w:szCs w:val="22"/>
        </w:rPr>
        <w:t xml:space="preserve"> </w:t>
      </w:r>
      <w:r w:rsidR="00753F0D">
        <w:rPr>
          <w:szCs w:val="22"/>
        </w:rPr>
        <w:t>shall</w:t>
      </w:r>
      <w:r w:rsidRPr="00676ABC" w:rsidR="00753F0D">
        <w:rPr>
          <w:szCs w:val="22"/>
        </w:rPr>
        <w:t xml:space="preserve"> </w:t>
      </w:r>
      <w:r w:rsidRPr="00676ABC" w:rsidR="004F6660">
        <w:rPr>
          <w:szCs w:val="22"/>
        </w:rPr>
        <w:t xml:space="preserve">be grossed up and reflected in rates effective </w:t>
      </w:r>
      <w:r w:rsidRPr="00676ABC" w:rsidR="00425170">
        <w:rPr>
          <w:szCs w:val="22"/>
        </w:rPr>
        <w:t xml:space="preserve">October 1, </w:t>
      </w:r>
      <w:r w:rsidR="00B81B1F">
        <w:rPr>
          <w:szCs w:val="22"/>
        </w:rPr>
        <w:t>2026</w:t>
      </w:r>
      <w:r w:rsidRPr="00676ABC" w:rsidR="004F6660">
        <w:rPr>
          <w:szCs w:val="22"/>
        </w:rPr>
        <w:t xml:space="preserve">, because the final contribution factor was not available by </w:t>
      </w:r>
      <w:bookmarkEnd w:id="43"/>
      <w:r w:rsidRPr="00676ABC" w:rsidR="00425170">
        <w:rPr>
          <w:szCs w:val="22"/>
        </w:rPr>
        <w:t xml:space="preserve">May 1, </w:t>
      </w:r>
      <w:r w:rsidR="00B81B1F">
        <w:rPr>
          <w:szCs w:val="22"/>
        </w:rPr>
        <w:t>2026</w:t>
      </w:r>
      <w:r w:rsidRPr="00676ABC" w:rsidR="004F6660">
        <w:rPr>
          <w:szCs w:val="22"/>
        </w:rPr>
        <w:t>.</w:t>
      </w:r>
      <w:r>
        <w:rPr>
          <w:rStyle w:val="FootnoteReference"/>
          <w:szCs w:val="22"/>
        </w:rPr>
        <w:footnoteReference w:id="72"/>
      </w:r>
      <w:r w:rsidRPr="00676ABC" w:rsidR="004F6660">
        <w:rPr>
          <w:szCs w:val="22"/>
        </w:rPr>
        <w:t xml:space="preserve">  </w:t>
      </w:r>
      <w:r w:rsidRPr="00676ABC" w:rsidR="00043CC5">
        <w:rPr>
          <w:szCs w:val="22"/>
        </w:rPr>
        <w:t xml:space="preserve">Consistent with the Commission’s </w:t>
      </w:r>
      <w:r w:rsidRPr="00676ABC" w:rsidR="00A44601">
        <w:rPr>
          <w:szCs w:val="22"/>
        </w:rPr>
        <w:t xml:space="preserve">existing </w:t>
      </w:r>
      <w:r w:rsidRPr="00676ABC" w:rsidR="00043CC5">
        <w:rPr>
          <w:szCs w:val="22"/>
        </w:rPr>
        <w:t>rules, p</w:t>
      </w:r>
      <w:r w:rsidRPr="00676ABC" w:rsidR="004F6660">
        <w:rPr>
          <w:szCs w:val="22"/>
        </w:rPr>
        <w:t>rice cap carriers therefore must make an exogenous cost adjustment in this year’s annual filing to remove the effect of that gross up from existing rates</w:t>
      </w:r>
      <w:r w:rsidRPr="00676ABC" w:rsidR="00CF3669">
        <w:rPr>
          <w:szCs w:val="22"/>
        </w:rPr>
        <w:t>; o</w:t>
      </w:r>
      <w:r w:rsidRPr="00676ABC" w:rsidR="004F6660">
        <w:rPr>
          <w:szCs w:val="22"/>
        </w:rPr>
        <w:t xml:space="preserve">therwise, price cap carriers will over- or under-recover their TRS exogenous costs beginning </w:t>
      </w:r>
      <w:r w:rsidRPr="00676ABC" w:rsidR="00425170">
        <w:rPr>
          <w:szCs w:val="22"/>
        </w:rPr>
        <w:t>July 1, 2026</w:t>
      </w:r>
      <w:r w:rsidRPr="00530D77" w:rsidR="004F6660">
        <w:t>.</w:t>
      </w:r>
      <w:r>
        <w:rPr>
          <w:rStyle w:val="FootnoteReference"/>
        </w:rPr>
        <w:footnoteReference w:id="73"/>
      </w:r>
      <w:r w:rsidRPr="00530D77" w:rsidR="004F6660">
        <w:t xml:space="preserve">  </w:t>
      </w:r>
      <w:bookmarkStart w:id="44" w:name="_Hlk70597926"/>
      <w:bookmarkStart w:id="45" w:name="_Hlk70601212"/>
      <w:bookmarkEnd w:id="40"/>
      <w:r w:rsidR="00676ABC">
        <w:t>Carriers that made an exogenous cost adjustment for TRS to the special access basket PCI and SBI upper limits or to the CMT-revenue-per-line constraint in their mid-September 2025 TRPs must remove the effect of the gross-up from these parameters, regardless of whether they changed their rates on October 1, 2025 or subsequently.</w:t>
      </w:r>
      <w:bookmarkStart w:id="46" w:name="_Hlk195885994"/>
      <w:r w:rsidR="00676ABC">
        <w:t xml:space="preserve">  </w:t>
      </w:r>
      <w:bookmarkEnd w:id="44"/>
      <w:bookmarkEnd w:id="45"/>
      <w:bookmarkEnd w:id="46"/>
      <w:r w:rsidRPr="00530D77" w:rsidR="004F6660">
        <w:t>Finally, price cap carriers have the option of not making a</w:t>
      </w:r>
      <w:r w:rsidR="004F6660">
        <w:t xml:space="preserve"> mid-year </w:t>
      </w:r>
      <w:r w:rsidRPr="00530D77" w:rsidR="004F6660">
        <w:t xml:space="preserve">exogenous cost and rate adjustment </w:t>
      </w:r>
      <w:r w:rsidR="004F6660">
        <w:t xml:space="preserve">filing if </w:t>
      </w:r>
      <w:r w:rsidRPr="00530D77" w:rsidR="004F6660">
        <w:t xml:space="preserve">the total amount of such adjustments would either increase rates or meet a </w:t>
      </w:r>
      <w:r w:rsidRPr="00676ABC" w:rsidR="004F6660">
        <w:rPr>
          <w:i/>
          <w:iCs/>
        </w:rPr>
        <w:t xml:space="preserve">de minimis </w:t>
      </w:r>
      <w:r w:rsidRPr="00530D77" w:rsidR="004F6660">
        <w:t>threshold equal to the current standard tariff filing fee</w:t>
      </w:r>
      <w:r w:rsidR="00D84E45">
        <w:t xml:space="preserve"> ($1,040)</w:t>
      </w:r>
      <w:r w:rsidRPr="00530D77" w:rsidR="004F6660">
        <w:t>, applied on the same basis as the tariff filing for which the filing fee is paid.</w:t>
      </w:r>
      <w:r>
        <w:rPr>
          <w:rStyle w:val="FootnoteReference"/>
          <w:sz w:val="22"/>
        </w:rPr>
        <w:footnoteReference w:id="74"/>
      </w:r>
    </w:p>
    <w:p w:rsidR="00375EF9" w:rsidRPr="00CB2E4D" w:rsidP="00375EF9" w14:paraId="36642F4F" w14:textId="77777777">
      <w:pPr>
        <w:pStyle w:val="Heading3"/>
      </w:pPr>
      <w:r w:rsidRPr="00CB2E4D">
        <w:t xml:space="preserve">RTE1 </w:t>
      </w:r>
      <w:r>
        <w:t>Worksheet</w:t>
      </w:r>
    </w:p>
    <w:p w:rsidR="00375EF9" w:rsidRPr="00B359AB" w:rsidP="002609DB" w14:paraId="3C77C663" w14:textId="4BD978BF">
      <w:pPr>
        <w:pStyle w:val="ParaNum"/>
        <w:widowControl/>
        <w:numPr>
          <w:ilvl w:val="0"/>
          <w:numId w:val="2"/>
        </w:numPr>
        <w:tabs>
          <w:tab w:val="clear" w:pos="1080"/>
          <w:tab w:val="num" w:pos="1440"/>
        </w:tabs>
        <w:spacing w:line="259" w:lineRule="auto"/>
        <w:rPr>
          <w:szCs w:val="22"/>
        </w:rPr>
      </w:pPr>
      <w:r w:rsidRPr="00B359AB">
        <w:rPr>
          <w:szCs w:val="22"/>
        </w:rPr>
        <w:t xml:space="preserve">These </w:t>
      </w:r>
      <w:r>
        <w:rPr>
          <w:szCs w:val="22"/>
        </w:rPr>
        <w:t>worksheets</w:t>
      </w:r>
      <w:r w:rsidRPr="00B359AB">
        <w:rPr>
          <w:szCs w:val="22"/>
        </w:rPr>
        <w:t xml:space="preserve"> display information used to compute the APIs, SBIs, and upper SBI.  They display base year </w:t>
      </w:r>
      <w:r w:rsidR="002E2CA9">
        <w:rPr>
          <w:szCs w:val="22"/>
        </w:rPr>
        <w:t>2025</w:t>
      </w:r>
      <w:r w:rsidRPr="00B359AB" w:rsidR="002E2CA9">
        <w:rPr>
          <w:szCs w:val="22"/>
        </w:rPr>
        <w:t xml:space="preserve"> </w:t>
      </w:r>
      <w:r w:rsidRPr="00B359AB">
        <w:rPr>
          <w:szCs w:val="22"/>
        </w:rPr>
        <w:t xml:space="preserve">demand, rates </w:t>
      </w:r>
      <w:r>
        <w:rPr>
          <w:szCs w:val="22"/>
        </w:rPr>
        <w:t>based on the</w:t>
      </w:r>
      <w:r w:rsidRPr="00B359AB">
        <w:rPr>
          <w:szCs w:val="22"/>
        </w:rPr>
        <w:t xml:space="preserve"> last PCI update, current rates, proposed rates, and three different revenue figures computed by multiplying the </w:t>
      </w:r>
      <w:r w:rsidR="002E2CA9">
        <w:rPr>
          <w:szCs w:val="22"/>
        </w:rPr>
        <w:t>2025</w:t>
      </w:r>
      <w:r w:rsidRPr="00B359AB" w:rsidR="002E2CA9">
        <w:rPr>
          <w:szCs w:val="22"/>
        </w:rPr>
        <w:t xml:space="preserve"> </w:t>
      </w:r>
      <w:r w:rsidRPr="00B359AB">
        <w:rPr>
          <w:szCs w:val="22"/>
        </w:rPr>
        <w:t xml:space="preserve">demand by rates </w:t>
      </w:r>
      <w:r>
        <w:rPr>
          <w:szCs w:val="22"/>
        </w:rPr>
        <w:t xml:space="preserve">based on the </w:t>
      </w:r>
      <w:r w:rsidRPr="00B359AB">
        <w:rPr>
          <w:szCs w:val="22"/>
        </w:rPr>
        <w:t xml:space="preserve">last PCI update, current rates, and proposed rates, respectively.  The RTE1 </w:t>
      </w:r>
      <w:r>
        <w:rPr>
          <w:szCs w:val="22"/>
        </w:rPr>
        <w:t xml:space="preserve">worksheets </w:t>
      </w:r>
      <w:r w:rsidRPr="00B359AB">
        <w:rPr>
          <w:szCs w:val="22"/>
        </w:rPr>
        <w:t xml:space="preserve">enable the Commission to verify the accuracy of “R,” the revenue variable in the PCI formula that equals base period demand multiplied by rates </w:t>
      </w:r>
      <w:r>
        <w:rPr>
          <w:szCs w:val="22"/>
        </w:rPr>
        <w:t>based on the</w:t>
      </w:r>
      <w:r w:rsidRPr="00B359AB">
        <w:rPr>
          <w:szCs w:val="22"/>
        </w:rPr>
        <w:t xml:space="preserve"> last PCI update.  Demand and price data are reported in the aggregate under the primary rate elements of each category.  The level of aggregation in the RTE1 </w:t>
      </w:r>
      <w:r>
        <w:rPr>
          <w:szCs w:val="22"/>
        </w:rPr>
        <w:t>worksheets</w:t>
      </w:r>
      <w:r w:rsidRPr="00B359AB">
        <w:rPr>
          <w:szCs w:val="22"/>
        </w:rPr>
        <w:t xml:space="preserve"> allows rapid, consistent verification of index calculations across all companies.  There are no revisions to these </w:t>
      </w:r>
      <w:r>
        <w:rPr>
          <w:szCs w:val="22"/>
        </w:rPr>
        <w:t>worksheets</w:t>
      </w:r>
      <w:r w:rsidRPr="00B359AB">
        <w:rPr>
          <w:szCs w:val="22"/>
        </w:rPr>
        <w:t>.</w:t>
      </w:r>
    </w:p>
    <w:p w:rsidR="00375EF9" w:rsidRPr="00CB2E4D" w:rsidP="00375EF9" w14:paraId="5A0291E4" w14:textId="77777777">
      <w:pPr>
        <w:pStyle w:val="Heading3"/>
      </w:pPr>
      <w:r w:rsidRPr="00CB2E4D">
        <w:t xml:space="preserve">Rate Detail </w:t>
      </w:r>
      <w:r>
        <w:t>Workbook</w:t>
      </w:r>
    </w:p>
    <w:p w:rsidR="00375EF9" w:rsidRPr="00B359AB" w:rsidP="002609DB" w14:paraId="2FA3AE12" w14:textId="6E314D76">
      <w:pPr>
        <w:pStyle w:val="ParaNum"/>
        <w:widowControl/>
        <w:numPr>
          <w:ilvl w:val="0"/>
          <w:numId w:val="2"/>
        </w:numPr>
        <w:tabs>
          <w:tab w:val="clear" w:pos="1080"/>
          <w:tab w:val="num" w:pos="1440"/>
        </w:tabs>
        <w:spacing w:line="259" w:lineRule="auto"/>
        <w:rPr>
          <w:szCs w:val="22"/>
        </w:rPr>
      </w:pPr>
      <w:r>
        <w:rPr>
          <w:szCs w:val="22"/>
        </w:rPr>
        <w:t>We remind p</w:t>
      </w:r>
      <w:r w:rsidRPr="00B359AB">
        <w:rPr>
          <w:szCs w:val="22"/>
        </w:rPr>
        <w:t xml:space="preserve">rice cap </w:t>
      </w:r>
      <w:r>
        <w:rPr>
          <w:szCs w:val="22"/>
        </w:rPr>
        <w:t>carriers</w:t>
      </w:r>
      <w:r w:rsidRPr="00B359AB">
        <w:rPr>
          <w:szCs w:val="22"/>
        </w:rPr>
        <w:t xml:space="preserve"> </w:t>
      </w:r>
      <w:r>
        <w:rPr>
          <w:szCs w:val="22"/>
        </w:rPr>
        <w:t xml:space="preserve">that they are required to </w:t>
      </w:r>
      <w:r w:rsidRPr="00B359AB">
        <w:rPr>
          <w:szCs w:val="22"/>
        </w:rPr>
        <w:t xml:space="preserve">provide a </w:t>
      </w:r>
      <w:r>
        <w:rPr>
          <w:szCs w:val="22"/>
        </w:rPr>
        <w:t>workbook</w:t>
      </w:r>
      <w:r w:rsidRPr="00B359AB">
        <w:rPr>
          <w:szCs w:val="22"/>
        </w:rPr>
        <w:t xml:space="preserve"> that </w:t>
      </w:r>
      <w:r>
        <w:rPr>
          <w:szCs w:val="22"/>
        </w:rPr>
        <w:t>displays</w:t>
      </w:r>
      <w:r w:rsidRPr="00B359AB">
        <w:rPr>
          <w:szCs w:val="22"/>
        </w:rPr>
        <w:t xml:space="preserve"> complete rate element detail, i.e., demand, rates </w:t>
      </w:r>
      <w:r>
        <w:rPr>
          <w:szCs w:val="22"/>
        </w:rPr>
        <w:t>based on the</w:t>
      </w:r>
      <w:r w:rsidRPr="00B359AB">
        <w:rPr>
          <w:szCs w:val="22"/>
        </w:rPr>
        <w:t xml:space="preserve"> last PCI update, existing rates, and proposed rates for each rate element subject to price caps, and revenues at each of these rates.</w:t>
      </w:r>
      <w:r>
        <w:rPr>
          <w:rStyle w:val="FootnoteReference"/>
          <w:szCs w:val="22"/>
        </w:rPr>
        <w:footnoteReference w:id="75"/>
      </w:r>
      <w:r w:rsidRPr="00B359AB">
        <w:rPr>
          <w:szCs w:val="22"/>
        </w:rPr>
        <w:t xml:space="preserve">  For each rate element, price cap </w:t>
      </w:r>
      <w:r>
        <w:rPr>
          <w:szCs w:val="22"/>
        </w:rPr>
        <w:t>carriers</w:t>
      </w:r>
      <w:r w:rsidRPr="00B359AB">
        <w:rPr>
          <w:szCs w:val="22"/>
        </w:rPr>
        <w:t xml:space="preserve"> </w:t>
      </w:r>
      <w:r w:rsidR="007E0C91">
        <w:rPr>
          <w:szCs w:val="22"/>
        </w:rPr>
        <w:t>should</w:t>
      </w:r>
      <w:r>
        <w:rPr>
          <w:szCs w:val="22"/>
        </w:rPr>
        <w:t xml:space="preserve"> </w:t>
      </w:r>
      <w:r w:rsidRPr="00B359AB">
        <w:rPr>
          <w:szCs w:val="22"/>
        </w:rPr>
        <w:t>display the rate element name, jurisdiction, base</w:t>
      </w:r>
      <w:r>
        <w:rPr>
          <w:szCs w:val="22"/>
        </w:rPr>
        <w:t>-</w:t>
      </w:r>
      <w:r w:rsidRPr="00B359AB">
        <w:rPr>
          <w:szCs w:val="22"/>
        </w:rPr>
        <w:t xml:space="preserve">period demand, rates </w:t>
      </w:r>
      <w:r>
        <w:rPr>
          <w:szCs w:val="22"/>
        </w:rPr>
        <w:t xml:space="preserve">based on the </w:t>
      </w:r>
      <w:r w:rsidRPr="00B359AB">
        <w:rPr>
          <w:szCs w:val="22"/>
        </w:rPr>
        <w:t xml:space="preserve">last PCI update, current rates, and proposed rates, and revenues </w:t>
      </w:r>
      <w:r>
        <w:rPr>
          <w:szCs w:val="22"/>
        </w:rPr>
        <w:t xml:space="preserve">based on </w:t>
      </w:r>
      <w:r w:rsidRPr="00B359AB">
        <w:rPr>
          <w:szCs w:val="22"/>
        </w:rPr>
        <w:t xml:space="preserve">each of these rates </w:t>
      </w:r>
      <w:r>
        <w:rPr>
          <w:szCs w:val="22"/>
        </w:rPr>
        <w:t xml:space="preserve">multiplied by </w:t>
      </w:r>
      <w:r w:rsidRPr="00B359AB">
        <w:rPr>
          <w:szCs w:val="22"/>
        </w:rPr>
        <w:t xml:space="preserve">base period demand.  Price cap </w:t>
      </w:r>
      <w:r>
        <w:rPr>
          <w:szCs w:val="22"/>
        </w:rPr>
        <w:t>carriers</w:t>
      </w:r>
      <w:r w:rsidRPr="00B359AB">
        <w:rPr>
          <w:szCs w:val="22"/>
        </w:rPr>
        <w:t xml:space="preserve"> also may include a rate-identifying code.</w:t>
      </w:r>
      <w:r>
        <w:rPr>
          <w:rStyle w:val="FootnoteReference"/>
          <w:szCs w:val="22"/>
        </w:rPr>
        <w:footnoteReference w:id="76"/>
      </w:r>
      <w:r w:rsidRPr="00B359AB">
        <w:rPr>
          <w:szCs w:val="22"/>
        </w:rPr>
        <w:t xml:space="preserve">  The revenue amounts for baskets and categories </w:t>
      </w:r>
      <w:r>
        <w:rPr>
          <w:szCs w:val="22"/>
        </w:rPr>
        <w:t xml:space="preserve">are </w:t>
      </w:r>
      <w:r w:rsidRPr="00B359AB">
        <w:rPr>
          <w:szCs w:val="22"/>
        </w:rPr>
        <w:t xml:space="preserve">totaled to </w:t>
      </w:r>
      <w:r>
        <w:rPr>
          <w:szCs w:val="22"/>
        </w:rPr>
        <w:t>support</w:t>
      </w:r>
      <w:r w:rsidRPr="00B359AB">
        <w:rPr>
          <w:szCs w:val="22"/>
        </w:rPr>
        <w:t xml:space="preserve"> the revenue amounts in RTE1.  </w:t>
      </w:r>
      <w:r>
        <w:rPr>
          <w:szCs w:val="22"/>
        </w:rPr>
        <w:t>E</w:t>
      </w:r>
      <w:r w:rsidRPr="00B359AB">
        <w:rPr>
          <w:szCs w:val="22"/>
        </w:rPr>
        <w:t xml:space="preserve">ach row of this </w:t>
      </w:r>
      <w:r>
        <w:rPr>
          <w:szCs w:val="22"/>
        </w:rPr>
        <w:t>workbook</w:t>
      </w:r>
      <w:r w:rsidRPr="00B359AB">
        <w:rPr>
          <w:szCs w:val="22"/>
        </w:rPr>
        <w:t xml:space="preserve"> correspond</w:t>
      </w:r>
      <w:r>
        <w:rPr>
          <w:szCs w:val="22"/>
        </w:rPr>
        <w:t>s</w:t>
      </w:r>
      <w:r w:rsidRPr="00B359AB">
        <w:rPr>
          <w:szCs w:val="22"/>
        </w:rPr>
        <w:t xml:space="preserve"> to only one rate element.  The rows reflect the basket and service category sequence used in RTE1.  There are no revisions to this </w:t>
      </w:r>
      <w:r>
        <w:rPr>
          <w:szCs w:val="22"/>
        </w:rPr>
        <w:t>workbook</w:t>
      </w:r>
      <w:r w:rsidRPr="00B359AB">
        <w:rPr>
          <w:szCs w:val="22"/>
        </w:rPr>
        <w:t xml:space="preserve">. </w:t>
      </w:r>
    </w:p>
    <w:p w:rsidR="00375EF9" w:rsidRPr="00CB2E4D" w:rsidP="00375EF9" w14:paraId="3559C500" w14:textId="77777777">
      <w:pPr>
        <w:pStyle w:val="Heading3"/>
      </w:pPr>
      <w:r w:rsidRPr="00CB2E4D">
        <w:t>Services Excluded from Price Caps</w:t>
      </w:r>
    </w:p>
    <w:p w:rsidR="00375EF9" w:rsidP="002609DB" w14:paraId="4FE77062" w14:textId="70FA241B">
      <w:pPr>
        <w:pStyle w:val="ParaNum"/>
        <w:widowControl/>
        <w:numPr>
          <w:ilvl w:val="0"/>
          <w:numId w:val="2"/>
        </w:numPr>
        <w:tabs>
          <w:tab w:val="clear" w:pos="1080"/>
          <w:tab w:val="num" w:pos="1440"/>
        </w:tabs>
        <w:spacing w:line="259" w:lineRule="auto"/>
      </w:pPr>
      <w:r w:rsidRPr="00AF1F63">
        <w:t xml:space="preserve">For the </w:t>
      </w:r>
      <w:r w:rsidR="0003793A">
        <w:t>2026</w:t>
      </w:r>
      <w:r w:rsidRPr="00AF1F63" w:rsidR="0003793A">
        <w:t xml:space="preserve"> </w:t>
      </w:r>
      <w:r w:rsidRPr="00AF1F63">
        <w:t xml:space="preserve">filing, we </w:t>
      </w:r>
      <w:r w:rsidR="00D02B53">
        <w:t>request</w:t>
      </w:r>
      <w:r w:rsidRPr="00AF1F63" w:rsidR="00D02B53">
        <w:t xml:space="preserve"> </w:t>
      </w:r>
      <w:r w:rsidRPr="00AF1F63">
        <w:t xml:space="preserve">price cap </w:t>
      </w:r>
      <w:r>
        <w:t>carriers</w:t>
      </w:r>
      <w:r w:rsidRPr="00AF1F63">
        <w:t xml:space="preserve"> to provide a list of services that are tariffed but excluded from price caps.  </w:t>
      </w:r>
      <w:r w:rsidR="00D02B53">
        <w:t>We request that this list</w:t>
      </w:r>
      <w:r w:rsidRPr="00AF1F63">
        <w:t xml:space="preserve"> identify the tariff section containing each service.  </w:t>
      </w:r>
      <w:r w:rsidR="00D02B53">
        <w:t>We request r</w:t>
      </w:r>
      <w:r w:rsidRPr="00AF1F63">
        <w:t xml:space="preserve">ate element details for the following categories: Special Construction/Individual Case Basis; End User Charges (e.g., USF charges, LNP); Government Services (e.g., FTS); Miscellaneous/Other (e.g., engineering services); and services that were in price caps but have been removed (e.g., interexchange services).  </w:t>
      </w:r>
      <w:bookmarkStart w:id="48" w:name="_Hlk5639605"/>
      <w:r w:rsidR="00D02B53">
        <w:t xml:space="preserve">It is not necessary to include in this list </w:t>
      </w:r>
      <w:r w:rsidRPr="00AF1F63">
        <w:t xml:space="preserve">services </w:t>
      </w:r>
      <w:r w:rsidR="00D02B53">
        <w:t xml:space="preserve">that are </w:t>
      </w:r>
      <w:r w:rsidRPr="00AF1F63">
        <w:t xml:space="preserve">not subject to price cap </w:t>
      </w:r>
      <w:r w:rsidRPr="00AF1F63">
        <w:rPr>
          <w:szCs w:val="22"/>
        </w:rPr>
        <w:t>regulation</w:t>
      </w:r>
      <w:r w:rsidRPr="00AF1F63">
        <w:t xml:space="preserve"> pursuant to the </w:t>
      </w:r>
      <w:r w:rsidRPr="00AF1F63">
        <w:rPr>
          <w:i/>
        </w:rPr>
        <w:t xml:space="preserve">USF/ICC Transformation Order </w:t>
      </w:r>
      <w:r w:rsidRPr="00AF1F63">
        <w:t>or</w:t>
      </w:r>
      <w:r w:rsidRPr="00AF1F63">
        <w:rPr>
          <w:i/>
        </w:rPr>
        <w:t xml:space="preserve"> Price Cap </w:t>
      </w:r>
      <w:r>
        <w:rPr>
          <w:i/>
        </w:rPr>
        <w:t>BDS</w:t>
      </w:r>
      <w:r w:rsidRPr="00AF1F63">
        <w:rPr>
          <w:i/>
        </w:rPr>
        <w:t xml:space="preserve"> Order</w:t>
      </w:r>
      <w:r w:rsidRPr="00AF1F63">
        <w:t>.</w:t>
      </w:r>
      <w:r>
        <w:rPr>
          <w:vertAlign w:val="superscript"/>
        </w:rPr>
        <w:footnoteReference w:id="77"/>
      </w:r>
      <w:r w:rsidRPr="00AF1F63">
        <w:t xml:space="preserve">  </w:t>
      </w:r>
      <w:bookmarkEnd w:id="48"/>
      <w:r w:rsidRPr="00AF1F63">
        <w:t xml:space="preserve">For the remaining services included in the list, </w:t>
      </w:r>
      <w:r w:rsidR="00D02B53">
        <w:t xml:space="preserve">we request </w:t>
      </w:r>
      <w:r w:rsidRPr="00AF1F63">
        <w:t xml:space="preserve">price cap </w:t>
      </w:r>
      <w:r w:rsidRPr="00F33718">
        <w:rPr>
          <w:szCs w:val="22"/>
        </w:rPr>
        <w:t>carriers</w:t>
      </w:r>
      <w:r w:rsidRPr="00AF1F63">
        <w:t xml:space="preserve"> </w:t>
      </w:r>
      <w:r w:rsidR="00D02B53">
        <w:t xml:space="preserve">to </w:t>
      </w:r>
      <w:r w:rsidRPr="00AF1F63">
        <w:t xml:space="preserve">identify the service, indicate whether the rate is recurring or non-recurring, and the authority relied on to remove the service, where applicable.  </w:t>
      </w:r>
      <w:r w:rsidR="00D02B53">
        <w:t>We also request that p</w:t>
      </w:r>
      <w:r w:rsidRPr="00AF1F63">
        <w:t xml:space="preserve">rice cap </w:t>
      </w:r>
      <w:r>
        <w:t>carriers</w:t>
      </w:r>
      <w:r w:rsidRPr="00AF1F63">
        <w:t xml:space="preserve"> clearly state in their cover letter where this information can be found in their TRP.</w:t>
      </w:r>
    </w:p>
    <w:p w:rsidR="00375EF9" w:rsidP="00375EF9" w14:paraId="7CCF4234" w14:textId="77777777">
      <w:pPr>
        <w:pStyle w:val="Heading2"/>
      </w:pPr>
      <w:r>
        <w:t>Miscellaneous</w:t>
      </w:r>
    </w:p>
    <w:p w:rsidR="00375EF9" w:rsidRPr="00B359AB" w:rsidP="002609DB" w14:paraId="362BC698" w14:textId="3FC30AE6">
      <w:pPr>
        <w:pStyle w:val="ParaNum"/>
        <w:widowControl/>
        <w:numPr>
          <w:ilvl w:val="0"/>
          <w:numId w:val="2"/>
        </w:numPr>
        <w:tabs>
          <w:tab w:val="clear" w:pos="1080"/>
          <w:tab w:val="num" w:pos="1440"/>
        </w:tabs>
        <w:spacing w:line="259" w:lineRule="auto"/>
        <w:rPr>
          <w:szCs w:val="22"/>
        </w:rPr>
      </w:pPr>
      <w:r w:rsidRPr="00B359AB">
        <w:rPr>
          <w:szCs w:val="22"/>
        </w:rPr>
        <w:t xml:space="preserve">In addition to the above specifications, </w:t>
      </w:r>
      <w:r w:rsidR="00D849F7">
        <w:rPr>
          <w:szCs w:val="22"/>
        </w:rPr>
        <w:t xml:space="preserve">we request that </w:t>
      </w:r>
      <w:r w:rsidRPr="00B359AB">
        <w:rPr>
          <w:szCs w:val="22"/>
        </w:rPr>
        <w:t xml:space="preserve">price cap </w:t>
      </w:r>
      <w:r>
        <w:rPr>
          <w:szCs w:val="22"/>
        </w:rPr>
        <w:t>carriers</w:t>
      </w:r>
      <w:r w:rsidRPr="00B359AB">
        <w:rPr>
          <w:szCs w:val="22"/>
        </w:rPr>
        <w:t xml:space="preserve"> include with their support materials a list of all currently applicable </w:t>
      </w:r>
      <w:r>
        <w:rPr>
          <w:szCs w:val="22"/>
        </w:rPr>
        <w:t>p</w:t>
      </w:r>
      <w:r w:rsidRPr="00B359AB">
        <w:rPr>
          <w:szCs w:val="22"/>
        </w:rPr>
        <w:t>art 69 waivers.  The list should include the following information: (1) a citation to the Commission or Bureau order granting the waiver; (2) a brief description of the waiver, including whether any new rate elements were authorized; and (3) the basket and, if applicable, service category of each rate element affected by the waiver.</w:t>
      </w:r>
    </w:p>
    <w:p w:rsidR="00375EF9" w:rsidP="00375EF9" w14:paraId="486E78E1" w14:textId="77777777">
      <w:pPr>
        <w:pStyle w:val="Heading1"/>
      </w:pPr>
      <w:r>
        <w:t>Rate-of-return tariff review plan</w:t>
      </w:r>
    </w:p>
    <w:p w:rsidR="00375EF9" w:rsidP="00375EF9" w14:paraId="51202A67" w14:textId="77777777">
      <w:pPr>
        <w:pStyle w:val="Heading2"/>
      </w:pPr>
      <w:r>
        <w:t>Modifications to the Rate-of-Return TRPs</w:t>
      </w:r>
    </w:p>
    <w:p w:rsidR="00375EF9" w:rsidRPr="003A1ACE" w:rsidP="002609DB" w14:paraId="5A078303" w14:textId="327A2203">
      <w:pPr>
        <w:pStyle w:val="ParaNum"/>
        <w:widowControl/>
        <w:numPr>
          <w:ilvl w:val="0"/>
          <w:numId w:val="2"/>
        </w:numPr>
        <w:tabs>
          <w:tab w:val="clear" w:pos="1080"/>
          <w:tab w:val="num" w:pos="1440"/>
        </w:tabs>
        <w:spacing w:line="259" w:lineRule="auto"/>
        <w:rPr>
          <w:szCs w:val="22"/>
        </w:rPr>
      </w:pPr>
      <w:r w:rsidRPr="00B359AB">
        <w:t xml:space="preserve">In the </w:t>
      </w:r>
      <w:r w:rsidR="0015378A">
        <w:t>2026</w:t>
      </w:r>
      <w:r w:rsidRPr="00B359AB" w:rsidR="0015378A">
        <w:t xml:space="preserve"> </w:t>
      </w:r>
      <w:r w:rsidRPr="00B359AB">
        <w:t>rate-</w:t>
      </w:r>
      <w:r w:rsidRPr="00A05B35">
        <w:rPr>
          <w:szCs w:val="22"/>
        </w:rPr>
        <w:t>of</w:t>
      </w:r>
      <w:r w:rsidRPr="00B359AB">
        <w:t>-return TRP, we</w:t>
      </w:r>
      <w:r w:rsidR="0099158B">
        <w:t xml:space="preserve"> </w:t>
      </w:r>
      <w:r w:rsidRPr="00B359AB">
        <w:t xml:space="preserve">implement </w:t>
      </w:r>
      <w:r w:rsidR="0099158B">
        <w:t xml:space="preserve">certain modifications required by </w:t>
      </w:r>
      <w:r w:rsidRPr="00B359AB">
        <w:t>the</w:t>
      </w:r>
      <w:r w:rsidR="0099158B">
        <w:t xml:space="preserve"> Commission in the</w:t>
      </w:r>
      <w:r w:rsidRPr="00B359AB">
        <w:t xml:space="preserve"> </w:t>
      </w:r>
      <w:r w:rsidRPr="00B359AB">
        <w:rPr>
          <w:i/>
        </w:rPr>
        <w:t>USF/ICC Transformation Order</w:t>
      </w:r>
      <w:r w:rsidRPr="00B359AB">
        <w:t xml:space="preserve">, </w:t>
      </w:r>
      <w:r>
        <w:t xml:space="preserve">the </w:t>
      </w:r>
      <w:r w:rsidRPr="00B359AB">
        <w:rPr>
          <w:i/>
          <w:iCs/>
        </w:rPr>
        <w:t>Rate-of-Return Reform Order</w:t>
      </w:r>
      <w:r w:rsidRPr="00B359AB">
        <w:t xml:space="preserve">, </w:t>
      </w:r>
      <w:r>
        <w:t xml:space="preserve">and </w:t>
      </w:r>
      <w:r w:rsidRPr="00B359AB">
        <w:rPr>
          <w:i/>
          <w:iCs/>
        </w:rPr>
        <w:t xml:space="preserve">Rate-of-Return </w:t>
      </w:r>
      <w:r>
        <w:rPr>
          <w:i/>
          <w:iCs/>
        </w:rPr>
        <w:t>BDS</w:t>
      </w:r>
      <w:r w:rsidRPr="00B359AB">
        <w:rPr>
          <w:i/>
          <w:iCs/>
        </w:rPr>
        <w:t xml:space="preserve"> Order</w:t>
      </w:r>
      <w:r w:rsidRPr="00B359AB">
        <w:t xml:space="preserve">.  These modifications are reflected in the workbooks referenced below.  In addition, we attach a TRP for rate-of-return </w:t>
      </w:r>
      <w:r>
        <w:t>carriers</w:t>
      </w:r>
      <w:r w:rsidRPr="00B359AB">
        <w:t xml:space="preserve"> subject to incentive regulation for certain BDS offerings.  These TRPs </w:t>
      </w:r>
      <w:r>
        <w:t>may be found at the webpage provided</w:t>
      </w:r>
      <w:r w:rsidRPr="00B359AB">
        <w:t xml:space="preserve"> in the Appendix.  </w:t>
      </w:r>
    </w:p>
    <w:p w:rsidR="00375EF9" w:rsidRPr="00CC77E6" w:rsidP="002609DB" w14:paraId="6D3A02DF" w14:textId="108B89D2">
      <w:pPr>
        <w:pStyle w:val="ParaNum"/>
        <w:widowControl/>
        <w:numPr>
          <w:ilvl w:val="0"/>
          <w:numId w:val="2"/>
        </w:numPr>
        <w:tabs>
          <w:tab w:val="clear" w:pos="1080"/>
          <w:tab w:val="num" w:pos="1440"/>
        </w:tabs>
        <w:spacing w:line="259" w:lineRule="auto"/>
        <w:rPr>
          <w:rFonts w:eastAsia="Calibri"/>
          <w:kern w:val="0"/>
        </w:rPr>
      </w:pPr>
      <w:bookmarkStart w:id="49" w:name="_Hlk5106520"/>
      <w:r w:rsidRPr="00644B91">
        <w:t>For special access, common line, and CBOL services</w:t>
      </w:r>
      <w:r>
        <w:t>,</w:t>
      </w:r>
      <w:r w:rsidRPr="00644B91">
        <w:t xml:space="preserve"> </w:t>
      </w:r>
      <w:r w:rsidR="000968F1">
        <w:t xml:space="preserve">we request that </w:t>
      </w:r>
      <w:r w:rsidRPr="00644B91">
        <w:t>section 61.38 carriers</w:t>
      </w:r>
      <w:r>
        <w:t xml:space="preserve"> that elect to complete new cost studies</w:t>
      </w:r>
      <w:r w:rsidRPr="00644B91">
        <w:t xml:space="preserve"> </w:t>
      </w:r>
      <w:r>
        <w:t xml:space="preserve">should submit one of </w:t>
      </w:r>
      <w:r w:rsidRPr="00644B91">
        <w:t>two versions of the workbooks related to rate-of-return regulation</w:t>
      </w:r>
      <w:r>
        <w:t>, as applicable</w:t>
      </w:r>
      <w:r w:rsidRPr="00644B91">
        <w:t>.</w:t>
      </w:r>
      <w:r>
        <w:rPr>
          <w:rStyle w:val="FootnoteReference"/>
          <w:sz w:val="22"/>
        </w:rPr>
        <w:footnoteReference w:id="78"/>
      </w:r>
      <w:r w:rsidRPr="00644B91">
        <w:t xml:space="preserve">  </w:t>
      </w:r>
      <w:r w:rsidRPr="00644B91">
        <w:rPr>
          <w:rFonts w:eastAsia="Calibri"/>
          <w:kern w:val="0"/>
        </w:rPr>
        <w:t>The “</w:t>
      </w:r>
      <w:r w:rsidR="0015378A">
        <w:rPr>
          <w:rFonts w:eastAsia="Calibri"/>
          <w:kern w:val="0"/>
        </w:rPr>
        <w:t>2026</w:t>
      </w:r>
      <w:r w:rsidRPr="00644B91" w:rsidR="0015378A">
        <w:rPr>
          <w:rFonts w:eastAsia="Calibri"/>
          <w:kern w:val="0"/>
        </w:rPr>
        <w:t xml:space="preserve"> </w:t>
      </w:r>
      <w:r w:rsidRPr="00644B91">
        <w:rPr>
          <w:rFonts w:eastAsia="Calibri"/>
          <w:kern w:val="0"/>
        </w:rPr>
        <w:t>Annual Filing RoR CAF-BLS” and “</w:t>
      </w:r>
      <w:r w:rsidR="0015378A">
        <w:rPr>
          <w:rFonts w:eastAsia="Calibri"/>
          <w:kern w:val="0"/>
        </w:rPr>
        <w:t>2026</w:t>
      </w:r>
      <w:r w:rsidRPr="00644B91" w:rsidR="0015378A">
        <w:rPr>
          <w:rFonts w:eastAsia="Calibri"/>
          <w:kern w:val="0"/>
        </w:rPr>
        <w:t xml:space="preserve"> </w:t>
      </w:r>
      <w:r w:rsidRPr="00644B91">
        <w:rPr>
          <w:rFonts w:eastAsia="Calibri"/>
          <w:kern w:val="0"/>
        </w:rPr>
        <w:t xml:space="preserve">Annual </w:t>
      </w:r>
      <w:r w:rsidRPr="00FB5A0D">
        <w:rPr>
          <w:szCs w:val="22"/>
        </w:rPr>
        <w:t>Filing</w:t>
      </w:r>
      <w:r w:rsidRPr="00644B91">
        <w:rPr>
          <w:rFonts w:eastAsia="Calibri"/>
          <w:kern w:val="0"/>
        </w:rPr>
        <w:t xml:space="preserve"> RoR </w:t>
      </w:r>
      <w:r>
        <w:rPr>
          <w:rFonts w:eastAsia="Calibri"/>
          <w:kern w:val="0"/>
        </w:rPr>
        <w:t>Fixed Support</w:t>
      </w:r>
      <w:r w:rsidRPr="00644B91">
        <w:rPr>
          <w:rFonts w:eastAsia="Calibri"/>
          <w:kern w:val="0"/>
        </w:rPr>
        <w:t xml:space="preserve">” workbooks apply to section 61.38 carriers that receive CAF-BLS and </w:t>
      </w:r>
      <w:r>
        <w:rPr>
          <w:rFonts w:eastAsia="Calibri"/>
          <w:kern w:val="0"/>
        </w:rPr>
        <w:t>fixed support (A-CAM, Enhanced A-CAM,</w:t>
      </w:r>
      <w:r w:rsidRPr="00644B91">
        <w:rPr>
          <w:rFonts w:eastAsia="Calibri"/>
          <w:kern w:val="0"/>
        </w:rPr>
        <w:t xml:space="preserve"> or Alaska Plan</w:t>
      </w:r>
      <w:r>
        <w:rPr>
          <w:rFonts w:eastAsia="Calibri"/>
          <w:kern w:val="0"/>
        </w:rPr>
        <w:t>)</w:t>
      </w:r>
      <w:r w:rsidRPr="00644B91">
        <w:rPr>
          <w:rFonts w:eastAsia="Calibri"/>
          <w:kern w:val="0"/>
        </w:rPr>
        <w:t>, respectively.</w:t>
      </w:r>
      <w:r>
        <w:rPr>
          <w:rStyle w:val="FootnoteReference"/>
          <w:rFonts w:eastAsia="Calibri"/>
          <w:kern w:val="0"/>
        </w:rPr>
        <w:footnoteReference w:id="79"/>
      </w:r>
      <w:r w:rsidRPr="00644B91">
        <w:rPr>
          <w:rFonts w:eastAsia="Calibri"/>
          <w:kern w:val="0"/>
        </w:rPr>
        <w:t xml:space="preserve">  </w:t>
      </w:r>
    </w:p>
    <w:p w:rsidR="00375EF9" w:rsidRPr="004277AB" w:rsidP="002609DB" w14:paraId="658D1DB8" w14:textId="24FF3B9A">
      <w:pPr>
        <w:pStyle w:val="ParaNum"/>
        <w:widowControl/>
        <w:numPr>
          <w:ilvl w:val="0"/>
          <w:numId w:val="2"/>
        </w:numPr>
        <w:tabs>
          <w:tab w:val="clear" w:pos="1080"/>
          <w:tab w:val="num" w:pos="1440"/>
        </w:tabs>
        <w:spacing w:line="259" w:lineRule="auto"/>
      </w:pPr>
      <w:r w:rsidRPr="00644B91">
        <w:t xml:space="preserve">For special access and CBOL services, </w:t>
      </w:r>
      <w:r w:rsidR="000968F1">
        <w:t xml:space="preserve">we request that </w:t>
      </w:r>
      <w:r w:rsidRPr="00644B91">
        <w:t xml:space="preserve">section 61.39 carriers that receive </w:t>
      </w:r>
      <w:r w:rsidR="00454715">
        <w:t xml:space="preserve">CAF-BLS </w:t>
      </w:r>
      <w:r w:rsidR="00AC4912">
        <w:t xml:space="preserve">support </w:t>
      </w:r>
      <w:r w:rsidR="00454715">
        <w:t xml:space="preserve">attributable to </w:t>
      </w:r>
      <w:r w:rsidRPr="00644B91">
        <w:t>CBOL</w:t>
      </w:r>
      <w:r w:rsidR="000A2330">
        <w:t xml:space="preserve"> line</w:t>
      </w:r>
      <w:r w:rsidR="00AA340B">
        <w:t>s</w:t>
      </w:r>
      <w:r w:rsidRPr="00644B91">
        <w:t xml:space="preserve"> </w:t>
      </w:r>
      <w:r w:rsidR="006F17E8">
        <w:t>or</w:t>
      </w:r>
      <w:r w:rsidRPr="00454715" w:rsidR="00454715">
        <w:t xml:space="preserve"> receive </w:t>
      </w:r>
      <w:r w:rsidR="00045AE4">
        <w:t>fixed support and c</w:t>
      </w:r>
      <w:r w:rsidR="00FC28B4">
        <w:t xml:space="preserve">hoose to do new cost studies this year </w:t>
      </w:r>
      <w:r w:rsidRPr="00644B91">
        <w:t>submit the “</w:t>
      </w:r>
      <w:r w:rsidR="0015378A">
        <w:t>2026</w:t>
      </w:r>
      <w:r w:rsidRPr="00644B91" w:rsidR="0015378A">
        <w:t xml:space="preserve"> </w:t>
      </w:r>
      <w:r w:rsidRPr="00644B91">
        <w:t>61.39 ILEC Special Access Reallocation” workbook.</w:t>
      </w:r>
      <w:r>
        <w:rPr>
          <w:rStyle w:val="FootnoteReference"/>
          <w:sz w:val="22"/>
        </w:rPr>
        <w:footnoteReference w:id="80"/>
      </w:r>
      <w:r w:rsidRPr="00644B91">
        <w:t xml:space="preserve">  This workbook </w:t>
      </w:r>
      <w:r w:rsidRPr="004277AB">
        <w:t xml:space="preserve">shows the special access costs reallocated to the CBOL category and the special access costs, net of that reallocation, for section 61.39 carriers that receive </w:t>
      </w:r>
      <w:r w:rsidRPr="00A63738" w:rsidR="00A63738">
        <w:t xml:space="preserve">CAF-BLS support attributable to </w:t>
      </w:r>
      <w:r w:rsidRPr="004277AB">
        <w:t>CBOL</w:t>
      </w:r>
      <w:r w:rsidR="00427532">
        <w:t xml:space="preserve"> </w:t>
      </w:r>
      <w:r w:rsidR="00200041">
        <w:t>lines</w:t>
      </w:r>
      <w:r w:rsidR="00CD1E9B">
        <w:t xml:space="preserve"> or fixed support</w:t>
      </w:r>
      <w:r w:rsidRPr="004277AB">
        <w:t>, and calculates the maximum permitted CBOL rate for 61.39 carriers that receive CAF BLS</w:t>
      </w:r>
      <w:r w:rsidR="00614F29">
        <w:t xml:space="preserve"> support</w:t>
      </w:r>
      <w:r w:rsidRPr="004277AB">
        <w:t xml:space="preserve">.  </w:t>
      </w:r>
    </w:p>
    <w:bookmarkEnd w:id="49"/>
    <w:p w:rsidR="00375EF9" w:rsidRPr="00FB5A0D" w:rsidP="002609DB" w14:paraId="71BA0DA8" w14:textId="1D956505">
      <w:pPr>
        <w:pStyle w:val="ParaNum"/>
        <w:widowControl/>
        <w:numPr>
          <w:ilvl w:val="0"/>
          <w:numId w:val="2"/>
        </w:numPr>
        <w:tabs>
          <w:tab w:val="clear" w:pos="1080"/>
          <w:tab w:val="num" w:pos="1440"/>
        </w:tabs>
        <w:spacing w:line="259" w:lineRule="auto"/>
      </w:pPr>
      <w:r w:rsidRPr="00644B91">
        <w:t xml:space="preserve">For switched access services, </w:t>
      </w:r>
      <w:r w:rsidR="000968F1">
        <w:t xml:space="preserve">we request that </w:t>
      </w:r>
      <w:r w:rsidRPr="00644B91">
        <w:t xml:space="preserve">rate-of-return </w:t>
      </w:r>
      <w:r>
        <w:t>carriers</w:t>
      </w:r>
      <w:r w:rsidRPr="00644B91">
        <w:t xml:space="preserve"> complete the </w:t>
      </w:r>
      <w:r w:rsidRPr="00BE2C6B">
        <w:t>“</w:t>
      </w:r>
      <w:r>
        <w:t>2025</w:t>
      </w:r>
      <w:r w:rsidRPr="00BE2C6B">
        <w:t xml:space="preserve"> RoR ILEC ICC Data” workbook</w:t>
      </w:r>
      <w:r>
        <w:t>.  This workbook</w:t>
      </w:r>
      <w:r w:rsidRPr="00BE2C6B">
        <w:t xml:space="preserve"> contains worksheets for carriers to determine their intrastate, interstate, and reciprocal compensation rates and Eligible Recovery, pursuant to sections 51.909(b)-(</w:t>
      </w:r>
      <w:r>
        <w:t>j</w:t>
      </w:r>
      <w:r w:rsidRPr="00BE2C6B">
        <w:t>)</w:t>
      </w:r>
      <w:r>
        <w:t xml:space="preserve"> and (l)-(o)</w:t>
      </w:r>
      <w:r w:rsidRPr="00BE2C6B">
        <w:t>, 51.705(c)(</w:t>
      </w:r>
      <w:r>
        <w:t>5</w:t>
      </w:r>
      <w:r w:rsidRPr="00BE2C6B">
        <w:t>) and 51.917(d) of the Commission’s rules.</w:t>
      </w:r>
      <w:r>
        <w:rPr>
          <w:vertAlign w:val="superscript"/>
        </w:rPr>
        <w:footnoteReference w:id="81"/>
      </w:r>
      <w:r w:rsidR="0072645F">
        <w:t xml:space="preserve">  </w:t>
      </w:r>
      <w:r w:rsidR="000968F1">
        <w:t>We also request</w:t>
      </w:r>
      <w:r w:rsidR="00256BE3">
        <w:t xml:space="preserve"> that</w:t>
      </w:r>
      <w:r w:rsidR="000968F1">
        <w:t xml:space="preserve"> t</w:t>
      </w:r>
      <w:r>
        <w:t xml:space="preserve">hese carriers complete the </w:t>
      </w:r>
      <w:r w:rsidRPr="00644B91">
        <w:t>ARC-</w:t>
      </w:r>
      <w:r>
        <w:t xml:space="preserve"> and CAF-ICC-</w:t>
      </w:r>
      <w:r w:rsidRPr="00644B91">
        <w:t>related workbooks:</w:t>
      </w:r>
      <w:r>
        <w:rPr>
          <w:rStyle w:val="FootnoteReference"/>
          <w:sz w:val="22"/>
        </w:rPr>
        <w:footnoteReference w:id="82"/>
      </w:r>
      <w:r w:rsidRPr="00644B91">
        <w:t xml:space="preserve"> (i) the “</w:t>
      </w:r>
      <w:r w:rsidR="0015378A">
        <w:t>2026</w:t>
      </w:r>
      <w:r w:rsidRPr="00644B91" w:rsidR="0015378A">
        <w:t xml:space="preserve"> </w:t>
      </w:r>
      <w:r w:rsidRPr="00644B91">
        <w:t>Rate Ceiling CAF RoR ILEC” or the “</w:t>
      </w:r>
      <w:r w:rsidR="0015378A">
        <w:t>2026</w:t>
      </w:r>
      <w:r w:rsidRPr="00644B91" w:rsidR="0015378A">
        <w:t xml:space="preserve"> </w:t>
      </w:r>
      <w:r w:rsidRPr="00644B91">
        <w:t>Rate Ceiling No CAF RoR ILEC;” and (ii) the “</w:t>
      </w:r>
      <w:r w:rsidR="0015378A">
        <w:t xml:space="preserve">2026 </w:t>
      </w:r>
      <w:r w:rsidRPr="00644B91">
        <w:t>Tariff Rate Comp CAF RoR ILEC” or the “</w:t>
      </w:r>
      <w:r w:rsidR="0015378A">
        <w:t>2026</w:t>
      </w:r>
      <w:r w:rsidRPr="00644B91" w:rsidR="0015378A">
        <w:t xml:space="preserve"> </w:t>
      </w:r>
      <w:r w:rsidRPr="00644B91">
        <w:t xml:space="preserve">Tariff Rate Comp No CAF RoR ILEC” workbooks.  </w:t>
      </w:r>
      <w:r w:rsidR="009E4E1B">
        <w:t xml:space="preserve">The </w:t>
      </w:r>
      <w:r w:rsidR="00DA7D81">
        <w:t>“CAF” and “</w:t>
      </w:r>
      <w:r w:rsidR="009E4E1B">
        <w:t>No CAF</w:t>
      </w:r>
      <w:r w:rsidR="00DA7D81">
        <w:t>”</w:t>
      </w:r>
      <w:r w:rsidR="009E4E1B">
        <w:t xml:space="preserve"> versions of these workbooks</w:t>
      </w:r>
      <w:r w:rsidR="004A66AB">
        <w:t>, respectively,</w:t>
      </w:r>
      <w:r w:rsidR="009E4E1B">
        <w:t xml:space="preserve"> are for</w:t>
      </w:r>
      <w:r w:rsidR="00B20A68">
        <w:t xml:space="preserve"> carriers that do </w:t>
      </w:r>
      <w:r w:rsidR="00DC3A7A">
        <w:t xml:space="preserve">and do </w:t>
      </w:r>
      <w:r w:rsidR="00B20A68">
        <w:t xml:space="preserve">not receive CAF ICC </w:t>
      </w:r>
      <w:r w:rsidR="00DA7D81">
        <w:t xml:space="preserve">this year.  </w:t>
      </w:r>
      <w:r w:rsidRPr="00123549">
        <w:t xml:space="preserve">These workbooks are modified to the extent necessary to implement the requirements of the </w:t>
      </w:r>
      <w:r w:rsidRPr="00F25C30">
        <w:rPr>
          <w:i/>
        </w:rPr>
        <w:t>USF/ICC Transformation Order</w:t>
      </w:r>
      <w:r w:rsidRPr="00123549">
        <w:t>.</w:t>
      </w:r>
      <w:r>
        <w:rPr>
          <w:vertAlign w:val="superscript"/>
        </w:rPr>
        <w:footnoteReference w:id="83"/>
      </w:r>
      <w:r w:rsidRPr="00123549">
        <w:t xml:space="preserve">  </w:t>
      </w:r>
      <w:r w:rsidR="000968F1">
        <w:t>We also request</w:t>
      </w:r>
      <w:r w:rsidR="00FE2355">
        <w:t xml:space="preserve"> that</w:t>
      </w:r>
      <w:r w:rsidR="000968F1">
        <w:t xml:space="preserve"> t</w:t>
      </w:r>
      <w:r w:rsidRPr="00644B91">
        <w:t>hese carriers  complete the “</w:t>
      </w:r>
      <w:r w:rsidR="0015378A">
        <w:t>2026</w:t>
      </w:r>
      <w:r w:rsidRPr="00644B91" w:rsidR="0015378A">
        <w:t xml:space="preserve"> </w:t>
      </w:r>
      <w:r w:rsidRPr="00644B91">
        <w:t xml:space="preserve">True Up RoR ILEC” </w:t>
      </w:r>
      <w:r w:rsidRPr="00644B91">
        <w:t>workbook.</w:t>
      </w:r>
      <w:r>
        <w:rPr>
          <w:rStyle w:val="FootnoteReference"/>
          <w:sz w:val="22"/>
        </w:rPr>
        <w:footnoteReference w:id="84"/>
      </w:r>
      <w:r w:rsidRPr="00644B91">
        <w:t xml:space="preserve">  </w:t>
      </w:r>
      <w:r w:rsidR="000968F1">
        <w:t xml:space="preserve">We also request </w:t>
      </w:r>
      <w:r w:rsidR="00FE2355">
        <w:t xml:space="preserve">that </w:t>
      </w:r>
      <w:r w:rsidR="000968F1">
        <w:t>c</w:t>
      </w:r>
      <w:r w:rsidRPr="00644B91">
        <w:t>arriers summarize the data from these workbooks in the “</w:t>
      </w:r>
      <w:r w:rsidR="0015378A">
        <w:t>2026</w:t>
      </w:r>
      <w:r w:rsidRPr="00644B91" w:rsidR="0015378A">
        <w:t xml:space="preserve"> </w:t>
      </w:r>
      <w:r w:rsidRPr="00644B91">
        <w:t>RoR ILEC Summary” workbook.</w:t>
      </w:r>
    </w:p>
    <w:p w:rsidR="00375EF9" w:rsidRPr="00427532" w:rsidP="00427532" w14:paraId="7BCE036F" w14:textId="15DCA4B4">
      <w:pPr>
        <w:pStyle w:val="ParaNum"/>
        <w:widowControl/>
        <w:numPr>
          <w:ilvl w:val="0"/>
          <w:numId w:val="2"/>
        </w:numPr>
        <w:tabs>
          <w:tab w:val="clear" w:pos="1080"/>
          <w:tab w:val="num" w:pos="1440"/>
        </w:tabs>
        <w:spacing w:line="259" w:lineRule="auto"/>
        <w:rPr>
          <w:szCs w:val="22"/>
        </w:rPr>
      </w:pPr>
      <w:r w:rsidRPr="00F769B8">
        <w:t xml:space="preserve">NECA prepared TRPs for rate-of-return </w:t>
      </w:r>
      <w:r>
        <w:t>carriers</w:t>
      </w:r>
      <w:r w:rsidRPr="00F769B8">
        <w:t xml:space="preserve"> that elected incentive regulation for BDS offerings pursuant to the </w:t>
      </w:r>
      <w:r w:rsidRPr="00684A7A">
        <w:rPr>
          <w:i/>
        </w:rPr>
        <w:t>Rate-of-Return BDS Order</w:t>
      </w:r>
      <w:r w:rsidRPr="00F769B8">
        <w:t xml:space="preserve">.  These TRPs are for carriers for which NECA files special access rates, and </w:t>
      </w:r>
      <w:r>
        <w:t>these TRPs</w:t>
      </w:r>
      <w:r w:rsidRPr="00F769B8">
        <w:t xml:space="preserve"> or </w:t>
      </w:r>
      <w:r>
        <w:t>their</w:t>
      </w:r>
      <w:r w:rsidRPr="00F769B8">
        <w:t xml:space="preserve"> equivalent</w:t>
      </w:r>
      <w:r>
        <w:t>s</w:t>
      </w:r>
      <w:r w:rsidRPr="00F769B8">
        <w:t xml:space="preserve"> </w:t>
      </w:r>
      <w:r w:rsidR="000968F1">
        <w:t xml:space="preserve">may </w:t>
      </w:r>
      <w:r w:rsidRPr="00F769B8">
        <w:t xml:space="preserve">be used by carriers that file their own special access rates.  </w:t>
      </w:r>
      <w:bookmarkStart w:id="50" w:name="_Hlk69919850"/>
      <w:r w:rsidRPr="00343755">
        <w:t xml:space="preserve">The “TY </w:t>
      </w:r>
      <w:r w:rsidR="0015378A">
        <w:t>2026-2027</w:t>
      </w:r>
      <w:r w:rsidRPr="00343755">
        <w:t xml:space="preserve"> Holding Company BDS Annual TRP” </w:t>
      </w:r>
      <w:r w:rsidR="00816F6C">
        <w:t xml:space="preserve">is </w:t>
      </w:r>
      <w:r>
        <w:t xml:space="preserve">for </w:t>
      </w:r>
      <w:bookmarkStart w:id="51" w:name="_Hlk165980441"/>
      <w:r>
        <w:t xml:space="preserve">carriers </w:t>
      </w:r>
      <w:bookmarkStart w:id="52" w:name="_Hlk165983559"/>
      <w:r>
        <w:t xml:space="preserve">that </w:t>
      </w:r>
      <w:bookmarkEnd w:id="51"/>
      <w:bookmarkEnd w:id="52"/>
      <w:r w:rsidRPr="006875DC">
        <w:t>establish a PCI, API, SBIs, and upper SBI limits at the holding company level</w:t>
      </w:r>
      <w:r>
        <w:t>.</w:t>
      </w:r>
      <w:r w:rsidRPr="00343755">
        <w:t xml:space="preserve"> </w:t>
      </w:r>
      <w:r>
        <w:t xml:space="preserve"> T</w:t>
      </w:r>
      <w:r w:rsidRPr="00343755">
        <w:t xml:space="preserve">he “TY </w:t>
      </w:r>
      <w:r w:rsidR="0015378A">
        <w:t>2026-2027</w:t>
      </w:r>
      <w:r w:rsidRPr="00343755">
        <w:t xml:space="preserve"> Individual Study Area </w:t>
      </w:r>
      <w:r>
        <w:t xml:space="preserve">BDS </w:t>
      </w:r>
      <w:r w:rsidRPr="00343755">
        <w:t xml:space="preserve">Annual TRP” </w:t>
      </w:r>
      <w:r>
        <w:t>is for carriers</w:t>
      </w:r>
      <w:r w:rsidRPr="00E82E0B">
        <w:t xml:space="preserve"> </w:t>
      </w:r>
      <w:r>
        <w:t>that establish PCIs, APIs, SBIs, and upper SBI limits at the study area level</w:t>
      </w:r>
      <w:r w:rsidRPr="00343755">
        <w:t xml:space="preserve">.  </w:t>
      </w:r>
      <w:bookmarkEnd w:id="50"/>
      <w:r w:rsidRPr="00684A7A">
        <w:rPr>
          <w:rFonts w:eastAsia="Calibri"/>
          <w:snapToGrid/>
          <w:kern w:val="0"/>
        </w:rPr>
        <w:t xml:space="preserve">These workbooks calculate the price cap indices and exogenous cost adjustments pursuant to section 61.50, display the relevant rates and revenues, including the proposed rates </w:t>
      </w:r>
      <w:r w:rsidRPr="00F769B8">
        <w:t xml:space="preserve">for </w:t>
      </w:r>
      <w:r>
        <w:t>low capacity (</w:t>
      </w:r>
      <w:r w:rsidRPr="00F769B8">
        <w:t>DS3 or lower</w:t>
      </w:r>
      <w:r>
        <w:t>)</w:t>
      </w:r>
      <w:r w:rsidRPr="00F769B8">
        <w:t xml:space="preserve"> TDM-based transport and end-user channel termination BDS services, other than end-user channel termination services in study areas deemed competitive, and demonstrate compliance of the proposed rates with section 61.50.</w:t>
      </w:r>
      <w:r>
        <w:rPr>
          <w:rStyle w:val="FootnoteReference"/>
          <w:sz w:val="22"/>
        </w:rPr>
        <w:footnoteReference w:id="85"/>
      </w:r>
      <w:r w:rsidRPr="00F769B8">
        <w:t xml:space="preserve">  </w:t>
      </w:r>
    </w:p>
    <w:p w:rsidR="00375EF9" w:rsidRPr="00B359AB" w:rsidP="002609DB" w14:paraId="2966C0A5" w14:textId="4D70B4B7">
      <w:pPr>
        <w:pStyle w:val="ParaNum"/>
        <w:widowControl/>
        <w:numPr>
          <w:ilvl w:val="0"/>
          <w:numId w:val="2"/>
        </w:numPr>
        <w:tabs>
          <w:tab w:val="clear" w:pos="1080"/>
          <w:tab w:val="num" w:pos="1440"/>
        </w:tabs>
        <w:spacing w:line="259" w:lineRule="auto"/>
        <w:rPr>
          <w:szCs w:val="22"/>
        </w:rPr>
      </w:pPr>
      <w:r w:rsidRPr="00B359AB">
        <w:rPr>
          <w:szCs w:val="22"/>
        </w:rPr>
        <w:t xml:space="preserve">In the </w:t>
      </w:r>
      <w:r w:rsidR="0015378A">
        <w:rPr>
          <w:i/>
          <w:iCs/>
          <w:szCs w:val="22"/>
        </w:rPr>
        <w:t>2025</w:t>
      </w:r>
      <w:r w:rsidRPr="00B359AB" w:rsidR="0015378A">
        <w:rPr>
          <w:i/>
          <w:iCs/>
          <w:szCs w:val="22"/>
        </w:rPr>
        <w:t xml:space="preserve"> </w:t>
      </w:r>
      <w:r w:rsidRPr="00B359AB">
        <w:rPr>
          <w:i/>
          <w:iCs/>
          <w:szCs w:val="22"/>
        </w:rPr>
        <w:t>TRP Order</w:t>
      </w:r>
      <w:r w:rsidRPr="00B359AB">
        <w:rPr>
          <w:szCs w:val="22"/>
        </w:rPr>
        <w:t xml:space="preserve">, the Bureau instructed </w:t>
      </w:r>
      <w:bookmarkStart w:id="53" w:name="_Hlk38650546"/>
      <w:r w:rsidRPr="00B359AB">
        <w:rPr>
          <w:szCs w:val="22"/>
        </w:rPr>
        <w:t xml:space="preserve">rate-of-return </w:t>
      </w:r>
      <w:r>
        <w:rPr>
          <w:szCs w:val="22"/>
        </w:rPr>
        <w:t>carriers</w:t>
      </w:r>
      <w:r w:rsidRPr="00B359AB">
        <w:rPr>
          <w:szCs w:val="22"/>
        </w:rPr>
        <w:t xml:space="preserve"> </w:t>
      </w:r>
      <w:r>
        <w:rPr>
          <w:szCs w:val="22"/>
        </w:rPr>
        <w:t>that elected</w:t>
      </w:r>
      <w:r w:rsidRPr="00B359AB">
        <w:rPr>
          <w:szCs w:val="22"/>
        </w:rPr>
        <w:t xml:space="preserve"> BDS incentive regulation </w:t>
      </w:r>
      <w:bookmarkEnd w:id="53"/>
      <w:r w:rsidRPr="00B359AB">
        <w:rPr>
          <w:szCs w:val="22"/>
        </w:rPr>
        <w:t xml:space="preserve">to </w:t>
      </w:r>
      <w:r w:rsidRPr="00FC2622">
        <w:rPr>
          <w:szCs w:val="22"/>
        </w:rPr>
        <w:t>reflect exogenous cost adjustments for TRS, NANPA, and regulatory fees in a mid-</w:t>
      </w:r>
      <w:r>
        <w:rPr>
          <w:szCs w:val="22"/>
        </w:rPr>
        <w:t>year tariff</w:t>
      </w:r>
      <w:r w:rsidRPr="00FC2622">
        <w:rPr>
          <w:szCs w:val="22"/>
        </w:rPr>
        <w:t xml:space="preserve"> filing</w:t>
      </w:r>
      <w:r w:rsidR="00F5462E">
        <w:rPr>
          <w:szCs w:val="22"/>
        </w:rPr>
        <w:t xml:space="preserve"> effective October 1, 2025</w:t>
      </w:r>
      <w:r w:rsidRPr="00FC2622">
        <w:rPr>
          <w:szCs w:val="22"/>
        </w:rPr>
        <w:t>.</w:t>
      </w:r>
      <w:r>
        <w:rPr>
          <w:rStyle w:val="FootnoteReference"/>
          <w:szCs w:val="22"/>
        </w:rPr>
        <w:footnoteReference w:id="86"/>
      </w:r>
      <w:r>
        <w:rPr>
          <w:szCs w:val="22"/>
        </w:rPr>
        <w:t xml:space="preserve"> </w:t>
      </w:r>
      <w:r w:rsidRPr="00FC2622">
        <w:rPr>
          <w:szCs w:val="22"/>
        </w:rPr>
        <w:t xml:space="preserve"> Any exogenous cost adjustment for TRS reflected in rates in effect </w:t>
      </w:r>
      <w:r w:rsidR="0015378A">
        <w:rPr>
          <w:szCs w:val="22"/>
        </w:rPr>
        <w:t>October 1, 2025</w:t>
      </w:r>
      <w:r w:rsidRPr="00FC2622">
        <w:rPr>
          <w:szCs w:val="22"/>
        </w:rPr>
        <w:t xml:space="preserve"> </w:t>
      </w:r>
      <w:r>
        <w:rPr>
          <w:szCs w:val="22"/>
        </w:rPr>
        <w:t>had to be</w:t>
      </w:r>
      <w:r w:rsidRPr="00FC2622">
        <w:rPr>
          <w:szCs w:val="22"/>
        </w:rPr>
        <w:t xml:space="preserve"> “grossed up” to spread the entire adjustment over the remaining months in the tariff year.</w:t>
      </w:r>
      <w:r>
        <w:rPr>
          <w:rStyle w:val="FootnoteReference"/>
          <w:sz w:val="22"/>
        </w:rPr>
        <w:footnoteReference w:id="87"/>
      </w:r>
      <w:r w:rsidRPr="00B359AB">
        <w:rPr>
          <w:szCs w:val="22"/>
        </w:rPr>
        <w:t xml:space="preserve">  Absent an exogenous cost adjustment in this year’s annual filing to remove the effect of the gross-up reflected in the exogenous cost adjustment for TRS, these carriers will over-</w:t>
      </w:r>
      <w:r>
        <w:rPr>
          <w:szCs w:val="22"/>
        </w:rPr>
        <w:t xml:space="preserve"> or under-</w:t>
      </w:r>
      <w:r w:rsidRPr="00B359AB">
        <w:rPr>
          <w:szCs w:val="22"/>
        </w:rPr>
        <w:t xml:space="preserve">recover their TRS costs beginning </w:t>
      </w:r>
      <w:r w:rsidR="0015378A">
        <w:rPr>
          <w:szCs w:val="22"/>
        </w:rPr>
        <w:t>July 1, 2026</w:t>
      </w:r>
      <w:r w:rsidRPr="00B359AB">
        <w:rPr>
          <w:szCs w:val="22"/>
        </w:rPr>
        <w:t xml:space="preserve">.  Accordingly, any gross-up amount reflected in existing rates through the exogenous cost adjustment on </w:t>
      </w:r>
      <w:r w:rsidR="0015378A">
        <w:rPr>
          <w:szCs w:val="22"/>
        </w:rPr>
        <w:t>October 1, 2025</w:t>
      </w:r>
      <w:r w:rsidRPr="00B359AB">
        <w:rPr>
          <w:szCs w:val="22"/>
        </w:rPr>
        <w:t xml:space="preserve"> must be removed in this year’s annual filing via an exogenous cost adjustment.  </w:t>
      </w:r>
      <w:r w:rsidRPr="00E97BDA">
        <w:rPr>
          <w:szCs w:val="22"/>
        </w:rPr>
        <w:t>Carriers that made an exogenous cost adjustment for TRS to the special access basket PCI and SBI upper limits in their mid-</w:t>
      </w:r>
      <w:r>
        <w:rPr>
          <w:szCs w:val="22"/>
        </w:rPr>
        <w:t>year</w:t>
      </w:r>
      <w:r w:rsidRPr="00E97BDA">
        <w:rPr>
          <w:szCs w:val="22"/>
        </w:rPr>
        <w:t xml:space="preserve"> </w:t>
      </w:r>
      <w:r w:rsidR="0015378A">
        <w:rPr>
          <w:szCs w:val="22"/>
        </w:rPr>
        <w:t>2025</w:t>
      </w:r>
      <w:r w:rsidRPr="00E97BDA" w:rsidR="0015378A">
        <w:rPr>
          <w:szCs w:val="22"/>
        </w:rPr>
        <w:t xml:space="preserve"> </w:t>
      </w:r>
      <w:r w:rsidRPr="00E97BDA">
        <w:rPr>
          <w:szCs w:val="22"/>
        </w:rPr>
        <w:t xml:space="preserve">TRPs must remove the effect of the gross-up from these </w:t>
      </w:r>
      <w:r>
        <w:rPr>
          <w:szCs w:val="22"/>
        </w:rPr>
        <w:t>indices</w:t>
      </w:r>
      <w:r w:rsidRPr="00E97BDA">
        <w:rPr>
          <w:szCs w:val="22"/>
        </w:rPr>
        <w:t>, regardless of whether they changed their rates</w:t>
      </w:r>
      <w:r w:rsidRPr="002C2DF3">
        <w:rPr>
          <w:szCs w:val="22"/>
        </w:rPr>
        <w:t xml:space="preserve"> on </w:t>
      </w:r>
      <w:r w:rsidR="0015378A">
        <w:rPr>
          <w:szCs w:val="22"/>
        </w:rPr>
        <w:t>October 1, 2025</w:t>
      </w:r>
      <w:r>
        <w:rPr>
          <w:szCs w:val="22"/>
        </w:rPr>
        <w:t xml:space="preserve"> </w:t>
      </w:r>
      <w:r w:rsidRPr="002C2DF3">
        <w:rPr>
          <w:szCs w:val="22"/>
        </w:rPr>
        <w:t>or subsequently</w:t>
      </w:r>
      <w:r>
        <w:rPr>
          <w:szCs w:val="22"/>
        </w:rPr>
        <w:t>.</w:t>
      </w:r>
      <w:r>
        <w:rPr>
          <w:rStyle w:val="FootnoteReference"/>
          <w:szCs w:val="22"/>
        </w:rPr>
        <w:footnoteReference w:id="88"/>
      </w:r>
      <w:r w:rsidRPr="00E97BDA">
        <w:rPr>
          <w:szCs w:val="22"/>
        </w:rPr>
        <w:t xml:space="preserve"> </w:t>
      </w:r>
      <w:r>
        <w:rPr>
          <w:szCs w:val="22"/>
        </w:rPr>
        <w:t xml:space="preserve"> </w:t>
      </w:r>
      <w:r w:rsidRPr="00B359AB">
        <w:rPr>
          <w:szCs w:val="22"/>
        </w:rPr>
        <w:t>Th</w:t>
      </w:r>
      <w:r>
        <w:rPr>
          <w:szCs w:val="22"/>
        </w:rPr>
        <w:t>e</w:t>
      </w:r>
      <w:r w:rsidRPr="00B359AB">
        <w:rPr>
          <w:szCs w:val="22"/>
        </w:rPr>
        <w:t xml:space="preserve"> exogenous cost adjustment </w:t>
      </w:r>
      <w:r>
        <w:rPr>
          <w:szCs w:val="22"/>
        </w:rPr>
        <w:t xml:space="preserve">to remove </w:t>
      </w:r>
      <w:r w:rsidRPr="00E97BDA">
        <w:rPr>
          <w:szCs w:val="22"/>
        </w:rPr>
        <w:t xml:space="preserve">the effect of the gross-up </w:t>
      </w:r>
      <w:r w:rsidRPr="00B359AB">
        <w:rPr>
          <w:szCs w:val="22"/>
        </w:rPr>
        <w:t xml:space="preserve">is reflected in the TRPs </w:t>
      </w:r>
      <w:r>
        <w:rPr>
          <w:szCs w:val="22"/>
        </w:rPr>
        <w:t>found at the webpage provided in</w:t>
      </w:r>
      <w:r w:rsidRPr="00B359AB">
        <w:rPr>
          <w:szCs w:val="22"/>
        </w:rPr>
        <w:t xml:space="preserve"> the Appendix.  </w:t>
      </w:r>
    </w:p>
    <w:p w:rsidR="00375EF9" w:rsidRPr="00B359AB" w:rsidP="002609DB" w14:paraId="65F95594" w14:textId="5C97351A">
      <w:pPr>
        <w:pStyle w:val="ParaNum"/>
        <w:widowControl/>
        <w:numPr>
          <w:ilvl w:val="0"/>
          <w:numId w:val="2"/>
        </w:numPr>
        <w:tabs>
          <w:tab w:val="clear" w:pos="1080"/>
          <w:tab w:val="num" w:pos="1440"/>
        </w:tabs>
        <w:spacing w:line="259" w:lineRule="auto"/>
        <w:rPr>
          <w:szCs w:val="22"/>
        </w:rPr>
      </w:pPr>
      <w:r>
        <w:rPr>
          <w:szCs w:val="22"/>
        </w:rPr>
        <w:t>We remind r</w:t>
      </w:r>
      <w:r w:rsidRPr="00B359AB">
        <w:rPr>
          <w:szCs w:val="22"/>
        </w:rPr>
        <w:t xml:space="preserve">ate-of-return </w:t>
      </w:r>
      <w:r>
        <w:rPr>
          <w:szCs w:val="22"/>
        </w:rPr>
        <w:t>carriers</w:t>
      </w:r>
      <w:r w:rsidRPr="00B359AB">
        <w:rPr>
          <w:szCs w:val="22"/>
        </w:rPr>
        <w:t xml:space="preserve"> </w:t>
      </w:r>
      <w:r>
        <w:rPr>
          <w:szCs w:val="22"/>
        </w:rPr>
        <w:t>that elected</w:t>
      </w:r>
      <w:r w:rsidRPr="00B359AB">
        <w:rPr>
          <w:szCs w:val="22"/>
        </w:rPr>
        <w:t xml:space="preserve"> </w:t>
      </w:r>
      <w:r>
        <w:rPr>
          <w:szCs w:val="22"/>
        </w:rPr>
        <w:t xml:space="preserve">BDS </w:t>
      </w:r>
      <w:r w:rsidRPr="00B359AB">
        <w:rPr>
          <w:szCs w:val="22"/>
        </w:rPr>
        <w:t xml:space="preserve">incentive regulation </w:t>
      </w:r>
      <w:r>
        <w:rPr>
          <w:szCs w:val="22"/>
        </w:rPr>
        <w:t>to</w:t>
      </w:r>
      <w:r w:rsidRPr="00B359AB">
        <w:rPr>
          <w:szCs w:val="22"/>
        </w:rPr>
        <w:t xml:space="preserve"> reflect exogenous cost adjustments for TRS, NANPA, and regulatory fees in a mid-September </w:t>
      </w:r>
      <w:r w:rsidR="0015378A">
        <w:rPr>
          <w:szCs w:val="22"/>
        </w:rPr>
        <w:t xml:space="preserve">2026 </w:t>
      </w:r>
      <w:r w:rsidRPr="00B359AB">
        <w:rPr>
          <w:szCs w:val="22"/>
        </w:rPr>
        <w:t xml:space="preserve">filing in rates to become effective </w:t>
      </w:r>
      <w:r w:rsidR="0015378A">
        <w:rPr>
          <w:szCs w:val="22"/>
        </w:rPr>
        <w:t>October 1, 2026</w:t>
      </w:r>
      <w:r w:rsidRPr="00B359AB">
        <w:rPr>
          <w:szCs w:val="22"/>
        </w:rPr>
        <w:t>.</w:t>
      </w:r>
      <w:r>
        <w:rPr>
          <w:rStyle w:val="FootnoteReference"/>
          <w:szCs w:val="22"/>
        </w:rPr>
        <w:footnoteReference w:id="89"/>
      </w:r>
      <w:r w:rsidRPr="00B359AB">
        <w:rPr>
          <w:szCs w:val="22"/>
        </w:rPr>
        <w:t xml:space="preserve">  Any exogenous cost adjustment for TRS reflected in rates in effect </w:t>
      </w:r>
      <w:r w:rsidR="0015378A">
        <w:rPr>
          <w:szCs w:val="22"/>
        </w:rPr>
        <w:t>October 1, 2026</w:t>
      </w:r>
      <w:r w:rsidRPr="00B359AB">
        <w:rPr>
          <w:szCs w:val="22"/>
        </w:rPr>
        <w:t xml:space="preserve"> </w:t>
      </w:r>
      <w:r w:rsidR="007E4D5B">
        <w:rPr>
          <w:szCs w:val="22"/>
        </w:rPr>
        <w:t>is</w:t>
      </w:r>
      <w:r>
        <w:rPr>
          <w:szCs w:val="22"/>
        </w:rPr>
        <w:t xml:space="preserve"> required to </w:t>
      </w:r>
      <w:r w:rsidRPr="00B359AB">
        <w:rPr>
          <w:szCs w:val="22"/>
        </w:rPr>
        <w:t>be “grossed up” to spread the entire adjustment over the remaining months in the tariff year</w:t>
      </w:r>
      <w:r w:rsidR="009F4477">
        <w:rPr>
          <w:szCs w:val="22"/>
        </w:rPr>
        <w:t xml:space="preserve">, as the final </w:t>
      </w:r>
      <w:r w:rsidR="00825B2A">
        <w:rPr>
          <w:szCs w:val="22"/>
        </w:rPr>
        <w:t xml:space="preserve">TRS </w:t>
      </w:r>
      <w:r w:rsidRPr="00825B2A" w:rsidR="00825B2A">
        <w:rPr>
          <w:szCs w:val="22"/>
        </w:rPr>
        <w:t>contribution factor for tariff year 2025-26 was not available by May 1, 2026</w:t>
      </w:r>
      <w:r w:rsidR="000D282B">
        <w:rPr>
          <w:szCs w:val="22"/>
        </w:rPr>
        <w:t>,</w:t>
      </w:r>
      <w:r w:rsidR="00837955">
        <w:rPr>
          <w:szCs w:val="22"/>
        </w:rPr>
        <w:t xml:space="preserve"> and</w:t>
      </w:r>
      <w:r w:rsidRPr="00C327C6" w:rsidR="00C327C6">
        <w:rPr>
          <w:szCs w:val="22"/>
        </w:rPr>
        <w:t xml:space="preserve"> the</w:t>
      </w:r>
      <w:r w:rsidR="00A818A1">
        <w:rPr>
          <w:szCs w:val="22"/>
        </w:rPr>
        <w:t xml:space="preserve"> TRS </w:t>
      </w:r>
      <w:r w:rsidRPr="00C327C6" w:rsidR="00C327C6">
        <w:rPr>
          <w:szCs w:val="22"/>
        </w:rPr>
        <w:t xml:space="preserve">fees are </w:t>
      </w:r>
      <w:r w:rsidR="00A818A1">
        <w:rPr>
          <w:szCs w:val="22"/>
        </w:rPr>
        <w:t>tariff-year</w:t>
      </w:r>
      <w:r w:rsidRPr="00C327C6" w:rsidR="00C327C6">
        <w:rPr>
          <w:szCs w:val="22"/>
        </w:rPr>
        <w:t xml:space="preserve"> obligations</w:t>
      </w:r>
      <w:r w:rsidRPr="00B359AB">
        <w:rPr>
          <w:szCs w:val="22"/>
        </w:rPr>
        <w:t>.</w:t>
      </w:r>
      <w:r>
        <w:rPr>
          <w:rStyle w:val="FootnoteReference"/>
          <w:szCs w:val="22"/>
        </w:rPr>
        <w:footnoteReference w:id="90"/>
      </w:r>
      <w:r w:rsidRPr="00B359AB">
        <w:rPr>
          <w:szCs w:val="22"/>
        </w:rPr>
        <w:t xml:space="preserve">  Rate-of-return </w:t>
      </w:r>
      <w:r>
        <w:rPr>
          <w:szCs w:val="22"/>
        </w:rPr>
        <w:t>carriers</w:t>
      </w:r>
      <w:r w:rsidRPr="00B359AB">
        <w:rPr>
          <w:szCs w:val="22"/>
        </w:rPr>
        <w:t xml:space="preserve"> electing BDS </w:t>
      </w:r>
      <w:r w:rsidRPr="00B359AB">
        <w:rPr>
          <w:szCs w:val="22"/>
        </w:rPr>
        <w:t xml:space="preserve">incentive regulation have the option of not making a </w:t>
      </w:r>
      <w:r>
        <w:rPr>
          <w:szCs w:val="22"/>
        </w:rPr>
        <w:t xml:space="preserve">mid-year </w:t>
      </w:r>
      <w:r w:rsidRPr="00B359AB">
        <w:rPr>
          <w:szCs w:val="22"/>
        </w:rPr>
        <w:t xml:space="preserve">exogenous cost filing and rate adjustment if the total amount of such adjustments would either increase rates or meet a </w:t>
      </w:r>
      <w:r w:rsidRPr="00B359AB">
        <w:rPr>
          <w:i/>
          <w:iCs/>
          <w:szCs w:val="22"/>
        </w:rPr>
        <w:t>de minim</w:t>
      </w:r>
      <w:r>
        <w:rPr>
          <w:i/>
          <w:iCs/>
          <w:szCs w:val="22"/>
        </w:rPr>
        <w:t>i</w:t>
      </w:r>
      <w:r w:rsidRPr="00B359AB">
        <w:rPr>
          <w:i/>
          <w:iCs/>
          <w:szCs w:val="22"/>
        </w:rPr>
        <w:t xml:space="preserve">s </w:t>
      </w:r>
      <w:r w:rsidRPr="00B359AB">
        <w:rPr>
          <w:szCs w:val="22"/>
        </w:rPr>
        <w:t xml:space="preserve">threshold </w:t>
      </w:r>
      <w:r>
        <w:rPr>
          <w:szCs w:val="22"/>
        </w:rPr>
        <w:t xml:space="preserve">equal to the standard </w:t>
      </w:r>
      <w:r w:rsidRPr="00B359AB">
        <w:rPr>
          <w:szCs w:val="22"/>
        </w:rPr>
        <w:t>tariff filing fee, applied on the same basis as the tariff filing for which the filing fee is paid.</w:t>
      </w:r>
      <w:r>
        <w:rPr>
          <w:vertAlign w:val="superscript"/>
        </w:rPr>
        <w:footnoteReference w:id="91"/>
      </w:r>
      <w:r w:rsidRPr="00B359AB">
        <w:rPr>
          <w:szCs w:val="22"/>
        </w:rPr>
        <w:t xml:space="preserve">  </w:t>
      </w:r>
    </w:p>
    <w:p w:rsidR="00375EF9" w:rsidP="00375EF9" w14:paraId="2954EE3A" w14:textId="77777777">
      <w:pPr>
        <w:pStyle w:val="Heading2"/>
      </w:pPr>
      <w:r>
        <w:t>General Guidelines Applicable to NECA</w:t>
      </w:r>
    </w:p>
    <w:p w:rsidR="00375EF9" w:rsidRPr="00B359AB" w:rsidP="002609DB" w14:paraId="3A43EA48" w14:textId="2FDD1078">
      <w:pPr>
        <w:pStyle w:val="ParaNum"/>
        <w:widowControl/>
        <w:numPr>
          <w:ilvl w:val="0"/>
          <w:numId w:val="2"/>
        </w:numPr>
        <w:tabs>
          <w:tab w:val="clear" w:pos="1080"/>
          <w:tab w:val="num" w:pos="1440"/>
        </w:tabs>
        <w:spacing w:line="259" w:lineRule="auto"/>
        <w:rPr>
          <w:szCs w:val="22"/>
        </w:rPr>
      </w:pPr>
      <w:r w:rsidRPr="00B359AB">
        <w:rPr>
          <w:szCs w:val="22"/>
        </w:rPr>
        <w:t xml:space="preserve">We have not </w:t>
      </w:r>
      <w:r w:rsidR="00661A99">
        <w:rPr>
          <w:szCs w:val="22"/>
        </w:rPr>
        <w:t xml:space="preserve">prepared </w:t>
      </w:r>
      <w:r w:rsidRPr="00B359AB">
        <w:rPr>
          <w:szCs w:val="22"/>
        </w:rPr>
        <w:t xml:space="preserve">a TRP for NECA for services other than BDS, although NECA </w:t>
      </w:r>
      <w:r w:rsidR="00C90B32">
        <w:rPr>
          <w:szCs w:val="22"/>
        </w:rPr>
        <w:t>may</w:t>
      </w:r>
      <w:r w:rsidRPr="00B359AB" w:rsidR="00C90B32">
        <w:rPr>
          <w:szCs w:val="22"/>
        </w:rPr>
        <w:t xml:space="preserve"> </w:t>
      </w:r>
      <w:r w:rsidRPr="00B359AB">
        <w:rPr>
          <w:szCs w:val="22"/>
        </w:rPr>
        <w:t xml:space="preserve">refer to the </w:t>
      </w:r>
      <w:r w:rsidR="0015378A">
        <w:rPr>
          <w:szCs w:val="22"/>
        </w:rPr>
        <w:t xml:space="preserve">2026 </w:t>
      </w:r>
      <w:r w:rsidRPr="00B359AB">
        <w:rPr>
          <w:szCs w:val="22"/>
        </w:rPr>
        <w:t>rate-of-return TRP</w:t>
      </w:r>
      <w:r>
        <w:rPr>
          <w:szCs w:val="22"/>
        </w:rPr>
        <w:t>s</w:t>
      </w:r>
      <w:r w:rsidRPr="00B359AB">
        <w:rPr>
          <w:szCs w:val="22"/>
        </w:rPr>
        <w:t xml:space="preserve"> for guidance on the level of support materials to provide in its annual filing.  </w:t>
      </w:r>
    </w:p>
    <w:p w:rsidR="00375EF9" w:rsidP="00375EF9" w14:paraId="5A7FA35F" w14:textId="77777777">
      <w:pPr>
        <w:pStyle w:val="Heading1"/>
      </w:pPr>
      <w:r>
        <w:t>General instructions</w:t>
      </w:r>
    </w:p>
    <w:p w:rsidR="00375EF9" w:rsidRPr="00B359AB" w:rsidP="002609DB" w14:paraId="6DAB5DD5" w14:textId="5A29A863">
      <w:pPr>
        <w:pStyle w:val="ParaNum"/>
        <w:widowControl/>
        <w:numPr>
          <w:ilvl w:val="0"/>
          <w:numId w:val="2"/>
        </w:numPr>
        <w:tabs>
          <w:tab w:val="clear" w:pos="1080"/>
          <w:tab w:val="num" w:pos="1440"/>
        </w:tabs>
        <w:spacing w:line="259" w:lineRule="auto"/>
        <w:rPr>
          <w:szCs w:val="22"/>
        </w:rPr>
      </w:pPr>
      <w:r w:rsidRPr="00B359AB">
        <w:rPr>
          <w:szCs w:val="22"/>
        </w:rPr>
        <w:t xml:space="preserve">The following general instructions apply to all incumbent LECs.  These instructions pertain to the TRP and other documentation filed in support of access charges.  </w:t>
      </w:r>
      <w:bookmarkStart w:id="55" w:name="_Hlk162610647"/>
      <w:bookmarkStart w:id="56" w:name="_Hlk5365780"/>
      <w:r w:rsidRPr="00B359AB">
        <w:rPr>
          <w:szCs w:val="22"/>
        </w:rPr>
        <w:t>Carriers should</w:t>
      </w:r>
      <w:r w:rsidR="00417B2C">
        <w:rPr>
          <w:szCs w:val="22"/>
        </w:rPr>
        <w:t xml:space="preserve"> continue to</w:t>
      </w:r>
      <w:r w:rsidRPr="00B359AB">
        <w:rPr>
          <w:szCs w:val="22"/>
        </w:rPr>
        <w:t xml:space="preserve"> submit their data and formulas in Excel</w:t>
      </w:r>
      <w:r>
        <w:rPr>
          <w:szCs w:val="22"/>
        </w:rPr>
        <w:t xml:space="preserve"> </w:t>
      </w:r>
      <w:r w:rsidRPr="00B359AB">
        <w:rPr>
          <w:szCs w:val="22"/>
        </w:rPr>
        <w:t xml:space="preserve">rather than </w:t>
      </w:r>
      <w:r>
        <w:rPr>
          <w:szCs w:val="22"/>
        </w:rPr>
        <w:t xml:space="preserve">values in </w:t>
      </w:r>
      <w:r w:rsidRPr="00B359AB">
        <w:rPr>
          <w:szCs w:val="22"/>
        </w:rPr>
        <w:t>PDF files</w:t>
      </w:r>
      <w:bookmarkEnd w:id="55"/>
      <w:r w:rsidRPr="00B359AB">
        <w:rPr>
          <w:szCs w:val="22"/>
        </w:rPr>
        <w:t>.</w:t>
      </w:r>
      <w:r>
        <w:rPr>
          <w:rStyle w:val="FootnoteReference"/>
          <w:szCs w:val="22"/>
        </w:rPr>
        <w:t xml:space="preserve"> </w:t>
      </w:r>
    </w:p>
    <w:bookmarkEnd w:id="56"/>
    <w:p w:rsidR="00375EF9" w:rsidP="00375EF9" w14:paraId="623BAAEA" w14:textId="77777777">
      <w:pPr>
        <w:pStyle w:val="Heading2"/>
      </w:pPr>
      <w:r>
        <w:t>Revised TRPs</w:t>
      </w:r>
    </w:p>
    <w:p w:rsidR="00375EF9" w:rsidRPr="00B359AB" w:rsidP="002609DB" w14:paraId="2618BAA3" w14:textId="4ECDA642">
      <w:pPr>
        <w:pStyle w:val="ParaNum"/>
        <w:widowControl/>
        <w:numPr>
          <w:ilvl w:val="0"/>
          <w:numId w:val="2"/>
        </w:numPr>
        <w:tabs>
          <w:tab w:val="clear" w:pos="1080"/>
          <w:tab w:val="num" w:pos="1440"/>
        </w:tabs>
        <w:spacing w:line="259" w:lineRule="auto"/>
        <w:rPr>
          <w:szCs w:val="22"/>
        </w:rPr>
      </w:pPr>
      <w:r w:rsidRPr="00B359AB">
        <w:rPr>
          <w:szCs w:val="22"/>
        </w:rPr>
        <w:t xml:space="preserve">If an incumbent LEC files </w:t>
      </w:r>
      <w:r>
        <w:rPr>
          <w:szCs w:val="22"/>
        </w:rPr>
        <w:t>an amended transmittal revising</w:t>
      </w:r>
      <w:r w:rsidRPr="00B359AB">
        <w:rPr>
          <w:szCs w:val="22"/>
        </w:rPr>
        <w:t xml:space="preserve"> its TRP after </w:t>
      </w:r>
      <w:r w:rsidR="000A7C08">
        <w:rPr>
          <w:szCs w:val="22"/>
        </w:rPr>
        <w:t>June 16, 2026</w:t>
      </w:r>
      <w:r w:rsidRPr="00B359AB">
        <w:rPr>
          <w:szCs w:val="22"/>
        </w:rPr>
        <w:t>,</w:t>
      </w:r>
      <w:r w:rsidR="00417B2C">
        <w:rPr>
          <w:szCs w:val="22"/>
        </w:rPr>
        <w:t xml:space="preserve"> we request that</w:t>
      </w:r>
      <w:r w:rsidRPr="00B359AB">
        <w:rPr>
          <w:szCs w:val="22"/>
        </w:rPr>
        <w:t xml:space="preserve"> the TRP </w:t>
      </w:r>
      <w:r w:rsidR="00417B2C">
        <w:rPr>
          <w:szCs w:val="22"/>
        </w:rPr>
        <w:t>is</w:t>
      </w:r>
      <w:r w:rsidRPr="00B359AB">
        <w:rPr>
          <w:szCs w:val="22"/>
        </w:rPr>
        <w:t xml:space="preserve"> refiled in its entirety, rather than just the parts of the TRP that are changed.  The latest TRP filed becomes the TRP of record.  Other parts of the original filing, e.g., portions of the explanations, Description and Justification, and workpapers, may be omitted if unchanged by the revision.   </w:t>
      </w:r>
    </w:p>
    <w:p w:rsidR="00375EF9" w:rsidP="00375EF9" w14:paraId="1DBCBAB6" w14:textId="77777777">
      <w:pPr>
        <w:pStyle w:val="Heading2"/>
      </w:pPr>
      <w:r>
        <w:t>Certification</w:t>
      </w:r>
    </w:p>
    <w:p w:rsidR="00375EF9" w:rsidRPr="00B359AB" w:rsidP="002609DB" w14:paraId="6C539422" w14:textId="73F740EF">
      <w:pPr>
        <w:pStyle w:val="ParaNum"/>
        <w:widowControl/>
        <w:numPr>
          <w:ilvl w:val="0"/>
          <w:numId w:val="2"/>
        </w:numPr>
        <w:tabs>
          <w:tab w:val="clear" w:pos="1080"/>
          <w:tab w:val="num" w:pos="1440"/>
        </w:tabs>
        <w:spacing w:line="259" w:lineRule="auto"/>
        <w:rPr>
          <w:szCs w:val="22"/>
        </w:rPr>
      </w:pPr>
      <w:r w:rsidRPr="00B359AB">
        <w:rPr>
          <w:szCs w:val="22"/>
        </w:rPr>
        <w:t xml:space="preserve">The filing of inaccurate or incomplete data may seriously detract from the ability of the Commission and interested parties to evaluate the revised rates.  </w:t>
      </w:r>
      <w:r w:rsidR="00417B2C">
        <w:rPr>
          <w:szCs w:val="22"/>
        </w:rPr>
        <w:t xml:space="preserve">We remind </w:t>
      </w:r>
      <w:r w:rsidRPr="00B359AB">
        <w:rPr>
          <w:szCs w:val="22"/>
        </w:rPr>
        <w:t xml:space="preserve">incumbent LECs </w:t>
      </w:r>
      <w:r w:rsidR="00417B2C">
        <w:rPr>
          <w:szCs w:val="22"/>
        </w:rPr>
        <w:t xml:space="preserve">that they </w:t>
      </w:r>
      <w:r w:rsidRPr="00B359AB">
        <w:rPr>
          <w:szCs w:val="22"/>
        </w:rPr>
        <w:t xml:space="preserve">must </w:t>
      </w:r>
      <w:r w:rsidR="00417B2C">
        <w:rPr>
          <w:szCs w:val="22"/>
        </w:rPr>
        <w:t xml:space="preserve">continue to </w:t>
      </w:r>
      <w:r w:rsidRPr="00B359AB">
        <w:rPr>
          <w:szCs w:val="22"/>
        </w:rPr>
        <w:t>certify that their historical and forecast data are accurate by including a signed statement that the support data are true, correct, and complete to the best of the carrier’s knowledge.</w:t>
      </w:r>
      <w:r>
        <w:rPr>
          <w:rStyle w:val="FootnoteReference"/>
          <w:szCs w:val="22"/>
        </w:rPr>
        <w:footnoteReference w:id="92"/>
      </w:r>
      <w:r w:rsidRPr="00B359AB">
        <w:rPr>
          <w:szCs w:val="22"/>
        </w:rPr>
        <w:t xml:space="preserve">  This certification will apply to all data submitted in support of revised rates, including the data that are filed in the TRP.  Moreover, </w:t>
      </w:r>
      <w:r w:rsidR="00417B2C">
        <w:rPr>
          <w:szCs w:val="22"/>
        </w:rPr>
        <w:t xml:space="preserve">we remind </w:t>
      </w:r>
      <w:r w:rsidRPr="00B359AB">
        <w:rPr>
          <w:szCs w:val="22"/>
        </w:rPr>
        <w:t xml:space="preserve">incumbent LECs </w:t>
      </w:r>
      <w:r w:rsidR="00417B2C">
        <w:rPr>
          <w:szCs w:val="22"/>
        </w:rPr>
        <w:t xml:space="preserve">that they </w:t>
      </w:r>
      <w:r w:rsidRPr="00B359AB">
        <w:rPr>
          <w:szCs w:val="22"/>
        </w:rPr>
        <w:t xml:space="preserve">are required to make several additional certifications pursuant to </w:t>
      </w:r>
      <w:r w:rsidR="00FD10E2">
        <w:rPr>
          <w:szCs w:val="22"/>
        </w:rPr>
        <w:t xml:space="preserve">requirements adopted in </w:t>
      </w:r>
      <w:r w:rsidRPr="00B359AB">
        <w:rPr>
          <w:szCs w:val="22"/>
        </w:rPr>
        <w:t xml:space="preserve">the </w:t>
      </w:r>
      <w:r w:rsidR="00417B2C">
        <w:rPr>
          <w:szCs w:val="22"/>
        </w:rPr>
        <w:t xml:space="preserve">Commission’s </w:t>
      </w:r>
      <w:r w:rsidRPr="00B359AB">
        <w:rPr>
          <w:i/>
          <w:szCs w:val="22"/>
        </w:rPr>
        <w:t>USF/ICC Transformation Order</w:t>
      </w:r>
      <w:r w:rsidRPr="00B359AB">
        <w:rPr>
          <w:szCs w:val="22"/>
        </w:rPr>
        <w:t>.</w:t>
      </w:r>
      <w:r>
        <w:rPr>
          <w:rStyle w:val="FootnoteReference"/>
          <w:sz w:val="22"/>
        </w:rPr>
        <w:footnoteReference w:id="93"/>
      </w:r>
      <w:r w:rsidRPr="00B359AB">
        <w:rPr>
          <w:szCs w:val="22"/>
        </w:rPr>
        <w:t xml:space="preserve">  These certifications should be displayed as the last pages in each company’s filing containing its TRP.  Incumbent LECs are also under a continuing legal obligation to correct any inaccurate or incomplete data subsequently discovered in the TRP or other support data.</w:t>
      </w:r>
      <w:r w:rsidRPr="00EC630A">
        <w:rPr>
          <w:rStyle w:val="FootnoteReference"/>
          <w:sz w:val="22"/>
        </w:rPr>
        <w:t xml:space="preserve"> </w:t>
      </w:r>
    </w:p>
    <w:p w:rsidR="00375EF9" w:rsidP="00375EF9" w14:paraId="5D66C925" w14:textId="77777777">
      <w:pPr>
        <w:pStyle w:val="Heading2"/>
      </w:pPr>
      <w:r>
        <w:t>Compliance with the Paperwork Reduction Act</w:t>
      </w:r>
    </w:p>
    <w:p w:rsidR="00375EF9" w:rsidRPr="004A1C43" w:rsidP="002609DB" w14:paraId="4B3F86C1" w14:textId="42700393">
      <w:pPr>
        <w:pStyle w:val="ParaNum"/>
        <w:widowControl/>
        <w:numPr>
          <w:ilvl w:val="0"/>
          <w:numId w:val="2"/>
        </w:numPr>
        <w:tabs>
          <w:tab w:val="clear" w:pos="1080"/>
          <w:tab w:val="num" w:pos="1440"/>
        </w:tabs>
        <w:spacing w:line="259" w:lineRule="auto"/>
        <w:rPr>
          <w:szCs w:val="22"/>
        </w:rPr>
      </w:pPr>
      <w:r w:rsidRPr="004A1C43">
        <w:rPr>
          <w:szCs w:val="22"/>
        </w:rPr>
        <w:t xml:space="preserve">As is the case with each year’s TRPs, the </w:t>
      </w:r>
      <w:r w:rsidR="000A7C08">
        <w:rPr>
          <w:szCs w:val="22"/>
        </w:rPr>
        <w:t>2026</w:t>
      </w:r>
      <w:r w:rsidRPr="004A1C43" w:rsidR="000A7C08">
        <w:rPr>
          <w:szCs w:val="22"/>
        </w:rPr>
        <w:t xml:space="preserve"> </w:t>
      </w:r>
      <w:r w:rsidRPr="004A1C43">
        <w:rPr>
          <w:szCs w:val="22"/>
        </w:rPr>
        <w:t>TRPs contained in this Order contain modified information collection requirements subject to the Paperwork Reduction Act of 1995 (PRA).</w:t>
      </w:r>
      <w:r>
        <w:rPr>
          <w:rStyle w:val="FootnoteReference"/>
          <w:sz w:val="22"/>
        </w:rPr>
        <w:footnoteReference w:id="94"/>
      </w:r>
      <w:r w:rsidRPr="004A1C43">
        <w:rPr>
          <w:szCs w:val="22"/>
        </w:rPr>
        <w:t xml:space="preserve">  </w:t>
      </w:r>
      <w:bookmarkStart w:id="57" w:name="_Hlk131600060"/>
      <w:r w:rsidRPr="004A1C43">
        <w:rPr>
          <w:szCs w:val="22"/>
        </w:rPr>
        <w:t>The TRP collections were approved by the Office of Management and Budget (OMB) under the PRA.</w:t>
      </w:r>
      <w:r>
        <w:rPr>
          <w:rStyle w:val="FootnoteReference"/>
          <w:sz w:val="22"/>
        </w:rPr>
        <w:footnoteReference w:id="95"/>
      </w:r>
      <w:r w:rsidRPr="004A1C43">
        <w:rPr>
          <w:szCs w:val="22"/>
        </w:rPr>
        <w:t xml:space="preserve">  </w:t>
      </w:r>
      <w:r w:rsidRPr="004A1C43">
        <w:rPr>
          <w:szCs w:val="22"/>
        </w:rPr>
        <w:t>In addition, we note that pursuant to the Small Business Paperwork Relief Act of 2002,</w:t>
      </w:r>
      <w:r>
        <w:rPr>
          <w:rStyle w:val="FootnoteReference"/>
          <w:sz w:val="22"/>
        </w:rPr>
        <w:footnoteReference w:id="96"/>
      </w:r>
      <w:r w:rsidRPr="004A1C43">
        <w:rPr>
          <w:szCs w:val="22"/>
        </w:rPr>
        <w:t xml:space="preserve"> we previously sought specific comment on how the Commission might further reduce the information collection burden for small business concerns with fewer than 25 employees.</w:t>
      </w:r>
    </w:p>
    <w:bookmarkEnd w:id="57"/>
    <w:p w:rsidR="00375EF9" w:rsidRPr="00B359AB" w:rsidP="002609DB" w14:paraId="5F216CAF" w14:textId="77777777">
      <w:pPr>
        <w:pStyle w:val="ParaNum"/>
        <w:widowControl/>
        <w:numPr>
          <w:ilvl w:val="0"/>
          <w:numId w:val="2"/>
        </w:numPr>
        <w:tabs>
          <w:tab w:val="clear" w:pos="1080"/>
          <w:tab w:val="num" w:pos="1440"/>
        </w:tabs>
        <w:spacing w:line="259" w:lineRule="auto"/>
        <w:rPr>
          <w:szCs w:val="22"/>
        </w:rPr>
      </w:pPr>
      <w:r w:rsidRPr="00B359AB">
        <w:rPr>
          <w:szCs w:val="22"/>
        </w:rPr>
        <w:t>In this Order, we have assessed the effects on incumbent LECs of filing the TRP and have minimized the burden to the extent possible.  We minimize the regulatory burden on the incumbent LECs by deleting obsolete sections of the TRP that have not proven to be useful and by not requiring carriers to file historical data that was filed in previous years.</w:t>
      </w:r>
    </w:p>
    <w:p w:rsidR="00375EF9" w:rsidP="00375EF9" w14:paraId="205355DC" w14:textId="77777777">
      <w:pPr>
        <w:pStyle w:val="Heading1"/>
      </w:pPr>
      <w:r>
        <w:t>ordering clauses</w:t>
      </w:r>
    </w:p>
    <w:p w:rsidR="00375EF9" w:rsidRPr="00B359AB" w:rsidP="002609DB" w14:paraId="38119C0F" w14:textId="77777777">
      <w:pPr>
        <w:pStyle w:val="ParaNum"/>
        <w:widowControl/>
        <w:numPr>
          <w:ilvl w:val="0"/>
          <w:numId w:val="2"/>
        </w:numPr>
        <w:tabs>
          <w:tab w:val="clear" w:pos="1080"/>
          <w:tab w:val="num" w:pos="1440"/>
        </w:tabs>
        <w:spacing w:line="259" w:lineRule="auto"/>
        <w:rPr>
          <w:szCs w:val="22"/>
        </w:rPr>
      </w:pPr>
      <w:r w:rsidRPr="00B359AB">
        <w:rPr>
          <w:szCs w:val="22"/>
        </w:rPr>
        <w:t>Accordingly, IT IS ORDERED that, pursuant to sections 1, 4(i) and (j), 5, and 201-209 of the Communications Act of 1934, as amended, 47 U.S.C. §§ 151, 154(i)-(j), 155, 201-209, and sections 0.91 and 0.291 of the Commission’s rules, 47 CFR §§ 0.91, 0.291, this Order IS ADOPTED.</w:t>
      </w:r>
    </w:p>
    <w:p w:rsidR="00375EF9" w:rsidP="002609DB" w14:paraId="169CBBB3" w14:textId="77777777">
      <w:pPr>
        <w:pStyle w:val="ParaNum"/>
        <w:widowControl/>
        <w:numPr>
          <w:ilvl w:val="0"/>
          <w:numId w:val="2"/>
        </w:numPr>
        <w:tabs>
          <w:tab w:val="clear" w:pos="1080"/>
          <w:tab w:val="num" w:pos="1440"/>
        </w:tabs>
        <w:spacing w:line="259" w:lineRule="auto"/>
        <w:rPr>
          <w:szCs w:val="22"/>
        </w:rPr>
      </w:pPr>
      <w:r w:rsidRPr="00B359AB">
        <w:rPr>
          <w:szCs w:val="22"/>
        </w:rPr>
        <w:t>IT IS FURTHER ORDERED that, pursuant to sections 0.91, 0.291, and 1.3 of the Commission’s rules, 47 CFR §§ 0.91, 0.291, 1.3, section 69.3(a)</w:t>
      </w:r>
      <w:r>
        <w:rPr>
          <w:szCs w:val="22"/>
        </w:rPr>
        <w:t xml:space="preserve"> and (h) </w:t>
      </w:r>
      <w:r w:rsidRPr="00B359AB">
        <w:rPr>
          <w:szCs w:val="22"/>
        </w:rPr>
        <w:t xml:space="preserve">of the Commission’s rules, 47 CFR § 69.3(a), </w:t>
      </w:r>
      <w:r>
        <w:rPr>
          <w:szCs w:val="22"/>
        </w:rPr>
        <w:t>(h),</w:t>
      </w:r>
      <w:r w:rsidRPr="007B3D49">
        <w:rPr>
          <w:szCs w:val="22"/>
        </w:rPr>
        <w:t xml:space="preserve"> </w:t>
      </w:r>
      <w:r>
        <w:rPr>
          <w:szCs w:val="22"/>
        </w:rPr>
        <w:t xml:space="preserve">ARE </w:t>
      </w:r>
      <w:r w:rsidRPr="00B359AB">
        <w:rPr>
          <w:szCs w:val="22"/>
        </w:rPr>
        <w:t>WAIVED to the extent specified herein.</w:t>
      </w:r>
    </w:p>
    <w:p w:rsidR="00375EF9" w:rsidRPr="00692F02" w:rsidP="002609DB" w14:paraId="15D98A1C" w14:textId="77777777">
      <w:pPr>
        <w:pStyle w:val="ParaNum"/>
        <w:widowControl/>
        <w:numPr>
          <w:ilvl w:val="0"/>
          <w:numId w:val="2"/>
        </w:numPr>
        <w:tabs>
          <w:tab w:val="clear" w:pos="1080"/>
          <w:tab w:val="num" w:pos="1440"/>
        </w:tabs>
        <w:spacing w:line="259" w:lineRule="auto"/>
        <w:rPr>
          <w:szCs w:val="22"/>
        </w:rPr>
      </w:pPr>
      <w:r w:rsidRPr="00692F02">
        <w:rPr>
          <w:szCs w:val="22"/>
        </w:rPr>
        <w:t>IT IS FURTHER ORDERED, pursuant to section 1.102(b) of the Commission’s rules, 47 CFR § 1.102(b), that this Order SHALL BE EFFECTIVE upon release.</w:t>
      </w:r>
    </w:p>
    <w:p w:rsidR="00375EF9" w:rsidRPr="00B359AB" w:rsidP="00375EF9" w14:paraId="559423F8" w14:textId="77777777">
      <w:pPr>
        <w:keepNext/>
        <w:widowControl/>
        <w:rPr>
          <w:szCs w:val="22"/>
        </w:rPr>
      </w:pPr>
      <w:r w:rsidRPr="00B359AB">
        <w:rPr>
          <w:szCs w:val="22"/>
        </w:rPr>
        <w:tab/>
      </w:r>
      <w:r w:rsidRPr="00B359AB">
        <w:rPr>
          <w:szCs w:val="22"/>
        </w:rPr>
        <w:tab/>
      </w:r>
      <w:r w:rsidRPr="00B359AB">
        <w:rPr>
          <w:szCs w:val="22"/>
        </w:rPr>
        <w:tab/>
      </w:r>
      <w:r w:rsidRPr="00B359AB">
        <w:rPr>
          <w:szCs w:val="22"/>
        </w:rPr>
        <w:tab/>
      </w:r>
      <w:r w:rsidRPr="00B359AB">
        <w:rPr>
          <w:szCs w:val="22"/>
        </w:rPr>
        <w:tab/>
      </w:r>
      <w:r w:rsidRPr="00B359AB">
        <w:rPr>
          <w:szCs w:val="22"/>
        </w:rPr>
        <w:tab/>
        <w:t>FEDERAL COMMUNICATIONS COMMISSION</w:t>
      </w:r>
    </w:p>
    <w:p w:rsidR="00375EF9" w:rsidP="00FE0EF6" w14:paraId="2F34CC18" w14:textId="77777777">
      <w:pPr>
        <w:pStyle w:val="ParaNum"/>
        <w:widowControl/>
        <w:spacing w:after="0" w:line="259" w:lineRule="auto"/>
      </w:pPr>
    </w:p>
    <w:p w:rsidR="00375EF9" w:rsidP="00FE0EF6" w14:paraId="178676E2" w14:textId="77777777">
      <w:pPr>
        <w:pStyle w:val="ParaNum"/>
        <w:widowControl/>
        <w:spacing w:after="0" w:line="259" w:lineRule="auto"/>
      </w:pPr>
    </w:p>
    <w:p w:rsidR="00375EF9" w:rsidP="00FE0EF6" w14:paraId="1C8B7E7E" w14:textId="77777777">
      <w:pPr>
        <w:pStyle w:val="ParaNum"/>
        <w:widowControl/>
        <w:spacing w:after="0" w:line="259" w:lineRule="auto"/>
        <w:ind w:left="3600" w:firstLine="720"/>
      </w:pPr>
    </w:p>
    <w:p w:rsidR="00375EF9" w:rsidP="00FE0EF6" w14:paraId="2E8058B4" w14:textId="77777777">
      <w:pPr>
        <w:pStyle w:val="ParaNum"/>
        <w:widowControl/>
        <w:spacing w:after="0" w:line="259" w:lineRule="auto"/>
        <w:ind w:left="3600" w:firstLine="720"/>
      </w:pPr>
      <w:r>
        <w:t>Lynne H. Engledow</w:t>
      </w:r>
    </w:p>
    <w:p w:rsidR="00375EF9" w:rsidP="00FE0EF6" w14:paraId="0CD7BC53" w14:textId="5E45F0D2">
      <w:pPr>
        <w:pStyle w:val="ParaNum"/>
        <w:spacing w:after="0"/>
        <w:ind w:left="3600" w:firstLine="720"/>
      </w:pPr>
      <w:r>
        <w:t>Chief, Pricing Policy Division</w:t>
      </w:r>
    </w:p>
    <w:p w:rsidR="00375EF9" w:rsidP="00FE0EF6" w14:paraId="4B6061D7" w14:textId="77777777">
      <w:pPr>
        <w:pStyle w:val="ParaNum"/>
        <w:spacing w:after="0"/>
        <w:ind w:left="3600" w:firstLine="720"/>
      </w:pPr>
      <w:r>
        <w:t>Wireline Competition Bureau</w:t>
      </w:r>
    </w:p>
    <w:p w:rsidR="00375EF9" w:rsidP="00D43C72" w14:paraId="6278F366" w14:textId="68D82DB7">
      <w:pPr>
        <w:widowControl/>
        <w:jc w:val="center"/>
        <w:rPr>
          <w:b/>
          <w:bCs/>
        </w:rPr>
      </w:pPr>
      <w:r>
        <w:br w:type="page"/>
      </w:r>
      <w:r w:rsidRPr="001C345C">
        <w:rPr>
          <w:b/>
          <w:bCs/>
        </w:rPr>
        <w:t>APPENDIX</w:t>
      </w:r>
    </w:p>
    <w:p w:rsidR="00375EF9" w:rsidP="00FE0EF6" w14:paraId="551E8C6F" w14:textId="77777777">
      <w:pPr>
        <w:pStyle w:val="ParaNum"/>
        <w:spacing w:after="0"/>
        <w:jc w:val="center"/>
        <w:rPr>
          <w:b/>
          <w:bCs/>
        </w:rPr>
      </w:pPr>
    </w:p>
    <w:p w:rsidR="00375EF9" w:rsidRPr="001C345C" w:rsidP="00FE0EF6" w14:paraId="0FFE6C3F" w14:textId="3C34A100">
      <w:pPr>
        <w:pStyle w:val="ParaNum"/>
        <w:spacing w:after="0"/>
        <w:jc w:val="center"/>
        <w:rPr>
          <w:b/>
          <w:bCs/>
        </w:rPr>
      </w:pPr>
      <w:r>
        <w:rPr>
          <w:b/>
          <w:bCs/>
        </w:rPr>
        <w:t xml:space="preserve">2026 </w:t>
      </w:r>
      <w:r w:rsidR="004F6660">
        <w:rPr>
          <w:b/>
          <w:bCs/>
        </w:rPr>
        <w:t>Tariff Review Plans:</w:t>
      </w:r>
    </w:p>
    <w:p w:rsidR="00375EF9" w:rsidP="00FE0EF6" w14:paraId="2E8B7246" w14:textId="77777777">
      <w:pPr>
        <w:pStyle w:val="ParaNum"/>
        <w:spacing w:after="0"/>
        <w:ind w:left="3600" w:firstLine="720"/>
      </w:pPr>
    </w:p>
    <w:p w:rsidR="00F10EE9" w:rsidRPr="00F10EE9" w:rsidP="00AB0658" w14:paraId="6F3CD971" w14:textId="754DE0EF">
      <w:pPr>
        <w:pStyle w:val="ParaNum"/>
        <w:jc w:val="center"/>
      </w:pPr>
      <w:hyperlink r:id="rId6" w:history="1">
        <w:r w:rsidRPr="007F72E4">
          <w:rPr>
            <w:rStyle w:val="Hyperlink"/>
          </w:rPr>
          <w:t>www.fcc.gov/wireline-competition/2026-2027-tariff-review-plans</w:t>
        </w:r>
      </w:hyperlink>
    </w:p>
    <w:sectPr w:rsidSect="0055614C">
      <w:headerReference w:type="even" r:id="rId7"/>
      <w:headerReference w:type="default" r:id="rId8"/>
      <w:footerReference w:type="even" r:id="rId9"/>
      <w:footerReference w:type="default" r:id="rId10"/>
      <w:headerReference w:type="first" r:id="rId11"/>
      <w:footerReference w:type="first" r:id="rId12"/>
      <w:endnotePr>
        <w:numFmt w:val="decimal"/>
      </w:endnotePr>
      <w:pgSz w:w="12240" w:h="15840"/>
      <w:pgMar w:top="1440" w:right="1440" w:bottom="720" w:left="1440" w:header="72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475027" w14:paraId="739864C4" w14:textId="77777777">
      <w:pPr>
        <w:spacing w:line="20" w:lineRule="exact"/>
      </w:pPr>
    </w:p>
  </w:endnote>
  <w:endnote w:type="continuationSeparator" w:id="1">
    <w:p w:rsidR="00475027" w14:paraId="248E2919" w14:textId="77777777">
      <w:r>
        <w:t xml:space="preserve"> </w:t>
      </w:r>
    </w:p>
  </w:endnote>
  <w:endnote w:type="continuationNotice" w:id="2">
    <w:p w:rsidR="00475027" w14:paraId="23B38F0A"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panose1 w:val="02020803070505020304"/>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6EE44682"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4671C9E2"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D7308" w14:paraId="33E6A604"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p w:rsidR="00D25FB5" w14:paraId="327BA92B" w14:textId="77777777">
    <w:pPr>
      <w:suppressAutoHyphens/>
      <w:spacing w:line="227" w:lineRule="auto"/>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22B3651D"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475027" w14:paraId="365ACA65" w14:textId="77777777">
      <w:r>
        <w:separator/>
      </w:r>
    </w:p>
  </w:footnote>
  <w:footnote w:type="continuationSeparator" w:id="1">
    <w:p w:rsidR="00475027" w:rsidP="00C721AC" w14:paraId="052CE3F2" w14:textId="77777777">
      <w:pPr>
        <w:spacing w:before="120"/>
        <w:rPr>
          <w:sz w:val="20"/>
        </w:rPr>
      </w:pPr>
      <w:r>
        <w:rPr>
          <w:sz w:val="20"/>
        </w:rPr>
        <w:t xml:space="preserve">(Continued from previous page)  </w:t>
      </w:r>
      <w:r>
        <w:rPr>
          <w:sz w:val="20"/>
        </w:rPr>
        <w:separator/>
      </w:r>
    </w:p>
  </w:footnote>
  <w:footnote w:type="continuationNotice" w:id="2">
    <w:p w:rsidR="00475027" w:rsidP="00C721AC" w14:paraId="51760339" w14:textId="77777777">
      <w:pPr>
        <w:jc w:val="right"/>
        <w:rPr>
          <w:sz w:val="20"/>
        </w:rPr>
      </w:pPr>
      <w:r>
        <w:rPr>
          <w:sz w:val="20"/>
        </w:rPr>
        <w:t>(continued….)</w:t>
      </w:r>
    </w:p>
  </w:footnote>
  <w:footnote w:id="3">
    <w:p w:rsidR="00375EF9" w:rsidRPr="00086E2E" w:rsidP="00375EF9" w14:paraId="7187BAC2" w14:textId="082CF4EF">
      <w:pPr>
        <w:pStyle w:val="FootnoteText"/>
      </w:pPr>
      <w:r w:rsidRPr="00C57595">
        <w:rPr>
          <w:rStyle w:val="FootnoteReference"/>
        </w:rPr>
        <w:footnoteRef/>
      </w:r>
      <w:r w:rsidRPr="00C57595">
        <w:t xml:space="preserve"> </w:t>
      </w:r>
      <w:bookmarkStart w:id="1" w:name="_Hlk198025517"/>
      <w:r w:rsidRPr="00C57595">
        <w:rPr>
          <w:spacing w:val="-2"/>
        </w:rPr>
        <w:t xml:space="preserve">TRP formats for the annual filings are developed for the specific circumstances of the tariff year in which the revised rates will become effective.  </w:t>
      </w:r>
      <w:r w:rsidRPr="00086E2E">
        <w:rPr>
          <w:spacing w:val="-2"/>
        </w:rPr>
        <w:t>T</w:t>
      </w:r>
      <w:r w:rsidRPr="00086E2E">
        <w:t>he filing date</w:t>
      </w:r>
      <w:r>
        <w:t>s</w:t>
      </w:r>
      <w:r w:rsidRPr="00086E2E">
        <w:t xml:space="preserve"> and comment periods for this year’s annual access charge filings were released earlier in a separate order.  </w:t>
      </w:r>
      <w:r>
        <w:t xml:space="preserve">In that order, we </w:t>
      </w:r>
      <w:r w:rsidRPr="00B93EC0">
        <w:t>establish</w:t>
      </w:r>
      <w:r>
        <w:t>ed</w:t>
      </w:r>
      <w:r w:rsidRPr="00B93EC0">
        <w:t xml:space="preserve"> an effective date of </w:t>
      </w:r>
      <w:r w:rsidR="00ED46B5">
        <w:t>July 1, 2026</w:t>
      </w:r>
      <w:r w:rsidRPr="00B93EC0">
        <w:t>.</w:t>
      </w:r>
      <w:r>
        <w:t xml:space="preserve">  </w:t>
      </w:r>
      <w:r w:rsidRPr="00086E2E" w:rsidR="00ED46B5">
        <w:rPr>
          <w:i/>
        </w:rPr>
        <w:t xml:space="preserve">July 1, </w:t>
      </w:r>
      <w:r w:rsidR="00ED46B5">
        <w:rPr>
          <w:i/>
        </w:rPr>
        <w:t>2026 A</w:t>
      </w:r>
      <w:r w:rsidRPr="00086E2E" w:rsidR="00ED46B5">
        <w:rPr>
          <w:i/>
        </w:rPr>
        <w:t>nnual Access Charge Tariff Filings</w:t>
      </w:r>
      <w:r w:rsidRPr="00086E2E" w:rsidR="00ED46B5">
        <w:t xml:space="preserve">, WC Docket No. </w:t>
      </w:r>
      <w:r w:rsidR="00ED46B5">
        <w:t>26-50</w:t>
      </w:r>
      <w:r w:rsidRPr="00086E2E" w:rsidR="00ED46B5">
        <w:t xml:space="preserve">, Order, </w:t>
      </w:r>
      <w:r w:rsidRPr="00F55073" w:rsidR="00ED46B5">
        <w:t xml:space="preserve">DA </w:t>
      </w:r>
      <w:r w:rsidR="00ED46B5">
        <w:t>26-2</w:t>
      </w:r>
      <w:r w:rsidR="009D569B">
        <w:t>54</w:t>
      </w:r>
      <w:r w:rsidRPr="00FD7F33" w:rsidR="00ED46B5">
        <w:t xml:space="preserve"> (WCB</w:t>
      </w:r>
      <w:r w:rsidR="00F854EA">
        <w:t>/PPD</w:t>
      </w:r>
      <w:r w:rsidRPr="00FD7F33" w:rsidR="00ED46B5">
        <w:t xml:space="preserve"> </w:t>
      </w:r>
      <w:r w:rsidR="00F854EA">
        <w:t xml:space="preserve">rel. </w:t>
      </w:r>
      <w:r w:rsidRPr="00FD7F33" w:rsidR="00ED46B5">
        <w:t>Mar</w:t>
      </w:r>
      <w:r w:rsidR="00ED46B5">
        <w:t>, 25, 2026</w:t>
      </w:r>
      <w:r w:rsidRPr="00FD7F33" w:rsidR="00ED46B5">
        <w:t>)</w:t>
      </w:r>
      <w:r w:rsidR="00ED46B5">
        <w:t xml:space="preserve"> (</w:t>
      </w:r>
      <w:r w:rsidRPr="009F6A41" w:rsidR="00ED46B5">
        <w:rPr>
          <w:i/>
          <w:iCs/>
        </w:rPr>
        <w:t>Procedures Order</w:t>
      </w:r>
      <w:r w:rsidR="00ED46B5">
        <w:t>)</w:t>
      </w:r>
      <w:r w:rsidRPr="00086E2E">
        <w:t>.</w:t>
      </w:r>
      <w:r>
        <w:t xml:space="preserve">  We refer to the TRPs developed for this year’s annual filings as the </w:t>
      </w:r>
      <w:r w:rsidR="00ED46B5">
        <w:t xml:space="preserve">2026 </w:t>
      </w:r>
      <w:r>
        <w:t>TRPs.</w:t>
      </w:r>
    </w:p>
    <w:bookmarkEnd w:id="1"/>
  </w:footnote>
  <w:footnote w:id="4">
    <w:p w:rsidR="00375EF9" w:rsidRPr="00086E2E" w:rsidP="00375EF9" w14:paraId="7F14A5E0" w14:textId="77777777">
      <w:pPr>
        <w:pStyle w:val="FootnoteText"/>
      </w:pPr>
      <w:r w:rsidRPr="00086E2E">
        <w:rPr>
          <w:rStyle w:val="FootnoteReference"/>
        </w:rPr>
        <w:footnoteRef/>
      </w:r>
      <w:r w:rsidRPr="00086E2E">
        <w:t xml:space="preserve"> </w:t>
      </w:r>
      <w:bookmarkStart w:id="2" w:name="_Hlk6508718"/>
      <w:r w:rsidRPr="00086E2E">
        <w:t>47 CFR § 69.3(a)</w:t>
      </w:r>
      <w:bookmarkEnd w:id="2"/>
      <w:r>
        <w:t xml:space="preserve">, (h); </w:t>
      </w:r>
      <w:r w:rsidRPr="00E8267B">
        <w:rPr>
          <w:i/>
          <w:iCs/>
        </w:rPr>
        <w:t>see id</w:t>
      </w:r>
      <w:r>
        <w:t xml:space="preserve">. § 1.3. </w:t>
      </w:r>
    </w:p>
  </w:footnote>
  <w:footnote w:id="5">
    <w:p w:rsidR="00BD24F0" w14:paraId="760B78F6" w14:textId="35FD5130">
      <w:pPr>
        <w:pStyle w:val="FootnoteText"/>
      </w:pPr>
      <w:r>
        <w:rPr>
          <w:rStyle w:val="FootnoteReference"/>
        </w:rPr>
        <w:footnoteRef/>
      </w:r>
      <w:r>
        <w:t xml:space="preserve"> 47 CFR § 69.3(a) (“</w:t>
      </w:r>
      <w:r w:rsidRPr="000C1D28">
        <w:t>a tariff for access service shall be filed with this Commission for a two-year period</w:t>
      </w:r>
      <w:r>
        <w:t>…</w:t>
      </w:r>
      <w:r w:rsidRPr="000C1D28">
        <w:t>with a scheduled effective date of July 1</w:t>
      </w:r>
      <w:r>
        <w:t xml:space="preserve">”); </w:t>
      </w:r>
      <w:r w:rsidRPr="00316138">
        <w:rPr>
          <w:i/>
          <w:iCs/>
        </w:rPr>
        <w:t>id</w:t>
      </w:r>
      <w:r>
        <w:t xml:space="preserve">. </w:t>
      </w:r>
      <w:r w:rsidR="004C645A">
        <w:t xml:space="preserve">§ 69.3(f); </w:t>
      </w:r>
      <w:r w:rsidRPr="00FE0EF6" w:rsidR="004C645A">
        <w:rPr>
          <w:i/>
          <w:iCs/>
        </w:rPr>
        <w:t>id</w:t>
      </w:r>
      <w:r w:rsidR="004C645A">
        <w:t xml:space="preserve">. </w:t>
      </w:r>
      <w:r w:rsidRPr="004C645A" w:rsidR="004C645A">
        <w:t>§§</w:t>
      </w:r>
      <w:r w:rsidR="004C645A">
        <w:t xml:space="preserve"> </w:t>
      </w:r>
      <w:r>
        <w:t>61.38, 61.39 (s</w:t>
      </w:r>
      <w:r w:rsidRPr="000C1D28">
        <w:t xml:space="preserve">upporting information to be submitted with </w:t>
      </w:r>
      <w:r>
        <w:t>tariff filings)</w:t>
      </w:r>
      <w:r w:rsidR="004C3EAA">
        <w:t xml:space="preserve">; </w:t>
      </w:r>
      <w:r w:rsidR="004C3EAA">
        <w:rPr>
          <w:i/>
          <w:iCs/>
        </w:rPr>
        <w:t>s</w:t>
      </w:r>
      <w:r w:rsidRPr="00316138" w:rsidR="004C3EAA">
        <w:rPr>
          <w:i/>
          <w:iCs/>
        </w:rPr>
        <w:t>ee</w:t>
      </w:r>
      <w:r w:rsidR="004C3EAA">
        <w:t xml:space="preserve"> 47 U.S.C. § 203 (requiring common carriers to file with the Commission schedules of charges, i.e., tariffs, for interstate communications).</w:t>
      </w:r>
    </w:p>
  </w:footnote>
  <w:footnote w:id="6">
    <w:p w:rsidR="00BD24F0" w14:paraId="30F51617" w14:textId="49D7AD19">
      <w:pPr>
        <w:pStyle w:val="FootnoteText"/>
      </w:pPr>
      <w:r>
        <w:rPr>
          <w:rStyle w:val="FootnoteReference"/>
        </w:rPr>
        <w:footnoteRef/>
      </w:r>
      <w:r>
        <w:t xml:space="preserve"> </w:t>
      </w:r>
      <w:r w:rsidRPr="00FE0EF6" w:rsidR="004C3EAA">
        <w:rPr>
          <w:i/>
          <w:iCs/>
        </w:rPr>
        <w:t>See</w:t>
      </w:r>
      <w:r w:rsidR="00C16B97">
        <w:rPr>
          <w:i/>
          <w:iCs/>
        </w:rPr>
        <w:t>, e.g.,</w:t>
      </w:r>
      <w:r w:rsidR="004C3EAA">
        <w:t xml:space="preserve"> </w:t>
      </w:r>
      <w:r w:rsidRPr="00FE0EF6" w:rsidR="00ED46B5">
        <w:rPr>
          <w:i/>
          <w:iCs/>
        </w:rPr>
        <w:t>July 1, 202</w:t>
      </w:r>
      <w:r w:rsidR="00ED46B5">
        <w:rPr>
          <w:i/>
          <w:iCs/>
        </w:rPr>
        <w:t>5</w:t>
      </w:r>
      <w:r w:rsidRPr="00FE0EF6" w:rsidR="00ED46B5">
        <w:rPr>
          <w:i/>
          <w:iCs/>
        </w:rPr>
        <w:t xml:space="preserve"> Annual Access Charge Tariff Filings</w:t>
      </w:r>
      <w:r w:rsidRPr="004C3EAA" w:rsidR="00ED46B5">
        <w:t xml:space="preserve">, WC Docket No. </w:t>
      </w:r>
      <w:r w:rsidR="00ED46B5">
        <w:t>25-94</w:t>
      </w:r>
      <w:r w:rsidRPr="004C3EAA" w:rsidR="00ED46B5">
        <w:t xml:space="preserve">, Order, </w:t>
      </w:r>
      <w:r w:rsidRPr="00ED46B5" w:rsidR="00ED46B5">
        <w:t xml:space="preserve">40 FCC Rcd 3060 </w:t>
      </w:r>
      <w:r w:rsidRPr="004C3EAA" w:rsidR="00ED46B5">
        <w:t>(WCB/PPD 202</w:t>
      </w:r>
      <w:r w:rsidR="00ED46B5">
        <w:t>5</w:t>
      </w:r>
      <w:r w:rsidRPr="004C3EAA" w:rsidR="00ED46B5">
        <w:t>)</w:t>
      </w:r>
      <w:r w:rsidR="00ED46B5">
        <w:t xml:space="preserve"> (</w:t>
      </w:r>
      <w:r w:rsidRPr="000E7665" w:rsidR="00ED46B5">
        <w:rPr>
          <w:i/>
          <w:iCs/>
        </w:rPr>
        <w:t>2025 TRP Order</w:t>
      </w:r>
      <w:r w:rsidR="00ED46B5">
        <w:t>).</w:t>
      </w:r>
      <w:r w:rsidRPr="004C3EAA" w:rsidR="004C3EAA">
        <w:t xml:space="preserve">  </w:t>
      </w:r>
    </w:p>
  </w:footnote>
  <w:footnote w:id="7">
    <w:p w:rsidR="00375EF9" w:rsidRPr="00086E2E" w:rsidP="00375EF9" w14:paraId="562C76E3" w14:textId="77777777">
      <w:pPr>
        <w:pStyle w:val="FootnoteText"/>
      </w:pPr>
      <w:r w:rsidRPr="00086E2E">
        <w:rPr>
          <w:rStyle w:val="FootnoteReference"/>
        </w:rPr>
        <w:footnoteRef/>
      </w:r>
      <w:r w:rsidRPr="00086E2E">
        <w:t xml:space="preserve"> </w:t>
      </w:r>
      <w:r w:rsidRPr="001A48A3">
        <w:rPr>
          <w:i/>
          <w:iCs/>
        </w:rPr>
        <w:t>See</w:t>
      </w:r>
      <w:r>
        <w:t xml:space="preserve"> </w:t>
      </w:r>
      <w:r w:rsidRPr="00086E2E">
        <w:rPr>
          <w:i/>
          <w:iCs/>
        </w:rPr>
        <w:t>Connect America Fund et al.</w:t>
      </w:r>
      <w:r w:rsidRPr="00086E2E">
        <w:rPr>
          <w:iCs/>
        </w:rPr>
        <w:t>,</w:t>
      </w:r>
      <w:r w:rsidRPr="00086E2E">
        <w:t xml:space="preserve"> WC Docket No. 10-90 et al., Report and Order and Further Notice of Proposed Rulemaking, </w:t>
      </w:r>
      <w:bookmarkStart w:id="3" w:name="_Hlk5803675"/>
      <w:bookmarkStart w:id="4" w:name="_Hlk5798668"/>
      <w:r w:rsidRPr="00086E2E">
        <w:t xml:space="preserve">26 FCC Rcd 17663, </w:t>
      </w:r>
      <w:r w:rsidRPr="00933427">
        <w:t>17956</w:t>
      </w:r>
      <w:r>
        <w:t>-18002</w:t>
      </w:r>
      <w:r w:rsidRPr="00086E2E">
        <w:t>, para</w:t>
      </w:r>
      <w:r>
        <w:t>s</w:t>
      </w:r>
      <w:r w:rsidRPr="00086E2E">
        <w:t xml:space="preserve">. </w:t>
      </w:r>
      <w:r>
        <w:t>847-932</w:t>
      </w:r>
      <w:r w:rsidRPr="00086E2E">
        <w:t xml:space="preserve"> (2011) (</w:t>
      </w:r>
      <w:r w:rsidRPr="00086E2E">
        <w:rPr>
          <w:i/>
          <w:iCs/>
        </w:rPr>
        <w:t>USF/ICC Transformation Order</w:t>
      </w:r>
      <w:r w:rsidRPr="00086E2E">
        <w:rPr>
          <w:iCs/>
        </w:rPr>
        <w:t xml:space="preserve">), </w:t>
      </w:r>
      <w:r w:rsidRPr="00086E2E">
        <w:rPr>
          <w:i/>
          <w:iCs/>
        </w:rPr>
        <w:t>pets. for review denied sub no</w:t>
      </w:r>
      <w:bookmarkEnd w:id="3"/>
      <w:r w:rsidRPr="00086E2E">
        <w:rPr>
          <w:i/>
          <w:iCs/>
        </w:rPr>
        <w:t xml:space="preserve">m. In re: FCC </w:t>
      </w:r>
      <w:bookmarkEnd w:id="4"/>
      <w:r w:rsidRPr="00086E2E">
        <w:rPr>
          <w:i/>
          <w:iCs/>
        </w:rPr>
        <w:t>11-161</w:t>
      </w:r>
      <w:r w:rsidRPr="00086E2E">
        <w:rPr>
          <w:iCs/>
        </w:rPr>
        <w:t>, 753 F.3d 1015 (10th Cir. 2014)</w:t>
      </w:r>
      <w:r>
        <w:rPr>
          <w:iCs/>
        </w:rPr>
        <w:t>.</w:t>
      </w:r>
    </w:p>
  </w:footnote>
  <w:footnote w:id="8">
    <w:p w:rsidR="00375EF9" w:rsidP="00375EF9" w14:paraId="02D9CDB1" w14:textId="77777777">
      <w:pPr>
        <w:pStyle w:val="FootnoteText"/>
      </w:pPr>
      <w:r>
        <w:rPr>
          <w:rStyle w:val="FootnoteReference"/>
        </w:rPr>
        <w:footnoteRef/>
      </w:r>
      <w:r>
        <w:t xml:space="preserve"> </w:t>
      </w:r>
      <w:r w:rsidRPr="00086E2E">
        <w:rPr>
          <w:i/>
        </w:rPr>
        <w:t>Connect America Fund et al.</w:t>
      </w:r>
      <w:r w:rsidRPr="00086E2E">
        <w:t>, WC Docket No. 10-90 et al., Report and Order, Order and Order on Reconsideration and Further Notice of Proposed Rulemaking, 31 FCC Rcd 3089 (2016) (</w:t>
      </w:r>
      <w:r w:rsidRPr="00086E2E">
        <w:rPr>
          <w:i/>
        </w:rPr>
        <w:t>Rate-of-Return Reform Order</w:t>
      </w:r>
      <w:r w:rsidRPr="00086E2E">
        <w:t>)</w:t>
      </w:r>
      <w:r>
        <w:t>.</w:t>
      </w:r>
    </w:p>
  </w:footnote>
  <w:footnote w:id="9">
    <w:p w:rsidR="00375EF9" w:rsidRPr="00086E2E" w:rsidP="00375EF9" w14:paraId="78B4B000" w14:textId="77777777">
      <w:pPr>
        <w:spacing w:after="120"/>
        <w:rPr>
          <w:sz w:val="20"/>
        </w:rPr>
      </w:pPr>
      <w:r w:rsidRPr="00086E2E">
        <w:rPr>
          <w:rStyle w:val="FootnoteReference"/>
        </w:rPr>
        <w:footnoteRef/>
      </w:r>
      <w:r w:rsidRPr="00086E2E">
        <w:rPr>
          <w:i/>
          <w:sz w:val="20"/>
        </w:rPr>
        <w:t xml:space="preserve"> Regulation of Business Data Services for Rate-of-Return Local Exchange Carriers et al.</w:t>
      </w:r>
      <w:r w:rsidRPr="00086E2E">
        <w:rPr>
          <w:sz w:val="20"/>
        </w:rPr>
        <w:t xml:space="preserve">, WC Docket No. 17-144 et al., Report and Order, Further Notice of </w:t>
      </w:r>
      <w:bookmarkStart w:id="5" w:name="_Hlk5803526"/>
      <w:r w:rsidRPr="00086E2E">
        <w:rPr>
          <w:sz w:val="20"/>
        </w:rPr>
        <w:t xml:space="preserve">Proposed Rulemaking, and Second Further Notice of Proposed Rulemaking, 33 FCC Rcd 10403 (2018) </w:t>
      </w:r>
      <w:bookmarkStart w:id="6" w:name="_Hlk3306617"/>
      <w:r w:rsidRPr="00086E2E">
        <w:rPr>
          <w:sz w:val="20"/>
        </w:rPr>
        <w:t>(</w:t>
      </w:r>
      <w:bookmarkStart w:id="7" w:name="_Hlk4602403"/>
      <w:r w:rsidRPr="00086E2E">
        <w:rPr>
          <w:i/>
          <w:sz w:val="20"/>
        </w:rPr>
        <w:t xml:space="preserve">Rate-of-Return </w:t>
      </w:r>
      <w:r>
        <w:rPr>
          <w:i/>
          <w:sz w:val="20"/>
        </w:rPr>
        <w:t>BDS</w:t>
      </w:r>
      <w:r w:rsidRPr="00086E2E">
        <w:rPr>
          <w:i/>
          <w:sz w:val="20"/>
        </w:rPr>
        <w:t xml:space="preserve"> Order</w:t>
      </w:r>
      <w:bookmarkEnd w:id="7"/>
      <w:r w:rsidRPr="00086E2E">
        <w:rPr>
          <w:sz w:val="20"/>
        </w:rPr>
        <w:t>)</w:t>
      </w:r>
      <w:bookmarkStart w:id="8" w:name="_Hlk5798549"/>
      <w:bookmarkEnd w:id="5"/>
      <w:bookmarkEnd w:id="6"/>
      <w:bookmarkEnd w:id="8"/>
      <w:r w:rsidRPr="00086E2E">
        <w:rPr>
          <w:sz w:val="20"/>
        </w:rPr>
        <w:t xml:space="preserve">. </w:t>
      </w:r>
    </w:p>
  </w:footnote>
  <w:footnote w:id="10">
    <w:p w:rsidR="00375EF9" w:rsidRPr="003A1ACE" w:rsidP="00375EF9" w14:paraId="46D0F2C1" w14:textId="77777777">
      <w:pPr>
        <w:pStyle w:val="FootnoteText"/>
        <w:tabs>
          <w:tab w:val="left" w:pos="-720"/>
        </w:tabs>
        <w:suppressAutoHyphens/>
        <w:rPr>
          <w:spacing w:val="-2"/>
        </w:rPr>
      </w:pPr>
      <w:r w:rsidRPr="00086E2E">
        <w:rPr>
          <w:rStyle w:val="FootnoteReference"/>
          <w:spacing w:val="-2"/>
        </w:rPr>
        <w:footnoteRef/>
      </w:r>
      <w:r w:rsidRPr="00086E2E">
        <w:rPr>
          <w:spacing w:val="-2"/>
        </w:rPr>
        <w:t xml:space="preserve"> </w:t>
      </w:r>
      <w:bookmarkStart w:id="10" w:name="_Hlk6254590"/>
      <w:bookmarkStart w:id="11" w:name="_Hlk5802468"/>
      <w:bookmarkStart w:id="12" w:name="_Hlk40077517"/>
      <w:r w:rsidRPr="00086E2E">
        <w:rPr>
          <w:spacing w:val="-2"/>
        </w:rPr>
        <w:t xml:space="preserve">47 </w:t>
      </w:r>
      <w:bookmarkStart w:id="13" w:name="_Hlk6415292"/>
      <w:r w:rsidRPr="00086E2E">
        <w:rPr>
          <w:spacing w:val="-2"/>
        </w:rPr>
        <w:t>CFR §§ 51.700</w:t>
      </w:r>
      <w:bookmarkEnd w:id="10"/>
      <w:bookmarkEnd w:id="13"/>
      <w:r w:rsidRPr="00086E2E">
        <w:rPr>
          <w:spacing w:val="-2"/>
        </w:rPr>
        <w:t>-51.715, 51.901-51.919, 61.38-61.39</w:t>
      </w:r>
      <w:bookmarkEnd w:id="11"/>
      <w:r w:rsidRPr="00086E2E">
        <w:rPr>
          <w:spacing w:val="-2"/>
        </w:rPr>
        <w:t xml:space="preserve">, 61.41-61.50, 69.3.  </w:t>
      </w:r>
      <w:bookmarkEnd w:id="12"/>
    </w:p>
  </w:footnote>
  <w:footnote w:id="11">
    <w:p w:rsidR="00375EF9" w:rsidRPr="00086E2E" w:rsidP="00375EF9" w14:paraId="58FD9F2B" w14:textId="77777777">
      <w:pPr>
        <w:pStyle w:val="FootnoteText"/>
      </w:pPr>
      <w:r w:rsidRPr="00086E2E">
        <w:rPr>
          <w:rStyle w:val="FootnoteReference"/>
        </w:rPr>
        <w:footnoteRef/>
      </w:r>
      <w:r w:rsidRPr="00086E2E">
        <w:t xml:space="preserve"> </w:t>
      </w:r>
      <w:r w:rsidRPr="00086E2E">
        <w:rPr>
          <w:i/>
          <w:iCs/>
        </w:rPr>
        <w:t>USF/ICC Transformation Order</w:t>
      </w:r>
      <w:r w:rsidRPr="00086E2E">
        <w:t>, 26 FCC Rcd at 17934-35, para. 801.</w:t>
      </w:r>
      <w:r>
        <w:t xml:space="preserve">  </w:t>
      </w:r>
      <w:r w:rsidRPr="00B359AB">
        <w:rPr>
          <w:szCs w:val="22"/>
        </w:rPr>
        <w:t>Th</w:t>
      </w:r>
      <w:r>
        <w:rPr>
          <w:szCs w:val="22"/>
        </w:rPr>
        <w:t xml:space="preserve">e last of those rates went to zero in 2020.  </w:t>
      </w:r>
      <w:r w:rsidRPr="00086E2E">
        <w:rPr>
          <w:i/>
          <w:iCs/>
        </w:rPr>
        <w:t xml:space="preserve">See </w:t>
      </w:r>
      <w:r>
        <w:rPr>
          <w:i/>
          <w:iCs/>
        </w:rPr>
        <w:t>id.</w:t>
      </w:r>
      <w:r w:rsidRPr="00086E2E">
        <w:t>, para. 801, fig. 9; 47 CFR §§ 51.907, 51.909</w:t>
      </w:r>
      <w:r>
        <w:t>.</w:t>
      </w:r>
    </w:p>
  </w:footnote>
  <w:footnote w:id="12">
    <w:p w:rsidR="00375EF9" w:rsidRPr="00086E2E" w:rsidP="00375EF9" w14:paraId="14D01249" w14:textId="77777777">
      <w:pPr>
        <w:pStyle w:val="FootnoteText"/>
      </w:pPr>
      <w:r w:rsidRPr="00086E2E">
        <w:rPr>
          <w:rStyle w:val="FootnoteReference"/>
        </w:rPr>
        <w:footnoteRef/>
      </w:r>
      <w:r w:rsidRPr="00086E2E">
        <w:t xml:space="preserve"> </w:t>
      </w:r>
      <w:r w:rsidRPr="00086E2E">
        <w:rPr>
          <w:i/>
          <w:iCs/>
        </w:rPr>
        <w:t>USF/ICC Transformation Order</w:t>
      </w:r>
      <w:r w:rsidRPr="00086E2E">
        <w:t>, 26 FCC Rcd at 17677, para. 36.</w:t>
      </w:r>
    </w:p>
  </w:footnote>
  <w:footnote w:id="13">
    <w:p w:rsidR="00375EF9" w:rsidRPr="00086E2E" w:rsidP="00375EF9" w14:paraId="0D5A2FF2" w14:textId="77777777">
      <w:pPr>
        <w:pStyle w:val="FootnoteText"/>
      </w:pPr>
      <w:r w:rsidRPr="00086E2E">
        <w:rPr>
          <w:rStyle w:val="FootnoteReference"/>
        </w:rPr>
        <w:footnoteRef/>
      </w:r>
      <w:r w:rsidRPr="00086E2E">
        <w:t xml:space="preserve"> </w:t>
      </w:r>
      <w:r w:rsidRPr="009F6A41">
        <w:rPr>
          <w:iCs/>
        </w:rPr>
        <w:t>47 CFR §§ 51.915(e), 51.917(e);</w:t>
      </w:r>
      <w:r w:rsidRPr="005B582B">
        <w:rPr>
          <w:i/>
        </w:rPr>
        <w:t xml:space="preserve"> </w:t>
      </w:r>
      <w:r w:rsidRPr="00EA175A">
        <w:rPr>
          <w:i/>
        </w:rPr>
        <w:t>USF/ICC Transformation Order</w:t>
      </w:r>
      <w:r w:rsidRPr="009F6A41">
        <w:rPr>
          <w:iCs/>
        </w:rPr>
        <w:t>, 26 FCC Rcd</w:t>
      </w:r>
      <w:r w:rsidRPr="005B582B">
        <w:rPr>
          <w:i/>
        </w:rPr>
        <w:t xml:space="preserve"> </w:t>
      </w:r>
      <w:r w:rsidRPr="00086E2E">
        <w:t>at 17958, para</w:t>
      </w:r>
      <w:r>
        <w:t>.</w:t>
      </w:r>
      <w:r w:rsidRPr="00086E2E">
        <w:t xml:space="preserve"> 852.</w:t>
      </w:r>
    </w:p>
  </w:footnote>
  <w:footnote w:id="14">
    <w:p w:rsidR="00375EF9" w:rsidRPr="00086E2E" w:rsidP="00375EF9" w14:paraId="57EE1DF2" w14:textId="77777777">
      <w:pPr>
        <w:pStyle w:val="FootnoteText"/>
      </w:pPr>
      <w:r w:rsidRPr="00086E2E">
        <w:rPr>
          <w:rStyle w:val="FootnoteReference"/>
        </w:rPr>
        <w:footnoteRef/>
      </w:r>
      <w:r w:rsidRPr="00086E2E">
        <w:t xml:space="preserve"> </w:t>
      </w:r>
      <w:r w:rsidRPr="009F6A41">
        <w:rPr>
          <w:iCs/>
        </w:rPr>
        <w:t xml:space="preserve">47 CFR §§ 51.915(f), 51.917(f); </w:t>
      </w:r>
      <w:r w:rsidRPr="00EA175A">
        <w:rPr>
          <w:i/>
        </w:rPr>
        <w:t>USF/ICC Transformation Order</w:t>
      </w:r>
      <w:r w:rsidRPr="009F6A41">
        <w:rPr>
          <w:iCs/>
        </w:rPr>
        <w:t xml:space="preserve">, 26 FCC Rcd </w:t>
      </w:r>
      <w:r>
        <w:t xml:space="preserve">at </w:t>
      </w:r>
      <w:r w:rsidRPr="00086E2E">
        <w:t xml:space="preserve">17957, para. 850.  Beginning July 1, 2019, price cap incumbent LECs are no longer eligible to receive CAF ICC support. </w:t>
      </w:r>
      <w:r>
        <w:t xml:space="preserve"> </w:t>
      </w:r>
      <w:r w:rsidRPr="00086E2E">
        <w:t>47 CFR § 51.915(f)(5).</w:t>
      </w:r>
    </w:p>
  </w:footnote>
  <w:footnote w:id="15">
    <w:p w:rsidR="00375EF9" w:rsidRPr="00086E2E" w:rsidP="00375EF9" w14:paraId="64FFAE3E" w14:textId="77777777">
      <w:pPr>
        <w:pStyle w:val="FootnoteText"/>
      </w:pPr>
      <w:r w:rsidRPr="00086E2E">
        <w:rPr>
          <w:rStyle w:val="FootnoteReference"/>
        </w:rPr>
        <w:footnoteRef/>
      </w:r>
      <w:r w:rsidRPr="00086E2E">
        <w:t xml:space="preserve"> </w:t>
      </w:r>
      <w:r w:rsidRPr="00086E2E">
        <w:rPr>
          <w:i/>
          <w:iCs/>
        </w:rPr>
        <w:t>USF/ICC Transformation Order</w:t>
      </w:r>
      <w:r w:rsidRPr="00086E2E">
        <w:t xml:space="preserve">, 26 FCC Rcd </w:t>
      </w:r>
      <w:r w:rsidRPr="00086E2E">
        <w:rPr>
          <w:snapToGrid w:val="0"/>
        </w:rPr>
        <w:t xml:space="preserve">at 17957-58, paras. 850-51. </w:t>
      </w:r>
    </w:p>
  </w:footnote>
  <w:footnote w:id="16">
    <w:p w:rsidR="00375EF9" w:rsidRPr="00086E2E" w:rsidP="00375EF9" w14:paraId="3FCC7EDA" w14:textId="77777777">
      <w:pPr>
        <w:pStyle w:val="FootnoteText"/>
      </w:pPr>
      <w:r w:rsidRPr="00086E2E">
        <w:rPr>
          <w:rStyle w:val="FootnoteReference"/>
        </w:rPr>
        <w:footnoteRef/>
      </w:r>
      <w:r w:rsidRPr="00086E2E">
        <w:rPr>
          <w:i/>
        </w:rPr>
        <w:t xml:space="preserve"> </w:t>
      </w:r>
      <w:bookmarkStart w:id="14" w:name="_Hlk131426663"/>
      <w:r w:rsidRPr="00086E2E">
        <w:rPr>
          <w:i/>
        </w:rPr>
        <w:t>Rate-of-Return Reform Order</w:t>
      </w:r>
      <w:r w:rsidRPr="00086E2E">
        <w:t xml:space="preserve">, 31 FCC Rcd </w:t>
      </w:r>
      <w:bookmarkEnd w:id="14"/>
      <w:r w:rsidRPr="00086E2E">
        <w:t xml:space="preserve">at 3089, para. 1. </w:t>
      </w:r>
    </w:p>
  </w:footnote>
  <w:footnote w:id="17">
    <w:p w:rsidR="00375EF9" w:rsidRPr="00086E2E" w:rsidP="00375EF9" w14:paraId="232B547A" w14:textId="77777777">
      <w:pPr>
        <w:pStyle w:val="FootnoteText"/>
      </w:pPr>
      <w:r w:rsidRPr="00086E2E">
        <w:rPr>
          <w:rStyle w:val="FootnoteReference"/>
        </w:rPr>
        <w:footnoteRef/>
      </w:r>
      <w:r w:rsidRPr="00086E2E">
        <w:t xml:space="preserve"> </w:t>
      </w:r>
      <w:r w:rsidRPr="00086E2E">
        <w:rPr>
          <w:i/>
        </w:rPr>
        <w:t>Id</w:t>
      </w:r>
      <w:r w:rsidRPr="00086E2E">
        <w:t xml:space="preserve">. at 3094-117, paras. 17-79. </w:t>
      </w:r>
    </w:p>
  </w:footnote>
  <w:footnote w:id="18">
    <w:p w:rsidR="00375EF9" w:rsidRPr="00086E2E" w:rsidP="00375EF9" w14:paraId="505499A5" w14:textId="77777777">
      <w:pPr>
        <w:pStyle w:val="FootnoteText"/>
      </w:pPr>
      <w:r w:rsidRPr="00086E2E">
        <w:rPr>
          <w:rStyle w:val="FootnoteReference"/>
        </w:rPr>
        <w:footnoteRef/>
      </w:r>
      <w:r w:rsidRPr="00086E2E">
        <w:t xml:space="preserve"> </w:t>
      </w:r>
      <w:r w:rsidRPr="00086E2E">
        <w:rPr>
          <w:i/>
        </w:rPr>
        <w:t xml:space="preserve">Id. </w:t>
      </w:r>
      <w:r w:rsidRPr="00086E2E">
        <w:t xml:space="preserve">at 3117-57, paras. 80-187. </w:t>
      </w:r>
    </w:p>
  </w:footnote>
  <w:footnote w:id="19">
    <w:p w:rsidR="00375EF9" w:rsidP="00375EF9" w14:paraId="58973A2A" w14:textId="77777777">
      <w:pPr>
        <w:pStyle w:val="FootnoteText"/>
      </w:pPr>
      <w:r>
        <w:rPr>
          <w:rStyle w:val="FootnoteReference"/>
        </w:rPr>
        <w:footnoteRef/>
      </w:r>
      <w:r>
        <w:t xml:space="preserve"> </w:t>
      </w:r>
      <w:r w:rsidRPr="00A866DA">
        <w:t>47 CFR § 54.901.</w:t>
      </w:r>
    </w:p>
  </w:footnote>
  <w:footnote w:id="20">
    <w:p w:rsidR="00375EF9" w:rsidRPr="00086E2E" w:rsidP="00375EF9" w14:paraId="3C9F3453" w14:textId="77777777">
      <w:pPr>
        <w:pStyle w:val="FootnoteText"/>
      </w:pPr>
      <w:r w:rsidRPr="00086E2E">
        <w:rPr>
          <w:rStyle w:val="FootnoteReference"/>
        </w:rPr>
        <w:footnoteRef/>
      </w:r>
      <w:r w:rsidRPr="00086E2E">
        <w:t xml:space="preserve"> </w:t>
      </w:r>
      <w:r w:rsidRPr="00086E2E">
        <w:rPr>
          <w:i/>
        </w:rPr>
        <w:t>Rate-of-Return Reform Order</w:t>
      </w:r>
      <w:r w:rsidRPr="00086E2E">
        <w:t xml:space="preserve">, 31 FCC Rcd at 3157-62, paras. 188-204. </w:t>
      </w:r>
    </w:p>
  </w:footnote>
  <w:footnote w:id="21">
    <w:p w:rsidR="00375EF9" w:rsidRPr="00086E2E" w:rsidP="00375EF9" w14:paraId="42A7308A" w14:textId="77777777">
      <w:pPr>
        <w:pStyle w:val="FootnoteText"/>
      </w:pPr>
      <w:r w:rsidRPr="00086E2E">
        <w:rPr>
          <w:rStyle w:val="FootnoteReference"/>
        </w:rPr>
        <w:footnoteRef/>
      </w:r>
      <w:r w:rsidRPr="00086E2E">
        <w:t xml:space="preserve"> </w:t>
      </w:r>
      <w:r w:rsidRPr="00086E2E">
        <w:rPr>
          <w:i/>
        </w:rPr>
        <w:t>Id</w:t>
      </w:r>
      <w:r w:rsidRPr="00086E2E">
        <w:t xml:space="preserve">. at 3158-59, paras. 190-91. </w:t>
      </w:r>
    </w:p>
  </w:footnote>
  <w:footnote w:id="22">
    <w:p w:rsidR="00375EF9" w:rsidRPr="00086E2E" w:rsidP="00375EF9" w14:paraId="22FDF68D" w14:textId="77777777">
      <w:pPr>
        <w:pStyle w:val="FootnoteText"/>
      </w:pPr>
      <w:bookmarkStart w:id="17" w:name="_Hlk511045741"/>
      <w:r w:rsidRPr="00086E2E">
        <w:rPr>
          <w:rStyle w:val="FootnoteReference"/>
        </w:rPr>
        <w:footnoteRef/>
      </w:r>
      <w:r w:rsidRPr="00086E2E">
        <w:t xml:space="preserve"> </w:t>
      </w:r>
      <w:r w:rsidRPr="00086E2E">
        <w:rPr>
          <w:i/>
        </w:rPr>
        <w:t xml:space="preserve">See </w:t>
      </w:r>
      <w:r w:rsidRPr="00086E2E">
        <w:rPr>
          <w:i/>
          <w:iCs/>
        </w:rPr>
        <w:t>Connect America Fund et al</w:t>
      </w:r>
      <w:r w:rsidRPr="00086E2E">
        <w:rPr>
          <w:iCs/>
        </w:rPr>
        <w:t>.,</w:t>
      </w:r>
      <w:r w:rsidRPr="00086E2E">
        <w:t xml:space="preserve"> WC Docket No. 10-90 et al, Second Order on Reconsideration and Clarification, 33 FCC Rcd 2399, 2402-03, paras. 10-13 (2018) (</w:t>
      </w:r>
      <w:r w:rsidRPr="00086E2E">
        <w:rPr>
          <w:i/>
        </w:rPr>
        <w:t>Rate-of-Return Reform Reconsideration Order</w:t>
      </w:r>
      <w:r w:rsidRPr="00086E2E">
        <w:t>)</w:t>
      </w:r>
      <w:bookmarkEnd w:id="17"/>
      <w:r w:rsidRPr="00086E2E">
        <w:t xml:space="preserve">; </w:t>
      </w:r>
      <w:bookmarkStart w:id="18" w:name="_Hlk511915757"/>
      <w:bookmarkStart w:id="19" w:name="_Hlk511045843"/>
      <w:r w:rsidRPr="00086E2E">
        <w:t>47 CFR §§ 69.311(b), 6</w:t>
      </w:r>
      <w:bookmarkEnd w:id="18"/>
      <w:r w:rsidRPr="00086E2E">
        <w:t>9.416</w:t>
      </w:r>
      <w:bookmarkEnd w:id="19"/>
      <w:r w:rsidRPr="00086E2E">
        <w:t xml:space="preserve">.  </w:t>
      </w:r>
    </w:p>
  </w:footnote>
  <w:footnote w:id="23">
    <w:p w:rsidR="00375EF9" w:rsidRPr="00086E2E" w:rsidP="00375EF9" w14:paraId="03E83F97" w14:textId="77777777">
      <w:pPr>
        <w:pStyle w:val="FootnoteText"/>
      </w:pPr>
      <w:r w:rsidRPr="00086E2E">
        <w:rPr>
          <w:rStyle w:val="FootnoteReference"/>
        </w:rPr>
        <w:footnoteRef/>
      </w:r>
      <w:r w:rsidRPr="00086E2E">
        <w:t xml:space="preserve"> </w:t>
      </w:r>
      <w:bookmarkStart w:id="21" w:name="_Hlk511047551"/>
      <w:bookmarkStart w:id="22" w:name="_Hlk511040328"/>
      <w:r w:rsidRPr="00086E2E">
        <w:rPr>
          <w:i/>
        </w:rPr>
        <w:t>Rate-of-Return Reform Order</w:t>
      </w:r>
      <w:bookmarkEnd w:id="21"/>
      <w:r w:rsidRPr="00086E2E">
        <w:t xml:space="preserve">, </w:t>
      </w:r>
      <w:bookmarkStart w:id="23" w:name="_Hlk6578042"/>
      <w:r w:rsidRPr="00086E2E">
        <w:t>31 FCC Rcd at 3459-60</w:t>
      </w:r>
      <w:bookmarkEnd w:id="23"/>
      <w:r w:rsidRPr="00086E2E">
        <w:t>, paras. 194, 197-98</w:t>
      </w:r>
      <w:bookmarkEnd w:id="22"/>
      <w:r w:rsidRPr="00086E2E">
        <w:t>; 47 CFR §§ 69.132(c)-(d).</w:t>
      </w:r>
    </w:p>
  </w:footnote>
  <w:footnote w:id="24">
    <w:p w:rsidR="00375EF9" w:rsidRPr="00086E2E" w:rsidP="00375EF9" w14:paraId="7FDC3874" w14:textId="77777777">
      <w:pPr>
        <w:pStyle w:val="FootnoteText"/>
      </w:pPr>
      <w:r w:rsidRPr="00086E2E">
        <w:rPr>
          <w:rStyle w:val="FootnoteReference"/>
        </w:rPr>
        <w:footnoteRef/>
      </w:r>
      <w:r w:rsidRPr="00086E2E">
        <w:t xml:space="preserve"> </w:t>
      </w:r>
      <w:r w:rsidRPr="0088525C">
        <w:rPr>
          <w:i/>
        </w:rPr>
        <w:t>Rate-of-Return Reform Order</w:t>
      </w:r>
      <w:r w:rsidRPr="009F6A41">
        <w:rPr>
          <w:iCs/>
        </w:rPr>
        <w:t>, 31 FCC Rcd</w:t>
      </w:r>
      <w:r w:rsidRPr="005B582B">
        <w:rPr>
          <w:i/>
        </w:rPr>
        <w:t xml:space="preserve"> </w:t>
      </w:r>
      <w:r w:rsidRPr="00086E2E">
        <w:t>at 3160, paras. 195-96</w:t>
      </w:r>
      <w:r>
        <w:t>; 47 CFR § 69.3(e)(9).</w:t>
      </w:r>
    </w:p>
  </w:footnote>
  <w:footnote w:id="25">
    <w:p w:rsidR="00375EF9" w:rsidRPr="00086E2E" w:rsidP="00375EF9" w14:paraId="3E6EA79C" w14:textId="77777777">
      <w:pPr>
        <w:pStyle w:val="FootnoteText"/>
      </w:pPr>
      <w:r w:rsidRPr="00086E2E">
        <w:rPr>
          <w:rStyle w:val="FootnoteReference"/>
        </w:rPr>
        <w:footnoteRef/>
      </w:r>
      <w:r w:rsidRPr="00086E2E">
        <w:t xml:space="preserve"> </w:t>
      </w:r>
      <w:r w:rsidRPr="0088525C">
        <w:rPr>
          <w:i/>
        </w:rPr>
        <w:t>Rate-of-Return Reform Order</w:t>
      </w:r>
      <w:r w:rsidRPr="009F6A41">
        <w:rPr>
          <w:iCs/>
        </w:rPr>
        <w:t>, 31 FCC Rcd</w:t>
      </w:r>
      <w:r w:rsidRPr="005B582B">
        <w:rPr>
          <w:i/>
        </w:rPr>
        <w:t xml:space="preserve"> </w:t>
      </w:r>
      <w:r w:rsidRPr="00086E2E">
        <w:t>at 3161-62, para. 203.</w:t>
      </w:r>
    </w:p>
  </w:footnote>
  <w:footnote w:id="26">
    <w:p w:rsidR="00375EF9" w:rsidRPr="00086E2E" w:rsidP="00375EF9" w14:paraId="3620F40C" w14:textId="77777777">
      <w:pPr>
        <w:pStyle w:val="FootnoteText"/>
      </w:pPr>
      <w:r w:rsidRPr="00086E2E">
        <w:rPr>
          <w:rStyle w:val="FootnoteReference"/>
        </w:rPr>
        <w:footnoteRef/>
      </w:r>
      <w:r w:rsidRPr="00086E2E">
        <w:t xml:space="preserve"> </w:t>
      </w:r>
      <w:bookmarkStart w:id="24" w:name="_Hlk6578267"/>
      <w:r>
        <w:rPr>
          <w:i/>
        </w:rPr>
        <w:t>Id.</w:t>
      </w:r>
      <w:bookmarkEnd w:id="24"/>
      <w:r w:rsidRPr="00086E2E">
        <w:t xml:space="preserve">; </w:t>
      </w:r>
      <w:bookmarkStart w:id="25" w:name="_Hlk511137742"/>
      <w:r w:rsidRPr="00086E2E">
        <w:rPr>
          <w:i/>
        </w:rPr>
        <w:t xml:space="preserve">see </w:t>
      </w:r>
      <w:r w:rsidRPr="00086E2E">
        <w:t>47 CFR § 51.917(f).</w:t>
      </w:r>
      <w:bookmarkEnd w:id="25"/>
    </w:p>
  </w:footnote>
  <w:footnote w:id="27">
    <w:p w:rsidR="00375EF9" w:rsidP="00375EF9" w14:paraId="293F4B2D" w14:textId="77777777">
      <w:pPr>
        <w:pStyle w:val="FootnoteText"/>
      </w:pPr>
      <w:r>
        <w:rPr>
          <w:rStyle w:val="FootnoteReference"/>
        </w:rPr>
        <w:footnoteRef/>
      </w:r>
      <w:r>
        <w:t xml:space="preserve"> </w:t>
      </w:r>
      <w:r w:rsidRPr="00824B7B">
        <w:rPr>
          <w:i/>
          <w:iCs/>
        </w:rPr>
        <w:t>Rate-of-Return BDS Order</w:t>
      </w:r>
      <w:r w:rsidRPr="00824B7B">
        <w:t>, 3</w:t>
      </w:r>
      <w:r>
        <w:t>3</w:t>
      </w:r>
      <w:r w:rsidRPr="00824B7B">
        <w:t xml:space="preserve"> FCC Rcd at</w:t>
      </w:r>
      <w:r>
        <w:t xml:space="preserve"> 10404, para. 1; 47 CFR §§ 61.50, 69.801 </w:t>
      </w:r>
      <w:r w:rsidRPr="00B4235F">
        <w:rPr>
          <w:i/>
          <w:iCs/>
        </w:rPr>
        <w:t>et seq</w:t>
      </w:r>
      <w:r>
        <w:t>.</w:t>
      </w:r>
      <w:r w:rsidRPr="00660833">
        <w:t xml:space="preserve"> </w:t>
      </w:r>
      <w:r>
        <w:t xml:space="preserve"> “Business data services” (formerly special access) as used herein refers to time-division multiplexing (TDM)-based transport and end user channel termination services.  </w:t>
      </w:r>
      <w:r w:rsidRPr="00DB3CAC">
        <w:rPr>
          <w:i/>
          <w:iCs/>
        </w:rPr>
        <w:t>Rate-of-Return BDS Order</w:t>
      </w:r>
      <w:r w:rsidRPr="00DB3CAC">
        <w:t>, 33 FCC Rcd</w:t>
      </w:r>
      <w:r w:rsidRPr="00DB3CAC">
        <w:rPr>
          <w:i/>
          <w:iCs/>
        </w:rPr>
        <w:t xml:space="preserve"> </w:t>
      </w:r>
      <w:r>
        <w:t xml:space="preserve">at 10404-5, paras. 1-4.  The Commission allowed electing carriers to elect BDS incentive regulation for “other generally lower capacity non-packet based services that are commonly considered special access services,” including “metallic services, voice grade services, audio services, and video services which are typically references in the special access services section of A-CAM carriers’ interstate tariffs.”  </w:t>
      </w:r>
      <w:r>
        <w:rPr>
          <w:i/>
          <w:iCs/>
        </w:rPr>
        <w:t>Id.</w:t>
      </w:r>
      <w:r>
        <w:t xml:space="preserve"> at 10415-16, para. 32 &amp; n.85 (citing NECA Tariff F.C.C. No. 5 § 7); 47 CFR § 69.801(a) (defining “business data services”).  </w:t>
      </w:r>
    </w:p>
  </w:footnote>
  <w:footnote w:id="28">
    <w:p w:rsidR="00375EF9" w:rsidP="00375EF9" w14:paraId="7C33B684" w14:textId="77777777">
      <w:pPr>
        <w:pStyle w:val="FootnoteText"/>
      </w:pPr>
      <w:r>
        <w:rPr>
          <w:rStyle w:val="FootnoteReference"/>
        </w:rPr>
        <w:footnoteRef/>
      </w:r>
      <w:r>
        <w:t xml:space="preserve"> </w:t>
      </w:r>
      <w:r w:rsidRPr="00824B7B">
        <w:rPr>
          <w:i/>
          <w:iCs/>
        </w:rPr>
        <w:t>Rate-of-Return BDS Order</w:t>
      </w:r>
      <w:r w:rsidRPr="00824B7B">
        <w:t>, 3</w:t>
      </w:r>
      <w:r>
        <w:t>3</w:t>
      </w:r>
      <w:r w:rsidRPr="00824B7B">
        <w:t xml:space="preserve"> FCC Rcd at</w:t>
      </w:r>
      <w:r>
        <w:t xml:space="preserve"> 10404, para. 1.</w:t>
      </w:r>
    </w:p>
  </w:footnote>
  <w:footnote w:id="29">
    <w:p w:rsidR="00375EF9" w:rsidP="008B6584" w14:paraId="66EDD67E" w14:textId="6A29C3CC">
      <w:pPr>
        <w:pStyle w:val="FootnoteText"/>
      </w:pPr>
      <w:r>
        <w:rPr>
          <w:rStyle w:val="FootnoteReference"/>
        </w:rPr>
        <w:footnoteRef/>
      </w:r>
      <w:r>
        <w:t xml:space="preserve"> </w:t>
      </w:r>
      <w:r w:rsidRPr="00824B7B">
        <w:rPr>
          <w:i/>
          <w:iCs/>
        </w:rPr>
        <w:t>Id</w:t>
      </w:r>
      <w:r>
        <w:t>. at 10432-40,</w:t>
      </w:r>
      <w:r w:rsidRPr="004079B7">
        <w:t xml:space="preserve"> </w:t>
      </w:r>
      <w:r>
        <w:t xml:space="preserve">10446-47, </w:t>
      </w:r>
      <w:r w:rsidRPr="004079B7">
        <w:t xml:space="preserve">paras. </w:t>
      </w:r>
      <w:r>
        <w:t>78</w:t>
      </w:r>
      <w:r w:rsidRPr="004079B7">
        <w:t>-</w:t>
      </w:r>
      <w:r>
        <w:t xml:space="preserve">104, 121-124; </w:t>
      </w:r>
      <w:r w:rsidRPr="007A5F51">
        <w:rPr>
          <w:i/>
          <w:iCs/>
        </w:rPr>
        <w:t>see</w:t>
      </w:r>
      <w:r>
        <w:t xml:space="preserve"> </w:t>
      </w:r>
      <w:r w:rsidRPr="009D32DF">
        <w:t>47 CFR §§ 61.50(j), 69.803(c)</w:t>
      </w:r>
      <w:r>
        <w:t xml:space="preserve">.  </w:t>
      </w:r>
      <w:r w:rsidRPr="000E7665" w:rsidR="00235D2B">
        <w:rPr>
          <w:i/>
          <w:iCs/>
        </w:rPr>
        <w:t>But see Price Cap Business Data Service</w:t>
      </w:r>
      <w:r w:rsidRPr="003F6B21" w:rsidR="00235D2B">
        <w:t>s;</w:t>
      </w:r>
      <w:r w:rsidRPr="000E7665" w:rsidR="00235D2B">
        <w:rPr>
          <w:i/>
          <w:iCs/>
        </w:rPr>
        <w:t xml:space="preserve"> Regulation of Business Data Services for Rate-of-Return Local Exchange Carriers</w:t>
      </w:r>
      <w:r w:rsidR="00235D2B">
        <w:t xml:space="preserve">, WC Docket Nos. 21-17, 17-144, Notice of Proposed Rulemaking, Third Further Notice of Proposed Rulemaking, and Order, </w:t>
      </w:r>
      <w:r w:rsidRPr="00235D2B" w:rsidR="00235D2B">
        <w:t>40 FCC Rcd 6275</w:t>
      </w:r>
      <w:r w:rsidR="008B6584">
        <w:t>, 6295-96, paras. 67-69</w:t>
      </w:r>
      <w:r w:rsidR="00235D2B">
        <w:t xml:space="preserve"> (2025)</w:t>
      </w:r>
      <w:r w:rsidR="008B6584">
        <w:t xml:space="preserve"> </w:t>
      </w:r>
      <w:r w:rsidR="00CD0CD2">
        <w:t>(</w:t>
      </w:r>
      <w:r w:rsidRPr="003F6B21" w:rsidR="00CD0CD2">
        <w:rPr>
          <w:i/>
          <w:iCs/>
        </w:rPr>
        <w:t>2025 BDS Order and/or NPRM</w:t>
      </w:r>
      <w:r w:rsidR="00CD0CD2">
        <w:t xml:space="preserve">) </w:t>
      </w:r>
      <w:r w:rsidR="008B6584">
        <w:t>(temporarily waiving requirement for the Bureau to update the competitive market test results until the Commission completes its review of the record filed in response to the Notice of Proposed Rulemaking)</w:t>
      </w:r>
      <w:r w:rsidR="00235D2B">
        <w:t>.</w:t>
      </w:r>
    </w:p>
  </w:footnote>
  <w:footnote w:id="30">
    <w:p w:rsidR="00375EF9" w:rsidP="00375EF9" w14:paraId="4D4A9962" w14:textId="77777777">
      <w:pPr>
        <w:pStyle w:val="FootnoteText"/>
      </w:pPr>
      <w:r>
        <w:rPr>
          <w:rStyle w:val="FootnoteReference"/>
        </w:rPr>
        <w:footnoteRef/>
      </w:r>
      <w:r>
        <w:t xml:space="preserve"> </w:t>
      </w:r>
      <w:r w:rsidRPr="00EB3B3D">
        <w:rPr>
          <w:i/>
          <w:iCs/>
        </w:rPr>
        <w:t>Rate-of-Return BDS Order</w:t>
      </w:r>
      <w:r w:rsidRPr="00415174">
        <w:t xml:space="preserve">, 33 FCC Rcd </w:t>
      </w:r>
      <w:r w:rsidRPr="00EB3B3D">
        <w:t>at</w:t>
      </w:r>
      <w:r>
        <w:t xml:space="preserve"> 10415-16, paras. 31-32; 47 CFR § 61.50(g). </w:t>
      </w:r>
    </w:p>
  </w:footnote>
  <w:footnote w:id="31">
    <w:p w:rsidR="00375EF9" w:rsidP="00375EF9" w14:paraId="41EB16DF" w14:textId="77777777">
      <w:pPr>
        <w:pStyle w:val="FootnoteText"/>
      </w:pPr>
      <w:r>
        <w:rPr>
          <w:rStyle w:val="FootnoteReference"/>
        </w:rPr>
        <w:footnoteRef/>
      </w:r>
      <w:r>
        <w:t xml:space="preserve"> </w:t>
      </w:r>
      <w:r w:rsidRPr="0071565D">
        <w:rPr>
          <w:i/>
          <w:iCs/>
        </w:rPr>
        <w:t xml:space="preserve">Rate-of-Return </w:t>
      </w:r>
      <w:r>
        <w:rPr>
          <w:i/>
          <w:iCs/>
        </w:rPr>
        <w:t>BDS</w:t>
      </w:r>
      <w:r w:rsidRPr="0071565D">
        <w:rPr>
          <w:i/>
          <w:iCs/>
        </w:rPr>
        <w:t xml:space="preserve"> Order</w:t>
      </w:r>
      <w:r w:rsidRPr="0071565D">
        <w:t>, 33 FCC Rcd at</w:t>
      </w:r>
      <w:r>
        <w:t xml:space="preserve"> 10416-22, paras. 33-44.</w:t>
      </w:r>
    </w:p>
  </w:footnote>
  <w:footnote w:id="32">
    <w:p w:rsidR="00375EF9" w:rsidP="00375EF9" w14:paraId="72D953C8" w14:textId="355D8BDE">
      <w:pPr>
        <w:pStyle w:val="FootnoteText"/>
      </w:pPr>
      <w:r>
        <w:rPr>
          <w:rStyle w:val="FootnoteReference"/>
        </w:rPr>
        <w:footnoteRef/>
      </w:r>
      <w:r>
        <w:t xml:space="preserve"> </w:t>
      </w:r>
      <w:r w:rsidRPr="00F55073">
        <w:rPr>
          <w:i/>
          <w:iCs/>
        </w:rPr>
        <w:t>Id</w:t>
      </w:r>
      <w:r>
        <w:t xml:space="preserve">. at 10409-10, 10444, 10447-51, paras. 16, 116, 125-37. </w:t>
      </w:r>
      <w:r w:rsidR="00837641">
        <w:t xml:space="preserve"> </w:t>
      </w:r>
      <w:r>
        <w:t xml:space="preserve">The Commission defined the term “Cost Assignment Rules” to include various rules from Parts 32, 63, 64, 65, and 69 of the Commission’s rules and section 220(a)(2) of the Act.  </w:t>
      </w:r>
      <w:r w:rsidRPr="00F55073">
        <w:rPr>
          <w:i/>
          <w:iCs/>
        </w:rPr>
        <w:t>Id</w:t>
      </w:r>
      <w:r>
        <w:t>. at 10447, para. 126, n.325.</w:t>
      </w:r>
    </w:p>
  </w:footnote>
  <w:footnote w:id="33">
    <w:p w:rsidR="00375EF9" w:rsidP="00375EF9" w14:paraId="167019A4" w14:textId="21423144">
      <w:pPr>
        <w:pStyle w:val="FootnoteText"/>
      </w:pPr>
      <w:r>
        <w:rPr>
          <w:rStyle w:val="FootnoteReference"/>
        </w:rPr>
        <w:footnoteRef/>
      </w:r>
      <w:r>
        <w:t xml:space="preserve"> </w:t>
      </w:r>
      <w:r>
        <w:rPr>
          <w:i/>
          <w:iCs/>
        </w:rPr>
        <w:t>Id.</w:t>
      </w:r>
      <w:r w:rsidRPr="0071565D">
        <w:t xml:space="preserve"> at</w:t>
      </w:r>
      <w:r w:rsidRPr="00FC3D2E">
        <w:t xml:space="preserve"> 10422</w:t>
      </w:r>
      <w:r>
        <w:t>-26</w:t>
      </w:r>
      <w:r w:rsidRPr="00FC3D2E">
        <w:t>, para</w:t>
      </w:r>
      <w:r>
        <w:t>s</w:t>
      </w:r>
      <w:r w:rsidRPr="00FC3D2E">
        <w:t>. 45</w:t>
      </w:r>
      <w:r>
        <w:t xml:space="preserve">-59; </w:t>
      </w:r>
      <w:r w:rsidRPr="00FC3D2E">
        <w:rPr>
          <w:i/>
          <w:iCs/>
        </w:rPr>
        <w:t>see</w:t>
      </w:r>
      <w:r>
        <w:rPr>
          <w:i/>
          <w:iCs/>
        </w:rPr>
        <w:t xml:space="preserve"> </w:t>
      </w:r>
      <w:r w:rsidRPr="00FC3D2E">
        <w:rPr>
          <w:i/>
          <w:iCs/>
        </w:rPr>
        <w:t>Jurisdictional Separations and Referral to the Federal-State Joint Board</w:t>
      </w:r>
      <w:r w:rsidRPr="00FC3D2E">
        <w:t xml:space="preserve">, CC Docket No. 80-286, Report and Order, </w:t>
      </w:r>
      <w:r w:rsidRPr="00645C57" w:rsidR="00645C57">
        <w:t>39 FCC Rcd 12713</w:t>
      </w:r>
      <w:r w:rsidR="00645C57">
        <w:t>, 12717</w:t>
      </w:r>
      <w:r>
        <w:t>, para. 14</w:t>
      </w:r>
      <w:r w:rsidRPr="00FC3D2E">
        <w:t xml:space="preserve"> (</w:t>
      </w:r>
      <w:r>
        <w:t>2024</w:t>
      </w:r>
      <w:r w:rsidRPr="00FC3D2E">
        <w:t>)</w:t>
      </w:r>
      <w:r>
        <w:t xml:space="preserve"> </w:t>
      </w:r>
      <w:r w:rsidRPr="0075418B">
        <w:t xml:space="preserve">(extending the part 36 jurisdictional separations freeze for up to six years until December 31, </w:t>
      </w:r>
      <w:r>
        <w:t>2030, if necessary</w:t>
      </w:r>
      <w:r w:rsidRPr="0075418B">
        <w:t>)</w:t>
      </w:r>
      <w:r>
        <w:t>.</w:t>
      </w:r>
    </w:p>
  </w:footnote>
  <w:footnote w:id="34">
    <w:p w:rsidR="00375EF9" w:rsidP="00375EF9" w14:paraId="65947753" w14:textId="6270711F">
      <w:pPr>
        <w:pStyle w:val="FootnoteText"/>
      </w:pPr>
      <w:r>
        <w:rPr>
          <w:rStyle w:val="FootnoteReference"/>
        </w:rPr>
        <w:footnoteRef/>
      </w:r>
      <w:r>
        <w:t xml:space="preserve"> </w:t>
      </w:r>
      <w:r w:rsidRPr="0059298E">
        <w:rPr>
          <w:i/>
          <w:iCs/>
        </w:rPr>
        <w:t>Rate-of-Return BDS Order</w:t>
      </w:r>
      <w:r w:rsidRPr="0059298E">
        <w:t>, 33 FCC Rcd at 10413, para. 2</w:t>
      </w:r>
      <w:r>
        <w:t>2; 47 CFR 61.50(a) (“A rate-of-return carrier may elect to offer business data services subject to incentive regulation pursuant to this section [section 61.50] only if all affiliated rate-of-return carriers meeting the requirements of…[section 61.50(b)]…make the election.”).</w:t>
      </w:r>
    </w:p>
  </w:footnote>
  <w:footnote w:id="35">
    <w:p w:rsidR="00375EF9" w:rsidP="00375EF9" w14:paraId="0BB2A7B0" w14:textId="77777777">
      <w:pPr>
        <w:pStyle w:val="FootnoteText"/>
      </w:pPr>
      <w:r>
        <w:rPr>
          <w:rStyle w:val="FootnoteReference"/>
        </w:rPr>
        <w:footnoteRef/>
      </w:r>
      <w:r>
        <w:t xml:space="preserve"> </w:t>
      </w:r>
      <w:r w:rsidRPr="0059298E">
        <w:rPr>
          <w:i/>
          <w:iCs/>
        </w:rPr>
        <w:t>Rate-of-Return BDS Order</w:t>
      </w:r>
      <w:r w:rsidRPr="0059298E">
        <w:t>, 33 FCC Rcd at 10413, para. 2</w:t>
      </w:r>
      <w:r>
        <w:t>5.</w:t>
      </w:r>
    </w:p>
  </w:footnote>
  <w:footnote w:id="36">
    <w:p w:rsidR="00375EF9" w:rsidP="00375EF9" w14:paraId="5FD7BA11" w14:textId="27DB9D86">
      <w:pPr>
        <w:pStyle w:val="FootnoteText"/>
      </w:pPr>
      <w:r>
        <w:rPr>
          <w:rStyle w:val="FootnoteReference"/>
        </w:rPr>
        <w:footnoteRef/>
      </w:r>
      <w:r>
        <w:t xml:space="preserve"> </w:t>
      </w:r>
      <w:r w:rsidR="00DB42EB">
        <w:rPr>
          <w:i/>
          <w:iCs/>
        </w:rPr>
        <w:t>Id.</w:t>
      </w:r>
      <w:r w:rsidRPr="001A48A3">
        <w:t xml:space="preserve"> </w:t>
      </w:r>
      <w:r>
        <w:t xml:space="preserve">at 10452, para. 143. </w:t>
      </w:r>
    </w:p>
  </w:footnote>
  <w:footnote w:id="37">
    <w:p w:rsidR="00375EF9" w:rsidP="00375EF9" w14:paraId="720A01AE" w14:textId="77777777">
      <w:pPr>
        <w:pStyle w:val="FootnoteText"/>
      </w:pPr>
      <w:r>
        <w:rPr>
          <w:rStyle w:val="FootnoteReference"/>
        </w:rPr>
        <w:footnoteRef/>
      </w:r>
      <w:r>
        <w:t xml:space="preserve"> </w:t>
      </w:r>
      <w:r w:rsidRPr="00737B72">
        <w:rPr>
          <w:i/>
          <w:iCs/>
        </w:rPr>
        <w:t>Id</w:t>
      </w:r>
      <w:r>
        <w:t xml:space="preserve">. at 10452-53, paras. 140-45; 47 CFR § 61.50(k)(3). </w:t>
      </w:r>
    </w:p>
  </w:footnote>
  <w:footnote w:id="38">
    <w:p w:rsidR="00375EF9" w:rsidP="00375EF9" w14:paraId="04EF5272" w14:textId="2F36D308">
      <w:pPr>
        <w:pStyle w:val="FootnoteText"/>
      </w:pPr>
      <w:r>
        <w:rPr>
          <w:rStyle w:val="FootnoteReference"/>
        </w:rPr>
        <w:footnoteRef/>
      </w:r>
      <w:r>
        <w:t xml:space="preserve"> </w:t>
      </w:r>
      <w:r w:rsidRPr="003D348D" w:rsidR="003D348D">
        <w:rPr>
          <w:i/>
        </w:rPr>
        <w:t>Rate-of-Return BDS Order</w:t>
      </w:r>
      <w:r w:rsidRPr="000E7665" w:rsidR="003D348D">
        <w:rPr>
          <w:iCs/>
        </w:rPr>
        <w:t>, 33 FCC Rcd at</w:t>
      </w:r>
      <w:r w:rsidRPr="003F6B21" w:rsidR="003D348D">
        <w:rPr>
          <w:i/>
        </w:rPr>
        <w:t xml:space="preserve"> </w:t>
      </w:r>
      <w:r>
        <w:t xml:space="preserve">10452, paras. 142-43. </w:t>
      </w:r>
    </w:p>
  </w:footnote>
  <w:footnote w:id="39">
    <w:p w:rsidR="00375EF9" w:rsidP="00375EF9" w14:paraId="6C3A97FC" w14:textId="6B518B03">
      <w:pPr>
        <w:pStyle w:val="FootnoteText"/>
      </w:pPr>
      <w:r>
        <w:rPr>
          <w:rStyle w:val="FootnoteReference"/>
        </w:rPr>
        <w:footnoteRef/>
      </w:r>
      <w:r>
        <w:t xml:space="preserve"> </w:t>
      </w:r>
      <w:r w:rsidRPr="00685256">
        <w:rPr>
          <w:i/>
          <w:iCs/>
        </w:rPr>
        <w:t>Rate-of-Return BDS Order</w:t>
      </w:r>
      <w:r>
        <w:t xml:space="preserve">, 33 FCC Rcd at 10445, para. 119; </w:t>
      </w:r>
      <w:r w:rsidRPr="00685256">
        <w:t>47 CFR § 61.50(d)</w:t>
      </w:r>
      <w:r>
        <w:t xml:space="preserve">. </w:t>
      </w:r>
      <w:r w:rsidR="005859FB">
        <w:t xml:space="preserve"> </w:t>
      </w:r>
      <w:r>
        <w:t xml:space="preserve">The NECA traffic-sensitive pool is contained in NECA F.C.C. Tariff No. 5. </w:t>
      </w:r>
      <w:r w:rsidR="004C6D11">
        <w:t xml:space="preserve"> </w:t>
      </w:r>
      <w:r>
        <w:t xml:space="preserve">Other BDS offerings are contained in NECA F.C.C. Tariff No. 6. </w:t>
      </w:r>
    </w:p>
  </w:footnote>
  <w:footnote w:id="40">
    <w:p w:rsidR="005B2ACD" w:rsidP="005B2ACD" w14:paraId="33FFA58B" w14:textId="0725487C">
      <w:pPr>
        <w:pStyle w:val="FootnoteText"/>
      </w:pPr>
      <w:r>
        <w:rPr>
          <w:rStyle w:val="FootnoteReference"/>
        </w:rPr>
        <w:footnoteRef/>
      </w:r>
      <w:r>
        <w:t xml:space="preserve"> </w:t>
      </w:r>
      <w:r w:rsidR="00CD0CD2">
        <w:rPr>
          <w:i/>
          <w:iCs/>
        </w:rPr>
        <w:t>2025 BDS NPRM</w:t>
      </w:r>
      <w:r w:rsidR="00153A44">
        <w:t>, 4</w:t>
      </w:r>
      <w:r w:rsidR="00D63E33">
        <w:t>0</w:t>
      </w:r>
      <w:r w:rsidR="00153A44">
        <w:t xml:space="preserve"> FCC Rcd </w:t>
      </w:r>
      <w:r w:rsidR="00CD0CD2">
        <w:t xml:space="preserve">at </w:t>
      </w:r>
      <w:r w:rsidR="00153A44">
        <w:t>62</w:t>
      </w:r>
      <w:r w:rsidR="00CD0CD2">
        <w:t>82-95, paras. 16-66</w:t>
      </w:r>
      <w:r w:rsidR="00153A44">
        <w:t xml:space="preserve"> (2025).</w:t>
      </w:r>
    </w:p>
  </w:footnote>
  <w:footnote w:id="41">
    <w:p w:rsidR="001C26E2" w14:paraId="026495A7" w14:textId="6CFC2763">
      <w:pPr>
        <w:pStyle w:val="FootnoteText"/>
      </w:pPr>
      <w:r>
        <w:rPr>
          <w:rStyle w:val="FootnoteReference"/>
        </w:rPr>
        <w:footnoteRef/>
      </w:r>
      <w:r>
        <w:t xml:space="preserve"> </w:t>
      </w:r>
      <w:r w:rsidRPr="000E7665" w:rsidR="00AD465C">
        <w:rPr>
          <w:i/>
          <w:iCs/>
        </w:rPr>
        <w:t>Reforming Legacy Rules for an All-IP Future; Accelerating Network Modernization</w:t>
      </w:r>
      <w:r w:rsidR="00AD465C">
        <w:t xml:space="preserve">, WC Docket Nos. 25-311, 25-208, Notice of Proposed Rulemaking, FCC 26-11 (rel. Feb. 19, 2026).  </w:t>
      </w:r>
    </w:p>
  </w:footnote>
  <w:footnote w:id="42">
    <w:p w:rsidR="005B2ACD" w14:paraId="6C827F1F" w14:textId="329612CF">
      <w:pPr>
        <w:pStyle w:val="FootnoteText"/>
      </w:pPr>
      <w:r>
        <w:rPr>
          <w:rStyle w:val="FootnoteReference"/>
        </w:rPr>
        <w:footnoteRef/>
      </w:r>
      <w:r>
        <w:t xml:space="preserve"> </w:t>
      </w:r>
      <w:r w:rsidR="003A08FD">
        <w:t xml:space="preserve">FCC, Reforming Legacy Rules for an All-IP Future; Accelerating Network Modernization, 91 Fed. Reg. 14408 (Mar. 24, 2026).  </w:t>
      </w:r>
    </w:p>
  </w:footnote>
  <w:footnote w:id="43">
    <w:p w:rsidR="00375EF9" w:rsidRPr="00086E2E" w:rsidP="00375EF9" w14:paraId="1EE57DB5" w14:textId="743686BF">
      <w:pPr>
        <w:pStyle w:val="FootnoteText"/>
      </w:pPr>
      <w:r w:rsidRPr="00086E2E">
        <w:rPr>
          <w:rStyle w:val="FootnoteReference"/>
        </w:rPr>
        <w:footnoteRef/>
      </w:r>
      <w:r w:rsidRPr="00086E2E">
        <w:t xml:space="preserve"> </w:t>
      </w:r>
      <w:r w:rsidRPr="00F9540C">
        <w:t>47 CFR</w:t>
      </w:r>
      <w:r w:rsidRPr="00086E2E">
        <w:t xml:space="preserve"> § 69.3(a).  </w:t>
      </w:r>
    </w:p>
  </w:footnote>
  <w:footnote w:id="44">
    <w:p w:rsidR="009303BB" w14:paraId="61F82D59" w14:textId="4AC65F6F">
      <w:pPr>
        <w:pStyle w:val="FootnoteText"/>
      </w:pPr>
      <w:r>
        <w:rPr>
          <w:rStyle w:val="FootnoteReference"/>
        </w:rPr>
        <w:footnoteRef/>
      </w:r>
      <w:r>
        <w:t xml:space="preserve"> </w:t>
      </w:r>
      <w:r w:rsidRPr="003F6B21">
        <w:rPr>
          <w:i/>
          <w:iCs/>
        </w:rPr>
        <w:t>Id</w:t>
      </w:r>
      <w:r>
        <w:t>. § 69.3</w:t>
      </w:r>
      <w:r w:rsidRPr="009303BB">
        <w:t>(h)</w:t>
      </w:r>
      <w:r w:rsidR="004D5D9D">
        <w:t>.</w:t>
      </w:r>
    </w:p>
  </w:footnote>
  <w:footnote w:id="45">
    <w:p w:rsidR="004D5D9D" w14:paraId="4C21D2C2" w14:textId="07574ECA">
      <w:pPr>
        <w:pStyle w:val="FootnoteText"/>
      </w:pPr>
      <w:r>
        <w:rPr>
          <w:rStyle w:val="FootnoteReference"/>
        </w:rPr>
        <w:footnoteRef/>
      </w:r>
      <w:r>
        <w:t xml:space="preserve"> </w:t>
      </w:r>
      <w:r w:rsidRPr="0065373A">
        <w:rPr>
          <w:i/>
          <w:iCs/>
        </w:rPr>
        <w:t>Id</w:t>
      </w:r>
      <w:r>
        <w:t xml:space="preserve">. § 69.3(a), </w:t>
      </w:r>
      <w:r w:rsidRPr="009303BB">
        <w:t>(h)</w:t>
      </w:r>
      <w:r>
        <w:t>.</w:t>
      </w:r>
    </w:p>
  </w:footnote>
  <w:footnote w:id="46">
    <w:p w:rsidR="00375EF9" w:rsidRPr="00086E2E" w:rsidP="00375EF9" w14:paraId="6514569A" w14:textId="37E45F92">
      <w:pPr>
        <w:pStyle w:val="FootnoteText"/>
      </w:pPr>
      <w:r w:rsidRPr="00086E2E">
        <w:rPr>
          <w:rStyle w:val="FootnoteReference"/>
        </w:rPr>
        <w:footnoteRef/>
      </w:r>
      <w:r w:rsidRPr="00086E2E">
        <w:t xml:space="preserve"> </w:t>
      </w:r>
      <w:r w:rsidRPr="00086E2E">
        <w:rPr>
          <w:i/>
          <w:iCs/>
        </w:rPr>
        <w:t>See, e.g.</w:t>
      </w:r>
      <w:r w:rsidRPr="00086E2E">
        <w:t>,</w:t>
      </w:r>
      <w:r w:rsidR="00D63E33">
        <w:rPr>
          <w:i/>
          <w:iCs/>
        </w:rPr>
        <w:t>2025 TRP Order</w:t>
      </w:r>
      <w:r w:rsidRPr="003F6B21" w:rsidR="00D63E33">
        <w:t xml:space="preserve">, </w:t>
      </w:r>
      <w:r w:rsidRPr="000E7665" w:rsidR="00D63E33">
        <w:t>40 FCC Rcd at 3064, para. 9</w:t>
      </w:r>
      <w:r w:rsidRPr="00086E2E">
        <w:t>;</w:t>
      </w:r>
      <w:r w:rsidRPr="00086E2E">
        <w:rPr>
          <w:i/>
          <w:iCs/>
        </w:rPr>
        <w:t xml:space="preserve"> see also </w:t>
      </w:r>
      <w:r w:rsidRPr="00086E2E">
        <w:t xml:space="preserve">47 CFR § 1.3 (“Any provision of the rules may be waived by the Commission on its own motion or on petition if good cause therefore is shown.”); </w:t>
      </w:r>
      <w:r w:rsidRPr="00086E2E">
        <w:rPr>
          <w:i/>
        </w:rPr>
        <w:t>Northeast Cellular Telephone Co. v. FCC</w:t>
      </w:r>
      <w:r w:rsidRPr="00086E2E">
        <w:t>, 897 F.2d 1164, 1166 (D.C. Cir. 1969) (</w:t>
      </w:r>
      <w:r w:rsidRPr="00EC630A">
        <w:rPr>
          <w:i/>
          <w:iCs/>
        </w:rPr>
        <w:t>Northeast Cellular</w:t>
      </w:r>
      <w:r w:rsidRPr="00086E2E">
        <w:t>) (</w:t>
      </w:r>
      <w:r w:rsidRPr="00086E2E">
        <w:rPr>
          <w:iCs/>
        </w:rPr>
        <w:t>citing</w:t>
      </w:r>
      <w:r w:rsidRPr="00086E2E">
        <w:rPr>
          <w:i/>
        </w:rPr>
        <w:t xml:space="preserve"> WAIT Radio v. FCC</w:t>
      </w:r>
      <w:r w:rsidRPr="00086E2E">
        <w:t>, 418 F.2d 1153, 1159 (D.C. Cir. 1969) (</w:t>
      </w:r>
      <w:r w:rsidRPr="00EC630A">
        <w:rPr>
          <w:i/>
          <w:iCs/>
        </w:rPr>
        <w:t>WAIT Radio</w:t>
      </w:r>
      <w:r w:rsidRPr="00086E2E">
        <w:t xml:space="preserve">)) (explaining that waivers must show special circumstances warranting a deviation from the general rule, and show such a deviation will serve the public interest). </w:t>
      </w:r>
    </w:p>
  </w:footnote>
  <w:footnote w:id="47">
    <w:p w:rsidR="00EE2B13" w:rsidP="009A0FCC" w14:paraId="3D70ACC3" w14:textId="77CEE0F7">
      <w:pPr>
        <w:pStyle w:val="FootnoteText"/>
      </w:pPr>
      <w:r>
        <w:rPr>
          <w:rStyle w:val="FootnoteReference"/>
        </w:rPr>
        <w:footnoteRef/>
      </w:r>
      <w:r>
        <w:t xml:space="preserve"> </w:t>
      </w:r>
      <w:r w:rsidR="009A0FCC">
        <w:t>Exogenous costs are those costs incurred by the carrier that are “triggered by administrative, legislative or judicial</w:t>
      </w:r>
      <w:r w:rsidR="00271C2D">
        <w:t xml:space="preserve"> </w:t>
      </w:r>
      <w:r w:rsidR="009A0FCC">
        <w:t>action beyond the control of the carriers…that should result in an adjustment to the cap in order to ensure that the</w:t>
      </w:r>
      <w:r w:rsidR="00271C2D">
        <w:t xml:space="preserve"> </w:t>
      </w:r>
      <w:r w:rsidR="009A0FCC">
        <w:t xml:space="preserve">price cap formula does not lead to unreasonably high or unreasonably low rates.” </w:t>
      </w:r>
      <w:r w:rsidR="00FA2210">
        <w:t xml:space="preserve"> </w:t>
      </w:r>
      <w:r w:rsidRPr="00FE0EF6" w:rsidR="009A0FCC">
        <w:rPr>
          <w:i/>
          <w:iCs/>
        </w:rPr>
        <w:t>Policy and Rules Concerning</w:t>
      </w:r>
      <w:r w:rsidRPr="00FE0EF6" w:rsidR="00271C2D">
        <w:rPr>
          <w:i/>
          <w:iCs/>
        </w:rPr>
        <w:t xml:space="preserve"> </w:t>
      </w:r>
      <w:r w:rsidRPr="00FE0EF6" w:rsidR="009A0FCC">
        <w:rPr>
          <w:i/>
          <w:iCs/>
        </w:rPr>
        <w:t>Rates for Dominant Carriers</w:t>
      </w:r>
      <w:r w:rsidR="009A0FCC">
        <w:t>, CC Docket No. 87-313, Second Report and Order, 5 FCC Rcd 6786, 6807, para. 166</w:t>
      </w:r>
      <w:r w:rsidR="00271C2D">
        <w:t xml:space="preserve"> </w:t>
      </w:r>
      <w:r w:rsidR="009A0FCC">
        <w:t xml:space="preserve">(1990); </w:t>
      </w:r>
      <w:r w:rsidRPr="00FE0EF6" w:rsidR="009A0FCC">
        <w:rPr>
          <w:i/>
          <w:iCs/>
        </w:rPr>
        <w:t>see generally id</w:t>
      </w:r>
      <w:r w:rsidR="009A0FCC">
        <w:t>. at 6808-10, paras. 166-90.</w:t>
      </w:r>
    </w:p>
  </w:footnote>
  <w:footnote w:id="48">
    <w:p w:rsidR="00375EF9" w:rsidP="00375EF9" w14:paraId="584B4795" w14:textId="77777777">
      <w:pPr>
        <w:pStyle w:val="FootnoteText"/>
      </w:pPr>
      <w:r>
        <w:rPr>
          <w:rStyle w:val="FootnoteReference"/>
        </w:rPr>
        <w:footnoteRef/>
      </w:r>
      <w:r>
        <w:t xml:space="preserve"> </w:t>
      </w:r>
      <w:r w:rsidRPr="002840F3">
        <w:rPr>
          <w:i/>
          <w:iCs/>
        </w:rPr>
        <w:t xml:space="preserve">See </w:t>
      </w:r>
      <w:r>
        <w:t xml:space="preserve">47 CFR §§ 69.104(s), 69.115(f), 69.130(b). </w:t>
      </w:r>
    </w:p>
  </w:footnote>
  <w:footnote w:id="49">
    <w:p w:rsidR="00375EF9" w:rsidP="00375EF9" w14:paraId="5B05FFB6" w14:textId="77777777">
      <w:pPr>
        <w:pStyle w:val="FootnoteText"/>
      </w:pPr>
      <w:r>
        <w:rPr>
          <w:rStyle w:val="FootnoteReference"/>
        </w:rPr>
        <w:footnoteRef/>
      </w:r>
      <w:r>
        <w:t xml:space="preserve"> </w:t>
      </w:r>
      <w:r w:rsidRPr="006A4724">
        <w:rPr>
          <w:i/>
          <w:iCs/>
        </w:rPr>
        <w:t xml:space="preserve">See </w:t>
      </w:r>
      <w:r>
        <w:rPr>
          <w:i/>
          <w:iCs/>
        </w:rPr>
        <w:t>Material to be Filed in Support of 2012 Annual Access Tariff Filings</w:t>
      </w:r>
      <w:r w:rsidRPr="002840F3">
        <w:t>,</w:t>
      </w:r>
      <w:r>
        <w:t xml:space="preserve"> WCB Pricing File No. 12-08, Order,</w:t>
      </w:r>
      <w:r w:rsidRPr="002840F3">
        <w:t xml:space="preserve"> 32</w:t>
      </w:r>
      <w:r>
        <w:t xml:space="preserve"> FCC Rcd 3960, 3962-63, paras. 6-7 (WCB/PPD 2012).</w:t>
      </w:r>
    </w:p>
  </w:footnote>
  <w:footnote w:id="50">
    <w:p w:rsidR="00375EF9" w:rsidP="00375EF9" w14:paraId="102FC821" w14:textId="77777777">
      <w:pPr>
        <w:pStyle w:val="FootnoteText"/>
      </w:pPr>
      <w:r>
        <w:rPr>
          <w:rStyle w:val="FootnoteReference"/>
        </w:rPr>
        <w:footnoteRef/>
      </w:r>
      <w:r>
        <w:t xml:space="preserve"> </w:t>
      </w:r>
      <w:r w:rsidRPr="002840F3">
        <w:rPr>
          <w:i/>
          <w:iCs/>
        </w:rPr>
        <w:t>See</w:t>
      </w:r>
      <w:r>
        <w:t xml:space="preserve"> 47 CFR §§ 69.104(s), 69.115(f), 69.130(b). </w:t>
      </w:r>
    </w:p>
  </w:footnote>
  <w:footnote w:id="51">
    <w:p w:rsidR="00375EF9" w:rsidP="00375EF9" w14:paraId="141D59C1" w14:textId="77777777">
      <w:pPr>
        <w:pStyle w:val="FootnoteText"/>
      </w:pPr>
      <w:r>
        <w:rPr>
          <w:rStyle w:val="FootnoteReference"/>
        </w:rPr>
        <w:footnoteRef/>
      </w:r>
      <w:r>
        <w:t xml:space="preserve"> </w:t>
      </w:r>
      <w:r w:rsidRPr="00742571">
        <w:rPr>
          <w:i/>
          <w:iCs/>
        </w:rPr>
        <w:t>See</w:t>
      </w:r>
      <w:r>
        <w:t xml:space="preserve"> </w:t>
      </w:r>
      <w:r w:rsidRPr="001A48A3">
        <w:rPr>
          <w:i/>
          <w:iCs/>
        </w:rPr>
        <w:t>id.</w:t>
      </w:r>
      <w:r>
        <w:t xml:space="preserve"> § 51.917(e), (f).</w:t>
      </w:r>
    </w:p>
  </w:footnote>
  <w:footnote w:id="52">
    <w:p w:rsidR="00375EF9" w:rsidP="00375EF9" w14:paraId="45090AB1" w14:textId="59835D6C">
      <w:pPr>
        <w:pStyle w:val="FootnoteText"/>
      </w:pPr>
      <w:r>
        <w:rPr>
          <w:rStyle w:val="FootnoteReference"/>
        </w:rPr>
        <w:footnoteRef/>
      </w:r>
      <w:r>
        <w:t xml:space="preserve"> </w:t>
      </w:r>
      <w:r w:rsidRPr="00F02B46">
        <w:rPr>
          <w:i/>
          <w:iCs/>
        </w:rPr>
        <w:t>See</w:t>
      </w:r>
      <w:r>
        <w:t xml:space="preserve"> </w:t>
      </w:r>
      <w:r w:rsidR="009C5891">
        <w:rPr>
          <w:i/>
          <w:iCs/>
        </w:rPr>
        <w:t>2025 TRP Order</w:t>
      </w:r>
      <w:r w:rsidRPr="000E7665" w:rsidR="009C5891">
        <w:t>, 40 FCC Rcd at 3065, para. 13</w:t>
      </w:r>
      <w:r w:rsidRPr="009C5891">
        <w:t>.</w:t>
      </w:r>
    </w:p>
  </w:footnote>
  <w:footnote w:id="53">
    <w:p w:rsidR="00375EF9" w:rsidP="00375EF9" w14:paraId="06EC1061" w14:textId="77777777">
      <w:pPr>
        <w:pStyle w:val="FootnoteText"/>
      </w:pPr>
      <w:r>
        <w:rPr>
          <w:rStyle w:val="FootnoteReference"/>
        </w:rPr>
        <w:footnoteRef/>
      </w:r>
      <w:r>
        <w:t xml:space="preserve"> </w:t>
      </w:r>
      <w:r w:rsidRPr="002840F3">
        <w:rPr>
          <w:i/>
          <w:iCs/>
        </w:rPr>
        <w:t>See</w:t>
      </w:r>
      <w:r>
        <w:t xml:space="preserve"> 47 CFR § 51.917(d)(1)(vii) (requiring r</w:t>
      </w:r>
      <w:r w:rsidRPr="002060E4">
        <w:t>ate-of</w:t>
      </w:r>
      <w:r>
        <w:t>-r</w:t>
      </w:r>
      <w:r w:rsidRPr="002060E4">
        <w:t xml:space="preserve">eturn </w:t>
      </w:r>
      <w:r>
        <w:t>c</w:t>
      </w:r>
      <w:r w:rsidRPr="002060E4">
        <w:t>arrier</w:t>
      </w:r>
      <w:r>
        <w:t>s</w:t>
      </w:r>
      <w:r w:rsidRPr="002060E4">
        <w:t xml:space="preserve"> </w:t>
      </w:r>
      <w:r>
        <w:t xml:space="preserve">to reduce Eligible Recovery to the extent it receives duplicative recovery for </w:t>
      </w:r>
      <w:r w:rsidRPr="002060E4">
        <w:t xml:space="preserve">any costs or revenues </w:t>
      </w:r>
      <w:r>
        <w:t xml:space="preserve">from Eligible Recovery and another source).  </w:t>
      </w:r>
    </w:p>
  </w:footnote>
  <w:footnote w:id="54">
    <w:p w:rsidR="00375EF9" w:rsidP="00375EF9" w14:paraId="293D182E" w14:textId="7F49588B">
      <w:pPr>
        <w:pStyle w:val="FootnoteText"/>
      </w:pPr>
      <w:r>
        <w:rPr>
          <w:rStyle w:val="FootnoteReference"/>
        </w:rPr>
        <w:footnoteRef/>
      </w:r>
      <w:r>
        <w:t xml:space="preserve"> </w:t>
      </w:r>
      <w:r w:rsidRPr="00F02B46">
        <w:rPr>
          <w:i/>
          <w:iCs/>
        </w:rPr>
        <w:t>See</w:t>
      </w:r>
      <w:r>
        <w:t xml:space="preserve"> </w:t>
      </w:r>
      <w:r w:rsidR="00485B56">
        <w:rPr>
          <w:i/>
          <w:iCs/>
        </w:rPr>
        <w:t>2025 TRP Order</w:t>
      </w:r>
      <w:r w:rsidRPr="000E7665" w:rsidR="00485B56">
        <w:t xml:space="preserve">, 40 FCC Rcd at </w:t>
      </w:r>
      <w:r w:rsidRPr="000E7665" w:rsidR="00EA3EA4">
        <w:t>3064-65</w:t>
      </w:r>
      <w:r w:rsidRPr="000E7665" w:rsidR="00485B56">
        <w:t>, para. 1</w:t>
      </w:r>
      <w:r w:rsidRPr="000E7665" w:rsidR="00EA3EA4">
        <w:t>1</w:t>
      </w:r>
      <w:r w:rsidRPr="000E7665" w:rsidR="00485B56">
        <w:t>.</w:t>
      </w:r>
      <w:r w:rsidR="00485B56">
        <w:rPr>
          <w:i/>
          <w:iCs/>
        </w:rPr>
        <w:t xml:space="preserve"> </w:t>
      </w:r>
      <w:r>
        <w:t xml:space="preserve"> </w:t>
      </w:r>
    </w:p>
  </w:footnote>
  <w:footnote w:id="55">
    <w:p w:rsidR="00375EF9" w:rsidRPr="00086E2E" w:rsidP="00375EF9" w14:paraId="27D5665E" w14:textId="77777777">
      <w:pPr>
        <w:pStyle w:val="FootnoteText"/>
      </w:pPr>
      <w:r w:rsidRPr="00086E2E">
        <w:rPr>
          <w:rStyle w:val="FootnoteReference"/>
        </w:rPr>
        <w:footnoteRef/>
      </w:r>
      <w:r w:rsidRPr="00086E2E">
        <w:t xml:space="preserve"> </w:t>
      </w:r>
      <w:bookmarkStart w:id="29" w:name="_Hlk510184109"/>
      <w:r w:rsidRPr="00086E2E">
        <w:t>47 CFR §</w:t>
      </w:r>
      <w:bookmarkEnd w:id="29"/>
      <w:r>
        <w:t xml:space="preserve"> </w:t>
      </w:r>
      <w:r w:rsidRPr="00086E2E">
        <w:t>51.917(d)</w:t>
      </w:r>
      <w:r>
        <w:t>(1)</w:t>
      </w:r>
      <w:r w:rsidRPr="00086E2E">
        <w:t>(iv), (e).</w:t>
      </w:r>
    </w:p>
  </w:footnote>
  <w:footnote w:id="56">
    <w:p w:rsidR="00375EF9" w:rsidRPr="00086E2E" w:rsidP="00375EF9" w14:paraId="40C4ECD4" w14:textId="77777777">
      <w:pPr>
        <w:pStyle w:val="FootnoteText"/>
        <w:rPr>
          <w:i/>
        </w:rPr>
      </w:pPr>
      <w:r w:rsidRPr="00086E2E">
        <w:rPr>
          <w:rStyle w:val="FootnoteReference"/>
        </w:rPr>
        <w:footnoteRef/>
      </w:r>
      <w:r w:rsidRPr="00086E2E">
        <w:t xml:space="preserve"> </w:t>
      </w:r>
      <w:r w:rsidRPr="00086E2E">
        <w:rPr>
          <w:i/>
          <w:snapToGrid w:val="0"/>
        </w:rPr>
        <w:t>Rate-of-Return Reform Reconsideration Order</w:t>
      </w:r>
      <w:r w:rsidRPr="00086E2E">
        <w:t xml:space="preserve">, </w:t>
      </w:r>
      <w:bookmarkStart w:id="31" w:name="_Hlk6578425"/>
      <w:r w:rsidRPr="00086E2E">
        <w:t>33 FCC Rcd at 2403</w:t>
      </w:r>
      <w:bookmarkEnd w:id="31"/>
      <w:r w:rsidRPr="00086E2E">
        <w:t xml:space="preserve">, para. 13. </w:t>
      </w:r>
    </w:p>
  </w:footnote>
  <w:footnote w:id="57">
    <w:p w:rsidR="00375EF9" w:rsidRPr="00247011" w:rsidP="00375EF9" w14:paraId="5DBE6232" w14:textId="77777777">
      <w:pPr>
        <w:widowControl/>
        <w:autoSpaceDE w:val="0"/>
        <w:autoSpaceDN w:val="0"/>
        <w:adjustRightInd w:val="0"/>
        <w:spacing w:after="120"/>
        <w:rPr>
          <w:i/>
        </w:rPr>
      </w:pPr>
      <w:r w:rsidRPr="00086E2E">
        <w:rPr>
          <w:rStyle w:val="FootnoteReference"/>
        </w:rPr>
        <w:footnoteRef/>
      </w:r>
      <w:r w:rsidRPr="00EC630A">
        <w:rPr>
          <w:sz w:val="20"/>
        </w:rPr>
        <w:t xml:space="preserve"> </w:t>
      </w:r>
      <w:r w:rsidRPr="00EC630A">
        <w:rPr>
          <w:i/>
          <w:sz w:val="20"/>
        </w:rPr>
        <w:t>Id</w:t>
      </w:r>
      <w:r w:rsidRPr="00EC630A">
        <w:rPr>
          <w:sz w:val="20"/>
        </w:rPr>
        <w:t>. at 2402-03, paras. 9-13.</w:t>
      </w:r>
    </w:p>
  </w:footnote>
  <w:footnote w:id="58">
    <w:p w:rsidR="00375EF9" w:rsidRPr="00247011" w:rsidP="00375EF9" w14:paraId="6BCA088E" w14:textId="77777777">
      <w:pPr>
        <w:widowControl/>
        <w:autoSpaceDE w:val="0"/>
        <w:autoSpaceDN w:val="0"/>
        <w:adjustRightInd w:val="0"/>
        <w:spacing w:after="120"/>
        <w:rPr>
          <w:i/>
        </w:rPr>
      </w:pPr>
      <w:r w:rsidRPr="00086E2E">
        <w:rPr>
          <w:rStyle w:val="FootnoteReference"/>
        </w:rPr>
        <w:footnoteRef/>
      </w:r>
      <w:r w:rsidRPr="00086E2E">
        <w:rPr>
          <w:sz w:val="20"/>
        </w:rPr>
        <w:t xml:space="preserve"> </w:t>
      </w:r>
      <w:bookmarkStart w:id="32" w:name="_Hlk5114665"/>
      <w:r w:rsidRPr="00086E2E">
        <w:rPr>
          <w:i/>
          <w:sz w:val="20"/>
        </w:rPr>
        <w:t>Id</w:t>
      </w:r>
      <w:r w:rsidRPr="00086E2E">
        <w:rPr>
          <w:sz w:val="20"/>
        </w:rPr>
        <w:t>.</w:t>
      </w:r>
      <w:bookmarkEnd w:id="32"/>
      <w:r w:rsidRPr="00086E2E">
        <w:rPr>
          <w:snapToGrid/>
          <w:kern w:val="0"/>
          <w:sz w:val="20"/>
        </w:rPr>
        <w:t xml:space="preserve">  </w:t>
      </w:r>
    </w:p>
  </w:footnote>
  <w:footnote w:id="59">
    <w:p w:rsidR="00375EF9" w:rsidRPr="00086E2E" w:rsidP="00375EF9" w14:paraId="40B71B1C" w14:textId="77777777">
      <w:pPr>
        <w:pStyle w:val="FootnoteText"/>
      </w:pPr>
      <w:r w:rsidRPr="00086E2E">
        <w:rPr>
          <w:rStyle w:val="FootnoteReference"/>
        </w:rPr>
        <w:footnoteRef/>
      </w:r>
      <w:r w:rsidRPr="00086E2E">
        <w:t xml:space="preserve"> 47 CFR § 69.132(c) (“[T]he single-line rate or charge shall be computed by dividing one-twelfth of the projected annual revenue requirement for the Consumer Broadband-Only Loop category (net of the projected annual Connect America Fund Broadband Loop Support attributable to consumer broadband-only loops) by the projected average number of consumer broadband-only service lines in use during such annual period.”).</w:t>
      </w:r>
    </w:p>
  </w:footnote>
  <w:footnote w:id="60">
    <w:p w:rsidR="00375EF9" w:rsidRPr="00086E2E" w:rsidP="00375EF9" w14:paraId="4B97CDD3" w14:textId="77777777">
      <w:pPr>
        <w:pStyle w:val="FootnoteText"/>
      </w:pPr>
      <w:r w:rsidRPr="00086E2E">
        <w:rPr>
          <w:rStyle w:val="FootnoteReference"/>
        </w:rPr>
        <w:footnoteRef/>
      </w:r>
      <w:r w:rsidRPr="00086E2E">
        <w:t xml:space="preserve"> </w:t>
      </w:r>
      <w:r w:rsidRPr="00086E2E">
        <w:rPr>
          <w:i/>
        </w:rPr>
        <w:t>Rate-of-Return Reform Order</w:t>
      </w:r>
      <w:r w:rsidRPr="00086E2E">
        <w:t>, 31 FCC Rcd at 3161-62, para. 203.</w:t>
      </w:r>
    </w:p>
  </w:footnote>
  <w:footnote w:id="61">
    <w:p w:rsidR="00375EF9" w:rsidRPr="00086E2E" w:rsidP="00375EF9" w14:paraId="19BFEA87" w14:textId="77777777">
      <w:pPr>
        <w:pStyle w:val="FootnoteText"/>
      </w:pPr>
      <w:r w:rsidRPr="00086E2E">
        <w:rPr>
          <w:rStyle w:val="FootnoteReference"/>
        </w:rPr>
        <w:footnoteRef/>
      </w:r>
      <w:r w:rsidRPr="00086E2E">
        <w:t xml:space="preserve"> 47 CFR § 51.91</w:t>
      </w:r>
      <w:r>
        <w:t>7</w:t>
      </w:r>
      <w:r w:rsidRPr="00086E2E">
        <w:t xml:space="preserve">(f)(4); </w:t>
      </w:r>
      <w:r w:rsidRPr="00086E2E">
        <w:rPr>
          <w:i/>
          <w:iCs/>
        </w:rPr>
        <w:t>s</w:t>
      </w:r>
      <w:r w:rsidRPr="00086E2E">
        <w:rPr>
          <w:i/>
        </w:rPr>
        <w:t>ee Rate-of-Return Reform Order</w:t>
      </w:r>
      <w:r w:rsidRPr="00086E2E">
        <w:t>, 31 FCC Rcd at 3161-62, para. 203.</w:t>
      </w:r>
    </w:p>
  </w:footnote>
  <w:footnote w:id="62">
    <w:p w:rsidR="00375EF9" w:rsidRPr="00086E2E" w:rsidP="00375EF9" w14:paraId="7294EC78" w14:textId="77777777">
      <w:pPr>
        <w:pStyle w:val="FootnoteText"/>
      </w:pPr>
      <w:r w:rsidRPr="00086E2E">
        <w:rPr>
          <w:rStyle w:val="FootnoteReference"/>
        </w:rPr>
        <w:footnoteRef/>
      </w:r>
      <w:r w:rsidRPr="00086E2E">
        <w:t xml:space="preserve"> </w:t>
      </w:r>
      <w:r w:rsidRPr="00086E2E">
        <w:rPr>
          <w:i/>
          <w:snapToGrid w:val="0"/>
        </w:rPr>
        <w:t>Rate-of-Return Reform Reconsideration Order</w:t>
      </w:r>
      <w:r w:rsidRPr="00086E2E">
        <w:t xml:space="preserve">, 33 FCC Rcd at 2404, paras. 16-17; </w:t>
      </w:r>
      <w:r w:rsidRPr="00086E2E">
        <w:rPr>
          <w:i/>
        </w:rPr>
        <w:t xml:space="preserve">see </w:t>
      </w:r>
      <w:r w:rsidRPr="00086E2E">
        <w:t>47 CFR § 51.917(f).</w:t>
      </w:r>
    </w:p>
  </w:footnote>
  <w:footnote w:id="63">
    <w:p w:rsidR="00B449FC" w14:paraId="1A33B774" w14:textId="3BD6C1D6">
      <w:pPr>
        <w:pStyle w:val="FootnoteText"/>
      </w:pPr>
      <w:r>
        <w:rPr>
          <w:rStyle w:val="FootnoteReference"/>
        </w:rPr>
        <w:footnoteRef/>
      </w:r>
      <w:r>
        <w:t xml:space="preserve"> </w:t>
      </w:r>
      <w:r w:rsidRPr="00B449FC">
        <w:t>47 CFR §§ 61.43, 69.3(h), 61.58.</w:t>
      </w:r>
    </w:p>
  </w:footnote>
  <w:footnote w:id="64">
    <w:p w:rsidR="00B449FC" w14:paraId="7A4B030E" w14:textId="34B1DB2B">
      <w:pPr>
        <w:pStyle w:val="FootnoteText"/>
      </w:pPr>
      <w:r>
        <w:rPr>
          <w:rStyle w:val="FootnoteReference"/>
        </w:rPr>
        <w:footnoteRef/>
      </w:r>
      <w:r w:rsidRPr="003F6B21">
        <w:t xml:space="preserve"> </w:t>
      </w:r>
      <w:r w:rsidRPr="00415174">
        <w:rPr>
          <w:i/>
          <w:iCs/>
        </w:rPr>
        <w:t>Id</w:t>
      </w:r>
      <w:r w:rsidRPr="005B582B">
        <w:t>.</w:t>
      </w:r>
    </w:p>
  </w:footnote>
  <w:footnote w:id="65">
    <w:p w:rsidR="00375EF9" w:rsidRPr="00086E2E" w:rsidP="00375EF9" w14:paraId="533D7EAD" w14:textId="77777777">
      <w:pPr>
        <w:pStyle w:val="FootnoteText"/>
      </w:pPr>
      <w:r w:rsidRPr="00086E2E">
        <w:rPr>
          <w:rStyle w:val="FootnoteReference"/>
        </w:rPr>
        <w:footnoteRef/>
      </w:r>
      <w:r w:rsidRPr="00086E2E">
        <w:t xml:space="preserve"> 47 CFR § 51.915(e)-(f).</w:t>
      </w:r>
    </w:p>
  </w:footnote>
  <w:footnote w:id="66">
    <w:p w:rsidR="00375EF9" w:rsidRPr="00086E2E" w:rsidP="00375EF9" w14:paraId="79318FFB" w14:textId="77777777">
      <w:pPr>
        <w:pStyle w:val="FootnoteText"/>
      </w:pPr>
      <w:r w:rsidRPr="00086E2E">
        <w:rPr>
          <w:rStyle w:val="FootnoteReference"/>
        </w:rPr>
        <w:footnoteRef/>
      </w:r>
      <w:r w:rsidRPr="00086E2E">
        <w:t xml:space="preserve"> </w:t>
      </w:r>
      <w:r w:rsidRPr="00086E2E">
        <w:rPr>
          <w:i/>
        </w:rPr>
        <w:t xml:space="preserve">Id. </w:t>
      </w:r>
      <w:r w:rsidRPr="00086E2E">
        <w:t>§ 51.915(d).</w:t>
      </w:r>
    </w:p>
  </w:footnote>
  <w:footnote w:id="67">
    <w:p w:rsidR="00375EF9" w:rsidRPr="00086E2E" w:rsidP="00375EF9" w14:paraId="7D6D87EA" w14:textId="77777777">
      <w:pPr>
        <w:pStyle w:val="FootnoteText"/>
      </w:pPr>
      <w:r w:rsidRPr="00086E2E">
        <w:rPr>
          <w:rStyle w:val="FootnoteReference"/>
        </w:rPr>
        <w:footnoteRef/>
      </w:r>
      <w:r w:rsidRPr="00086E2E">
        <w:t xml:space="preserve"> </w:t>
      </w:r>
      <w:r w:rsidRPr="00086E2E">
        <w:rPr>
          <w:i/>
        </w:rPr>
        <w:t xml:space="preserve">Id. </w:t>
      </w:r>
      <w:r w:rsidRPr="00086E2E">
        <w:t>§ 51.915(d)</w:t>
      </w:r>
      <w:r>
        <w:t>(1)</w:t>
      </w:r>
      <w:r w:rsidRPr="00086E2E">
        <w:t>(viii).</w:t>
      </w:r>
    </w:p>
  </w:footnote>
  <w:footnote w:id="68">
    <w:p w:rsidR="00375EF9" w:rsidRPr="00086E2E" w:rsidP="00375EF9" w14:paraId="6E042666" w14:textId="77777777">
      <w:pPr>
        <w:pStyle w:val="FootnoteText"/>
        <w:tabs>
          <w:tab w:val="left" w:pos="-720"/>
        </w:tabs>
        <w:suppressAutoHyphens/>
        <w:rPr>
          <w:spacing w:val="-3"/>
        </w:rPr>
      </w:pPr>
      <w:r w:rsidRPr="00086E2E">
        <w:rPr>
          <w:rStyle w:val="FootnoteReference"/>
          <w:spacing w:val="-2"/>
        </w:rPr>
        <w:footnoteRef/>
      </w:r>
      <w:r w:rsidRPr="00086E2E">
        <w:rPr>
          <w:spacing w:val="-2"/>
        </w:rPr>
        <w:t xml:space="preserve"> The X-Factor is set pursuant to section 61.45 of the Commission’s rules.  </w:t>
      </w:r>
      <w:r w:rsidRPr="001A48A3">
        <w:rPr>
          <w:i/>
          <w:iCs/>
          <w:spacing w:val="-2"/>
        </w:rPr>
        <w:t>Id.</w:t>
      </w:r>
      <w:r w:rsidRPr="00086E2E">
        <w:rPr>
          <w:spacing w:val="-2"/>
        </w:rPr>
        <w:t xml:space="preserve"> </w:t>
      </w:r>
      <w:bookmarkStart w:id="38" w:name="_Hlk38993549"/>
      <w:r w:rsidRPr="00086E2E">
        <w:rPr>
          <w:spacing w:val="-2"/>
        </w:rPr>
        <w:t>§</w:t>
      </w:r>
      <w:bookmarkEnd w:id="38"/>
      <w:r w:rsidRPr="00086E2E">
        <w:rPr>
          <w:spacing w:val="-2"/>
        </w:rPr>
        <w:t> 61.45.</w:t>
      </w:r>
    </w:p>
  </w:footnote>
  <w:footnote w:id="69">
    <w:p w:rsidR="00E046C0" w:rsidP="00575C26" w14:paraId="51DEC1DE" w14:textId="6CA85E5D">
      <w:pPr>
        <w:pStyle w:val="FootnoteText"/>
      </w:pPr>
      <w:r>
        <w:rPr>
          <w:rStyle w:val="FootnoteReference"/>
        </w:rPr>
        <w:footnoteRef/>
      </w:r>
      <w:r>
        <w:t xml:space="preserve"> </w:t>
      </w:r>
      <w:bookmarkStart w:id="39" w:name="_Hlk197952352"/>
      <w:r w:rsidR="00E50D4A">
        <w:t xml:space="preserve">47 CFR § 61.45(a) </w:t>
      </w:r>
      <w:bookmarkEnd w:id="39"/>
      <w:r w:rsidR="00E50D4A">
        <w:t>(“Price cap local exchange carriers…shall maintain updated PCIs to reflect the effect of mid-year exogenous cost changes”)</w:t>
      </w:r>
      <w:r w:rsidR="00575C26">
        <w:t xml:space="preserve">; </w:t>
      </w:r>
      <w:r w:rsidRPr="00FE0EF6" w:rsidR="00575C26">
        <w:rPr>
          <w:i/>
          <w:iCs/>
        </w:rPr>
        <w:t>id</w:t>
      </w:r>
      <w:r w:rsidR="00575C26">
        <w:t xml:space="preserve">. </w:t>
      </w:r>
      <w:r w:rsidRPr="00575C26" w:rsidR="00575C26">
        <w:t>§§</w:t>
      </w:r>
      <w:r w:rsidR="00575C26">
        <w:t xml:space="preserve"> 61.45(b)(1)(i), (d)</w:t>
      </w:r>
      <w:r w:rsidR="00EE2B13">
        <w:t xml:space="preserve">.  </w:t>
      </w:r>
    </w:p>
  </w:footnote>
  <w:footnote w:id="70">
    <w:p w:rsidR="00E50D4A" w:rsidP="00E50D4A" w14:paraId="78C22105" w14:textId="016BD8DB">
      <w:pPr>
        <w:pStyle w:val="FootnoteText"/>
      </w:pPr>
      <w:r>
        <w:rPr>
          <w:rStyle w:val="FootnoteReference"/>
        </w:rPr>
        <w:footnoteRef/>
      </w:r>
      <w:r>
        <w:t xml:space="preserve"> </w:t>
      </w:r>
      <w:r w:rsidRPr="00FE0EF6" w:rsidR="00EE2B13">
        <w:rPr>
          <w:i/>
          <w:iCs/>
        </w:rPr>
        <w:t>See</w:t>
      </w:r>
      <w:r>
        <w:t xml:space="preserve"> 47 CFR §</w:t>
      </w:r>
      <w:r w:rsidR="00FE63DE">
        <w:t>§</w:t>
      </w:r>
      <w:r>
        <w:t xml:space="preserve"> 61.45(a), (b)(1)(</w:t>
      </w:r>
      <w:r w:rsidR="007C706F">
        <w:t>i</w:t>
      </w:r>
      <w:r>
        <w:t xml:space="preserve">), </w:t>
      </w:r>
      <w:r w:rsidR="001E02D5">
        <w:t xml:space="preserve">(c), </w:t>
      </w:r>
      <w:r>
        <w:t>(d)</w:t>
      </w:r>
      <w:r w:rsidR="00EE2B13">
        <w:t>.</w:t>
      </w:r>
    </w:p>
  </w:footnote>
  <w:footnote w:id="71">
    <w:p w:rsidR="007C706F" w14:paraId="2FF9E782" w14:textId="4A80B463">
      <w:pPr>
        <w:pStyle w:val="FootnoteText"/>
      </w:pPr>
      <w:r>
        <w:rPr>
          <w:rStyle w:val="FootnoteReference"/>
        </w:rPr>
        <w:footnoteRef/>
      </w:r>
      <w:r>
        <w:t xml:space="preserve"> </w:t>
      </w:r>
      <w:bookmarkStart w:id="42" w:name="_Hlk198020813"/>
      <w:r w:rsidRPr="00E87EF0" w:rsidR="00EE2B13">
        <w:rPr>
          <w:i/>
          <w:iCs/>
        </w:rPr>
        <w:t>See</w:t>
      </w:r>
      <w:r w:rsidR="00EE2B13">
        <w:t xml:space="preserve"> 47 CFR §</w:t>
      </w:r>
      <w:r w:rsidR="00FE63DE">
        <w:t>§</w:t>
      </w:r>
      <w:r w:rsidR="00EE2B13">
        <w:t xml:space="preserve"> 61.45(a), (b)(1)(i), </w:t>
      </w:r>
      <w:r w:rsidR="001E02D5">
        <w:t xml:space="preserve">(c), </w:t>
      </w:r>
      <w:r w:rsidR="00EE2B13">
        <w:t>(d).</w:t>
      </w:r>
      <w:bookmarkEnd w:id="42"/>
    </w:p>
  </w:footnote>
  <w:footnote w:id="72">
    <w:p w:rsidR="00304AB2" w14:paraId="7748CB99" w14:textId="49021D02">
      <w:pPr>
        <w:pStyle w:val="FootnoteText"/>
      </w:pPr>
      <w:r>
        <w:rPr>
          <w:rStyle w:val="FootnoteReference"/>
        </w:rPr>
        <w:footnoteRef/>
      </w:r>
      <w:r>
        <w:t xml:space="preserve"> </w:t>
      </w:r>
      <w:r w:rsidRPr="00FE0EF6">
        <w:rPr>
          <w:i/>
          <w:iCs/>
        </w:rPr>
        <w:t>See id</w:t>
      </w:r>
      <w:r>
        <w:t xml:space="preserve">. </w:t>
      </w:r>
    </w:p>
  </w:footnote>
  <w:footnote w:id="73">
    <w:p w:rsidR="009A0FCC" w14:paraId="7EB2C6F9" w14:textId="153D36AA">
      <w:pPr>
        <w:pStyle w:val="FootnoteText"/>
      </w:pPr>
      <w:r>
        <w:rPr>
          <w:rStyle w:val="FootnoteReference"/>
        </w:rPr>
        <w:footnoteRef/>
      </w:r>
      <w:r>
        <w:t xml:space="preserve"> </w:t>
      </w:r>
      <w:r w:rsidRPr="00FE0EF6">
        <w:rPr>
          <w:i/>
          <w:iCs/>
        </w:rPr>
        <w:t>See</w:t>
      </w:r>
      <w:r>
        <w:t xml:space="preserve"> </w:t>
      </w:r>
      <w:r w:rsidRPr="009A0FCC">
        <w:t>47 CFR § 61.45(a)</w:t>
      </w:r>
      <w:r>
        <w:t>.</w:t>
      </w:r>
    </w:p>
  </w:footnote>
  <w:footnote w:id="74">
    <w:p w:rsidR="00375EF9" w:rsidRPr="00086E2E" w:rsidP="00375EF9" w14:paraId="41CE3536" w14:textId="77777777">
      <w:pPr>
        <w:pStyle w:val="FootnoteText"/>
      </w:pPr>
      <w:r w:rsidRPr="00086E2E">
        <w:rPr>
          <w:rStyle w:val="FootnoteReference"/>
        </w:rPr>
        <w:footnoteRef/>
      </w:r>
      <w:r w:rsidRPr="00086E2E">
        <w:t xml:space="preserve"> </w:t>
      </w:r>
      <w:bookmarkStart w:id="47" w:name="_Hlk38993600"/>
      <w:r w:rsidRPr="009F6A41">
        <w:rPr>
          <w:i/>
          <w:iCs/>
        </w:rPr>
        <w:t>See</w:t>
      </w:r>
      <w:r>
        <w:t xml:space="preserve"> </w:t>
      </w:r>
      <w:r w:rsidRPr="00086E2E">
        <w:t xml:space="preserve">47 CFR § 1.1105.  </w:t>
      </w:r>
      <w:bookmarkEnd w:id="47"/>
    </w:p>
  </w:footnote>
  <w:footnote w:id="75">
    <w:p w:rsidR="00736803" w14:paraId="2827DD3D" w14:textId="66CBC524">
      <w:pPr>
        <w:pStyle w:val="FootnoteText"/>
      </w:pPr>
      <w:r>
        <w:rPr>
          <w:rStyle w:val="FootnoteReference"/>
        </w:rPr>
        <w:footnoteRef/>
      </w:r>
      <w:r>
        <w:t xml:space="preserve"> </w:t>
      </w:r>
      <w:r w:rsidRPr="00FE0EF6" w:rsidR="00AD28EF">
        <w:rPr>
          <w:i/>
          <w:iCs/>
        </w:rPr>
        <w:t xml:space="preserve">See </w:t>
      </w:r>
      <w:r w:rsidR="00AD28EF">
        <w:t xml:space="preserve">47 CFR §§ 61.43, 61.45-61.47. </w:t>
      </w:r>
    </w:p>
  </w:footnote>
  <w:footnote w:id="76">
    <w:p w:rsidR="00DE54DA" w14:paraId="6D0797A6" w14:textId="2E98767B">
      <w:pPr>
        <w:pStyle w:val="FootnoteText"/>
      </w:pPr>
      <w:r>
        <w:rPr>
          <w:rStyle w:val="FootnoteReference"/>
        </w:rPr>
        <w:footnoteRef/>
      </w:r>
      <w:r>
        <w:t xml:space="preserve"> </w:t>
      </w:r>
      <w:r w:rsidRPr="00FE0EF6" w:rsidR="009C17CD">
        <w:rPr>
          <w:i/>
          <w:iCs/>
        </w:rPr>
        <w:t xml:space="preserve">See </w:t>
      </w:r>
      <w:r w:rsidRPr="009C17CD" w:rsidR="009C17CD">
        <w:rPr>
          <w:i/>
          <w:iCs/>
        </w:rPr>
        <w:t>i</w:t>
      </w:r>
      <w:r w:rsidRPr="00FE0EF6" w:rsidR="009C17CD">
        <w:rPr>
          <w:i/>
          <w:iCs/>
        </w:rPr>
        <w:t>d</w:t>
      </w:r>
      <w:r w:rsidR="009C17CD">
        <w:t>.</w:t>
      </w:r>
    </w:p>
  </w:footnote>
  <w:footnote w:id="77">
    <w:p w:rsidR="00375EF9" w:rsidRPr="00086E2E" w:rsidP="00375EF9" w14:paraId="1EDC2D97" w14:textId="77777777">
      <w:pPr>
        <w:pStyle w:val="FootnoteText"/>
      </w:pPr>
      <w:r w:rsidRPr="00086E2E">
        <w:rPr>
          <w:rStyle w:val="FootnoteReference"/>
        </w:rPr>
        <w:footnoteRef/>
      </w:r>
      <w:r w:rsidRPr="00086E2E">
        <w:t xml:space="preserve"> </w:t>
      </w:r>
      <w:r w:rsidRPr="00086E2E">
        <w:rPr>
          <w:i/>
        </w:rPr>
        <w:t xml:space="preserve">See </w:t>
      </w:r>
      <w:r w:rsidRPr="00086E2E">
        <w:rPr>
          <w:i/>
          <w:iCs/>
        </w:rPr>
        <w:t>USF/ICC Transformation Order</w:t>
      </w:r>
      <w:r w:rsidRPr="00086E2E">
        <w:rPr>
          <w:iCs/>
        </w:rPr>
        <w:t>, 26 FCC Rcd 17663;</w:t>
      </w:r>
      <w:r>
        <w:t xml:space="preserve"> </w:t>
      </w:r>
      <w:r w:rsidRPr="001A48A3">
        <w:rPr>
          <w:i/>
          <w:iCs/>
        </w:rPr>
        <w:t>Business Data Services in an Internet Protocol Environment et al</w:t>
      </w:r>
      <w:r>
        <w:t xml:space="preserve">., WC Docket No. 16-143 et al., Report and Order, 32 FCC Rcd 3459 (2017), </w:t>
      </w:r>
      <w:r w:rsidRPr="001A48A3">
        <w:rPr>
          <w:i/>
          <w:iCs/>
        </w:rPr>
        <w:t>remanded in part sub nom</w:t>
      </w:r>
      <w:r>
        <w:t xml:space="preserve">., </w:t>
      </w:r>
      <w:r w:rsidRPr="001A48A3">
        <w:rPr>
          <w:i/>
          <w:iCs/>
        </w:rPr>
        <w:t xml:space="preserve">Citizens </w:t>
      </w:r>
      <w:r w:rsidRPr="001A48A3">
        <w:rPr>
          <w:i/>
          <w:iCs/>
        </w:rPr>
        <w:t>Telecomms</w:t>
      </w:r>
      <w:r w:rsidRPr="001A48A3">
        <w:rPr>
          <w:i/>
          <w:iCs/>
        </w:rPr>
        <w:t>. Co. of Minn., LLC v. FCC</w:t>
      </w:r>
      <w:r>
        <w:t xml:space="preserve">, 901 F.3d 991 (2018).  </w:t>
      </w:r>
    </w:p>
  </w:footnote>
  <w:footnote w:id="78">
    <w:p w:rsidR="00375EF9" w:rsidRPr="00086E2E" w:rsidP="00375EF9" w14:paraId="7FCDAC94" w14:textId="77777777">
      <w:pPr>
        <w:pStyle w:val="FootnoteText"/>
      </w:pPr>
      <w:r w:rsidRPr="00086E2E">
        <w:rPr>
          <w:rStyle w:val="FootnoteReference"/>
        </w:rPr>
        <w:footnoteRef/>
      </w:r>
      <w:r w:rsidRPr="00086E2E">
        <w:t xml:space="preserve"> </w:t>
      </w:r>
      <w:r w:rsidRPr="00086E2E">
        <w:rPr>
          <w:i/>
        </w:rPr>
        <w:t xml:space="preserve">See </w:t>
      </w:r>
      <w:r w:rsidRPr="00415174">
        <w:t>47 CFR</w:t>
      </w:r>
      <w:r w:rsidRPr="00086E2E">
        <w:t xml:space="preserve"> § 61.3</w:t>
      </w:r>
      <w:r>
        <w:t>8</w:t>
      </w:r>
      <w:r w:rsidRPr="00086E2E">
        <w:t>.</w:t>
      </w:r>
    </w:p>
  </w:footnote>
  <w:footnote w:id="79">
    <w:p w:rsidR="00375EF9" w:rsidP="00375EF9" w14:paraId="1062A8D9" w14:textId="77777777">
      <w:pPr>
        <w:pStyle w:val="FootnoteText"/>
      </w:pPr>
      <w:r>
        <w:rPr>
          <w:rStyle w:val="FootnoteReference"/>
        </w:rPr>
        <w:footnoteRef/>
      </w:r>
      <w:r>
        <w:t xml:space="preserve"> </w:t>
      </w:r>
      <w:r w:rsidRPr="00EC630A">
        <w:rPr>
          <w:i/>
          <w:iCs/>
        </w:rPr>
        <w:t>See generally</w:t>
      </w:r>
      <w:r>
        <w:t xml:space="preserve"> </w:t>
      </w:r>
      <w:r w:rsidRPr="00EC630A">
        <w:rPr>
          <w:i/>
          <w:iCs/>
        </w:rPr>
        <w:t>Rate-of-Return Reform Order</w:t>
      </w:r>
      <w:r>
        <w:t xml:space="preserve">, 31 FCC Rcd at 3094-3117, paras. 17-79 (adopting a voluntary path for rate-of-return incumbent LECs to elect model-based support for a term of 10 years in exchange for meeting defined build-out obligations); </w:t>
      </w:r>
      <w:r w:rsidRPr="00FA0F3E">
        <w:rPr>
          <w:i/>
        </w:rPr>
        <w:t>Connect America Fund et al</w:t>
      </w:r>
      <w:r>
        <w:t xml:space="preserve">., Report and Order and Further Notice of Proposed Rulemaking, 31 FCC Rcd 10139 (2016) (providing a one-time opportunity for Alaskan rate-of-return incumbent LECs to elect to receive support frozen at adjusted 2011 levels for a 10-year term in exchange for meeting individualized performance obligations). </w:t>
      </w:r>
    </w:p>
  </w:footnote>
  <w:footnote w:id="80">
    <w:p w:rsidR="00375EF9" w:rsidRPr="00086E2E" w:rsidP="00375EF9" w14:paraId="33F442B5" w14:textId="77777777">
      <w:pPr>
        <w:pStyle w:val="FootnoteText"/>
      </w:pPr>
      <w:r w:rsidRPr="00086E2E">
        <w:rPr>
          <w:rStyle w:val="FootnoteReference"/>
        </w:rPr>
        <w:footnoteRef/>
      </w:r>
      <w:r w:rsidRPr="00086E2E">
        <w:t xml:space="preserve"> </w:t>
      </w:r>
      <w:r w:rsidRPr="00086E2E">
        <w:rPr>
          <w:i/>
        </w:rPr>
        <w:t>See</w:t>
      </w:r>
      <w:r w:rsidRPr="00EC630A">
        <w:rPr>
          <w:i/>
        </w:rPr>
        <w:t xml:space="preserve"> </w:t>
      </w:r>
      <w:r w:rsidRPr="00086E2E">
        <w:t>47 CFR § 61.39.</w:t>
      </w:r>
    </w:p>
  </w:footnote>
  <w:footnote w:id="81">
    <w:p w:rsidR="00375EF9" w:rsidRPr="00086E2E" w:rsidP="00375EF9" w14:paraId="3CAFE43C" w14:textId="77777777">
      <w:pPr>
        <w:pStyle w:val="FootnoteText"/>
      </w:pPr>
      <w:r w:rsidRPr="00086E2E">
        <w:rPr>
          <w:rStyle w:val="FootnoteReference"/>
        </w:rPr>
        <w:footnoteRef/>
      </w:r>
      <w:r w:rsidRPr="00086E2E">
        <w:t xml:space="preserve"> </w:t>
      </w:r>
      <w:r w:rsidRPr="00086E2E">
        <w:rPr>
          <w:i/>
        </w:rPr>
        <w:t xml:space="preserve">See </w:t>
      </w:r>
      <w:r w:rsidRPr="001A48A3">
        <w:rPr>
          <w:i/>
          <w:iCs/>
        </w:rPr>
        <w:t>id</w:t>
      </w:r>
      <w:r>
        <w:t>.</w:t>
      </w:r>
      <w:r w:rsidRPr="00086E2E">
        <w:t xml:space="preserve"> §§ 51.909(b)-(</w:t>
      </w:r>
      <w:r>
        <w:t>j</w:t>
      </w:r>
      <w:r w:rsidRPr="00086E2E">
        <w:t>)</w:t>
      </w:r>
      <w:r>
        <w:t xml:space="preserve"> and (l)-(o)</w:t>
      </w:r>
      <w:r w:rsidRPr="00086E2E">
        <w:t>, 51.705(c)(</w:t>
      </w:r>
      <w:r>
        <w:t>5</w:t>
      </w:r>
      <w:r w:rsidRPr="00086E2E">
        <w:t>), 51.917(d).</w:t>
      </w:r>
    </w:p>
  </w:footnote>
  <w:footnote w:id="82">
    <w:p w:rsidR="00375EF9" w:rsidRPr="00086E2E" w:rsidP="00375EF9" w14:paraId="42D39A67" w14:textId="034E357C">
      <w:pPr>
        <w:pStyle w:val="FootnoteText"/>
      </w:pPr>
      <w:r w:rsidRPr="00086E2E">
        <w:rPr>
          <w:rStyle w:val="FootnoteReference"/>
        </w:rPr>
        <w:footnoteRef/>
      </w:r>
      <w:r w:rsidRPr="00086E2E">
        <w:t xml:space="preserve"> Carriers that calculate a weighted average business ARC rate rather than using separate single line business and multiline business ARC rates as part of the imputed ARC </w:t>
      </w:r>
      <w:r w:rsidR="005B321C">
        <w:t>revenue</w:t>
      </w:r>
      <w:r w:rsidR="00F17329">
        <w:t xml:space="preserve"> from projected CBOL</w:t>
      </w:r>
      <w:r w:rsidR="00EA70DE">
        <w:t xml:space="preserve"> line</w:t>
      </w:r>
      <w:r w:rsidR="00342113">
        <w:t>s</w:t>
      </w:r>
      <w:r w:rsidR="00F17329">
        <w:t xml:space="preserve"> </w:t>
      </w:r>
      <w:r w:rsidRPr="00086E2E">
        <w:t>calculation must explain this methodology in detail and submit the data and the calculations used to determine this weighted average rate.</w:t>
      </w:r>
    </w:p>
  </w:footnote>
  <w:footnote w:id="83">
    <w:p w:rsidR="00375EF9" w:rsidRPr="00086E2E" w:rsidP="00375EF9" w14:paraId="4AD73BA2" w14:textId="77777777">
      <w:pPr>
        <w:pStyle w:val="FootnoteText"/>
      </w:pPr>
      <w:r w:rsidRPr="00086E2E">
        <w:rPr>
          <w:rStyle w:val="FootnoteReference"/>
        </w:rPr>
        <w:footnoteRef/>
      </w:r>
      <w:r w:rsidRPr="00086E2E">
        <w:t xml:space="preserve"> </w:t>
      </w:r>
      <w:r w:rsidRPr="00086E2E">
        <w:rPr>
          <w:i/>
        </w:rPr>
        <w:t xml:space="preserve">See </w:t>
      </w:r>
      <w:r w:rsidRPr="00086E2E">
        <w:rPr>
          <w:i/>
          <w:iCs/>
        </w:rPr>
        <w:t>USF/ICC Transformation Order</w:t>
      </w:r>
      <w:r w:rsidRPr="00086E2E">
        <w:rPr>
          <w:iCs/>
        </w:rPr>
        <w:t>, 26 FCC Rcd at 17934-35, para. 801.</w:t>
      </w:r>
    </w:p>
  </w:footnote>
  <w:footnote w:id="84">
    <w:p w:rsidR="00375EF9" w:rsidRPr="00086E2E" w:rsidP="00375EF9" w14:paraId="3E178401" w14:textId="77777777">
      <w:pPr>
        <w:pStyle w:val="FootnoteText"/>
      </w:pPr>
      <w:r w:rsidRPr="00086E2E">
        <w:rPr>
          <w:rStyle w:val="FootnoteReference"/>
        </w:rPr>
        <w:footnoteRef/>
      </w:r>
      <w:r w:rsidRPr="00086E2E">
        <w:t xml:space="preserve"> </w:t>
      </w:r>
      <w:r w:rsidRPr="00086E2E">
        <w:rPr>
          <w:i/>
        </w:rPr>
        <w:t>See</w:t>
      </w:r>
      <w:r w:rsidRPr="00EC630A">
        <w:rPr>
          <w:i/>
        </w:rPr>
        <w:t xml:space="preserve"> </w:t>
      </w:r>
      <w:r w:rsidRPr="00086E2E">
        <w:t>47 CFR §§ 61.38, 61.39.</w:t>
      </w:r>
    </w:p>
  </w:footnote>
  <w:footnote w:id="85">
    <w:p w:rsidR="00375EF9" w:rsidRPr="00086E2E" w:rsidP="00375EF9" w14:paraId="272FDF26" w14:textId="77777777">
      <w:pPr>
        <w:pStyle w:val="FootnoteText"/>
      </w:pPr>
      <w:r w:rsidRPr="00086E2E">
        <w:rPr>
          <w:rStyle w:val="FootnoteReference"/>
        </w:rPr>
        <w:footnoteRef/>
      </w:r>
      <w:r w:rsidRPr="00086E2E">
        <w:t xml:space="preserve"> 47 CFR § 61.50.</w:t>
      </w:r>
    </w:p>
  </w:footnote>
  <w:footnote w:id="86">
    <w:p w:rsidR="00375EF9" w:rsidRPr="000E7665" w:rsidP="00375EF9" w14:paraId="729084E6" w14:textId="4F233E4C">
      <w:pPr>
        <w:pStyle w:val="FootnoteText"/>
        <w:rPr>
          <w:highlight w:val="yellow"/>
        </w:rPr>
      </w:pPr>
      <w:r w:rsidRPr="00F5462E">
        <w:rPr>
          <w:rStyle w:val="FootnoteReference"/>
        </w:rPr>
        <w:footnoteRef/>
      </w:r>
      <w:r w:rsidRPr="00F5462E">
        <w:t xml:space="preserve"> </w:t>
      </w:r>
      <w:r w:rsidR="00F5462E">
        <w:rPr>
          <w:i/>
          <w:iCs/>
        </w:rPr>
        <w:t>2025 TRP Order</w:t>
      </w:r>
      <w:r w:rsidRPr="000E7665" w:rsidR="00F5462E">
        <w:t xml:space="preserve">, 40 FCC Rcd at </w:t>
      </w:r>
      <w:r w:rsidR="00F5462E">
        <w:t>3073-74</w:t>
      </w:r>
      <w:r w:rsidRPr="000E7665" w:rsidR="00F5462E">
        <w:t xml:space="preserve">, para. </w:t>
      </w:r>
      <w:r w:rsidR="00F5462E">
        <w:t>42</w:t>
      </w:r>
      <w:r w:rsidRPr="00F5462E">
        <w:t>.</w:t>
      </w:r>
      <w:bookmarkStart w:id="54" w:name="_Hlk160525136"/>
      <w:r w:rsidRPr="00F5462E">
        <w:t xml:space="preserve">  </w:t>
      </w:r>
    </w:p>
    <w:bookmarkEnd w:id="54"/>
  </w:footnote>
  <w:footnote w:id="87">
    <w:p w:rsidR="00375EF9" w:rsidRPr="00074AA1" w:rsidP="00375EF9" w14:paraId="28FD97A4" w14:textId="7DB68ABD">
      <w:pPr>
        <w:pStyle w:val="FootnoteText"/>
      </w:pPr>
      <w:r w:rsidRPr="00074AA1">
        <w:rPr>
          <w:rStyle w:val="FootnoteReference"/>
        </w:rPr>
        <w:footnoteRef/>
      </w:r>
      <w:r w:rsidRPr="00074AA1">
        <w:t xml:space="preserve"> </w:t>
      </w:r>
      <w:r w:rsidRPr="000E7665" w:rsidR="0093039D">
        <w:rPr>
          <w:i/>
          <w:iCs/>
        </w:rPr>
        <w:t>Id.</w:t>
      </w:r>
      <w:r w:rsidRPr="00074AA1">
        <w:rPr>
          <w:i/>
          <w:iCs/>
        </w:rPr>
        <w:t xml:space="preserve">; see Wireline Competition Bureau Announces Posting of </w:t>
      </w:r>
      <w:r w:rsidR="00E7273E">
        <w:rPr>
          <w:i/>
          <w:iCs/>
        </w:rPr>
        <w:t>2025</w:t>
      </w:r>
      <w:r w:rsidRPr="00074AA1" w:rsidR="00E7273E">
        <w:rPr>
          <w:i/>
          <w:iCs/>
        </w:rPr>
        <w:t xml:space="preserve"> </w:t>
      </w:r>
      <w:r w:rsidRPr="00074AA1">
        <w:rPr>
          <w:i/>
          <w:iCs/>
        </w:rPr>
        <w:t>Tariff Review Plan for Exogenous Cost Filings by Rate-of-Return Carriers that Elected Incentive Regulation for Business Data Services</w:t>
      </w:r>
      <w:r w:rsidRPr="00074AA1">
        <w:t xml:space="preserve">, WC Docket Nos. 24-41, 17-144, Public Notice, </w:t>
      </w:r>
      <w:r w:rsidRPr="00074AA1" w:rsidR="00074AA1">
        <w:t>40 FCC Rcd 6862</w:t>
      </w:r>
      <w:r w:rsidR="001E5E91">
        <w:t xml:space="preserve"> </w:t>
      </w:r>
      <w:r w:rsidRPr="00074AA1">
        <w:t xml:space="preserve">(WCB </w:t>
      </w:r>
      <w:r w:rsidRPr="000E7665" w:rsidR="00074AA1">
        <w:t>2025</w:t>
      </w:r>
      <w:r w:rsidRPr="00074AA1">
        <w:t>)</w:t>
      </w:r>
      <w:r w:rsidR="00074AA1">
        <w:t>.</w:t>
      </w:r>
    </w:p>
  </w:footnote>
  <w:footnote w:id="88">
    <w:p w:rsidR="00375EF9" w:rsidP="00375EF9" w14:paraId="23AF3277" w14:textId="43ABB105">
      <w:pPr>
        <w:pStyle w:val="FootnoteText"/>
      </w:pPr>
      <w:r w:rsidRPr="00074AA1">
        <w:rPr>
          <w:rStyle w:val="FootnoteReference"/>
        </w:rPr>
        <w:footnoteRef/>
      </w:r>
      <w:r w:rsidRPr="00074AA1">
        <w:t xml:space="preserve"> </w:t>
      </w:r>
      <w:r w:rsidRPr="000E7665" w:rsidR="00074AA1">
        <w:rPr>
          <w:i/>
          <w:iCs/>
        </w:rPr>
        <w:t xml:space="preserve">Id. </w:t>
      </w:r>
    </w:p>
  </w:footnote>
  <w:footnote w:id="89">
    <w:p w:rsidR="00FC3BF1" w:rsidP="00FC3BF1" w14:paraId="69CB7A2D" w14:textId="1A0DAFF6">
      <w:pPr>
        <w:pStyle w:val="FootnoteText"/>
      </w:pPr>
      <w:r>
        <w:rPr>
          <w:rStyle w:val="FootnoteReference"/>
        </w:rPr>
        <w:footnoteRef/>
      </w:r>
      <w:r>
        <w:t xml:space="preserve"> </w:t>
      </w:r>
      <w:r w:rsidRPr="00E87EF0">
        <w:rPr>
          <w:i/>
          <w:iCs/>
        </w:rPr>
        <w:t>See</w:t>
      </w:r>
      <w:r>
        <w:t xml:space="preserve"> 47 CFR </w:t>
      </w:r>
      <w:r w:rsidRPr="00FC3BF1">
        <w:t xml:space="preserve">§ 61.45(a) </w:t>
      </w:r>
      <w:r>
        <w:t xml:space="preserve">(“Price cap local exchange carriers…shall maintain updated PCIs to reflect the effect of mid-year exogenous cost changes”); </w:t>
      </w:r>
      <w:r w:rsidRPr="00FE0EF6">
        <w:rPr>
          <w:i/>
          <w:iCs/>
        </w:rPr>
        <w:t>see id</w:t>
      </w:r>
      <w:r>
        <w:t>. § 61.50(c) (Rate-of-return carriers subject to section 61.50 “shall employ the procedures outlined in §§ 61.42 through 61.49 to calculate rates for its business data services and adjust its indexes for those rates.”).</w:t>
      </w:r>
    </w:p>
  </w:footnote>
  <w:footnote w:id="90">
    <w:p w:rsidR="00FC3BF1" w14:paraId="095408D1" w14:textId="05CE0DDD">
      <w:pPr>
        <w:pStyle w:val="FootnoteText"/>
      </w:pPr>
      <w:r>
        <w:rPr>
          <w:rStyle w:val="FootnoteReference"/>
        </w:rPr>
        <w:footnoteRef/>
      </w:r>
      <w:r>
        <w:t xml:space="preserve"> </w:t>
      </w:r>
      <w:r w:rsidRPr="00FE0EF6">
        <w:rPr>
          <w:i/>
          <w:iCs/>
        </w:rPr>
        <w:t>See</w:t>
      </w:r>
      <w:r w:rsidRPr="00FC3BF1">
        <w:t xml:space="preserve"> 47 CFR § 61.45(b)(1)(1), (d); </w:t>
      </w:r>
      <w:r w:rsidRPr="00FE0EF6">
        <w:rPr>
          <w:i/>
          <w:iCs/>
        </w:rPr>
        <w:t>id</w:t>
      </w:r>
      <w:r w:rsidRPr="00FC3BF1">
        <w:t>. § 61.50(c)</w:t>
      </w:r>
      <w:r>
        <w:t>.</w:t>
      </w:r>
    </w:p>
  </w:footnote>
  <w:footnote w:id="91">
    <w:p w:rsidR="00375EF9" w:rsidRPr="00086E2E" w:rsidP="00375EF9" w14:paraId="132FC870" w14:textId="650DFB4B">
      <w:pPr>
        <w:pStyle w:val="FootnoteText"/>
      </w:pPr>
      <w:r w:rsidRPr="003A1DF0">
        <w:rPr>
          <w:rStyle w:val="FootnoteReference"/>
        </w:rPr>
        <w:footnoteRef/>
      </w:r>
      <w:r w:rsidRPr="003A1DF0">
        <w:t xml:space="preserve"> </w:t>
      </w:r>
      <w:r w:rsidRPr="003A1DF0">
        <w:rPr>
          <w:i/>
          <w:iCs/>
        </w:rPr>
        <w:t>See</w:t>
      </w:r>
      <w:r w:rsidRPr="003A1DF0">
        <w:t xml:space="preserve"> </w:t>
      </w:r>
      <w:r w:rsidRPr="000E7665" w:rsidR="003A1DF0">
        <w:rPr>
          <w:i/>
          <w:iCs/>
        </w:rPr>
        <w:t>2025 TRP Order</w:t>
      </w:r>
      <w:r w:rsidRPr="000E7665" w:rsidR="003A1DF0">
        <w:t>, 40 FCC Rcd at 3073-74, para. 42</w:t>
      </w:r>
      <w:r w:rsidRPr="003A1DF0">
        <w:t>; 47 CFR § 1.1105.</w:t>
      </w:r>
      <w:r w:rsidRPr="00086E2E">
        <w:t xml:space="preserve"> </w:t>
      </w:r>
    </w:p>
  </w:footnote>
  <w:footnote w:id="92">
    <w:p w:rsidR="006D4BC1" w14:paraId="569123FD" w14:textId="24B74251">
      <w:pPr>
        <w:pStyle w:val="FootnoteText"/>
      </w:pPr>
      <w:r>
        <w:rPr>
          <w:rStyle w:val="FootnoteReference"/>
        </w:rPr>
        <w:footnoteRef/>
      </w:r>
      <w:r>
        <w:t xml:space="preserve"> </w:t>
      </w:r>
      <w:r w:rsidRPr="00FE0EF6">
        <w:rPr>
          <w:i/>
          <w:iCs/>
        </w:rPr>
        <w:t>See</w:t>
      </w:r>
      <w:r>
        <w:t xml:space="preserve"> 47 CFR § 1.17. </w:t>
      </w:r>
    </w:p>
  </w:footnote>
  <w:footnote w:id="93">
    <w:p w:rsidR="00375EF9" w:rsidRPr="00086E2E" w:rsidP="00375EF9" w14:paraId="2B2935EC" w14:textId="77777777">
      <w:pPr>
        <w:pStyle w:val="FootnoteText"/>
        <w:tabs>
          <w:tab w:val="left" w:pos="-720"/>
        </w:tabs>
        <w:suppressAutoHyphens/>
      </w:pPr>
      <w:r w:rsidRPr="00086E2E">
        <w:rPr>
          <w:rStyle w:val="FootnoteReference"/>
        </w:rPr>
        <w:footnoteRef/>
      </w:r>
      <w:r w:rsidRPr="00086E2E">
        <w:t xml:space="preserve"> </w:t>
      </w:r>
      <w:r w:rsidRPr="00086E2E">
        <w:rPr>
          <w:i/>
          <w:iCs/>
        </w:rPr>
        <w:t>USF/ICC Transformation Order</w:t>
      </w:r>
      <w:r w:rsidRPr="00086E2E">
        <w:rPr>
          <w:iCs/>
        </w:rPr>
        <w:t xml:space="preserve">, 26 FCC Rcd at 17987, para. 905 (“Carriers recovering eligible recovery will be required to certify annually that they are entitled to receive the recovery they are claiming and that they are complying with all rules pertaining to such recovery.”); </w:t>
      </w:r>
      <w:r w:rsidRPr="00086E2E">
        <w:rPr>
          <w:i/>
        </w:rPr>
        <w:t>s</w:t>
      </w:r>
      <w:r w:rsidRPr="00086E2E">
        <w:rPr>
          <w:i/>
          <w:iCs/>
        </w:rPr>
        <w:t>ee also id</w:t>
      </w:r>
      <w:r w:rsidRPr="00086E2E">
        <w:rPr>
          <w:iCs/>
        </w:rPr>
        <w:t xml:space="preserve">. at 17964-65, para. 862 &amp; n.1664 (explaining that incumbent LECs receiving Eligible Recovery must certify as part of their tariff filings, to both the Commission and any state commission exercising jurisdiction over the incumbent LEC’s intrastate costs, that they are not seeking duplicative recovery in the state jurisdiction for any Eligible Recovery subject to the recovery mechanism).  </w:t>
      </w:r>
    </w:p>
  </w:footnote>
  <w:footnote w:id="94">
    <w:p w:rsidR="00375EF9" w:rsidRPr="00086E2E" w:rsidP="00375EF9" w14:paraId="67067247" w14:textId="77777777">
      <w:pPr>
        <w:pStyle w:val="FootnoteText"/>
      </w:pPr>
      <w:r w:rsidRPr="00086E2E">
        <w:rPr>
          <w:rStyle w:val="FootnoteReference"/>
        </w:rPr>
        <w:footnoteRef/>
      </w:r>
      <w:r w:rsidRPr="00086E2E">
        <w:t xml:space="preserve"> Pub. L. No. 104-13; </w:t>
      </w:r>
      <w:r w:rsidRPr="00086E2E">
        <w:rPr>
          <w:i/>
          <w:iCs/>
        </w:rPr>
        <w:t>see</w:t>
      </w:r>
      <w:r w:rsidRPr="00086E2E">
        <w:t xml:space="preserve"> 44 U.S.C. § 3507. </w:t>
      </w:r>
    </w:p>
  </w:footnote>
  <w:footnote w:id="95">
    <w:p w:rsidR="00375EF9" w:rsidRPr="00086E2E" w:rsidP="00375EF9" w14:paraId="7D5AFBEF" w14:textId="656D786F">
      <w:pPr>
        <w:pStyle w:val="FootnoteText"/>
      </w:pPr>
      <w:bookmarkStart w:id="58" w:name="_Hlk131600082"/>
      <w:r w:rsidRPr="004C2F94">
        <w:rPr>
          <w:rStyle w:val="FootnoteReference"/>
        </w:rPr>
        <w:footnoteRef/>
      </w:r>
      <w:r w:rsidRPr="004C2F94">
        <w:t xml:space="preserve"> </w:t>
      </w:r>
      <w:r w:rsidRPr="004C2F94">
        <w:rPr>
          <w:i/>
        </w:rPr>
        <w:t>See</w:t>
      </w:r>
      <w:r w:rsidRPr="004C2F94">
        <w:t xml:space="preserve"> OMB, Notice of OMB Action, OMB Control No. 3060-0400 (dated </w:t>
      </w:r>
      <w:r w:rsidR="002A0222">
        <w:t>Apr</w:t>
      </w:r>
      <w:r w:rsidRPr="004C2F94">
        <w:t xml:space="preserve">. </w:t>
      </w:r>
      <w:r w:rsidR="002A0222">
        <w:t>17, 2026</w:t>
      </w:r>
      <w:r w:rsidRPr="004C2F94">
        <w:t>)</w:t>
      </w:r>
      <w:r>
        <w:t xml:space="preserve"> (expires </w:t>
      </w:r>
      <w:r w:rsidR="002A0222">
        <w:t>Apr. 30, 2029</w:t>
      </w:r>
      <w:r>
        <w:t>)</w:t>
      </w:r>
      <w:r w:rsidRPr="004C2F94">
        <w:t xml:space="preserve">, </w:t>
      </w:r>
      <w:hyperlink r:id="rId1" w:history="1">
        <w:r w:rsidRPr="00C36757" w:rsidR="002A0222">
          <w:rPr>
            <w:rStyle w:val="Hyperlink"/>
          </w:rPr>
          <w:t>https://www.reginfo.gov/public/do/PRAViewICR?ref_nbr=202602-3060-028</w:t>
        </w:r>
      </w:hyperlink>
      <w:r w:rsidR="002A0222">
        <w:t xml:space="preserve">.  </w:t>
      </w:r>
      <w:r w:rsidRPr="004C2F94">
        <w:t xml:space="preserve">In the submission to OMB, the Commission noted that it “updates the price cap and rate-of-return TRP every year to eliminate respondents’ requirements to file cost and demand data that may be more than two years old and to bring the TRP data into conformance with current Commission policies.”  FCC, OMB Control No. 3060-0400, Supporting Statement at 3 (dated </w:t>
      </w:r>
      <w:r w:rsidR="00D46A71">
        <w:t>March 2026</w:t>
      </w:r>
      <w:r w:rsidRPr="004C2F94">
        <w:t xml:space="preserve">), </w:t>
      </w:r>
      <w:hyperlink r:id="rId2" w:history="1">
        <w:r w:rsidRPr="00C36757" w:rsidR="00D46A71">
          <w:rPr>
            <w:rStyle w:val="Hyperlink"/>
          </w:rPr>
          <w:t>https://www.reginfo.gov/public/do/PRAViewDocument?ref_nbr=202602-3060-028</w:t>
        </w:r>
      </w:hyperlink>
      <w:r w:rsidRPr="004C2F94">
        <w:t>; 44 U.S.C. § 3507.</w:t>
      </w:r>
    </w:p>
    <w:bookmarkEnd w:id="58"/>
  </w:footnote>
  <w:footnote w:id="96">
    <w:p w:rsidR="00375EF9" w:rsidRPr="00086E2E" w:rsidP="00375EF9" w14:paraId="2680007A" w14:textId="77777777">
      <w:pPr>
        <w:pStyle w:val="FootnoteText"/>
      </w:pPr>
      <w:r w:rsidRPr="00086E2E">
        <w:rPr>
          <w:rStyle w:val="FootnoteReference"/>
        </w:rPr>
        <w:footnoteRef/>
      </w:r>
      <w:r w:rsidRPr="00086E2E">
        <w:t xml:space="preserve"> Pub. L. No. 107-198; </w:t>
      </w:r>
      <w:r w:rsidRPr="00086E2E">
        <w:rPr>
          <w:i/>
          <w:iCs/>
        </w:rPr>
        <w:t>see</w:t>
      </w:r>
      <w:r w:rsidRPr="00086E2E">
        <w:t xml:space="preserve"> 44 U.S.C. § 3506(c)(4).</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C97CE4" w14:paraId="316C3BCE"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47EFB763" w14:textId="59B33EF4">
    <w:pPr>
      <w:pStyle w:val="Header"/>
      <w:rPr>
        <w:b w:val="0"/>
      </w:rPr>
    </w:pPr>
    <w:r>
      <w:tab/>
      <w:t>Federal Communications Commission</w:t>
    </w:r>
    <w:r>
      <w:tab/>
    </w:r>
    <w:r w:rsidRPr="00C97CE4" w:rsidR="00A322EA">
      <w:t xml:space="preserve">DA </w:t>
    </w:r>
    <w:r w:rsidRPr="00C97CE4" w:rsidR="000A7C08">
      <w:t>26-</w:t>
    </w:r>
    <w:r w:rsidRPr="00C97CE4" w:rsidR="00C97CE4">
      <w:t>474</w:t>
    </w:r>
  </w:p>
  <w:p w:rsidR="00D25FB5" w14:paraId="525B3285" w14:textId="214FEE73">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2" name="Rectangle 1"/>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D25FB5" w14:paraId="0FAE0531" w14:textId="77777777">
    <w:pPr>
      <w:spacing w:after="389" w:line="100" w:lineRule="exact"/>
      <w:rPr>
        <w:sz w:val="1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50177EF7" w14:textId="5221BABB">
    <w:pPr>
      <w:pStyle w:val="Header"/>
      <w:rPr>
        <w:b w:val="0"/>
      </w:rPr>
    </w:pPr>
    <w:r>
      <w:rPr>
        <w:noProof/>
      </w:rPr>
      <mc:AlternateContent>
        <mc:Choice Requires="wps">
          <w:drawing>
            <wp:anchor distT="0" distB="0" distL="114300" distR="114300" simplePos="0" relativeHeight="251660288" behindDoc="1" locked="0" layoutInCell="0" allowOverlap="1">
              <wp:simplePos x="0" y="0"/>
              <wp:positionH relativeFrom="margin">
                <wp:posOffset>7620</wp:posOffset>
              </wp:positionH>
              <wp:positionV relativeFrom="paragraph">
                <wp:posOffset>160655</wp:posOffset>
              </wp:positionV>
              <wp:extent cx="5943600" cy="12065"/>
              <wp:effectExtent l="0" t="0" r="0" b="0"/>
              <wp:wrapNone/>
              <wp:docPr id="1"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50"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strokeweight="0.05pt">
              <w10:wrap anchorx="margin"/>
            </v:rect>
          </w:pict>
        </mc:Fallback>
      </mc:AlternateContent>
    </w:r>
    <w:r>
      <w:tab/>
      <w:t>Federal Communications Commission</w:t>
    </w:r>
    <w:r>
      <w:tab/>
    </w:r>
    <w:r w:rsidRPr="00C97CE4" w:rsidR="00F83B3F">
      <w:rPr>
        <w:spacing w:val="-2"/>
      </w:rPr>
      <w:t xml:space="preserve">DA </w:t>
    </w:r>
    <w:r w:rsidRPr="00C97CE4" w:rsidR="008122A3">
      <w:rPr>
        <w:spacing w:val="-2"/>
      </w:rPr>
      <w:t>26-</w:t>
    </w:r>
    <w:r w:rsidRPr="00C97CE4" w:rsidR="00C97CE4">
      <w:rPr>
        <w:spacing w:val="-2"/>
      </w:rPr>
      <w:t>474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5">
    <w:nsid w:val="4F913615"/>
    <w:multiLevelType w:val="hybridMultilevel"/>
    <w:tmpl w:val="E1424260"/>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
    <w:nsid w:val="5F883E67"/>
    <w:multiLevelType w:val="hybridMultilevel"/>
    <w:tmpl w:val="8E16626C"/>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
    <w:nsid w:val="61182925"/>
    <w:multiLevelType w:val="singleLevel"/>
    <w:tmpl w:val="A9EE9842"/>
    <w:lvl w:ilvl="0">
      <w:start w:val="1"/>
      <w:numFmt w:val="decimal"/>
      <w:lvlText w:val="%1."/>
      <w:lvlJc w:val="left"/>
      <w:pPr>
        <w:tabs>
          <w:tab w:val="num" w:pos="1080"/>
        </w:tabs>
        <w:ind w:left="0" w:firstLine="720"/>
      </w:pPr>
    </w:lvl>
  </w:abstractNum>
  <w:num w:numId="1" w16cid:durableId="375861644">
    <w:abstractNumId w:val="1"/>
  </w:num>
  <w:num w:numId="2" w16cid:durableId="300770882">
    <w:abstractNumId w:val="7"/>
  </w:num>
  <w:num w:numId="3" w16cid:durableId="1334071853">
    <w:abstractNumId w:val="3"/>
  </w:num>
  <w:num w:numId="4" w16cid:durableId="1150098426">
    <w:abstractNumId w:val="4"/>
  </w:num>
  <w:num w:numId="5" w16cid:durableId="120848974">
    <w:abstractNumId w:val="2"/>
  </w:num>
  <w:num w:numId="6" w16cid:durableId="260650673">
    <w:abstractNumId w:val="0"/>
  </w:num>
  <w:num w:numId="7" w16cid:durableId="1137187932">
    <w:abstractNumId w:val="6"/>
  </w:num>
  <w:num w:numId="8" w16cid:durableId="243951935">
    <w:abstractNumId w:val="7"/>
    <w:lvlOverride w:ilvl="0">
      <w:startOverride w:val="1"/>
    </w:lvlOverride>
  </w:num>
  <w:num w:numId="9" w16cid:durableId="1917279009">
    <w:abstractNumId w:val="5"/>
  </w:num>
  <w:num w:numId="10" w16cid:durableId="1500151371">
    <w:abstractNumId w:val="7"/>
  </w:num>
  <w:num w:numId="11" w16cid:durableId="835414342">
    <w:abstractNumId w:val="7"/>
  </w:num>
  <w:num w:numId="12" w16cid:durableId="192014068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11EF"/>
    <w:rsid w:val="000046BA"/>
    <w:rsid w:val="00004D76"/>
    <w:rsid w:val="000134C4"/>
    <w:rsid w:val="00026503"/>
    <w:rsid w:val="000330CD"/>
    <w:rsid w:val="00036039"/>
    <w:rsid w:val="0003793A"/>
    <w:rsid w:val="00037F90"/>
    <w:rsid w:val="00043CC5"/>
    <w:rsid w:val="00045AE4"/>
    <w:rsid w:val="00055494"/>
    <w:rsid w:val="00062F44"/>
    <w:rsid w:val="00065468"/>
    <w:rsid w:val="00074AA1"/>
    <w:rsid w:val="000763E9"/>
    <w:rsid w:val="000822B4"/>
    <w:rsid w:val="000869F2"/>
    <w:rsid w:val="00086E2E"/>
    <w:rsid w:val="000875BF"/>
    <w:rsid w:val="000924AD"/>
    <w:rsid w:val="00095C65"/>
    <w:rsid w:val="000968F1"/>
    <w:rsid w:val="00096BF1"/>
    <w:rsid w:val="00096D8C"/>
    <w:rsid w:val="000A2330"/>
    <w:rsid w:val="000A4720"/>
    <w:rsid w:val="000A7C08"/>
    <w:rsid w:val="000C0B65"/>
    <w:rsid w:val="000C1D28"/>
    <w:rsid w:val="000C58D1"/>
    <w:rsid w:val="000D282B"/>
    <w:rsid w:val="000E05FE"/>
    <w:rsid w:val="000E3D42"/>
    <w:rsid w:val="000E461B"/>
    <w:rsid w:val="000E4C97"/>
    <w:rsid w:val="000E7665"/>
    <w:rsid w:val="000F2CEC"/>
    <w:rsid w:val="000F49CF"/>
    <w:rsid w:val="001045DD"/>
    <w:rsid w:val="001105D5"/>
    <w:rsid w:val="001172FD"/>
    <w:rsid w:val="00122BD5"/>
    <w:rsid w:val="00123549"/>
    <w:rsid w:val="00133F79"/>
    <w:rsid w:val="00137C7D"/>
    <w:rsid w:val="0014609F"/>
    <w:rsid w:val="001513BA"/>
    <w:rsid w:val="0015378A"/>
    <w:rsid w:val="00153A44"/>
    <w:rsid w:val="00153AAA"/>
    <w:rsid w:val="001548B4"/>
    <w:rsid w:val="00164900"/>
    <w:rsid w:val="0017366E"/>
    <w:rsid w:val="00177EE8"/>
    <w:rsid w:val="00180EFC"/>
    <w:rsid w:val="001919DC"/>
    <w:rsid w:val="00194A66"/>
    <w:rsid w:val="00194EE1"/>
    <w:rsid w:val="00196FD0"/>
    <w:rsid w:val="001A09DB"/>
    <w:rsid w:val="001A3CF7"/>
    <w:rsid w:val="001A4044"/>
    <w:rsid w:val="001A48A3"/>
    <w:rsid w:val="001B3A4A"/>
    <w:rsid w:val="001B774E"/>
    <w:rsid w:val="001C26E2"/>
    <w:rsid w:val="001C32C1"/>
    <w:rsid w:val="001C345C"/>
    <w:rsid w:val="001C4701"/>
    <w:rsid w:val="001C5FD7"/>
    <w:rsid w:val="001D061F"/>
    <w:rsid w:val="001D3C18"/>
    <w:rsid w:val="001D6BCF"/>
    <w:rsid w:val="001E01CA"/>
    <w:rsid w:val="001E02D5"/>
    <w:rsid w:val="001E1E0E"/>
    <w:rsid w:val="001E5E91"/>
    <w:rsid w:val="001F0ECD"/>
    <w:rsid w:val="001F2A54"/>
    <w:rsid w:val="00200041"/>
    <w:rsid w:val="002060E4"/>
    <w:rsid w:val="00210720"/>
    <w:rsid w:val="0021378D"/>
    <w:rsid w:val="00227251"/>
    <w:rsid w:val="00234EDB"/>
    <w:rsid w:val="00235D2B"/>
    <w:rsid w:val="00247011"/>
    <w:rsid w:val="00253348"/>
    <w:rsid w:val="002557AB"/>
    <w:rsid w:val="00256BE3"/>
    <w:rsid w:val="002609DB"/>
    <w:rsid w:val="0026118D"/>
    <w:rsid w:val="0026693C"/>
    <w:rsid w:val="00267C70"/>
    <w:rsid w:val="002704B8"/>
    <w:rsid w:val="00271233"/>
    <w:rsid w:val="00271C2D"/>
    <w:rsid w:val="00275CF5"/>
    <w:rsid w:val="0028301F"/>
    <w:rsid w:val="002840F3"/>
    <w:rsid w:val="00285017"/>
    <w:rsid w:val="0029273C"/>
    <w:rsid w:val="00292F9A"/>
    <w:rsid w:val="002933BB"/>
    <w:rsid w:val="002A0222"/>
    <w:rsid w:val="002A1728"/>
    <w:rsid w:val="002A2D2E"/>
    <w:rsid w:val="002C00E8"/>
    <w:rsid w:val="002C2DF3"/>
    <w:rsid w:val="002C402E"/>
    <w:rsid w:val="002D0A83"/>
    <w:rsid w:val="002D5A36"/>
    <w:rsid w:val="002E2CA9"/>
    <w:rsid w:val="002E7019"/>
    <w:rsid w:val="002F1CD7"/>
    <w:rsid w:val="00304AB2"/>
    <w:rsid w:val="0030601E"/>
    <w:rsid w:val="00313F2E"/>
    <w:rsid w:val="00316138"/>
    <w:rsid w:val="003274F5"/>
    <w:rsid w:val="00336A38"/>
    <w:rsid w:val="003400AF"/>
    <w:rsid w:val="00342113"/>
    <w:rsid w:val="00343749"/>
    <w:rsid w:val="00343755"/>
    <w:rsid w:val="00347DDD"/>
    <w:rsid w:val="00360AFD"/>
    <w:rsid w:val="0036279D"/>
    <w:rsid w:val="003660ED"/>
    <w:rsid w:val="0036735B"/>
    <w:rsid w:val="003710E9"/>
    <w:rsid w:val="00375EF9"/>
    <w:rsid w:val="00384D19"/>
    <w:rsid w:val="0039751C"/>
    <w:rsid w:val="003A08FD"/>
    <w:rsid w:val="003A1ACE"/>
    <w:rsid w:val="003A1DF0"/>
    <w:rsid w:val="003A5459"/>
    <w:rsid w:val="003A7DE3"/>
    <w:rsid w:val="003B0550"/>
    <w:rsid w:val="003B4301"/>
    <w:rsid w:val="003B694F"/>
    <w:rsid w:val="003C4F3D"/>
    <w:rsid w:val="003C5086"/>
    <w:rsid w:val="003D348D"/>
    <w:rsid w:val="003F171C"/>
    <w:rsid w:val="003F1898"/>
    <w:rsid w:val="003F6B21"/>
    <w:rsid w:val="00400B5E"/>
    <w:rsid w:val="0040217F"/>
    <w:rsid w:val="00406ED4"/>
    <w:rsid w:val="004079B7"/>
    <w:rsid w:val="00410E7E"/>
    <w:rsid w:val="00412FC5"/>
    <w:rsid w:val="00415174"/>
    <w:rsid w:val="00416DFC"/>
    <w:rsid w:val="00417B2C"/>
    <w:rsid w:val="00422276"/>
    <w:rsid w:val="00423D99"/>
    <w:rsid w:val="004242F1"/>
    <w:rsid w:val="00425170"/>
    <w:rsid w:val="00427532"/>
    <w:rsid w:val="004277AB"/>
    <w:rsid w:val="00441D91"/>
    <w:rsid w:val="004420FE"/>
    <w:rsid w:val="00445A00"/>
    <w:rsid w:val="00451094"/>
    <w:rsid w:val="00451B0F"/>
    <w:rsid w:val="00452756"/>
    <w:rsid w:val="00454715"/>
    <w:rsid w:val="0045529F"/>
    <w:rsid w:val="00463B5F"/>
    <w:rsid w:val="00465827"/>
    <w:rsid w:val="0047319D"/>
    <w:rsid w:val="00475027"/>
    <w:rsid w:val="00476DCB"/>
    <w:rsid w:val="0048595B"/>
    <w:rsid w:val="00485B56"/>
    <w:rsid w:val="0049769C"/>
    <w:rsid w:val="004A1C43"/>
    <w:rsid w:val="004A576F"/>
    <w:rsid w:val="004A66AB"/>
    <w:rsid w:val="004A7004"/>
    <w:rsid w:val="004C2EE3"/>
    <w:rsid w:val="004C2F94"/>
    <w:rsid w:val="004C3EAA"/>
    <w:rsid w:val="004C645A"/>
    <w:rsid w:val="004C6D11"/>
    <w:rsid w:val="004D4183"/>
    <w:rsid w:val="004D5D9D"/>
    <w:rsid w:val="004D78B9"/>
    <w:rsid w:val="004E2B35"/>
    <w:rsid w:val="004E4A22"/>
    <w:rsid w:val="004F232E"/>
    <w:rsid w:val="004F6660"/>
    <w:rsid w:val="004F7FA9"/>
    <w:rsid w:val="00504EC0"/>
    <w:rsid w:val="00511968"/>
    <w:rsid w:val="00515E57"/>
    <w:rsid w:val="00521EEE"/>
    <w:rsid w:val="00530D77"/>
    <w:rsid w:val="00543378"/>
    <w:rsid w:val="00552C62"/>
    <w:rsid w:val="00554703"/>
    <w:rsid w:val="0055614C"/>
    <w:rsid w:val="00566D06"/>
    <w:rsid w:val="005718E4"/>
    <w:rsid w:val="00575C26"/>
    <w:rsid w:val="005859FB"/>
    <w:rsid w:val="0059298E"/>
    <w:rsid w:val="005931A3"/>
    <w:rsid w:val="005939F2"/>
    <w:rsid w:val="005A469B"/>
    <w:rsid w:val="005B2ACD"/>
    <w:rsid w:val="005B321C"/>
    <w:rsid w:val="005B3967"/>
    <w:rsid w:val="005B582B"/>
    <w:rsid w:val="005B5C41"/>
    <w:rsid w:val="005B7B6A"/>
    <w:rsid w:val="005C34D8"/>
    <w:rsid w:val="005C5B5D"/>
    <w:rsid w:val="005C6E97"/>
    <w:rsid w:val="005E14C2"/>
    <w:rsid w:val="005F43CF"/>
    <w:rsid w:val="005F628A"/>
    <w:rsid w:val="005F67F0"/>
    <w:rsid w:val="00607BA5"/>
    <w:rsid w:val="0061180A"/>
    <w:rsid w:val="00614F29"/>
    <w:rsid w:val="006255E6"/>
    <w:rsid w:val="00626EB6"/>
    <w:rsid w:val="006340F9"/>
    <w:rsid w:val="00634173"/>
    <w:rsid w:val="00636A1F"/>
    <w:rsid w:val="00644B91"/>
    <w:rsid w:val="006458DB"/>
    <w:rsid w:val="00645C57"/>
    <w:rsid w:val="0065373A"/>
    <w:rsid w:val="00655D03"/>
    <w:rsid w:val="00660833"/>
    <w:rsid w:val="00661A99"/>
    <w:rsid w:val="0066401B"/>
    <w:rsid w:val="00676ABC"/>
    <w:rsid w:val="00683388"/>
    <w:rsid w:val="00683F84"/>
    <w:rsid w:val="00684A7A"/>
    <w:rsid w:val="00684C2E"/>
    <w:rsid w:val="00685256"/>
    <w:rsid w:val="006875DC"/>
    <w:rsid w:val="006905D8"/>
    <w:rsid w:val="006908BF"/>
    <w:rsid w:val="00692F02"/>
    <w:rsid w:val="00696949"/>
    <w:rsid w:val="006A4724"/>
    <w:rsid w:val="006A6A81"/>
    <w:rsid w:val="006B0AD3"/>
    <w:rsid w:val="006B128E"/>
    <w:rsid w:val="006B463C"/>
    <w:rsid w:val="006C0E31"/>
    <w:rsid w:val="006C257C"/>
    <w:rsid w:val="006D1A86"/>
    <w:rsid w:val="006D4BC1"/>
    <w:rsid w:val="006E0DA3"/>
    <w:rsid w:val="006F0EBD"/>
    <w:rsid w:val="006F132C"/>
    <w:rsid w:val="006F17E8"/>
    <w:rsid w:val="006F535D"/>
    <w:rsid w:val="006F7393"/>
    <w:rsid w:val="006F7445"/>
    <w:rsid w:val="0070224F"/>
    <w:rsid w:val="007115F7"/>
    <w:rsid w:val="0071493D"/>
    <w:rsid w:val="0071565D"/>
    <w:rsid w:val="00720DA1"/>
    <w:rsid w:val="00726305"/>
    <w:rsid w:val="0072645F"/>
    <w:rsid w:val="007355DD"/>
    <w:rsid w:val="00736803"/>
    <w:rsid w:val="00737B72"/>
    <w:rsid w:val="00742571"/>
    <w:rsid w:val="00743588"/>
    <w:rsid w:val="007447A0"/>
    <w:rsid w:val="00753F0D"/>
    <w:rsid w:val="0075418B"/>
    <w:rsid w:val="00772AC0"/>
    <w:rsid w:val="00776EA7"/>
    <w:rsid w:val="007830C5"/>
    <w:rsid w:val="00785689"/>
    <w:rsid w:val="00786294"/>
    <w:rsid w:val="0079754B"/>
    <w:rsid w:val="007A1E6D"/>
    <w:rsid w:val="007A3FD7"/>
    <w:rsid w:val="007A5F51"/>
    <w:rsid w:val="007B0EB2"/>
    <w:rsid w:val="007B3D49"/>
    <w:rsid w:val="007B3DF3"/>
    <w:rsid w:val="007C6712"/>
    <w:rsid w:val="007C706F"/>
    <w:rsid w:val="007D2B33"/>
    <w:rsid w:val="007D4B6E"/>
    <w:rsid w:val="007E0C91"/>
    <w:rsid w:val="007E15B8"/>
    <w:rsid w:val="007E4D5B"/>
    <w:rsid w:val="007F156E"/>
    <w:rsid w:val="007F560E"/>
    <w:rsid w:val="007F72E4"/>
    <w:rsid w:val="007F788C"/>
    <w:rsid w:val="00807EC5"/>
    <w:rsid w:val="0081029F"/>
    <w:rsid w:val="00810B6F"/>
    <w:rsid w:val="008122A3"/>
    <w:rsid w:val="00816F6C"/>
    <w:rsid w:val="00822CE0"/>
    <w:rsid w:val="00824B7B"/>
    <w:rsid w:val="00825B2A"/>
    <w:rsid w:val="00827FF7"/>
    <w:rsid w:val="00832F2F"/>
    <w:rsid w:val="00837641"/>
    <w:rsid w:val="00837955"/>
    <w:rsid w:val="00840143"/>
    <w:rsid w:val="00841AB1"/>
    <w:rsid w:val="00844FF9"/>
    <w:rsid w:val="00845F40"/>
    <w:rsid w:val="008511EF"/>
    <w:rsid w:val="00862819"/>
    <w:rsid w:val="00876DCD"/>
    <w:rsid w:val="0088020E"/>
    <w:rsid w:val="0088525C"/>
    <w:rsid w:val="00886BD2"/>
    <w:rsid w:val="00893CB8"/>
    <w:rsid w:val="008A3C24"/>
    <w:rsid w:val="008B0754"/>
    <w:rsid w:val="008B2935"/>
    <w:rsid w:val="008B6584"/>
    <w:rsid w:val="008C233E"/>
    <w:rsid w:val="008C3703"/>
    <w:rsid w:val="008C3C9A"/>
    <w:rsid w:val="008C68F1"/>
    <w:rsid w:val="00901108"/>
    <w:rsid w:val="00902211"/>
    <w:rsid w:val="00906C99"/>
    <w:rsid w:val="009111C5"/>
    <w:rsid w:val="00911D76"/>
    <w:rsid w:val="009121B0"/>
    <w:rsid w:val="0091273B"/>
    <w:rsid w:val="00921803"/>
    <w:rsid w:val="00925998"/>
    <w:rsid w:val="00926503"/>
    <w:rsid w:val="00926753"/>
    <w:rsid w:val="0093039D"/>
    <w:rsid w:val="009303BB"/>
    <w:rsid w:val="00933427"/>
    <w:rsid w:val="00934810"/>
    <w:rsid w:val="00936FE7"/>
    <w:rsid w:val="009726D8"/>
    <w:rsid w:val="00983730"/>
    <w:rsid w:val="0099158B"/>
    <w:rsid w:val="009956FA"/>
    <w:rsid w:val="00997071"/>
    <w:rsid w:val="009A0ED4"/>
    <w:rsid w:val="009A0FCC"/>
    <w:rsid w:val="009A1FD0"/>
    <w:rsid w:val="009C17CD"/>
    <w:rsid w:val="009C5891"/>
    <w:rsid w:val="009C76B2"/>
    <w:rsid w:val="009D099B"/>
    <w:rsid w:val="009D130D"/>
    <w:rsid w:val="009D32DF"/>
    <w:rsid w:val="009D3A06"/>
    <w:rsid w:val="009D3A35"/>
    <w:rsid w:val="009D569B"/>
    <w:rsid w:val="009D6BB8"/>
    <w:rsid w:val="009D7308"/>
    <w:rsid w:val="009E0FDA"/>
    <w:rsid w:val="009E3697"/>
    <w:rsid w:val="009E4E1B"/>
    <w:rsid w:val="009F4477"/>
    <w:rsid w:val="009F6A41"/>
    <w:rsid w:val="009F76DB"/>
    <w:rsid w:val="00A01153"/>
    <w:rsid w:val="00A05B35"/>
    <w:rsid w:val="00A15B55"/>
    <w:rsid w:val="00A15C04"/>
    <w:rsid w:val="00A21901"/>
    <w:rsid w:val="00A322EA"/>
    <w:rsid w:val="00A32C3B"/>
    <w:rsid w:val="00A42D51"/>
    <w:rsid w:val="00A44601"/>
    <w:rsid w:val="00A45F4F"/>
    <w:rsid w:val="00A46197"/>
    <w:rsid w:val="00A56A71"/>
    <w:rsid w:val="00A600A9"/>
    <w:rsid w:val="00A63738"/>
    <w:rsid w:val="00A673FE"/>
    <w:rsid w:val="00A818A1"/>
    <w:rsid w:val="00A85924"/>
    <w:rsid w:val="00A866DA"/>
    <w:rsid w:val="00A877A8"/>
    <w:rsid w:val="00A91B37"/>
    <w:rsid w:val="00AA340B"/>
    <w:rsid w:val="00AA55B7"/>
    <w:rsid w:val="00AA5B9E"/>
    <w:rsid w:val="00AA7BC0"/>
    <w:rsid w:val="00AB0658"/>
    <w:rsid w:val="00AB2407"/>
    <w:rsid w:val="00AB53DF"/>
    <w:rsid w:val="00AC4912"/>
    <w:rsid w:val="00AD28EF"/>
    <w:rsid w:val="00AD465C"/>
    <w:rsid w:val="00AE3B47"/>
    <w:rsid w:val="00AF1231"/>
    <w:rsid w:val="00AF1F63"/>
    <w:rsid w:val="00B0495E"/>
    <w:rsid w:val="00B07709"/>
    <w:rsid w:val="00B07E5C"/>
    <w:rsid w:val="00B11A62"/>
    <w:rsid w:val="00B134BE"/>
    <w:rsid w:val="00B20A68"/>
    <w:rsid w:val="00B2200B"/>
    <w:rsid w:val="00B32608"/>
    <w:rsid w:val="00B359AB"/>
    <w:rsid w:val="00B404F3"/>
    <w:rsid w:val="00B40A4C"/>
    <w:rsid w:val="00B4235F"/>
    <w:rsid w:val="00B449FC"/>
    <w:rsid w:val="00B52F02"/>
    <w:rsid w:val="00B53ADF"/>
    <w:rsid w:val="00B6165C"/>
    <w:rsid w:val="00B643CF"/>
    <w:rsid w:val="00B643F6"/>
    <w:rsid w:val="00B7036C"/>
    <w:rsid w:val="00B72592"/>
    <w:rsid w:val="00B811F7"/>
    <w:rsid w:val="00B81B1F"/>
    <w:rsid w:val="00B84254"/>
    <w:rsid w:val="00B90C19"/>
    <w:rsid w:val="00B93EC0"/>
    <w:rsid w:val="00BA5642"/>
    <w:rsid w:val="00BA5DC6"/>
    <w:rsid w:val="00BA6196"/>
    <w:rsid w:val="00BA6ED2"/>
    <w:rsid w:val="00BA7DA7"/>
    <w:rsid w:val="00BC0E4F"/>
    <w:rsid w:val="00BC6692"/>
    <w:rsid w:val="00BC6D8C"/>
    <w:rsid w:val="00BD0188"/>
    <w:rsid w:val="00BD24F0"/>
    <w:rsid w:val="00BD4BE0"/>
    <w:rsid w:val="00BE2C6B"/>
    <w:rsid w:val="00BE4EEE"/>
    <w:rsid w:val="00BE730B"/>
    <w:rsid w:val="00C113FA"/>
    <w:rsid w:val="00C11F30"/>
    <w:rsid w:val="00C12D2B"/>
    <w:rsid w:val="00C12F01"/>
    <w:rsid w:val="00C1435F"/>
    <w:rsid w:val="00C16B97"/>
    <w:rsid w:val="00C24C91"/>
    <w:rsid w:val="00C325F7"/>
    <w:rsid w:val="00C327C6"/>
    <w:rsid w:val="00C34006"/>
    <w:rsid w:val="00C351FB"/>
    <w:rsid w:val="00C36597"/>
    <w:rsid w:val="00C36757"/>
    <w:rsid w:val="00C36B4C"/>
    <w:rsid w:val="00C42316"/>
    <w:rsid w:val="00C426B1"/>
    <w:rsid w:val="00C55E72"/>
    <w:rsid w:val="00C563EA"/>
    <w:rsid w:val="00C57595"/>
    <w:rsid w:val="00C607CE"/>
    <w:rsid w:val="00C66160"/>
    <w:rsid w:val="00C66675"/>
    <w:rsid w:val="00C721AC"/>
    <w:rsid w:val="00C73C11"/>
    <w:rsid w:val="00C801B8"/>
    <w:rsid w:val="00C90B32"/>
    <w:rsid w:val="00C90D6A"/>
    <w:rsid w:val="00C90F14"/>
    <w:rsid w:val="00C97CE4"/>
    <w:rsid w:val="00CA247E"/>
    <w:rsid w:val="00CA6D21"/>
    <w:rsid w:val="00CB2E4D"/>
    <w:rsid w:val="00CB45B4"/>
    <w:rsid w:val="00CC72B6"/>
    <w:rsid w:val="00CC77E6"/>
    <w:rsid w:val="00CD0CD2"/>
    <w:rsid w:val="00CD1C31"/>
    <w:rsid w:val="00CD1E9B"/>
    <w:rsid w:val="00CD323C"/>
    <w:rsid w:val="00CD3D4C"/>
    <w:rsid w:val="00CD42CE"/>
    <w:rsid w:val="00CF2B0B"/>
    <w:rsid w:val="00CF3669"/>
    <w:rsid w:val="00D0218D"/>
    <w:rsid w:val="00D02B53"/>
    <w:rsid w:val="00D07B6E"/>
    <w:rsid w:val="00D25FB5"/>
    <w:rsid w:val="00D369E9"/>
    <w:rsid w:val="00D43C72"/>
    <w:rsid w:val="00D44223"/>
    <w:rsid w:val="00D454BA"/>
    <w:rsid w:val="00D46A71"/>
    <w:rsid w:val="00D53916"/>
    <w:rsid w:val="00D63493"/>
    <w:rsid w:val="00D63E33"/>
    <w:rsid w:val="00D849F7"/>
    <w:rsid w:val="00D84E45"/>
    <w:rsid w:val="00D8686B"/>
    <w:rsid w:val="00DA2529"/>
    <w:rsid w:val="00DA33AE"/>
    <w:rsid w:val="00DA7D81"/>
    <w:rsid w:val="00DB130A"/>
    <w:rsid w:val="00DB1F91"/>
    <w:rsid w:val="00DB2EBB"/>
    <w:rsid w:val="00DB3634"/>
    <w:rsid w:val="00DB3CAC"/>
    <w:rsid w:val="00DB42EB"/>
    <w:rsid w:val="00DC10A1"/>
    <w:rsid w:val="00DC3A7A"/>
    <w:rsid w:val="00DC655F"/>
    <w:rsid w:val="00DD0B59"/>
    <w:rsid w:val="00DD1EF9"/>
    <w:rsid w:val="00DD2F68"/>
    <w:rsid w:val="00DD4181"/>
    <w:rsid w:val="00DD7EBD"/>
    <w:rsid w:val="00DE1E92"/>
    <w:rsid w:val="00DE54DA"/>
    <w:rsid w:val="00DF523F"/>
    <w:rsid w:val="00DF62B6"/>
    <w:rsid w:val="00DF7D5A"/>
    <w:rsid w:val="00E046C0"/>
    <w:rsid w:val="00E07225"/>
    <w:rsid w:val="00E14B5E"/>
    <w:rsid w:val="00E16BE8"/>
    <w:rsid w:val="00E22AFC"/>
    <w:rsid w:val="00E3330C"/>
    <w:rsid w:val="00E50D4A"/>
    <w:rsid w:val="00E51BF9"/>
    <w:rsid w:val="00E5409F"/>
    <w:rsid w:val="00E66D15"/>
    <w:rsid w:val="00E71FB9"/>
    <w:rsid w:val="00E7273E"/>
    <w:rsid w:val="00E7413E"/>
    <w:rsid w:val="00E804F7"/>
    <w:rsid w:val="00E812A2"/>
    <w:rsid w:val="00E8267B"/>
    <w:rsid w:val="00E826E3"/>
    <w:rsid w:val="00E82E0B"/>
    <w:rsid w:val="00E8501B"/>
    <w:rsid w:val="00E86DE3"/>
    <w:rsid w:val="00E87EF0"/>
    <w:rsid w:val="00E900CB"/>
    <w:rsid w:val="00E95589"/>
    <w:rsid w:val="00E97BDA"/>
    <w:rsid w:val="00EA175A"/>
    <w:rsid w:val="00EA3EA4"/>
    <w:rsid w:val="00EA70DE"/>
    <w:rsid w:val="00EB2F7F"/>
    <w:rsid w:val="00EB3B3D"/>
    <w:rsid w:val="00EB44EA"/>
    <w:rsid w:val="00EC5178"/>
    <w:rsid w:val="00EC630A"/>
    <w:rsid w:val="00ED3495"/>
    <w:rsid w:val="00ED46B5"/>
    <w:rsid w:val="00EE2B13"/>
    <w:rsid w:val="00EE4888"/>
    <w:rsid w:val="00EE5D76"/>
    <w:rsid w:val="00EE6488"/>
    <w:rsid w:val="00EF1514"/>
    <w:rsid w:val="00EF1E3C"/>
    <w:rsid w:val="00EF3651"/>
    <w:rsid w:val="00EF6235"/>
    <w:rsid w:val="00F00058"/>
    <w:rsid w:val="00F0208B"/>
    <w:rsid w:val="00F021FA"/>
    <w:rsid w:val="00F02ABD"/>
    <w:rsid w:val="00F02B46"/>
    <w:rsid w:val="00F02BCA"/>
    <w:rsid w:val="00F10EE9"/>
    <w:rsid w:val="00F17329"/>
    <w:rsid w:val="00F25C30"/>
    <w:rsid w:val="00F33718"/>
    <w:rsid w:val="00F37BFA"/>
    <w:rsid w:val="00F446CD"/>
    <w:rsid w:val="00F4473D"/>
    <w:rsid w:val="00F4668E"/>
    <w:rsid w:val="00F520C8"/>
    <w:rsid w:val="00F5462E"/>
    <w:rsid w:val="00F55073"/>
    <w:rsid w:val="00F62E97"/>
    <w:rsid w:val="00F64209"/>
    <w:rsid w:val="00F65456"/>
    <w:rsid w:val="00F6714A"/>
    <w:rsid w:val="00F72EC7"/>
    <w:rsid w:val="00F769B8"/>
    <w:rsid w:val="00F83B3F"/>
    <w:rsid w:val="00F83E7A"/>
    <w:rsid w:val="00F854EA"/>
    <w:rsid w:val="00F8665C"/>
    <w:rsid w:val="00F9182F"/>
    <w:rsid w:val="00F93BF5"/>
    <w:rsid w:val="00F9540C"/>
    <w:rsid w:val="00FA0F3E"/>
    <w:rsid w:val="00FA2210"/>
    <w:rsid w:val="00FA40B9"/>
    <w:rsid w:val="00FA5917"/>
    <w:rsid w:val="00FB13D8"/>
    <w:rsid w:val="00FB5A0D"/>
    <w:rsid w:val="00FC25C3"/>
    <w:rsid w:val="00FC2622"/>
    <w:rsid w:val="00FC28B4"/>
    <w:rsid w:val="00FC2CE7"/>
    <w:rsid w:val="00FC34A7"/>
    <w:rsid w:val="00FC3BF1"/>
    <w:rsid w:val="00FC3D2E"/>
    <w:rsid w:val="00FC6FB2"/>
    <w:rsid w:val="00FD01A9"/>
    <w:rsid w:val="00FD072F"/>
    <w:rsid w:val="00FD10E2"/>
    <w:rsid w:val="00FD1ACD"/>
    <w:rsid w:val="00FD7E30"/>
    <w:rsid w:val="00FD7F33"/>
    <w:rsid w:val="00FE0EF6"/>
    <w:rsid w:val="00FE2355"/>
    <w:rsid w:val="00FE5F10"/>
    <w:rsid w:val="00FE63DE"/>
    <w:rsid w:val="00FF16DE"/>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1CD4AF7E"/>
  <w15:chartTrackingRefBased/>
  <w15:docId w15:val="{6729B7EC-78E1-464F-A407-61ED89FB48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qFormat="1"/>
    <w:lsdException w:name="footer" w:uiPriority="99"/>
    <w:lsdException w:name="caption" w:semiHidden="1" w:unhideWhenUsed="1" w:qFormat="1"/>
    <w:lsdException w:name="footnote reference"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D25FB5"/>
    <w:pPr>
      <w:widowControl w:val="0"/>
    </w:pPr>
    <w:rPr>
      <w:snapToGrid w:val="0"/>
      <w:kern w:val="28"/>
      <w:sz w:val="22"/>
    </w:rPr>
  </w:style>
  <w:style w:type="paragraph" w:styleId="Heading1">
    <w:name w:val="heading 1"/>
    <w:basedOn w:val="Normal"/>
    <w:next w:val="ParaNum"/>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7A1E6D"/>
    <w:pPr>
      <w:keepNext/>
      <w:numPr>
        <w:ilvl w:val="1"/>
        <w:numId w:val="3"/>
      </w:numPr>
      <w:spacing w:after="120"/>
      <w:outlineLvl w:val="1"/>
    </w:pPr>
    <w:rPr>
      <w:b/>
    </w:rPr>
  </w:style>
  <w:style w:type="paragraph" w:styleId="Heading3">
    <w:name w:val="heading 3"/>
    <w:basedOn w:val="Normal"/>
    <w:next w:val="ParaNum"/>
    <w:qFormat/>
    <w:rsid w:val="00BA6196"/>
    <w:pPr>
      <w:keepNext/>
      <w:numPr>
        <w:ilvl w:val="2"/>
        <w:numId w:val="3"/>
      </w:numPr>
      <w:tabs>
        <w:tab w:val="left" w:pos="2160"/>
      </w:tabs>
      <w:spacing w:after="120"/>
      <w:outlineLvl w:val="2"/>
    </w:pPr>
    <w:rPr>
      <w:b/>
    </w:rPr>
  </w:style>
  <w:style w:type="paragraph" w:styleId="Heading4">
    <w:name w:val="heading 4"/>
    <w:basedOn w:val="Normal"/>
    <w:next w:val="ParaNum"/>
    <w:qFormat/>
    <w:rsid w:val="00C426B1"/>
    <w:pPr>
      <w:keepNext/>
      <w:numPr>
        <w:ilvl w:val="3"/>
        <w:numId w:val="3"/>
      </w:numPr>
      <w:tabs>
        <w:tab w:val="left" w:pos="2880"/>
      </w:tabs>
      <w:spacing w:after="120"/>
      <w:outlineLvl w:val="3"/>
    </w:pPr>
    <w:rPr>
      <w:b/>
    </w:rPr>
  </w:style>
  <w:style w:type="paragraph" w:styleId="Heading5">
    <w:name w:val="heading 5"/>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036039"/>
    <w:pPr>
      <w:numPr>
        <w:ilvl w:val="5"/>
        <w:numId w:val="3"/>
      </w:numPr>
      <w:tabs>
        <w:tab w:val="left" w:pos="4320"/>
      </w:tabs>
      <w:spacing w:after="120"/>
      <w:outlineLvl w:val="5"/>
    </w:pPr>
    <w:rPr>
      <w:b/>
    </w:rPr>
  </w:style>
  <w:style w:type="paragraph" w:styleId="Heading7">
    <w:name w:val="heading 7"/>
    <w:basedOn w:val="Normal"/>
    <w:next w:val="ParaNum"/>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link w:val="ParaNumCharChar1"/>
    <w:rsid w:val="00FE0EF6"/>
    <w:pPr>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ALTS FOOTNOTE Char Char,ALTS FOOTNOTE Char Char Char Char,Footnote Text Char,Footnote Text Char Char,Footnote Text Char Char Char Char,Footnote Text Char1,Footnote Text Char1 Char Char,f,fn Char,fn Char Char,fn Char Char Char Char,fn Char1"/>
    <w:link w:val="FootnoteTextChar2"/>
    <w:qFormat/>
    <w:rsid w:val="000E3D42"/>
    <w:pPr>
      <w:spacing w:after="120"/>
    </w:pPr>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
    <w:qFormat/>
    <w:rsid w:val="00A32C3B"/>
    <w:rPr>
      <w:rFonts w:ascii="Times New Roman" w:hAnsi="Times New Roman"/>
      <w:dstrike w:val="0"/>
      <w:color w:val="auto"/>
      <w:sz w:val="20"/>
      <w:vertAlign w:val="superscript"/>
    </w:rPr>
  </w:style>
  <w:style w:type="paragraph" w:styleId="TOC1">
    <w:name w:val="toc 1"/>
    <w:basedOn w:val="Normal"/>
    <w:next w:val="Normal"/>
    <w:semiHidden/>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b/>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tabs>
        <w:tab w:val="left" w:pos="2160"/>
      </w:tabs>
      <w:spacing w:after="220"/>
      <w:ind w:left="2160" w:hanging="720"/>
    </w:pPr>
  </w:style>
  <w:style w:type="paragraph" w:customStyle="1" w:styleId="TableFormat">
    <w:name w:val="TableFormat"/>
    <w:basedOn w:val="Bullet"/>
    <w:p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rsid w:val="002A2D2E"/>
    <w:rPr>
      <w:color w:val="0000FF"/>
      <w:u w:val="single"/>
    </w:rPr>
  </w:style>
  <w:style w:type="character" w:customStyle="1" w:styleId="FooterChar">
    <w:name w:val="Footer Char"/>
    <w:link w:val="Footer"/>
    <w:uiPriority w:val="99"/>
    <w:rsid w:val="009D7308"/>
    <w:rPr>
      <w:snapToGrid w:val="0"/>
      <w:kern w:val="28"/>
      <w:sz w:val="22"/>
    </w:rPr>
  </w:style>
  <w:style w:type="character" w:customStyle="1" w:styleId="FootnoteTextChar2">
    <w:name w:val="Footnote Text Char2"/>
    <w:aliases w:val="ALTS FOOTNOTE Char Char Char,ALTS FOOTNOTE Char Char Char Char Char,Footnote Text Char Char1,Footnote Text Char Char Char,Footnote Text Char Char Char Char Char,Footnote Text Char1 Char,Footnote Text Char1 Char Char Char,f Char"/>
    <w:link w:val="FootnoteText"/>
    <w:locked/>
    <w:rsid w:val="00375EF9"/>
  </w:style>
  <w:style w:type="character" w:customStyle="1" w:styleId="ParaNumCharChar1">
    <w:name w:val="ParaNum Char Char1"/>
    <w:link w:val="ParaNum"/>
    <w:locked/>
    <w:rsid w:val="00375EF9"/>
    <w:rPr>
      <w:snapToGrid w:val="0"/>
      <w:kern w:val="28"/>
      <w:sz w:val="22"/>
    </w:rPr>
  </w:style>
  <w:style w:type="paragraph" w:styleId="Revision">
    <w:name w:val="Revision"/>
    <w:hidden/>
    <w:uiPriority w:val="99"/>
    <w:semiHidden/>
    <w:rsid w:val="00375EF9"/>
    <w:rPr>
      <w:snapToGrid w:val="0"/>
      <w:kern w:val="28"/>
      <w:sz w:val="22"/>
    </w:rPr>
  </w:style>
  <w:style w:type="character" w:styleId="UnresolvedMention">
    <w:name w:val="Unresolved Mention"/>
    <w:uiPriority w:val="99"/>
    <w:semiHidden/>
    <w:unhideWhenUsed/>
    <w:rsid w:val="00375EF9"/>
    <w:rPr>
      <w:color w:val="605E5C"/>
      <w:shd w:val="clear" w:color="auto" w:fill="E1DFDD"/>
    </w:rPr>
  </w:style>
  <w:style w:type="character" w:styleId="CommentReference">
    <w:name w:val="annotation reference"/>
    <w:rsid w:val="00375EF9"/>
    <w:rPr>
      <w:sz w:val="16"/>
      <w:szCs w:val="16"/>
    </w:rPr>
  </w:style>
  <w:style w:type="paragraph" w:styleId="CommentText">
    <w:name w:val="annotation text"/>
    <w:basedOn w:val="Normal"/>
    <w:link w:val="CommentTextChar"/>
    <w:rsid w:val="00375EF9"/>
    <w:rPr>
      <w:sz w:val="20"/>
    </w:rPr>
  </w:style>
  <w:style w:type="character" w:customStyle="1" w:styleId="CommentTextChar">
    <w:name w:val="Comment Text Char"/>
    <w:link w:val="CommentText"/>
    <w:rsid w:val="00375EF9"/>
    <w:rPr>
      <w:snapToGrid w:val="0"/>
      <w:kern w:val="28"/>
    </w:rPr>
  </w:style>
  <w:style w:type="paragraph" w:styleId="CommentSubject">
    <w:name w:val="annotation subject"/>
    <w:basedOn w:val="CommentText"/>
    <w:next w:val="CommentText"/>
    <w:link w:val="CommentSubjectChar"/>
    <w:rsid w:val="00375EF9"/>
    <w:rPr>
      <w:b/>
      <w:bCs/>
    </w:rPr>
  </w:style>
  <w:style w:type="character" w:customStyle="1" w:styleId="CommentSubjectChar">
    <w:name w:val="Comment Subject Char"/>
    <w:link w:val="CommentSubject"/>
    <w:rsid w:val="00375EF9"/>
    <w:rPr>
      <w:b/>
      <w:bCs/>
      <w:snapToGrid w:val="0"/>
      <w:kern w:val="28"/>
    </w:rPr>
  </w:style>
  <w:style w:type="paragraph" w:styleId="ListParagraph">
    <w:name w:val="List Paragraph"/>
    <w:basedOn w:val="Normal"/>
    <w:uiPriority w:val="34"/>
    <w:qFormat/>
    <w:rsid w:val="00375EF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theme" Target="theme/theme1.xml" /><Relationship Id="rId14" Type="http://schemas.openxmlformats.org/officeDocument/2006/relationships/numbering" Target="numbering.xml" /><Relationship Id="rId15"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http://www.fcc.gov/wireline-competition/2026-2027-tariff-review-plans" TargetMode="Externa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_rels/footnotes.xml.rels><?xml version="1.0" encoding="utf-8" standalone="yes"?><Relationships xmlns="http://schemas.openxmlformats.org/package/2006/relationships"><Relationship Id="rId1" Type="http://schemas.openxmlformats.org/officeDocument/2006/relationships/hyperlink" Target="https://www.reginfo.gov/public/do/PRAViewICR?ref_nbr=202602-3060-028" TargetMode="External" /><Relationship Id="rId2" Type="http://schemas.openxmlformats.org/officeDocument/2006/relationships/hyperlink" Target="https://www.reginfo.gov/public/do/PRAViewDocument?ref_nbr=202602-3060-028" TargetMode="Externa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Orders%20TOC%20by%20Paragraph.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Orders TOC by Paragraph</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