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13A8B" w:rsidRPr="00B20363" w:rsidP="00013A8B" w14:paraId="2A80DC94" w14:textId="1711B030">
      <w:pPr>
        <w:jc w:val="right"/>
        <w:rPr>
          <w:b/>
          <w:sz w:val="24"/>
        </w:rPr>
      </w:pPr>
      <w:r w:rsidRPr="00D13F3C">
        <w:rPr>
          <w:b/>
          <w:sz w:val="24"/>
        </w:rPr>
        <w:t xml:space="preserve">DA </w:t>
      </w:r>
      <w:r w:rsidRPr="00D13F3C" w:rsidR="00B810CC">
        <w:rPr>
          <w:b/>
          <w:sz w:val="24"/>
        </w:rPr>
        <w:t>26-</w:t>
      </w:r>
      <w:r w:rsidRPr="00D13F3C" w:rsidR="00D13F3C">
        <w:rPr>
          <w:b/>
          <w:sz w:val="24"/>
        </w:rPr>
        <w:t>475</w:t>
      </w:r>
    </w:p>
    <w:p w:rsidR="00013A8B" w:rsidRPr="00B20363" w:rsidP="00013A8B" w14:paraId="2C9ADCD4" w14:textId="3DBC8975">
      <w:pPr>
        <w:spacing w:before="60"/>
        <w:jc w:val="right"/>
        <w:rPr>
          <w:b/>
          <w:sz w:val="24"/>
        </w:rPr>
      </w:pPr>
      <w:r>
        <w:rPr>
          <w:b/>
          <w:sz w:val="24"/>
        </w:rPr>
        <w:t xml:space="preserve">Released:  </w:t>
      </w:r>
      <w:r w:rsidR="00B810CC">
        <w:rPr>
          <w:b/>
          <w:sz w:val="24"/>
        </w:rPr>
        <w:t>May 15, 202</w:t>
      </w:r>
      <w:r w:rsidR="00403977">
        <w:rPr>
          <w:b/>
          <w:sz w:val="24"/>
        </w:rPr>
        <w:t>6</w:t>
      </w:r>
    </w:p>
    <w:p w:rsidR="00013A8B" w:rsidP="00013A8B" w14:paraId="4C167A4C" w14:textId="77777777">
      <w:pPr>
        <w:jc w:val="right"/>
        <w:rPr>
          <w:sz w:val="24"/>
        </w:rPr>
      </w:pPr>
    </w:p>
    <w:p w:rsidR="00013A8B" w:rsidP="00013A8B" w14:paraId="65A6D7FC" w14:textId="57DC5826">
      <w:pPr>
        <w:spacing w:after="240"/>
        <w:jc w:val="center"/>
        <w:rPr>
          <w:b/>
          <w:sz w:val="24"/>
        </w:rPr>
      </w:pPr>
      <w:r w:rsidRPr="00376753">
        <w:rPr>
          <w:rFonts w:ascii="Times New Roman Bold" w:hAnsi="Times New Roman Bold"/>
          <w:b/>
          <w:caps/>
          <w:sz w:val="24"/>
        </w:rPr>
        <w:t xml:space="preserve">WIRELINE COMPETITION BUREAU REMINDS COMPETITIVE LOCAL EXCHANGE CARRIERS TO FILE REVISED TARIFFS BY JULY </w:t>
      </w:r>
      <w:r>
        <w:rPr>
          <w:rFonts w:ascii="Times New Roman Bold" w:hAnsi="Times New Roman Bold"/>
          <w:b/>
          <w:caps/>
          <w:sz w:val="24"/>
        </w:rPr>
        <w:t xml:space="preserve">16, </w:t>
      </w:r>
      <w:r w:rsidR="00B810CC">
        <w:rPr>
          <w:rFonts w:ascii="Times New Roman Bold" w:hAnsi="Times New Roman Bold"/>
          <w:b/>
          <w:caps/>
          <w:sz w:val="24"/>
        </w:rPr>
        <w:t>202</w:t>
      </w:r>
      <w:r w:rsidR="00403977">
        <w:rPr>
          <w:rFonts w:ascii="Times New Roman Bold" w:hAnsi="Times New Roman Bold"/>
          <w:b/>
          <w:caps/>
          <w:sz w:val="24"/>
        </w:rPr>
        <w:t>6</w:t>
      </w:r>
    </w:p>
    <w:p w:rsidR="00013A8B" w:rsidP="00013A8B" w14:paraId="4CB8CD11" w14:textId="3B2E98B3">
      <w:pPr>
        <w:jc w:val="center"/>
        <w:rPr>
          <w:b/>
          <w:sz w:val="24"/>
        </w:rPr>
      </w:pPr>
      <w:r>
        <w:rPr>
          <w:b/>
          <w:sz w:val="24"/>
        </w:rPr>
        <w:t xml:space="preserve">WC Docket No. </w:t>
      </w:r>
      <w:r w:rsidR="00B810CC">
        <w:rPr>
          <w:b/>
          <w:sz w:val="24"/>
        </w:rPr>
        <w:t>26-50</w:t>
      </w:r>
    </w:p>
    <w:p w:rsidR="005135C9" w:rsidP="005135C9" w14:paraId="01E85225" w14:textId="77777777">
      <w:pPr>
        <w:rPr>
          <w:b/>
          <w:sz w:val="24"/>
        </w:rPr>
      </w:pPr>
    </w:p>
    <w:p w:rsidR="005135C9" w:rsidP="005135C9" w14:paraId="418D1F40" w14:textId="05A4DE47">
      <w:pPr>
        <w:spacing w:after="120"/>
        <w:ind w:firstLine="720"/>
      </w:pPr>
      <w:r>
        <w:t xml:space="preserve">By this Public Notice, the Wireline Competition Bureau (Bureau) reminds competitive local exchange carriers (LECs) benchmarking their tariffed rates to competing incumbent LECs to file interstate tariff revisions, as necessary, by </w:t>
      </w:r>
      <w:r w:rsidRPr="007A4025">
        <w:rPr>
          <w:b/>
          <w:bCs/>
        </w:rPr>
        <w:t xml:space="preserve">July </w:t>
      </w:r>
      <w:r>
        <w:rPr>
          <w:b/>
          <w:bCs/>
        </w:rPr>
        <w:t xml:space="preserve">16, </w:t>
      </w:r>
      <w:r w:rsidR="00B810CC">
        <w:rPr>
          <w:b/>
          <w:bCs/>
        </w:rPr>
        <w:t>2026</w:t>
      </w:r>
      <w:r>
        <w:t>.</w:t>
      </w:r>
      <w:r>
        <w:rPr>
          <w:rStyle w:val="FootnoteReference"/>
        </w:rPr>
        <w:footnoteReference w:id="3"/>
      </w:r>
      <w:r>
        <w:t xml:space="preserve">  </w:t>
      </w:r>
    </w:p>
    <w:p w:rsidR="005135C9" w:rsidP="005135C9" w14:paraId="5DF4B9EF" w14:textId="2DF19218">
      <w:pPr>
        <w:widowControl/>
        <w:spacing w:after="120"/>
      </w:pPr>
      <w:r>
        <w:tab/>
        <w:t>C</w:t>
      </w:r>
      <w:r w:rsidRPr="008969C0">
        <w:t>ompetitive</w:t>
      </w:r>
      <w:r>
        <w:t xml:space="preserve"> LECs are prohibited from filing a tariffed rate for interstate switched exchange access services that is higher than “the benchmark rate”—“the rate charged for similar services by the competing [incumbent LEC].”</w:t>
      </w:r>
      <w:r>
        <w:rPr>
          <w:rStyle w:val="FootnoteReference"/>
        </w:rPr>
        <w:footnoteReference w:id="4"/>
      </w:r>
      <w:r>
        <w:t xml:space="preserve">  I</w:t>
      </w:r>
      <w:r w:rsidRPr="00450FBF">
        <w:t xml:space="preserve">f an </w:t>
      </w:r>
      <w:r>
        <w:t xml:space="preserve">incumbent </w:t>
      </w:r>
      <w:r w:rsidRPr="00450FBF">
        <w:t xml:space="preserve">LEC to which a </w:t>
      </w:r>
      <w:r>
        <w:t xml:space="preserve">competitive </w:t>
      </w:r>
      <w:r w:rsidRPr="00450FBF">
        <w:t xml:space="preserve">LEC benchmarks its rates, lowers </w:t>
      </w:r>
      <w:r>
        <w:t xml:space="preserve">its </w:t>
      </w:r>
      <w:r w:rsidRPr="00450FBF">
        <w:t>rate</w:t>
      </w:r>
      <w:r>
        <w:t>s</w:t>
      </w:r>
      <w:r w:rsidRPr="00450FBF">
        <w:t xml:space="preserve">, the </w:t>
      </w:r>
      <w:r>
        <w:t xml:space="preserve">competitive </w:t>
      </w:r>
      <w:r w:rsidRPr="00450FBF">
        <w:t xml:space="preserve">LEC </w:t>
      </w:r>
      <w:r>
        <w:t>“</w:t>
      </w:r>
      <w:r w:rsidRPr="00450FBF">
        <w:t>must re</w:t>
      </w:r>
      <w:r>
        <w:t xml:space="preserve">vise </w:t>
      </w:r>
      <w:r w:rsidRPr="00450FBF">
        <w:t xml:space="preserve">its rates to the lower level within 15 days of the effective date of the lowered </w:t>
      </w:r>
      <w:r>
        <w:t xml:space="preserve">[incumbent </w:t>
      </w:r>
      <w:r w:rsidRPr="00450FBF">
        <w:t>LEC</w:t>
      </w:r>
      <w:r>
        <w:t>]</w:t>
      </w:r>
      <w:r w:rsidRPr="00450FBF">
        <w:t xml:space="preserve"> rate.</w:t>
      </w:r>
      <w:r>
        <w:t>”</w:t>
      </w:r>
      <w:r>
        <w:rPr>
          <w:rStyle w:val="FootnoteReference"/>
        </w:rPr>
        <w:footnoteReference w:id="5"/>
      </w:r>
      <w:r>
        <w:t xml:space="preserve">  This year, incumbent LEC’s rate reductions, which must be filed on 7-days’ notice, will be effective on July 1, </w:t>
      </w:r>
      <w:r w:rsidR="00B810CC">
        <w:t>2026</w:t>
      </w:r>
      <w:r>
        <w:t>.</w:t>
      </w:r>
      <w:r>
        <w:rPr>
          <w:rStyle w:val="FootnoteReference"/>
        </w:rPr>
        <w:footnoteReference w:id="6"/>
      </w:r>
      <w:r>
        <w:t xml:space="preserve">  Accordingly, competitive LECs must file tariff revisions in the Electronic Tariff Filing System (ETFS), as necessary, </w:t>
      </w:r>
      <w:r w:rsidRPr="00C5298F">
        <w:t xml:space="preserve">reducing their </w:t>
      </w:r>
      <w:r>
        <w:t xml:space="preserve">applicable </w:t>
      </w:r>
      <w:r w:rsidRPr="00C5298F">
        <w:t xml:space="preserve">benchmarked rates </w:t>
      </w:r>
      <w:r>
        <w:t xml:space="preserve">on or before </w:t>
      </w:r>
      <w:r>
        <w:rPr>
          <w:b/>
          <w:bCs/>
        </w:rPr>
        <w:t xml:space="preserve">July 16, </w:t>
      </w:r>
      <w:r w:rsidR="00B810CC">
        <w:rPr>
          <w:b/>
          <w:bCs/>
        </w:rPr>
        <w:t xml:space="preserve">2026 </w:t>
      </w:r>
      <w:r>
        <w:rPr>
          <w:b/>
          <w:bCs/>
        </w:rPr>
        <w:t>by 7:00 p.m. Eastern Time</w:t>
      </w:r>
      <w:r w:rsidRPr="00450FBF">
        <w:t>.</w:t>
      </w:r>
      <w:r>
        <w:rPr>
          <w:rStyle w:val="FootnoteReference"/>
        </w:rPr>
        <w:footnoteReference w:id="7"/>
      </w:r>
      <w:r>
        <w:t xml:space="preserve">  To minimize burdens on filers and to promote administrative efficiency, we encourage competitive LECs benchmarking rates to competing incumbent LECs’ rates, to file their tariff revisions </w:t>
      </w:r>
      <w:r w:rsidRPr="00055965">
        <w:rPr>
          <w:i/>
          <w:iCs/>
        </w:rPr>
        <w:t>after</w:t>
      </w:r>
      <w:r>
        <w:t xml:space="preserve"> the competing incumbent LECs’ benchmarked rates become effective on July 1, </w:t>
      </w:r>
      <w:r w:rsidR="00B810CC">
        <w:t>2026</w:t>
      </w:r>
      <w:r>
        <w:t>.</w:t>
      </w:r>
      <w:r w:rsidRPr="0061040A">
        <w:rPr>
          <w:rStyle w:val="FootnoteReference"/>
        </w:rPr>
        <w:t xml:space="preserve"> </w:t>
      </w:r>
    </w:p>
    <w:p w:rsidR="005135C9" w:rsidP="005135C9" w14:paraId="108DDDF1" w14:textId="77777777">
      <w:r>
        <w:tab/>
        <w:t xml:space="preserve">For more information about this Public Notice, please contact Christopher S. Koves, Pricing Policy Division, Wireline Competition Bureau, </w:t>
      </w:r>
      <w:hyperlink r:id="rId6" w:history="1">
        <w:r w:rsidRPr="000F489C">
          <w:rPr>
            <w:rStyle w:val="Hyperlink"/>
          </w:rPr>
          <w:t>Christopher.Koves@fcc.gov</w:t>
        </w:r>
      </w:hyperlink>
      <w:r>
        <w:t xml:space="preserve">.  </w:t>
      </w:r>
    </w:p>
    <w:p w:rsidR="005135C9" w:rsidP="005135C9" w14:paraId="2D883168" w14:textId="77777777"/>
    <w:p w:rsidR="005135C9" w:rsidP="005135C9" w14:paraId="5CDC27DD" w14:textId="77777777">
      <w:pPr>
        <w:jc w:val="center"/>
      </w:pPr>
      <w:r w:rsidRPr="00DC68BC">
        <w:rPr>
          <w:b/>
          <w:szCs w:val="22"/>
        </w:rPr>
        <w:t>- FCC -</w:t>
      </w:r>
    </w:p>
    <w:p w:rsidR="005135C9" w:rsidP="005135C9" w14:paraId="04F23543" w14:textId="77777777"/>
    <w:p w:rsidR="005135C9" w:rsidP="005135C9" w14:paraId="6B3CEF9F" w14:textId="77777777">
      <w:pPr>
        <w:rPr>
          <w:b/>
          <w:sz w:val="24"/>
        </w:rPr>
      </w:pPr>
    </w:p>
    <w:p w:rsidR="00F96F63" w:rsidP="00F96F63" w14:paraId="689FDBF1" w14:textId="77777777">
      <w:pPr>
        <w:rPr>
          <w:sz w:val="24"/>
        </w:rPr>
      </w:pPr>
      <w:bookmarkStart w:id="0" w:name="TOChere"/>
    </w:p>
    <w:bookmarkEnd w:id="0"/>
    <w:p w:rsidR="00F96F63" w:rsidP="00F96F63" w14:paraId="57C5936D" w14:textId="77777777">
      <w:pPr>
        <w:rPr>
          <w:sz w:val="24"/>
        </w:rPr>
      </w:pPr>
    </w:p>
    <w:p w:rsidR="00D81835" w:rsidP="00F96F63" w14:paraId="1EB57D3B" w14:textId="77777777">
      <w:pPr>
        <w:rPr>
          <w:sz w:val="24"/>
        </w:rPr>
      </w:pPr>
    </w:p>
    <w:p w:rsidR="00930ECF" w:rsidRPr="00930ECF" w:rsidP="00F96F63" w14:paraId="51B5A57F" w14:textId="77777777">
      <w:pPr>
        <w:rPr>
          <w:sz w:val="24"/>
        </w:rPr>
      </w:pPr>
    </w:p>
    <w:sectPr w:rsidSect="000E5884">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E5388" w14:paraId="76CD5304" w14:textId="77777777">
      <w:pPr>
        <w:spacing w:line="20" w:lineRule="exact"/>
      </w:pPr>
    </w:p>
  </w:endnote>
  <w:endnote w:type="continuationSeparator" w:id="1">
    <w:p w:rsidR="00AE5388" w14:paraId="3AA388E2" w14:textId="77777777">
      <w:r>
        <w:t xml:space="preserve"> </w:t>
      </w:r>
    </w:p>
  </w:endnote>
  <w:endnote w:type="continuationNotice" w:id="2">
    <w:p w:rsidR="00AE5388" w14:paraId="29A540C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737F6B83"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7A4C653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603B337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0100239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E5388" w14:paraId="467F602D" w14:textId="77777777">
      <w:r>
        <w:separator/>
      </w:r>
    </w:p>
  </w:footnote>
  <w:footnote w:type="continuationSeparator" w:id="1">
    <w:p w:rsidR="00AE5388" w14:paraId="6036DD7E" w14:textId="77777777">
      <w:pPr>
        <w:rPr>
          <w:sz w:val="20"/>
        </w:rPr>
      </w:pPr>
      <w:r>
        <w:rPr>
          <w:sz w:val="20"/>
        </w:rPr>
        <w:t xml:space="preserve">(Continued from previous page)  </w:t>
      </w:r>
      <w:r>
        <w:rPr>
          <w:sz w:val="20"/>
        </w:rPr>
        <w:separator/>
      </w:r>
    </w:p>
  </w:footnote>
  <w:footnote w:type="continuationNotice" w:id="2">
    <w:p w:rsidR="00AE5388" w:rsidP="00910F12" w14:paraId="1CE5D2F9" w14:textId="77777777">
      <w:pPr>
        <w:jc w:val="right"/>
        <w:rPr>
          <w:sz w:val="20"/>
        </w:rPr>
      </w:pPr>
      <w:r>
        <w:rPr>
          <w:sz w:val="20"/>
        </w:rPr>
        <w:t>(continued….)</w:t>
      </w:r>
    </w:p>
  </w:footnote>
  <w:footnote w:id="3">
    <w:p w:rsidR="005135C9" w:rsidP="005135C9" w14:paraId="5AF1F500" w14:textId="77777777">
      <w:pPr>
        <w:pStyle w:val="FootnoteText"/>
      </w:pPr>
      <w:r>
        <w:rPr>
          <w:rStyle w:val="FootnoteReference"/>
        </w:rPr>
        <w:footnoteRef/>
      </w:r>
      <w:r>
        <w:t xml:space="preserve"> </w:t>
      </w:r>
      <w:r w:rsidRPr="004D0BDA">
        <w:rPr>
          <w:i/>
          <w:iCs/>
        </w:rPr>
        <w:t>See</w:t>
      </w:r>
      <w:r>
        <w:t xml:space="preserve"> 47 CFR § </w:t>
      </w:r>
      <w:r w:rsidRPr="0066681D">
        <w:t xml:space="preserve">61.26(c) (“If an </w:t>
      </w:r>
      <w:r>
        <w:t>[incumbent LEC]</w:t>
      </w:r>
      <w:r w:rsidRPr="0066681D">
        <w:t xml:space="preserve"> to which a </w:t>
      </w:r>
      <w:r>
        <w:t>[competitive LEC]</w:t>
      </w:r>
      <w:r w:rsidRPr="0066681D">
        <w:t xml:space="preserve"> benchmarks its rates . . . lowers the rate to which a </w:t>
      </w:r>
      <w:r>
        <w:t>[competitive LEC]</w:t>
      </w:r>
      <w:r w:rsidRPr="0066681D">
        <w:t xml:space="preserve"> benchmarks, the </w:t>
      </w:r>
      <w:r>
        <w:t xml:space="preserve">[competitive </w:t>
      </w:r>
      <w:r w:rsidRPr="0066681D">
        <w:t>LEC</w:t>
      </w:r>
      <w:r>
        <w:t>]</w:t>
      </w:r>
      <w:r w:rsidRPr="0066681D">
        <w:t xml:space="preserve"> must revise its rates to the lower level within 15 days of the effective date of the lowered </w:t>
      </w:r>
      <w:r>
        <w:t xml:space="preserve">[incumbent </w:t>
      </w:r>
      <w:r w:rsidRPr="0066681D">
        <w:t>LEC</w:t>
      </w:r>
      <w:r>
        <w:t>]</w:t>
      </w:r>
      <w:r w:rsidRPr="0066681D">
        <w:t xml:space="preserve"> rate.”)</w:t>
      </w:r>
      <w:r>
        <w:t xml:space="preserve">. </w:t>
      </w:r>
    </w:p>
  </w:footnote>
  <w:footnote w:id="4">
    <w:p w:rsidR="005135C9" w:rsidP="005135C9" w14:paraId="0F50DA8B" w14:textId="3315B456">
      <w:pPr>
        <w:pStyle w:val="FootnoteText"/>
      </w:pPr>
      <w:r>
        <w:rPr>
          <w:rStyle w:val="FootnoteReference"/>
        </w:rPr>
        <w:footnoteRef/>
      </w:r>
      <w:r>
        <w:t xml:space="preserve"> </w:t>
      </w:r>
      <w:r w:rsidRPr="003D6FB3" w:rsidR="005642B1">
        <w:rPr>
          <w:i/>
          <w:iCs/>
        </w:rPr>
        <w:t>Id</w:t>
      </w:r>
      <w:r>
        <w:t>.</w:t>
      </w:r>
    </w:p>
  </w:footnote>
  <w:footnote w:id="5">
    <w:p w:rsidR="005135C9" w:rsidP="005135C9" w14:paraId="2BDCBC4C" w14:textId="77777777">
      <w:pPr>
        <w:pStyle w:val="FootnoteText"/>
      </w:pPr>
      <w:r>
        <w:rPr>
          <w:rStyle w:val="FootnoteReference"/>
        </w:rPr>
        <w:footnoteRef/>
      </w:r>
      <w:r>
        <w:t xml:space="preserve"> </w:t>
      </w:r>
      <w:r w:rsidRPr="00DB3EEF">
        <w:rPr>
          <w:i/>
          <w:iCs/>
        </w:rPr>
        <w:t>Id</w:t>
      </w:r>
      <w:r>
        <w:t xml:space="preserve">. </w:t>
      </w:r>
    </w:p>
  </w:footnote>
  <w:footnote w:id="6">
    <w:p w:rsidR="005135C9" w:rsidP="005135C9" w14:paraId="4E30731F" w14:textId="7B2CE8A5">
      <w:pPr>
        <w:pStyle w:val="FootnoteText"/>
      </w:pPr>
      <w:r>
        <w:rPr>
          <w:rStyle w:val="FootnoteReference"/>
        </w:rPr>
        <w:footnoteRef/>
      </w:r>
      <w:r>
        <w:t xml:space="preserve"> </w:t>
      </w:r>
      <w:r w:rsidRPr="00B810CC" w:rsidR="00B810CC">
        <w:rPr>
          <w:i/>
        </w:rPr>
        <w:t>July 1, 2026 Annual Access Charge Tariff Filings</w:t>
      </w:r>
      <w:r w:rsidRPr="003D6FB3" w:rsidR="00B810CC">
        <w:rPr>
          <w:iCs/>
        </w:rPr>
        <w:t>, WC Docket No. 26-50, Order, DA 26-</w:t>
      </w:r>
      <w:r w:rsidR="00102590">
        <w:rPr>
          <w:iCs/>
        </w:rPr>
        <w:t>254</w:t>
      </w:r>
      <w:r w:rsidRPr="003D6FB3" w:rsidR="00B810CC">
        <w:rPr>
          <w:iCs/>
        </w:rPr>
        <w:t xml:space="preserve"> (WCB/PPD rel. Mar</w:t>
      </w:r>
      <w:r w:rsidR="00F15F10">
        <w:rPr>
          <w:iCs/>
        </w:rPr>
        <w:t>.</w:t>
      </w:r>
      <w:r w:rsidRPr="003D6FB3" w:rsidR="00B810CC">
        <w:rPr>
          <w:iCs/>
        </w:rPr>
        <w:t xml:space="preserve"> 25, 2026) (</w:t>
      </w:r>
      <w:r w:rsidRPr="00B810CC" w:rsidR="00B810CC">
        <w:rPr>
          <w:i/>
        </w:rPr>
        <w:t>Procedures Order</w:t>
      </w:r>
      <w:r w:rsidRPr="003D6FB3" w:rsidR="00B810CC">
        <w:rPr>
          <w:iCs/>
        </w:rPr>
        <w:t>).</w:t>
      </w:r>
      <w:r>
        <w:t xml:space="preserve"> </w:t>
      </w:r>
    </w:p>
  </w:footnote>
  <w:footnote w:id="7">
    <w:p w:rsidR="005135C9" w:rsidP="005135C9" w14:paraId="33BD38FD" w14:textId="0A0F361E">
      <w:pPr>
        <w:pStyle w:val="FootnoteText"/>
      </w:pPr>
      <w:r>
        <w:rPr>
          <w:rStyle w:val="FootnoteReference"/>
        </w:rPr>
        <w:footnoteRef/>
      </w:r>
      <w:r>
        <w:t xml:space="preserve"> </w:t>
      </w:r>
      <w:r w:rsidRPr="008460E7">
        <w:rPr>
          <w:i/>
          <w:iCs/>
        </w:rPr>
        <w:t>See</w:t>
      </w:r>
      <w:r>
        <w:t xml:space="preserve"> </w:t>
      </w:r>
      <w:r w:rsidRPr="008460E7">
        <w:t>47 CFR § 61.26(c)</w:t>
      </w:r>
      <w:r>
        <w:t xml:space="preserve">; </w:t>
      </w:r>
      <w:r w:rsidRPr="00DB3EEF">
        <w:rPr>
          <w:i/>
          <w:iCs/>
        </w:rPr>
        <w:t>Procedures Order</w:t>
      </w:r>
      <w:r>
        <w:t xml:space="preserve"> at 3, para. </w:t>
      </w:r>
      <w:r w:rsidR="005642B1">
        <w:t>5</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3A7473D3" w14:textId="73473621">
    <w:pPr>
      <w:tabs>
        <w:tab w:val="center" w:pos="4680"/>
        <w:tab w:val="right" w:pos="9360"/>
      </w:tabs>
    </w:pPr>
    <w:r w:rsidRPr="009838BC">
      <w:rPr>
        <w:b/>
      </w:rPr>
      <w:tab/>
      <w:t>Federal Communications Commission</w:t>
    </w:r>
    <w:r w:rsidRPr="009838BC">
      <w:rPr>
        <w:b/>
      </w:rPr>
      <w:tab/>
    </w:r>
    <w:r w:rsidR="005135C9">
      <w:rPr>
        <w:b/>
      </w:rPr>
      <w:t>DA 25-</w:t>
    </w:r>
    <w:r w:rsidR="00E7221C">
      <w:rPr>
        <w:b/>
      </w:rPr>
      <w:t>398</w:t>
    </w:r>
  </w:p>
  <w:p w:rsidR="009838BC" w:rsidRPr="009838BC" w:rsidP="009838BC" w14:paraId="208C4650" w14:textId="3D2C8BBC">
    <w:pPr>
      <w:tabs>
        <w:tab w:val="left" w:pos="-720"/>
      </w:tabs>
      <w:suppressAutoHyphens/>
      <w:spacing w:line="19" w:lineRule="exact"/>
      <w:rPr>
        <w:spacing w:val="-2"/>
      </w:rPr>
    </w:pPr>
    <w:r>
      <w:rPr>
        <w:noProof/>
      </w:rPr>
      <mc:AlternateContent>
        <mc:Choice Requires="wps">
          <w:drawing>
            <wp:anchor distT="0" distB="0" distL="114300" distR="114300" simplePos="0" relativeHeight="251665408" behindDoc="1" locked="0" layoutInCell="0" allowOverlap="1">
              <wp:simplePos x="0" y="0"/>
              <wp:positionH relativeFrom="margin">
                <wp:posOffset>0</wp:posOffset>
              </wp:positionH>
              <wp:positionV relativeFrom="paragraph">
                <wp:posOffset>0</wp:posOffset>
              </wp:positionV>
              <wp:extent cx="5943600" cy="12065"/>
              <wp:effectExtent l="0" t="0" r="0" b="0"/>
              <wp:wrapNone/>
              <wp:docPr id="206830557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0048" o:allowincell="f" fillcolor="black" stroked="f" strokeweight="0.05pt">
              <w10:wrap anchorx="margin"/>
            </v:rect>
          </w:pict>
        </mc:Fallback>
      </mc:AlternateContent>
    </w:r>
  </w:p>
  <w:p w:rsidR="009838BC" w:rsidRPr="009838BC" w:rsidP="009838BC" w14:paraId="40722AAD"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31D843BC" w14:textId="25EE8734">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71865385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DE0AB8" w:rsidP="00DE0AB8" w14:paraId="03CB720E" w14:textId="77777777">
                    <w:pPr>
                      <w:rPr>
                        <w:rFonts w:ascii="Arial" w:hAnsi="Arial"/>
                        <w:b/>
                        <w:snapToGrid/>
                      </w:rPr>
                    </w:pPr>
                    <w:r>
                      <w:rPr>
                        <w:rFonts w:ascii="Arial" w:hAnsi="Arial"/>
                        <w:b/>
                      </w:rPr>
                      <w:t>Federal Communications Commission</w:t>
                    </w:r>
                  </w:p>
                  <w:p w:rsidR="00DE0AB8" w:rsidP="00DE0AB8" w14:paraId="2EE3367D" w14:textId="77777777">
                    <w:pPr>
                      <w:rPr>
                        <w:rFonts w:ascii="Arial" w:hAnsi="Arial"/>
                        <w:b/>
                      </w:rPr>
                    </w:pPr>
                    <w:r>
                      <w:rPr>
                        <w:rFonts w:ascii="Arial" w:hAnsi="Arial"/>
                        <w:b/>
                      </w:rPr>
                      <w:t>45 L Street NE</w:t>
                    </w:r>
                  </w:p>
                  <w:p w:rsidR="009838BC" w:rsidP="00DE0AB8" w14:paraId="5DAE241D"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70129E">
      <w:rPr>
        <w:rFonts w:ascii="Arial" w:hAnsi="Arial" w:cs="Arial"/>
        <w:b/>
        <w:sz w:val="96"/>
      </w:rPr>
      <w:t>PUBLIC NOTICE</w:t>
    </w:r>
  </w:p>
  <w:p w:rsidR="009838BC" w:rsidRPr="00357D50" w:rsidP="009838BC" w14:paraId="50AB3EF0" w14:textId="524ECDA7">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720090</wp:posOffset>
              </wp:positionV>
              <wp:extent cx="5943600" cy="0"/>
              <wp:effectExtent l="12700" t="5715" r="6350" b="13335"/>
              <wp:wrapNone/>
              <wp:docPr id="1601044143"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1188831988"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9838BC" w:rsidP="009838BC" w14:paraId="78A17C35" w14:textId="77777777">
                    <w:pPr>
                      <w:spacing w:before="40"/>
                      <w:jc w:val="right"/>
                      <w:rPr>
                        <w:rFonts w:ascii="Arial" w:hAnsi="Arial"/>
                        <w:b/>
                        <w:sz w:val="16"/>
                      </w:rPr>
                    </w:pPr>
                    <w:r>
                      <w:rPr>
                        <w:rFonts w:ascii="Arial" w:hAnsi="Arial"/>
                        <w:b/>
                        <w:sz w:val="16"/>
                      </w:rPr>
                      <w:t>News Media Information 202 / 418-0500</w:t>
                    </w:r>
                  </w:p>
                  <w:p w:rsidR="009838BC" w:rsidP="009838BC" w14:paraId="6626F2F7"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7F43D55A" w14:textId="77777777">
                    <w:pPr>
                      <w:jc w:val="right"/>
                    </w:pPr>
                    <w:r>
                      <w:rPr>
                        <w:rFonts w:ascii="Arial" w:hAnsi="Arial"/>
                        <w:b/>
                        <w:sz w:val="16"/>
                      </w:rPr>
                      <w:t>TTY: 1-888-835-5322</w:t>
                    </w:r>
                  </w:p>
                </w:txbxContent>
              </v:textbox>
            </v:shape>
          </w:pict>
        </mc:Fallback>
      </mc:AlternateContent>
    </w:r>
  </w:p>
  <w:p w:rsidR="006F7393" w:rsidRPr="009838BC" w:rsidP="009838BC" w14:paraId="549A6D81"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428819110">
    <w:abstractNumId w:val="1"/>
  </w:num>
  <w:num w:numId="2" w16cid:durableId="795369262">
    <w:abstractNumId w:val="5"/>
  </w:num>
  <w:num w:numId="3" w16cid:durableId="684094407">
    <w:abstractNumId w:val="3"/>
  </w:num>
  <w:num w:numId="4" w16cid:durableId="1954049663">
    <w:abstractNumId w:val="4"/>
  </w:num>
  <w:num w:numId="5" w16cid:durableId="1366251826">
    <w:abstractNumId w:val="2"/>
  </w:num>
  <w:num w:numId="6" w16cid:durableId="6026100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5C9"/>
    <w:rsid w:val="000072CE"/>
    <w:rsid w:val="00013A8B"/>
    <w:rsid w:val="00015C6A"/>
    <w:rsid w:val="00021445"/>
    <w:rsid w:val="0002332F"/>
    <w:rsid w:val="00036039"/>
    <w:rsid w:val="00037F90"/>
    <w:rsid w:val="00055965"/>
    <w:rsid w:val="000822B4"/>
    <w:rsid w:val="00086E2E"/>
    <w:rsid w:val="000875BF"/>
    <w:rsid w:val="00096D8C"/>
    <w:rsid w:val="000A1D1F"/>
    <w:rsid w:val="000A3FB4"/>
    <w:rsid w:val="000C0B65"/>
    <w:rsid w:val="000E3D42"/>
    <w:rsid w:val="000E5884"/>
    <w:rsid w:val="000F2CEC"/>
    <w:rsid w:val="000F489C"/>
    <w:rsid w:val="00102590"/>
    <w:rsid w:val="00122BD5"/>
    <w:rsid w:val="001979D9"/>
    <w:rsid w:val="001A222A"/>
    <w:rsid w:val="001D6BCF"/>
    <w:rsid w:val="001E01CA"/>
    <w:rsid w:val="002060D9"/>
    <w:rsid w:val="00226822"/>
    <w:rsid w:val="00260594"/>
    <w:rsid w:val="00285017"/>
    <w:rsid w:val="002A22B2"/>
    <w:rsid w:val="002A2D2E"/>
    <w:rsid w:val="00343749"/>
    <w:rsid w:val="00357D50"/>
    <w:rsid w:val="00376753"/>
    <w:rsid w:val="003925DC"/>
    <w:rsid w:val="003B0550"/>
    <w:rsid w:val="003B694F"/>
    <w:rsid w:val="003D6FB3"/>
    <w:rsid w:val="003F046D"/>
    <w:rsid w:val="003F171C"/>
    <w:rsid w:val="00403977"/>
    <w:rsid w:val="00412FC5"/>
    <w:rsid w:val="00422276"/>
    <w:rsid w:val="004242F1"/>
    <w:rsid w:val="004252E1"/>
    <w:rsid w:val="00445A00"/>
    <w:rsid w:val="00450FBF"/>
    <w:rsid w:val="00451B0F"/>
    <w:rsid w:val="0046125F"/>
    <w:rsid w:val="0046190A"/>
    <w:rsid w:val="00487524"/>
    <w:rsid w:val="00496106"/>
    <w:rsid w:val="004C12D0"/>
    <w:rsid w:val="004C2EE3"/>
    <w:rsid w:val="004C67A6"/>
    <w:rsid w:val="004D0BDA"/>
    <w:rsid w:val="004E4A22"/>
    <w:rsid w:val="00511968"/>
    <w:rsid w:val="005135C9"/>
    <w:rsid w:val="0055614C"/>
    <w:rsid w:val="005642B1"/>
    <w:rsid w:val="005B3967"/>
    <w:rsid w:val="005E629F"/>
    <w:rsid w:val="00607BA5"/>
    <w:rsid w:val="0061040A"/>
    <w:rsid w:val="00614DD9"/>
    <w:rsid w:val="00624F34"/>
    <w:rsid w:val="00626EB6"/>
    <w:rsid w:val="006353A3"/>
    <w:rsid w:val="00655D03"/>
    <w:rsid w:val="0066681D"/>
    <w:rsid w:val="00683F84"/>
    <w:rsid w:val="0069673E"/>
    <w:rsid w:val="006A6A81"/>
    <w:rsid w:val="006C659B"/>
    <w:rsid w:val="006C6FBD"/>
    <w:rsid w:val="006E26AF"/>
    <w:rsid w:val="006F05A0"/>
    <w:rsid w:val="006F7393"/>
    <w:rsid w:val="0070129E"/>
    <w:rsid w:val="0070224F"/>
    <w:rsid w:val="007115F7"/>
    <w:rsid w:val="007747D7"/>
    <w:rsid w:val="00785689"/>
    <w:rsid w:val="0079754B"/>
    <w:rsid w:val="007A1E6D"/>
    <w:rsid w:val="007A4025"/>
    <w:rsid w:val="007E6049"/>
    <w:rsid w:val="007E758E"/>
    <w:rsid w:val="00822CE0"/>
    <w:rsid w:val="00837C62"/>
    <w:rsid w:val="00841AB1"/>
    <w:rsid w:val="00845F40"/>
    <w:rsid w:val="008460E7"/>
    <w:rsid w:val="0086384F"/>
    <w:rsid w:val="0086750E"/>
    <w:rsid w:val="008969C0"/>
    <w:rsid w:val="008C22FD"/>
    <w:rsid w:val="008C233E"/>
    <w:rsid w:val="00910F12"/>
    <w:rsid w:val="00926503"/>
    <w:rsid w:val="00926753"/>
    <w:rsid w:val="00930ECF"/>
    <w:rsid w:val="009838BC"/>
    <w:rsid w:val="009D130D"/>
    <w:rsid w:val="009F6A41"/>
    <w:rsid w:val="00A45F4F"/>
    <w:rsid w:val="00A600A9"/>
    <w:rsid w:val="00A834EE"/>
    <w:rsid w:val="00A866AC"/>
    <w:rsid w:val="00AA24E9"/>
    <w:rsid w:val="00AA55B7"/>
    <w:rsid w:val="00AA5B9E"/>
    <w:rsid w:val="00AB2407"/>
    <w:rsid w:val="00AB53DF"/>
    <w:rsid w:val="00AE5388"/>
    <w:rsid w:val="00B07E5C"/>
    <w:rsid w:val="00B20363"/>
    <w:rsid w:val="00B2200B"/>
    <w:rsid w:val="00B326E3"/>
    <w:rsid w:val="00B344B7"/>
    <w:rsid w:val="00B810CC"/>
    <w:rsid w:val="00B811F7"/>
    <w:rsid w:val="00BA5DC6"/>
    <w:rsid w:val="00BA6196"/>
    <w:rsid w:val="00BC6D8C"/>
    <w:rsid w:val="00C16AF2"/>
    <w:rsid w:val="00C34006"/>
    <w:rsid w:val="00C426B1"/>
    <w:rsid w:val="00C5298F"/>
    <w:rsid w:val="00C82B6B"/>
    <w:rsid w:val="00C90D6A"/>
    <w:rsid w:val="00CC72B6"/>
    <w:rsid w:val="00D0218D"/>
    <w:rsid w:val="00D13F3C"/>
    <w:rsid w:val="00D216CD"/>
    <w:rsid w:val="00D30F90"/>
    <w:rsid w:val="00D463EC"/>
    <w:rsid w:val="00D52028"/>
    <w:rsid w:val="00D81835"/>
    <w:rsid w:val="00DA2529"/>
    <w:rsid w:val="00DB130A"/>
    <w:rsid w:val="00DB3EEF"/>
    <w:rsid w:val="00DC10A1"/>
    <w:rsid w:val="00DC655F"/>
    <w:rsid w:val="00DC68BC"/>
    <w:rsid w:val="00DD7EBD"/>
    <w:rsid w:val="00DE0AB8"/>
    <w:rsid w:val="00DF62B6"/>
    <w:rsid w:val="00E07225"/>
    <w:rsid w:val="00E155B7"/>
    <w:rsid w:val="00E32049"/>
    <w:rsid w:val="00E5409F"/>
    <w:rsid w:val="00E65A7D"/>
    <w:rsid w:val="00E7221C"/>
    <w:rsid w:val="00EC0185"/>
    <w:rsid w:val="00EF2ECE"/>
    <w:rsid w:val="00F021FA"/>
    <w:rsid w:val="00F15F10"/>
    <w:rsid w:val="00F4341D"/>
    <w:rsid w:val="00F52BF6"/>
    <w:rsid w:val="00F55073"/>
    <w:rsid w:val="00F57ACA"/>
    <w:rsid w:val="00F62E97"/>
    <w:rsid w:val="00F64209"/>
    <w:rsid w:val="00F8421A"/>
    <w:rsid w:val="00F86E0D"/>
    <w:rsid w:val="00F93BF5"/>
    <w:rsid w:val="00F96F63"/>
    <w:rsid w:val="00FD7F3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75D9A92"/>
  <w15:chartTrackingRefBased/>
  <w15:docId w15:val="{E16B228A-C7D5-4192-9EFE-9BB1EB10D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Char Char,ALTS FOOTNOTE Char Char Char Char,Footnote Text Char,Footnote Text Char Char,Footnote Text Char Char Char Char,Footnote Text Char1,Footnote Text Char1 Char Char,f,fn Char,fn Char Char,fn Char Char Char Char,fn Char1"/>
    <w:link w:val="FootnoteTextChar2"/>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2">
    <w:name w:val="Footnote Text Char2"/>
    <w:aliases w:val="ALTS FOOTNOTE Char Char Char,ALTS FOOTNOTE Char Char Char Char Char,Footnote Text Char Char1,Footnote Text Char Char Char,Footnote Text Char Char Char Char Char,Footnote Text Char1 Char,Footnote Text Char1 Char Char Char,f Char"/>
    <w:link w:val="FootnoteText"/>
    <w:locked/>
    <w:rsid w:val="005135C9"/>
  </w:style>
  <w:style w:type="paragraph" w:styleId="Revision">
    <w:name w:val="Revision"/>
    <w:hidden/>
    <w:uiPriority w:val="99"/>
    <w:semiHidden/>
    <w:rsid w:val="0002332F"/>
    <w:rPr>
      <w:snapToGrid w:val="0"/>
      <w:kern w:val="28"/>
      <w:sz w:val="22"/>
    </w:rPr>
  </w:style>
  <w:style w:type="character" w:styleId="CommentReference">
    <w:name w:val="annotation reference"/>
    <w:basedOn w:val="DefaultParagraphFont"/>
    <w:uiPriority w:val="99"/>
    <w:semiHidden/>
    <w:unhideWhenUsed/>
    <w:rsid w:val="004C67A6"/>
    <w:rPr>
      <w:sz w:val="16"/>
      <w:szCs w:val="16"/>
    </w:rPr>
  </w:style>
  <w:style w:type="paragraph" w:styleId="CommentText">
    <w:name w:val="annotation text"/>
    <w:basedOn w:val="Normal"/>
    <w:link w:val="CommentTextChar"/>
    <w:uiPriority w:val="99"/>
    <w:unhideWhenUsed/>
    <w:rsid w:val="004C67A6"/>
    <w:rPr>
      <w:sz w:val="20"/>
    </w:rPr>
  </w:style>
  <w:style w:type="character" w:customStyle="1" w:styleId="CommentTextChar">
    <w:name w:val="Comment Text Char"/>
    <w:basedOn w:val="DefaultParagraphFont"/>
    <w:link w:val="CommentText"/>
    <w:uiPriority w:val="99"/>
    <w:rsid w:val="004C67A6"/>
    <w:rPr>
      <w:snapToGrid w:val="0"/>
      <w:kern w:val="28"/>
    </w:rPr>
  </w:style>
  <w:style w:type="paragraph" w:styleId="CommentSubject">
    <w:name w:val="annotation subject"/>
    <w:basedOn w:val="CommentText"/>
    <w:next w:val="CommentText"/>
    <w:link w:val="CommentSubjectChar"/>
    <w:uiPriority w:val="99"/>
    <w:semiHidden/>
    <w:unhideWhenUsed/>
    <w:rsid w:val="004C67A6"/>
    <w:rPr>
      <w:b/>
      <w:bCs/>
    </w:rPr>
  </w:style>
  <w:style w:type="character" w:customStyle="1" w:styleId="CommentSubjectChar">
    <w:name w:val="Comment Subject Char"/>
    <w:basedOn w:val="CommentTextChar"/>
    <w:link w:val="CommentSubject"/>
    <w:uiPriority w:val="99"/>
    <w:semiHidden/>
    <w:rsid w:val="004C67A6"/>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Christopher.Koves@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