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F7BA2AA"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351C189E" w14:textId="77777777">
      <w:pPr>
        <w:pStyle w:val="StyleBoldCentered"/>
      </w:pPr>
      <w:r>
        <w:t>F</w:t>
      </w:r>
      <w:r>
        <w:rPr>
          <w:caps w:val="0"/>
        </w:rPr>
        <w:t>ederal Communications Commission</w:t>
      </w:r>
    </w:p>
    <w:p w:rsidR="004C2EE3" w:rsidP="00096D8C" w14:paraId="11E93C78" w14:textId="77777777">
      <w:pPr>
        <w:pStyle w:val="StyleBoldCentered"/>
      </w:pPr>
      <w:r>
        <w:rPr>
          <w:caps w:val="0"/>
        </w:rPr>
        <w:t>Washington, D.C. 20554</w:t>
      </w:r>
    </w:p>
    <w:p w:rsidR="004C2EE3" w:rsidP="0070224F" w14:paraId="3BC17D9E" w14:textId="77777777"/>
    <w:p w:rsidR="004C2EE3" w:rsidP="0070224F" w14:paraId="08FCEED1" w14:textId="77777777"/>
    <w:tbl>
      <w:tblPr>
        <w:tblW w:w="0" w:type="auto"/>
        <w:tblLayout w:type="fixed"/>
        <w:tblLook w:val="0000"/>
      </w:tblPr>
      <w:tblGrid>
        <w:gridCol w:w="4698"/>
        <w:gridCol w:w="630"/>
        <w:gridCol w:w="4248"/>
      </w:tblGrid>
      <w:tr w14:paraId="206922BE" w14:textId="77777777">
        <w:tblPrEx>
          <w:tblW w:w="0" w:type="auto"/>
          <w:tblLayout w:type="fixed"/>
          <w:tblLook w:val="0000"/>
        </w:tblPrEx>
        <w:tc>
          <w:tcPr>
            <w:tcW w:w="4698" w:type="dxa"/>
          </w:tcPr>
          <w:p w:rsidR="004C2EE3" w14:paraId="6A628849" w14:textId="77777777">
            <w:pPr>
              <w:tabs>
                <w:tab w:val="center" w:pos="4680"/>
              </w:tabs>
              <w:suppressAutoHyphens/>
              <w:rPr>
                <w:spacing w:val="-2"/>
              </w:rPr>
            </w:pPr>
            <w:r>
              <w:rPr>
                <w:spacing w:val="-2"/>
              </w:rPr>
              <w:t>In the Matter of</w:t>
            </w:r>
          </w:p>
          <w:p w:rsidR="004C2EE3" w:rsidP="00736701" w14:paraId="611359D8" w14:textId="77777777">
            <w:pPr>
              <w:tabs>
                <w:tab w:val="left" w:pos="4320"/>
                <w:tab w:val="center" w:pos="4680"/>
              </w:tabs>
              <w:suppressAutoHyphens/>
              <w:ind w:right="165"/>
              <w:rPr>
                <w:spacing w:val="-2"/>
              </w:rPr>
            </w:pPr>
          </w:p>
          <w:p w:rsidR="009F048A" w:rsidRPr="00563169" w:rsidP="00736701" w14:paraId="7B3EE13F" w14:textId="77777777">
            <w:pPr>
              <w:tabs>
                <w:tab w:val="center" w:pos="4680"/>
              </w:tabs>
              <w:suppressAutoHyphens/>
              <w:ind w:right="-105"/>
              <w:rPr>
                <w:spacing w:val="-2"/>
              </w:rPr>
            </w:pPr>
            <w:r w:rsidRPr="00563169">
              <w:rPr>
                <w:spacing w:val="-2"/>
              </w:rPr>
              <w:t xml:space="preserve">Applications of </w:t>
            </w:r>
            <w:r w:rsidRPr="00563169">
              <w:rPr>
                <w:spacing w:val="-2"/>
              </w:rPr>
              <w:t>Cellco</w:t>
            </w:r>
            <w:r w:rsidRPr="00563169">
              <w:rPr>
                <w:spacing w:val="-2"/>
              </w:rPr>
              <w:t xml:space="preserve"> Partnership and United States Cellular Corporation For Consent to Assign Licenses</w:t>
            </w:r>
          </w:p>
          <w:p w:rsidR="004C2EE3" w:rsidRPr="007115F7" w:rsidP="007115F7" w14:paraId="3E6AA0F0" w14:textId="425D1AD5">
            <w:pPr>
              <w:tabs>
                <w:tab w:val="center" w:pos="4680"/>
              </w:tabs>
              <w:suppressAutoHyphens/>
              <w:rPr>
                <w:spacing w:val="-2"/>
              </w:rPr>
            </w:pPr>
          </w:p>
        </w:tc>
        <w:tc>
          <w:tcPr>
            <w:tcW w:w="630" w:type="dxa"/>
          </w:tcPr>
          <w:p w:rsidR="004C2EE3" w14:paraId="1BACFF7D" w14:textId="77777777">
            <w:pPr>
              <w:tabs>
                <w:tab w:val="center" w:pos="4680"/>
              </w:tabs>
              <w:suppressAutoHyphens/>
              <w:rPr>
                <w:b/>
                <w:spacing w:val="-2"/>
              </w:rPr>
            </w:pPr>
            <w:r>
              <w:rPr>
                <w:b/>
                <w:spacing w:val="-2"/>
              </w:rPr>
              <w:t>)</w:t>
            </w:r>
          </w:p>
          <w:p w:rsidR="004C2EE3" w14:paraId="56D23241" w14:textId="77777777">
            <w:pPr>
              <w:tabs>
                <w:tab w:val="center" w:pos="4680"/>
              </w:tabs>
              <w:suppressAutoHyphens/>
              <w:rPr>
                <w:b/>
                <w:spacing w:val="-2"/>
              </w:rPr>
            </w:pPr>
            <w:r>
              <w:rPr>
                <w:b/>
                <w:spacing w:val="-2"/>
              </w:rPr>
              <w:t>)</w:t>
            </w:r>
          </w:p>
          <w:p w:rsidR="004C2EE3" w14:paraId="58DECB44" w14:textId="77777777">
            <w:pPr>
              <w:tabs>
                <w:tab w:val="center" w:pos="4680"/>
              </w:tabs>
              <w:suppressAutoHyphens/>
              <w:rPr>
                <w:b/>
                <w:spacing w:val="-2"/>
              </w:rPr>
            </w:pPr>
            <w:r>
              <w:rPr>
                <w:b/>
                <w:spacing w:val="-2"/>
              </w:rPr>
              <w:t>)</w:t>
            </w:r>
          </w:p>
          <w:p w:rsidR="004C2EE3" w14:paraId="7628DFDE" w14:textId="77777777">
            <w:pPr>
              <w:tabs>
                <w:tab w:val="center" w:pos="4680"/>
              </w:tabs>
              <w:suppressAutoHyphens/>
              <w:rPr>
                <w:b/>
                <w:spacing w:val="-2"/>
              </w:rPr>
            </w:pPr>
            <w:r>
              <w:rPr>
                <w:b/>
                <w:spacing w:val="-2"/>
              </w:rPr>
              <w:t>)</w:t>
            </w:r>
          </w:p>
          <w:p w:rsidR="00AC0FC0" w14:paraId="656962B8" w14:textId="49D7798A">
            <w:pPr>
              <w:tabs>
                <w:tab w:val="center" w:pos="4680"/>
              </w:tabs>
              <w:suppressAutoHyphens/>
              <w:rPr>
                <w:b/>
                <w:spacing w:val="-2"/>
              </w:rPr>
            </w:pPr>
          </w:p>
          <w:p w:rsidR="004C2EE3" w:rsidRPr="00A14925" w14:paraId="43A480E2" w14:textId="71C1B225">
            <w:pPr>
              <w:tabs>
                <w:tab w:val="center" w:pos="4680"/>
              </w:tabs>
              <w:suppressAutoHyphens/>
              <w:rPr>
                <w:b/>
                <w:spacing w:val="-2"/>
              </w:rPr>
            </w:pPr>
          </w:p>
        </w:tc>
        <w:tc>
          <w:tcPr>
            <w:tcW w:w="4248" w:type="dxa"/>
          </w:tcPr>
          <w:p w:rsidR="004C2EE3" w14:paraId="18F134B9" w14:textId="77777777">
            <w:pPr>
              <w:tabs>
                <w:tab w:val="center" w:pos="4680"/>
              </w:tabs>
              <w:suppressAutoHyphens/>
              <w:rPr>
                <w:spacing w:val="-2"/>
              </w:rPr>
            </w:pPr>
          </w:p>
          <w:p w:rsidR="004C2EE3" w14:paraId="78804FC8" w14:textId="77777777">
            <w:pPr>
              <w:pStyle w:val="TOAHeading"/>
              <w:tabs>
                <w:tab w:val="center" w:pos="4680"/>
                <w:tab w:val="clear" w:pos="9360"/>
              </w:tabs>
              <w:rPr>
                <w:spacing w:val="-2"/>
              </w:rPr>
            </w:pPr>
          </w:p>
          <w:p w:rsidR="004C2EE3" w14:paraId="6D819CCC" w14:textId="06FE2B5D">
            <w:pPr>
              <w:tabs>
                <w:tab w:val="center" w:pos="4680"/>
              </w:tabs>
              <w:suppressAutoHyphens/>
              <w:rPr>
                <w:spacing w:val="-2"/>
              </w:rPr>
            </w:pPr>
            <w:r>
              <w:rPr>
                <w:spacing w:val="-2"/>
              </w:rPr>
              <w:t>WT Docket No. 25</w:t>
            </w:r>
            <w:r w:rsidR="00A14925">
              <w:rPr>
                <w:spacing w:val="-2"/>
              </w:rPr>
              <w:t>-192</w:t>
            </w:r>
          </w:p>
        </w:tc>
      </w:tr>
    </w:tbl>
    <w:p w:rsidR="004C2EE3" w:rsidP="0070224F" w14:paraId="7C668466" w14:textId="77777777"/>
    <w:p w:rsidR="0006556B" w:rsidP="0006556B" w14:paraId="18E6F5A7" w14:textId="77777777">
      <w:pPr>
        <w:pStyle w:val="StyleBoldCentered"/>
      </w:pPr>
      <w:r>
        <w:t>MEMORANDUM OPINION AND ORDER</w:t>
      </w:r>
    </w:p>
    <w:p w:rsidR="00841AB1" w:rsidP="00F021FA" w14:paraId="03F231CC" w14:textId="7EEB0335">
      <w:pPr>
        <w:pStyle w:val="StyleBoldCentered"/>
      </w:pPr>
    </w:p>
    <w:p w:rsidR="004C2EE3" w14:paraId="7D6D1295" w14:textId="77777777">
      <w:pPr>
        <w:tabs>
          <w:tab w:val="left" w:pos="-720"/>
        </w:tabs>
        <w:suppressAutoHyphens/>
        <w:spacing w:line="227" w:lineRule="auto"/>
        <w:rPr>
          <w:spacing w:val="-2"/>
        </w:rPr>
      </w:pPr>
    </w:p>
    <w:p w:rsidR="004C2EE3" w:rsidP="00133F79" w14:paraId="5C6ED62A" w14:textId="5D111237">
      <w:pPr>
        <w:tabs>
          <w:tab w:val="left" w:pos="720"/>
          <w:tab w:val="right" w:pos="9360"/>
        </w:tabs>
        <w:suppressAutoHyphens/>
        <w:spacing w:line="227" w:lineRule="auto"/>
        <w:rPr>
          <w:spacing w:val="-2"/>
        </w:rPr>
      </w:pPr>
      <w:r>
        <w:rPr>
          <w:b/>
          <w:spacing w:val="-2"/>
        </w:rPr>
        <w:t xml:space="preserve">Adopted:  </w:t>
      </w:r>
      <w:r w:rsidR="0047402D">
        <w:rPr>
          <w:b/>
          <w:spacing w:val="-2"/>
        </w:rPr>
        <w:t>May 14,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47402D">
        <w:rPr>
          <w:b/>
          <w:spacing w:val="-2"/>
        </w:rPr>
        <w:t>May 14, 2026</w:t>
      </w:r>
    </w:p>
    <w:p w:rsidR="00822CE0" w14:paraId="231AE2CD" w14:textId="77777777"/>
    <w:p w:rsidR="004C2EE3" w14:paraId="597B8845" w14:textId="7EE15955">
      <w:pPr>
        <w:rPr>
          <w:spacing w:val="-2"/>
        </w:rPr>
      </w:pPr>
      <w:r>
        <w:t xml:space="preserve">By </w:t>
      </w:r>
      <w:r w:rsidR="004E4A22">
        <w:t>the</w:t>
      </w:r>
      <w:r w:rsidR="002A2D2E">
        <w:t xml:space="preserve"> </w:t>
      </w:r>
      <w:r w:rsidR="0006556B">
        <w:rPr>
          <w:spacing w:val="-2"/>
        </w:rPr>
        <w:t>Chief, Wireless Telecommunications Bureau:</w:t>
      </w:r>
    </w:p>
    <w:p w:rsidR="00304958" w:rsidP="00304958" w14:paraId="21068C47" w14:textId="546883E2">
      <w:pPr>
        <w:pStyle w:val="TOCTitle"/>
      </w:pPr>
      <w:bookmarkStart w:id="0" w:name="TOChere"/>
      <w:r>
        <w:t>Table of Contents</w:t>
      </w:r>
    </w:p>
    <w:p w:rsidR="00304958" w:rsidP="00304958" w14:paraId="1683A071" w14:textId="52AEC30D">
      <w:pPr>
        <w:pStyle w:val="Paratitle"/>
      </w:pPr>
      <w:r>
        <w:t>Heading</w:t>
      </w:r>
      <w:r>
        <w:tab/>
        <w:t>Paragraph #</w:t>
      </w:r>
      <w:bookmarkStart w:id="1" w:name="start_here"/>
      <w:bookmarkEnd w:id="1"/>
    </w:p>
    <w:p w:rsidR="00304958" w:rsidP="00304958" w14:paraId="0BDDBB53" w14:textId="65F718FE">
      <w:pPr>
        <w:pStyle w:val="TOC1"/>
        <w:rPr>
          <w:rFonts w:ascii="Aptos" w:hAnsi="Aptos"/>
          <w:caps w:val="0"/>
          <w:snapToGrid/>
          <w:kern w:val="2"/>
          <w:sz w:val="24"/>
          <w:szCs w:val="24"/>
        </w:rPr>
      </w:pPr>
      <w:r>
        <w:t>I.</w:t>
      </w:r>
      <w:r>
        <w:rPr>
          <w:rFonts w:ascii="Aptos" w:hAnsi="Aptos"/>
          <w:caps w:val="0"/>
          <w:snapToGrid/>
          <w:kern w:val="2"/>
          <w:sz w:val="24"/>
          <w:szCs w:val="24"/>
        </w:rPr>
        <w:tab/>
      </w:r>
      <w:r>
        <w:t>INTRODUCTION</w:t>
      </w:r>
      <w:r>
        <w:tab/>
        <w:t>1</w:t>
      </w:r>
    </w:p>
    <w:p w:rsidR="00304958" w:rsidP="00304958" w14:paraId="54681F11" w14:textId="7480C518">
      <w:pPr>
        <w:pStyle w:val="TOC1"/>
        <w:rPr>
          <w:rFonts w:ascii="Aptos" w:hAnsi="Aptos"/>
          <w:caps w:val="0"/>
          <w:snapToGrid/>
          <w:kern w:val="2"/>
          <w:sz w:val="24"/>
          <w:szCs w:val="24"/>
        </w:rPr>
      </w:pPr>
      <w:r>
        <w:t>II.</w:t>
      </w:r>
      <w:r>
        <w:rPr>
          <w:rFonts w:ascii="Aptos" w:hAnsi="Aptos"/>
          <w:caps w:val="0"/>
          <w:snapToGrid/>
          <w:kern w:val="2"/>
          <w:sz w:val="24"/>
          <w:szCs w:val="24"/>
        </w:rPr>
        <w:tab/>
      </w:r>
      <w:r>
        <w:t>BACKGROUND</w:t>
      </w:r>
      <w:r>
        <w:tab/>
        <w:t>3</w:t>
      </w:r>
    </w:p>
    <w:p w:rsidR="00304958" w:rsidP="00304958" w14:paraId="397CA6B1" w14:textId="69D4F130">
      <w:pPr>
        <w:pStyle w:val="TOC2"/>
        <w:tabs>
          <w:tab w:val="left" w:pos="360"/>
        </w:tabs>
        <w:rPr>
          <w:rFonts w:ascii="Aptos" w:hAnsi="Aptos"/>
          <w:snapToGrid/>
          <w:kern w:val="2"/>
          <w:sz w:val="24"/>
          <w:szCs w:val="24"/>
        </w:rPr>
      </w:pPr>
      <w:r>
        <w:t>A.</w:t>
      </w:r>
      <w:r>
        <w:rPr>
          <w:rFonts w:ascii="Aptos" w:hAnsi="Aptos"/>
          <w:snapToGrid/>
          <w:kern w:val="2"/>
          <w:sz w:val="24"/>
          <w:szCs w:val="24"/>
        </w:rPr>
        <w:tab/>
      </w:r>
      <w:r>
        <w:t>Description of the Applicants</w:t>
      </w:r>
      <w:r>
        <w:tab/>
        <w:t>3</w:t>
      </w:r>
    </w:p>
    <w:p w:rsidR="00304958" w:rsidP="00304958" w14:paraId="7E13B421" w14:textId="0DF94A17">
      <w:pPr>
        <w:pStyle w:val="TOC3"/>
        <w:tabs>
          <w:tab w:val="left" w:pos="360"/>
        </w:tabs>
        <w:rPr>
          <w:rFonts w:ascii="Aptos" w:hAnsi="Aptos"/>
          <w:snapToGrid/>
          <w:kern w:val="2"/>
          <w:sz w:val="24"/>
          <w:szCs w:val="24"/>
        </w:rPr>
      </w:pPr>
      <w:r>
        <w:t>1.</w:t>
      </w:r>
      <w:r>
        <w:rPr>
          <w:rFonts w:ascii="Aptos" w:hAnsi="Aptos"/>
          <w:snapToGrid/>
          <w:kern w:val="2"/>
          <w:sz w:val="24"/>
          <w:szCs w:val="24"/>
        </w:rPr>
        <w:tab/>
      </w:r>
      <w:r>
        <w:t>Verizon Wireless</w:t>
      </w:r>
      <w:r>
        <w:tab/>
        <w:t>3</w:t>
      </w:r>
    </w:p>
    <w:p w:rsidR="00304958" w:rsidP="00304958" w14:paraId="54F26267" w14:textId="1004E6A2">
      <w:pPr>
        <w:pStyle w:val="TOC3"/>
        <w:tabs>
          <w:tab w:val="left" w:pos="360"/>
        </w:tabs>
        <w:rPr>
          <w:rFonts w:ascii="Aptos" w:hAnsi="Aptos"/>
          <w:snapToGrid/>
          <w:kern w:val="2"/>
          <w:sz w:val="24"/>
          <w:szCs w:val="24"/>
        </w:rPr>
      </w:pPr>
      <w:r>
        <w:t>2.</w:t>
      </w:r>
      <w:r>
        <w:rPr>
          <w:rFonts w:ascii="Aptos" w:hAnsi="Aptos"/>
          <w:snapToGrid/>
          <w:kern w:val="2"/>
          <w:sz w:val="24"/>
          <w:szCs w:val="24"/>
        </w:rPr>
        <w:tab/>
      </w:r>
      <w:r>
        <w:t>Array</w:t>
      </w:r>
      <w:r>
        <w:tab/>
        <w:t>4</w:t>
      </w:r>
    </w:p>
    <w:p w:rsidR="00304958" w:rsidP="00304958" w14:paraId="71B5F28A" w14:textId="3F2E3CFE">
      <w:pPr>
        <w:pStyle w:val="TOC2"/>
        <w:tabs>
          <w:tab w:val="left" w:pos="360"/>
        </w:tabs>
        <w:rPr>
          <w:rFonts w:ascii="Aptos" w:hAnsi="Aptos"/>
          <w:snapToGrid/>
          <w:kern w:val="2"/>
          <w:sz w:val="24"/>
          <w:szCs w:val="24"/>
        </w:rPr>
      </w:pPr>
      <w:r>
        <w:t>B.</w:t>
      </w:r>
      <w:r>
        <w:rPr>
          <w:rFonts w:ascii="Aptos" w:hAnsi="Aptos"/>
          <w:snapToGrid/>
          <w:kern w:val="2"/>
          <w:sz w:val="24"/>
          <w:szCs w:val="24"/>
        </w:rPr>
        <w:tab/>
      </w:r>
      <w:r>
        <w:t>Description of the Transaction and Transaction Review Process</w:t>
      </w:r>
      <w:r>
        <w:tab/>
        <w:t>5</w:t>
      </w:r>
    </w:p>
    <w:p w:rsidR="00304958" w:rsidP="00304958" w14:paraId="6C269243" w14:textId="0ABA812C">
      <w:pPr>
        <w:pStyle w:val="TOC1"/>
        <w:rPr>
          <w:rFonts w:ascii="Aptos" w:hAnsi="Aptos"/>
          <w:caps w:val="0"/>
          <w:snapToGrid/>
          <w:kern w:val="2"/>
          <w:sz w:val="24"/>
          <w:szCs w:val="24"/>
        </w:rPr>
      </w:pPr>
      <w:r>
        <w:t>III.</w:t>
      </w:r>
      <w:r>
        <w:rPr>
          <w:rFonts w:ascii="Aptos" w:hAnsi="Aptos"/>
          <w:caps w:val="0"/>
          <w:snapToGrid/>
          <w:kern w:val="2"/>
          <w:sz w:val="24"/>
          <w:szCs w:val="24"/>
        </w:rPr>
        <w:tab/>
      </w:r>
      <w:r>
        <w:t>STANDARD OF REVIEW AND PUBLIC INTEREST FRAMEWORK</w:t>
      </w:r>
      <w:r>
        <w:tab/>
        <w:t>8</w:t>
      </w:r>
    </w:p>
    <w:p w:rsidR="00304958" w:rsidP="00304958" w14:paraId="1EC6178B" w14:textId="2956DAE8">
      <w:pPr>
        <w:pStyle w:val="TOC1"/>
        <w:rPr>
          <w:rFonts w:ascii="Aptos" w:hAnsi="Aptos"/>
          <w:caps w:val="0"/>
          <w:snapToGrid/>
          <w:kern w:val="2"/>
          <w:sz w:val="24"/>
          <w:szCs w:val="24"/>
        </w:rPr>
      </w:pPr>
      <w:r>
        <w:t>IV.</w:t>
      </w:r>
      <w:r>
        <w:rPr>
          <w:rFonts w:ascii="Aptos" w:hAnsi="Aptos"/>
          <w:caps w:val="0"/>
          <w:snapToGrid/>
          <w:kern w:val="2"/>
          <w:sz w:val="24"/>
          <w:szCs w:val="24"/>
        </w:rPr>
        <w:tab/>
      </w:r>
      <w:r>
        <w:t>QUALIFICATIONS OF THE APPLICANTS AND COMPLIANCE WITH COMMUNICATIONS ACT AND COMMISSION RULES AND POLICIES</w:t>
      </w:r>
      <w:r>
        <w:tab/>
        <w:t>12</w:t>
      </w:r>
    </w:p>
    <w:p w:rsidR="00304958" w:rsidP="00304958" w14:paraId="3081E512" w14:textId="4299B91D">
      <w:pPr>
        <w:pStyle w:val="TOC1"/>
        <w:rPr>
          <w:rFonts w:ascii="Aptos" w:hAnsi="Aptos"/>
          <w:caps w:val="0"/>
          <w:snapToGrid/>
          <w:kern w:val="2"/>
          <w:sz w:val="24"/>
          <w:szCs w:val="24"/>
        </w:rPr>
      </w:pPr>
      <w:r>
        <w:t>V.</w:t>
      </w:r>
      <w:r>
        <w:rPr>
          <w:rFonts w:ascii="Aptos" w:hAnsi="Aptos"/>
          <w:caps w:val="0"/>
          <w:snapToGrid/>
          <w:kern w:val="2"/>
          <w:sz w:val="24"/>
          <w:szCs w:val="24"/>
        </w:rPr>
        <w:tab/>
      </w:r>
      <w:r>
        <w:t>PRELIMINARY ISSUES</w:t>
      </w:r>
      <w:r>
        <w:tab/>
        <w:t>15</w:t>
      </w:r>
    </w:p>
    <w:p w:rsidR="00304958" w:rsidP="00304958" w14:paraId="023DB883" w14:textId="4B24F588">
      <w:pPr>
        <w:pStyle w:val="TOC1"/>
        <w:rPr>
          <w:rFonts w:ascii="Aptos" w:hAnsi="Aptos"/>
          <w:caps w:val="0"/>
          <w:snapToGrid/>
          <w:kern w:val="2"/>
          <w:sz w:val="24"/>
          <w:szCs w:val="24"/>
        </w:rPr>
      </w:pPr>
      <w:r w:rsidRPr="00B4707F">
        <w:rPr>
          <w:color w:val="000000"/>
        </w:rPr>
        <w:t>VI.</w:t>
      </w:r>
      <w:r>
        <w:rPr>
          <w:rFonts w:ascii="Aptos" w:hAnsi="Aptos"/>
          <w:caps w:val="0"/>
          <w:snapToGrid/>
          <w:kern w:val="2"/>
          <w:sz w:val="24"/>
          <w:szCs w:val="24"/>
        </w:rPr>
        <w:tab/>
      </w:r>
      <w:r>
        <w:t>POTENTIAL PUBLIC INTEREST HARMS</w:t>
      </w:r>
      <w:r>
        <w:tab/>
        <w:t>16</w:t>
      </w:r>
    </w:p>
    <w:p w:rsidR="00304958" w:rsidP="00304958" w14:paraId="14DC2C52" w14:textId="7A3FFE00">
      <w:pPr>
        <w:pStyle w:val="TOC2"/>
        <w:tabs>
          <w:tab w:val="left" w:pos="360"/>
        </w:tabs>
        <w:rPr>
          <w:rFonts w:ascii="Aptos" w:hAnsi="Aptos"/>
          <w:snapToGrid/>
          <w:kern w:val="2"/>
          <w:sz w:val="24"/>
          <w:szCs w:val="24"/>
        </w:rPr>
      </w:pPr>
      <w:r>
        <w:t>A.</w:t>
      </w:r>
      <w:r>
        <w:rPr>
          <w:rFonts w:ascii="Aptos" w:hAnsi="Aptos"/>
          <w:snapToGrid/>
          <w:kern w:val="2"/>
          <w:sz w:val="24"/>
          <w:szCs w:val="24"/>
        </w:rPr>
        <w:tab/>
      </w:r>
      <w:r>
        <w:t>Market Definitions and Market Participants</w:t>
      </w:r>
      <w:r>
        <w:tab/>
        <w:t>18</w:t>
      </w:r>
    </w:p>
    <w:p w:rsidR="00304958" w:rsidP="00304958" w14:paraId="5D9CF824" w14:textId="1AF0BADD">
      <w:pPr>
        <w:pStyle w:val="TOC3"/>
        <w:tabs>
          <w:tab w:val="left" w:pos="360"/>
        </w:tabs>
        <w:rPr>
          <w:rFonts w:ascii="Aptos" w:hAnsi="Aptos"/>
          <w:snapToGrid/>
          <w:kern w:val="2"/>
          <w:sz w:val="24"/>
          <w:szCs w:val="24"/>
        </w:rPr>
      </w:pPr>
      <w:r>
        <w:t>1.</w:t>
      </w:r>
      <w:r>
        <w:rPr>
          <w:rFonts w:ascii="Aptos" w:hAnsi="Aptos"/>
          <w:snapToGrid/>
          <w:kern w:val="2"/>
          <w:sz w:val="24"/>
          <w:szCs w:val="24"/>
        </w:rPr>
        <w:tab/>
      </w:r>
      <w:r>
        <w:t>Product Market</w:t>
      </w:r>
      <w:r>
        <w:tab/>
        <w:t>18</w:t>
      </w:r>
    </w:p>
    <w:p w:rsidR="00304958" w:rsidP="00304958" w14:paraId="69E87051" w14:textId="6E87DD3E">
      <w:pPr>
        <w:pStyle w:val="TOC3"/>
        <w:tabs>
          <w:tab w:val="left" w:pos="360"/>
        </w:tabs>
        <w:rPr>
          <w:rFonts w:ascii="Aptos" w:hAnsi="Aptos"/>
          <w:snapToGrid/>
          <w:kern w:val="2"/>
          <w:sz w:val="24"/>
          <w:szCs w:val="24"/>
        </w:rPr>
      </w:pPr>
      <w:r>
        <w:t>2.</w:t>
      </w:r>
      <w:r>
        <w:rPr>
          <w:rFonts w:ascii="Aptos" w:hAnsi="Aptos"/>
          <w:snapToGrid/>
          <w:kern w:val="2"/>
          <w:sz w:val="24"/>
          <w:szCs w:val="24"/>
        </w:rPr>
        <w:tab/>
      </w:r>
      <w:r>
        <w:t>Geographic Market</w:t>
      </w:r>
      <w:r>
        <w:tab/>
        <w:t>20</w:t>
      </w:r>
    </w:p>
    <w:p w:rsidR="00304958" w:rsidP="00304958" w14:paraId="1529BB34" w14:textId="37DFDD40">
      <w:pPr>
        <w:pStyle w:val="TOC3"/>
        <w:tabs>
          <w:tab w:val="left" w:pos="360"/>
        </w:tabs>
        <w:rPr>
          <w:rFonts w:ascii="Aptos" w:hAnsi="Aptos"/>
          <w:snapToGrid/>
          <w:kern w:val="2"/>
          <w:sz w:val="24"/>
          <w:szCs w:val="24"/>
        </w:rPr>
      </w:pPr>
      <w:r>
        <w:t>3.</w:t>
      </w:r>
      <w:r>
        <w:rPr>
          <w:rFonts w:ascii="Aptos" w:hAnsi="Aptos"/>
          <w:snapToGrid/>
          <w:kern w:val="2"/>
          <w:sz w:val="24"/>
          <w:szCs w:val="24"/>
        </w:rPr>
        <w:tab/>
      </w:r>
      <w:r>
        <w:t>Input Market for Spectrum</w:t>
      </w:r>
      <w:r>
        <w:tab/>
        <w:t>21</w:t>
      </w:r>
    </w:p>
    <w:p w:rsidR="00304958" w:rsidP="00304958" w14:paraId="7CFF8351" w14:textId="4EBCD819">
      <w:pPr>
        <w:pStyle w:val="TOC2"/>
        <w:tabs>
          <w:tab w:val="left" w:pos="360"/>
        </w:tabs>
        <w:rPr>
          <w:rFonts w:ascii="Aptos" w:hAnsi="Aptos"/>
          <w:snapToGrid/>
          <w:kern w:val="2"/>
          <w:sz w:val="24"/>
          <w:szCs w:val="24"/>
        </w:rPr>
      </w:pPr>
      <w:r>
        <w:t>B.</w:t>
      </w:r>
      <w:r>
        <w:rPr>
          <w:rFonts w:ascii="Aptos" w:hAnsi="Aptos"/>
          <w:snapToGrid/>
          <w:kern w:val="2"/>
          <w:sz w:val="24"/>
          <w:szCs w:val="24"/>
        </w:rPr>
        <w:tab/>
      </w:r>
      <w:r>
        <w:t>Competitive Analysis</w:t>
      </w:r>
      <w:r>
        <w:tab/>
        <w:t>22</w:t>
      </w:r>
    </w:p>
    <w:p w:rsidR="00304958" w:rsidP="00304958" w14:paraId="715DBAED" w14:textId="4AD5D2CE">
      <w:pPr>
        <w:pStyle w:val="TOC3"/>
        <w:tabs>
          <w:tab w:val="left" w:pos="360"/>
        </w:tabs>
        <w:rPr>
          <w:rFonts w:ascii="Aptos" w:hAnsi="Aptos"/>
          <w:snapToGrid/>
          <w:kern w:val="2"/>
          <w:sz w:val="24"/>
          <w:szCs w:val="24"/>
        </w:rPr>
      </w:pPr>
      <w:r>
        <w:t>1.</w:t>
      </w:r>
      <w:r>
        <w:rPr>
          <w:rFonts w:ascii="Aptos" w:hAnsi="Aptos"/>
          <w:snapToGrid/>
          <w:kern w:val="2"/>
          <w:sz w:val="24"/>
          <w:szCs w:val="24"/>
        </w:rPr>
        <w:tab/>
      </w:r>
      <w:r>
        <w:t>Initial Screen</w:t>
      </w:r>
      <w:r>
        <w:tab/>
        <w:t>22</w:t>
      </w:r>
    </w:p>
    <w:p w:rsidR="00304958" w:rsidP="00304958" w14:paraId="33D903B8" w14:textId="43D9F1CB">
      <w:pPr>
        <w:pStyle w:val="TOC3"/>
        <w:tabs>
          <w:tab w:val="left" w:pos="360"/>
        </w:tabs>
        <w:rPr>
          <w:rFonts w:ascii="Aptos" w:hAnsi="Aptos"/>
          <w:snapToGrid/>
          <w:kern w:val="2"/>
          <w:sz w:val="24"/>
          <w:szCs w:val="24"/>
        </w:rPr>
      </w:pPr>
      <w:r>
        <w:t>2.</w:t>
      </w:r>
      <w:r>
        <w:rPr>
          <w:rFonts w:ascii="Aptos" w:hAnsi="Aptos"/>
          <w:snapToGrid/>
          <w:kern w:val="2"/>
          <w:sz w:val="24"/>
          <w:szCs w:val="24"/>
        </w:rPr>
        <w:tab/>
      </w:r>
      <w:r>
        <w:t>Market Analysis – Enhanced Factor Review</w:t>
      </w:r>
      <w:r>
        <w:tab/>
        <w:t>25</w:t>
      </w:r>
    </w:p>
    <w:p w:rsidR="00304958" w:rsidP="00304958" w14:paraId="277079CB" w14:textId="2679B877">
      <w:pPr>
        <w:pStyle w:val="TOC1"/>
        <w:rPr>
          <w:rFonts w:ascii="Aptos" w:hAnsi="Aptos"/>
          <w:caps w:val="0"/>
          <w:snapToGrid/>
          <w:kern w:val="2"/>
          <w:sz w:val="24"/>
          <w:szCs w:val="24"/>
        </w:rPr>
      </w:pPr>
      <w:r>
        <w:t>VII.</w:t>
      </w:r>
      <w:r w:rsidR="00C64EA8">
        <w:rPr>
          <w:rFonts w:ascii="Aptos" w:hAnsi="Aptos"/>
          <w:caps w:val="0"/>
          <w:snapToGrid/>
          <w:kern w:val="2"/>
          <w:sz w:val="24"/>
          <w:szCs w:val="24"/>
        </w:rPr>
        <w:t xml:space="preserve"> </w:t>
      </w:r>
      <w:r>
        <w:t>POTENTIAL PUBLIC INTEREST BENEFITS</w:t>
      </w:r>
      <w:r>
        <w:tab/>
        <w:t>28</w:t>
      </w:r>
    </w:p>
    <w:p w:rsidR="00304958" w:rsidP="00304958" w14:paraId="20FD3352" w14:textId="022B167D">
      <w:pPr>
        <w:pStyle w:val="TOC1"/>
        <w:tabs>
          <w:tab w:val="left" w:pos="720"/>
        </w:tabs>
        <w:rPr>
          <w:rFonts w:ascii="Aptos" w:hAnsi="Aptos"/>
          <w:caps w:val="0"/>
          <w:snapToGrid/>
          <w:kern w:val="2"/>
          <w:sz w:val="24"/>
          <w:szCs w:val="24"/>
        </w:rPr>
      </w:pPr>
      <w:r>
        <w:t>VIII.</w:t>
      </w:r>
      <w:r w:rsidR="003637D7">
        <w:rPr>
          <w:rFonts w:ascii="Aptos" w:hAnsi="Aptos"/>
          <w:caps w:val="0"/>
          <w:snapToGrid/>
          <w:kern w:val="2"/>
          <w:sz w:val="24"/>
          <w:szCs w:val="24"/>
        </w:rPr>
        <w:t xml:space="preserve"> </w:t>
      </w:r>
      <w:r>
        <w:t>OTHER ISSUES</w:t>
      </w:r>
      <w:r>
        <w:tab/>
        <w:t>31</w:t>
      </w:r>
    </w:p>
    <w:p w:rsidR="00304958" w:rsidP="00304958" w14:paraId="2CA68AB6" w14:textId="58E1A86A">
      <w:pPr>
        <w:pStyle w:val="TOC1"/>
        <w:rPr>
          <w:rFonts w:ascii="Aptos" w:hAnsi="Aptos"/>
          <w:caps w:val="0"/>
          <w:snapToGrid/>
          <w:kern w:val="2"/>
          <w:sz w:val="24"/>
          <w:szCs w:val="24"/>
        </w:rPr>
      </w:pPr>
      <w:r>
        <w:t>IX.</w:t>
      </w:r>
      <w:r>
        <w:rPr>
          <w:rFonts w:ascii="Aptos" w:hAnsi="Aptos"/>
          <w:caps w:val="0"/>
          <w:snapToGrid/>
          <w:kern w:val="2"/>
          <w:sz w:val="24"/>
          <w:szCs w:val="24"/>
        </w:rPr>
        <w:tab/>
      </w:r>
      <w:r>
        <w:t>Conclusion</w:t>
      </w:r>
      <w:r>
        <w:tab/>
        <w:t>35</w:t>
      </w:r>
    </w:p>
    <w:p w:rsidR="00304958" w:rsidP="00304958" w14:paraId="0C242B42" w14:textId="73DAEE2A">
      <w:pPr>
        <w:pStyle w:val="TOC1"/>
        <w:rPr>
          <w:rFonts w:ascii="Aptos" w:hAnsi="Aptos"/>
          <w:caps w:val="0"/>
          <w:snapToGrid/>
          <w:kern w:val="2"/>
          <w:sz w:val="24"/>
          <w:szCs w:val="24"/>
        </w:rPr>
      </w:pPr>
      <w:r>
        <w:t>X.</w:t>
      </w:r>
      <w:r>
        <w:rPr>
          <w:rFonts w:ascii="Aptos" w:hAnsi="Aptos"/>
          <w:caps w:val="0"/>
          <w:snapToGrid/>
          <w:kern w:val="2"/>
          <w:sz w:val="24"/>
          <w:szCs w:val="24"/>
        </w:rPr>
        <w:tab/>
      </w:r>
      <w:r>
        <w:t>Ordering Clauses</w:t>
      </w:r>
      <w:r>
        <w:tab/>
        <w:t>36</w:t>
      </w:r>
    </w:p>
    <w:p w:rsidR="00304958" w:rsidP="003637D7" w14:paraId="104ED91C" w14:textId="6159AEEA">
      <w:pPr>
        <w:rPr>
          <w:spacing w:val="-2"/>
        </w:rPr>
      </w:pPr>
    </w:p>
    <w:bookmarkEnd w:id="0"/>
    <w:p w:rsidR="00304958" w:rsidP="003637D7" w14:paraId="191BA3D3" w14:textId="77777777">
      <w:pPr>
        <w:rPr>
          <w:spacing w:val="-2"/>
        </w:rPr>
      </w:pPr>
    </w:p>
    <w:p w:rsidR="00A40FA9" w:rsidP="00A40FA9" w14:paraId="5BDC401B" w14:textId="77777777">
      <w:pPr>
        <w:pStyle w:val="Heading1"/>
      </w:pPr>
      <w:bookmarkStart w:id="2" w:name="_Toc219819446"/>
      <w:bookmarkStart w:id="3" w:name="_Toc219820480"/>
      <w:bookmarkStart w:id="4" w:name="_Toc220586380"/>
      <w:bookmarkStart w:id="5" w:name="_Toc220598763"/>
      <w:bookmarkStart w:id="6" w:name="_Toc224543315"/>
      <w:bookmarkStart w:id="7" w:name="_Toc226557002"/>
      <w:bookmarkStart w:id="8" w:name="_Toc226636112"/>
      <w:bookmarkStart w:id="9" w:name="_Toc227075509"/>
      <w:bookmarkStart w:id="10" w:name="_Toc227237433"/>
      <w:bookmarkStart w:id="11" w:name="_Toc229582892"/>
      <w:r>
        <w:t>INTRODUCTION</w:t>
      </w:r>
      <w:bookmarkEnd w:id="2"/>
      <w:bookmarkEnd w:id="3"/>
      <w:bookmarkEnd w:id="4"/>
      <w:bookmarkEnd w:id="5"/>
      <w:bookmarkEnd w:id="6"/>
      <w:bookmarkEnd w:id="7"/>
      <w:bookmarkEnd w:id="8"/>
      <w:bookmarkEnd w:id="9"/>
      <w:bookmarkEnd w:id="10"/>
      <w:bookmarkEnd w:id="11"/>
    </w:p>
    <w:p w:rsidR="00A40FA9" w:rsidP="00A40FA9" w14:paraId="2B943C6D" w14:textId="77777777">
      <w:pPr>
        <w:pStyle w:val="ParaNum"/>
        <w:widowControl/>
      </w:pPr>
      <w:bookmarkStart w:id="12" w:name="_Toc219819447"/>
      <w:bookmarkStart w:id="13" w:name="_Toc219820481"/>
      <w:bookmarkStart w:id="14" w:name="_Toc220586381"/>
      <w:bookmarkStart w:id="15" w:name="_Toc220598764"/>
      <w:r>
        <w:t xml:space="preserve">In this Memorandum Opinion and Order, we grant the </w:t>
      </w:r>
      <w:r w:rsidRPr="00081441">
        <w:t xml:space="preserve">applications </w:t>
      </w:r>
      <w:r>
        <w:t xml:space="preserve">filed by </w:t>
      </w:r>
      <w:r>
        <w:t>Cellco</w:t>
      </w:r>
      <w:r>
        <w:t xml:space="preserve"> Partnership, doing business as Verizon Wireless (Verizon Wireless), </w:t>
      </w:r>
      <w:r w:rsidRPr="00081441">
        <w:t xml:space="preserve">and Array Digital Infrastructure Inc. </w:t>
      </w:r>
      <w:r w:rsidRPr="00081441">
        <w:t xml:space="preserve">(Array) (formerly known as United States Cellular Corporation or </w:t>
      </w:r>
      <w:r w:rsidRPr="00081441">
        <w:t>UScellular</w:t>
      </w:r>
      <w:r w:rsidRPr="00081441">
        <w:t>)</w:t>
      </w:r>
      <w:r>
        <w:rPr>
          <w:rStyle w:val="FootnoteReference"/>
          <w:szCs w:val="22"/>
        </w:rPr>
        <w:footnoteReference w:id="3"/>
      </w:r>
      <w:r w:rsidRPr="00081441">
        <w:t xml:space="preserve"> (</w:t>
      </w:r>
      <w:r>
        <w:t xml:space="preserve">Verizon Wireless </w:t>
      </w:r>
      <w:r w:rsidRPr="00081441">
        <w:t>and Array together, the Applicants)</w:t>
      </w:r>
      <w:r>
        <w:t xml:space="preserve">, seeking Commission </w:t>
      </w:r>
      <w:r w:rsidRPr="00CC49D2">
        <w:t xml:space="preserve">consent to assign </w:t>
      </w:r>
      <w:r>
        <w:t>several cellular, AWS-1, AWS-3, and PCS licenses from subsidiaries of Array to Verizon Wireless.</w:t>
      </w:r>
      <w:r>
        <w:rPr>
          <w:rStyle w:val="FootnoteReference"/>
          <w:color w:val="000000"/>
        </w:rPr>
        <w:footnoteReference w:id="4"/>
      </w:r>
    </w:p>
    <w:p w:rsidR="00A40FA9" w:rsidP="00304958" w14:paraId="70DEFBA9" w14:textId="77777777">
      <w:pPr>
        <w:pStyle w:val="ParaNum"/>
        <w:widowControl/>
      </w:pPr>
      <w:r>
        <w:t>We find that granting these applications serves the public interest.  T</w:t>
      </w:r>
      <w:r w:rsidRPr="007C71BA">
        <w:t>he proposed spectrum assignment</w:t>
      </w:r>
      <w:r>
        <w:t xml:space="preserve"> does not trigger the Commission’s total spectrum screen, and while it triggers enhanced factor review in 98 local markets, we find, based on our careful evaluation, that the </w:t>
      </w:r>
      <w:r w:rsidRPr="00891F64">
        <w:t>likelihood of competitive harm is low</w:t>
      </w:r>
      <w:r>
        <w:t xml:space="preserve">.  We also find that the transaction would result in </w:t>
      </w:r>
      <w:r w:rsidRPr="00237CC3">
        <w:t xml:space="preserve">certain public interest benefits, including enhancing </w:t>
      </w:r>
      <w:r>
        <w:t>Verizon Wireless’s</w:t>
      </w:r>
      <w:r w:rsidRPr="00237CC3">
        <w:t xml:space="preserve"> network coverage, capacity</w:t>
      </w:r>
      <w:r>
        <w:t>,</w:t>
      </w:r>
      <w:r w:rsidRPr="00237CC3">
        <w:t xml:space="preserve"> and performance</w:t>
      </w:r>
      <w:r>
        <w:t>,</w:t>
      </w:r>
      <w:r w:rsidRPr="00237CC3">
        <w:t xml:space="preserve"> resulting in a stronger ability to meet increasing customer demand and provide a better customer experience.</w:t>
      </w:r>
      <w:r>
        <w:t xml:space="preserve">  Approval of this transaction, combined with upcoming</w:t>
      </w:r>
      <w:r w:rsidRPr="00A56660">
        <w:t xml:space="preserve"> mid-band auctions</w:t>
      </w:r>
      <w:r>
        <w:rPr>
          <w:rStyle w:val="FootnoteReference"/>
        </w:rPr>
        <w:footnoteReference w:id="5"/>
      </w:r>
      <w:r>
        <w:t xml:space="preserve"> </w:t>
      </w:r>
      <w:r w:rsidRPr="00A56660">
        <w:t xml:space="preserve">and </w:t>
      </w:r>
      <w:r>
        <w:t>recent approval of other transactions,</w:t>
      </w:r>
      <w:r>
        <w:rPr>
          <w:rStyle w:val="FootnoteReference"/>
        </w:rPr>
        <w:footnoteReference w:id="6"/>
      </w:r>
      <w:r w:rsidRPr="00A56660">
        <w:t xml:space="preserve"> </w:t>
      </w:r>
      <w:r>
        <w:t>continues this agency’s</w:t>
      </w:r>
      <w:r w:rsidRPr="0044581C">
        <w:t xml:space="preserve"> </w:t>
      </w:r>
      <w:r>
        <w:t xml:space="preserve">efforts to make </w:t>
      </w:r>
      <w:r w:rsidRPr="0044581C">
        <w:t xml:space="preserve">additional spectrum </w:t>
      </w:r>
      <w:r>
        <w:t xml:space="preserve">available </w:t>
      </w:r>
      <w:r w:rsidRPr="0044581C">
        <w:t>to facilities-based providers</w:t>
      </w:r>
      <w:r w:rsidRPr="00A56660">
        <w:t xml:space="preserve"> with the incentive and ability to build networks that benefit American consumers.</w:t>
      </w:r>
    </w:p>
    <w:p w:rsidR="00A40FA9" w:rsidP="00A40FA9" w14:paraId="356968F9" w14:textId="77777777">
      <w:pPr>
        <w:pStyle w:val="Heading1"/>
      </w:pPr>
      <w:bookmarkStart w:id="16" w:name="_Toc224543316"/>
      <w:bookmarkStart w:id="17" w:name="_Toc226557003"/>
      <w:bookmarkStart w:id="18" w:name="_Toc226636113"/>
      <w:bookmarkStart w:id="19" w:name="_Toc227075510"/>
      <w:bookmarkStart w:id="20" w:name="_Toc227237434"/>
      <w:bookmarkStart w:id="21" w:name="_Toc229582893"/>
      <w:r>
        <w:t>BACKGROUND</w:t>
      </w:r>
      <w:bookmarkEnd w:id="12"/>
      <w:bookmarkEnd w:id="13"/>
      <w:bookmarkEnd w:id="14"/>
      <w:bookmarkEnd w:id="15"/>
      <w:bookmarkEnd w:id="16"/>
      <w:bookmarkEnd w:id="17"/>
      <w:bookmarkEnd w:id="18"/>
      <w:bookmarkEnd w:id="19"/>
      <w:bookmarkEnd w:id="20"/>
      <w:bookmarkEnd w:id="21"/>
      <w:r>
        <w:t xml:space="preserve"> </w:t>
      </w:r>
    </w:p>
    <w:p w:rsidR="00A40FA9" w:rsidRPr="003D7E98" w:rsidP="00A40FA9" w14:paraId="27ECE58F" w14:textId="77777777">
      <w:pPr>
        <w:pStyle w:val="Heading2"/>
      </w:pPr>
      <w:bookmarkStart w:id="22" w:name="_Toc219819448"/>
      <w:bookmarkStart w:id="23" w:name="_Toc219820482"/>
      <w:bookmarkStart w:id="24" w:name="_Toc220586382"/>
      <w:bookmarkStart w:id="25" w:name="_Toc220598765"/>
      <w:bookmarkStart w:id="26" w:name="_Toc224543317"/>
      <w:bookmarkStart w:id="27" w:name="_Toc226557004"/>
      <w:bookmarkStart w:id="28" w:name="_Toc226636114"/>
      <w:bookmarkStart w:id="29" w:name="_Toc227075511"/>
      <w:bookmarkStart w:id="30" w:name="_Toc227237435"/>
      <w:bookmarkStart w:id="31" w:name="_Toc229582894"/>
      <w:r w:rsidRPr="003D7E98">
        <w:t>Description of the Applicants</w:t>
      </w:r>
      <w:bookmarkEnd w:id="22"/>
      <w:bookmarkEnd w:id="23"/>
      <w:bookmarkEnd w:id="24"/>
      <w:bookmarkEnd w:id="25"/>
      <w:bookmarkEnd w:id="26"/>
      <w:bookmarkEnd w:id="27"/>
      <w:bookmarkEnd w:id="28"/>
      <w:bookmarkEnd w:id="29"/>
      <w:bookmarkEnd w:id="30"/>
      <w:bookmarkEnd w:id="31"/>
      <w:r w:rsidRPr="003D7E98">
        <w:t xml:space="preserve"> </w:t>
      </w:r>
    </w:p>
    <w:p w:rsidR="00A40FA9" w:rsidRPr="003D7E98" w:rsidP="00A40FA9" w14:paraId="462F7544" w14:textId="77777777">
      <w:pPr>
        <w:pStyle w:val="Heading3"/>
      </w:pPr>
      <w:bookmarkStart w:id="32" w:name="_Toc224543318"/>
      <w:bookmarkStart w:id="33" w:name="_Toc226557005"/>
      <w:bookmarkStart w:id="34" w:name="_Toc226636115"/>
      <w:bookmarkStart w:id="35" w:name="_Toc227075512"/>
      <w:bookmarkStart w:id="36" w:name="_Toc227237436"/>
      <w:bookmarkStart w:id="37" w:name="_Toc229582895"/>
      <w:r w:rsidRPr="003D7E98">
        <w:t>Verizon</w:t>
      </w:r>
      <w:bookmarkEnd w:id="32"/>
      <w:r w:rsidRPr="003D7E98">
        <w:t xml:space="preserve"> </w:t>
      </w:r>
      <w:r>
        <w:t>Wireless</w:t>
      </w:r>
      <w:bookmarkEnd w:id="33"/>
      <w:bookmarkEnd w:id="34"/>
      <w:bookmarkEnd w:id="35"/>
      <w:bookmarkEnd w:id="36"/>
      <w:bookmarkEnd w:id="37"/>
    </w:p>
    <w:p w:rsidR="00A40FA9" w:rsidP="00A40FA9" w14:paraId="25B29523" w14:textId="77777777">
      <w:pPr>
        <w:pStyle w:val="ParaNum"/>
      </w:pPr>
      <w:r w:rsidRPr="009E1D70">
        <w:t>Verizon Wireles</w:t>
      </w:r>
      <w:r w:rsidRPr="000D094B">
        <w:t>s is</w:t>
      </w:r>
      <w:r>
        <w:t xml:space="preserve"> an indirect </w:t>
      </w:r>
      <w:r w:rsidRPr="00A125B5">
        <w:t>wholly</w:t>
      </w:r>
      <w:r>
        <w:t xml:space="preserve"> </w:t>
      </w:r>
      <w:r w:rsidRPr="00A125B5">
        <w:t xml:space="preserve">owned subsidiary </w:t>
      </w:r>
      <w:r w:rsidRPr="00A125B5">
        <w:rPr>
          <w:rFonts w:eastAsia="Calibri"/>
          <w:snapToGrid/>
        </w:rPr>
        <w:t xml:space="preserve">of </w:t>
      </w:r>
      <w:r w:rsidRPr="00A125B5">
        <w:t>Verizon Communications Inc.</w:t>
      </w:r>
      <w:r>
        <w:t xml:space="preserve"> (Verizon)</w:t>
      </w:r>
      <w:r w:rsidRPr="00A125B5">
        <w:t xml:space="preserve">, </w:t>
      </w:r>
      <w:r w:rsidRPr="00A125B5">
        <w:rPr>
          <w:rFonts w:eastAsia="Calibri"/>
          <w:snapToGrid/>
        </w:rPr>
        <w:t>a publicly traded Delaware corporation.</w:t>
      </w:r>
      <w:r>
        <w:rPr>
          <w:rStyle w:val="FootnoteReference"/>
        </w:rPr>
        <w:footnoteReference w:id="7"/>
      </w:r>
      <w:r w:rsidRPr="00A125B5">
        <w:rPr>
          <w:rFonts w:eastAsia="Calibri"/>
          <w:snapToGrid/>
        </w:rPr>
        <w:t xml:space="preserve">  </w:t>
      </w:r>
      <w:r w:rsidRPr="00A125B5">
        <w:rPr>
          <w:rFonts w:eastAsia="Calibri"/>
          <w:snapToGrid/>
        </w:rPr>
        <w:t xml:space="preserve">Through its subsidiaries, </w:t>
      </w:r>
      <w:r w:rsidRPr="00A125B5">
        <w:t>Verizon</w:t>
      </w:r>
      <w:r>
        <w:t xml:space="preserve"> </w:t>
      </w:r>
      <w:r>
        <w:rPr>
          <w:rFonts w:eastAsia="Calibri"/>
          <w:snapToGrid/>
        </w:rPr>
        <w:t xml:space="preserve">offers consumer-segment customers wireless and </w:t>
      </w:r>
      <w:r>
        <w:t>wireline communications services and products, including fixed wireless access (FWA) offerings through its fifth-generation (5G) and fourth-generation (4G) Long-</w:t>
      </w:r>
      <w:r>
        <w:t>Term Evolution (LTE) wireless networks.</w:t>
      </w:r>
      <w:r>
        <w:rPr>
          <w:rStyle w:val="FootnoteReference"/>
        </w:rPr>
        <w:footnoteReference w:id="8"/>
      </w:r>
      <w:r>
        <w:t xml:space="preserve">  In 2025, </w:t>
      </w:r>
      <w:r w:rsidRPr="00A125B5">
        <w:t>Verizon</w:t>
      </w:r>
      <w:r>
        <w:t>’s consumer segment had approximately 116 million wireless retail connections (including FWA), of which 83% were postpaid connections.</w:t>
      </w:r>
      <w:r>
        <w:rPr>
          <w:rStyle w:val="FootnoteReference"/>
        </w:rPr>
        <w:footnoteReference w:id="9"/>
      </w:r>
      <w:r>
        <w:t xml:space="preserve">  Verizon offers business-segment customers wireless and wireline communications services and products, including mobility communication services, FWA and wireline broadband, Internet of Things (IoT) connectivity solutions, advanced communication services, corporate networking solutions, local and long distance services, and security and managed network services.</w:t>
      </w:r>
      <w:r>
        <w:rPr>
          <w:rStyle w:val="FootnoteReference"/>
        </w:rPr>
        <w:footnoteReference w:id="10"/>
      </w:r>
    </w:p>
    <w:p w:rsidR="00A40FA9" w:rsidP="00A40FA9" w14:paraId="4F10149D" w14:textId="77777777">
      <w:pPr>
        <w:pStyle w:val="Heading3"/>
      </w:pPr>
      <w:bookmarkStart w:id="38" w:name="_Toc220586384"/>
      <w:bookmarkStart w:id="39" w:name="_Toc220598767"/>
      <w:bookmarkStart w:id="40" w:name="_Toc224543319"/>
      <w:bookmarkStart w:id="41" w:name="_Toc226557006"/>
      <w:bookmarkStart w:id="42" w:name="_Toc226636116"/>
      <w:bookmarkStart w:id="43" w:name="_Toc227075513"/>
      <w:bookmarkStart w:id="44" w:name="_Toc227237437"/>
      <w:bookmarkStart w:id="45" w:name="_Toc229582896"/>
      <w:r>
        <w:t>Array</w:t>
      </w:r>
      <w:bookmarkEnd w:id="38"/>
      <w:bookmarkEnd w:id="39"/>
      <w:bookmarkEnd w:id="40"/>
      <w:bookmarkEnd w:id="41"/>
      <w:bookmarkEnd w:id="42"/>
      <w:bookmarkEnd w:id="43"/>
      <w:bookmarkEnd w:id="44"/>
      <w:bookmarkEnd w:id="45"/>
    </w:p>
    <w:p w:rsidR="00A40FA9" w:rsidP="00A40FA9" w14:paraId="36F3AE04" w14:textId="77777777">
      <w:pPr>
        <w:pStyle w:val="ParaNum"/>
      </w:pPr>
      <w:r>
        <w:t xml:space="preserve">When the Applications were submitted, Array, then named </w:t>
      </w:r>
      <w:r>
        <w:t>UScellular</w:t>
      </w:r>
      <w:r>
        <w:t>, was a</w:t>
      </w:r>
      <w:r w:rsidRPr="00D8397F">
        <w:t xml:space="preserve"> wireless</w:t>
      </w:r>
      <w:r>
        <w:t xml:space="preserve"> provider with approximately 4.4 million retail connections and operations in 21 states that provided wireless services, FWA, and IoT </w:t>
      </w:r>
      <w:r w:rsidRPr="00BC6BC2">
        <w:t>services</w:t>
      </w:r>
      <w:r>
        <w:t>.</w:t>
      </w:r>
      <w:r w:rsidRPr="00BC6BC2">
        <w:t xml:space="preserve"> </w:t>
      </w:r>
      <w:r>
        <w:t xml:space="preserve"> </w:t>
      </w:r>
      <w:r w:rsidRPr="00BC6BC2">
        <w:t>UScellular</w:t>
      </w:r>
      <w:r w:rsidRPr="00BC6BC2">
        <w:t xml:space="preserve"> also owned approximately 4,400 towers, which it used to support its own network and lease space to other providers.</w:t>
      </w:r>
      <w:r>
        <w:rPr>
          <w:rStyle w:val="FootnoteReference"/>
        </w:rPr>
        <w:footnoteReference w:id="11"/>
      </w:r>
      <w:r>
        <w:t xml:space="preserve">  </w:t>
      </w:r>
      <w:r w:rsidRPr="00E54923">
        <w:t>On August 1,</w:t>
      </w:r>
      <w:r>
        <w:t xml:space="preserve"> 2025, </w:t>
      </w:r>
      <w:r>
        <w:t>UScellular</w:t>
      </w:r>
      <w:r>
        <w:t xml:space="preserve"> completed the sale of its wireless operations and some spectrum assets to T-Mobile and changed its name to Array</w:t>
      </w:r>
      <w:r>
        <w:t>.</w:t>
      </w:r>
      <w:r>
        <w:rPr>
          <w:rStyle w:val="FootnoteReference"/>
        </w:rPr>
        <w:footnoteReference w:id="12"/>
      </w:r>
      <w:r>
        <w:t xml:space="preserve">  On January 13, 2026, Array completed the sale of additional spectrum assets to AT&amp;T.</w:t>
      </w:r>
      <w:r>
        <w:rPr>
          <w:rStyle w:val="FootnoteReference"/>
        </w:rPr>
        <w:footnoteReference w:id="13"/>
      </w:r>
      <w:r>
        <w:t xml:space="preserve">  Array continues to own </w:t>
      </w:r>
      <w:r w:rsidRPr="004E2B6C">
        <w:t>approximately 4,4</w:t>
      </w:r>
      <w:r>
        <w:t>50</w:t>
      </w:r>
      <w:r w:rsidRPr="004E2B6C">
        <w:t xml:space="preserve"> towers </w:t>
      </w:r>
      <w:r>
        <w:t xml:space="preserve">and is currently </w:t>
      </w:r>
      <w:r w:rsidRPr="004E2B6C">
        <w:t xml:space="preserve">the fifth largest tower </w:t>
      </w:r>
      <w:r>
        <w:t>company</w:t>
      </w:r>
      <w:r w:rsidRPr="004E2B6C">
        <w:t xml:space="preserve"> in the </w:t>
      </w:r>
      <w:r w:rsidRPr="00076DDC">
        <w:t>United States.</w:t>
      </w:r>
      <w:r>
        <w:rPr>
          <w:rStyle w:val="FootnoteReference"/>
        </w:rPr>
        <w:footnoteReference w:id="14"/>
      </w:r>
      <w:r w:rsidRPr="00076DDC">
        <w:t xml:space="preserve">  Array is incorporated in Delaware and is a majority-owned subsidiary of Telephone Data Systems, Inc. (TDS).</w:t>
      </w:r>
      <w:r>
        <w:rPr>
          <w:rStyle w:val="FootnoteReference"/>
        </w:rPr>
        <w:footnoteReference w:id="15"/>
      </w:r>
      <w:r w:rsidRPr="0026490F">
        <w:t xml:space="preserve">  </w:t>
      </w:r>
      <w:r w:rsidRPr="00E65399">
        <w:t>Array</w:t>
      </w:r>
      <w:r w:rsidRPr="00E65399">
        <w:t xml:space="preserve"> </w:t>
      </w:r>
      <w:r w:rsidRPr="00E65399">
        <w:t>reported total operating revenues from continuing operations of $</w:t>
      </w:r>
      <w:r>
        <w:t>52</w:t>
      </w:r>
      <w:r w:rsidRPr="00E65399">
        <w:t xml:space="preserve"> million for the </w:t>
      </w:r>
      <w:r>
        <w:t>first</w:t>
      </w:r>
      <w:r w:rsidRPr="00E65399">
        <w:t xml:space="preserve"> quarter of 202</w:t>
      </w:r>
      <w:r>
        <w:t>6</w:t>
      </w:r>
      <w:r w:rsidRPr="00E65399">
        <w:t>.</w:t>
      </w:r>
      <w:r>
        <w:rPr>
          <w:rStyle w:val="FootnoteReference"/>
        </w:rPr>
        <w:footnoteReference w:id="16"/>
      </w:r>
    </w:p>
    <w:p w:rsidR="00A40FA9" w:rsidP="00A40FA9" w14:paraId="3D67A745" w14:textId="77777777">
      <w:pPr>
        <w:pStyle w:val="Heading2"/>
      </w:pPr>
      <w:bookmarkStart w:id="50" w:name="_Toc219819453"/>
      <w:bookmarkStart w:id="51" w:name="_Toc219820487"/>
      <w:bookmarkStart w:id="52" w:name="_Toc220586385"/>
      <w:bookmarkStart w:id="53" w:name="_Toc220598768"/>
      <w:bookmarkStart w:id="54" w:name="_Toc224543320"/>
      <w:bookmarkStart w:id="55" w:name="_Toc226557007"/>
      <w:bookmarkStart w:id="56" w:name="_Toc226636117"/>
      <w:bookmarkStart w:id="57" w:name="_Toc227075514"/>
      <w:bookmarkStart w:id="58" w:name="_Toc227237438"/>
      <w:bookmarkStart w:id="59" w:name="_Toc229582897"/>
      <w:r w:rsidRPr="00D602C6">
        <w:t>Description of the Transaction</w:t>
      </w:r>
      <w:bookmarkEnd w:id="50"/>
      <w:bookmarkEnd w:id="51"/>
      <w:bookmarkEnd w:id="52"/>
      <w:bookmarkEnd w:id="53"/>
      <w:bookmarkEnd w:id="54"/>
      <w:r w:rsidRPr="00D602C6">
        <w:t xml:space="preserve"> </w:t>
      </w:r>
      <w:r>
        <w:t>and Transaction Review Process</w:t>
      </w:r>
      <w:bookmarkEnd w:id="55"/>
      <w:bookmarkEnd w:id="56"/>
      <w:bookmarkEnd w:id="57"/>
      <w:bookmarkEnd w:id="58"/>
      <w:bookmarkEnd w:id="59"/>
    </w:p>
    <w:p w:rsidR="00A40FA9" w:rsidRPr="00AC16F2" w:rsidP="00A40FA9" w14:paraId="4C88D769" w14:textId="77777777">
      <w:pPr>
        <w:pStyle w:val="ParaNum"/>
      </w:pPr>
      <w:r w:rsidRPr="00212FDB">
        <w:rPr>
          <w:color w:val="000000"/>
        </w:rPr>
        <w:t>On April 1, 2025, Verizon Wireless and Array filed applications pursuant to section 310(d) of the Communications Act of 1934, as amended,</w:t>
      </w:r>
      <w:r>
        <w:rPr>
          <w:rStyle w:val="FootnoteReference"/>
          <w:color w:val="000000"/>
        </w:rPr>
        <w:footnoteReference w:id="17"/>
      </w:r>
      <w:r w:rsidRPr="00212FDB">
        <w:rPr>
          <w:color w:val="000000"/>
        </w:rPr>
        <w:t xml:space="preserve"> seeking the Commission’s consent to assign various cellular, AWS-1, AWS-3, and PCS licenses from subsidiaries of Array to Verizon Wireless.  According to the Applicants, under the proposed spectrum license assignments, Array, through its subsidiaries, would assign various cellular, AWS-1, AWS-3, and PCS licenses to Verizon Wireless in 618 counties (in all or parts of 140 Cellular Market Areas (CMAs)) across 19 states, covering approximately </w:t>
      </w:r>
      <w:r w:rsidRPr="00212FDB">
        <w:rPr>
          <w:color w:val="000000"/>
        </w:rPr>
        <w:t>8% of the U.S. population.</w:t>
      </w:r>
      <w:r>
        <w:rPr>
          <w:rStyle w:val="FootnoteReference"/>
          <w:color w:val="000000"/>
        </w:rPr>
        <w:footnoteReference w:id="18"/>
      </w:r>
      <w:r w:rsidRPr="00212FDB">
        <w:rPr>
          <w:color w:val="000000"/>
        </w:rPr>
        <w:t xml:space="preserve">  Specifically, </w:t>
      </w:r>
      <w:r>
        <w:t xml:space="preserve">Verizon Wireless would acquire </w:t>
      </w:r>
      <w:r>
        <w:rPr>
          <w:kern w:val="0"/>
          <w:szCs w:val="22"/>
        </w:rPr>
        <w:t>zero to 25</w:t>
      </w:r>
      <w:r w:rsidRPr="004A77F8">
        <w:rPr>
          <w:kern w:val="0"/>
          <w:szCs w:val="22"/>
        </w:rPr>
        <w:t xml:space="preserve"> megahertz of </w:t>
      </w:r>
      <w:r>
        <w:rPr>
          <w:kern w:val="0"/>
          <w:szCs w:val="22"/>
        </w:rPr>
        <w:t>cellular</w:t>
      </w:r>
      <w:r w:rsidRPr="004A77F8">
        <w:rPr>
          <w:kern w:val="0"/>
          <w:szCs w:val="22"/>
        </w:rPr>
        <w:t xml:space="preserve"> spectrum</w:t>
      </w:r>
      <w:r>
        <w:rPr>
          <w:kern w:val="0"/>
          <w:szCs w:val="22"/>
        </w:rPr>
        <w:t>, zero to 20 megahertz of AWS-1 spectrum, zero to 10 megahertz of AWS-3 spectrum, and zero to 20 megahertz of PCS spectrum</w:t>
      </w:r>
      <w:r>
        <w:t xml:space="preserve"> in these markets.  Post-transaction, Verizon Wireless </w:t>
      </w:r>
      <w:r w:rsidRPr="00212FDB">
        <w:rPr>
          <w:color w:val="000000"/>
        </w:rPr>
        <w:t>would be attributed with a maximum of 372 megahertz of spectrum, including up to 72 megahertz of below-1-gigahertz spectrum.</w:t>
      </w:r>
      <w:r>
        <w:rPr>
          <w:rStyle w:val="FootnoteReference"/>
        </w:rPr>
        <w:footnoteReference w:id="19"/>
      </w:r>
      <w:r w:rsidRPr="00212FDB">
        <w:rPr>
          <w:color w:val="000000"/>
        </w:rPr>
        <w:t xml:space="preserve">  </w:t>
      </w:r>
    </w:p>
    <w:p w:rsidR="00A40FA9" w:rsidP="00A40FA9" w14:paraId="38BCACB7" w14:textId="77777777">
      <w:pPr>
        <w:pStyle w:val="ParaNum"/>
      </w:pPr>
      <w:r w:rsidRPr="00414603">
        <w:t xml:space="preserve">The Applicants assert that the proposed transaction would further the public interest as </w:t>
      </w:r>
      <w:r>
        <w:t>Verizon Wireless</w:t>
      </w:r>
      <w:r w:rsidRPr="00414603">
        <w:t xml:space="preserve"> would use</w:t>
      </w:r>
      <w:r>
        <w:t xml:space="preserve"> the spectrum at issue to </w:t>
      </w:r>
      <w:r w:rsidRPr="002E64F8">
        <w:t>enhance the performance of its network and the 4G/5G services it offers its customers</w:t>
      </w:r>
      <w:r>
        <w:t>, resulting in greater output and faster speeds in hundreds of local markets and other quality enhancements.</w:t>
      </w:r>
      <w:r>
        <w:rPr>
          <w:rStyle w:val="FootnoteReference"/>
        </w:rPr>
        <w:footnoteReference w:id="20"/>
      </w:r>
      <w:r>
        <w:t xml:space="preserve">  The Applicants further claim that Verizon Wireless would use </w:t>
      </w:r>
      <w:r w:rsidRPr="00414603">
        <w:t xml:space="preserve">the spectrum </w:t>
      </w:r>
      <w:r>
        <w:t xml:space="preserve">at issue </w:t>
      </w:r>
      <w:r w:rsidRPr="00414603">
        <w:t xml:space="preserve">to </w:t>
      </w:r>
      <w:r>
        <w:t>increase its network coverage and capacity to better serve its customers’ increasing demands.</w:t>
      </w:r>
      <w:r>
        <w:rPr>
          <w:rStyle w:val="FootnoteReference"/>
        </w:rPr>
        <w:footnoteReference w:id="21"/>
      </w:r>
    </w:p>
    <w:p w:rsidR="00A40FA9" w:rsidRPr="00DC6F1A" w:rsidP="00A40FA9" w14:paraId="393AAC97" w14:textId="77777777">
      <w:pPr>
        <w:pStyle w:val="ParaNum"/>
        <w:widowControl/>
      </w:pPr>
      <w:r w:rsidRPr="00A724B0">
        <w:t>On June 6,</w:t>
      </w:r>
      <w:r>
        <w:t xml:space="preserve"> 2025, the Wireless Telecommunications Bureau (WTB) released a Public Notice accepting the Applications for filing and established a pleading cycle for public comments.</w:t>
      </w:r>
      <w:r>
        <w:rPr>
          <w:rStyle w:val="FootnoteReference"/>
        </w:rPr>
        <w:footnoteReference w:id="22"/>
      </w:r>
      <w:r>
        <w:t xml:space="preserve">  On July 7, 2025, two petitions to deny</w:t>
      </w:r>
      <w:r>
        <w:t xml:space="preserve"> </w:t>
      </w:r>
      <w:r>
        <w:t>and a petition to hold in abeyance were timely filed</w:t>
      </w:r>
      <w:r w:rsidRPr="0057349E">
        <w:t>.</w:t>
      </w:r>
      <w:r>
        <w:rPr>
          <w:rStyle w:val="FootnoteReference"/>
        </w:rPr>
        <w:footnoteReference w:id="23"/>
      </w:r>
      <w:r>
        <w:t xml:space="preserve">  On July </w:t>
      </w:r>
      <w:r w:rsidRPr="00A07972">
        <w:t xml:space="preserve">22, 2025, </w:t>
      </w:r>
      <w:r>
        <w:t>Array filed an opposition to the petition to hold in abeyance,</w:t>
      </w:r>
      <w:r w:rsidRPr="00A07972">
        <w:t xml:space="preserve"> and Verizon </w:t>
      </w:r>
      <w:r>
        <w:t xml:space="preserve">Wireless </w:t>
      </w:r>
      <w:r w:rsidRPr="00A07972">
        <w:t xml:space="preserve">and </w:t>
      </w:r>
      <w:r>
        <w:t>Array</w:t>
      </w:r>
      <w:r w:rsidRPr="00A07972">
        <w:t xml:space="preserve"> </w:t>
      </w:r>
      <w:r>
        <w:t xml:space="preserve">jointly </w:t>
      </w:r>
      <w:r w:rsidRPr="00A07972">
        <w:t xml:space="preserve">filed </w:t>
      </w:r>
      <w:r>
        <w:t xml:space="preserve">an </w:t>
      </w:r>
      <w:r w:rsidRPr="00A07972">
        <w:t>opposition</w:t>
      </w:r>
      <w:r>
        <w:t xml:space="preserve"> to the petitions to deny</w:t>
      </w:r>
      <w:r w:rsidRPr="00A07972">
        <w:t>.</w:t>
      </w:r>
      <w:r>
        <w:rPr>
          <w:rStyle w:val="FootnoteReference"/>
        </w:rPr>
        <w:footnoteReference w:id="24"/>
      </w:r>
      <w:r w:rsidRPr="00A07972">
        <w:t xml:space="preserve">  On August 1, 2025, </w:t>
      </w:r>
      <w:r>
        <w:t>petitioners</w:t>
      </w:r>
      <w:r w:rsidRPr="00A07972">
        <w:t xml:space="preserve"> </w:t>
      </w:r>
      <w:r w:rsidRPr="00A07972">
        <w:t>filed their respective replies.</w:t>
      </w:r>
      <w:r>
        <w:rPr>
          <w:rStyle w:val="FootnoteReference"/>
        </w:rPr>
        <w:footnoteReference w:id="25"/>
      </w:r>
      <w:r w:rsidRPr="00A07972">
        <w:t xml:space="preserve">  In addition, </w:t>
      </w:r>
      <w:r>
        <w:t xml:space="preserve">multiple parties filed </w:t>
      </w:r>
      <w:r>
        <w:rPr>
          <w:i/>
          <w:iCs/>
        </w:rPr>
        <w:t xml:space="preserve">ex </w:t>
      </w:r>
      <w:r>
        <w:rPr>
          <w:i/>
          <w:iCs/>
        </w:rPr>
        <w:t>parte</w:t>
      </w:r>
      <w:r>
        <w:rPr>
          <w:iCs/>
        </w:rPr>
        <w:t xml:space="preserve"> submissions under our rules</w:t>
      </w:r>
      <w:r w:rsidRPr="005E6C75">
        <w:t>.</w:t>
      </w:r>
      <w:r>
        <w:rPr>
          <w:rStyle w:val="FootnoteReference"/>
        </w:rPr>
        <w:footnoteReference w:id="26"/>
      </w:r>
      <w:r>
        <w:t xml:space="preserve">  </w:t>
      </w:r>
      <w:r w:rsidRPr="00072551">
        <w:t xml:space="preserve">In this docket, parties </w:t>
      </w:r>
      <w:r w:rsidRPr="00072551">
        <w:t>filed copies of pleadings previously or contemporaneously filed in other dockets concerning other Array spectrum assignment transactions.</w:t>
      </w:r>
      <w:r>
        <w:rPr>
          <w:rStyle w:val="FootnoteReference"/>
        </w:rPr>
        <w:footnoteReference w:id="27"/>
      </w:r>
    </w:p>
    <w:p w:rsidR="00A40FA9" w:rsidP="00A40FA9" w14:paraId="1AFBFAF8" w14:textId="77777777">
      <w:pPr>
        <w:pStyle w:val="Heading1"/>
      </w:pPr>
      <w:bookmarkStart w:id="60" w:name="_Toc219819455"/>
      <w:bookmarkStart w:id="61" w:name="_Toc219820489"/>
      <w:bookmarkStart w:id="62" w:name="_Toc220586387"/>
      <w:bookmarkStart w:id="63" w:name="_Toc220598770"/>
      <w:bookmarkStart w:id="64" w:name="_Toc224543322"/>
      <w:bookmarkStart w:id="65" w:name="_Toc226557008"/>
      <w:bookmarkStart w:id="66" w:name="_Toc226636118"/>
      <w:bookmarkStart w:id="67" w:name="_Toc227075515"/>
      <w:bookmarkStart w:id="68" w:name="_Toc227237439"/>
      <w:bookmarkStart w:id="69" w:name="_Toc229582898"/>
      <w:r>
        <w:t>STANDARD OF REVIEW AND PUBLIC INTEREST FRAMEWORK</w:t>
      </w:r>
      <w:bookmarkEnd w:id="60"/>
      <w:bookmarkEnd w:id="61"/>
      <w:bookmarkEnd w:id="62"/>
      <w:bookmarkEnd w:id="63"/>
      <w:bookmarkEnd w:id="64"/>
      <w:bookmarkEnd w:id="65"/>
      <w:bookmarkEnd w:id="66"/>
      <w:bookmarkEnd w:id="67"/>
      <w:bookmarkEnd w:id="68"/>
      <w:bookmarkEnd w:id="69"/>
    </w:p>
    <w:p w:rsidR="00A40FA9" w:rsidRPr="004B6FCD" w:rsidP="00A40FA9" w14:paraId="4FD7B4F7" w14:textId="77777777">
      <w:pPr>
        <w:pStyle w:val="ParaNum"/>
      </w:pPr>
      <w:r w:rsidRPr="004B6FCD">
        <w:t xml:space="preserve">Pursuant to section 310(d) of the </w:t>
      </w:r>
      <w:r>
        <w:t xml:space="preserve">Communications </w:t>
      </w:r>
      <w:r w:rsidRPr="004B6FCD">
        <w:t>Act</w:t>
      </w:r>
      <w:r>
        <w:t xml:space="preserve"> of 1934, as amended (the Act),</w:t>
      </w:r>
      <w:r>
        <w:rPr>
          <w:rStyle w:val="FootnoteReference"/>
        </w:rPr>
        <w:footnoteReference w:id="28"/>
      </w:r>
      <w:r w:rsidRPr="004B6FCD">
        <w:t xml:space="preserve"> we must determine whether the proposed </w:t>
      </w:r>
      <w:r>
        <w:t xml:space="preserve">assignment </w:t>
      </w:r>
      <w:r w:rsidRPr="004B6FCD">
        <w:t xml:space="preserve">to </w:t>
      </w:r>
      <w:r>
        <w:t xml:space="preserve">Verizon Wireless </w:t>
      </w:r>
      <w:r w:rsidRPr="004B6FCD">
        <w:t xml:space="preserve">of licenses held and controlled by </w:t>
      </w:r>
      <w:r>
        <w:t xml:space="preserve">Array </w:t>
      </w:r>
      <w:r w:rsidRPr="00D42733">
        <w:t>and its subsidiaries and affiliates</w:t>
      </w:r>
      <w:r>
        <w:t xml:space="preserve"> </w:t>
      </w:r>
      <w:r w:rsidRPr="004B6FCD">
        <w:t>will serve the public interest, convenience, and necessity.  In making this determination, we first assess whether the proposed transaction complies with the specific provisions of the Act, other applicable statutes, and the Commission</w:t>
      </w:r>
      <w:r>
        <w:t>’</w:t>
      </w:r>
      <w:r w:rsidRPr="004B6FCD">
        <w:t>s rules.</w:t>
      </w:r>
      <w:r>
        <w:rPr>
          <w:rStyle w:val="FootnoteReference"/>
        </w:rPr>
        <w:footnoteReference w:id="29"/>
      </w:r>
    </w:p>
    <w:p w:rsidR="00A40FA9" w:rsidRPr="00D80945" w:rsidP="00A40FA9" w14:paraId="21463C67" w14:textId="77777777">
      <w:pPr>
        <w:pStyle w:val="ParaNum"/>
        <w:widowControl/>
      </w:pPr>
      <w:bookmarkStart w:id="70" w:name="_Hlk200473638"/>
      <w:r w:rsidRPr="00D80945">
        <w:t>If the proposed transaction does not violate a statute or rule, we then consider whether the transaction could result in public interest harms by substantially frustrating or impairing the objectives or implementation of the Act or related statutes.</w:t>
      </w:r>
      <w:r>
        <w:rPr>
          <w:rStyle w:val="FootnoteReference"/>
        </w:rPr>
        <w:footnoteReference w:id="30"/>
      </w:r>
      <w:r w:rsidRPr="00D80945">
        <w:t xml:space="preserve">  Our competitive analysis, which forms an important part of the public interest evaluation, is informed by, but not limited to, traditional antitrust principles.</w:t>
      </w:r>
      <w:r>
        <w:rPr>
          <w:rStyle w:val="FootnoteReference"/>
        </w:rPr>
        <w:footnoteReference w:id="31"/>
      </w:r>
      <w:r w:rsidRPr="00D80945">
        <w:t xml:space="preserve">  </w:t>
      </w:r>
      <w:bookmarkEnd w:id="70"/>
      <w:r w:rsidRPr="00D80945">
        <w:t xml:space="preserve">The </w:t>
      </w:r>
      <w:r>
        <w:t xml:space="preserve">United States </w:t>
      </w:r>
      <w:r w:rsidRPr="00D80945">
        <w:t>D</w:t>
      </w:r>
      <w:r>
        <w:t>epartment of Justice</w:t>
      </w:r>
      <w:r w:rsidRPr="00D80945">
        <w:t xml:space="preserve"> has independent authority to examine the competitive impacts of proposed mergers and transactions involving transfers of Commission licenses, but the Commission</w:t>
      </w:r>
      <w:r>
        <w:t>’</w:t>
      </w:r>
      <w:r w:rsidRPr="00D80945">
        <w:t>s competitive analysis under the public interest standard is somewhat broader</w:t>
      </w:r>
      <w:r>
        <w:t xml:space="preserve">, </w:t>
      </w:r>
      <w:r w:rsidRPr="001A5861">
        <w:t xml:space="preserve">and often takes a more </w:t>
      </w:r>
      <w:r w:rsidRPr="001A5861">
        <w:t>extensive view of potential and future competition and its impact on the relevant markets</w:t>
      </w:r>
      <w:r w:rsidRPr="00D80945">
        <w:t>.</w:t>
      </w:r>
      <w:r>
        <w:rPr>
          <w:rStyle w:val="FootnoteReference"/>
        </w:rPr>
        <w:footnoteReference w:id="32"/>
      </w:r>
      <w:r w:rsidRPr="00D80945">
        <w:t xml:space="preserve">  </w:t>
      </w:r>
      <w:bookmarkStart w:id="71" w:name="_Hlk200473659"/>
      <w:r w:rsidRPr="00D80945">
        <w:t>Notably, the Commission has determined it may impose and enforce transaction-related conditions to ensure that the public interest is served by the transaction.</w:t>
      </w:r>
      <w:bookmarkStart w:id="72" w:name="_Hlk200473760"/>
      <w:r>
        <w:rPr>
          <w:rStyle w:val="FootnoteReference"/>
        </w:rPr>
        <w:footnoteReference w:id="33"/>
      </w:r>
      <w:bookmarkEnd w:id="72"/>
    </w:p>
    <w:bookmarkEnd w:id="71"/>
    <w:p w:rsidR="00A40FA9" w:rsidRPr="0089258D" w:rsidP="00A40FA9" w14:paraId="1E87F8A3" w14:textId="77777777">
      <w:pPr>
        <w:pStyle w:val="ParaNum"/>
      </w:pPr>
      <w:r w:rsidRPr="0089258D">
        <w:t>If we determine that a transaction raises no public interest harms or that any such harms have been ameliorated by the Commission-imposed conditions or voluntary commitments, we next consider a transaction</w:t>
      </w:r>
      <w:r>
        <w:t>’</w:t>
      </w:r>
      <w:r w:rsidRPr="0089258D">
        <w:t>s public interest benefits.  Applicants bear the burden of proving those benefits by a preponderance of the evidence.</w:t>
      </w:r>
      <w:r>
        <w:rPr>
          <w:rStyle w:val="FootnoteReference"/>
        </w:rPr>
        <w:footnoteReference w:id="34"/>
      </w:r>
      <w:r w:rsidRPr="0089258D">
        <w:t xml:space="preserve">  As part of our public interest authority, we may impose conditions to ensure for the public the transaction-related benefits claimed by the </w:t>
      </w:r>
      <w:r>
        <w:t>a</w:t>
      </w:r>
      <w:r w:rsidRPr="0089258D">
        <w:t>pplicants.</w:t>
      </w:r>
      <w:r>
        <w:rPr>
          <w:rStyle w:val="FootnoteReference"/>
        </w:rPr>
        <w:footnoteReference w:id="35"/>
      </w:r>
    </w:p>
    <w:p w:rsidR="00A40FA9" w:rsidRPr="00F71EEB" w:rsidP="00A40FA9" w14:paraId="615A480D" w14:textId="77777777">
      <w:pPr>
        <w:pStyle w:val="ParaNum"/>
        <w:widowControl/>
      </w:pPr>
      <w:r w:rsidRPr="0062210A">
        <w:t>Finally, if we are able to find that transaction-related conditions are able to ameliorate any public interest harms and the transaction is in the public interest, we may approve the transaction as so conditioned or agreed.</w:t>
      </w:r>
      <w:r>
        <w:rPr>
          <w:rStyle w:val="FootnoteReference"/>
        </w:rPr>
        <w:footnoteReference w:id="36"/>
      </w:r>
      <w:r w:rsidRPr="0062210A">
        <w:t xml:space="preserve">  In contrast, if we are unable to find that a </w:t>
      </w:r>
      <w:r w:rsidRPr="003D4834">
        <w:t>proposed</w:t>
      </w:r>
      <w:r w:rsidRPr="0062210A">
        <w:t xml:space="preserve"> transaction even with such conditions serves the public interest or if the record presents a substantial and material question of fact, then we must designate the application for hearing.</w:t>
      </w:r>
      <w:r>
        <w:rPr>
          <w:rStyle w:val="FootnoteReference"/>
        </w:rPr>
        <w:footnoteReference w:id="37"/>
      </w:r>
    </w:p>
    <w:p w:rsidR="00A40FA9" w:rsidP="00A40FA9" w14:paraId="5F8AF576" w14:textId="77777777">
      <w:pPr>
        <w:pStyle w:val="Heading1"/>
      </w:pPr>
      <w:bookmarkStart w:id="73" w:name="_Toc220586388"/>
      <w:bookmarkStart w:id="74" w:name="_Toc220598771"/>
      <w:bookmarkStart w:id="75" w:name="_Toc224543323"/>
      <w:bookmarkStart w:id="76" w:name="_Toc226557009"/>
      <w:bookmarkStart w:id="77" w:name="_Toc226636119"/>
      <w:bookmarkStart w:id="78" w:name="_Toc227075516"/>
      <w:bookmarkStart w:id="79" w:name="_Toc227237440"/>
      <w:bookmarkStart w:id="80" w:name="_Toc229582899"/>
      <w:bookmarkStart w:id="81" w:name="_Toc219819456"/>
      <w:bookmarkStart w:id="82" w:name="_Toc219820490"/>
      <w:r w:rsidRPr="00335C2D">
        <w:t>QUALIFICATIONS OF THE APPLICANTS AND COMPLIANCE WITH COMMUNICATIONS ACT AND COMMISSION RULES AND POLICIES</w:t>
      </w:r>
      <w:bookmarkEnd w:id="73"/>
      <w:bookmarkEnd w:id="74"/>
      <w:bookmarkEnd w:id="75"/>
      <w:bookmarkEnd w:id="76"/>
      <w:bookmarkEnd w:id="77"/>
      <w:bookmarkEnd w:id="78"/>
      <w:bookmarkEnd w:id="79"/>
      <w:bookmarkEnd w:id="80"/>
      <w:r>
        <w:t xml:space="preserve"> </w:t>
      </w:r>
      <w:bookmarkEnd w:id="81"/>
      <w:bookmarkEnd w:id="82"/>
    </w:p>
    <w:p w:rsidR="00A40FA9" w:rsidRPr="00EE5028" w:rsidP="003637D7" w14:paraId="70F7886E" w14:textId="77777777">
      <w:pPr>
        <w:pStyle w:val="ParaNum"/>
        <w:widowControl/>
      </w:pPr>
      <w:bookmarkStart w:id="83" w:name="_Toc220598772"/>
      <w:bookmarkStart w:id="84" w:name="_Toc219819457"/>
      <w:bookmarkStart w:id="85" w:name="_Toc219820491"/>
      <w:bookmarkStart w:id="86" w:name="_Toc220586389"/>
      <w:r w:rsidRPr="001A4843">
        <w:t>Section 310(d) of the Act requires that we make a determination as to whether the Applicants have the requisite qualifications to hold Commission licenses</w:t>
      </w:r>
      <w:r>
        <w:t>.</w:t>
      </w:r>
      <w:r>
        <w:rPr>
          <w:rStyle w:val="FootnoteReference"/>
        </w:rPr>
        <w:footnoteReference w:id="38"/>
      </w:r>
      <w:r>
        <w:t xml:space="preserve">  </w:t>
      </w:r>
      <w:r w:rsidRPr="00A74DF8">
        <w:t>Among the factors the Commission considers in its public interest review is whether the applicant for a license has the requisite</w:t>
      </w:r>
      <w:r>
        <w:t xml:space="preserve"> “</w:t>
      </w:r>
      <w:r w:rsidRPr="0059372C">
        <w:t>citizenship, character, financial, technical, and other qualifications.</w:t>
      </w:r>
      <w:r>
        <w:t>”</w:t>
      </w:r>
      <w:r>
        <w:rPr>
          <w:rStyle w:val="FootnoteReference"/>
        </w:rPr>
        <w:footnoteReference w:id="39"/>
      </w:r>
      <w:r w:rsidRPr="0059372C">
        <w:t xml:space="preserve"> </w:t>
      </w:r>
      <w:r>
        <w:t xml:space="preserve"> </w:t>
      </w:r>
      <w:r w:rsidRPr="0059372C">
        <w:t>Therefore, as a threshold matter, the Commission must determine whether the applicants to a proposed transaction meet the requisite qualification requirements to hold and transfer licenses under section 310(d) of the Act and the Commission</w:t>
      </w:r>
      <w:r>
        <w:t>’</w:t>
      </w:r>
      <w:r w:rsidRPr="0059372C">
        <w:t>s rules.</w:t>
      </w:r>
      <w:r>
        <w:rPr>
          <w:rStyle w:val="FootnoteReference"/>
        </w:rPr>
        <w:footnoteReference w:id="40"/>
      </w:r>
    </w:p>
    <w:p w:rsidR="00A40FA9" w:rsidP="00A40FA9" w14:paraId="6339D89F" w14:textId="77777777">
      <w:pPr>
        <w:pStyle w:val="ParaNum"/>
      </w:pPr>
      <w:r>
        <w:t xml:space="preserve">Verizon Wireless </w:t>
      </w:r>
      <w:r w:rsidRPr="00F30C2E">
        <w:t>wil</w:t>
      </w:r>
      <w:r>
        <w:t>l acquire certain Array spectrum licenses</w:t>
      </w:r>
      <w:r w:rsidRPr="00F30C2E">
        <w:t>.</w:t>
      </w:r>
      <w:r>
        <w:t xml:space="preserve"> </w:t>
      </w:r>
      <w:r w:rsidRPr="00F30C2E">
        <w:t xml:space="preserve"> No issues were raised regarding the basic qualifications of </w:t>
      </w:r>
      <w:r>
        <w:t>Verizon Wireless</w:t>
      </w:r>
      <w:r w:rsidRPr="00F30C2E">
        <w:t>.</w:t>
      </w:r>
      <w:r>
        <w:rPr>
          <w:rStyle w:val="FootnoteReference"/>
        </w:rPr>
        <w:footnoteReference w:id="41"/>
      </w:r>
      <w:r w:rsidRPr="00F30C2E">
        <w:t xml:space="preserve"> </w:t>
      </w:r>
      <w:r>
        <w:t xml:space="preserve"> </w:t>
      </w:r>
      <w:r w:rsidRPr="00F30C2E">
        <w:t xml:space="preserve">We therefore find that there is no reason to reevaluate the requisite citizenship, character, financial, technical, or other basic qualifications of </w:t>
      </w:r>
      <w:r>
        <w:t xml:space="preserve">Verizon Wireless </w:t>
      </w:r>
      <w:r w:rsidRPr="00F30C2E">
        <w:t>under the Act and our rules, regulations, and policies.</w:t>
      </w:r>
      <w:r>
        <w:t xml:space="preserve">  Array</w:t>
      </w:r>
      <w:r w:rsidRPr="00FF4D2A">
        <w:t xml:space="preserve"> and its subsidiaries and affiliates previously and repeatedly have been found qualified to hold Commission licenses.</w:t>
      </w:r>
      <w:r>
        <w:rPr>
          <w:rStyle w:val="FootnoteReference"/>
        </w:rPr>
        <w:footnoteReference w:id="42"/>
      </w:r>
      <w:r w:rsidRPr="00FF4D2A">
        <w:t xml:space="preserve">  While petitioners O’Connor and Leibman challenge the character qualifications of Array and its subsidiaries and affiliates to be licensees, as explained below, nothing in their </w:t>
      </w:r>
      <w:r>
        <w:t>filings</w:t>
      </w:r>
      <w:r w:rsidRPr="00FF4D2A">
        <w:t xml:space="preserve"> warrants</w:t>
      </w:r>
      <w:r w:rsidRPr="00866167">
        <w:t xml:space="preserve"> reevaluation of the qualifications of Array or its subsidiaries and affiliates.  We also find that the transaction does not violate any </w:t>
      </w:r>
      <w:r w:rsidRPr="00F24ED6">
        <w:t>statutory provision or Commission rule.</w:t>
      </w:r>
    </w:p>
    <w:p w:rsidR="00A40FA9" w:rsidRPr="00F24ED6" w:rsidP="00A40FA9" w14:paraId="3D3844EC" w14:textId="77777777">
      <w:pPr>
        <w:pStyle w:val="ParaNum"/>
        <w:shd w:val="clear" w:color="auto" w:fill="FFFFFF"/>
      </w:pPr>
      <w:r w:rsidRPr="00F24ED6">
        <w:t>In their Petition, O</w:t>
      </w:r>
      <w:r>
        <w:t>’</w:t>
      </w:r>
      <w:r w:rsidRPr="00F24ED6">
        <w:t>Connor and Leibman argue that we should hold the Applications in abeyance based on allegations that Array and its designated entities lack the character qualifications to be licensees.</w:t>
      </w:r>
      <w:r>
        <w:rPr>
          <w:rStyle w:val="FootnoteReference"/>
        </w:rPr>
        <w:footnoteReference w:id="43"/>
      </w:r>
      <w:r w:rsidRPr="00435689">
        <w:t xml:space="preserve">  O</w:t>
      </w:r>
      <w:r>
        <w:t>’</w:t>
      </w:r>
      <w:r w:rsidRPr="00435689">
        <w:t xml:space="preserve">Connor and Leibman have filed </w:t>
      </w:r>
      <w:r w:rsidRPr="00435689">
        <w:rPr>
          <w:i/>
          <w:iCs/>
        </w:rPr>
        <w:t>qui tam</w:t>
      </w:r>
      <w:r w:rsidRPr="00435689">
        <w:t xml:space="preserve"> actions in federal court against Array (then </w:t>
      </w:r>
      <w:r w:rsidRPr="00435689">
        <w:t>UScellular</w:t>
      </w:r>
      <w:r w:rsidRPr="00435689">
        <w:t xml:space="preserve">), arguing that it fraudulently obtained the benefit of designated entity credits in two FCC </w:t>
      </w:r>
      <w:r w:rsidRPr="00CA3F6E">
        <w:t>auctions.</w:t>
      </w:r>
      <w:r>
        <w:rPr>
          <w:rStyle w:val="FootnoteReference"/>
        </w:rPr>
        <w:footnoteReference w:id="44"/>
      </w:r>
      <w:r w:rsidRPr="00CA3F6E">
        <w:t xml:space="preserve">  They ask us to delay our consideration of the Applications until their </w:t>
      </w:r>
      <w:r w:rsidRPr="00CA3F6E">
        <w:rPr>
          <w:i/>
          <w:iCs/>
        </w:rPr>
        <w:t>qui tam</w:t>
      </w:r>
      <w:r w:rsidRPr="00CA3F6E">
        <w:t xml:space="preserve"> actions have </w:t>
      </w:r>
      <w:r w:rsidRPr="00CA3F6E">
        <w:t>been fully resolved</w:t>
      </w:r>
      <w:r>
        <w:t xml:space="preserve"> or the Commission makes a finding based on associated evidence.</w:t>
      </w:r>
      <w:r>
        <w:rPr>
          <w:rStyle w:val="FootnoteReference"/>
        </w:rPr>
        <w:footnoteReference w:id="45"/>
      </w:r>
      <w:r w:rsidRPr="00CA3F6E">
        <w:t xml:space="preserve">  </w:t>
      </w:r>
      <w:r>
        <w:t>As we have ruled previously, w</w:t>
      </w:r>
      <w:r w:rsidRPr="00CA3F6E">
        <w:t>e decline to do so.</w:t>
      </w:r>
      <w:r>
        <w:rPr>
          <w:rStyle w:val="FootnoteReference"/>
        </w:rPr>
        <w:footnoteReference w:id="46"/>
      </w:r>
      <w:r w:rsidRPr="00CA3F6E">
        <w:t xml:space="preserve">  The Commission generally does not reevaluate the qualifications of </w:t>
      </w:r>
      <w:r>
        <w:t>assignors</w:t>
      </w:r>
      <w:r w:rsidRPr="00CA3F6E">
        <w:t xml:space="preserve"> unless issues related to basic qualifications have been sufficiently raised in petitions to warrant designation </w:t>
      </w:r>
      <w:r w:rsidRPr="003F22D8">
        <w:t xml:space="preserve">for hearing on the question whether the </w:t>
      </w:r>
      <w:r>
        <w:t>assign</w:t>
      </w:r>
      <w:r w:rsidRPr="003F22D8">
        <w:t xml:space="preserve">ee is fit to be a licensee or should instead have its licenses </w:t>
      </w:r>
      <w:r w:rsidRPr="00752CF9">
        <w:t>revoked.</w:t>
      </w:r>
      <w:r>
        <w:rPr>
          <w:rStyle w:val="FootnoteReference"/>
        </w:rPr>
        <w:footnoteReference w:id="47"/>
      </w:r>
      <w:r w:rsidRPr="00752CF9">
        <w:t xml:space="preserve">  O’Connor and Leibman raised </w:t>
      </w:r>
      <w:r>
        <w:t>these</w:t>
      </w:r>
      <w:r w:rsidRPr="00752CF9">
        <w:t xml:space="preserve"> </w:t>
      </w:r>
      <w:r w:rsidRPr="00752CF9">
        <w:t xml:space="preserve">arguments with regard to </w:t>
      </w:r>
      <w:r w:rsidRPr="00752CF9">
        <w:t>UScellular’s</w:t>
      </w:r>
      <w:r w:rsidRPr="00752CF9">
        <w:t xml:space="preserve"> assignment of licenses to T-Mobile and, subsequently, </w:t>
      </w:r>
      <w:r w:rsidRPr="00752CF9">
        <w:t>UScellular’s</w:t>
      </w:r>
      <w:r w:rsidRPr="00752CF9">
        <w:t xml:space="preserve"> assignment of licenses to AT&amp;T.</w:t>
      </w:r>
      <w:r>
        <w:rPr>
          <w:rStyle w:val="FootnoteReference"/>
        </w:rPr>
        <w:footnoteReference w:id="48"/>
      </w:r>
      <w:r w:rsidRPr="00752CF9">
        <w:t xml:space="preserve">  </w:t>
      </w:r>
      <w:r w:rsidRPr="00FD09BE">
        <w:t xml:space="preserve">In each proceeding, we found that O’Connor and Leibman had not shown that </w:t>
      </w:r>
      <w:r w:rsidRPr="00FD09BE">
        <w:t>UScellular</w:t>
      </w:r>
      <w:r w:rsidRPr="00FD09BE">
        <w:t xml:space="preserve"> engaged in such conduct that would call into question </w:t>
      </w:r>
      <w:r w:rsidRPr="00FD09BE">
        <w:t>UScellular’s</w:t>
      </w:r>
      <w:r w:rsidRPr="00FD09BE">
        <w:t xml:space="preserve"> basic qualifications to hold licenses and warrant a hearing.</w:t>
      </w:r>
      <w:r>
        <w:rPr>
          <w:rStyle w:val="FootnoteReference"/>
        </w:rPr>
        <w:footnoteReference w:id="49"/>
      </w:r>
      <w:r w:rsidRPr="003F22D8">
        <w:t xml:space="preserve">  O</w:t>
      </w:r>
      <w:r>
        <w:t>’</w:t>
      </w:r>
      <w:r w:rsidRPr="003F22D8">
        <w:t xml:space="preserve">Connor and Leibman have presented no additional evidence here and so, for the reasons expressed in </w:t>
      </w:r>
      <w:r>
        <w:t>those</w:t>
      </w:r>
      <w:r w:rsidRPr="003F22D8">
        <w:t xml:space="preserve"> proceeding</w:t>
      </w:r>
      <w:r>
        <w:t>s</w:t>
      </w:r>
      <w:r w:rsidRPr="003F22D8">
        <w:t>, we conclude there is no material question of fact regarding Array</w:t>
      </w:r>
      <w:r>
        <w:t>’</w:t>
      </w:r>
      <w:r w:rsidRPr="003F22D8">
        <w:t>s basic qualifications to be a Commission licensee.</w:t>
      </w:r>
      <w:r>
        <w:rPr>
          <w:rStyle w:val="FootnoteReference"/>
        </w:rPr>
        <w:footnoteReference w:id="50"/>
      </w:r>
      <w:r>
        <w:t xml:space="preserve"> </w:t>
      </w:r>
    </w:p>
    <w:p w:rsidR="00A40FA9" w:rsidRPr="00793055" w:rsidP="00A40FA9" w14:paraId="32B8E08F" w14:textId="77777777">
      <w:pPr>
        <w:pStyle w:val="Heading1"/>
        <w:shd w:val="clear" w:color="auto" w:fill="FFFFFF"/>
      </w:pPr>
      <w:bookmarkStart w:id="87" w:name="_Toc224543324"/>
      <w:bookmarkStart w:id="88" w:name="_Toc226557010"/>
      <w:bookmarkStart w:id="89" w:name="_Toc226636120"/>
      <w:bookmarkStart w:id="90" w:name="_Toc227075517"/>
      <w:bookmarkStart w:id="91" w:name="_Toc227237441"/>
      <w:bookmarkStart w:id="92" w:name="_Toc229582900"/>
      <w:r w:rsidRPr="00793055">
        <w:t>PRELIMINARY ISSUES</w:t>
      </w:r>
      <w:bookmarkEnd w:id="83"/>
      <w:bookmarkEnd w:id="87"/>
      <w:bookmarkEnd w:id="88"/>
      <w:bookmarkEnd w:id="89"/>
      <w:bookmarkEnd w:id="90"/>
      <w:bookmarkEnd w:id="91"/>
      <w:bookmarkEnd w:id="92"/>
      <w:r w:rsidRPr="00793055">
        <w:t xml:space="preserve"> </w:t>
      </w:r>
    </w:p>
    <w:p w:rsidR="00A40FA9" w:rsidRPr="00793055" w:rsidP="00A40FA9" w14:paraId="798BAB15" w14:textId="77777777">
      <w:pPr>
        <w:pStyle w:val="ParaNum"/>
        <w:widowControl/>
        <w:shd w:val="clear" w:color="auto" w:fill="FFFFFF"/>
      </w:pPr>
      <w:r>
        <w:t xml:space="preserve">Several parties to this </w:t>
      </w:r>
      <w:r w:rsidRPr="000E0B5E">
        <w:t xml:space="preserve">transaction argue for consolidated review of the instant transaction with </w:t>
      </w:r>
      <w:r>
        <w:t xml:space="preserve">the </w:t>
      </w:r>
      <w:r w:rsidRPr="000E0B5E">
        <w:t>transactions in which AT&amp;T</w:t>
      </w:r>
      <w:r>
        <w:rPr>
          <w:rStyle w:val="FootnoteReference"/>
        </w:rPr>
        <w:footnoteReference w:id="51"/>
      </w:r>
      <w:r w:rsidRPr="000E0B5E">
        <w:t xml:space="preserve"> and T-Mobile</w:t>
      </w:r>
      <w:r>
        <w:rPr>
          <w:rStyle w:val="FootnoteReference"/>
        </w:rPr>
        <w:footnoteReference w:id="52"/>
      </w:r>
      <w:r w:rsidRPr="000E0B5E">
        <w:t xml:space="preserve"> acquired Array’s wireless operations, customers, and/or spectrum assets.</w:t>
      </w:r>
      <w:r>
        <w:rPr>
          <w:rStyle w:val="FootnoteReference"/>
        </w:rPr>
        <w:footnoteReference w:id="53"/>
      </w:r>
      <w:r>
        <w:t xml:space="preserve">  The </w:t>
      </w:r>
      <w:r w:rsidRPr="004442D9">
        <w:t>Applicants oppose consolidated review of the transactions.</w:t>
      </w:r>
      <w:r>
        <w:rPr>
          <w:rStyle w:val="FootnoteReference"/>
        </w:rPr>
        <w:footnoteReference w:id="54"/>
      </w:r>
      <w:r w:rsidRPr="004442D9">
        <w:t xml:space="preserve">  We decline to consolidate review of these transactions and disagree with petitioners that consolidation is necessary to address potential public interest harms.</w:t>
      </w:r>
      <w:r>
        <w:rPr>
          <w:rStyle w:val="FootnoteReference"/>
        </w:rPr>
        <w:footnoteReference w:id="55"/>
      </w:r>
      <w:r w:rsidRPr="004442D9">
        <w:t xml:space="preserve">  We also note that</w:t>
      </w:r>
      <w:r>
        <w:t xml:space="preserve"> we previously evaluated the petitioners’ </w:t>
      </w:r>
      <w:r>
        <w:t>arguments for consolidation in the</w:t>
      </w:r>
      <w:r w:rsidRPr="00793055">
        <w:rPr>
          <w:i/>
          <w:iCs/>
        </w:rPr>
        <w:t xml:space="preserve"> T-Mobile-</w:t>
      </w:r>
      <w:r w:rsidRPr="00793055">
        <w:rPr>
          <w:i/>
          <w:iCs/>
        </w:rPr>
        <w:t>UScellular</w:t>
      </w:r>
      <w:r w:rsidRPr="00793055">
        <w:rPr>
          <w:i/>
          <w:iCs/>
        </w:rPr>
        <w:t xml:space="preserve"> Order </w:t>
      </w:r>
      <w:r>
        <w:t xml:space="preserve">and the </w:t>
      </w:r>
      <w:r w:rsidRPr="00793055">
        <w:rPr>
          <w:i/>
        </w:rPr>
        <w:t>AT&amp;T-Array Order</w:t>
      </w:r>
      <w:r w:rsidRPr="00793055">
        <w:rPr>
          <w:iCs/>
        </w:rPr>
        <w:t>.</w:t>
      </w:r>
      <w:r>
        <w:rPr>
          <w:rStyle w:val="FootnoteReference"/>
          <w:iCs/>
        </w:rPr>
        <w:footnoteReference w:id="56"/>
      </w:r>
      <w:r w:rsidRPr="00793055">
        <w:rPr>
          <w:iCs/>
        </w:rPr>
        <w:t xml:space="preserve">  To the extent that petitioners seek review of determinations previously made in those orders,</w:t>
      </w:r>
      <w:r>
        <w:rPr>
          <w:iCs/>
        </w:rPr>
        <w:t xml:space="preserve"> including on the basis of ongoing appeals of those </w:t>
      </w:r>
      <w:r w:rsidRPr="00417ACD">
        <w:rPr>
          <w:iCs/>
        </w:rPr>
        <w:t>determinations, we decline to</w:t>
      </w:r>
      <w:r>
        <w:rPr>
          <w:iCs/>
        </w:rPr>
        <w:t xml:space="preserve"> consider the merits of those proceedings </w:t>
      </w:r>
      <w:r w:rsidRPr="00793055">
        <w:rPr>
          <w:iCs/>
        </w:rPr>
        <w:t>here</w:t>
      </w:r>
      <w:r>
        <w:rPr>
          <w:iCs/>
        </w:rPr>
        <w:t>.</w:t>
      </w:r>
    </w:p>
    <w:p w:rsidR="00A40FA9" w:rsidRPr="00EB15B5" w:rsidP="00A40FA9" w14:paraId="7E2F3C5C" w14:textId="77777777">
      <w:pPr>
        <w:pStyle w:val="Heading1"/>
        <w:rPr>
          <w:color w:val="000000"/>
        </w:rPr>
      </w:pPr>
      <w:bookmarkStart w:id="93" w:name="_Toc214271674"/>
      <w:bookmarkStart w:id="94" w:name="_Toc214463991"/>
      <w:bookmarkStart w:id="95" w:name="_Toc215055609"/>
      <w:bookmarkStart w:id="96" w:name="_Toc215055766"/>
      <w:bookmarkStart w:id="97" w:name="_Toc215055854"/>
      <w:bookmarkStart w:id="98" w:name="_Toc215056296"/>
      <w:bookmarkStart w:id="99" w:name="_Toc215056410"/>
      <w:bookmarkStart w:id="100" w:name="_Toc215568563"/>
      <w:bookmarkStart w:id="101" w:name="_Toc215568822"/>
      <w:bookmarkStart w:id="102" w:name="_Toc215568958"/>
      <w:bookmarkStart w:id="103" w:name="_Toc215569035"/>
      <w:bookmarkStart w:id="104" w:name="_Toc215569207"/>
      <w:bookmarkStart w:id="105" w:name="_Toc224543325"/>
      <w:bookmarkStart w:id="106" w:name="_Toc226557011"/>
      <w:bookmarkStart w:id="107" w:name="_Toc226636121"/>
      <w:bookmarkStart w:id="108" w:name="_Toc227075518"/>
      <w:bookmarkStart w:id="109" w:name="_Toc227237442"/>
      <w:bookmarkStart w:id="110" w:name="_Toc229582901"/>
      <w:bookmarkEnd w:id="84"/>
      <w:bookmarkEnd w:id="85"/>
      <w:bookmarkEnd w:id="86"/>
      <w:r w:rsidRPr="00EB15B5">
        <w:t>POTENTIAL PUBLIC INTEREST HARMS</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rsidR="00A40FA9" w:rsidP="00A40FA9" w14:paraId="752B9FD0" w14:textId="77777777">
      <w:pPr>
        <w:pStyle w:val="ParaNum"/>
        <w:widowControl/>
      </w:pPr>
      <w:r w:rsidRPr="00955343">
        <w:rPr>
          <w:snapToGrid/>
        </w:rPr>
        <w:t>Spectrum is an essential input in the provision of mobile wireless services, and ensuring that sufficient spectrum is available for incumbent licensees as well as potential new entrants is critical to promoting effective competition and innovation in the marketplace.</w:t>
      </w:r>
      <w:r>
        <w:rPr>
          <w:rStyle w:val="FootnoteReference"/>
          <w:snapToGrid/>
        </w:rPr>
        <w:footnoteReference w:id="57"/>
      </w:r>
      <w:r w:rsidRPr="00955343">
        <w:rPr>
          <w:snapToGrid/>
        </w:rPr>
        <w:t xml:space="preserve">  </w:t>
      </w:r>
      <w:r>
        <w:t>Regarding mobile spectrum holdings policies, the Commission’s fundamental goal is the preservation and promotion of competition, which in turn leads to lower prices, improved quality, and increased innovation.</w:t>
      </w:r>
      <w:r>
        <w:rPr>
          <w:rStyle w:val="FootnoteReference"/>
        </w:rPr>
        <w:footnoteReference w:id="58"/>
      </w:r>
      <w:r>
        <w:t xml:space="preserve">  </w:t>
      </w:r>
      <w:r w:rsidRPr="00955343">
        <w:rPr>
          <w:snapToGrid/>
        </w:rPr>
        <w:t>When considering the potential competitive effects of spectrum aggregation, the Commission has considered whether there would be an increased likelihood that rival service providers or potential entrants would be foreclosed from expanding capacity, deploying</w:t>
      </w:r>
      <w:r>
        <w:t xml:space="preserve"> advanced</w:t>
      </w:r>
      <w:r w:rsidRPr="00955343">
        <w:rPr>
          <w:snapToGrid/>
        </w:rPr>
        <w:t xml:space="preserve"> mobile broadband technologies, or entering the market, and also whether rivals’ costs would be increased to the extent that they would be less likely to be able to compete robustly.</w:t>
      </w:r>
      <w:r>
        <w:rPr>
          <w:rStyle w:val="FootnoteReference"/>
          <w:snapToGrid/>
        </w:rPr>
        <w:footnoteReference w:id="59"/>
      </w:r>
      <w:r w:rsidRPr="00955343">
        <w:rPr>
          <w:snapToGrid/>
        </w:rPr>
        <w:t xml:space="preserve"> </w:t>
      </w:r>
      <w:r>
        <w:t xml:space="preserve"> </w:t>
      </w:r>
    </w:p>
    <w:p w:rsidR="00A40FA9" w:rsidP="00A40FA9" w14:paraId="259EDB49" w14:textId="77777777">
      <w:pPr>
        <w:pStyle w:val="ParaNum"/>
        <w:widowControl/>
      </w:pPr>
      <w:r>
        <w:t>I</w:t>
      </w:r>
      <w:r w:rsidRPr="00422354">
        <w:t>n reviewing applications involving a proposed transaction, the Commission evaluates the potential public interest harms, including potential competitive harms that may result from the transaction.</w:t>
      </w:r>
      <w:r>
        <w:rPr>
          <w:rStyle w:val="FootnoteReference"/>
        </w:rPr>
        <w:footnoteReference w:id="60"/>
      </w:r>
      <w:r>
        <w:t xml:space="preserve"> </w:t>
      </w:r>
      <w:r>
        <w:t xml:space="preserve"> Following long-standing Commission precedent, we begin our competitive analysis by </w:t>
      </w:r>
      <w:r>
        <w:t>determining the appropriate market definitions for the proposed transaction.</w:t>
      </w:r>
      <w:r>
        <w:rPr>
          <w:rStyle w:val="FootnoteReference"/>
        </w:rPr>
        <w:footnoteReference w:id="61"/>
      </w:r>
      <w:r>
        <w:t xml:space="preserve">  We then turn to our consideration of the potential competitive effects of the proposed transaction.  First, we apply our initial two-part screen to help identify markets of potential concern.</w:t>
      </w:r>
      <w:r>
        <w:rPr>
          <w:rStyle w:val="FootnoteReference"/>
        </w:rPr>
        <w:footnoteReference w:id="62"/>
      </w:r>
      <w:r>
        <w:t xml:space="preserve">  We then undertake our market analysis that evaluates the likelihood of competitive harm in the implicated markets to ensure that the public interest, convenience, and necessity is served.</w:t>
      </w:r>
      <w:r>
        <w:rPr>
          <w:rStyle w:val="FootnoteReference"/>
        </w:rPr>
        <w:footnoteReference w:id="63"/>
      </w:r>
      <w:r>
        <w:t xml:space="preserve">  </w:t>
      </w:r>
      <w:r w:rsidRPr="00202DDE">
        <w:t xml:space="preserve">Because this transaction centers on the acquisition of spectrum </w:t>
      </w:r>
      <w:r>
        <w:t>only and</w:t>
      </w:r>
      <w:r w:rsidRPr="00202DDE">
        <w:t xml:space="preserve"> would not result in the acquisition of wireless business units, network facilities, or customers, we begin our competitive analysis by noting that there is no loss of direct competition between </w:t>
      </w:r>
      <w:r>
        <w:t xml:space="preserve">Verizon Wireless and Array </w:t>
      </w:r>
      <w:r w:rsidRPr="00202DDE">
        <w:t>that would result from</w:t>
      </w:r>
      <w:r>
        <w:t xml:space="preserve"> granting </w:t>
      </w:r>
      <w:r w:rsidRPr="00202DDE">
        <w:t>th</w:t>
      </w:r>
      <w:r>
        <w:t>e Applications</w:t>
      </w:r>
      <w:r w:rsidRPr="00422354">
        <w:t>.</w:t>
      </w:r>
      <w:r>
        <w:t xml:space="preserve">  As discussed in detail below, we find that, post-transaction, the likelihood of competitive harm in the </w:t>
      </w:r>
      <w:r w:rsidRPr="00D71C0A">
        <w:t>markets at issue is low.</w:t>
      </w:r>
    </w:p>
    <w:p w:rsidR="00A40FA9" w:rsidP="00A40FA9" w14:paraId="5A4F4893" w14:textId="77777777">
      <w:pPr>
        <w:pStyle w:val="Heading2"/>
      </w:pPr>
      <w:bookmarkStart w:id="111" w:name="_Toc214271675"/>
      <w:bookmarkStart w:id="112" w:name="_Toc214463992"/>
      <w:bookmarkStart w:id="113" w:name="_Toc215055610"/>
      <w:bookmarkStart w:id="114" w:name="_Toc215055767"/>
      <w:bookmarkStart w:id="115" w:name="_Toc215055855"/>
      <w:bookmarkStart w:id="116" w:name="_Toc215056297"/>
      <w:bookmarkStart w:id="117" w:name="_Toc215056411"/>
      <w:bookmarkStart w:id="118" w:name="_Toc215568564"/>
      <w:bookmarkStart w:id="119" w:name="_Toc215568823"/>
      <w:bookmarkStart w:id="120" w:name="_Toc215568959"/>
      <w:bookmarkStart w:id="121" w:name="_Toc215569036"/>
      <w:bookmarkStart w:id="122" w:name="_Toc215569208"/>
      <w:bookmarkStart w:id="123" w:name="_Toc224543326"/>
      <w:bookmarkStart w:id="124" w:name="_Toc226557012"/>
      <w:bookmarkStart w:id="125" w:name="_Toc226636122"/>
      <w:bookmarkStart w:id="126" w:name="_Toc227075519"/>
      <w:bookmarkStart w:id="127" w:name="_Toc227237443"/>
      <w:bookmarkStart w:id="128" w:name="_Toc229582902"/>
      <w:r w:rsidRPr="008C0733">
        <w:t>Market Definitions and Market Participants</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rsidR="00A40FA9" w:rsidRPr="005C2A9F" w:rsidP="00A40FA9" w14:paraId="2EA00D10" w14:textId="77777777">
      <w:pPr>
        <w:pStyle w:val="Heading3"/>
      </w:pPr>
      <w:bookmarkStart w:id="129" w:name="_Toc200701427"/>
      <w:bookmarkStart w:id="130" w:name="_Toc201050128"/>
      <w:bookmarkStart w:id="131" w:name="_Toc202976029"/>
      <w:bookmarkStart w:id="132" w:name="_Toc203052107"/>
      <w:bookmarkStart w:id="133" w:name="_Toc214271676"/>
      <w:bookmarkStart w:id="134" w:name="_Toc214463993"/>
      <w:bookmarkStart w:id="135" w:name="_Toc215055611"/>
      <w:bookmarkStart w:id="136" w:name="_Toc215055768"/>
      <w:bookmarkStart w:id="137" w:name="_Toc215055856"/>
      <w:bookmarkStart w:id="138" w:name="_Toc215056298"/>
      <w:bookmarkStart w:id="139" w:name="_Toc215056412"/>
      <w:bookmarkStart w:id="140" w:name="_Toc215568565"/>
      <w:bookmarkStart w:id="141" w:name="_Toc215568824"/>
      <w:bookmarkStart w:id="142" w:name="_Toc215568960"/>
      <w:bookmarkStart w:id="143" w:name="_Toc215569037"/>
      <w:bookmarkStart w:id="144" w:name="_Toc215569209"/>
      <w:bookmarkStart w:id="145" w:name="_Toc224543327"/>
      <w:bookmarkStart w:id="146" w:name="_Toc226557013"/>
      <w:bookmarkStart w:id="147" w:name="_Toc226636123"/>
      <w:bookmarkStart w:id="148" w:name="_Toc227075520"/>
      <w:bookmarkStart w:id="149" w:name="_Toc227237444"/>
      <w:bookmarkStart w:id="150" w:name="_Toc229582903"/>
      <w:r>
        <w:t>Product Market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rsidR="00A40FA9" w:rsidP="00A40FA9" w14:paraId="4D21FA99" w14:textId="77777777">
      <w:pPr>
        <w:pStyle w:val="ParaNum"/>
        <w:widowControl/>
      </w:pPr>
      <w:r w:rsidRPr="0055112A">
        <w:t xml:space="preserve">In </w:t>
      </w:r>
      <w:r>
        <w:t>previous mobile wireless transactions</w:t>
      </w:r>
      <w:r w:rsidRPr="0055112A">
        <w:t>, the Commission has defined the relevant product market as a combined “mobile telephony/broadband services” product market that comprises mobile voice and data services, including mobile voice and data services provided over advanced broadband wireless networks (mobile broadband services)</w:t>
      </w:r>
      <w:r>
        <w:t>.</w:t>
      </w:r>
      <w:r>
        <w:rPr>
          <w:rStyle w:val="FootnoteReference"/>
        </w:rPr>
        <w:footnoteReference w:id="64"/>
      </w:r>
      <w:r>
        <w:t xml:space="preserve">  For the purposes of our initial screens,</w:t>
      </w:r>
      <w:r>
        <w:rPr>
          <w:rStyle w:val="FootnoteReference"/>
        </w:rPr>
        <w:footnoteReference w:id="65"/>
      </w:r>
      <w:r>
        <w:t xml:space="preserve"> we continue to do so here.  In addition, </w:t>
      </w:r>
      <w:r w:rsidRPr="00D71C0A">
        <w:t>the</w:t>
      </w:r>
      <w:r>
        <w:t xml:space="preserve"> Commission has recognized the importance of a forward-looking analysis given that ongoing innovation and reinvention are defining characteristics of the mobile telephony/broadband services marketplace.</w:t>
      </w:r>
      <w:r>
        <w:rPr>
          <w:rStyle w:val="FootnoteReference"/>
        </w:rPr>
        <w:footnoteReference w:id="66"/>
      </w:r>
      <w:r>
        <w:t xml:space="preserve">  Accordingly, as</w:t>
      </w:r>
      <w:bookmarkStart w:id="151" w:name="_Ref202965950"/>
      <w:r>
        <w:t xml:space="preserve"> </w:t>
      </w:r>
      <w:r w:rsidRPr="00D71C0A">
        <w:t>the</w:t>
      </w:r>
      <w:r>
        <w:t xml:space="preserve"> Commission has previously stated, the </w:t>
      </w:r>
      <w:r w:rsidRPr="00691826">
        <w:t xml:space="preserve">mobile telephony/broadband services product market </w:t>
      </w:r>
      <w:r>
        <w:t xml:space="preserve">includes </w:t>
      </w:r>
      <w:r w:rsidRPr="00691826">
        <w:t xml:space="preserve">not only traditional wireless services, </w:t>
      </w:r>
      <w:r w:rsidRPr="00C25468">
        <w:t>but also</w:t>
      </w:r>
      <w:r>
        <w:t xml:space="preserve"> encompasses</w:t>
      </w:r>
      <w:r w:rsidRPr="00C25468">
        <w:t xml:space="preserve"> recent advances in mobile broadband services technologies.</w:t>
      </w:r>
      <w:r>
        <w:rPr>
          <w:rStyle w:val="FootnoteReference"/>
          <w:kern w:val="0"/>
        </w:rPr>
        <w:footnoteReference w:id="67"/>
      </w:r>
      <w:r w:rsidRPr="00C25468">
        <w:t xml:space="preserve">  </w:t>
      </w:r>
      <w:bookmarkEnd w:id="151"/>
    </w:p>
    <w:p w:rsidR="00A40FA9" w:rsidP="00A40FA9" w14:paraId="2B97ACFB" w14:textId="77777777">
      <w:pPr>
        <w:pStyle w:val="ParaNum"/>
        <w:widowControl/>
      </w:pPr>
      <w:r>
        <w:t>We also recognize there are good arguments for adopting a broader market definition that accounts for a range of technologies and offerings, given the modern trends in the communications sector.</w:t>
      </w:r>
      <w:r>
        <w:rPr>
          <w:rStyle w:val="FootnoteReference"/>
        </w:rPr>
        <w:footnoteReference w:id="68"/>
      </w:r>
      <w:r>
        <w:t xml:space="preserve">  However, for purposes of our analysis today, we use the same market definition that the </w:t>
      </w:r>
      <w:r>
        <w:t>Commission has been using for recent transactions.  Even under this narrower definition, we find, as specified below, that the transaction is in the public interest.</w:t>
      </w:r>
    </w:p>
    <w:p w:rsidR="00A40FA9" w:rsidP="00A40FA9" w14:paraId="74D3D426" w14:textId="77777777">
      <w:pPr>
        <w:pStyle w:val="Heading3"/>
      </w:pPr>
      <w:bookmarkStart w:id="152" w:name="_Toc214271677"/>
      <w:bookmarkStart w:id="153" w:name="_Toc214463994"/>
      <w:bookmarkStart w:id="154" w:name="_Toc215055612"/>
      <w:bookmarkStart w:id="155" w:name="_Toc215055769"/>
      <w:bookmarkStart w:id="156" w:name="_Toc215055857"/>
      <w:bookmarkStart w:id="157" w:name="_Toc215056299"/>
      <w:bookmarkStart w:id="158" w:name="_Toc215056413"/>
      <w:bookmarkStart w:id="159" w:name="_Toc215568566"/>
      <w:bookmarkStart w:id="160" w:name="_Toc215568825"/>
      <w:bookmarkStart w:id="161" w:name="_Toc215568961"/>
      <w:bookmarkStart w:id="162" w:name="_Toc215569038"/>
      <w:bookmarkStart w:id="163" w:name="_Toc215569210"/>
      <w:bookmarkStart w:id="164" w:name="_Toc224543328"/>
      <w:bookmarkStart w:id="165" w:name="_Toc226557014"/>
      <w:bookmarkStart w:id="166" w:name="_Toc226636124"/>
      <w:bookmarkStart w:id="167" w:name="_Toc227075521"/>
      <w:bookmarkStart w:id="168" w:name="_Toc227237445"/>
      <w:bookmarkStart w:id="169" w:name="_Toc229582904"/>
      <w:r>
        <w:t>Geographic Market</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rsidR="00A40FA9" w:rsidRPr="00A2147F" w:rsidP="00A40FA9" w14:paraId="7D7EB421" w14:textId="77777777">
      <w:pPr>
        <w:pStyle w:val="ParaNum"/>
      </w:pPr>
      <w:r>
        <w:t xml:space="preserve">The </w:t>
      </w:r>
      <w:r w:rsidRPr="00BE4116">
        <w:t>Commission has previously found that the geographic market for wireless transactions is local</w:t>
      </w:r>
      <w:r>
        <w:t>, generally the CMA.</w:t>
      </w:r>
      <w:r>
        <w:rPr>
          <w:rStyle w:val="FootnoteReference"/>
        </w:rPr>
        <w:footnoteReference w:id="69"/>
      </w:r>
      <w:r w:rsidRPr="00BE4116">
        <w:t xml:space="preserve"> </w:t>
      </w:r>
      <w:r>
        <w:t xml:space="preserve"> The Commission also has found, however, that a proposed </w:t>
      </w:r>
      <w:r w:rsidRPr="00BE4116">
        <w:t xml:space="preserve">transaction’s competitive effects </w:t>
      </w:r>
      <w:r>
        <w:t xml:space="preserve">should be evaluated </w:t>
      </w:r>
      <w:r w:rsidRPr="00BE4116">
        <w:t xml:space="preserve">at the national level where a </w:t>
      </w:r>
      <w:r>
        <w:t xml:space="preserve">proposed </w:t>
      </w:r>
      <w:r w:rsidRPr="00BE4116">
        <w:t>transaction exhibits certain national characteristics that provide cause for concern.</w:t>
      </w:r>
      <w:r>
        <w:rPr>
          <w:rStyle w:val="FootnoteReference"/>
          <w:kern w:val="0"/>
        </w:rPr>
        <w:footnoteReference w:id="70"/>
      </w:r>
      <w:r w:rsidRPr="00BE4116">
        <w:t xml:space="preserve">  </w:t>
      </w:r>
      <w:r w:rsidRPr="00514241">
        <w:t xml:space="preserve">The Applicants </w:t>
      </w:r>
      <w:r>
        <w:t>provide assessments of competition in the local markets subject to the proposed transaction</w:t>
      </w:r>
      <w:r w:rsidRPr="00D9678F">
        <w:t>.</w:t>
      </w:r>
      <w:r>
        <w:rPr>
          <w:rStyle w:val="FootnoteReference"/>
        </w:rPr>
        <w:footnoteReference w:id="71"/>
      </w:r>
      <w:r w:rsidRPr="00D9678F">
        <w:t xml:space="preserve">  Petitioners argue that the proposed transaction would be harmful to competition on both a local and national level.</w:t>
      </w:r>
      <w:r>
        <w:rPr>
          <w:rStyle w:val="FootnoteReference"/>
        </w:rPr>
        <w:footnoteReference w:id="72"/>
      </w:r>
      <w:r w:rsidRPr="00A2147F">
        <w:t xml:space="preserve">  </w:t>
      </w:r>
      <w:r>
        <w:t>The Commission has repeatedly found that because most consumers use their mobile wireless services at or close to where they live, work, and travel, they generally purchase mobile wireless services from service providers that offer and market such services locally.</w:t>
      </w:r>
      <w:r>
        <w:rPr>
          <w:rStyle w:val="FootnoteReference"/>
        </w:rPr>
        <w:footnoteReference w:id="73"/>
      </w:r>
      <w:r>
        <w:t xml:space="preserve">  F</w:t>
      </w:r>
      <w:r w:rsidRPr="00144645">
        <w:t xml:space="preserve">or this proposed transaction, we continue to use CMAs as the </w:t>
      </w:r>
      <w:r>
        <w:t xml:space="preserve">appropriate </w:t>
      </w:r>
      <w:r w:rsidRPr="00144645">
        <w:t xml:space="preserve">local market for analyzing potential </w:t>
      </w:r>
      <w:r>
        <w:t>spectrum aggregation issues.</w:t>
      </w:r>
      <w:r>
        <w:rPr>
          <w:rStyle w:val="FootnoteReference"/>
        </w:rPr>
        <w:footnoteReference w:id="74"/>
      </w:r>
      <w:r w:rsidRPr="00D71C0A">
        <w:t xml:space="preserve">  </w:t>
      </w:r>
    </w:p>
    <w:p w:rsidR="00A40FA9" w:rsidP="00A40FA9" w14:paraId="00D15FC9" w14:textId="77777777">
      <w:pPr>
        <w:pStyle w:val="Heading3"/>
      </w:pPr>
      <w:bookmarkStart w:id="170" w:name="_Toc200701429"/>
      <w:bookmarkStart w:id="171" w:name="_Toc201050130"/>
      <w:bookmarkStart w:id="172" w:name="_Toc202976031"/>
      <w:bookmarkStart w:id="173" w:name="_Toc203052109"/>
      <w:bookmarkStart w:id="174" w:name="_Toc214271678"/>
      <w:bookmarkStart w:id="175" w:name="_Toc214463995"/>
      <w:bookmarkStart w:id="176" w:name="_Toc215055613"/>
      <w:bookmarkStart w:id="177" w:name="_Toc215055770"/>
      <w:bookmarkStart w:id="178" w:name="_Toc215055858"/>
      <w:bookmarkStart w:id="179" w:name="_Toc215056300"/>
      <w:bookmarkStart w:id="180" w:name="_Toc215056414"/>
      <w:bookmarkStart w:id="181" w:name="_Toc215568567"/>
      <w:bookmarkStart w:id="182" w:name="_Toc215568826"/>
      <w:bookmarkStart w:id="183" w:name="_Toc215568962"/>
      <w:bookmarkStart w:id="184" w:name="_Toc215569039"/>
      <w:bookmarkStart w:id="185" w:name="_Toc215569211"/>
      <w:bookmarkStart w:id="186" w:name="_Toc224543329"/>
      <w:bookmarkStart w:id="187" w:name="_Toc226557015"/>
      <w:bookmarkStart w:id="188" w:name="_Toc226636125"/>
      <w:bookmarkStart w:id="189" w:name="_Toc227075522"/>
      <w:bookmarkStart w:id="190" w:name="_Toc227237446"/>
      <w:bookmarkStart w:id="191" w:name="_Toc229582905"/>
      <w:r w:rsidRPr="00144645">
        <w:t>Input Market for Spectrum</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rsidR="00A40FA9" w:rsidP="00A40FA9" w14:paraId="7B5456FE" w14:textId="77777777">
      <w:pPr>
        <w:pStyle w:val="ParaNum"/>
      </w:pPr>
      <w:r w:rsidRPr="00BF65BB">
        <w:t>When a proposed transaction would increase the concentration of spectrum holdings in any local market, the Commission evaluates the acquiring firm’s post-transaction holdings of spectrum that are “suitable” and “available” in</w:t>
      </w:r>
      <w:r w:rsidRPr="002018C1">
        <w:t xml:space="preserve"> the near term for the provision of mobile telephony/broadband services.</w:t>
      </w:r>
      <w:r>
        <w:rPr>
          <w:rStyle w:val="FootnoteReference"/>
        </w:rPr>
        <w:footnoteReference w:id="75"/>
      </w:r>
      <w:r w:rsidRPr="002018C1">
        <w:t xml:space="preserve">  The Commission has previously determined that the following bands, or portions thereof, should be included in the input market for spectrum: </w:t>
      </w:r>
      <w:r w:rsidRPr="00130D7B">
        <w:t xml:space="preserve"> </w:t>
      </w:r>
      <w:bookmarkStart w:id="192" w:name="_Hlk199329681"/>
      <w:r w:rsidRPr="002018C1">
        <w:t>600 MHz, 700 MHz, cellular, specialized mobile radio service (SMR), broadband Personal Communications Service (PCS), Advanced Wireless Services (AWS) in the 1710</w:t>
      </w:r>
      <w:r>
        <w:t>–</w:t>
      </w:r>
      <w:r w:rsidRPr="002018C1">
        <w:t>1755 and 2110</w:t>
      </w:r>
      <w:r>
        <w:t>–</w:t>
      </w:r>
      <w:r w:rsidRPr="002018C1">
        <w:t>2155 MHz band (AWS-1), AWS-3, AWS in the 2000</w:t>
      </w:r>
      <w:r>
        <w:t>–</w:t>
      </w:r>
      <w:r w:rsidRPr="002018C1">
        <w:t>2020 MHz and 2180</w:t>
      </w:r>
      <w:r>
        <w:t>–</w:t>
      </w:r>
      <w:r w:rsidRPr="002018C1">
        <w:t xml:space="preserve">2200 MHz spectrum bands (AWS-4), Broadband Radio Service (BRS), Wireless </w:t>
      </w:r>
      <w:r w:rsidRPr="002018C1">
        <w:t>Communications Service (WCS) spectrum, H Block, Educational Broadband Service (EBS), 3.7 GHz, and 3.45 GHz</w:t>
      </w:r>
      <w:bookmarkEnd w:id="192"/>
      <w:r w:rsidRPr="002018C1">
        <w:t>.</w:t>
      </w:r>
      <w:r>
        <w:rPr>
          <w:rStyle w:val="FootnoteReference"/>
          <w:kern w:val="0"/>
        </w:rPr>
        <w:footnoteReference w:id="76"/>
      </w:r>
    </w:p>
    <w:p w:rsidR="00A40FA9" w:rsidRPr="00414BF1" w:rsidP="00A40FA9" w14:paraId="6D9A3839" w14:textId="77777777">
      <w:pPr>
        <w:pStyle w:val="Heading2"/>
        <w:rPr>
          <w:szCs w:val="22"/>
        </w:rPr>
      </w:pPr>
      <w:bookmarkStart w:id="193" w:name="_Toc214271680"/>
      <w:bookmarkStart w:id="194" w:name="_Toc214463997"/>
      <w:bookmarkStart w:id="195" w:name="_Toc215055615"/>
      <w:bookmarkStart w:id="196" w:name="_Toc215055772"/>
      <w:bookmarkStart w:id="197" w:name="_Toc215055860"/>
      <w:bookmarkStart w:id="198" w:name="_Toc215056302"/>
      <w:bookmarkStart w:id="199" w:name="_Toc215056416"/>
      <w:bookmarkStart w:id="200" w:name="_Toc215568569"/>
      <w:bookmarkStart w:id="201" w:name="_Toc215568828"/>
      <w:bookmarkStart w:id="202" w:name="_Toc215568964"/>
      <w:bookmarkStart w:id="203" w:name="_Toc215569041"/>
      <w:bookmarkStart w:id="204" w:name="_Toc215569213"/>
      <w:bookmarkStart w:id="205" w:name="_Toc224543331"/>
      <w:bookmarkStart w:id="206" w:name="_Toc226557016"/>
      <w:bookmarkStart w:id="207" w:name="_Toc226636126"/>
      <w:bookmarkStart w:id="208" w:name="_Toc227075523"/>
      <w:bookmarkStart w:id="209" w:name="_Toc227237447"/>
      <w:bookmarkStart w:id="210" w:name="_Toc229582906"/>
      <w:r w:rsidRPr="00414BF1">
        <w:rPr>
          <w:szCs w:val="22"/>
        </w:rPr>
        <w:t>Competitive Analysis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rsidR="00A40FA9" w:rsidRPr="00414BF1" w:rsidP="00A40FA9" w14:paraId="506BC1F1" w14:textId="77777777">
      <w:pPr>
        <w:pStyle w:val="Heading3"/>
        <w:rPr>
          <w:szCs w:val="22"/>
        </w:rPr>
      </w:pPr>
      <w:bookmarkStart w:id="211" w:name="_Toc214271681"/>
      <w:bookmarkStart w:id="212" w:name="_Toc214463998"/>
      <w:bookmarkStart w:id="213" w:name="_Toc215055616"/>
      <w:bookmarkStart w:id="214" w:name="_Toc215055773"/>
      <w:bookmarkStart w:id="215" w:name="_Toc215055861"/>
      <w:bookmarkStart w:id="216" w:name="_Toc215056303"/>
      <w:bookmarkStart w:id="217" w:name="_Toc215056417"/>
      <w:bookmarkStart w:id="218" w:name="_Toc215568570"/>
      <w:bookmarkStart w:id="219" w:name="_Toc215568829"/>
      <w:bookmarkStart w:id="220" w:name="_Toc215568965"/>
      <w:bookmarkStart w:id="221" w:name="_Toc215569042"/>
      <w:bookmarkStart w:id="222" w:name="_Toc215569214"/>
      <w:bookmarkStart w:id="223" w:name="_Toc224543332"/>
      <w:bookmarkStart w:id="224" w:name="_Toc226557017"/>
      <w:bookmarkStart w:id="225" w:name="_Toc226636127"/>
      <w:bookmarkStart w:id="226" w:name="_Toc227075524"/>
      <w:bookmarkStart w:id="227" w:name="_Toc227237448"/>
      <w:bookmarkStart w:id="228" w:name="_Toc229582907"/>
      <w:r w:rsidRPr="00414BF1">
        <w:rPr>
          <w:szCs w:val="22"/>
        </w:rPr>
        <w:t>Initial Screen</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00A40FA9" w:rsidRPr="00926B30" w:rsidP="00A40FA9" w14:paraId="50FC0F4B" w14:textId="77777777">
      <w:pPr>
        <w:pStyle w:val="ParaNum"/>
        <w:rPr>
          <w:szCs w:val="22"/>
        </w:rPr>
      </w:pPr>
      <w:r w:rsidRPr="00926B30">
        <w:rPr>
          <w:szCs w:val="22"/>
        </w:rPr>
        <w:t>To help identify those local markets in which competitive concerns are more likely, we apply a two-part screen.  The first part of the screen is based on the size of the post-transaction Herfindahl-Hirschman Index (HHI) and the change in the HHI.</w:t>
      </w:r>
      <w:r>
        <w:rPr>
          <w:rStyle w:val="FootnoteReference"/>
        </w:rPr>
        <w:footnoteReference w:id="77"/>
      </w:r>
      <w:r w:rsidRPr="00926B30">
        <w:rPr>
          <w:szCs w:val="22"/>
        </w:rPr>
        <w:t xml:space="preserve">  The second part of the screen, which is applied on a county-by-county basis, identifies those local markets where an entity would hold approximately one-third or more of the total spectrum suitable and available for the provision of mobile telephony/broadband services post-transaction.</w:t>
      </w:r>
      <w:r>
        <w:rPr>
          <w:sz w:val="20"/>
          <w:vertAlign w:val="superscript"/>
        </w:rPr>
        <w:footnoteReference w:id="78"/>
      </w:r>
      <w:r w:rsidRPr="00926B30">
        <w:rPr>
          <w:szCs w:val="22"/>
        </w:rPr>
        <w:t xml:space="preserve">  Further, if the acquiring entity would increase its below-1-</w:t>
      </w:r>
      <w:r>
        <w:rPr>
          <w:szCs w:val="22"/>
        </w:rPr>
        <w:t>gigahertz</w:t>
      </w:r>
      <w:r w:rsidRPr="00926B30">
        <w:rPr>
          <w:szCs w:val="22"/>
        </w:rPr>
        <w:t xml:space="preserve"> spectrum holdings so as to hold approximately one-third or more of such spectrum post-transaction, we apply enhanced factor review.</w:t>
      </w:r>
      <w:r>
        <w:rPr>
          <w:rStyle w:val="FootnoteReference"/>
        </w:rPr>
        <w:footnoteReference w:id="79"/>
      </w:r>
    </w:p>
    <w:p w:rsidR="00A40FA9" w:rsidP="00A40FA9" w14:paraId="70E39ACB" w14:textId="77777777">
      <w:pPr>
        <w:pStyle w:val="ParaNum"/>
        <w:widowControl/>
        <w:rPr>
          <w:szCs w:val="22"/>
        </w:rPr>
      </w:pPr>
      <w:r w:rsidRPr="00926B30">
        <w:rPr>
          <w:szCs w:val="22"/>
        </w:rPr>
        <w:t>As the proposed transaction does not result in the acquisition of wireless business units and customers, we do not apply the initial HHI screen.</w:t>
      </w:r>
      <w:r>
        <w:rPr>
          <w:rStyle w:val="FootnoteReference"/>
          <w:szCs w:val="22"/>
        </w:rPr>
        <w:footnoteReference w:id="80"/>
      </w:r>
      <w:r w:rsidRPr="00926B30">
        <w:rPr>
          <w:szCs w:val="22"/>
        </w:rPr>
        <w:t xml:space="preserve">  </w:t>
      </w:r>
      <w:r w:rsidRPr="004E7C7F">
        <w:rPr>
          <w:szCs w:val="22"/>
        </w:rPr>
        <w:t xml:space="preserve">Although Petitioners argue that </w:t>
      </w:r>
      <w:r w:rsidRPr="004E7C7F">
        <w:rPr>
          <w:szCs w:val="22"/>
        </w:rPr>
        <w:t>UScellular’s</w:t>
      </w:r>
      <w:r w:rsidRPr="004E7C7F">
        <w:rPr>
          <w:szCs w:val="22"/>
        </w:rPr>
        <w:t xml:space="preserve"> market exit and purported related harms should be considered in the review of the instant proposed transaction,</w:t>
      </w:r>
      <w:r>
        <w:rPr>
          <w:rStyle w:val="FootnoteReference"/>
          <w:szCs w:val="22"/>
        </w:rPr>
        <w:footnoteReference w:id="81"/>
      </w:r>
      <w:r w:rsidRPr="004E7C7F">
        <w:rPr>
          <w:szCs w:val="22"/>
        </w:rPr>
        <w:t xml:space="preserve"> </w:t>
      </w:r>
      <w:r w:rsidRPr="004E7C7F">
        <w:rPr>
          <w:szCs w:val="22"/>
        </w:rPr>
        <w:t>UScellular</w:t>
      </w:r>
      <w:r w:rsidRPr="004E7C7F">
        <w:rPr>
          <w:szCs w:val="22"/>
        </w:rPr>
        <w:t xml:space="preserve"> has already exited the marketplace, and we approved the sale of its customers to </w:t>
      </w:r>
      <w:r w:rsidRPr="004E7C7F">
        <w:rPr>
          <w:szCs w:val="22"/>
        </w:rPr>
        <w:t>T-Mobile in the T-Mobile-</w:t>
      </w:r>
      <w:r w:rsidRPr="004E7C7F">
        <w:rPr>
          <w:szCs w:val="22"/>
        </w:rPr>
        <w:t>UScellular</w:t>
      </w:r>
      <w:r w:rsidRPr="004E7C7F">
        <w:rPr>
          <w:szCs w:val="22"/>
        </w:rPr>
        <w:t xml:space="preserve"> transaction, as discussed further below.</w:t>
      </w:r>
      <w:r>
        <w:rPr>
          <w:rStyle w:val="FootnoteReference"/>
          <w:szCs w:val="22"/>
        </w:rPr>
        <w:footnoteReference w:id="82"/>
      </w:r>
      <w:r w:rsidRPr="004E7C7F">
        <w:rPr>
          <w:szCs w:val="22"/>
        </w:rPr>
        <w:t xml:space="preserve">  There is no need to apply the initial HHI screen in the context of this spectrum-only transaction.  </w:t>
      </w:r>
    </w:p>
    <w:p w:rsidR="00A40FA9" w:rsidRPr="00D07C52" w:rsidP="00A40FA9" w14:paraId="66B642D3" w14:textId="77777777">
      <w:pPr>
        <w:pStyle w:val="ParaNum"/>
        <w:rPr>
          <w:szCs w:val="22"/>
        </w:rPr>
      </w:pPr>
      <w:r>
        <w:t>In terms of spectrum aggregation, post-transaction, Verizon Wireless would be attributed with</w:t>
      </w:r>
      <w:r w:rsidRPr="004E4745">
        <w:rPr>
          <w:kern w:val="0"/>
          <w:szCs w:val="22"/>
        </w:rPr>
        <w:t xml:space="preserve"> </w:t>
      </w:r>
      <w:r>
        <w:rPr>
          <w:kern w:val="0"/>
          <w:szCs w:val="22"/>
        </w:rPr>
        <w:t>217 to 372</w:t>
      </w:r>
      <w:r w:rsidRPr="004E4745">
        <w:rPr>
          <w:kern w:val="0"/>
          <w:szCs w:val="22"/>
        </w:rPr>
        <w:t xml:space="preserve"> megahertz of spectrum, including </w:t>
      </w:r>
      <w:r>
        <w:rPr>
          <w:kern w:val="0"/>
          <w:szCs w:val="22"/>
        </w:rPr>
        <w:t>47 to 72</w:t>
      </w:r>
      <w:r w:rsidRPr="004E4745">
        <w:rPr>
          <w:kern w:val="0"/>
          <w:szCs w:val="22"/>
        </w:rPr>
        <w:t xml:space="preserve"> megahertz of below-1-GHz spectrum</w:t>
      </w:r>
      <w:r>
        <w:rPr>
          <w:kern w:val="0"/>
          <w:szCs w:val="22"/>
        </w:rPr>
        <w:t>.</w:t>
      </w:r>
      <w:r>
        <w:rPr>
          <w:rStyle w:val="FootnoteReference"/>
          <w:kern w:val="0"/>
          <w:szCs w:val="22"/>
        </w:rPr>
        <w:footnoteReference w:id="83"/>
      </w:r>
      <w:r>
        <w:rPr>
          <w:kern w:val="0"/>
          <w:szCs w:val="22"/>
        </w:rPr>
        <w:t xml:space="preserve">  </w:t>
      </w:r>
      <w:r>
        <w:t xml:space="preserve">The transaction therefore does not trigger the total spectrum screen </w:t>
      </w:r>
      <w:r>
        <w:rPr>
          <w:kern w:val="0"/>
          <w:szCs w:val="22"/>
        </w:rPr>
        <w:t xml:space="preserve">but would result in Verizon Wireless being </w:t>
      </w:r>
      <w:r>
        <w:t xml:space="preserve">attributed with one-third or more of the total suitable and available below-1-GHz spectrum in 98 CMAs, </w:t>
      </w:r>
      <w:r w:rsidRPr="0032574A">
        <w:rPr>
          <w:rFonts w:eastAsia="Calibri"/>
          <w:bCs/>
          <w:kern w:val="0"/>
          <w:szCs w:val="22"/>
        </w:rPr>
        <w:t>covering</w:t>
      </w:r>
      <w:r>
        <w:rPr>
          <w:rFonts w:eastAsia="Calibri"/>
          <w:bCs/>
          <w:kern w:val="0"/>
          <w:szCs w:val="22"/>
        </w:rPr>
        <w:t xml:space="preserve"> approximately 6</w:t>
      </w:r>
      <w:r w:rsidRPr="0032574A">
        <w:rPr>
          <w:rFonts w:eastAsia="Calibri"/>
          <w:bCs/>
          <w:kern w:val="0"/>
          <w:szCs w:val="22"/>
        </w:rPr>
        <w:t>% of the U.S. population</w:t>
      </w:r>
      <w:r>
        <w:t>.</w:t>
      </w:r>
      <w:r w:rsidRPr="00D07C52">
        <w:rPr>
          <w:szCs w:val="22"/>
        </w:rPr>
        <w:t xml:space="preserve">  As a result, these markets are subject to enhanced factor review.</w:t>
      </w:r>
    </w:p>
    <w:p w:rsidR="00A40FA9" w:rsidRPr="00926B30" w:rsidP="00A40FA9" w14:paraId="792E73D6" w14:textId="77777777">
      <w:pPr>
        <w:pStyle w:val="Heading3"/>
      </w:pPr>
      <w:bookmarkStart w:id="229" w:name="_Toc215055617"/>
      <w:bookmarkStart w:id="230" w:name="_Toc215055774"/>
      <w:bookmarkStart w:id="231" w:name="_Toc215055862"/>
      <w:bookmarkStart w:id="232" w:name="_Toc215056304"/>
      <w:bookmarkStart w:id="233" w:name="_Toc215056418"/>
      <w:bookmarkStart w:id="234" w:name="_Toc215568571"/>
      <w:bookmarkStart w:id="235" w:name="_Toc215568830"/>
      <w:bookmarkStart w:id="236" w:name="_Toc215568966"/>
      <w:bookmarkStart w:id="237" w:name="_Toc215569043"/>
      <w:bookmarkStart w:id="238" w:name="_Toc215569215"/>
      <w:bookmarkStart w:id="239" w:name="_Toc224543333"/>
      <w:bookmarkStart w:id="240" w:name="_Toc214271682"/>
      <w:bookmarkStart w:id="241" w:name="_Toc214463999"/>
      <w:bookmarkStart w:id="242" w:name="_Toc226557018"/>
      <w:bookmarkStart w:id="243" w:name="_Toc226636128"/>
      <w:bookmarkStart w:id="244" w:name="_Toc227075525"/>
      <w:bookmarkStart w:id="245" w:name="_Toc227237449"/>
      <w:bookmarkStart w:id="246" w:name="_Toc229582908"/>
      <w:r>
        <w:t>Market Analysis</w:t>
      </w:r>
      <w:bookmarkEnd w:id="229"/>
      <w:bookmarkEnd w:id="230"/>
      <w:bookmarkEnd w:id="231"/>
      <w:bookmarkEnd w:id="232"/>
      <w:bookmarkEnd w:id="233"/>
      <w:bookmarkEnd w:id="234"/>
      <w:bookmarkEnd w:id="235"/>
      <w:bookmarkEnd w:id="236"/>
      <w:bookmarkEnd w:id="237"/>
      <w:bookmarkEnd w:id="238"/>
      <w:bookmarkEnd w:id="239"/>
      <w:r>
        <w:t xml:space="preserve"> </w:t>
      </w:r>
      <w:bookmarkEnd w:id="240"/>
      <w:bookmarkEnd w:id="241"/>
      <w:r>
        <w:t>– Enhanced Factor Review</w:t>
      </w:r>
      <w:bookmarkEnd w:id="242"/>
      <w:bookmarkEnd w:id="243"/>
      <w:bookmarkEnd w:id="244"/>
      <w:bookmarkEnd w:id="245"/>
      <w:bookmarkEnd w:id="246"/>
      <w:r>
        <w:t xml:space="preserve"> </w:t>
      </w:r>
    </w:p>
    <w:p w:rsidR="00A40FA9" w:rsidP="00A40FA9" w14:paraId="061EDB1F" w14:textId="77777777">
      <w:pPr>
        <w:pStyle w:val="ParaNum"/>
        <w:widowControl/>
        <w:rPr>
          <w:szCs w:val="22"/>
        </w:rPr>
      </w:pPr>
      <w:r w:rsidRPr="00926B30">
        <w:rPr>
          <w:szCs w:val="22"/>
        </w:rPr>
        <w:t>Consistent with existing Commission precedent,</w:t>
      </w:r>
      <w:r>
        <w:rPr>
          <w:rStyle w:val="FootnoteReference"/>
        </w:rPr>
        <w:footnoteReference w:id="84"/>
      </w:r>
      <w:r w:rsidRPr="00926B30">
        <w:rPr>
          <w:szCs w:val="22"/>
        </w:rPr>
        <w:t xml:space="preserve"> </w:t>
      </w:r>
      <w:r>
        <w:rPr>
          <w:rFonts w:eastAsia="Calibri"/>
          <w:kern w:val="0"/>
          <w:szCs w:val="22"/>
        </w:rPr>
        <w:t>w</w:t>
      </w:r>
      <w:r w:rsidRPr="00522133">
        <w:rPr>
          <w:rFonts w:eastAsia="Calibri"/>
          <w:kern w:val="0"/>
          <w:szCs w:val="22"/>
        </w:rPr>
        <w:t>e</w:t>
      </w:r>
      <w:r>
        <w:rPr>
          <w:rFonts w:eastAsia="Calibri"/>
          <w:kern w:val="0"/>
          <w:szCs w:val="22"/>
        </w:rPr>
        <w:t xml:space="preserve"> </w:t>
      </w:r>
      <w:r>
        <w:rPr>
          <w:rFonts w:eastAsia="Calibri"/>
          <w:bCs/>
          <w:kern w:val="0"/>
          <w:szCs w:val="22"/>
        </w:rPr>
        <w:t xml:space="preserve">undertook </w:t>
      </w:r>
      <w:r w:rsidRPr="00522133">
        <w:rPr>
          <w:rFonts w:eastAsia="Calibri"/>
          <w:bCs/>
          <w:kern w:val="0"/>
          <w:szCs w:val="22"/>
        </w:rPr>
        <w:t>a detailed market-by-market analysis of the implicated CMAs, taking into account the factors ordinarily considered</w:t>
      </w:r>
      <w:r w:rsidRPr="00926B30">
        <w:rPr>
          <w:szCs w:val="22"/>
        </w:rPr>
        <w:t xml:space="preserve">.  These </w:t>
      </w:r>
      <w:r>
        <w:rPr>
          <w:szCs w:val="22"/>
        </w:rPr>
        <w:t>factors</w:t>
      </w:r>
      <w:r w:rsidRPr="00926B30">
        <w:rPr>
          <w:szCs w:val="22"/>
        </w:rPr>
        <w:t xml:space="preserve"> include, but are not limited to</w:t>
      </w:r>
      <w:r>
        <w:rPr>
          <w:szCs w:val="22"/>
        </w:rPr>
        <w:t xml:space="preserve"> the</w:t>
      </w:r>
      <w:r w:rsidRPr="00926B30">
        <w:rPr>
          <w:szCs w:val="22"/>
        </w:rPr>
        <w:t>:</w:t>
      </w:r>
      <w:r>
        <w:rPr>
          <w:szCs w:val="22"/>
        </w:rPr>
        <w:t xml:space="preserve"> </w:t>
      </w:r>
      <w:r w:rsidRPr="00926B30">
        <w:rPr>
          <w:szCs w:val="22"/>
        </w:rPr>
        <w:t xml:space="preserve"> total number of rival service providers; number of rival firms that can offer competitive service plans; coverage by technology of the firms’ respective networks;</w:t>
      </w:r>
      <w:r>
        <w:rPr>
          <w:rStyle w:val="FootnoteReference"/>
        </w:rPr>
        <w:footnoteReference w:id="85"/>
      </w:r>
      <w:r w:rsidRPr="00926B30">
        <w:rPr>
          <w:szCs w:val="22"/>
        </w:rPr>
        <w:t xml:space="preserve"> rival firms’ market shares;</w:t>
      </w:r>
      <w:r>
        <w:rPr>
          <w:rStyle w:val="FootnoteReference"/>
        </w:rPr>
        <w:footnoteReference w:id="86"/>
      </w:r>
      <w:r w:rsidRPr="00926B30">
        <w:rPr>
          <w:szCs w:val="22"/>
        </w:rPr>
        <w:t xml:space="preserve"> applicant’s market share; total amount of spectrum available; amount of spectrum suitable for the provision of mobile telephony/broadband services controlled by the applicant; and spectrum holdings of each of the rival service providers and licensees.</w:t>
      </w:r>
      <w:r>
        <w:rPr>
          <w:rStyle w:val="FootnoteReference"/>
        </w:rPr>
        <w:footnoteReference w:id="87"/>
      </w:r>
      <w:r>
        <w:rPr>
          <w:szCs w:val="22"/>
        </w:rPr>
        <w:t xml:space="preserve">  </w:t>
      </w:r>
    </w:p>
    <w:p w:rsidR="00A40FA9" w:rsidRPr="001C014F" w:rsidP="00A40FA9" w14:paraId="68C8E9D5" w14:textId="77777777">
      <w:pPr>
        <w:pStyle w:val="ParaNum"/>
        <w:rPr>
          <w:szCs w:val="22"/>
        </w:rPr>
      </w:pPr>
      <w:r>
        <w:t xml:space="preserve">Based on the record and our competitive analysis, we find that the transaction is unlikely to lead to adverse competitive effects.  </w:t>
      </w:r>
      <w:r w:rsidRPr="001C014F">
        <w:rPr>
          <w:rFonts w:eastAsia="Calibri"/>
          <w:bCs/>
          <w:kern w:val="0"/>
          <w:szCs w:val="22"/>
        </w:rPr>
        <w:t xml:space="preserve">For all 98 CMAs that trigger enhanced factor review, in considering the totality of the circumstances, we find that the likelihood of competitive harm resulting from this additional aggregation of below-1-GHz spectrum is low.  We agree with the Applicants </w:t>
      </w:r>
      <w:r>
        <w:t xml:space="preserve">that the presence of </w:t>
      </w:r>
      <w:r w:rsidRPr="00992142">
        <w:t>multiple</w:t>
      </w:r>
      <w:r>
        <w:t xml:space="preserve"> other </w:t>
      </w:r>
      <w:r w:rsidRPr="00992142">
        <w:t>providers operat</w:t>
      </w:r>
      <w:r>
        <w:t>ing</w:t>
      </w:r>
      <w:r w:rsidRPr="00992142">
        <w:t xml:space="preserve"> in the </w:t>
      </w:r>
      <w:r>
        <w:t xml:space="preserve">transaction’s relevant markets </w:t>
      </w:r>
      <w:r w:rsidRPr="00ED1296">
        <w:t xml:space="preserve">will </w:t>
      </w:r>
      <w:r>
        <w:t xml:space="preserve">ensure that consumers </w:t>
      </w:r>
      <w:r w:rsidRPr="00ED1296">
        <w:t xml:space="preserve">continue to have a variety of choices among providers </w:t>
      </w:r>
      <w:r>
        <w:t>in these</w:t>
      </w:r>
      <w:r w:rsidRPr="00ED1296">
        <w:t xml:space="preserve"> markets.</w:t>
      </w:r>
      <w:r>
        <w:rPr>
          <w:sz w:val="20"/>
          <w:vertAlign w:val="superscript"/>
        </w:rPr>
        <w:footnoteReference w:id="88"/>
      </w:r>
      <w:r w:rsidRPr="00ED1296">
        <w:t xml:space="preserve"> </w:t>
      </w:r>
      <w:r>
        <w:t xml:space="preserve"> </w:t>
      </w:r>
      <w:r w:rsidRPr="001C014F">
        <w:rPr>
          <w:rFonts w:eastAsia="Calibri"/>
          <w:bCs/>
          <w:kern w:val="0"/>
          <w:szCs w:val="22"/>
        </w:rPr>
        <w:t xml:space="preserve">In addition, the other two nationwide providers are attributed with substantial amounts of low-band spectrum, as well as substantial amounts of spectrum in total, in all 98 CMAs.  Also, both other nationwide providers have substantial 4G LTE coverage and at least one has deployed its 5G-NR network to some extent in all 98 </w:t>
      </w:r>
      <w:r w:rsidRPr="001C014F">
        <w:rPr>
          <w:rFonts w:eastAsia="Calibri"/>
          <w:bCs/>
          <w:kern w:val="0"/>
          <w:szCs w:val="22"/>
        </w:rPr>
        <w:t>CMAs.</w:t>
      </w:r>
      <w:r>
        <w:rPr>
          <w:kern w:val="0"/>
          <w:sz w:val="20"/>
          <w:vertAlign w:val="superscript"/>
        </w:rPr>
        <w:footnoteReference w:id="89"/>
      </w:r>
      <w:r w:rsidRPr="001C014F">
        <w:rPr>
          <w:rFonts w:eastAsia="Calibri"/>
          <w:bCs/>
          <w:kern w:val="0"/>
          <w:szCs w:val="22"/>
        </w:rPr>
        <w:t xml:space="preserve">  Finally, the other two nationwide providers have significant market shares in 96 of the 98 CMAs.</w:t>
      </w:r>
      <w:r>
        <w:rPr>
          <w:kern w:val="0"/>
          <w:sz w:val="20"/>
          <w:vertAlign w:val="superscript"/>
        </w:rPr>
        <w:footnoteReference w:id="90"/>
      </w:r>
      <w:r w:rsidRPr="001C014F">
        <w:rPr>
          <w:rFonts w:eastAsia="Calibri"/>
          <w:bCs/>
          <w:kern w:val="0"/>
          <w:szCs w:val="22"/>
        </w:rPr>
        <w:t xml:space="preserve">  </w:t>
      </w:r>
      <w:r w:rsidRPr="001C014F">
        <w:rPr>
          <w:rFonts w:eastAsia="Calibri"/>
          <w:szCs w:val="22"/>
        </w:rPr>
        <w:t xml:space="preserve">For these reasons, </w:t>
      </w:r>
      <w:r w:rsidRPr="001C014F">
        <w:rPr>
          <w:szCs w:val="22"/>
        </w:rPr>
        <w:t>we</w:t>
      </w:r>
      <w:r w:rsidRPr="007A6BAF">
        <w:t xml:space="preserve"> </w:t>
      </w:r>
      <w:r w:rsidRPr="001C014F">
        <w:rPr>
          <w:rFonts w:eastAsia="Calibri"/>
          <w:bCs/>
          <w:kern w:val="0"/>
          <w:szCs w:val="22"/>
        </w:rPr>
        <w:t xml:space="preserve">find that that the acquisition of the additional below-1-GHz spectrum at issue is unlikely to materially lessen the ability of rival service providers to respond to any anticompetitive behavior on the part of Verizon Wireless in these local markets.  </w:t>
      </w:r>
    </w:p>
    <w:p w:rsidR="00A40FA9" w:rsidRPr="00C57C97" w:rsidP="00A40FA9" w14:paraId="7EBF8BB5" w14:textId="77777777">
      <w:pPr>
        <w:pStyle w:val="ParaNum"/>
        <w:rPr>
          <w:szCs w:val="22"/>
        </w:rPr>
      </w:pPr>
      <w:r w:rsidRPr="00EF152C">
        <w:t xml:space="preserve">Accordingly, we disagree with </w:t>
      </w:r>
      <w:r>
        <w:t>RWA’s concerns that this spectrum-only transaction will harm consumers,</w:t>
      </w:r>
      <w:r>
        <w:rPr>
          <w:rStyle w:val="FootnoteReference"/>
        </w:rPr>
        <w:footnoteReference w:id="91"/>
      </w:r>
      <w:r>
        <w:t xml:space="preserve"> competition,</w:t>
      </w:r>
      <w:r>
        <w:rPr>
          <w:rStyle w:val="FootnoteReference"/>
        </w:rPr>
        <w:footnoteReference w:id="92"/>
      </w:r>
      <w:r>
        <w:t xml:space="preserve"> or rural and regional carriers,</w:t>
      </w:r>
      <w:r>
        <w:rPr>
          <w:rStyle w:val="FootnoteReference"/>
        </w:rPr>
        <w:footnoteReference w:id="93"/>
      </w:r>
      <w:r>
        <w:t xml:space="preserve"> and we likewise disagree with its general </w:t>
      </w:r>
      <w:r w:rsidRPr="007C0B21">
        <w:t>characterization of the competitive effects of the instant transaction</w:t>
      </w:r>
      <w:r>
        <w:t>.</w:t>
      </w:r>
      <w:r>
        <w:rPr>
          <w:rStyle w:val="FootnoteReference"/>
        </w:rPr>
        <w:footnoteReference w:id="94"/>
      </w:r>
      <w:r w:rsidRPr="00436A54">
        <w:rPr>
          <w:szCs w:val="22"/>
        </w:rPr>
        <w:t xml:space="preserve"> </w:t>
      </w:r>
      <w:r w:rsidRPr="00EF152C">
        <w:t xml:space="preserve"> </w:t>
      </w:r>
      <w:r w:rsidRPr="00AB5481">
        <w:rPr>
          <w:szCs w:val="22"/>
        </w:rPr>
        <w:t xml:space="preserve">To the extent that Petitioners argue that </w:t>
      </w:r>
      <w:r w:rsidRPr="00AB5481">
        <w:rPr>
          <w:szCs w:val="22"/>
        </w:rPr>
        <w:t>UScellular’s</w:t>
      </w:r>
      <w:r w:rsidRPr="00AB5481">
        <w:rPr>
          <w:szCs w:val="22"/>
        </w:rPr>
        <w:t xml:space="preserve"> market exit and purported related harms should be considered in the review of the instant proposed transaction,</w:t>
      </w:r>
      <w:r>
        <w:rPr>
          <w:rStyle w:val="FootnoteReference"/>
          <w:szCs w:val="22"/>
        </w:rPr>
        <w:footnoteReference w:id="95"/>
      </w:r>
      <w:r w:rsidRPr="00AB5481">
        <w:rPr>
          <w:szCs w:val="22"/>
        </w:rPr>
        <w:t xml:space="preserve"> we note that we have already thoroughly considered this issue in the T</w:t>
      </w:r>
      <w:r w:rsidRPr="00572D1F">
        <w:rPr>
          <w:iCs/>
        </w:rPr>
        <w:noBreakHyphen/>
      </w:r>
      <w:r w:rsidRPr="00AB5481">
        <w:rPr>
          <w:szCs w:val="22"/>
        </w:rPr>
        <w:t>Mobile-</w:t>
      </w:r>
      <w:r w:rsidRPr="00AB5481">
        <w:rPr>
          <w:szCs w:val="22"/>
        </w:rPr>
        <w:t>UScellular</w:t>
      </w:r>
      <w:r w:rsidRPr="00AB5481">
        <w:rPr>
          <w:szCs w:val="22"/>
        </w:rPr>
        <w:t xml:space="preserve"> transaction, and </w:t>
      </w:r>
      <w:r w:rsidRPr="00AB5481">
        <w:rPr>
          <w:szCs w:val="22"/>
        </w:rPr>
        <w:t>UScellular</w:t>
      </w:r>
      <w:r w:rsidRPr="00AB5481">
        <w:rPr>
          <w:szCs w:val="22"/>
        </w:rPr>
        <w:t xml:space="preserve"> has already exited the </w:t>
      </w:r>
      <w:r>
        <w:rPr>
          <w:szCs w:val="22"/>
        </w:rPr>
        <w:t xml:space="preserve">mobile wireless </w:t>
      </w:r>
      <w:r w:rsidRPr="00AB5481">
        <w:rPr>
          <w:szCs w:val="22"/>
        </w:rPr>
        <w:t>market</w:t>
      </w:r>
      <w:r>
        <w:rPr>
          <w:szCs w:val="22"/>
        </w:rPr>
        <w:t>place</w:t>
      </w:r>
      <w:r w:rsidRPr="00AB5481">
        <w:rPr>
          <w:szCs w:val="22"/>
        </w:rPr>
        <w:t>.</w:t>
      </w:r>
      <w:r>
        <w:rPr>
          <w:rStyle w:val="FootnoteReference"/>
          <w:szCs w:val="22"/>
        </w:rPr>
        <w:footnoteReference w:id="96"/>
      </w:r>
      <w:r w:rsidRPr="00AB5481">
        <w:rPr>
          <w:szCs w:val="22"/>
        </w:rPr>
        <w:t xml:space="preserve">  </w:t>
      </w:r>
      <w:r>
        <w:rPr>
          <w:szCs w:val="22"/>
        </w:rPr>
        <w:t>Additionally, the Petitioners have presented no new information to warrant revisiting this issue.</w:t>
      </w:r>
      <w:r>
        <w:rPr>
          <w:rStyle w:val="FootnoteReference"/>
          <w:szCs w:val="22"/>
        </w:rPr>
        <w:footnoteReference w:id="97"/>
      </w:r>
      <w:r>
        <w:rPr>
          <w:szCs w:val="22"/>
        </w:rPr>
        <w:t xml:space="preserve">  </w:t>
      </w:r>
      <w:r w:rsidRPr="00AB5481">
        <w:rPr>
          <w:szCs w:val="22"/>
        </w:rPr>
        <w:t xml:space="preserve">The question in this proceeding is whether, under the current circumstances, permitting </w:t>
      </w:r>
      <w:r>
        <w:rPr>
          <w:szCs w:val="22"/>
        </w:rPr>
        <w:t xml:space="preserve">Verizon Wireless </w:t>
      </w:r>
      <w:r w:rsidRPr="00AB5481">
        <w:rPr>
          <w:szCs w:val="22"/>
        </w:rPr>
        <w:t>to acquire the spectrum at issue is in the public interest.</w:t>
      </w:r>
      <w:r>
        <w:rPr>
          <w:rStyle w:val="FootnoteReference"/>
          <w:szCs w:val="22"/>
        </w:rPr>
        <w:footnoteReference w:id="98"/>
      </w:r>
      <w:r w:rsidRPr="00AB5481">
        <w:rPr>
          <w:szCs w:val="22"/>
        </w:rPr>
        <w:t xml:space="preserve">  </w:t>
      </w:r>
      <w:r w:rsidRPr="00EF152C">
        <w:t xml:space="preserve">Further, with respect to Petitioners’ concerns that the transaction will lead to higher prices for consumers by further consolidating spectrum among the three nationwide </w:t>
      </w:r>
      <w:r w:rsidRPr="00E82E16">
        <w:t>providers</w:t>
      </w:r>
      <w:r>
        <w:rPr>
          <w:rStyle w:val="FootnoteReference"/>
        </w:rPr>
        <w:footnoteReference w:id="99"/>
      </w:r>
      <w:r w:rsidRPr="00E82E16">
        <w:t xml:space="preserve"> or that</w:t>
      </w:r>
      <w:r w:rsidRPr="00EF152C">
        <w:t xml:space="preserve"> the elimination of </w:t>
      </w:r>
      <w:r w:rsidRPr="00EF152C">
        <w:t>UScellular</w:t>
      </w:r>
      <w:r w:rsidRPr="00EF152C">
        <w:t xml:space="preserve"> as a competitor will raise prices</w:t>
      </w:r>
      <w:r>
        <w:t>,</w:t>
      </w:r>
      <w:r>
        <w:rPr>
          <w:rStyle w:val="FootnoteReference"/>
        </w:rPr>
        <w:footnoteReference w:id="100"/>
      </w:r>
      <w:r w:rsidRPr="00EF152C">
        <w:t xml:space="preserve"> we note that we thoroughly evaluated the effect on consumer prices from </w:t>
      </w:r>
      <w:r w:rsidRPr="00EF152C">
        <w:t>UScellular’s</w:t>
      </w:r>
      <w:r w:rsidRPr="00EF152C">
        <w:t xml:space="preserve"> exit in the </w:t>
      </w:r>
      <w:r w:rsidRPr="00AB5481">
        <w:rPr>
          <w:i/>
          <w:iCs/>
        </w:rPr>
        <w:t>T-Mobile-</w:t>
      </w:r>
      <w:r w:rsidRPr="00AB5481">
        <w:rPr>
          <w:i/>
          <w:iCs/>
        </w:rPr>
        <w:t>UScellular</w:t>
      </w:r>
      <w:r w:rsidRPr="00AB5481">
        <w:rPr>
          <w:i/>
          <w:iCs/>
        </w:rPr>
        <w:t xml:space="preserve"> Order</w:t>
      </w:r>
      <w:r w:rsidRPr="00E82E16">
        <w:t>.</w:t>
      </w:r>
      <w:r>
        <w:rPr>
          <w:rStyle w:val="FootnoteReference"/>
        </w:rPr>
        <w:footnoteReference w:id="101"/>
      </w:r>
      <w:r w:rsidRPr="00E82E16">
        <w:t xml:space="preserve">  Further, given</w:t>
      </w:r>
      <w:r w:rsidRPr="00EF152C">
        <w:t xml:space="preserve"> the current levels of spectrum attributed to rival service providers and the fact that additional spectrum will be auctioned off in the near future,</w:t>
      </w:r>
      <w:r>
        <w:rPr>
          <w:rStyle w:val="FootnoteReference"/>
        </w:rPr>
        <w:footnoteReference w:id="102"/>
      </w:r>
      <w:r w:rsidRPr="00EF152C">
        <w:t xml:space="preserve"> we find it unlikely that the acquisition of spectrum by </w:t>
      </w:r>
      <w:r>
        <w:t xml:space="preserve">Verizon Wireless </w:t>
      </w:r>
      <w:r w:rsidRPr="00EF152C">
        <w:t xml:space="preserve">in this transaction would allow it to </w:t>
      </w:r>
      <w:r w:rsidRPr="00AB5481">
        <w:rPr>
          <w:rFonts w:eastAsia="Calibri"/>
          <w:szCs w:val="22"/>
        </w:rPr>
        <w:t>foreclose entry, raise rivals’ costs, or otherwise harm the public interest in the local markets at issue</w:t>
      </w:r>
      <w:r w:rsidRPr="00EF152C">
        <w:t>.</w:t>
      </w:r>
      <w:r>
        <w:rPr>
          <w:rStyle w:val="FootnoteReference"/>
        </w:rPr>
        <w:footnoteReference w:id="103"/>
      </w:r>
      <w:r w:rsidRPr="00EF152C">
        <w:t xml:space="preserve">  Finally, broader concerns about spectrum aggregation limits and concentration among entities</w:t>
      </w:r>
      <w:r>
        <w:rPr>
          <w:rStyle w:val="FootnoteReference"/>
        </w:rPr>
        <w:footnoteReference w:id="104"/>
      </w:r>
      <w:r w:rsidRPr="00EF152C">
        <w:t xml:space="preserve"> are more appropriately addressed in a rulemaking proceeding and not an individual transaction.</w:t>
      </w:r>
    </w:p>
    <w:p w:rsidR="00A40FA9" w:rsidRPr="004C70CD" w:rsidP="00A40FA9" w14:paraId="155F9E36" w14:textId="77777777">
      <w:pPr>
        <w:pStyle w:val="Heading1"/>
      </w:pPr>
      <w:bookmarkStart w:id="247" w:name="_Toc220586398"/>
      <w:bookmarkStart w:id="248" w:name="_Toc220598782"/>
      <w:bookmarkStart w:id="249" w:name="_Toc224543334"/>
      <w:bookmarkStart w:id="250" w:name="_Toc226557019"/>
      <w:bookmarkStart w:id="251" w:name="_Toc226636129"/>
      <w:bookmarkStart w:id="252" w:name="_Toc227075526"/>
      <w:bookmarkStart w:id="253" w:name="_Toc227237450"/>
      <w:bookmarkStart w:id="254" w:name="_Toc229582909"/>
      <w:r w:rsidRPr="004C70CD">
        <w:t xml:space="preserve">POTENTIAL </w:t>
      </w:r>
      <w:r w:rsidRPr="00F96F56">
        <w:t>PUBLIC INTEREST BENEFITS</w:t>
      </w:r>
      <w:bookmarkEnd w:id="247"/>
      <w:bookmarkEnd w:id="248"/>
      <w:bookmarkEnd w:id="249"/>
      <w:bookmarkEnd w:id="250"/>
      <w:bookmarkEnd w:id="251"/>
      <w:bookmarkEnd w:id="252"/>
      <w:bookmarkEnd w:id="253"/>
      <w:bookmarkEnd w:id="254"/>
      <w:r w:rsidRPr="004C70CD">
        <w:t xml:space="preserve"> </w:t>
      </w:r>
    </w:p>
    <w:p w:rsidR="00A40FA9" w:rsidRPr="008C60E0" w:rsidP="00A40FA9" w14:paraId="1045300C" w14:textId="77777777">
      <w:pPr>
        <w:pStyle w:val="ParaNum"/>
      </w:pPr>
      <w:r w:rsidRPr="00EB18DD">
        <w:t>Having determined that the likelihood of competitive harms associated with the transaction is low, we next discuss the public</w:t>
      </w:r>
      <w:r w:rsidRPr="00EC62FA">
        <w:t xml:space="preserve"> interest benefits of the transaction.</w:t>
      </w:r>
      <w:r>
        <w:rPr>
          <w:rStyle w:val="FootnoteReference"/>
        </w:rPr>
        <w:footnoteReference w:id="105"/>
      </w:r>
      <w:r w:rsidRPr="00EC62FA">
        <w:t xml:space="preserve"> </w:t>
      </w:r>
      <w:r>
        <w:t xml:space="preserve"> </w:t>
      </w:r>
      <w:r w:rsidRPr="229CB1D6">
        <w:t xml:space="preserve">The Commission finds a claimed benefit to be cognizable </w:t>
      </w:r>
      <w:r>
        <w:t xml:space="preserve">when </w:t>
      </w:r>
      <w:r w:rsidRPr="00486B5F">
        <w:t>it arises as a result of the transaction</w:t>
      </w:r>
      <w:r>
        <w:t xml:space="preserve"> and likely could not be accomplished in the absence of the transaction</w:t>
      </w:r>
      <w:r>
        <w:rPr>
          <w:rStyle w:val="FootnoteReference"/>
          <w:szCs w:val="22"/>
        </w:rPr>
        <w:footnoteReference w:id="106"/>
      </w:r>
      <w:r>
        <w:t xml:space="preserve"> </w:t>
      </w:r>
      <w:r w:rsidRPr="00486B5F">
        <w:t xml:space="preserve">and </w:t>
      </w:r>
      <w:r>
        <w:t xml:space="preserve">is </w:t>
      </w:r>
      <w:r w:rsidRPr="00486B5F">
        <w:t>verifiable</w:t>
      </w:r>
      <w:r>
        <w:t>.</w:t>
      </w:r>
      <w:r>
        <w:rPr>
          <w:rStyle w:val="FootnoteReference"/>
        </w:rPr>
        <w:footnoteReference w:id="107"/>
      </w:r>
      <w:r w:rsidRPr="00486B5F">
        <w:t xml:space="preserve"> </w:t>
      </w:r>
      <w:r>
        <w:t xml:space="preserve"> </w:t>
      </w:r>
      <w:r w:rsidRPr="005211DB">
        <w:t xml:space="preserve">Because much of the information relating to the potential benefits of a transaction is in the sole possession of the applicants, they are required to provide </w:t>
      </w:r>
      <w:r w:rsidRPr="00E7415F">
        <w:t>sufficient evidence supporting each claimed benefit so that the Commission can verify its likelihood and magnitude.</w:t>
      </w:r>
      <w:r>
        <w:rPr>
          <w:rStyle w:val="FootnoteReference"/>
        </w:rPr>
        <w:footnoteReference w:id="108"/>
      </w:r>
      <w:r w:rsidRPr="00E7415F">
        <w:t xml:space="preserve">  </w:t>
      </w:r>
      <w:r>
        <w:t>Further, the Commission</w:t>
      </w:r>
      <w:r w:rsidRPr="00486B5F">
        <w:t xml:space="preserve"> is “more likely to find marginal cost reductions </w:t>
      </w:r>
      <w:r w:rsidRPr="00486B5F">
        <w:t>to be cognizable than reductions in fixed cost”</w:t>
      </w:r>
      <w:r>
        <w:rPr>
          <w:rStyle w:val="FootnoteReference"/>
        </w:rPr>
        <w:footnoteReference w:id="109"/>
      </w:r>
      <w:r w:rsidRPr="00486B5F">
        <w:t xml:space="preserve"> </w:t>
      </w:r>
      <w:r>
        <w:t>as, in general, reductions in marginal cost are more likely to result in lower prices for consumers.  And b</w:t>
      </w:r>
      <w:r w:rsidRPr="00E7415F">
        <w:t>enefits expected to occur only in the distant future may be discounted or dismissed because, among other things, predictions about the distant future are inherently more speculative than predictions that are expected to occur closer to the present.</w:t>
      </w:r>
      <w:r>
        <w:rPr>
          <w:rStyle w:val="FootnoteReference"/>
        </w:rPr>
        <w:footnoteReference w:id="110"/>
      </w:r>
    </w:p>
    <w:p w:rsidR="00A40FA9" w:rsidP="00A40FA9" w14:paraId="4950F933" w14:textId="77777777">
      <w:pPr>
        <w:pStyle w:val="ParaNum"/>
        <w:widowControl/>
      </w:pPr>
      <w:r>
        <w:t>We</w:t>
      </w:r>
      <w:r w:rsidRPr="00A8702D">
        <w:rPr>
          <w:szCs w:val="22"/>
        </w:rPr>
        <w:t xml:space="preserve"> find that Applicants have </w:t>
      </w:r>
      <w:r>
        <w:t>established specific</w:t>
      </w:r>
      <w:r w:rsidRPr="00847B94">
        <w:t xml:space="preserve"> benefits </w:t>
      </w:r>
      <w:r>
        <w:t xml:space="preserve">that </w:t>
      </w:r>
      <w:r w:rsidRPr="00847B94">
        <w:t>are verifiable and</w:t>
      </w:r>
      <w:r>
        <w:t xml:space="preserve"> transaction</w:t>
      </w:r>
      <w:r w:rsidRPr="00847B94">
        <w:t>-</w:t>
      </w:r>
      <w:r>
        <w:t>related</w:t>
      </w:r>
      <w:r w:rsidRPr="00847B94">
        <w:t>.</w:t>
      </w:r>
      <w:r>
        <w:t xml:space="preserve">  </w:t>
      </w:r>
      <w:r w:rsidRPr="00CA298B">
        <w:t xml:space="preserve">Based on our </w:t>
      </w:r>
      <w:r w:rsidRPr="006E08FC">
        <w:t xml:space="preserve">review of the record, we </w:t>
      </w:r>
      <w:r w:rsidRPr="002A7816">
        <w:t xml:space="preserve">find </w:t>
      </w:r>
      <w:r w:rsidRPr="006E08FC">
        <w:t>that Verizon</w:t>
      </w:r>
      <w:r>
        <w:t xml:space="preserve"> Wireless</w:t>
      </w:r>
      <w:r w:rsidRPr="006E08FC">
        <w:t xml:space="preserve">’s acquisition of the spectrum </w:t>
      </w:r>
      <w:r>
        <w:t>at issue will allow it</w:t>
      </w:r>
      <w:r w:rsidRPr="006E08FC">
        <w:t xml:space="preserve"> </w:t>
      </w:r>
      <w:r>
        <w:t xml:space="preserve">to meaningfully </w:t>
      </w:r>
      <w:r w:rsidRPr="002A7816">
        <w:t>supplement</w:t>
      </w:r>
      <w:r>
        <w:t xml:space="preserve"> its existing holdings in the relevant markets.</w:t>
      </w:r>
      <w:r>
        <w:rPr>
          <w:rStyle w:val="FootnoteReference"/>
        </w:rPr>
        <w:footnoteReference w:id="111"/>
      </w:r>
      <w:r>
        <w:t xml:space="preserve">  W</w:t>
      </w:r>
      <w:r w:rsidRPr="002A7816">
        <w:t xml:space="preserve">e credit </w:t>
      </w:r>
      <w:r w:rsidRPr="00416548">
        <w:t>Verizon</w:t>
      </w:r>
      <w:r>
        <w:t xml:space="preserve"> Wireless</w:t>
      </w:r>
      <w:r w:rsidRPr="00416548">
        <w:t xml:space="preserve">’s claim that </w:t>
      </w:r>
      <w:r>
        <w:t>it will use the</w:t>
      </w:r>
      <w:r w:rsidRPr="00416548">
        <w:t xml:space="preserve"> acquired</w:t>
      </w:r>
      <w:r>
        <w:t xml:space="preserve"> spectrum to increase </w:t>
      </w:r>
      <w:r w:rsidRPr="00416548">
        <w:t xml:space="preserve">its </w:t>
      </w:r>
      <w:r>
        <w:t>4G/5G and related network coverage and capacity given its strong business incentives to meet increasing customer demand and improve its network’s competitiveness in the relevant markets.</w:t>
      </w:r>
      <w:r>
        <w:rPr>
          <w:rStyle w:val="FootnoteReference"/>
        </w:rPr>
        <w:footnoteReference w:id="112"/>
      </w:r>
      <w:r w:rsidRPr="00F04D63">
        <w:t xml:space="preserve">  </w:t>
      </w:r>
      <w:r>
        <w:t xml:space="preserve">This will enable Verizon Wireless to </w:t>
      </w:r>
      <w:r w:rsidRPr="00F04D63">
        <w:t>offer</w:t>
      </w:r>
      <w:r w:rsidRPr="00F04D63">
        <w:t xml:space="preserve"> </w:t>
      </w:r>
      <w:r>
        <w:t>a better overall customer experience</w:t>
      </w:r>
      <w:r w:rsidRPr="00F04D63">
        <w:t xml:space="preserve"> </w:t>
      </w:r>
      <w:r>
        <w:t>by improving its network to address increased customer demand, offering</w:t>
      </w:r>
      <w:r w:rsidRPr="00F04D63">
        <w:t xml:space="preserve"> faster speeds</w:t>
      </w:r>
      <w:r>
        <w:t>, and enhanced coverage</w:t>
      </w:r>
      <w:r w:rsidRPr="00F04D63">
        <w:t xml:space="preserve"> </w:t>
      </w:r>
      <w:r w:rsidRPr="00F04D63">
        <w:t xml:space="preserve">in </w:t>
      </w:r>
      <w:r w:rsidRPr="00F04D63">
        <w:t>the relevant markets, including in rural, remote, and densely populated</w:t>
      </w:r>
      <w:r w:rsidRPr="00112FEF">
        <w:t xml:space="preserve"> communities</w:t>
      </w:r>
      <w:r>
        <w:t>, likely resulting in broader</w:t>
      </w:r>
      <w:r w:rsidRPr="00A74FD1">
        <w:t xml:space="preserve"> network deployment and </w:t>
      </w:r>
      <w:r>
        <w:t xml:space="preserve">improved </w:t>
      </w:r>
      <w:r w:rsidRPr="00A74FD1">
        <w:t>indoor use</w:t>
      </w:r>
      <w:r>
        <w:t xml:space="preserve"> and</w:t>
      </w:r>
      <w:r w:rsidRPr="00A74FD1">
        <w:t xml:space="preserve"> </w:t>
      </w:r>
      <w:r>
        <w:t>benefiting</w:t>
      </w:r>
      <w:r w:rsidRPr="00A74FD1">
        <w:t xml:space="preserve"> critical infrastructure</w:t>
      </w:r>
      <w:r>
        <w:t>.</w:t>
      </w:r>
      <w:r>
        <w:rPr>
          <w:rStyle w:val="FootnoteReference"/>
        </w:rPr>
        <w:footnoteReference w:id="113"/>
      </w:r>
      <w:r>
        <w:t xml:space="preserve">  </w:t>
      </w:r>
      <w:r w:rsidRPr="00570D2D">
        <w:rPr>
          <w:szCs w:val="22"/>
        </w:rPr>
        <w:t xml:space="preserve">We also credit the Applicants’ assertion that </w:t>
      </w:r>
      <w:r>
        <w:rPr>
          <w:szCs w:val="22"/>
        </w:rPr>
        <w:t xml:space="preserve">Verizon Wireless </w:t>
      </w:r>
      <w:r w:rsidRPr="00570D2D">
        <w:rPr>
          <w:szCs w:val="22"/>
        </w:rPr>
        <w:t>will be able to promptly put the acquired spectrum to use, thus quickly realizing claimed benefits, based on Verizon</w:t>
      </w:r>
      <w:r>
        <w:rPr>
          <w:szCs w:val="22"/>
        </w:rPr>
        <w:t xml:space="preserve"> </w:t>
      </w:r>
      <w:r>
        <w:t>Wireless</w:t>
      </w:r>
      <w:r w:rsidRPr="00570D2D">
        <w:rPr>
          <w:szCs w:val="22"/>
        </w:rPr>
        <w:t>’s existing operating presence throughout the relevant markets and track record of consistently building out its network, as described above.</w:t>
      </w:r>
      <w:r>
        <w:rPr>
          <w:rStyle w:val="FootnoteReference"/>
          <w:szCs w:val="22"/>
        </w:rPr>
        <w:footnoteReference w:id="114"/>
      </w:r>
      <w:r>
        <w:t xml:space="preserve">  We also note that the Applicants have filed short-term spectrum manager leases for the spectrum so that Verizon Wireless can “begin </w:t>
      </w:r>
      <w:r w:rsidRPr="00576521">
        <w:t>putting the spectrum into service immediately” to “</w:t>
      </w:r>
      <w:r w:rsidRPr="00F6109C">
        <w:t xml:space="preserve">increase capacity and improve network </w:t>
      </w:r>
      <w:r w:rsidRPr="00F6109C">
        <w:t>performance for customers</w:t>
      </w:r>
      <w:r>
        <w:t>,</w:t>
      </w:r>
      <w:r w:rsidRPr="00576521">
        <w:t>”</w:t>
      </w:r>
      <w:r>
        <w:t xml:space="preserve"> indicating that consumers are likely to experience the benefits in the near term.</w:t>
      </w:r>
      <w:r>
        <w:rPr>
          <w:rStyle w:val="FootnoteReference"/>
        </w:rPr>
        <w:footnoteReference w:id="115"/>
      </w:r>
    </w:p>
    <w:p w:rsidR="00A40FA9" w:rsidRPr="00BC5BB9" w:rsidP="00A40FA9" w14:paraId="42750640" w14:textId="77777777">
      <w:pPr>
        <w:pStyle w:val="ParaNum"/>
        <w:widowControl/>
      </w:pPr>
      <w:r>
        <w:t xml:space="preserve">We disagree with </w:t>
      </w:r>
      <w:r w:rsidRPr="00847B94">
        <w:t>the arguments of Public Knowledge et al. and RWA that the claimed</w:t>
      </w:r>
      <w:r>
        <w:t xml:space="preserve"> public interest benefits</w:t>
      </w:r>
      <w:r w:rsidRPr="00CB2049">
        <w:rPr>
          <w:szCs w:val="22"/>
        </w:rPr>
        <w:t xml:space="preserve"> are generalized, not verifiable, not supported by the record</w:t>
      </w:r>
      <w:r>
        <w:rPr>
          <w:szCs w:val="22"/>
        </w:rPr>
        <w:t>,</w:t>
      </w:r>
      <w:r w:rsidRPr="00CB2049">
        <w:rPr>
          <w:szCs w:val="22"/>
        </w:rPr>
        <w:t xml:space="preserve"> and not</w:t>
      </w:r>
      <w:r w:rsidRPr="00847B94">
        <w:t xml:space="preserve"> transaction-</w:t>
      </w:r>
      <w:r>
        <w:t>related</w:t>
      </w:r>
      <w:r w:rsidRPr="00847B94">
        <w:t>.</w:t>
      </w:r>
      <w:r>
        <w:rPr>
          <w:rStyle w:val="FootnoteReference"/>
          <w:szCs w:val="22"/>
        </w:rPr>
        <w:footnoteReference w:id="116"/>
      </w:r>
      <w:r>
        <w:t xml:space="preserve">  Verizon Wireless has a demonstrated track record of investing in and expanding its network to offer improved </w:t>
      </w:r>
      <w:r w:rsidRPr="00F04D63">
        <w:t>services</w:t>
      </w:r>
      <w:r>
        <w:t xml:space="preserve"> and </w:t>
      </w:r>
      <w:r w:rsidRPr="00F04D63">
        <w:t>capabilities</w:t>
      </w:r>
      <w:r>
        <w:t>, and has provided evidence in the record of how this transaction will benefit consumers.</w:t>
      </w:r>
      <w:r>
        <w:rPr>
          <w:rStyle w:val="FootnoteReference"/>
        </w:rPr>
        <w:footnoteReference w:id="117"/>
      </w:r>
      <w:r w:rsidRPr="00F04D63">
        <w:t xml:space="preserve"> </w:t>
      </w:r>
      <w:r>
        <w:t xml:space="preserve"> </w:t>
      </w:r>
      <w:r>
        <w:rPr>
          <w:szCs w:val="22"/>
        </w:rPr>
        <w:t xml:space="preserve">We also </w:t>
      </w:r>
      <w:r w:rsidRPr="001D6A27">
        <w:rPr>
          <w:szCs w:val="22"/>
        </w:rPr>
        <w:t xml:space="preserve">agree </w:t>
      </w:r>
      <w:r>
        <w:rPr>
          <w:szCs w:val="22"/>
        </w:rPr>
        <w:t xml:space="preserve">with the Applicants </w:t>
      </w:r>
      <w:r w:rsidRPr="001D6A27">
        <w:rPr>
          <w:szCs w:val="22"/>
        </w:rPr>
        <w:t>that</w:t>
      </w:r>
      <w:r w:rsidRPr="00C92A01">
        <w:rPr>
          <w:szCs w:val="22"/>
        </w:rPr>
        <w:t xml:space="preserve"> this spectrum would likely go underutilized </w:t>
      </w:r>
      <w:r w:rsidRPr="001D6A27">
        <w:rPr>
          <w:szCs w:val="22"/>
        </w:rPr>
        <w:t xml:space="preserve">in the absence of the instant transaction </w:t>
      </w:r>
      <w:r w:rsidRPr="00C92A01">
        <w:rPr>
          <w:szCs w:val="22"/>
        </w:rPr>
        <w:t xml:space="preserve">given that </w:t>
      </w:r>
      <w:r w:rsidRPr="00C92A01">
        <w:rPr>
          <w:szCs w:val="22"/>
        </w:rPr>
        <w:t>Array</w:t>
      </w:r>
      <w:r w:rsidRPr="00C92A01">
        <w:rPr>
          <w:szCs w:val="22"/>
        </w:rPr>
        <w:t xml:space="preserve"> does not </w:t>
      </w:r>
      <w:r w:rsidRPr="00C92A01">
        <w:rPr>
          <w:szCs w:val="22"/>
        </w:rPr>
        <w:t>provide</w:t>
      </w:r>
      <w:r w:rsidRPr="00C92A01">
        <w:rPr>
          <w:szCs w:val="22"/>
        </w:rPr>
        <w:t xml:space="preserve"> mobile wireless </w:t>
      </w:r>
      <w:r w:rsidRPr="00C92A01">
        <w:rPr>
          <w:szCs w:val="22"/>
        </w:rPr>
        <w:t>services.</w:t>
      </w:r>
      <w:r>
        <w:rPr>
          <w:rStyle w:val="FootnoteReference"/>
          <w:szCs w:val="22"/>
        </w:rPr>
        <w:footnoteReference w:id="118"/>
      </w:r>
    </w:p>
    <w:p w:rsidR="00A40FA9" w:rsidP="00A40FA9" w14:paraId="1E7D8E3C" w14:textId="77777777">
      <w:pPr>
        <w:pStyle w:val="Heading1"/>
      </w:pPr>
      <w:bookmarkStart w:id="256" w:name="_Toc220586399"/>
      <w:bookmarkStart w:id="257" w:name="_Toc220598783"/>
      <w:bookmarkStart w:id="258" w:name="_Toc224543335"/>
      <w:bookmarkStart w:id="259" w:name="_Toc226557020"/>
      <w:bookmarkStart w:id="260" w:name="_Toc226636130"/>
      <w:bookmarkStart w:id="261" w:name="_Toc227075527"/>
      <w:bookmarkStart w:id="262" w:name="_Toc227237451"/>
      <w:bookmarkStart w:id="263" w:name="_Toc229582910"/>
      <w:r>
        <w:t>OTHE</w:t>
      </w:r>
      <w:r w:rsidRPr="00251E93">
        <w:t>R ISSUES</w:t>
      </w:r>
      <w:bookmarkEnd w:id="256"/>
      <w:bookmarkEnd w:id="257"/>
      <w:bookmarkEnd w:id="258"/>
      <w:bookmarkEnd w:id="259"/>
      <w:bookmarkEnd w:id="260"/>
      <w:bookmarkEnd w:id="261"/>
      <w:bookmarkEnd w:id="262"/>
      <w:bookmarkEnd w:id="263"/>
      <w:r>
        <w:t xml:space="preserve"> </w:t>
      </w:r>
    </w:p>
    <w:p w:rsidR="00A40FA9" w:rsidRPr="00A3590B" w:rsidP="00A40FA9" w14:paraId="51C64420" w14:textId="77777777">
      <w:pPr>
        <w:pStyle w:val="ParaNum"/>
      </w:pPr>
      <w:r w:rsidRPr="00EB6114">
        <w:rPr>
          <w:i/>
          <w:iCs/>
        </w:rPr>
        <w:t>Request for Divestiture</w:t>
      </w:r>
      <w:r>
        <w:rPr>
          <w:i/>
          <w:iCs/>
        </w:rPr>
        <w:t xml:space="preserve">. </w:t>
      </w:r>
      <w:r w:rsidRPr="00EB6114">
        <w:rPr>
          <w:i/>
          <w:iCs/>
        </w:rPr>
        <w:t xml:space="preserve"> </w:t>
      </w:r>
      <w:r w:rsidRPr="00EB6114">
        <w:t>We decline RWA’s request that we require Verizon Wireless to divest spectrum</w:t>
      </w:r>
      <w:r>
        <w:t xml:space="preserve"> as a condition to the transaction</w:t>
      </w:r>
      <w:r w:rsidRPr="00EB6114">
        <w:t>.</w:t>
      </w:r>
      <w:r>
        <w:rPr>
          <w:rStyle w:val="FootnoteReference"/>
        </w:rPr>
        <w:footnoteReference w:id="119"/>
      </w:r>
      <w:r>
        <w:t xml:space="preserve"> </w:t>
      </w:r>
      <w:r w:rsidRPr="00EB6114">
        <w:t xml:space="preserve"> As set forth above in the competitive analysis, we disagree with Petitioners that there are spectrum aggregation harms in the proposed transaction.</w:t>
      </w:r>
      <w:r>
        <w:rPr>
          <w:rStyle w:val="FootnoteReference"/>
        </w:rPr>
        <w:footnoteReference w:id="120"/>
      </w:r>
      <w:r>
        <w:t xml:space="preserve">  </w:t>
      </w:r>
      <w:r w:rsidRPr="00EB6114">
        <w:t>We also reject RWA’s argument that Verizon’s spectrum holdings of both blocks of cellular licenses results in significant spectrum concentration or limits the ability of rural carriers to compete</w:t>
      </w:r>
      <w:r>
        <w:t>.</w:t>
      </w:r>
      <w:r>
        <w:rPr>
          <w:rStyle w:val="FootnoteReference"/>
        </w:rPr>
        <w:footnoteReference w:id="121"/>
      </w:r>
      <w:r>
        <w:t xml:space="preserve">  </w:t>
      </w:r>
      <w:r w:rsidRPr="00EB6114">
        <w:t>Accordingly, we find no reason to require Verizon Wireless to divest its cellular spectrum or any other of its spectrum holdings</w:t>
      </w:r>
      <w:r>
        <w:t xml:space="preserve"> in the instant transaction</w:t>
      </w:r>
      <w:r w:rsidRPr="00EB6114">
        <w:t>.</w:t>
      </w:r>
    </w:p>
    <w:p w:rsidR="00A40FA9" w:rsidP="00A40FA9" w14:paraId="3E305F89" w14:textId="77777777">
      <w:pPr>
        <w:pStyle w:val="ParaNum"/>
        <w:widowControl/>
      </w:pPr>
      <w:r w:rsidRPr="007F2D5D">
        <w:rPr>
          <w:i/>
          <w:iCs/>
        </w:rPr>
        <w:t>Roaming</w:t>
      </w:r>
      <w:r w:rsidRPr="003941CC">
        <w:t>.</w:t>
      </w:r>
      <w:r>
        <w:t xml:space="preserve">  </w:t>
      </w:r>
      <w:r w:rsidRPr="002070F1">
        <w:t xml:space="preserve">With regard to the arguments expressing concern </w:t>
      </w:r>
      <w:r>
        <w:t>for</w:t>
      </w:r>
      <w:r w:rsidRPr="002070F1">
        <w:t xml:space="preserve"> roaming,</w:t>
      </w:r>
      <w:r>
        <w:rPr>
          <w:rStyle w:val="FootnoteReference"/>
        </w:rPr>
        <w:footnoteReference w:id="122"/>
      </w:r>
      <w:r w:rsidRPr="002070F1">
        <w:t xml:space="preserve"> </w:t>
      </w:r>
      <w:r>
        <w:t xml:space="preserve">as we have previously explained, </w:t>
      </w:r>
      <w:r w:rsidRPr="002070F1">
        <w:t xml:space="preserve">the Commission’s general roaming policies and rules </w:t>
      </w:r>
      <w:r>
        <w:t>are designed to</w:t>
      </w:r>
      <w:r w:rsidRPr="002070F1">
        <w:t xml:space="preserve"> ensure that entities can obtain roaming agreements on reasonable terms and conditions.</w:t>
      </w:r>
      <w:r>
        <w:rPr>
          <w:rStyle w:val="FootnoteReference"/>
        </w:rPr>
        <w:footnoteReference w:id="123"/>
      </w:r>
      <w:r>
        <w:t xml:space="preserve">  Consistent with our </w:t>
      </w:r>
      <w:r>
        <w:t>precedent, w</w:t>
      </w:r>
      <w:r w:rsidRPr="003941CC">
        <w:t xml:space="preserve">e deny RWA’s request that we require </w:t>
      </w:r>
      <w:r>
        <w:t xml:space="preserve">Verizon Wireless </w:t>
      </w:r>
      <w:r w:rsidRPr="003941CC">
        <w:t>to enter into roaming agreements with certain rural and regional carriers</w:t>
      </w:r>
      <w:r w:rsidRPr="0076461B">
        <w:t xml:space="preserve">, </w:t>
      </w:r>
      <w:r>
        <w:t xml:space="preserve">or </w:t>
      </w:r>
      <w:r w:rsidRPr="0076461B">
        <w:t xml:space="preserve">that we require </w:t>
      </w:r>
      <w:r>
        <w:t xml:space="preserve">Verizon Wireless </w:t>
      </w:r>
      <w:r w:rsidRPr="0076461B">
        <w:t>to implement VoLTE handovers with its rural and regional roaming partners</w:t>
      </w:r>
      <w:r>
        <w:rPr>
          <w:rStyle w:val="FootnoteReference"/>
        </w:rPr>
        <w:footnoteReference w:id="124"/>
      </w:r>
      <w:r>
        <w:t xml:space="preserve"> because this is a spectrum-only transaction and does not implicate roaming issues.</w:t>
      </w:r>
      <w:r>
        <w:rPr>
          <w:rStyle w:val="FootnoteReference"/>
        </w:rPr>
        <w:footnoteReference w:id="125"/>
      </w:r>
      <w:r>
        <w:t xml:space="preserve">  </w:t>
      </w:r>
    </w:p>
    <w:p w:rsidR="00A40FA9" w:rsidP="00A40FA9" w14:paraId="60CDD16D" w14:textId="77777777">
      <w:pPr>
        <w:pStyle w:val="ParaNum"/>
      </w:pPr>
      <w:r w:rsidRPr="003D15C9">
        <w:rPr>
          <w:i/>
          <w:iCs/>
        </w:rPr>
        <w:t>Handset Unlocking.</w:t>
      </w:r>
      <w:r w:rsidRPr="003D15C9">
        <w:t xml:space="preserve">  We decline Public Knowledge et al.’s request that we impose a</w:t>
      </w:r>
      <w:r>
        <w:t>n unlocking condition on Verizon Wireless as part of the transaction.</w:t>
      </w:r>
      <w:r>
        <w:rPr>
          <w:rStyle w:val="FootnoteReference"/>
        </w:rPr>
        <w:footnoteReference w:id="126"/>
      </w:r>
      <w:r>
        <w:t xml:space="preserve">  Such a condition would not be designed to address transaction-related harms</w:t>
      </w:r>
      <w:r>
        <w:t>,</w:t>
      </w:r>
      <w:r>
        <w:rPr>
          <w:rStyle w:val="FootnoteReference"/>
        </w:rPr>
        <w:footnoteReference w:id="127"/>
      </w:r>
      <w:r>
        <w:t xml:space="preserve"> and we have recently addressed Verizon’s company-specific obligations under the rules in a different proceeding.</w:t>
      </w:r>
      <w:r>
        <w:rPr>
          <w:rStyle w:val="FootnoteReference"/>
        </w:rPr>
        <w:footnoteReference w:id="128"/>
      </w:r>
      <w:r>
        <w:t xml:space="preserve">  </w:t>
      </w:r>
    </w:p>
    <w:p w:rsidR="00A40FA9" w:rsidRPr="004806E7" w:rsidP="00A40FA9" w14:paraId="52E82773" w14:textId="77777777">
      <w:pPr>
        <w:pStyle w:val="ParaNum"/>
        <w:widowControl/>
        <w:rPr>
          <w:szCs w:val="22"/>
        </w:rPr>
      </w:pPr>
      <w:r w:rsidRPr="003059C6">
        <w:rPr>
          <w:i/>
          <w:iCs/>
          <w:szCs w:val="22"/>
        </w:rPr>
        <w:t>Other Issues.</w:t>
      </w:r>
      <w:r w:rsidRPr="003059C6">
        <w:rPr>
          <w:szCs w:val="22"/>
        </w:rPr>
        <w:t xml:space="preserve">  </w:t>
      </w:r>
      <w:r w:rsidRPr="003059C6">
        <w:t xml:space="preserve">We decline Public Knowledge et al.’s request that we attach conditions to this transaction that would “maintain a service speed threshold” </w:t>
      </w:r>
      <w:r>
        <w:t>or that we</w:t>
      </w:r>
      <w:r w:rsidRPr="003059C6">
        <w:t xml:space="preserve"> require a “commit[</w:t>
      </w:r>
      <w:r w:rsidRPr="003059C6">
        <w:t>ment</w:t>
      </w:r>
      <w:r w:rsidRPr="003059C6">
        <w:t>] to pro-labor policies”</w:t>
      </w:r>
      <w:r>
        <w:rPr>
          <w:rStyle w:val="FootnoteReference"/>
        </w:rPr>
        <w:footnoteReference w:id="129"/>
      </w:r>
      <w:r w:rsidRPr="003059C6">
        <w:t xml:space="preserve"> as generalized and vague requests untethered to any alleged transaction-</w:t>
      </w:r>
      <w:r>
        <w:t>related</w:t>
      </w:r>
      <w:r w:rsidRPr="003059C6">
        <w:t xml:space="preserve"> harms</w:t>
      </w:r>
      <w:r>
        <w:t>.  T</w:t>
      </w:r>
      <w:r w:rsidRPr="0044508E">
        <w:t>he proposed transaction does not implicate labor issues or consumer migration or service issues, and we therefore decline to adopt the requested labor and consumer conditions.</w:t>
      </w:r>
      <w:r>
        <w:rPr>
          <w:rStyle w:val="FootnoteReference"/>
        </w:rPr>
        <w:footnoteReference w:id="130"/>
      </w:r>
      <w:r>
        <w:t xml:space="preserve">  We also decline RWA’s request that we use this transaction as a venue to examine Array’s use of </w:t>
      </w:r>
      <w:r w:rsidRPr="00AA64CE">
        <w:t>universal service high-cost funds</w:t>
      </w:r>
      <w:r>
        <w:t>.</w:t>
      </w:r>
      <w:r>
        <w:rPr>
          <w:rStyle w:val="FootnoteReference"/>
        </w:rPr>
        <w:footnoteReference w:id="131"/>
      </w:r>
    </w:p>
    <w:p w:rsidR="00A40FA9" w:rsidP="00A40FA9" w14:paraId="2F3E535A" w14:textId="77777777">
      <w:pPr>
        <w:pStyle w:val="Heading1"/>
      </w:pPr>
      <w:bookmarkStart w:id="264" w:name="_Toc220586401"/>
      <w:bookmarkStart w:id="265" w:name="_Toc220598784"/>
      <w:bookmarkStart w:id="266" w:name="_Toc224543336"/>
      <w:bookmarkStart w:id="267" w:name="_Toc226557021"/>
      <w:bookmarkStart w:id="268" w:name="_Toc226636131"/>
      <w:bookmarkStart w:id="269" w:name="_Toc227075528"/>
      <w:bookmarkStart w:id="270" w:name="_Toc227237452"/>
      <w:bookmarkStart w:id="271" w:name="_Toc229582911"/>
      <w:r>
        <w:t>Co</w:t>
      </w:r>
      <w:r w:rsidRPr="003D1AC7">
        <w:t>nclusion</w:t>
      </w:r>
      <w:bookmarkEnd w:id="264"/>
      <w:bookmarkEnd w:id="265"/>
      <w:bookmarkEnd w:id="266"/>
      <w:bookmarkEnd w:id="267"/>
      <w:bookmarkEnd w:id="268"/>
      <w:bookmarkEnd w:id="269"/>
      <w:bookmarkEnd w:id="270"/>
      <w:bookmarkEnd w:id="271"/>
      <w:r>
        <w:t xml:space="preserve"> </w:t>
      </w:r>
    </w:p>
    <w:p w:rsidR="00A40FA9" w:rsidRPr="003361C4" w:rsidP="000007CD" w14:paraId="05105EBE" w14:textId="77777777">
      <w:pPr>
        <w:pStyle w:val="ParaNum"/>
        <w:widowControl/>
        <w:rPr>
          <w:color w:val="000000"/>
        </w:rPr>
      </w:pPr>
      <w:r w:rsidRPr="00F36C54">
        <w:t xml:space="preserve">Based on our review of the record and our competitive analysis, we conclude that the risk of public interest </w:t>
      </w:r>
      <w:r w:rsidRPr="00D71C0A">
        <w:t>harm</w:t>
      </w:r>
      <w:r w:rsidRPr="00F36C54">
        <w:t xml:space="preserve"> is </w:t>
      </w:r>
      <w:r w:rsidRPr="00D71C0A">
        <w:t>low</w:t>
      </w:r>
      <w:r>
        <w:t xml:space="preserve">.  </w:t>
      </w:r>
      <w:r w:rsidRPr="00E3241E">
        <w:rPr>
          <w:color w:val="000000"/>
        </w:rPr>
        <w:t>W</w:t>
      </w:r>
      <w:r w:rsidRPr="00E3241E">
        <w:rPr>
          <w:rFonts w:eastAsia="Calibri"/>
        </w:rPr>
        <w:t xml:space="preserve">e find it unlikely that </w:t>
      </w:r>
      <w:r>
        <w:rPr>
          <w:rFonts w:eastAsia="Calibri"/>
        </w:rPr>
        <w:t>Verizon Wireless’s</w:t>
      </w:r>
      <w:r w:rsidRPr="00E3241E">
        <w:rPr>
          <w:rFonts w:eastAsia="Calibri"/>
        </w:rPr>
        <w:t xml:space="preserve"> proposed acquisition of</w:t>
      </w:r>
      <w:r>
        <w:rPr>
          <w:rFonts w:eastAsia="Calibri"/>
          <w:color w:val="000000"/>
        </w:rPr>
        <w:t xml:space="preserve"> </w:t>
      </w:r>
      <w:r>
        <w:rPr>
          <w:color w:val="000000"/>
        </w:rPr>
        <w:t xml:space="preserve">certain </w:t>
      </w:r>
      <w:r>
        <w:t xml:space="preserve">cellular, AWS-1, AWS-3, and PCS licenses </w:t>
      </w:r>
      <w:r w:rsidRPr="003361C4">
        <w:rPr>
          <w:rFonts w:eastAsia="Calibri"/>
        </w:rPr>
        <w:t>would foreclose entry, raise rivals’ costs, or otherwise harm the public interest.</w:t>
      </w:r>
      <w:r w:rsidRPr="003579A4">
        <w:t xml:space="preserve">  In addition, we substantially credit</w:t>
      </w:r>
      <w:r w:rsidRPr="00F36C54">
        <w:t xml:space="preserve"> the Applicants’ claims that </w:t>
      </w:r>
      <w:r>
        <w:t>the instant transaction is likely to</w:t>
      </w:r>
      <w:r w:rsidRPr="00F36C54">
        <w:t xml:space="preserve"> produce public interest benefits </w:t>
      </w:r>
      <w:r>
        <w:t>that will enable Verizon Wireless to provide a better overall experience to its customers, including by improving its network to better serve increasing customer demand, enhancing coverage in rural areas and indoor environments, increasing network capacity and offered speeds, and enabling the provision of better products and services within the relevant markets.</w:t>
      </w:r>
      <w:r>
        <w:rPr>
          <w:rStyle w:val="FootnoteReference"/>
          <w:szCs w:val="22"/>
        </w:rPr>
        <w:footnoteReference w:id="132"/>
      </w:r>
      <w:r>
        <w:t xml:space="preserve"> </w:t>
      </w:r>
      <w:r w:rsidRPr="00F36C54">
        <w:t xml:space="preserve"> </w:t>
      </w:r>
      <w:r>
        <w:t>Accordingly, based on the record, w</w:t>
      </w:r>
      <w:r w:rsidRPr="00F36C54">
        <w:t>e fin</w:t>
      </w:r>
      <w:r>
        <w:t xml:space="preserve">d that the </w:t>
      </w:r>
      <w:r w:rsidRPr="00F36C54">
        <w:t>proposed transaction would serve the public interest, convenience, and necessity</w:t>
      </w:r>
      <w:r>
        <w:t xml:space="preserve">. </w:t>
      </w:r>
    </w:p>
    <w:p w:rsidR="00A40FA9" w:rsidP="00A40FA9" w14:paraId="600F5798" w14:textId="77777777">
      <w:pPr>
        <w:pStyle w:val="Heading1"/>
      </w:pPr>
      <w:bookmarkStart w:id="272" w:name="_Toc220586402"/>
      <w:bookmarkStart w:id="273" w:name="_Toc220598785"/>
      <w:bookmarkStart w:id="274" w:name="_Toc224543337"/>
      <w:bookmarkStart w:id="275" w:name="_Toc226557022"/>
      <w:bookmarkStart w:id="276" w:name="_Toc226636132"/>
      <w:bookmarkStart w:id="277" w:name="_Toc227075529"/>
      <w:bookmarkStart w:id="278" w:name="_Toc227237453"/>
      <w:bookmarkStart w:id="279" w:name="_Toc229582912"/>
      <w:bookmarkStart w:id="280" w:name="start_from_here"/>
      <w:r>
        <w:t>Ordering Clauses</w:t>
      </w:r>
      <w:bookmarkEnd w:id="272"/>
      <w:bookmarkEnd w:id="273"/>
      <w:bookmarkEnd w:id="274"/>
      <w:bookmarkEnd w:id="275"/>
      <w:bookmarkEnd w:id="276"/>
      <w:bookmarkEnd w:id="277"/>
      <w:bookmarkEnd w:id="278"/>
      <w:bookmarkEnd w:id="279"/>
      <w:bookmarkEnd w:id="280"/>
    </w:p>
    <w:p w:rsidR="00A40FA9" w:rsidP="00A40FA9" w14:paraId="47A04161" w14:textId="77777777">
      <w:pPr>
        <w:pStyle w:val="ParaNum"/>
      </w:pPr>
      <w:r w:rsidRPr="00AD09D0">
        <w:t xml:space="preserve">ACCORDINGLY, having reviewed the Applications and record in this matter, </w:t>
      </w:r>
      <w:r w:rsidRPr="00F00E15">
        <w:rPr>
          <w:b/>
        </w:rPr>
        <w:t>IT IS ORDERED</w:t>
      </w:r>
      <w:r w:rsidRPr="00AD09D0">
        <w:t xml:space="preserve"> that, pursuant to sections 4(</w:t>
      </w:r>
      <w:r w:rsidRPr="00AD09D0">
        <w:t>i</w:t>
      </w:r>
      <w:r w:rsidRPr="00AD09D0">
        <w:t>) and (j), 5(c), 303(r), 309, and 310(d) of the Communications Act of 1934, as amended, 47 U.S.C. §§ 154(</w:t>
      </w:r>
      <w:r w:rsidRPr="00AD09D0">
        <w:t>i</w:t>
      </w:r>
      <w:r w:rsidRPr="00AD09D0">
        <w:t xml:space="preserve">), 154(j), </w:t>
      </w:r>
      <w:r>
        <w:t xml:space="preserve">155(c), </w:t>
      </w:r>
      <w:r w:rsidRPr="00AD09D0">
        <w:t xml:space="preserve">303(r), 309, 310(d), and pursuant to the authority delegated under sections 0.131 and 0.331 of the Commission’s rules, 47 CFR §§ 0.131 and 0.331 the applications for consent to assignment filed by </w:t>
      </w:r>
      <w:r>
        <w:t xml:space="preserve">Verizon Wireless </w:t>
      </w:r>
      <w:r w:rsidRPr="00AD09D0">
        <w:t xml:space="preserve">and Array </w:t>
      </w:r>
      <w:r w:rsidRPr="00F00E15">
        <w:rPr>
          <w:b/>
        </w:rPr>
        <w:t>ARE GRANTED</w:t>
      </w:r>
      <w:r w:rsidRPr="00AD09D0">
        <w:t>.</w:t>
      </w:r>
    </w:p>
    <w:p w:rsidR="00A40FA9" w:rsidP="00A40FA9" w14:paraId="69F8F3F0" w14:textId="77777777">
      <w:pPr>
        <w:pStyle w:val="ParaNum"/>
      </w:pPr>
      <w:r w:rsidRPr="00F00E15">
        <w:rPr>
          <w:b/>
        </w:rPr>
        <w:t>IT IS FURTHER ORDERED</w:t>
      </w:r>
      <w:r w:rsidRPr="008307DE">
        <w:t xml:space="preserve"> that, pursuant to sections 4(</w:t>
      </w:r>
      <w:r w:rsidRPr="008307DE">
        <w:t>i</w:t>
      </w:r>
      <w:r w:rsidRPr="008307DE">
        <w:t>) and (j), 303(r), 309, and 310(d) of the Communications Act of 1934, as amended, 47 U.S.C. §§ 154(</w:t>
      </w:r>
      <w:r w:rsidRPr="008307DE">
        <w:t>i</w:t>
      </w:r>
      <w:r w:rsidRPr="008307DE">
        <w:t>), 154(j), 303(r), 309, 310(d), the Petitions to Deny filed by the Rural Wireless Association, and collectively</w:t>
      </w:r>
      <w:r>
        <w:t xml:space="preserve"> by</w:t>
      </w:r>
      <w:r w:rsidRPr="008307DE">
        <w:t xml:space="preserve"> Public Knowledge, Open Technology Institute at New America, </w:t>
      </w:r>
      <w:r>
        <w:t xml:space="preserve">and </w:t>
      </w:r>
      <w:r w:rsidRPr="008307DE">
        <w:t xml:space="preserve">Benton Institute for Broadband &amp; Society, and the Petition to Hold in Abeyance filed by Mark J. O’Connor and Sara F. Leibman, </w:t>
      </w:r>
      <w:r w:rsidRPr="00F00E15">
        <w:rPr>
          <w:b/>
        </w:rPr>
        <w:t>ARE DENIED</w:t>
      </w:r>
      <w:r w:rsidRPr="008307DE">
        <w:t xml:space="preserve"> for the reasons stated herein.</w:t>
      </w:r>
    </w:p>
    <w:p w:rsidR="00A40FA9" w:rsidP="00A40FA9" w14:paraId="0EB325E4" w14:textId="77777777">
      <w:pPr>
        <w:pStyle w:val="ParaNum"/>
      </w:pPr>
      <w:r w:rsidRPr="00F00E15">
        <w:rPr>
          <w:b/>
        </w:rPr>
        <w:t>IT IS FURTHER ORDERED</w:t>
      </w:r>
      <w:r w:rsidRPr="0095674A">
        <w:t xml:space="preserve"> that this Memorandum Opinion and Order </w:t>
      </w:r>
      <w:r w:rsidRPr="0047318D">
        <w:rPr>
          <w:b/>
        </w:rPr>
        <w:t>SHALL BE EFFECTIVE</w:t>
      </w:r>
      <w:r w:rsidRPr="0095674A">
        <w:t xml:space="preserve"> upon adoption</w:t>
      </w:r>
      <w:r>
        <w:t>, in accordance with section 1.102 of the Commission’s rules, 47 CFR § 1.102</w:t>
      </w:r>
      <w:r w:rsidRPr="0095674A">
        <w:t>.  Petitions for Reconsideration under section 1.106 of the Commission’s Rules, 47 CFR § 1.106, may be filed within thirty days of the date of adoption of this Memorandum Opinion and Order.</w:t>
      </w:r>
    </w:p>
    <w:p w:rsidR="00A40FA9" w:rsidP="00A40FA9" w14:paraId="09C15E4B" w14:textId="77777777">
      <w:pPr>
        <w:pStyle w:val="ParaNum"/>
        <w:keepNext/>
        <w:widowControl/>
      </w:pPr>
      <w:r w:rsidRPr="004A14DA">
        <w:t>This action is taken under delegated authority pursuant to sections 0.131 and 0.331 of the Commission’s rules, 47 CFR §§ 0.131, 0.331.</w:t>
      </w:r>
    </w:p>
    <w:p w:rsidR="00A40FA9" w:rsidP="00A40FA9" w14:paraId="5A4B1B24" w14:textId="77777777">
      <w:pPr>
        <w:pStyle w:val="ParaNum"/>
        <w:keepNext/>
        <w:numPr>
          <w:ilvl w:val="0"/>
          <w:numId w:val="0"/>
        </w:numPr>
      </w:pPr>
    </w:p>
    <w:p w:rsidR="00A40FA9" w:rsidP="00A40FA9" w14:paraId="0E5D2141" w14:textId="77777777">
      <w:pPr>
        <w:keepNext/>
      </w:pPr>
      <w:r>
        <w:tab/>
      </w:r>
      <w:r>
        <w:tab/>
      </w:r>
      <w:r>
        <w:tab/>
      </w:r>
      <w:r>
        <w:tab/>
      </w:r>
      <w:r>
        <w:tab/>
      </w:r>
      <w:r>
        <w:tab/>
        <w:t>FEDERAL COMMUNICATIONS COMMISSION</w:t>
      </w:r>
    </w:p>
    <w:p w:rsidR="00A40FA9" w:rsidP="00A40FA9" w14:paraId="25D160AE" w14:textId="77777777">
      <w:pPr>
        <w:keepNext/>
      </w:pPr>
    </w:p>
    <w:p w:rsidR="00A40FA9" w:rsidP="00A40FA9" w14:paraId="6C76B12D" w14:textId="77777777">
      <w:pPr>
        <w:keepNext/>
      </w:pPr>
    </w:p>
    <w:p w:rsidR="00A40FA9" w:rsidP="00A40FA9" w14:paraId="2077ED82" w14:textId="77777777">
      <w:pPr>
        <w:keepNext/>
      </w:pPr>
    </w:p>
    <w:p w:rsidR="00A40FA9" w:rsidP="00A40FA9" w14:paraId="33DF45E8" w14:textId="77777777">
      <w:pPr>
        <w:keepNext/>
      </w:pPr>
    </w:p>
    <w:p w:rsidR="00A40FA9" w:rsidP="00A40FA9" w14:paraId="1789992B" w14:textId="77777777">
      <w:pPr>
        <w:keepNext/>
      </w:pPr>
      <w:r>
        <w:tab/>
      </w:r>
      <w:r>
        <w:tab/>
      </w:r>
      <w:r>
        <w:tab/>
      </w:r>
      <w:r>
        <w:tab/>
      </w:r>
      <w:r>
        <w:tab/>
      </w:r>
      <w:r>
        <w:tab/>
        <w:t>Joel Taubenblatt</w:t>
      </w:r>
    </w:p>
    <w:p w:rsidR="00A40FA9" w:rsidP="00A40FA9" w14:paraId="14C5CFD4" w14:textId="77777777">
      <w:pPr>
        <w:keepNext/>
      </w:pPr>
      <w:r>
        <w:tab/>
      </w:r>
      <w:r>
        <w:tab/>
      </w:r>
      <w:r>
        <w:tab/>
      </w:r>
      <w:r>
        <w:tab/>
      </w:r>
      <w:r>
        <w:tab/>
      </w:r>
      <w:r>
        <w:tab/>
        <w:t>Chief, Wireless Telecommunications Bureau</w:t>
      </w:r>
    </w:p>
    <w:p w:rsidR="00A40FA9" w:rsidP="00A40FA9" w14:paraId="03C2BD41" w14:textId="77777777">
      <w:pPr>
        <w:widowControl/>
      </w:pPr>
    </w:p>
    <w:p w:rsidR="00A40FA9" w:rsidP="00A40FA9" w14:paraId="60E313CB" w14:textId="77777777">
      <w:pPr>
        <w:widowControl/>
        <w:sectPr w:rsidSect="00A40FA9">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pPr>
    </w:p>
    <w:p w:rsidR="00A40FA9" w:rsidRPr="0088340B" w:rsidP="00A40FA9" w14:paraId="027B40E5" w14:textId="77777777">
      <w:pPr>
        <w:jc w:val="center"/>
        <w:rPr>
          <w:b/>
          <w:bCs/>
        </w:rPr>
      </w:pPr>
      <w:r w:rsidRPr="0088340B">
        <w:rPr>
          <w:b/>
          <w:bCs/>
        </w:rPr>
        <w:t>APPENDIX A</w:t>
      </w:r>
    </w:p>
    <w:p w:rsidR="00A40FA9" w:rsidP="00A40FA9" w14:paraId="4D75451E" w14:textId="77777777">
      <w:pPr>
        <w:jc w:val="center"/>
        <w:rPr>
          <w:b/>
          <w:bCs/>
        </w:rPr>
      </w:pPr>
      <w:r>
        <w:rPr>
          <w:b/>
          <w:bCs/>
        </w:rPr>
        <w:t>List of Applications</w:t>
      </w:r>
    </w:p>
    <w:p w:rsidR="00A40FA9" w:rsidP="00A40FA9" w14:paraId="26E96505" w14:textId="77777777">
      <w:pPr>
        <w:rPr>
          <w:b/>
          <w:bCs/>
        </w:rPr>
      </w:pPr>
    </w:p>
    <w:p w:rsidR="00A40FA9" w:rsidP="00A40FA9" w14:paraId="62D5487B" w14:textId="77777777">
      <w:pPr>
        <w:rPr>
          <w:b/>
          <w:bCs/>
        </w:rPr>
      </w:pPr>
      <w:r w:rsidRPr="00A0036B">
        <w:rPr>
          <w:b/>
          <w:bCs/>
        </w:rPr>
        <w:t xml:space="preserve">SECTION 310(d) APPLICATIONS </w:t>
      </w:r>
    </w:p>
    <w:p w:rsidR="00A40FA9" w:rsidP="00A40FA9" w14:paraId="2B4A8475" w14:textId="77777777">
      <w:pPr>
        <w:rPr>
          <w:b/>
          <w:bCs/>
        </w:rPr>
      </w:pPr>
    </w:p>
    <w:p w:rsidR="00A40FA9" w:rsidRPr="00047E4A" w:rsidP="00A40FA9" w14:paraId="64C833F3" w14:textId="77777777">
      <w:pPr>
        <w:ind w:firstLine="720"/>
      </w:pPr>
      <w:r w:rsidRPr="00047E4A">
        <w:t xml:space="preserve">Applications for consent to the assignment of licenses held by subsidiaries of </w:t>
      </w:r>
      <w:r>
        <w:t xml:space="preserve">Array </w:t>
      </w:r>
      <w:r w:rsidRPr="00047E4A">
        <w:t xml:space="preserve">from </w:t>
      </w:r>
      <w:r>
        <w:t xml:space="preserve">Array </w:t>
      </w:r>
      <w:r w:rsidRPr="00047E4A">
        <w:t xml:space="preserve">to </w:t>
      </w:r>
      <w:r>
        <w:t>Verizon Wireless</w:t>
      </w:r>
      <w:r w:rsidRPr="00047E4A">
        <w:t xml:space="preserve">: </w:t>
      </w:r>
    </w:p>
    <w:p w:rsidR="00A40FA9" w:rsidP="00A40FA9" w14:paraId="6F7DDB00" w14:textId="77777777">
      <w:pPr>
        <w:jc w:val="center"/>
        <w:rPr>
          <w:b/>
          <w:bCs/>
        </w:rPr>
      </w:pPr>
    </w:p>
    <w:tbl>
      <w:tblPr>
        <w:tblW w:w="0" w:type="auto"/>
        <w:tblInd w:w="-108" w:type="dxa"/>
        <w:tblLook w:val="04A0"/>
      </w:tblPr>
      <w:tblGrid>
        <w:gridCol w:w="1525"/>
        <w:gridCol w:w="4320"/>
        <w:gridCol w:w="2070"/>
      </w:tblGrid>
      <w:tr w14:paraId="5F3F6232" w14:textId="77777777" w:rsidTr="00931A18">
        <w:tblPrEx>
          <w:tblW w:w="0" w:type="auto"/>
          <w:tblInd w:w="-108" w:type="dxa"/>
          <w:tblLook w:val="04A0"/>
        </w:tblPrEx>
        <w:tc>
          <w:tcPr>
            <w:tcW w:w="1525" w:type="dxa"/>
          </w:tcPr>
          <w:p w:rsidR="00A40FA9" w:rsidRPr="00212FDB" w:rsidP="00931A18" w14:paraId="4A477427" w14:textId="77777777">
            <w:pPr>
              <w:rPr>
                <w:rFonts w:eastAsia="Aptos"/>
                <w:b/>
                <w:bCs/>
                <w:szCs w:val="22"/>
                <w:u w:val="single"/>
              </w:rPr>
            </w:pPr>
            <w:r w:rsidRPr="00212FDB">
              <w:rPr>
                <w:rFonts w:eastAsia="Aptos"/>
                <w:b/>
                <w:bCs/>
                <w:szCs w:val="22"/>
                <w:u w:val="single"/>
              </w:rPr>
              <w:t>File No.</w:t>
            </w:r>
          </w:p>
        </w:tc>
        <w:tc>
          <w:tcPr>
            <w:tcW w:w="4320" w:type="dxa"/>
          </w:tcPr>
          <w:p w:rsidR="00A40FA9" w:rsidRPr="00212FDB" w:rsidP="00931A18" w14:paraId="323FDE66" w14:textId="77777777">
            <w:pPr>
              <w:rPr>
                <w:rFonts w:eastAsia="Aptos"/>
                <w:b/>
                <w:bCs/>
                <w:szCs w:val="22"/>
                <w:u w:val="single"/>
              </w:rPr>
            </w:pPr>
            <w:r w:rsidRPr="00212FDB">
              <w:rPr>
                <w:rFonts w:eastAsia="Aptos"/>
                <w:b/>
                <w:bCs/>
                <w:szCs w:val="22"/>
                <w:u w:val="single"/>
              </w:rPr>
              <w:t>Assignor</w:t>
            </w:r>
          </w:p>
        </w:tc>
        <w:tc>
          <w:tcPr>
            <w:tcW w:w="2070" w:type="dxa"/>
          </w:tcPr>
          <w:p w:rsidR="00A40FA9" w:rsidRPr="00212FDB" w:rsidP="00931A18" w14:paraId="5743CDEA" w14:textId="77777777">
            <w:pPr>
              <w:rPr>
                <w:rFonts w:eastAsia="Aptos"/>
                <w:b/>
                <w:bCs/>
                <w:szCs w:val="22"/>
                <w:u w:val="single"/>
              </w:rPr>
            </w:pPr>
            <w:r w:rsidRPr="00212FDB">
              <w:rPr>
                <w:rFonts w:eastAsia="Aptos"/>
                <w:b/>
                <w:bCs/>
                <w:szCs w:val="22"/>
                <w:u w:val="single"/>
              </w:rPr>
              <w:t>Lead Call Sign</w:t>
            </w:r>
          </w:p>
        </w:tc>
      </w:tr>
      <w:tr w14:paraId="120E9FBE" w14:textId="77777777" w:rsidTr="00931A18">
        <w:tblPrEx>
          <w:tblW w:w="0" w:type="auto"/>
          <w:tblInd w:w="-108" w:type="dxa"/>
          <w:tblLook w:val="04A0"/>
        </w:tblPrEx>
        <w:tc>
          <w:tcPr>
            <w:tcW w:w="1525" w:type="dxa"/>
          </w:tcPr>
          <w:p w:rsidR="00A40FA9" w:rsidRPr="00212FDB" w:rsidP="00931A18" w14:paraId="1DA7105A" w14:textId="77777777">
            <w:pPr>
              <w:rPr>
                <w:rFonts w:eastAsia="Aptos"/>
                <w:szCs w:val="22"/>
              </w:rPr>
            </w:pPr>
            <w:r w:rsidRPr="00212FDB">
              <w:rPr>
                <w:rFonts w:eastAsia="Aptos"/>
                <w:szCs w:val="22"/>
              </w:rPr>
              <w:t>0011491372</w:t>
            </w:r>
            <w:r>
              <w:rPr>
                <w:rStyle w:val="FootnoteReference"/>
                <w:rFonts w:eastAsia="Aptos"/>
                <w:szCs w:val="22"/>
              </w:rPr>
              <w:footnoteReference w:id="133"/>
            </w:r>
            <w:r w:rsidRPr="00212FDB">
              <w:rPr>
                <w:rFonts w:eastAsia="Aptos"/>
                <w:szCs w:val="22"/>
              </w:rPr>
              <w:t xml:space="preserve"> </w:t>
            </w:r>
          </w:p>
        </w:tc>
        <w:tc>
          <w:tcPr>
            <w:tcW w:w="4320" w:type="dxa"/>
          </w:tcPr>
          <w:p w:rsidR="00A40FA9" w:rsidRPr="00212FDB" w:rsidP="00931A18" w14:paraId="2D2B0DA9" w14:textId="77777777">
            <w:pPr>
              <w:rPr>
                <w:rFonts w:eastAsia="Aptos"/>
                <w:szCs w:val="22"/>
              </w:rPr>
            </w:pPr>
            <w:r w:rsidRPr="00212FDB">
              <w:rPr>
                <w:rFonts w:eastAsia="Aptos"/>
                <w:szCs w:val="22"/>
              </w:rPr>
              <w:t>ADI OPERATING COMPANY, LLC</w:t>
            </w:r>
          </w:p>
        </w:tc>
        <w:tc>
          <w:tcPr>
            <w:tcW w:w="2070" w:type="dxa"/>
          </w:tcPr>
          <w:p w:rsidR="00A40FA9" w:rsidRPr="00212FDB" w:rsidP="00931A18" w14:paraId="67B7D260" w14:textId="77777777">
            <w:pPr>
              <w:rPr>
                <w:rFonts w:eastAsia="Aptos"/>
                <w:szCs w:val="22"/>
              </w:rPr>
            </w:pPr>
            <w:r w:rsidRPr="00212FDB">
              <w:rPr>
                <w:rFonts w:eastAsia="Aptos"/>
                <w:szCs w:val="22"/>
              </w:rPr>
              <w:t>KNKA207</w:t>
            </w:r>
          </w:p>
        </w:tc>
      </w:tr>
      <w:tr w14:paraId="369CE858" w14:textId="77777777" w:rsidTr="00931A18">
        <w:tblPrEx>
          <w:tblW w:w="0" w:type="auto"/>
          <w:tblInd w:w="-108" w:type="dxa"/>
          <w:tblLook w:val="04A0"/>
        </w:tblPrEx>
        <w:tc>
          <w:tcPr>
            <w:tcW w:w="1525" w:type="dxa"/>
          </w:tcPr>
          <w:p w:rsidR="00A40FA9" w:rsidRPr="00212FDB" w:rsidP="00931A18" w14:paraId="561300F5" w14:textId="77777777">
            <w:pPr>
              <w:rPr>
                <w:rFonts w:eastAsia="Aptos"/>
                <w:szCs w:val="22"/>
              </w:rPr>
            </w:pPr>
            <w:r w:rsidRPr="00212FDB">
              <w:rPr>
                <w:rFonts w:eastAsia="Aptos"/>
                <w:szCs w:val="22"/>
              </w:rPr>
              <w:t>0011495024</w:t>
            </w:r>
          </w:p>
        </w:tc>
        <w:tc>
          <w:tcPr>
            <w:tcW w:w="4320" w:type="dxa"/>
          </w:tcPr>
          <w:p w:rsidR="00A40FA9" w:rsidRPr="00212FDB" w:rsidP="00931A18" w14:paraId="3218950A" w14:textId="77777777">
            <w:pPr>
              <w:rPr>
                <w:rFonts w:eastAsia="Aptos"/>
                <w:szCs w:val="22"/>
              </w:rPr>
            </w:pPr>
            <w:r w:rsidRPr="00212FDB">
              <w:rPr>
                <w:rFonts w:eastAsia="Aptos"/>
                <w:szCs w:val="22"/>
              </w:rPr>
              <w:t>MCDANIEL CELLULAR TELEPHONE COMPANY</w:t>
            </w:r>
          </w:p>
        </w:tc>
        <w:tc>
          <w:tcPr>
            <w:tcW w:w="2070" w:type="dxa"/>
          </w:tcPr>
          <w:p w:rsidR="00A40FA9" w:rsidRPr="00212FDB" w:rsidP="00931A18" w14:paraId="741A78E5" w14:textId="77777777">
            <w:pPr>
              <w:rPr>
                <w:rFonts w:eastAsia="Aptos"/>
                <w:szCs w:val="22"/>
              </w:rPr>
            </w:pPr>
            <w:r w:rsidRPr="00212FDB">
              <w:rPr>
                <w:rFonts w:eastAsia="Aptos"/>
                <w:szCs w:val="22"/>
              </w:rPr>
              <w:t>KNKN213</w:t>
            </w:r>
          </w:p>
        </w:tc>
      </w:tr>
      <w:tr w14:paraId="55F70631" w14:textId="77777777" w:rsidTr="00931A18">
        <w:tblPrEx>
          <w:tblW w:w="0" w:type="auto"/>
          <w:tblInd w:w="-108" w:type="dxa"/>
          <w:tblLook w:val="04A0"/>
        </w:tblPrEx>
        <w:tc>
          <w:tcPr>
            <w:tcW w:w="1525" w:type="dxa"/>
          </w:tcPr>
          <w:p w:rsidR="00A40FA9" w:rsidRPr="00212FDB" w:rsidP="00931A18" w14:paraId="3C8A5B40" w14:textId="77777777">
            <w:pPr>
              <w:rPr>
                <w:rFonts w:eastAsia="Aptos"/>
                <w:szCs w:val="22"/>
              </w:rPr>
            </w:pPr>
            <w:r w:rsidRPr="00212FDB">
              <w:rPr>
                <w:rFonts w:eastAsia="Aptos"/>
                <w:szCs w:val="22"/>
              </w:rPr>
              <w:t>0011495033</w:t>
            </w:r>
          </w:p>
        </w:tc>
        <w:tc>
          <w:tcPr>
            <w:tcW w:w="4320" w:type="dxa"/>
          </w:tcPr>
          <w:p w:rsidR="00A40FA9" w:rsidRPr="00212FDB" w:rsidP="00931A18" w14:paraId="22DB7394" w14:textId="77777777">
            <w:pPr>
              <w:rPr>
                <w:rFonts w:eastAsia="Aptos"/>
                <w:szCs w:val="22"/>
              </w:rPr>
            </w:pPr>
            <w:r w:rsidRPr="00212FDB">
              <w:rPr>
                <w:rFonts w:eastAsia="Aptos"/>
                <w:szCs w:val="22"/>
              </w:rPr>
              <w:t>OREGON RSA #2, INC.</w:t>
            </w:r>
          </w:p>
        </w:tc>
        <w:tc>
          <w:tcPr>
            <w:tcW w:w="2070" w:type="dxa"/>
          </w:tcPr>
          <w:p w:rsidR="00A40FA9" w:rsidRPr="00212FDB" w:rsidP="00931A18" w14:paraId="57EDB9A0" w14:textId="77777777">
            <w:pPr>
              <w:rPr>
                <w:rFonts w:eastAsia="Aptos"/>
                <w:szCs w:val="22"/>
              </w:rPr>
            </w:pPr>
            <w:r w:rsidRPr="00212FDB">
              <w:rPr>
                <w:rFonts w:eastAsia="Aptos"/>
                <w:szCs w:val="22"/>
              </w:rPr>
              <w:t>KNKN258</w:t>
            </w:r>
          </w:p>
        </w:tc>
      </w:tr>
      <w:tr w14:paraId="00BEEC2A" w14:textId="77777777" w:rsidTr="00931A18">
        <w:tblPrEx>
          <w:tblW w:w="0" w:type="auto"/>
          <w:tblInd w:w="-108" w:type="dxa"/>
          <w:tblLook w:val="04A0"/>
        </w:tblPrEx>
        <w:tc>
          <w:tcPr>
            <w:tcW w:w="1525" w:type="dxa"/>
          </w:tcPr>
          <w:p w:rsidR="00A40FA9" w:rsidRPr="00212FDB" w:rsidP="00931A18" w14:paraId="00B56231" w14:textId="77777777">
            <w:pPr>
              <w:rPr>
                <w:rFonts w:eastAsia="Aptos"/>
                <w:szCs w:val="22"/>
              </w:rPr>
            </w:pPr>
            <w:r w:rsidRPr="00212FDB">
              <w:rPr>
                <w:rFonts w:eastAsia="Aptos"/>
                <w:szCs w:val="22"/>
              </w:rPr>
              <w:t>0011495069</w:t>
            </w:r>
          </w:p>
        </w:tc>
        <w:tc>
          <w:tcPr>
            <w:tcW w:w="4320" w:type="dxa"/>
          </w:tcPr>
          <w:p w:rsidR="00A40FA9" w:rsidRPr="00212FDB" w:rsidP="00931A18" w14:paraId="4984A3DA" w14:textId="77777777">
            <w:pPr>
              <w:rPr>
                <w:rFonts w:eastAsia="Aptos"/>
                <w:szCs w:val="22"/>
              </w:rPr>
            </w:pPr>
            <w:r w:rsidRPr="00212FDB">
              <w:rPr>
                <w:rFonts w:eastAsia="Aptos"/>
                <w:szCs w:val="22"/>
              </w:rPr>
              <w:t>ADIOC OF GREATER IOWA, LLC</w:t>
            </w:r>
          </w:p>
        </w:tc>
        <w:tc>
          <w:tcPr>
            <w:tcW w:w="2070" w:type="dxa"/>
          </w:tcPr>
          <w:p w:rsidR="00A40FA9" w:rsidRPr="00212FDB" w:rsidP="00931A18" w14:paraId="008EC8ED" w14:textId="77777777">
            <w:pPr>
              <w:rPr>
                <w:rFonts w:eastAsia="Aptos"/>
                <w:szCs w:val="22"/>
              </w:rPr>
            </w:pPr>
            <w:r w:rsidRPr="00212FDB">
              <w:rPr>
                <w:rFonts w:eastAsia="Aptos"/>
                <w:szCs w:val="22"/>
              </w:rPr>
              <w:t>KNKA456</w:t>
            </w:r>
          </w:p>
        </w:tc>
      </w:tr>
      <w:tr w14:paraId="0151C68F" w14:textId="77777777" w:rsidTr="00931A18">
        <w:tblPrEx>
          <w:tblW w:w="0" w:type="auto"/>
          <w:tblInd w:w="-108" w:type="dxa"/>
          <w:tblLook w:val="04A0"/>
        </w:tblPrEx>
        <w:tc>
          <w:tcPr>
            <w:tcW w:w="1525" w:type="dxa"/>
          </w:tcPr>
          <w:p w:rsidR="00A40FA9" w:rsidRPr="00212FDB" w:rsidP="00931A18" w14:paraId="3776C659" w14:textId="77777777">
            <w:pPr>
              <w:rPr>
                <w:rFonts w:eastAsia="Aptos"/>
                <w:szCs w:val="22"/>
              </w:rPr>
            </w:pPr>
            <w:r w:rsidRPr="00212FDB">
              <w:rPr>
                <w:rFonts w:eastAsia="Aptos"/>
                <w:szCs w:val="22"/>
              </w:rPr>
              <w:t>0011495073</w:t>
            </w:r>
          </w:p>
        </w:tc>
        <w:tc>
          <w:tcPr>
            <w:tcW w:w="4320" w:type="dxa"/>
          </w:tcPr>
          <w:p w:rsidR="00A40FA9" w:rsidRPr="00212FDB" w:rsidP="00931A18" w14:paraId="62A4276C" w14:textId="77777777">
            <w:pPr>
              <w:rPr>
                <w:rFonts w:eastAsia="Aptos"/>
                <w:szCs w:val="22"/>
              </w:rPr>
            </w:pPr>
            <w:r w:rsidRPr="00212FDB">
              <w:rPr>
                <w:rFonts w:eastAsia="Aptos"/>
                <w:szCs w:val="22"/>
              </w:rPr>
              <w:t>ADIOC OF GREATER IOWA, LLC</w:t>
            </w:r>
          </w:p>
        </w:tc>
        <w:tc>
          <w:tcPr>
            <w:tcW w:w="2070" w:type="dxa"/>
          </w:tcPr>
          <w:p w:rsidR="00A40FA9" w:rsidRPr="00212FDB" w:rsidP="00931A18" w14:paraId="4E8938B8" w14:textId="77777777">
            <w:pPr>
              <w:rPr>
                <w:rFonts w:eastAsia="Aptos"/>
                <w:szCs w:val="22"/>
              </w:rPr>
            </w:pPr>
            <w:r w:rsidRPr="00212FDB">
              <w:rPr>
                <w:rFonts w:eastAsia="Aptos"/>
                <w:szCs w:val="22"/>
              </w:rPr>
              <w:t>KNLF881</w:t>
            </w:r>
          </w:p>
        </w:tc>
      </w:tr>
      <w:tr w14:paraId="17051F03" w14:textId="77777777" w:rsidTr="00931A18">
        <w:tblPrEx>
          <w:tblW w:w="0" w:type="auto"/>
          <w:tblInd w:w="-108" w:type="dxa"/>
          <w:tblLook w:val="04A0"/>
        </w:tblPrEx>
        <w:tc>
          <w:tcPr>
            <w:tcW w:w="1525" w:type="dxa"/>
          </w:tcPr>
          <w:p w:rsidR="00A40FA9" w:rsidRPr="00212FDB" w:rsidP="00931A18" w14:paraId="393B1C03" w14:textId="77777777">
            <w:pPr>
              <w:rPr>
                <w:rFonts w:eastAsia="Aptos"/>
                <w:szCs w:val="22"/>
              </w:rPr>
            </w:pPr>
            <w:r w:rsidRPr="00212FDB">
              <w:rPr>
                <w:rFonts w:eastAsia="Aptos"/>
                <w:szCs w:val="22"/>
              </w:rPr>
              <w:t>0011494848</w:t>
            </w:r>
          </w:p>
        </w:tc>
        <w:tc>
          <w:tcPr>
            <w:tcW w:w="4320" w:type="dxa"/>
          </w:tcPr>
          <w:p w:rsidR="00A40FA9" w:rsidRPr="00212FDB" w:rsidP="00931A18" w14:paraId="2BAE848C" w14:textId="77777777">
            <w:pPr>
              <w:rPr>
                <w:rFonts w:eastAsia="Aptos"/>
                <w:szCs w:val="22"/>
              </w:rPr>
            </w:pPr>
            <w:r w:rsidRPr="00212FDB">
              <w:rPr>
                <w:rFonts w:eastAsia="Aptos"/>
                <w:szCs w:val="22"/>
              </w:rPr>
              <w:t>BANGOR CELLULAR TELEPHONE, L.P.</w:t>
            </w:r>
          </w:p>
        </w:tc>
        <w:tc>
          <w:tcPr>
            <w:tcW w:w="2070" w:type="dxa"/>
          </w:tcPr>
          <w:p w:rsidR="00A40FA9" w:rsidRPr="00212FDB" w:rsidP="00931A18" w14:paraId="611FAB8D" w14:textId="77777777">
            <w:pPr>
              <w:rPr>
                <w:rFonts w:eastAsia="Aptos"/>
                <w:szCs w:val="22"/>
              </w:rPr>
            </w:pPr>
            <w:r w:rsidRPr="00212FDB">
              <w:rPr>
                <w:rFonts w:eastAsia="Aptos"/>
                <w:szCs w:val="22"/>
              </w:rPr>
              <w:t>KNKA710</w:t>
            </w:r>
          </w:p>
        </w:tc>
      </w:tr>
      <w:tr w14:paraId="78728C1C" w14:textId="77777777" w:rsidTr="00931A18">
        <w:tblPrEx>
          <w:tblW w:w="0" w:type="auto"/>
          <w:tblInd w:w="-108" w:type="dxa"/>
          <w:tblLook w:val="04A0"/>
        </w:tblPrEx>
        <w:tc>
          <w:tcPr>
            <w:tcW w:w="1525" w:type="dxa"/>
          </w:tcPr>
          <w:p w:rsidR="00A40FA9" w:rsidRPr="00212FDB" w:rsidP="00931A18" w14:paraId="3A8360F3" w14:textId="77777777">
            <w:pPr>
              <w:rPr>
                <w:rFonts w:eastAsia="Aptos"/>
                <w:szCs w:val="22"/>
              </w:rPr>
            </w:pPr>
            <w:r w:rsidRPr="00212FDB">
              <w:rPr>
                <w:rFonts w:eastAsia="Aptos"/>
                <w:szCs w:val="22"/>
              </w:rPr>
              <w:t>0011494858</w:t>
            </w:r>
          </w:p>
        </w:tc>
        <w:tc>
          <w:tcPr>
            <w:tcW w:w="4320" w:type="dxa"/>
          </w:tcPr>
          <w:p w:rsidR="00A40FA9" w:rsidRPr="00212FDB" w:rsidP="00931A18" w14:paraId="5D2B2038" w14:textId="77777777">
            <w:pPr>
              <w:rPr>
                <w:rFonts w:eastAsia="Aptos"/>
                <w:szCs w:val="22"/>
              </w:rPr>
            </w:pPr>
            <w:r w:rsidRPr="00212FDB">
              <w:rPr>
                <w:rFonts w:eastAsia="Aptos"/>
                <w:szCs w:val="22"/>
              </w:rPr>
              <w:t>CALIFORNIA RURAL SERVICE AREA #1, INC.</w:t>
            </w:r>
          </w:p>
        </w:tc>
        <w:tc>
          <w:tcPr>
            <w:tcW w:w="2070" w:type="dxa"/>
          </w:tcPr>
          <w:p w:rsidR="00A40FA9" w:rsidRPr="00212FDB" w:rsidP="00931A18" w14:paraId="5A7FEB4B" w14:textId="77777777">
            <w:pPr>
              <w:rPr>
                <w:rFonts w:eastAsia="Aptos"/>
                <w:szCs w:val="22"/>
              </w:rPr>
            </w:pPr>
            <w:r w:rsidRPr="00212FDB">
              <w:rPr>
                <w:rFonts w:eastAsia="Aptos"/>
                <w:szCs w:val="22"/>
              </w:rPr>
              <w:t>KNKN260</w:t>
            </w:r>
          </w:p>
        </w:tc>
      </w:tr>
      <w:tr w14:paraId="7DC0E724" w14:textId="77777777" w:rsidTr="00931A18">
        <w:tblPrEx>
          <w:tblW w:w="0" w:type="auto"/>
          <w:tblInd w:w="-108" w:type="dxa"/>
          <w:tblLook w:val="04A0"/>
        </w:tblPrEx>
        <w:tc>
          <w:tcPr>
            <w:tcW w:w="1525" w:type="dxa"/>
          </w:tcPr>
          <w:p w:rsidR="00A40FA9" w:rsidRPr="00212FDB" w:rsidP="00931A18" w14:paraId="5D7615A4" w14:textId="77777777">
            <w:pPr>
              <w:rPr>
                <w:rFonts w:eastAsia="Aptos"/>
                <w:szCs w:val="22"/>
              </w:rPr>
            </w:pPr>
            <w:r w:rsidRPr="00212FDB">
              <w:rPr>
                <w:rFonts w:eastAsia="Aptos"/>
                <w:szCs w:val="22"/>
              </w:rPr>
              <w:t>0011494879</w:t>
            </w:r>
          </w:p>
        </w:tc>
        <w:tc>
          <w:tcPr>
            <w:tcW w:w="4320" w:type="dxa"/>
          </w:tcPr>
          <w:p w:rsidR="00A40FA9" w:rsidRPr="00212FDB" w:rsidP="00931A18" w14:paraId="16291E01" w14:textId="77777777">
            <w:pPr>
              <w:rPr>
                <w:rFonts w:eastAsia="Aptos"/>
                <w:szCs w:val="22"/>
              </w:rPr>
            </w:pPr>
            <w:r w:rsidRPr="00212FDB">
              <w:rPr>
                <w:rFonts w:eastAsia="Aptos"/>
                <w:szCs w:val="22"/>
              </w:rPr>
              <w:t>CEDAR RAPIDS CELLULAR TELEPHONE, L.P.</w:t>
            </w:r>
          </w:p>
        </w:tc>
        <w:tc>
          <w:tcPr>
            <w:tcW w:w="2070" w:type="dxa"/>
          </w:tcPr>
          <w:p w:rsidR="00A40FA9" w:rsidRPr="00212FDB" w:rsidP="00931A18" w14:paraId="4270D5A5" w14:textId="77777777">
            <w:pPr>
              <w:rPr>
                <w:rFonts w:eastAsia="Aptos"/>
                <w:szCs w:val="22"/>
              </w:rPr>
            </w:pPr>
            <w:r w:rsidRPr="00212FDB">
              <w:rPr>
                <w:rFonts w:eastAsia="Aptos"/>
                <w:szCs w:val="22"/>
              </w:rPr>
              <w:t>KNKA646</w:t>
            </w:r>
          </w:p>
        </w:tc>
      </w:tr>
      <w:tr w14:paraId="740260B1" w14:textId="77777777" w:rsidTr="00931A18">
        <w:tblPrEx>
          <w:tblW w:w="0" w:type="auto"/>
          <w:tblInd w:w="-108" w:type="dxa"/>
          <w:tblLook w:val="04A0"/>
        </w:tblPrEx>
        <w:tc>
          <w:tcPr>
            <w:tcW w:w="1525" w:type="dxa"/>
          </w:tcPr>
          <w:p w:rsidR="00A40FA9" w:rsidRPr="00212FDB" w:rsidP="00931A18" w14:paraId="6C7045DD" w14:textId="77777777">
            <w:pPr>
              <w:rPr>
                <w:rFonts w:eastAsia="Aptos"/>
                <w:szCs w:val="22"/>
              </w:rPr>
            </w:pPr>
            <w:r w:rsidRPr="00212FDB">
              <w:rPr>
                <w:rFonts w:eastAsia="Aptos"/>
                <w:szCs w:val="22"/>
              </w:rPr>
              <w:t>0011494890</w:t>
            </w:r>
          </w:p>
        </w:tc>
        <w:tc>
          <w:tcPr>
            <w:tcW w:w="4320" w:type="dxa"/>
          </w:tcPr>
          <w:p w:rsidR="00A40FA9" w:rsidRPr="00212FDB" w:rsidP="00931A18" w14:paraId="2A351DCE" w14:textId="77777777">
            <w:pPr>
              <w:rPr>
                <w:rFonts w:eastAsia="Aptos"/>
                <w:szCs w:val="22"/>
              </w:rPr>
            </w:pPr>
            <w:r w:rsidRPr="00212FDB">
              <w:rPr>
                <w:rFonts w:eastAsia="Aptos"/>
                <w:szCs w:val="22"/>
              </w:rPr>
              <w:t>DUBUQUE CELLULAR TELEPHONE, L.P.</w:t>
            </w:r>
          </w:p>
        </w:tc>
        <w:tc>
          <w:tcPr>
            <w:tcW w:w="2070" w:type="dxa"/>
          </w:tcPr>
          <w:p w:rsidR="00A40FA9" w:rsidRPr="00212FDB" w:rsidP="00931A18" w14:paraId="52C53EAD" w14:textId="77777777">
            <w:pPr>
              <w:rPr>
                <w:rFonts w:eastAsia="Aptos"/>
                <w:szCs w:val="22"/>
              </w:rPr>
            </w:pPr>
            <w:r w:rsidRPr="00212FDB">
              <w:rPr>
                <w:rFonts w:eastAsia="Aptos"/>
                <w:szCs w:val="22"/>
              </w:rPr>
              <w:t>KNKA626</w:t>
            </w:r>
          </w:p>
        </w:tc>
      </w:tr>
      <w:tr w14:paraId="0916C3CD" w14:textId="77777777" w:rsidTr="00931A18">
        <w:tblPrEx>
          <w:tblW w:w="0" w:type="auto"/>
          <w:tblInd w:w="-108" w:type="dxa"/>
          <w:tblLook w:val="04A0"/>
        </w:tblPrEx>
        <w:tc>
          <w:tcPr>
            <w:tcW w:w="1525" w:type="dxa"/>
          </w:tcPr>
          <w:p w:rsidR="00A40FA9" w:rsidRPr="00212FDB" w:rsidP="00931A18" w14:paraId="1A444B15" w14:textId="77777777">
            <w:pPr>
              <w:rPr>
                <w:rFonts w:eastAsia="Aptos"/>
                <w:szCs w:val="22"/>
              </w:rPr>
            </w:pPr>
            <w:r w:rsidRPr="00212FDB">
              <w:rPr>
                <w:rFonts w:eastAsia="Aptos"/>
                <w:szCs w:val="22"/>
              </w:rPr>
              <w:t>0011494909</w:t>
            </w:r>
          </w:p>
        </w:tc>
        <w:tc>
          <w:tcPr>
            <w:tcW w:w="4320" w:type="dxa"/>
          </w:tcPr>
          <w:p w:rsidR="00A40FA9" w:rsidRPr="00212FDB" w:rsidP="00931A18" w14:paraId="490123F1" w14:textId="77777777">
            <w:pPr>
              <w:rPr>
                <w:rFonts w:eastAsia="Aptos"/>
                <w:szCs w:val="22"/>
              </w:rPr>
            </w:pPr>
            <w:r w:rsidRPr="00212FDB">
              <w:rPr>
                <w:rFonts w:eastAsia="Aptos"/>
                <w:szCs w:val="22"/>
              </w:rPr>
              <w:t>HARDY CELLULAR TELEPHONE COMPANY</w:t>
            </w:r>
          </w:p>
        </w:tc>
        <w:tc>
          <w:tcPr>
            <w:tcW w:w="2070" w:type="dxa"/>
          </w:tcPr>
          <w:p w:rsidR="00A40FA9" w:rsidRPr="00212FDB" w:rsidP="00931A18" w14:paraId="4BCCC10C" w14:textId="77777777">
            <w:pPr>
              <w:rPr>
                <w:rFonts w:eastAsia="Aptos"/>
                <w:szCs w:val="22"/>
              </w:rPr>
            </w:pPr>
            <w:r w:rsidRPr="00212FDB">
              <w:rPr>
                <w:rFonts w:eastAsia="Aptos"/>
                <w:szCs w:val="22"/>
              </w:rPr>
              <w:t>KNKN640</w:t>
            </w:r>
          </w:p>
        </w:tc>
      </w:tr>
      <w:tr w14:paraId="3159EB4A" w14:textId="77777777" w:rsidTr="00931A18">
        <w:tblPrEx>
          <w:tblW w:w="0" w:type="auto"/>
          <w:tblInd w:w="-108" w:type="dxa"/>
          <w:tblLook w:val="04A0"/>
        </w:tblPrEx>
        <w:tc>
          <w:tcPr>
            <w:tcW w:w="1525" w:type="dxa"/>
          </w:tcPr>
          <w:p w:rsidR="00A40FA9" w:rsidRPr="00212FDB" w:rsidP="00931A18" w14:paraId="49624C2A" w14:textId="77777777">
            <w:pPr>
              <w:rPr>
                <w:rFonts w:eastAsia="Aptos"/>
                <w:szCs w:val="22"/>
              </w:rPr>
            </w:pPr>
            <w:r w:rsidRPr="00212FDB">
              <w:rPr>
                <w:rFonts w:eastAsia="Aptos"/>
                <w:szCs w:val="22"/>
              </w:rPr>
              <w:t>0011494948</w:t>
            </w:r>
          </w:p>
        </w:tc>
        <w:tc>
          <w:tcPr>
            <w:tcW w:w="4320" w:type="dxa"/>
          </w:tcPr>
          <w:p w:rsidR="00A40FA9" w:rsidRPr="00212FDB" w:rsidP="00931A18" w14:paraId="5B10C60A" w14:textId="77777777">
            <w:pPr>
              <w:rPr>
                <w:rFonts w:eastAsia="Aptos"/>
                <w:szCs w:val="22"/>
              </w:rPr>
            </w:pPr>
            <w:r w:rsidRPr="00212FDB">
              <w:rPr>
                <w:rFonts w:eastAsia="Aptos"/>
                <w:szCs w:val="22"/>
              </w:rPr>
              <w:t>JACKSONVILLE CELLULAR TELEPHONE COMPANY</w:t>
            </w:r>
          </w:p>
        </w:tc>
        <w:tc>
          <w:tcPr>
            <w:tcW w:w="2070" w:type="dxa"/>
          </w:tcPr>
          <w:p w:rsidR="00A40FA9" w:rsidRPr="00212FDB" w:rsidP="00931A18" w14:paraId="2D8A6538" w14:textId="77777777">
            <w:pPr>
              <w:rPr>
                <w:rFonts w:eastAsia="Aptos"/>
                <w:szCs w:val="22"/>
              </w:rPr>
            </w:pPr>
            <w:r w:rsidRPr="00212FDB">
              <w:rPr>
                <w:rFonts w:eastAsia="Aptos"/>
                <w:szCs w:val="22"/>
              </w:rPr>
              <w:t>KNKA756</w:t>
            </w:r>
          </w:p>
        </w:tc>
      </w:tr>
      <w:tr w14:paraId="26B0BDE2" w14:textId="77777777" w:rsidTr="00931A18">
        <w:tblPrEx>
          <w:tblW w:w="0" w:type="auto"/>
          <w:tblInd w:w="-108" w:type="dxa"/>
          <w:tblLook w:val="04A0"/>
        </w:tblPrEx>
        <w:tc>
          <w:tcPr>
            <w:tcW w:w="1525" w:type="dxa"/>
          </w:tcPr>
          <w:p w:rsidR="00A40FA9" w:rsidRPr="00212FDB" w:rsidP="00931A18" w14:paraId="61A43678" w14:textId="77777777">
            <w:pPr>
              <w:rPr>
                <w:rFonts w:eastAsia="Aptos"/>
                <w:szCs w:val="22"/>
              </w:rPr>
            </w:pPr>
            <w:r w:rsidRPr="00212FDB">
              <w:rPr>
                <w:rFonts w:eastAsia="Aptos"/>
                <w:szCs w:val="22"/>
              </w:rPr>
              <w:t>0011494952</w:t>
            </w:r>
          </w:p>
        </w:tc>
        <w:tc>
          <w:tcPr>
            <w:tcW w:w="4320" w:type="dxa"/>
          </w:tcPr>
          <w:p w:rsidR="00A40FA9" w:rsidRPr="00212FDB" w:rsidP="00931A18" w14:paraId="73CA8975" w14:textId="77777777">
            <w:pPr>
              <w:rPr>
                <w:rFonts w:eastAsia="Aptos"/>
                <w:szCs w:val="22"/>
              </w:rPr>
            </w:pPr>
            <w:r w:rsidRPr="00212FDB">
              <w:rPr>
                <w:rFonts w:eastAsia="Aptos"/>
                <w:szCs w:val="22"/>
              </w:rPr>
              <w:t>KANSAS #15 LIMITED PARTNERSHIP</w:t>
            </w:r>
          </w:p>
        </w:tc>
        <w:tc>
          <w:tcPr>
            <w:tcW w:w="2070" w:type="dxa"/>
          </w:tcPr>
          <w:p w:rsidR="00A40FA9" w:rsidRPr="00212FDB" w:rsidP="00931A18" w14:paraId="3C0854FA" w14:textId="77777777">
            <w:pPr>
              <w:rPr>
                <w:rFonts w:eastAsia="Aptos"/>
                <w:szCs w:val="22"/>
              </w:rPr>
            </w:pPr>
            <w:r w:rsidRPr="00212FDB">
              <w:rPr>
                <w:rFonts w:eastAsia="Aptos"/>
                <w:szCs w:val="22"/>
              </w:rPr>
              <w:t>KNKN911</w:t>
            </w:r>
          </w:p>
        </w:tc>
      </w:tr>
      <w:tr w14:paraId="3EE22B7F" w14:textId="77777777" w:rsidTr="00931A18">
        <w:tblPrEx>
          <w:tblW w:w="0" w:type="auto"/>
          <w:tblInd w:w="-108" w:type="dxa"/>
          <w:tblLook w:val="04A0"/>
        </w:tblPrEx>
        <w:tc>
          <w:tcPr>
            <w:tcW w:w="1525" w:type="dxa"/>
          </w:tcPr>
          <w:p w:rsidR="00A40FA9" w:rsidRPr="00212FDB" w:rsidP="00931A18" w14:paraId="65715061" w14:textId="77777777">
            <w:pPr>
              <w:rPr>
                <w:rFonts w:eastAsia="Aptos"/>
                <w:szCs w:val="22"/>
              </w:rPr>
            </w:pPr>
            <w:r w:rsidRPr="00212FDB">
              <w:rPr>
                <w:rFonts w:eastAsia="Aptos"/>
                <w:szCs w:val="22"/>
              </w:rPr>
              <w:t>0011494979</w:t>
            </w:r>
          </w:p>
        </w:tc>
        <w:tc>
          <w:tcPr>
            <w:tcW w:w="4320" w:type="dxa"/>
          </w:tcPr>
          <w:p w:rsidR="00A40FA9" w:rsidRPr="00212FDB" w:rsidP="00931A18" w14:paraId="47258BCE" w14:textId="77777777">
            <w:pPr>
              <w:rPr>
                <w:rFonts w:eastAsia="Aptos"/>
                <w:szCs w:val="22"/>
              </w:rPr>
            </w:pPr>
            <w:r w:rsidRPr="00212FDB">
              <w:rPr>
                <w:rFonts w:eastAsia="Aptos"/>
                <w:szCs w:val="22"/>
              </w:rPr>
              <w:t>KENOSHA CELLULAR TELEPHONE, L.P.</w:t>
            </w:r>
          </w:p>
        </w:tc>
        <w:tc>
          <w:tcPr>
            <w:tcW w:w="2070" w:type="dxa"/>
          </w:tcPr>
          <w:p w:rsidR="00A40FA9" w:rsidRPr="00212FDB" w:rsidP="00931A18" w14:paraId="06712D44" w14:textId="77777777">
            <w:pPr>
              <w:rPr>
                <w:rFonts w:eastAsia="Aptos"/>
                <w:szCs w:val="22"/>
              </w:rPr>
            </w:pPr>
            <w:r w:rsidRPr="00212FDB">
              <w:rPr>
                <w:rFonts w:eastAsia="Aptos"/>
                <w:szCs w:val="22"/>
              </w:rPr>
              <w:t>KNKA602</w:t>
            </w:r>
          </w:p>
        </w:tc>
      </w:tr>
      <w:tr w14:paraId="6E1F382B" w14:textId="77777777" w:rsidTr="00931A18">
        <w:tblPrEx>
          <w:tblW w:w="0" w:type="auto"/>
          <w:tblInd w:w="-108" w:type="dxa"/>
          <w:tblLook w:val="04A0"/>
        </w:tblPrEx>
        <w:tc>
          <w:tcPr>
            <w:tcW w:w="1525" w:type="dxa"/>
          </w:tcPr>
          <w:p w:rsidR="00A40FA9" w:rsidRPr="00212FDB" w:rsidP="00931A18" w14:paraId="05AB7DE8" w14:textId="77777777">
            <w:pPr>
              <w:rPr>
                <w:rFonts w:eastAsia="Aptos"/>
                <w:szCs w:val="22"/>
              </w:rPr>
            </w:pPr>
            <w:r w:rsidRPr="00212FDB">
              <w:rPr>
                <w:rFonts w:eastAsia="Aptos"/>
                <w:szCs w:val="22"/>
              </w:rPr>
              <w:t>0011494981</w:t>
            </w:r>
          </w:p>
        </w:tc>
        <w:tc>
          <w:tcPr>
            <w:tcW w:w="4320" w:type="dxa"/>
          </w:tcPr>
          <w:p w:rsidR="00A40FA9" w:rsidRPr="00212FDB" w:rsidP="00931A18" w14:paraId="1F09EDCC" w14:textId="77777777">
            <w:pPr>
              <w:rPr>
                <w:rFonts w:eastAsia="Aptos"/>
                <w:szCs w:val="22"/>
              </w:rPr>
            </w:pPr>
            <w:r w:rsidRPr="00212FDB">
              <w:rPr>
                <w:rFonts w:eastAsia="Aptos"/>
                <w:szCs w:val="22"/>
              </w:rPr>
              <w:t>MADISON CELLULAR TELEPHONE COMPANY</w:t>
            </w:r>
          </w:p>
        </w:tc>
        <w:tc>
          <w:tcPr>
            <w:tcW w:w="2070" w:type="dxa"/>
          </w:tcPr>
          <w:p w:rsidR="00A40FA9" w:rsidRPr="00212FDB" w:rsidP="00931A18" w14:paraId="5AF46DA5" w14:textId="77777777">
            <w:pPr>
              <w:rPr>
                <w:rFonts w:eastAsia="Aptos"/>
                <w:szCs w:val="22"/>
              </w:rPr>
            </w:pPr>
            <w:r w:rsidRPr="00212FDB">
              <w:rPr>
                <w:rFonts w:eastAsia="Aptos"/>
                <w:szCs w:val="22"/>
              </w:rPr>
              <w:t>KNKA612</w:t>
            </w:r>
          </w:p>
        </w:tc>
      </w:tr>
      <w:tr w14:paraId="1BD909DA" w14:textId="77777777" w:rsidTr="00931A18">
        <w:tblPrEx>
          <w:tblW w:w="0" w:type="auto"/>
          <w:tblInd w:w="-108" w:type="dxa"/>
          <w:tblLook w:val="04A0"/>
        </w:tblPrEx>
        <w:tc>
          <w:tcPr>
            <w:tcW w:w="1525" w:type="dxa"/>
          </w:tcPr>
          <w:p w:rsidR="00A40FA9" w:rsidRPr="00212FDB" w:rsidP="00931A18" w14:paraId="3EBAB2AC" w14:textId="77777777">
            <w:pPr>
              <w:rPr>
                <w:rFonts w:eastAsia="Aptos"/>
                <w:szCs w:val="22"/>
              </w:rPr>
            </w:pPr>
            <w:r w:rsidRPr="00212FDB">
              <w:rPr>
                <w:rFonts w:eastAsia="Aptos"/>
                <w:szCs w:val="22"/>
              </w:rPr>
              <w:t>0011494999</w:t>
            </w:r>
          </w:p>
        </w:tc>
        <w:tc>
          <w:tcPr>
            <w:tcW w:w="4320" w:type="dxa"/>
          </w:tcPr>
          <w:p w:rsidR="00A40FA9" w:rsidRPr="00212FDB" w:rsidP="00931A18" w14:paraId="1B653D70" w14:textId="77777777">
            <w:pPr>
              <w:rPr>
                <w:rFonts w:eastAsia="Aptos"/>
                <w:szCs w:val="22"/>
              </w:rPr>
            </w:pPr>
            <w:r w:rsidRPr="00212FDB">
              <w:rPr>
                <w:rFonts w:eastAsia="Aptos"/>
                <w:szCs w:val="22"/>
              </w:rPr>
              <w:t>MAINE RSA #1, INC.</w:t>
            </w:r>
          </w:p>
        </w:tc>
        <w:tc>
          <w:tcPr>
            <w:tcW w:w="2070" w:type="dxa"/>
          </w:tcPr>
          <w:p w:rsidR="00A40FA9" w:rsidRPr="00212FDB" w:rsidP="00931A18" w14:paraId="15F2BA12" w14:textId="77777777">
            <w:pPr>
              <w:rPr>
                <w:rFonts w:eastAsia="Aptos"/>
                <w:szCs w:val="22"/>
              </w:rPr>
            </w:pPr>
            <w:r w:rsidRPr="00212FDB">
              <w:rPr>
                <w:rFonts w:eastAsia="Aptos"/>
                <w:szCs w:val="22"/>
              </w:rPr>
              <w:t>KNKA601</w:t>
            </w:r>
          </w:p>
        </w:tc>
      </w:tr>
      <w:tr w14:paraId="344B7FA8" w14:textId="77777777" w:rsidTr="00931A18">
        <w:tblPrEx>
          <w:tblW w:w="0" w:type="auto"/>
          <w:tblInd w:w="-108" w:type="dxa"/>
          <w:tblLook w:val="04A0"/>
        </w:tblPrEx>
        <w:tc>
          <w:tcPr>
            <w:tcW w:w="1525" w:type="dxa"/>
          </w:tcPr>
          <w:p w:rsidR="00A40FA9" w:rsidRPr="00212FDB" w:rsidP="00931A18" w14:paraId="705BA458" w14:textId="77777777">
            <w:pPr>
              <w:rPr>
                <w:rFonts w:eastAsia="Aptos"/>
                <w:szCs w:val="22"/>
              </w:rPr>
            </w:pPr>
            <w:r w:rsidRPr="00212FDB">
              <w:rPr>
                <w:rFonts w:eastAsia="Aptos"/>
                <w:szCs w:val="22"/>
              </w:rPr>
              <w:t>0011495012</w:t>
            </w:r>
          </w:p>
        </w:tc>
        <w:tc>
          <w:tcPr>
            <w:tcW w:w="4320" w:type="dxa"/>
          </w:tcPr>
          <w:p w:rsidR="00A40FA9" w:rsidRPr="00212FDB" w:rsidP="00931A18" w14:paraId="06BCADFF" w14:textId="77777777">
            <w:pPr>
              <w:rPr>
                <w:rFonts w:eastAsia="Aptos"/>
                <w:szCs w:val="22"/>
              </w:rPr>
            </w:pPr>
            <w:r w:rsidRPr="00212FDB">
              <w:rPr>
                <w:rFonts w:eastAsia="Aptos"/>
                <w:szCs w:val="22"/>
              </w:rPr>
              <w:t>MAINE RSA #1, INC.</w:t>
            </w:r>
          </w:p>
        </w:tc>
        <w:tc>
          <w:tcPr>
            <w:tcW w:w="2070" w:type="dxa"/>
          </w:tcPr>
          <w:p w:rsidR="00A40FA9" w:rsidRPr="00212FDB" w:rsidP="00931A18" w14:paraId="0F6BC404" w14:textId="77777777">
            <w:pPr>
              <w:rPr>
                <w:rFonts w:eastAsia="Aptos"/>
                <w:szCs w:val="22"/>
              </w:rPr>
            </w:pPr>
            <w:r w:rsidRPr="00212FDB">
              <w:rPr>
                <w:rFonts w:eastAsia="Aptos"/>
                <w:szCs w:val="22"/>
              </w:rPr>
              <w:t>KNLF933</w:t>
            </w:r>
          </w:p>
        </w:tc>
      </w:tr>
      <w:tr w14:paraId="26EA05BB" w14:textId="77777777" w:rsidTr="00931A18">
        <w:tblPrEx>
          <w:tblW w:w="0" w:type="auto"/>
          <w:tblInd w:w="-108" w:type="dxa"/>
          <w:tblLook w:val="04A0"/>
        </w:tblPrEx>
        <w:tc>
          <w:tcPr>
            <w:tcW w:w="1525" w:type="dxa"/>
          </w:tcPr>
          <w:p w:rsidR="00A40FA9" w:rsidRPr="00212FDB" w:rsidP="00931A18" w14:paraId="4F6D1E55" w14:textId="77777777">
            <w:pPr>
              <w:rPr>
                <w:rFonts w:eastAsia="Aptos"/>
                <w:szCs w:val="22"/>
              </w:rPr>
            </w:pPr>
            <w:r w:rsidRPr="00212FDB">
              <w:rPr>
                <w:rFonts w:eastAsia="Aptos"/>
                <w:szCs w:val="22"/>
              </w:rPr>
              <w:t>0011495019</w:t>
            </w:r>
          </w:p>
        </w:tc>
        <w:tc>
          <w:tcPr>
            <w:tcW w:w="4320" w:type="dxa"/>
          </w:tcPr>
          <w:p w:rsidR="00A40FA9" w:rsidRPr="00212FDB" w:rsidP="00931A18" w14:paraId="2831759A" w14:textId="77777777">
            <w:pPr>
              <w:rPr>
                <w:rFonts w:eastAsia="Aptos"/>
                <w:szCs w:val="22"/>
              </w:rPr>
            </w:pPr>
            <w:r w:rsidRPr="00212FDB">
              <w:rPr>
                <w:rFonts w:eastAsia="Aptos"/>
                <w:szCs w:val="22"/>
              </w:rPr>
              <w:t>MAINE RSA #4, INC.</w:t>
            </w:r>
          </w:p>
        </w:tc>
        <w:tc>
          <w:tcPr>
            <w:tcW w:w="2070" w:type="dxa"/>
          </w:tcPr>
          <w:p w:rsidR="00A40FA9" w:rsidRPr="00212FDB" w:rsidP="00931A18" w14:paraId="0C795CCE" w14:textId="77777777">
            <w:pPr>
              <w:rPr>
                <w:rFonts w:eastAsia="Aptos"/>
                <w:szCs w:val="22"/>
              </w:rPr>
            </w:pPr>
            <w:r w:rsidRPr="00212FDB">
              <w:rPr>
                <w:rFonts w:eastAsia="Aptos"/>
                <w:szCs w:val="22"/>
              </w:rPr>
              <w:t>KNKN923</w:t>
            </w:r>
          </w:p>
        </w:tc>
      </w:tr>
      <w:tr w14:paraId="0CE2678B" w14:textId="77777777" w:rsidTr="00931A18">
        <w:tblPrEx>
          <w:tblW w:w="0" w:type="auto"/>
          <w:tblInd w:w="-108" w:type="dxa"/>
          <w:tblLook w:val="04A0"/>
        </w:tblPrEx>
        <w:tc>
          <w:tcPr>
            <w:tcW w:w="1525" w:type="dxa"/>
          </w:tcPr>
          <w:p w:rsidR="00A40FA9" w:rsidRPr="00212FDB" w:rsidP="00931A18" w14:paraId="7AEAA7EE" w14:textId="77777777">
            <w:pPr>
              <w:rPr>
                <w:rFonts w:eastAsia="Aptos"/>
                <w:szCs w:val="22"/>
              </w:rPr>
            </w:pPr>
            <w:r w:rsidRPr="00212FDB">
              <w:rPr>
                <w:rFonts w:eastAsia="Aptos"/>
                <w:szCs w:val="22"/>
              </w:rPr>
              <w:t>0011495028</w:t>
            </w:r>
          </w:p>
        </w:tc>
        <w:tc>
          <w:tcPr>
            <w:tcW w:w="4320" w:type="dxa"/>
          </w:tcPr>
          <w:p w:rsidR="00A40FA9" w:rsidRPr="00212FDB" w:rsidP="00931A18" w14:paraId="17393CDD" w14:textId="77777777">
            <w:pPr>
              <w:rPr>
                <w:rFonts w:eastAsia="Aptos"/>
                <w:szCs w:val="22"/>
              </w:rPr>
            </w:pPr>
            <w:r w:rsidRPr="00212FDB">
              <w:rPr>
                <w:rFonts w:eastAsia="Aptos"/>
                <w:szCs w:val="22"/>
              </w:rPr>
              <w:t>NH #1 RURAL CELLULAR, INC.</w:t>
            </w:r>
          </w:p>
        </w:tc>
        <w:tc>
          <w:tcPr>
            <w:tcW w:w="2070" w:type="dxa"/>
          </w:tcPr>
          <w:p w:rsidR="00A40FA9" w:rsidRPr="00212FDB" w:rsidP="00931A18" w14:paraId="09E0B73D" w14:textId="77777777">
            <w:pPr>
              <w:rPr>
                <w:rFonts w:eastAsia="Aptos"/>
                <w:szCs w:val="22"/>
              </w:rPr>
            </w:pPr>
            <w:r w:rsidRPr="00212FDB">
              <w:rPr>
                <w:rFonts w:eastAsia="Aptos"/>
                <w:szCs w:val="22"/>
              </w:rPr>
              <w:t>KNKA483</w:t>
            </w:r>
          </w:p>
        </w:tc>
      </w:tr>
      <w:tr w14:paraId="5B8412B8" w14:textId="77777777" w:rsidTr="00931A18">
        <w:tblPrEx>
          <w:tblW w:w="0" w:type="auto"/>
          <w:tblInd w:w="-108" w:type="dxa"/>
          <w:tblLook w:val="04A0"/>
        </w:tblPrEx>
        <w:tc>
          <w:tcPr>
            <w:tcW w:w="1525" w:type="dxa"/>
          </w:tcPr>
          <w:p w:rsidR="00A40FA9" w:rsidRPr="00212FDB" w:rsidP="00931A18" w14:paraId="64AB04CE" w14:textId="77777777">
            <w:pPr>
              <w:rPr>
                <w:rFonts w:eastAsia="Aptos"/>
                <w:szCs w:val="22"/>
              </w:rPr>
            </w:pPr>
            <w:r w:rsidRPr="00212FDB">
              <w:rPr>
                <w:rFonts w:eastAsia="Aptos"/>
                <w:szCs w:val="22"/>
              </w:rPr>
              <w:t>0011495034</w:t>
            </w:r>
          </w:p>
        </w:tc>
        <w:tc>
          <w:tcPr>
            <w:tcW w:w="4320" w:type="dxa"/>
          </w:tcPr>
          <w:p w:rsidR="00A40FA9" w:rsidRPr="00212FDB" w:rsidP="00931A18" w14:paraId="0FE42D5A" w14:textId="77777777">
            <w:pPr>
              <w:rPr>
                <w:rFonts w:eastAsia="Aptos"/>
                <w:szCs w:val="22"/>
              </w:rPr>
            </w:pPr>
            <w:r w:rsidRPr="00212FDB">
              <w:rPr>
                <w:rFonts w:eastAsia="Aptos"/>
                <w:szCs w:val="22"/>
              </w:rPr>
              <w:t>OREGON RSA #2, INC.</w:t>
            </w:r>
          </w:p>
        </w:tc>
        <w:tc>
          <w:tcPr>
            <w:tcW w:w="2070" w:type="dxa"/>
          </w:tcPr>
          <w:p w:rsidR="00A40FA9" w:rsidRPr="00212FDB" w:rsidP="00931A18" w14:paraId="3FAC995B" w14:textId="77777777">
            <w:pPr>
              <w:rPr>
                <w:rFonts w:eastAsia="Aptos"/>
                <w:szCs w:val="22"/>
              </w:rPr>
            </w:pPr>
            <w:r w:rsidRPr="00212FDB">
              <w:rPr>
                <w:rFonts w:eastAsia="Aptos"/>
                <w:szCs w:val="22"/>
              </w:rPr>
              <w:t>WQYB217</w:t>
            </w:r>
          </w:p>
        </w:tc>
      </w:tr>
      <w:tr w14:paraId="0303B689" w14:textId="77777777" w:rsidTr="00931A18">
        <w:tblPrEx>
          <w:tblW w:w="0" w:type="auto"/>
          <w:tblInd w:w="-108" w:type="dxa"/>
          <w:tblLook w:val="04A0"/>
        </w:tblPrEx>
        <w:tc>
          <w:tcPr>
            <w:tcW w:w="1525" w:type="dxa"/>
          </w:tcPr>
          <w:p w:rsidR="00A40FA9" w:rsidRPr="00212FDB" w:rsidP="00931A18" w14:paraId="74CF14CD" w14:textId="77777777">
            <w:pPr>
              <w:rPr>
                <w:rFonts w:eastAsia="Aptos"/>
                <w:szCs w:val="22"/>
              </w:rPr>
            </w:pPr>
            <w:r w:rsidRPr="00212FDB">
              <w:rPr>
                <w:rFonts w:eastAsia="Aptos"/>
                <w:szCs w:val="22"/>
              </w:rPr>
              <w:t>0011495036</w:t>
            </w:r>
          </w:p>
        </w:tc>
        <w:tc>
          <w:tcPr>
            <w:tcW w:w="4320" w:type="dxa"/>
          </w:tcPr>
          <w:p w:rsidR="00A40FA9" w:rsidRPr="00212FDB" w:rsidP="00931A18" w14:paraId="475DF542" w14:textId="77777777">
            <w:pPr>
              <w:rPr>
                <w:rFonts w:eastAsia="Aptos"/>
                <w:szCs w:val="22"/>
              </w:rPr>
            </w:pPr>
            <w:r w:rsidRPr="00212FDB">
              <w:rPr>
                <w:rFonts w:eastAsia="Aptos"/>
                <w:szCs w:val="22"/>
              </w:rPr>
              <w:t>RACINE CELLULAR TELEPHONE COMPANY</w:t>
            </w:r>
          </w:p>
        </w:tc>
        <w:tc>
          <w:tcPr>
            <w:tcW w:w="2070" w:type="dxa"/>
          </w:tcPr>
          <w:p w:rsidR="00A40FA9" w:rsidRPr="00212FDB" w:rsidP="00931A18" w14:paraId="7A96B752" w14:textId="77777777">
            <w:pPr>
              <w:rPr>
                <w:rFonts w:eastAsia="Aptos"/>
                <w:szCs w:val="22"/>
              </w:rPr>
            </w:pPr>
            <w:r w:rsidRPr="00212FDB">
              <w:rPr>
                <w:rFonts w:eastAsia="Aptos"/>
                <w:szCs w:val="22"/>
              </w:rPr>
              <w:t>KNKA632</w:t>
            </w:r>
          </w:p>
        </w:tc>
      </w:tr>
      <w:tr w14:paraId="14330E8E" w14:textId="77777777" w:rsidTr="00931A18">
        <w:tblPrEx>
          <w:tblW w:w="0" w:type="auto"/>
          <w:tblInd w:w="-108" w:type="dxa"/>
          <w:tblLook w:val="04A0"/>
        </w:tblPrEx>
        <w:tc>
          <w:tcPr>
            <w:tcW w:w="1525" w:type="dxa"/>
          </w:tcPr>
          <w:p w:rsidR="00A40FA9" w:rsidRPr="00212FDB" w:rsidP="00931A18" w14:paraId="407E4F0E" w14:textId="77777777">
            <w:pPr>
              <w:rPr>
                <w:rFonts w:eastAsia="Aptos"/>
                <w:szCs w:val="22"/>
              </w:rPr>
            </w:pPr>
            <w:r w:rsidRPr="00212FDB">
              <w:rPr>
                <w:rFonts w:eastAsia="Aptos"/>
                <w:szCs w:val="22"/>
              </w:rPr>
              <w:t>0011494832</w:t>
            </w:r>
          </w:p>
        </w:tc>
        <w:tc>
          <w:tcPr>
            <w:tcW w:w="4320" w:type="dxa"/>
          </w:tcPr>
          <w:p w:rsidR="00A40FA9" w:rsidRPr="00212FDB" w:rsidP="00931A18" w14:paraId="48ABA926" w14:textId="77777777">
            <w:pPr>
              <w:rPr>
                <w:rFonts w:eastAsia="Aptos"/>
                <w:szCs w:val="22"/>
              </w:rPr>
            </w:pPr>
            <w:r w:rsidRPr="00212FDB">
              <w:rPr>
                <w:rFonts w:eastAsia="Aptos"/>
                <w:szCs w:val="22"/>
              </w:rPr>
              <w:t>ADI OPERATING COMPANY, LLC</w:t>
            </w:r>
          </w:p>
        </w:tc>
        <w:tc>
          <w:tcPr>
            <w:tcW w:w="2070" w:type="dxa"/>
          </w:tcPr>
          <w:p w:rsidR="00A40FA9" w:rsidRPr="00212FDB" w:rsidP="00931A18" w14:paraId="7C84F835" w14:textId="77777777">
            <w:pPr>
              <w:rPr>
                <w:rFonts w:eastAsia="Aptos"/>
                <w:szCs w:val="22"/>
              </w:rPr>
            </w:pPr>
            <w:r w:rsidRPr="00212FDB">
              <w:rPr>
                <w:rFonts w:eastAsia="Aptos"/>
                <w:szCs w:val="22"/>
              </w:rPr>
              <w:t>WQUI699</w:t>
            </w:r>
          </w:p>
        </w:tc>
      </w:tr>
      <w:tr w14:paraId="4DF29F83" w14:textId="77777777" w:rsidTr="00931A18">
        <w:tblPrEx>
          <w:tblW w:w="0" w:type="auto"/>
          <w:tblInd w:w="-108" w:type="dxa"/>
          <w:tblLook w:val="04A0"/>
        </w:tblPrEx>
        <w:tc>
          <w:tcPr>
            <w:tcW w:w="1525" w:type="dxa"/>
          </w:tcPr>
          <w:p w:rsidR="00A40FA9" w:rsidRPr="00212FDB" w:rsidP="00931A18" w14:paraId="05C21676" w14:textId="77777777">
            <w:pPr>
              <w:rPr>
                <w:rFonts w:eastAsia="Aptos"/>
                <w:szCs w:val="22"/>
              </w:rPr>
            </w:pPr>
            <w:r w:rsidRPr="00212FDB">
              <w:rPr>
                <w:rFonts w:eastAsia="Aptos"/>
                <w:szCs w:val="22"/>
              </w:rPr>
              <w:t>0011495041</w:t>
            </w:r>
          </w:p>
        </w:tc>
        <w:tc>
          <w:tcPr>
            <w:tcW w:w="4320" w:type="dxa"/>
          </w:tcPr>
          <w:p w:rsidR="00A40FA9" w:rsidRPr="00212FDB" w:rsidP="00931A18" w14:paraId="01E45B2D" w14:textId="77777777">
            <w:pPr>
              <w:rPr>
                <w:rFonts w:eastAsia="Aptos"/>
                <w:szCs w:val="22"/>
              </w:rPr>
            </w:pPr>
            <w:r w:rsidRPr="00212FDB">
              <w:rPr>
                <w:rFonts w:eastAsia="Aptos"/>
                <w:szCs w:val="22"/>
              </w:rPr>
              <w:t>ADIOC OF KNOXVILLE, INC.</w:t>
            </w:r>
          </w:p>
        </w:tc>
        <w:tc>
          <w:tcPr>
            <w:tcW w:w="2070" w:type="dxa"/>
          </w:tcPr>
          <w:p w:rsidR="00A40FA9" w:rsidRPr="00212FDB" w:rsidP="00931A18" w14:paraId="308A8A91" w14:textId="77777777">
            <w:pPr>
              <w:rPr>
                <w:rFonts w:eastAsia="Aptos"/>
                <w:szCs w:val="22"/>
              </w:rPr>
            </w:pPr>
            <w:r w:rsidRPr="00212FDB">
              <w:rPr>
                <w:rFonts w:eastAsia="Aptos"/>
                <w:szCs w:val="22"/>
              </w:rPr>
              <w:t>KNKA309</w:t>
            </w:r>
          </w:p>
        </w:tc>
      </w:tr>
      <w:tr w14:paraId="5F0F344D" w14:textId="77777777" w:rsidTr="00931A18">
        <w:tblPrEx>
          <w:tblW w:w="0" w:type="auto"/>
          <w:tblInd w:w="-108" w:type="dxa"/>
          <w:tblLook w:val="04A0"/>
        </w:tblPrEx>
        <w:tc>
          <w:tcPr>
            <w:tcW w:w="1525" w:type="dxa"/>
          </w:tcPr>
          <w:p w:rsidR="00A40FA9" w:rsidRPr="00212FDB" w:rsidP="00931A18" w14:paraId="6FDE5654" w14:textId="77777777">
            <w:pPr>
              <w:rPr>
                <w:rFonts w:eastAsia="Aptos"/>
                <w:szCs w:val="22"/>
              </w:rPr>
            </w:pPr>
            <w:r w:rsidRPr="00212FDB">
              <w:rPr>
                <w:rFonts w:eastAsia="Aptos"/>
                <w:szCs w:val="22"/>
              </w:rPr>
              <w:t>0011495046</w:t>
            </w:r>
          </w:p>
        </w:tc>
        <w:tc>
          <w:tcPr>
            <w:tcW w:w="4320" w:type="dxa"/>
          </w:tcPr>
          <w:p w:rsidR="00A40FA9" w:rsidRPr="00212FDB" w:rsidP="00931A18" w14:paraId="3FA2CA61" w14:textId="77777777">
            <w:pPr>
              <w:rPr>
                <w:rFonts w:eastAsia="Aptos"/>
                <w:szCs w:val="22"/>
              </w:rPr>
            </w:pPr>
            <w:r w:rsidRPr="00212FDB">
              <w:rPr>
                <w:rFonts w:eastAsia="Aptos"/>
                <w:szCs w:val="22"/>
              </w:rPr>
              <w:t>ADIOC OF MEDFORD, INC.</w:t>
            </w:r>
          </w:p>
        </w:tc>
        <w:tc>
          <w:tcPr>
            <w:tcW w:w="2070" w:type="dxa"/>
          </w:tcPr>
          <w:p w:rsidR="00A40FA9" w:rsidRPr="00212FDB" w:rsidP="00931A18" w14:paraId="633ABA70" w14:textId="77777777">
            <w:pPr>
              <w:rPr>
                <w:rFonts w:eastAsia="Aptos"/>
                <w:szCs w:val="22"/>
              </w:rPr>
            </w:pPr>
            <w:r w:rsidRPr="00212FDB">
              <w:rPr>
                <w:rFonts w:eastAsia="Aptos"/>
                <w:szCs w:val="22"/>
              </w:rPr>
              <w:t>KNKA683</w:t>
            </w:r>
          </w:p>
        </w:tc>
      </w:tr>
      <w:tr w14:paraId="425DFBCE" w14:textId="77777777" w:rsidTr="00931A18">
        <w:tblPrEx>
          <w:tblW w:w="0" w:type="auto"/>
          <w:tblInd w:w="-108" w:type="dxa"/>
          <w:tblLook w:val="04A0"/>
        </w:tblPrEx>
        <w:tc>
          <w:tcPr>
            <w:tcW w:w="1525" w:type="dxa"/>
          </w:tcPr>
          <w:p w:rsidR="00A40FA9" w:rsidRPr="00212FDB" w:rsidP="00931A18" w14:paraId="6556511A" w14:textId="77777777">
            <w:pPr>
              <w:rPr>
                <w:rFonts w:eastAsia="Aptos"/>
                <w:szCs w:val="22"/>
              </w:rPr>
            </w:pPr>
            <w:r w:rsidRPr="00212FDB">
              <w:rPr>
                <w:rFonts w:eastAsia="Aptos"/>
                <w:szCs w:val="22"/>
              </w:rPr>
              <w:t>0011495050</w:t>
            </w:r>
          </w:p>
        </w:tc>
        <w:tc>
          <w:tcPr>
            <w:tcW w:w="4320" w:type="dxa"/>
          </w:tcPr>
          <w:p w:rsidR="00A40FA9" w:rsidRPr="00212FDB" w:rsidP="00931A18" w14:paraId="3B723833" w14:textId="77777777">
            <w:pPr>
              <w:rPr>
                <w:rFonts w:eastAsia="Aptos"/>
                <w:szCs w:val="22"/>
              </w:rPr>
            </w:pPr>
            <w:r w:rsidRPr="00212FDB">
              <w:rPr>
                <w:rFonts w:eastAsia="Aptos"/>
                <w:szCs w:val="22"/>
              </w:rPr>
              <w:t>ADIOC NEBRASKA/KANSAS, LLC</w:t>
            </w:r>
          </w:p>
        </w:tc>
        <w:tc>
          <w:tcPr>
            <w:tcW w:w="2070" w:type="dxa"/>
          </w:tcPr>
          <w:p w:rsidR="00A40FA9" w:rsidRPr="00212FDB" w:rsidP="00931A18" w14:paraId="27E2C9A1" w14:textId="77777777">
            <w:pPr>
              <w:rPr>
                <w:rFonts w:eastAsia="Aptos"/>
                <w:szCs w:val="22"/>
              </w:rPr>
            </w:pPr>
            <w:r w:rsidRPr="00212FDB">
              <w:rPr>
                <w:rFonts w:eastAsia="Aptos"/>
                <w:szCs w:val="22"/>
              </w:rPr>
              <w:t>KNKN284</w:t>
            </w:r>
          </w:p>
        </w:tc>
      </w:tr>
      <w:tr w14:paraId="5DC503EF" w14:textId="77777777" w:rsidTr="00931A18">
        <w:tblPrEx>
          <w:tblW w:w="0" w:type="auto"/>
          <w:tblInd w:w="-108" w:type="dxa"/>
          <w:tblLook w:val="04A0"/>
        </w:tblPrEx>
        <w:tc>
          <w:tcPr>
            <w:tcW w:w="1525" w:type="dxa"/>
          </w:tcPr>
          <w:p w:rsidR="00A40FA9" w:rsidRPr="00212FDB" w:rsidP="00931A18" w14:paraId="2A91F144" w14:textId="77777777">
            <w:pPr>
              <w:rPr>
                <w:rFonts w:eastAsia="Aptos"/>
                <w:szCs w:val="22"/>
              </w:rPr>
            </w:pPr>
            <w:r w:rsidRPr="00212FDB">
              <w:rPr>
                <w:rFonts w:eastAsia="Aptos"/>
                <w:szCs w:val="22"/>
              </w:rPr>
              <w:t>0011495053</w:t>
            </w:r>
          </w:p>
        </w:tc>
        <w:tc>
          <w:tcPr>
            <w:tcW w:w="4320" w:type="dxa"/>
          </w:tcPr>
          <w:p w:rsidR="00A40FA9" w:rsidRPr="00212FDB" w:rsidP="00931A18" w14:paraId="3BE198F7" w14:textId="77777777">
            <w:pPr>
              <w:rPr>
                <w:rFonts w:eastAsia="Aptos"/>
                <w:szCs w:val="22"/>
              </w:rPr>
            </w:pPr>
            <w:r w:rsidRPr="00212FDB">
              <w:rPr>
                <w:rFonts w:eastAsia="Aptos"/>
                <w:szCs w:val="22"/>
              </w:rPr>
              <w:t>ADIOC NEBRASKA/KANSAS, LLC</w:t>
            </w:r>
          </w:p>
        </w:tc>
        <w:tc>
          <w:tcPr>
            <w:tcW w:w="2070" w:type="dxa"/>
          </w:tcPr>
          <w:p w:rsidR="00A40FA9" w:rsidRPr="00212FDB" w:rsidP="00931A18" w14:paraId="58B61EB6" w14:textId="77777777">
            <w:pPr>
              <w:rPr>
                <w:rFonts w:eastAsia="Aptos"/>
                <w:szCs w:val="22"/>
              </w:rPr>
            </w:pPr>
            <w:r w:rsidRPr="00212FDB">
              <w:rPr>
                <w:rFonts w:eastAsia="Aptos"/>
                <w:szCs w:val="22"/>
              </w:rPr>
              <w:t>WQGD659</w:t>
            </w:r>
          </w:p>
        </w:tc>
      </w:tr>
      <w:tr w14:paraId="71BD07C0" w14:textId="77777777" w:rsidTr="00931A18">
        <w:tblPrEx>
          <w:tblW w:w="0" w:type="auto"/>
          <w:tblInd w:w="-108" w:type="dxa"/>
          <w:tblLook w:val="04A0"/>
        </w:tblPrEx>
        <w:tc>
          <w:tcPr>
            <w:tcW w:w="1525" w:type="dxa"/>
          </w:tcPr>
          <w:p w:rsidR="00A40FA9" w:rsidRPr="00212FDB" w:rsidP="00931A18" w14:paraId="6A34BD2A" w14:textId="77777777">
            <w:pPr>
              <w:rPr>
                <w:rFonts w:eastAsia="Aptos"/>
                <w:szCs w:val="22"/>
              </w:rPr>
            </w:pPr>
            <w:r w:rsidRPr="00212FDB">
              <w:rPr>
                <w:rFonts w:eastAsia="Aptos"/>
                <w:szCs w:val="22"/>
              </w:rPr>
              <w:t>0011495067</w:t>
            </w:r>
          </w:p>
        </w:tc>
        <w:tc>
          <w:tcPr>
            <w:tcW w:w="4320" w:type="dxa"/>
          </w:tcPr>
          <w:p w:rsidR="00A40FA9" w:rsidRPr="00212FDB" w:rsidP="00931A18" w14:paraId="0449F031" w14:textId="77777777">
            <w:pPr>
              <w:rPr>
                <w:rFonts w:eastAsia="Aptos"/>
                <w:szCs w:val="22"/>
              </w:rPr>
            </w:pPr>
            <w:r w:rsidRPr="00212FDB">
              <w:rPr>
                <w:rFonts w:eastAsia="Aptos"/>
                <w:szCs w:val="22"/>
              </w:rPr>
              <w:t>ADIOC OF CENTRAL ILLINOIS, LLC</w:t>
            </w:r>
          </w:p>
        </w:tc>
        <w:tc>
          <w:tcPr>
            <w:tcW w:w="2070" w:type="dxa"/>
          </w:tcPr>
          <w:p w:rsidR="00A40FA9" w:rsidRPr="00212FDB" w:rsidP="00931A18" w14:paraId="23904BEA" w14:textId="77777777">
            <w:pPr>
              <w:rPr>
                <w:rFonts w:eastAsia="Aptos"/>
                <w:szCs w:val="22"/>
              </w:rPr>
            </w:pPr>
            <w:r w:rsidRPr="00212FDB">
              <w:rPr>
                <w:rFonts w:eastAsia="Aptos"/>
                <w:szCs w:val="22"/>
              </w:rPr>
              <w:t>KNKA450</w:t>
            </w:r>
          </w:p>
        </w:tc>
      </w:tr>
      <w:tr w14:paraId="3DA448BA" w14:textId="77777777" w:rsidTr="00931A18">
        <w:tblPrEx>
          <w:tblW w:w="0" w:type="auto"/>
          <w:tblInd w:w="-108" w:type="dxa"/>
          <w:tblLook w:val="04A0"/>
        </w:tblPrEx>
        <w:tc>
          <w:tcPr>
            <w:tcW w:w="1525" w:type="dxa"/>
          </w:tcPr>
          <w:p w:rsidR="00A40FA9" w:rsidRPr="00212FDB" w:rsidP="00931A18" w14:paraId="7BDF5658" w14:textId="77777777">
            <w:pPr>
              <w:rPr>
                <w:rFonts w:eastAsia="Aptos"/>
                <w:szCs w:val="22"/>
              </w:rPr>
            </w:pPr>
            <w:r w:rsidRPr="00212FDB">
              <w:rPr>
                <w:rFonts w:eastAsia="Aptos"/>
                <w:szCs w:val="22"/>
              </w:rPr>
              <w:t>0011495068</w:t>
            </w:r>
          </w:p>
        </w:tc>
        <w:tc>
          <w:tcPr>
            <w:tcW w:w="4320" w:type="dxa"/>
          </w:tcPr>
          <w:p w:rsidR="00A40FA9" w:rsidRPr="00212FDB" w:rsidP="00931A18" w14:paraId="42006913" w14:textId="77777777">
            <w:pPr>
              <w:rPr>
                <w:rFonts w:eastAsia="Aptos"/>
                <w:szCs w:val="22"/>
              </w:rPr>
            </w:pPr>
            <w:r w:rsidRPr="00212FDB">
              <w:rPr>
                <w:rFonts w:eastAsia="Aptos"/>
                <w:szCs w:val="22"/>
              </w:rPr>
              <w:t>ADIOC OF CUMBERLAND, LLC</w:t>
            </w:r>
          </w:p>
        </w:tc>
        <w:tc>
          <w:tcPr>
            <w:tcW w:w="2070" w:type="dxa"/>
          </w:tcPr>
          <w:p w:rsidR="00A40FA9" w:rsidRPr="00212FDB" w:rsidP="00931A18" w14:paraId="24CBE887" w14:textId="77777777">
            <w:pPr>
              <w:rPr>
                <w:rFonts w:eastAsia="Aptos"/>
                <w:szCs w:val="22"/>
              </w:rPr>
            </w:pPr>
            <w:r w:rsidRPr="00212FDB">
              <w:rPr>
                <w:rFonts w:eastAsia="Aptos"/>
                <w:szCs w:val="22"/>
              </w:rPr>
              <w:t>KNKA786</w:t>
            </w:r>
          </w:p>
        </w:tc>
      </w:tr>
      <w:tr w14:paraId="5B20C305" w14:textId="77777777" w:rsidTr="00931A18">
        <w:tblPrEx>
          <w:tblW w:w="0" w:type="auto"/>
          <w:tblInd w:w="-108" w:type="dxa"/>
          <w:tblLook w:val="04A0"/>
        </w:tblPrEx>
        <w:tc>
          <w:tcPr>
            <w:tcW w:w="1525" w:type="dxa"/>
          </w:tcPr>
          <w:p w:rsidR="00A40FA9" w:rsidRPr="00212FDB" w:rsidP="00931A18" w14:paraId="6286DE8F" w14:textId="77777777">
            <w:pPr>
              <w:rPr>
                <w:rFonts w:eastAsia="Aptos"/>
                <w:szCs w:val="22"/>
              </w:rPr>
            </w:pPr>
            <w:r w:rsidRPr="00212FDB">
              <w:rPr>
                <w:rFonts w:eastAsia="Aptos"/>
                <w:szCs w:val="22"/>
              </w:rPr>
              <w:t>0011495076</w:t>
            </w:r>
          </w:p>
        </w:tc>
        <w:tc>
          <w:tcPr>
            <w:tcW w:w="4320" w:type="dxa"/>
          </w:tcPr>
          <w:p w:rsidR="00A40FA9" w:rsidRPr="00212FDB" w:rsidP="00931A18" w14:paraId="6B150FBA" w14:textId="77777777">
            <w:pPr>
              <w:rPr>
                <w:rFonts w:eastAsia="Aptos"/>
                <w:szCs w:val="22"/>
              </w:rPr>
            </w:pPr>
            <w:r w:rsidRPr="00212FDB">
              <w:rPr>
                <w:rFonts w:eastAsia="Aptos"/>
                <w:szCs w:val="22"/>
              </w:rPr>
              <w:t>ADIOC OF GREATER MISSOURI, LLC</w:t>
            </w:r>
          </w:p>
        </w:tc>
        <w:tc>
          <w:tcPr>
            <w:tcW w:w="2070" w:type="dxa"/>
          </w:tcPr>
          <w:p w:rsidR="00A40FA9" w:rsidRPr="00212FDB" w:rsidP="00931A18" w14:paraId="22095579" w14:textId="77777777">
            <w:pPr>
              <w:rPr>
                <w:rFonts w:eastAsia="Aptos"/>
                <w:szCs w:val="22"/>
              </w:rPr>
            </w:pPr>
            <w:r w:rsidRPr="00212FDB">
              <w:rPr>
                <w:rFonts w:eastAsia="Aptos"/>
                <w:szCs w:val="22"/>
              </w:rPr>
              <w:t>KNKA501</w:t>
            </w:r>
          </w:p>
        </w:tc>
      </w:tr>
      <w:tr w14:paraId="765D3E4F" w14:textId="77777777" w:rsidTr="00931A18">
        <w:tblPrEx>
          <w:tblW w:w="0" w:type="auto"/>
          <w:tblInd w:w="-108" w:type="dxa"/>
          <w:tblLook w:val="04A0"/>
        </w:tblPrEx>
        <w:tc>
          <w:tcPr>
            <w:tcW w:w="1525" w:type="dxa"/>
          </w:tcPr>
          <w:p w:rsidR="00A40FA9" w:rsidRPr="00212FDB" w:rsidP="00931A18" w14:paraId="12E67C46" w14:textId="77777777">
            <w:pPr>
              <w:rPr>
                <w:rFonts w:eastAsia="Aptos"/>
                <w:szCs w:val="22"/>
              </w:rPr>
            </w:pPr>
            <w:r w:rsidRPr="00212FDB">
              <w:rPr>
                <w:rFonts w:eastAsia="Aptos"/>
                <w:szCs w:val="22"/>
              </w:rPr>
              <w:t>0011495078</w:t>
            </w:r>
          </w:p>
        </w:tc>
        <w:tc>
          <w:tcPr>
            <w:tcW w:w="4320" w:type="dxa"/>
          </w:tcPr>
          <w:p w:rsidR="00A40FA9" w:rsidRPr="00212FDB" w:rsidP="00931A18" w14:paraId="2F3A3AA9" w14:textId="77777777">
            <w:pPr>
              <w:rPr>
                <w:rFonts w:eastAsia="Aptos"/>
                <w:szCs w:val="22"/>
              </w:rPr>
            </w:pPr>
            <w:r w:rsidRPr="00212FDB">
              <w:rPr>
                <w:rFonts w:eastAsia="Aptos"/>
                <w:szCs w:val="22"/>
              </w:rPr>
              <w:t>ADIOC OF GREATER NORTH CAROLINA, LLC</w:t>
            </w:r>
          </w:p>
        </w:tc>
        <w:tc>
          <w:tcPr>
            <w:tcW w:w="2070" w:type="dxa"/>
          </w:tcPr>
          <w:p w:rsidR="00A40FA9" w:rsidRPr="00212FDB" w:rsidP="00931A18" w14:paraId="67E925D5" w14:textId="77777777">
            <w:pPr>
              <w:rPr>
                <w:rFonts w:eastAsia="Aptos"/>
                <w:szCs w:val="22"/>
              </w:rPr>
            </w:pPr>
            <w:r w:rsidRPr="00212FDB">
              <w:rPr>
                <w:rFonts w:eastAsia="Aptos"/>
                <w:szCs w:val="22"/>
              </w:rPr>
              <w:t>KNKA482</w:t>
            </w:r>
          </w:p>
        </w:tc>
      </w:tr>
      <w:tr w14:paraId="0EA8A9EC" w14:textId="77777777" w:rsidTr="00931A18">
        <w:tblPrEx>
          <w:tblW w:w="0" w:type="auto"/>
          <w:tblInd w:w="-108" w:type="dxa"/>
          <w:tblLook w:val="04A0"/>
        </w:tblPrEx>
        <w:tc>
          <w:tcPr>
            <w:tcW w:w="1525" w:type="dxa"/>
          </w:tcPr>
          <w:p w:rsidR="00A40FA9" w:rsidRPr="00212FDB" w:rsidP="00931A18" w14:paraId="722C460C" w14:textId="77777777">
            <w:pPr>
              <w:rPr>
                <w:rFonts w:eastAsia="Aptos"/>
                <w:szCs w:val="22"/>
              </w:rPr>
            </w:pPr>
            <w:r w:rsidRPr="00212FDB">
              <w:rPr>
                <w:rFonts w:eastAsia="Aptos"/>
                <w:szCs w:val="22"/>
              </w:rPr>
              <w:t>0011495080</w:t>
            </w:r>
          </w:p>
        </w:tc>
        <w:tc>
          <w:tcPr>
            <w:tcW w:w="4320" w:type="dxa"/>
          </w:tcPr>
          <w:p w:rsidR="00A40FA9" w:rsidRPr="00212FDB" w:rsidP="00931A18" w14:paraId="27882330" w14:textId="77777777">
            <w:pPr>
              <w:rPr>
                <w:rFonts w:eastAsia="Aptos"/>
                <w:szCs w:val="22"/>
              </w:rPr>
            </w:pPr>
            <w:r w:rsidRPr="00212FDB">
              <w:rPr>
                <w:rFonts w:eastAsia="Aptos"/>
                <w:szCs w:val="22"/>
              </w:rPr>
              <w:t>ADIOC OF GREATER OKLAHOMA, LLC</w:t>
            </w:r>
          </w:p>
        </w:tc>
        <w:tc>
          <w:tcPr>
            <w:tcW w:w="2070" w:type="dxa"/>
          </w:tcPr>
          <w:p w:rsidR="00A40FA9" w:rsidRPr="00212FDB" w:rsidP="00931A18" w14:paraId="2CBAA069" w14:textId="77777777">
            <w:pPr>
              <w:rPr>
                <w:rFonts w:eastAsia="Aptos"/>
                <w:szCs w:val="22"/>
              </w:rPr>
            </w:pPr>
            <w:r w:rsidRPr="00212FDB">
              <w:rPr>
                <w:rFonts w:eastAsia="Aptos"/>
                <w:szCs w:val="22"/>
              </w:rPr>
              <w:t>KNKA305</w:t>
            </w:r>
          </w:p>
        </w:tc>
      </w:tr>
      <w:tr w14:paraId="2BA1D307" w14:textId="77777777" w:rsidTr="00931A18">
        <w:tblPrEx>
          <w:tblW w:w="0" w:type="auto"/>
          <w:tblInd w:w="-108" w:type="dxa"/>
          <w:tblLook w:val="04A0"/>
        </w:tblPrEx>
        <w:tc>
          <w:tcPr>
            <w:tcW w:w="1525" w:type="dxa"/>
          </w:tcPr>
          <w:p w:rsidR="00A40FA9" w:rsidRPr="00212FDB" w:rsidP="00931A18" w14:paraId="778B8B0A" w14:textId="77777777">
            <w:pPr>
              <w:rPr>
                <w:rFonts w:eastAsia="Aptos"/>
                <w:szCs w:val="22"/>
              </w:rPr>
            </w:pPr>
            <w:r w:rsidRPr="00212FDB">
              <w:rPr>
                <w:rFonts w:eastAsia="Aptos"/>
                <w:szCs w:val="22"/>
              </w:rPr>
              <w:t>0011495081</w:t>
            </w:r>
          </w:p>
        </w:tc>
        <w:tc>
          <w:tcPr>
            <w:tcW w:w="4320" w:type="dxa"/>
          </w:tcPr>
          <w:p w:rsidR="00A40FA9" w:rsidRPr="00212FDB" w:rsidP="00931A18" w14:paraId="3F61E356" w14:textId="77777777">
            <w:pPr>
              <w:rPr>
                <w:rFonts w:eastAsia="Aptos"/>
                <w:szCs w:val="22"/>
              </w:rPr>
            </w:pPr>
            <w:r w:rsidRPr="00212FDB">
              <w:rPr>
                <w:rFonts w:eastAsia="Aptos"/>
                <w:szCs w:val="22"/>
              </w:rPr>
              <w:t>ADIOC OF GREATER OKLAHOMA, LLC</w:t>
            </w:r>
          </w:p>
        </w:tc>
        <w:tc>
          <w:tcPr>
            <w:tcW w:w="2070" w:type="dxa"/>
          </w:tcPr>
          <w:p w:rsidR="00A40FA9" w:rsidRPr="00212FDB" w:rsidP="00931A18" w14:paraId="295B38E1" w14:textId="77777777">
            <w:pPr>
              <w:rPr>
                <w:rFonts w:eastAsia="Aptos"/>
                <w:szCs w:val="22"/>
              </w:rPr>
            </w:pPr>
            <w:r w:rsidRPr="00212FDB">
              <w:rPr>
                <w:rFonts w:eastAsia="Aptos"/>
                <w:szCs w:val="22"/>
              </w:rPr>
              <w:t>KNLF590</w:t>
            </w:r>
          </w:p>
        </w:tc>
      </w:tr>
      <w:tr w14:paraId="75E15275" w14:textId="77777777" w:rsidTr="00931A18">
        <w:tblPrEx>
          <w:tblW w:w="0" w:type="auto"/>
          <w:tblInd w:w="-108" w:type="dxa"/>
          <w:tblLook w:val="04A0"/>
        </w:tblPrEx>
        <w:tc>
          <w:tcPr>
            <w:tcW w:w="1525" w:type="dxa"/>
          </w:tcPr>
          <w:p w:rsidR="00A40FA9" w:rsidRPr="00212FDB" w:rsidP="00931A18" w14:paraId="7A296B5C" w14:textId="77777777">
            <w:pPr>
              <w:rPr>
                <w:rFonts w:eastAsia="Aptos"/>
                <w:szCs w:val="22"/>
              </w:rPr>
            </w:pPr>
            <w:r w:rsidRPr="00212FDB">
              <w:rPr>
                <w:rFonts w:eastAsia="Aptos"/>
                <w:szCs w:val="22"/>
              </w:rPr>
              <w:t>0011495084</w:t>
            </w:r>
          </w:p>
        </w:tc>
        <w:tc>
          <w:tcPr>
            <w:tcW w:w="4320" w:type="dxa"/>
          </w:tcPr>
          <w:p w:rsidR="00A40FA9" w:rsidRPr="00212FDB" w:rsidP="00931A18" w14:paraId="2208B4FD" w14:textId="77777777">
            <w:pPr>
              <w:rPr>
                <w:rFonts w:eastAsia="Aptos"/>
                <w:szCs w:val="22"/>
              </w:rPr>
            </w:pPr>
            <w:r w:rsidRPr="00212FDB">
              <w:rPr>
                <w:rFonts w:eastAsia="Aptos"/>
                <w:szCs w:val="22"/>
              </w:rPr>
              <w:t>ADIOC OF LACROSSE, LLC</w:t>
            </w:r>
          </w:p>
        </w:tc>
        <w:tc>
          <w:tcPr>
            <w:tcW w:w="2070" w:type="dxa"/>
          </w:tcPr>
          <w:p w:rsidR="00A40FA9" w:rsidRPr="00212FDB" w:rsidP="00931A18" w14:paraId="43141E75" w14:textId="77777777">
            <w:pPr>
              <w:rPr>
                <w:rFonts w:eastAsia="Aptos"/>
                <w:szCs w:val="22"/>
              </w:rPr>
            </w:pPr>
            <w:r w:rsidRPr="00212FDB">
              <w:rPr>
                <w:rFonts w:eastAsia="Aptos"/>
                <w:szCs w:val="22"/>
              </w:rPr>
              <w:t>KNKA659</w:t>
            </w:r>
          </w:p>
        </w:tc>
      </w:tr>
      <w:tr w14:paraId="6573C33F" w14:textId="77777777" w:rsidTr="00931A18">
        <w:tblPrEx>
          <w:tblW w:w="0" w:type="auto"/>
          <w:tblInd w:w="-108" w:type="dxa"/>
          <w:tblLook w:val="04A0"/>
        </w:tblPrEx>
        <w:tc>
          <w:tcPr>
            <w:tcW w:w="1525" w:type="dxa"/>
          </w:tcPr>
          <w:p w:rsidR="00A40FA9" w:rsidRPr="00212FDB" w:rsidP="00931A18" w14:paraId="6025382E" w14:textId="77777777">
            <w:pPr>
              <w:rPr>
                <w:rFonts w:eastAsia="Aptos"/>
                <w:szCs w:val="22"/>
              </w:rPr>
            </w:pPr>
            <w:r w:rsidRPr="00212FDB">
              <w:rPr>
                <w:rFonts w:eastAsia="Aptos"/>
                <w:szCs w:val="22"/>
              </w:rPr>
              <w:t>0011495086</w:t>
            </w:r>
          </w:p>
        </w:tc>
        <w:tc>
          <w:tcPr>
            <w:tcW w:w="4320" w:type="dxa"/>
          </w:tcPr>
          <w:p w:rsidR="00A40FA9" w:rsidRPr="00212FDB" w:rsidP="00931A18" w14:paraId="0EE92949" w14:textId="77777777">
            <w:pPr>
              <w:rPr>
                <w:rFonts w:eastAsia="Aptos"/>
                <w:szCs w:val="22"/>
              </w:rPr>
            </w:pPr>
            <w:r w:rsidRPr="00212FDB">
              <w:rPr>
                <w:rFonts w:eastAsia="Aptos"/>
                <w:szCs w:val="22"/>
              </w:rPr>
              <w:t>ADIOC OF OREGON RSA #5, INC.</w:t>
            </w:r>
          </w:p>
        </w:tc>
        <w:tc>
          <w:tcPr>
            <w:tcW w:w="2070" w:type="dxa"/>
          </w:tcPr>
          <w:p w:rsidR="00A40FA9" w:rsidRPr="00212FDB" w:rsidP="00931A18" w14:paraId="21E19091" w14:textId="77777777">
            <w:pPr>
              <w:rPr>
                <w:rFonts w:eastAsia="Aptos"/>
                <w:szCs w:val="22"/>
              </w:rPr>
            </w:pPr>
            <w:r w:rsidRPr="00212FDB">
              <w:rPr>
                <w:rFonts w:eastAsia="Aptos"/>
                <w:szCs w:val="22"/>
              </w:rPr>
              <w:t>KNKN672</w:t>
            </w:r>
          </w:p>
        </w:tc>
      </w:tr>
      <w:tr w14:paraId="486D72A1" w14:textId="77777777" w:rsidTr="00931A18">
        <w:tblPrEx>
          <w:tblW w:w="0" w:type="auto"/>
          <w:tblInd w:w="-108" w:type="dxa"/>
          <w:tblLook w:val="04A0"/>
        </w:tblPrEx>
        <w:tc>
          <w:tcPr>
            <w:tcW w:w="1525" w:type="dxa"/>
          </w:tcPr>
          <w:p w:rsidR="00A40FA9" w:rsidRPr="00212FDB" w:rsidP="00931A18" w14:paraId="2516270C" w14:textId="77777777">
            <w:pPr>
              <w:rPr>
                <w:rFonts w:eastAsia="Aptos"/>
                <w:szCs w:val="22"/>
              </w:rPr>
            </w:pPr>
            <w:r w:rsidRPr="00212FDB">
              <w:rPr>
                <w:rFonts w:eastAsia="Aptos"/>
                <w:szCs w:val="22"/>
              </w:rPr>
              <w:t>0011495091</w:t>
            </w:r>
          </w:p>
        </w:tc>
        <w:tc>
          <w:tcPr>
            <w:tcW w:w="4320" w:type="dxa"/>
          </w:tcPr>
          <w:p w:rsidR="00A40FA9" w:rsidRPr="00212FDB" w:rsidP="00931A18" w14:paraId="5DE4C50F" w14:textId="77777777">
            <w:pPr>
              <w:rPr>
                <w:rFonts w:eastAsia="Aptos"/>
                <w:szCs w:val="22"/>
              </w:rPr>
            </w:pPr>
            <w:r w:rsidRPr="00212FDB">
              <w:rPr>
                <w:rFonts w:eastAsia="Aptos"/>
                <w:szCs w:val="22"/>
              </w:rPr>
              <w:t>ADIOC OF VIRGINIA RSA #3, INC.</w:t>
            </w:r>
          </w:p>
        </w:tc>
        <w:tc>
          <w:tcPr>
            <w:tcW w:w="2070" w:type="dxa"/>
          </w:tcPr>
          <w:p w:rsidR="00A40FA9" w:rsidRPr="00212FDB" w:rsidP="00931A18" w14:paraId="2C68B827" w14:textId="77777777">
            <w:pPr>
              <w:rPr>
                <w:rFonts w:eastAsia="Aptos"/>
                <w:szCs w:val="22"/>
              </w:rPr>
            </w:pPr>
            <w:r w:rsidRPr="00212FDB">
              <w:rPr>
                <w:rFonts w:eastAsia="Aptos"/>
                <w:szCs w:val="22"/>
              </w:rPr>
              <w:t>KNKA447</w:t>
            </w:r>
          </w:p>
        </w:tc>
      </w:tr>
      <w:tr w14:paraId="31824D35" w14:textId="77777777" w:rsidTr="00931A18">
        <w:tblPrEx>
          <w:tblW w:w="0" w:type="auto"/>
          <w:tblInd w:w="-108" w:type="dxa"/>
          <w:tblLook w:val="04A0"/>
        </w:tblPrEx>
        <w:tc>
          <w:tcPr>
            <w:tcW w:w="1525" w:type="dxa"/>
          </w:tcPr>
          <w:p w:rsidR="00A40FA9" w:rsidRPr="00212FDB" w:rsidP="00931A18" w14:paraId="29D368C0" w14:textId="77777777">
            <w:pPr>
              <w:rPr>
                <w:rFonts w:eastAsia="Aptos"/>
                <w:szCs w:val="22"/>
              </w:rPr>
            </w:pPr>
            <w:r w:rsidRPr="00212FDB">
              <w:rPr>
                <w:rFonts w:eastAsia="Aptos"/>
                <w:szCs w:val="22"/>
              </w:rPr>
              <w:t>0011495092</w:t>
            </w:r>
          </w:p>
        </w:tc>
        <w:tc>
          <w:tcPr>
            <w:tcW w:w="4320" w:type="dxa"/>
          </w:tcPr>
          <w:p w:rsidR="00A40FA9" w:rsidRPr="00212FDB" w:rsidP="00931A18" w14:paraId="2E66548F" w14:textId="77777777">
            <w:pPr>
              <w:rPr>
                <w:rFonts w:eastAsia="Aptos"/>
                <w:szCs w:val="22"/>
              </w:rPr>
            </w:pPr>
            <w:r w:rsidRPr="00212FDB">
              <w:rPr>
                <w:rFonts w:eastAsia="Aptos"/>
                <w:szCs w:val="22"/>
              </w:rPr>
              <w:t>ADIOC OF WASHINGTON-4, INC.</w:t>
            </w:r>
          </w:p>
        </w:tc>
        <w:tc>
          <w:tcPr>
            <w:tcW w:w="2070" w:type="dxa"/>
          </w:tcPr>
          <w:p w:rsidR="00A40FA9" w:rsidRPr="00212FDB" w:rsidP="00931A18" w14:paraId="26C6BE61" w14:textId="77777777">
            <w:pPr>
              <w:rPr>
                <w:rFonts w:eastAsia="Aptos"/>
                <w:szCs w:val="22"/>
              </w:rPr>
            </w:pPr>
            <w:r w:rsidRPr="00212FDB">
              <w:rPr>
                <w:rFonts w:eastAsia="Aptos"/>
                <w:szCs w:val="22"/>
              </w:rPr>
              <w:t>KNKN207</w:t>
            </w:r>
          </w:p>
        </w:tc>
      </w:tr>
      <w:tr w14:paraId="6EDD0EA1" w14:textId="77777777" w:rsidTr="00931A18">
        <w:tblPrEx>
          <w:tblW w:w="0" w:type="auto"/>
          <w:tblInd w:w="-108" w:type="dxa"/>
          <w:tblLook w:val="04A0"/>
        </w:tblPrEx>
        <w:tc>
          <w:tcPr>
            <w:tcW w:w="1525" w:type="dxa"/>
          </w:tcPr>
          <w:p w:rsidR="00A40FA9" w:rsidRPr="00212FDB" w:rsidP="00931A18" w14:paraId="6ED8A60B" w14:textId="77777777">
            <w:pPr>
              <w:rPr>
                <w:rFonts w:eastAsia="Aptos"/>
                <w:szCs w:val="22"/>
              </w:rPr>
            </w:pPr>
            <w:r w:rsidRPr="00212FDB">
              <w:rPr>
                <w:rFonts w:eastAsia="Aptos"/>
                <w:szCs w:val="22"/>
              </w:rPr>
              <w:t>0011495094</w:t>
            </w:r>
          </w:p>
        </w:tc>
        <w:tc>
          <w:tcPr>
            <w:tcW w:w="4320" w:type="dxa"/>
          </w:tcPr>
          <w:p w:rsidR="00A40FA9" w:rsidRPr="00212FDB" w:rsidP="00931A18" w14:paraId="0866F241" w14:textId="77777777">
            <w:pPr>
              <w:rPr>
                <w:rFonts w:eastAsia="Aptos"/>
                <w:szCs w:val="22"/>
              </w:rPr>
            </w:pPr>
            <w:r w:rsidRPr="00212FDB">
              <w:rPr>
                <w:rFonts w:eastAsia="Aptos"/>
                <w:szCs w:val="22"/>
              </w:rPr>
              <w:t>VERMONT RSA NO. 2-B2, INC.</w:t>
            </w:r>
          </w:p>
        </w:tc>
        <w:tc>
          <w:tcPr>
            <w:tcW w:w="2070" w:type="dxa"/>
          </w:tcPr>
          <w:p w:rsidR="00A40FA9" w:rsidRPr="00212FDB" w:rsidP="00931A18" w14:paraId="70685DA2" w14:textId="77777777">
            <w:pPr>
              <w:rPr>
                <w:rFonts w:eastAsia="Aptos"/>
                <w:szCs w:val="22"/>
              </w:rPr>
            </w:pPr>
            <w:r w:rsidRPr="00212FDB">
              <w:rPr>
                <w:rFonts w:eastAsia="Aptos"/>
                <w:szCs w:val="22"/>
              </w:rPr>
              <w:t>KNKQ277</w:t>
            </w:r>
          </w:p>
        </w:tc>
      </w:tr>
      <w:tr w14:paraId="5D5A7A01" w14:textId="77777777" w:rsidTr="00931A18">
        <w:tblPrEx>
          <w:tblW w:w="0" w:type="auto"/>
          <w:tblInd w:w="-108" w:type="dxa"/>
          <w:tblLook w:val="04A0"/>
        </w:tblPrEx>
        <w:tc>
          <w:tcPr>
            <w:tcW w:w="1525" w:type="dxa"/>
          </w:tcPr>
          <w:p w:rsidR="00A40FA9" w:rsidRPr="00212FDB" w:rsidP="00931A18" w14:paraId="31871D37" w14:textId="77777777">
            <w:pPr>
              <w:rPr>
                <w:rFonts w:eastAsia="Aptos"/>
                <w:szCs w:val="22"/>
              </w:rPr>
            </w:pPr>
            <w:r w:rsidRPr="00212FDB">
              <w:rPr>
                <w:rFonts w:eastAsia="Aptos"/>
                <w:szCs w:val="22"/>
              </w:rPr>
              <w:t>0011495095</w:t>
            </w:r>
          </w:p>
        </w:tc>
        <w:tc>
          <w:tcPr>
            <w:tcW w:w="4320" w:type="dxa"/>
          </w:tcPr>
          <w:p w:rsidR="00A40FA9" w:rsidRPr="00212FDB" w:rsidP="00931A18" w14:paraId="2778A205" w14:textId="77777777">
            <w:pPr>
              <w:rPr>
                <w:rFonts w:eastAsia="Aptos"/>
                <w:szCs w:val="22"/>
              </w:rPr>
            </w:pPr>
            <w:r w:rsidRPr="00212FDB">
              <w:rPr>
                <w:rFonts w:eastAsia="Aptos"/>
                <w:szCs w:val="22"/>
              </w:rPr>
              <w:t>WESTERN SUB-RSA LIMITED PARTNERSHIP</w:t>
            </w:r>
          </w:p>
        </w:tc>
        <w:tc>
          <w:tcPr>
            <w:tcW w:w="2070" w:type="dxa"/>
          </w:tcPr>
          <w:p w:rsidR="00A40FA9" w:rsidRPr="00212FDB" w:rsidP="00931A18" w14:paraId="59EC67E4" w14:textId="77777777">
            <w:pPr>
              <w:rPr>
                <w:rFonts w:eastAsia="Aptos"/>
                <w:szCs w:val="22"/>
              </w:rPr>
            </w:pPr>
            <w:r w:rsidRPr="00212FDB">
              <w:rPr>
                <w:rFonts w:eastAsia="Aptos"/>
                <w:szCs w:val="22"/>
              </w:rPr>
              <w:t>KNKQ282</w:t>
            </w:r>
          </w:p>
        </w:tc>
      </w:tr>
      <w:tr w14:paraId="1FAE3F2C" w14:textId="77777777" w:rsidTr="00931A18">
        <w:tblPrEx>
          <w:tblW w:w="0" w:type="auto"/>
          <w:tblInd w:w="-108" w:type="dxa"/>
          <w:tblLook w:val="04A0"/>
        </w:tblPrEx>
        <w:tc>
          <w:tcPr>
            <w:tcW w:w="1525" w:type="dxa"/>
          </w:tcPr>
          <w:p w:rsidR="00A40FA9" w:rsidRPr="00212FDB" w:rsidP="00931A18" w14:paraId="730772F1" w14:textId="77777777">
            <w:pPr>
              <w:rPr>
                <w:rFonts w:eastAsia="Aptos"/>
                <w:szCs w:val="22"/>
              </w:rPr>
            </w:pPr>
            <w:r w:rsidRPr="00212FDB">
              <w:rPr>
                <w:rFonts w:eastAsia="Aptos"/>
                <w:szCs w:val="22"/>
              </w:rPr>
              <w:t>0011495096</w:t>
            </w:r>
          </w:p>
        </w:tc>
        <w:tc>
          <w:tcPr>
            <w:tcW w:w="4320" w:type="dxa"/>
          </w:tcPr>
          <w:p w:rsidR="00A40FA9" w:rsidRPr="00212FDB" w:rsidP="00931A18" w14:paraId="7FD18E0B" w14:textId="77777777">
            <w:pPr>
              <w:rPr>
                <w:rFonts w:eastAsia="Aptos"/>
                <w:szCs w:val="22"/>
              </w:rPr>
            </w:pPr>
            <w:r w:rsidRPr="00212FDB">
              <w:rPr>
                <w:rFonts w:eastAsia="Aptos"/>
                <w:szCs w:val="22"/>
              </w:rPr>
              <w:t>YAKIMA MSA LIMITED PARTNERSHIP</w:t>
            </w:r>
          </w:p>
        </w:tc>
        <w:tc>
          <w:tcPr>
            <w:tcW w:w="2070" w:type="dxa"/>
          </w:tcPr>
          <w:p w:rsidR="00A40FA9" w:rsidRPr="00212FDB" w:rsidP="00931A18" w14:paraId="25433E00" w14:textId="77777777">
            <w:pPr>
              <w:rPr>
                <w:rFonts w:eastAsia="Aptos"/>
                <w:szCs w:val="22"/>
              </w:rPr>
            </w:pPr>
            <w:r w:rsidRPr="00212FDB">
              <w:rPr>
                <w:rFonts w:eastAsia="Aptos"/>
                <w:szCs w:val="22"/>
              </w:rPr>
              <w:t>KNKA507</w:t>
            </w:r>
          </w:p>
        </w:tc>
      </w:tr>
      <w:tr w14:paraId="6AB42136" w14:textId="77777777" w:rsidTr="00931A18">
        <w:tblPrEx>
          <w:tblW w:w="0" w:type="auto"/>
          <w:tblInd w:w="-108" w:type="dxa"/>
          <w:tblLook w:val="04A0"/>
        </w:tblPrEx>
        <w:tc>
          <w:tcPr>
            <w:tcW w:w="1525" w:type="dxa"/>
          </w:tcPr>
          <w:p w:rsidR="00A40FA9" w:rsidRPr="00212FDB" w:rsidP="00931A18" w14:paraId="7ABA4529" w14:textId="77777777">
            <w:pPr>
              <w:rPr>
                <w:rFonts w:eastAsia="Aptos"/>
                <w:szCs w:val="22"/>
              </w:rPr>
            </w:pPr>
            <w:r w:rsidRPr="00212FDB">
              <w:rPr>
                <w:rFonts w:eastAsia="Aptos"/>
                <w:szCs w:val="22"/>
              </w:rPr>
              <w:t>0011495089</w:t>
            </w:r>
          </w:p>
        </w:tc>
        <w:tc>
          <w:tcPr>
            <w:tcW w:w="4320" w:type="dxa"/>
          </w:tcPr>
          <w:p w:rsidR="00A40FA9" w:rsidRPr="00212FDB" w:rsidP="00931A18" w14:paraId="56FC2F5A" w14:textId="77777777">
            <w:pPr>
              <w:rPr>
                <w:rFonts w:eastAsia="Aptos"/>
                <w:szCs w:val="22"/>
              </w:rPr>
            </w:pPr>
            <w:r w:rsidRPr="00212FDB">
              <w:rPr>
                <w:rFonts w:eastAsia="Aptos"/>
                <w:szCs w:val="22"/>
              </w:rPr>
              <w:t>ADIOC OF RICHLAND, INC.</w:t>
            </w:r>
          </w:p>
        </w:tc>
        <w:tc>
          <w:tcPr>
            <w:tcW w:w="2070" w:type="dxa"/>
          </w:tcPr>
          <w:p w:rsidR="00A40FA9" w:rsidRPr="00212FDB" w:rsidP="00931A18" w14:paraId="23B17A78" w14:textId="77777777">
            <w:pPr>
              <w:rPr>
                <w:rFonts w:eastAsia="Aptos"/>
                <w:szCs w:val="22"/>
              </w:rPr>
            </w:pPr>
            <w:r w:rsidRPr="00212FDB">
              <w:rPr>
                <w:rFonts w:eastAsia="Aptos"/>
                <w:szCs w:val="22"/>
              </w:rPr>
              <w:t>KNKA723</w:t>
            </w:r>
          </w:p>
        </w:tc>
      </w:tr>
    </w:tbl>
    <w:p w:rsidR="00A40FA9" w:rsidP="00A40FA9" w14:paraId="1B6B09BC" w14:textId="77777777">
      <w:pPr>
        <w:jc w:val="center"/>
        <w:rPr>
          <w:b/>
          <w:bCs/>
        </w:rPr>
        <w:sectPr w:rsidSect="00A40FA9">
          <w:footerReference w:type="first" r:id="rId11"/>
          <w:footnotePr>
            <w:numRestart w:val="eachSect"/>
          </w:footnotePr>
          <w:endnotePr>
            <w:numFmt w:val="decimal"/>
          </w:endnotePr>
          <w:pgSz w:w="12240" w:h="15840"/>
          <w:pgMar w:top="1440" w:right="1440" w:bottom="720" w:left="1440" w:header="720" w:footer="720" w:gutter="0"/>
          <w:cols w:space="720"/>
          <w:noEndnote/>
          <w:titlePg/>
        </w:sectPr>
      </w:pPr>
    </w:p>
    <w:p w:rsidR="00A40FA9" w:rsidRPr="007F184B" w:rsidP="00A40FA9" w14:paraId="74612119" w14:textId="77777777">
      <w:pPr>
        <w:jc w:val="center"/>
        <w:rPr>
          <w:b/>
          <w:bCs/>
        </w:rPr>
      </w:pPr>
      <w:r w:rsidRPr="007F184B">
        <w:rPr>
          <w:b/>
          <w:bCs/>
        </w:rPr>
        <w:t>APPENDIX B</w:t>
      </w:r>
    </w:p>
    <w:p w:rsidR="00A40FA9" w:rsidRPr="00502466" w:rsidP="00A40FA9" w14:paraId="4D3FB7F0" w14:textId="77777777">
      <w:pPr>
        <w:jc w:val="center"/>
        <w:rPr>
          <w:b/>
        </w:rPr>
      </w:pPr>
      <w:r w:rsidRPr="00502466">
        <w:rPr>
          <w:b/>
        </w:rPr>
        <w:t>Petitioners and Commenters</w:t>
      </w:r>
    </w:p>
    <w:p w:rsidR="00A40FA9" w:rsidP="00A40FA9" w14:paraId="208055C5" w14:textId="77777777">
      <w:pPr>
        <w:jc w:val="center"/>
        <w:rPr>
          <w:b/>
          <w:bCs/>
        </w:rPr>
      </w:pPr>
    </w:p>
    <w:p w:rsidR="00A40FA9" w:rsidRPr="00FC44BE" w:rsidP="00A40FA9" w14:paraId="76672966" w14:textId="77777777">
      <w:pPr>
        <w:rPr>
          <w:b/>
          <w:bCs/>
          <w:u w:val="single"/>
        </w:rPr>
      </w:pPr>
      <w:r w:rsidRPr="00FC44BE">
        <w:rPr>
          <w:b/>
          <w:bCs/>
          <w:u w:val="single"/>
        </w:rPr>
        <w:t xml:space="preserve">Petitions to Deny </w:t>
      </w:r>
    </w:p>
    <w:p w:rsidR="00A40FA9" w:rsidRPr="00FC44BE" w:rsidP="00A40FA9" w14:paraId="6EAC2F27" w14:textId="77777777">
      <w:r w:rsidRPr="00A1170D">
        <w:t>Public Knowledge, Open Technology Institute at New America, and Benton Institute for Broadband &amp; Society, Petition</w:t>
      </w:r>
      <w:r w:rsidRPr="005D58FA">
        <w:t xml:space="preserve"> to Deny (July 7, 2025)</w:t>
      </w:r>
    </w:p>
    <w:p w:rsidR="00A40FA9" w:rsidP="00A40FA9" w14:paraId="5E99EA2B" w14:textId="77777777"/>
    <w:p w:rsidR="00A40FA9" w:rsidRPr="00A1170D" w:rsidP="00A40FA9" w14:paraId="51B96F54" w14:textId="77777777">
      <w:r w:rsidRPr="00A1170D">
        <w:t>Rural Wireless Association, Inc., Petition to Deny (July 7, 2025)</w:t>
      </w:r>
    </w:p>
    <w:p w:rsidR="00A40FA9" w:rsidRPr="00A1170D" w:rsidP="00A40FA9" w14:paraId="51F0BF15" w14:textId="77777777">
      <w:pPr>
        <w:rPr>
          <w:b/>
          <w:bCs/>
          <w:u w:val="single"/>
        </w:rPr>
      </w:pPr>
    </w:p>
    <w:p w:rsidR="00A40FA9" w:rsidRPr="00A1170D" w:rsidP="00A40FA9" w14:paraId="1BDF731B" w14:textId="77777777">
      <w:pPr>
        <w:rPr>
          <w:b/>
          <w:bCs/>
          <w:u w:val="single"/>
        </w:rPr>
      </w:pPr>
      <w:r w:rsidRPr="00A1170D">
        <w:rPr>
          <w:b/>
          <w:bCs/>
          <w:u w:val="single"/>
        </w:rPr>
        <w:t>Petitions to Hold in Abeyance</w:t>
      </w:r>
    </w:p>
    <w:p w:rsidR="00A40FA9" w:rsidRPr="00A1170D" w:rsidP="00A40FA9" w14:paraId="664F8A8E" w14:textId="77777777">
      <w:r w:rsidRPr="00A1170D">
        <w:t>Mark O’Connor and Sara Leibman, Petition to Hold in Abeyance (July 7, 2025)</w:t>
      </w:r>
    </w:p>
    <w:p w:rsidR="00A40FA9" w:rsidRPr="00A1170D" w:rsidP="00A40FA9" w14:paraId="148348D3" w14:textId="77777777">
      <w:pPr>
        <w:rPr>
          <w:b/>
          <w:bCs/>
          <w:u w:val="single"/>
        </w:rPr>
      </w:pPr>
    </w:p>
    <w:p w:rsidR="00A40FA9" w:rsidRPr="00A1170D" w:rsidP="00A40FA9" w14:paraId="0B8D74F6" w14:textId="77777777">
      <w:pPr>
        <w:rPr>
          <w:b/>
          <w:bCs/>
          <w:u w:val="single"/>
        </w:rPr>
      </w:pPr>
      <w:r w:rsidRPr="00A1170D">
        <w:rPr>
          <w:b/>
          <w:bCs/>
          <w:u w:val="single"/>
        </w:rPr>
        <w:t xml:space="preserve">Oppositions to the Petitions to Deny/Hold in Abeyance </w:t>
      </w:r>
    </w:p>
    <w:p w:rsidR="00A40FA9" w:rsidRPr="00A1170D" w:rsidP="00A40FA9" w14:paraId="4CCCBE95" w14:textId="77777777">
      <w:r w:rsidRPr="00A1170D">
        <w:t>UScellular</w:t>
      </w:r>
      <w:r w:rsidRPr="00A1170D">
        <w:t>, Opposition to Petition to Hold in Abeyance (July 22, 2025)</w:t>
      </w:r>
    </w:p>
    <w:p w:rsidR="00A40FA9" w:rsidRPr="00A1170D" w:rsidP="00A40FA9" w14:paraId="65B84354" w14:textId="77777777"/>
    <w:p w:rsidR="00A40FA9" w:rsidRPr="00A1170D" w:rsidP="00A40FA9" w14:paraId="68FBC840" w14:textId="77777777">
      <w:r w:rsidRPr="00A1170D">
        <w:t xml:space="preserve">Verizon Wireless and </w:t>
      </w:r>
      <w:r w:rsidRPr="00A1170D">
        <w:t>UScellular</w:t>
      </w:r>
      <w:r w:rsidRPr="00A1170D">
        <w:t>, Joint Opposition to Petitions to Deny (July 22, 2025)</w:t>
      </w:r>
    </w:p>
    <w:p w:rsidR="00A40FA9" w:rsidRPr="00A1170D" w:rsidP="00A40FA9" w14:paraId="1E3E3E2E" w14:textId="77777777"/>
    <w:p w:rsidR="00A40FA9" w:rsidRPr="00A1170D" w:rsidP="00A40FA9" w14:paraId="54E43903" w14:textId="77777777">
      <w:pPr>
        <w:rPr>
          <w:b/>
          <w:bCs/>
          <w:u w:val="single"/>
        </w:rPr>
      </w:pPr>
      <w:r w:rsidRPr="00A1170D">
        <w:rPr>
          <w:b/>
          <w:bCs/>
          <w:u w:val="single"/>
        </w:rPr>
        <w:t>Replies</w:t>
      </w:r>
    </w:p>
    <w:p w:rsidR="00A40FA9" w:rsidRPr="00A1170D" w:rsidP="00A40FA9" w14:paraId="526BFACF" w14:textId="77777777">
      <w:r w:rsidRPr="00A1170D">
        <w:t>Mark O’Connor and Sara Leibman, Reply to Opposition to Petition to Hold in Abeyance (Aug. 1, 2025)</w:t>
      </w:r>
    </w:p>
    <w:p w:rsidR="00A40FA9" w:rsidRPr="00A1170D" w:rsidP="00A40FA9" w14:paraId="1381C56C" w14:textId="77777777"/>
    <w:p w:rsidR="00A40FA9" w:rsidRPr="00A1170D" w:rsidP="00A40FA9" w14:paraId="747F7B20" w14:textId="77777777">
      <w:r w:rsidRPr="00A1170D">
        <w:t>Rural Wireless Association, Inc., Reply to Joint Opposition to Petition to Deny (Aug. 1, 2025)</w:t>
      </w:r>
    </w:p>
    <w:p w:rsidR="00A40FA9" w:rsidRPr="00A1170D" w:rsidP="00A40FA9" w14:paraId="59A371FC" w14:textId="77777777">
      <w:pPr>
        <w:rPr>
          <w:b/>
          <w:bCs/>
          <w:u w:val="single"/>
        </w:rPr>
      </w:pPr>
    </w:p>
    <w:p w:rsidR="00A40FA9" w:rsidRPr="00A1170D" w:rsidP="00A40FA9" w14:paraId="6E58B805" w14:textId="77777777">
      <w:pPr>
        <w:keepNext/>
        <w:widowControl/>
        <w:rPr>
          <w:b/>
          <w:bCs/>
          <w:u w:val="single"/>
        </w:rPr>
      </w:pPr>
      <w:r w:rsidRPr="00A1170D">
        <w:rPr>
          <w:b/>
          <w:bCs/>
          <w:i/>
          <w:iCs/>
          <w:u w:val="single"/>
        </w:rPr>
        <w:t xml:space="preserve">Ex </w:t>
      </w:r>
      <w:r w:rsidRPr="00A1170D">
        <w:rPr>
          <w:b/>
          <w:bCs/>
          <w:i/>
          <w:iCs/>
          <w:u w:val="single"/>
        </w:rPr>
        <w:t>Parte</w:t>
      </w:r>
      <w:r w:rsidRPr="00A1170D">
        <w:rPr>
          <w:b/>
          <w:bCs/>
          <w:u w:val="single"/>
        </w:rPr>
        <w:t xml:space="preserve"> </w:t>
      </w:r>
      <w:r>
        <w:rPr>
          <w:b/>
          <w:bCs/>
          <w:u w:val="single"/>
        </w:rPr>
        <w:t>Submissions</w:t>
      </w:r>
      <w:r>
        <w:rPr>
          <w:rStyle w:val="FootnoteReference"/>
          <w:b/>
          <w:bCs/>
        </w:rPr>
        <w:footnoteReference w:id="134"/>
      </w:r>
    </w:p>
    <w:p w:rsidR="00A40FA9" w:rsidRPr="00A1170D" w:rsidP="00A40FA9" w14:paraId="5C989219" w14:textId="77777777">
      <w:r w:rsidRPr="00A1170D">
        <w:t xml:space="preserve">Rural Wireless Association, Inc., Communications Workers of America, Public Knowledge, and New America’s Open Technology Institute, </w:t>
      </w:r>
      <w:r w:rsidRPr="00A1170D">
        <w:rPr>
          <w:i/>
        </w:rPr>
        <w:t xml:space="preserve">Ex </w:t>
      </w:r>
      <w:r w:rsidRPr="00A1170D">
        <w:rPr>
          <w:i/>
        </w:rPr>
        <w:t>Parte</w:t>
      </w:r>
      <w:r w:rsidRPr="00A1170D">
        <w:rPr>
          <w:i/>
          <w:iCs/>
        </w:rPr>
        <w:t xml:space="preserve"> </w:t>
      </w:r>
      <w:r>
        <w:t>Submission</w:t>
      </w:r>
      <w:r w:rsidRPr="00A1170D">
        <w:rPr>
          <w:i/>
        </w:rPr>
        <w:t xml:space="preserve"> </w:t>
      </w:r>
      <w:r w:rsidRPr="00A1170D">
        <w:t>(July 3, 2025)</w:t>
      </w:r>
    </w:p>
    <w:p w:rsidR="00A40FA9" w:rsidRPr="00A1170D" w:rsidP="00A40FA9" w14:paraId="6429B3B4" w14:textId="77777777"/>
    <w:p w:rsidR="00A40FA9" w:rsidRPr="00A1170D" w:rsidP="00A40FA9" w14:paraId="2EDFEC70" w14:textId="77777777">
      <w:r w:rsidRPr="00A1170D">
        <w:t xml:space="preserve">Rural Wireless Association, Inc., Communications Workers of America, Public Knowledge, and New America’s Open Technology Institute, </w:t>
      </w:r>
      <w:r w:rsidRPr="00A1170D">
        <w:rPr>
          <w:i/>
        </w:rPr>
        <w:t xml:space="preserve">Ex </w:t>
      </w:r>
      <w:r w:rsidRPr="00A1170D">
        <w:rPr>
          <w:i/>
        </w:rPr>
        <w:t>Parte</w:t>
      </w:r>
      <w:r w:rsidRPr="00A1170D">
        <w:rPr>
          <w:i/>
          <w:iCs/>
        </w:rPr>
        <w:t xml:space="preserve"> </w:t>
      </w:r>
      <w:r>
        <w:t>Submission</w:t>
      </w:r>
      <w:r w:rsidRPr="00A1170D">
        <w:rPr>
          <w:i/>
        </w:rPr>
        <w:t xml:space="preserve"> </w:t>
      </w:r>
      <w:r w:rsidRPr="00A1170D">
        <w:t>(July 18, 2025)</w:t>
      </w:r>
    </w:p>
    <w:p w:rsidR="00A40FA9" w:rsidRPr="002C6EC4" w:rsidP="00A40FA9" w14:paraId="5F7E5BAD" w14:textId="77777777"/>
    <w:p w:rsidR="00A40FA9" w:rsidRPr="00A1170D" w:rsidP="00A40FA9" w14:paraId="0D8FF7A2" w14:textId="77777777">
      <w:r w:rsidRPr="00A1170D">
        <w:t xml:space="preserve">Rural Wireless Association, Inc., Open Technology Institute at New America, Benton Institute for Broadband &amp; Society, and Communications Workers of America, </w:t>
      </w:r>
      <w:r w:rsidRPr="00A1170D">
        <w:rPr>
          <w:i/>
        </w:rPr>
        <w:t xml:space="preserve">Ex </w:t>
      </w:r>
      <w:r w:rsidRPr="00A1170D">
        <w:rPr>
          <w:i/>
        </w:rPr>
        <w:t>Parte</w:t>
      </w:r>
      <w:r w:rsidRPr="00A1170D">
        <w:rPr>
          <w:i/>
          <w:iCs/>
        </w:rPr>
        <w:t xml:space="preserve"> </w:t>
      </w:r>
      <w:r>
        <w:t>Submission</w:t>
      </w:r>
      <w:r w:rsidRPr="00A1170D">
        <w:rPr>
          <w:i/>
        </w:rPr>
        <w:t xml:space="preserve"> </w:t>
      </w:r>
      <w:r w:rsidRPr="00A1170D">
        <w:t>(Aug. 7, 2025)</w:t>
      </w:r>
    </w:p>
    <w:p w:rsidR="00A40FA9" w:rsidP="00A40FA9" w14:paraId="671BB806" w14:textId="77777777"/>
    <w:p w:rsidR="00A40FA9" w:rsidRPr="00A1170D" w:rsidP="00A40FA9" w14:paraId="2D6FA488" w14:textId="77777777">
      <w:r w:rsidRPr="00A1170D">
        <w:t xml:space="preserve">Array Digital Infrastructure, </w:t>
      </w:r>
      <w:r w:rsidRPr="00A1170D">
        <w:rPr>
          <w:i/>
        </w:rPr>
        <w:t xml:space="preserve">Ex </w:t>
      </w:r>
      <w:r w:rsidRPr="00A1170D">
        <w:rPr>
          <w:i/>
        </w:rPr>
        <w:t>Parte</w:t>
      </w:r>
      <w:r w:rsidRPr="00A1170D">
        <w:rPr>
          <w:i/>
          <w:iCs/>
        </w:rPr>
        <w:t xml:space="preserve"> </w:t>
      </w:r>
      <w:r>
        <w:t>Submission</w:t>
      </w:r>
      <w:r w:rsidRPr="00A1170D">
        <w:rPr>
          <w:i/>
        </w:rPr>
        <w:t xml:space="preserve"> </w:t>
      </w:r>
      <w:r w:rsidRPr="00A1170D">
        <w:t>(Oct. 23, 2025)</w:t>
      </w:r>
    </w:p>
    <w:p w:rsidR="00A40FA9" w:rsidP="00A40FA9" w14:paraId="2F07D3E4" w14:textId="77777777"/>
    <w:p w:rsidR="00A40FA9" w:rsidP="00A40FA9" w14:paraId="5A58AD8A" w14:textId="77777777">
      <w:r w:rsidRPr="00E23BB0">
        <w:t>Northeast Communications of Wisconsin, Inc.</w:t>
      </w:r>
      <w:r>
        <w:t xml:space="preserve">, </w:t>
      </w:r>
      <w:r w:rsidRPr="00A1170D">
        <w:rPr>
          <w:i/>
        </w:rPr>
        <w:t xml:space="preserve">Ex </w:t>
      </w:r>
      <w:r w:rsidRPr="00A1170D">
        <w:rPr>
          <w:i/>
        </w:rPr>
        <w:t>Parte</w:t>
      </w:r>
      <w:r w:rsidRPr="00A1170D">
        <w:rPr>
          <w:i/>
          <w:iCs/>
        </w:rPr>
        <w:t xml:space="preserve"> </w:t>
      </w:r>
      <w:r>
        <w:t>Submission (May 8, 2026)</w:t>
      </w:r>
    </w:p>
    <w:p w:rsidR="00A40FA9" w:rsidRPr="00A1170D" w:rsidP="00A40FA9" w14:paraId="17066D90" w14:textId="77777777"/>
    <w:p w:rsidR="00A40FA9" w:rsidRPr="00A1170D" w:rsidP="00A40FA9" w14:paraId="6CA5EC66" w14:textId="77777777">
      <w:pPr>
        <w:keepNext/>
        <w:widowControl/>
        <w:rPr>
          <w:b/>
          <w:bCs/>
          <w:u w:val="single"/>
        </w:rPr>
      </w:pPr>
      <w:r w:rsidRPr="005A3D91">
        <w:rPr>
          <w:b/>
          <w:bCs/>
          <w:u w:val="single"/>
        </w:rPr>
        <w:t xml:space="preserve">Filings Made Outside </w:t>
      </w:r>
      <w:r>
        <w:rPr>
          <w:b/>
          <w:bCs/>
          <w:u w:val="single"/>
        </w:rPr>
        <w:t xml:space="preserve">of </w:t>
      </w:r>
      <w:r w:rsidRPr="00E9636E">
        <w:rPr>
          <w:b/>
          <w:bCs/>
          <w:u w:val="single"/>
        </w:rPr>
        <w:t>the Comment Cycle</w:t>
      </w:r>
    </w:p>
    <w:p w:rsidR="00A40FA9" w:rsidRPr="00A1170D" w:rsidP="00A40FA9" w14:paraId="346B0303" w14:textId="77777777">
      <w:r w:rsidRPr="00A1170D">
        <w:t>Rural Wireless Association, Inc., Open Technology Institute at New America, Benton Institute for Broadband &amp; Society, and Communications Workers of America (July 30, 2025) (</w:t>
      </w:r>
      <w:r>
        <w:t xml:space="preserve">notice and copy of </w:t>
      </w:r>
      <w:r w:rsidRPr="00A1170D">
        <w:t xml:space="preserve">Application for Review </w:t>
      </w:r>
      <w:r>
        <w:t>pertaining to</w:t>
      </w:r>
      <w:r w:rsidRPr="00A1170D">
        <w:t xml:space="preserve"> the T-Mobile-</w:t>
      </w:r>
      <w:r w:rsidRPr="00A1170D">
        <w:t>UScellular</w:t>
      </w:r>
      <w:r w:rsidRPr="00A1170D">
        <w:t xml:space="preserve"> transaction)</w:t>
      </w:r>
    </w:p>
    <w:p w:rsidR="00A40FA9" w:rsidRPr="00A1170D" w:rsidP="00A40FA9" w14:paraId="085F4A9B" w14:textId="77777777"/>
    <w:p w:rsidR="00641498" w:rsidP="00641498" w14:paraId="682905E7" w14:textId="77777777">
      <w:r w:rsidRPr="00A1170D">
        <w:t>Rural Wireless Association, Inc., Open Technology Institute at New America, Benton Institute for Broadband &amp; Society, and Communications Workers of America (Aug. 25, 2025) (</w:t>
      </w:r>
      <w:r>
        <w:t xml:space="preserve">notice and copy of </w:t>
      </w:r>
      <w:r w:rsidRPr="00A1170D">
        <w:t xml:space="preserve">Reply to Joint Opposition and Comments </w:t>
      </w:r>
      <w:r>
        <w:t>pertaining to</w:t>
      </w:r>
      <w:r w:rsidRPr="00A1170D">
        <w:t xml:space="preserve"> the T-Mobile-</w:t>
      </w:r>
      <w:r w:rsidRPr="00A1170D">
        <w:t>UScellular</w:t>
      </w:r>
      <w:r w:rsidRPr="00A1170D">
        <w:t xml:space="preserve"> transaction)   </w:t>
      </w:r>
    </w:p>
    <w:p w:rsidR="00736701" w:rsidP="000E40B0" w14:paraId="0E03EA71" w14:textId="77777777">
      <w:pPr>
        <w:widowControl/>
      </w:pPr>
    </w:p>
    <w:p w:rsidR="00412FC5" w:rsidP="00736701" w14:paraId="5388F247" w14:textId="4745A0C8">
      <w:pPr>
        <w:widowControl/>
      </w:pPr>
      <w:r w:rsidRPr="00A1170D">
        <w:t>Rural Wireless Association, Inc., Open Technology</w:t>
      </w:r>
      <w:r w:rsidRPr="0060044C">
        <w:t xml:space="preserve"> Institute at New America</w:t>
      </w:r>
      <w:r>
        <w:t xml:space="preserve">, and </w:t>
      </w:r>
      <w:r w:rsidRPr="0060044C">
        <w:t>Benton Institute for</w:t>
      </w:r>
      <w:r>
        <w:t xml:space="preserve"> </w:t>
      </w:r>
      <w:r w:rsidRPr="0060044C">
        <w:t>Broadband &amp; Society</w:t>
      </w:r>
      <w:r>
        <w:t xml:space="preserve"> (Jan. 2, 2026) (copy of Application for Review pertaining to the AT&amp;T-Array transaction)</w:t>
      </w:r>
    </w:p>
    <w:sectPr w:rsidSect="004853FB">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35567" w14:paraId="64B390C1" w14:textId="77777777">
      <w:pPr>
        <w:spacing w:line="20" w:lineRule="exact"/>
      </w:pPr>
    </w:p>
  </w:endnote>
  <w:endnote w:type="continuationSeparator" w:id="1">
    <w:p w:rsidR="00335567" w14:paraId="3FA89AA6" w14:textId="77777777">
      <w:r>
        <w:t xml:space="preserve"> </w:t>
      </w:r>
    </w:p>
  </w:endnote>
  <w:endnote w:type="continuationNotice" w:id="2">
    <w:p w:rsidR="00335567" w14:paraId="6B4246F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ZWAdobeF">
    <w:panose1 w:val="00000000000000000000"/>
    <w:charset w:val="00"/>
    <w:family w:val="auto"/>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rsidP="0055614C" w14:paraId="05DECF26" w14:textId="77777777">
    <w:pPr>
      <w:pStyle w:val="Footer"/>
      <w:framePr w:wrap="around" w:vAnchor="text" w:hAnchor="margin" w:xAlign="center" w:y="1"/>
    </w:pPr>
    <w:r>
      <w:fldChar w:fldCharType="begin"/>
    </w:r>
    <w:r>
      <w:instrText xml:space="preserve">PAGE  </w:instrText>
    </w:r>
    <w:r>
      <w:fldChar w:fldCharType="separate"/>
    </w:r>
    <w:r>
      <w:fldChar w:fldCharType="end"/>
    </w:r>
  </w:p>
  <w:p w:rsidR="00A40FA9" w14:paraId="4FBD956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rsidP="002C6EC4" w14:paraId="12628D9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14:paraId="18050D43"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rsidP="002C6EC4" w14:paraId="1D65F215"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C6BC23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D05D467"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77FD692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4FB8241C" w14:textId="77777777">
    <w:pPr>
      <w:suppressAutoHyphens/>
      <w:spacing w:line="227" w:lineRule="auto"/>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736701" w14:paraId="62AE5406" w14:textId="11B57119">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35567" w14:paraId="229B0E99" w14:textId="77777777">
      <w:r>
        <w:separator/>
      </w:r>
    </w:p>
  </w:footnote>
  <w:footnote w:type="continuationSeparator" w:id="1">
    <w:p w:rsidR="00335567" w:rsidP="00C721AC" w14:paraId="5CCBB4A4" w14:textId="77777777">
      <w:pPr>
        <w:spacing w:before="120"/>
        <w:rPr>
          <w:sz w:val="20"/>
        </w:rPr>
      </w:pPr>
      <w:r>
        <w:rPr>
          <w:sz w:val="20"/>
        </w:rPr>
        <w:t xml:space="preserve">(Continued from previous page)  </w:t>
      </w:r>
      <w:r>
        <w:rPr>
          <w:sz w:val="20"/>
        </w:rPr>
        <w:separator/>
      </w:r>
    </w:p>
  </w:footnote>
  <w:footnote w:type="continuationNotice" w:id="2">
    <w:p w:rsidR="00335567" w:rsidP="00C721AC" w14:paraId="112AEDE2" w14:textId="77777777">
      <w:pPr>
        <w:jc w:val="right"/>
        <w:rPr>
          <w:sz w:val="20"/>
        </w:rPr>
      </w:pPr>
      <w:r>
        <w:rPr>
          <w:sz w:val="20"/>
        </w:rPr>
        <w:t>(continued….)</w:t>
      </w:r>
    </w:p>
  </w:footnote>
  <w:footnote w:id="3">
    <w:p w:rsidR="00A40FA9" w:rsidRPr="00D423D7" w:rsidP="00A40FA9" w14:paraId="5BCD4B6E" w14:textId="77777777">
      <w:pPr>
        <w:pStyle w:val="FootnoteText"/>
      </w:pPr>
      <w:r w:rsidRPr="00D423D7">
        <w:rPr>
          <w:rStyle w:val="FootnoteReference"/>
        </w:rPr>
        <w:footnoteRef/>
      </w:r>
      <w:r w:rsidRPr="00D423D7">
        <w:t xml:space="preserve"> On August 1, 2025, United States Cellular Corporation was renamed Array Digital Infrastructure, Inc.</w:t>
      </w:r>
      <w:r w:rsidRPr="00D423D7">
        <w:t xml:space="preserve"> </w:t>
      </w:r>
      <w:r w:rsidRPr="00D423D7">
        <w:t xml:space="preserve"> </w:t>
      </w:r>
      <w:r w:rsidRPr="00D423D7">
        <w:rPr>
          <w:i/>
          <w:iCs/>
        </w:rPr>
        <w:t>See</w:t>
      </w:r>
      <w:r w:rsidRPr="00D423D7">
        <w:rPr>
          <w:i/>
        </w:rPr>
        <w:t xml:space="preserve"> </w:t>
      </w:r>
      <w:r w:rsidRPr="00D423D7">
        <w:t xml:space="preserve">Array, </w:t>
      </w:r>
      <w:r w:rsidRPr="003B4A60">
        <w:rPr>
          <w:i/>
          <w:iCs/>
        </w:rPr>
        <w:t>Investor FAQs</w:t>
      </w:r>
      <w:r w:rsidRPr="00D423D7">
        <w:t xml:space="preserve">, </w:t>
      </w:r>
      <w:hyperlink r:id="rId1" w:history="1">
        <w:r w:rsidRPr="00D423D7">
          <w:rPr>
            <w:rStyle w:val="Hyperlink"/>
          </w:rPr>
          <w:t>https://investors.arrayinc.com/resources/investor-faqs/default.aspx</w:t>
        </w:r>
      </w:hyperlink>
      <w:r w:rsidRPr="00D423D7">
        <w:t xml:space="preserve"> (last visited</w:t>
      </w:r>
      <w:r w:rsidRPr="00D423D7">
        <w:t xml:space="preserve"> </w:t>
      </w:r>
      <w:r>
        <w:t>May 12</w:t>
      </w:r>
      <w:r w:rsidRPr="00D423D7">
        <w:t>, 2026) (“[a]</w:t>
      </w:r>
      <w:r w:rsidRPr="00D423D7">
        <w:t>fter</w:t>
      </w:r>
      <w:r w:rsidRPr="00D423D7">
        <w:t xml:space="preserve"> the transaction with T-Mobile closed in 2025, </w:t>
      </w:r>
      <w:r w:rsidRPr="00D423D7">
        <w:t>UScellular</w:t>
      </w:r>
      <w:r w:rsidRPr="00D423D7">
        <w:t xml:space="preserve"> changed its name to Array Digital Infrastructure, Inc.”); </w:t>
      </w:r>
      <w:r w:rsidRPr="00D423D7">
        <w:rPr>
          <w:color w:val="000000"/>
        </w:rPr>
        <w:t xml:space="preserve">Verizon </w:t>
      </w:r>
      <w:r>
        <w:rPr>
          <w:color w:val="000000"/>
        </w:rPr>
        <w:t xml:space="preserve">Wireless </w:t>
      </w:r>
      <w:r w:rsidRPr="00D423D7">
        <w:rPr>
          <w:color w:val="000000"/>
        </w:rPr>
        <w:t xml:space="preserve">and </w:t>
      </w:r>
      <w:r w:rsidRPr="00D423D7">
        <w:rPr>
          <w:color w:val="000000"/>
        </w:rPr>
        <w:t>UScellular</w:t>
      </w:r>
      <w:r w:rsidRPr="00D423D7">
        <w:rPr>
          <w:color w:val="000000"/>
        </w:rPr>
        <w:t xml:space="preserve"> Joint Opposition at 1 </w:t>
      </w:r>
      <w:r w:rsidRPr="00D423D7">
        <w:rPr>
          <w:color w:val="000000"/>
        </w:rPr>
        <w:t>(</w:t>
      </w:r>
      <w:r w:rsidRPr="00D423D7">
        <w:rPr>
          <w:color w:val="000000"/>
        </w:rPr>
        <w:t>Joint Opposition).</w:t>
      </w:r>
    </w:p>
  </w:footnote>
  <w:footnote w:id="4">
    <w:p w:rsidR="00A40FA9" w:rsidRPr="00D423D7" w:rsidP="00A40FA9" w14:paraId="6DD3A9B4" w14:textId="77777777">
      <w:pPr>
        <w:spacing w:after="120"/>
        <w:rPr>
          <w:color w:val="000000"/>
          <w:sz w:val="20"/>
        </w:rPr>
      </w:pPr>
      <w:r w:rsidRPr="00D423D7">
        <w:rPr>
          <w:rStyle w:val="FootnoteReference"/>
          <w:color w:val="000000"/>
        </w:rPr>
        <w:footnoteRef/>
      </w:r>
      <w:r w:rsidRPr="00D423D7">
        <w:rPr>
          <w:color w:val="000000"/>
          <w:sz w:val="20"/>
        </w:rPr>
        <w:t xml:space="preserve"> </w:t>
      </w:r>
      <w:r w:rsidRPr="00D423D7">
        <w:rPr>
          <w:sz w:val="20"/>
        </w:rPr>
        <w:t>The</w:t>
      </w:r>
      <w:r w:rsidRPr="00D423D7">
        <w:rPr>
          <w:spacing w:val="-5"/>
          <w:sz w:val="20"/>
        </w:rPr>
        <w:t xml:space="preserve"> </w:t>
      </w:r>
      <w:r w:rsidRPr="00D423D7">
        <w:rPr>
          <w:sz w:val="20"/>
        </w:rPr>
        <w:t>Applicants</w:t>
      </w:r>
      <w:r w:rsidRPr="00D423D7">
        <w:rPr>
          <w:spacing w:val="-6"/>
          <w:sz w:val="20"/>
        </w:rPr>
        <w:t xml:space="preserve"> </w:t>
      </w:r>
      <w:r w:rsidRPr="00D423D7">
        <w:rPr>
          <w:sz w:val="20"/>
        </w:rPr>
        <w:t>filed the</w:t>
      </w:r>
      <w:r w:rsidRPr="00D423D7">
        <w:rPr>
          <w:color w:val="000000"/>
          <w:sz w:val="20"/>
        </w:rPr>
        <w:t xml:space="preserve"> assignment applications </w:t>
      </w:r>
      <w:r w:rsidRPr="00D423D7">
        <w:rPr>
          <w:sz w:val="20"/>
        </w:rPr>
        <w:t>on</w:t>
      </w:r>
      <w:r w:rsidRPr="00D423D7">
        <w:rPr>
          <w:spacing w:val="-4"/>
          <w:sz w:val="20"/>
        </w:rPr>
        <w:t xml:space="preserve"> April 1, 2025</w:t>
      </w:r>
      <w:r w:rsidRPr="00D423D7">
        <w:rPr>
          <w:sz w:val="20"/>
        </w:rPr>
        <w:t xml:space="preserve">.  </w:t>
      </w:r>
      <w:r w:rsidRPr="00D423D7">
        <w:rPr>
          <w:i/>
          <w:color w:val="000000"/>
          <w:sz w:val="20"/>
        </w:rPr>
        <w:t xml:space="preserve">See </w:t>
      </w:r>
      <w:r w:rsidRPr="00212FDB">
        <w:rPr>
          <w:color w:val="000000"/>
          <w:sz w:val="20"/>
        </w:rPr>
        <w:t>ULS File Nos. 0011491372 (lead), 0011495024, 0011495033, 0011495069, 0011495073, 0011494848, 0011494858, 0011494879, 0011494890, 0011494909, 0011494948, 0011494952, 0011494979, 0011494981, 0011494999, 0011495012, 0011495019, 0011495028, 0011495034, 0011495036, 0011494832, 0011495041, 0011495046, 0011495050, 0011495053, 0011495067, 0011495068, 0011495076, 0011495078, 0011495080, 0011495081, 0011495084, 0011495086, 0011495091, 0011495092, 0011495094, 0011495095, 0011495096, 0011495089</w:t>
      </w:r>
      <w:r w:rsidRPr="00212FDB">
        <w:rPr>
          <w:i/>
          <w:iCs/>
          <w:color w:val="000000"/>
          <w:sz w:val="20"/>
        </w:rPr>
        <w:t xml:space="preserve"> </w:t>
      </w:r>
      <w:r w:rsidRPr="00212FDB">
        <w:rPr>
          <w:color w:val="000000"/>
          <w:sz w:val="20"/>
        </w:rPr>
        <w:t>(filed April 1, 2025)</w:t>
      </w:r>
      <w:r w:rsidRPr="00D423D7">
        <w:rPr>
          <w:color w:val="000000"/>
          <w:sz w:val="20"/>
        </w:rPr>
        <w:t>.</w:t>
      </w:r>
    </w:p>
  </w:footnote>
  <w:footnote w:id="5">
    <w:p w:rsidR="00A40FA9" w:rsidP="00A40FA9" w14:paraId="6C224A0F" w14:textId="77777777">
      <w:pPr>
        <w:pStyle w:val="FootnoteText"/>
      </w:pPr>
      <w:r>
        <w:rPr>
          <w:rStyle w:val="FootnoteReference"/>
        </w:rPr>
        <w:footnoteRef/>
      </w:r>
      <w:r>
        <w:t xml:space="preserve"> </w:t>
      </w:r>
      <w:r>
        <w:rPr>
          <w:i/>
          <w:iCs/>
        </w:rPr>
        <w:t>See generally Upper C-Band</w:t>
      </w:r>
      <w:r w:rsidRPr="00B32699">
        <w:t xml:space="preserve"> (</w:t>
      </w:r>
      <w:r>
        <w:rPr>
          <w:i/>
          <w:iCs/>
        </w:rPr>
        <w:t>3.98–4.2 GHz</w:t>
      </w:r>
      <w:r>
        <w:t xml:space="preserve">), GN Docket No. 25-59, Notice of Proposed Rulemaking, FCC 25-78 (2025); </w:t>
      </w:r>
      <w:r w:rsidRPr="00B32699">
        <w:rPr>
          <w:i/>
        </w:rPr>
        <w:t>Enhancing National Security Through the Auction of AWS-3 Spectrum Licenses</w:t>
      </w:r>
      <w:r w:rsidRPr="00503CEB">
        <w:rPr>
          <w:iCs/>
        </w:rPr>
        <w:t>;</w:t>
      </w:r>
      <w:r w:rsidRPr="00B32699">
        <w:rPr>
          <w:i/>
        </w:rPr>
        <w:t xml:space="preserve"> Applying New Average Annual Gross Revenue Benchmarks for Small Business Bidding Credits</w:t>
      </w:r>
      <w:r w:rsidRPr="00503CEB">
        <w:rPr>
          <w:iCs/>
        </w:rPr>
        <w:t>;</w:t>
      </w:r>
      <w:r w:rsidRPr="00B32699">
        <w:rPr>
          <w:i/>
        </w:rPr>
        <w:t xml:space="preserve"> Amendment of the Commission’s Rules with Regard to Commercial Operations in the 1695</w:t>
      </w:r>
      <w:r>
        <w:rPr>
          <w:i/>
        </w:rPr>
        <w:t>–</w:t>
      </w:r>
      <w:r w:rsidRPr="00B32699">
        <w:rPr>
          <w:i/>
        </w:rPr>
        <w:t>1710 MHz, 1755</w:t>
      </w:r>
      <w:r>
        <w:rPr>
          <w:i/>
        </w:rPr>
        <w:t>–</w:t>
      </w:r>
      <w:r w:rsidRPr="00B32699">
        <w:rPr>
          <w:i/>
        </w:rPr>
        <w:t>1780 MHz, and 2155</w:t>
      </w:r>
      <w:r>
        <w:rPr>
          <w:i/>
        </w:rPr>
        <w:t>–</w:t>
      </w:r>
      <w:r w:rsidRPr="00B32699">
        <w:rPr>
          <w:i/>
        </w:rPr>
        <w:t>2180 MHz Bands</w:t>
      </w:r>
      <w:r w:rsidRPr="00030792">
        <w:t>,</w:t>
      </w:r>
      <w:r>
        <w:t xml:space="preserve"> </w:t>
      </w:r>
      <w:r w:rsidRPr="00C909AF">
        <w:t>GN Docket No</w:t>
      </w:r>
      <w:r>
        <w:t>s</w:t>
      </w:r>
      <w:r w:rsidRPr="00C909AF">
        <w:t>. 25-70</w:t>
      </w:r>
      <w:r>
        <w:t xml:space="preserve">, 25-71, </w:t>
      </w:r>
      <w:r w:rsidRPr="00C909AF">
        <w:t>13-185</w:t>
      </w:r>
      <w:r>
        <w:t xml:space="preserve">, Report and Order and Second Report and Order, 40 FCC </w:t>
      </w:r>
      <w:r>
        <w:t>Rcd</w:t>
      </w:r>
      <w:r>
        <w:t xml:space="preserve"> 5544 (2025).</w:t>
      </w:r>
    </w:p>
  </w:footnote>
  <w:footnote w:id="6">
    <w:p w:rsidR="00A40FA9" w:rsidRPr="002C6EC4" w:rsidP="00A40FA9" w14:paraId="7A802266" w14:textId="77777777">
      <w:pPr>
        <w:pStyle w:val="FootnoteText"/>
        <w:rPr>
          <w:i/>
        </w:rPr>
      </w:pPr>
      <w:r>
        <w:rPr>
          <w:rStyle w:val="FootnoteReference"/>
        </w:rPr>
        <w:footnoteRef/>
      </w:r>
      <w:r>
        <w:t xml:space="preserve"> </w:t>
      </w:r>
      <w:r w:rsidRPr="00B32699">
        <w:rPr>
          <w:i/>
        </w:rPr>
        <w:t>See</w:t>
      </w:r>
      <w:r w:rsidRPr="00A17528">
        <w:rPr>
          <w:i/>
        </w:rPr>
        <w:t>,</w:t>
      </w:r>
      <w:r w:rsidRPr="00B32699">
        <w:rPr>
          <w:i/>
        </w:rPr>
        <w:t xml:space="preserve"> e.g.</w:t>
      </w:r>
      <w:r w:rsidRPr="00B32699">
        <w:t>,</w:t>
      </w:r>
      <w:r>
        <w:t xml:space="preserve"> </w:t>
      </w:r>
      <w:r w:rsidRPr="00B32699">
        <w:rPr>
          <w:i/>
        </w:rPr>
        <w:t>Applications of T-Mobile US, Inc. and United States Cellular Corporation for Consent to Transfer Control of Licenses, Authorizations, and Leases</w:t>
      </w:r>
      <w:r w:rsidRPr="00B32699">
        <w:t xml:space="preserve">, GN Docket No. 24-286, Memorandum Opinion and Order, 40 FCC </w:t>
      </w:r>
      <w:r w:rsidRPr="00B32699">
        <w:t>Rcd</w:t>
      </w:r>
      <w:r w:rsidRPr="00B32699">
        <w:t xml:space="preserve"> 4776</w:t>
      </w:r>
      <w:r>
        <w:t xml:space="preserve"> </w:t>
      </w:r>
      <w:r w:rsidRPr="00B32699">
        <w:t>(WTB/OIA July 11, 2025) (</w:t>
      </w:r>
      <w:r w:rsidRPr="00B32699">
        <w:rPr>
          <w:i/>
        </w:rPr>
        <w:t>T-Mobile-</w:t>
      </w:r>
      <w:r w:rsidRPr="00B32699">
        <w:rPr>
          <w:i/>
        </w:rPr>
        <w:t>UScellular</w:t>
      </w:r>
      <w:r w:rsidRPr="00B32699">
        <w:rPr>
          <w:i/>
        </w:rPr>
        <w:t xml:space="preserve"> Order</w:t>
      </w:r>
      <w:r w:rsidRPr="00B32699">
        <w:t xml:space="preserve">); </w:t>
      </w:r>
      <w:r w:rsidRPr="00B32699">
        <w:rPr>
          <w:i/>
        </w:rPr>
        <w:t>Applications of New Cingular Wireless PCS, LLC and United States Cellular Corporation For Consent to Assign Licenses</w:t>
      </w:r>
      <w:r w:rsidRPr="00A85508">
        <w:t>, WT Docket No. 25-150, Memorandum Opinion and Order, DA</w:t>
      </w:r>
      <w:r>
        <w:t xml:space="preserve"> </w:t>
      </w:r>
      <w:r w:rsidRPr="00A85508">
        <w:t xml:space="preserve">26-1006 (WTB </w:t>
      </w:r>
      <w:r>
        <w:t xml:space="preserve">Dec. 3, </w:t>
      </w:r>
      <w:r w:rsidRPr="00A85508">
        <w:t>2025)</w:t>
      </w:r>
      <w:r>
        <w:t xml:space="preserve"> (</w:t>
      </w:r>
      <w:r w:rsidRPr="001C6276">
        <w:rPr>
          <w:i/>
          <w:iCs/>
        </w:rPr>
        <w:t>AT&amp;T-Array Order</w:t>
      </w:r>
      <w:r>
        <w:t xml:space="preserve">); </w:t>
      </w:r>
      <w:r w:rsidRPr="001156BD">
        <w:rPr>
          <w:i/>
          <w:iCs/>
          <w:spacing w:val="-2"/>
        </w:rPr>
        <w:t>Applications of AT&amp;T Mobility II LLC and EchoStar Corporation for Consent to Assign Licenses</w:t>
      </w:r>
      <w:r>
        <w:rPr>
          <w:spacing w:val="-2"/>
        </w:rPr>
        <w:t xml:space="preserve">, WT Docket No. 25-303, </w:t>
      </w:r>
      <w:r w:rsidRPr="00A85508">
        <w:t>Memorandum Opinion and Order</w:t>
      </w:r>
      <w:r>
        <w:t>, DA 26-470 (WTB May 12, 2026) (</w:t>
      </w:r>
      <w:r w:rsidRPr="001156BD">
        <w:rPr>
          <w:i/>
          <w:iCs/>
        </w:rPr>
        <w:t>AT&amp;T-EchoStar</w:t>
      </w:r>
      <w:r>
        <w:t xml:space="preserve"> </w:t>
      </w:r>
      <w:r w:rsidRPr="00BA481B">
        <w:rPr>
          <w:i/>
          <w:iCs/>
        </w:rPr>
        <w:t>Order</w:t>
      </w:r>
      <w:r>
        <w:t>);</w:t>
      </w:r>
      <w:r>
        <w:rPr>
          <w:i/>
        </w:rPr>
        <w:t xml:space="preserve"> </w:t>
      </w:r>
      <w:r w:rsidRPr="001156BD">
        <w:rPr>
          <w:i/>
          <w:iCs/>
          <w:spacing w:val="-2"/>
        </w:rPr>
        <w:t>Applications of Spectrum Business Trust 2025-1, Space Exploration Technologies Corp., and EchoStar Corporation for Consent to Assign Spectrum and Earth Station Licenses</w:t>
      </w:r>
      <w:r w:rsidRPr="00E87206">
        <w:t>,</w:t>
      </w:r>
      <w:r w:rsidRPr="00A85508">
        <w:t xml:space="preserve"> </w:t>
      </w:r>
      <w:r>
        <w:t>GN</w:t>
      </w:r>
      <w:r w:rsidRPr="00A85508">
        <w:t xml:space="preserve"> Docket No. 25-</w:t>
      </w:r>
      <w:r>
        <w:t>302</w:t>
      </w:r>
      <w:r w:rsidRPr="00A85508">
        <w:t>, Memorandum Opinion and Order, DA</w:t>
      </w:r>
      <w:r>
        <w:t xml:space="preserve"> </w:t>
      </w:r>
      <w:r w:rsidRPr="00A85508">
        <w:t>26-</w:t>
      </w:r>
      <w:r>
        <w:t>471</w:t>
      </w:r>
      <w:r w:rsidRPr="00A85508">
        <w:t xml:space="preserve"> (WTB</w:t>
      </w:r>
      <w:r>
        <w:t>/SB</w:t>
      </w:r>
      <w:r w:rsidRPr="00A85508">
        <w:t xml:space="preserve"> </w:t>
      </w:r>
      <w:r>
        <w:t xml:space="preserve">May 12, </w:t>
      </w:r>
      <w:r w:rsidRPr="00A85508">
        <w:t>202</w:t>
      </w:r>
      <w:r>
        <w:t>6</w:t>
      </w:r>
      <w:r w:rsidRPr="00A85508">
        <w:t>)</w:t>
      </w:r>
      <w:r>
        <w:t xml:space="preserve"> (</w:t>
      </w:r>
      <w:r>
        <w:rPr>
          <w:i/>
          <w:iCs/>
        </w:rPr>
        <w:t>SpaceX</w:t>
      </w:r>
      <w:r w:rsidRPr="001C6276">
        <w:rPr>
          <w:i/>
          <w:iCs/>
        </w:rPr>
        <w:t>-</w:t>
      </w:r>
      <w:r>
        <w:rPr>
          <w:i/>
          <w:iCs/>
        </w:rPr>
        <w:t>EchoStar</w:t>
      </w:r>
      <w:r w:rsidRPr="001C6276">
        <w:rPr>
          <w:i/>
          <w:iCs/>
        </w:rPr>
        <w:t xml:space="preserve"> Order</w:t>
      </w:r>
      <w:r>
        <w:t>).</w:t>
      </w:r>
    </w:p>
  </w:footnote>
  <w:footnote w:id="7">
    <w:p w:rsidR="00A40FA9" w:rsidRPr="00D423D7" w:rsidP="00A40FA9" w14:paraId="20B49420" w14:textId="77777777">
      <w:pPr>
        <w:pStyle w:val="FootnoteText"/>
      </w:pPr>
      <w:r w:rsidRPr="00D423D7">
        <w:rPr>
          <w:rStyle w:val="FootnoteReference"/>
        </w:rPr>
        <w:footnoteRef/>
      </w:r>
      <w:r w:rsidRPr="00D423D7">
        <w:t xml:space="preserve"> </w:t>
      </w:r>
      <w:r w:rsidRPr="00D423D7">
        <w:rPr>
          <w:i/>
        </w:rPr>
        <w:t>See</w:t>
      </w:r>
      <w:r w:rsidRPr="00D423D7">
        <w:t xml:space="preserve"> </w:t>
      </w:r>
      <w:r w:rsidRPr="00D423D7">
        <w:t>Cellco</w:t>
      </w:r>
      <w:r w:rsidRPr="00D423D7">
        <w:t xml:space="preserve"> Partnership, FCC Form 602, </w:t>
      </w:r>
      <w:r>
        <w:t xml:space="preserve">ULS </w:t>
      </w:r>
      <w:r w:rsidRPr="00D423D7">
        <w:t xml:space="preserve">File No. 0011890471, Attach. </w:t>
      </w:r>
      <w:r>
        <w:t>A</w:t>
      </w:r>
      <w:r w:rsidRPr="00D423D7">
        <w:t xml:space="preserve"> (filed Jan. 30, 2026); Verizon Communications Inc., SEC Form 10-K at </w:t>
      </w:r>
      <w:r>
        <w:t>91</w:t>
      </w:r>
      <w:r w:rsidRPr="00D423D7">
        <w:t xml:space="preserve"> (filed Feb. 17, 2026), </w:t>
      </w:r>
      <w:hyperlink r:id="rId2" w:history="1">
        <w:r w:rsidRPr="00D423D7">
          <w:rPr>
            <w:rStyle w:val="Hyperlink"/>
          </w:rPr>
          <w:t>https://www.sec.gov/ix?doc=/Archives/edgar/data/0000732712/000073271226000007/vz-20251231.htm</w:t>
        </w:r>
      </w:hyperlink>
      <w:r w:rsidRPr="00D423D7">
        <w:t xml:space="preserve"> (Verizon Communications Inc. 10-K).</w:t>
      </w:r>
    </w:p>
  </w:footnote>
  <w:footnote w:id="8">
    <w:p w:rsidR="00A40FA9" w:rsidRPr="00D423D7" w:rsidP="00A40FA9" w14:paraId="4AA346D9" w14:textId="77777777">
      <w:pPr>
        <w:pStyle w:val="FootnoteText"/>
      </w:pPr>
      <w:r w:rsidRPr="00D423D7">
        <w:rPr>
          <w:rStyle w:val="FootnoteReference"/>
        </w:rPr>
        <w:footnoteRef/>
      </w:r>
      <w:r w:rsidRPr="00D423D7">
        <w:t xml:space="preserve"> Verizon Communications Inc. 10-K at 4.</w:t>
      </w:r>
    </w:p>
  </w:footnote>
  <w:footnote w:id="9">
    <w:p w:rsidR="00A40FA9" w:rsidRPr="00D423D7" w:rsidP="00A40FA9" w14:paraId="74E1C7A6" w14:textId="77777777">
      <w:pPr>
        <w:pStyle w:val="FootnoteText"/>
      </w:pPr>
      <w:r w:rsidRPr="00D423D7">
        <w:rPr>
          <w:rStyle w:val="FootnoteReference"/>
        </w:rPr>
        <w:footnoteRef/>
      </w:r>
      <w:r w:rsidRPr="00D423D7">
        <w:t xml:space="preserve"> </w:t>
      </w:r>
      <w:r w:rsidRPr="00E91395">
        <w:rPr>
          <w:i/>
          <w:iCs/>
        </w:rPr>
        <w:t>Id.</w:t>
      </w:r>
    </w:p>
  </w:footnote>
  <w:footnote w:id="10">
    <w:p w:rsidR="00A40FA9" w:rsidRPr="00D423D7" w:rsidP="00A40FA9" w14:paraId="14B51CD3" w14:textId="77777777">
      <w:pPr>
        <w:pStyle w:val="FootnoteText"/>
      </w:pPr>
      <w:r w:rsidRPr="00D423D7">
        <w:rPr>
          <w:rStyle w:val="FootnoteReference"/>
        </w:rPr>
        <w:footnoteRef/>
      </w:r>
      <w:r w:rsidRPr="00D423D7">
        <w:t xml:space="preserve"> </w:t>
      </w:r>
      <w:r w:rsidRPr="00E91395">
        <w:rPr>
          <w:i/>
          <w:iCs/>
        </w:rPr>
        <w:t>Id.</w:t>
      </w:r>
    </w:p>
  </w:footnote>
  <w:footnote w:id="11">
    <w:p w:rsidR="00A40FA9" w:rsidRPr="00D423D7" w:rsidP="00A40FA9" w14:paraId="031F8553" w14:textId="77777777">
      <w:pPr>
        <w:pStyle w:val="FootnoteText"/>
      </w:pPr>
      <w:r w:rsidRPr="00D423D7">
        <w:rPr>
          <w:rStyle w:val="FootnoteReference"/>
        </w:rPr>
        <w:footnoteRef/>
      </w:r>
      <w:r w:rsidRPr="00D423D7">
        <w:t xml:space="preserve"> </w:t>
      </w:r>
      <w:r w:rsidRPr="00D423D7">
        <w:rPr>
          <w:i/>
        </w:rPr>
        <w:t>See</w:t>
      </w:r>
      <w:r w:rsidRPr="00D423D7">
        <w:t xml:space="preserve"> </w:t>
      </w:r>
      <w:r w:rsidRPr="00D423D7">
        <w:t>UScellular</w:t>
      </w:r>
      <w:r w:rsidRPr="00D423D7">
        <w:t>, SEC Form 10-K at 1</w:t>
      </w:r>
      <w:r>
        <w:t>–</w:t>
      </w:r>
      <w:r w:rsidRPr="00D423D7">
        <w:t xml:space="preserve">3 (filed Feb. 21, 2025), </w:t>
      </w:r>
      <w:hyperlink r:id="rId3" w:history="1">
        <w:r w:rsidRPr="00D423D7">
          <w:rPr>
            <w:rStyle w:val="Hyperlink"/>
          </w:rPr>
          <w:t>https://www.sec.gov/Archives/edgar/data/821130/000082113025000023/usm-20241231.htm</w:t>
        </w:r>
      </w:hyperlink>
      <w:r w:rsidRPr="00D423D7">
        <w:t xml:space="preserve">.  </w:t>
      </w:r>
      <w:r w:rsidRPr="00D423D7">
        <w:t>UScellular’s</w:t>
      </w:r>
      <w:r w:rsidRPr="00D423D7">
        <w:t xml:space="preserve"> wireless service offerings included prepaid and postpaid wireless services and wireless voice, data, and messaging services.  </w:t>
      </w:r>
      <w:r w:rsidRPr="00D423D7">
        <w:rPr>
          <w:i/>
        </w:rPr>
        <w:t>Id</w:t>
      </w:r>
      <w:r w:rsidRPr="00D423D7">
        <w:rPr>
          <w:iCs/>
        </w:rPr>
        <w:t>.</w:t>
      </w:r>
      <w:r w:rsidRPr="00D423D7">
        <w:rPr>
          <w:i/>
        </w:rPr>
        <w:t xml:space="preserve"> </w:t>
      </w:r>
      <w:r w:rsidRPr="00D423D7">
        <w:rPr>
          <w:iCs/>
        </w:rPr>
        <w:t>at 3, 65.</w:t>
      </w:r>
    </w:p>
  </w:footnote>
  <w:footnote w:id="12">
    <w:p w:rsidR="00A40FA9" w:rsidRPr="00D423D7" w:rsidP="00A40FA9" w14:paraId="6B4A7D3E" w14:textId="77777777">
      <w:pPr>
        <w:pStyle w:val="FootnoteText"/>
      </w:pPr>
      <w:r w:rsidRPr="00D423D7">
        <w:rPr>
          <w:rStyle w:val="FootnoteReference"/>
        </w:rPr>
        <w:footnoteRef/>
      </w:r>
      <w:r w:rsidRPr="00D423D7">
        <w:t xml:space="preserve"> </w:t>
      </w:r>
      <w:r w:rsidRPr="00D423D7">
        <w:rPr>
          <w:i/>
          <w:iCs/>
        </w:rPr>
        <w:t xml:space="preserve">See </w:t>
      </w:r>
      <w:r w:rsidRPr="00D423D7">
        <w:t xml:space="preserve">Array Digital Infrastructure, Inc., SEC Form 10-K at 1 (filed Feb. 20, 2026), </w:t>
      </w:r>
      <w:hyperlink r:id="rId4" w:history="1">
        <w:r w:rsidRPr="00D423D7">
          <w:rPr>
            <w:rStyle w:val="Hyperlink"/>
          </w:rPr>
          <w:t>https://www.sec.gov/ix?doc=/Archives/edgar/data/0000821130/000082113026000012/ad-20251231.htm</w:t>
        </w:r>
      </w:hyperlink>
      <w:r w:rsidRPr="00D423D7">
        <w:t xml:space="preserve"> (Array 10-K); News Release, Telephone and Data Systems, Inc. and </w:t>
      </w:r>
      <w:r w:rsidRPr="00D423D7">
        <w:t>UScellular</w:t>
      </w:r>
      <w:r w:rsidRPr="00D423D7">
        <w:t xml:space="preserve">, </w:t>
      </w:r>
      <w:r w:rsidRPr="0097776A">
        <w:t>UScellular</w:t>
      </w:r>
      <w:r w:rsidRPr="0097776A">
        <w:t xml:space="preserve"> Completes Sale of Wireless Operations</w:t>
      </w:r>
      <w:r w:rsidRPr="00823D00">
        <w:t xml:space="preserve"> </w:t>
      </w:r>
      <w:r w:rsidRPr="00D423D7">
        <w:t xml:space="preserve">(Aug. 1, 2025), </w:t>
      </w:r>
      <w:hyperlink r:id="rId5" w:history="1">
        <w:r w:rsidRPr="00D423D7">
          <w:rPr>
            <w:rStyle w:val="Hyperlink"/>
          </w:rPr>
          <w:t>https://www.prnewswire.com/news-releases/uscellular-completes-sale-of-wireless-operations-302519634.html</w:t>
        </w:r>
      </w:hyperlink>
      <w:r w:rsidRPr="00D423D7">
        <w:t xml:space="preserve"> (TDS and </w:t>
      </w:r>
      <w:r w:rsidRPr="00D423D7">
        <w:t>UScellular</w:t>
      </w:r>
      <w:r w:rsidRPr="00D423D7">
        <w:t xml:space="preserve"> Aug. 1 News Release)</w:t>
      </w:r>
      <w:r>
        <w:t>.</w:t>
      </w:r>
    </w:p>
  </w:footnote>
  <w:footnote w:id="13">
    <w:p w:rsidR="00A40FA9" w:rsidP="00A40FA9" w14:paraId="23B3A74B" w14:textId="77777777">
      <w:pPr>
        <w:pStyle w:val="FootnoteText"/>
      </w:pPr>
      <w:r>
        <w:rPr>
          <w:rStyle w:val="FootnoteReference"/>
        </w:rPr>
        <w:footnoteRef/>
      </w:r>
      <w:r w:rsidRPr="001C6276">
        <w:rPr>
          <w:i/>
          <w:iCs/>
        </w:rPr>
        <w:t>AT&amp;T-Array Order</w:t>
      </w:r>
      <w:r>
        <w:t xml:space="preserve"> (</w:t>
      </w:r>
      <w:r w:rsidRPr="004B3B98">
        <w:t>consent</w:t>
      </w:r>
      <w:r>
        <w:t>ing</w:t>
      </w:r>
      <w:r w:rsidRPr="004B3B98">
        <w:t xml:space="preserve"> to </w:t>
      </w:r>
      <w:r>
        <w:t xml:space="preserve">the </w:t>
      </w:r>
      <w:r w:rsidRPr="004B3B98">
        <w:t>assign</w:t>
      </w:r>
      <w:r>
        <w:t>ment of</w:t>
      </w:r>
      <w:r w:rsidRPr="004B3B98">
        <w:t xml:space="preserve"> several Lower 700 MHz and 3.45 GHz licenses from of Array to AT&amp;T</w:t>
      </w:r>
      <w:r>
        <w:t xml:space="preserve">); </w:t>
      </w:r>
      <w:r>
        <w:rPr>
          <w:i/>
        </w:rPr>
        <w:t>s</w:t>
      </w:r>
      <w:r w:rsidRPr="00BB7D3E">
        <w:rPr>
          <w:i/>
        </w:rPr>
        <w:t>ee</w:t>
      </w:r>
      <w:r>
        <w:rPr>
          <w:i/>
        </w:rPr>
        <w:t xml:space="preserve"> also</w:t>
      </w:r>
      <w:r w:rsidRPr="002C6EC4">
        <w:rPr>
          <w:i/>
        </w:rPr>
        <w:t>,</w:t>
      </w:r>
      <w:r>
        <w:t xml:space="preserve"> </w:t>
      </w:r>
      <w:r w:rsidRPr="00BB7D3E">
        <w:rPr>
          <w:i/>
        </w:rPr>
        <w:t>e.g.</w:t>
      </w:r>
      <w:r>
        <w:t>, ULS File No. 0011870600 (filed Jan.16, 2026) (specifying a consummation date of January 13, 2026).</w:t>
      </w:r>
    </w:p>
  </w:footnote>
  <w:footnote w:id="14">
    <w:p w:rsidR="00A40FA9" w:rsidRPr="00D423D7" w:rsidP="00A40FA9" w14:paraId="3E25A4B7" w14:textId="77777777">
      <w:pPr>
        <w:pStyle w:val="FootnoteText"/>
      </w:pPr>
      <w:r w:rsidRPr="00D423D7">
        <w:rPr>
          <w:rStyle w:val="FootnoteReference"/>
        </w:rPr>
        <w:footnoteRef/>
      </w:r>
      <w:r w:rsidRPr="00D423D7">
        <w:t xml:space="preserve"> Array 10-K at 1.  Array</w:t>
      </w:r>
      <w:r w:rsidRPr="00D423D7">
        <w:t xml:space="preserve"> </w:t>
      </w:r>
      <w:r w:rsidRPr="00D423D7">
        <w:t xml:space="preserve">also holds noncontrolling investment interests in primarily wireless operating companies, and spectrum holdings across various bands.  </w:t>
      </w:r>
      <w:r w:rsidRPr="00E91395">
        <w:rPr>
          <w:i/>
          <w:iCs/>
        </w:rPr>
        <w:t>Id.</w:t>
      </w:r>
      <w:r w:rsidRPr="00D423D7">
        <w:t xml:space="preserve"> at 16; </w:t>
      </w:r>
      <w:r w:rsidRPr="00D423D7">
        <w:rPr>
          <w:i/>
          <w:iCs/>
        </w:rPr>
        <w:t>see</w:t>
      </w:r>
      <w:r w:rsidRPr="00D423D7">
        <w:rPr>
          <w:i/>
        </w:rPr>
        <w:t xml:space="preserve"> </w:t>
      </w:r>
      <w:r w:rsidRPr="00D423D7">
        <w:t xml:space="preserve">TDS and </w:t>
      </w:r>
      <w:r w:rsidRPr="00D423D7">
        <w:t>UScellular</w:t>
      </w:r>
      <w:r w:rsidRPr="00D423D7">
        <w:t xml:space="preserve"> Aug. 1 News Release</w:t>
      </w:r>
      <w:r w:rsidRPr="00D423D7">
        <w:rPr>
          <w:i/>
        </w:rPr>
        <w:t>.</w:t>
      </w:r>
    </w:p>
  </w:footnote>
  <w:footnote w:id="15">
    <w:p w:rsidR="00A40FA9" w:rsidRPr="00D423D7" w:rsidP="00A40FA9" w14:paraId="452CCA5C" w14:textId="77777777">
      <w:pPr>
        <w:pStyle w:val="FootnoteText"/>
      </w:pPr>
      <w:r w:rsidRPr="00D423D7">
        <w:rPr>
          <w:rStyle w:val="FootnoteReference"/>
        </w:rPr>
        <w:footnoteRef/>
      </w:r>
      <w:r w:rsidRPr="00D423D7">
        <w:t xml:space="preserve"> </w:t>
      </w:r>
      <w:r w:rsidRPr="00082876">
        <w:rPr>
          <w:i/>
        </w:rPr>
        <w:t>See</w:t>
      </w:r>
      <w:r w:rsidRPr="00082876">
        <w:t xml:space="preserve"> Array</w:t>
      </w:r>
      <w:r w:rsidRPr="00D423D7">
        <w:t xml:space="preserve"> 10-K at 45; Array,</w:t>
      </w:r>
      <w:r>
        <w:t xml:space="preserve"> </w:t>
      </w:r>
      <w:r w:rsidRPr="0097776A">
        <w:rPr>
          <w:i/>
          <w:iCs/>
        </w:rPr>
        <w:t>About Array</w:t>
      </w:r>
      <w:r>
        <w:t>,</w:t>
      </w:r>
      <w:r w:rsidRPr="00D423D7">
        <w:t xml:space="preserve"> </w:t>
      </w:r>
      <w:hyperlink r:id="rId6" w:history="1">
        <w:r w:rsidRPr="00D423D7">
          <w:rPr>
            <w:rStyle w:val="Hyperlink"/>
          </w:rPr>
          <w:t>https://www.arr</w:t>
        </w:r>
        <w:bookmarkStart w:id="46" w:name="_Hlt227153158"/>
        <w:bookmarkStart w:id="47" w:name="_Hlt227153159"/>
        <w:r w:rsidRPr="00D423D7">
          <w:rPr>
            <w:rStyle w:val="Hyperlink"/>
          </w:rPr>
          <w:t>a</w:t>
        </w:r>
        <w:bookmarkEnd w:id="46"/>
        <w:bookmarkEnd w:id="47"/>
        <w:r w:rsidRPr="00D423D7">
          <w:rPr>
            <w:rStyle w:val="Hyperlink"/>
          </w:rPr>
          <w:t>yinc.com/a</w:t>
        </w:r>
        <w:bookmarkStart w:id="48" w:name="_Hlt214357626"/>
        <w:bookmarkStart w:id="49" w:name="_Hlt214357627"/>
        <w:r w:rsidRPr="00D423D7">
          <w:rPr>
            <w:rStyle w:val="Hyperlink"/>
          </w:rPr>
          <w:t>b</w:t>
        </w:r>
        <w:bookmarkEnd w:id="48"/>
        <w:bookmarkEnd w:id="49"/>
        <w:r w:rsidRPr="00D423D7">
          <w:rPr>
            <w:rStyle w:val="Hyperlink"/>
          </w:rPr>
          <w:t>out/</w:t>
        </w:r>
      </w:hyperlink>
      <w:r w:rsidRPr="00D423D7">
        <w:t xml:space="preserve"> (last visited</w:t>
      </w:r>
      <w:r w:rsidRPr="00D423D7">
        <w:t xml:space="preserve"> </w:t>
      </w:r>
      <w:r>
        <w:t>May 12</w:t>
      </w:r>
      <w:r w:rsidRPr="00D423D7">
        <w:t>, 2026).</w:t>
      </w:r>
    </w:p>
  </w:footnote>
  <w:footnote w:id="16">
    <w:p w:rsidR="00A40FA9" w:rsidRPr="00D423D7" w:rsidP="00A40FA9" w14:paraId="625C0901" w14:textId="77777777">
      <w:pPr>
        <w:pStyle w:val="FootnoteText"/>
      </w:pPr>
      <w:r w:rsidRPr="00D423D7">
        <w:rPr>
          <w:rStyle w:val="FootnoteReference"/>
        </w:rPr>
        <w:footnoteRef/>
      </w:r>
      <w:r w:rsidRPr="00D423D7">
        <w:t xml:space="preserve"> Array, </w:t>
      </w:r>
      <w:r w:rsidRPr="0097776A">
        <w:rPr>
          <w:i/>
          <w:iCs/>
        </w:rPr>
        <w:t xml:space="preserve">Array Reports </w:t>
      </w:r>
      <w:r>
        <w:rPr>
          <w:i/>
          <w:iCs/>
        </w:rPr>
        <w:t>First</w:t>
      </w:r>
      <w:r w:rsidRPr="0097776A">
        <w:rPr>
          <w:i/>
          <w:iCs/>
        </w:rPr>
        <w:t xml:space="preserve"> Quarter </w:t>
      </w:r>
      <w:r>
        <w:rPr>
          <w:i/>
          <w:iCs/>
        </w:rPr>
        <w:t>2026</w:t>
      </w:r>
      <w:r w:rsidRPr="0097776A">
        <w:rPr>
          <w:i/>
          <w:iCs/>
        </w:rPr>
        <w:t xml:space="preserve"> </w:t>
      </w:r>
      <w:r w:rsidRPr="00482823">
        <w:rPr>
          <w:i/>
          <w:iCs/>
        </w:rPr>
        <w:t>Results</w:t>
      </w:r>
      <w:r w:rsidRPr="00482823">
        <w:t xml:space="preserve"> (May 8, 2026),</w:t>
      </w:r>
      <w:r>
        <w:t xml:space="preserve"> </w:t>
      </w:r>
      <w:hyperlink r:id="rId7" w:history="1">
        <w:r w:rsidRPr="00434E44">
          <w:rPr>
            <w:rStyle w:val="Hyperlink"/>
          </w:rPr>
          <w:t>https://investors.arrayinc.com/news/news-details/2026/Array-reports-first-quarter-2026-results/default.aspx</w:t>
        </w:r>
      </w:hyperlink>
      <w:r>
        <w:t>.</w:t>
      </w:r>
    </w:p>
  </w:footnote>
  <w:footnote w:id="17">
    <w:p w:rsidR="00A40FA9" w:rsidRPr="00212FDB" w:rsidP="00A40FA9" w14:paraId="7FD2668B" w14:textId="77777777">
      <w:pPr>
        <w:pStyle w:val="FootnoteText"/>
        <w:rPr>
          <w:color w:val="000000"/>
        </w:rPr>
      </w:pPr>
      <w:r w:rsidRPr="00212FDB">
        <w:rPr>
          <w:rStyle w:val="FootnoteReference"/>
          <w:color w:val="000000"/>
        </w:rPr>
        <w:footnoteRef/>
      </w:r>
      <w:r w:rsidRPr="00212FDB">
        <w:rPr>
          <w:color w:val="000000"/>
        </w:rPr>
        <w:t xml:space="preserve"> 47 U.S.C. § 310(d).</w:t>
      </w:r>
    </w:p>
  </w:footnote>
  <w:footnote w:id="18">
    <w:p w:rsidR="00A40FA9" w:rsidRPr="00212FDB" w:rsidP="00A40FA9" w14:paraId="45B4D403" w14:textId="77777777">
      <w:pPr>
        <w:pStyle w:val="FootnoteText"/>
        <w:rPr>
          <w:color w:val="000000"/>
        </w:rPr>
      </w:pPr>
      <w:r w:rsidRPr="00212FDB">
        <w:rPr>
          <w:rStyle w:val="FootnoteReference"/>
          <w:color w:val="000000"/>
        </w:rPr>
        <w:footnoteRef/>
      </w:r>
      <w:r w:rsidRPr="00212FDB">
        <w:rPr>
          <w:color w:val="000000"/>
        </w:rPr>
        <w:t xml:space="preserve"> </w:t>
      </w:r>
      <w:r w:rsidRPr="00212FDB">
        <w:rPr>
          <w:i/>
          <w:iCs/>
          <w:color w:val="000000"/>
        </w:rPr>
        <w:t>See</w:t>
      </w:r>
      <w:r w:rsidRPr="003F04E9">
        <w:rPr>
          <w:i/>
          <w:iCs/>
          <w:color w:val="000000"/>
        </w:rPr>
        <w:t>,</w:t>
      </w:r>
      <w:r w:rsidRPr="00212FDB">
        <w:rPr>
          <w:i/>
          <w:iCs/>
          <w:color w:val="000000"/>
        </w:rPr>
        <w:t xml:space="preserve"> e.g.</w:t>
      </w:r>
      <w:r w:rsidRPr="00212FDB">
        <w:rPr>
          <w:color w:val="000000"/>
        </w:rPr>
        <w:t>,</w:t>
      </w:r>
      <w:r w:rsidRPr="00212FDB">
        <w:rPr>
          <w:i/>
          <w:iCs/>
          <w:color w:val="000000"/>
        </w:rPr>
        <w:t xml:space="preserve"> </w:t>
      </w:r>
      <w:r w:rsidRPr="00212FDB">
        <w:rPr>
          <w:color w:val="000000"/>
        </w:rPr>
        <w:t>ULS File No. 0011491372, Description of Transaction and</w:t>
      </w:r>
      <w:r w:rsidRPr="002C6EC4">
        <w:rPr>
          <w:color w:val="000000"/>
        </w:rPr>
        <w:t xml:space="preserve"> Public Interest Statement</w:t>
      </w:r>
      <w:r w:rsidRPr="00212FDB">
        <w:rPr>
          <w:color w:val="000000"/>
        </w:rPr>
        <w:t xml:space="preserve"> at 1, Schedule A (Licenses), </w:t>
      </w:r>
      <w:r w:rsidRPr="00212FDB">
        <w:rPr>
          <w:color w:val="000000"/>
        </w:rPr>
        <w:t>Exh</w:t>
      </w:r>
      <w:r w:rsidRPr="00212FDB">
        <w:rPr>
          <w:color w:val="000000"/>
        </w:rPr>
        <w:t xml:space="preserve">. 2 (Spectrum Aggregation) </w:t>
      </w:r>
      <w:r w:rsidRPr="00D423D7">
        <w:t>(amended Mar</w:t>
      </w:r>
      <w:r>
        <w:t>.</w:t>
      </w:r>
      <w:r w:rsidRPr="00D423D7">
        <w:t xml:space="preserve"> 4, 2026) (</w:t>
      </w:r>
      <w:r w:rsidRPr="00D423D7">
        <w:t>Exh</w:t>
      </w:r>
      <w:r w:rsidRPr="00D423D7">
        <w:t>. 2 (Amended Spectrum Aggregation))</w:t>
      </w:r>
      <w:r>
        <w:t xml:space="preserve"> (Public Interest Statement)</w:t>
      </w:r>
      <w:r w:rsidRPr="00212FDB">
        <w:rPr>
          <w:color w:val="000000"/>
        </w:rPr>
        <w:t>.</w:t>
      </w:r>
    </w:p>
  </w:footnote>
  <w:footnote w:id="19">
    <w:p w:rsidR="00A40FA9" w:rsidRPr="00D423D7" w:rsidP="00A40FA9" w14:paraId="4536581F" w14:textId="77777777">
      <w:pPr>
        <w:pStyle w:val="FootnoteText"/>
      </w:pPr>
      <w:r w:rsidRPr="00D423D7">
        <w:rPr>
          <w:rStyle w:val="FootnoteReference"/>
        </w:rPr>
        <w:footnoteRef/>
      </w:r>
      <w:r w:rsidRPr="00D423D7">
        <w:t xml:space="preserve"> </w:t>
      </w:r>
      <w:r w:rsidRPr="00D423D7">
        <w:rPr>
          <w:i/>
          <w:iCs/>
        </w:rPr>
        <w:t>See</w:t>
      </w:r>
      <w:r w:rsidRPr="003F04E9">
        <w:rPr>
          <w:i/>
          <w:iCs/>
        </w:rPr>
        <w:t>,</w:t>
      </w:r>
      <w:r w:rsidRPr="00D423D7">
        <w:rPr>
          <w:i/>
          <w:iCs/>
        </w:rPr>
        <w:t xml:space="preserve"> e.g.</w:t>
      </w:r>
      <w:r w:rsidRPr="00D423D7">
        <w:t xml:space="preserve">, </w:t>
      </w:r>
      <w:r w:rsidRPr="00E91395">
        <w:rPr>
          <w:i/>
          <w:iCs/>
        </w:rPr>
        <w:t>id.</w:t>
      </w:r>
      <w:r w:rsidRPr="00D423D7">
        <w:t xml:space="preserve"> at 1, </w:t>
      </w:r>
      <w:r w:rsidRPr="00D423D7">
        <w:t>Exh</w:t>
      </w:r>
      <w:r w:rsidRPr="00D423D7">
        <w:t xml:space="preserve">. </w:t>
      </w:r>
      <w:r w:rsidRPr="00D423D7">
        <w:t>2 (Amended Spectrum Aggregation).</w:t>
      </w:r>
    </w:p>
  </w:footnote>
  <w:footnote w:id="20">
    <w:p w:rsidR="00A40FA9" w:rsidRPr="00D423D7" w:rsidP="00A40FA9" w14:paraId="50DF7FB7" w14:textId="77777777">
      <w:pPr>
        <w:pStyle w:val="FootnoteText"/>
      </w:pPr>
      <w:r w:rsidRPr="00D423D7">
        <w:rPr>
          <w:rStyle w:val="FootnoteReference"/>
        </w:rPr>
        <w:footnoteRef/>
      </w:r>
      <w:r w:rsidRPr="00D423D7">
        <w:t xml:space="preserve"> Joint Opposition at 4</w:t>
      </w:r>
      <w:r>
        <w:t>–</w:t>
      </w:r>
      <w:r w:rsidRPr="00D423D7">
        <w:t xml:space="preserve">5. </w:t>
      </w:r>
    </w:p>
  </w:footnote>
  <w:footnote w:id="21">
    <w:p w:rsidR="00A40FA9" w:rsidRPr="00D423D7" w:rsidP="00A40FA9" w14:paraId="2933833F" w14:textId="77777777">
      <w:pPr>
        <w:pStyle w:val="FootnoteText"/>
      </w:pPr>
      <w:r w:rsidRPr="00D423D7">
        <w:rPr>
          <w:rStyle w:val="FootnoteReference"/>
        </w:rPr>
        <w:footnoteRef/>
      </w:r>
      <w:r w:rsidRPr="00D423D7">
        <w:t xml:space="preserve"> </w:t>
      </w:r>
      <w:r w:rsidRPr="00212FDB">
        <w:rPr>
          <w:i/>
          <w:iCs/>
          <w:color w:val="000000"/>
        </w:rPr>
        <w:t>See</w:t>
      </w:r>
      <w:r w:rsidRPr="00212FDB">
        <w:rPr>
          <w:color w:val="000000"/>
        </w:rPr>
        <w:t xml:space="preserve"> </w:t>
      </w:r>
      <w:r w:rsidRPr="00D423D7">
        <w:t>Public Interest Statement</w:t>
      </w:r>
      <w:r w:rsidRPr="00212FDB">
        <w:rPr>
          <w:color w:val="000000"/>
        </w:rPr>
        <w:t xml:space="preserve"> at 1.  </w:t>
      </w:r>
    </w:p>
  </w:footnote>
  <w:footnote w:id="22">
    <w:p w:rsidR="00A40FA9" w:rsidRPr="00D423D7" w:rsidP="00A40FA9" w14:paraId="383ED3B7" w14:textId="77777777">
      <w:pPr>
        <w:spacing w:after="120"/>
        <w:rPr>
          <w:sz w:val="20"/>
        </w:rPr>
      </w:pPr>
      <w:r w:rsidRPr="00D423D7">
        <w:rPr>
          <w:rStyle w:val="FootnoteReference"/>
          <w:snapToGrid/>
          <w:kern w:val="0"/>
        </w:rPr>
        <w:footnoteRef/>
      </w:r>
      <w:r w:rsidRPr="00D423D7">
        <w:rPr>
          <w:sz w:val="20"/>
        </w:rPr>
        <w:t xml:space="preserve"> </w:t>
      </w:r>
      <w:r w:rsidRPr="00D423D7">
        <w:rPr>
          <w:i/>
          <w:iCs/>
          <w:sz w:val="20"/>
        </w:rPr>
        <w:t xml:space="preserve">Wireless Telecommunications Bureau Accepts for Filing </w:t>
      </w:r>
      <w:r w:rsidRPr="00D423D7">
        <w:rPr>
          <w:i/>
          <w:iCs/>
          <w:sz w:val="20"/>
        </w:rPr>
        <w:t>Cellco</w:t>
      </w:r>
      <w:r w:rsidRPr="00D423D7">
        <w:rPr>
          <w:i/>
          <w:iCs/>
          <w:sz w:val="20"/>
        </w:rPr>
        <w:t xml:space="preserve"> Partnership’s and United States Cellular Corporation’s Spectrum Assignment Applications</w:t>
      </w:r>
      <w:r w:rsidRPr="00D423D7">
        <w:rPr>
          <w:sz w:val="20"/>
        </w:rPr>
        <w:t>, WT Docket No. 25-192, Public Notice, DA 25-491 (WTB June 6, 2025)</w:t>
      </w:r>
      <w:r w:rsidRPr="00D423D7">
        <w:rPr>
          <w:rFonts w:eastAsia="Calibri"/>
          <w:snapToGrid/>
          <w:kern w:val="0"/>
          <w:sz w:val="20"/>
        </w:rPr>
        <w:t xml:space="preserve">.  </w:t>
      </w:r>
    </w:p>
  </w:footnote>
  <w:footnote w:id="23">
    <w:p w:rsidR="00A40FA9" w:rsidRPr="00D423D7" w:rsidP="00A40FA9" w14:paraId="5D4CE66D" w14:textId="77777777">
      <w:pPr>
        <w:pStyle w:val="FootnoteText"/>
      </w:pPr>
      <w:r w:rsidRPr="00D423D7">
        <w:rPr>
          <w:rStyle w:val="FootnoteReference"/>
        </w:rPr>
        <w:footnoteRef/>
      </w:r>
      <w:r w:rsidRPr="00D423D7">
        <w:t xml:space="preserve"> </w:t>
      </w:r>
      <w:r>
        <w:t xml:space="preserve">The Petitions to Deny were filed by Rural Wireless Association (RWA) and, jointly, by </w:t>
      </w:r>
      <w:r w:rsidRPr="00EA7ABF">
        <w:t>Public Knowledge, Open Technology Institute at New America</w:t>
      </w:r>
      <w:r>
        <w:t xml:space="preserve"> (OTI)</w:t>
      </w:r>
      <w:r w:rsidRPr="00EA7ABF">
        <w:t>, and Benton Institute for Broadband &amp; Society</w:t>
      </w:r>
      <w:r>
        <w:t xml:space="preserve"> (Benton).  </w:t>
      </w:r>
      <w:r w:rsidRPr="00D423D7">
        <w:t>RWA Petition to Deny</w:t>
      </w:r>
      <w:r>
        <w:t>, WT</w:t>
      </w:r>
      <w:r w:rsidRPr="00040B3C">
        <w:t xml:space="preserve"> Docket Nos. </w:t>
      </w:r>
      <w:r>
        <w:t>25</w:t>
      </w:r>
      <w:r w:rsidRPr="00040B3C">
        <w:t>-</w:t>
      </w:r>
      <w:r>
        <w:t>192</w:t>
      </w:r>
      <w:r w:rsidRPr="00040B3C">
        <w:t xml:space="preserve"> and </w:t>
      </w:r>
      <w:r>
        <w:t>25</w:t>
      </w:r>
      <w:r w:rsidRPr="00040B3C">
        <w:t>-</w:t>
      </w:r>
      <w:r>
        <w:t>150</w:t>
      </w:r>
      <w:r w:rsidRPr="00040B3C">
        <w:t xml:space="preserve">, </w:t>
      </w:r>
      <w:r>
        <w:t>GN</w:t>
      </w:r>
      <w:r w:rsidRPr="00040B3C">
        <w:t xml:space="preserve"> Docket No. </w:t>
      </w:r>
      <w:r>
        <w:t>24-286</w:t>
      </w:r>
      <w:r w:rsidRPr="00040B3C">
        <w:t xml:space="preserve"> (rec. </w:t>
      </w:r>
      <w:r w:rsidRPr="00D423D7">
        <w:t>July 7, 2025</w:t>
      </w:r>
      <w:r w:rsidRPr="00040B3C">
        <w:t>)</w:t>
      </w:r>
      <w:r>
        <w:t xml:space="preserve"> (</w:t>
      </w:r>
      <w:r w:rsidRPr="00D423D7">
        <w:t>RWA Petition to Deny</w:t>
      </w:r>
      <w:r w:rsidRPr="00D423D7">
        <w:t>)</w:t>
      </w:r>
      <w:r w:rsidRPr="00D423D7">
        <w:t>; Public Knowledge, OTI, and Benton, Petition to Deny</w:t>
      </w:r>
      <w:r>
        <w:t>, WT</w:t>
      </w:r>
      <w:r w:rsidRPr="00040B3C">
        <w:t xml:space="preserve"> Docket Nos. </w:t>
      </w:r>
      <w:r>
        <w:t>25</w:t>
      </w:r>
      <w:r w:rsidRPr="00040B3C">
        <w:t>-</w:t>
      </w:r>
      <w:r>
        <w:t>192</w:t>
      </w:r>
      <w:r w:rsidRPr="00040B3C">
        <w:t xml:space="preserve"> and </w:t>
      </w:r>
      <w:r>
        <w:t>25</w:t>
      </w:r>
      <w:r w:rsidRPr="00040B3C">
        <w:t>-</w:t>
      </w:r>
      <w:r>
        <w:t>150</w:t>
      </w:r>
      <w:r w:rsidRPr="00040B3C">
        <w:t xml:space="preserve">, </w:t>
      </w:r>
      <w:r>
        <w:t>GN</w:t>
      </w:r>
      <w:r w:rsidRPr="00040B3C">
        <w:t xml:space="preserve"> Docket No. </w:t>
      </w:r>
      <w:r>
        <w:t>24-286</w:t>
      </w:r>
      <w:r w:rsidRPr="00040B3C">
        <w:t xml:space="preserve"> (rec. </w:t>
      </w:r>
      <w:r w:rsidRPr="00D423D7">
        <w:t xml:space="preserve">July 7, 2025) </w:t>
      </w:r>
      <w:r w:rsidRPr="00D423D7">
        <w:t>(Public Knowledge et al. Petition to Deny)</w:t>
      </w:r>
      <w:r>
        <w:t xml:space="preserve">.  The Petition to Hold in Abeyance was filed jointly by Mark J. O’Connor and Sara Leibman.  </w:t>
      </w:r>
      <w:r w:rsidRPr="00D423D7">
        <w:t xml:space="preserve">Mark J. O’Connor and Sara Leibman Petition to Hold in Abeyance </w:t>
      </w:r>
      <w:r w:rsidRPr="00D423D7">
        <w:t>(</w:t>
      </w:r>
      <w:r w:rsidRPr="00D423D7">
        <w:t>O’Connor Leibman Abeyance Petition).</w:t>
      </w:r>
    </w:p>
  </w:footnote>
  <w:footnote w:id="24">
    <w:p w:rsidR="00A40FA9" w:rsidRPr="00D423D7" w:rsidP="00A40FA9" w14:paraId="6A30C05B" w14:textId="77777777">
      <w:pPr>
        <w:pStyle w:val="FootnoteText"/>
      </w:pPr>
      <w:r w:rsidRPr="00D423D7">
        <w:rPr>
          <w:rStyle w:val="FootnoteReference"/>
        </w:rPr>
        <w:footnoteRef/>
      </w:r>
      <w:r w:rsidRPr="00D423D7">
        <w:t xml:space="preserve"> </w:t>
      </w:r>
      <w:r w:rsidRPr="00D423D7">
        <w:t>UScellular</w:t>
      </w:r>
      <w:r w:rsidRPr="00D423D7">
        <w:t xml:space="preserve"> Opposition to Petition to Hold in Abeyance</w:t>
      </w:r>
      <w:r>
        <w:t xml:space="preserve"> (</w:t>
      </w:r>
      <w:r w:rsidRPr="00D423D7">
        <w:t>UScellular</w:t>
      </w:r>
      <w:r w:rsidRPr="00D423D7">
        <w:t xml:space="preserve"> Opposition</w:t>
      </w:r>
      <w:r w:rsidRPr="00D423D7">
        <w:t>)</w:t>
      </w:r>
      <w:r w:rsidRPr="00D423D7">
        <w:t>;</w:t>
      </w:r>
      <w:r w:rsidRPr="00D423D7">
        <w:t xml:space="preserve"> Joint Opposition</w:t>
      </w:r>
      <w:r w:rsidRPr="00D423D7">
        <w:t>.</w:t>
      </w:r>
    </w:p>
  </w:footnote>
  <w:footnote w:id="25">
    <w:p w:rsidR="00A40FA9" w:rsidRPr="00D423D7" w:rsidP="00A40FA9" w14:paraId="6B505E50" w14:textId="77777777">
      <w:pPr>
        <w:pStyle w:val="FootnoteText"/>
      </w:pPr>
      <w:r w:rsidRPr="00D423D7">
        <w:rPr>
          <w:rStyle w:val="FootnoteReference"/>
        </w:rPr>
        <w:footnoteRef/>
      </w:r>
      <w:r w:rsidRPr="00D423D7">
        <w:t xml:space="preserve"> Mark J. O’Connor and Sara Leibman Reply to Opposition </w:t>
      </w:r>
      <w:r w:rsidRPr="00D423D7">
        <w:t>(</w:t>
      </w:r>
      <w:r w:rsidRPr="00D423D7">
        <w:t xml:space="preserve">O’Connor Leibman Reply); RWA </w:t>
      </w:r>
      <w:r>
        <w:t>Reply to Opposition, WT</w:t>
      </w:r>
      <w:r w:rsidRPr="00040B3C">
        <w:t xml:space="preserve"> Docket Nos. </w:t>
      </w:r>
      <w:r>
        <w:t>25</w:t>
      </w:r>
      <w:r w:rsidRPr="00040B3C">
        <w:t>-</w:t>
      </w:r>
      <w:r>
        <w:t>192</w:t>
      </w:r>
      <w:r w:rsidRPr="00040B3C">
        <w:t xml:space="preserve"> and </w:t>
      </w:r>
      <w:r>
        <w:t>25</w:t>
      </w:r>
      <w:r w:rsidRPr="00040B3C">
        <w:t>-</w:t>
      </w:r>
      <w:r>
        <w:t>150</w:t>
      </w:r>
      <w:r w:rsidRPr="00040B3C">
        <w:t xml:space="preserve">, </w:t>
      </w:r>
      <w:r>
        <w:t>GN</w:t>
      </w:r>
      <w:r w:rsidRPr="00040B3C">
        <w:t xml:space="preserve"> Docket No. </w:t>
      </w:r>
      <w:r>
        <w:t>24-286</w:t>
      </w:r>
      <w:r w:rsidRPr="00040B3C">
        <w:t xml:space="preserve"> (rec. </w:t>
      </w:r>
      <w:r>
        <w:t xml:space="preserve">Aug. </w:t>
      </w:r>
      <w:r w:rsidRPr="00D423D7">
        <w:t xml:space="preserve">1, 2025) (RWA </w:t>
      </w:r>
      <w:r w:rsidRPr="00D423D7">
        <w:t>Reply).</w:t>
      </w:r>
    </w:p>
  </w:footnote>
  <w:footnote w:id="26">
    <w:p w:rsidR="00A40FA9" w:rsidRPr="00D423D7" w:rsidP="00A40FA9" w14:paraId="053F1B8D" w14:textId="77777777">
      <w:pPr>
        <w:pStyle w:val="FootnoteText"/>
      </w:pPr>
      <w:r w:rsidRPr="00D423D7">
        <w:rPr>
          <w:rStyle w:val="FootnoteReference"/>
        </w:rPr>
        <w:footnoteRef/>
      </w:r>
      <w:r w:rsidRPr="00D423D7">
        <w:t xml:space="preserve"> </w:t>
      </w:r>
      <w:r w:rsidRPr="00D423D7">
        <w:rPr>
          <w:i/>
          <w:iCs/>
        </w:rPr>
        <w:t>See</w:t>
      </w:r>
      <w:r w:rsidRPr="00D423D7">
        <w:t xml:space="preserve"> 47 CFR § 1.419(b)</w:t>
      </w:r>
      <w:r>
        <w:t xml:space="preserve">.  RWA, Communications Workers of America (CWA), Public Knowledge, and OTI (Coalition Filers), filing jointly, made two such filings, </w:t>
      </w:r>
      <w:r>
        <w:rPr>
          <w:iCs/>
        </w:rPr>
        <w:t xml:space="preserve">RWA, CWA, OTI, and Benton, filing jointly, made one such filing, Array made one such filing, and </w:t>
      </w:r>
      <w:r w:rsidRPr="00B12A5B">
        <w:t>Northeast Communications of Wisconsin, Inc.</w:t>
      </w:r>
      <w:r>
        <w:t xml:space="preserve"> (Nsight) made one such filing</w:t>
      </w:r>
      <w:r>
        <w:rPr>
          <w:iCs/>
        </w:rPr>
        <w:t xml:space="preserve">.  </w:t>
      </w:r>
      <w:r w:rsidRPr="00D423D7">
        <w:t xml:space="preserve">Letter from Carri Bennett, Outside General Counsel, Stephen Sharbaugh, Regulatory Counsel, RWA, Peter Gregory, Public Knowledge, Hooman Hedayati, CWA, Michael Calabrese, OTI, to Marlene H. Dortch, Secretary, FCC, </w:t>
      </w:r>
      <w:r>
        <w:t>WT</w:t>
      </w:r>
      <w:r w:rsidRPr="00040B3C">
        <w:t xml:space="preserve"> Docket Nos. </w:t>
      </w:r>
      <w:r>
        <w:t>25</w:t>
      </w:r>
      <w:r w:rsidRPr="00040B3C">
        <w:t>-</w:t>
      </w:r>
      <w:r>
        <w:t>192</w:t>
      </w:r>
      <w:r w:rsidRPr="00040B3C">
        <w:t xml:space="preserve"> and </w:t>
      </w:r>
      <w:r>
        <w:t>25</w:t>
      </w:r>
      <w:r w:rsidRPr="00040B3C">
        <w:t>-</w:t>
      </w:r>
      <w:r>
        <w:t>150</w:t>
      </w:r>
      <w:r w:rsidRPr="00040B3C">
        <w:t xml:space="preserve">, </w:t>
      </w:r>
      <w:r>
        <w:t>GN</w:t>
      </w:r>
      <w:r w:rsidRPr="00040B3C">
        <w:t xml:space="preserve"> Docket No. </w:t>
      </w:r>
      <w:r>
        <w:t>24-286</w:t>
      </w:r>
      <w:r w:rsidRPr="00D423D7">
        <w:t xml:space="preserve"> </w:t>
      </w:r>
      <w:r w:rsidRPr="00D423D7">
        <w:t>(</w:t>
      </w:r>
      <w:r>
        <w:t xml:space="preserve">filed </w:t>
      </w:r>
      <w:r w:rsidRPr="00D423D7">
        <w:t>July 3, 2025) (Coalition Filers July 3</w:t>
      </w:r>
      <w:r w:rsidRPr="00D423D7">
        <w:rPr>
          <w:i/>
          <w:iCs/>
        </w:rPr>
        <w:t xml:space="preserve"> Ex </w:t>
      </w:r>
      <w:r w:rsidRPr="00D423D7">
        <w:rPr>
          <w:i/>
          <w:iCs/>
        </w:rPr>
        <w:t>Parte</w:t>
      </w:r>
      <w:r w:rsidRPr="00D423D7">
        <w:rPr>
          <w:i/>
          <w:iCs/>
        </w:rPr>
        <w:t xml:space="preserve"> </w:t>
      </w:r>
      <w:r w:rsidRPr="0042772E">
        <w:t>Letter</w:t>
      </w:r>
      <w:r w:rsidRPr="00D423D7">
        <w:t xml:space="preserve">); Letter from Carri Bennett, Outside General Counsel, Stephen Sharbaugh, Regulatory Counsel, RWA, Peter Gregory, Public Knowledge, Hooman Hedayati, CWA, Michael Calabrese, OTI, to Marlene H. Dortch, Secretary, FCC, </w:t>
      </w:r>
      <w:r>
        <w:t>WT</w:t>
      </w:r>
      <w:r w:rsidRPr="00040B3C">
        <w:t xml:space="preserve"> Docket Nos. </w:t>
      </w:r>
      <w:r>
        <w:t>25</w:t>
      </w:r>
      <w:r w:rsidRPr="00040B3C">
        <w:t>-</w:t>
      </w:r>
      <w:r>
        <w:t>192, 25</w:t>
      </w:r>
      <w:r w:rsidRPr="00040B3C">
        <w:t>-</w:t>
      </w:r>
      <w:r>
        <w:t>150</w:t>
      </w:r>
      <w:r w:rsidRPr="00040B3C">
        <w:t>,</w:t>
      </w:r>
      <w:r>
        <w:t xml:space="preserve"> and 24-186,</w:t>
      </w:r>
      <w:r w:rsidRPr="00040B3C">
        <w:t xml:space="preserve"> </w:t>
      </w:r>
      <w:r>
        <w:t>GN</w:t>
      </w:r>
      <w:r w:rsidRPr="00040B3C">
        <w:t xml:space="preserve"> Docket No. </w:t>
      </w:r>
      <w:r>
        <w:t>24-286</w:t>
      </w:r>
      <w:r w:rsidRPr="00D423D7">
        <w:t xml:space="preserve"> </w:t>
      </w:r>
      <w:r w:rsidRPr="00D423D7">
        <w:t>(</w:t>
      </w:r>
      <w:r>
        <w:t xml:space="preserve">filed </w:t>
      </w:r>
      <w:r w:rsidRPr="00D423D7">
        <w:t>July 18, 2025) (Coalition Filers July 18</w:t>
      </w:r>
      <w:r w:rsidRPr="00D423D7">
        <w:rPr>
          <w:i/>
          <w:iCs/>
        </w:rPr>
        <w:t xml:space="preserve"> Ex </w:t>
      </w:r>
      <w:r w:rsidRPr="00D423D7">
        <w:rPr>
          <w:i/>
          <w:iCs/>
        </w:rPr>
        <w:t>Parte</w:t>
      </w:r>
      <w:r w:rsidRPr="00D423D7">
        <w:rPr>
          <w:i/>
          <w:iCs/>
        </w:rPr>
        <w:t xml:space="preserve"> </w:t>
      </w:r>
      <w:r w:rsidRPr="0042772E">
        <w:t>Letter</w:t>
      </w:r>
      <w:r w:rsidRPr="00D423D7">
        <w:t>)</w:t>
      </w:r>
      <w:r>
        <w:t xml:space="preserve">; </w:t>
      </w:r>
      <w:r w:rsidRPr="00D423D7">
        <w:t>Letter from Carri Bennett, Outside General Counsel, Stephen Sharbaugh, Regulatory Counsel, RWA, Nell Geiser, CWA, Michael Calabrese, OTI, Andrew Jay Schwartzman, Benton Senior Counselor, Benton, to Marlene H. Dortch, Secretary, FCC, WT Docket Nos. 25-192</w:t>
      </w:r>
      <w:r>
        <w:t xml:space="preserve"> and </w:t>
      </w:r>
      <w:r w:rsidRPr="00D423D7">
        <w:t>25-150</w:t>
      </w:r>
      <w:r w:rsidRPr="00D423D7">
        <w:t>,</w:t>
      </w:r>
      <w:r w:rsidRPr="00D423D7">
        <w:t xml:space="preserve"> GN Docket No. 24-286 (</w:t>
      </w:r>
      <w:r>
        <w:t xml:space="preserve">filed </w:t>
      </w:r>
      <w:r w:rsidRPr="00D423D7">
        <w:t>Aug. 7, 2025) (RWA et al. Aug. 7</w:t>
      </w:r>
      <w:r w:rsidRPr="00D423D7">
        <w:rPr>
          <w:i/>
          <w:iCs/>
        </w:rPr>
        <w:t xml:space="preserve"> Ex </w:t>
      </w:r>
      <w:r w:rsidRPr="00D423D7">
        <w:rPr>
          <w:i/>
          <w:iCs/>
        </w:rPr>
        <w:t>Parte</w:t>
      </w:r>
      <w:r w:rsidRPr="00D423D7">
        <w:rPr>
          <w:i/>
          <w:iCs/>
        </w:rPr>
        <w:t xml:space="preserve"> </w:t>
      </w:r>
      <w:r w:rsidRPr="0042772E">
        <w:t>Letter</w:t>
      </w:r>
      <w:r w:rsidRPr="00D423D7">
        <w:t>); Letter from Christine M. Crowe, Counsel, Array Digital Infrastructure, Inc., to Marlene H. Dortch, Secretary, FCC, WT Docket No. 25-192 (</w:t>
      </w:r>
      <w:r>
        <w:t xml:space="preserve">filed </w:t>
      </w:r>
      <w:r w:rsidRPr="00D423D7">
        <w:t>Oct. 23, 2025) (</w:t>
      </w:r>
      <w:r w:rsidRPr="00D423D7">
        <w:t>UScellular</w:t>
      </w:r>
      <w:r w:rsidRPr="00D423D7">
        <w:t xml:space="preserve"> Oct. </w:t>
      </w:r>
      <w:r w:rsidRPr="00581568">
        <w:t>23</w:t>
      </w:r>
      <w:r w:rsidRPr="00581568">
        <w:rPr>
          <w:i/>
          <w:iCs/>
        </w:rPr>
        <w:t xml:space="preserve"> Ex </w:t>
      </w:r>
      <w:r w:rsidRPr="00581568">
        <w:rPr>
          <w:i/>
          <w:iCs/>
        </w:rPr>
        <w:t>Parte</w:t>
      </w:r>
      <w:r w:rsidRPr="00581568">
        <w:rPr>
          <w:i/>
          <w:iCs/>
        </w:rPr>
        <w:t xml:space="preserve"> </w:t>
      </w:r>
      <w:r w:rsidRPr="00581568">
        <w:t>Letter)</w:t>
      </w:r>
      <w:r w:rsidRPr="00581568">
        <w:t xml:space="preserve">; </w:t>
      </w:r>
      <w:r w:rsidRPr="00B12A5B">
        <w:t>Letter from Brighid Riordan, CEO, N</w:t>
      </w:r>
      <w:r>
        <w:t>sight</w:t>
      </w:r>
      <w:r w:rsidRPr="00B12A5B">
        <w:t>, to Marlene H. Dortch, Secretary, FCC, WT Docket No. 25-192 et al. (filed May 8, 2026) (Nsight May 8</w:t>
      </w:r>
      <w:r w:rsidRPr="00B12A5B">
        <w:rPr>
          <w:i/>
          <w:iCs/>
        </w:rPr>
        <w:t xml:space="preserve"> Ex </w:t>
      </w:r>
      <w:r w:rsidRPr="00B12A5B">
        <w:rPr>
          <w:i/>
          <w:iCs/>
        </w:rPr>
        <w:t>Parte</w:t>
      </w:r>
      <w:r w:rsidRPr="00B12A5B">
        <w:t xml:space="preserve"> Letter).</w:t>
      </w:r>
      <w:r w:rsidRPr="004740A0">
        <w:t xml:space="preserve">  </w:t>
      </w:r>
    </w:p>
  </w:footnote>
  <w:footnote w:id="27">
    <w:p w:rsidR="00A40FA9" w:rsidRPr="00D423D7" w:rsidP="00A40FA9" w14:paraId="6110A6B2" w14:textId="77777777">
      <w:pPr>
        <w:pStyle w:val="FootnoteText"/>
        <w:rPr>
          <w:i/>
        </w:rPr>
      </w:pPr>
      <w:r w:rsidRPr="00D423D7">
        <w:rPr>
          <w:rStyle w:val="FootnoteReference"/>
        </w:rPr>
        <w:footnoteRef/>
      </w:r>
      <w:r w:rsidRPr="00D423D7">
        <w:t xml:space="preserve"> </w:t>
      </w:r>
      <w:r w:rsidRPr="00D423D7">
        <w:rPr>
          <w:i/>
          <w:iCs/>
        </w:rPr>
        <w:t xml:space="preserve">See </w:t>
      </w:r>
      <w:r w:rsidRPr="00D423D7">
        <w:t xml:space="preserve">RWA, OTI, Benton, and CWA, </w:t>
      </w:r>
      <w:r>
        <w:t xml:space="preserve">Notice of </w:t>
      </w:r>
      <w:r w:rsidRPr="00D423D7">
        <w:t>Application for Review</w:t>
      </w:r>
      <w:r>
        <w:t xml:space="preserve">, </w:t>
      </w:r>
      <w:r w:rsidRPr="00D423D7">
        <w:t>WT Docket Nos. 25-192</w:t>
      </w:r>
      <w:r>
        <w:t xml:space="preserve"> and </w:t>
      </w:r>
      <w:r w:rsidRPr="00D423D7">
        <w:t>25-150</w:t>
      </w:r>
      <w:r w:rsidRPr="00D423D7">
        <w:rPr>
          <w:i/>
        </w:rPr>
        <w:t xml:space="preserve"> </w:t>
      </w:r>
      <w:r w:rsidRPr="00D423D7">
        <w:t>(</w:t>
      </w:r>
      <w:r>
        <w:t xml:space="preserve">filed </w:t>
      </w:r>
      <w:r w:rsidRPr="00D423D7">
        <w:t xml:space="preserve">July 30, 2025) (copy of an Application for Review previously filed by the same entities in the </w:t>
      </w:r>
      <w:r w:rsidRPr="00D423D7">
        <w:rPr>
          <w:i/>
        </w:rPr>
        <w:t>T-Mobile-</w:t>
      </w:r>
      <w:r w:rsidRPr="00D423D7">
        <w:rPr>
          <w:i/>
        </w:rPr>
        <w:t>UScellular</w:t>
      </w:r>
      <w:r w:rsidRPr="00D423D7">
        <w:rPr>
          <w:i/>
        </w:rPr>
        <w:t xml:space="preserve"> </w:t>
      </w:r>
      <w:r w:rsidRPr="00D423D7">
        <w:rPr>
          <w:iCs/>
        </w:rPr>
        <w:t xml:space="preserve">transaction docket, </w:t>
      </w:r>
      <w:r w:rsidRPr="00D423D7">
        <w:t>GN Docket No. 24-286)</w:t>
      </w:r>
      <w:r>
        <w:t xml:space="preserve"> (RWA et. al AFR filed in </w:t>
      </w:r>
      <w:r w:rsidRPr="00D423D7">
        <w:rPr>
          <w:i/>
        </w:rPr>
        <w:t>T-Mobile-</w:t>
      </w:r>
      <w:r w:rsidRPr="00D423D7">
        <w:rPr>
          <w:i/>
        </w:rPr>
        <w:t>UScellular</w:t>
      </w:r>
      <w:r w:rsidRPr="00D423D7">
        <w:t xml:space="preserve">); RWA, OTI, Benton, and CWA, </w:t>
      </w:r>
      <w:r>
        <w:t xml:space="preserve">Notice of </w:t>
      </w:r>
      <w:r w:rsidRPr="00D423D7">
        <w:t>Reply to Joint Opposition and Comments</w:t>
      </w:r>
      <w:r>
        <w:t xml:space="preserve">, </w:t>
      </w:r>
      <w:r w:rsidRPr="00D423D7">
        <w:t>WT Docket Nos. 25-192</w:t>
      </w:r>
      <w:r>
        <w:t xml:space="preserve"> and </w:t>
      </w:r>
      <w:r w:rsidRPr="00D423D7">
        <w:t>25-150</w:t>
      </w:r>
      <w:r>
        <w:t xml:space="preserve"> </w:t>
      </w:r>
      <w:r w:rsidRPr="00D423D7">
        <w:t>(</w:t>
      </w:r>
      <w:r>
        <w:t xml:space="preserve">filed </w:t>
      </w:r>
      <w:r w:rsidRPr="00D423D7">
        <w:t xml:space="preserve">Aug. 25, 2025) (copy of a Reply to Joint Opposition and Comments previously filed by the same entities in </w:t>
      </w:r>
      <w:r w:rsidRPr="00D423D7">
        <w:t xml:space="preserve">the </w:t>
      </w:r>
      <w:r w:rsidRPr="00D423D7">
        <w:rPr>
          <w:i/>
        </w:rPr>
        <w:t>T-Mobile-</w:t>
      </w:r>
      <w:r w:rsidRPr="00D423D7">
        <w:rPr>
          <w:i/>
        </w:rPr>
        <w:t>UScellular</w:t>
      </w:r>
      <w:r w:rsidRPr="00D423D7">
        <w:rPr>
          <w:i/>
        </w:rPr>
        <w:t xml:space="preserve"> </w:t>
      </w:r>
      <w:r w:rsidRPr="00D423D7">
        <w:rPr>
          <w:iCs/>
        </w:rPr>
        <w:t xml:space="preserve">transaction docket, </w:t>
      </w:r>
      <w:r w:rsidRPr="00D423D7">
        <w:t>GN Docket No. 24-286)</w:t>
      </w:r>
      <w:r>
        <w:t xml:space="preserve"> (RWA et al. JO&amp;C filed in</w:t>
      </w:r>
      <w:r w:rsidRPr="0068035F">
        <w:rPr>
          <w:i/>
        </w:rPr>
        <w:t xml:space="preserve"> </w:t>
      </w:r>
      <w:r>
        <w:rPr>
          <w:i/>
        </w:rPr>
        <w:t>T-</w:t>
      </w:r>
      <w:r w:rsidRPr="00D423D7">
        <w:rPr>
          <w:i/>
        </w:rPr>
        <w:t>Mobile-</w:t>
      </w:r>
      <w:r w:rsidRPr="00D423D7">
        <w:rPr>
          <w:i/>
        </w:rPr>
        <w:t>UScellular</w:t>
      </w:r>
      <w:r w:rsidRPr="00D423D7">
        <w:t xml:space="preserve">); RWA, OTI, and Benton, </w:t>
      </w:r>
      <w:r>
        <w:t xml:space="preserve">Notice of </w:t>
      </w:r>
      <w:r w:rsidRPr="00D423D7">
        <w:t>Application for Review</w:t>
      </w:r>
      <w:r>
        <w:t xml:space="preserve">, </w:t>
      </w:r>
      <w:r w:rsidRPr="00D423D7">
        <w:t>WT Docket Nos. 25-192</w:t>
      </w:r>
      <w:r>
        <w:t xml:space="preserve"> and </w:t>
      </w:r>
      <w:r w:rsidRPr="00D423D7">
        <w:t>25-150</w:t>
      </w:r>
      <w:r>
        <w:t>, GN Docket No. 24-286</w:t>
      </w:r>
      <w:r w:rsidRPr="00D423D7">
        <w:rPr>
          <w:i/>
          <w:iCs/>
        </w:rPr>
        <w:t xml:space="preserve"> </w:t>
      </w:r>
      <w:r w:rsidRPr="00D423D7">
        <w:t>(</w:t>
      </w:r>
      <w:r>
        <w:t xml:space="preserve">filed </w:t>
      </w:r>
      <w:r w:rsidRPr="00D423D7">
        <w:t xml:space="preserve">Jan. 2, 2026) (Application for Review filed by the same entities pertaining to the </w:t>
      </w:r>
      <w:r w:rsidRPr="00D423D7">
        <w:rPr>
          <w:i/>
        </w:rPr>
        <w:t xml:space="preserve">AT&amp;T-Array </w:t>
      </w:r>
      <w:r w:rsidRPr="00D423D7">
        <w:rPr>
          <w:iCs/>
        </w:rPr>
        <w:t>transaction, co-filed in the</w:t>
      </w:r>
      <w:r w:rsidRPr="00D423D7">
        <w:rPr>
          <w:i/>
        </w:rPr>
        <w:t xml:space="preserve"> AT&amp;T-Array </w:t>
      </w:r>
      <w:r w:rsidRPr="00D423D7">
        <w:rPr>
          <w:iCs/>
        </w:rPr>
        <w:t xml:space="preserve">transaction docket, WT Docket No. 25-150, and the </w:t>
      </w:r>
      <w:r w:rsidRPr="00D423D7">
        <w:rPr>
          <w:i/>
        </w:rPr>
        <w:t>T-Mobile-</w:t>
      </w:r>
      <w:r w:rsidRPr="00D423D7">
        <w:rPr>
          <w:i/>
        </w:rPr>
        <w:t>UScellular</w:t>
      </w:r>
      <w:r w:rsidRPr="00D423D7">
        <w:rPr>
          <w:i/>
        </w:rPr>
        <w:t xml:space="preserve"> </w:t>
      </w:r>
      <w:r w:rsidRPr="00D423D7">
        <w:rPr>
          <w:iCs/>
        </w:rPr>
        <w:t xml:space="preserve">transaction docket, </w:t>
      </w:r>
      <w:r w:rsidRPr="00D423D7">
        <w:t>GN Docket No. 24-286</w:t>
      </w:r>
      <w:r w:rsidRPr="00D423D7">
        <w:rPr>
          <w:iCs/>
        </w:rPr>
        <w:t>)</w:t>
      </w:r>
      <w:r>
        <w:rPr>
          <w:iCs/>
        </w:rPr>
        <w:t xml:space="preserve"> (RWA et al. AFR filed in </w:t>
      </w:r>
      <w:r w:rsidRPr="00D423D7">
        <w:rPr>
          <w:i/>
        </w:rPr>
        <w:t>AT&amp;T-Array</w:t>
      </w:r>
      <w:r w:rsidRPr="007E221C">
        <w:rPr>
          <w:iCs/>
        </w:rPr>
        <w:t>)</w:t>
      </w:r>
      <w:r w:rsidRPr="007E221C">
        <w:t xml:space="preserve">.  These pleadings were filed </w:t>
      </w:r>
      <w:r w:rsidRPr="00540066">
        <w:t>outside of the</w:t>
      </w:r>
      <w:r w:rsidRPr="007E221C">
        <w:t xml:space="preserve"> comment cycle for the instant transaction.  To the extent these pleadings mak</w:t>
      </w:r>
      <w:r w:rsidRPr="00D423D7">
        <w:t xml:space="preserve">e arguments opposing or otherwise relevant to our review of the instant proposed transaction, we treat these pleadings as informal objections or informal requests for action pursuant to section 1.41 of the rules.  47 CFR § 1.41; </w:t>
      </w:r>
      <w:r w:rsidRPr="00D423D7">
        <w:rPr>
          <w:i/>
        </w:rPr>
        <w:t>see also</w:t>
      </w:r>
      <w:r w:rsidRPr="00D423D7">
        <w:t xml:space="preserve"> 47 CFR § 1.9030(e)(1)(iii) (requirements for petitions to deny </w:t>
      </w:r>
      <w:r w:rsidRPr="00D423D7">
        <w:rPr>
          <w:i/>
        </w:rPr>
        <w:t>de facto</w:t>
      </w:r>
      <w:r w:rsidRPr="00D423D7">
        <w:t xml:space="preserve"> leasing applications).</w:t>
      </w:r>
    </w:p>
  </w:footnote>
  <w:footnote w:id="28">
    <w:p w:rsidR="00A40FA9" w:rsidRPr="00205284" w:rsidP="00A40FA9" w14:paraId="56D7D686" w14:textId="77777777">
      <w:pPr>
        <w:pStyle w:val="FootnoteText"/>
      </w:pPr>
      <w:r w:rsidRPr="00D423D7">
        <w:rPr>
          <w:rStyle w:val="FootnoteReference"/>
        </w:rPr>
        <w:footnoteRef/>
      </w:r>
      <w:r w:rsidRPr="00D423D7">
        <w:t xml:space="preserve"> 47 U.S.C. § 310(d).  Section 310(d) of the Act requires that the Commission consider applications for transfer or assignment of Title III licenses under the same standard as if the proposed transferee or assignee were applying for licenses directly under section 308 of the Act, 47 U.S.C. § 308.  </w:t>
      </w:r>
      <w:r w:rsidRPr="00D423D7">
        <w:rPr>
          <w:i/>
        </w:rPr>
        <w:t>See</w:t>
      </w:r>
      <w:r w:rsidRPr="002C6EC4">
        <w:rPr>
          <w:i/>
        </w:rPr>
        <w:t>,</w:t>
      </w:r>
      <w:r w:rsidRPr="00D423D7">
        <w:rPr>
          <w:i/>
        </w:rPr>
        <w:t xml:space="preserve"> e.g.</w:t>
      </w:r>
      <w:r w:rsidRPr="00D423D7">
        <w:t xml:space="preserve">, </w:t>
      </w:r>
      <w:r>
        <w:rPr>
          <w:i/>
          <w:iCs/>
        </w:rPr>
        <w:t>T-</w:t>
      </w:r>
      <w:r w:rsidRPr="00D423D7">
        <w:rPr>
          <w:i/>
          <w:iCs/>
        </w:rPr>
        <w:t>Mobile-</w:t>
      </w:r>
      <w:r w:rsidRPr="00D423D7">
        <w:rPr>
          <w:i/>
          <w:iCs/>
        </w:rPr>
        <w:t>UScellular</w:t>
      </w:r>
      <w:r w:rsidRPr="00D423D7">
        <w:rPr>
          <w:i/>
          <w:iCs/>
        </w:rPr>
        <w:t xml:space="preserve"> Order</w:t>
      </w:r>
      <w:r w:rsidRPr="00D423D7">
        <w:rPr>
          <w:iCs/>
        </w:rPr>
        <w:t xml:space="preserve">, 40 FCC </w:t>
      </w:r>
      <w:r w:rsidRPr="00D423D7">
        <w:rPr>
          <w:iCs/>
        </w:rPr>
        <w:t>Rcd</w:t>
      </w:r>
      <w:r w:rsidRPr="00D423D7">
        <w:rPr>
          <w:iCs/>
        </w:rPr>
        <w:t xml:space="preserve"> </w:t>
      </w:r>
      <w:r>
        <w:rPr>
          <w:iCs/>
        </w:rPr>
        <w:t>at</w:t>
      </w:r>
      <w:r w:rsidRPr="00D423D7">
        <w:rPr>
          <w:iCs/>
        </w:rPr>
        <w:t xml:space="preserve"> </w:t>
      </w:r>
      <w:r w:rsidRPr="00D423D7">
        <w:t xml:space="preserve">4783, para. 13 &amp; n.43; </w:t>
      </w:r>
      <w:r w:rsidRPr="00D423D7">
        <w:rPr>
          <w:i/>
        </w:rPr>
        <w:t>Applications of Level 3 Communications, Inc. and CenturyLink, Inc. for Consent to Transfer Control of Licenses and Authorizations</w:t>
      </w:r>
      <w:r w:rsidRPr="00D423D7">
        <w:t xml:space="preserve">, WC Docket No. 16-403, Memorandum Opinion and Order, 32 FCC </w:t>
      </w:r>
      <w:r w:rsidRPr="00D423D7">
        <w:t>Rcd</w:t>
      </w:r>
      <w:r w:rsidRPr="00D423D7">
        <w:t xml:space="preserve"> 9581, 9585, para. 8 (2017) (</w:t>
      </w:r>
      <w:r w:rsidRPr="00D423D7">
        <w:rPr>
          <w:i/>
        </w:rPr>
        <w:t>CenturyLink-Level 3 Order</w:t>
      </w:r>
      <w:r w:rsidRPr="00D423D7">
        <w:t xml:space="preserve">); </w:t>
      </w:r>
      <w:r w:rsidRPr="00D423D7">
        <w:rPr>
          <w:i/>
        </w:rPr>
        <w:t>Applications of GCI Communication Corp., ACS Wireless License Sub, Inc., ACS of Anchorage License Sub, Inc., and Unicom, Inc. for Consent to Assign Licenses to the Alaska Wireless Network, LLC</w:t>
      </w:r>
      <w:r w:rsidRPr="00D423D7">
        <w:t xml:space="preserve">, WT Docket No. 12-187, WC Docket No. 09-197, Memorandum Opinion and Order and Declaratory Ruling, 28 FCC </w:t>
      </w:r>
      <w:r w:rsidRPr="00D423D7">
        <w:t>Rcd</w:t>
      </w:r>
      <w:r w:rsidRPr="00D423D7">
        <w:t xml:space="preserve"> 10433, 10442, para. 23 &amp; n.71 (2013) (</w:t>
      </w:r>
      <w:r w:rsidRPr="00D423D7">
        <w:rPr>
          <w:i/>
        </w:rPr>
        <w:t>Alaska Wireless-GCI Order</w:t>
      </w:r>
      <w:r w:rsidRPr="00D423D7">
        <w:rPr>
          <w:iCs/>
        </w:rPr>
        <w:t>).</w:t>
      </w:r>
    </w:p>
  </w:footnote>
  <w:footnote w:id="29">
    <w:p w:rsidR="00A40FA9" w:rsidRPr="00D423D7" w:rsidP="00A40FA9" w14:paraId="314DC70B" w14:textId="77777777">
      <w:pPr>
        <w:pStyle w:val="FootnoteText"/>
      </w:pPr>
      <w:r w:rsidRPr="00D423D7">
        <w:rPr>
          <w:rStyle w:val="FootnoteReference"/>
        </w:rPr>
        <w:footnoteRef/>
      </w:r>
      <w:r w:rsidRPr="00D423D7">
        <w:t xml:space="preserve"> 47 U.S.C. § 310(d);</w:t>
      </w:r>
      <w:r w:rsidRPr="00D423D7">
        <w:rPr>
          <w:i/>
        </w:rPr>
        <w:t xml:space="preserve"> 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4783</w:t>
      </w:r>
      <w:r>
        <w:rPr>
          <w:iCs/>
        </w:rPr>
        <w:t>–</w:t>
      </w:r>
      <w:r w:rsidRPr="00D423D7">
        <w:rPr>
          <w:iCs/>
        </w:rPr>
        <w:t xml:space="preserve">84, para. 13; </w:t>
      </w:r>
      <w:r w:rsidRPr="00D423D7">
        <w:rPr>
          <w:i/>
        </w:rPr>
        <w:t>CenturyLink-Level 3 Order</w:t>
      </w:r>
      <w:r w:rsidRPr="00D423D7">
        <w:t xml:space="preserve">, 32 FCC </w:t>
      </w:r>
      <w:r w:rsidRPr="00D423D7">
        <w:t>Rcd</w:t>
      </w:r>
      <w:r w:rsidRPr="00D423D7">
        <w:t xml:space="preserve"> at 9585, para. 8; </w:t>
      </w:r>
      <w:r w:rsidRPr="00D423D7">
        <w:rPr>
          <w:i/>
        </w:rPr>
        <w:t>Alaska Wireless-GCI Order</w:t>
      </w:r>
      <w:r w:rsidRPr="00D423D7">
        <w:t xml:space="preserve">, 28 FCC </w:t>
      </w:r>
      <w:r w:rsidRPr="00D423D7">
        <w:t>Rcd</w:t>
      </w:r>
      <w:r w:rsidRPr="00D423D7">
        <w:t xml:space="preserve"> at 10442, para. 23.</w:t>
      </w:r>
    </w:p>
  </w:footnote>
  <w:footnote w:id="30">
    <w:p w:rsidR="00A40FA9" w:rsidRPr="00D423D7" w:rsidP="00A40FA9" w14:paraId="0FD9CE36"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rPr>
          <w:iCs/>
        </w:rPr>
        <w:t>,</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4784, para. 14; </w:t>
      </w:r>
      <w:r w:rsidRPr="00D423D7">
        <w:rPr>
          <w:i/>
        </w:rPr>
        <w:t>CenturyLink-Level 3 Order</w:t>
      </w:r>
      <w:r w:rsidRPr="00D423D7">
        <w:t xml:space="preserve">, 32 FCC </w:t>
      </w:r>
      <w:r w:rsidRPr="00D423D7">
        <w:t>Rcd</w:t>
      </w:r>
      <w:r w:rsidRPr="00D423D7">
        <w:t xml:space="preserve"> at 9585, para. 9; </w:t>
      </w:r>
      <w:r w:rsidRPr="00D423D7">
        <w:rPr>
          <w:i/>
        </w:rPr>
        <w:t>Alaska Wireless-GCI Order</w:t>
      </w:r>
      <w:r w:rsidRPr="00D423D7">
        <w:t xml:space="preserve">, 28 FCC </w:t>
      </w:r>
      <w:r w:rsidRPr="00D423D7">
        <w:t>Rcd</w:t>
      </w:r>
      <w:r w:rsidRPr="00D423D7">
        <w:t xml:space="preserve"> at 10442, para. 23.</w:t>
      </w:r>
    </w:p>
  </w:footnote>
  <w:footnote w:id="31">
    <w:p w:rsidR="00A40FA9" w:rsidRPr="00D423D7" w:rsidP="00A40FA9" w14:paraId="31C89F98"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rPr>
          <w:iCs/>
        </w:rPr>
        <w:t>,</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4784, para. 14</w:t>
      </w:r>
      <w:r w:rsidRPr="00D423D7">
        <w:t>;</w:t>
      </w:r>
      <w:r w:rsidRPr="00D423D7">
        <w:rPr>
          <w:i/>
        </w:rPr>
        <w:t xml:space="preserve"> CenturyLink-Level 3 Order</w:t>
      </w:r>
      <w:r w:rsidRPr="00D423D7">
        <w:t xml:space="preserve">, 32 FCC </w:t>
      </w:r>
      <w:r w:rsidRPr="00D423D7">
        <w:t>Rcd</w:t>
      </w:r>
      <w:r w:rsidRPr="00D423D7">
        <w:t xml:space="preserve"> at 9585, para. 9; </w:t>
      </w:r>
      <w:r w:rsidRPr="00D423D7">
        <w:rPr>
          <w:i/>
        </w:rPr>
        <w:t>Alaska Wireless-GCI Order</w:t>
      </w:r>
      <w:r w:rsidRPr="00D423D7">
        <w:t xml:space="preserve">, 28 FCC </w:t>
      </w:r>
      <w:r w:rsidRPr="00D423D7">
        <w:t>Rcd</w:t>
      </w:r>
      <w:r w:rsidRPr="00D423D7">
        <w:t xml:space="preserve"> at 10443, para. 25; </w:t>
      </w:r>
      <w:r w:rsidRPr="00D423D7">
        <w:rPr>
          <w:i/>
        </w:rPr>
        <w:t>see</w:t>
      </w:r>
      <w:r w:rsidRPr="00D423D7">
        <w:t xml:space="preserve"> </w:t>
      </w:r>
      <w:r w:rsidRPr="00D423D7">
        <w:rPr>
          <w:i/>
        </w:rPr>
        <w:t>also</w:t>
      </w:r>
      <w:r w:rsidRPr="00D423D7">
        <w:t xml:space="preserve"> </w:t>
      </w:r>
      <w:r w:rsidRPr="00D423D7">
        <w:rPr>
          <w:i/>
        </w:rPr>
        <w:t>Northeast Utils. Serv. Co. v. Fed. Energy Regulatory Comm’n</w:t>
      </w:r>
      <w:r w:rsidRPr="00D423D7">
        <w:t>, 993 F.2d 937, 947 (1st Cir. 1993) (public interest standard does not require agencies “to analyze proposed mergers under the same standards that the Department of Justice . . . must apply”).</w:t>
      </w:r>
    </w:p>
  </w:footnote>
  <w:footnote w:id="32">
    <w:p w:rsidR="00A40FA9" w:rsidRPr="00D423D7" w:rsidP="00A40FA9" w14:paraId="789F69F9"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4784, para. 14</w:t>
      </w:r>
      <w:r w:rsidRPr="00D423D7">
        <w:t>;</w:t>
      </w:r>
      <w:r w:rsidRPr="00D423D7">
        <w:rPr>
          <w:i/>
        </w:rPr>
        <w:t xml:space="preserve"> Applications for Consent to the Transfer of Control of Licenses, XM Satellite Radio Holdings Inc., Transferor to Sirius Satellite Radio Inc., Transferee</w:t>
      </w:r>
      <w:r w:rsidRPr="00D423D7">
        <w:rPr>
          <w:iCs/>
        </w:rPr>
        <w:t>, MB Docket No. 07-57,</w:t>
      </w:r>
      <w:r w:rsidRPr="00D423D7">
        <w:rPr>
          <w:i/>
        </w:rPr>
        <w:t xml:space="preserve"> </w:t>
      </w:r>
      <w:r w:rsidRPr="00D423D7">
        <w:rPr>
          <w:iCs/>
        </w:rPr>
        <w:t>Memorandum Opinion and Order and Report and Order</w:t>
      </w:r>
      <w:r w:rsidRPr="00D423D7">
        <w:t xml:space="preserve">, </w:t>
      </w:r>
      <w:r w:rsidRPr="00D423D7">
        <w:rPr>
          <w:iCs/>
        </w:rPr>
        <w:t xml:space="preserve">23 FCC </w:t>
      </w:r>
      <w:r w:rsidRPr="00D423D7">
        <w:rPr>
          <w:iCs/>
        </w:rPr>
        <w:t>Rcd</w:t>
      </w:r>
      <w:r w:rsidRPr="00D423D7">
        <w:rPr>
          <w:iCs/>
        </w:rPr>
        <w:t xml:space="preserve"> 12348, 12365</w:t>
      </w:r>
      <w:r>
        <w:rPr>
          <w:iCs/>
        </w:rPr>
        <w:t>–</w:t>
      </w:r>
      <w:r w:rsidRPr="00D423D7">
        <w:rPr>
          <w:iCs/>
        </w:rPr>
        <w:t>66, para. 32 (2008)</w:t>
      </w:r>
      <w:r w:rsidRPr="00D423D7">
        <w:t xml:space="preserve">; </w:t>
      </w:r>
      <w:r w:rsidRPr="00D423D7">
        <w:rPr>
          <w:i/>
          <w:iCs/>
        </w:rPr>
        <w:t>AT&amp;T Inc. and BellSouth Corporation Application for Transfer of Control</w:t>
      </w:r>
      <w:r w:rsidRPr="00D423D7">
        <w:t>,</w:t>
      </w:r>
      <w:r w:rsidRPr="00D423D7">
        <w:rPr>
          <w:i/>
          <w:iCs/>
        </w:rPr>
        <w:t xml:space="preserve"> </w:t>
      </w:r>
      <w:r w:rsidRPr="00D423D7">
        <w:t xml:space="preserve">WC Docket No. 06-74, Memorandum Opinion and Order, 22 FCC </w:t>
      </w:r>
      <w:r w:rsidRPr="00D423D7">
        <w:t>Rcd</w:t>
      </w:r>
      <w:r w:rsidRPr="00D423D7">
        <w:t xml:space="preserve"> 5662, 5674, para. 21 (2007) (</w:t>
      </w:r>
      <w:r w:rsidRPr="00D423D7">
        <w:rPr>
          <w:i/>
        </w:rPr>
        <w:t>AT&amp;T-BellSouth Order</w:t>
      </w:r>
      <w:r w:rsidRPr="00D423D7">
        <w:rPr>
          <w:iCs/>
        </w:rPr>
        <w:t>).</w:t>
      </w:r>
      <w:r w:rsidRPr="00D423D7">
        <w:rPr>
          <w:i/>
        </w:rPr>
        <w:t xml:space="preserve"> </w:t>
      </w:r>
    </w:p>
  </w:footnote>
  <w:footnote w:id="33">
    <w:p w:rsidR="00A40FA9" w:rsidRPr="00D423D7" w:rsidP="00A40FA9" w14:paraId="16B17AE8"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4784, para. 14</w:t>
      </w:r>
      <w:r w:rsidRPr="00D423D7">
        <w:t xml:space="preserve">; </w:t>
      </w:r>
      <w:r w:rsidRPr="00D423D7">
        <w:rPr>
          <w:i/>
          <w:iCs/>
        </w:rPr>
        <w:t>Applications of AT&amp;T Inc. and DIRECTV for Consent to Assign or Transfer Control of Licenses and Authorizations</w:t>
      </w:r>
      <w:r w:rsidRPr="00D423D7">
        <w:t xml:space="preserve">, MB Docket No. 14-90, Memorandum Opinion and Order, 30 FCC </w:t>
      </w:r>
      <w:r w:rsidRPr="00D423D7">
        <w:t>Rcd</w:t>
      </w:r>
      <w:r w:rsidRPr="00D423D7">
        <w:t xml:space="preserve"> 9131, 9141, para. 22 (2015) (</w:t>
      </w:r>
      <w:r w:rsidRPr="00D423D7">
        <w:rPr>
          <w:i/>
        </w:rPr>
        <w:t>AT&amp;T-DIRECTV Order</w:t>
      </w:r>
      <w:r w:rsidRPr="00D423D7">
        <w:rPr>
          <w:iCs/>
        </w:rPr>
        <w:t>)</w:t>
      </w:r>
      <w:r w:rsidRPr="00D423D7">
        <w:t xml:space="preserve">; </w:t>
      </w:r>
      <w:r w:rsidRPr="00D423D7">
        <w:rPr>
          <w:i/>
          <w:iCs/>
        </w:rPr>
        <w:t>Applications of Comcast Corp., General Electric Co. and NBC Universal, Inc. for Consent to Assign Licenses and Transfer Control of Licenses</w:t>
      </w:r>
      <w:r w:rsidRPr="00D423D7">
        <w:t xml:space="preserve">, MB Docket No. 10-56, Memorandum Opinion and Order, 26 FCC </w:t>
      </w:r>
      <w:r w:rsidRPr="00D423D7">
        <w:t>Rcd</w:t>
      </w:r>
      <w:r w:rsidRPr="00D423D7">
        <w:t xml:space="preserve"> 4238, 4249, para. 25 (2011)</w:t>
      </w:r>
      <w:r w:rsidRPr="00D423D7">
        <w:rPr>
          <w:iCs/>
        </w:rPr>
        <w:t>;</w:t>
      </w:r>
      <w:r w:rsidRPr="00D423D7">
        <w:rPr>
          <w:i/>
        </w:rPr>
        <w:t xml:space="preserve"> Application of EchoStar Communications Corp., (A Nevada Corp.), General Motors Corp., and Hughes Electronics Corp (Delaware Corps.) (Transferors) and EchoStar Communications Corp. (A Delaware Corp.) (Transferee)</w:t>
      </w:r>
      <w:r w:rsidRPr="00D423D7">
        <w:rPr>
          <w:iCs/>
        </w:rPr>
        <w:t xml:space="preserve">, CS Docket No. 01-348, Hearing Designation Order, 17 FCC </w:t>
      </w:r>
      <w:r w:rsidRPr="00D423D7">
        <w:rPr>
          <w:iCs/>
        </w:rPr>
        <w:t>Rcd</w:t>
      </w:r>
      <w:r w:rsidRPr="00D423D7">
        <w:rPr>
          <w:iCs/>
        </w:rPr>
        <w:t xml:space="preserve"> 20559, 20575, para. 27 (2002)</w:t>
      </w:r>
      <w:r w:rsidRPr="00D423D7">
        <w:t xml:space="preserve">; </w:t>
      </w:r>
      <w:r w:rsidRPr="00D423D7">
        <w:rPr>
          <w:i/>
        </w:rPr>
        <w:t>see also Application of WorldCom, Inc. and MCI Commc</w:t>
      </w:r>
      <w:r w:rsidRPr="00D423D7">
        <w:rPr>
          <w:i/>
        </w:rPr>
        <w:t>’</w:t>
      </w:r>
      <w:r w:rsidRPr="00D423D7">
        <w:rPr>
          <w:i/>
        </w:rPr>
        <w:t>ns Corp. for Transfer of Control of MCI Communications Corporation to WorldCom, Inc.</w:t>
      </w:r>
      <w:r w:rsidRPr="00D423D7">
        <w:t xml:space="preserve">, CC Docket No. 97-211, Memorandum Opinion and Order, 13 FCC </w:t>
      </w:r>
      <w:r w:rsidRPr="00D423D7">
        <w:t>Rcd</w:t>
      </w:r>
      <w:r w:rsidRPr="00D423D7">
        <w:t xml:space="preserve"> 18025, 18032, para. 10 (1998) (stating that the Commission may attach conditions to the transfers); </w:t>
      </w:r>
      <w:r w:rsidRPr="00D423D7">
        <w:rPr>
          <w:i/>
          <w:iCs/>
        </w:rPr>
        <w:t>Applications of T-Mobile US, Inc., and Sprint Corp., for Consent to Transfer Control of Licenses and Authorizations, Applications of American H Block Wireless L.L.C., DBSD Corp., Gamma Acquisition L.L.C., and Manifest Wireless L.L.C. for Extension of Time</w:t>
      </w:r>
      <w:r w:rsidRPr="00D423D7">
        <w:t xml:space="preserve">, WT Docket No. 18-197, Memorandum Opinion and Order, Declaratory Ruling, and Order of Proposed Modification, 34 FCC </w:t>
      </w:r>
      <w:r w:rsidRPr="00D423D7">
        <w:t>Rcd</w:t>
      </w:r>
      <w:r w:rsidRPr="00D423D7">
        <w:t xml:space="preserve"> 10578, 10596, para. 42 (2019) (</w:t>
      </w:r>
      <w:r w:rsidRPr="00D423D7">
        <w:rPr>
          <w:i/>
          <w:iCs/>
        </w:rPr>
        <w:t>T-Mobile-Sprint Order</w:t>
      </w:r>
      <w:r w:rsidRPr="00D423D7">
        <w:t>).</w:t>
      </w:r>
    </w:p>
  </w:footnote>
  <w:footnote w:id="34">
    <w:p w:rsidR="00A40FA9" w:rsidRPr="00D423D7" w:rsidP="00A40FA9" w14:paraId="31C4DD17" w14:textId="77777777">
      <w:pPr>
        <w:pStyle w:val="FootnoteText"/>
      </w:pPr>
      <w:r w:rsidRPr="00D423D7">
        <w:rPr>
          <w:rStyle w:val="FootnoteReference"/>
        </w:rPr>
        <w:footnoteRef/>
      </w:r>
      <w:r w:rsidRPr="00D423D7">
        <w:t xml:space="preserve"> 47 U.S.C. § 309(e); </w:t>
      </w:r>
      <w:r w:rsidRPr="00D423D7">
        <w:rPr>
          <w:i/>
          <w:iCs/>
        </w:rPr>
        <w:t>T-Mobile-</w:t>
      </w:r>
      <w:r w:rsidRPr="00D423D7">
        <w:rPr>
          <w:i/>
          <w:iCs/>
        </w:rPr>
        <w:t>UScellular</w:t>
      </w:r>
      <w:r w:rsidRPr="00D423D7">
        <w:rPr>
          <w:i/>
          <w:iCs/>
        </w:rPr>
        <w:t xml:space="preserve"> Order</w:t>
      </w:r>
      <w:r w:rsidRPr="00D423D7">
        <w:rPr>
          <w:iCs/>
        </w:rPr>
        <w:t xml:space="preserve">, 40 FCC </w:t>
      </w:r>
      <w:r w:rsidRPr="00D423D7">
        <w:rPr>
          <w:iCs/>
        </w:rPr>
        <w:t>Rcd</w:t>
      </w:r>
      <w:r w:rsidRPr="00D423D7">
        <w:rPr>
          <w:iCs/>
        </w:rPr>
        <w:t xml:space="preserve"> at 4785, para. 15</w:t>
      </w:r>
      <w:r w:rsidRPr="00D423D7">
        <w:t xml:space="preserve">; </w:t>
      </w:r>
      <w:r w:rsidRPr="00D423D7">
        <w:rPr>
          <w:i/>
          <w:iCs/>
        </w:rPr>
        <w:t>CenturyLink</w:t>
      </w:r>
      <w:r w:rsidRPr="00D423D7">
        <w:rPr>
          <w:i/>
        </w:rPr>
        <w:t>-Level 3 Order</w:t>
      </w:r>
      <w:r w:rsidRPr="00D423D7">
        <w:t xml:space="preserve">, 32 FCC </w:t>
      </w:r>
      <w:r w:rsidRPr="00D423D7">
        <w:t>Rcd</w:t>
      </w:r>
      <w:r w:rsidRPr="00D423D7">
        <w:t xml:space="preserve"> at 9586, para. 10; </w:t>
      </w:r>
      <w:r w:rsidRPr="00D423D7">
        <w:rPr>
          <w:i/>
        </w:rPr>
        <w:t>Alaska Wireless-GCI Order</w:t>
      </w:r>
      <w:r w:rsidRPr="00D423D7">
        <w:t xml:space="preserve">, 28 FCC </w:t>
      </w:r>
      <w:r w:rsidRPr="00D423D7">
        <w:t>Rcd</w:t>
      </w:r>
      <w:r w:rsidRPr="00D423D7">
        <w:t xml:space="preserve"> at 10442, para. 23.</w:t>
      </w:r>
    </w:p>
  </w:footnote>
  <w:footnote w:id="35">
    <w:p w:rsidR="00A40FA9" w:rsidRPr="00D423D7" w:rsidP="00A40FA9" w14:paraId="686287C8"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rPr>
          <w:iCs/>
        </w:rPr>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4785, para. 15; </w:t>
      </w:r>
      <w:r w:rsidRPr="00D423D7">
        <w:rPr>
          <w:i/>
        </w:rPr>
        <w:t>Alaska Wireless-GCI Order</w:t>
      </w:r>
      <w:r w:rsidRPr="00D423D7">
        <w:t xml:space="preserve">, 28 FCC </w:t>
      </w:r>
      <w:r w:rsidRPr="00D423D7">
        <w:t>Rcd</w:t>
      </w:r>
      <w:r w:rsidRPr="00D423D7">
        <w:t xml:space="preserve"> at 10443, para. 26; </w:t>
      </w:r>
      <w:r w:rsidRPr="00D423D7">
        <w:rPr>
          <w:i/>
          <w:iCs/>
        </w:rPr>
        <w:t xml:space="preserve">Applications of </w:t>
      </w:r>
      <w:r w:rsidRPr="00D423D7">
        <w:rPr>
          <w:i/>
        </w:rPr>
        <w:t>AT&amp;T Inc. and Centennial Communications Corp. for Consent to Transfer Control of Licenses, Authorizations, and Spectrum Leasing Arrangements</w:t>
      </w:r>
      <w:r w:rsidRPr="00D423D7">
        <w:t xml:space="preserve">, WT Docket No. 08-246, Memorandum Opinion and Order, 24 FCC </w:t>
      </w:r>
      <w:r w:rsidRPr="00D423D7">
        <w:t>Rcd</w:t>
      </w:r>
      <w:r w:rsidRPr="00D423D7">
        <w:t xml:space="preserve"> 13915, 13929, para. 30 (2009).</w:t>
      </w:r>
    </w:p>
  </w:footnote>
  <w:footnote w:id="36">
    <w:p w:rsidR="00A40FA9" w:rsidRPr="00D423D7" w:rsidP="00A40FA9" w14:paraId="26FFE7FD"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Cs/>
        </w:rPr>
        <w:t xml:space="preserve"> </w:t>
      </w:r>
      <w:r w:rsidRPr="00D423D7">
        <w:rPr>
          <w:i/>
        </w:rPr>
        <w:t>e.g.</w:t>
      </w:r>
      <w:r w:rsidRPr="00D423D7">
        <w:rPr>
          <w:iCs/>
        </w:rPr>
        <w:t>,</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4785, para. 16; </w:t>
      </w:r>
      <w:r w:rsidRPr="00D423D7">
        <w:rPr>
          <w:i/>
        </w:rPr>
        <w:t>CenturyLink-Level 3 Order</w:t>
      </w:r>
      <w:r w:rsidRPr="00D423D7">
        <w:t xml:space="preserve">, 32 FCC </w:t>
      </w:r>
      <w:r w:rsidRPr="00D423D7">
        <w:t>Rcd</w:t>
      </w:r>
      <w:r w:rsidRPr="00D423D7">
        <w:t xml:space="preserve"> at 9586, para. 1.</w:t>
      </w:r>
    </w:p>
  </w:footnote>
  <w:footnote w:id="37">
    <w:p w:rsidR="00A40FA9" w:rsidRPr="00D423D7" w:rsidP="00A40FA9" w14:paraId="427390B4" w14:textId="77777777">
      <w:pPr>
        <w:pStyle w:val="FootnoteText"/>
      </w:pPr>
      <w:r w:rsidRPr="00D423D7">
        <w:rPr>
          <w:rStyle w:val="FootnoteReference"/>
        </w:rPr>
        <w:footnoteRef/>
      </w:r>
      <w:r w:rsidRPr="00D423D7">
        <w:t xml:space="preserve"> 47 U.S.C. § 309(e)</w:t>
      </w:r>
      <w:r w:rsidRPr="00D423D7">
        <w:rPr>
          <w:iCs/>
        </w:rPr>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4785, para. 16; </w:t>
      </w:r>
      <w:r w:rsidRPr="00D423D7">
        <w:rPr>
          <w:i/>
        </w:rPr>
        <w:t>CenturyLink-Level 3 Order</w:t>
      </w:r>
      <w:r w:rsidRPr="00D423D7">
        <w:t xml:space="preserve">, 32 FCC </w:t>
      </w:r>
      <w:r w:rsidRPr="00D423D7">
        <w:t>Rcd</w:t>
      </w:r>
      <w:r w:rsidRPr="00D423D7">
        <w:t xml:space="preserve"> at 9586</w:t>
      </w:r>
      <w:r>
        <w:t>–</w:t>
      </w:r>
      <w:r w:rsidRPr="00D423D7">
        <w:t xml:space="preserve">87, para. 11; </w:t>
      </w:r>
      <w:r w:rsidRPr="00D423D7">
        <w:rPr>
          <w:i/>
        </w:rPr>
        <w:t>Alaska Wireless-GCI Order</w:t>
      </w:r>
      <w:r w:rsidRPr="00D423D7">
        <w:t xml:space="preserve">, 28 FCC </w:t>
      </w:r>
      <w:r w:rsidRPr="00D423D7">
        <w:t>Rcd</w:t>
      </w:r>
      <w:r w:rsidRPr="00D423D7">
        <w:t xml:space="preserve"> at 10444, para. 27.  Section 309(e)’s requirement applies only to those applications to which Title III of the Act applies.  </w:t>
      </w:r>
      <w:r w:rsidRPr="00D423D7">
        <w:rPr>
          <w:i/>
        </w:rPr>
        <w:t>ITT World Commc’ns, Inc. v. FCC</w:t>
      </w:r>
      <w:r w:rsidRPr="00D423D7">
        <w:t>, 595 F.2d 897, 900</w:t>
      </w:r>
      <w:r>
        <w:t>–</w:t>
      </w:r>
      <w:r w:rsidRPr="00D423D7">
        <w:t xml:space="preserve">01 (2d Cir. 1979); </w:t>
      </w:r>
      <w:r w:rsidRPr="00D423D7">
        <w:rPr>
          <w:i/>
        </w:rPr>
        <w:t>CenturyLink-Level 3 Order</w:t>
      </w:r>
      <w:r w:rsidRPr="00D423D7">
        <w:t xml:space="preserve">, 32 FCC </w:t>
      </w:r>
      <w:r w:rsidRPr="00D423D7">
        <w:t>Rcd</w:t>
      </w:r>
      <w:r w:rsidRPr="00D423D7">
        <w:t xml:space="preserve"> at 9586</w:t>
      </w:r>
      <w:r>
        <w:t>–</w:t>
      </w:r>
      <w:r w:rsidRPr="00D423D7">
        <w:t>87, para. 11 &amp; n.37.</w:t>
      </w:r>
    </w:p>
  </w:footnote>
  <w:footnote w:id="38">
    <w:p w:rsidR="00A40FA9" w:rsidRPr="00D423D7" w:rsidP="00A40FA9" w14:paraId="66832148" w14:textId="77777777">
      <w:pPr>
        <w:pStyle w:val="FootnoteText"/>
      </w:pPr>
      <w:r w:rsidRPr="00D423D7">
        <w:rPr>
          <w:rStyle w:val="FootnoteReference"/>
        </w:rPr>
        <w:footnoteRef/>
      </w:r>
      <w:r w:rsidRPr="00D423D7">
        <w:t xml:space="preserve"> 47 U.S.C. § 310(d).</w:t>
      </w:r>
    </w:p>
  </w:footnote>
  <w:footnote w:id="39">
    <w:p w:rsidR="00A40FA9" w:rsidRPr="00D423D7" w:rsidP="00A40FA9" w14:paraId="4FA0A378" w14:textId="77777777">
      <w:pPr>
        <w:pStyle w:val="FootnoteText"/>
        <w:rPr>
          <w:i/>
          <w:iCs/>
        </w:rPr>
      </w:pPr>
      <w:r w:rsidRPr="00D423D7">
        <w:rPr>
          <w:rStyle w:val="FootnoteReference"/>
        </w:rPr>
        <w:footnoteRef/>
      </w:r>
      <w:r w:rsidRPr="00D423D7">
        <w:t xml:space="preserve"> 47 U.S.C. §§ 308, 310(d); </w:t>
      </w:r>
      <w:r w:rsidRPr="00D423D7">
        <w:rPr>
          <w:i/>
          <w:iCs/>
        </w:rPr>
        <w:t>T-Mobile-</w:t>
      </w:r>
      <w:r w:rsidRPr="00D423D7">
        <w:rPr>
          <w:i/>
          <w:iCs/>
        </w:rPr>
        <w:t>UScellular</w:t>
      </w:r>
      <w:r w:rsidRPr="00D423D7">
        <w:rPr>
          <w:i/>
          <w:iCs/>
        </w:rPr>
        <w:t xml:space="preserve"> Order</w:t>
      </w:r>
      <w:r w:rsidRPr="00D423D7">
        <w:rPr>
          <w:iCs/>
        </w:rPr>
        <w:t xml:space="preserve">, 40 FCC </w:t>
      </w:r>
      <w:r w:rsidRPr="00D423D7">
        <w:rPr>
          <w:iCs/>
        </w:rPr>
        <w:t>Rcd</w:t>
      </w:r>
      <w:r w:rsidRPr="00D423D7">
        <w:rPr>
          <w:iCs/>
        </w:rPr>
        <w:t xml:space="preserve"> at 4785</w:t>
      </w:r>
      <w:r>
        <w:rPr>
          <w:iCs/>
        </w:rPr>
        <w:t>–</w:t>
      </w:r>
      <w:r w:rsidRPr="00D423D7">
        <w:rPr>
          <w:iCs/>
        </w:rPr>
        <w:t>86, para. 17</w:t>
      </w:r>
      <w:r w:rsidRPr="00D423D7">
        <w:t xml:space="preserve">; </w:t>
      </w:r>
      <w:r w:rsidRPr="00D423D7">
        <w:rPr>
          <w:i/>
        </w:rPr>
        <w:t>T</w:t>
      </w:r>
      <w:r w:rsidRPr="00D423D7">
        <w:rPr>
          <w:i/>
          <w:iCs/>
        </w:rPr>
        <w:t>-Mobile-Sprint Order</w:t>
      </w:r>
      <w:r w:rsidRPr="00D423D7">
        <w:t>,</w:t>
      </w:r>
      <w:r w:rsidRPr="00D423D7">
        <w:rPr>
          <w:i/>
        </w:rPr>
        <w:t xml:space="preserve"> </w:t>
      </w:r>
      <w:r w:rsidRPr="00D423D7">
        <w:t xml:space="preserve">34 FCC </w:t>
      </w:r>
      <w:r w:rsidRPr="00D423D7">
        <w:t>Rcd</w:t>
      </w:r>
      <w:r w:rsidRPr="00D423D7">
        <w:t xml:space="preserve"> at 10596</w:t>
      </w:r>
      <w:r>
        <w:t>–</w:t>
      </w:r>
      <w:r w:rsidRPr="00D423D7">
        <w:t xml:space="preserve">97, para. 43; </w:t>
      </w:r>
      <w:r w:rsidRPr="00D423D7">
        <w:rPr>
          <w:i/>
          <w:iCs/>
        </w:rPr>
        <w:t>Century Link-Level 3 Order</w:t>
      </w:r>
      <w:r w:rsidRPr="00D423D7">
        <w:t>,</w:t>
      </w:r>
      <w:r w:rsidRPr="00D423D7">
        <w:rPr>
          <w:i/>
          <w:iCs/>
        </w:rPr>
        <w:t xml:space="preserve"> </w:t>
      </w:r>
      <w:r w:rsidRPr="00D423D7">
        <w:t xml:space="preserve">32 FCC </w:t>
      </w:r>
      <w:r w:rsidRPr="00D423D7">
        <w:t>Rcd</w:t>
      </w:r>
      <w:r w:rsidRPr="00D423D7">
        <w:t xml:space="preserve"> at 9587, para. 12. </w:t>
      </w:r>
    </w:p>
  </w:footnote>
  <w:footnote w:id="40">
    <w:p w:rsidR="00A40FA9" w:rsidRPr="00D423D7" w:rsidP="00A40FA9" w14:paraId="60AC040A"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w:t>
      </w:r>
      <w:r w:rsidRPr="00D423D7">
        <w:rPr>
          <w:i/>
        </w:rPr>
        <w:t>UScellular</w:t>
      </w:r>
      <w:r w:rsidRPr="00D423D7">
        <w:rPr>
          <w:i/>
        </w:rPr>
        <w:t xml:space="preserve"> Order</w:t>
      </w:r>
      <w:r w:rsidRPr="00D423D7">
        <w:rPr>
          <w:iCs/>
        </w:rPr>
        <w:t xml:space="preserve">, 40 FCC </w:t>
      </w:r>
      <w:r w:rsidRPr="00D423D7">
        <w:rPr>
          <w:iCs/>
        </w:rPr>
        <w:t>Rcd</w:t>
      </w:r>
      <w:r w:rsidRPr="00D423D7">
        <w:rPr>
          <w:iCs/>
        </w:rPr>
        <w:t xml:space="preserve"> at 4785</w:t>
      </w:r>
      <w:r>
        <w:rPr>
          <w:iCs/>
        </w:rPr>
        <w:t>–</w:t>
      </w:r>
      <w:r w:rsidRPr="00D423D7">
        <w:rPr>
          <w:iCs/>
        </w:rPr>
        <w:t xml:space="preserve">86, para. 17; </w:t>
      </w:r>
      <w:r w:rsidRPr="00D423D7">
        <w:rPr>
          <w:i/>
          <w:iCs/>
        </w:rPr>
        <w:t>T-Mobile-Sprint Order</w:t>
      </w:r>
      <w:r w:rsidRPr="00D423D7">
        <w:t xml:space="preserve">, 34 FCC </w:t>
      </w:r>
      <w:r w:rsidRPr="00D423D7">
        <w:t>Rcd</w:t>
      </w:r>
      <w:r w:rsidRPr="00D423D7">
        <w:t xml:space="preserve"> 10596</w:t>
      </w:r>
      <w:r>
        <w:t>–</w:t>
      </w:r>
      <w:r w:rsidRPr="00D423D7">
        <w:t>97, para. 43;</w:t>
      </w:r>
      <w:r w:rsidRPr="00D423D7">
        <w:rPr>
          <w:i/>
          <w:iCs/>
        </w:rPr>
        <w:t xml:space="preserve"> CenturyLink-Level-3 Order</w:t>
      </w:r>
      <w:r w:rsidRPr="00D423D7">
        <w:t xml:space="preserve">, 32 FCC </w:t>
      </w:r>
      <w:r w:rsidRPr="00D423D7">
        <w:t>Rcd</w:t>
      </w:r>
      <w:r w:rsidRPr="00D423D7">
        <w:t xml:space="preserve"> at 9587, para. 12. </w:t>
      </w:r>
    </w:p>
  </w:footnote>
  <w:footnote w:id="41">
    <w:p w:rsidR="00A40FA9" w:rsidRPr="00D423D7" w:rsidP="00A40FA9" w14:paraId="4223DE7B" w14:textId="77777777">
      <w:pPr>
        <w:pStyle w:val="FootnoteText"/>
      </w:pPr>
      <w:r w:rsidRPr="00D423D7">
        <w:rPr>
          <w:rStyle w:val="FootnoteReference"/>
        </w:rPr>
        <w:footnoteRef/>
      </w:r>
      <w:r w:rsidRPr="00D423D7">
        <w:t xml:space="preserve"> </w:t>
      </w:r>
      <w:r>
        <w:t xml:space="preserve">Both Verizon Wireless and its parent company, Verizon, have </w:t>
      </w:r>
      <w:r w:rsidRPr="00D423D7">
        <w:t xml:space="preserve">previously and repeatedly been found qualified to hold Commission licenses.  </w:t>
      </w:r>
      <w:r w:rsidRPr="00D423D7">
        <w:rPr>
          <w:i/>
          <w:iCs/>
        </w:rPr>
        <w:t>See</w:t>
      </w:r>
      <w:r w:rsidRPr="002C6EC4">
        <w:rPr>
          <w:i/>
        </w:rPr>
        <w:t>,</w:t>
      </w:r>
      <w:r w:rsidRPr="00D423D7">
        <w:t xml:space="preserve"> </w:t>
      </w:r>
      <w:r w:rsidRPr="00D423D7">
        <w:rPr>
          <w:i/>
          <w:iCs/>
        </w:rPr>
        <w:t>e.g.</w:t>
      </w:r>
      <w:r w:rsidRPr="00D423D7">
        <w:t xml:space="preserve">, </w:t>
      </w:r>
      <w:r w:rsidRPr="00D423D7">
        <w:rPr>
          <w:i/>
          <w:iCs/>
        </w:rPr>
        <w:t>Frontier Communications Parent, Inc. and Verizon Communications, Inc. Application for Consent to Transfer Control</w:t>
      </w:r>
      <w:r w:rsidRPr="00D423D7">
        <w:t xml:space="preserve">, Memorandum Opinion and Order, 40 FCC </w:t>
      </w:r>
      <w:r w:rsidRPr="00D423D7">
        <w:t>Rcd</w:t>
      </w:r>
      <w:r w:rsidRPr="00D423D7">
        <w:t xml:space="preserve"> 3156, 3162, para. 14 (WCB/OIA/WTB 2025); </w:t>
      </w:r>
      <w:r w:rsidRPr="00D423D7">
        <w:rPr>
          <w:i/>
          <w:iCs/>
        </w:rPr>
        <w:t xml:space="preserve">T-Mobile License LLC, </w:t>
      </w:r>
      <w:r w:rsidRPr="00D423D7">
        <w:rPr>
          <w:i/>
          <w:iCs/>
        </w:rPr>
        <w:t>Cellco</w:t>
      </w:r>
      <w:r w:rsidRPr="00D423D7">
        <w:rPr>
          <w:i/>
          <w:iCs/>
        </w:rPr>
        <w:t xml:space="preserve"> Partnership, Applications for 3.7</w:t>
      </w:r>
      <w:r>
        <w:rPr>
          <w:i/>
          <w:iCs/>
        </w:rPr>
        <w:t>–</w:t>
      </w:r>
      <w:r w:rsidRPr="00D423D7">
        <w:rPr>
          <w:i/>
          <w:iCs/>
        </w:rPr>
        <w:t>3.98 GHz Band Licenses, Auction No. 107</w:t>
      </w:r>
      <w:r w:rsidRPr="00D423D7">
        <w:t xml:space="preserve">, ULS File Nos. 0009446137 and 0009446983, Memorandum Opinion and Order, 36 FCC </w:t>
      </w:r>
      <w:r w:rsidRPr="00D423D7">
        <w:t>Rcd</w:t>
      </w:r>
      <w:r w:rsidRPr="00D423D7">
        <w:t xml:space="preserve"> 11486, 11491</w:t>
      </w:r>
      <w:r>
        <w:t>–</w:t>
      </w:r>
      <w:r w:rsidRPr="00D423D7">
        <w:t xml:space="preserve">92, para. 10 (WTB/OEA 2021); </w:t>
      </w:r>
      <w:r w:rsidRPr="00D423D7">
        <w:rPr>
          <w:i/>
          <w:iCs/>
        </w:rPr>
        <w:t>Applications of XO Holdings and Verizon Communications Inc. for Consent to Transfer Control of Licenses and Authorizations</w:t>
      </w:r>
      <w:r w:rsidRPr="00D423D7">
        <w:t xml:space="preserve">, Memorandum Opinion and Order, WC Docket No. 16-70, 31 FCC </w:t>
      </w:r>
      <w:r w:rsidRPr="00D423D7">
        <w:t>Rcd</w:t>
      </w:r>
      <w:r w:rsidRPr="00D423D7">
        <w:t xml:space="preserve"> 12501, 12507, para. 13 (WCB/IB/WTB 2016).</w:t>
      </w:r>
    </w:p>
  </w:footnote>
  <w:footnote w:id="42">
    <w:p w:rsidR="00A40FA9" w:rsidRPr="00D423D7" w:rsidP="00A40FA9" w14:paraId="751AEF45"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4C7D8A">
        <w:rPr>
          <w:i/>
          <w:iCs/>
        </w:rPr>
        <w:t xml:space="preserve"> </w:t>
      </w:r>
      <w:r w:rsidRPr="001C6276">
        <w:rPr>
          <w:i/>
          <w:iCs/>
        </w:rPr>
        <w:t>AT&amp;T-Array Order</w:t>
      </w:r>
      <w:r w:rsidRPr="001C6276">
        <w:t xml:space="preserve"> </w:t>
      </w:r>
      <w:r>
        <w:t xml:space="preserve">at 7, </w:t>
      </w:r>
      <w:r w:rsidRPr="001C6276">
        <w:t>para. 13;</w:t>
      </w:r>
      <w:r w:rsidRPr="00D423D7">
        <w:t xml:space="preserve"> </w:t>
      </w:r>
      <w:r w:rsidRPr="00D423D7">
        <w:rPr>
          <w:i/>
          <w:iCs/>
        </w:rPr>
        <w:t>Applications of T-Mobile US, Inc. and United States Cellular Corporation for Consent to Transfer Control of Licenses, Authorizations, and Leases</w:t>
      </w:r>
      <w:r w:rsidRPr="00D423D7">
        <w:t xml:space="preserve">, GN Docket No. 24-286, Memorandum Opinion and Order, 40 FCC </w:t>
      </w:r>
      <w:r w:rsidRPr="00D423D7">
        <w:t>Rcd</w:t>
      </w:r>
      <w:r w:rsidRPr="00D423D7">
        <w:t xml:space="preserve"> 4776, 4786, para. 18 (WTB/OIA 2025); </w:t>
      </w:r>
      <w:r w:rsidRPr="00D423D7">
        <w:rPr>
          <w:i/>
          <w:iCs/>
        </w:rPr>
        <w:t>Application of United States Cellular Corporation and Hershey Cooperative Telephone Company for Consent to Assign License</w:t>
      </w:r>
      <w:r w:rsidRPr="00D423D7">
        <w:t xml:space="preserve">, WT Docket No. 16-14, Memorandum Opinion and Order, 31 FCC </w:t>
      </w:r>
      <w:r w:rsidRPr="00D423D7">
        <w:t>Rcd</w:t>
      </w:r>
      <w:r w:rsidRPr="00D423D7">
        <w:t xml:space="preserve"> 10669, 10671</w:t>
      </w:r>
      <w:r>
        <w:t>–</w:t>
      </w:r>
      <w:r w:rsidRPr="00D423D7">
        <w:t>72, para. 7 (WTB 2016).</w:t>
      </w:r>
    </w:p>
  </w:footnote>
  <w:footnote w:id="43">
    <w:p w:rsidR="00A40FA9" w:rsidRPr="00D423D7" w:rsidP="00A40FA9" w14:paraId="255A1B0F" w14:textId="77777777">
      <w:pPr>
        <w:pStyle w:val="FootnoteText"/>
      </w:pPr>
      <w:r w:rsidRPr="00D423D7">
        <w:rPr>
          <w:rStyle w:val="FootnoteReference"/>
        </w:rPr>
        <w:footnoteRef/>
      </w:r>
      <w:r w:rsidRPr="00D423D7">
        <w:t xml:space="preserve"> O’Connor Leibman Abeyance Petition.</w:t>
      </w:r>
    </w:p>
  </w:footnote>
  <w:footnote w:id="44">
    <w:p w:rsidR="00A40FA9" w:rsidRPr="00D423D7" w:rsidP="00A40FA9" w14:paraId="0CCCE4FF" w14:textId="77777777">
      <w:pPr>
        <w:pStyle w:val="FootnoteText"/>
        <w:widowControl w:val="0"/>
        <w:rPr>
          <w:u w:val="single"/>
        </w:rPr>
      </w:pPr>
      <w:r w:rsidRPr="00D423D7">
        <w:rPr>
          <w:rStyle w:val="FootnoteReference"/>
        </w:rPr>
        <w:footnoteRef/>
      </w:r>
      <w:r w:rsidRPr="00D423D7">
        <w:t xml:space="preserve"> </w:t>
      </w:r>
      <w:r w:rsidRPr="00D423D7">
        <w:rPr>
          <w:i/>
          <w:iCs/>
        </w:rPr>
        <w:t>Id.</w:t>
      </w:r>
      <w:r w:rsidRPr="00D423D7">
        <w:t xml:space="preserve"> at 2</w:t>
      </w:r>
      <w:r>
        <w:t>–</w:t>
      </w:r>
      <w:r w:rsidRPr="00D423D7">
        <w:t xml:space="preserve">3; </w:t>
      </w:r>
      <w:r w:rsidRPr="00D423D7">
        <w:rPr>
          <w:i/>
        </w:rPr>
        <w:t>U. S. ex rel. O’Connor v. U.S. Cellular Corp. et al</w:t>
      </w:r>
      <w:r w:rsidRPr="00D423D7">
        <w:t xml:space="preserve">., No. 20-cv-2070, 2023 WL 2424605 (D.D.C.) (dismissed Mar. 9, 2023), </w:t>
      </w:r>
      <w:r w:rsidRPr="00D423D7">
        <w:rPr>
          <w:i/>
          <w:iCs/>
        </w:rPr>
        <w:t>rev’d</w:t>
      </w:r>
      <w:r w:rsidRPr="00D423D7">
        <w:rPr>
          <w:i/>
          <w:iCs/>
        </w:rPr>
        <w:t xml:space="preserve"> and remanded</w:t>
      </w:r>
      <w:r w:rsidRPr="00D423D7">
        <w:t xml:space="preserve">, 153 F4th. 1272 </w:t>
      </w:r>
      <w:r w:rsidRPr="00D423D7">
        <w:rPr>
          <w:i/>
          <w:iCs/>
        </w:rPr>
        <w:t xml:space="preserve"> </w:t>
      </w:r>
      <w:r w:rsidRPr="00D423D7">
        <w:t>(D.C. Cir. 2025);</w:t>
      </w:r>
      <w:r w:rsidRPr="00D423D7">
        <w:rPr>
          <w:i/>
          <w:iCs/>
        </w:rPr>
        <w:t xml:space="preserve"> </w:t>
      </w:r>
      <w:r w:rsidRPr="00D423D7">
        <w:rPr>
          <w:i/>
        </w:rPr>
        <w:t>U.S. ex rel. O’Connor v. U.S. Cellular Corp. et al</w:t>
      </w:r>
      <w:r w:rsidRPr="00D423D7">
        <w:t xml:space="preserve">., No. 23-7041; </w:t>
      </w:r>
      <w:r w:rsidRPr="00D423D7">
        <w:rPr>
          <w:i/>
        </w:rPr>
        <w:t>U.S. ex rel. O’Connor v. U.S. Cellular Corp. et al.</w:t>
      </w:r>
      <w:r w:rsidRPr="00D423D7">
        <w:t xml:space="preserve">, No. 20-cv-2071, 2023 WL 2598678 (D.D.C.) (dismissed Mar. 22, 2023); </w:t>
      </w:r>
      <w:r w:rsidRPr="00D423D7">
        <w:rPr>
          <w:i/>
          <w:iCs/>
        </w:rPr>
        <w:t>dismissal aff’d</w:t>
      </w:r>
      <w:r w:rsidRPr="00D423D7">
        <w:t xml:space="preserve">, </w:t>
      </w:r>
      <w:r w:rsidRPr="00D423D7">
        <w:rPr>
          <w:i/>
          <w:iCs/>
        </w:rPr>
        <w:t>U.S., ex rel. O’Connor v. USCC Wireless Inv., Inc., et al.</w:t>
      </w:r>
      <w:r w:rsidRPr="00D423D7">
        <w:t xml:space="preserve">, </w:t>
      </w:r>
      <w:r>
        <w:t>128 F.4th 276</w:t>
      </w:r>
      <w:r w:rsidRPr="00D423D7">
        <w:t xml:space="preserve"> (D.C. Cir. 2025); </w:t>
      </w:r>
      <w:r w:rsidRPr="00D423D7">
        <w:rPr>
          <w:i/>
        </w:rPr>
        <w:t xml:space="preserve">rehearing </w:t>
      </w:r>
      <w:r w:rsidRPr="00D423D7">
        <w:rPr>
          <w:i/>
        </w:rPr>
        <w:t>en</w:t>
      </w:r>
      <w:r w:rsidRPr="00D423D7">
        <w:rPr>
          <w:i/>
        </w:rPr>
        <w:t xml:space="preserve"> banc denied, U.S., ex rel. O’Connor v. USCC Wireless Inv., Inc.</w:t>
      </w:r>
      <w:r w:rsidRPr="00D423D7">
        <w:t xml:space="preserve">, No. 23-7044, 2025 WL 1073360 (D.C. Cir. Apr. 8, 2025); </w:t>
      </w:r>
      <w:r>
        <w:rPr>
          <w:i/>
          <w:iCs/>
        </w:rPr>
        <w:t xml:space="preserve">cert. </w:t>
      </w:r>
      <w:r w:rsidRPr="009674E1">
        <w:rPr>
          <w:i/>
          <w:iCs/>
        </w:rPr>
        <w:t>denied</w:t>
      </w:r>
      <w:r>
        <w:t xml:space="preserve">, 2026 WL 79638 (Jan. 12, 2026); </w:t>
      </w:r>
      <w:r w:rsidRPr="005F7046">
        <w:rPr>
          <w:i/>
        </w:rPr>
        <w:t>see also</w:t>
      </w:r>
      <w:r>
        <w:t xml:space="preserve"> </w:t>
      </w:r>
      <w:r w:rsidRPr="00D423D7">
        <w:t>UScellular</w:t>
      </w:r>
      <w:r w:rsidRPr="00D423D7">
        <w:t xml:space="preserve"> Oct. 23</w:t>
      </w:r>
      <w:r w:rsidRPr="00D423D7">
        <w:rPr>
          <w:i/>
          <w:iCs/>
        </w:rPr>
        <w:t xml:space="preserve"> Ex </w:t>
      </w:r>
      <w:r w:rsidRPr="00D423D7">
        <w:rPr>
          <w:i/>
          <w:iCs/>
        </w:rPr>
        <w:t>Parte</w:t>
      </w:r>
      <w:r w:rsidRPr="00D423D7">
        <w:rPr>
          <w:i/>
          <w:iCs/>
        </w:rPr>
        <w:t xml:space="preserve"> </w:t>
      </w:r>
      <w:r w:rsidRPr="00D101B5">
        <w:t>Letter</w:t>
      </w:r>
      <w:r w:rsidRPr="00D423D7">
        <w:t>.</w:t>
      </w:r>
    </w:p>
  </w:footnote>
  <w:footnote w:id="45">
    <w:p w:rsidR="00A40FA9" w:rsidRPr="00D423D7" w:rsidP="00A40FA9" w14:paraId="2B79B63F" w14:textId="77777777">
      <w:pPr>
        <w:pStyle w:val="FootnoteText"/>
      </w:pPr>
      <w:r w:rsidRPr="00D423D7">
        <w:rPr>
          <w:rStyle w:val="FootnoteReference"/>
        </w:rPr>
        <w:footnoteRef/>
      </w:r>
      <w:r w:rsidRPr="00D423D7">
        <w:t xml:space="preserve"> </w:t>
      </w:r>
      <w:r>
        <w:rPr>
          <w:i/>
          <w:iCs/>
        </w:rPr>
        <w:t xml:space="preserve">See </w:t>
      </w:r>
      <w:r w:rsidRPr="00D423D7">
        <w:t>O’Connor Leibman Abeyance Petition at 4.</w:t>
      </w:r>
    </w:p>
  </w:footnote>
  <w:footnote w:id="46">
    <w:p w:rsidR="00A40FA9" w:rsidP="00A40FA9" w14:paraId="77515DC8" w14:textId="77777777">
      <w:pPr>
        <w:pStyle w:val="FootnoteText"/>
      </w:pPr>
      <w:r>
        <w:rPr>
          <w:rStyle w:val="FootnoteReference"/>
        </w:rPr>
        <w:footnoteRef/>
      </w:r>
      <w:r>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4786</w:t>
      </w:r>
      <w:r>
        <w:t>–</w:t>
      </w:r>
      <w:r w:rsidRPr="00D423D7">
        <w:t>88, paras. 18</w:t>
      </w:r>
      <w:r>
        <w:t>–</w:t>
      </w:r>
      <w:r w:rsidRPr="00D423D7">
        <w:t xml:space="preserve">22; </w:t>
      </w:r>
      <w:r w:rsidRPr="001C6276">
        <w:rPr>
          <w:i/>
          <w:iCs/>
        </w:rPr>
        <w:t>AT&amp;T-Array Order</w:t>
      </w:r>
      <w:r w:rsidRPr="00D423D7">
        <w:t xml:space="preserve"> </w:t>
      </w:r>
      <w:r>
        <w:t xml:space="preserve">at 7, </w:t>
      </w:r>
      <w:r w:rsidRPr="00D423D7">
        <w:t>para</w:t>
      </w:r>
      <w:r>
        <w:t>s</w:t>
      </w:r>
      <w:r w:rsidRPr="00D423D7">
        <w:t xml:space="preserve">. </w:t>
      </w:r>
      <w:r>
        <w:t>13–14.</w:t>
      </w:r>
    </w:p>
  </w:footnote>
  <w:footnote w:id="47">
    <w:p w:rsidR="00A40FA9" w:rsidRPr="00D423D7" w:rsidP="00A40FA9" w14:paraId="0787CC21"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 xml:space="preserve">, </w:t>
      </w:r>
      <w:r w:rsidRPr="00D423D7">
        <w:rPr>
          <w:i/>
          <w:iCs/>
        </w:rPr>
        <w:t>T-Mobile-Sprint Order</w:t>
      </w:r>
      <w:r w:rsidRPr="00D423D7">
        <w:t xml:space="preserve">, 34 FCC </w:t>
      </w:r>
      <w:r w:rsidRPr="00D423D7">
        <w:t>Rcd</w:t>
      </w:r>
      <w:r w:rsidRPr="00D423D7">
        <w:t xml:space="preserve"> at 10597</w:t>
      </w:r>
      <w:r>
        <w:t>–</w:t>
      </w:r>
      <w:r w:rsidRPr="00D423D7">
        <w:t xml:space="preserve">98, para. 45; </w:t>
      </w:r>
      <w:r w:rsidRPr="00D423D7">
        <w:rPr>
          <w:i/>
          <w:iCs/>
        </w:rPr>
        <w:t>CenturyLink-</w:t>
      </w:r>
      <w:r w:rsidRPr="00D423D7">
        <w:rPr>
          <w:i/>
        </w:rPr>
        <w:t>Level 3 Order</w:t>
      </w:r>
      <w:r w:rsidRPr="00D423D7">
        <w:t xml:space="preserve">, 32 FCC </w:t>
      </w:r>
      <w:r w:rsidRPr="00D423D7">
        <w:t>Rcd</w:t>
      </w:r>
      <w:r w:rsidRPr="00D423D7">
        <w:t xml:space="preserve"> at 9587, para. 13; </w:t>
      </w:r>
      <w:r w:rsidRPr="00D423D7">
        <w:rPr>
          <w:i/>
        </w:rPr>
        <w:t>Alaska Wireless-GCI Order</w:t>
      </w:r>
      <w:r w:rsidRPr="00D423D7">
        <w:t xml:space="preserve">, 28 FCC </w:t>
      </w:r>
      <w:r w:rsidRPr="00D423D7">
        <w:t>Rcd</w:t>
      </w:r>
      <w:r w:rsidRPr="00D423D7">
        <w:t xml:space="preserve"> at 10445, para. 29</w:t>
      </w:r>
      <w:r>
        <w:t xml:space="preserve">; </w:t>
      </w:r>
      <w:r>
        <w:rPr>
          <w:i/>
        </w:rPr>
        <w:t>s</w:t>
      </w:r>
      <w:r w:rsidRPr="00D423D7">
        <w:rPr>
          <w:i/>
        </w:rPr>
        <w:t>ee</w:t>
      </w:r>
      <w:r>
        <w:rPr>
          <w:i/>
        </w:rPr>
        <w:t xml:space="preserve"> also</w:t>
      </w:r>
      <w:r w:rsidRPr="00D423D7">
        <w:rPr>
          <w:i/>
        </w:rPr>
        <w:t xml:space="preserve"> generally</w:t>
      </w:r>
      <w:r w:rsidRPr="00D423D7">
        <w:t xml:space="preserve"> </w:t>
      </w:r>
      <w:r w:rsidRPr="00D423D7">
        <w:rPr>
          <w:i/>
        </w:rPr>
        <w:t>Jefferson Radio Co. v. FCC</w:t>
      </w:r>
      <w:r w:rsidRPr="00D423D7">
        <w:t xml:space="preserve">, 340 F.2d 781, 783 (D.C. Cir. 1964); </w:t>
      </w:r>
      <w:r w:rsidRPr="00D423D7">
        <w:rPr>
          <w:i/>
        </w:rPr>
        <w:t>Stereo Broadcasters, Inc. v. FCC</w:t>
      </w:r>
      <w:r w:rsidRPr="00D423D7">
        <w:t xml:space="preserve">, 652 F.2d 1026, 1030 (D.C. Cir. 1981) (Commission policy generally prohibits the assignment of a license while basic qualifications issues raised against the licensee remain unresolved, and thus serves as a deterrent to licensee misconduct).  O’Connor and Leibman are incorrect, however, that </w:t>
      </w:r>
      <w:r w:rsidRPr="00D423D7">
        <w:rPr>
          <w:i/>
          <w:iCs/>
        </w:rPr>
        <w:t xml:space="preserve">Jefferson Radio </w:t>
      </w:r>
      <w:r w:rsidRPr="00D423D7">
        <w:t xml:space="preserve">requires us to wait until a district court has determined their fraud allegations to reach a decision here.  </w:t>
      </w:r>
      <w:r w:rsidRPr="00D423D7">
        <w:rPr>
          <w:i/>
          <w:iCs/>
        </w:rPr>
        <w:t>See</w:t>
      </w:r>
      <w:r w:rsidRPr="00D423D7">
        <w:rPr>
          <w:i/>
        </w:rPr>
        <w:t xml:space="preserve"> </w:t>
      </w:r>
      <w:r w:rsidRPr="00D423D7">
        <w:t>O’Connor Leibman Reply at 6.</w:t>
      </w:r>
    </w:p>
  </w:footnote>
  <w:footnote w:id="48">
    <w:p w:rsidR="00A40FA9" w:rsidRPr="00D423D7" w:rsidP="00A40FA9" w14:paraId="7FAEB4DF" w14:textId="77777777">
      <w:pPr>
        <w:pStyle w:val="FootnoteText"/>
      </w:pPr>
      <w:r w:rsidRPr="00D423D7">
        <w:rPr>
          <w:rStyle w:val="FootnoteReference"/>
        </w:rPr>
        <w:footnoteRef/>
      </w:r>
      <w:r w:rsidRPr="00D423D7">
        <w:t xml:space="preserve"> </w:t>
      </w:r>
      <w:r w:rsidRPr="00D423D7">
        <w:rPr>
          <w:i/>
          <w:iCs/>
        </w:rPr>
        <w:t>See</w:t>
      </w:r>
      <w:r w:rsidRPr="00D423D7">
        <w:t xml:space="preserve"> Mark J. O’Connor</w:t>
      </w:r>
      <w:r>
        <w:t xml:space="preserve"> and</w:t>
      </w:r>
      <w:r w:rsidRPr="00D423D7">
        <w:t xml:space="preserve"> Sara F. Leibman</w:t>
      </w:r>
      <w:r>
        <w:t>,</w:t>
      </w:r>
      <w:r w:rsidRPr="00D423D7">
        <w:t xml:space="preserve"> Petition to Hold in Abeyance, Deny, or Dismiss, GN Docket. No. 24-286 (</w:t>
      </w:r>
      <w:r>
        <w:t xml:space="preserve">rec. </w:t>
      </w:r>
      <w:r w:rsidRPr="00D423D7">
        <w:t>Dec. 9, 2024); Mark J. O’Connor</w:t>
      </w:r>
      <w:r>
        <w:t xml:space="preserve"> and</w:t>
      </w:r>
      <w:r w:rsidRPr="00D423D7">
        <w:t xml:space="preserve"> Sara F. Leibman</w:t>
      </w:r>
      <w:r>
        <w:t>,</w:t>
      </w:r>
      <w:r w:rsidRPr="00D423D7">
        <w:t xml:space="preserve"> Petition to Hold in Abeyance, </w:t>
      </w:r>
      <w:r>
        <w:t>WT</w:t>
      </w:r>
      <w:r w:rsidRPr="00D423D7">
        <w:t xml:space="preserve"> Docket. No. 25-150 (</w:t>
      </w:r>
      <w:r>
        <w:t xml:space="preserve">rec. </w:t>
      </w:r>
      <w:r w:rsidRPr="00D423D7">
        <w:t xml:space="preserve">Apr. 28, 2025); </w:t>
      </w:r>
      <w:r w:rsidRPr="00D423D7">
        <w:rPr>
          <w:i/>
          <w:iCs/>
        </w:rPr>
        <w:t>see also</w:t>
      </w:r>
      <w:r w:rsidRPr="00D423D7">
        <w:t xml:space="preserve"> </w:t>
      </w:r>
      <w:r w:rsidRPr="00D423D7">
        <w:t>UScellular</w:t>
      </w:r>
      <w:r w:rsidRPr="00D423D7">
        <w:t xml:space="preserve"> </w:t>
      </w:r>
      <w:r w:rsidRPr="00831019">
        <w:t>Opposition</w:t>
      </w:r>
      <w:r w:rsidRPr="0097776A">
        <w:t xml:space="preserve"> </w:t>
      </w:r>
      <w:r w:rsidRPr="00D423D7">
        <w:t>at 2</w:t>
      </w:r>
      <w:r>
        <w:t>–</w:t>
      </w:r>
      <w:r w:rsidRPr="00D423D7">
        <w:t>5.</w:t>
      </w:r>
    </w:p>
  </w:footnote>
  <w:footnote w:id="49">
    <w:p w:rsidR="00A40FA9" w:rsidRPr="00D423D7" w:rsidP="00A40FA9" w14:paraId="6C5DD9A0" w14:textId="77777777">
      <w:pPr>
        <w:pStyle w:val="FootnoteText"/>
      </w:pPr>
      <w:r w:rsidRPr="00D423D7">
        <w:rPr>
          <w:rStyle w:val="FootnoteReference"/>
        </w:rPr>
        <w:footnoteRef/>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4786</w:t>
      </w:r>
      <w:r>
        <w:t>–</w:t>
      </w:r>
      <w:r w:rsidRPr="00D423D7">
        <w:t>88, paras. 18</w:t>
      </w:r>
      <w:r>
        <w:t>–</w:t>
      </w:r>
      <w:r w:rsidRPr="00D423D7">
        <w:t xml:space="preserve">22; </w:t>
      </w:r>
      <w:r w:rsidRPr="001C6276">
        <w:rPr>
          <w:i/>
          <w:iCs/>
        </w:rPr>
        <w:t>AT&amp;T-Array Order</w:t>
      </w:r>
      <w:r w:rsidRPr="00D423D7">
        <w:t xml:space="preserve"> </w:t>
      </w:r>
      <w:r>
        <w:t xml:space="preserve">at 7, </w:t>
      </w:r>
      <w:r w:rsidRPr="00D423D7">
        <w:t>para</w:t>
      </w:r>
      <w:r>
        <w:t>s</w:t>
      </w:r>
      <w:r w:rsidRPr="00D423D7">
        <w:t xml:space="preserve">. </w:t>
      </w:r>
      <w:r>
        <w:t>13–14.</w:t>
      </w:r>
    </w:p>
  </w:footnote>
  <w:footnote w:id="50">
    <w:p w:rsidR="00A40FA9" w:rsidP="00A40FA9" w14:paraId="6772D0D3" w14:textId="77777777">
      <w:pPr>
        <w:pStyle w:val="FootnoteText"/>
      </w:pPr>
      <w:r>
        <w:rPr>
          <w:rStyle w:val="FootnoteReference"/>
        </w:rPr>
        <w:footnoteRef/>
      </w:r>
      <w:r>
        <w:t xml:space="preserve"> </w:t>
      </w:r>
      <w:r w:rsidRPr="009A64C4">
        <w:t xml:space="preserve">O’Connor and Leibman filed a Reply </w:t>
      </w:r>
      <w:r>
        <w:t>in this proceeding contending</w:t>
      </w:r>
      <w:r w:rsidRPr="009A64C4">
        <w:t xml:space="preserve"> that </w:t>
      </w:r>
      <w:r>
        <w:t>an</w:t>
      </w:r>
      <w:r w:rsidRPr="009A64C4">
        <w:t xml:space="preserve"> Application for Review </w:t>
      </w:r>
      <w:r>
        <w:t xml:space="preserve">that they </w:t>
      </w:r>
      <w:r w:rsidRPr="009A64C4">
        <w:t xml:space="preserve">filed </w:t>
      </w:r>
      <w:r>
        <w:t xml:space="preserve">as to the </w:t>
      </w:r>
      <w:r w:rsidRPr="009A64C4">
        <w:rPr>
          <w:i/>
          <w:iCs/>
        </w:rPr>
        <w:t>T-Mobile-</w:t>
      </w:r>
      <w:r w:rsidRPr="009A64C4">
        <w:rPr>
          <w:i/>
          <w:iCs/>
        </w:rPr>
        <w:t>UScellular</w:t>
      </w:r>
      <w:r w:rsidRPr="009A64C4">
        <w:rPr>
          <w:i/>
          <w:iCs/>
        </w:rPr>
        <w:t xml:space="preserve"> </w:t>
      </w:r>
      <w:r w:rsidRPr="00757C39">
        <w:rPr>
          <w:i/>
          <w:iCs/>
        </w:rPr>
        <w:t>Order</w:t>
      </w:r>
      <w:r w:rsidRPr="00757C39">
        <w:t xml:space="preserve"> and </w:t>
      </w:r>
      <w:r w:rsidRPr="00757C39">
        <w:rPr>
          <w:i/>
          <w:iCs/>
        </w:rPr>
        <w:t>UScellular</w:t>
      </w:r>
      <w:r w:rsidRPr="00757C39">
        <w:rPr>
          <w:i/>
          <w:iCs/>
        </w:rPr>
        <w:t>-Advantage Order</w:t>
      </w:r>
      <w:r>
        <w:rPr>
          <w:i/>
          <w:iCs/>
        </w:rPr>
        <w:t xml:space="preserve"> </w:t>
      </w:r>
      <w:r w:rsidRPr="00260002">
        <w:t xml:space="preserve">challenges </w:t>
      </w:r>
      <w:r>
        <w:t>aspects of those o</w:t>
      </w:r>
      <w:r w:rsidRPr="00260002">
        <w:t xml:space="preserve">rders which </w:t>
      </w:r>
      <w:r>
        <w:t xml:space="preserve">Array </w:t>
      </w:r>
      <w:r w:rsidRPr="00260002">
        <w:t xml:space="preserve">relies </w:t>
      </w:r>
      <w:r>
        <w:t xml:space="preserve">on </w:t>
      </w:r>
      <w:r w:rsidRPr="00757C39">
        <w:t>in the instant proceeding</w:t>
      </w:r>
      <w:r w:rsidRPr="00260002">
        <w:t>.</w:t>
      </w:r>
      <w:r>
        <w:t xml:space="preserve">  </w:t>
      </w:r>
      <w:r w:rsidRPr="00260002">
        <w:rPr>
          <w:i/>
          <w:iCs/>
        </w:rPr>
        <w:t>See</w:t>
      </w:r>
      <w:r>
        <w:t xml:space="preserve"> </w:t>
      </w:r>
      <w:r w:rsidRPr="00D423D7">
        <w:t>O’Connor Leibman Reply</w:t>
      </w:r>
      <w:r>
        <w:t>;</w:t>
      </w:r>
      <w:r w:rsidRPr="00260002">
        <w:t xml:space="preserve"> </w:t>
      </w:r>
      <w:r w:rsidRPr="00260002">
        <w:rPr>
          <w:i/>
        </w:rPr>
        <w:t>Application of Advantage Spectrum, L.P. and William C. Vail and United States Cellular Corporation for Consent to Transfer of Control of Licenses</w:t>
      </w:r>
      <w:r w:rsidRPr="00757C39">
        <w:t xml:space="preserve">, </w:t>
      </w:r>
      <w:r w:rsidRPr="00260002">
        <w:t xml:space="preserve">ULS File No. </w:t>
      </w:r>
      <w:r w:rsidRPr="00757C39">
        <w:t>0011135862</w:t>
      </w:r>
      <w:r w:rsidRPr="00260002">
        <w:t xml:space="preserve">, Memorandum Opinion and Order, </w:t>
      </w:r>
      <w:r w:rsidRPr="00757C39">
        <w:t xml:space="preserve">40 FCC </w:t>
      </w:r>
      <w:r w:rsidRPr="00757C39">
        <w:t>Rcd</w:t>
      </w:r>
      <w:r w:rsidRPr="00757C39">
        <w:t xml:space="preserve"> 4771 (WTB 2025)</w:t>
      </w:r>
      <w:r w:rsidRPr="00260002">
        <w:t xml:space="preserve"> (</w:t>
      </w:r>
      <w:r w:rsidRPr="00757C39">
        <w:rPr>
          <w:i/>
          <w:iCs/>
        </w:rPr>
        <w:t>UScellular</w:t>
      </w:r>
      <w:r w:rsidRPr="00757C39">
        <w:rPr>
          <w:i/>
          <w:iCs/>
        </w:rPr>
        <w:t>-Advantage Order</w:t>
      </w:r>
      <w:r w:rsidRPr="00260002">
        <w:t>)</w:t>
      </w:r>
      <w:r>
        <w:t>.  W</w:t>
      </w:r>
      <w:r w:rsidRPr="00260002">
        <w:t xml:space="preserve">e decline to reevaluate determinations made in the </w:t>
      </w:r>
      <w:r w:rsidRPr="00260002">
        <w:rPr>
          <w:i/>
          <w:iCs/>
        </w:rPr>
        <w:t>T</w:t>
      </w:r>
      <w:r w:rsidRPr="00757C39">
        <w:rPr>
          <w:i/>
          <w:iCs/>
        </w:rPr>
        <w:t>-Mobile-</w:t>
      </w:r>
      <w:r w:rsidRPr="00757C39">
        <w:rPr>
          <w:i/>
          <w:iCs/>
        </w:rPr>
        <w:t>UScellular</w:t>
      </w:r>
      <w:r w:rsidRPr="00343D62">
        <w:rPr>
          <w:i/>
          <w:iCs/>
        </w:rPr>
        <w:t xml:space="preserve"> Order</w:t>
      </w:r>
      <w:r w:rsidRPr="00343D62">
        <w:t xml:space="preserve"> </w:t>
      </w:r>
      <w:r w:rsidRPr="00260002">
        <w:t xml:space="preserve">and </w:t>
      </w:r>
      <w:r w:rsidRPr="00343D62">
        <w:rPr>
          <w:i/>
          <w:iCs/>
        </w:rPr>
        <w:t>UScellular</w:t>
      </w:r>
      <w:r w:rsidRPr="00343D62">
        <w:rPr>
          <w:i/>
          <w:iCs/>
        </w:rPr>
        <w:t>-Advantage Order</w:t>
      </w:r>
      <w:r w:rsidRPr="00260002">
        <w:t xml:space="preserve"> </w:t>
      </w:r>
      <w:r w:rsidRPr="00343D62">
        <w:t>in the proposed spectrum transfer at issue.</w:t>
      </w:r>
    </w:p>
  </w:footnote>
  <w:footnote w:id="51">
    <w:p w:rsidR="00A40FA9" w:rsidRPr="00D423D7" w:rsidP="00A40FA9" w14:paraId="3AC218AD" w14:textId="77777777">
      <w:pPr>
        <w:pStyle w:val="FootnoteText"/>
      </w:pPr>
      <w:r w:rsidRPr="00D423D7">
        <w:rPr>
          <w:rStyle w:val="FootnoteReference"/>
        </w:rPr>
        <w:footnoteRef/>
      </w:r>
      <w:r w:rsidRPr="00D423D7">
        <w:t xml:space="preserve"> </w:t>
      </w:r>
      <w:r w:rsidRPr="001C6276">
        <w:rPr>
          <w:i/>
          <w:iCs/>
        </w:rPr>
        <w:t>AT&amp;T-Array Order</w:t>
      </w:r>
      <w:r w:rsidRPr="00D423D7">
        <w:t xml:space="preserve"> </w:t>
      </w:r>
      <w:r>
        <w:t xml:space="preserve">at 1, para. 1 </w:t>
      </w:r>
      <w:r w:rsidRPr="00D423D7">
        <w:t>(AT&amp;T’s acquisition of Lower 700 MHz and 3.45 GHz licenses held by various subsidiaries and affiliates of Array).</w:t>
      </w:r>
    </w:p>
  </w:footnote>
  <w:footnote w:id="52">
    <w:p w:rsidR="00A40FA9" w:rsidRPr="00D423D7" w:rsidP="00A40FA9" w14:paraId="43397F83" w14:textId="77777777">
      <w:pPr>
        <w:pStyle w:val="FootnoteText"/>
      </w:pPr>
      <w:r w:rsidRPr="00D423D7">
        <w:rPr>
          <w:rStyle w:val="FootnoteReference"/>
        </w:rPr>
        <w:footnoteRef/>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4776, 4777, 4779, paras. 2 and 6</w:t>
      </w:r>
      <w:r w:rsidRPr="00D423D7">
        <w:t xml:space="preserve"> </w:t>
      </w:r>
      <w:r w:rsidRPr="00D423D7">
        <w:t xml:space="preserve">(T-Mobile’s acquisition of </w:t>
      </w:r>
      <w:r w:rsidRPr="00D423D7">
        <w:t>UScellular’s</w:t>
      </w:r>
      <w:r w:rsidRPr="00D423D7">
        <w:t xml:space="preserve"> wireless operations, customers, and </w:t>
      </w:r>
      <w:r w:rsidRPr="00D423D7">
        <w:t>UScellular’s</w:t>
      </w:r>
      <w:r w:rsidRPr="00D423D7">
        <w:t xml:space="preserve"> licensed spectrum, including 600 MHz, 2.5 GHz, 24 GHz, 700 MHz A Block, Advanced Wireless Services (AWS), and Personal Communications Service (PCS) spectrum).</w:t>
      </w:r>
    </w:p>
  </w:footnote>
  <w:footnote w:id="53">
    <w:p w:rsidR="00A40FA9" w:rsidRPr="00D423D7" w:rsidP="00A40FA9" w14:paraId="0FDD9631" w14:textId="77777777">
      <w:pPr>
        <w:pStyle w:val="FootnoteText"/>
      </w:pPr>
      <w:r w:rsidRPr="00D423D7">
        <w:rPr>
          <w:rStyle w:val="FootnoteReference"/>
        </w:rPr>
        <w:footnoteRef/>
      </w:r>
      <w:r w:rsidRPr="00D423D7">
        <w:t xml:space="preserve"> </w:t>
      </w:r>
      <w:r w:rsidRPr="00D423D7">
        <w:rPr>
          <w:i/>
          <w:iCs/>
        </w:rPr>
        <w:t>See</w:t>
      </w:r>
      <w:r w:rsidRPr="00D423D7">
        <w:t xml:space="preserve"> </w:t>
      </w:r>
      <w:r w:rsidRPr="00D423D7">
        <w:t>RWA</w:t>
      </w:r>
      <w:r>
        <w:t xml:space="preserve"> Petition to Deny</w:t>
      </w:r>
      <w:r w:rsidRPr="00D423D7">
        <w:t xml:space="preserve"> at Summary; Public Knowledge et al. Petition </w:t>
      </w:r>
      <w:r>
        <w:t>to Deny</w:t>
      </w:r>
      <w:r w:rsidRPr="00D423D7">
        <w:t xml:space="preserve"> at </w:t>
      </w:r>
      <w:r w:rsidRPr="00D423D7">
        <w:t>i</w:t>
      </w:r>
      <w:r w:rsidRPr="00D423D7">
        <w:t>, 15</w:t>
      </w:r>
      <w:r>
        <w:t>–</w:t>
      </w:r>
      <w:r w:rsidRPr="00D423D7">
        <w:t>16; RWA Reply at 3; RWA et al. Aug. 7</w:t>
      </w:r>
      <w:r w:rsidRPr="00D423D7">
        <w:rPr>
          <w:i/>
          <w:iCs/>
        </w:rPr>
        <w:t xml:space="preserve"> Ex </w:t>
      </w:r>
      <w:r w:rsidRPr="00D423D7">
        <w:rPr>
          <w:i/>
          <w:iCs/>
        </w:rPr>
        <w:t>Parte</w:t>
      </w:r>
      <w:r w:rsidRPr="00D423D7">
        <w:rPr>
          <w:i/>
          <w:iCs/>
        </w:rPr>
        <w:t xml:space="preserve"> </w:t>
      </w:r>
      <w:r w:rsidRPr="00D101B5">
        <w:t>Letter</w:t>
      </w:r>
      <w:r w:rsidRPr="00D423D7">
        <w:rPr>
          <w:i/>
          <w:iCs/>
        </w:rPr>
        <w:t xml:space="preserve"> </w:t>
      </w:r>
      <w:r w:rsidRPr="00D423D7">
        <w:t>at 1</w:t>
      </w:r>
      <w:r>
        <w:t>–</w:t>
      </w:r>
      <w:r w:rsidRPr="00D423D7">
        <w:t>2; Coalition Filers July 3</w:t>
      </w:r>
      <w:r w:rsidRPr="00D423D7">
        <w:rPr>
          <w:i/>
          <w:iCs/>
        </w:rPr>
        <w:t xml:space="preserve"> Ex </w:t>
      </w:r>
      <w:r w:rsidRPr="00D423D7">
        <w:rPr>
          <w:i/>
          <w:iCs/>
        </w:rPr>
        <w:t>Parte</w:t>
      </w:r>
      <w:r w:rsidRPr="00D423D7">
        <w:rPr>
          <w:i/>
          <w:iCs/>
        </w:rPr>
        <w:t xml:space="preserve"> </w:t>
      </w:r>
      <w:r w:rsidRPr="00D101B5">
        <w:t>Letter</w:t>
      </w:r>
      <w:r w:rsidRPr="00D423D7">
        <w:rPr>
          <w:i/>
          <w:iCs/>
        </w:rPr>
        <w:t xml:space="preserve"> </w:t>
      </w:r>
      <w:r w:rsidRPr="00D423D7">
        <w:t>at 1</w:t>
      </w:r>
      <w:r>
        <w:t>–</w:t>
      </w:r>
      <w:r w:rsidRPr="00D423D7">
        <w:t>4</w:t>
      </w:r>
      <w:r>
        <w:t xml:space="preserve">; RWA et al. JO&amp;C filed in </w:t>
      </w:r>
      <w:r w:rsidRPr="0069387E">
        <w:rPr>
          <w:i/>
          <w:iCs/>
        </w:rPr>
        <w:t>T-Mobile-</w:t>
      </w:r>
      <w:r w:rsidRPr="0069387E">
        <w:rPr>
          <w:i/>
          <w:iCs/>
        </w:rPr>
        <w:t>UScellular</w:t>
      </w:r>
      <w:r>
        <w:t xml:space="preserve"> at 1</w:t>
      </w:r>
      <w:r w:rsidRPr="00D423D7">
        <w:t>.</w:t>
      </w:r>
    </w:p>
  </w:footnote>
  <w:footnote w:id="54">
    <w:p w:rsidR="00A40FA9" w:rsidRPr="00D423D7" w:rsidP="00A40FA9" w14:paraId="42D781DC" w14:textId="77777777">
      <w:pPr>
        <w:pStyle w:val="FootnoteText"/>
      </w:pPr>
      <w:r w:rsidRPr="00D423D7">
        <w:rPr>
          <w:rStyle w:val="FootnoteReference"/>
        </w:rPr>
        <w:footnoteRef/>
      </w:r>
      <w:r w:rsidRPr="00D423D7">
        <w:t xml:space="preserve"> Joint Opposition at 15</w:t>
      </w:r>
      <w:r>
        <w:t>–</w:t>
      </w:r>
      <w:r w:rsidRPr="00D423D7">
        <w:t>16.</w:t>
      </w:r>
    </w:p>
  </w:footnote>
  <w:footnote w:id="55">
    <w:p w:rsidR="00A40FA9" w:rsidRPr="00D423D7" w:rsidP="00A40FA9" w14:paraId="609DA744" w14:textId="77777777">
      <w:r w:rsidRPr="00D423D7">
        <w:rPr>
          <w:rStyle w:val="FootnoteReference"/>
        </w:rPr>
        <w:footnoteRef/>
      </w:r>
      <w:r w:rsidRPr="00D423D7">
        <w:t xml:space="preserve"> </w:t>
      </w:r>
      <w:r w:rsidRPr="0069387E">
        <w:rPr>
          <w:i/>
          <w:sz w:val="20"/>
        </w:rPr>
        <w:t>See</w:t>
      </w:r>
      <w:r w:rsidRPr="003057D9">
        <w:rPr>
          <w:i/>
          <w:iCs/>
          <w:sz w:val="20"/>
        </w:rPr>
        <w:t>,</w:t>
      </w:r>
      <w:r w:rsidRPr="0069387E">
        <w:rPr>
          <w:sz w:val="20"/>
        </w:rPr>
        <w:t xml:space="preserve"> </w:t>
      </w:r>
      <w:r w:rsidRPr="0069387E">
        <w:rPr>
          <w:i/>
          <w:sz w:val="20"/>
        </w:rPr>
        <w:t>e.g.</w:t>
      </w:r>
      <w:r w:rsidRPr="0069387E">
        <w:rPr>
          <w:sz w:val="20"/>
        </w:rPr>
        <w:t xml:space="preserve">, </w:t>
      </w:r>
      <w:r w:rsidRPr="0069387E">
        <w:rPr>
          <w:sz w:val="20"/>
        </w:rPr>
        <w:t>RWA</w:t>
      </w:r>
      <w:r w:rsidRPr="0069387E">
        <w:rPr>
          <w:sz w:val="20"/>
        </w:rPr>
        <w:t xml:space="preserve"> Petition to Deny at Summary; Public Knowledge et al. Petition to Deny at 15</w:t>
      </w:r>
      <w:r>
        <w:rPr>
          <w:sz w:val="20"/>
        </w:rPr>
        <w:t>–</w:t>
      </w:r>
      <w:r w:rsidRPr="0069387E">
        <w:rPr>
          <w:sz w:val="20"/>
        </w:rPr>
        <w:t xml:space="preserve">16.  As we concluded in the </w:t>
      </w:r>
      <w:r w:rsidRPr="0069387E">
        <w:rPr>
          <w:i/>
          <w:sz w:val="20"/>
        </w:rPr>
        <w:t>AT&amp;T-Array Order</w:t>
      </w:r>
      <w:r w:rsidRPr="0069387E">
        <w:rPr>
          <w:sz w:val="20"/>
        </w:rPr>
        <w:t xml:space="preserve">, these transactions involve different, unrelated buyers and contemplate each buyer acquiring differing amounts and types of spectrum, implicating different aggregation issues and public interest analyses.  </w:t>
      </w:r>
      <w:r w:rsidRPr="0069387E">
        <w:rPr>
          <w:i/>
          <w:sz w:val="20"/>
        </w:rPr>
        <w:t xml:space="preserve">AT&amp;T-Array Order </w:t>
      </w:r>
      <w:r w:rsidRPr="0069387E">
        <w:rPr>
          <w:sz w:val="20"/>
        </w:rPr>
        <w:t>at 8</w:t>
      </w:r>
      <w:r>
        <w:rPr>
          <w:sz w:val="20"/>
        </w:rPr>
        <w:t>–</w:t>
      </w:r>
      <w:r w:rsidRPr="0069387E">
        <w:rPr>
          <w:sz w:val="20"/>
        </w:rPr>
        <w:t>9, para. 15 &amp; n.51.</w:t>
      </w:r>
      <w:r w:rsidRPr="0069387E">
        <w:rPr>
          <w:i/>
          <w:sz w:val="20"/>
        </w:rPr>
        <w:t xml:space="preserve">  </w:t>
      </w:r>
      <w:r w:rsidRPr="0069387E">
        <w:rPr>
          <w:sz w:val="20"/>
        </w:rPr>
        <w:t xml:space="preserve">We note that RWA, OTI, Benton, and CWA filed copies of an Application for Review and associated Reply to Joint Opposition and Comments that they filed in response to the </w:t>
      </w:r>
      <w:r w:rsidRPr="0069387E">
        <w:rPr>
          <w:i/>
          <w:sz w:val="20"/>
        </w:rPr>
        <w:t>T-Mobile-</w:t>
      </w:r>
      <w:r w:rsidRPr="0069387E">
        <w:rPr>
          <w:i/>
          <w:sz w:val="20"/>
        </w:rPr>
        <w:t>UScellular</w:t>
      </w:r>
      <w:r w:rsidRPr="0069387E">
        <w:rPr>
          <w:i/>
          <w:sz w:val="20"/>
        </w:rPr>
        <w:t xml:space="preserve"> Order</w:t>
      </w:r>
      <w:r w:rsidRPr="0069387E">
        <w:rPr>
          <w:sz w:val="20"/>
        </w:rPr>
        <w:t xml:space="preserve">; and that RWA, OTI, and Benton filed a copy of an Application for Review that they filed in response to the </w:t>
      </w:r>
      <w:r w:rsidRPr="0069387E">
        <w:rPr>
          <w:i/>
          <w:sz w:val="20"/>
        </w:rPr>
        <w:t>AT&amp;T-Array Order</w:t>
      </w:r>
      <w:r w:rsidRPr="0069387E">
        <w:rPr>
          <w:sz w:val="20"/>
        </w:rPr>
        <w:t>; each of which is pending.</w:t>
      </w:r>
      <w:r>
        <w:rPr>
          <w:sz w:val="20"/>
        </w:rPr>
        <w:t xml:space="preserve">  </w:t>
      </w:r>
      <w:r w:rsidRPr="0069387E">
        <w:rPr>
          <w:i/>
          <w:iCs/>
          <w:sz w:val="20"/>
        </w:rPr>
        <w:t>See</w:t>
      </w:r>
      <w:r w:rsidRPr="0069387E">
        <w:rPr>
          <w:sz w:val="20"/>
        </w:rPr>
        <w:t xml:space="preserve"> RWA et. al AFR filed in </w:t>
      </w:r>
      <w:r w:rsidRPr="0069387E">
        <w:rPr>
          <w:i/>
          <w:sz w:val="20"/>
        </w:rPr>
        <w:t>T-Mobile-</w:t>
      </w:r>
      <w:r w:rsidRPr="0069387E">
        <w:rPr>
          <w:i/>
          <w:sz w:val="20"/>
        </w:rPr>
        <w:t>UScellular</w:t>
      </w:r>
      <w:r w:rsidRPr="0069387E">
        <w:rPr>
          <w:iCs/>
          <w:sz w:val="20"/>
        </w:rPr>
        <w:t>; RWA</w:t>
      </w:r>
      <w:r w:rsidRPr="0069387E">
        <w:rPr>
          <w:sz w:val="20"/>
        </w:rPr>
        <w:t xml:space="preserve"> et al. JO&amp;C filed in</w:t>
      </w:r>
      <w:r w:rsidRPr="0069387E">
        <w:rPr>
          <w:i/>
          <w:sz w:val="20"/>
        </w:rPr>
        <w:t xml:space="preserve"> T-Mobile-</w:t>
      </w:r>
      <w:r w:rsidRPr="0069387E">
        <w:rPr>
          <w:i/>
          <w:sz w:val="20"/>
        </w:rPr>
        <w:t>UScellular</w:t>
      </w:r>
      <w:r w:rsidRPr="0069387E">
        <w:rPr>
          <w:iCs/>
          <w:sz w:val="20"/>
        </w:rPr>
        <w:t xml:space="preserve">; RWA et al. AFR filed in </w:t>
      </w:r>
      <w:r w:rsidRPr="0069387E">
        <w:rPr>
          <w:i/>
          <w:sz w:val="20"/>
        </w:rPr>
        <w:t>AT&amp;T-Array.</w:t>
      </w:r>
      <w:r w:rsidRPr="0069387E">
        <w:rPr>
          <w:sz w:val="20"/>
        </w:rPr>
        <w:t xml:space="preserve">  To the extent that any party relies on these filings to support their instant request for consolidation, we decline to reevaluate determinations made in the T-Mobile-</w:t>
      </w:r>
      <w:r w:rsidRPr="0069387E">
        <w:rPr>
          <w:sz w:val="20"/>
        </w:rPr>
        <w:t>UScellular</w:t>
      </w:r>
      <w:r w:rsidRPr="0069387E">
        <w:rPr>
          <w:sz w:val="20"/>
        </w:rPr>
        <w:t xml:space="preserve"> and AT&amp;T-Array transactions in the proposed spectrum transfer at issue.  Accordingly, we find no basis for consolidating the review of the identified transactions.  Additionally, as set forth below, the instant transaction involves the transfer of spectrum only, so does not trigger the HHI screen, which was evaluated when </w:t>
      </w:r>
      <w:r w:rsidRPr="0069387E">
        <w:rPr>
          <w:sz w:val="20"/>
        </w:rPr>
        <w:t>UScellular</w:t>
      </w:r>
      <w:r w:rsidRPr="0069387E">
        <w:rPr>
          <w:sz w:val="20"/>
        </w:rPr>
        <w:t xml:space="preserve"> transferred its customers, wireless operations, and select spectrum assets to T-Mobile and exited the provision of mobile services.  </w:t>
      </w:r>
      <w:r w:rsidRPr="0069387E">
        <w:rPr>
          <w:i/>
          <w:sz w:val="20"/>
        </w:rPr>
        <w:t xml:space="preserve">See infra </w:t>
      </w:r>
      <w:r w:rsidRPr="0069387E">
        <w:rPr>
          <w:sz w:val="20"/>
        </w:rPr>
        <w:t xml:space="preserve">section VI.B.1; </w:t>
      </w:r>
      <w:r w:rsidRPr="0069387E">
        <w:rPr>
          <w:i/>
          <w:sz w:val="20"/>
        </w:rPr>
        <w:t>T-Mobile-</w:t>
      </w:r>
      <w:r w:rsidRPr="0069387E">
        <w:rPr>
          <w:i/>
          <w:sz w:val="20"/>
        </w:rPr>
        <w:t>UScellular</w:t>
      </w:r>
      <w:r w:rsidRPr="0069387E">
        <w:rPr>
          <w:i/>
          <w:sz w:val="20"/>
        </w:rPr>
        <w:t xml:space="preserve"> Order</w:t>
      </w:r>
      <w:r w:rsidRPr="0069387E">
        <w:rPr>
          <w:sz w:val="20"/>
        </w:rPr>
        <w:t xml:space="preserve">, 40 FCC </w:t>
      </w:r>
      <w:r w:rsidRPr="0069387E">
        <w:rPr>
          <w:sz w:val="20"/>
        </w:rPr>
        <w:t>Rcd</w:t>
      </w:r>
      <w:r w:rsidRPr="0069387E">
        <w:rPr>
          <w:sz w:val="20"/>
        </w:rPr>
        <w:t xml:space="preserve"> at 4799</w:t>
      </w:r>
      <w:r>
        <w:rPr>
          <w:sz w:val="20"/>
        </w:rPr>
        <w:t>–</w:t>
      </w:r>
      <w:r w:rsidRPr="0069387E">
        <w:rPr>
          <w:sz w:val="20"/>
        </w:rPr>
        <w:t>4800, paras. 41</w:t>
      </w:r>
      <w:r>
        <w:rPr>
          <w:sz w:val="20"/>
        </w:rPr>
        <w:t>–</w:t>
      </w:r>
      <w:r w:rsidRPr="0069387E">
        <w:rPr>
          <w:sz w:val="20"/>
        </w:rPr>
        <w:t>42.</w:t>
      </w:r>
    </w:p>
  </w:footnote>
  <w:footnote w:id="56">
    <w:p w:rsidR="00A40FA9" w:rsidRPr="00D423D7" w:rsidP="00A40FA9" w14:paraId="1B26CD72" w14:textId="77777777">
      <w:pPr>
        <w:pStyle w:val="FootnoteText"/>
        <w:spacing w:before="120"/>
      </w:pPr>
      <w:r w:rsidRPr="00D423D7">
        <w:rPr>
          <w:rStyle w:val="FootnoteReference"/>
        </w:rPr>
        <w:footnoteRef/>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4789</w:t>
      </w:r>
      <w:r>
        <w:t>–</w:t>
      </w:r>
      <w:r w:rsidRPr="00D423D7">
        <w:t>92, paras. 23</w:t>
      </w:r>
      <w:r>
        <w:t>–</w:t>
      </w:r>
      <w:r w:rsidRPr="00D423D7">
        <w:t xml:space="preserve">27; </w:t>
      </w:r>
      <w:r w:rsidRPr="00D423D7">
        <w:rPr>
          <w:i/>
          <w:iCs/>
        </w:rPr>
        <w:t>AT&amp;T-Array Order</w:t>
      </w:r>
      <w:r>
        <w:t xml:space="preserve"> at 8–9,</w:t>
      </w:r>
      <w:r w:rsidRPr="00D423D7">
        <w:t xml:space="preserve"> paras. 15</w:t>
      </w:r>
      <w:r>
        <w:t>–</w:t>
      </w:r>
      <w:r w:rsidRPr="00D423D7">
        <w:t>16.</w:t>
      </w:r>
    </w:p>
  </w:footnote>
  <w:footnote w:id="57">
    <w:p w:rsidR="00A40FA9" w:rsidRPr="00D423D7" w:rsidP="00A40FA9" w14:paraId="3AA45DEA" w14:textId="77777777">
      <w:pPr>
        <w:widowControl/>
        <w:autoSpaceDE w:val="0"/>
        <w:autoSpaceDN w:val="0"/>
        <w:adjustRightInd w:val="0"/>
        <w:spacing w:after="120"/>
        <w:rPr>
          <w:sz w:val="20"/>
        </w:rPr>
      </w:pPr>
      <w:r w:rsidRPr="00D423D7">
        <w:rPr>
          <w:rStyle w:val="FootnoteReference"/>
        </w:rPr>
        <w:footnoteRef/>
      </w:r>
      <w:r w:rsidRPr="00D423D7">
        <w:rPr>
          <w:sz w:val="20"/>
        </w:rPr>
        <w:t xml:space="preserve"> </w:t>
      </w:r>
      <w:r w:rsidRPr="00D423D7">
        <w:rPr>
          <w:i/>
          <w:sz w:val="20"/>
        </w:rPr>
        <w:t>See</w:t>
      </w:r>
      <w:r w:rsidRPr="003057D9">
        <w:rPr>
          <w:i/>
          <w:sz w:val="20"/>
        </w:rPr>
        <w:t>,</w:t>
      </w:r>
      <w:r w:rsidRPr="00D423D7">
        <w:rPr>
          <w:sz w:val="20"/>
        </w:rPr>
        <w:t xml:space="preserve"> </w:t>
      </w:r>
      <w:r w:rsidRPr="00D423D7">
        <w:rPr>
          <w:i/>
          <w:sz w:val="20"/>
        </w:rPr>
        <w:t>e.g</w:t>
      </w:r>
      <w:r w:rsidRPr="00D423D7">
        <w:rPr>
          <w:sz w:val="20"/>
        </w:rPr>
        <w:t>.,</w:t>
      </w:r>
      <w:r w:rsidRPr="00D423D7">
        <w:rPr>
          <w:i/>
          <w:sz w:val="20"/>
        </w:rPr>
        <w:t xml:space="preserve"> T-Mobile-Sprint Order</w:t>
      </w:r>
      <w:r w:rsidRPr="00D423D7">
        <w:rPr>
          <w:sz w:val="20"/>
        </w:rPr>
        <w:t xml:space="preserve">, 34 FCC </w:t>
      </w:r>
      <w:r w:rsidRPr="00D423D7">
        <w:rPr>
          <w:sz w:val="20"/>
        </w:rPr>
        <w:t>Rcd</w:t>
      </w:r>
      <w:r w:rsidRPr="00D423D7">
        <w:rPr>
          <w:sz w:val="20"/>
        </w:rPr>
        <w:t xml:space="preserve"> at 10617</w:t>
      </w:r>
      <w:r>
        <w:rPr>
          <w:sz w:val="20"/>
        </w:rPr>
        <w:t>–</w:t>
      </w:r>
      <w:r w:rsidRPr="00D423D7">
        <w:rPr>
          <w:sz w:val="20"/>
        </w:rPr>
        <w:t xml:space="preserve">18, para. 94; </w:t>
      </w:r>
      <w:r w:rsidRPr="00D423D7">
        <w:rPr>
          <w:i/>
          <w:sz w:val="20"/>
        </w:rPr>
        <w:t>AT&amp;T-Array Order</w:t>
      </w:r>
      <w:r w:rsidRPr="00D423D7">
        <w:rPr>
          <w:iCs/>
          <w:sz w:val="20"/>
        </w:rPr>
        <w:t xml:space="preserve"> at 10, para. 17;</w:t>
      </w:r>
      <w:r>
        <w:rPr>
          <w:iCs/>
          <w:sz w:val="20"/>
        </w:rPr>
        <w:t xml:space="preserve"> </w:t>
      </w:r>
      <w:r w:rsidRPr="00D423D7">
        <w:rPr>
          <w:i/>
          <w:sz w:val="20"/>
        </w:rPr>
        <w:t>T</w:t>
      </w:r>
      <w:r>
        <w:rPr>
          <w:i/>
          <w:sz w:val="20"/>
        </w:rPr>
        <w:noBreakHyphen/>
      </w:r>
      <w:r w:rsidRPr="00D423D7">
        <w:rPr>
          <w:i/>
          <w:sz w:val="20"/>
        </w:rPr>
        <w:t>Mobile-</w:t>
      </w:r>
      <w:r w:rsidRPr="00D423D7">
        <w:rPr>
          <w:i/>
          <w:sz w:val="20"/>
        </w:rPr>
        <w:t>UScellular</w:t>
      </w:r>
      <w:r w:rsidRPr="00D423D7">
        <w:rPr>
          <w:i/>
          <w:sz w:val="20"/>
        </w:rPr>
        <w:t xml:space="preserve"> Order</w:t>
      </w:r>
      <w:r w:rsidRPr="00D423D7">
        <w:rPr>
          <w:iCs/>
          <w:sz w:val="20"/>
        </w:rPr>
        <w:t xml:space="preserve">, 40 FCC </w:t>
      </w:r>
      <w:r w:rsidRPr="00D423D7">
        <w:rPr>
          <w:iCs/>
          <w:sz w:val="20"/>
        </w:rPr>
        <w:t>Rcd</w:t>
      </w:r>
      <w:r w:rsidRPr="00D423D7">
        <w:rPr>
          <w:i/>
          <w:sz w:val="20"/>
        </w:rPr>
        <w:t xml:space="preserve"> </w:t>
      </w:r>
      <w:r w:rsidRPr="00D423D7">
        <w:rPr>
          <w:sz w:val="20"/>
        </w:rPr>
        <w:t>at 4801</w:t>
      </w:r>
      <w:r>
        <w:rPr>
          <w:sz w:val="20"/>
        </w:rPr>
        <w:t>–</w:t>
      </w:r>
      <w:r w:rsidRPr="00D423D7">
        <w:rPr>
          <w:sz w:val="20"/>
        </w:rPr>
        <w:t>02, para. 46.</w:t>
      </w:r>
    </w:p>
  </w:footnote>
  <w:footnote w:id="58">
    <w:p w:rsidR="00A40FA9" w:rsidRPr="00D423D7" w:rsidP="00A40FA9" w14:paraId="4EB3A922"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t xml:space="preserve"> </w:t>
      </w:r>
      <w:r w:rsidRPr="00D423D7">
        <w:rPr>
          <w:i/>
        </w:rPr>
        <w:t>e.g</w:t>
      </w:r>
      <w:r w:rsidRPr="00D423D7">
        <w:t>.,</w:t>
      </w:r>
      <w:r w:rsidRPr="00D423D7">
        <w:rPr>
          <w:i/>
        </w:rPr>
        <w:t xml:space="preserve"> </w:t>
      </w:r>
      <w:r w:rsidRPr="00D423D7">
        <w:rPr>
          <w:i/>
          <w:iCs/>
        </w:rPr>
        <w:t>Policies Regarding Mobile Spectrum Holdings; Expanding the Economic and Innovation Opportunities of Spectrum Through Incentive Auctions</w:t>
      </w:r>
      <w:r w:rsidRPr="00D423D7">
        <w:t>,</w:t>
      </w:r>
      <w:r w:rsidRPr="00D423D7">
        <w:rPr>
          <w:i/>
          <w:iCs/>
        </w:rPr>
        <w:t xml:space="preserve"> </w:t>
      </w:r>
      <w:r w:rsidRPr="00D423D7">
        <w:t xml:space="preserve">WT Docket No. 12-269, GN Docket No. 12-268, Report and Order, 29 FCC </w:t>
      </w:r>
      <w:r w:rsidRPr="00D423D7">
        <w:t>Rcd</w:t>
      </w:r>
      <w:r w:rsidRPr="00D423D7">
        <w:t xml:space="preserve"> 6133, 6143</w:t>
      </w:r>
      <w:r>
        <w:t>–</w:t>
      </w:r>
      <w:r w:rsidRPr="00D423D7">
        <w:t>44, para. 17 (2014) (</w:t>
      </w:r>
      <w:r w:rsidRPr="00D423D7">
        <w:rPr>
          <w:i/>
          <w:iCs/>
        </w:rPr>
        <w:t>Mobile Spectrum Holdings Report and Order</w:t>
      </w:r>
      <w:r w:rsidRPr="00D423D7">
        <w:t>).</w:t>
      </w:r>
    </w:p>
  </w:footnote>
  <w:footnote w:id="59">
    <w:p w:rsidR="00A40FA9" w:rsidRPr="00D423D7" w:rsidP="00A40FA9" w14:paraId="5D6C4FFF" w14:textId="77777777">
      <w:pPr>
        <w:pStyle w:val="FootnoteText"/>
      </w:pPr>
      <w:r w:rsidRPr="00D423D7">
        <w:rPr>
          <w:rStyle w:val="FootnoteReference"/>
        </w:rPr>
        <w:footnoteRef/>
      </w:r>
      <w:r w:rsidRPr="00D423D7">
        <w:t xml:space="preserve"> </w:t>
      </w:r>
      <w:r w:rsidRPr="00D423D7">
        <w:rPr>
          <w:i/>
          <w:iCs/>
        </w:rPr>
        <w:t>See</w:t>
      </w:r>
      <w:r w:rsidRPr="003057D9">
        <w:rPr>
          <w:i/>
        </w:rPr>
        <w:t>,</w:t>
      </w:r>
      <w:r w:rsidRPr="00D423D7">
        <w:t xml:space="preserve"> </w:t>
      </w:r>
      <w:r w:rsidRPr="00D423D7">
        <w:rPr>
          <w:i/>
          <w:iCs/>
        </w:rPr>
        <w:t>e.g</w:t>
      </w:r>
      <w:r w:rsidRPr="00D423D7">
        <w:t>.,</w:t>
      </w:r>
      <w:r w:rsidRPr="00D423D7">
        <w:rPr>
          <w:i/>
          <w:iCs/>
        </w:rPr>
        <w:t xml:space="preserve"> T-Mobile-Sprint Order</w:t>
      </w:r>
      <w:r w:rsidRPr="00D423D7">
        <w:t xml:space="preserve">, 34 FCC </w:t>
      </w:r>
      <w:r w:rsidRPr="00D423D7">
        <w:t>Rcd</w:t>
      </w:r>
      <w:r w:rsidRPr="00D423D7">
        <w:t xml:space="preserve"> at 10617</w:t>
      </w:r>
      <w:r>
        <w:t>–</w:t>
      </w:r>
      <w:r w:rsidRPr="00D423D7">
        <w:t xml:space="preserve">18, para. 94; </w:t>
      </w:r>
      <w:r w:rsidRPr="00D423D7">
        <w:rPr>
          <w:i/>
          <w:iCs/>
        </w:rPr>
        <w:t>AT&amp;T-Array Order</w:t>
      </w:r>
      <w:r w:rsidRPr="00D423D7">
        <w:t xml:space="preserve"> at 10, para. 17; </w:t>
      </w:r>
      <w:r w:rsidRPr="00D423D7">
        <w:rPr>
          <w:i/>
          <w:iCs/>
        </w:rPr>
        <w:t>T</w:t>
      </w:r>
      <w:r>
        <w:rPr>
          <w:i/>
        </w:rPr>
        <w:noBreakHyphen/>
      </w:r>
      <w:r w:rsidRPr="00D423D7">
        <w:rPr>
          <w:i/>
          <w:iCs/>
        </w:rPr>
        <w: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at 4801</w:t>
      </w:r>
      <w:r>
        <w:t>–</w:t>
      </w:r>
      <w:r w:rsidRPr="00D423D7">
        <w:t>02, para. 46.</w:t>
      </w:r>
    </w:p>
  </w:footnote>
  <w:footnote w:id="60">
    <w:p w:rsidR="00A40FA9" w:rsidRPr="00D423D7" w:rsidP="00A40FA9" w14:paraId="1F45D0E4" w14:textId="77777777">
      <w:pPr>
        <w:pStyle w:val="FootnoteText"/>
      </w:pPr>
      <w:r w:rsidRPr="00D423D7">
        <w:rPr>
          <w:rStyle w:val="FootnoteReference"/>
        </w:rPr>
        <w:footnoteRef/>
      </w:r>
      <w:r w:rsidRPr="00D423D7">
        <w:t xml:space="preserve"> </w:t>
      </w:r>
      <w:r w:rsidRPr="00D423D7">
        <w:rPr>
          <w:i/>
          <w:iCs/>
        </w:rPr>
        <w:t>See</w:t>
      </w:r>
      <w:r w:rsidRPr="003057D9">
        <w:rPr>
          <w:i/>
        </w:rPr>
        <w:t>,</w:t>
      </w:r>
      <w:r w:rsidRPr="00D423D7">
        <w:t xml:space="preserve"> </w:t>
      </w:r>
      <w:r w:rsidRPr="00D423D7">
        <w:rPr>
          <w:i/>
          <w:iCs/>
        </w:rPr>
        <w:t>e.g.</w:t>
      </w:r>
      <w:r w:rsidRPr="00D423D7">
        <w:t xml:space="preserve">, </w:t>
      </w:r>
      <w:r w:rsidRPr="00D423D7">
        <w:rPr>
          <w:i/>
          <w:iCs/>
        </w:rPr>
        <w:t>AT&amp;T-Array Order</w:t>
      </w:r>
      <w:r w:rsidRPr="00D423D7">
        <w:t xml:space="preserve"> at 10, para. 17; </w:t>
      </w:r>
      <w:r w:rsidRPr="00D423D7">
        <w:rPr>
          <w:i/>
        </w:rPr>
        <w:t>Application of T-Mobile US, Inc., Nextel West Corp., and LB License Co, LLC for License Assignment</w:t>
      </w:r>
      <w:r w:rsidRPr="00D423D7">
        <w:t xml:space="preserve">, ULS File No. 0010923038, Memorandum Opinion and Order, 39 FCC </w:t>
      </w:r>
      <w:r w:rsidRPr="00D423D7">
        <w:t>Rcd</w:t>
      </w:r>
      <w:r w:rsidRPr="00D423D7">
        <w:t xml:space="preserve"> 11482, 11487, para. 11 (WTB/OEA 2024) (</w:t>
      </w:r>
      <w:r w:rsidRPr="00D423D7">
        <w:rPr>
          <w:i/>
        </w:rPr>
        <w:t>T-Mobile-</w:t>
      </w:r>
      <w:r w:rsidRPr="00D423D7">
        <w:rPr>
          <w:i/>
          <w:iCs/>
        </w:rPr>
        <w:t>LB License Order</w:t>
      </w:r>
      <w:r w:rsidRPr="00D423D7">
        <w:t xml:space="preserve">); </w:t>
      </w:r>
      <w:r w:rsidRPr="00D423D7">
        <w:rPr>
          <w:i/>
        </w:rPr>
        <w:t>Application of T-Mobile License LLC and Horry Telephone Cooperative, Inc. to Assign Spectrum Licenses; Application of Horry Telephone Cooperative, Inc. and T</w:t>
      </w:r>
      <w:r>
        <w:rPr>
          <w:i/>
        </w:rPr>
        <w:noBreakHyphen/>
      </w:r>
      <w:r w:rsidRPr="00D423D7">
        <w:rPr>
          <w:i/>
        </w:rPr>
        <w:t>Mobile License LLC to Assign Spectrum Licenses; Application of Horry Telephone Cooperative, Inc. and T</w:t>
      </w:r>
      <w:r>
        <w:rPr>
          <w:i/>
        </w:rPr>
        <w:noBreakHyphen/>
      </w:r>
      <w:r w:rsidRPr="00D423D7">
        <w:rPr>
          <w:i/>
        </w:rPr>
        <w:t>Mobile License LLC to Assign Spectrum Licenses</w:t>
      </w:r>
      <w:r w:rsidRPr="00D423D7">
        <w:t xml:space="preserve">, ULS File Nos. 0010864059, 0010877919, and 0010902770, Memorandum Opinion and Order, 39 FCC </w:t>
      </w:r>
      <w:r w:rsidRPr="00D423D7">
        <w:t>Rcd</w:t>
      </w:r>
      <w:r w:rsidRPr="00D423D7">
        <w:t xml:space="preserve"> 10712, 10716</w:t>
      </w:r>
      <w:r>
        <w:t>–</w:t>
      </w:r>
      <w:r w:rsidRPr="00D423D7">
        <w:t>17, para. 11 (WTB/OEA 2024) (</w:t>
      </w:r>
      <w:r w:rsidRPr="00D423D7">
        <w:rPr>
          <w:i/>
        </w:rPr>
        <w:t>T-Mobile-HTC Order</w:t>
      </w:r>
      <w:r w:rsidRPr="00D423D7">
        <w:t>).</w:t>
      </w:r>
      <w:r w:rsidRPr="00D423D7">
        <w:t xml:space="preserve"> </w:t>
      </w:r>
      <w:r w:rsidRPr="00D423D7">
        <w:t xml:space="preserve"> Pursuant to its delegated authority, the Bureau has routinely acted on spectrum assignment applications like the instant proposed transaction.  47 CFR §§ 0.131, 0.331; </w:t>
      </w:r>
      <w:r w:rsidRPr="00D423D7">
        <w:rPr>
          <w:i/>
          <w:iCs/>
        </w:rPr>
        <w:t>see generally</w:t>
      </w:r>
      <w:r w:rsidRPr="00D423D7">
        <w:t xml:space="preserve"> </w:t>
      </w:r>
      <w:r w:rsidRPr="00D423D7">
        <w:rPr>
          <w:i/>
          <w:iCs/>
        </w:rPr>
        <w:t>T-Mobile-LB License Order</w:t>
      </w:r>
      <w:r>
        <w:t>;</w:t>
      </w:r>
      <w:r w:rsidRPr="00D423D7">
        <w:t xml:space="preserve"> </w:t>
      </w:r>
      <w:r w:rsidRPr="00D423D7">
        <w:rPr>
          <w:i/>
          <w:iCs/>
        </w:rPr>
        <w:t>T-Mobile-HTC Order</w:t>
      </w:r>
      <w:r>
        <w:t xml:space="preserve">; </w:t>
      </w:r>
      <w:r w:rsidRPr="00D423D7">
        <w:rPr>
          <w:i/>
        </w:rPr>
        <w:t>A</w:t>
      </w:r>
      <w:r w:rsidRPr="00D423D7">
        <w:rPr>
          <w:i/>
          <w:iCs/>
        </w:rPr>
        <w:t>pplications of Cricket License Company, LLC, et al., Leap Wireless International, Inc., and AT&amp;T Inc. for Consent to Transfer Control of Authorizations; Application of Cricket License Company, LLC and Leap Licenseco Inc. for Consent to Assignment of Authorization</w:t>
      </w:r>
      <w:r w:rsidRPr="00D423D7">
        <w:t xml:space="preserve">, WT Docket No. 13-193, Memorandum Opinion and Order, 29 FCC </w:t>
      </w:r>
      <w:r w:rsidRPr="00D423D7">
        <w:t>Rcd</w:t>
      </w:r>
      <w:r w:rsidRPr="00D423D7">
        <w:t xml:space="preserve"> 2735 (WTB/IB 2014) (</w:t>
      </w:r>
      <w:r w:rsidRPr="00D423D7">
        <w:rPr>
          <w:i/>
          <w:iCs/>
        </w:rPr>
        <w:t>AT&amp;T-Leap Order</w:t>
      </w:r>
      <w:r w:rsidRPr="00D423D7">
        <w:t>).</w:t>
      </w:r>
    </w:p>
  </w:footnote>
  <w:footnote w:id="61">
    <w:p w:rsidR="00A40FA9" w:rsidRPr="00D423D7" w:rsidP="00A40FA9" w14:paraId="546B79D8"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10600</w:t>
      </w:r>
      <w:r>
        <w:t>–</w:t>
      </w:r>
      <w:r w:rsidRPr="00D423D7">
        <w:t xml:space="preserve">01, para. 53; </w:t>
      </w:r>
      <w:r w:rsidRPr="00D423D7">
        <w:rPr>
          <w:i/>
          <w:iCs/>
        </w:rPr>
        <w:t>AT&amp;T-Array Order</w:t>
      </w:r>
      <w:r w:rsidRPr="00D423D7">
        <w:t xml:space="preserve"> at 10, para. 18; </w:t>
      </w:r>
      <w:r w:rsidRPr="00D423D7">
        <w:rPr>
          <w:i/>
          <w:iCs/>
        </w:rPr>
        <w:t>T</w:t>
      </w:r>
      <w:r>
        <w:rPr>
          <w:i/>
        </w:rPr>
        <w:noBreakHyphen/>
      </w:r>
      <w:r w:rsidRPr="00D423D7">
        <w:rPr>
          <w:i/>
          <w:iCs/>
        </w:rPr>
        <w:t>Mobile-</w:t>
      </w:r>
      <w:r w:rsidRPr="00D423D7">
        <w:rPr>
          <w:i/>
          <w:iCs/>
        </w:rPr>
        <w:t>UScellular</w:t>
      </w:r>
      <w:r w:rsidRPr="00D423D7">
        <w:rPr>
          <w:i/>
          <w:iCs/>
        </w:rPr>
        <w:t xml:space="preserve"> </w:t>
      </w:r>
      <w:r w:rsidRPr="00D423D7">
        <w:rPr>
          <w:i/>
        </w:rPr>
        <w:t>Order</w:t>
      </w:r>
      <w:r w:rsidRPr="00D423D7">
        <w:rPr>
          <w:iCs/>
        </w:rPr>
        <w:t xml:space="preserve">, 40 FCC </w:t>
      </w:r>
      <w:r w:rsidRPr="00D423D7">
        <w:rPr>
          <w:iCs/>
        </w:rPr>
        <w:t>Rcd</w:t>
      </w:r>
      <w:r w:rsidRPr="00D423D7">
        <w:t xml:space="preserve"> at 4793, para. 28.</w:t>
      </w:r>
    </w:p>
  </w:footnote>
  <w:footnote w:id="62">
    <w:p w:rsidR="00A40FA9" w:rsidRPr="00D423D7" w:rsidP="00A40FA9" w14:paraId="3A2E2418"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D423D7">
        <w:rPr>
          <w:i/>
          <w:iCs/>
        </w:rPr>
        <w:t xml:space="preserve"> AT&amp;T-Array Order</w:t>
      </w:r>
      <w:r w:rsidRPr="00D423D7">
        <w:t xml:space="preserve"> at 10, para. 18;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4793, para. 28; </w:t>
      </w:r>
      <w:r w:rsidRPr="00D423D7">
        <w:rPr>
          <w:i/>
          <w:iCs/>
        </w:rPr>
        <w:t>T</w:t>
      </w:r>
      <w:r>
        <w:rPr>
          <w:i/>
        </w:rPr>
        <w:noBreakHyphen/>
      </w:r>
      <w:r w:rsidRPr="00D423D7">
        <w:rPr>
          <w:i/>
          <w:iCs/>
        </w:rPr>
        <w:t>Mobile-HTC Order</w:t>
      </w:r>
      <w:r w:rsidRPr="00D423D7">
        <w:t xml:space="preserve">, 39 FCC </w:t>
      </w:r>
      <w:r w:rsidRPr="00D423D7">
        <w:t>Rcd</w:t>
      </w:r>
      <w:r w:rsidRPr="00D423D7">
        <w:t xml:space="preserve"> at 10722, para. 25.</w:t>
      </w:r>
    </w:p>
  </w:footnote>
  <w:footnote w:id="63">
    <w:p w:rsidR="00A40FA9" w:rsidRPr="00D423D7" w:rsidP="00A40FA9" w14:paraId="172B7148"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w:t>
      </w:r>
      <w:r w:rsidRPr="00D423D7">
        <w:rPr>
          <w:i/>
          <w:iCs/>
        </w:rPr>
        <w:t xml:space="preserve"> AT&amp;T-Array Order</w:t>
      </w:r>
      <w:r w:rsidRPr="00D423D7">
        <w:t xml:space="preserve"> at 10, para. 18; </w:t>
      </w:r>
      <w:r w:rsidRPr="00D423D7">
        <w:rPr>
          <w:i/>
        </w:rPr>
        <w:t>T-Mobile-</w:t>
      </w:r>
      <w:r w:rsidRPr="00D423D7">
        <w:rPr>
          <w:i/>
          <w:iCs/>
        </w:rPr>
        <w:t>LB License Order</w:t>
      </w:r>
      <w:r w:rsidRPr="00D423D7">
        <w:t xml:space="preserve">, 39 FCC </w:t>
      </w:r>
      <w:r w:rsidRPr="00D423D7">
        <w:t>Rcd</w:t>
      </w:r>
      <w:r w:rsidRPr="00D423D7">
        <w:t xml:space="preserve"> at 11491, para. 22; </w:t>
      </w:r>
      <w:r w:rsidRPr="00D423D7">
        <w:rPr>
          <w:i/>
          <w:iCs/>
        </w:rPr>
        <w:t>T</w:t>
      </w:r>
      <w:r>
        <w:rPr>
          <w:i/>
        </w:rPr>
        <w:noBreakHyphen/>
      </w:r>
      <w:r w:rsidRPr="00D423D7">
        <w:rPr>
          <w:i/>
          <w:iCs/>
        </w:rPr>
        <w:t>Mobile-HTC Order</w:t>
      </w:r>
      <w:r w:rsidRPr="00D423D7">
        <w:t xml:space="preserve">, 39 FCC </w:t>
      </w:r>
      <w:r w:rsidRPr="00D423D7">
        <w:t>Rcd</w:t>
      </w:r>
      <w:r w:rsidRPr="00D423D7">
        <w:t xml:space="preserve"> at 10721, para. 23.</w:t>
      </w:r>
    </w:p>
  </w:footnote>
  <w:footnote w:id="64">
    <w:p w:rsidR="00A40FA9" w:rsidRPr="00D423D7" w:rsidP="00A40FA9" w14:paraId="78A59259" w14:textId="77777777">
      <w:pPr>
        <w:pStyle w:val="FootnoteText"/>
        <w:tabs>
          <w:tab w:val="left" w:pos="2970"/>
        </w:tabs>
      </w:pPr>
      <w:r w:rsidRPr="00D423D7">
        <w:rPr>
          <w:rStyle w:val="FootnoteReference"/>
        </w:rPr>
        <w:footnoteRef/>
      </w:r>
      <w:r w:rsidRPr="00D423D7">
        <w:rPr>
          <w:i/>
          <w:iCs/>
        </w:rPr>
        <w:t xml:space="preserve"> See</w:t>
      </w:r>
      <w:r w:rsidRPr="003057D9">
        <w:rPr>
          <w:i/>
        </w:rPr>
        <w:t>,</w:t>
      </w:r>
      <w:r w:rsidRPr="00D423D7">
        <w:t xml:space="preserve"> </w:t>
      </w:r>
      <w:r w:rsidRPr="00D423D7">
        <w:rPr>
          <w:i/>
          <w:iCs/>
        </w:rPr>
        <w:t>e.g.</w:t>
      </w:r>
      <w:r w:rsidRPr="00D423D7">
        <w:t xml:space="preserve">, </w:t>
      </w:r>
      <w:r w:rsidRPr="00D423D7">
        <w:rPr>
          <w:i/>
        </w:rPr>
        <w:t>T</w:t>
      </w:r>
      <w:r w:rsidRPr="00D423D7">
        <w:rPr>
          <w:i/>
          <w:iCs/>
        </w:rPr>
        <w:t>-Mobile-Sprint Order</w:t>
      </w:r>
      <w:r w:rsidRPr="00D423D7">
        <w:t xml:space="preserve">, 34 FCC </w:t>
      </w:r>
      <w:r w:rsidRPr="00D423D7">
        <w:t>Rcd</w:t>
      </w:r>
      <w:r w:rsidRPr="00D423D7">
        <w:t xml:space="preserve"> at 10601, 10603, paras. 55, 60;</w:t>
      </w:r>
      <w:r>
        <w:t xml:space="preserve"> </w:t>
      </w:r>
      <w:r w:rsidRPr="00D423D7">
        <w:rPr>
          <w:i/>
          <w:iCs/>
        </w:rPr>
        <w:t>AT&amp;T-Array Order</w:t>
      </w:r>
      <w:r w:rsidRPr="00D423D7">
        <w:t xml:space="preserve"> at 11, para. 19;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4793</w:t>
      </w:r>
      <w:r>
        <w:t>–</w:t>
      </w:r>
      <w:r w:rsidRPr="00D423D7">
        <w:t>94, para. 30</w:t>
      </w:r>
      <w:r w:rsidRPr="00D423D7">
        <w:rPr>
          <w:i/>
        </w:rPr>
        <w:t>.</w:t>
      </w:r>
    </w:p>
  </w:footnote>
  <w:footnote w:id="65">
    <w:p w:rsidR="00A40FA9" w:rsidRPr="00D423D7" w:rsidP="00A40FA9" w14:paraId="02EC4D35" w14:textId="77777777">
      <w:pPr>
        <w:pStyle w:val="FootnoteText"/>
      </w:pPr>
      <w:r w:rsidRPr="00D423D7">
        <w:rPr>
          <w:rStyle w:val="FootnoteReference"/>
        </w:rPr>
        <w:footnoteRef/>
      </w:r>
      <w:r w:rsidRPr="00D423D7">
        <w:t xml:space="preserve"> </w:t>
      </w:r>
      <w:r w:rsidRPr="00D423D7">
        <w:rPr>
          <w:i/>
          <w:iCs/>
        </w:rPr>
        <w:t>See</w:t>
      </w:r>
      <w:r w:rsidRPr="00D423D7">
        <w:t xml:space="preserve"> </w:t>
      </w:r>
      <w:r w:rsidRPr="00D423D7">
        <w:rPr>
          <w:i/>
          <w:iCs/>
        </w:rPr>
        <w:t>T-Mobile-Sprint Order</w:t>
      </w:r>
      <w:r w:rsidRPr="00D423D7">
        <w:t xml:space="preserve">, 34 FCC </w:t>
      </w:r>
      <w:r w:rsidRPr="00D423D7">
        <w:t>Rcd</w:t>
      </w:r>
      <w:r w:rsidRPr="00D423D7">
        <w:t xml:space="preserve"> at 10603, para. 60; </w:t>
      </w:r>
      <w:r w:rsidRPr="00D423D7">
        <w:rPr>
          <w:i/>
          <w:iCs/>
        </w:rPr>
        <w:t>AT&amp;T-Array Order</w:t>
      </w:r>
      <w:r w:rsidRPr="00D423D7">
        <w:t xml:space="preserve"> at 11, para. 19;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4793</w:t>
      </w:r>
      <w:r>
        <w:t>–</w:t>
      </w:r>
      <w:r w:rsidRPr="00D423D7">
        <w:t>94, para. 30.</w:t>
      </w:r>
    </w:p>
  </w:footnote>
  <w:footnote w:id="66">
    <w:p w:rsidR="00A40FA9" w:rsidRPr="00D423D7" w:rsidP="00A40FA9" w14:paraId="3E5A9AE2" w14:textId="77777777">
      <w:pPr>
        <w:pStyle w:val="FootnoteText"/>
      </w:pPr>
      <w:r w:rsidRPr="00D423D7">
        <w:rPr>
          <w:rStyle w:val="FootnoteReference"/>
        </w:rPr>
        <w:footnoteRef/>
      </w:r>
      <w:r w:rsidRPr="00D423D7">
        <w:t xml:space="preserve"> </w:t>
      </w:r>
      <w:r w:rsidRPr="00D423D7">
        <w:rPr>
          <w:i/>
          <w:iCs/>
        </w:rPr>
        <w:t>T-Mobile-Sprint Order</w:t>
      </w:r>
      <w:r w:rsidRPr="00D423D7">
        <w:t xml:space="preserve">, 34 FCC </w:t>
      </w:r>
      <w:r w:rsidRPr="00D423D7">
        <w:t>Rcd</w:t>
      </w:r>
      <w:r w:rsidRPr="00D423D7">
        <w:t xml:space="preserve"> at 10603</w:t>
      </w:r>
      <w:r>
        <w:t>–</w:t>
      </w:r>
      <w:r w:rsidRPr="00D423D7">
        <w:t xml:space="preserve">04, para. 61; </w:t>
      </w:r>
      <w:r w:rsidRPr="00D423D7">
        <w:rPr>
          <w:i/>
          <w:iCs/>
        </w:rPr>
        <w:t>AT&amp;T-Array Order</w:t>
      </w:r>
      <w:r w:rsidRPr="00D423D7">
        <w:t xml:space="preserve"> at 11, para. 19;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at 4794, para. 31.</w:t>
      </w:r>
    </w:p>
  </w:footnote>
  <w:footnote w:id="67">
    <w:p w:rsidR="00A40FA9" w:rsidRPr="00D423D7" w:rsidP="00A40FA9" w14:paraId="34F4A586" w14:textId="77777777">
      <w:pPr>
        <w:pStyle w:val="FootnoteText"/>
      </w:pPr>
      <w:r w:rsidRPr="00D423D7">
        <w:rPr>
          <w:rStyle w:val="FootnoteReference"/>
        </w:rPr>
        <w:footnoteRef/>
      </w:r>
      <w:r w:rsidRPr="00D423D7">
        <w:t xml:space="preserve"> </w:t>
      </w:r>
      <w:r w:rsidRPr="00D423D7">
        <w:rPr>
          <w:i/>
          <w:iCs/>
        </w:rPr>
        <w:t>T-Mobile-Sprint Order</w:t>
      </w:r>
      <w:r w:rsidRPr="00D423D7">
        <w:t xml:space="preserve">, 34 FCC </w:t>
      </w:r>
      <w:r w:rsidRPr="00D423D7">
        <w:t>Rcd</w:t>
      </w:r>
      <w:r w:rsidRPr="00D423D7">
        <w:t xml:space="preserve"> at 10603</w:t>
      </w:r>
      <w:r>
        <w:t>–</w:t>
      </w:r>
      <w:r w:rsidRPr="00D423D7">
        <w:t xml:space="preserve">04, para. 61; </w:t>
      </w:r>
      <w:r w:rsidRPr="00D423D7">
        <w:rPr>
          <w:i/>
          <w:iCs/>
        </w:rPr>
        <w:t>AT&amp;T-Array Order</w:t>
      </w:r>
      <w:r w:rsidRPr="00D423D7">
        <w:t xml:space="preserve"> at 11, para. 19;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at 4794, para. 31.</w:t>
      </w:r>
      <w:r>
        <w:t xml:space="preserve">  As we have explained, we also consider</w:t>
      </w:r>
      <w:r w:rsidRPr="00C25468">
        <w:t xml:space="preserve"> the </w:t>
      </w:r>
      <w:r>
        <w:t xml:space="preserve">offerings by mobile virtual network operators (MVNOs) and cable providers as part of the range of differentiated services offered to consumers within the broader mobile telephony/broadband services product </w:t>
      </w:r>
      <w:r w:rsidRPr="00EA241C">
        <w:t>market</w:t>
      </w:r>
      <w:r>
        <w:t xml:space="preserve">.  </w:t>
      </w:r>
      <w:r>
        <w:rPr>
          <w:i/>
          <w:iCs/>
        </w:rPr>
        <w:t>T-Mobile-</w:t>
      </w:r>
      <w:r>
        <w:rPr>
          <w:i/>
          <w:iCs/>
        </w:rPr>
        <w:t>UScellular</w:t>
      </w:r>
      <w:r>
        <w:rPr>
          <w:i/>
          <w:iCs/>
        </w:rPr>
        <w:t xml:space="preserve"> </w:t>
      </w:r>
      <w:r w:rsidRPr="009C28C2">
        <w:rPr>
          <w:i/>
          <w:iCs/>
        </w:rPr>
        <w:t>Order</w:t>
      </w:r>
      <w:r w:rsidRPr="009C28C2">
        <w:t>,</w:t>
      </w:r>
      <w:r>
        <w:t xml:space="preserve"> 40 FCC </w:t>
      </w:r>
      <w:r>
        <w:t>Rcd</w:t>
      </w:r>
      <w:r>
        <w:t xml:space="preserve"> at 4794,</w:t>
      </w:r>
      <w:r w:rsidRPr="009C28C2">
        <w:t xml:space="preserve"> para. 31</w:t>
      </w:r>
      <w:r>
        <w:t xml:space="preserve">.  </w:t>
      </w:r>
    </w:p>
  </w:footnote>
  <w:footnote w:id="68">
    <w:p w:rsidR="00A40FA9" w:rsidP="00A40FA9" w14:paraId="287ED2DC" w14:textId="77777777">
      <w:pPr>
        <w:pStyle w:val="FootnoteText"/>
      </w:pPr>
      <w:r>
        <w:rPr>
          <w:rStyle w:val="FootnoteReference"/>
        </w:rPr>
        <w:footnoteRef/>
      </w:r>
      <w:r>
        <w:t xml:space="preserve"> </w:t>
      </w:r>
      <w:r w:rsidRPr="00E9636E">
        <w:rPr>
          <w:i/>
          <w:iCs/>
        </w:rPr>
        <w:t>See</w:t>
      </w:r>
      <w:r>
        <w:rPr>
          <w:i/>
          <w:iCs/>
        </w:rPr>
        <w:t xml:space="preserve">, </w:t>
      </w:r>
      <w:r w:rsidRPr="00E9636E">
        <w:rPr>
          <w:i/>
          <w:iCs/>
        </w:rPr>
        <w:t>e.g.</w:t>
      </w:r>
      <w:r>
        <w:t xml:space="preserve">, </w:t>
      </w:r>
      <w:r>
        <w:rPr>
          <w:i/>
          <w:iCs/>
        </w:rPr>
        <w:t>SpaceX</w:t>
      </w:r>
      <w:r w:rsidRPr="001C6276">
        <w:rPr>
          <w:i/>
          <w:iCs/>
        </w:rPr>
        <w:t>-</w:t>
      </w:r>
      <w:r>
        <w:rPr>
          <w:i/>
          <w:iCs/>
        </w:rPr>
        <w:t>EchoStar</w:t>
      </w:r>
      <w:r w:rsidRPr="001C6276">
        <w:rPr>
          <w:i/>
          <w:iCs/>
        </w:rPr>
        <w:t xml:space="preserve"> Order</w:t>
      </w:r>
      <w:r>
        <w:t xml:space="preserve"> at 14, para. 32; </w:t>
      </w:r>
      <w:r w:rsidRPr="001156BD">
        <w:rPr>
          <w:i/>
          <w:iCs/>
        </w:rPr>
        <w:t>AT&amp;T-EchoStar</w:t>
      </w:r>
      <w:r>
        <w:t xml:space="preserve"> </w:t>
      </w:r>
      <w:r w:rsidRPr="00E9636E">
        <w:rPr>
          <w:i/>
          <w:iCs/>
        </w:rPr>
        <w:t>Order</w:t>
      </w:r>
      <w:r>
        <w:t xml:space="preserve"> at 10, para. 22.</w:t>
      </w:r>
    </w:p>
  </w:footnote>
  <w:footnote w:id="69">
    <w:p w:rsidR="00A40FA9" w:rsidRPr="00D423D7" w:rsidP="00A40FA9" w14:paraId="246BF8D9"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D423D7">
        <w:rPr>
          <w:i/>
          <w:iCs/>
        </w:rPr>
        <w:t xml:space="preserve"> AT&amp;T-Array Order</w:t>
      </w:r>
      <w:r w:rsidRPr="00D423D7">
        <w:t xml:space="preserve"> at 11</w:t>
      </w:r>
      <w:r>
        <w:t>–</w:t>
      </w:r>
      <w:r w:rsidRPr="00D423D7">
        <w:t xml:space="preserve">12, para. 20; </w:t>
      </w:r>
      <w:r w:rsidRPr="00D423D7">
        <w:rPr>
          <w:i/>
          <w:iCs/>
        </w:rPr>
        <w:t>T-Mobile-LB License Order</w:t>
      </w:r>
      <w:r w:rsidRPr="00D423D7">
        <w:t xml:space="preserve">, 39 FCC </w:t>
      </w:r>
      <w:r w:rsidRPr="00D423D7">
        <w:t>Rcd</w:t>
      </w:r>
      <w:r w:rsidRPr="00D423D7">
        <w:t xml:space="preserve"> at 11491</w:t>
      </w:r>
      <w:r>
        <w:t>–</w:t>
      </w:r>
      <w:r w:rsidRPr="00D423D7">
        <w:t xml:space="preserve">92, para. 23; </w:t>
      </w:r>
      <w:r w:rsidRPr="00D423D7">
        <w:rPr>
          <w:i/>
        </w:rPr>
        <w:t>T</w:t>
      </w:r>
      <w:r w:rsidRPr="00D423D7">
        <w:rPr>
          <w:i/>
          <w:iCs/>
        </w:rPr>
        <w:t>-Mobile-HTC Order</w:t>
      </w:r>
      <w:r w:rsidRPr="00D423D7">
        <w:t xml:space="preserve">, 39 FCC </w:t>
      </w:r>
      <w:r w:rsidRPr="00D423D7">
        <w:t>Rcd</w:t>
      </w:r>
      <w:r w:rsidRPr="00D423D7">
        <w:t xml:space="preserve"> at 10721, para. 24.</w:t>
      </w:r>
    </w:p>
  </w:footnote>
  <w:footnote w:id="70">
    <w:p w:rsidR="00A40FA9" w:rsidRPr="00D423D7" w:rsidP="00A40FA9" w14:paraId="5D3655C7"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10605</w:t>
      </w:r>
      <w:r>
        <w:t>–</w:t>
      </w:r>
      <w:r w:rsidRPr="00D423D7">
        <w:t xml:space="preserve">06, para. 66;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at 4795</w:t>
      </w:r>
      <w:r>
        <w:t>–</w:t>
      </w:r>
      <w:r w:rsidRPr="00D423D7">
        <w:t>96, paras. 33</w:t>
      </w:r>
      <w:r>
        <w:t>–</w:t>
      </w:r>
      <w:r w:rsidRPr="00D423D7">
        <w:t xml:space="preserve">34; </w:t>
      </w:r>
      <w:r w:rsidRPr="00D423D7">
        <w:rPr>
          <w:i/>
        </w:rPr>
        <w:t>AT&amp;T-Leap Order</w:t>
      </w:r>
      <w:r w:rsidRPr="00D423D7">
        <w:t xml:space="preserve">, 29 FCC </w:t>
      </w:r>
      <w:r w:rsidRPr="00D423D7">
        <w:t>Rcd</w:t>
      </w:r>
      <w:r w:rsidRPr="00D423D7">
        <w:t xml:space="preserve"> at </w:t>
      </w:r>
      <w:r>
        <w:t>2748</w:t>
      </w:r>
      <w:r w:rsidRPr="00D423D7">
        <w:t xml:space="preserve">, para. </w:t>
      </w:r>
      <w:r>
        <w:t>27.</w:t>
      </w:r>
    </w:p>
  </w:footnote>
  <w:footnote w:id="71">
    <w:p w:rsidR="00A40FA9" w:rsidRPr="003039F5" w:rsidP="00A40FA9" w14:paraId="08858EEF"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Public Interest Statement at 1 (“multiple providers currently operate in the [m]</w:t>
      </w:r>
      <w:r w:rsidRPr="00D423D7">
        <w:t>arkets</w:t>
      </w:r>
      <w:r w:rsidRPr="00D423D7">
        <w:t xml:space="preserve"> [covered by the proposed transaction] and the transaction will have no impact on their ability to do so after closing” and “[c]</w:t>
      </w:r>
      <w:r w:rsidRPr="00D423D7">
        <w:t>onsumers</w:t>
      </w:r>
      <w:r w:rsidRPr="00D423D7">
        <w:t xml:space="preserve"> will continue to have a variety of choices among providers that offer service within the [m]</w:t>
      </w:r>
      <w:r w:rsidRPr="00D423D7">
        <w:t>arkets</w:t>
      </w:r>
      <w:r w:rsidRPr="00D423D7">
        <w:t xml:space="preserve">”); </w:t>
      </w:r>
      <w:r w:rsidRPr="00D423D7">
        <w:rPr>
          <w:i/>
          <w:iCs/>
        </w:rPr>
        <w:t>see id.</w:t>
      </w:r>
      <w:r w:rsidRPr="00D423D7">
        <w:t xml:space="preserve"> at </w:t>
      </w:r>
      <w:r w:rsidRPr="00D423D7">
        <w:t>Exh</w:t>
      </w:r>
      <w:r w:rsidRPr="00D423D7">
        <w:t xml:space="preserve">. </w:t>
      </w:r>
      <w:r w:rsidRPr="00D423D7">
        <w:t xml:space="preserve">2 (Amended Spectrum Aggregation), </w:t>
      </w:r>
      <w:r w:rsidRPr="00D423D7">
        <w:t>Exh</w:t>
      </w:r>
      <w:r w:rsidRPr="00D423D7">
        <w:t xml:space="preserve">. 3 (Wireless Competition) (delineating the spectrum holdings of </w:t>
      </w:r>
      <w:r>
        <w:t>Verizon Wireless</w:t>
      </w:r>
      <w:r w:rsidRPr="00D423D7">
        <w:t xml:space="preserve"> and other licensees on a county-by-county basis for the counties covered by the proposed transaction); Joint Opposition at 5</w:t>
      </w:r>
      <w:r>
        <w:t>–</w:t>
      </w:r>
      <w:r w:rsidRPr="00D423D7">
        <w:t>11.</w:t>
      </w:r>
    </w:p>
  </w:footnote>
  <w:footnote w:id="72">
    <w:p w:rsidR="00A40FA9" w:rsidRPr="00D423D7" w:rsidP="00A40FA9" w14:paraId="06C91FEC" w14:textId="77777777">
      <w:pPr>
        <w:pStyle w:val="FootnoteText"/>
      </w:pPr>
      <w:r w:rsidRPr="00D423D7">
        <w:rPr>
          <w:rStyle w:val="FootnoteReference"/>
        </w:rPr>
        <w:footnoteRef/>
      </w:r>
      <w:r w:rsidRPr="00D423D7">
        <w:t xml:space="preserve"> </w:t>
      </w:r>
      <w:r w:rsidRPr="00D423D7">
        <w:rPr>
          <w:i/>
          <w:iCs/>
        </w:rPr>
        <w:t>See</w:t>
      </w:r>
      <w:r w:rsidRPr="002C6EC4">
        <w:rPr>
          <w:i/>
        </w:rPr>
        <w:t>,</w:t>
      </w:r>
      <w:r w:rsidRPr="00D423D7">
        <w:t xml:space="preserve"> </w:t>
      </w:r>
      <w:r w:rsidRPr="00D423D7">
        <w:rPr>
          <w:i/>
          <w:iCs/>
        </w:rPr>
        <w:t>e.g.</w:t>
      </w:r>
      <w:r w:rsidRPr="00D423D7">
        <w:t xml:space="preserve">, Public Knowledge et al. Petition to Deny at 10 (claiming that “competition will be harmed on local and national levels”); </w:t>
      </w:r>
      <w:r w:rsidRPr="00D423D7">
        <w:rPr>
          <w:i/>
          <w:iCs/>
        </w:rPr>
        <w:t>see also id.</w:t>
      </w:r>
      <w:r w:rsidRPr="00D423D7">
        <w:t xml:space="preserve"> at 8</w:t>
      </w:r>
      <w:r>
        <w:t>–</w:t>
      </w:r>
      <w:r w:rsidRPr="00D423D7">
        <w:t>12; RWA Petition to Deny at 3</w:t>
      </w:r>
      <w:r>
        <w:t>–</w:t>
      </w:r>
      <w:r w:rsidRPr="00D423D7">
        <w:t xml:space="preserve">10 (alleging competitive harms at the local and national levels).  Public Knowledge et al. and RWA reference </w:t>
      </w:r>
      <w:r w:rsidRPr="00D423D7">
        <w:t>UScellular’s</w:t>
      </w:r>
      <w:r w:rsidRPr="00D423D7">
        <w:t xml:space="preserve"> market exit and assert that </w:t>
      </w:r>
      <w:r w:rsidRPr="00D423D7">
        <w:t>UScellular</w:t>
      </w:r>
      <w:r w:rsidRPr="00D423D7">
        <w:t xml:space="preserve"> impacted the nationwide providers’ pricing.  Public Knowledge et al. Petition to Deny</w:t>
      </w:r>
      <w:r w:rsidRPr="00D423D7">
        <w:rPr>
          <w:i/>
          <w:iCs/>
        </w:rPr>
        <w:t xml:space="preserve"> </w:t>
      </w:r>
      <w:r w:rsidRPr="00D423D7">
        <w:t>at 9</w:t>
      </w:r>
      <w:r>
        <w:t>–</w:t>
      </w:r>
      <w:r w:rsidRPr="00D423D7">
        <w:t>10; RWA Petition to Deny at 8</w:t>
      </w:r>
      <w:r>
        <w:t>–</w:t>
      </w:r>
      <w:r w:rsidRPr="00D423D7">
        <w:t xml:space="preserve">9.  As we explain later, we have already evaluated </w:t>
      </w:r>
      <w:r w:rsidRPr="00D423D7">
        <w:t>UScellular’s</w:t>
      </w:r>
      <w:r w:rsidRPr="00D423D7">
        <w:t xml:space="preserve"> market exit and its effects in the </w:t>
      </w:r>
      <w:r w:rsidRPr="00D423D7">
        <w:rPr>
          <w:i/>
          <w:iCs/>
        </w:rPr>
        <w:t>T</w:t>
      </w:r>
      <w:r>
        <w:rPr>
          <w:i/>
        </w:rPr>
        <w:noBreakHyphen/>
      </w:r>
      <w:r w:rsidRPr="00D423D7">
        <w:rPr>
          <w:i/>
          <w:iCs/>
        </w:rPr>
        <w:t>Mobile-</w:t>
      </w:r>
      <w:r w:rsidRPr="00D423D7">
        <w:rPr>
          <w:i/>
          <w:iCs/>
        </w:rPr>
        <w:t>UScellular</w:t>
      </w:r>
      <w:r w:rsidRPr="00D423D7">
        <w:rPr>
          <w:i/>
          <w:iCs/>
        </w:rPr>
        <w:t xml:space="preserve"> Order</w:t>
      </w:r>
      <w:r w:rsidRPr="00D423D7">
        <w:t xml:space="preserve">.  </w:t>
      </w:r>
      <w:r w:rsidRPr="00D423D7">
        <w:rPr>
          <w:i/>
          <w:iCs/>
        </w:rPr>
        <w:t>See T-Mobile-</w:t>
      </w:r>
      <w:r w:rsidRPr="00D423D7">
        <w:rPr>
          <w:i/>
          <w:iCs/>
        </w:rPr>
        <w:t>UScellular</w:t>
      </w:r>
      <w:r w:rsidRPr="00D423D7">
        <w:rPr>
          <w:i/>
          <w:iCs/>
        </w:rPr>
        <w:t xml:space="preserve"> Order</w:t>
      </w:r>
      <w:r w:rsidRPr="00D423D7">
        <w:t xml:space="preserve">.  </w:t>
      </w:r>
    </w:p>
  </w:footnote>
  <w:footnote w:id="73">
    <w:p w:rsidR="00A40FA9" w:rsidRPr="00D423D7" w:rsidP="00A40FA9" w14:paraId="6CDA63F1" w14:textId="77777777">
      <w:pPr>
        <w:pStyle w:val="FootnoteText"/>
      </w:pPr>
      <w:r w:rsidRPr="00D423D7">
        <w:rPr>
          <w:rStyle w:val="FootnoteReference"/>
        </w:rPr>
        <w:footnoteRef/>
      </w:r>
      <w:r w:rsidRPr="00D423D7">
        <w:t xml:space="preserve"> </w:t>
      </w:r>
      <w:r w:rsidRPr="00D423D7">
        <w:rPr>
          <w:i/>
        </w:rPr>
        <w:t>T</w:t>
      </w:r>
      <w:r w:rsidRPr="00D423D7">
        <w:rPr>
          <w:i/>
          <w:iCs/>
        </w:rPr>
        <w:t>-Mobile-Sprint Order</w:t>
      </w:r>
      <w:r w:rsidRPr="00D423D7">
        <w:t xml:space="preserve">, 34 FCC </w:t>
      </w:r>
      <w:r w:rsidRPr="00D423D7">
        <w:t>Rcd</w:t>
      </w:r>
      <w:r w:rsidRPr="00D423D7">
        <w:t xml:space="preserve"> at 10606, para. 68; </w:t>
      </w:r>
      <w:r w:rsidRPr="00D423D7">
        <w:rPr>
          <w:i/>
          <w:iCs/>
        </w:rPr>
        <w:t>AT&amp;T-Array Order</w:t>
      </w:r>
      <w:r w:rsidRPr="00D423D7">
        <w:t xml:space="preserve"> at 11</w:t>
      </w:r>
      <w:r>
        <w:t>–</w:t>
      </w:r>
      <w:r w:rsidRPr="00D423D7">
        <w:t xml:space="preserve">12, para. 20;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4795</w:t>
      </w:r>
      <w:r>
        <w:t>–</w:t>
      </w:r>
      <w:r w:rsidRPr="00D423D7">
        <w:t>96, para. 34.</w:t>
      </w:r>
    </w:p>
  </w:footnote>
  <w:footnote w:id="74">
    <w:p w:rsidR="00A40FA9" w:rsidRPr="00D423D7" w:rsidP="00A40FA9" w14:paraId="11391222"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D423D7">
        <w:rPr>
          <w:i/>
          <w:iCs/>
        </w:rPr>
        <w:t xml:space="preserve"> AT&amp;T-Array Order</w:t>
      </w:r>
      <w:r w:rsidRPr="00D423D7">
        <w:t xml:space="preserve"> at 11</w:t>
      </w:r>
      <w:r>
        <w:t>–</w:t>
      </w:r>
      <w:r w:rsidRPr="00D423D7">
        <w:t xml:space="preserve">12, para. 20; </w:t>
      </w:r>
      <w:r w:rsidRPr="00D423D7">
        <w:rPr>
          <w:i/>
          <w:iCs/>
        </w:rPr>
        <w:t>T-Mobile-LB License Order</w:t>
      </w:r>
      <w:r w:rsidRPr="00D423D7">
        <w:t xml:space="preserve">, 39 FCC </w:t>
      </w:r>
      <w:r w:rsidRPr="00D423D7">
        <w:t>Rcd</w:t>
      </w:r>
      <w:r w:rsidRPr="00D423D7">
        <w:t xml:space="preserve"> at 11491</w:t>
      </w:r>
      <w:r>
        <w:t>–</w:t>
      </w:r>
      <w:r w:rsidRPr="00D423D7">
        <w:t xml:space="preserve">92, para. 23; </w:t>
      </w:r>
      <w:r w:rsidRPr="00D423D7">
        <w:rPr>
          <w:i/>
        </w:rPr>
        <w:t>T</w:t>
      </w:r>
      <w:r w:rsidRPr="00D423D7">
        <w:rPr>
          <w:i/>
          <w:iCs/>
        </w:rPr>
        <w:t>-Mobile-HTC Order</w:t>
      </w:r>
      <w:r w:rsidRPr="00D423D7">
        <w:t xml:space="preserve">, 39 FCC </w:t>
      </w:r>
      <w:r w:rsidRPr="00D423D7">
        <w:t>Rcd</w:t>
      </w:r>
      <w:r w:rsidRPr="00D423D7">
        <w:t xml:space="preserve"> at 10721, para. 24.  In the </w:t>
      </w:r>
      <w:r w:rsidRPr="00D423D7">
        <w:rPr>
          <w:i/>
        </w:rPr>
        <w:t>T-Mobile-</w:t>
      </w:r>
      <w:r w:rsidRPr="00D423D7">
        <w:rPr>
          <w:i/>
        </w:rPr>
        <w:t>UScellular</w:t>
      </w:r>
      <w:r w:rsidRPr="00D423D7">
        <w:rPr>
          <w:i/>
        </w:rPr>
        <w:t xml:space="preserve"> Order</w:t>
      </w:r>
      <w:r w:rsidRPr="00D423D7">
        <w:t xml:space="preserve">, we also evaluated competitive effects at the national level because the transaction exhibited certain national characteristics that provided potential cause for concern.  </w:t>
      </w:r>
      <w:r w:rsidRPr="00D423D7">
        <w:rPr>
          <w:i/>
        </w:rPr>
        <w:t>See</w:t>
      </w:r>
      <w:r w:rsidRPr="00D423D7">
        <w:t xml:space="preserv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t xml:space="preserve"> at 4795</w:t>
      </w:r>
      <w:r>
        <w:t>–</w:t>
      </w:r>
      <w:r w:rsidRPr="00D423D7">
        <w:t>96, para. 34.</w:t>
      </w:r>
    </w:p>
  </w:footnote>
  <w:footnote w:id="75">
    <w:p w:rsidR="00A40FA9" w:rsidRPr="00D423D7" w:rsidP="00A40FA9" w14:paraId="5579664F"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rPr>
        <w:t>Applications of AT&amp;T Inc., E.N.M.R. Telephone Cooperative, Plateau Telecommunications, Inc., New Mexico RSA 4 East Limited Partnership, and Texas RSA 3 Limited Partnership for Consent to Assign Licenses and Authorizations</w:t>
      </w:r>
      <w:r w:rsidRPr="00D423D7">
        <w:t xml:space="preserve">, WT Docket No. 14-144, Memorandum Opinion and Order, 30 FCC </w:t>
      </w:r>
      <w:r w:rsidRPr="00D423D7">
        <w:t>Rcd</w:t>
      </w:r>
      <w:r w:rsidRPr="00D423D7">
        <w:t xml:space="preserve"> 5107, 5116</w:t>
      </w:r>
      <w:r>
        <w:t>–</w:t>
      </w:r>
      <w:r w:rsidRPr="00D423D7">
        <w:t xml:space="preserve">17, para. 21 (2015); </w:t>
      </w:r>
      <w:r w:rsidRPr="00D423D7">
        <w:rPr>
          <w:i/>
          <w:iCs/>
        </w:rPr>
        <w:t>AT&amp;T-Array Order</w:t>
      </w:r>
      <w:r w:rsidRPr="00D423D7">
        <w:t xml:space="preserve"> at 12, para. 21;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at 4796, para. 35.</w:t>
      </w:r>
    </w:p>
  </w:footnote>
  <w:footnote w:id="76">
    <w:p w:rsidR="00A40FA9" w:rsidRPr="00D423D7" w:rsidP="00A40FA9" w14:paraId="2D56DB3D"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rFonts w:eastAsia="Calibri"/>
          <w:i/>
        </w:rPr>
        <w:t>Communications Marketplace Report</w:t>
      </w:r>
      <w:r w:rsidRPr="00D423D7">
        <w:rPr>
          <w:rFonts w:eastAsia="Calibri"/>
        </w:rPr>
        <w:t xml:space="preserve">, GN Docket No. 24-119, 2024 Communications Marketplace Report, 39 FCC </w:t>
      </w:r>
      <w:r w:rsidRPr="00D423D7">
        <w:rPr>
          <w:rFonts w:eastAsia="Calibri"/>
        </w:rPr>
        <w:t>Rcd</w:t>
      </w:r>
      <w:r w:rsidRPr="00D423D7">
        <w:rPr>
          <w:rFonts w:eastAsia="Calibri"/>
        </w:rPr>
        <w:t xml:space="preserve"> 14116, 14173</w:t>
      </w:r>
      <w:r>
        <w:rPr>
          <w:rFonts w:eastAsia="Calibri"/>
        </w:rPr>
        <w:t>–</w:t>
      </w:r>
      <w:r w:rsidRPr="00D423D7">
        <w:rPr>
          <w:rFonts w:eastAsia="Calibri"/>
        </w:rPr>
        <w:t>74, paras. 69</w:t>
      </w:r>
      <w:r>
        <w:rPr>
          <w:rFonts w:eastAsia="Calibri"/>
        </w:rPr>
        <w:t>–</w:t>
      </w:r>
      <w:r w:rsidRPr="00D423D7">
        <w:rPr>
          <w:rFonts w:eastAsia="Calibri"/>
        </w:rPr>
        <w:t>70, Fig. II.B.11 (2024) (</w:t>
      </w:r>
      <w:r w:rsidRPr="00D423D7">
        <w:rPr>
          <w:rFonts w:eastAsia="Calibri"/>
          <w:i/>
          <w:iCs/>
        </w:rPr>
        <w:t>2024 Communications Marketplace Report</w:t>
      </w:r>
      <w:r w:rsidRPr="00D423D7">
        <w:rPr>
          <w:rFonts w:eastAsia="Calibri"/>
        </w:rPr>
        <w:t>)</w:t>
      </w:r>
      <w:r w:rsidRPr="00D423D7">
        <w:t xml:space="preserve">; </w:t>
      </w:r>
      <w:r w:rsidRPr="00D423D7">
        <w:rPr>
          <w:i/>
          <w:iCs/>
        </w:rPr>
        <w:t>AT&amp;T-Array Order</w:t>
      </w:r>
      <w:r w:rsidRPr="00D423D7">
        <w:t xml:space="preserve"> at 12, para. 21; </w:t>
      </w:r>
      <w:r w:rsidRPr="00D423D7">
        <w:rPr>
          <w:i/>
          <w:iCs/>
        </w:rPr>
        <w:t>T-Mobile-LB License Order</w:t>
      </w:r>
      <w:r w:rsidRPr="00D423D7">
        <w:t xml:space="preserve">, 39 FCC </w:t>
      </w:r>
      <w:r w:rsidRPr="00D423D7">
        <w:t>Rcd</w:t>
      </w:r>
      <w:r w:rsidRPr="00D423D7">
        <w:t xml:space="preserve"> at 11491</w:t>
      </w:r>
      <w:r>
        <w:t>–</w:t>
      </w:r>
      <w:r w:rsidRPr="00D423D7">
        <w:t xml:space="preserve">92, para. 23; </w:t>
      </w:r>
      <w:r w:rsidRPr="00D423D7">
        <w:rPr>
          <w:i/>
        </w:rPr>
        <w:t>T</w:t>
      </w:r>
      <w:r>
        <w:rPr>
          <w:i/>
        </w:rPr>
        <w:noBreakHyphen/>
      </w:r>
      <w:r w:rsidRPr="00D423D7">
        <w:rPr>
          <w:i/>
          <w:iCs/>
        </w:rPr>
        <w:t>Mobile-HTC Order</w:t>
      </w:r>
      <w:r w:rsidRPr="00D423D7">
        <w:t xml:space="preserve">, 39 FCC </w:t>
      </w:r>
      <w:r w:rsidRPr="00D423D7">
        <w:t>Rcd</w:t>
      </w:r>
      <w:r w:rsidRPr="00D423D7">
        <w:t xml:space="preserve"> at 10721, para. 24.</w:t>
      </w:r>
    </w:p>
  </w:footnote>
  <w:footnote w:id="77">
    <w:p w:rsidR="00A40FA9" w:rsidRPr="00D423D7" w:rsidP="00A40FA9" w14:paraId="78257445" w14:textId="77777777">
      <w:pPr>
        <w:pStyle w:val="FootnoteText"/>
      </w:pPr>
      <w:r w:rsidRPr="00D423D7">
        <w:rPr>
          <w:rStyle w:val="FootnoteReference"/>
        </w:rPr>
        <w:footnoteRef/>
      </w:r>
      <w:r w:rsidRPr="00D423D7">
        <w:t xml:space="preserve"> The initial HHI screen identifies, for further case-by-case market analysis, those markets in which, post-transaction:  (1) the HHI would be greater than 2800 and the change in HHI would be 100 or greater; or (2) the change in HHI would be 250 or greater, regardless of the level of the HHI.  </w:t>
      </w:r>
      <w:r w:rsidRPr="00D423D7">
        <w:rPr>
          <w:i/>
          <w:iCs/>
        </w:rPr>
        <w:t>See</w:t>
      </w:r>
      <w:r w:rsidRPr="002C6EC4">
        <w:rPr>
          <w:i/>
        </w:rPr>
        <w:t>,</w:t>
      </w:r>
      <w:r w:rsidRPr="00D423D7">
        <w:rPr>
          <w:i/>
          <w:iCs/>
        </w:rPr>
        <w:t xml:space="preserve"> e.g.</w:t>
      </w:r>
      <w:r w:rsidRPr="00D423D7">
        <w:rPr>
          <w:iCs/>
        </w:rPr>
        <w:t>,</w:t>
      </w:r>
      <w:r w:rsidRPr="00D423D7">
        <w:rPr>
          <w:i/>
          <w:iCs/>
        </w:rPr>
        <w:t xml:space="preserve"> AT&amp;T-Array Order</w:t>
      </w:r>
      <w:r w:rsidRPr="00D423D7">
        <w:t xml:space="preserve"> at 12</w:t>
      </w:r>
      <w:r>
        <w:t>–</w:t>
      </w:r>
      <w:r w:rsidRPr="00D423D7">
        <w:t xml:space="preserve">13, para. 23 &amp; n.83;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4799</w:t>
      </w:r>
      <w:r>
        <w:t>–</w:t>
      </w:r>
      <w:r w:rsidRPr="00D423D7">
        <w:t xml:space="preserve">800, para. 41 &amp; n.143; </w:t>
      </w:r>
      <w:r w:rsidRPr="00D423D7">
        <w:rPr>
          <w:i/>
          <w:iCs/>
        </w:rPr>
        <w:t>T-Mobile-HTC Order</w:t>
      </w:r>
      <w:r w:rsidRPr="00D423D7">
        <w:t xml:space="preserve">, 39 FCC </w:t>
      </w:r>
      <w:r w:rsidRPr="00D423D7">
        <w:t>Rcd</w:t>
      </w:r>
      <w:r w:rsidRPr="00D423D7">
        <w:t xml:space="preserve"> at 10722, para. 25 &amp; n.85.</w:t>
      </w:r>
    </w:p>
  </w:footnote>
  <w:footnote w:id="78">
    <w:p w:rsidR="00A40FA9" w:rsidRPr="00D423D7" w:rsidP="00A40FA9" w14:paraId="4FEA7559" w14:textId="77777777">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w:t>
      </w:r>
      <w:r w:rsidRPr="00D423D7">
        <w:rPr>
          <w:iCs/>
        </w:rPr>
        <w:t xml:space="preserve"> </w:t>
      </w:r>
      <w:r w:rsidRPr="00D423D7">
        <w:rPr>
          <w:i/>
          <w:iCs/>
        </w:rPr>
        <w:t>AT&amp;T-Array Order</w:t>
      </w:r>
      <w:r w:rsidRPr="00D423D7">
        <w:t xml:space="preserve"> at 12</w:t>
      </w:r>
      <w:r>
        <w:t>–</w:t>
      </w:r>
      <w:r w:rsidRPr="00D423D7">
        <w:t xml:space="preserve">13, para. 23;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4799</w:t>
      </w:r>
      <w:r>
        <w:t>–</w:t>
      </w:r>
      <w:r w:rsidRPr="00D423D7">
        <w:t xml:space="preserve">800, para. 41; </w:t>
      </w:r>
      <w:r w:rsidRPr="00D423D7">
        <w:rPr>
          <w:i/>
          <w:iCs/>
        </w:rPr>
        <w:t>T-Mobile-HTC Order</w:t>
      </w:r>
      <w:r w:rsidRPr="00D423D7">
        <w:t xml:space="preserve">, 39 FCC </w:t>
      </w:r>
      <w:r w:rsidRPr="00D423D7">
        <w:t>Rcd</w:t>
      </w:r>
      <w:r w:rsidRPr="00D423D7">
        <w:t xml:space="preserve"> at 10722, para. 25.  </w:t>
      </w:r>
      <w:r w:rsidRPr="00D423D7">
        <w:rPr>
          <w:szCs w:val="22"/>
        </w:rPr>
        <w:t xml:space="preserve">The total amount of spectrum that is currently considered suitable and available for the provision of mobile telephony/broadband services is 1,123 megahertz, with an associated spectrum screen trigger of 385 megahertz.  </w:t>
      </w:r>
      <w:r w:rsidRPr="00D423D7">
        <w:rPr>
          <w:i/>
          <w:szCs w:val="22"/>
        </w:rPr>
        <w:t xml:space="preserve">2024 </w:t>
      </w:r>
      <w:r w:rsidRPr="00D423D7">
        <w:rPr>
          <w:i/>
        </w:rPr>
        <w:t>Communications Marketplace Report</w:t>
      </w:r>
      <w:r w:rsidRPr="00D423D7">
        <w:rPr>
          <w:iCs/>
        </w:rPr>
        <w:t xml:space="preserve">, 39 FCC </w:t>
      </w:r>
      <w:r w:rsidRPr="00D423D7">
        <w:rPr>
          <w:iCs/>
        </w:rPr>
        <w:t>Rcd</w:t>
      </w:r>
      <w:r w:rsidRPr="00D423D7">
        <w:t xml:space="preserve"> at 14173</w:t>
      </w:r>
      <w:r>
        <w:t>–</w:t>
      </w:r>
      <w:r w:rsidRPr="00D423D7">
        <w:t>74, paras. 69</w:t>
      </w:r>
      <w:r>
        <w:t>–</w:t>
      </w:r>
      <w:r w:rsidRPr="00D423D7">
        <w:t>70, Fig. II.B.11.  We note that 3.7 GHz and 3.45 GHz spectrum are not available for use in Hawaii, Alaska, and the territories.  In these areas, the total amount of suitable and available spectrum is 743 megahertz, and the associated spectrum screen trigger is 250 megahertz.</w:t>
      </w:r>
      <w:r>
        <w:t xml:space="preserve">  </w:t>
      </w:r>
      <w:r w:rsidRPr="00D423D7">
        <w:rPr>
          <w:i/>
        </w:rPr>
        <w:t>2024 Communications Marketplace Report</w:t>
      </w:r>
      <w:r w:rsidRPr="00D423D7">
        <w:rPr>
          <w:iCs/>
        </w:rPr>
        <w:t xml:space="preserve">, 39 FCC </w:t>
      </w:r>
      <w:r w:rsidRPr="00D423D7">
        <w:rPr>
          <w:iCs/>
        </w:rPr>
        <w:t>Rcd</w:t>
      </w:r>
      <w:r w:rsidRPr="00D423D7">
        <w:t xml:space="preserve"> at 14173, para. 69 &amp; n.189.</w:t>
      </w:r>
    </w:p>
  </w:footnote>
  <w:footnote w:id="79">
    <w:p w:rsidR="00A40FA9" w:rsidRPr="00D423D7" w:rsidP="00A40FA9" w14:paraId="70A4C1F4" w14:textId="77777777">
      <w:pPr>
        <w:pStyle w:val="FootnoteText"/>
      </w:pPr>
      <w:r w:rsidRPr="00D423D7">
        <w:rPr>
          <w:rStyle w:val="FootnoteReference"/>
        </w:rPr>
        <w:footnoteRef/>
      </w:r>
      <w:r w:rsidRPr="00D423D7">
        <w:t xml:space="preserve"> </w:t>
      </w:r>
      <w:r w:rsidRPr="00D423D7">
        <w:rPr>
          <w:i/>
          <w:iCs/>
        </w:rPr>
        <w:t>Mobile Spectrum Holdings Report and Order</w:t>
      </w:r>
      <w:r w:rsidRPr="00D423D7">
        <w:t xml:space="preserve">, 29 FCC </w:t>
      </w:r>
      <w:r w:rsidRPr="00D423D7">
        <w:t>Rcd</w:t>
      </w:r>
      <w:r w:rsidRPr="00D423D7">
        <w:t xml:space="preserve"> at 6240, paras. 286</w:t>
      </w:r>
      <w:r>
        <w:t>–</w:t>
      </w:r>
      <w:r w:rsidRPr="00D423D7">
        <w:t xml:space="preserve">88; </w:t>
      </w:r>
      <w:r w:rsidRPr="00D423D7">
        <w:rPr>
          <w:i/>
          <w:iCs/>
        </w:rPr>
        <w:t>see also</w:t>
      </w:r>
      <w:r w:rsidRPr="00D423D7">
        <w:rPr>
          <w:i/>
        </w:rPr>
        <w:t xml:space="preserve"> </w:t>
      </w:r>
      <w:r w:rsidRPr="00D423D7">
        <w:rPr>
          <w:i/>
          <w:iCs/>
        </w:rPr>
        <w:t>AT&amp;T-Array Order</w:t>
      </w:r>
      <w:r w:rsidRPr="00D423D7">
        <w:t xml:space="preserve"> at 12</w:t>
      </w:r>
      <w:r>
        <w:t>–</w:t>
      </w:r>
      <w:r w:rsidRPr="00D423D7">
        <w:t xml:space="preserve">13, para. 23;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4799</w:t>
      </w:r>
      <w:r>
        <w:t>–</w:t>
      </w:r>
      <w:r w:rsidRPr="00D423D7">
        <w:t xml:space="preserve">800, para. 41.  The total amount of below-1-GHz spectrum that is currently considered suitable and available for the provision of mobile telephony/broadband services is 204 megahertz, with an associated enhanced factor review trigger of 68 megahertz.  </w:t>
      </w:r>
      <w:r w:rsidRPr="00D423D7">
        <w:rPr>
          <w:i/>
          <w:iCs/>
        </w:rPr>
        <w:t>See</w:t>
      </w:r>
      <w:r w:rsidRPr="00D423D7">
        <w:t xml:space="preserve"> </w:t>
      </w:r>
      <w:r w:rsidRPr="00D423D7">
        <w:rPr>
          <w:rFonts w:eastAsia="Calibri"/>
          <w:i/>
          <w:iCs/>
        </w:rPr>
        <w:t>2024 Communications Marketplace Report</w:t>
      </w:r>
      <w:r w:rsidRPr="00D423D7">
        <w:rPr>
          <w:rFonts w:eastAsia="Calibri"/>
        </w:rPr>
        <w:t xml:space="preserve">, 39 FCC </w:t>
      </w:r>
      <w:r w:rsidRPr="00D423D7">
        <w:rPr>
          <w:rFonts w:eastAsia="Calibri"/>
        </w:rPr>
        <w:t>Rcd</w:t>
      </w:r>
      <w:r w:rsidRPr="00D423D7">
        <w:rPr>
          <w:rFonts w:eastAsia="Calibri"/>
        </w:rPr>
        <w:t xml:space="preserve"> at 14173</w:t>
      </w:r>
      <w:r>
        <w:rPr>
          <w:rFonts w:eastAsia="Calibri"/>
        </w:rPr>
        <w:t>–</w:t>
      </w:r>
      <w:r w:rsidRPr="00D423D7">
        <w:rPr>
          <w:rFonts w:eastAsia="Calibri"/>
        </w:rPr>
        <w:t>74, paras. 69</w:t>
      </w:r>
      <w:r>
        <w:rPr>
          <w:rFonts w:eastAsia="Calibri"/>
        </w:rPr>
        <w:t>–</w:t>
      </w:r>
      <w:r w:rsidRPr="00D423D7">
        <w:rPr>
          <w:rFonts w:eastAsia="Calibri"/>
        </w:rPr>
        <w:t>70, Fig. II.B.11.</w:t>
      </w:r>
    </w:p>
  </w:footnote>
  <w:footnote w:id="80">
    <w:p w:rsidR="00A40FA9" w:rsidRPr="00D423D7" w:rsidP="00A40FA9" w14:paraId="7BB199AF"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D423D7">
        <w:rPr>
          <w:i/>
          <w:iCs/>
        </w:rPr>
        <w:t xml:space="preserve"> AT&amp;T-Array Order</w:t>
      </w:r>
      <w:r w:rsidRPr="00D423D7">
        <w:t xml:space="preserve"> at 13, para. 24; </w:t>
      </w:r>
      <w:r w:rsidRPr="00D423D7">
        <w:rPr>
          <w:i/>
        </w:rPr>
        <w:t>Applications of AT&amp;T Mobility Spectrum, LLC and FTC Management Group Inc. for Long-Term De Facto Transfer Leasing Arrangement</w:t>
      </w:r>
      <w:r w:rsidRPr="00D423D7">
        <w:t xml:space="preserve">, WT Docket No. 25-138, Memorandum Opinion and Order, 40 FCC </w:t>
      </w:r>
      <w:r w:rsidRPr="00D423D7">
        <w:t>Rcd</w:t>
      </w:r>
      <w:r w:rsidRPr="00D423D7">
        <w:t xml:space="preserve"> 6105, 6110</w:t>
      </w:r>
      <w:r>
        <w:t>–</w:t>
      </w:r>
      <w:r w:rsidRPr="00D423D7">
        <w:t>11, para. 14 &amp; n.38 (WTB 2025)</w:t>
      </w:r>
      <w:r w:rsidRPr="00D423D7">
        <w:rPr>
          <w:iCs/>
        </w:rPr>
        <w:t>;</w:t>
      </w:r>
      <w:r w:rsidRPr="00D423D7">
        <w:t xml:space="preserve"> </w:t>
      </w:r>
      <w:r w:rsidRPr="00D423D7">
        <w:rPr>
          <w:i/>
        </w:rPr>
        <w:t>Applications of T-Mobile License LLC, Nextel West Corp. and LB License Co LLC for License Assignment; Application of T-Mobile License LLC, Nextel West Corp. and Channel 51 License Company LLC for License Assignment</w:t>
      </w:r>
      <w:r w:rsidRPr="00D423D7">
        <w:t>,</w:t>
      </w:r>
      <w:r w:rsidRPr="00D423D7">
        <w:rPr>
          <w:i/>
        </w:rPr>
        <w:t xml:space="preserve"> </w:t>
      </w:r>
      <w:r w:rsidRPr="00D423D7">
        <w:t xml:space="preserve">ULS File Nos. 0010168412, 0010168420, </w:t>
      </w:r>
      <w:r w:rsidRPr="00D423D7">
        <w:rPr>
          <w:iCs/>
        </w:rPr>
        <w:t xml:space="preserve">and </w:t>
      </w:r>
      <w:r w:rsidRPr="00D423D7">
        <w:t xml:space="preserve">0010168439, Memorandum Opinion and Order, 38 FCC </w:t>
      </w:r>
      <w:r w:rsidRPr="00D423D7">
        <w:t>Rcd</w:t>
      </w:r>
      <w:r w:rsidRPr="00D423D7">
        <w:t xml:space="preserve"> 12150, 12165, paras. 36</w:t>
      </w:r>
      <w:r>
        <w:t>–</w:t>
      </w:r>
      <w:r w:rsidRPr="00D423D7">
        <w:t>37 (WTB/OEA 2023) (</w:t>
      </w:r>
      <w:r w:rsidRPr="00D423D7">
        <w:rPr>
          <w:i/>
          <w:iCs/>
        </w:rPr>
        <w:t>T-Mobile-Channel 51-LB License Order</w:t>
      </w:r>
      <w:r w:rsidRPr="00D423D7">
        <w:t>);</w:t>
      </w:r>
      <w:r w:rsidRPr="00D423D7">
        <w:rPr>
          <w:i/>
        </w:rPr>
        <w:t xml:space="preserve"> </w:t>
      </w:r>
      <w:r w:rsidRPr="00D423D7">
        <w:rPr>
          <w:i/>
          <w:iCs/>
        </w:rPr>
        <w:t>see also</w:t>
      </w:r>
      <w:r w:rsidRPr="00D423D7">
        <w:rPr>
          <w:i/>
        </w:rPr>
        <w:t xml:space="preserve"> </w:t>
      </w:r>
      <w:r w:rsidRPr="00D423D7">
        <w:t xml:space="preserve">Public Interest Statement at 1 (the proposed transaction’s scope is limited to the assignment of certain cellular, AWS-1, AWS-3, and PCS licenses).  </w:t>
      </w:r>
    </w:p>
  </w:footnote>
  <w:footnote w:id="81">
    <w:p w:rsidR="00A40FA9" w:rsidRPr="00D423D7" w:rsidP="00A40FA9" w14:paraId="6761CC14"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t xml:space="preserve"> </w:t>
      </w:r>
      <w:r w:rsidRPr="00D423D7">
        <w:rPr>
          <w:i/>
          <w:iCs/>
        </w:rPr>
        <w:t>e.g.</w:t>
      </w:r>
      <w:r w:rsidRPr="00D423D7">
        <w:t>, Public Knowledge et al. Petition to Deny at 9</w:t>
      </w:r>
      <w:r>
        <w:t>–</w:t>
      </w:r>
      <w:r w:rsidRPr="00D423D7">
        <w:t>12, 15</w:t>
      </w:r>
      <w:r>
        <w:t>–</w:t>
      </w:r>
      <w:r w:rsidRPr="00D423D7">
        <w:t>16; RWA Petition to Deny at 7</w:t>
      </w:r>
      <w:r>
        <w:t>–</w:t>
      </w:r>
      <w:r w:rsidRPr="00D423D7">
        <w:t>11.</w:t>
      </w:r>
    </w:p>
  </w:footnote>
  <w:footnote w:id="82">
    <w:p w:rsidR="00A40FA9" w:rsidP="00A40FA9" w14:paraId="2DDEFEB2" w14:textId="77777777">
      <w:pPr>
        <w:pStyle w:val="FootnoteText"/>
      </w:pPr>
      <w:r>
        <w:rPr>
          <w:rStyle w:val="FootnoteReference"/>
        </w:rPr>
        <w:footnoteRef/>
      </w:r>
      <w:r>
        <w:t xml:space="preserve"> </w:t>
      </w:r>
      <w:r w:rsidRPr="00A67E53">
        <w:rPr>
          <w:i/>
          <w:iCs/>
        </w:rPr>
        <w:t>See</w:t>
      </w:r>
      <w:r w:rsidRPr="00A67E53">
        <w:rPr>
          <w:i/>
        </w:rPr>
        <w:t xml:space="preserve"> </w:t>
      </w:r>
      <w:r w:rsidRPr="00A67E53">
        <w:rPr>
          <w:i/>
          <w:iCs/>
        </w:rPr>
        <w:t>T-Mobile-</w:t>
      </w:r>
      <w:r w:rsidRPr="00A67E53">
        <w:rPr>
          <w:i/>
          <w:iCs/>
        </w:rPr>
        <w:t>UScellular</w:t>
      </w:r>
      <w:r w:rsidRPr="00A67E53">
        <w:rPr>
          <w:i/>
          <w:iCs/>
        </w:rPr>
        <w:t xml:space="preserve"> Order</w:t>
      </w:r>
      <w:r w:rsidRPr="00723379">
        <w:t xml:space="preserve">, 40 FCC </w:t>
      </w:r>
      <w:r w:rsidRPr="00723379">
        <w:t>Rcd</w:t>
      </w:r>
      <w:r w:rsidRPr="00723379">
        <w:t xml:space="preserve"> </w:t>
      </w:r>
      <w:r w:rsidRPr="0023161A">
        <w:t>4776</w:t>
      </w:r>
      <w:r>
        <w:t xml:space="preserve">; </w:t>
      </w:r>
      <w:r>
        <w:rPr>
          <w:i/>
          <w:iCs/>
        </w:rPr>
        <w:t>s</w:t>
      </w:r>
      <w:r w:rsidRPr="00A67E53">
        <w:rPr>
          <w:i/>
          <w:iCs/>
        </w:rPr>
        <w:t>ee also</w:t>
      </w:r>
      <w:r>
        <w:t xml:space="preserve"> </w:t>
      </w:r>
      <w:r w:rsidRPr="00A67E53">
        <w:rPr>
          <w:i/>
          <w:iCs/>
        </w:rPr>
        <w:t>AT&amp;T-Array Order</w:t>
      </w:r>
      <w:r w:rsidRPr="00FC0565">
        <w:t xml:space="preserve"> at</w:t>
      </w:r>
      <w:r>
        <w:t xml:space="preserve"> 13, 18, paras. 24, 38.</w:t>
      </w:r>
    </w:p>
  </w:footnote>
  <w:footnote w:id="83">
    <w:p w:rsidR="00A40FA9" w:rsidRPr="00D423D7" w:rsidP="00A40FA9" w14:paraId="5EDDCDED" w14:textId="7777777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Public Interest Statement at 1,</w:t>
      </w:r>
      <w:r w:rsidRPr="00D423D7">
        <w:t xml:space="preserve"> </w:t>
      </w:r>
      <w:r w:rsidRPr="00D423D7">
        <w:t>Exh</w:t>
      </w:r>
      <w:r w:rsidRPr="00D423D7">
        <w:t xml:space="preserve">. </w:t>
      </w:r>
      <w:r w:rsidRPr="00D423D7">
        <w:t>2 (Amended Spectrum Aggregation).</w:t>
      </w:r>
    </w:p>
  </w:footnote>
  <w:footnote w:id="84">
    <w:p w:rsidR="00A40FA9" w:rsidRPr="00D423D7" w:rsidP="00A40FA9" w14:paraId="7E31E013" w14:textId="77777777">
      <w:pPr>
        <w:widowControl/>
        <w:autoSpaceDE w:val="0"/>
        <w:autoSpaceDN w:val="0"/>
        <w:adjustRightInd w:val="0"/>
        <w:spacing w:after="120"/>
        <w:rPr>
          <w:i/>
          <w:color w:val="231F20"/>
          <w:sz w:val="20"/>
        </w:rPr>
      </w:pPr>
      <w:r w:rsidRPr="00D423D7">
        <w:rPr>
          <w:rStyle w:val="FootnoteReference"/>
        </w:rPr>
        <w:footnoteRef/>
      </w:r>
      <w:r w:rsidRPr="00D423D7">
        <w:rPr>
          <w:sz w:val="20"/>
        </w:rPr>
        <w:t xml:space="preserve"> </w:t>
      </w:r>
      <w:r w:rsidRPr="00D423D7">
        <w:rPr>
          <w:i/>
          <w:sz w:val="20"/>
        </w:rPr>
        <w:t>See</w:t>
      </w:r>
      <w:r w:rsidRPr="003057D9">
        <w:rPr>
          <w:i/>
          <w:sz w:val="20"/>
        </w:rPr>
        <w:t>,</w:t>
      </w:r>
      <w:r w:rsidRPr="00D423D7">
        <w:rPr>
          <w:i/>
          <w:sz w:val="20"/>
        </w:rPr>
        <w:t xml:space="preserve"> e.g.</w:t>
      </w:r>
      <w:r w:rsidRPr="00D423D7">
        <w:rPr>
          <w:sz w:val="20"/>
        </w:rPr>
        <w:t xml:space="preserve">, </w:t>
      </w:r>
      <w:r w:rsidRPr="00D423D7">
        <w:rPr>
          <w:i/>
          <w:sz w:val="20"/>
        </w:rPr>
        <w:t>T-Mobile-</w:t>
      </w:r>
      <w:r w:rsidRPr="00D423D7">
        <w:rPr>
          <w:i/>
          <w:iCs/>
          <w:sz w:val="20"/>
        </w:rPr>
        <w:t>Sprint Order</w:t>
      </w:r>
      <w:r w:rsidRPr="00D423D7">
        <w:rPr>
          <w:sz w:val="20"/>
        </w:rPr>
        <w:t xml:space="preserve">, 34 FCC </w:t>
      </w:r>
      <w:r w:rsidRPr="00D423D7">
        <w:rPr>
          <w:sz w:val="20"/>
        </w:rPr>
        <w:t>Rcd</w:t>
      </w:r>
      <w:r w:rsidRPr="00D423D7">
        <w:rPr>
          <w:sz w:val="20"/>
        </w:rPr>
        <w:t xml:space="preserve"> at 10620</w:t>
      </w:r>
      <w:r>
        <w:rPr>
          <w:sz w:val="20"/>
        </w:rPr>
        <w:t>–</w:t>
      </w:r>
      <w:r w:rsidRPr="00D423D7">
        <w:rPr>
          <w:sz w:val="20"/>
        </w:rPr>
        <w:t>2</w:t>
      </w:r>
      <w:r>
        <w:rPr>
          <w:sz w:val="20"/>
        </w:rPr>
        <w:t>1</w:t>
      </w:r>
      <w:r w:rsidRPr="00D423D7">
        <w:rPr>
          <w:sz w:val="20"/>
        </w:rPr>
        <w:t>, paras. 101</w:t>
      </w:r>
      <w:r>
        <w:rPr>
          <w:sz w:val="20"/>
        </w:rPr>
        <w:t>–102</w:t>
      </w:r>
      <w:r w:rsidRPr="00D423D7">
        <w:rPr>
          <w:sz w:val="20"/>
        </w:rPr>
        <w:t xml:space="preserve">; </w:t>
      </w:r>
      <w:r w:rsidRPr="00D423D7">
        <w:rPr>
          <w:i/>
          <w:iCs/>
          <w:sz w:val="20"/>
        </w:rPr>
        <w:t>AT&amp;T-Array Order</w:t>
      </w:r>
      <w:r w:rsidRPr="00D423D7">
        <w:rPr>
          <w:sz w:val="20"/>
        </w:rPr>
        <w:t xml:space="preserve"> at 14</w:t>
      </w:r>
      <w:r>
        <w:rPr>
          <w:sz w:val="20"/>
        </w:rPr>
        <w:t>–</w:t>
      </w:r>
      <w:r w:rsidRPr="00D423D7">
        <w:rPr>
          <w:sz w:val="20"/>
        </w:rPr>
        <w:t xml:space="preserve">15, para. 26; </w:t>
      </w:r>
      <w:r w:rsidRPr="00D423D7">
        <w:rPr>
          <w:i/>
          <w:sz w:val="20"/>
        </w:rPr>
        <w:t>T-Mobile-</w:t>
      </w:r>
      <w:r w:rsidRPr="00D423D7">
        <w:rPr>
          <w:i/>
          <w:sz w:val="20"/>
        </w:rPr>
        <w:t>UScellular</w:t>
      </w:r>
      <w:r w:rsidRPr="00D423D7">
        <w:rPr>
          <w:i/>
          <w:sz w:val="20"/>
        </w:rPr>
        <w:t xml:space="preserve"> Order</w:t>
      </w:r>
      <w:r w:rsidRPr="00D423D7">
        <w:rPr>
          <w:iCs/>
          <w:sz w:val="20"/>
        </w:rPr>
        <w:t xml:space="preserve">, 40 FCC </w:t>
      </w:r>
      <w:r w:rsidRPr="00D423D7">
        <w:rPr>
          <w:iCs/>
          <w:sz w:val="20"/>
        </w:rPr>
        <w:t>Rcd</w:t>
      </w:r>
      <w:r w:rsidRPr="00D423D7">
        <w:rPr>
          <w:sz w:val="20"/>
        </w:rPr>
        <w:t xml:space="preserve"> at 4816</w:t>
      </w:r>
      <w:r>
        <w:rPr>
          <w:sz w:val="20"/>
        </w:rPr>
        <w:t>–</w:t>
      </w:r>
      <w:r w:rsidRPr="00D423D7">
        <w:rPr>
          <w:sz w:val="20"/>
        </w:rPr>
        <w:t>17, para. 73</w:t>
      </w:r>
      <w:r w:rsidRPr="00D423D7">
        <w:rPr>
          <w:color w:val="231F20"/>
          <w:sz w:val="20"/>
        </w:rPr>
        <w:t>.</w:t>
      </w:r>
    </w:p>
  </w:footnote>
  <w:footnote w:id="85">
    <w:p w:rsidR="00A40FA9" w:rsidRPr="00D423D7" w:rsidP="00A40FA9" w14:paraId="5A6E3715" w14:textId="77777777">
      <w:pPr>
        <w:pStyle w:val="FootnoteText"/>
      </w:pPr>
      <w:r w:rsidRPr="00D423D7">
        <w:rPr>
          <w:rStyle w:val="FootnoteReference"/>
        </w:rPr>
        <w:footnoteRef/>
      </w:r>
      <w:r w:rsidRPr="00D423D7">
        <w:t xml:space="preserve"> We base the coverage analysis on providers’ coverage data they submitted pursuant to the Broadband Data Collection for coverage as of June 30, 2025.  Broadband Deployment Accuracy and Technological Availability Act, Pub. L. No. 116-130, 134 Stat. 228 (2020) (codified at 47 U.S.C. §§ 641</w:t>
      </w:r>
      <w:r>
        <w:t>–</w:t>
      </w:r>
      <w:r w:rsidRPr="00D423D7">
        <w:t>646) (Broadband DATA Act); 47 U.S.C. §</w:t>
      </w:r>
      <w:r>
        <w:t> </w:t>
      </w:r>
      <w:r w:rsidRPr="00D423D7">
        <w:t xml:space="preserve">642(a)(1)(A) (Broadband Data Collection).  </w:t>
      </w:r>
    </w:p>
  </w:footnote>
  <w:footnote w:id="86">
    <w:p w:rsidR="00A40FA9" w:rsidRPr="00D423D7" w:rsidP="00A40FA9" w14:paraId="5143F5F9" w14:textId="77777777">
      <w:pPr>
        <w:spacing w:after="120"/>
        <w:rPr>
          <w:rFonts w:eastAsia="Calibri"/>
          <w:color w:val="010101"/>
          <w:sz w:val="20"/>
        </w:rPr>
      </w:pPr>
      <w:r w:rsidRPr="00D423D7">
        <w:rPr>
          <w:rStyle w:val="FootnoteReference"/>
        </w:rPr>
        <w:footnoteRef/>
      </w:r>
      <w:r w:rsidRPr="00D423D7">
        <w:rPr>
          <w:sz w:val="20"/>
        </w:rPr>
        <w:t xml:space="preserve"> We base providers’ market shares on June 2025 Numbering Resource Utilization/Forecast (NRUF) data, which </w:t>
      </w:r>
      <w:r w:rsidRPr="00D423D7">
        <w:rPr>
          <w:rFonts w:eastAsia="Calibri"/>
          <w:color w:val="010101"/>
          <w:sz w:val="20"/>
        </w:rPr>
        <w:t>indicate the number of phone numbers that a wireless service provider has been assigned in a particular rate center (</w:t>
      </w:r>
      <w:r w:rsidRPr="00D423D7">
        <w:rPr>
          <w:sz w:val="20"/>
        </w:rPr>
        <w:t>there are approximately 18,000 rate centers in the country)</w:t>
      </w:r>
      <w:r w:rsidRPr="00D423D7">
        <w:rPr>
          <w:rFonts w:eastAsia="Calibri"/>
          <w:color w:val="010101"/>
          <w:sz w:val="20"/>
        </w:rPr>
        <w:t xml:space="preserve">.  </w:t>
      </w:r>
      <w:r w:rsidRPr="00D423D7">
        <w:rPr>
          <w:rFonts w:eastAsia="Calibri"/>
          <w:i/>
          <w:color w:val="010101"/>
          <w:sz w:val="20"/>
        </w:rPr>
        <w:t>See</w:t>
      </w:r>
      <w:r w:rsidRPr="00D423D7">
        <w:rPr>
          <w:rFonts w:eastAsia="Calibri"/>
          <w:color w:val="010101"/>
          <w:sz w:val="20"/>
        </w:rPr>
        <w:t xml:space="preserve"> 47 CFR § 52.15(e)(5).  Rate centers are geographic areas used by local exchange carriers for a variety of reasons, including the determination of toll rates.  </w:t>
      </w:r>
      <w:r w:rsidRPr="00D423D7">
        <w:rPr>
          <w:i/>
          <w:sz w:val="20"/>
        </w:rPr>
        <w:t>2024 Communications Marketplace Report</w:t>
      </w:r>
      <w:r w:rsidRPr="00D423D7">
        <w:rPr>
          <w:iCs/>
          <w:sz w:val="20"/>
        </w:rPr>
        <w:t xml:space="preserve">, 39 FCC </w:t>
      </w:r>
      <w:r w:rsidRPr="00D423D7">
        <w:rPr>
          <w:iCs/>
          <w:sz w:val="20"/>
        </w:rPr>
        <w:t>Rcd</w:t>
      </w:r>
      <w:r w:rsidRPr="00D423D7">
        <w:rPr>
          <w:sz w:val="20"/>
        </w:rPr>
        <w:t xml:space="preserve"> at 14162</w:t>
      </w:r>
      <w:r>
        <w:rPr>
          <w:sz w:val="20"/>
        </w:rPr>
        <w:t>–</w:t>
      </w:r>
      <w:r w:rsidRPr="00D423D7">
        <w:rPr>
          <w:sz w:val="20"/>
        </w:rPr>
        <w:t>63, para. 59 &amp; n.156</w:t>
      </w:r>
      <w:r w:rsidRPr="00D423D7">
        <w:rPr>
          <w:rFonts w:eastAsia="Calibri"/>
          <w:color w:val="010101"/>
          <w:sz w:val="20"/>
        </w:rPr>
        <w:t>.  We calculate the total number of wireless subscribers from the total number of assigned phone numbers reported by wireless service providers in their required NRUF reports.</w:t>
      </w:r>
      <w:r w:rsidRPr="00D423D7">
        <w:rPr>
          <w:rFonts w:eastAsia="Calibri"/>
          <w:color w:val="010101"/>
          <w:sz w:val="20"/>
        </w:rPr>
        <w:t xml:space="preserve"> </w:t>
      </w:r>
      <w:r w:rsidRPr="00D423D7">
        <w:rPr>
          <w:rFonts w:eastAsia="Calibri"/>
          <w:color w:val="010101"/>
          <w:sz w:val="20"/>
        </w:rPr>
        <w:t xml:space="preserve"> For purposes of geographical analysis, the rate center data can be associated with a geographic point, and all points that fall within a county boundary can be aggregated together and associated with much larger geographic areas based on counties.  We note that the a</w:t>
      </w:r>
      <w:r w:rsidRPr="00D423D7">
        <w:rPr>
          <w:sz w:val="20"/>
        </w:rPr>
        <w:t>ggregation to larger geographic areas, such as to whole counties or groups of counties, reduces the level of inaccuracy inherent in combining non-coterminous areas, such as rate center areas and counties.</w:t>
      </w:r>
    </w:p>
  </w:footnote>
  <w:footnote w:id="87">
    <w:p w:rsidR="00A40FA9" w:rsidRPr="00D423D7" w:rsidP="00A40FA9" w14:paraId="37402707" w14:textId="77777777">
      <w:pPr>
        <w:pStyle w:val="FootnoteText"/>
      </w:pPr>
      <w:r w:rsidRPr="00D423D7">
        <w:rPr>
          <w:rStyle w:val="FootnoteReference"/>
        </w:rPr>
        <w:footnoteRef/>
      </w:r>
      <w:r>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1062</w:t>
      </w:r>
      <w:r>
        <w:t>0–2</w:t>
      </w:r>
      <w:r w:rsidRPr="00D423D7">
        <w:t>1, para. 10</w:t>
      </w:r>
      <w:r>
        <w:t>1</w:t>
      </w:r>
      <w:r w:rsidRPr="00D423D7">
        <w:t xml:space="preserve">; </w:t>
      </w:r>
      <w:r w:rsidRPr="00D423D7">
        <w:rPr>
          <w:i/>
          <w:iCs/>
        </w:rPr>
        <w:t>AT&amp;T-Array Order</w:t>
      </w:r>
      <w:r w:rsidRPr="00D423D7">
        <w:t xml:space="preserve"> at 14</w:t>
      </w:r>
      <w:r>
        <w:t>–</w:t>
      </w:r>
      <w:r w:rsidRPr="00D423D7">
        <w:t xml:space="preserve">15, para. 26; </w:t>
      </w:r>
      <w:r w:rsidRPr="00D423D7">
        <w:rPr>
          <w:i/>
          <w:iCs/>
        </w:rPr>
        <w:t>T</w:t>
      </w:r>
      <w:r>
        <w:rPr>
          <w:i/>
          <w:iCs/>
        </w:rPr>
        <w:noBreakHyphen/>
      </w:r>
      <w:r w:rsidRPr="00D423D7">
        <w:rPr>
          <w:i/>
          <w:iCs/>
        </w:rPr>
        <w:t>Mobile-</w:t>
      </w:r>
      <w:r w:rsidRPr="00D423D7">
        <w:rPr>
          <w:i/>
          <w:iCs/>
        </w:rPr>
        <w:t>UScellular</w:t>
      </w:r>
      <w:r w:rsidRPr="00D423D7">
        <w:rPr>
          <w:i/>
          <w:iCs/>
        </w:rPr>
        <w:t xml:space="preserve"> Order</w:t>
      </w:r>
      <w:r w:rsidRPr="00D423D7">
        <w:t xml:space="preserve">, 40 FCC </w:t>
      </w:r>
      <w:r w:rsidRPr="00D423D7">
        <w:t>Rcd</w:t>
      </w:r>
      <w:r w:rsidRPr="00D423D7">
        <w:t xml:space="preserve"> at 4816</w:t>
      </w:r>
      <w:r>
        <w:t>–</w:t>
      </w:r>
      <w:r w:rsidRPr="00D423D7">
        <w:t>17, para. 73</w:t>
      </w:r>
      <w:r w:rsidRPr="00D423D7">
        <w:rPr>
          <w:color w:val="231F20"/>
        </w:rPr>
        <w:t>.</w:t>
      </w:r>
    </w:p>
  </w:footnote>
  <w:footnote w:id="88">
    <w:p w:rsidR="00A40FA9" w:rsidRPr="00D423D7" w:rsidP="00A40FA9" w14:paraId="3325FBA7" w14:textId="77777777">
      <w:pPr>
        <w:pStyle w:val="FootnoteText"/>
      </w:pPr>
      <w:r w:rsidRPr="00212FDB">
        <w:rPr>
          <w:rStyle w:val="FootnoteReference"/>
        </w:rPr>
        <w:footnoteRef/>
      </w:r>
      <w:r w:rsidRPr="00D423D7">
        <w:t xml:space="preserve"> Public Interest Statement at 1, </w:t>
      </w:r>
      <w:r w:rsidRPr="00D423D7">
        <w:t>Exh</w:t>
      </w:r>
      <w:r w:rsidRPr="00D423D7">
        <w:t>. 3 (Wireless Competition).</w:t>
      </w:r>
    </w:p>
  </w:footnote>
  <w:footnote w:id="89">
    <w:p w:rsidR="00A40FA9" w:rsidRPr="00D423D7" w:rsidP="00A40FA9" w14:paraId="533413C7" w14:textId="77777777">
      <w:pPr>
        <w:pStyle w:val="FootnoteText"/>
      </w:pPr>
      <w:r w:rsidRPr="00212FDB">
        <w:rPr>
          <w:rStyle w:val="FootnoteReference"/>
        </w:rPr>
        <w:footnoteRef/>
      </w:r>
      <w:r w:rsidRPr="00D423D7">
        <w:t xml:space="preserve"> Staff analysis of June 2025 Broadband Data Collection data.</w:t>
      </w:r>
    </w:p>
  </w:footnote>
  <w:footnote w:id="90">
    <w:p w:rsidR="00A40FA9" w:rsidRPr="00D423D7" w:rsidP="00A40FA9" w14:paraId="0FE79888" w14:textId="77777777">
      <w:pPr>
        <w:pStyle w:val="FootnoteText"/>
      </w:pPr>
      <w:r w:rsidRPr="00212FDB">
        <w:rPr>
          <w:rStyle w:val="FootnoteReference"/>
        </w:rPr>
        <w:footnoteRef/>
      </w:r>
      <w:r w:rsidRPr="00D423D7">
        <w:t xml:space="preserve"> In CMA 505 (Missouri 2 – Harrison), AT&amp;T has a significant market share, and in CMA 534 (Nebraska 2 – Cherry), T-Mobile and Viaero Wireless have significant market shares and AT&amp;T has some market presence. </w:t>
      </w:r>
    </w:p>
  </w:footnote>
  <w:footnote w:id="91">
    <w:p w:rsidR="00A40FA9" w:rsidRPr="00D423D7" w:rsidP="00A40FA9" w14:paraId="42D347B6" w14:textId="77777777">
      <w:pPr>
        <w:pStyle w:val="FootnoteText"/>
      </w:pPr>
      <w:r w:rsidRPr="00212FDB">
        <w:rPr>
          <w:rStyle w:val="FootnoteReference"/>
        </w:rPr>
        <w:footnoteRef/>
      </w:r>
      <w:r w:rsidRPr="00D423D7">
        <w:t xml:space="preserve"> </w:t>
      </w:r>
      <w:r w:rsidRPr="00D423D7">
        <w:t>RWA Petition</w:t>
      </w:r>
      <w:r>
        <w:t xml:space="preserve"> to Deny</w:t>
      </w:r>
      <w:r w:rsidRPr="00D423D7">
        <w:t xml:space="preserve"> at 9</w:t>
      </w:r>
      <w:r>
        <w:t>–</w:t>
      </w:r>
      <w:r w:rsidRPr="00D423D7">
        <w:t>10, 15</w:t>
      </w:r>
      <w:r>
        <w:t>;</w:t>
      </w:r>
      <w:r>
        <w:t xml:space="preserve"> </w:t>
      </w:r>
      <w:r w:rsidRPr="007348C0">
        <w:rPr>
          <w:i/>
          <w:iCs/>
        </w:rPr>
        <w:t>see also</w:t>
      </w:r>
      <w:r>
        <w:t xml:space="preserve"> </w:t>
      </w:r>
      <w:r w:rsidRPr="00D423D7">
        <w:t>Public Knowledge et al. Petition to Deny at</w:t>
      </w:r>
      <w:r>
        <w:t xml:space="preserve"> 7–9; </w:t>
      </w:r>
      <w:r w:rsidRPr="00A95808">
        <w:t>Coalition Filers July 18</w:t>
      </w:r>
      <w:r w:rsidRPr="00A95808">
        <w:rPr>
          <w:i/>
          <w:iCs/>
        </w:rPr>
        <w:t xml:space="preserve"> Ex </w:t>
      </w:r>
      <w:r w:rsidRPr="00A95808">
        <w:rPr>
          <w:i/>
          <w:iCs/>
        </w:rPr>
        <w:t>Parte</w:t>
      </w:r>
      <w:r w:rsidRPr="00A95808">
        <w:rPr>
          <w:i/>
          <w:iCs/>
        </w:rPr>
        <w:t xml:space="preserve"> </w:t>
      </w:r>
      <w:r w:rsidRPr="00D101B5">
        <w:t xml:space="preserve">Letter </w:t>
      </w:r>
      <w:r w:rsidRPr="00A95808">
        <w:t xml:space="preserve">at </w:t>
      </w:r>
      <w:r>
        <w:t>2–3.</w:t>
      </w:r>
    </w:p>
  </w:footnote>
  <w:footnote w:id="92">
    <w:p w:rsidR="00A40FA9" w:rsidRPr="00D423D7" w:rsidP="00A40FA9" w14:paraId="3E72F4B3" w14:textId="77777777">
      <w:pPr>
        <w:pStyle w:val="FootnoteText"/>
      </w:pPr>
      <w:r w:rsidRPr="00212FDB">
        <w:rPr>
          <w:rStyle w:val="FootnoteReference"/>
        </w:rPr>
        <w:footnoteRef/>
      </w:r>
      <w:r w:rsidRPr="00D423D7">
        <w:t xml:space="preserve"> </w:t>
      </w:r>
      <w:r w:rsidRPr="00D423D7">
        <w:t>RWA Petition</w:t>
      </w:r>
      <w:r>
        <w:t xml:space="preserve"> to Deny</w:t>
      </w:r>
      <w:r w:rsidRPr="00D423D7">
        <w:t xml:space="preserve"> at 2, 5</w:t>
      </w:r>
      <w:r>
        <w:t>–</w:t>
      </w:r>
      <w:r w:rsidRPr="00D423D7">
        <w:t>6</w:t>
      </w:r>
      <w:r>
        <w:t xml:space="preserve">, 11–13; </w:t>
      </w:r>
      <w:r w:rsidRPr="00E95409">
        <w:rPr>
          <w:i/>
          <w:iCs/>
        </w:rPr>
        <w:t>see also</w:t>
      </w:r>
      <w:r>
        <w:t xml:space="preserve"> </w:t>
      </w:r>
      <w:r w:rsidRPr="00D423D7">
        <w:t>Public Knowledge et al. Petition to Deny at</w:t>
      </w:r>
      <w:r>
        <w:t xml:space="preserve"> 9–12</w:t>
      </w:r>
      <w:r w:rsidRPr="00D423D7">
        <w:t>.</w:t>
      </w:r>
      <w:r>
        <w:t xml:space="preserve">  </w:t>
      </w:r>
    </w:p>
  </w:footnote>
  <w:footnote w:id="93">
    <w:p w:rsidR="00A40FA9" w:rsidRPr="00D423D7" w:rsidP="00A40FA9" w14:paraId="5B2239DD" w14:textId="77777777">
      <w:pPr>
        <w:pStyle w:val="FootnoteText"/>
      </w:pPr>
      <w:r w:rsidRPr="00212FDB">
        <w:rPr>
          <w:rStyle w:val="FootnoteReference"/>
        </w:rPr>
        <w:footnoteRef/>
      </w:r>
      <w:r w:rsidRPr="00D423D7">
        <w:t xml:space="preserve"> RWA Petition to Deny at 4</w:t>
      </w:r>
      <w:r>
        <w:t>–</w:t>
      </w:r>
      <w:r w:rsidRPr="00D423D7">
        <w:t>6</w:t>
      </w:r>
      <w:r>
        <w:t>, 11–13</w:t>
      </w:r>
      <w:r w:rsidRPr="00B12A5B">
        <w:t xml:space="preserve">; </w:t>
      </w:r>
      <w:r w:rsidRPr="00B12A5B">
        <w:rPr>
          <w:i/>
          <w:iCs/>
        </w:rPr>
        <w:t>see also</w:t>
      </w:r>
      <w:r w:rsidRPr="00B12A5B">
        <w:t xml:space="preserve"> Nsight May 8</w:t>
      </w:r>
      <w:r w:rsidRPr="00B12A5B">
        <w:rPr>
          <w:i/>
          <w:iCs/>
        </w:rPr>
        <w:t xml:space="preserve"> Ex </w:t>
      </w:r>
      <w:r w:rsidRPr="00B12A5B">
        <w:rPr>
          <w:i/>
          <w:iCs/>
        </w:rPr>
        <w:t>Parte</w:t>
      </w:r>
      <w:r w:rsidRPr="00B12A5B">
        <w:t xml:space="preserve"> Letter at 1, Attach. at 6-7.</w:t>
      </w:r>
      <w:r w:rsidRPr="00D423D7">
        <w:t xml:space="preserve">  RWA further argues that rural carriers were not given the opportunity to acquire the subject spectrum licenses in their service area(s).  RWA Petition to Deny at 6</w:t>
      </w:r>
      <w:r>
        <w:t xml:space="preserve">; RWA Reply at 9; </w:t>
      </w:r>
      <w:r w:rsidRPr="005F7046">
        <w:rPr>
          <w:i/>
        </w:rPr>
        <w:t>see also</w:t>
      </w:r>
      <w:r>
        <w:t xml:space="preserve"> </w:t>
      </w:r>
      <w:r w:rsidRPr="00D423D7">
        <w:t>Coalition Filers July 3</w:t>
      </w:r>
      <w:r w:rsidRPr="00D423D7">
        <w:rPr>
          <w:i/>
          <w:iCs/>
        </w:rPr>
        <w:t xml:space="preserve"> Ex </w:t>
      </w:r>
      <w:r w:rsidRPr="00D423D7">
        <w:rPr>
          <w:i/>
          <w:iCs/>
        </w:rPr>
        <w:t>Parte</w:t>
      </w:r>
      <w:r w:rsidRPr="00D423D7">
        <w:rPr>
          <w:i/>
          <w:iCs/>
        </w:rPr>
        <w:t xml:space="preserve"> </w:t>
      </w:r>
      <w:r w:rsidRPr="00A41E37">
        <w:t xml:space="preserve">Letter </w:t>
      </w:r>
      <w:r w:rsidRPr="00D423D7">
        <w:t>at 1</w:t>
      </w:r>
      <w:r>
        <w:t xml:space="preserve">–2; </w:t>
      </w:r>
      <w:r w:rsidRPr="00D423D7">
        <w:t>RWA et al. Aug. 7</w:t>
      </w:r>
      <w:r w:rsidRPr="00D423D7">
        <w:rPr>
          <w:i/>
          <w:iCs/>
        </w:rPr>
        <w:t xml:space="preserve"> Ex </w:t>
      </w:r>
      <w:r w:rsidRPr="00D423D7">
        <w:rPr>
          <w:i/>
          <w:iCs/>
        </w:rPr>
        <w:t>Parte</w:t>
      </w:r>
      <w:r w:rsidRPr="00D423D7">
        <w:rPr>
          <w:i/>
          <w:iCs/>
        </w:rPr>
        <w:t xml:space="preserve"> </w:t>
      </w:r>
      <w:r w:rsidRPr="0042772E">
        <w:t>Letter</w:t>
      </w:r>
      <w:r w:rsidRPr="002C6EC4">
        <w:t xml:space="preserve"> </w:t>
      </w:r>
      <w:r w:rsidRPr="00D423D7">
        <w:t>at 1</w:t>
      </w:r>
      <w:r>
        <w:t>–</w:t>
      </w:r>
      <w:r w:rsidRPr="00D423D7">
        <w:t>2</w:t>
      </w:r>
      <w:r>
        <w:t xml:space="preserve">.  However, as noted in </w:t>
      </w:r>
      <w:r w:rsidRPr="00B17DCB">
        <w:t xml:space="preserve">the </w:t>
      </w:r>
      <w:r w:rsidRPr="00A67E53">
        <w:rPr>
          <w:i/>
          <w:iCs/>
        </w:rPr>
        <w:t>T-Mobile-</w:t>
      </w:r>
      <w:r w:rsidRPr="00A67E53">
        <w:rPr>
          <w:i/>
          <w:iCs/>
        </w:rPr>
        <w:t>UScellular</w:t>
      </w:r>
      <w:r w:rsidRPr="00A67E53">
        <w:rPr>
          <w:i/>
          <w:iCs/>
        </w:rPr>
        <w:t xml:space="preserve"> Order</w:t>
      </w:r>
      <w:r>
        <w:t xml:space="preserve">, </w:t>
      </w:r>
      <w:r w:rsidRPr="00B17DCB">
        <w:t>UScellular’s</w:t>
      </w:r>
      <w:r w:rsidRPr="00B17DCB">
        <w:t xml:space="preserve"> spectrum transactions involved five different, unrelated buyers including smaller providers</w:t>
      </w:r>
      <w:r>
        <w:t xml:space="preserve"> and there was no indication that TDS or </w:t>
      </w:r>
      <w:r>
        <w:t>UScellular</w:t>
      </w:r>
      <w:r>
        <w:t xml:space="preserve"> sought to exclude any providers from the publicly announced process undertaken beginning in 2023</w:t>
      </w:r>
      <w:r w:rsidRPr="00B17DCB">
        <w:t xml:space="preserve">.  </w:t>
      </w:r>
      <w:r w:rsidRPr="00D423D7">
        <w:rPr>
          <w:i/>
          <w:iCs/>
        </w:rPr>
        <w:t xml:space="preserve">See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t xml:space="preserve"> at 4791</w:t>
      </w:r>
      <w:r>
        <w:t>–</w:t>
      </w:r>
      <w:r w:rsidRPr="00D423D7">
        <w:t>93, paras. 24</w:t>
      </w:r>
      <w:r>
        <w:t>–</w:t>
      </w:r>
      <w:r w:rsidRPr="00D423D7">
        <w:t>2</w:t>
      </w:r>
      <w:r>
        <w:t>7</w:t>
      </w:r>
      <w:r w:rsidRPr="00D423D7">
        <w:t>.</w:t>
      </w:r>
    </w:p>
  </w:footnote>
  <w:footnote w:id="94">
    <w:p w:rsidR="00A40FA9" w:rsidP="00A40FA9" w14:paraId="4B12AE06" w14:textId="77777777">
      <w:pPr>
        <w:pStyle w:val="FootnoteText"/>
      </w:pPr>
      <w:r w:rsidRPr="00212FDB">
        <w:rPr>
          <w:rStyle w:val="FootnoteReference"/>
        </w:rPr>
        <w:footnoteRef/>
      </w:r>
      <w:r>
        <w:t xml:space="preserve"> </w:t>
      </w:r>
      <w:r w:rsidRPr="007C0B21">
        <w:t xml:space="preserve">We disagree with RWA’s characterization of the competitive effects of the instant transaction.  </w:t>
      </w:r>
      <w:r>
        <w:t>RWA Petition to Deny</w:t>
      </w:r>
      <w:r w:rsidRPr="007C0B21">
        <w:t xml:space="preserve"> at 4</w:t>
      </w:r>
      <w:r>
        <w:t>–</w:t>
      </w:r>
      <w:r w:rsidRPr="007C0B21">
        <w:t>6</w:t>
      </w:r>
      <w:r>
        <w:t xml:space="preserve">; RWA Reply at  6–8; </w:t>
      </w:r>
      <w:r w:rsidRPr="00D423D7">
        <w:t>Coalition Filers July 3</w:t>
      </w:r>
      <w:r w:rsidRPr="00D423D7">
        <w:rPr>
          <w:i/>
          <w:iCs/>
        </w:rPr>
        <w:t xml:space="preserve"> Ex </w:t>
      </w:r>
      <w:r w:rsidRPr="00D423D7">
        <w:rPr>
          <w:i/>
          <w:iCs/>
        </w:rPr>
        <w:t>Parte</w:t>
      </w:r>
      <w:r w:rsidRPr="00D423D7">
        <w:rPr>
          <w:i/>
          <w:iCs/>
        </w:rPr>
        <w:t xml:space="preserve"> </w:t>
      </w:r>
      <w:r w:rsidRPr="00A41E37">
        <w:t xml:space="preserve">Letter </w:t>
      </w:r>
      <w:r w:rsidRPr="00D423D7">
        <w:t xml:space="preserve">at </w:t>
      </w:r>
      <w:r>
        <w:t>3–</w:t>
      </w:r>
      <w:r w:rsidRPr="00D423D7">
        <w:t>4</w:t>
      </w:r>
      <w:r>
        <w:t xml:space="preserve">; </w:t>
      </w:r>
      <w:r w:rsidRPr="00481BED">
        <w:t>Coalition Filers July 18</w:t>
      </w:r>
      <w:r w:rsidRPr="00481BED">
        <w:rPr>
          <w:i/>
          <w:iCs/>
        </w:rPr>
        <w:t xml:space="preserve"> Ex </w:t>
      </w:r>
      <w:r w:rsidRPr="00481BED">
        <w:rPr>
          <w:i/>
          <w:iCs/>
        </w:rPr>
        <w:t>Parte</w:t>
      </w:r>
      <w:r w:rsidRPr="00481BED">
        <w:rPr>
          <w:i/>
          <w:iCs/>
        </w:rPr>
        <w:t xml:space="preserve"> </w:t>
      </w:r>
      <w:r w:rsidRPr="00A41E37">
        <w:t>Letter</w:t>
      </w:r>
      <w:r w:rsidRPr="00481BED">
        <w:rPr>
          <w:i/>
          <w:iCs/>
        </w:rPr>
        <w:t xml:space="preserve"> </w:t>
      </w:r>
      <w:r w:rsidRPr="00481BED">
        <w:t xml:space="preserve">at </w:t>
      </w:r>
      <w:r>
        <w:t>3</w:t>
      </w:r>
      <w:r w:rsidRPr="00481BED">
        <w:t>.</w:t>
      </w:r>
      <w:r>
        <w:t xml:space="preserve"> </w:t>
      </w:r>
      <w:r>
        <w:t xml:space="preserve"> </w:t>
      </w:r>
      <w:r>
        <w:t>Although RWA’s Petition points to the lapse of the Commission’s auction authority and lack of a spectrum pipeline as a basis for its arguments about competitive effects, we note that the Commission’s general auction authority has since been re-instituted through the One Big Beautiful Bill Act.  RWA Petition to Deny at 4 (discussing the Commission’s lapse of auction authority and the lack of a spectrum pipeline); Pub. L. No. 119-21, § 40002(b)(2), 139 Stat. 72 (2025) (OBBB Act).  We agree with the Applicants that the Petitioners fail to identify</w:t>
      </w:r>
      <w:r w:rsidRPr="0016075E">
        <w:t xml:space="preserve"> a single anticompetitive effect in a</w:t>
      </w:r>
      <w:r>
        <w:t xml:space="preserve">ny </w:t>
      </w:r>
      <w:r w:rsidRPr="0016075E">
        <w:t>local market</w:t>
      </w:r>
      <w:r>
        <w:t xml:space="preserve"> as a result of this spectrum assignment.  RWA Petition to Deny at 4–11; Public Knowledge </w:t>
      </w:r>
      <w:r w:rsidRPr="001F076C">
        <w:t>et al. Petition to Deny</w:t>
      </w:r>
      <w:r>
        <w:t xml:space="preserve"> at 7–17.  Further, we disagree with Public Knowledge that Verizon Wireless exceeding the low-band threshold in this case results in competitive harm.  Public Knowledge </w:t>
      </w:r>
      <w:r w:rsidRPr="00642D65">
        <w:t xml:space="preserve">et al. Petition to Deny </w:t>
      </w:r>
      <w:r>
        <w:t xml:space="preserve">at 13–14.  Lastly, we note that our analysis is consistent with precedent.  </w:t>
      </w:r>
      <w:r w:rsidRPr="00642889">
        <w:rPr>
          <w:i/>
        </w:rPr>
        <w:t>See</w:t>
      </w:r>
      <w:r w:rsidRPr="003057D9">
        <w:rPr>
          <w:i/>
        </w:rPr>
        <w:t>,</w:t>
      </w:r>
      <w:r w:rsidRPr="00642889">
        <w:rPr>
          <w:i/>
        </w:rPr>
        <w:t xml:space="preserve"> e.g.</w:t>
      </w:r>
      <w:r>
        <w:t xml:space="preserve">, </w:t>
      </w:r>
      <w:r w:rsidRPr="00642889">
        <w:rPr>
          <w:i/>
        </w:rPr>
        <w:t>T-Mobile-Sprint Order</w:t>
      </w:r>
      <w:r>
        <w:t xml:space="preserve">, </w:t>
      </w:r>
      <w:r w:rsidRPr="008F4894">
        <w:t xml:space="preserve">34 FCC </w:t>
      </w:r>
      <w:r w:rsidRPr="008F4894">
        <w:t>Rcd</w:t>
      </w:r>
      <w:r>
        <w:t xml:space="preserve"> at 10620–21, paras. 101–02 &amp; n.329; </w:t>
      </w:r>
      <w:r w:rsidRPr="00642889">
        <w:rPr>
          <w:i/>
        </w:rPr>
        <w:t>T-Mobile-HTC Order</w:t>
      </w:r>
      <w:r>
        <w:t xml:space="preserve">, </w:t>
      </w:r>
      <w:r w:rsidRPr="008D14B9">
        <w:t xml:space="preserve">39 FCC </w:t>
      </w:r>
      <w:r w:rsidRPr="008D14B9">
        <w:t>Rcd</w:t>
      </w:r>
      <w:r>
        <w:t xml:space="preserve"> at 10728, para. 41; </w:t>
      </w:r>
      <w:r w:rsidRPr="00D423D7">
        <w:rPr>
          <w:i/>
          <w:iCs/>
        </w:rPr>
        <w:t>AT&amp;T-Array Order</w:t>
      </w:r>
      <w:r>
        <w:t xml:space="preserve"> at</w:t>
      </w:r>
      <w:r w:rsidRPr="00D423D7">
        <w:t xml:space="preserve"> </w:t>
      </w:r>
      <w:r>
        <w:t>27</w:t>
      </w:r>
      <w:r w:rsidRPr="00D423D7">
        <w:t>, para.</w:t>
      </w:r>
      <w:r>
        <w:t xml:space="preserve"> 59</w:t>
      </w:r>
      <w:r w:rsidRPr="00D423D7">
        <w:t>.</w:t>
      </w:r>
    </w:p>
  </w:footnote>
  <w:footnote w:id="95">
    <w:p w:rsidR="00A40FA9" w:rsidRPr="00D423D7" w:rsidP="00A40FA9" w14:paraId="26AAF4BF" w14:textId="77777777">
      <w:pPr>
        <w:pStyle w:val="FootnoteText"/>
      </w:pPr>
      <w:r w:rsidRPr="00212FDB">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RWA Petition to Deny at 10</w:t>
      </w:r>
      <w:r>
        <w:t>–</w:t>
      </w:r>
      <w:r w:rsidRPr="00D423D7">
        <w:t xml:space="preserve">11 (arguing that the exit of </w:t>
      </w:r>
      <w:r w:rsidRPr="00D423D7">
        <w:t>UScellular</w:t>
      </w:r>
      <w:r w:rsidRPr="00D423D7">
        <w:t xml:space="preserve"> “removes a vital advocate for rural and regional interoperability and technological parity” and that, without </w:t>
      </w:r>
      <w:r w:rsidRPr="00D423D7">
        <w:t>UScellular’s</w:t>
      </w:r>
      <w:r w:rsidRPr="00D423D7">
        <w:t xml:space="preserve"> presence, “rural carriers will face even greater difficulty in negotiating the implementation of needed technology transitions”); RWA Reply at 8</w:t>
      </w:r>
      <w:r>
        <w:t>–</w:t>
      </w:r>
      <w:r w:rsidRPr="00D423D7">
        <w:t xml:space="preserve">9 (arguing that the exit of </w:t>
      </w:r>
      <w:r w:rsidRPr="00D423D7">
        <w:t>UScellular</w:t>
      </w:r>
      <w:r w:rsidRPr="00D423D7">
        <w:t xml:space="preserve"> is relevant to the competitive analysis of the proposed transaction).  RWA also </w:t>
      </w:r>
      <w:r>
        <w:t>alleges that</w:t>
      </w:r>
      <w:r w:rsidRPr="00D423D7">
        <w:t xml:space="preserve"> the assignment of spectrum licenses under the proposed transaction would “effectively” eliminate Array and preclude other potential competitors from competing in the relevant markets.  RWA Reply at 7</w:t>
      </w:r>
      <w:r>
        <w:t xml:space="preserve">; </w:t>
      </w:r>
      <w:r w:rsidRPr="005F7046">
        <w:rPr>
          <w:i/>
        </w:rPr>
        <w:t>see also</w:t>
      </w:r>
      <w:r>
        <w:t xml:space="preserve"> </w:t>
      </w:r>
      <w:r w:rsidRPr="00D423D7">
        <w:t>RWA et al. Aug. 7</w:t>
      </w:r>
      <w:r w:rsidRPr="00D423D7">
        <w:rPr>
          <w:i/>
          <w:iCs/>
        </w:rPr>
        <w:t xml:space="preserve"> Ex </w:t>
      </w:r>
      <w:r w:rsidRPr="00D423D7">
        <w:rPr>
          <w:i/>
          <w:iCs/>
        </w:rPr>
        <w:t>Parte</w:t>
      </w:r>
      <w:r w:rsidRPr="00D423D7">
        <w:rPr>
          <w:i/>
          <w:iCs/>
        </w:rPr>
        <w:t xml:space="preserve"> </w:t>
      </w:r>
      <w:r w:rsidRPr="0042772E">
        <w:t>Letter</w:t>
      </w:r>
      <w:r w:rsidRPr="002C6EC4">
        <w:t xml:space="preserve"> </w:t>
      </w:r>
      <w:r w:rsidRPr="00D423D7">
        <w:t>at 1</w:t>
      </w:r>
      <w:r>
        <w:t>–</w:t>
      </w:r>
      <w:r w:rsidRPr="00D423D7">
        <w:t>2</w:t>
      </w:r>
      <w:r>
        <w:t xml:space="preserve">; </w:t>
      </w:r>
      <w:r w:rsidRPr="00A95808">
        <w:t>Coalition Filers July 18</w:t>
      </w:r>
      <w:r w:rsidRPr="00A95808">
        <w:rPr>
          <w:i/>
          <w:iCs/>
        </w:rPr>
        <w:t xml:space="preserve"> Ex </w:t>
      </w:r>
      <w:r w:rsidRPr="00A95808">
        <w:rPr>
          <w:i/>
          <w:iCs/>
        </w:rPr>
        <w:t>Parte</w:t>
      </w:r>
      <w:r w:rsidRPr="00A95808">
        <w:rPr>
          <w:i/>
          <w:iCs/>
        </w:rPr>
        <w:t xml:space="preserve"> </w:t>
      </w:r>
      <w:r w:rsidRPr="00F729EE">
        <w:t>Letter</w:t>
      </w:r>
      <w:r w:rsidRPr="00A95808">
        <w:rPr>
          <w:i/>
          <w:iCs/>
        </w:rPr>
        <w:t xml:space="preserve"> </w:t>
      </w:r>
      <w:r w:rsidRPr="00A95808">
        <w:t xml:space="preserve">at </w:t>
      </w:r>
      <w:r>
        <w:t>1–2</w:t>
      </w:r>
      <w:r w:rsidRPr="00D423D7">
        <w:t>.  We find these views unpersuasive as to</w:t>
      </w:r>
      <w:r w:rsidRPr="00D423D7">
        <w:t xml:space="preserve"> Array</w:t>
      </w:r>
      <w:r>
        <w:t>, which</w:t>
      </w:r>
      <w:r w:rsidRPr="00D423D7">
        <w:t xml:space="preserve"> </w:t>
      </w:r>
      <w:r w:rsidRPr="00D423D7">
        <w:rPr>
          <w:szCs w:val="22"/>
        </w:rPr>
        <w:t xml:space="preserve">does not </w:t>
      </w:r>
      <w:r w:rsidRPr="00D423D7">
        <w:rPr>
          <w:szCs w:val="22"/>
        </w:rPr>
        <w:t>provide</w:t>
      </w:r>
      <w:r w:rsidRPr="00D423D7">
        <w:rPr>
          <w:szCs w:val="22"/>
        </w:rPr>
        <w:t xml:space="preserve"> mobile wireless </w:t>
      </w:r>
      <w:r w:rsidRPr="00D423D7">
        <w:rPr>
          <w:szCs w:val="22"/>
        </w:rPr>
        <w:t>service</w:t>
      </w:r>
      <w:r w:rsidRPr="00D423D7">
        <w:t xml:space="preserve">.  TDS and </w:t>
      </w:r>
      <w:r w:rsidRPr="00D423D7">
        <w:t>UScellular</w:t>
      </w:r>
      <w:r w:rsidRPr="00D423D7">
        <w:t xml:space="preserve"> Aug. 1 News Release.  We also find these views unpersuasive as to other, hypothetical acquirers of the spectrum at issue.  </w:t>
      </w:r>
      <w:r w:rsidRPr="00D423D7">
        <w:rPr>
          <w:i/>
          <w:iCs/>
        </w:rPr>
        <w:t xml:space="preserve">See </w:t>
      </w:r>
      <w:r w:rsidRPr="00D423D7">
        <w:t>47 U.S.C. § 310(d) (</w:t>
      </w:r>
      <w:r>
        <w:t xml:space="preserve">in acting on an assignment application, </w:t>
      </w:r>
      <w:r w:rsidRPr="00D423D7">
        <w:t xml:space="preserve">we consider the </w:t>
      </w:r>
      <w:r>
        <w:t>proposal</w:t>
      </w:r>
      <w:r w:rsidRPr="00D423D7">
        <w:t xml:space="preserve"> before us</w:t>
      </w:r>
      <w:r>
        <w:t>, not other possible proposals</w:t>
      </w:r>
      <w:r w:rsidRPr="00D423D7">
        <w:t>).</w:t>
      </w:r>
    </w:p>
  </w:footnote>
  <w:footnote w:id="96">
    <w:p w:rsidR="00A40FA9" w:rsidRPr="00D423D7" w:rsidP="00A40FA9" w14:paraId="077C11B1" w14:textId="77777777">
      <w:pPr>
        <w:pStyle w:val="FootnoteText"/>
      </w:pPr>
      <w:r w:rsidRPr="00212FDB">
        <w:rPr>
          <w:rStyle w:val="FootnoteReference"/>
        </w:rPr>
        <w:footnoteRef/>
      </w:r>
      <w:r w:rsidRPr="00D423D7">
        <w:t xml:space="preserve"> </w:t>
      </w:r>
      <w:r w:rsidRPr="00D423D7">
        <w:rPr>
          <w:i/>
          <w:iCs/>
        </w:rPr>
        <w:t xml:space="preserve">See </w:t>
      </w:r>
      <w:r w:rsidRPr="00D423D7">
        <w:rPr>
          <w:i/>
        </w:rPr>
        <w:t>T-Mobile-</w:t>
      </w:r>
      <w:r w:rsidRPr="00D423D7">
        <w:rPr>
          <w:i/>
        </w:rPr>
        <w:t>UScellular</w:t>
      </w:r>
      <w:r w:rsidRPr="00D423D7">
        <w:rPr>
          <w:i/>
        </w:rPr>
        <w:t xml:space="preserve"> Order</w:t>
      </w:r>
      <w:r w:rsidRPr="00D423D7">
        <w:rPr>
          <w:iCs/>
        </w:rPr>
        <w:t xml:space="preserve">, 40 FCC </w:t>
      </w:r>
      <w:r w:rsidRPr="00D423D7">
        <w:rPr>
          <w:iCs/>
        </w:rPr>
        <w:t>Rcd</w:t>
      </w:r>
      <w:r w:rsidRPr="00D423D7">
        <w:t xml:space="preserve"> at 4791</w:t>
      </w:r>
      <w:r>
        <w:t>–</w:t>
      </w:r>
      <w:r w:rsidRPr="00D423D7">
        <w:t>93, paras. 24</w:t>
      </w:r>
      <w:r>
        <w:t>–</w:t>
      </w:r>
      <w:r w:rsidRPr="00D423D7">
        <w:t xml:space="preserve">27, 29.  The </w:t>
      </w:r>
      <w:r w:rsidRPr="00D423D7">
        <w:rPr>
          <w:i/>
          <w:iCs/>
        </w:rPr>
        <w:t>T-Mobile-</w:t>
      </w:r>
      <w:r w:rsidRPr="00D423D7">
        <w:rPr>
          <w:i/>
          <w:iCs/>
        </w:rPr>
        <w:t>UScellular</w:t>
      </w:r>
      <w:r w:rsidRPr="00D423D7">
        <w:rPr>
          <w:i/>
          <w:iCs/>
        </w:rPr>
        <w:t xml:space="preserve"> Order</w:t>
      </w:r>
      <w:r w:rsidRPr="00D423D7">
        <w:t xml:space="preserve"> addressed and rejected Petitioners’ arguments on consolidation of the proceedings, allegations of a coordinated strategy, and the exit of </w:t>
      </w:r>
      <w:r w:rsidRPr="00D423D7">
        <w:t>UScellular</w:t>
      </w:r>
      <w:r w:rsidRPr="00D423D7">
        <w:t>.</w:t>
      </w:r>
      <w:r>
        <w:t xml:space="preserve">  </w:t>
      </w:r>
    </w:p>
  </w:footnote>
  <w:footnote w:id="97">
    <w:p w:rsidR="00A40FA9" w:rsidRPr="00D423D7" w:rsidP="00A40FA9" w14:paraId="3DBF5FA9" w14:textId="77777777">
      <w:pPr>
        <w:pStyle w:val="FootnoteText"/>
      </w:pPr>
      <w:r w:rsidRPr="00212FDB">
        <w:rPr>
          <w:rStyle w:val="FootnoteReference"/>
        </w:rPr>
        <w:footnoteRef/>
      </w:r>
      <w:r w:rsidRPr="00D423D7">
        <w:t xml:space="preserve"> We agree with the Applicants that requests for remedies related to former transactions have no place in the instant proceeding and that Petitioners offer no new analysis to the generalized claims of harm.  Joint Opposition at 8</w:t>
      </w:r>
      <w:r>
        <w:t>–</w:t>
      </w:r>
      <w:r w:rsidRPr="00D423D7">
        <w:t>11 &amp; n.31</w:t>
      </w:r>
      <w:r>
        <w:t xml:space="preserve">; </w:t>
      </w:r>
      <w:r>
        <w:rPr>
          <w:i/>
        </w:rPr>
        <w:t>s</w:t>
      </w:r>
      <w:r w:rsidRPr="009A63B3">
        <w:rPr>
          <w:i/>
        </w:rPr>
        <w:t>ee</w:t>
      </w:r>
      <w:r>
        <w:rPr>
          <w:i/>
        </w:rPr>
        <w:t xml:space="preserve"> also</w:t>
      </w:r>
      <w:r w:rsidRPr="003057D9">
        <w:rPr>
          <w:i/>
        </w:rPr>
        <w:t>,</w:t>
      </w:r>
      <w:r w:rsidRPr="009A63B3">
        <w:rPr>
          <w:i/>
        </w:rPr>
        <w:t xml:space="preserve"> e.g.</w:t>
      </w:r>
      <w:r w:rsidRPr="00BA73C2">
        <w:t>, Public Knowledge et al. Petition to Deny at 9</w:t>
      </w:r>
      <w:r>
        <w:t>–</w:t>
      </w:r>
      <w:r w:rsidRPr="00BA73C2">
        <w:t>10 (arguing that the transaction results in competitive harm for 10</w:t>
      </w:r>
      <w:r>
        <w:t>%</w:t>
      </w:r>
      <w:r w:rsidRPr="00BA73C2">
        <w:t xml:space="preserve"> to 12</w:t>
      </w:r>
      <w:r>
        <w:t>%</w:t>
      </w:r>
      <w:r w:rsidRPr="00BA73C2">
        <w:t xml:space="preserve"> of the U.S. population); </w:t>
      </w:r>
      <w:r w:rsidRPr="00BA73C2">
        <w:t>RWA Petition</w:t>
      </w:r>
      <w:r>
        <w:t xml:space="preserve"> to Deny</w:t>
      </w:r>
      <w:r w:rsidRPr="00BA73C2">
        <w:t xml:space="preserve"> at 3</w:t>
      </w:r>
      <w:r>
        <w:t>–</w:t>
      </w:r>
      <w:r w:rsidRPr="00BA73C2">
        <w:t>11.</w:t>
      </w:r>
    </w:p>
  </w:footnote>
  <w:footnote w:id="98">
    <w:p w:rsidR="00A40FA9" w:rsidRPr="00D423D7" w:rsidP="00A40FA9" w14:paraId="71C59E40" w14:textId="77777777">
      <w:pPr>
        <w:pStyle w:val="FootnoteText"/>
      </w:pPr>
      <w:r w:rsidRPr="00212FDB">
        <w:rPr>
          <w:rStyle w:val="FootnoteReference"/>
        </w:rPr>
        <w:footnoteRef/>
      </w:r>
      <w:r w:rsidRPr="00D423D7">
        <w:t xml:space="preserve"> 47 U.S.C. § 310(d). </w:t>
      </w:r>
    </w:p>
  </w:footnote>
  <w:footnote w:id="99">
    <w:p w:rsidR="00A40FA9" w:rsidRPr="00D423D7" w:rsidP="00A40FA9" w14:paraId="4554DE82" w14:textId="77777777">
      <w:pPr>
        <w:pStyle w:val="FootnoteText"/>
      </w:pPr>
      <w:r w:rsidRPr="00212FDB">
        <w:rPr>
          <w:rStyle w:val="FootnoteReference"/>
        </w:rPr>
        <w:footnoteRef/>
      </w:r>
      <w:r w:rsidRPr="00D423D7">
        <w:t xml:space="preserve"> </w:t>
      </w:r>
      <w:r w:rsidRPr="00D423D7">
        <w:rPr>
          <w:i/>
          <w:iCs/>
        </w:rPr>
        <w:t>See</w:t>
      </w:r>
      <w:r w:rsidRPr="00E21CF6">
        <w:rPr>
          <w:i/>
          <w:iCs/>
        </w:rPr>
        <w:t>,</w:t>
      </w:r>
      <w:r w:rsidRPr="00D423D7">
        <w:rPr>
          <w:i/>
          <w:iCs/>
        </w:rPr>
        <w:t xml:space="preserve"> e.g.</w:t>
      </w:r>
      <w:r w:rsidRPr="00D423D7">
        <w:t>, Public Knowledge et al. Petition to Deny at 10</w:t>
      </w:r>
      <w:r>
        <w:t>–</w:t>
      </w:r>
      <w:r w:rsidRPr="00D423D7">
        <w:t>12.</w:t>
      </w:r>
    </w:p>
  </w:footnote>
  <w:footnote w:id="100">
    <w:p w:rsidR="00A40FA9" w:rsidRPr="00D423D7" w:rsidP="00A40FA9" w14:paraId="63E8F25F" w14:textId="77777777">
      <w:pPr>
        <w:pStyle w:val="FootnoteText"/>
      </w:pPr>
      <w:r w:rsidRPr="00212FDB">
        <w:rPr>
          <w:rStyle w:val="FootnoteReference"/>
        </w:rPr>
        <w:footnoteRef/>
      </w:r>
      <w:r w:rsidRPr="00D423D7">
        <w:t xml:space="preserve"> </w:t>
      </w:r>
      <w:r w:rsidRPr="00D423D7">
        <w:rPr>
          <w:i/>
          <w:iCs/>
        </w:rPr>
        <w:t>See</w:t>
      </w:r>
      <w:r w:rsidRPr="00E21CF6">
        <w:rPr>
          <w:i/>
          <w:iCs/>
        </w:rPr>
        <w:t>,</w:t>
      </w:r>
      <w:r w:rsidRPr="00D423D7">
        <w:rPr>
          <w:i/>
          <w:iCs/>
        </w:rPr>
        <w:t xml:space="preserve"> e.g.</w:t>
      </w:r>
      <w:r w:rsidRPr="00D423D7">
        <w:t xml:space="preserve">, </w:t>
      </w:r>
      <w:r w:rsidRPr="00983A11">
        <w:rPr>
          <w:i/>
          <w:iCs/>
        </w:rPr>
        <w:t>id.</w:t>
      </w:r>
      <w:r w:rsidRPr="00D423D7">
        <w:t>; RWA Petition to Deny at 8</w:t>
      </w:r>
      <w:r>
        <w:t>–</w:t>
      </w:r>
      <w:r w:rsidRPr="00D423D7">
        <w:t>10</w:t>
      </w:r>
      <w:r>
        <w:t xml:space="preserve">; </w:t>
      </w:r>
      <w:r w:rsidRPr="00D423D7">
        <w:t>Coalition Filers July 3</w:t>
      </w:r>
      <w:r w:rsidRPr="00D423D7">
        <w:rPr>
          <w:i/>
          <w:iCs/>
        </w:rPr>
        <w:t xml:space="preserve"> Ex </w:t>
      </w:r>
      <w:r w:rsidRPr="00D423D7">
        <w:rPr>
          <w:i/>
          <w:iCs/>
        </w:rPr>
        <w:t>Parte</w:t>
      </w:r>
      <w:r w:rsidRPr="00D423D7">
        <w:rPr>
          <w:i/>
          <w:iCs/>
        </w:rPr>
        <w:t xml:space="preserve"> </w:t>
      </w:r>
      <w:r w:rsidRPr="00572D1F">
        <w:t xml:space="preserve">Letter </w:t>
      </w:r>
      <w:r w:rsidRPr="00D423D7">
        <w:t xml:space="preserve">at </w:t>
      </w:r>
      <w:r>
        <w:t>2–3</w:t>
      </w:r>
      <w:r w:rsidRPr="00D423D7">
        <w:t>.</w:t>
      </w:r>
    </w:p>
  </w:footnote>
  <w:footnote w:id="101">
    <w:p w:rsidR="00A40FA9" w:rsidRPr="00D423D7" w:rsidP="00A40FA9" w14:paraId="7AA71BD9" w14:textId="77777777">
      <w:pPr>
        <w:pStyle w:val="FootnoteText"/>
      </w:pPr>
      <w:r w:rsidRPr="00212FDB">
        <w:rPr>
          <w:rStyle w:val="FootnoteReference"/>
        </w:rPr>
        <w:footnoteRef/>
      </w:r>
      <w:r w:rsidRPr="00D423D7">
        <w:t xml:space="preserve"> </w:t>
      </w:r>
      <w:r w:rsidRPr="00D423D7">
        <w:rPr>
          <w:i/>
          <w:iCs/>
        </w:rPr>
        <w:t>See T-Mobile-</w:t>
      </w:r>
      <w:r w:rsidRPr="00D423D7">
        <w:rPr>
          <w:i/>
          <w:iCs/>
        </w:rPr>
        <w:t>UScellular</w:t>
      </w:r>
      <w:r w:rsidRPr="00D423D7">
        <w:rPr>
          <w:i/>
          <w:iCs/>
        </w:rPr>
        <w:t xml:space="preserve"> Order</w:t>
      </w:r>
      <w:r w:rsidRPr="00D423D7">
        <w:t>.</w:t>
      </w:r>
    </w:p>
  </w:footnote>
  <w:footnote w:id="102">
    <w:p w:rsidR="00A40FA9" w:rsidRPr="00D423D7" w:rsidP="00A40FA9" w14:paraId="77E43EE7" w14:textId="77777777">
      <w:pPr>
        <w:pStyle w:val="FootnoteText"/>
      </w:pPr>
      <w:r w:rsidRPr="00212FDB">
        <w:rPr>
          <w:rStyle w:val="FootnoteReference"/>
        </w:rPr>
        <w:footnoteRef/>
      </w:r>
      <w:r w:rsidRPr="00D423D7">
        <w:t xml:space="preserve"> </w:t>
      </w:r>
      <w:r>
        <w:rPr>
          <w:i/>
          <w:iCs/>
        </w:rPr>
        <w:t xml:space="preserve">See </w:t>
      </w:r>
      <w:r>
        <w:t xml:space="preserve">OBBB Act § 40002(b)(2); </w:t>
      </w:r>
      <w:r>
        <w:rPr>
          <w:i/>
          <w:iCs/>
        </w:rPr>
        <w:t>s</w:t>
      </w:r>
      <w:r w:rsidRPr="00D14E37">
        <w:rPr>
          <w:i/>
          <w:iCs/>
        </w:rPr>
        <w:t>ee</w:t>
      </w:r>
      <w:r>
        <w:rPr>
          <w:i/>
          <w:iCs/>
        </w:rPr>
        <w:t xml:space="preserve"> also</w:t>
      </w:r>
      <w:r w:rsidRPr="00D14E37">
        <w:t xml:space="preserve"> </w:t>
      </w:r>
      <w:r w:rsidRPr="00D14E37">
        <w:rPr>
          <w:i/>
          <w:iCs/>
        </w:rPr>
        <w:t>Auction of Advanced Wireless Services (AWS-3) Licenses; Notice and Filing Requirements, Minimum Opening Bids, Upfront Payments, and Other Procedures for Auction 113; Bidding Scheduled to Begin June 2, 2026</w:t>
      </w:r>
      <w:r w:rsidRPr="00D14E37">
        <w:t>, AU Docket No. 25-117, Public Notice, DA 25-1075 (OEA/WTB 2025).</w:t>
      </w:r>
    </w:p>
  </w:footnote>
  <w:footnote w:id="103">
    <w:p w:rsidR="00A40FA9" w:rsidRPr="00D423D7" w:rsidP="00A40FA9" w14:paraId="0A4E137D" w14:textId="77777777">
      <w:pPr>
        <w:pStyle w:val="FootnoteText"/>
      </w:pPr>
      <w:r w:rsidRPr="00212FDB">
        <w:rPr>
          <w:rStyle w:val="FootnoteReference"/>
        </w:rPr>
        <w:footnoteRef/>
      </w:r>
      <w:r w:rsidRPr="00D423D7">
        <w:t xml:space="preserve"> </w:t>
      </w:r>
      <w:r w:rsidRPr="00D423D7">
        <w:rPr>
          <w:i/>
          <w:iCs/>
        </w:rPr>
        <w:t>See</w:t>
      </w:r>
      <w:r w:rsidRPr="006F3E85">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10620</w:t>
      </w:r>
      <w:r>
        <w:t>–21</w:t>
      </w:r>
      <w:r w:rsidRPr="00D423D7">
        <w:t>, para</w:t>
      </w:r>
      <w:r>
        <w:t>s</w:t>
      </w:r>
      <w:r w:rsidRPr="00D423D7">
        <w:t>. 99</w:t>
      </w:r>
      <w:r>
        <w:t>, 101–102</w:t>
      </w:r>
      <w:r w:rsidRPr="00D423D7">
        <w:t xml:space="preserve">.  </w:t>
      </w:r>
    </w:p>
  </w:footnote>
  <w:footnote w:id="104">
    <w:p w:rsidR="00A40FA9" w:rsidP="00A40FA9" w14:paraId="704E67B7" w14:textId="77777777">
      <w:pPr>
        <w:pStyle w:val="FootnoteText"/>
      </w:pPr>
      <w:r w:rsidRPr="00212FDB">
        <w:rPr>
          <w:rStyle w:val="FootnoteReference"/>
        </w:rPr>
        <w:footnoteRef/>
      </w:r>
      <w:r>
        <w:t xml:space="preserve"> </w:t>
      </w:r>
      <w:r w:rsidRPr="005F7046">
        <w:rPr>
          <w:i/>
        </w:rPr>
        <w:t>See</w:t>
      </w:r>
      <w:r w:rsidRPr="002C6EC4">
        <w:rPr>
          <w:i/>
        </w:rPr>
        <w:t>,</w:t>
      </w:r>
      <w:r>
        <w:t xml:space="preserve"> </w:t>
      </w:r>
      <w:r w:rsidRPr="005F7046">
        <w:rPr>
          <w:i/>
        </w:rPr>
        <w:t>e.g.</w:t>
      </w:r>
      <w:r>
        <w:t xml:space="preserve">, </w:t>
      </w:r>
      <w:r w:rsidRPr="00D423D7">
        <w:t>RWA et al. Aug. 7</w:t>
      </w:r>
      <w:r w:rsidRPr="00D423D7">
        <w:rPr>
          <w:i/>
          <w:iCs/>
        </w:rPr>
        <w:t xml:space="preserve"> Ex </w:t>
      </w:r>
      <w:r w:rsidRPr="00D423D7">
        <w:rPr>
          <w:i/>
          <w:iCs/>
        </w:rPr>
        <w:t>Parte</w:t>
      </w:r>
      <w:r w:rsidRPr="00D423D7">
        <w:rPr>
          <w:i/>
          <w:iCs/>
        </w:rPr>
        <w:t xml:space="preserve"> </w:t>
      </w:r>
      <w:r w:rsidRPr="0042772E">
        <w:t>Letter</w:t>
      </w:r>
      <w:r w:rsidRPr="00D423D7">
        <w:t xml:space="preserve"> </w:t>
      </w:r>
      <w:r w:rsidRPr="00D423D7">
        <w:t xml:space="preserve">at </w:t>
      </w:r>
      <w:r>
        <w:t xml:space="preserve">1; </w:t>
      </w:r>
      <w:r w:rsidRPr="00A95808">
        <w:t>Coalition Filers July 18</w:t>
      </w:r>
      <w:r w:rsidRPr="00A95808">
        <w:rPr>
          <w:i/>
          <w:iCs/>
        </w:rPr>
        <w:t xml:space="preserve"> Ex </w:t>
      </w:r>
      <w:r w:rsidRPr="00A95808">
        <w:rPr>
          <w:i/>
          <w:iCs/>
        </w:rPr>
        <w:t>Parte</w:t>
      </w:r>
      <w:r w:rsidRPr="00A95808">
        <w:rPr>
          <w:i/>
          <w:iCs/>
        </w:rPr>
        <w:t xml:space="preserve"> </w:t>
      </w:r>
      <w:r w:rsidRPr="00572D1F">
        <w:t xml:space="preserve">Letter </w:t>
      </w:r>
      <w:r w:rsidRPr="00A95808">
        <w:t xml:space="preserve">at </w:t>
      </w:r>
      <w:r>
        <w:t>1–3.</w:t>
      </w:r>
    </w:p>
  </w:footnote>
  <w:footnote w:id="105">
    <w:p w:rsidR="00A40FA9" w:rsidRPr="00D423D7" w:rsidP="00A40FA9" w14:paraId="0AEDD85C" w14:textId="77777777">
      <w:pPr>
        <w:pStyle w:val="FootnoteText"/>
      </w:pPr>
      <w:r w:rsidRPr="00D423D7">
        <w:rPr>
          <w:rStyle w:val="FootnoteReference"/>
        </w:rPr>
        <w:footnoteRef/>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4822, para. 89; </w:t>
      </w:r>
      <w:r w:rsidRPr="00D423D7">
        <w:rPr>
          <w:i/>
        </w:rPr>
        <w:t>T</w:t>
      </w:r>
      <w:r w:rsidRPr="00D423D7">
        <w:rPr>
          <w:i/>
          <w:iCs/>
        </w:rPr>
        <w:t>-Mobile-Sprint Order</w:t>
      </w:r>
      <w:r w:rsidRPr="00D423D7">
        <w:t xml:space="preserve">, 34 FCC </w:t>
      </w:r>
      <w:r w:rsidRPr="00D423D7">
        <w:t>Rcd</w:t>
      </w:r>
      <w:r w:rsidRPr="00D423D7">
        <w:t xml:space="preserve"> at 10671</w:t>
      </w:r>
      <w:r>
        <w:t>–</w:t>
      </w:r>
      <w:r w:rsidRPr="00D423D7">
        <w:t>72, para. 214.</w:t>
      </w:r>
    </w:p>
  </w:footnote>
  <w:footnote w:id="106">
    <w:p w:rsidR="00A40FA9" w:rsidRPr="00D423D7" w:rsidP="00A40FA9" w14:paraId="61920515" w14:textId="77777777">
      <w:pPr>
        <w:pStyle w:val="FootnoteText"/>
        <w:widowControl w:val="0"/>
      </w:pPr>
      <w:r w:rsidRPr="00D423D7">
        <w:rPr>
          <w:rStyle w:val="FootnoteReference"/>
        </w:rPr>
        <w:footnoteRef/>
      </w:r>
      <w:r w:rsidRPr="00D423D7">
        <w:t xml:space="preserve"> </w:t>
      </w:r>
      <w:r w:rsidRPr="00D423D7">
        <w:rPr>
          <w:i/>
        </w:rPr>
        <w:t>See</w:t>
      </w:r>
      <w:r w:rsidRPr="006F3E85">
        <w:rPr>
          <w:i/>
        </w:rPr>
        <w:t>,</w:t>
      </w:r>
      <w:r w:rsidRPr="00D423D7">
        <w:rPr>
          <w:i/>
        </w:rPr>
        <w:t xml:space="preserve"> e.g.</w:t>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4822, para. 89; </w:t>
      </w:r>
      <w:r w:rsidRPr="00D423D7">
        <w:rPr>
          <w:i/>
          <w:iCs/>
        </w:rPr>
        <w:t>T-Mobile-Sprint Order</w:t>
      </w:r>
      <w:r w:rsidRPr="00D423D7">
        <w:t xml:space="preserve">, </w:t>
      </w:r>
      <w:r w:rsidRPr="00D423D7">
        <w:rPr>
          <w:iCs/>
        </w:rPr>
        <w:t xml:space="preserve">34 FCC </w:t>
      </w:r>
      <w:r w:rsidRPr="00D423D7">
        <w:rPr>
          <w:iCs/>
        </w:rPr>
        <w:t>Rcd</w:t>
      </w:r>
      <w:r w:rsidRPr="00D423D7">
        <w:rPr>
          <w:iCs/>
        </w:rPr>
        <w:t xml:space="preserve"> at</w:t>
      </w:r>
      <w:r w:rsidRPr="00D423D7">
        <w:t xml:space="preserve"> 10671</w:t>
      </w:r>
      <w:r>
        <w:t>–</w:t>
      </w:r>
      <w:r w:rsidRPr="00D423D7">
        <w:t xml:space="preserve">72, para. 214; </w:t>
      </w:r>
      <w:r w:rsidRPr="00D423D7">
        <w:rPr>
          <w:i/>
          <w:iCs/>
        </w:rPr>
        <w:t>CenturyLink-Level 3 Order</w:t>
      </w:r>
      <w:r w:rsidRPr="00D423D7">
        <w:t xml:space="preserve">, 32 FCC </w:t>
      </w:r>
      <w:r w:rsidRPr="00D423D7">
        <w:t>Rcd</w:t>
      </w:r>
      <w:r w:rsidRPr="00D423D7">
        <w:t xml:space="preserve"> at 9604, para. 50 (citing </w:t>
      </w:r>
      <w:r w:rsidRPr="00D423D7">
        <w:rPr>
          <w:i/>
          <w:iCs/>
        </w:rPr>
        <w:t>AT&amp;T-BellSouth Order</w:t>
      </w:r>
      <w:r w:rsidRPr="00D423D7">
        <w:t xml:space="preserve">, 22 FCC </w:t>
      </w:r>
      <w:r w:rsidRPr="00D423D7">
        <w:t>Rcd</w:t>
      </w:r>
      <w:r w:rsidRPr="00D423D7">
        <w:t xml:space="preserve"> at 5761, para. 202); </w:t>
      </w:r>
      <w:r w:rsidRPr="00D423D7">
        <w:rPr>
          <w:i/>
          <w:iCs/>
        </w:rPr>
        <w:t>AT&amp;T-DIRECTV Order</w:t>
      </w:r>
      <w:r w:rsidRPr="00D423D7">
        <w:t xml:space="preserve">, 30 FCC </w:t>
      </w:r>
      <w:r w:rsidRPr="00D423D7">
        <w:t>Rcd</w:t>
      </w:r>
      <w:r w:rsidRPr="00D423D7">
        <w:t xml:space="preserve"> at 9237, paras. 273</w:t>
      </w:r>
      <w:r>
        <w:t>–</w:t>
      </w:r>
      <w:r w:rsidRPr="00D423D7">
        <w:t>74.</w:t>
      </w:r>
    </w:p>
  </w:footnote>
  <w:footnote w:id="107">
    <w:p w:rsidR="00A40FA9" w:rsidRPr="00D423D7" w:rsidP="00A40FA9" w14:paraId="39D9D14B" w14:textId="77777777">
      <w:pPr>
        <w:pStyle w:val="FootnoteText"/>
      </w:pPr>
      <w:r w:rsidRPr="00D423D7">
        <w:rPr>
          <w:rStyle w:val="FootnoteReference"/>
        </w:rPr>
        <w:footnoteRef/>
      </w:r>
      <w:r w:rsidRPr="00D423D7">
        <w:t xml:space="preserve"> </w:t>
      </w:r>
      <w:r w:rsidRPr="00D423D7">
        <w:rPr>
          <w:i/>
        </w:rPr>
        <w:t>See</w:t>
      </w:r>
      <w:r w:rsidRPr="006F3E85">
        <w:rPr>
          <w:i/>
        </w:rPr>
        <w:t>,</w:t>
      </w:r>
      <w:r w:rsidRPr="00D423D7">
        <w:rPr>
          <w:i/>
        </w:rPr>
        <w:t xml:space="preserve"> e.g.</w:t>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4822, para. 89; </w:t>
      </w:r>
      <w:r w:rsidRPr="00D423D7">
        <w:rPr>
          <w:i/>
          <w:iCs/>
        </w:rPr>
        <w:t>T-Mobile-Sprint Order</w:t>
      </w:r>
      <w:r w:rsidRPr="00D423D7">
        <w:t xml:space="preserve">, </w:t>
      </w:r>
      <w:r w:rsidRPr="00D423D7">
        <w:rPr>
          <w:iCs/>
        </w:rPr>
        <w:t xml:space="preserve">34 FCC </w:t>
      </w:r>
      <w:r w:rsidRPr="00D423D7">
        <w:rPr>
          <w:iCs/>
        </w:rPr>
        <w:t>Rcd</w:t>
      </w:r>
      <w:r w:rsidRPr="00D423D7">
        <w:rPr>
          <w:iCs/>
        </w:rPr>
        <w:t xml:space="preserve"> at</w:t>
      </w:r>
      <w:r w:rsidRPr="00D423D7">
        <w:t xml:space="preserve"> 10671</w:t>
      </w:r>
      <w:r>
        <w:t>–</w:t>
      </w:r>
      <w:r w:rsidRPr="00D423D7">
        <w:t xml:space="preserve">72, para. 214; </w:t>
      </w:r>
      <w:r w:rsidRPr="00D423D7">
        <w:rPr>
          <w:i/>
        </w:rPr>
        <w:t>CenturyLink-Level 3 Order</w:t>
      </w:r>
      <w:r w:rsidRPr="00D423D7">
        <w:t xml:space="preserve">, 32 FCC </w:t>
      </w:r>
      <w:r w:rsidRPr="00D423D7">
        <w:t>Rcd</w:t>
      </w:r>
      <w:r w:rsidRPr="00D423D7">
        <w:t xml:space="preserve"> at 9604, para. 50; </w:t>
      </w:r>
      <w:r w:rsidRPr="00D423D7">
        <w:rPr>
          <w:i/>
        </w:rPr>
        <w:t>AT&amp;T-Leap Order</w:t>
      </w:r>
      <w:r w:rsidRPr="00D423D7">
        <w:t xml:space="preserve">, 29 FCC </w:t>
      </w:r>
      <w:r w:rsidRPr="00D423D7">
        <w:t>Rcd</w:t>
      </w:r>
      <w:r w:rsidRPr="00D423D7">
        <w:t xml:space="preserve"> at 2793</w:t>
      </w:r>
      <w:r>
        <w:t>–</w:t>
      </w:r>
      <w:r w:rsidRPr="00D423D7">
        <w:t xml:space="preserve">94, para. 132; </w:t>
      </w:r>
      <w:r w:rsidRPr="00D423D7">
        <w:rPr>
          <w:i/>
        </w:rPr>
        <w:t>Alaska Wireless-GCI Order</w:t>
      </w:r>
      <w:r w:rsidRPr="00D423D7">
        <w:t xml:space="preserve">, 28 FCC </w:t>
      </w:r>
      <w:r w:rsidRPr="00D423D7">
        <w:t>Rcd</w:t>
      </w:r>
      <w:r w:rsidRPr="00D423D7">
        <w:t xml:space="preserve"> at 10468, para. 87; </w:t>
      </w:r>
      <w:r w:rsidRPr="00A34CFF">
        <w:rPr>
          <w:i/>
          <w:iCs/>
        </w:rPr>
        <w:t>Applications of Deutsche Telekom AG,</w:t>
      </w:r>
      <w:r w:rsidRPr="002C6EC4">
        <w:rPr>
          <w:i/>
        </w:rPr>
        <w:t xml:space="preserve"> </w:t>
      </w:r>
      <w:r w:rsidRPr="00A34CFF">
        <w:rPr>
          <w:i/>
          <w:iCs/>
        </w:rPr>
        <w:t xml:space="preserve">T-Mobile USA, Inc., and MetroPCS Communications, Inc. for Consent </w:t>
      </w:r>
      <w:r>
        <w:rPr>
          <w:i/>
          <w:iCs/>
        </w:rPr>
        <w:t>t</w:t>
      </w:r>
      <w:r w:rsidRPr="00A34CFF">
        <w:rPr>
          <w:i/>
          <w:iCs/>
        </w:rPr>
        <w:t>o Transfer of Control of Licenses and Authorizations</w:t>
      </w:r>
      <w:r w:rsidRPr="00941CD0">
        <w:t xml:space="preserve">, </w:t>
      </w:r>
      <w:r>
        <w:t xml:space="preserve">WT Docket No. 12-301, </w:t>
      </w:r>
      <w:r w:rsidRPr="00941CD0">
        <w:t xml:space="preserve">Memorandum Opinion and </w:t>
      </w:r>
      <w:r w:rsidRPr="002C6EC4">
        <w:t>Order</w:t>
      </w:r>
      <w:r w:rsidRPr="00941CD0">
        <w:t xml:space="preserve"> and Declaratory Ruling, 28 FCC </w:t>
      </w:r>
      <w:r w:rsidRPr="00941CD0">
        <w:t>Rcd</w:t>
      </w:r>
      <w:r w:rsidRPr="00941CD0">
        <w:t xml:space="preserve"> 2322, </w:t>
      </w:r>
      <w:r w:rsidRPr="00D423D7">
        <w:t>2342, para. 58</w:t>
      </w:r>
      <w:r w:rsidRPr="00941CD0">
        <w:t xml:space="preserve"> (WTB</w:t>
      </w:r>
      <w:r>
        <w:t>/</w:t>
      </w:r>
      <w:r w:rsidRPr="00941CD0">
        <w:t>IB 2013) (</w:t>
      </w:r>
      <w:r w:rsidRPr="00A34CFF">
        <w:rPr>
          <w:i/>
          <w:iCs/>
        </w:rPr>
        <w:t>T-Mobile</w:t>
      </w:r>
      <w:r>
        <w:rPr>
          <w:i/>
          <w:iCs/>
        </w:rPr>
        <w:t>-</w:t>
      </w:r>
      <w:r w:rsidRPr="00A34CFF">
        <w:rPr>
          <w:i/>
          <w:iCs/>
        </w:rPr>
        <w:t>MetroPCS Order</w:t>
      </w:r>
      <w:r w:rsidRPr="00941CD0">
        <w:t>)</w:t>
      </w:r>
      <w:r>
        <w:t>.</w:t>
      </w:r>
    </w:p>
  </w:footnote>
  <w:footnote w:id="108">
    <w:p w:rsidR="00A40FA9" w:rsidRPr="00D423D7" w:rsidP="00A40FA9" w14:paraId="743EFBD7" w14:textId="77777777">
      <w:pPr>
        <w:pStyle w:val="FootnoteText"/>
        <w:widowControl w:val="0"/>
        <w:rPr>
          <w:i/>
        </w:rPr>
      </w:pPr>
      <w:r w:rsidRPr="00D423D7">
        <w:rPr>
          <w:rStyle w:val="FootnoteReference"/>
        </w:rPr>
        <w:footnoteRef/>
      </w:r>
      <w:r w:rsidRPr="00D423D7">
        <w:t xml:space="preserve"> </w:t>
      </w:r>
      <w:r w:rsidRPr="00D423D7">
        <w:rPr>
          <w:i/>
        </w:rPr>
        <w:t>See</w:t>
      </w:r>
      <w:r w:rsidRPr="006F3E85">
        <w:rPr>
          <w:i/>
        </w:rPr>
        <w:t>,</w:t>
      </w:r>
      <w:r w:rsidRPr="00D423D7">
        <w:rPr>
          <w:i/>
        </w:rPr>
        <w:t xml:space="preserve"> e.g.</w:t>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4822, para. 89; </w:t>
      </w:r>
      <w:r w:rsidRPr="00D423D7">
        <w:rPr>
          <w:i/>
          <w:iCs/>
        </w:rPr>
        <w:t>T-Mobile-Sprint Order</w:t>
      </w:r>
      <w:r w:rsidRPr="00D423D7">
        <w:t xml:space="preserve">, </w:t>
      </w:r>
      <w:r w:rsidRPr="00D423D7">
        <w:rPr>
          <w:iCs/>
        </w:rPr>
        <w:t xml:space="preserve">34 FCC </w:t>
      </w:r>
      <w:r w:rsidRPr="00D423D7">
        <w:rPr>
          <w:iCs/>
        </w:rPr>
        <w:t>Rcd</w:t>
      </w:r>
      <w:r w:rsidRPr="00D423D7">
        <w:rPr>
          <w:iCs/>
        </w:rPr>
        <w:t xml:space="preserve"> at</w:t>
      </w:r>
      <w:r w:rsidRPr="00D423D7">
        <w:t xml:space="preserve"> 10671</w:t>
      </w:r>
      <w:r>
        <w:t>–</w:t>
      </w:r>
      <w:r w:rsidRPr="00D423D7">
        <w:t xml:space="preserve">72, para. 214; </w:t>
      </w:r>
      <w:r w:rsidRPr="00D423D7">
        <w:rPr>
          <w:i/>
        </w:rPr>
        <w:t>AT&amp;T-Leap Order</w:t>
      </w:r>
      <w:r w:rsidRPr="00D423D7">
        <w:t xml:space="preserve">, 29 FCC </w:t>
      </w:r>
      <w:r w:rsidRPr="00D423D7">
        <w:t>Rcd</w:t>
      </w:r>
      <w:r w:rsidRPr="00D423D7">
        <w:t xml:space="preserve"> at 2793</w:t>
      </w:r>
      <w:r>
        <w:t>–</w:t>
      </w:r>
      <w:r w:rsidRPr="00D423D7">
        <w:t xml:space="preserve">94, para. 132; </w:t>
      </w:r>
      <w:r w:rsidRPr="00D423D7">
        <w:rPr>
          <w:i/>
        </w:rPr>
        <w:t>Alaska Wireless-GCI Order</w:t>
      </w:r>
      <w:r w:rsidRPr="00D423D7">
        <w:t xml:space="preserve">, 28 FCC </w:t>
      </w:r>
      <w:r w:rsidRPr="00D423D7">
        <w:t>Rcd</w:t>
      </w:r>
      <w:r w:rsidRPr="00D423D7">
        <w:t xml:space="preserve"> at 10468, para. 87; </w:t>
      </w:r>
      <w:r w:rsidRPr="00D423D7">
        <w:rPr>
          <w:i/>
        </w:rPr>
        <w:t>T-Mobile-MetroPCS Order</w:t>
      </w:r>
      <w:r w:rsidRPr="00D423D7">
        <w:t xml:space="preserve">, 28 FCC </w:t>
      </w:r>
      <w:r w:rsidRPr="00D423D7">
        <w:t>Rcd</w:t>
      </w:r>
      <w:r w:rsidRPr="00D423D7">
        <w:t xml:space="preserve"> at 2342, para. 58.  In addition, “the magnitude of benefits must be calculated net of the cost of achieving them.”  </w:t>
      </w:r>
      <w:r w:rsidRPr="00D423D7">
        <w:rPr>
          <w:i/>
        </w:rPr>
        <w:t>See</w:t>
      </w:r>
      <w:r w:rsidRPr="006F3E85">
        <w:rPr>
          <w:i/>
        </w:rPr>
        <w:t>,</w:t>
      </w:r>
      <w:r w:rsidRPr="00D423D7">
        <w:rPr>
          <w:i/>
        </w:rPr>
        <w:t xml:space="preserve"> e.g.</w:t>
      </w:r>
      <w:r w:rsidRPr="00D423D7">
        <w:t>,</w:t>
      </w:r>
      <w:r w:rsidRPr="00D423D7">
        <w:rPr>
          <w:i/>
        </w:rPr>
        <w:t xml:space="preserve"> AT&amp;T-Leap Order</w:t>
      </w:r>
      <w:r w:rsidRPr="00D423D7">
        <w:t xml:space="preserve">, 29 FCC </w:t>
      </w:r>
      <w:r w:rsidRPr="00D423D7">
        <w:t>Rcd</w:t>
      </w:r>
      <w:r w:rsidRPr="00D423D7">
        <w:t xml:space="preserve"> at 2793</w:t>
      </w:r>
      <w:r>
        <w:t>–</w:t>
      </w:r>
      <w:r w:rsidRPr="00D423D7">
        <w:t xml:space="preserve">94, para. 132; </w:t>
      </w:r>
      <w:r w:rsidRPr="00D423D7">
        <w:rPr>
          <w:i/>
        </w:rPr>
        <w:t>Alaska Wireless-GCI Order</w:t>
      </w:r>
      <w:r w:rsidRPr="00D423D7">
        <w:t xml:space="preserve">, 28 FCC </w:t>
      </w:r>
      <w:r w:rsidRPr="00D423D7">
        <w:t>Rcd</w:t>
      </w:r>
      <w:r w:rsidRPr="00D423D7">
        <w:t xml:space="preserve"> at 10468, para. 87; </w:t>
      </w:r>
      <w:r w:rsidRPr="00D423D7">
        <w:rPr>
          <w:i/>
        </w:rPr>
        <w:t>T-Mobile-MetroPCS Order</w:t>
      </w:r>
      <w:r w:rsidRPr="00D423D7">
        <w:t xml:space="preserve">, 28 FCC </w:t>
      </w:r>
      <w:r w:rsidRPr="00D423D7">
        <w:t>Rcd</w:t>
      </w:r>
      <w:r w:rsidRPr="00D423D7">
        <w:t xml:space="preserve"> at 2342, para. 58.</w:t>
      </w:r>
    </w:p>
  </w:footnote>
  <w:footnote w:id="109">
    <w:p w:rsidR="00A40FA9" w:rsidRPr="0019130C" w:rsidP="00A40FA9" w14:paraId="2F505FE4" w14:textId="77777777">
      <w:pPr>
        <w:pStyle w:val="FootnoteText"/>
        <w:widowControl w:val="0"/>
        <w:rPr>
          <w:i/>
        </w:rPr>
      </w:pPr>
      <w:r w:rsidRPr="00601A6A">
        <w:rPr>
          <w:rStyle w:val="FootnoteReference"/>
        </w:rPr>
        <w:footnoteRef/>
      </w:r>
      <w:r>
        <w:rPr>
          <w:i/>
        </w:rPr>
        <w:t xml:space="preserve"> </w:t>
      </w:r>
      <w:r w:rsidRPr="0019130C">
        <w:rPr>
          <w:i/>
        </w:rPr>
        <w:t>See</w:t>
      </w:r>
      <w:r w:rsidRPr="006F3E85">
        <w:rPr>
          <w:i/>
          <w:iCs/>
        </w:rPr>
        <w:t>,</w:t>
      </w:r>
      <w:r w:rsidRPr="0019130C">
        <w:rPr>
          <w:i/>
        </w:rPr>
        <w:t xml:space="preserve"> e.g.</w:t>
      </w:r>
      <w:r w:rsidRPr="00AE67D1">
        <w:t xml:space="preserve">, </w:t>
      </w:r>
      <w:r>
        <w:rPr>
          <w:i/>
          <w:iCs/>
        </w:rPr>
        <w:t>T-Mobile-</w:t>
      </w:r>
      <w:r>
        <w:rPr>
          <w:i/>
          <w:iCs/>
        </w:rPr>
        <w:t>UScellular</w:t>
      </w:r>
      <w:r>
        <w:rPr>
          <w:i/>
          <w:iCs/>
        </w:rPr>
        <w:t xml:space="preserve"> Order</w:t>
      </w:r>
      <w:r>
        <w:t xml:space="preserve">, </w:t>
      </w:r>
      <w:r>
        <w:rPr>
          <w:iCs/>
        </w:rPr>
        <w:t xml:space="preserve">40 FCC </w:t>
      </w:r>
      <w:r>
        <w:rPr>
          <w:iCs/>
        </w:rPr>
        <w:t>Rcd</w:t>
      </w:r>
      <w:r>
        <w:rPr>
          <w:iCs/>
        </w:rPr>
        <w:t xml:space="preserve"> at 4802,</w:t>
      </w:r>
      <w:r>
        <w:t xml:space="preserve">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10672, para. 214; </w:t>
      </w:r>
      <w:r w:rsidRPr="0019130C">
        <w:rPr>
          <w:i/>
        </w:rPr>
        <w:t>CenturyLink-Level 3 Order</w:t>
      </w:r>
      <w:r w:rsidRPr="0019130C">
        <w:t xml:space="preserve">, 32 FCC </w:t>
      </w:r>
      <w:r w:rsidRPr="0019130C">
        <w:t>Rcd</w:t>
      </w:r>
      <w:r>
        <w:t xml:space="preserve"> </w:t>
      </w:r>
      <w:r w:rsidRPr="0019130C">
        <w:t xml:space="preserve">at 9604, para. 50; </w:t>
      </w:r>
      <w:r w:rsidRPr="0019130C">
        <w:rPr>
          <w:i/>
        </w:rPr>
        <w:t>AT&amp;T-Leap Order</w:t>
      </w:r>
      <w:r w:rsidRPr="0019130C">
        <w:t xml:space="preserve">, 29 FCC </w:t>
      </w:r>
      <w:r w:rsidRPr="0019130C">
        <w:t>Rcd</w:t>
      </w:r>
      <w:r w:rsidRPr="0019130C">
        <w:t xml:space="preserve"> at 2793</w:t>
      </w:r>
      <w:r>
        <w:t>–</w:t>
      </w:r>
      <w:r w:rsidRPr="0019130C">
        <w:t xml:space="preserve">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p>
  </w:footnote>
  <w:footnote w:id="110">
    <w:p w:rsidR="00A40FA9" w:rsidRPr="00D423D7" w:rsidP="00A40FA9" w14:paraId="397B802D" w14:textId="77777777">
      <w:pPr>
        <w:pStyle w:val="FootnoteText"/>
        <w:widowControl w:val="0"/>
      </w:pPr>
      <w:r w:rsidRPr="00D423D7">
        <w:rPr>
          <w:rStyle w:val="FootnoteReference"/>
        </w:rPr>
        <w:footnoteRef/>
      </w:r>
      <w:r w:rsidRPr="00D423D7">
        <w:rPr>
          <w:i/>
        </w:rPr>
        <w:t xml:space="preserve"> See</w:t>
      </w:r>
      <w:r w:rsidRPr="006F3E85">
        <w:rPr>
          <w:i/>
        </w:rPr>
        <w:t>,</w:t>
      </w:r>
      <w:r w:rsidRPr="00D423D7">
        <w:rPr>
          <w:i/>
        </w:rPr>
        <w:t xml:space="preserve"> e.g.</w:t>
      </w:r>
      <w:r w:rsidRPr="00D423D7">
        <w:t xml:space="preserv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rPr>
          <w:i/>
          <w:iCs/>
        </w:rPr>
        <w:t xml:space="preserve"> </w:t>
      </w:r>
      <w:r w:rsidRPr="00D423D7">
        <w:t xml:space="preserve">at 4822, para. 89; </w:t>
      </w:r>
      <w:r w:rsidRPr="00D423D7">
        <w:rPr>
          <w:i/>
          <w:iCs/>
        </w:rPr>
        <w:t>T-Mobile-Sprint Order</w:t>
      </w:r>
      <w:r w:rsidRPr="00D423D7">
        <w:t xml:space="preserve">, </w:t>
      </w:r>
      <w:r w:rsidRPr="00D423D7">
        <w:rPr>
          <w:iCs/>
        </w:rPr>
        <w:t xml:space="preserve">34 FCC </w:t>
      </w:r>
      <w:r w:rsidRPr="00D423D7">
        <w:rPr>
          <w:iCs/>
        </w:rPr>
        <w:t>Rcd</w:t>
      </w:r>
      <w:r w:rsidRPr="00D423D7">
        <w:rPr>
          <w:iCs/>
        </w:rPr>
        <w:t xml:space="preserve"> at</w:t>
      </w:r>
      <w:r w:rsidRPr="00D423D7">
        <w:t xml:space="preserve"> 10672, para. 214; </w:t>
      </w:r>
      <w:r w:rsidRPr="00D423D7">
        <w:rPr>
          <w:i/>
        </w:rPr>
        <w:t>AT&amp;T-Leap Order</w:t>
      </w:r>
      <w:r w:rsidRPr="00D423D7">
        <w:t xml:space="preserve">, 29 FCC </w:t>
      </w:r>
      <w:r w:rsidRPr="00D423D7">
        <w:t>Rcd</w:t>
      </w:r>
      <w:r w:rsidRPr="00D423D7">
        <w:t xml:space="preserve"> at 2793</w:t>
      </w:r>
      <w:r>
        <w:t>–</w:t>
      </w:r>
      <w:r w:rsidRPr="00D423D7">
        <w:t xml:space="preserve">94, para. 132; </w:t>
      </w:r>
      <w:r w:rsidRPr="00D423D7">
        <w:rPr>
          <w:i/>
        </w:rPr>
        <w:t>Alaska Wireless-GCI Order</w:t>
      </w:r>
      <w:r w:rsidRPr="00D423D7">
        <w:t xml:space="preserve">, 28 FCC </w:t>
      </w:r>
      <w:r w:rsidRPr="00D423D7">
        <w:t>Rcd</w:t>
      </w:r>
      <w:r w:rsidRPr="00D423D7">
        <w:t xml:space="preserve"> at 10468, para. 87; </w:t>
      </w:r>
      <w:r w:rsidRPr="00D423D7">
        <w:rPr>
          <w:i/>
        </w:rPr>
        <w:t>T-Mobile-MetroPCS Order</w:t>
      </w:r>
      <w:r w:rsidRPr="00D423D7">
        <w:t xml:space="preserve">, 28 FCC </w:t>
      </w:r>
      <w:r w:rsidRPr="00D423D7">
        <w:t>Rcd</w:t>
      </w:r>
      <w:r w:rsidRPr="00D423D7">
        <w:t xml:space="preserve"> at 2342, para. 58</w:t>
      </w:r>
      <w:r w:rsidRPr="00D423D7">
        <w:rPr>
          <w:snapToGrid w:val="0"/>
        </w:rPr>
        <w:t>.</w:t>
      </w:r>
    </w:p>
  </w:footnote>
  <w:footnote w:id="111">
    <w:p w:rsidR="00A40FA9" w:rsidRPr="00D423D7" w:rsidP="00A40FA9" w14:paraId="51F109BA" w14:textId="77777777">
      <w:pPr>
        <w:pStyle w:val="FootnoteText"/>
      </w:pPr>
      <w:r w:rsidRPr="00D423D7">
        <w:rPr>
          <w:rStyle w:val="FootnoteReference"/>
        </w:rPr>
        <w:footnoteRef/>
      </w:r>
      <w:r>
        <w:t xml:space="preserve"> </w:t>
      </w:r>
      <w:r w:rsidRPr="00D423D7">
        <w:rPr>
          <w:i/>
        </w:rPr>
        <w:t>See</w:t>
      </w:r>
      <w:r w:rsidRPr="00D423D7">
        <w:t xml:space="preserve"> Public Interest Statement at 1, </w:t>
      </w:r>
      <w:r w:rsidRPr="00212FDB">
        <w:rPr>
          <w:color w:val="000000"/>
        </w:rPr>
        <w:t>Exh</w:t>
      </w:r>
      <w:r w:rsidRPr="00212FDB">
        <w:rPr>
          <w:color w:val="000000"/>
        </w:rPr>
        <w:t xml:space="preserve">. 2 (Amended Spectrum Aggregation).  </w:t>
      </w:r>
      <w:r>
        <w:t xml:space="preserve">The Applicants provide </w:t>
      </w:r>
      <w:r>
        <w:t xml:space="preserve">technical </w:t>
      </w:r>
      <w:r>
        <w:t>disclosures</w:t>
      </w:r>
      <w:r>
        <w:t xml:space="preserve"> </w:t>
      </w:r>
      <w:r>
        <w:t xml:space="preserve">related to Verizon Wireless’s pre- and post-transaction spectrum holdings for the frequency bands at-issue as well as data on the spectrum holdings of other licensees on a county-by-county and CMA-by-CMA basis.  </w:t>
      </w:r>
      <w:r w:rsidRPr="00983A11">
        <w:rPr>
          <w:i/>
          <w:iCs/>
        </w:rPr>
        <w:t>Id.</w:t>
      </w:r>
      <w:r w:rsidRPr="00212FDB">
        <w:rPr>
          <w:color w:val="000000"/>
        </w:rPr>
        <w:t xml:space="preserve"> at 1,</w:t>
      </w:r>
      <w:r w:rsidRPr="00212FDB">
        <w:rPr>
          <w:i/>
          <w:iCs/>
          <w:color w:val="000000"/>
        </w:rPr>
        <w:t xml:space="preserve"> </w:t>
      </w:r>
      <w:r w:rsidRPr="00212FDB">
        <w:rPr>
          <w:color w:val="000000"/>
        </w:rPr>
        <w:t>Exh</w:t>
      </w:r>
      <w:r w:rsidRPr="00212FDB">
        <w:rPr>
          <w:color w:val="000000"/>
        </w:rPr>
        <w:t xml:space="preserve">. 2 (Amended Spectrum Aggregation), </w:t>
      </w:r>
      <w:r w:rsidRPr="00212FDB">
        <w:rPr>
          <w:color w:val="000000"/>
        </w:rPr>
        <w:t>Exh</w:t>
      </w:r>
      <w:r w:rsidRPr="00212FDB">
        <w:rPr>
          <w:color w:val="000000"/>
        </w:rPr>
        <w:t>. 3 (Wireless Competition).</w:t>
      </w:r>
    </w:p>
  </w:footnote>
  <w:footnote w:id="112">
    <w:p w:rsidR="00A40FA9" w:rsidRPr="00112147" w:rsidP="00A40FA9" w14:paraId="270EF412" w14:textId="77777777">
      <w:pPr>
        <w:pStyle w:val="FootnoteText"/>
      </w:pPr>
      <w:r>
        <w:rPr>
          <w:rStyle w:val="FootnoteReference"/>
        </w:rPr>
        <w:footnoteRef/>
      </w:r>
      <w:r>
        <w:t xml:space="preserve"> </w:t>
      </w:r>
      <w:r w:rsidRPr="00D423D7">
        <w:rPr>
          <w:i/>
        </w:rPr>
        <w:t>See</w:t>
      </w:r>
      <w:r w:rsidRPr="00D423D7">
        <w:t xml:space="preserve"> Joint Opposition at </w:t>
      </w:r>
      <w:r>
        <w:t>4–</w:t>
      </w:r>
      <w:r w:rsidRPr="00D423D7">
        <w:t>5</w:t>
      </w:r>
      <w:r>
        <w:t xml:space="preserve"> (citing </w:t>
      </w:r>
      <w:r w:rsidRPr="00D423D7">
        <w:t>Public Interest Statement at 1</w:t>
      </w:r>
      <w:r>
        <w:t xml:space="preserve">); </w:t>
      </w:r>
      <w:r w:rsidRPr="00D423D7">
        <w:t>Public Interest Statement at</w:t>
      </w:r>
      <w:r>
        <w:t xml:space="preserve"> 1, </w:t>
      </w:r>
      <w:r w:rsidRPr="00212FDB">
        <w:rPr>
          <w:color w:val="000000"/>
        </w:rPr>
        <w:t>Exh</w:t>
      </w:r>
      <w:r w:rsidRPr="00212FDB">
        <w:rPr>
          <w:color w:val="000000"/>
        </w:rPr>
        <w:t>. 3 (Wireless Competition) (comparing Verizon Wireless’s wireless spectrum holdings with those of other licensees in the relevant markets); Joint Opposition at 5 (</w:t>
      </w:r>
      <w:r w:rsidRPr="006E5139">
        <w:t>contend</w:t>
      </w:r>
      <w:r>
        <w:t xml:space="preserve">ing </w:t>
      </w:r>
      <w:r w:rsidRPr="006E5139">
        <w:t xml:space="preserve">that </w:t>
      </w:r>
      <w:r>
        <w:t xml:space="preserve">the claimed network </w:t>
      </w:r>
      <w:r w:rsidRPr="006E5139">
        <w:t>improvements will foster competition</w:t>
      </w:r>
      <w:r w:rsidRPr="00741058">
        <w:t xml:space="preserve"> </w:t>
      </w:r>
      <w:r>
        <w:t xml:space="preserve">in an </w:t>
      </w:r>
      <w:r w:rsidRPr="00741058">
        <w:t>evolving wireless market</w:t>
      </w:r>
      <w:r w:rsidRPr="00212FDB">
        <w:rPr>
          <w:color w:val="000000"/>
        </w:rPr>
        <w:t xml:space="preserve">); </w:t>
      </w:r>
      <w:r w:rsidRPr="00212FDB">
        <w:rPr>
          <w:i/>
          <w:iCs/>
          <w:color w:val="000000"/>
        </w:rPr>
        <w:t>id.</w:t>
      </w:r>
      <w:r>
        <w:t xml:space="preserve"> at 4–5 (explaining that these benefits will be enabled in part by the ability of</w:t>
      </w:r>
      <w:r w:rsidRPr="00112FEF">
        <w:t xml:space="preserve"> below-1 GHz </w:t>
      </w:r>
      <w:r>
        <w:t xml:space="preserve">cellular </w:t>
      </w:r>
      <w:r w:rsidRPr="00112FEF">
        <w:t xml:space="preserve">spectrum to </w:t>
      </w:r>
      <w:r>
        <w:t xml:space="preserve">provide coverage and connectivity over </w:t>
      </w:r>
      <w:r w:rsidRPr="00112FEF">
        <w:t>broad geographic areas</w:t>
      </w:r>
      <w:r>
        <w:t xml:space="preserve">).  We also credit the Applicants’ claims that Verizon Wireless will attain some </w:t>
      </w:r>
      <w:r w:rsidRPr="00112FEF">
        <w:t xml:space="preserve">spectral efficiency and capacity </w:t>
      </w:r>
      <w:r>
        <w:t xml:space="preserve">gains due to the greater contiguity of spectrum enabled by combining the acquired spectrum holdings with its existing holdings.  </w:t>
      </w:r>
      <w:r w:rsidRPr="00D423D7">
        <w:t>Joint Opposition at 5; Public Interest Statement at 1</w:t>
      </w:r>
      <w:r w:rsidRPr="00212FDB">
        <w:rPr>
          <w:color w:val="000000"/>
        </w:rPr>
        <w:t xml:space="preserve">, </w:t>
      </w:r>
      <w:r w:rsidRPr="00D423D7">
        <w:t>Exh</w:t>
      </w:r>
      <w:r w:rsidRPr="00D423D7">
        <w:t>. 2 (Amended Spectrum Aggregation)</w:t>
      </w:r>
      <w:r w:rsidRPr="00212FDB">
        <w:rPr>
          <w:color w:val="000000"/>
        </w:rPr>
        <w:t xml:space="preserve">; </w:t>
      </w:r>
      <w:r w:rsidRPr="00212FDB">
        <w:rPr>
          <w:i/>
          <w:iCs/>
          <w:color w:val="000000"/>
        </w:rPr>
        <w:t>see also</w:t>
      </w:r>
      <w:r w:rsidRPr="00212FDB">
        <w:rPr>
          <w:color w:val="000000"/>
        </w:rPr>
        <w:t xml:space="preserve"> </w:t>
      </w:r>
      <w:r w:rsidRPr="00D423D7">
        <w:rPr>
          <w:i/>
          <w:iCs/>
        </w:rPr>
        <w:t xml:space="preserve">Applications of AT&amp;T Inc., </w:t>
      </w:r>
      <w:r w:rsidRPr="00D423D7">
        <w:rPr>
          <w:i/>
          <w:iCs/>
        </w:rPr>
        <w:t>Cellco</w:t>
      </w:r>
      <w:r w:rsidRPr="00D423D7">
        <w:rPr>
          <w:i/>
          <w:iCs/>
        </w:rPr>
        <w:t xml:space="preserve"> Partnership d/b/a Verizon Wireless, Grain Spectrum, LLC, and Grain Spectrum II, LLC for Consent to Assign and Lease AWS-1 and Lower 700 MHz Licenses</w:t>
      </w:r>
      <w:r w:rsidRPr="00D423D7">
        <w:t xml:space="preserve">, WT Docket No. 13-56, Memorandum Opinion and Order, 28 FCC </w:t>
      </w:r>
      <w:r w:rsidRPr="00D423D7">
        <w:t>Rcd</w:t>
      </w:r>
      <w:r w:rsidRPr="00D423D7">
        <w:t xml:space="preserve"> 12878, 12901</w:t>
      </w:r>
      <w:r>
        <w:t>–</w:t>
      </w:r>
      <w:r w:rsidRPr="00D423D7">
        <w:t>902, paras. 56, 59 (WTB 2013).</w:t>
      </w:r>
    </w:p>
  </w:footnote>
  <w:footnote w:id="113">
    <w:p w:rsidR="00A40FA9" w:rsidRPr="00D423D7" w:rsidP="00A40FA9" w14:paraId="03B625AB" w14:textId="77777777">
      <w:pPr>
        <w:pStyle w:val="FootnoteText"/>
      </w:pPr>
      <w:r w:rsidRPr="00212FDB">
        <w:rPr>
          <w:rStyle w:val="FootnoteReference"/>
        </w:rPr>
        <w:footnoteRef/>
      </w:r>
      <w:r w:rsidRPr="00D423D7">
        <w:t xml:space="preserve"> Joint Opposition at </w:t>
      </w:r>
      <w:r>
        <w:t>2, 4–</w:t>
      </w:r>
      <w:r w:rsidRPr="00D423D7">
        <w:t>5</w:t>
      </w:r>
      <w:r>
        <w:t xml:space="preserve"> &amp; n.8 (citing Public Interest Statement)</w:t>
      </w:r>
      <w:r w:rsidRPr="00D423D7">
        <w:t xml:space="preserve">; </w:t>
      </w:r>
      <w:r w:rsidRPr="00D423D7">
        <w:rPr>
          <w:i/>
          <w:iCs/>
        </w:rPr>
        <w:t>see also</w:t>
      </w:r>
      <w:r w:rsidRPr="00D423D7">
        <w:t xml:space="preserve"> Public Interest Statement at 1, </w:t>
      </w:r>
      <w:r w:rsidRPr="00212FDB">
        <w:rPr>
          <w:color w:val="000000"/>
        </w:rPr>
        <w:t>Exh</w:t>
      </w:r>
      <w:r w:rsidRPr="00212FDB">
        <w:rPr>
          <w:color w:val="000000"/>
        </w:rPr>
        <w:t>. 2 (Amended Spectrum Aggregation).</w:t>
      </w:r>
    </w:p>
  </w:footnote>
  <w:footnote w:id="114">
    <w:p w:rsidR="00A40FA9" w:rsidP="00A40FA9" w14:paraId="7DCFBD66" w14:textId="77777777">
      <w:pPr>
        <w:pStyle w:val="FootnoteText"/>
      </w:pPr>
      <w:r>
        <w:rPr>
          <w:rStyle w:val="FootnoteReference"/>
        </w:rPr>
        <w:footnoteRef/>
      </w:r>
      <w:r>
        <w:t xml:space="preserve"> J</w:t>
      </w:r>
      <w:r w:rsidRPr="00D423D7">
        <w:t xml:space="preserve">oint Opposition at </w:t>
      </w:r>
      <w:r>
        <w:t>4.</w:t>
      </w:r>
    </w:p>
  </w:footnote>
  <w:footnote w:id="115">
    <w:p w:rsidR="00A40FA9" w:rsidP="00A40FA9" w14:paraId="25A1FFAC" w14:textId="77777777">
      <w:pPr>
        <w:pStyle w:val="FootnoteText"/>
      </w:pPr>
      <w:r>
        <w:rPr>
          <w:rStyle w:val="FootnoteReference"/>
        </w:rPr>
        <w:footnoteRef/>
      </w:r>
      <w:r>
        <w:t xml:space="preserve"> ULS File No. </w:t>
      </w:r>
      <w:bookmarkStart w:id="255" w:name="_Hlk226627263"/>
      <w:r w:rsidRPr="00A66B02">
        <w:t>0011988930</w:t>
      </w:r>
      <w:r>
        <w:t xml:space="preserve"> (lead application), </w:t>
      </w:r>
      <w:r>
        <w:t>Exh</w:t>
      </w:r>
      <w:r>
        <w:t>. 1, Description of Lease and Public Interest Statement (filed Apr. 9, 2026).</w:t>
      </w:r>
      <w:bookmarkEnd w:id="255"/>
    </w:p>
  </w:footnote>
  <w:footnote w:id="116">
    <w:p w:rsidR="00A40FA9" w:rsidRPr="00D423D7" w:rsidP="00A40FA9" w14:paraId="52DA28A6" w14:textId="77777777">
      <w:pPr>
        <w:pStyle w:val="FootnoteText"/>
      </w:pPr>
      <w:r w:rsidRPr="00D423D7">
        <w:rPr>
          <w:rStyle w:val="FootnoteReference"/>
        </w:rPr>
        <w:footnoteRef/>
      </w:r>
      <w:r w:rsidRPr="00D423D7">
        <w:t xml:space="preserve"> </w:t>
      </w:r>
      <w:r w:rsidRPr="00D423D7">
        <w:rPr>
          <w:i/>
          <w:iCs/>
        </w:rPr>
        <w:t>See</w:t>
      </w:r>
      <w:r w:rsidRPr="00D423D7">
        <w:t xml:space="preserve"> </w:t>
      </w:r>
      <w:r w:rsidRPr="00AE1C45">
        <w:t>Public Knowledge et al. Petition to Deny at 7, 12</w:t>
      </w:r>
      <w:r>
        <w:t>–</w:t>
      </w:r>
      <w:r w:rsidRPr="00AE1C45">
        <w:t>13; RWA Reply at 3</w:t>
      </w:r>
      <w:r>
        <w:t>–</w:t>
      </w:r>
      <w:r w:rsidRPr="00AE1C45">
        <w:t>6 (contending that Applicants do not provide quantifiable support for their claims of greater output and faster speeds); Coalition Filers July 3</w:t>
      </w:r>
      <w:r w:rsidRPr="00AE1C45">
        <w:rPr>
          <w:i/>
          <w:iCs/>
        </w:rPr>
        <w:t xml:space="preserve"> Ex </w:t>
      </w:r>
      <w:r w:rsidRPr="00AE1C45">
        <w:rPr>
          <w:i/>
          <w:iCs/>
        </w:rPr>
        <w:t>Parte</w:t>
      </w:r>
      <w:r w:rsidRPr="00AE1C45">
        <w:rPr>
          <w:i/>
          <w:iCs/>
        </w:rPr>
        <w:t xml:space="preserve"> </w:t>
      </w:r>
      <w:r w:rsidRPr="00572D1F">
        <w:t>Letter</w:t>
      </w:r>
      <w:r w:rsidRPr="00AE1C45">
        <w:rPr>
          <w:i/>
          <w:iCs/>
        </w:rPr>
        <w:t xml:space="preserve"> </w:t>
      </w:r>
      <w:r w:rsidRPr="00AE1C45">
        <w:t>at 3; Coalition Filers July 18</w:t>
      </w:r>
      <w:r w:rsidRPr="00AE1C45">
        <w:rPr>
          <w:i/>
          <w:iCs/>
        </w:rPr>
        <w:t xml:space="preserve"> Ex </w:t>
      </w:r>
      <w:r w:rsidRPr="00AE1C45">
        <w:rPr>
          <w:i/>
          <w:iCs/>
        </w:rPr>
        <w:t>Parte</w:t>
      </w:r>
      <w:r w:rsidRPr="00AE1C45">
        <w:rPr>
          <w:i/>
          <w:iCs/>
        </w:rPr>
        <w:t xml:space="preserve"> </w:t>
      </w:r>
      <w:r w:rsidRPr="000368EE">
        <w:rPr>
          <w:iCs/>
        </w:rPr>
        <w:t>Letter</w:t>
      </w:r>
      <w:r w:rsidRPr="00AE1C45">
        <w:rPr>
          <w:i/>
          <w:iCs/>
        </w:rPr>
        <w:t xml:space="preserve"> </w:t>
      </w:r>
      <w:r w:rsidRPr="00AE1C45">
        <w:t>at 3; Coalition Filers July 18</w:t>
      </w:r>
      <w:r w:rsidRPr="00AE1C45">
        <w:rPr>
          <w:i/>
          <w:iCs/>
        </w:rPr>
        <w:t xml:space="preserve"> Ex </w:t>
      </w:r>
      <w:r w:rsidRPr="00AE1C45">
        <w:rPr>
          <w:i/>
          <w:iCs/>
        </w:rPr>
        <w:t>Parte</w:t>
      </w:r>
      <w:r w:rsidRPr="00AE1C45">
        <w:rPr>
          <w:i/>
          <w:iCs/>
        </w:rPr>
        <w:t xml:space="preserve"> </w:t>
      </w:r>
      <w:r w:rsidRPr="000368EE">
        <w:rPr>
          <w:iCs/>
        </w:rPr>
        <w:t>Letter</w:t>
      </w:r>
      <w:r w:rsidRPr="00AE1C45">
        <w:rPr>
          <w:i/>
          <w:iCs/>
        </w:rPr>
        <w:t xml:space="preserve"> </w:t>
      </w:r>
      <w:r w:rsidRPr="00AE1C45">
        <w:t>at 3</w:t>
      </w:r>
      <w:r>
        <w:t>–</w:t>
      </w:r>
      <w:r w:rsidRPr="00AE1C45">
        <w:t xml:space="preserve">4.  </w:t>
      </w:r>
    </w:p>
  </w:footnote>
  <w:footnote w:id="117">
    <w:p w:rsidR="00A40FA9" w:rsidRPr="00112147" w:rsidP="00A40FA9" w14:paraId="165646DE" w14:textId="77777777">
      <w:pPr>
        <w:pStyle w:val="FootnoteText"/>
      </w:pPr>
      <w:r>
        <w:rPr>
          <w:rStyle w:val="FootnoteReference"/>
        </w:rPr>
        <w:footnoteRef/>
      </w:r>
      <w:r>
        <w:t xml:space="preserve"> </w:t>
      </w:r>
      <w:r w:rsidRPr="00D423D7">
        <w:rPr>
          <w:i/>
        </w:rPr>
        <w:t>See</w:t>
      </w:r>
      <w:r w:rsidRPr="00D423D7">
        <w:t xml:space="preserve"> Public Interest Statement</w:t>
      </w:r>
      <w:r w:rsidRPr="00212FDB">
        <w:rPr>
          <w:color w:val="000000"/>
        </w:rPr>
        <w:t xml:space="preserve"> at 1,</w:t>
      </w:r>
      <w:r w:rsidRPr="00212FDB">
        <w:rPr>
          <w:i/>
          <w:iCs/>
          <w:color w:val="000000"/>
        </w:rPr>
        <w:t xml:space="preserve"> </w:t>
      </w:r>
      <w:r w:rsidRPr="00212FDB">
        <w:rPr>
          <w:color w:val="000000"/>
        </w:rPr>
        <w:t>Exh</w:t>
      </w:r>
      <w:r w:rsidRPr="00212FDB">
        <w:rPr>
          <w:color w:val="000000"/>
        </w:rPr>
        <w:t xml:space="preserve">. 2 (Amended Spectrum Aggregation), </w:t>
      </w:r>
      <w:r w:rsidRPr="00212FDB">
        <w:rPr>
          <w:color w:val="000000"/>
        </w:rPr>
        <w:t>Exh</w:t>
      </w:r>
      <w:r w:rsidRPr="00212FDB">
        <w:rPr>
          <w:color w:val="000000"/>
        </w:rPr>
        <w:t xml:space="preserve">. 3 (Wireless Competition); </w:t>
      </w:r>
      <w:r w:rsidRPr="00D423D7">
        <w:t xml:space="preserve">Joint Opposition at </w:t>
      </w:r>
      <w:r>
        <w:t>4–</w:t>
      </w:r>
      <w:r w:rsidRPr="00D423D7">
        <w:t>5</w:t>
      </w:r>
      <w:r>
        <w:t xml:space="preserve"> (describing </w:t>
      </w:r>
      <w:r w:rsidRPr="00112FEF">
        <w:t>Verizon</w:t>
      </w:r>
      <w:r>
        <w:t>’s</w:t>
      </w:r>
      <w:r w:rsidRPr="00112FEF">
        <w:t xml:space="preserve"> history of enhancing network deployment</w:t>
      </w:r>
      <w:r>
        <w:t xml:space="preserve">); </w:t>
      </w:r>
      <w:r w:rsidRPr="00D423D7">
        <w:rPr>
          <w:i/>
          <w:iCs/>
        </w:rPr>
        <w:t xml:space="preserve">see also </w:t>
      </w:r>
      <w:r w:rsidRPr="00D423D7">
        <w:t xml:space="preserve">Press Release, Verizon, Verizon Has the Best 5G Network in America (Feb. 11, 2025), </w:t>
      </w:r>
      <w:hyperlink r:id="rId8" w:history="1">
        <w:r w:rsidRPr="00D423D7">
          <w:rPr>
            <w:rStyle w:val="Hyperlink"/>
          </w:rPr>
          <w:t>https://www.verizon.com/about/news/verizon-has-best-5g-network-america</w:t>
        </w:r>
      </w:hyperlink>
      <w:r w:rsidRPr="00D423D7">
        <w:t xml:space="preserve">; Press Release, Verizon, Verizon Delivers a One-Two Punch with Best Wireless Network Performance Results (July 23, 2025), </w:t>
      </w:r>
      <w:hyperlink r:id="rId9" w:history="1">
        <w:r w:rsidRPr="00D423D7">
          <w:rPr>
            <w:rStyle w:val="Hyperlink"/>
          </w:rPr>
          <w:t>https://www.verizon.com/about/news/verizon-delivers-best-wireless-network-performance-results</w:t>
        </w:r>
      </w:hyperlink>
      <w:r w:rsidRPr="00D423D7">
        <w:t xml:space="preserve"> (each describing Verizon’s expansion of its network and related operations in recent years</w:t>
      </w:r>
      <w:r>
        <w:t>).</w:t>
      </w:r>
    </w:p>
  </w:footnote>
  <w:footnote w:id="118">
    <w:p w:rsidR="00A40FA9" w:rsidRPr="00D423D7" w:rsidP="00A40FA9" w14:paraId="06E96EF8" w14:textId="77777777">
      <w:pPr>
        <w:pStyle w:val="FootnoteText"/>
      </w:pPr>
      <w:r w:rsidRPr="00D423D7">
        <w:rPr>
          <w:rStyle w:val="FootnoteReference"/>
        </w:rPr>
        <w:footnoteRef/>
      </w:r>
      <w:r w:rsidRPr="00D423D7">
        <w:t xml:space="preserve"> TDS and </w:t>
      </w:r>
      <w:r w:rsidRPr="00D423D7">
        <w:t>UScellular</w:t>
      </w:r>
      <w:r w:rsidRPr="00D423D7">
        <w:t xml:space="preserve"> Aug. 1 News Release.</w:t>
      </w:r>
    </w:p>
  </w:footnote>
  <w:footnote w:id="119">
    <w:p w:rsidR="00A40FA9" w:rsidP="00A40FA9" w14:paraId="4452DC09" w14:textId="77777777">
      <w:pPr>
        <w:pStyle w:val="FootnoteText"/>
      </w:pPr>
      <w:r>
        <w:rPr>
          <w:rStyle w:val="FootnoteReference"/>
        </w:rPr>
        <w:footnoteRef/>
      </w:r>
      <w:r>
        <w:t xml:space="preserve"> </w:t>
      </w:r>
      <w:r w:rsidRPr="00D423D7">
        <w:t>RWA Petition to Deny at</w:t>
      </w:r>
      <w:r>
        <w:t xml:space="preserve"> 11–13; RWA Reply at 6–8.</w:t>
      </w:r>
    </w:p>
  </w:footnote>
  <w:footnote w:id="120">
    <w:p w:rsidR="00A40FA9" w:rsidP="00A40FA9" w14:paraId="39D02B19" w14:textId="77777777">
      <w:pPr>
        <w:pStyle w:val="FootnoteText"/>
      </w:pPr>
      <w:r>
        <w:rPr>
          <w:rStyle w:val="FootnoteReference"/>
        </w:rPr>
        <w:footnoteRef/>
      </w:r>
      <w:r>
        <w:t xml:space="preserve"> </w:t>
      </w:r>
      <w:r w:rsidRPr="00D423D7">
        <w:t>RWA Petition to Deny at</w:t>
      </w:r>
      <w:r>
        <w:t xml:space="preserve"> 11–13; RWA Reply at 6–8.  </w:t>
      </w:r>
    </w:p>
  </w:footnote>
  <w:footnote w:id="121">
    <w:p w:rsidR="00A40FA9" w:rsidP="00A40FA9" w14:paraId="02123228" w14:textId="77777777">
      <w:pPr>
        <w:pStyle w:val="FootnoteText"/>
      </w:pPr>
      <w:r>
        <w:rPr>
          <w:rStyle w:val="FootnoteReference"/>
        </w:rPr>
        <w:footnoteRef/>
      </w:r>
      <w:r>
        <w:t xml:space="preserve"> RWA Petition to Deny at 2, 5 &amp; n.18, 11–13.  </w:t>
      </w:r>
      <w:r w:rsidRPr="00EB6114">
        <w:t>The Commission eliminated the cellular cross-interest rule for rural service areas that had prevented an entity from having an ownership interest in both A-Block and B-Block licenses, in favor of a case-by-case approach.</w:t>
      </w:r>
      <w:r>
        <w:t xml:space="preserve">  </w:t>
      </w:r>
      <w:r w:rsidRPr="00EB6114">
        <w:rPr>
          <w:i/>
          <w:iCs/>
        </w:rPr>
        <w:t>See</w:t>
      </w:r>
      <w:r w:rsidRPr="006F3E85">
        <w:rPr>
          <w:i/>
          <w:iCs/>
        </w:rPr>
        <w:t>,</w:t>
      </w:r>
      <w:r w:rsidRPr="00EB6114">
        <w:rPr>
          <w:i/>
          <w:iCs/>
        </w:rPr>
        <w:t xml:space="preserve"> e.g.</w:t>
      </w:r>
      <w:r w:rsidRPr="00EB6114">
        <w:t xml:space="preserve">, </w:t>
      </w:r>
      <w:r w:rsidRPr="00EB6114">
        <w:rPr>
          <w:i/>
          <w:iCs/>
        </w:rPr>
        <w:t>Mobile Spectrum Holdings Report and Order</w:t>
      </w:r>
      <w:r w:rsidRPr="00EB6114">
        <w:t xml:space="preserve">, 29 FCC </w:t>
      </w:r>
      <w:r w:rsidRPr="00EB6114">
        <w:t>Rcd</w:t>
      </w:r>
      <w:r w:rsidRPr="00EB6114">
        <w:t xml:space="preserve"> at 6229, para. 250 &amp; n.666.</w:t>
      </w:r>
      <w:r>
        <w:t xml:space="preserve">  </w:t>
      </w:r>
      <w:r w:rsidRPr="00EB6114">
        <w:t>We note that numerous spectrum bands have been added into service since the 2008 case Petitioners urge us to rely upon</w:t>
      </w:r>
      <w:r>
        <w:t xml:space="preserve">.  </w:t>
      </w:r>
      <w:r w:rsidRPr="00EB6114">
        <w:t>RWA Petition to Deny at 11</w:t>
      </w:r>
      <w:r>
        <w:t>–</w:t>
      </w:r>
      <w:r w:rsidRPr="00EB6114">
        <w:t>13.</w:t>
      </w:r>
    </w:p>
  </w:footnote>
  <w:footnote w:id="122">
    <w:p w:rsidR="00A40FA9" w:rsidP="00A40FA9" w14:paraId="0F1AD45E" w14:textId="77777777">
      <w:pPr>
        <w:pStyle w:val="FootnoteText"/>
      </w:pPr>
      <w:r>
        <w:rPr>
          <w:rStyle w:val="FootnoteReference"/>
        </w:rPr>
        <w:footnoteRef/>
      </w:r>
      <w:r>
        <w:t xml:space="preserve"> </w:t>
      </w:r>
      <w:r>
        <w:rPr>
          <w:i/>
          <w:iCs/>
        </w:rPr>
        <w:t>See</w:t>
      </w:r>
      <w:r w:rsidRPr="006F3E85">
        <w:rPr>
          <w:i/>
          <w:iCs/>
        </w:rPr>
        <w:t>,</w:t>
      </w:r>
      <w:r>
        <w:t xml:space="preserve"> </w:t>
      </w:r>
      <w:r w:rsidRPr="00572D1F">
        <w:rPr>
          <w:i/>
          <w:iCs/>
        </w:rPr>
        <w:t>e.g.</w:t>
      </w:r>
      <w:r>
        <w:t>,</w:t>
      </w:r>
      <w:r>
        <w:rPr>
          <w:i/>
        </w:rPr>
        <w:t xml:space="preserve"> </w:t>
      </w:r>
      <w:r w:rsidRPr="00D423D7">
        <w:t xml:space="preserve">RWA Petition to Deny at </w:t>
      </w:r>
      <w:r>
        <w:t xml:space="preserve">6–10, </w:t>
      </w:r>
      <w:r w:rsidRPr="00D423D7">
        <w:t>13</w:t>
      </w:r>
      <w:r>
        <w:t>–</w:t>
      </w:r>
      <w:r w:rsidRPr="00D423D7">
        <w:t>15; RWA Reply at 8</w:t>
      </w:r>
      <w:r>
        <w:t>–</w:t>
      </w:r>
      <w:r w:rsidRPr="00D423D7">
        <w:t>10</w:t>
      </w:r>
      <w:r>
        <w:t xml:space="preserve">; </w:t>
      </w:r>
      <w:r w:rsidRPr="00A95808">
        <w:t xml:space="preserve">Coalition Filers July </w:t>
      </w:r>
      <w:r w:rsidRPr="00D423D7">
        <w:t>3</w:t>
      </w:r>
      <w:r w:rsidRPr="00A95808">
        <w:rPr>
          <w:i/>
          <w:iCs/>
        </w:rPr>
        <w:t xml:space="preserve"> Ex </w:t>
      </w:r>
      <w:r w:rsidRPr="00A95808">
        <w:rPr>
          <w:i/>
          <w:iCs/>
        </w:rPr>
        <w:t>Parte</w:t>
      </w:r>
      <w:r w:rsidRPr="00A95808">
        <w:rPr>
          <w:i/>
          <w:iCs/>
        </w:rPr>
        <w:t xml:space="preserve"> </w:t>
      </w:r>
      <w:r w:rsidRPr="000368EE">
        <w:rPr>
          <w:iCs/>
        </w:rPr>
        <w:t>Letter</w:t>
      </w:r>
      <w:r w:rsidRPr="00A95808">
        <w:rPr>
          <w:i/>
          <w:iCs/>
        </w:rPr>
        <w:t xml:space="preserve"> </w:t>
      </w:r>
      <w:r w:rsidRPr="00A95808">
        <w:t xml:space="preserve">at </w:t>
      </w:r>
      <w:r>
        <w:t xml:space="preserve">2; </w:t>
      </w:r>
      <w:r w:rsidRPr="00D423D7">
        <w:t>Coalition Filers July 18</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 xml:space="preserve">at 2.  </w:t>
      </w:r>
    </w:p>
  </w:footnote>
  <w:footnote w:id="123">
    <w:p w:rsidR="00A40FA9" w:rsidRPr="00D423D7" w:rsidP="00A40FA9" w14:paraId="1351D798" w14:textId="77777777">
      <w:pPr>
        <w:pStyle w:val="FootnoteText"/>
      </w:pPr>
      <w:r w:rsidRPr="00D423D7">
        <w:rPr>
          <w:rStyle w:val="FootnoteReference"/>
        </w:rPr>
        <w:footnoteRef/>
      </w:r>
      <w:r w:rsidRPr="00D423D7">
        <w:t xml:space="preserve"> </w:t>
      </w:r>
      <w:r w:rsidRPr="00D423D7">
        <w:rPr>
          <w:i/>
        </w:rPr>
        <w:t>T-Mobile</w:t>
      </w:r>
      <w:r w:rsidRPr="00D423D7">
        <w:rPr>
          <w:i/>
          <w:iCs/>
        </w:rPr>
        <w:t>-</w:t>
      </w:r>
      <w:r w:rsidRPr="00D423D7">
        <w:rPr>
          <w:i/>
        </w:rPr>
        <w:t>Sprint</w:t>
      </w:r>
      <w:r w:rsidRPr="00D423D7">
        <w:rPr>
          <w:i/>
          <w:iCs/>
        </w:rPr>
        <w:t xml:space="preserve"> Order</w:t>
      </w:r>
      <w:r w:rsidRPr="00D423D7">
        <w:t>,</w:t>
      </w:r>
      <w:r w:rsidRPr="00D423D7">
        <w:rPr>
          <w:i/>
        </w:rPr>
        <w:t xml:space="preserve"> </w:t>
      </w:r>
      <w:r w:rsidRPr="00D423D7">
        <w:t xml:space="preserve">34 FCC </w:t>
      </w:r>
      <w:r w:rsidRPr="00D423D7">
        <w:t>Rcd</w:t>
      </w:r>
      <w:r w:rsidRPr="00D423D7">
        <w:t xml:space="preserve"> at </w:t>
      </w:r>
      <w:r w:rsidRPr="00E10200">
        <w:t>107</w:t>
      </w:r>
      <w:r>
        <w:t>08–</w:t>
      </w:r>
      <w:r w:rsidRPr="00D423D7">
        <w:t xml:space="preserve">11, paras. </w:t>
      </w:r>
      <w:r w:rsidRPr="00E10200">
        <w:t>29</w:t>
      </w:r>
      <w:r>
        <w:t>3–</w:t>
      </w:r>
      <w:r w:rsidRPr="00D423D7">
        <w:t>98 &amp; n</w:t>
      </w:r>
      <w:r>
        <w:t>n</w:t>
      </w:r>
      <w:r w:rsidRPr="00D423D7">
        <w:t>.1021</w:t>
      </w:r>
      <w:r>
        <w:t>,</w:t>
      </w:r>
      <w:r w:rsidRPr="00D423D7">
        <w:t xml:space="preserve"> </w:t>
      </w:r>
      <w:r w:rsidRPr="00D423D7">
        <w:t>1028 (declining roaming conditions including reciprocal roaming</w:t>
      </w:r>
      <w:r>
        <w:t xml:space="preserve"> and VoLTE conditions</w:t>
      </w:r>
      <w:r w:rsidRPr="00D423D7">
        <w:t xml:space="preserve"> as not narrowly tailored to remedy harms arising from the transaction);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4839</w:t>
      </w:r>
      <w:r>
        <w:t>–</w:t>
      </w:r>
      <w:r w:rsidRPr="00D423D7">
        <w:t>40, paras. 121</w:t>
      </w:r>
      <w:r>
        <w:t>–</w:t>
      </w:r>
      <w:r w:rsidRPr="00D423D7">
        <w:t xml:space="preserve">22 (declining roaming conditions); </w:t>
      </w:r>
      <w:r w:rsidRPr="00D423D7">
        <w:rPr>
          <w:i/>
          <w:iCs/>
        </w:rPr>
        <w:t>AT&amp;T-</w:t>
      </w:r>
      <w:r w:rsidRPr="00D423D7">
        <w:rPr>
          <w:i/>
        </w:rPr>
        <w:t>Array</w:t>
      </w:r>
      <w:r w:rsidRPr="00D423D7">
        <w:rPr>
          <w:i/>
          <w:iCs/>
        </w:rPr>
        <w:t xml:space="preserve"> Order</w:t>
      </w:r>
      <w:r w:rsidRPr="00D423D7">
        <w:t xml:space="preserve"> at 22, para. 46</w:t>
      </w:r>
      <w:r>
        <w:t xml:space="preserve"> &amp; n.160</w:t>
      </w:r>
      <w:r w:rsidRPr="00D423D7">
        <w:t xml:space="preserve"> (declining roaming conditions).  We note that RWA presents generalized arguments that “rural carriers could have difficulty” entering into reciprocal roaming agreements with </w:t>
      </w:r>
      <w:r>
        <w:t>Verizon Wireless</w:t>
      </w:r>
      <w:r w:rsidRPr="00D423D7">
        <w:t xml:space="preserve">; however, RWA fails to support these arguments or </w:t>
      </w:r>
      <w:r>
        <w:t xml:space="preserve">explain </w:t>
      </w:r>
      <w:r w:rsidRPr="00D423D7">
        <w:t xml:space="preserve">how the claims are related to the spectrum transfer at issue.  Similarly, RWA argues that </w:t>
      </w:r>
      <w:r>
        <w:t>Verizon Wireless</w:t>
      </w:r>
      <w:r w:rsidRPr="00D423D7">
        <w:t xml:space="preserve"> should be required to implement network handovers with rural partners; however, RWA fails to establish how the network handovers relate to the </w:t>
      </w:r>
      <w:r>
        <w:t>spectrum assignment</w:t>
      </w:r>
      <w:r w:rsidRPr="00D423D7">
        <w:t>.  Thus, we find RWA</w:t>
      </w:r>
      <w:r>
        <w:t>’</w:t>
      </w:r>
      <w:r w:rsidRPr="00D423D7">
        <w:t>s generalized claims are not supported by the record and are not transaction</w:t>
      </w:r>
      <w:r>
        <w:t>-related</w:t>
      </w:r>
      <w:r w:rsidRPr="00D423D7">
        <w:t>.  RWA Petition to Deny at 13</w:t>
      </w:r>
      <w:r>
        <w:t>–</w:t>
      </w:r>
      <w:r w:rsidRPr="00D423D7">
        <w:t>15;  RWA Reply at 8</w:t>
      </w:r>
      <w:r>
        <w:t>–</w:t>
      </w:r>
      <w:r w:rsidRPr="00D423D7">
        <w:t>10 &amp; n.46 (</w:t>
      </w:r>
      <w:r w:rsidRPr="000E5693">
        <w:t>RWA presenting the same generalized claims against AT&amp;T in its reply to the Joint Opposition</w:t>
      </w:r>
      <w:r>
        <w:t xml:space="preserve"> in this transaction</w:t>
      </w:r>
      <w:r w:rsidRPr="00D423D7">
        <w:t>)</w:t>
      </w:r>
      <w:r>
        <w:t xml:space="preserve">; </w:t>
      </w:r>
      <w:r w:rsidRPr="008902F9">
        <w:rPr>
          <w:i/>
          <w:iCs/>
        </w:rPr>
        <w:t>see also</w:t>
      </w:r>
      <w:r>
        <w:t xml:space="preserve"> </w:t>
      </w:r>
      <w:r w:rsidRPr="00A95808">
        <w:t>Coalition Filers July 18</w:t>
      </w:r>
      <w:r w:rsidRPr="00A95808">
        <w:rPr>
          <w:i/>
          <w:iCs/>
        </w:rPr>
        <w:t xml:space="preserve"> Ex </w:t>
      </w:r>
      <w:r w:rsidRPr="00A95808">
        <w:rPr>
          <w:i/>
          <w:iCs/>
        </w:rPr>
        <w:t>Parte</w:t>
      </w:r>
      <w:r w:rsidRPr="00A95808">
        <w:rPr>
          <w:i/>
          <w:iCs/>
        </w:rPr>
        <w:t xml:space="preserve"> </w:t>
      </w:r>
      <w:r w:rsidRPr="000368EE">
        <w:rPr>
          <w:iCs/>
        </w:rPr>
        <w:t>Letter</w:t>
      </w:r>
      <w:r w:rsidRPr="00A95808">
        <w:rPr>
          <w:i/>
          <w:iCs/>
        </w:rPr>
        <w:t xml:space="preserve"> </w:t>
      </w:r>
      <w:r w:rsidRPr="00A95808">
        <w:t xml:space="preserve">at </w:t>
      </w:r>
      <w:r>
        <w:t>2</w:t>
      </w:r>
      <w:r w:rsidRPr="00D423D7">
        <w:t>.</w:t>
      </w:r>
      <w:r>
        <w:t xml:space="preserve">  </w:t>
      </w:r>
    </w:p>
  </w:footnote>
  <w:footnote w:id="124">
    <w:p w:rsidR="00A40FA9" w:rsidRPr="00D423D7" w:rsidP="00A40FA9" w14:paraId="45C8AA99" w14:textId="77777777">
      <w:pPr>
        <w:pStyle w:val="FootnoteText"/>
      </w:pPr>
      <w:r w:rsidRPr="00D423D7">
        <w:rPr>
          <w:rStyle w:val="FootnoteReference"/>
        </w:rPr>
        <w:footnoteRef/>
      </w:r>
      <w:r w:rsidRPr="00D423D7">
        <w:t xml:space="preserve"> RWA Petition to Deny at 7</w:t>
      </w:r>
      <w:r>
        <w:t>–</w:t>
      </w:r>
      <w:r w:rsidRPr="00D423D7">
        <w:t>8, 13</w:t>
      </w:r>
      <w:r>
        <w:t>–</w:t>
      </w:r>
      <w:r w:rsidRPr="00D423D7">
        <w:t xml:space="preserve">14; </w:t>
      </w:r>
      <w:r w:rsidRPr="00D423D7">
        <w:rPr>
          <w:i/>
          <w:iCs/>
        </w:rPr>
        <w:t>see also</w:t>
      </w:r>
      <w:r w:rsidRPr="00D423D7">
        <w:t xml:space="preserve"> Coalition Filers July 3</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at 2; Coalition Filers July 18</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 xml:space="preserve">at 2.  </w:t>
      </w:r>
    </w:p>
  </w:footnote>
  <w:footnote w:id="125">
    <w:p w:rsidR="00A40FA9" w:rsidRPr="00D423D7" w:rsidP="00A40FA9" w14:paraId="3E459B41" w14:textId="77777777">
      <w:pPr>
        <w:pStyle w:val="FootnoteText"/>
      </w:pPr>
      <w:r w:rsidRPr="00D423D7">
        <w:rPr>
          <w:rStyle w:val="FootnoteReference"/>
        </w:rPr>
        <w:footnoteRef/>
      </w:r>
      <w:r w:rsidRPr="00D423D7">
        <w:t xml:space="preserve"> </w:t>
      </w:r>
      <w:r w:rsidRPr="00D423D7">
        <w:rPr>
          <w:i/>
          <w:iCs/>
        </w:rPr>
        <w:t>See T-Mobile-Sprint Order</w:t>
      </w:r>
      <w:r w:rsidRPr="00D423D7">
        <w:t>,</w:t>
      </w:r>
      <w:r w:rsidRPr="00D423D7">
        <w:rPr>
          <w:i/>
        </w:rPr>
        <w:t xml:space="preserve"> </w:t>
      </w:r>
      <w:r w:rsidRPr="00D423D7">
        <w:t xml:space="preserve">34 FCC </w:t>
      </w:r>
      <w:r w:rsidRPr="00D423D7">
        <w:t>Rcd</w:t>
      </w:r>
      <w:r w:rsidRPr="00D423D7">
        <w:t xml:space="preserve"> at </w:t>
      </w:r>
      <w:r w:rsidRPr="00E10200">
        <w:t>107</w:t>
      </w:r>
      <w:r>
        <w:t>09–</w:t>
      </w:r>
      <w:r w:rsidRPr="00D423D7">
        <w:t xml:space="preserve">11, paras. </w:t>
      </w:r>
      <w:r w:rsidRPr="00E10200">
        <w:t>29</w:t>
      </w:r>
      <w:r>
        <w:t>4–</w:t>
      </w:r>
      <w:r w:rsidRPr="00D423D7">
        <w:t xml:space="preserve">98;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4839</w:t>
      </w:r>
      <w:r>
        <w:t>–</w:t>
      </w:r>
      <w:r w:rsidRPr="00D423D7">
        <w:t>40, paras. 121</w:t>
      </w:r>
      <w:r>
        <w:t>–</w:t>
      </w:r>
      <w:r w:rsidRPr="00D423D7">
        <w:t xml:space="preserve">22; </w:t>
      </w:r>
      <w:r w:rsidRPr="00D423D7">
        <w:rPr>
          <w:i/>
          <w:iCs/>
        </w:rPr>
        <w:t>AT&amp;T-Array Order</w:t>
      </w:r>
      <w:r w:rsidRPr="00D423D7">
        <w:t xml:space="preserve"> at 22, para. 46.</w:t>
      </w:r>
    </w:p>
  </w:footnote>
  <w:footnote w:id="126">
    <w:p w:rsidR="00A40FA9" w:rsidRPr="00D423D7" w:rsidP="00A40FA9" w14:paraId="0F61E721" w14:textId="77777777">
      <w:pPr>
        <w:pStyle w:val="FootnoteText"/>
      </w:pPr>
      <w:r w:rsidRPr="00D423D7">
        <w:rPr>
          <w:rStyle w:val="FootnoteReference"/>
        </w:rPr>
        <w:footnoteRef/>
      </w:r>
      <w:r w:rsidRPr="00D423D7">
        <w:t xml:space="preserve"> Public Knowledge et al. Petition to Deny at 16</w:t>
      </w:r>
      <w:r>
        <w:t>–</w:t>
      </w:r>
      <w:r w:rsidRPr="00D423D7">
        <w:t>17</w:t>
      </w:r>
      <w:r>
        <w:t xml:space="preserve">; </w:t>
      </w:r>
      <w:r w:rsidRPr="00B1547E">
        <w:rPr>
          <w:i/>
        </w:rPr>
        <w:t>see also</w:t>
      </w:r>
      <w:r>
        <w:t xml:space="preserve"> </w:t>
      </w:r>
      <w:r w:rsidRPr="00D423D7">
        <w:t>Coalition Filers July 3</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 xml:space="preserve">at </w:t>
      </w:r>
      <w:r>
        <w:t xml:space="preserve">4; </w:t>
      </w:r>
      <w:r w:rsidRPr="000A7FC4">
        <w:t>Coalition Filers July 18</w:t>
      </w:r>
      <w:r w:rsidRPr="000A7FC4">
        <w:rPr>
          <w:i/>
          <w:iCs/>
        </w:rPr>
        <w:t xml:space="preserve"> Ex </w:t>
      </w:r>
      <w:r w:rsidRPr="000A7FC4">
        <w:rPr>
          <w:i/>
          <w:iCs/>
        </w:rPr>
        <w:t>Parte</w:t>
      </w:r>
      <w:r w:rsidRPr="000A7FC4">
        <w:rPr>
          <w:i/>
          <w:iCs/>
        </w:rPr>
        <w:t xml:space="preserve"> </w:t>
      </w:r>
      <w:r w:rsidRPr="000368EE">
        <w:rPr>
          <w:iCs/>
        </w:rPr>
        <w:t>Letter</w:t>
      </w:r>
      <w:r w:rsidRPr="000A7FC4">
        <w:rPr>
          <w:i/>
          <w:iCs/>
        </w:rPr>
        <w:t xml:space="preserve"> </w:t>
      </w:r>
      <w:r w:rsidRPr="000A7FC4">
        <w:t xml:space="preserve">at </w:t>
      </w:r>
      <w:r>
        <w:t>4</w:t>
      </w:r>
      <w:r w:rsidRPr="000A7FC4">
        <w:t>.</w:t>
      </w:r>
    </w:p>
  </w:footnote>
  <w:footnote w:id="127">
    <w:p w:rsidR="00A40FA9" w:rsidRPr="00D423D7" w:rsidP="00A40FA9" w14:paraId="39ECA0A6" w14:textId="77777777">
      <w:pPr>
        <w:pStyle w:val="FootnoteText"/>
      </w:pPr>
      <w:r w:rsidRPr="00D423D7">
        <w:rPr>
          <w:rStyle w:val="FootnoteReference"/>
        </w:rPr>
        <w:footnoteRef/>
      </w:r>
      <w:r w:rsidRPr="00D423D7">
        <w:rPr>
          <w:i/>
        </w:rPr>
        <w:t xml:space="preserve"> </w:t>
      </w:r>
      <w:r>
        <w:rPr>
          <w:iCs/>
        </w:rPr>
        <w:t xml:space="preserve">We have consistently found that general, industry-wide handset unlocking issues are more adequately addressed through Commission rulemaking proceedings.  </w:t>
      </w:r>
      <w:r w:rsidRPr="00D423D7">
        <w:rPr>
          <w:i/>
          <w:iCs/>
        </w:rPr>
        <w:t>AT&amp;T-Array Order</w:t>
      </w:r>
      <w:r w:rsidRPr="00D423D7">
        <w:t xml:space="preserve"> at 24, para. 49; </w:t>
      </w:r>
      <w:r w:rsidRPr="00D423D7">
        <w:rPr>
          <w:i/>
          <w:iCs/>
        </w:rPr>
        <w:t xml:space="preserve">T-Mobile </w:t>
      </w:r>
      <w:r w:rsidRPr="00D423D7">
        <w:rPr>
          <w:i/>
          <w:iCs/>
        </w:rPr>
        <w:t>UScellular</w:t>
      </w:r>
      <w:r w:rsidRPr="00D423D7">
        <w:rPr>
          <w:i/>
          <w:iCs/>
        </w:rPr>
        <w:t xml:space="preserve"> Order</w:t>
      </w:r>
      <w:r w:rsidRPr="00D423D7">
        <w:t>,</w:t>
      </w:r>
      <w:r w:rsidRPr="00D423D7">
        <w:rPr>
          <w:i/>
          <w:iCs/>
        </w:rPr>
        <w:t xml:space="preserve"> </w:t>
      </w:r>
      <w:r w:rsidRPr="00D423D7">
        <w:t xml:space="preserve">40 FCC </w:t>
      </w:r>
      <w:r w:rsidRPr="00D423D7">
        <w:t>Rcd</w:t>
      </w:r>
      <w:r w:rsidRPr="00D423D7">
        <w:t xml:space="preserve"> at 4846</w:t>
      </w:r>
      <w:r>
        <w:t>–</w:t>
      </w:r>
      <w:r w:rsidRPr="00D423D7">
        <w:t>47, paras. 139</w:t>
      </w:r>
      <w:r>
        <w:t>–</w:t>
      </w:r>
      <w:r w:rsidRPr="00D423D7">
        <w:t>140</w:t>
      </w:r>
      <w:r w:rsidRPr="00D423D7">
        <w:rPr>
          <w:i/>
          <w:iCs/>
        </w:rPr>
        <w:t xml:space="preserve">; Promoting Consumer Choice and Wireless Competition Through Handset Unlocking Requirements and Policies, </w:t>
      </w:r>
      <w:r w:rsidRPr="00D423D7">
        <w:t xml:space="preserve">WT Docket No. 24-186, Notice of Proposed Rulemaking, 39 FCC </w:t>
      </w:r>
      <w:r w:rsidRPr="00D423D7">
        <w:t>Rcd</w:t>
      </w:r>
      <w:r w:rsidRPr="00D423D7">
        <w:t xml:space="preserve"> 8111 (2024).</w:t>
      </w:r>
    </w:p>
  </w:footnote>
  <w:footnote w:id="128">
    <w:p w:rsidR="00A40FA9" w:rsidRPr="00D423D7" w:rsidP="00A40FA9" w14:paraId="45DBDAF8" w14:textId="77777777">
      <w:pPr>
        <w:pStyle w:val="FootnoteText"/>
      </w:pPr>
      <w:r w:rsidRPr="00D423D7">
        <w:rPr>
          <w:rStyle w:val="FootnoteReference"/>
        </w:rPr>
        <w:footnoteRef/>
      </w:r>
      <w:r w:rsidRPr="00D423D7">
        <w:t xml:space="preserve"> </w:t>
      </w:r>
      <w:r w:rsidRPr="00D423D7">
        <w:rPr>
          <w:i/>
          <w:iCs/>
        </w:rPr>
        <w:t>Service Rules for the 698</w:t>
      </w:r>
      <w:r>
        <w:rPr>
          <w:i/>
          <w:iCs/>
        </w:rPr>
        <w:t>–</w:t>
      </w:r>
      <w:r w:rsidRPr="00D423D7">
        <w:rPr>
          <w:i/>
          <w:iCs/>
        </w:rPr>
        <w:t>746, 747</w:t>
      </w:r>
      <w:r>
        <w:rPr>
          <w:i/>
          <w:iCs/>
        </w:rPr>
        <w:t>–</w:t>
      </w:r>
      <w:r w:rsidRPr="00D423D7">
        <w:rPr>
          <w:i/>
          <w:iCs/>
        </w:rPr>
        <w:t>762 and 777</w:t>
      </w:r>
      <w:r>
        <w:rPr>
          <w:i/>
          <w:iCs/>
        </w:rPr>
        <w:t>–</w:t>
      </w:r>
      <w:r w:rsidRPr="00D423D7">
        <w:rPr>
          <w:i/>
          <w:iCs/>
        </w:rPr>
        <w:t>792 MHz Bands et al.</w:t>
      </w:r>
      <w:r w:rsidRPr="00D423D7">
        <w:t>, WT Docket No. 06-150 et al., Order, DA 26-43 (WTB Jan. 12, 2026).</w:t>
      </w:r>
    </w:p>
  </w:footnote>
  <w:footnote w:id="129">
    <w:p w:rsidR="00A40FA9" w:rsidRPr="00D423D7" w:rsidP="00A40FA9" w14:paraId="1E6C2DB1" w14:textId="77777777">
      <w:pPr>
        <w:pStyle w:val="FootnoteText"/>
      </w:pPr>
      <w:r w:rsidRPr="00D423D7">
        <w:rPr>
          <w:rStyle w:val="FootnoteReference"/>
        </w:rPr>
        <w:footnoteRef/>
      </w:r>
      <w:r w:rsidRPr="00D423D7">
        <w:t xml:space="preserve"> Public Knowledge et al. Petition to Deny at 16</w:t>
      </w:r>
      <w:r>
        <w:t>–</w:t>
      </w:r>
      <w:r w:rsidRPr="00D423D7">
        <w:t>17</w:t>
      </w:r>
      <w:r>
        <w:t xml:space="preserve">; </w:t>
      </w:r>
      <w:r w:rsidRPr="00B1547E">
        <w:rPr>
          <w:i/>
        </w:rPr>
        <w:t>see also</w:t>
      </w:r>
      <w:r>
        <w:t xml:space="preserve"> </w:t>
      </w:r>
      <w:r w:rsidRPr="00D423D7">
        <w:t>Coalition Filers July 3</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at 4</w:t>
      </w:r>
      <w:r>
        <w:t xml:space="preserve">; </w:t>
      </w:r>
      <w:r w:rsidRPr="00772731">
        <w:t>Coalition Filers July 18</w:t>
      </w:r>
      <w:r w:rsidRPr="00772731">
        <w:rPr>
          <w:i/>
          <w:iCs/>
        </w:rPr>
        <w:t xml:space="preserve"> Ex </w:t>
      </w:r>
      <w:r w:rsidRPr="00772731">
        <w:rPr>
          <w:i/>
          <w:iCs/>
        </w:rPr>
        <w:t>Parte</w:t>
      </w:r>
      <w:r w:rsidRPr="00772731">
        <w:rPr>
          <w:i/>
          <w:iCs/>
        </w:rPr>
        <w:t xml:space="preserve"> </w:t>
      </w:r>
      <w:r w:rsidRPr="000368EE">
        <w:rPr>
          <w:iCs/>
        </w:rPr>
        <w:t>Letter</w:t>
      </w:r>
      <w:r w:rsidRPr="00772731">
        <w:rPr>
          <w:i/>
          <w:iCs/>
        </w:rPr>
        <w:t xml:space="preserve"> </w:t>
      </w:r>
      <w:r w:rsidRPr="00772731">
        <w:t xml:space="preserve">at </w:t>
      </w:r>
      <w:r>
        <w:t>4</w:t>
      </w:r>
      <w:r w:rsidRPr="00D423D7">
        <w:t>.</w:t>
      </w:r>
    </w:p>
  </w:footnote>
  <w:footnote w:id="130">
    <w:p w:rsidR="00A40FA9" w:rsidRPr="00D423D7" w:rsidP="00A40FA9" w14:paraId="3721B1B9" w14:textId="77777777">
      <w:pPr>
        <w:pStyle w:val="FootnoteText"/>
      </w:pPr>
      <w:r w:rsidRPr="00D423D7">
        <w:rPr>
          <w:rStyle w:val="FootnoteReference"/>
        </w:rPr>
        <w:footnoteRef/>
      </w:r>
      <w:r w:rsidRPr="00D423D7">
        <w:t xml:space="preserve"> Public Knowledge et al. Petition to Deny at 8</w:t>
      </w:r>
      <w:r>
        <w:t>–</w:t>
      </w:r>
      <w:r w:rsidRPr="00D423D7">
        <w:t xml:space="preserve">9.  We note that in the </w:t>
      </w:r>
      <w:r w:rsidRPr="00D423D7">
        <w:rPr>
          <w:i/>
          <w:iCs/>
        </w:rPr>
        <w:t>T-Mobile-</w:t>
      </w:r>
      <w:r w:rsidRPr="00D423D7">
        <w:rPr>
          <w:i/>
          <w:iCs/>
        </w:rPr>
        <w:t>UScellular</w:t>
      </w:r>
      <w:r w:rsidRPr="00D423D7">
        <w:rPr>
          <w:i/>
          <w:iCs/>
        </w:rPr>
        <w:t xml:space="preserve"> Order</w:t>
      </w:r>
      <w:r w:rsidRPr="00D423D7">
        <w:t xml:space="preserve">, where we fully considered </w:t>
      </w:r>
      <w:r w:rsidRPr="00D423D7">
        <w:t>UScellular’s</w:t>
      </w:r>
      <w:r w:rsidRPr="00D423D7">
        <w:t xml:space="preserve"> market exit,</w:t>
      </w:r>
      <w:r w:rsidRPr="00D423D7">
        <w:rPr>
          <w:i/>
          <w:iCs/>
        </w:rPr>
        <w:t xml:space="preserve"> </w:t>
      </w:r>
      <w:r w:rsidRPr="00D423D7">
        <w:t xml:space="preserve">we found that consumer conditions were not necessary and that labor conditions were unnecessary and unrelated to the transaction.  These types of conditions are even further attenuated in the instant proposed spectrum-only transaction.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4837, 4840</w:t>
      </w:r>
      <w:r>
        <w:t>–</w:t>
      </w:r>
      <w:r w:rsidRPr="00D423D7">
        <w:t>41, paras. 116, 124</w:t>
      </w:r>
      <w:r>
        <w:t>–</w:t>
      </w:r>
      <w:r w:rsidRPr="00D423D7">
        <w:t>26.</w:t>
      </w:r>
    </w:p>
  </w:footnote>
  <w:footnote w:id="131">
    <w:p w:rsidR="00A40FA9" w:rsidP="00A40FA9" w14:paraId="22ABD88E" w14:textId="77777777">
      <w:pPr>
        <w:pStyle w:val="FootnoteText"/>
      </w:pPr>
      <w:r>
        <w:rPr>
          <w:rStyle w:val="FootnoteReference"/>
        </w:rPr>
        <w:footnoteRef/>
      </w:r>
      <w:r>
        <w:t xml:space="preserve"> </w:t>
      </w:r>
      <w:r w:rsidRPr="005F7046">
        <w:rPr>
          <w:i/>
        </w:rPr>
        <w:t>See</w:t>
      </w:r>
      <w:r>
        <w:t xml:space="preserve"> </w:t>
      </w:r>
      <w:r w:rsidRPr="00D423D7">
        <w:t>Coalition Filers July 3</w:t>
      </w:r>
      <w:r w:rsidRPr="00D423D7">
        <w:rPr>
          <w:i/>
          <w:iCs/>
        </w:rPr>
        <w:t xml:space="preserve"> Ex </w:t>
      </w:r>
      <w:r w:rsidRPr="00D423D7">
        <w:rPr>
          <w:i/>
          <w:iCs/>
        </w:rPr>
        <w:t>Parte</w:t>
      </w:r>
      <w:r w:rsidRPr="00D423D7">
        <w:rPr>
          <w:i/>
          <w:iCs/>
        </w:rPr>
        <w:t xml:space="preserve"> </w:t>
      </w:r>
      <w:r w:rsidRPr="000368EE">
        <w:rPr>
          <w:iCs/>
        </w:rPr>
        <w:t>Letter</w:t>
      </w:r>
      <w:r w:rsidRPr="00D423D7">
        <w:rPr>
          <w:i/>
          <w:iCs/>
        </w:rPr>
        <w:t xml:space="preserve"> </w:t>
      </w:r>
      <w:r w:rsidRPr="00D423D7">
        <w:t xml:space="preserve">at </w:t>
      </w:r>
      <w:r>
        <w:t xml:space="preserve">3.  As we previously concluded in the </w:t>
      </w:r>
      <w:r w:rsidRPr="00D423D7">
        <w:rPr>
          <w:i/>
          <w:iCs/>
        </w:rPr>
        <w:t>T-Mobile-</w:t>
      </w:r>
      <w:r w:rsidRPr="00D423D7">
        <w:rPr>
          <w:i/>
          <w:iCs/>
        </w:rPr>
        <w:t>UScellular</w:t>
      </w:r>
      <w:r w:rsidRPr="00D423D7">
        <w:rPr>
          <w:i/>
          <w:iCs/>
        </w:rPr>
        <w:t xml:space="preserve"> Order</w:t>
      </w:r>
      <w:r>
        <w:t>, t</w:t>
      </w:r>
      <w:r w:rsidRPr="00BC49D2">
        <w:t>he record does not indicate that USF support was used improperly</w:t>
      </w:r>
      <w:r>
        <w:t xml:space="preserve"> and </w:t>
      </w:r>
      <w:r w:rsidRPr="00BC49D2">
        <w:t>any reallocation of</w:t>
      </w:r>
      <w:r>
        <w:t xml:space="preserve"> previous USF </w:t>
      </w:r>
      <w:r w:rsidRPr="00BC49D2">
        <w:t>funding would require a broader rulemaking proceeding</w:t>
      </w:r>
      <w:r>
        <w:t xml:space="preserve">.  </w:t>
      </w:r>
      <w:r>
        <w:rPr>
          <w:i/>
          <w:iCs/>
        </w:rPr>
        <w:t xml:space="preserve">See </w:t>
      </w:r>
      <w:r w:rsidRPr="00D423D7">
        <w:rPr>
          <w:i/>
          <w:iCs/>
        </w:rPr>
        <w:t>T-Mobile-</w:t>
      </w:r>
      <w:r w:rsidRPr="00D423D7">
        <w:rPr>
          <w:i/>
          <w:iCs/>
        </w:rPr>
        <w:t>UScellular</w:t>
      </w:r>
      <w:r w:rsidRPr="00D423D7">
        <w:rPr>
          <w:i/>
          <w:iCs/>
        </w:rPr>
        <w:t xml:space="preserve"> Order</w:t>
      </w:r>
      <w:r w:rsidRPr="00D423D7">
        <w:t xml:space="preserve">, 40 FCC </w:t>
      </w:r>
      <w:r w:rsidRPr="00D423D7">
        <w:t>Rcd</w:t>
      </w:r>
      <w:r w:rsidRPr="00D423D7">
        <w:t xml:space="preserve"> at </w:t>
      </w:r>
      <w:r>
        <w:t>4842–4845</w:t>
      </w:r>
      <w:r w:rsidRPr="00D423D7">
        <w:t xml:space="preserve">, paras. </w:t>
      </w:r>
      <w:r>
        <w:t>128–135.  Nothing in the present record merits revisiting these conclusions.</w:t>
      </w:r>
    </w:p>
  </w:footnote>
  <w:footnote w:id="132">
    <w:p w:rsidR="00A40FA9" w:rsidRPr="00D423D7" w:rsidP="00A40FA9" w14:paraId="359F8AF7" w14:textId="77777777">
      <w:pPr>
        <w:pStyle w:val="FootnoteText"/>
      </w:pPr>
      <w:r w:rsidRPr="00D423D7">
        <w:rPr>
          <w:rStyle w:val="FootnoteReference"/>
        </w:rPr>
        <w:footnoteRef/>
      </w:r>
      <w:r w:rsidRPr="00D423D7">
        <w:t xml:space="preserve"> </w:t>
      </w:r>
      <w:r w:rsidRPr="00D423D7">
        <w:rPr>
          <w:i/>
          <w:iCs/>
        </w:rPr>
        <w:t>See</w:t>
      </w:r>
      <w:r w:rsidRPr="006F3E85">
        <w:rPr>
          <w:i/>
          <w:iCs/>
        </w:rPr>
        <w:t>,</w:t>
      </w:r>
      <w:r w:rsidRPr="00D423D7">
        <w:rPr>
          <w:i/>
          <w:iCs/>
        </w:rPr>
        <w:t xml:space="preserve"> e.g.</w:t>
      </w:r>
      <w:r w:rsidRPr="00D423D7">
        <w:t>, Public Interest Statement at 1; Joint Opposition at 4</w:t>
      </w:r>
      <w:r>
        <w:t>–</w:t>
      </w:r>
      <w:r w:rsidRPr="00D423D7">
        <w:t xml:space="preserve">7. </w:t>
      </w:r>
    </w:p>
  </w:footnote>
  <w:footnote w:id="133">
    <w:p w:rsidR="00A40FA9" w:rsidP="00A40FA9" w14:paraId="44A2F53B" w14:textId="77777777">
      <w:pPr>
        <w:pStyle w:val="FootnoteText"/>
      </w:pPr>
      <w:r>
        <w:rPr>
          <w:rStyle w:val="FootnoteReference"/>
        </w:rPr>
        <w:footnoteRef/>
      </w:r>
      <w:r>
        <w:t xml:space="preserve"> This application is the lead application for the wireless radio services.</w:t>
      </w:r>
    </w:p>
  </w:footnote>
  <w:footnote w:id="134">
    <w:p w:rsidR="00A40FA9" w:rsidP="00A40FA9" w14:paraId="3AA6A78F" w14:textId="77777777">
      <w:pPr>
        <w:pStyle w:val="FootnoteText"/>
      </w:pPr>
      <w:r w:rsidRPr="00D423D7">
        <w:rPr>
          <w:rStyle w:val="FootnoteReference"/>
        </w:rPr>
        <w:footnoteRef/>
      </w:r>
      <w:r w:rsidRPr="00D423D7">
        <w:t xml:space="preserve"> </w:t>
      </w:r>
      <w:r>
        <w:t xml:space="preserve">The filings listed in this section are </w:t>
      </w:r>
      <w:r w:rsidRPr="00FD23C3">
        <w:rPr>
          <w:i/>
        </w:rPr>
        <w:t xml:space="preserve">ex </w:t>
      </w:r>
      <w:r w:rsidRPr="00FD23C3">
        <w:rPr>
          <w:i/>
        </w:rPr>
        <w:t>parte</w:t>
      </w:r>
      <w:r>
        <w:t xml:space="preserve"> submissions and/or were submitted after the August 1, 2025 close of the pleading cycle for this transaction by their respective filers.  They are accorded consideration</w:t>
      </w:r>
      <w:r w:rsidRPr="00FC13BD">
        <w:t xml:space="preserve"> as </w:t>
      </w:r>
      <w:r w:rsidRPr="00904E58">
        <w:rPr>
          <w:i/>
        </w:rPr>
        <w:t xml:space="preserve">ex </w:t>
      </w:r>
      <w:r w:rsidRPr="00904E58">
        <w:rPr>
          <w:i/>
        </w:rPr>
        <w:t>parte</w:t>
      </w:r>
      <w:r w:rsidRPr="00FC13BD">
        <w:t xml:space="preserve"> filings</w:t>
      </w:r>
      <w:r>
        <w:t xml:space="preserve"> under the Commission’s rules</w:t>
      </w:r>
      <w:r w:rsidRPr="00FC13BD">
        <w:t xml:space="preserve">. </w:t>
      </w:r>
      <w:r>
        <w:t xml:space="preserve"> </w:t>
      </w:r>
      <w:r w:rsidRPr="00753F4B">
        <w:t xml:space="preserve">47 CFR §§ 1.1200 </w:t>
      </w:r>
      <w:r w:rsidRPr="00742ECB">
        <w:rPr>
          <w:i/>
          <w:iCs/>
        </w:rPr>
        <w:t>et seq.</w:t>
      </w:r>
      <w:r>
        <w:t xml:space="preserve">; </w:t>
      </w:r>
      <w:r>
        <w:rPr>
          <w:i/>
          <w:iCs/>
        </w:rPr>
        <w:t>s</w:t>
      </w:r>
      <w:r w:rsidRPr="009043E8">
        <w:rPr>
          <w:i/>
          <w:iCs/>
        </w:rPr>
        <w:t>ee generally</w:t>
      </w:r>
      <w:r>
        <w:t xml:space="preserve"> </w:t>
      </w:r>
      <w:r w:rsidRPr="00FC13BD">
        <w:t>47</w:t>
      </w:r>
      <w:r>
        <w:t> </w:t>
      </w:r>
      <w:r w:rsidRPr="00FC13BD">
        <w:t>CFR</w:t>
      </w:r>
      <w:r>
        <w:t xml:space="preserve"> </w:t>
      </w:r>
      <w:r w:rsidRPr="00FC13BD">
        <w:t>§ 1.419(b).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rsidP="00810B6F" w14:paraId="2676EB99" w14:textId="6DF514D0">
    <w:pPr>
      <w:pStyle w:val="Header"/>
      <w:rPr>
        <w:b w:val="0"/>
      </w:rPr>
    </w:pPr>
    <w:r>
      <w:tab/>
      <w:t>Federal Communications Commission</w:t>
    </w:r>
    <w:r>
      <w:tab/>
    </w:r>
    <w:r w:rsidR="009B3709">
      <w:t>DA 26-</w:t>
    </w:r>
    <w:r w:rsidR="004853FB">
      <w:t>486</w:t>
    </w:r>
  </w:p>
  <w:p w:rsidR="00A40FA9" w14:paraId="3B390D78" w14:textId="01932F8A">
    <w:pPr>
      <w:tabs>
        <w:tab w:val="left" w:pos="-720"/>
      </w:tabs>
      <w:suppressAutoHyphens/>
      <w:spacing w:line="19" w:lineRule="exact"/>
      <w:rPr>
        <w:spacing w:val="-2"/>
      </w:rPr>
    </w:pPr>
    <w:r>
      <w:rPr>
        <w:noProof/>
      </w:rPr>
      <w:pict>
        <v:rect 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p>
  <w:p w:rsidR="00A40FA9" w14:paraId="16C699F9"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40FA9" w:rsidP="00810B6F" w14:paraId="7382A174" w14:textId="33444D37">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r>
      <w:tab/>
      <w:t>Federal Communications Commission</w:t>
    </w:r>
    <w:r>
      <w:tab/>
    </w:r>
    <w:r>
      <w:rPr>
        <w:spacing w:val="-2"/>
      </w:rPr>
      <w:t xml:space="preserve">DA </w:t>
    </w:r>
    <w:r w:rsidRPr="004853FB">
      <w:rPr>
        <w:spacing w:val="-2"/>
      </w:rPr>
      <w:t>26-</w:t>
    </w:r>
    <w:r w:rsidR="004853FB">
      <w:rPr>
        <w:spacing w:val="-2"/>
      </w:rPr>
      <w:t>486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1F2B08F" w14:textId="13143E95">
    <w:pPr>
      <w:pStyle w:val="Header"/>
      <w:rPr>
        <w:b w:val="0"/>
      </w:rPr>
    </w:pPr>
    <w:r>
      <w:tab/>
      <w:t>Federal Communications Commission</w:t>
    </w:r>
    <w:r>
      <w:tab/>
    </w:r>
    <w:r w:rsidR="000E40B0">
      <w:t xml:space="preserve">DA </w:t>
    </w:r>
    <w:r w:rsidR="004853FB">
      <w:t>26-486</w:t>
    </w:r>
  </w:p>
  <w:p w:rsidR="00D25FB5" w14:paraId="666C4965"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634893A9"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C6E78EF" w14:textId="4671EA61">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4853FB">
      <w:rPr>
        <w:spacing w:val="-2"/>
      </w:rPr>
      <w:t>DA 26-486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0"/>
    <w:multiLevelType w:val="singleLevel"/>
    <w:tmpl w:val="81FC363A"/>
    <w:lvl w:ilvl="0">
      <w:start w:val="1"/>
      <w:numFmt w:val="bullet"/>
      <w:pStyle w:val="ListBullet5"/>
      <w:lvlText w:val=""/>
      <w:lvlJc w:val="left"/>
      <w:pPr>
        <w:tabs>
          <w:tab w:val="num" w:pos="1800"/>
        </w:tabs>
        <w:ind w:left="1800" w:hanging="360"/>
      </w:pPr>
      <w:rPr>
        <w:rFonts w:ascii="Symbol" w:hAnsi="Symbol" w:hint="default"/>
      </w:rPr>
    </w:lvl>
  </w:abstractNum>
  <w:abstractNum w:abstractNumId="1">
    <w:nsid w:val="FFFFFF89"/>
    <w:multiLevelType w:val="singleLevel"/>
    <w:tmpl w:val="97005108"/>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000B650D"/>
    <w:multiLevelType w:val="multilevel"/>
    <w:tmpl w:val="F79E11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84B453C"/>
    <w:multiLevelType w:val="singleLevel"/>
    <w:tmpl w:val="40A8E97A"/>
    <w:lvl w:ilvl="0">
      <w:start w:val="1"/>
      <w:numFmt w:val="decimal"/>
      <w:lvlText w:val="%1."/>
      <w:lvlJc w:val="left"/>
      <w:pPr>
        <w:tabs>
          <w:tab w:val="num" w:pos="1080"/>
        </w:tabs>
        <w:ind w:left="0" w:firstLine="720"/>
      </w:pPr>
    </w:lvl>
  </w:abstractNum>
  <w:abstractNum w:abstractNumId="4">
    <w:nsid w:val="149B4377"/>
    <w:multiLevelType w:val="hybridMultilevel"/>
    <w:tmpl w:val="E978451C"/>
    <w:lvl w:ilvl="0">
      <w:start w:val="1"/>
      <w:numFmt w:val="lowerRoman"/>
      <w:lvlText w:val="%1)"/>
      <w:lvlJc w:val="right"/>
      <w:pPr>
        <w:ind w:left="1020" w:hanging="360"/>
      </w:pPr>
    </w:lvl>
    <w:lvl w:ilvl="1">
      <w:start w:val="1"/>
      <w:numFmt w:val="lowerRoman"/>
      <w:lvlText w:val="%2)"/>
      <w:lvlJc w:val="right"/>
      <w:pPr>
        <w:ind w:left="1020" w:hanging="360"/>
      </w:pPr>
    </w:lvl>
    <w:lvl w:ilvl="2">
      <w:start w:val="1"/>
      <w:numFmt w:val="lowerRoman"/>
      <w:lvlText w:val="%3)"/>
      <w:lvlJc w:val="right"/>
      <w:pPr>
        <w:ind w:left="1020" w:hanging="360"/>
      </w:pPr>
    </w:lvl>
    <w:lvl w:ilvl="3">
      <w:start w:val="1"/>
      <w:numFmt w:val="lowerRoman"/>
      <w:lvlText w:val="%4)"/>
      <w:lvlJc w:val="right"/>
      <w:pPr>
        <w:ind w:left="1020" w:hanging="360"/>
      </w:pPr>
    </w:lvl>
    <w:lvl w:ilvl="4">
      <w:start w:val="1"/>
      <w:numFmt w:val="lowerRoman"/>
      <w:lvlText w:val="%5)"/>
      <w:lvlJc w:val="right"/>
      <w:pPr>
        <w:ind w:left="1020" w:hanging="360"/>
      </w:pPr>
    </w:lvl>
    <w:lvl w:ilvl="5">
      <w:start w:val="1"/>
      <w:numFmt w:val="lowerRoman"/>
      <w:lvlText w:val="%6)"/>
      <w:lvlJc w:val="right"/>
      <w:pPr>
        <w:ind w:left="1020" w:hanging="360"/>
      </w:pPr>
    </w:lvl>
    <w:lvl w:ilvl="6">
      <w:start w:val="1"/>
      <w:numFmt w:val="lowerRoman"/>
      <w:lvlText w:val="%7)"/>
      <w:lvlJc w:val="right"/>
      <w:pPr>
        <w:ind w:left="1020" w:hanging="360"/>
      </w:pPr>
    </w:lvl>
    <w:lvl w:ilvl="7">
      <w:start w:val="1"/>
      <w:numFmt w:val="lowerRoman"/>
      <w:lvlText w:val="%8)"/>
      <w:lvlJc w:val="right"/>
      <w:pPr>
        <w:ind w:left="1020" w:hanging="360"/>
      </w:pPr>
    </w:lvl>
    <w:lvl w:ilvl="8">
      <w:start w:val="1"/>
      <w:numFmt w:val="lowerRoman"/>
      <w:lvlText w:val="%9)"/>
      <w:lvlJc w:val="right"/>
      <w:pPr>
        <w:ind w:left="1020" w:hanging="360"/>
      </w:pPr>
    </w:lvl>
  </w:abstractNum>
  <w:abstractNum w:abstractNumId="5">
    <w:nsid w:val="17ED203A"/>
    <w:multiLevelType w:val="hybridMultilevel"/>
    <w:tmpl w:val="21A4D6BC"/>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6">
    <w:nsid w:val="19DD6E94"/>
    <w:multiLevelType w:val="hybridMultilevel"/>
    <w:tmpl w:val="F5F2F62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1D97534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1E333685"/>
    <w:multiLevelType w:val="hybridMultilevel"/>
    <w:tmpl w:val="9E56C6B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0">
    <w:nsid w:val="248246F3"/>
    <w:multiLevelType w:val="singleLevel"/>
    <w:tmpl w:val="B1F45678"/>
    <w:lvl w:ilvl="0">
      <w:start w:val="1"/>
      <w:numFmt w:val="decimal"/>
      <w:lvlText w:val="%1."/>
      <w:lvlJc w:val="left"/>
      <w:pPr>
        <w:tabs>
          <w:tab w:val="num" w:pos="1080"/>
        </w:tabs>
        <w:ind w:left="0" w:firstLine="720"/>
      </w:pPr>
    </w:lvl>
  </w:abstractNum>
  <w:abstractNum w:abstractNumId="11">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2">
    <w:nsid w:val="3F642948"/>
    <w:multiLevelType w:val="hybridMultilevel"/>
    <w:tmpl w:val="B23C375E"/>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3">
    <w:nsid w:val="48830ED0"/>
    <w:multiLevelType w:val="hybridMultilevel"/>
    <w:tmpl w:val="DEA2AD1A"/>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5">
    <w:nsid w:val="59D03B13"/>
    <w:multiLevelType w:val="hybridMultilevel"/>
    <w:tmpl w:val="EB3ACB0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5C2F433E"/>
    <w:multiLevelType w:val="hybridMultilevel"/>
    <w:tmpl w:val="B1BACFFC"/>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abstractNum w:abstractNumId="17">
    <w:nsid w:val="5D2C285D"/>
    <w:multiLevelType w:val="multilevel"/>
    <w:tmpl w:val="592EB1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9">
    <w:nsid w:val="630D367F"/>
    <w:multiLevelType w:val="hybridMultilevel"/>
    <w:tmpl w:val="D2EAD06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72D22EA8"/>
    <w:multiLevelType w:val="hybridMultilevel"/>
    <w:tmpl w:val="409E3738"/>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num w:numId="1" w16cid:durableId="412625746">
    <w:abstractNumId w:val="9"/>
  </w:num>
  <w:num w:numId="2" w16cid:durableId="863440097">
    <w:abstractNumId w:val="18"/>
  </w:num>
  <w:num w:numId="3" w16cid:durableId="1263604997">
    <w:abstractNumId w:val="11"/>
  </w:num>
  <w:num w:numId="4" w16cid:durableId="122037984">
    <w:abstractNumId w:val="14"/>
  </w:num>
  <w:num w:numId="5" w16cid:durableId="504171407">
    <w:abstractNumId w:val="10"/>
  </w:num>
  <w:num w:numId="6" w16cid:durableId="514222915">
    <w:abstractNumId w:val="3"/>
  </w:num>
  <w:num w:numId="7" w16cid:durableId="2107724072">
    <w:abstractNumId w:val="18"/>
    <w:lvlOverride w:ilvl="0">
      <w:startOverride w:val="1"/>
    </w:lvlOverride>
  </w:num>
  <w:num w:numId="8" w16cid:durableId="123164118">
    <w:abstractNumId w:val="1"/>
  </w:num>
  <w:num w:numId="9" w16cid:durableId="347218016">
    <w:abstractNumId w:val="0"/>
  </w:num>
  <w:num w:numId="10" w16cid:durableId="7666549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63577295">
    <w:abstractNumId w:val="18"/>
    <w:lvlOverride w:ilvl="0">
      <w:startOverride w:val="1"/>
    </w:lvlOverride>
  </w:num>
  <w:num w:numId="12" w16cid:durableId="57753593">
    <w:abstractNumId w:val="18"/>
    <w:lvlOverride w:ilvl="0">
      <w:startOverride w:val="1"/>
    </w:lvlOverride>
  </w:num>
  <w:num w:numId="13" w16cid:durableId="890969246">
    <w:abstractNumId w:val="8"/>
  </w:num>
  <w:num w:numId="14" w16cid:durableId="1857498670">
    <w:abstractNumId w:val="15"/>
  </w:num>
  <w:num w:numId="15" w16cid:durableId="581304527">
    <w:abstractNumId w:val="18"/>
    <w:lvlOverride w:ilvl="0">
      <w:startOverride w:val="1"/>
    </w:lvlOverride>
  </w:num>
  <w:num w:numId="16" w16cid:durableId="1021857386">
    <w:abstractNumId w:val="4"/>
  </w:num>
  <w:num w:numId="17" w16cid:durableId="703598511">
    <w:abstractNumId w:val="12"/>
  </w:num>
  <w:num w:numId="18" w16cid:durableId="1196961991">
    <w:abstractNumId w:val="18"/>
    <w:lvlOverride w:ilvl="0">
      <w:startOverride w:val="1"/>
    </w:lvlOverride>
  </w:num>
  <w:num w:numId="19" w16cid:durableId="1643652780">
    <w:abstractNumId w:val="17"/>
  </w:num>
  <w:num w:numId="20" w16cid:durableId="504441467">
    <w:abstractNumId w:val="7"/>
  </w:num>
  <w:num w:numId="21" w16cid:durableId="53430292">
    <w:abstractNumId w:val="18"/>
    <w:lvlOverride w:ilvl="0">
      <w:startOverride w:val="1"/>
    </w:lvlOverride>
  </w:num>
  <w:num w:numId="22" w16cid:durableId="1125663022">
    <w:abstractNumId w:val="20"/>
  </w:num>
  <w:num w:numId="23" w16cid:durableId="996424417">
    <w:abstractNumId w:val="16"/>
  </w:num>
  <w:num w:numId="24" w16cid:durableId="1646200932">
    <w:abstractNumId w:val="13"/>
  </w:num>
  <w:num w:numId="25" w16cid:durableId="4054911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15537094">
    <w:abstractNumId w:val="18"/>
    <w:lvlOverride w:ilvl="0">
      <w:startOverride w:val="1"/>
    </w:lvlOverride>
  </w:num>
  <w:num w:numId="27" w16cid:durableId="381757245">
    <w:abstractNumId w:val="18"/>
    <w:lvlOverride w:ilvl="0">
      <w:startOverride w:val="1"/>
    </w:lvlOverride>
  </w:num>
  <w:num w:numId="28" w16cid:durableId="1193345677">
    <w:abstractNumId w:val="18"/>
    <w:lvlOverride w:ilvl="0">
      <w:startOverride w:val="1"/>
    </w:lvlOverride>
  </w:num>
  <w:num w:numId="29" w16cid:durableId="1542937105">
    <w:abstractNumId w:val="18"/>
    <w:lvlOverride w:ilvl="0">
      <w:startOverride w:val="1"/>
    </w:lvlOverride>
  </w:num>
  <w:num w:numId="30" w16cid:durableId="1641036122">
    <w:abstractNumId w:val="18"/>
    <w:lvlOverride w:ilvl="0">
      <w:startOverride w:val="1"/>
    </w:lvlOverride>
  </w:num>
  <w:num w:numId="31" w16cid:durableId="1070690632">
    <w:abstractNumId w:val="18"/>
    <w:lvlOverride w:ilvl="0">
      <w:startOverride w:val="1"/>
    </w:lvlOverride>
  </w:num>
  <w:num w:numId="32" w16cid:durableId="1684897359">
    <w:abstractNumId w:val="2"/>
  </w:num>
  <w:num w:numId="33" w16cid:durableId="1478912577">
    <w:abstractNumId w:val="6"/>
  </w:num>
  <w:num w:numId="34" w16cid:durableId="1730031701">
    <w:abstractNumId w:val="19"/>
  </w:num>
  <w:num w:numId="35" w16cid:durableId="17139937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FA9"/>
    <w:rsid w:val="000007CD"/>
    <w:rsid w:val="00025338"/>
    <w:rsid w:val="00030792"/>
    <w:rsid w:val="00036039"/>
    <w:rsid w:val="000368EE"/>
    <w:rsid w:val="00037F90"/>
    <w:rsid w:val="00040B3C"/>
    <w:rsid w:val="00047E4A"/>
    <w:rsid w:val="0006556B"/>
    <w:rsid w:val="00072551"/>
    <w:rsid w:val="00076DDC"/>
    <w:rsid w:val="00081441"/>
    <w:rsid w:val="00082876"/>
    <w:rsid w:val="000875BF"/>
    <w:rsid w:val="00096D8C"/>
    <w:rsid w:val="000A7FC4"/>
    <w:rsid w:val="000C0B65"/>
    <w:rsid w:val="000D094B"/>
    <w:rsid w:val="000E05FE"/>
    <w:rsid w:val="000E0B5E"/>
    <w:rsid w:val="000E3D42"/>
    <w:rsid w:val="000E40B0"/>
    <w:rsid w:val="000E5693"/>
    <w:rsid w:val="00112147"/>
    <w:rsid w:val="00112FEF"/>
    <w:rsid w:val="001156BD"/>
    <w:rsid w:val="00122BD5"/>
    <w:rsid w:val="00130D7B"/>
    <w:rsid w:val="00133F79"/>
    <w:rsid w:val="00144645"/>
    <w:rsid w:val="0016075E"/>
    <w:rsid w:val="0019130C"/>
    <w:rsid w:val="00194A66"/>
    <w:rsid w:val="001A4843"/>
    <w:rsid w:val="001A5861"/>
    <w:rsid w:val="001C014F"/>
    <w:rsid w:val="001C6276"/>
    <w:rsid w:val="001D6A27"/>
    <w:rsid w:val="001D6BCF"/>
    <w:rsid w:val="001E01CA"/>
    <w:rsid w:val="001F076C"/>
    <w:rsid w:val="002018C1"/>
    <w:rsid w:val="00202DDE"/>
    <w:rsid w:val="00205284"/>
    <w:rsid w:val="002070F1"/>
    <w:rsid w:val="00212FDB"/>
    <w:rsid w:val="0023161A"/>
    <w:rsid w:val="00236877"/>
    <w:rsid w:val="00237CC3"/>
    <w:rsid w:val="00251E93"/>
    <w:rsid w:val="00260002"/>
    <w:rsid w:val="0026490F"/>
    <w:rsid w:val="00275CF5"/>
    <w:rsid w:val="0028301F"/>
    <w:rsid w:val="00285017"/>
    <w:rsid w:val="002A2D2E"/>
    <w:rsid w:val="002A7816"/>
    <w:rsid w:val="002C00E8"/>
    <w:rsid w:val="002C6EC4"/>
    <w:rsid w:val="002E64F8"/>
    <w:rsid w:val="003039F5"/>
    <w:rsid w:val="00304958"/>
    <w:rsid w:val="003057D9"/>
    <w:rsid w:val="003059C6"/>
    <w:rsid w:val="0032574A"/>
    <w:rsid w:val="00335567"/>
    <w:rsid w:val="00335C2D"/>
    <w:rsid w:val="003361C4"/>
    <w:rsid w:val="00343749"/>
    <w:rsid w:val="00343D62"/>
    <w:rsid w:val="003579A4"/>
    <w:rsid w:val="003607F3"/>
    <w:rsid w:val="003637D7"/>
    <w:rsid w:val="003660ED"/>
    <w:rsid w:val="003941CC"/>
    <w:rsid w:val="003947B8"/>
    <w:rsid w:val="003B0550"/>
    <w:rsid w:val="003B4A60"/>
    <w:rsid w:val="003B694F"/>
    <w:rsid w:val="003D15C9"/>
    <w:rsid w:val="003D1AC7"/>
    <w:rsid w:val="003D4834"/>
    <w:rsid w:val="003D7E98"/>
    <w:rsid w:val="003F04E9"/>
    <w:rsid w:val="003F171C"/>
    <w:rsid w:val="003F22D8"/>
    <w:rsid w:val="00412FC5"/>
    <w:rsid w:val="00414603"/>
    <w:rsid w:val="00414BF1"/>
    <w:rsid w:val="00416548"/>
    <w:rsid w:val="00417ACD"/>
    <w:rsid w:val="00422276"/>
    <w:rsid w:val="00422354"/>
    <w:rsid w:val="004242F1"/>
    <w:rsid w:val="0042772E"/>
    <w:rsid w:val="00434E44"/>
    <w:rsid w:val="00435689"/>
    <w:rsid w:val="00436A54"/>
    <w:rsid w:val="004442D9"/>
    <w:rsid w:val="0044508E"/>
    <w:rsid w:val="0044581C"/>
    <w:rsid w:val="00445A00"/>
    <w:rsid w:val="00451B0F"/>
    <w:rsid w:val="0047318D"/>
    <w:rsid w:val="0047402D"/>
    <w:rsid w:val="004740A0"/>
    <w:rsid w:val="004806E7"/>
    <w:rsid w:val="00481BED"/>
    <w:rsid w:val="00482823"/>
    <w:rsid w:val="004853FB"/>
    <w:rsid w:val="00486B5F"/>
    <w:rsid w:val="004A14DA"/>
    <w:rsid w:val="004A77F8"/>
    <w:rsid w:val="004B3B98"/>
    <w:rsid w:val="004B6FCD"/>
    <w:rsid w:val="004C2EE3"/>
    <w:rsid w:val="004C70CD"/>
    <w:rsid w:val="004C7D8A"/>
    <w:rsid w:val="004E2B6C"/>
    <w:rsid w:val="004E4745"/>
    <w:rsid w:val="004E4A22"/>
    <w:rsid w:val="004E7C7F"/>
    <w:rsid w:val="00502466"/>
    <w:rsid w:val="00503CEB"/>
    <w:rsid w:val="00511968"/>
    <w:rsid w:val="00514241"/>
    <w:rsid w:val="005211DB"/>
    <w:rsid w:val="00522133"/>
    <w:rsid w:val="00540066"/>
    <w:rsid w:val="0055112A"/>
    <w:rsid w:val="0055614C"/>
    <w:rsid w:val="00563169"/>
    <w:rsid w:val="00566D06"/>
    <w:rsid w:val="00570D2D"/>
    <w:rsid w:val="00572D1F"/>
    <w:rsid w:val="0057349E"/>
    <w:rsid w:val="00576521"/>
    <w:rsid w:val="00581568"/>
    <w:rsid w:val="0059372C"/>
    <w:rsid w:val="005A3D91"/>
    <w:rsid w:val="005C2A9F"/>
    <w:rsid w:val="005D58FA"/>
    <w:rsid w:val="005E14C2"/>
    <w:rsid w:val="005E6C75"/>
    <w:rsid w:val="005F7046"/>
    <w:rsid w:val="0060044C"/>
    <w:rsid w:val="00607BA5"/>
    <w:rsid w:val="0061180A"/>
    <w:rsid w:val="0062210A"/>
    <w:rsid w:val="00626EB6"/>
    <w:rsid w:val="00641498"/>
    <w:rsid w:val="00642889"/>
    <w:rsid w:val="00642D65"/>
    <w:rsid w:val="00655D03"/>
    <w:rsid w:val="0068035F"/>
    <w:rsid w:val="00683388"/>
    <w:rsid w:val="00683F84"/>
    <w:rsid w:val="00691826"/>
    <w:rsid w:val="0069387E"/>
    <w:rsid w:val="006A6A81"/>
    <w:rsid w:val="006E08FC"/>
    <w:rsid w:val="006E5139"/>
    <w:rsid w:val="006F3E85"/>
    <w:rsid w:val="006F7393"/>
    <w:rsid w:val="0070224F"/>
    <w:rsid w:val="007115F7"/>
    <w:rsid w:val="00723379"/>
    <w:rsid w:val="007348C0"/>
    <w:rsid w:val="00736701"/>
    <w:rsid w:val="00741058"/>
    <w:rsid w:val="00742ECB"/>
    <w:rsid w:val="00752CF9"/>
    <w:rsid w:val="00753F4B"/>
    <w:rsid w:val="00757C39"/>
    <w:rsid w:val="0076461B"/>
    <w:rsid w:val="00772731"/>
    <w:rsid w:val="00785689"/>
    <w:rsid w:val="00793055"/>
    <w:rsid w:val="0079754B"/>
    <w:rsid w:val="007A1E6D"/>
    <w:rsid w:val="007A6BAF"/>
    <w:rsid w:val="007B0EB2"/>
    <w:rsid w:val="007C0B21"/>
    <w:rsid w:val="007C71BA"/>
    <w:rsid w:val="007E221C"/>
    <w:rsid w:val="007F184B"/>
    <w:rsid w:val="007F2D5D"/>
    <w:rsid w:val="00810B6F"/>
    <w:rsid w:val="00822CE0"/>
    <w:rsid w:val="00823D00"/>
    <w:rsid w:val="008307DE"/>
    <w:rsid w:val="00831019"/>
    <w:rsid w:val="00841AB1"/>
    <w:rsid w:val="00847B94"/>
    <w:rsid w:val="00866167"/>
    <w:rsid w:val="0088340B"/>
    <w:rsid w:val="008902F9"/>
    <w:rsid w:val="00891F64"/>
    <w:rsid w:val="0089258D"/>
    <w:rsid w:val="008C0733"/>
    <w:rsid w:val="008C60E0"/>
    <w:rsid w:val="008C68F1"/>
    <w:rsid w:val="008D14B9"/>
    <w:rsid w:val="008F4894"/>
    <w:rsid w:val="009043E8"/>
    <w:rsid w:val="00904E58"/>
    <w:rsid w:val="00921803"/>
    <w:rsid w:val="00926503"/>
    <w:rsid w:val="00926B30"/>
    <w:rsid w:val="00931A18"/>
    <w:rsid w:val="00941CD0"/>
    <w:rsid w:val="00955343"/>
    <w:rsid w:val="0095674A"/>
    <w:rsid w:val="009674E1"/>
    <w:rsid w:val="009726D8"/>
    <w:rsid w:val="0097776A"/>
    <w:rsid w:val="00983A11"/>
    <w:rsid w:val="00992142"/>
    <w:rsid w:val="009A63B3"/>
    <w:rsid w:val="009A64C4"/>
    <w:rsid w:val="009B3709"/>
    <w:rsid w:val="009C28C2"/>
    <w:rsid w:val="009D7308"/>
    <w:rsid w:val="009E1D70"/>
    <w:rsid w:val="009F048A"/>
    <w:rsid w:val="009F76DB"/>
    <w:rsid w:val="00A0036B"/>
    <w:rsid w:val="00A07972"/>
    <w:rsid w:val="00A1170D"/>
    <w:rsid w:val="00A125B5"/>
    <w:rsid w:val="00A14925"/>
    <w:rsid w:val="00A17528"/>
    <w:rsid w:val="00A2147F"/>
    <w:rsid w:val="00A30B7E"/>
    <w:rsid w:val="00A32C3B"/>
    <w:rsid w:val="00A34CFF"/>
    <w:rsid w:val="00A3590B"/>
    <w:rsid w:val="00A40FA9"/>
    <w:rsid w:val="00A41E37"/>
    <w:rsid w:val="00A45F4F"/>
    <w:rsid w:val="00A56660"/>
    <w:rsid w:val="00A600A9"/>
    <w:rsid w:val="00A605AE"/>
    <w:rsid w:val="00A66B02"/>
    <w:rsid w:val="00A67E53"/>
    <w:rsid w:val="00A724B0"/>
    <w:rsid w:val="00A74DF8"/>
    <w:rsid w:val="00A74FD1"/>
    <w:rsid w:val="00A85508"/>
    <w:rsid w:val="00A8702D"/>
    <w:rsid w:val="00A95808"/>
    <w:rsid w:val="00AA55B7"/>
    <w:rsid w:val="00AA5B9E"/>
    <w:rsid w:val="00AA64CE"/>
    <w:rsid w:val="00AB2407"/>
    <w:rsid w:val="00AB53DF"/>
    <w:rsid w:val="00AB5481"/>
    <w:rsid w:val="00AC0FC0"/>
    <w:rsid w:val="00AC16F2"/>
    <w:rsid w:val="00AD09D0"/>
    <w:rsid w:val="00AE1C45"/>
    <w:rsid w:val="00AE67D1"/>
    <w:rsid w:val="00B07E5C"/>
    <w:rsid w:val="00B12A5B"/>
    <w:rsid w:val="00B1547E"/>
    <w:rsid w:val="00B17DCB"/>
    <w:rsid w:val="00B32699"/>
    <w:rsid w:val="00B4707F"/>
    <w:rsid w:val="00B811F7"/>
    <w:rsid w:val="00BA481B"/>
    <w:rsid w:val="00BA5DC6"/>
    <w:rsid w:val="00BA6196"/>
    <w:rsid w:val="00BA73C2"/>
    <w:rsid w:val="00BB7D3E"/>
    <w:rsid w:val="00BC1E1F"/>
    <w:rsid w:val="00BC49D2"/>
    <w:rsid w:val="00BC5BB9"/>
    <w:rsid w:val="00BC6BC2"/>
    <w:rsid w:val="00BC6D8C"/>
    <w:rsid w:val="00BE4116"/>
    <w:rsid w:val="00BF65BB"/>
    <w:rsid w:val="00C25468"/>
    <w:rsid w:val="00C34006"/>
    <w:rsid w:val="00C36B4C"/>
    <w:rsid w:val="00C426B1"/>
    <w:rsid w:val="00C57C97"/>
    <w:rsid w:val="00C64EA8"/>
    <w:rsid w:val="00C66160"/>
    <w:rsid w:val="00C721AC"/>
    <w:rsid w:val="00C909AF"/>
    <w:rsid w:val="00C90D6A"/>
    <w:rsid w:val="00C92A01"/>
    <w:rsid w:val="00CA247E"/>
    <w:rsid w:val="00CA298B"/>
    <w:rsid w:val="00CA3F6E"/>
    <w:rsid w:val="00CA6D21"/>
    <w:rsid w:val="00CB2049"/>
    <w:rsid w:val="00CC49D2"/>
    <w:rsid w:val="00CC72B6"/>
    <w:rsid w:val="00CD5DEB"/>
    <w:rsid w:val="00D0218D"/>
    <w:rsid w:val="00D07C52"/>
    <w:rsid w:val="00D101B5"/>
    <w:rsid w:val="00D14E37"/>
    <w:rsid w:val="00D25FB5"/>
    <w:rsid w:val="00D423D7"/>
    <w:rsid w:val="00D42733"/>
    <w:rsid w:val="00D44223"/>
    <w:rsid w:val="00D602C6"/>
    <w:rsid w:val="00D71C0A"/>
    <w:rsid w:val="00D80945"/>
    <w:rsid w:val="00D8397F"/>
    <w:rsid w:val="00D9678F"/>
    <w:rsid w:val="00DA22F8"/>
    <w:rsid w:val="00DA2529"/>
    <w:rsid w:val="00DB130A"/>
    <w:rsid w:val="00DB2EBB"/>
    <w:rsid w:val="00DC10A1"/>
    <w:rsid w:val="00DC655F"/>
    <w:rsid w:val="00DC6F1A"/>
    <w:rsid w:val="00DD0B59"/>
    <w:rsid w:val="00DD7EBD"/>
    <w:rsid w:val="00DF62B6"/>
    <w:rsid w:val="00E07225"/>
    <w:rsid w:val="00E10200"/>
    <w:rsid w:val="00E21CF6"/>
    <w:rsid w:val="00E23BB0"/>
    <w:rsid w:val="00E3241E"/>
    <w:rsid w:val="00E5409F"/>
    <w:rsid w:val="00E54923"/>
    <w:rsid w:val="00E65399"/>
    <w:rsid w:val="00E7415F"/>
    <w:rsid w:val="00E82E16"/>
    <w:rsid w:val="00E87206"/>
    <w:rsid w:val="00E91395"/>
    <w:rsid w:val="00E95409"/>
    <w:rsid w:val="00E9636E"/>
    <w:rsid w:val="00EA241C"/>
    <w:rsid w:val="00EA7ABF"/>
    <w:rsid w:val="00EB15B5"/>
    <w:rsid w:val="00EB18DD"/>
    <w:rsid w:val="00EB6114"/>
    <w:rsid w:val="00EC62FA"/>
    <w:rsid w:val="00ED1296"/>
    <w:rsid w:val="00EE5028"/>
    <w:rsid w:val="00EE6488"/>
    <w:rsid w:val="00EF152C"/>
    <w:rsid w:val="00F00E15"/>
    <w:rsid w:val="00F021FA"/>
    <w:rsid w:val="00F04D63"/>
    <w:rsid w:val="00F24ED6"/>
    <w:rsid w:val="00F30C2E"/>
    <w:rsid w:val="00F36C54"/>
    <w:rsid w:val="00F6109C"/>
    <w:rsid w:val="00F62E97"/>
    <w:rsid w:val="00F64209"/>
    <w:rsid w:val="00F71EEB"/>
    <w:rsid w:val="00F729EE"/>
    <w:rsid w:val="00F93BF5"/>
    <w:rsid w:val="00F96F56"/>
    <w:rsid w:val="00FC0565"/>
    <w:rsid w:val="00FC13BD"/>
    <w:rsid w:val="00FC44BE"/>
    <w:rsid w:val="00FD09BE"/>
    <w:rsid w:val="00FD23C3"/>
    <w:rsid w:val="00FF4D2A"/>
    <w:rsid w:val="229CB1D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8B623FA"/>
  <w15:chartTrackingRefBased/>
  <w15:docId w15:val="{409720B3-51FE-492F-B2D4-62DB7DAEC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aliases w:val="h6"/>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outlineLvl w:val="7"/>
    </w:pPr>
    <w:rPr>
      <w:b/>
    </w:rPr>
  </w:style>
  <w:style w:type="paragraph" w:styleId="Heading9">
    <w:name w:val="heading 9"/>
    <w:aliases w:val="Topic,table,t,9,Heading 9.table,Titre 9"/>
    <w:basedOn w:val="Normal"/>
    <w:next w:val="ParaNum"/>
    <w:link w:val="Heading9Char"/>
    <w:qFormat/>
    <w:rsid w:val="001E01CA"/>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aliases w:val="Footnote Text Char2 Char,Footnote Text Char3 Char Char,Footnote Text Char2 Char Char Char,Footnote Text Char Char Char1 Char Char Char,Footnote Text Char1 Char1 Char Char Char,Footnote Text Char Char Char2 Char Char,fn,f,ALTS FOOTNOTE,fn "/>
    <w:link w:val="FootnoteTextChar"/>
    <w:rsid w:val="000E3D42"/>
    <w:pPr>
      <w:spacing w:after="120"/>
    </w:pPr>
  </w:style>
  <w:style w:type="character" w:styleId="FootnoteReference">
    <w:name w:val="footnote reference"/>
    <w:aliases w:val="Style 124,Appel note de bas de p,Style 12,(NECG) Footnote Reference,o,fr,Style 3,Style 17,FR,Style 13,Footnote Reference/,Style 6,Style 7,Style 4,Footnote Reference1,Style 34,Style 9,Style 20,callout,-E Funotenzeichen,A,Ref,Style 1"/>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A40FA9"/>
    <w:rPr>
      <w:rFonts w:ascii="Times New Roman Bold" w:hAnsi="Times New Roman Bold"/>
      <w:b/>
      <w:caps/>
      <w:snapToGrid w:val="0"/>
      <w:kern w:val="28"/>
      <w:sz w:val="22"/>
    </w:rPr>
  </w:style>
  <w:style w:type="character" w:customStyle="1" w:styleId="Heading2Char">
    <w:name w:val="Heading 2 Char"/>
    <w:link w:val="Heading2"/>
    <w:rsid w:val="00A40FA9"/>
    <w:rPr>
      <w:b/>
      <w:snapToGrid w:val="0"/>
      <w:kern w:val="28"/>
      <w:sz w:val="22"/>
    </w:rPr>
  </w:style>
  <w:style w:type="character" w:customStyle="1" w:styleId="Heading3Char">
    <w:name w:val="Heading 3 Char"/>
    <w:link w:val="Heading3"/>
    <w:rsid w:val="00A40FA9"/>
    <w:rPr>
      <w:b/>
      <w:snapToGrid w:val="0"/>
      <w:kern w:val="28"/>
      <w:sz w:val="22"/>
    </w:rPr>
  </w:style>
  <w:style w:type="character" w:customStyle="1" w:styleId="Heading4Char">
    <w:name w:val="Heading 4 Char"/>
    <w:aliases w:val="Heading 4 Char2 Char,Heading 4 Char1 Char Char,Heading 4 Char Char Char Char,Heading 4 Char Char1 Char,Heading 4 Char1 Char1,Heading 4 Char Char Char1"/>
    <w:link w:val="Heading4"/>
    <w:rsid w:val="00A40FA9"/>
    <w:rPr>
      <w:b/>
      <w:snapToGrid w:val="0"/>
      <w:kern w:val="28"/>
      <w:sz w:val="22"/>
    </w:rPr>
  </w:style>
  <w:style w:type="character" w:customStyle="1" w:styleId="Heading5Char">
    <w:name w:val="Heading 5 Char"/>
    <w:link w:val="Heading5"/>
    <w:rsid w:val="00A40FA9"/>
    <w:rPr>
      <w:b/>
      <w:snapToGrid w:val="0"/>
      <w:kern w:val="28"/>
      <w:sz w:val="22"/>
    </w:rPr>
  </w:style>
  <w:style w:type="character" w:customStyle="1" w:styleId="Heading6Char">
    <w:name w:val="Heading 6 Char"/>
    <w:aliases w:val="h6 Char"/>
    <w:link w:val="Heading6"/>
    <w:rsid w:val="00A40FA9"/>
    <w:rPr>
      <w:b/>
      <w:snapToGrid w:val="0"/>
      <w:kern w:val="28"/>
      <w:sz w:val="22"/>
    </w:rPr>
  </w:style>
  <w:style w:type="character" w:customStyle="1" w:styleId="Heading7Char">
    <w:name w:val="Heading 7 Char"/>
    <w:link w:val="Heading7"/>
    <w:rsid w:val="00A40FA9"/>
    <w:rPr>
      <w:b/>
      <w:snapToGrid w:val="0"/>
      <w:kern w:val="28"/>
      <w:sz w:val="22"/>
    </w:rPr>
  </w:style>
  <w:style w:type="character" w:customStyle="1" w:styleId="Heading8Char">
    <w:name w:val="Heading 8 Char"/>
    <w:link w:val="Heading8"/>
    <w:rsid w:val="00A40FA9"/>
    <w:rPr>
      <w:b/>
      <w:snapToGrid w:val="0"/>
      <w:kern w:val="28"/>
      <w:sz w:val="22"/>
    </w:rPr>
  </w:style>
  <w:style w:type="character" w:customStyle="1" w:styleId="Heading9Char">
    <w:name w:val="Heading 9 Char"/>
    <w:aliases w:val="Topic Char,table Char,t Char,9 Char,Heading 9.table Char,Titre 9 Char"/>
    <w:link w:val="Heading9"/>
    <w:rsid w:val="00A40FA9"/>
    <w:rPr>
      <w:b/>
      <w:snapToGrid w:val="0"/>
      <w:kern w:val="28"/>
      <w:sz w:val="22"/>
    </w:rPr>
  </w:style>
  <w:style w:type="character" w:customStyle="1" w:styleId="EndnoteTextChar">
    <w:name w:val="Endnote Text Char"/>
    <w:link w:val="EndnoteText"/>
    <w:semiHidden/>
    <w:rsid w:val="00A40FA9"/>
    <w:rPr>
      <w:snapToGrid w:val="0"/>
      <w:kern w:val="28"/>
    </w:rPr>
  </w:style>
  <w:style w:type="character" w:customStyle="1" w:styleId="FootnoteTextChar">
    <w:name w:val="Footnote Text Char"/>
    <w:aliases w:val="Footnote Text Char2 Char Char,Footnote Text Char3 Char Char Char,Footnote Text Char2 Char Char Char Char,Footnote Text Char Char Char1 Char Char Char Char,Footnote Text Char1 Char1 Char Char Char Char,fn Char,f Char,ALTS FOOTNOTE Char"/>
    <w:basedOn w:val="DefaultParagraphFont"/>
    <w:link w:val="FootnoteText"/>
    <w:rsid w:val="00A40FA9"/>
  </w:style>
  <w:style w:type="character" w:customStyle="1" w:styleId="HeaderChar">
    <w:name w:val="Header Char"/>
    <w:link w:val="Header"/>
    <w:rsid w:val="00A40FA9"/>
    <w:rPr>
      <w:b/>
      <w:snapToGrid w:val="0"/>
      <w:kern w:val="28"/>
      <w:sz w:val="22"/>
    </w:rPr>
  </w:style>
  <w:style w:type="paragraph" w:styleId="Revision">
    <w:name w:val="Revision"/>
    <w:hidden/>
    <w:uiPriority w:val="99"/>
    <w:semiHidden/>
    <w:rsid w:val="00A40FA9"/>
    <w:rPr>
      <w:snapToGrid w:val="0"/>
      <w:kern w:val="28"/>
      <w:sz w:val="22"/>
    </w:rPr>
  </w:style>
  <w:style w:type="character" w:customStyle="1" w:styleId="ParaNumChar">
    <w:name w:val="ParaNum Char"/>
    <w:link w:val="ParaNum"/>
    <w:locked/>
    <w:rsid w:val="00A40FA9"/>
    <w:rPr>
      <w:snapToGrid w:val="0"/>
      <w:kern w:val="28"/>
      <w:sz w:val="22"/>
    </w:rPr>
  </w:style>
  <w:style w:type="character" w:styleId="CommentReference">
    <w:name w:val="annotation reference"/>
    <w:rsid w:val="00A40FA9"/>
    <w:rPr>
      <w:sz w:val="16"/>
      <w:szCs w:val="16"/>
    </w:rPr>
  </w:style>
  <w:style w:type="paragraph" w:styleId="CommentText">
    <w:name w:val="annotation text"/>
    <w:basedOn w:val="Normal"/>
    <w:link w:val="CommentTextChar"/>
    <w:rsid w:val="00A40FA9"/>
    <w:rPr>
      <w:snapToGrid/>
      <w:sz w:val="20"/>
    </w:rPr>
  </w:style>
  <w:style w:type="character" w:customStyle="1" w:styleId="CommentTextChar">
    <w:name w:val="Comment Text Char"/>
    <w:link w:val="CommentText"/>
    <w:rsid w:val="00A40FA9"/>
    <w:rPr>
      <w:kern w:val="28"/>
    </w:rPr>
  </w:style>
  <w:style w:type="paragraph" w:styleId="CommentSubject">
    <w:name w:val="annotation subject"/>
    <w:basedOn w:val="CommentText"/>
    <w:next w:val="CommentText"/>
    <w:link w:val="CommentSubjectChar"/>
    <w:rsid w:val="00A40FA9"/>
    <w:rPr>
      <w:b/>
      <w:bCs/>
      <w:snapToGrid w:val="0"/>
    </w:rPr>
  </w:style>
  <w:style w:type="character" w:customStyle="1" w:styleId="CommentSubjectChar">
    <w:name w:val="Comment Subject Char"/>
    <w:link w:val="CommentSubject"/>
    <w:rsid w:val="00A40FA9"/>
    <w:rPr>
      <w:b/>
      <w:bCs/>
      <w:snapToGrid w:val="0"/>
      <w:kern w:val="28"/>
    </w:rPr>
  </w:style>
  <w:style w:type="paragraph" w:styleId="ListBullet">
    <w:name w:val="List Bullet"/>
    <w:basedOn w:val="Normal"/>
    <w:rsid w:val="00A40FA9"/>
    <w:pPr>
      <w:numPr>
        <w:numId w:val="8"/>
      </w:numPr>
      <w:tabs>
        <w:tab w:val="clear" w:pos="360"/>
      </w:tabs>
      <w:ind w:left="0" w:firstLine="0"/>
      <w:contextualSpacing/>
    </w:pPr>
    <w:rPr>
      <w:snapToGrid/>
    </w:rPr>
  </w:style>
  <w:style w:type="paragraph" w:styleId="ListBullet5">
    <w:name w:val="List Bullet 5"/>
    <w:basedOn w:val="Normal"/>
    <w:rsid w:val="00A40FA9"/>
    <w:pPr>
      <w:numPr>
        <w:numId w:val="9"/>
      </w:numPr>
      <w:tabs>
        <w:tab w:val="clear" w:pos="1800"/>
      </w:tabs>
      <w:ind w:left="0" w:firstLine="0"/>
      <w:contextualSpacing/>
    </w:pPr>
  </w:style>
  <w:style w:type="character" w:styleId="Mention">
    <w:name w:val="Mention"/>
    <w:uiPriority w:val="99"/>
    <w:unhideWhenUsed/>
    <w:rsid w:val="00A40FA9"/>
    <w:rPr>
      <w:color w:val="2B579A"/>
      <w:shd w:val="clear" w:color="auto" w:fill="E1DFDD"/>
    </w:rPr>
  </w:style>
  <w:style w:type="character" w:styleId="UnresolvedMention">
    <w:name w:val="Unresolved Mention"/>
    <w:uiPriority w:val="99"/>
    <w:unhideWhenUsed/>
    <w:rsid w:val="00A40FA9"/>
    <w:rPr>
      <w:color w:val="605E5C"/>
      <w:shd w:val="clear" w:color="auto" w:fill="E1DFDD"/>
    </w:rPr>
  </w:style>
  <w:style w:type="character" w:styleId="FollowedHyperlink">
    <w:name w:val="FollowedHyperlink"/>
    <w:rsid w:val="00A40FA9"/>
    <w:rPr>
      <w:color w:val="96607D"/>
      <w:u w:val="single"/>
    </w:rPr>
  </w:style>
  <w:style w:type="paragraph" w:styleId="ListParagraph">
    <w:name w:val="List Paragraph"/>
    <w:basedOn w:val="Normal"/>
    <w:uiPriority w:val="34"/>
    <w:qFormat/>
    <w:rsid w:val="00A40FA9"/>
    <w:pPr>
      <w:ind w:left="720"/>
      <w:contextualSpacing/>
    </w:pPr>
  </w:style>
  <w:style w:type="character" w:styleId="Emphasis">
    <w:name w:val="Emphasis"/>
    <w:uiPriority w:val="20"/>
    <w:qFormat/>
    <w:rsid w:val="00A40FA9"/>
    <w:rPr>
      <w:i/>
      <w:iCs/>
    </w:rPr>
  </w:style>
  <w:style w:type="paragraph" w:styleId="TOCHeading">
    <w:name w:val="TOC Heading"/>
    <w:basedOn w:val="Heading1"/>
    <w:next w:val="Normal"/>
    <w:uiPriority w:val="39"/>
    <w:unhideWhenUsed/>
    <w:qFormat/>
    <w:rsid w:val="00A40FA9"/>
    <w:pPr>
      <w:keepLines/>
      <w:widowControl/>
      <w:numPr>
        <w:numId w:val="0"/>
      </w:numPr>
      <w:tabs>
        <w:tab w:val="left" w:pos="720"/>
      </w:tabs>
      <w:suppressAutoHyphens w:val="0"/>
      <w:spacing w:before="240" w:after="0" w:line="259" w:lineRule="auto"/>
      <w:outlineLvl w:val="9"/>
    </w:pPr>
    <w:rPr>
      <w:rFonts w:ascii="Aptos Display" w:eastAsia="Yu Gothic Light" w:hAnsi="Aptos Display"/>
      <w:b w:val="0"/>
      <w:caps w:val="0"/>
      <w:snapToGrid/>
      <w:color w:val="0F4761"/>
      <w:kern w:val="0"/>
      <w:sz w:val="32"/>
      <w:szCs w:val="32"/>
    </w:rPr>
  </w:style>
  <w:style w:type="character" w:customStyle="1" w:styleId="ParaNumChar1">
    <w:name w:val="ParaNum Char1"/>
    <w:rsid w:val="00A40FA9"/>
    <w:rPr>
      <w:snapToGrid w:val="0"/>
      <w:kern w:val="28"/>
      <w:sz w:val="22"/>
    </w:rPr>
  </w:style>
  <w:style w:type="table" w:styleId="TableGrid">
    <w:name w:val="Table Grid"/>
    <w:basedOn w:val="TableNormal"/>
    <w:uiPriority w:val="39"/>
    <w:rsid w:val="00A40FA9"/>
    <w:rPr>
      <w:rFonts w:ascii="Aptos" w:eastAsia="Aptos" w:hAnsi="Aptos" w:cs="Arial"/>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rsid w:val="00A40FA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footer" Target="footer4.xml" /><Relationship Id="rId12" Type="http://schemas.openxmlformats.org/officeDocument/2006/relationships/header" Target="header3.xml" /><Relationship Id="rId13" Type="http://schemas.openxmlformats.org/officeDocument/2006/relationships/footer" Target="footer5.xml" /><Relationship Id="rId14" Type="http://schemas.openxmlformats.org/officeDocument/2006/relationships/footer" Target="footer6.xml" /><Relationship Id="rId15" Type="http://schemas.openxmlformats.org/officeDocument/2006/relationships/header" Target="header4.xml" /><Relationship Id="rId16" Type="http://schemas.openxmlformats.org/officeDocument/2006/relationships/footer" Target="footer7.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investors.arrayinc.com/resources/investor-faqs/default.aspx" TargetMode="External" /><Relationship Id="rId2" Type="http://schemas.openxmlformats.org/officeDocument/2006/relationships/hyperlink" Target="https://www.sec.gov/ix?doc=/Archives/edgar/data/0000732712/000073271226000007/vz-20251231.htm" TargetMode="External" /><Relationship Id="rId3" Type="http://schemas.openxmlformats.org/officeDocument/2006/relationships/hyperlink" Target="https://www.sec.gov/Archives/edgar/data/821130/000082113025000023/usm-20241231.htm" TargetMode="External" /><Relationship Id="rId4" Type="http://schemas.openxmlformats.org/officeDocument/2006/relationships/hyperlink" Target="https://www.sec.gov/ix?doc=/Archives/edgar/data/0000821130/000082113026000012/ad-20251231.htm" TargetMode="External" /><Relationship Id="rId5" Type="http://schemas.openxmlformats.org/officeDocument/2006/relationships/hyperlink" Target="https://www.prnewswire.com/news-releases/uscellular-completes-sale-of-wireless-operations-302519634.html" TargetMode="External" /><Relationship Id="rId6" Type="http://schemas.openxmlformats.org/officeDocument/2006/relationships/hyperlink" Target="https://www.arrayinc.com/about/" TargetMode="External" /><Relationship Id="rId7" Type="http://schemas.openxmlformats.org/officeDocument/2006/relationships/hyperlink" Target="https://investors.arrayinc.com/news/news-details/2026/Array-reports-first-quarter-2026-results/default.aspx" TargetMode="External" /><Relationship Id="rId8" Type="http://schemas.openxmlformats.org/officeDocument/2006/relationships/hyperlink" Target="https://www.verizon.com/about/news/verizon-has-best-5g-network-america" TargetMode="External" /><Relationship Id="rId9" Type="http://schemas.openxmlformats.org/officeDocument/2006/relationships/hyperlink" Target="https://www.verizon.com/about/news/verizon-delivers-best-wireless-network-performance-result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nellie.foosaner\FCC\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