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BA3BA8" w14:paraId="20147936" w14:textId="77777777">
      <w:pPr>
        <w:jc w:val="right"/>
        <w:rPr>
          <w:sz w:val="24"/>
        </w:rPr>
      </w:pPr>
    </w:p>
    <w:p w:rsidR="00BA3BA8" w14:paraId="20415B30" w14:textId="06956E2B">
      <w:pPr>
        <w:jc w:val="right"/>
        <w:rPr>
          <w:b/>
          <w:sz w:val="24"/>
        </w:rPr>
      </w:pPr>
      <w:r>
        <w:rPr>
          <w:b/>
          <w:sz w:val="24"/>
        </w:rPr>
        <w:t>DA 26-</w:t>
      </w:r>
      <w:r w:rsidR="00C774E7">
        <w:rPr>
          <w:b/>
          <w:sz w:val="24"/>
        </w:rPr>
        <w:t>493</w:t>
      </w:r>
    </w:p>
    <w:p w:rsidR="00BA3BA8" w14:paraId="065411D0" w14:textId="58B4DE0C">
      <w:pPr>
        <w:spacing w:before="60"/>
        <w:jc w:val="right"/>
        <w:rPr>
          <w:b/>
          <w:sz w:val="24"/>
        </w:rPr>
      </w:pPr>
      <w:r>
        <w:rPr>
          <w:b/>
          <w:sz w:val="24"/>
        </w:rPr>
        <w:t xml:space="preserve">Released: </w:t>
      </w:r>
      <w:r w:rsidR="00AD25AF">
        <w:rPr>
          <w:b/>
          <w:sz w:val="24"/>
        </w:rPr>
        <w:t xml:space="preserve">May </w:t>
      </w:r>
      <w:r w:rsidR="00DB7F8A">
        <w:rPr>
          <w:b/>
          <w:sz w:val="24"/>
        </w:rPr>
        <w:t>15</w:t>
      </w:r>
      <w:r w:rsidR="00AD25AF">
        <w:rPr>
          <w:b/>
          <w:sz w:val="24"/>
        </w:rPr>
        <w:t>, 2026</w:t>
      </w:r>
    </w:p>
    <w:p w:rsidR="00BA3BA8" w14:paraId="623C1614" w14:textId="77777777">
      <w:pPr>
        <w:jc w:val="right"/>
        <w:rPr>
          <w:sz w:val="24"/>
        </w:rPr>
      </w:pPr>
    </w:p>
    <w:p w:rsidR="00CC256F" w:rsidP="00E55F0D" w14:paraId="6938F2DD" w14:textId="47DE302F">
      <w:pPr>
        <w:jc w:val="center"/>
        <w:rPr>
          <w:rFonts w:ascii="Times New Roman Bold" w:hAnsi="Times New Roman Bold"/>
          <w:b/>
          <w:caps/>
          <w:sz w:val="24"/>
        </w:rPr>
      </w:pPr>
      <w:r>
        <w:rPr>
          <w:rFonts w:ascii="Times New Roman Bold" w:hAnsi="Times New Roman Bold"/>
          <w:b/>
          <w:caps/>
          <w:sz w:val="24"/>
        </w:rPr>
        <w:t>DOMESTIC SECTION 214 APPLICATION FILED FOR THE TRANSFER OF CONTROL OF YANKEE TELECOM, INC.</w:t>
      </w:r>
      <w:r>
        <w:rPr>
          <w:rFonts w:ascii="Times New Roman Bold" w:hAnsi="Times New Roman Bold"/>
          <w:b/>
          <w:caps/>
          <w:sz w:val="24"/>
        </w:rPr>
        <w:t xml:space="preserve"> and its subsidiaries</w:t>
      </w:r>
      <w:r>
        <w:rPr>
          <w:rFonts w:ascii="Times New Roman Bold" w:hAnsi="Times New Roman Bold"/>
          <w:b/>
          <w:caps/>
          <w:sz w:val="24"/>
        </w:rPr>
        <w:t xml:space="preserve"> TO </w:t>
      </w:r>
    </w:p>
    <w:p w:rsidR="00BA3BA8" w:rsidP="00E55F0D" w14:paraId="6AA2E44E" w14:textId="6286D226">
      <w:pPr>
        <w:jc w:val="center"/>
        <w:rPr>
          <w:rFonts w:ascii="Times New Roman Bold" w:hAnsi="Times New Roman Bold"/>
          <w:b/>
          <w:caps/>
          <w:sz w:val="24"/>
        </w:rPr>
      </w:pPr>
      <w:r>
        <w:rPr>
          <w:rFonts w:ascii="Times New Roman Bold" w:hAnsi="Times New Roman Bold"/>
          <w:b/>
          <w:caps/>
          <w:sz w:val="24"/>
        </w:rPr>
        <w:t>TDS TELECOMMUNICATIONS LLC</w:t>
      </w:r>
      <w:bookmarkStart w:id="0" w:name="TOChere"/>
    </w:p>
    <w:p w:rsidR="00CC256F" w:rsidRPr="00B46507" w:rsidP="00CC256F" w14:paraId="5E08B739" w14:textId="77777777">
      <w:pPr>
        <w:spacing w:after="120"/>
        <w:jc w:val="center"/>
        <w:rPr>
          <w:rFonts w:ascii="Times New Roman Bold" w:hAnsi="Times New Roman Bold"/>
          <w:b/>
          <w:caps/>
          <w:sz w:val="24"/>
        </w:rPr>
      </w:pPr>
    </w:p>
    <w:p w:rsidR="00AD25AF" w:rsidRPr="00AD25AF" w:rsidP="00AD25AF" w14:paraId="198C5523" w14:textId="77777777">
      <w:pPr>
        <w:jc w:val="center"/>
        <w:rPr>
          <w:b/>
          <w:bCs/>
          <w:szCs w:val="22"/>
        </w:rPr>
      </w:pPr>
      <w:r w:rsidRPr="00AD25AF">
        <w:rPr>
          <w:b/>
          <w:szCs w:val="22"/>
        </w:rPr>
        <w:t>NON-STREAMLINED PLEADING CYCLE ESTABLISHED</w:t>
      </w:r>
    </w:p>
    <w:p w:rsidR="00AD25AF" w:rsidRPr="00AD25AF" w:rsidP="00AD25AF" w14:paraId="37AADAD6" w14:textId="77777777">
      <w:pPr>
        <w:jc w:val="center"/>
        <w:rPr>
          <w:b/>
          <w:bCs/>
          <w:szCs w:val="22"/>
        </w:rPr>
      </w:pPr>
    </w:p>
    <w:p w:rsidR="00AD25AF" w:rsidRPr="00AD25AF" w:rsidP="00AD25AF" w14:paraId="309A0348" w14:textId="594D214B">
      <w:pPr>
        <w:jc w:val="center"/>
        <w:rPr>
          <w:b/>
          <w:sz w:val="24"/>
        </w:rPr>
      </w:pPr>
      <w:r w:rsidRPr="00AD25AF">
        <w:rPr>
          <w:b/>
          <w:sz w:val="24"/>
        </w:rPr>
        <w:t>WC Docket Nos. 26-</w:t>
      </w:r>
      <w:r w:rsidR="00B46507">
        <w:rPr>
          <w:b/>
          <w:sz w:val="24"/>
        </w:rPr>
        <w:t>100</w:t>
      </w:r>
    </w:p>
    <w:p w:rsidR="00AD25AF" w:rsidRPr="00AD25AF" w:rsidP="00AD25AF" w14:paraId="1F7CBC32" w14:textId="77777777">
      <w:pPr>
        <w:rPr>
          <w:b/>
          <w:szCs w:val="22"/>
        </w:rPr>
      </w:pPr>
    </w:p>
    <w:p w:rsidR="00AD25AF" w:rsidRPr="00AD25AF" w:rsidP="00AD25AF" w14:paraId="0F4C983E" w14:textId="508AD3F9">
      <w:pPr>
        <w:rPr>
          <w:b/>
          <w:szCs w:val="22"/>
        </w:rPr>
      </w:pPr>
      <w:r w:rsidRPr="00AD25AF">
        <w:rPr>
          <w:b/>
          <w:szCs w:val="22"/>
        </w:rPr>
        <w:t xml:space="preserve">Comments Due: </w:t>
      </w:r>
      <w:r w:rsidR="00CE17BE">
        <w:rPr>
          <w:b/>
          <w:szCs w:val="22"/>
        </w:rPr>
        <w:t>May</w:t>
      </w:r>
      <w:r w:rsidRPr="00AD25AF">
        <w:rPr>
          <w:b/>
          <w:szCs w:val="22"/>
        </w:rPr>
        <w:t xml:space="preserve"> </w:t>
      </w:r>
      <w:r w:rsidR="00DB7F8A">
        <w:rPr>
          <w:b/>
          <w:szCs w:val="22"/>
        </w:rPr>
        <w:t>29</w:t>
      </w:r>
      <w:r w:rsidRPr="00AD25AF">
        <w:rPr>
          <w:b/>
          <w:szCs w:val="22"/>
        </w:rPr>
        <w:t xml:space="preserve">, 2026 </w:t>
      </w:r>
    </w:p>
    <w:p w:rsidR="00AD25AF" w:rsidRPr="00AD25AF" w:rsidP="00AD25AF" w14:paraId="08794058" w14:textId="3E0E566A">
      <w:pPr>
        <w:tabs>
          <w:tab w:val="left" w:pos="6366"/>
        </w:tabs>
        <w:rPr>
          <w:b/>
          <w:szCs w:val="22"/>
        </w:rPr>
      </w:pPr>
      <w:r w:rsidRPr="00AD25AF">
        <w:rPr>
          <w:b/>
          <w:szCs w:val="22"/>
        </w:rPr>
        <w:t xml:space="preserve">Reply Comments Due: </w:t>
      </w:r>
      <w:r w:rsidR="00DB7F8A">
        <w:rPr>
          <w:b/>
          <w:szCs w:val="22"/>
        </w:rPr>
        <w:t>June 5</w:t>
      </w:r>
      <w:r w:rsidRPr="00AD25AF">
        <w:rPr>
          <w:b/>
          <w:szCs w:val="22"/>
        </w:rPr>
        <w:t>, 2026</w:t>
      </w:r>
    </w:p>
    <w:p w:rsidR="00AD25AF" w:rsidRPr="00AD25AF" w:rsidP="00AD25AF" w14:paraId="2EA61DD4" w14:textId="77777777">
      <w:pPr>
        <w:rPr>
          <w:b/>
          <w:sz w:val="24"/>
        </w:rPr>
      </w:pPr>
    </w:p>
    <w:p w:rsidR="00AD25AF" w:rsidRPr="00AD25AF" w:rsidP="00AD25AF" w14:paraId="35D307C9" w14:textId="34586B30">
      <w:pPr>
        <w:autoSpaceDE w:val="0"/>
        <w:autoSpaceDN w:val="0"/>
        <w:adjustRightInd w:val="0"/>
        <w:spacing w:after="120"/>
        <w:ind w:firstLine="720"/>
        <w:rPr>
          <w:szCs w:val="22"/>
        </w:rPr>
      </w:pPr>
      <w:r w:rsidRPr="00AD25AF">
        <w:rPr>
          <w:szCs w:val="22"/>
        </w:rPr>
        <w:t xml:space="preserve">By this Public Notice, the Wireline Competition Bureau seeks comment from interested parties on </w:t>
      </w:r>
      <w:r w:rsidR="00182EF4">
        <w:rPr>
          <w:szCs w:val="22"/>
        </w:rPr>
        <w:t>an</w:t>
      </w:r>
      <w:r w:rsidRPr="00AD25AF">
        <w:rPr>
          <w:szCs w:val="22"/>
        </w:rPr>
        <w:t xml:space="preserve"> application</w:t>
      </w:r>
      <w:r>
        <w:rPr>
          <w:szCs w:val="22"/>
          <w:vertAlign w:val="superscript"/>
        </w:rPr>
        <w:footnoteReference w:id="3"/>
      </w:r>
      <w:r w:rsidRPr="00AD25AF">
        <w:rPr>
          <w:szCs w:val="22"/>
        </w:rPr>
        <w:t xml:space="preserve"> filed by </w:t>
      </w:r>
      <w:bookmarkStart w:id="3" w:name="_Hlk73713070"/>
      <w:bookmarkStart w:id="4" w:name="_Hlk67917977"/>
      <w:r w:rsidR="0049312B">
        <w:rPr>
          <w:szCs w:val="22"/>
        </w:rPr>
        <w:t xml:space="preserve">Yankee Telecom, Inc. </w:t>
      </w:r>
      <w:r w:rsidR="00182EF4">
        <w:rPr>
          <w:szCs w:val="22"/>
        </w:rPr>
        <w:t xml:space="preserve">(Yankee Telecom) </w:t>
      </w:r>
      <w:r w:rsidR="0049312B">
        <w:rPr>
          <w:szCs w:val="22"/>
        </w:rPr>
        <w:t>and TDS Telecommunications LLC</w:t>
      </w:r>
      <w:r w:rsidR="00182EF4">
        <w:rPr>
          <w:szCs w:val="22"/>
        </w:rPr>
        <w:t xml:space="preserve"> (TDS Telecom)</w:t>
      </w:r>
      <w:r w:rsidR="0049312B">
        <w:rPr>
          <w:szCs w:val="22"/>
        </w:rPr>
        <w:t xml:space="preserve"> </w:t>
      </w:r>
      <w:r w:rsidRPr="00AD25AF">
        <w:rPr>
          <w:szCs w:val="22"/>
        </w:rPr>
        <w:t xml:space="preserve">(together, Applicants), pursuant to section 214(a) of the Communications Act of 1934, as amended, and section 63.04 of the </w:t>
      </w:r>
      <w:r w:rsidR="00B43813">
        <w:rPr>
          <w:szCs w:val="22"/>
        </w:rPr>
        <w:t xml:space="preserve">Federal Communications </w:t>
      </w:r>
      <w:r w:rsidRPr="00AD25AF">
        <w:rPr>
          <w:szCs w:val="22"/>
        </w:rPr>
        <w:t xml:space="preserve">Commission’s </w:t>
      </w:r>
      <w:r w:rsidR="00B43813">
        <w:rPr>
          <w:szCs w:val="22"/>
        </w:rPr>
        <w:t xml:space="preserve">(Commission) </w:t>
      </w:r>
      <w:r w:rsidRPr="00AD25AF">
        <w:rPr>
          <w:szCs w:val="22"/>
        </w:rPr>
        <w:t>rules,</w:t>
      </w:r>
      <w:r>
        <w:rPr>
          <w:szCs w:val="22"/>
          <w:vertAlign w:val="superscript"/>
        </w:rPr>
        <w:footnoteReference w:id="4"/>
      </w:r>
      <w:r w:rsidRPr="00AD25AF">
        <w:rPr>
          <w:szCs w:val="22"/>
        </w:rPr>
        <w:t xml:space="preserve"> </w:t>
      </w:r>
      <w:bookmarkEnd w:id="3"/>
      <w:bookmarkEnd w:id="4"/>
      <w:r w:rsidRPr="00AD25AF">
        <w:rPr>
          <w:szCs w:val="22"/>
        </w:rPr>
        <w:t xml:space="preserve">requesting consent to transfer control of </w:t>
      </w:r>
      <w:r w:rsidR="00A1336C">
        <w:rPr>
          <w:szCs w:val="22"/>
        </w:rPr>
        <w:t>Yankee Telecom and its subsidiaries,</w:t>
      </w:r>
      <w:r w:rsidR="00182EF4">
        <w:rPr>
          <w:szCs w:val="22"/>
        </w:rPr>
        <w:t xml:space="preserve"> Granite State Telephone, Inc. (GST) </w:t>
      </w:r>
      <w:r w:rsidR="008B03B0">
        <w:rPr>
          <w:szCs w:val="22"/>
        </w:rPr>
        <w:t xml:space="preserve">and Granite State Long Distance, Inc. (GSLD) </w:t>
      </w:r>
      <w:r w:rsidR="00182EF4">
        <w:rPr>
          <w:szCs w:val="22"/>
        </w:rPr>
        <w:t>(together, Licensees)</w:t>
      </w:r>
      <w:r w:rsidR="00A1336C">
        <w:rPr>
          <w:szCs w:val="22"/>
        </w:rPr>
        <w:t>,</w:t>
      </w:r>
      <w:r w:rsidR="00182EF4">
        <w:rPr>
          <w:szCs w:val="22"/>
        </w:rPr>
        <w:t xml:space="preserve"> to</w:t>
      </w:r>
      <w:r w:rsidR="00501028">
        <w:rPr>
          <w:szCs w:val="22"/>
        </w:rPr>
        <w:t xml:space="preserve"> TDS Telecom</w:t>
      </w:r>
      <w:r w:rsidR="00182EF4">
        <w:rPr>
          <w:szCs w:val="22"/>
        </w:rPr>
        <w:t>.</w:t>
      </w:r>
    </w:p>
    <w:p w:rsidR="00626A2E" w:rsidP="00A234A5" w14:paraId="007307CE" w14:textId="2DDD32E5">
      <w:pPr>
        <w:autoSpaceDE w:val="0"/>
        <w:autoSpaceDN w:val="0"/>
        <w:adjustRightInd w:val="0"/>
        <w:spacing w:after="120"/>
        <w:ind w:firstLine="720"/>
        <w:rPr>
          <w:szCs w:val="22"/>
        </w:rPr>
      </w:pPr>
      <w:r>
        <w:rPr>
          <w:szCs w:val="22"/>
        </w:rPr>
        <w:t>Yankee Telecom</w:t>
      </w:r>
      <w:r w:rsidR="00A1336C">
        <w:rPr>
          <w:szCs w:val="22"/>
        </w:rPr>
        <w:t xml:space="preserve">, a holding company that does not provide telecommunications services, wholly owns GST and GSLD, </w:t>
      </w:r>
      <w:r w:rsidR="00D751BA">
        <w:rPr>
          <w:szCs w:val="22"/>
        </w:rPr>
        <w:t xml:space="preserve">each of which </w:t>
      </w:r>
      <w:r w:rsidR="00C10451">
        <w:rPr>
          <w:szCs w:val="22"/>
        </w:rPr>
        <w:t>is a</w:t>
      </w:r>
      <w:r w:rsidR="00A1336C">
        <w:rPr>
          <w:szCs w:val="22"/>
        </w:rPr>
        <w:t xml:space="preserve"> </w:t>
      </w:r>
      <w:r>
        <w:rPr>
          <w:szCs w:val="22"/>
        </w:rPr>
        <w:t>New Hampshire corporation.</w:t>
      </w:r>
      <w:r>
        <w:rPr>
          <w:rStyle w:val="FootnoteReference"/>
          <w:szCs w:val="22"/>
        </w:rPr>
        <w:footnoteReference w:id="5"/>
      </w:r>
      <w:r>
        <w:rPr>
          <w:szCs w:val="22"/>
        </w:rPr>
        <w:t xml:space="preserve">  </w:t>
      </w:r>
      <w:r w:rsidR="00A1336C">
        <w:rPr>
          <w:szCs w:val="22"/>
        </w:rPr>
        <w:t xml:space="preserve">GST </w:t>
      </w:r>
      <w:r w:rsidR="00566CA3">
        <w:rPr>
          <w:szCs w:val="22"/>
        </w:rPr>
        <w:t>provides service as</w:t>
      </w:r>
      <w:r w:rsidR="00A1336C">
        <w:rPr>
          <w:szCs w:val="22"/>
        </w:rPr>
        <w:t xml:space="preserve"> a rural incumbent local exchange carrier (LEC) i</w:t>
      </w:r>
      <w:r w:rsidR="00566CA3">
        <w:rPr>
          <w:szCs w:val="22"/>
        </w:rPr>
        <w:t>n</w:t>
      </w:r>
      <w:r w:rsidR="00A1336C">
        <w:rPr>
          <w:szCs w:val="22"/>
        </w:rPr>
        <w:t xml:space="preserve"> certain rural areas of New Hampshire.</w:t>
      </w:r>
      <w:r>
        <w:rPr>
          <w:rStyle w:val="FootnoteReference"/>
          <w:szCs w:val="22"/>
        </w:rPr>
        <w:footnoteReference w:id="6"/>
      </w:r>
      <w:r w:rsidR="00A234A5">
        <w:rPr>
          <w:szCs w:val="22"/>
        </w:rPr>
        <w:t xml:space="preserve">  </w:t>
      </w:r>
      <w:r w:rsidR="00B107E0">
        <w:rPr>
          <w:szCs w:val="22"/>
        </w:rPr>
        <w:t>GSLD provide</w:t>
      </w:r>
      <w:r w:rsidR="00A234A5">
        <w:rPr>
          <w:szCs w:val="22"/>
        </w:rPr>
        <w:t>s</w:t>
      </w:r>
      <w:r w:rsidR="00B107E0">
        <w:rPr>
          <w:szCs w:val="22"/>
        </w:rPr>
        <w:t xml:space="preserve"> long-distance telephone services in the State of New Hampshire.</w:t>
      </w:r>
      <w:r>
        <w:rPr>
          <w:rStyle w:val="FootnoteReference"/>
          <w:szCs w:val="22"/>
        </w:rPr>
        <w:footnoteReference w:id="7"/>
      </w:r>
    </w:p>
    <w:p w:rsidR="00B7094D" w:rsidRPr="00AD25AF" w:rsidP="0003796A" w14:paraId="1912D284" w14:textId="1796A332">
      <w:pPr>
        <w:autoSpaceDE w:val="0"/>
        <w:autoSpaceDN w:val="0"/>
        <w:adjustRightInd w:val="0"/>
        <w:spacing w:after="120"/>
        <w:ind w:firstLine="720"/>
        <w:rPr>
          <w:szCs w:val="22"/>
        </w:rPr>
      </w:pPr>
      <w:r>
        <w:rPr>
          <w:szCs w:val="22"/>
        </w:rPr>
        <w:t>TDS Telecom</w:t>
      </w:r>
      <w:r w:rsidR="00A234A5">
        <w:rPr>
          <w:szCs w:val="22"/>
        </w:rPr>
        <w:t xml:space="preserve">, </w:t>
      </w:r>
      <w:r>
        <w:rPr>
          <w:szCs w:val="22"/>
        </w:rPr>
        <w:t>a Delaware limited liability company</w:t>
      </w:r>
      <w:r w:rsidR="00A234A5">
        <w:rPr>
          <w:szCs w:val="22"/>
        </w:rPr>
        <w:t>,</w:t>
      </w:r>
      <w:r>
        <w:rPr>
          <w:szCs w:val="22"/>
        </w:rPr>
        <w:t xml:space="preserve"> through its wholly owned subsidiaries, </w:t>
      </w:r>
      <w:r w:rsidR="00B625A1">
        <w:rPr>
          <w:szCs w:val="22"/>
        </w:rPr>
        <w:t xml:space="preserve">provides </w:t>
      </w:r>
      <w:r>
        <w:rPr>
          <w:szCs w:val="22"/>
        </w:rPr>
        <w:t xml:space="preserve">telecommunications </w:t>
      </w:r>
      <w:r w:rsidR="00B625A1">
        <w:rPr>
          <w:szCs w:val="22"/>
        </w:rPr>
        <w:t xml:space="preserve">and communications </w:t>
      </w:r>
      <w:r>
        <w:rPr>
          <w:szCs w:val="22"/>
        </w:rPr>
        <w:t>services</w:t>
      </w:r>
      <w:r w:rsidR="008E41E0">
        <w:rPr>
          <w:szCs w:val="22"/>
        </w:rPr>
        <w:t xml:space="preserve"> to </w:t>
      </w:r>
      <w:r>
        <w:rPr>
          <w:szCs w:val="22"/>
        </w:rPr>
        <w:t>small-</w:t>
      </w:r>
      <w:r w:rsidR="00E55F0D">
        <w:rPr>
          <w:szCs w:val="22"/>
        </w:rPr>
        <w:t xml:space="preserve"> </w:t>
      </w:r>
      <w:r>
        <w:rPr>
          <w:szCs w:val="22"/>
        </w:rPr>
        <w:t>to mid-sized urban, suburban, and rural communities throughout the United States.</w:t>
      </w:r>
      <w:r>
        <w:rPr>
          <w:rStyle w:val="FootnoteReference"/>
          <w:szCs w:val="22"/>
        </w:rPr>
        <w:footnoteReference w:id="8"/>
      </w:r>
      <w:r w:rsidR="0003796A">
        <w:rPr>
          <w:szCs w:val="22"/>
        </w:rPr>
        <w:t xml:space="preserve">  In New Hampshire, </w:t>
      </w:r>
      <w:r w:rsidRPr="003536C1" w:rsidR="00420D61">
        <w:rPr>
          <w:szCs w:val="22"/>
        </w:rPr>
        <w:t xml:space="preserve">TDS Telecom directly </w:t>
      </w:r>
      <w:r w:rsidR="000D6570">
        <w:rPr>
          <w:szCs w:val="22"/>
        </w:rPr>
        <w:t xml:space="preserve">owns </w:t>
      </w:r>
      <w:r w:rsidRPr="003536C1" w:rsidR="00420D61">
        <w:rPr>
          <w:szCs w:val="22"/>
        </w:rPr>
        <w:t xml:space="preserve">the following operating subsidiaries, each of which </w:t>
      </w:r>
      <w:r w:rsidR="000D6570">
        <w:rPr>
          <w:szCs w:val="22"/>
        </w:rPr>
        <w:t>is a</w:t>
      </w:r>
      <w:r w:rsidR="0003796A">
        <w:rPr>
          <w:szCs w:val="22"/>
        </w:rPr>
        <w:t xml:space="preserve"> </w:t>
      </w:r>
      <w:r w:rsidRPr="003536C1" w:rsidR="00420D61">
        <w:rPr>
          <w:szCs w:val="22"/>
        </w:rPr>
        <w:t>New Hampshire corporation:  Hollis Telephone Company, Inc.; Kearsarge Telephone Company; Merrimack County Telephone Company; Union Telephone Company; and Wilton Telephone Company, Inc. (</w:t>
      </w:r>
      <w:r w:rsidR="00747BB0">
        <w:rPr>
          <w:szCs w:val="22"/>
        </w:rPr>
        <w:t xml:space="preserve">collectively, </w:t>
      </w:r>
      <w:r w:rsidRPr="003536C1" w:rsidR="00420D61">
        <w:rPr>
          <w:szCs w:val="22"/>
        </w:rPr>
        <w:t>the TDS New Hampshire Companies).</w:t>
      </w:r>
      <w:r>
        <w:rPr>
          <w:rStyle w:val="FootnoteReference"/>
          <w:szCs w:val="22"/>
        </w:rPr>
        <w:footnoteReference w:id="9"/>
      </w:r>
      <w:r w:rsidRPr="003536C1" w:rsidR="00420D61">
        <w:rPr>
          <w:szCs w:val="22"/>
        </w:rPr>
        <w:t xml:space="preserve">  Each of the TDS New Hampshire Companies </w:t>
      </w:r>
      <w:r w:rsidR="00747BB0">
        <w:rPr>
          <w:szCs w:val="22"/>
        </w:rPr>
        <w:t>provide</w:t>
      </w:r>
      <w:r w:rsidR="000D6570">
        <w:rPr>
          <w:szCs w:val="22"/>
        </w:rPr>
        <w:t>s</w:t>
      </w:r>
      <w:r w:rsidR="00747BB0">
        <w:rPr>
          <w:szCs w:val="22"/>
        </w:rPr>
        <w:t xml:space="preserve"> service </w:t>
      </w:r>
      <w:r w:rsidRPr="003536C1" w:rsidR="00420D61">
        <w:rPr>
          <w:szCs w:val="22"/>
        </w:rPr>
        <w:t xml:space="preserve">as an </w:t>
      </w:r>
      <w:r w:rsidRPr="003536C1" w:rsidR="007F6CD6">
        <w:rPr>
          <w:szCs w:val="22"/>
        </w:rPr>
        <w:t xml:space="preserve">incumbent </w:t>
      </w:r>
      <w:r w:rsidRPr="003536C1" w:rsidR="00420D61">
        <w:rPr>
          <w:szCs w:val="22"/>
        </w:rPr>
        <w:t xml:space="preserve">LEC and </w:t>
      </w:r>
      <w:r w:rsidR="00C10451">
        <w:rPr>
          <w:szCs w:val="22"/>
        </w:rPr>
        <w:t>is</w:t>
      </w:r>
      <w:r w:rsidR="00747BB0">
        <w:rPr>
          <w:szCs w:val="22"/>
        </w:rPr>
        <w:t xml:space="preserve"> </w:t>
      </w:r>
      <w:r w:rsidRPr="003536C1" w:rsidR="00420D61">
        <w:rPr>
          <w:szCs w:val="22"/>
        </w:rPr>
        <w:t xml:space="preserve">designated as </w:t>
      </w:r>
      <w:r w:rsidR="00C10451">
        <w:rPr>
          <w:szCs w:val="22"/>
        </w:rPr>
        <w:t xml:space="preserve">an </w:t>
      </w:r>
      <w:r w:rsidRPr="003536C1" w:rsidR="003536C1">
        <w:rPr>
          <w:szCs w:val="22"/>
        </w:rPr>
        <w:t>ETC.</w:t>
      </w:r>
      <w:r>
        <w:rPr>
          <w:rStyle w:val="FootnoteReference"/>
          <w:szCs w:val="22"/>
        </w:rPr>
        <w:footnoteReference w:id="10"/>
      </w:r>
      <w:r w:rsidR="00420D61">
        <w:rPr>
          <w:szCs w:val="22"/>
        </w:rPr>
        <w:t xml:space="preserve">  </w:t>
      </w:r>
    </w:p>
    <w:p w:rsidR="00AD25AF" w:rsidRPr="00AD25AF" w:rsidP="00AD25AF" w14:paraId="62BBC36E" w14:textId="42BC0574">
      <w:pPr>
        <w:autoSpaceDE w:val="0"/>
        <w:autoSpaceDN w:val="0"/>
        <w:adjustRightInd w:val="0"/>
        <w:spacing w:after="120"/>
        <w:ind w:firstLine="720"/>
        <w:rPr>
          <w:szCs w:val="22"/>
        </w:rPr>
      </w:pPr>
      <w:r w:rsidRPr="00AD25AF">
        <w:rPr>
          <w:szCs w:val="22"/>
        </w:rPr>
        <w:t xml:space="preserve">Pursuant to the terms of the proposed transaction, </w:t>
      </w:r>
      <w:r w:rsidR="003A5AD2">
        <w:rPr>
          <w:szCs w:val="22"/>
        </w:rPr>
        <w:t>TDS Telecom will acquire all of the outstanding equity interests in Yankee Telecom and, therefore, indirect ownership and control of its subsidiaries, GST and GSLD.</w:t>
      </w:r>
      <w:r>
        <w:rPr>
          <w:rStyle w:val="FootnoteReference"/>
          <w:szCs w:val="22"/>
        </w:rPr>
        <w:footnoteReference w:id="11"/>
      </w:r>
      <w:r w:rsidR="003A5AD2">
        <w:rPr>
          <w:szCs w:val="22"/>
        </w:rPr>
        <w:t xml:space="preserve">  As a result of the proposed transaction, TDS Telecom will assume control of Yankee Telecom and the Licensees, including all licenses, physical plant, and operations in New Hampshire.</w:t>
      </w:r>
      <w:r>
        <w:rPr>
          <w:rStyle w:val="FootnoteReference"/>
          <w:szCs w:val="22"/>
        </w:rPr>
        <w:footnoteReference w:id="12"/>
      </w:r>
    </w:p>
    <w:p w:rsidR="00AD25AF" w:rsidRPr="00AD25AF" w:rsidP="00AD25AF" w14:paraId="58453CAF" w14:textId="77777777">
      <w:pPr>
        <w:autoSpaceDE w:val="0"/>
        <w:autoSpaceDN w:val="0"/>
        <w:adjustRightInd w:val="0"/>
        <w:ind w:firstLine="720"/>
        <w:rPr>
          <w:bCs/>
        </w:rPr>
      </w:pPr>
      <w:r w:rsidRPr="00AD25AF">
        <w:t>Applicants assert that a grant of the Application would serve the public interest, convenience, and necessity.</w:t>
      </w:r>
      <w:r>
        <w:rPr>
          <w:vertAlign w:val="superscript"/>
        </w:rPr>
        <w:footnoteReference w:id="13"/>
      </w:r>
      <w:r w:rsidRPr="00AD25AF">
        <w:t xml:space="preserve">  </w:t>
      </w:r>
      <w:r w:rsidRPr="00AD25AF">
        <w:rPr>
          <w:bCs/>
        </w:rPr>
        <w:t>Because the proposed transaction would involve the exchange and assumption of Universal Service Fund high-cost mechanism obligations, in order to sufficiently analyze whether the proposed transaction would serve the public interest, we accept the Application for non-streamlined processing.</w:t>
      </w:r>
      <w:r>
        <w:rPr>
          <w:bCs/>
          <w:vertAlign w:val="superscript"/>
        </w:rPr>
        <w:footnoteReference w:id="14"/>
      </w:r>
    </w:p>
    <w:p w:rsidR="00AD25AF" w:rsidRPr="00AD25AF" w:rsidP="00AD25AF" w14:paraId="7335EABA" w14:textId="77777777">
      <w:pPr>
        <w:rPr>
          <w:szCs w:val="22"/>
        </w:rPr>
      </w:pPr>
    </w:p>
    <w:p w:rsidR="00AD25AF" w:rsidRPr="00AD25AF" w:rsidP="00AD25AF" w14:paraId="767AC3A6" w14:textId="08FF7F32">
      <w:pPr>
        <w:ind w:left="720"/>
        <w:rPr>
          <w:szCs w:val="22"/>
        </w:rPr>
      </w:pPr>
      <w:r w:rsidRPr="00AD25AF">
        <w:rPr>
          <w:szCs w:val="22"/>
        </w:rPr>
        <w:t>Domestic Section 214 Application Filed for the</w:t>
      </w:r>
      <w:r w:rsidR="008B4414">
        <w:rPr>
          <w:szCs w:val="22"/>
        </w:rPr>
        <w:t xml:space="preserve"> </w:t>
      </w:r>
      <w:r w:rsidRPr="00AD25AF">
        <w:rPr>
          <w:szCs w:val="22"/>
        </w:rPr>
        <w:t xml:space="preserve">Transfer of Control of </w:t>
      </w:r>
      <w:r w:rsidR="008B4414">
        <w:rPr>
          <w:szCs w:val="22"/>
        </w:rPr>
        <w:t>Yankee Telecom, Inc.</w:t>
      </w:r>
      <w:r w:rsidR="00CC256F">
        <w:rPr>
          <w:szCs w:val="22"/>
        </w:rPr>
        <w:t>, and its Subsidiaries</w:t>
      </w:r>
      <w:r w:rsidR="008B4414">
        <w:rPr>
          <w:szCs w:val="22"/>
        </w:rPr>
        <w:t xml:space="preserve"> to TDS Telecommunications LLC</w:t>
      </w:r>
      <w:r w:rsidRPr="00AD25AF">
        <w:rPr>
          <w:szCs w:val="22"/>
        </w:rPr>
        <w:t>, WC Docket No. 26-</w:t>
      </w:r>
      <w:r w:rsidR="008B4414">
        <w:rPr>
          <w:szCs w:val="22"/>
        </w:rPr>
        <w:t>100</w:t>
      </w:r>
      <w:r w:rsidRPr="00AD25AF">
        <w:rPr>
          <w:szCs w:val="22"/>
        </w:rPr>
        <w:t xml:space="preserve"> (filed </w:t>
      </w:r>
      <w:r w:rsidR="008B4414">
        <w:rPr>
          <w:szCs w:val="22"/>
        </w:rPr>
        <w:t>Apr</w:t>
      </w:r>
      <w:r w:rsidRPr="00AD25AF">
        <w:rPr>
          <w:szCs w:val="22"/>
        </w:rPr>
        <w:t xml:space="preserve">. </w:t>
      </w:r>
      <w:r w:rsidR="008B4414">
        <w:rPr>
          <w:szCs w:val="22"/>
        </w:rPr>
        <w:t>29</w:t>
      </w:r>
      <w:r w:rsidRPr="00AD25AF">
        <w:rPr>
          <w:szCs w:val="22"/>
        </w:rPr>
        <w:t xml:space="preserve">, 2026). </w:t>
      </w:r>
    </w:p>
    <w:p w:rsidR="00AD25AF" w:rsidRPr="00AD25AF" w:rsidP="00AD25AF" w14:paraId="5EB0AEAA" w14:textId="77777777">
      <w:pPr>
        <w:rPr>
          <w:szCs w:val="22"/>
        </w:rPr>
      </w:pPr>
    </w:p>
    <w:p w:rsidR="00AD25AF" w:rsidRPr="00AD25AF" w:rsidP="00AD25AF" w14:paraId="3B29973C" w14:textId="77777777">
      <w:pPr>
        <w:keepNext/>
        <w:autoSpaceDE w:val="0"/>
        <w:autoSpaceDN w:val="0"/>
        <w:adjustRightInd w:val="0"/>
        <w:spacing w:after="120"/>
        <w:rPr>
          <w:szCs w:val="22"/>
        </w:rPr>
      </w:pPr>
      <w:r w:rsidRPr="00AD25AF">
        <w:rPr>
          <w:b/>
          <w:szCs w:val="22"/>
          <w:u w:val="single"/>
        </w:rPr>
        <w:t>GENERAL INFORMATION</w:t>
      </w:r>
    </w:p>
    <w:p w:rsidR="00AD25AF" w:rsidRPr="00AD25AF" w:rsidP="00AD25AF" w14:paraId="459BACB7" w14:textId="77777777">
      <w:pPr>
        <w:autoSpaceDE w:val="0"/>
        <w:autoSpaceDN w:val="0"/>
        <w:adjustRightInd w:val="0"/>
        <w:spacing w:after="120"/>
        <w:ind w:firstLine="720"/>
        <w:rPr>
          <w:szCs w:val="22"/>
        </w:rPr>
      </w:pPr>
      <w:r w:rsidRPr="00AD25AF">
        <w:rPr>
          <w:szCs w:val="22"/>
        </w:rPr>
        <w:t>The Application identified herein has been found, upon initial review, to be acceptable for filing.  The Commission reserves the right to return any application if, upon further examination, it is determined to be defective and not in conformance with the Commission’s rules and policies.</w:t>
      </w:r>
    </w:p>
    <w:p w:rsidR="00AD25AF" w:rsidRPr="00AD25AF" w:rsidP="00AD25AF" w14:paraId="003DD31C" w14:textId="77777777">
      <w:pPr>
        <w:autoSpaceDE w:val="0"/>
        <w:autoSpaceDN w:val="0"/>
        <w:adjustRightInd w:val="0"/>
        <w:spacing w:after="120"/>
        <w:ind w:firstLine="720"/>
        <w:rPr>
          <w:szCs w:val="22"/>
        </w:rPr>
      </w:pPr>
      <w:r w:rsidRPr="00AD25AF">
        <w:rPr>
          <w:szCs w:val="22"/>
        </w:rPr>
        <w:t>Interested parties may file comments</w:t>
      </w:r>
      <w:r w:rsidRPr="00AD25AF">
        <w:rPr>
          <w:bCs/>
          <w:szCs w:val="22"/>
        </w:rPr>
        <w:t xml:space="preserve"> and reply comments on or before the dates indicated on the first page of this document.</w:t>
      </w:r>
      <w:r w:rsidRPr="00AD25AF">
        <w:rPr>
          <w:szCs w:val="22"/>
        </w:rPr>
        <w:t xml:space="preserve">  Comments may be filed using the Commission’s Electronic Comment Filing System (ECFS).</w:t>
      </w:r>
    </w:p>
    <w:p w:rsidR="00AD25AF" w:rsidRPr="00AD25AF" w:rsidP="00AD25AF" w14:paraId="5ED8787E" w14:textId="77777777">
      <w:pPr>
        <w:numPr>
          <w:ilvl w:val="0"/>
          <w:numId w:val="9"/>
        </w:numPr>
        <w:autoSpaceDE w:val="0"/>
        <w:autoSpaceDN w:val="0"/>
        <w:adjustRightInd w:val="0"/>
        <w:spacing w:after="120"/>
        <w:rPr>
          <w:szCs w:val="22"/>
        </w:rPr>
      </w:pPr>
      <w:r w:rsidRPr="00AD25AF">
        <w:rPr>
          <w:szCs w:val="22"/>
        </w:rPr>
        <w:t xml:space="preserve">Electronic Filers:  Comments may be filed electronically using the Internet by accessing the ECFS:  </w:t>
      </w:r>
      <w:hyperlink r:id="rId6" w:history="1">
        <w:r w:rsidRPr="00AD25AF">
          <w:rPr>
            <w:color w:val="0000FF"/>
            <w:szCs w:val="22"/>
            <w:u w:val="single"/>
          </w:rPr>
          <w:t>https://www.fcc.gov/ecfs/</w:t>
        </w:r>
      </w:hyperlink>
      <w:r w:rsidRPr="00AD25AF">
        <w:rPr>
          <w:szCs w:val="22"/>
        </w:rPr>
        <w:t>.</w:t>
      </w:r>
    </w:p>
    <w:p w:rsidR="00AD25AF" w:rsidRPr="00AD25AF" w:rsidP="00AD25AF" w14:paraId="319350C5" w14:textId="77777777">
      <w:pPr>
        <w:numPr>
          <w:ilvl w:val="0"/>
          <w:numId w:val="10"/>
        </w:numPr>
        <w:autoSpaceDE w:val="0"/>
        <w:autoSpaceDN w:val="0"/>
        <w:adjustRightInd w:val="0"/>
        <w:spacing w:after="120"/>
        <w:rPr>
          <w:szCs w:val="22"/>
        </w:rPr>
      </w:pPr>
      <w:r w:rsidRPr="00AD25AF">
        <w:rPr>
          <w:szCs w:val="22"/>
        </w:rPr>
        <w:t>Paper Filers: Parties who choose to file by paper must file an original and one copy of each filing.</w:t>
      </w:r>
    </w:p>
    <w:p w:rsidR="00AD25AF" w:rsidRPr="00AD25AF" w:rsidP="00AD25AF" w14:paraId="7B8E5301" w14:textId="77777777">
      <w:pPr>
        <w:numPr>
          <w:ilvl w:val="1"/>
          <w:numId w:val="10"/>
        </w:numPr>
        <w:autoSpaceDE w:val="0"/>
        <w:autoSpaceDN w:val="0"/>
        <w:adjustRightInd w:val="0"/>
        <w:spacing w:after="120"/>
        <w:rPr>
          <w:b/>
          <w:bCs/>
          <w:szCs w:val="22"/>
        </w:rPr>
      </w:pPr>
      <w:r w:rsidRPr="00AD25AF">
        <w:rPr>
          <w:szCs w:val="22"/>
        </w:rPr>
        <w:t xml:space="preserve">Filings can be sent by hand or messenger delivery, by commercial courier, or by the U.S. Postal Service.  </w:t>
      </w:r>
      <w:r w:rsidRPr="00AD25AF">
        <w:rPr>
          <w:b/>
          <w:bCs/>
          <w:szCs w:val="22"/>
        </w:rPr>
        <w:t>All filings must be addressed to the Secretary, Federal Communications Commission.</w:t>
      </w:r>
    </w:p>
    <w:p w:rsidR="00AD25AF" w:rsidRPr="00AD25AF" w:rsidP="00AD25AF" w14:paraId="1E134B78" w14:textId="77777777">
      <w:pPr>
        <w:numPr>
          <w:ilvl w:val="1"/>
          <w:numId w:val="10"/>
        </w:numPr>
        <w:autoSpaceDE w:val="0"/>
        <w:autoSpaceDN w:val="0"/>
        <w:adjustRightInd w:val="0"/>
        <w:spacing w:after="120"/>
        <w:rPr>
          <w:szCs w:val="22"/>
        </w:rPr>
      </w:pPr>
      <w:r w:rsidRPr="00AD25AF">
        <w:rPr>
          <w:szCs w:val="22"/>
        </w:rPr>
        <w:t xml:space="preserve">Hand-delivered or messenger-delivered paper filings for the Commission’s Secretary are accepted between 8:00 a.m. and 4:00 p.m. by the FCC’s mailing contractor at 9050 Junction Drive, Annapolis Junction, MD 20701.  All hand deliveries must be held together with rubber bands or fasteners.  Any envelopes and boxes must be disposed of before entering the building.  </w:t>
      </w:r>
    </w:p>
    <w:p w:rsidR="00AD25AF" w:rsidRPr="00AD25AF" w:rsidP="00AD25AF" w14:paraId="6543090B" w14:textId="77777777">
      <w:pPr>
        <w:numPr>
          <w:ilvl w:val="1"/>
          <w:numId w:val="10"/>
        </w:numPr>
        <w:autoSpaceDE w:val="0"/>
        <w:autoSpaceDN w:val="0"/>
        <w:adjustRightInd w:val="0"/>
        <w:spacing w:after="120"/>
        <w:rPr>
          <w:szCs w:val="22"/>
        </w:rPr>
      </w:pPr>
      <w:r w:rsidRPr="00AD25AF">
        <w:rPr>
          <w:szCs w:val="22"/>
        </w:rPr>
        <w:t>Commercial courier deliveries (any deliveries not by the U.S. Postal Service) must be sent to 9050 Junction Drive, Annapolis Junction, MD 20701.</w:t>
      </w:r>
    </w:p>
    <w:p w:rsidR="00AD25AF" w:rsidRPr="00AD25AF" w:rsidP="00AD25AF" w14:paraId="57BECBA7" w14:textId="77777777">
      <w:pPr>
        <w:numPr>
          <w:ilvl w:val="1"/>
          <w:numId w:val="10"/>
        </w:numPr>
        <w:autoSpaceDE w:val="0"/>
        <w:autoSpaceDN w:val="0"/>
        <w:adjustRightInd w:val="0"/>
        <w:spacing w:after="120"/>
        <w:rPr>
          <w:szCs w:val="22"/>
        </w:rPr>
      </w:pPr>
      <w:r w:rsidRPr="00AD25AF">
        <w:rPr>
          <w:szCs w:val="22"/>
        </w:rPr>
        <w:t>Filings sent by U.S. Postal Service First-Class Mail, Priority Mail, and Priority Mail Express must be sent to 45 L Street NE, Washington, DC 20554.</w:t>
      </w:r>
    </w:p>
    <w:p w:rsidR="00AD25AF" w:rsidRPr="00AD25AF" w:rsidP="00AD25AF" w14:paraId="4D97ABA5" w14:textId="77777777">
      <w:pPr>
        <w:autoSpaceDE w:val="0"/>
        <w:autoSpaceDN w:val="0"/>
        <w:adjustRightInd w:val="0"/>
        <w:spacing w:after="120"/>
        <w:ind w:firstLine="720"/>
        <w:rPr>
          <w:szCs w:val="22"/>
        </w:rPr>
      </w:pPr>
      <w:r w:rsidRPr="00AD25AF">
        <w:rPr>
          <w:szCs w:val="22"/>
        </w:rPr>
        <w:t xml:space="preserve">People with Disabilities:  To request materials in accessible formats for people with disabilities (braille, large print, electronic files, audio format), send an e-mail to </w:t>
      </w:r>
      <w:hyperlink r:id="rId7" w:history="1">
        <w:r w:rsidRPr="00AD25AF">
          <w:rPr>
            <w:color w:val="0000FF"/>
            <w:szCs w:val="22"/>
            <w:u w:val="single"/>
          </w:rPr>
          <w:t>fcc504@fcc.gov</w:t>
        </w:r>
      </w:hyperlink>
      <w:r w:rsidRPr="00AD25AF">
        <w:rPr>
          <w:szCs w:val="22"/>
        </w:rPr>
        <w:t xml:space="preserve"> or call the Consumer &amp; Governmental Affairs Bureau at 202-418-0530.</w:t>
      </w:r>
    </w:p>
    <w:p w:rsidR="00AD25AF" w:rsidRPr="00AD25AF" w:rsidP="00AD25AF" w14:paraId="4EA0BAF2" w14:textId="77777777">
      <w:pPr>
        <w:autoSpaceDE w:val="0"/>
        <w:autoSpaceDN w:val="0"/>
        <w:adjustRightInd w:val="0"/>
        <w:spacing w:after="120"/>
        <w:ind w:firstLine="720"/>
        <w:rPr>
          <w:b/>
          <w:szCs w:val="22"/>
        </w:rPr>
      </w:pPr>
      <w:r w:rsidRPr="00AD25AF">
        <w:rPr>
          <w:b/>
          <w:szCs w:val="22"/>
        </w:rPr>
        <w:t>In addition, e-mail one copy of each pleading to each of the following:</w:t>
      </w:r>
    </w:p>
    <w:p w:rsidR="00AD25AF" w:rsidRPr="00AD25AF" w:rsidP="00AD25AF" w14:paraId="0730C63C" w14:textId="0E94F614">
      <w:pPr>
        <w:numPr>
          <w:ilvl w:val="0"/>
          <w:numId w:val="8"/>
        </w:numPr>
        <w:autoSpaceDE w:val="0"/>
        <w:autoSpaceDN w:val="0"/>
        <w:adjustRightInd w:val="0"/>
        <w:spacing w:after="120"/>
        <w:rPr>
          <w:szCs w:val="22"/>
        </w:rPr>
      </w:pPr>
      <w:r>
        <w:rPr>
          <w:szCs w:val="22"/>
        </w:rPr>
        <w:t>Gregory Kwan</w:t>
      </w:r>
      <w:r w:rsidRPr="00AD25AF">
        <w:rPr>
          <w:szCs w:val="22"/>
        </w:rPr>
        <w:t>, Competition Policy Division, Wireline Competition Burea</w:t>
      </w:r>
      <w:r w:rsidR="005C1514">
        <w:rPr>
          <w:szCs w:val="22"/>
        </w:rPr>
        <w:t xml:space="preserve">u, </w:t>
      </w:r>
      <w:hyperlink r:id="rId8" w:history="1">
        <w:r w:rsidRPr="00EF2EE1">
          <w:rPr>
            <w:rStyle w:val="Hyperlink"/>
            <w:szCs w:val="22"/>
          </w:rPr>
          <w:t>gregory.kwan@fcc.gov</w:t>
        </w:r>
      </w:hyperlink>
      <w:r w:rsidRPr="00AD25AF">
        <w:t xml:space="preserve">; </w:t>
      </w:r>
    </w:p>
    <w:p w:rsidR="003073A4" w:rsidRPr="003073A4" w:rsidP="003073A4" w14:paraId="38927EEE" w14:textId="671C53F7">
      <w:pPr>
        <w:numPr>
          <w:ilvl w:val="0"/>
          <w:numId w:val="8"/>
        </w:numPr>
        <w:autoSpaceDE w:val="0"/>
        <w:autoSpaceDN w:val="0"/>
        <w:adjustRightInd w:val="0"/>
        <w:spacing w:after="120"/>
        <w:rPr>
          <w:szCs w:val="22"/>
        </w:rPr>
      </w:pPr>
      <w:r w:rsidRPr="004929BC">
        <w:t xml:space="preserve">Audra Hale-Maddox, Telecommunications Access and Policy Division, Wireline Competition Bureau, </w:t>
      </w:r>
      <w:hyperlink r:id="rId9" w:history="1">
        <w:r w:rsidRPr="00450545">
          <w:rPr>
            <w:rStyle w:val="Hyperlink"/>
          </w:rPr>
          <w:t>audra.hale-maddox@fcc.gov</w:t>
        </w:r>
      </w:hyperlink>
      <w:r>
        <w:t>;</w:t>
      </w:r>
    </w:p>
    <w:p w:rsidR="00AD25AF" w:rsidRPr="003073A4" w:rsidP="003073A4" w14:paraId="0D531F9D" w14:textId="69992F17">
      <w:pPr>
        <w:numPr>
          <w:ilvl w:val="0"/>
          <w:numId w:val="8"/>
        </w:numPr>
        <w:autoSpaceDE w:val="0"/>
        <w:autoSpaceDN w:val="0"/>
        <w:adjustRightInd w:val="0"/>
        <w:spacing w:after="120"/>
        <w:rPr>
          <w:szCs w:val="22"/>
        </w:rPr>
      </w:pPr>
      <w:r>
        <w:t>David Krech</w:t>
      </w:r>
      <w:r w:rsidRPr="003073A4">
        <w:rPr>
          <w:szCs w:val="22"/>
        </w:rPr>
        <w:t xml:space="preserve">, Telecommunications </w:t>
      </w:r>
      <w:r w:rsidR="00E55F0D">
        <w:rPr>
          <w:szCs w:val="22"/>
        </w:rPr>
        <w:t xml:space="preserve">and Analysis </w:t>
      </w:r>
      <w:r w:rsidRPr="003073A4">
        <w:rPr>
          <w:szCs w:val="22"/>
        </w:rPr>
        <w:t xml:space="preserve">Policy Division, </w:t>
      </w:r>
      <w:r w:rsidR="00E55F0D">
        <w:rPr>
          <w:szCs w:val="22"/>
        </w:rPr>
        <w:t>Office of International Affairs</w:t>
      </w:r>
      <w:r w:rsidRPr="003073A4">
        <w:rPr>
          <w:szCs w:val="22"/>
        </w:rPr>
        <w:t xml:space="preserve">, </w:t>
      </w:r>
      <w:hyperlink r:id="rId10" w:history="1">
        <w:r w:rsidRPr="00EF2EE1">
          <w:rPr>
            <w:rStyle w:val="Hyperlink"/>
            <w:szCs w:val="22"/>
          </w:rPr>
          <w:t>david.krech@fcc.gov</w:t>
        </w:r>
      </w:hyperlink>
      <w:r w:rsidRPr="003073A4">
        <w:rPr>
          <w:szCs w:val="22"/>
        </w:rPr>
        <w:t>;</w:t>
      </w:r>
    </w:p>
    <w:p w:rsidR="00AD25AF" w:rsidRPr="00AD25AF" w:rsidP="00AD25AF" w14:paraId="48F06F46" w14:textId="1576B3CD">
      <w:pPr>
        <w:numPr>
          <w:ilvl w:val="0"/>
          <w:numId w:val="8"/>
        </w:numPr>
        <w:autoSpaceDE w:val="0"/>
        <w:autoSpaceDN w:val="0"/>
        <w:adjustRightInd w:val="0"/>
        <w:spacing w:after="120"/>
        <w:rPr>
          <w:szCs w:val="22"/>
        </w:rPr>
      </w:pPr>
      <w:r>
        <w:t xml:space="preserve">Nadja S. </w:t>
      </w:r>
      <w:r>
        <w:t>Sodos</w:t>
      </w:r>
      <w:r>
        <w:t>-Wallace; Broadband Division, Wireless Telecommunications Bureau;</w:t>
      </w:r>
      <w:r w:rsidRPr="00AD25AF">
        <w:t xml:space="preserve"> </w:t>
      </w:r>
      <w:hyperlink r:id="rId11" w:history="1">
        <w:r w:rsidRPr="00A93641" w:rsidR="00906FB3">
          <w:rPr>
            <w:rStyle w:val="Hyperlink"/>
          </w:rPr>
          <w:t>Nadja.SodosWallace@fcc.gov</w:t>
        </w:r>
      </w:hyperlink>
      <w:r w:rsidR="00906FB3">
        <w:t xml:space="preserve">; </w:t>
      </w:r>
      <w:r w:rsidRPr="00AD25AF">
        <w:t xml:space="preserve">and </w:t>
      </w:r>
    </w:p>
    <w:p w:rsidR="00AD25AF" w:rsidRPr="00AD25AF" w:rsidP="00AD25AF" w14:paraId="4AE9B4D5" w14:textId="77777777">
      <w:pPr>
        <w:numPr>
          <w:ilvl w:val="0"/>
          <w:numId w:val="8"/>
        </w:numPr>
        <w:autoSpaceDE w:val="0"/>
        <w:autoSpaceDN w:val="0"/>
        <w:adjustRightInd w:val="0"/>
        <w:spacing w:after="120"/>
        <w:rPr>
          <w:szCs w:val="22"/>
        </w:rPr>
      </w:pPr>
      <w:r w:rsidRPr="00AD25AF">
        <w:rPr>
          <w:szCs w:val="22"/>
        </w:rPr>
        <w:t xml:space="preserve">Jim Bird, Office of General Counsel, </w:t>
      </w:r>
      <w:hyperlink r:id="rId12">
        <w:r w:rsidRPr="00AD25AF">
          <w:rPr>
            <w:color w:val="0000FF"/>
            <w:szCs w:val="22"/>
            <w:u w:val="single"/>
          </w:rPr>
          <w:t>jim.bird@fcc.gov</w:t>
        </w:r>
      </w:hyperlink>
      <w:r w:rsidRPr="00AD25AF">
        <w:rPr>
          <w:szCs w:val="22"/>
        </w:rPr>
        <w:t>.</w:t>
      </w:r>
    </w:p>
    <w:p w:rsidR="00AD25AF" w:rsidRPr="00AD25AF" w:rsidP="00AD25AF" w14:paraId="02CB3882" w14:textId="77777777">
      <w:pPr>
        <w:autoSpaceDE w:val="0"/>
        <w:autoSpaceDN w:val="0"/>
        <w:adjustRightInd w:val="0"/>
        <w:spacing w:after="120"/>
        <w:ind w:firstLine="720"/>
        <w:rPr>
          <w:szCs w:val="22"/>
        </w:rPr>
      </w:pPr>
      <w:r w:rsidRPr="00AD25AF">
        <w:rPr>
          <w:szCs w:val="22"/>
        </w:rPr>
        <w:t xml:space="preserve">The proceeding in this Notice shall be treated as a “permit-but-disclose” proceeding in accordance with the Commission’s </w:t>
      </w:r>
      <w:r w:rsidRPr="00AD25AF">
        <w:rPr>
          <w:i/>
          <w:szCs w:val="22"/>
        </w:rPr>
        <w:t xml:space="preserve">ex </w:t>
      </w:r>
      <w:r w:rsidRPr="00AD25AF">
        <w:rPr>
          <w:i/>
          <w:szCs w:val="22"/>
        </w:rPr>
        <w:t>parte</w:t>
      </w:r>
      <w:r w:rsidRPr="00AD25AF">
        <w:rPr>
          <w:szCs w:val="22"/>
        </w:rPr>
        <w:t xml:space="preserve"> rules.  Persons making </w:t>
      </w:r>
      <w:r w:rsidRPr="00AD25AF">
        <w:rPr>
          <w:i/>
          <w:szCs w:val="22"/>
        </w:rPr>
        <w:t xml:space="preserve">ex </w:t>
      </w:r>
      <w:r w:rsidRPr="00AD25AF">
        <w:rPr>
          <w:i/>
          <w:szCs w:val="22"/>
        </w:rPr>
        <w:t>parte</w:t>
      </w:r>
      <w:r w:rsidRPr="00AD25AF">
        <w:rPr>
          <w:szCs w:val="22"/>
        </w:rPr>
        <w:t xml:space="preserve"> presentations must file a copy of any written presentation or a memorandum summarizing any oral presentation within two business days after the presentation (unless a different deadline applicable to the Sunshine period applies).  Persons making oral </w:t>
      </w:r>
      <w:r w:rsidRPr="00AD25AF">
        <w:rPr>
          <w:i/>
          <w:szCs w:val="22"/>
        </w:rPr>
        <w:t xml:space="preserve">ex </w:t>
      </w:r>
      <w:r w:rsidRPr="00AD25AF">
        <w:rPr>
          <w:i/>
          <w:szCs w:val="22"/>
        </w:rPr>
        <w:t>parte</w:t>
      </w:r>
      <w:r w:rsidRPr="00AD25AF">
        <w:rPr>
          <w:szCs w:val="22"/>
        </w:rPr>
        <w:t xml:space="preserve"> presentations are reminded that memoranda summarizing the presentation must (1) list all persons attending or otherwise participating in the meeting at which the </w:t>
      </w:r>
      <w:r w:rsidRPr="00AD25AF">
        <w:rPr>
          <w:i/>
          <w:szCs w:val="22"/>
        </w:rPr>
        <w:t xml:space="preserve">ex </w:t>
      </w:r>
      <w:r w:rsidRPr="00AD25AF">
        <w:rPr>
          <w:i/>
          <w:szCs w:val="22"/>
        </w:rPr>
        <w:t>parte</w:t>
      </w:r>
      <w:r w:rsidRPr="00AD25AF">
        <w:rPr>
          <w:szCs w:val="22"/>
        </w:rPr>
        <w:t xml:space="preserve"> presentation was made, and (2) summarize all data presented and arguments made during the presentation.  If the presentation consisted in whole or in part of the presentation of data or arguments already reflected in the presenter’s written comments, memoranda or other filings in the proceeding, the presenter may provide citations to such data or arguments in his or her prior comments, memoranda, or other filings (specifying the relevant page and/or paragraph numbers where such data or arguments can be found) in lieu of summarizing them in the memorandum.  Documents shown or given to Commission staff during </w:t>
      </w:r>
      <w:r w:rsidRPr="00AD25AF">
        <w:rPr>
          <w:i/>
          <w:szCs w:val="22"/>
        </w:rPr>
        <w:t xml:space="preserve">ex </w:t>
      </w:r>
      <w:r w:rsidRPr="00AD25AF">
        <w:rPr>
          <w:i/>
          <w:szCs w:val="22"/>
        </w:rPr>
        <w:t>parte</w:t>
      </w:r>
      <w:r w:rsidRPr="00AD25AF">
        <w:rPr>
          <w:szCs w:val="22"/>
        </w:rPr>
        <w:t xml:space="preserve"> meetings are deemed to be written </w:t>
      </w:r>
      <w:r w:rsidRPr="00AD25AF">
        <w:rPr>
          <w:i/>
          <w:szCs w:val="22"/>
        </w:rPr>
        <w:t xml:space="preserve">ex </w:t>
      </w:r>
      <w:r w:rsidRPr="00AD25AF">
        <w:rPr>
          <w:i/>
          <w:szCs w:val="22"/>
        </w:rPr>
        <w:t>parte</w:t>
      </w:r>
      <w:r w:rsidRPr="00AD25AF">
        <w:rPr>
          <w:szCs w:val="22"/>
        </w:rPr>
        <w:t xml:space="preserve"> presentations and must be filed consistent with rule 1.1206(b), 47 CFR § 1.1206(b).  Participants in this proceeding should familiarize themselves with the Commission’s </w:t>
      </w:r>
      <w:r w:rsidRPr="00AD25AF">
        <w:rPr>
          <w:i/>
          <w:szCs w:val="22"/>
        </w:rPr>
        <w:t xml:space="preserve">ex </w:t>
      </w:r>
      <w:r w:rsidRPr="00AD25AF">
        <w:rPr>
          <w:i/>
          <w:szCs w:val="22"/>
        </w:rPr>
        <w:t>parte</w:t>
      </w:r>
      <w:r w:rsidRPr="00AD25AF">
        <w:rPr>
          <w:szCs w:val="22"/>
        </w:rPr>
        <w:t xml:space="preserve"> rules.</w:t>
      </w:r>
    </w:p>
    <w:p w:rsidR="00AD25AF" w:rsidRPr="00AD25AF" w:rsidP="00AD25AF" w14:paraId="494380A2" w14:textId="77777777">
      <w:pPr>
        <w:autoSpaceDE w:val="0"/>
        <w:autoSpaceDN w:val="0"/>
        <w:adjustRightInd w:val="0"/>
        <w:spacing w:after="120"/>
        <w:ind w:firstLine="720"/>
        <w:rPr>
          <w:szCs w:val="22"/>
        </w:rPr>
      </w:pPr>
      <w:r w:rsidRPr="00AD25AF">
        <w:rPr>
          <w:szCs w:val="22"/>
        </w:rPr>
        <w:t>To allow the Commission to consider fully all substantive issues regarding the Application in as timely and efficient a manner as possible, petitioners and commenters should raise all issues in their initial filings.  New issues may not be raised in responses or replies.</w:t>
      </w:r>
      <w:r>
        <w:rPr>
          <w:szCs w:val="22"/>
          <w:vertAlign w:val="superscript"/>
        </w:rPr>
        <w:footnoteReference w:id="15"/>
      </w:r>
      <w:r w:rsidRPr="00AD25AF">
        <w:rPr>
          <w:szCs w:val="22"/>
        </w:rPr>
        <w:t xml:space="preserve">  A party or interested person seeking to raise a new issue after the pleading cycle has closed must show good cause why it was not possible for it to have raised the issue previously.  Submissions after the pleading cycle has closed that seek to raise new issues based on new facts or newly discovered facts should be filed within 15 days after such facts are discovered.  Absent such a showing of good cause, any issues not timely raised may be disregarded by the Commission.  </w:t>
      </w:r>
    </w:p>
    <w:p w:rsidR="00AD25AF" w:rsidRPr="00AD25AF" w:rsidP="00AD25AF" w14:paraId="3DAAA38A" w14:textId="59EBF6E4">
      <w:pPr>
        <w:autoSpaceDE w:val="0"/>
        <w:autoSpaceDN w:val="0"/>
        <w:adjustRightInd w:val="0"/>
        <w:spacing w:after="120"/>
        <w:ind w:firstLine="720"/>
      </w:pPr>
      <w:r w:rsidRPr="00AD25AF">
        <w:rPr>
          <w:szCs w:val="22"/>
        </w:rPr>
        <w:t xml:space="preserve">For further information, please contact </w:t>
      </w:r>
      <w:r w:rsidR="00A9773A">
        <w:rPr>
          <w:szCs w:val="22"/>
        </w:rPr>
        <w:t>Gregory Kwan</w:t>
      </w:r>
      <w:r w:rsidRPr="00AD25AF">
        <w:rPr>
          <w:szCs w:val="22"/>
        </w:rPr>
        <w:t xml:space="preserve">, Competition Policy Division, Wireline Competition Bureau, at </w:t>
      </w:r>
      <w:r w:rsidRPr="00AD25AF">
        <w:t>(202) 418-</w:t>
      </w:r>
      <w:r w:rsidR="00A9773A">
        <w:t>1191</w:t>
      </w:r>
      <w:r w:rsidRPr="00AD25AF">
        <w:t>.</w:t>
      </w:r>
    </w:p>
    <w:bookmarkEnd w:id="0"/>
    <w:p w:rsidR="00BA3BA8" w14:paraId="061D77BB" w14:textId="77777777"/>
    <w:sectPr>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720" w:left="1440" w:header="630" w:footer="720" w:gutter="0"/>
      <w:pgNumType w:start="1"/>
      <w:cols w:space="720"/>
      <w:noEndnote/>
      <w:titlePg/>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Manifest>
    <wne:toolbarData r:id="rId1"/>
  </wne:toolbars>
  <wne:acds>
    <wne:acd wne:argValue="AgBQAGEAcgBhAE4AdQBtAA==&#10;" wne:acdName="acd0" wne:fciIndexBasedOn="0065"/>
    <wne:acd wne:argValue="AQAAAAAA&#10;"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C3361B" w14:paraId="205FFD77" w14:textId="77777777">
      <w:pPr>
        <w:spacing w:line="20" w:lineRule="exact"/>
      </w:pPr>
    </w:p>
  </w:endnote>
  <w:endnote w:type="continuationSeparator" w:id="1">
    <w:p w:rsidR="00C3361B" w14:paraId="0CC93992" w14:textId="77777777">
      <w:r>
        <w:t xml:space="preserve"> </w:t>
      </w:r>
    </w:p>
  </w:endnote>
  <w:endnote w:type="continuationNotice" w:id="2">
    <w:p w:rsidR="00C3361B" w14:paraId="3AE025ED" w14:textId="7777777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7461A9E8" w14:textId="77777777">
    <w:pPr>
      <w:pStyle w:val="Footer"/>
      <w:framePr w:wrap="around" w:vAnchor="text" w:hAnchor="margin" w:xAlign="center" w:y="1"/>
    </w:pPr>
    <w:r>
      <w:fldChar w:fldCharType="begin"/>
    </w:r>
    <w:r>
      <w:instrText xml:space="preserve">PAGE  </w:instrText>
    </w:r>
    <w:r>
      <w:fldChar w:fldCharType="separate"/>
    </w:r>
    <w:r>
      <w:fldChar w:fldCharType="end"/>
    </w:r>
  </w:p>
  <w:p w:rsidR="00BA3BA8" w14:paraId="61C027A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7D429DB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63755E50" w14:textId="77777777">
    <w:pPr>
      <w:pStyle w:val="Footer"/>
      <w:tabs>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C3361B" w14:paraId="647D4343" w14:textId="77777777">
      <w:r>
        <w:separator/>
      </w:r>
    </w:p>
  </w:footnote>
  <w:footnote w:type="continuationSeparator" w:id="1">
    <w:p w:rsidR="00C3361B" w14:paraId="37BF31DB" w14:textId="77777777">
      <w:pPr>
        <w:rPr>
          <w:sz w:val="20"/>
        </w:rPr>
      </w:pPr>
      <w:r>
        <w:rPr>
          <w:sz w:val="20"/>
        </w:rPr>
        <w:t xml:space="preserve">(Continued from previous page)  </w:t>
      </w:r>
      <w:r>
        <w:rPr>
          <w:sz w:val="20"/>
        </w:rPr>
        <w:separator/>
      </w:r>
    </w:p>
  </w:footnote>
  <w:footnote w:type="continuationNotice" w:id="2">
    <w:p w:rsidR="00C3361B" w14:paraId="3C09A21E" w14:textId="77777777">
      <w:pPr>
        <w:jc w:val="right"/>
        <w:rPr>
          <w:sz w:val="20"/>
        </w:rPr>
      </w:pPr>
      <w:r>
        <w:rPr>
          <w:sz w:val="20"/>
        </w:rPr>
        <w:t>(continued….)</w:t>
      </w:r>
    </w:p>
  </w:footnote>
  <w:footnote w:id="3">
    <w:p w:rsidR="00AD25AF" w:rsidRPr="00913F58" w:rsidP="00AD25AF" w14:paraId="51B48B32" w14:textId="65C54ABA">
      <w:pPr>
        <w:pStyle w:val="FootnoteText"/>
      </w:pPr>
      <w:r w:rsidRPr="00152875">
        <w:rPr>
          <w:rStyle w:val="FootnoteReference"/>
          <w:sz w:val="20"/>
        </w:rPr>
        <w:footnoteRef/>
      </w:r>
      <w:r w:rsidRPr="00152875">
        <w:t xml:space="preserve"> </w:t>
      </w:r>
      <w:r w:rsidRPr="00913F58">
        <w:t xml:space="preserve">Domestic Section 214 Application for the </w:t>
      </w:r>
      <w:bookmarkStart w:id="1" w:name="_Hlk193461235"/>
      <w:r w:rsidRPr="00913F58">
        <w:t xml:space="preserve">Transfer of Control of </w:t>
      </w:r>
      <w:bookmarkStart w:id="2" w:name="_Hlk207797656"/>
      <w:r w:rsidR="00464715">
        <w:t xml:space="preserve">Yankee Telecom, Inc. </w:t>
      </w:r>
      <w:r w:rsidR="00890364">
        <w:t xml:space="preserve">and its </w:t>
      </w:r>
      <w:r w:rsidR="00C10451">
        <w:t>S</w:t>
      </w:r>
      <w:r w:rsidR="00890364">
        <w:t xml:space="preserve">ubsidiaries, </w:t>
      </w:r>
      <w:r w:rsidR="00464715">
        <w:t>to TDS Telecommunications LLC</w:t>
      </w:r>
      <w:bookmarkEnd w:id="2"/>
      <w:r w:rsidRPr="00913F58">
        <w:t xml:space="preserve">, </w:t>
      </w:r>
      <w:bookmarkEnd w:id="1"/>
      <w:r w:rsidRPr="00913F58">
        <w:t>WC Docket No. 26-</w:t>
      </w:r>
      <w:r w:rsidR="00464715">
        <w:t>100</w:t>
      </w:r>
      <w:r w:rsidRPr="00913F58">
        <w:t xml:space="preserve"> (filed </w:t>
      </w:r>
      <w:r w:rsidR="00464715">
        <w:t>Apr</w:t>
      </w:r>
      <w:r w:rsidRPr="00913F58">
        <w:t xml:space="preserve">. </w:t>
      </w:r>
      <w:r w:rsidR="00464715">
        <w:t>30</w:t>
      </w:r>
      <w:r w:rsidRPr="00913F58">
        <w:t>, 2026) (Application</w:t>
      </w:r>
      <w:r w:rsidR="00464715">
        <w:t xml:space="preserve">). </w:t>
      </w:r>
      <w:r w:rsidR="00A1336C">
        <w:t xml:space="preserve"> </w:t>
      </w:r>
      <w:r w:rsidR="00481A41">
        <w:t xml:space="preserve">On May 6, 2026, Applicants filed a supplement to their domestic section 214 application.  </w:t>
      </w:r>
      <w:r w:rsidR="004A540E">
        <w:t>Letter from Paul Phillips</w:t>
      </w:r>
      <w:r w:rsidR="00586124">
        <w:t xml:space="preserve">, </w:t>
      </w:r>
      <w:r w:rsidR="00C10451">
        <w:t>C</w:t>
      </w:r>
      <w:r w:rsidR="00586124">
        <w:t xml:space="preserve">ounsel </w:t>
      </w:r>
      <w:r w:rsidR="00A9773A">
        <w:t>for</w:t>
      </w:r>
      <w:r w:rsidR="00586124">
        <w:t xml:space="preserve"> TDS Telecommunications LLC, to Marlene H. Dortch, Secretary, FCC, WC Docket No. 26-100</w:t>
      </w:r>
      <w:r w:rsidR="00A9773A">
        <w:t xml:space="preserve"> (filed May 6, 2026) (Supplement).  </w:t>
      </w:r>
      <w:r w:rsidRPr="00913F58">
        <w:t xml:space="preserve">Applicants also filed applications for the transfer of authorizations associated with international </w:t>
      </w:r>
      <w:r w:rsidR="00A1336C">
        <w:t xml:space="preserve">and wireless </w:t>
      </w:r>
      <w:r w:rsidRPr="00913F58">
        <w:t>services.  Any action on the Application is without prejudice to Commission action on other related, pending applications.</w:t>
      </w:r>
    </w:p>
  </w:footnote>
  <w:footnote w:id="4">
    <w:p w:rsidR="00AD25AF" w:rsidRPr="005240CD" w:rsidP="00AD25AF" w14:paraId="164CDC8D" w14:textId="77777777">
      <w:pPr>
        <w:pStyle w:val="FootnoteText"/>
      </w:pPr>
      <w:r w:rsidRPr="00913F58">
        <w:rPr>
          <w:rStyle w:val="FootnoteReference"/>
          <w:sz w:val="20"/>
        </w:rPr>
        <w:footnoteRef/>
      </w:r>
      <w:r w:rsidRPr="00913F58">
        <w:t xml:space="preserve"> </w:t>
      </w:r>
      <w:r w:rsidRPr="00913F58">
        <w:rPr>
          <w:i/>
        </w:rPr>
        <w:t>See</w:t>
      </w:r>
      <w:r w:rsidRPr="00913F58">
        <w:t xml:space="preserve"> 47 U.S.C. § 214(a); 47 CFR § 63.04.</w:t>
      </w:r>
    </w:p>
  </w:footnote>
  <w:footnote w:id="5">
    <w:p w:rsidR="00A1336C" w14:paraId="059A4DF4" w14:textId="51418252">
      <w:pPr>
        <w:pStyle w:val="FootnoteText"/>
      </w:pPr>
      <w:r>
        <w:rPr>
          <w:rStyle w:val="FootnoteReference"/>
        </w:rPr>
        <w:footnoteRef/>
      </w:r>
      <w:r>
        <w:t xml:space="preserve"> Application at 2-3.</w:t>
      </w:r>
    </w:p>
  </w:footnote>
  <w:footnote w:id="6">
    <w:p w:rsidR="00A1336C" w:rsidRPr="00A234A5" w14:paraId="16C25FD5" w14:textId="5CD0B3D6">
      <w:pPr>
        <w:pStyle w:val="FootnoteText"/>
      </w:pPr>
      <w:r>
        <w:rPr>
          <w:rStyle w:val="FootnoteReference"/>
        </w:rPr>
        <w:footnoteRef/>
      </w:r>
      <w:r>
        <w:t xml:space="preserve"> </w:t>
      </w:r>
      <w:r>
        <w:rPr>
          <w:i/>
          <w:iCs/>
        </w:rPr>
        <w:t>Id.</w:t>
      </w:r>
      <w:r>
        <w:t xml:space="preserve"> at 3.</w:t>
      </w:r>
      <w:r w:rsidR="00A234A5">
        <w:t xml:space="preserve">  Applicants state that GST</w:t>
      </w:r>
      <w:r w:rsidR="00A234A5">
        <w:rPr>
          <w:szCs w:val="22"/>
        </w:rPr>
        <w:t xml:space="preserve"> provides voice and broadband services to residential and business</w:t>
      </w:r>
      <w:r w:rsidR="003126C2">
        <w:rPr>
          <w:szCs w:val="22"/>
        </w:rPr>
        <w:t xml:space="preserve"> customers</w:t>
      </w:r>
      <w:r w:rsidR="00A234A5">
        <w:rPr>
          <w:szCs w:val="22"/>
        </w:rPr>
        <w:t xml:space="preserve"> using fiber-to-the-home technologies.  </w:t>
      </w:r>
      <w:r w:rsidR="00A234A5">
        <w:rPr>
          <w:i/>
          <w:iCs/>
          <w:szCs w:val="22"/>
        </w:rPr>
        <w:t>Id.</w:t>
      </w:r>
      <w:r w:rsidR="00A234A5">
        <w:rPr>
          <w:szCs w:val="22"/>
        </w:rPr>
        <w:t xml:space="preserve">  GST is </w:t>
      </w:r>
      <w:r w:rsidR="00432237">
        <w:rPr>
          <w:szCs w:val="22"/>
        </w:rPr>
        <w:t xml:space="preserve">designated as </w:t>
      </w:r>
      <w:r w:rsidR="00A234A5">
        <w:rPr>
          <w:szCs w:val="22"/>
        </w:rPr>
        <w:t>an Eligible Telecommunications Carrier (ETC)</w:t>
      </w:r>
      <w:r w:rsidR="00566CA3">
        <w:rPr>
          <w:szCs w:val="22"/>
        </w:rPr>
        <w:t xml:space="preserve"> and</w:t>
      </w:r>
      <w:r w:rsidR="00A234A5">
        <w:rPr>
          <w:szCs w:val="22"/>
        </w:rPr>
        <w:t xml:space="preserve"> currently receives federal Universal Service Fund </w:t>
      </w:r>
      <w:r w:rsidR="00340FC3">
        <w:rPr>
          <w:szCs w:val="22"/>
        </w:rPr>
        <w:t xml:space="preserve">(USF) </w:t>
      </w:r>
      <w:r w:rsidR="00A234A5">
        <w:rPr>
          <w:szCs w:val="22"/>
        </w:rPr>
        <w:t xml:space="preserve">support in the form of Enhanced Alternative Connect America Fund Cost </w:t>
      </w:r>
      <w:r w:rsidR="00E55F0D">
        <w:rPr>
          <w:szCs w:val="22"/>
        </w:rPr>
        <w:t>M</w:t>
      </w:r>
      <w:r w:rsidR="00A234A5">
        <w:rPr>
          <w:szCs w:val="22"/>
        </w:rPr>
        <w:t xml:space="preserve">odel (E-ACAM) and Connect America Fund Intercarrier Compensation (CAF-ICC).  </w:t>
      </w:r>
      <w:r w:rsidR="00A234A5">
        <w:rPr>
          <w:i/>
          <w:iCs/>
          <w:szCs w:val="22"/>
        </w:rPr>
        <w:t xml:space="preserve">Id.  </w:t>
      </w:r>
      <w:r w:rsidR="00A234A5">
        <w:rPr>
          <w:szCs w:val="22"/>
        </w:rPr>
        <w:t xml:space="preserve">GST also participates in the Commission’s Lifeline program and, until its expiration, participated in the Affordable Connectivity Program (ACP).  </w:t>
      </w:r>
      <w:r w:rsidR="00A234A5">
        <w:rPr>
          <w:i/>
          <w:iCs/>
          <w:szCs w:val="22"/>
        </w:rPr>
        <w:t>Id.</w:t>
      </w:r>
    </w:p>
  </w:footnote>
  <w:footnote w:id="7">
    <w:p w:rsidR="00A234A5" w:rsidRPr="00A234A5" w14:paraId="3747981D" w14:textId="2025527A">
      <w:pPr>
        <w:pStyle w:val="FootnoteText"/>
      </w:pPr>
      <w:r>
        <w:rPr>
          <w:rStyle w:val="FootnoteReference"/>
        </w:rPr>
        <w:footnoteRef/>
      </w:r>
      <w:r>
        <w:t xml:space="preserve"> </w:t>
      </w:r>
      <w:r>
        <w:rPr>
          <w:i/>
          <w:iCs/>
        </w:rPr>
        <w:t xml:space="preserve">Id. </w:t>
      </w:r>
      <w:r>
        <w:t>at 2.</w:t>
      </w:r>
    </w:p>
  </w:footnote>
  <w:footnote w:id="8">
    <w:p w:rsidR="00A234A5" w:rsidRPr="00A234A5" w14:paraId="0A854F45" w14:textId="0B54548F">
      <w:pPr>
        <w:pStyle w:val="FootnoteText"/>
      </w:pPr>
      <w:r>
        <w:rPr>
          <w:rStyle w:val="FootnoteReference"/>
        </w:rPr>
        <w:footnoteRef/>
      </w:r>
      <w:r>
        <w:t xml:space="preserve"> </w:t>
      </w:r>
      <w:r>
        <w:rPr>
          <w:i/>
          <w:iCs/>
        </w:rPr>
        <w:t xml:space="preserve">Id. </w:t>
      </w:r>
      <w:r>
        <w:t>at 4.</w:t>
      </w:r>
    </w:p>
  </w:footnote>
  <w:footnote w:id="9">
    <w:p w:rsidR="0053612B" w:rsidRPr="004F25BC" w:rsidP="00104396" w14:paraId="6DA8808F" w14:textId="7A475192">
      <w:pPr>
        <w:pStyle w:val="FootnoteText"/>
      </w:pPr>
      <w:r>
        <w:rPr>
          <w:rStyle w:val="FootnoteReference"/>
        </w:rPr>
        <w:footnoteRef/>
      </w:r>
      <w:r>
        <w:t xml:space="preserve"> </w:t>
      </w:r>
      <w:r w:rsidR="004F25BC">
        <w:rPr>
          <w:i/>
          <w:iCs/>
        </w:rPr>
        <w:t>Id.</w:t>
      </w:r>
      <w:r w:rsidR="004F25BC">
        <w:t xml:space="preserve"> at 13.  Applicants provide further information of TDS </w:t>
      </w:r>
      <w:r w:rsidR="00DC45F5">
        <w:t>Telecom’s affiliates, including</w:t>
      </w:r>
      <w:r w:rsidR="005F3217">
        <w:t>, for each affiliate</w:t>
      </w:r>
      <w:r w:rsidR="00F22D19">
        <w:t xml:space="preserve">: </w:t>
      </w:r>
      <w:r w:rsidR="00DC45F5">
        <w:t xml:space="preserve"> </w:t>
      </w:r>
      <w:r w:rsidR="005F3217">
        <w:t xml:space="preserve">(1) </w:t>
      </w:r>
      <w:r w:rsidR="00DC45F5">
        <w:t>services provided</w:t>
      </w:r>
      <w:r w:rsidR="005F3217">
        <w:t xml:space="preserve">, </w:t>
      </w:r>
      <w:r w:rsidR="00727621">
        <w:t xml:space="preserve">(2) SAC code for the area served; (3) </w:t>
      </w:r>
      <w:r w:rsidR="005F3217">
        <w:t xml:space="preserve">state in which </w:t>
      </w:r>
      <w:r w:rsidR="006840C0">
        <w:t xml:space="preserve">service is </w:t>
      </w:r>
      <w:r w:rsidR="005F3217">
        <w:t>provide</w:t>
      </w:r>
      <w:r w:rsidR="006840C0">
        <w:t>d</w:t>
      </w:r>
      <w:r w:rsidR="005F3217">
        <w:t xml:space="preserve">, </w:t>
      </w:r>
      <w:r w:rsidR="00727621">
        <w:t xml:space="preserve">and (3) </w:t>
      </w:r>
      <w:r w:rsidR="005F3217">
        <w:t xml:space="preserve">type of </w:t>
      </w:r>
      <w:r w:rsidR="00D43E49">
        <w:t>USF-</w:t>
      </w:r>
      <w:r w:rsidR="005F3217">
        <w:t>support received.  Supplement</w:t>
      </w:r>
      <w:r w:rsidR="00D43E49">
        <w:t xml:space="preserve">, </w:t>
      </w:r>
      <w:r w:rsidR="005F3217">
        <w:t>Attach. 1 (Affiliates of TDS Telecommunications LLC Currently Receiving Federal High Cost Support) at 1-3.  Applicants st</w:t>
      </w:r>
      <w:r w:rsidR="00104396">
        <w:t>at</w:t>
      </w:r>
      <w:r w:rsidR="005F3217">
        <w:t xml:space="preserve">e that </w:t>
      </w:r>
      <w:r w:rsidR="00342B34">
        <w:t>TDS Telecom’s</w:t>
      </w:r>
      <w:r w:rsidRPr="00104396" w:rsidR="00104396">
        <w:t xml:space="preserve"> affiliates</w:t>
      </w:r>
      <w:r w:rsidR="00104396">
        <w:t xml:space="preserve"> </w:t>
      </w:r>
      <w:r w:rsidR="00B952CB">
        <w:t xml:space="preserve">receive </w:t>
      </w:r>
      <w:r w:rsidR="00EA2869">
        <w:t>a mix of</w:t>
      </w:r>
      <w:r w:rsidRPr="00104396" w:rsidR="00104396">
        <w:t xml:space="preserve"> ACAM, E-ACAM, and/or CAF-ICC</w:t>
      </w:r>
      <w:r w:rsidR="00104396">
        <w:t xml:space="preserve"> </w:t>
      </w:r>
      <w:r w:rsidRPr="00104396" w:rsidR="00104396">
        <w:t>support.</w:t>
      </w:r>
      <w:r w:rsidR="00104396">
        <w:t xml:space="preserve">  Supplement at 1</w:t>
      </w:r>
      <w:r w:rsidR="00EA2869">
        <w:t xml:space="preserve">; </w:t>
      </w:r>
      <w:r w:rsidR="00EA2869">
        <w:rPr>
          <w:i/>
          <w:iCs/>
        </w:rPr>
        <w:t>id</w:t>
      </w:r>
      <w:r w:rsidR="00B94A41">
        <w:rPr>
          <w:i/>
          <w:iCs/>
        </w:rPr>
        <w:t>.</w:t>
      </w:r>
      <w:r w:rsidR="00B94A41">
        <w:t>,</w:t>
      </w:r>
      <w:r w:rsidR="00EA2869">
        <w:t xml:space="preserve"> Attach 1 at 1-3</w:t>
      </w:r>
      <w:r w:rsidR="00104396">
        <w:t>.</w:t>
      </w:r>
    </w:p>
  </w:footnote>
  <w:footnote w:id="10">
    <w:p w:rsidR="003536C1" w14:paraId="4C93A03D" w14:textId="202A9B13">
      <w:pPr>
        <w:pStyle w:val="FootnoteText"/>
      </w:pPr>
      <w:r>
        <w:rPr>
          <w:rStyle w:val="FootnoteReference"/>
        </w:rPr>
        <w:footnoteRef/>
      </w:r>
      <w:r>
        <w:t xml:space="preserve"> Application at 13.</w:t>
      </w:r>
      <w:r w:rsidR="007F5FAE">
        <w:t xml:space="preserve">  Applicants state that</w:t>
      </w:r>
      <w:r w:rsidR="009612A7">
        <w:t xml:space="preserve"> there are adjacencies between </w:t>
      </w:r>
      <w:r w:rsidR="0037050B">
        <w:t xml:space="preserve">the </w:t>
      </w:r>
      <w:r w:rsidR="009612A7">
        <w:t>GST exchanges and exchanges serv</w:t>
      </w:r>
      <w:r w:rsidR="0037050B">
        <w:t>ed</w:t>
      </w:r>
      <w:r w:rsidR="009612A7">
        <w:t xml:space="preserve"> by</w:t>
      </w:r>
      <w:r w:rsidRPr="009612A7" w:rsidR="009612A7">
        <w:rPr>
          <w:szCs w:val="22"/>
        </w:rPr>
        <w:t xml:space="preserve"> </w:t>
      </w:r>
      <w:r w:rsidRPr="003536C1" w:rsidR="009612A7">
        <w:rPr>
          <w:szCs w:val="22"/>
        </w:rPr>
        <w:t>Merrimack County Telephone Company</w:t>
      </w:r>
      <w:r w:rsidR="009612A7">
        <w:rPr>
          <w:szCs w:val="22"/>
        </w:rPr>
        <w:t xml:space="preserve">.  </w:t>
      </w:r>
      <w:r w:rsidR="009612A7">
        <w:rPr>
          <w:i/>
          <w:iCs/>
          <w:szCs w:val="22"/>
        </w:rPr>
        <w:t>Id</w:t>
      </w:r>
      <w:r w:rsidR="009612A7">
        <w:rPr>
          <w:szCs w:val="22"/>
        </w:rPr>
        <w:t>. at 4.</w:t>
      </w:r>
      <w:r w:rsidR="009612A7">
        <w:t xml:space="preserve"> </w:t>
      </w:r>
    </w:p>
  </w:footnote>
  <w:footnote w:id="11">
    <w:p w:rsidR="00A234A5" w:rsidRPr="00A234A5" w14:paraId="4E7FEF33" w14:textId="3FEE7B0C">
      <w:pPr>
        <w:pStyle w:val="FootnoteText"/>
      </w:pPr>
      <w:r>
        <w:rPr>
          <w:rStyle w:val="FootnoteReference"/>
        </w:rPr>
        <w:footnoteRef/>
      </w:r>
      <w:r>
        <w:t xml:space="preserve"> </w:t>
      </w:r>
      <w:r>
        <w:rPr>
          <w:i/>
          <w:iCs/>
        </w:rPr>
        <w:t xml:space="preserve">Id. </w:t>
      </w:r>
      <w:r>
        <w:t>at 6.</w:t>
      </w:r>
    </w:p>
  </w:footnote>
  <w:footnote w:id="12">
    <w:p w:rsidR="003073A4" w:rsidRPr="003073A4" w14:paraId="05B52E68" w14:textId="533A76C0">
      <w:pPr>
        <w:pStyle w:val="FootnoteText"/>
      </w:pPr>
      <w:r>
        <w:rPr>
          <w:rStyle w:val="FootnoteReference"/>
        </w:rPr>
        <w:footnoteRef/>
      </w:r>
      <w:r>
        <w:t xml:space="preserve"> </w:t>
      </w:r>
      <w:r>
        <w:rPr>
          <w:i/>
          <w:iCs/>
        </w:rPr>
        <w:t>Id.</w:t>
      </w:r>
    </w:p>
  </w:footnote>
  <w:footnote w:id="13">
    <w:p w:rsidR="00AD25AF" w:rsidRPr="005240CD" w:rsidP="00AD25AF" w14:paraId="302D6409" w14:textId="77777777">
      <w:pPr>
        <w:pStyle w:val="FootnoteText"/>
      </w:pPr>
      <w:r w:rsidRPr="005240CD">
        <w:rPr>
          <w:rStyle w:val="FootnoteReference"/>
          <w:sz w:val="20"/>
        </w:rPr>
        <w:footnoteRef/>
      </w:r>
      <w:r w:rsidRPr="005240CD">
        <w:t xml:space="preserve"> </w:t>
      </w:r>
      <w:r w:rsidRPr="00886ACA">
        <w:rPr>
          <w:i/>
          <w:iCs/>
        </w:rPr>
        <w:t>Id</w:t>
      </w:r>
      <w:r>
        <w:t>. at 13.</w:t>
      </w:r>
    </w:p>
  </w:footnote>
  <w:footnote w:id="14">
    <w:p w:rsidR="00AD25AF" w:rsidRPr="00E86AB5" w:rsidP="00AD25AF" w14:paraId="58637AAB" w14:textId="77777777">
      <w:pPr>
        <w:pStyle w:val="FootnoteText"/>
      </w:pPr>
      <w:r w:rsidRPr="00E86AB5">
        <w:rPr>
          <w:rStyle w:val="FootnoteReference"/>
        </w:rPr>
        <w:footnoteRef/>
      </w:r>
      <w:r w:rsidRPr="00E86AB5">
        <w:t xml:space="preserve"> </w:t>
      </w:r>
      <w:r w:rsidRPr="00E86AB5">
        <w:rPr>
          <w:i/>
          <w:iCs/>
        </w:rPr>
        <w:t xml:space="preserve">See </w:t>
      </w:r>
      <w:r w:rsidRPr="00E86AB5">
        <w:t>47 CFR § 63.03(c)(1)(v)</w:t>
      </w:r>
      <w:r>
        <w:t>.</w:t>
      </w:r>
    </w:p>
  </w:footnote>
  <w:footnote w:id="15">
    <w:p w:rsidR="00AD25AF" w:rsidRPr="005D6116" w:rsidP="00AD25AF" w14:paraId="7B65E44F" w14:textId="77777777">
      <w:pPr>
        <w:pStyle w:val="FootnoteText"/>
      </w:pPr>
      <w:r w:rsidRPr="0029337E">
        <w:rPr>
          <w:rStyle w:val="FootnoteReference"/>
          <w:sz w:val="20"/>
        </w:rPr>
        <w:footnoteRef/>
      </w:r>
      <w:r w:rsidRPr="0029337E">
        <w:t xml:space="preserve"> </w:t>
      </w:r>
      <w:r w:rsidRPr="0029337E">
        <w:rPr>
          <w:i/>
        </w:rPr>
        <w:t>See</w:t>
      </w:r>
      <w:r w:rsidRPr="0029337E">
        <w:t xml:space="preserve"> 47 CFR § 1.45(c).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14:paraId="685D94B5" w14:textId="6BA6A6F9">
    <w:pPr>
      <w:tabs>
        <w:tab w:val="center" w:pos="4680"/>
        <w:tab w:val="right" w:pos="9360"/>
      </w:tabs>
    </w:pPr>
    <w:r>
      <w:rPr>
        <w:b/>
      </w:rPr>
      <w:tab/>
      <w:t>Federal Communications Commission</w:t>
    </w:r>
    <w:r>
      <w:rPr>
        <w:b/>
      </w:rPr>
      <w:tab/>
    </w:r>
    <w:r w:rsidR="00CE17BE">
      <w:rPr>
        <w:b/>
      </w:rPr>
      <w:t>DA 26-</w:t>
    </w:r>
    <w:r w:rsidR="00C774E7">
      <w:rPr>
        <w:b/>
      </w:rPr>
      <w:t>493</w:t>
    </w:r>
  </w:p>
  <w:p w:rsidR="00BA3BA8" w14:paraId="691EC169" w14:textId="6D16D8CA">
    <w:pPr>
      <w:tabs>
        <w:tab w:val="left" w:pos="-720"/>
      </w:tabs>
      <w:suppressAutoHyphens/>
      <w:spacing w:line="19" w:lineRule="exact"/>
      <w:rPr>
        <w:spacing w:val="-2"/>
      </w:rPr>
    </w:pPr>
    <w:r>
      <w:rPr>
        <w:noProof/>
      </w:rPr>
      <mc:AlternateContent>
        <mc:Choice Requires="wps">
          <w:drawing>
            <wp:anchor distT="0" distB="0" distL="114300" distR="114300" simplePos="0" relativeHeight="251658240" behindDoc="1" locked="0" layoutInCell="0" allowOverlap="1">
              <wp:simplePos x="0" y="0"/>
              <wp:positionH relativeFrom="margin">
                <wp:posOffset>0</wp:posOffset>
              </wp:positionH>
              <wp:positionV relativeFrom="paragraph">
                <wp:posOffset>0</wp:posOffset>
              </wp:positionV>
              <wp:extent cx="5943600" cy="12065"/>
              <wp:effectExtent l="0" t="0" r="0" b="0"/>
              <wp:wrapNone/>
              <wp:docPr id="15" name="Rectangle 2"/>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2" o:spid="_x0000_s2049" style="width:468pt;height:0.95pt;margin-top:0;margin-left:0;mso-height-percent:0;mso-height-relative:page;mso-position-horizontal-relative:margin;mso-width-percent:0;mso-width-relative:page;mso-wrap-distance-bottom:0;mso-wrap-distance-left:9pt;mso-wrap-distance-right:9pt;mso-wrap-distance-top:0;mso-wrap-style:square;position:absolute;visibility:visible;v-text-anchor:top;z-index:-251657216" o:allowincell="f" fillcolor="black" stroked="f" strokeweight="0.05pt">
              <w10:wrap anchorx="margin"/>
            </v:rect>
          </w:pict>
        </mc:Fallback>
      </mc:AlternateContent>
    </w:r>
  </w:p>
  <w:p w:rsidR="00BA3BA8" w14:paraId="5BEEDB4B" w14:textId="77777777">
    <w:pPr>
      <w:spacing w:before="40"/>
      <w:rPr>
        <w:rFonts w:ascii="Arial" w:hAnsi="Arial" w:cs="Arial"/>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A3BA8" w:rsidRPr="00F03EA1" w:rsidP="00F03EA1" w14:paraId="309F305B" w14:textId="4645E983">
    <w:pPr>
      <w:pStyle w:val="Header"/>
    </w:pPr>
    <w:r>
      <w:rPr>
        <w:noProof/>
      </w:rPr>
      <w:drawing>
        <wp:inline distT="0" distB="0" distL="0" distR="0">
          <wp:extent cx="5955665" cy="1431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55665" cy="14312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84B453C"/>
    <w:multiLevelType w:val="singleLevel"/>
    <w:tmpl w:val="40A8E97A"/>
    <w:lvl w:ilvl="0">
      <w:start w:val="1"/>
      <w:numFmt w:val="decimal"/>
      <w:lvlText w:val="%1."/>
      <w:lvlJc w:val="left"/>
      <w:pPr>
        <w:tabs>
          <w:tab w:val="num" w:pos="1080"/>
        </w:tabs>
        <w:ind w:left="0" w:firstLine="720"/>
      </w:pPr>
    </w:lvl>
  </w:abstractNum>
  <w:abstractNum w:abstractNumId="1">
    <w:nsid w:val="2059305A"/>
    <w:multiLevelType w:val="multilevel"/>
    <w:tmpl w:val="57A4B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F40A0F"/>
    <w:multiLevelType w:val="singleLevel"/>
    <w:tmpl w:val="3244DD0A"/>
    <w:lvl w:ilvl="0">
      <w:start w:val="1"/>
      <w:numFmt w:val="bullet"/>
      <w:pStyle w:val="Bullet"/>
      <w:lvlText w:val=""/>
      <w:lvlJc w:val="left"/>
      <w:pPr>
        <w:tabs>
          <w:tab w:val="num" w:pos="360"/>
        </w:tabs>
        <w:ind w:left="360" w:hanging="360"/>
      </w:pPr>
      <w:rPr>
        <w:rFonts w:ascii="Symbol" w:hAnsi="Symbol" w:hint="default"/>
      </w:rPr>
    </w:lvl>
  </w:abstractNum>
  <w:abstractNum w:abstractNumId="3">
    <w:nsid w:val="248246F3"/>
    <w:multiLevelType w:val="singleLevel"/>
    <w:tmpl w:val="B1F45678"/>
    <w:lvl w:ilvl="0">
      <w:start w:val="1"/>
      <w:numFmt w:val="decimal"/>
      <w:lvlText w:val="%1."/>
      <w:lvlJc w:val="left"/>
      <w:pPr>
        <w:tabs>
          <w:tab w:val="num" w:pos="1080"/>
        </w:tabs>
        <w:ind w:left="0" w:firstLine="720"/>
      </w:pPr>
    </w:lvl>
  </w:abstractNum>
  <w:abstractNum w:abstractNumId="4">
    <w:nsid w:val="27E06CBB"/>
    <w:multiLevelType w:val="multilevel"/>
    <w:tmpl w:val="F1A8698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
    <w:nsid w:val="2B790B01"/>
    <w:multiLevelType w:val="hybridMultilevel"/>
    <w:tmpl w:val="0F98B5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DF61CE4"/>
    <w:multiLevelType w:val="multilevel"/>
    <w:tmpl w:val="F1A86982"/>
    <w:lvl w:ilvl="0">
      <w:start w:val="1"/>
      <w:numFmt w:val="upperRoman"/>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
    <w:nsid w:val="61182925"/>
    <w:multiLevelType w:val="singleLevel"/>
    <w:tmpl w:val="D180CED0"/>
    <w:lvl w:ilvl="0">
      <w:start w:val="1"/>
      <w:numFmt w:val="decimal"/>
      <w:pStyle w:val="ParaNum"/>
      <w:lvlText w:val="%1."/>
      <w:lvlJc w:val="left"/>
      <w:pPr>
        <w:tabs>
          <w:tab w:val="num" w:pos="1080"/>
        </w:tabs>
        <w:ind w:left="0" w:firstLine="720"/>
      </w:pPr>
    </w:lvl>
  </w:abstractNum>
  <w:abstractNum w:abstractNumId="8">
    <w:nsid w:val="6A614CCE"/>
    <w:multiLevelType w:val="hybridMultilevel"/>
    <w:tmpl w:val="0F98B5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6BE20A48"/>
    <w:multiLevelType w:val="multilevel"/>
    <w:tmpl w:val="584238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8679873">
    <w:abstractNumId w:val="2"/>
  </w:num>
  <w:num w:numId="2" w16cid:durableId="2074352037">
    <w:abstractNumId w:val="7"/>
  </w:num>
  <w:num w:numId="3" w16cid:durableId="1920945409">
    <w:abstractNumId w:val="4"/>
  </w:num>
  <w:num w:numId="4" w16cid:durableId="1462572376">
    <w:abstractNumId w:val="6"/>
  </w:num>
  <w:num w:numId="5" w16cid:durableId="68381750">
    <w:abstractNumId w:val="3"/>
  </w:num>
  <w:num w:numId="6" w16cid:durableId="669411060">
    <w:abstractNumId w:val="0"/>
  </w:num>
  <w:num w:numId="7" w16cid:durableId="1746754874">
    <w:abstractNumId w:val="5"/>
  </w:num>
  <w:num w:numId="8" w16cid:durableId="2096245613">
    <w:abstractNumId w:val="8"/>
  </w:num>
  <w:num w:numId="9" w16cid:durableId="823476080">
    <w:abstractNumId w:val="1"/>
  </w:num>
  <w:num w:numId="10" w16cid:durableId="18316030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 w:id="2"/>
  </w:footnotePr>
  <w:endnotePr>
    <w:numFmt w:val="decimal"/>
    <w:endnote w:id="0"/>
    <w:endnote w:id="1"/>
    <w:endnote w:id="2"/>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6B"/>
    <w:rsid w:val="000210F4"/>
    <w:rsid w:val="0003796A"/>
    <w:rsid w:val="00063C59"/>
    <w:rsid w:val="00096134"/>
    <w:rsid w:val="0009698C"/>
    <w:rsid w:val="000C5686"/>
    <w:rsid w:val="000D6570"/>
    <w:rsid w:val="000D7018"/>
    <w:rsid w:val="00104396"/>
    <w:rsid w:val="00152875"/>
    <w:rsid w:val="00182EF4"/>
    <w:rsid w:val="0029337E"/>
    <w:rsid w:val="003073A4"/>
    <w:rsid w:val="003126C2"/>
    <w:rsid w:val="00314926"/>
    <w:rsid w:val="00340FC3"/>
    <w:rsid w:val="00342B34"/>
    <w:rsid w:val="003536C1"/>
    <w:rsid w:val="0037050B"/>
    <w:rsid w:val="003A5AD2"/>
    <w:rsid w:val="003C65A6"/>
    <w:rsid w:val="00420D61"/>
    <w:rsid w:val="00430183"/>
    <w:rsid w:val="00432237"/>
    <w:rsid w:val="00440705"/>
    <w:rsid w:val="00450545"/>
    <w:rsid w:val="00464715"/>
    <w:rsid w:val="00481A41"/>
    <w:rsid w:val="004827AA"/>
    <w:rsid w:val="004929BC"/>
    <w:rsid w:val="0049312B"/>
    <w:rsid w:val="004A540E"/>
    <w:rsid w:val="004C0C92"/>
    <w:rsid w:val="004D3827"/>
    <w:rsid w:val="004F25BC"/>
    <w:rsid w:val="00501028"/>
    <w:rsid w:val="00505EE5"/>
    <w:rsid w:val="005240CD"/>
    <w:rsid w:val="0053612B"/>
    <w:rsid w:val="00566CA3"/>
    <w:rsid w:val="00586124"/>
    <w:rsid w:val="005959B7"/>
    <w:rsid w:val="005C1514"/>
    <w:rsid w:val="005D6116"/>
    <w:rsid w:val="005F3217"/>
    <w:rsid w:val="00626A2E"/>
    <w:rsid w:val="006700B2"/>
    <w:rsid w:val="0067292D"/>
    <w:rsid w:val="006840C0"/>
    <w:rsid w:val="0070243B"/>
    <w:rsid w:val="00721AA6"/>
    <w:rsid w:val="00727621"/>
    <w:rsid w:val="007441B5"/>
    <w:rsid w:val="00747BB0"/>
    <w:rsid w:val="007F5FAE"/>
    <w:rsid w:val="007F6CD6"/>
    <w:rsid w:val="0084271C"/>
    <w:rsid w:val="00874ED9"/>
    <w:rsid w:val="00882F55"/>
    <w:rsid w:val="00886ACA"/>
    <w:rsid w:val="0089019A"/>
    <w:rsid w:val="00890364"/>
    <w:rsid w:val="0089454F"/>
    <w:rsid w:val="008B03B0"/>
    <w:rsid w:val="008B4414"/>
    <w:rsid w:val="008E41E0"/>
    <w:rsid w:val="00906FB3"/>
    <w:rsid w:val="00913F58"/>
    <w:rsid w:val="00935380"/>
    <w:rsid w:val="00942865"/>
    <w:rsid w:val="00953119"/>
    <w:rsid w:val="009612A7"/>
    <w:rsid w:val="00972CED"/>
    <w:rsid w:val="009D7E12"/>
    <w:rsid w:val="00A1336C"/>
    <w:rsid w:val="00A20679"/>
    <w:rsid w:val="00A234A5"/>
    <w:rsid w:val="00A314FC"/>
    <w:rsid w:val="00A93641"/>
    <w:rsid w:val="00A9554A"/>
    <w:rsid w:val="00A9773A"/>
    <w:rsid w:val="00AB7A2F"/>
    <w:rsid w:val="00AD25AF"/>
    <w:rsid w:val="00B107E0"/>
    <w:rsid w:val="00B43813"/>
    <w:rsid w:val="00B46507"/>
    <w:rsid w:val="00B52B83"/>
    <w:rsid w:val="00B625A1"/>
    <w:rsid w:val="00B7094D"/>
    <w:rsid w:val="00B94A41"/>
    <w:rsid w:val="00B952CB"/>
    <w:rsid w:val="00BA3BA8"/>
    <w:rsid w:val="00BB59DB"/>
    <w:rsid w:val="00C02B66"/>
    <w:rsid w:val="00C10451"/>
    <w:rsid w:val="00C3361B"/>
    <w:rsid w:val="00C6594B"/>
    <w:rsid w:val="00C72A6A"/>
    <w:rsid w:val="00C774E7"/>
    <w:rsid w:val="00CA2B0C"/>
    <w:rsid w:val="00CC256F"/>
    <w:rsid w:val="00CE17BE"/>
    <w:rsid w:val="00D43E49"/>
    <w:rsid w:val="00D751BA"/>
    <w:rsid w:val="00D87FE3"/>
    <w:rsid w:val="00DB7F8A"/>
    <w:rsid w:val="00DC45F5"/>
    <w:rsid w:val="00DE3263"/>
    <w:rsid w:val="00E00800"/>
    <w:rsid w:val="00E3053C"/>
    <w:rsid w:val="00E55F0D"/>
    <w:rsid w:val="00E70D11"/>
    <w:rsid w:val="00E86AB5"/>
    <w:rsid w:val="00E9295C"/>
    <w:rsid w:val="00E9505B"/>
    <w:rsid w:val="00EA2869"/>
    <w:rsid w:val="00EA7EE6"/>
    <w:rsid w:val="00EE0C25"/>
    <w:rsid w:val="00EF2EE1"/>
    <w:rsid w:val="00EF466B"/>
    <w:rsid w:val="00F03EA1"/>
    <w:rsid w:val="00F20C4B"/>
    <w:rsid w:val="00F22D19"/>
    <w:rsid w:val="00F31C9D"/>
    <w:rsid w:val="00F9114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3B638B31"/>
  <w15:chartTrackingRefBased/>
  <w15:docId w15:val="{E17184D0-E752-433F-9D68-383B9200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snapToGrid w:val="0"/>
      <w:kern w:val="28"/>
      <w:sz w:val="22"/>
    </w:rPr>
  </w:style>
  <w:style w:type="paragraph" w:styleId="Heading1">
    <w:name w:val="heading 1"/>
    <w:basedOn w:val="Normal"/>
    <w:next w:val="ParaNum"/>
    <w:qFormat/>
    <w:pPr>
      <w:keepNext/>
      <w:numPr>
        <w:numId w:val="3"/>
      </w:numPr>
      <w:tabs>
        <w:tab w:val="left" w:pos="720"/>
      </w:tabs>
      <w:suppressAutoHyphens/>
      <w:spacing w:after="120"/>
      <w:outlineLvl w:val="0"/>
    </w:pPr>
    <w:rPr>
      <w:rFonts w:ascii="Times New Roman Bold" w:hAnsi="Times New Roman Bold"/>
      <w:b/>
      <w:caps/>
    </w:rPr>
  </w:style>
  <w:style w:type="paragraph" w:styleId="Heading2">
    <w:name w:val="heading 2"/>
    <w:basedOn w:val="Normal"/>
    <w:next w:val="ParaNum"/>
    <w:autoRedefine/>
    <w:qFormat/>
    <w:pPr>
      <w:keepNext/>
      <w:numPr>
        <w:ilvl w:val="1"/>
        <w:numId w:val="3"/>
      </w:numPr>
      <w:spacing w:after="120"/>
      <w:outlineLvl w:val="1"/>
    </w:pPr>
    <w:rPr>
      <w:b/>
    </w:rPr>
  </w:style>
  <w:style w:type="paragraph" w:styleId="Heading3">
    <w:name w:val="heading 3"/>
    <w:basedOn w:val="Normal"/>
    <w:next w:val="ParaNum"/>
    <w:qFormat/>
    <w:pPr>
      <w:keepNext/>
      <w:numPr>
        <w:ilvl w:val="2"/>
        <w:numId w:val="3"/>
      </w:numPr>
      <w:tabs>
        <w:tab w:val="left" w:pos="2160"/>
      </w:tabs>
      <w:spacing w:after="120"/>
      <w:outlineLvl w:val="2"/>
    </w:pPr>
    <w:rPr>
      <w:b/>
    </w:rPr>
  </w:style>
  <w:style w:type="paragraph" w:styleId="Heading4">
    <w:name w:val="heading 4"/>
    <w:basedOn w:val="Normal"/>
    <w:next w:val="ParaNum"/>
    <w:qFormat/>
    <w:pPr>
      <w:keepNext/>
      <w:numPr>
        <w:ilvl w:val="3"/>
        <w:numId w:val="3"/>
      </w:numPr>
      <w:tabs>
        <w:tab w:val="left" w:pos="2880"/>
      </w:tabs>
      <w:spacing w:after="120"/>
      <w:outlineLvl w:val="3"/>
    </w:pPr>
    <w:rPr>
      <w:b/>
    </w:rPr>
  </w:style>
  <w:style w:type="paragraph" w:styleId="Heading5">
    <w:name w:val="heading 5"/>
    <w:basedOn w:val="Normal"/>
    <w:next w:val="ParaNum"/>
    <w:qFormat/>
    <w:pPr>
      <w:keepNext/>
      <w:numPr>
        <w:ilvl w:val="4"/>
        <w:numId w:val="3"/>
      </w:numPr>
      <w:tabs>
        <w:tab w:val="left" w:pos="3600"/>
      </w:tabs>
      <w:suppressAutoHyphens/>
      <w:spacing w:after="120"/>
      <w:outlineLvl w:val="4"/>
    </w:pPr>
    <w:rPr>
      <w:b/>
    </w:rPr>
  </w:style>
  <w:style w:type="paragraph" w:styleId="Heading6">
    <w:name w:val="heading 6"/>
    <w:basedOn w:val="Normal"/>
    <w:next w:val="ParaNum"/>
    <w:qFormat/>
    <w:pPr>
      <w:numPr>
        <w:ilvl w:val="5"/>
        <w:numId w:val="3"/>
      </w:numPr>
      <w:tabs>
        <w:tab w:val="left" w:pos="4320"/>
      </w:tabs>
      <w:spacing w:after="120"/>
      <w:outlineLvl w:val="5"/>
    </w:pPr>
    <w:rPr>
      <w:b/>
    </w:rPr>
  </w:style>
  <w:style w:type="paragraph" w:styleId="Heading7">
    <w:name w:val="heading 7"/>
    <w:basedOn w:val="Normal"/>
    <w:next w:val="ParaNum"/>
    <w:qFormat/>
    <w:pPr>
      <w:numPr>
        <w:ilvl w:val="6"/>
        <w:numId w:val="3"/>
      </w:numPr>
      <w:tabs>
        <w:tab w:val="left" w:pos="5040"/>
      </w:tabs>
      <w:spacing w:after="120"/>
      <w:ind w:left="5040" w:hanging="720"/>
      <w:outlineLvl w:val="6"/>
    </w:pPr>
    <w:rPr>
      <w:b/>
    </w:rPr>
  </w:style>
  <w:style w:type="paragraph" w:styleId="Heading8">
    <w:name w:val="heading 8"/>
    <w:basedOn w:val="Normal"/>
    <w:next w:val="ParaNum"/>
    <w:qFormat/>
    <w:pPr>
      <w:numPr>
        <w:ilvl w:val="7"/>
        <w:numId w:val="3"/>
      </w:numPr>
      <w:tabs>
        <w:tab w:val="clear" w:pos="5400"/>
        <w:tab w:val="left" w:pos="5760"/>
      </w:tabs>
      <w:spacing w:after="120"/>
      <w:ind w:left="5760" w:hanging="720"/>
      <w:outlineLvl w:val="7"/>
    </w:pPr>
    <w:rPr>
      <w:b/>
    </w:rPr>
  </w:style>
  <w:style w:type="paragraph" w:styleId="Heading9">
    <w:name w:val="heading 9"/>
    <w:basedOn w:val="Normal"/>
    <w:next w:val="ParaNum"/>
    <w:qFormat/>
    <w:pPr>
      <w:numPr>
        <w:ilvl w:val="8"/>
        <w:numId w:val="3"/>
      </w:numPr>
      <w:tabs>
        <w:tab w:val="clear" w:pos="6120"/>
        <w:tab w:val="left" w:pos="6480"/>
      </w:tabs>
      <w:spacing w:after="120"/>
      <w:ind w:left="648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um">
    <w:name w:val="ParaNum"/>
    <w:basedOn w:val="Normal"/>
    <w:pPr>
      <w:numPr>
        <w:numId w:val="2"/>
      </w:numPr>
      <w:tabs>
        <w:tab w:val="clear" w:pos="1080"/>
        <w:tab w:val="num" w:pos="1440"/>
      </w:tabs>
      <w:spacing w:after="120"/>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FootnoteText">
    <w:name w:val="footnote text"/>
    <w:aliases w:val="Footnote Text Char,Footnote Text Char Char Char1 Char Char Char,Footnote Text Char Char Char2 Char Char,Footnote Text Char1 Char1 Char Char Char,Footnote Text Char2 Char,Footnote Text Char2 Char Char Char,Footnote Text Char3 Char Char,f,fn"/>
    <w:link w:val="FootnoteTextChar1"/>
    <w:qFormat/>
    <w:pPr>
      <w:spacing w:after="120"/>
    </w:pPr>
  </w:style>
  <w:style w:type="character" w:styleId="FootnoteReference">
    <w:name w:val="footnote reference"/>
    <w:semiHidden/>
    <w:rPr>
      <w:rFonts w:ascii="Times New Roman" w:hAnsi="Times New Roman"/>
      <w:dstrike w:val="0"/>
      <w:color w:val="auto"/>
      <w:sz w:val="22"/>
      <w:vertAlign w:val="superscript"/>
    </w:rPr>
  </w:style>
  <w:style w:type="paragraph" w:styleId="TOC1">
    <w:name w:val="toc 1"/>
    <w:basedOn w:val="Normal"/>
    <w:next w:val="Normal"/>
    <w:uiPriority w:val="39"/>
    <w:pPr>
      <w:tabs>
        <w:tab w:val="left" w:pos="360"/>
        <w:tab w:val="right" w:leader="dot" w:pos="9360"/>
      </w:tabs>
      <w:suppressAutoHyphens/>
      <w:ind w:left="360" w:right="720" w:hanging="360"/>
    </w:pPr>
    <w:rPr>
      <w:caps/>
      <w:noProof/>
    </w:rPr>
  </w:style>
  <w:style w:type="paragraph" w:styleId="TOC2">
    <w:name w:val="toc 2"/>
    <w:basedOn w:val="Normal"/>
    <w:next w:val="Normal"/>
    <w:semiHidden/>
    <w:pPr>
      <w:tabs>
        <w:tab w:val="left" w:pos="720"/>
        <w:tab w:val="right" w:leader="dot" w:pos="9360"/>
      </w:tabs>
      <w:suppressAutoHyphens/>
      <w:ind w:left="720" w:right="720" w:hanging="360"/>
    </w:pPr>
    <w:rPr>
      <w:noProof/>
    </w:rPr>
  </w:style>
  <w:style w:type="paragraph" w:styleId="TOC3">
    <w:name w:val="toc 3"/>
    <w:basedOn w:val="Normal"/>
    <w:next w:val="Normal"/>
    <w:semiHidden/>
    <w:pPr>
      <w:tabs>
        <w:tab w:val="left" w:pos="1080"/>
        <w:tab w:val="right" w:leader="dot" w:pos="9360"/>
      </w:tabs>
      <w:suppressAutoHyphens/>
      <w:ind w:left="1080" w:right="720" w:hanging="360"/>
    </w:pPr>
    <w:rPr>
      <w:noProof/>
    </w:rPr>
  </w:style>
  <w:style w:type="paragraph" w:styleId="TOC4">
    <w:name w:val="toc 4"/>
    <w:basedOn w:val="Normal"/>
    <w:next w:val="Normal"/>
    <w:autoRedefine/>
    <w:semiHidden/>
    <w:pPr>
      <w:tabs>
        <w:tab w:val="left" w:pos="1440"/>
        <w:tab w:val="right" w:leader="dot" w:pos="9360"/>
      </w:tabs>
      <w:suppressAutoHyphens/>
      <w:ind w:left="1440" w:right="720" w:hanging="360"/>
    </w:pPr>
    <w:rPr>
      <w:noProof/>
    </w:rPr>
  </w:style>
  <w:style w:type="paragraph" w:styleId="TOC5">
    <w:name w:val="toc 5"/>
    <w:basedOn w:val="Normal"/>
    <w:next w:val="Normal"/>
    <w:autoRedefine/>
    <w:semiHidden/>
    <w:pPr>
      <w:tabs>
        <w:tab w:val="left" w:pos="1800"/>
        <w:tab w:val="right" w:leader="dot" w:pos="9360"/>
      </w:tabs>
      <w:suppressAutoHyphens/>
      <w:ind w:left="1800" w:right="720" w:hanging="360"/>
    </w:pPr>
    <w:rPr>
      <w:noProof/>
    </w:rPr>
  </w:style>
  <w:style w:type="paragraph" w:styleId="TOC6">
    <w:name w:val="toc 6"/>
    <w:basedOn w:val="Normal"/>
    <w:next w:val="Normal"/>
    <w:autoRedefine/>
    <w:semiHidden/>
    <w:pPr>
      <w:tabs>
        <w:tab w:val="left" w:pos="2160"/>
        <w:tab w:val="right" w:leader="dot" w:pos="9360"/>
      </w:tabs>
      <w:suppressAutoHyphens/>
      <w:ind w:left="2160" w:hanging="360"/>
    </w:pPr>
    <w:rPr>
      <w:noProof/>
    </w:rPr>
  </w:style>
  <w:style w:type="paragraph" w:styleId="TOC7">
    <w:name w:val="toc 7"/>
    <w:basedOn w:val="Normal"/>
    <w:next w:val="Normal"/>
    <w:autoRedefine/>
    <w:semiHidden/>
    <w:pPr>
      <w:tabs>
        <w:tab w:val="left" w:pos="2520"/>
        <w:tab w:val="right" w:leader="dot" w:pos="9360"/>
      </w:tabs>
      <w:suppressAutoHyphens/>
      <w:ind w:left="2520" w:hanging="360"/>
    </w:pPr>
    <w:rPr>
      <w:noProof/>
    </w:rPr>
  </w:style>
  <w:style w:type="paragraph" w:styleId="TOC8">
    <w:name w:val="toc 8"/>
    <w:basedOn w:val="Normal"/>
    <w:next w:val="Normal"/>
    <w:autoRedefine/>
    <w:semiHidden/>
    <w:pPr>
      <w:tabs>
        <w:tab w:val="left" w:pos="2880"/>
        <w:tab w:val="right" w:leader="dot" w:pos="9360"/>
      </w:tabs>
      <w:suppressAutoHyphens/>
      <w:ind w:left="2880" w:hanging="360"/>
    </w:pPr>
    <w:rPr>
      <w:noProof/>
    </w:rPr>
  </w:style>
  <w:style w:type="paragraph" w:styleId="TOC9">
    <w:name w:val="toc 9"/>
    <w:basedOn w:val="Normal"/>
    <w:next w:val="Normal"/>
    <w:autoRedefine/>
    <w:semiHidden/>
    <w:pPr>
      <w:tabs>
        <w:tab w:val="left" w:pos="3240"/>
        <w:tab w:val="right" w:leader="dot" w:pos="9360"/>
      </w:tabs>
      <w:suppressAutoHyphens/>
      <w:ind w:left="3240" w:hanging="360"/>
    </w:pPr>
    <w:rPr>
      <w:noProof/>
    </w:rPr>
  </w:style>
  <w:style w:type="paragraph" w:styleId="TOAHeading">
    <w:name w:val="toa heading"/>
    <w:basedOn w:val="Normal"/>
    <w:next w:val="Normal"/>
    <w:semiHidden/>
    <w:pPr>
      <w:tabs>
        <w:tab w:val="right" w:pos="9360"/>
      </w:tabs>
      <w:suppressAutoHyphens/>
    </w:pPr>
  </w:style>
  <w:style w:type="character" w:customStyle="1" w:styleId="EquationCaption">
    <w:name w:val="_Equation Caption"/>
  </w:style>
  <w:style w:type="paragraph" w:styleId="Header">
    <w:name w:val="header"/>
    <w:basedOn w:val="Normal"/>
    <w:autoRedefine/>
    <w:pPr>
      <w:tabs>
        <w:tab w:val="center" w:pos="4680"/>
        <w:tab w:val="right" w:pos="9360"/>
      </w:tabs>
    </w:pPr>
    <w:rPr>
      <w:rFonts w:ascii="Arial" w:hAnsi="Arial" w:cs="Arial"/>
      <w:b/>
      <w:sz w:val="96"/>
      <w:szCs w:val="96"/>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lockText">
    <w:name w:val="Block Text"/>
    <w:basedOn w:val="Normal"/>
    <w:pPr>
      <w:spacing w:after="240"/>
      <w:ind w:left="1440" w:right="1440"/>
    </w:pPr>
  </w:style>
  <w:style w:type="paragraph" w:customStyle="1" w:styleId="Paratitle">
    <w:name w:val="Para title"/>
    <w:basedOn w:val="Normal"/>
    <w:pPr>
      <w:tabs>
        <w:tab w:val="center" w:pos="9270"/>
      </w:tabs>
      <w:spacing w:after="240"/>
    </w:pPr>
    <w:rPr>
      <w:spacing w:val="-2"/>
    </w:rPr>
  </w:style>
  <w:style w:type="paragraph" w:customStyle="1" w:styleId="Bullet">
    <w:name w:val="Bullet"/>
    <w:basedOn w:val="Normal"/>
    <w:pPr>
      <w:numPr>
        <w:numId w:val="1"/>
      </w:numPr>
      <w:tabs>
        <w:tab w:val="clear" w:pos="360"/>
        <w:tab w:val="left" w:pos="2160"/>
      </w:tabs>
      <w:spacing w:after="220"/>
      <w:ind w:left="2160" w:hanging="720"/>
    </w:pPr>
  </w:style>
  <w:style w:type="paragraph" w:customStyle="1" w:styleId="TableFormat">
    <w:name w:val="TableFormat"/>
    <w:basedOn w:val="Bullet"/>
    <w:pPr>
      <w:numPr>
        <w:numId w:val="0"/>
      </w:numPr>
      <w:tabs>
        <w:tab w:val="clear" w:pos="2160"/>
        <w:tab w:val="left" w:pos="5040"/>
      </w:tabs>
      <w:ind w:left="5040" w:hanging="3600"/>
    </w:pPr>
  </w:style>
  <w:style w:type="paragraph" w:customStyle="1" w:styleId="TOCTitle">
    <w:name w:val="TOC Title"/>
    <w:basedOn w:val="Normal"/>
    <w:pPr>
      <w:spacing w:before="240" w:after="240"/>
      <w:jc w:val="center"/>
    </w:pPr>
    <w:rPr>
      <w:rFonts w:ascii="Times New Roman Bold" w:hAnsi="Times New Roman Bold"/>
      <w:b/>
      <w:caps/>
      <w:spacing w:val="-2"/>
    </w:rPr>
  </w:style>
  <w:style w:type="paragraph" w:customStyle="1" w:styleId="StyleBoldCentered">
    <w:name w:val="Style Bold Centered"/>
    <w:basedOn w:val="Normal"/>
    <w:pPr>
      <w:jc w:val="center"/>
    </w:pPr>
    <w:rPr>
      <w:rFonts w:ascii="Times New Roman Bold" w:hAnsi="Times New Roman Bold"/>
      <w:b/>
      <w:bCs/>
      <w:caps/>
      <w:szCs w:val="22"/>
    </w:rPr>
  </w:style>
  <w:style w:type="character" w:styleId="Hyperlink">
    <w:name w:val="Hyperlink"/>
    <w:rPr>
      <w:color w:val="0000FF"/>
      <w:u w:val="single"/>
    </w:rPr>
  </w:style>
  <w:style w:type="character" w:customStyle="1" w:styleId="FooterChar">
    <w:name w:val="Footer Char"/>
    <w:link w:val="Footer"/>
    <w:uiPriority w:val="99"/>
    <w:rPr>
      <w:snapToGrid w:val="0"/>
      <w:kern w:val="28"/>
      <w:sz w:val="22"/>
    </w:rPr>
  </w:style>
  <w:style w:type="character" w:styleId="UnresolvedMention">
    <w:name w:val="Unresolved Mention"/>
    <w:uiPriority w:val="99"/>
    <w:semiHidden/>
    <w:unhideWhenUsed/>
    <w:rPr>
      <w:color w:val="605E5C"/>
      <w:shd w:val="clear" w:color="auto" w:fill="E1DFDD"/>
    </w:rPr>
  </w:style>
  <w:style w:type="character" w:customStyle="1" w:styleId="FootnoteTextChar1">
    <w:name w:val="Footnote Text Char1"/>
    <w:aliases w:val="Footnote Text Char Char,Footnote Text Char Char Char1 Char Char Char Char,Footnote Text Char Char Char2 Char Char Char,Footnote Text Char1 Char1 Char Char Char Char,Footnote Text Char2 Char Char,Footnote Text Char3 Char Char Char"/>
    <w:link w:val="FootnoteText"/>
    <w:rsid w:val="00AD25AF"/>
  </w:style>
  <w:style w:type="paragraph" w:styleId="Revision">
    <w:name w:val="Revision"/>
    <w:hidden/>
    <w:uiPriority w:val="99"/>
    <w:semiHidden/>
    <w:rsid w:val="00C10451"/>
    <w:rPr>
      <w:snapToGrid w:val="0"/>
      <w:kern w:val="28"/>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Relationships xmlns="http://schemas.openxmlformats.org/package/2006/relationships"><Relationship Id="rId1" Type="http://schemas.microsoft.com/office/2006/relationships/attachedToolbars" Target="attachedToolbars.bin" /></Relationship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mailto:david.krech@fcc.gov" TargetMode="External" /><Relationship Id="rId11" Type="http://schemas.openxmlformats.org/officeDocument/2006/relationships/hyperlink" Target="mailto:Nadja.SodosWallace@fcc.gov" TargetMode="External" /><Relationship Id="rId12" Type="http://schemas.openxmlformats.org/officeDocument/2006/relationships/hyperlink" Target="mailto:jim.bird@fcc.gov"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header" Target="header2.xml" /><Relationship Id="rId17" Type="http://schemas.openxmlformats.org/officeDocument/2006/relationships/footer" Target="footer3.xml" /><Relationship Id="rId18" Type="http://schemas.microsoft.com/office/2006/relationships/keyMapCustomizations" Target="customizations.xml" /><Relationship Id="rId19" Type="http://schemas.openxmlformats.org/officeDocument/2006/relationships/theme" Target="theme/theme1.xml" /><Relationship Id="rId2" Type="http://schemas.openxmlformats.org/officeDocument/2006/relationships/endnotes" Target="endnote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www.fcc.gov/ecfs/" TargetMode="External" /><Relationship Id="rId7" Type="http://schemas.openxmlformats.org/officeDocument/2006/relationships/hyperlink" Target="mailto:fcc504@fcc.gov" TargetMode="External" /><Relationship Id="rId8" Type="http://schemas.openxmlformats.org/officeDocument/2006/relationships/hyperlink" Target="mailto:gregory.kwan@fcc.gov" TargetMode="External" /><Relationship Id="rId9" Type="http://schemas.openxmlformats.org/officeDocument/2006/relationships/hyperlink" Target="mailto:audra.hale-maddox@fcc.gov"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