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 Generated by Aspose.Words for Java 24.11.0 -->
  <w:body>
    <w:p w:rsidR="005A594F" w14:paraId="43B395EA" w14:textId="77777777">
      <w:pPr>
        <w:jc w:val="right"/>
        <w:rPr>
          <w:sz w:val="24"/>
        </w:rPr>
      </w:pPr>
    </w:p>
    <w:p w:rsidR="005A594F" w14:paraId="00F06E65" w14:textId="678548C3">
      <w:pPr>
        <w:jc w:val="right"/>
        <w:rPr>
          <w:b/>
          <w:sz w:val="24"/>
        </w:rPr>
      </w:pPr>
      <w:r>
        <w:rPr>
          <w:b/>
          <w:sz w:val="24"/>
        </w:rPr>
        <w:t xml:space="preserve">DA </w:t>
      </w:r>
      <w:r w:rsidR="00642922">
        <w:rPr>
          <w:b/>
          <w:sz w:val="24"/>
        </w:rPr>
        <w:t>2</w:t>
      </w:r>
      <w:r w:rsidR="001959E6">
        <w:rPr>
          <w:b/>
          <w:sz w:val="24"/>
        </w:rPr>
        <w:t>6</w:t>
      </w:r>
      <w:r>
        <w:rPr>
          <w:b/>
          <w:sz w:val="24"/>
        </w:rPr>
        <w:t>-</w:t>
      </w:r>
      <w:r w:rsidR="00245A35">
        <w:rPr>
          <w:b/>
          <w:sz w:val="24"/>
        </w:rPr>
        <w:t>500</w:t>
      </w:r>
    </w:p>
    <w:p w:rsidR="005A594F" w14:paraId="22C7CF3E" w14:textId="43F345F2">
      <w:pPr>
        <w:spacing w:before="60"/>
        <w:jc w:val="right"/>
        <w:rPr>
          <w:b/>
          <w:sz w:val="24"/>
        </w:rPr>
      </w:pPr>
      <w:r>
        <w:rPr>
          <w:b/>
          <w:sz w:val="24"/>
        </w:rPr>
        <w:t>Released</w:t>
      </w:r>
      <w:r>
        <w:rPr>
          <w:b/>
          <w:sz w:val="24"/>
        </w:rPr>
        <w:t xml:space="preserve">:  </w:t>
      </w:r>
      <w:r w:rsidR="003A7B5D">
        <w:rPr>
          <w:b/>
          <w:sz w:val="24"/>
        </w:rPr>
        <w:t>May</w:t>
      </w:r>
      <w:r w:rsidR="003A7B5D">
        <w:rPr>
          <w:b/>
          <w:sz w:val="24"/>
        </w:rPr>
        <w:t xml:space="preserve"> 19, 2026</w:t>
      </w:r>
    </w:p>
    <w:p w:rsidR="005A594F" w14:paraId="666639FD" w14:textId="77777777">
      <w:pPr>
        <w:jc w:val="right"/>
        <w:rPr>
          <w:sz w:val="24"/>
        </w:rPr>
      </w:pPr>
    </w:p>
    <w:p w:rsidR="000466E8" w:rsidP="000466E8" w14:paraId="3BFADA69" w14:textId="39E355E3">
      <w:pPr>
        <w:spacing w:after="240"/>
        <w:jc w:val="center"/>
        <w:rPr>
          <w:rFonts w:ascii="Times New Roman Bold" w:hAnsi="Times New Roman Bold"/>
          <w:b/>
          <w:caps/>
          <w:sz w:val="24"/>
        </w:rPr>
      </w:pPr>
      <w:r>
        <w:rPr>
          <w:rFonts w:ascii="Times New Roman Bold" w:hAnsi="Times New Roman Bold"/>
          <w:b/>
          <w:caps/>
          <w:sz w:val="24"/>
        </w:rPr>
        <w:t xml:space="preserve">Media bureau announces </w:t>
      </w:r>
      <w:r w:rsidR="00476B71">
        <w:rPr>
          <w:rFonts w:ascii="Times New Roman Bold" w:hAnsi="Times New Roman Bold"/>
          <w:b/>
          <w:caps/>
          <w:sz w:val="24"/>
        </w:rPr>
        <w:t xml:space="preserve">june 18, </w:t>
      </w:r>
      <w:r w:rsidR="00476B71">
        <w:rPr>
          <w:rFonts w:ascii="Times New Roman Bold" w:hAnsi="Times New Roman Bold"/>
          <w:b/>
          <w:caps/>
          <w:sz w:val="24"/>
        </w:rPr>
        <w:t>2026</w:t>
      </w:r>
      <w:r w:rsidR="00476B71">
        <w:rPr>
          <w:rFonts w:ascii="Times New Roman Bold" w:hAnsi="Times New Roman Bold"/>
          <w:b/>
          <w:caps/>
          <w:sz w:val="24"/>
        </w:rPr>
        <w:t xml:space="preserve"> effective date</w:t>
      </w:r>
      <w:r w:rsidR="00480EAE">
        <w:rPr>
          <w:rFonts w:ascii="Times New Roman Bold" w:hAnsi="Times New Roman Bold"/>
          <w:b/>
          <w:caps/>
          <w:sz w:val="24"/>
        </w:rPr>
        <w:br/>
        <w:t xml:space="preserve">for </w:t>
      </w:r>
      <w:r w:rsidRPr="000466E8">
        <w:rPr>
          <w:rFonts w:ascii="Times New Roman Bold" w:hAnsi="Times New Roman Bold"/>
          <w:b/>
          <w:caps/>
          <w:sz w:val="24"/>
        </w:rPr>
        <w:t>Amendment of Parts 1, 73, 74 and 76 of the Commission’s Rules to Update Rules Applicable to Broadcast Stations</w:t>
      </w:r>
    </w:p>
    <w:p w:rsidR="005A594F" w14:paraId="6FF8E4DD" w14:textId="55FDE9AF">
      <w:pPr>
        <w:spacing w:after="240"/>
        <w:jc w:val="center"/>
        <w:rPr>
          <w:b/>
          <w:sz w:val="24"/>
        </w:rPr>
      </w:pPr>
      <w:r>
        <w:rPr>
          <w:b/>
          <w:sz w:val="24"/>
        </w:rPr>
        <w:t>MB Docket No. 2</w:t>
      </w:r>
      <w:r w:rsidR="00BB2449">
        <w:rPr>
          <w:b/>
          <w:sz w:val="24"/>
        </w:rPr>
        <w:t>4-626</w:t>
      </w:r>
      <w:r w:rsidR="00256B6A">
        <w:rPr>
          <w:b/>
          <w:sz w:val="24"/>
        </w:rPr>
        <w:t>; GN Docket No. 25-133</w:t>
      </w:r>
    </w:p>
    <w:p w:rsidR="00480EAE" w:rsidRPr="00A6185D" w:rsidP="00480EAE" w14:paraId="2F679792" w14:textId="27054271">
      <w:pPr>
        <w:ind w:firstLine="720"/>
      </w:pPr>
      <w:bookmarkStart w:id="0" w:name="TOChere"/>
      <w:r>
        <w:t xml:space="preserve">On </w:t>
      </w:r>
      <w:r w:rsidR="00A3221F">
        <w:t>March 25, 2026</w:t>
      </w:r>
      <w:r>
        <w:t xml:space="preserve">, the Commission </w:t>
      </w:r>
      <w:r w:rsidR="00A3221F">
        <w:t>released a Report and Order</w:t>
      </w:r>
      <w:r w:rsidR="00964120">
        <w:t xml:space="preserve"> (</w:t>
      </w:r>
      <w:r w:rsidR="00964120">
        <w:rPr>
          <w:i/>
          <w:iCs/>
        </w:rPr>
        <w:t>Report and Order</w:t>
      </w:r>
      <w:r w:rsidR="00964120">
        <w:t>)</w:t>
      </w:r>
      <w:r>
        <w:t xml:space="preserve"> to update </w:t>
      </w:r>
      <w:r w:rsidRPr="00B4481D" w:rsidR="00B4481D">
        <w:t>Parts 1, 73, 74, and 76 of its rules for radio and television broadcast stations</w:t>
      </w:r>
      <w:r w:rsidR="00094C7B">
        <w:t>.</w:t>
      </w:r>
      <w:r>
        <w:rPr>
          <w:rStyle w:val="FootnoteReference"/>
        </w:rPr>
        <w:footnoteReference w:id="3"/>
      </w:r>
      <w:r>
        <w:t xml:space="preserve">  The </w:t>
      </w:r>
      <w:r w:rsidR="00A7084B">
        <w:rPr>
          <w:i/>
          <w:iCs/>
        </w:rPr>
        <w:t>Report and Order</w:t>
      </w:r>
      <w:r>
        <w:t xml:space="preserve"> </w:t>
      </w:r>
      <w:r w:rsidR="00A7084B">
        <w:t xml:space="preserve">adopts </w:t>
      </w:r>
      <w:r>
        <w:t xml:space="preserve">rule revisions </w:t>
      </w:r>
      <w:r w:rsidRPr="00B4481D" w:rsidR="00E56093">
        <w:t xml:space="preserve">to better reflect current application processing requirements, codify </w:t>
      </w:r>
      <w:r w:rsidR="00D17C22">
        <w:t xml:space="preserve">existing </w:t>
      </w:r>
      <w:r w:rsidRPr="00B4481D" w:rsidR="00E56093">
        <w:t>practices, and remove references to outdated procedures and legacy filing systems</w:t>
      </w:r>
      <w:r>
        <w:t>.</w:t>
      </w:r>
      <w:r w:rsidR="00A6185D">
        <w:t xml:space="preserve">  The </w:t>
      </w:r>
      <w:r w:rsidR="00A6185D">
        <w:rPr>
          <w:i/>
          <w:iCs/>
        </w:rPr>
        <w:t>Report and Order</w:t>
      </w:r>
      <w:r w:rsidR="00A6185D">
        <w:t xml:space="preserve"> also </w:t>
      </w:r>
      <w:r w:rsidR="003B284C">
        <w:t>deletes</w:t>
      </w:r>
      <w:r w:rsidR="003B284C">
        <w:t xml:space="preserve"> obsolete rule</w:t>
      </w:r>
      <w:r w:rsidR="00DE3E67">
        <w:t xml:space="preserve"> provision</w:t>
      </w:r>
      <w:r w:rsidR="00597876">
        <w:t>s</w:t>
      </w:r>
      <w:r w:rsidR="003B284C">
        <w:t xml:space="preserve"> and notice requirements.  </w:t>
      </w:r>
    </w:p>
    <w:p w:rsidR="00480EAE" w:rsidP="00480EAE" w14:paraId="342E8851" w14:textId="77777777">
      <w:pPr>
        <w:ind w:firstLine="720"/>
      </w:pPr>
      <w:r>
        <w:t xml:space="preserve"> </w:t>
      </w:r>
    </w:p>
    <w:p w:rsidR="00480EAE" w:rsidP="00480EAE" w14:paraId="783061D1" w14:textId="5D8D581C">
      <w:r>
        <w:tab/>
        <w:t xml:space="preserve">By this </w:t>
      </w:r>
      <w:r w:rsidRPr="00160F06">
        <w:rPr>
          <w:i/>
        </w:rPr>
        <w:t>Public Notice</w:t>
      </w:r>
      <w:r>
        <w:t xml:space="preserve">, the Media Bureau announces that the </w:t>
      </w:r>
      <w:r w:rsidR="00E24218">
        <w:rPr>
          <w:i/>
        </w:rPr>
        <w:t>Report and Order</w:t>
      </w:r>
      <w:r>
        <w:t xml:space="preserve"> was published in the Federal Register on </w:t>
      </w:r>
      <w:r w:rsidR="00E24218">
        <w:t>May 19</w:t>
      </w:r>
      <w:r w:rsidR="00542E42">
        <w:t>, 202</w:t>
      </w:r>
      <w:r w:rsidR="00E24218">
        <w:t>6</w:t>
      </w:r>
      <w:r w:rsidR="00DD4727">
        <w:t>,</w:t>
      </w:r>
      <w:r>
        <w:rPr>
          <w:rStyle w:val="FootnoteReference"/>
        </w:rPr>
        <w:footnoteReference w:id="4"/>
      </w:r>
      <w:r w:rsidR="00DD4727">
        <w:t xml:space="preserve"> and therefore </w:t>
      </w:r>
      <w:r w:rsidR="008C05F0">
        <w:t xml:space="preserve">the </w:t>
      </w:r>
      <w:r w:rsidR="008C05F0">
        <w:rPr>
          <w:i/>
          <w:iCs/>
        </w:rPr>
        <w:t>Report and Order</w:t>
      </w:r>
      <w:r w:rsidR="008C05F0">
        <w:t xml:space="preserve"> </w:t>
      </w:r>
      <w:r w:rsidR="008C05F0">
        <w:t>becomes</w:t>
      </w:r>
      <w:r w:rsidR="008C05F0">
        <w:t xml:space="preserve"> effective 30 days thereafter, on June 18, 2026.</w:t>
      </w:r>
      <w:r>
        <w:t xml:space="preserve">  The </w:t>
      </w:r>
      <w:r w:rsidR="00FC07D6">
        <w:rPr>
          <w:i/>
        </w:rPr>
        <w:t>Report and Order</w:t>
      </w:r>
      <w:r>
        <w:t xml:space="preserve"> is also available on the Commission’s website.</w:t>
      </w:r>
      <w:r>
        <w:rPr>
          <w:rStyle w:val="FootnoteReference"/>
        </w:rPr>
        <w:footnoteReference w:id="5"/>
      </w:r>
    </w:p>
    <w:p w:rsidR="00480EAE" w:rsidP="00480EAE" w14:paraId="73257952" w14:textId="77777777"/>
    <w:p w:rsidR="00480EAE" w:rsidRPr="00442B0D" w:rsidP="00442B0D" w14:paraId="7FAC3C4A" w14:textId="588D6E16">
      <w:pPr>
        <w:pStyle w:val="Paranum0"/>
        <w:numPr>
          <w:ilvl w:val="0"/>
          <w:numId w:val="0"/>
        </w:numPr>
        <w:ind w:firstLine="720"/>
        <w:jc w:val="left"/>
        <w:rPr>
          <w:szCs w:val="22"/>
        </w:rPr>
      </w:pPr>
      <w:r w:rsidRPr="00EB65AC">
        <w:rPr>
          <w:szCs w:val="22"/>
        </w:rPr>
        <w:t xml:space="preserve">For additional information on this proceeding, contact </w:t>
      </w:r>
      <w:r w:rsidR="00C30142">
        <w:rPr>
          <w:szCs w:val="22"/>
        </w:rPr>
        <w:t>Lisa Scanlan</w:t>
      </w:r>
      <w:r w:rsidRPr="00EB65AC">
        <w:rPr>
          <w:szCs w:val="22"/>
        </w:rPr>
        <w:t xml:space="preserve">, </w:t>
      </w:r>
      <w:hyperlink r:id="rId6" w:history="1">
        <w:r w:rsidRPr="008637E0" w:rsidR="00966BA6">
          <w:rPr>
            <w:rStyle w:val="Hyperlink"/>
          </w:rPr>
          <w:t>Lisa.Scanlan@fcc.gov</w:t>
        </w:r>
      </w:hyperlink>
      <w:r w:rsidRPr="00EB65AC">
        <w:rPr>
          <w:szCs w:val="22"/>
        </w:rPr>
        <w:t xml:space="preserve">, </w:t>
      </w:r>
      <w:r>
        <w:rPr>
          <w:szCs w:val="22"/>
        </w:rPr>
        <w:t xml:space="preserve">or </w:t>
      </w:r>
      <w:r w:rsidR="00442B0D">
        <w:rPr>
          <w:szCs w:val="22"/>
        </w:rPr>
        <w:t>Ariane Rangel</w:t>
      </w:r>
      <w:r>
        <w:rPr>
          <w:szCs w:val="22"/>
        </w:rPr>
        <w:t xml:space="preserve">, </w:t>
      </w:r>
      <w:hyperlink r:id="rId7" w:history="1">
        <w:r w:rsidRPr="00962F45" w:rsidR="00442B0D">
          <w:rPr>
            <w:rStyle w:val="Hyperlink"/>
            <w:szCs w:val="22"/>
          </w:rPr>
          <w:t>Ariane.Rangel@fcc.gov</w:t>
        </w:r>
      </w:hyperlink>
      <w:hyperlink r:id="rId8" w:history="1"/>
      <w:r>
        <w:rPr>
          <w:szCs w:val="22"/>
        </w:rPr>
        <w:t xml:space="preserve">, </w:t>
      </w:r>
      <w:r w:rsidRPr="00EB65AC">
        <w:rPr>
          <w:szCs w:val="22"/>
        </w:rPr>
        <w:t>of the Media Bureau, Audio Division, (202) 418-2700.</w:t>
      </w:r>
      <w:r>
        <w:rPr>
          <w:szCs w:val="22"/>
        </w:rPr>
        <w:t xml:space="preserve">  </w:t>
      </w:r>
      <w:r>
        <w:t xml:space="preserve">Press inquiries should be directed to </w:t>
      </w:r>
      <w:bookmarkStart w:id="1" w:name="SR;1105"/>
      <w:bookmarkEnd w:id="1"/>
      <w:r w:rsidRPr="00EF70BD" w:rsidR="00FD27F5">
        <w:rPr>
          <w:rStyle w:val="searchterm"/>
        </w:rPr>
        <w:t>Nancy Murphy</w:t>
      </w:r>
      <w:r w:rsidRPr="00EF70BD">
        <w:t>, (202) 418-</w:t>
      </w:r>
      <w:r w:rsidRPr="00EF70BD" w:rsidR="00FD27F5">
        <w:t>1043</w:t>
      </w:r>
      <w:r w:rsidRPr="00EF70BD">
        <w:t>.</w:t>
      </w:r>
      <w:r>
        <w:t xml:space="preserve"> </w:t>
      </w:r>
    </w:p>
    <w:p w:rsidR="00480EAE" w:rsidP="00480EAE" w14:paraId="0D91ECAE" w14:textId="45A1E299">
      <w:r>
        <w:t xml:space="preserve">By the </w:t>
      </w:r>
      <w:r w:rsidR="006234B0">
        <w:t xml:space="preserve">Acting </w:t>
      </w:r>
      <w:r>
        <w:t xml:space="preserve">Chief, Media Bureau </w:t>
      </w:r>
    </w:p>
    <w:p w:rsidR="00480EAE" w:rsidP="00480EAE" w14:paraId="32318430" w14:textId="77777777"/>
    <w:p w:rsidR="005A594F" w:rsidP="00480EAE" w14:paraId="15FD263C" w14:textId="30A8E906">
      <w:pPr>
        <w:jc w:val="center"/>
      </w:pPr>
      <w:r>
        <w:t>--FCC--</w:t>
      </w:r>
    </w:p>
    <w:bookmarkEnd w:id="0"/>
    <w:p w:rsidR="00480EAE" w14:paraId="24D4A7A4" w14:textId="77777777"/>
    <w:sectPr>
      <w:headerReference w:type="even" r:id="rId9"/>
      <w:headerReference w:type="default" r:id="rId10"/>
      <w:footerReference w:type="even" r:id="rId11"/>
      <w:footerReference w:type="default" r:id="rId12"/>
      <w:headerReference w:type="first" r:id="rId13"/>
      <w:footerReference w:type="first" r:id="rId14"/>
      <w:endnotePr>
        <w:numFmt w:val="decimal"/>
      </w:endnotePr>
      <w:pgSz w:w="12240" w:h="15840"/>
      <w:pgMar w:top="1440" w:right="1440" w:bottom="720" w:left="1440" w:header="630" w:footer="720" w:gutter="0"/>
      <w:pgNumType w:start="1"/>
      <w:cols w:space="720"/>
      <w:noEndnote/>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endnote w:type="separator" w:id="0">
    <w:p w:rsidR="00630E1A" w14:paraId="6BD34E44" w14:textId="77777777">
      <w:pPr>
        <w:spacing w:line="20" w:lineRule="exact"/>
      </w:pPr>
    </w:p>
  </w:endnote>
  <w:endnote w:type="continuationSeparator" w:id="1">
    <w:p w:rsidR="00630E1A" w14:paraId="3E76CCD3" w14:textId="77777777">
      <w:r>
        <w:t xml:space="preserve"> </w:t>
      </w:r>
    </w:p>
  </w:endnote>
  <w:endnote w:type="continuationNotice" w:id="2">
    <w:p w:rsidR="00630E1A" w14:paraId="04F43A3D" w14:textId="77777777">
      <w:r>
        <w:t xml:space="preserve"> </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Times New Roman Bold">
    <w:panose1 w:val="02020803070505020304"/>
    <w:charset w:val="00"/>
    <w:family w:val="roman"/>
    <w:notTrueType/>
    <w:pitch w:val="default"/>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5A594F" w14:paraId="24559CD1" w14:textId="77777777">
    <w:pPr>
      <w:pStyle w:val="Footer"/>
      <w:framePr w:wrap="around" w:vAnchor="text" w:hAnchor="margin" w:xAlign="center" w:y="1"/>
    </w:pPr>
    <w:r>
      <w:fldChar w:fldCharType="begin"/>
    </w:r>
    <w:r>
      <w:instrText xml:space="preserve">PAGE  </w:instrText>
    </w:r>
    <w:r>
      <w:fldChar w:fldCharType="separate"/>
    </w:r>
    <w:r>
      <w:fldChar w:fldCharType="end"/>
    </w:r>
  </w:p>
  <w:p w:rsidR="005A594F" w14:paraId="036DD260" w14:textId="7777777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5A594F" w14:paraId="6ACCE1A2" w14:textId="77777777">
    <w:pPr>
      <w:pStyle w:val="Footer"/>
      <w:jc w:val="center"/>
    </w:pPr>
    <w:r>
      <w:fldChar w:fldCharType="begin"/>
    </w:r>
    <w:r>
      <w:instrText xml:space="preserve"> PAGE   \* MERGEFORMAT </w:instrText>
    </w:r>
    <w:r>
      <w:fldChar w:fldCharType="separate"/>
    </w:r>
    <w:r>
      <w:rPr>
        <w:noProof/>
      </w:rPr>
      <w:t>2</w:t>
    </w:r>
    <w:r>
      <w:rPr>
        <w:noProof/>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5A594F" w14:paraId="6BDA4F6A" w14:textId="77777777">
    <w:pPr>
      <w:pStyle w:val="Footer"/>
      <w:tabs>
        <w:tab w:val="clear" w:pos="8640"/>
      </w:tabs>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footnote w:type="separator" w:id="0">
    <w:p w:rsidR="00630E1A" w14:paraId="307D95C8" w14:textId="77777777">
      <w:r>
        <w:separator/>
      </w:r>
    </w:p>
  </w:footnote>
  <w:footnote w:type="continuationSeparator" w:id="1">
    <w:p w:rsidR="00630E1A" w14:paraId="499D5EFF" w14:textId="77777777">
      <w:pPr>
        <w:rPr>
          <w:sz w:val="20"/>
        </w:rPr>
      </w:pPr>
      <w:r>
        <w:rPr>
          <w:sz w:val="20"/>
        </w:rPr>
        <w:t xml:space="preserve">(Continued from previous page)  </w:t>
      </w:r>
      <w:r>
        <w:rPr>
          <w:sz w:val="20"/>
        </w:rPr>
        <w:separator/>
      </w:r>
    </w:p>
  </w:footnote>
  <w:footnote w:type="continuationNotice" w:id="2">
    <w:p w:rsidR="00630E1A" w14:paraId="30C997EC" w14:textId="77777777">
      <w:pPr>
        <w:jc w:val="right"/>
        <w:rPr>
          <w:sz w:val="20"/>
        </w:rPr>
      </w:pPr>
      <w:r>
        <w:rPr>
          <w:sz w:val="20"/>
        </w:rPr>
        <w:t>(</w:t>
      </w:r>
      <w:r>
        <w:rPr>
          <w:sz w:val="20"/>
        </w:rPr>
        <w:t>continued</w:t>
      </w:r>
      <w:r>
        <w:rPr>
          <w:sz w:val="20"/>
        </w:rPr>
        <w:t>….)</w:t>
      </w:r>
    </w:p>
  </w:footnote>
  <w:footnote w:id="3">
    <w:p w:rsidR="00480EAE" w:rsidRPr="00160F06" w:rsidP="00480EAE" w14:paraId="5B005EE0" w14:textId="7B26370E">
      <w:pPr>
        <w:pStyle w:val="FootnoteText"/>
      </w:pPr>
      <w:r>
        <w:rPr>
          <w:rStyle w:val="FootnoteReference"/>
        </w:rPr>
        <w:footnoteRef/>
      </w:r>
      <w:r>
        <w:t xml:space="preserve"> </w:t>
      </w:r>
      <w:r w:rsidRPr="0054506F" w:rsidR="0054506F">
        <w:rPr>
          <w:i/>
          <w:iCs/>
          <w:spacing w:val="-2"/>
        </w:rPr>
        <w:t>Amendment of Parts 1, 73, 74 and 76 of the Commission’s Rules to Update Rules Applicable to Broadcast Stations</w:t>
      </w:r>
      <w:r>
        <w:rPr>
          <w:spacing w:val="-2"/>
        </w:rPr>
        <w:t xml:space="preserve">, </w:t>
      </w:r>
      <w:r w:rsidRPr="00160F06">
        <w:t xml:space="preserve">MB Docket No. </w:t>
      </w:r>
      <w:r w:rsidR="00963973">
        <w:t>2</w:t>
      </w:r>
      <w:r w:rsidR="0054506F">
        <w:t>4-</w:t>
      </w:r>
      <w:r w:rsidR="000B77F2">
        <w:t>626</w:t>
      </w:r>
      <w:r w:rsidR="00E866A0">
        <w:t>, GN Docket No. 25-133</w:t>
      </w:r>
      <w:r w:rsidRPr="00160F06">
        <w:t>,</w:t>
      </w:r>
      <w:r w:rsidR="00E866A0">
        <w:t xml:space="preserve"> Repo</w:t>
      </w:r>
      <w:r w:rsidR="006234B0">
        <w:t>r</w:t>
      </w:r>
      <w:r w:rsidR="00E866A0">
        <w:t>t and Order</w:t>
      </w:r>
      <w:r w:rsidRPr="00160F06">
        <w:t xml:space="preserve">, FCC </w:t>
      </w:r>
      <w:r>
        <w:t>2</w:t>
      </w:r>
      <w:r w:rsidR="00061886">
        <w:t>6</w:t>
      </w:r>
      <w:r w:rsidR="000B77F2">
        <w:t>-1</w:t>
      </w:r>
      <w:r w:rsidR="00061886">
        <w:t>4</w:t>
      </w:r>
      <w:r w:rsidRPr="00160F06">
        <w:t xml:space="preserve"> (</w:t>
      </w:r>
      <w:r w:rsidR="00220F1C">
        <w:t xml:space="preserve">rel. </w:t>
      </w:r>
      <w:r w:rsidR="00061886">
        <w:t>Mar</w:t>
      </w:r>
      <w:r w:rsidR="000B77F2">
        <w:t xml:space="preserve">. </w:t>
      </w:r>
      <w:r w:rsidR="00061886">
        <w:t>25</w:t>
      </w:r>
      <w:r w:rsidR="006D0CCE">
        <w:t>, 202</w:t>
      </w:r>
      <w:r w:rsidR="00061886">
        <w:t>6</w:t>
      </w:r>
      <w:r w:rsidRPr="00160F06">
        <w:t>) (</w:t>
      </w:r>
      <w:r w:rsidR="00061886">
        <w:rPr>
          <w:i/>
        </w:rPr>
        <w:t>Report and Order</w:t>
      </w:r>
      <w:r w:rsidRPr="00160F06">
        <w:t>).</w:t>
      </w:r>
    </w:p>
  </w:footnote>
  <w:footnote w:id="4">
    <w:p w:rsidR="00480EAE" w:rsidRPr="00160F06" w:rsidP="00480EAE" w14:paraId="38E5A3C4" w14:textId="61EABC63">
      <w:pPr>
        <w:pStyle w:val="FootnoteText"/>
      </w:pPr>
      <w:r>
        <w:rPr>
          <w:rStyle w:val="FootnoteReference"/>
        </w:rPr>
        <w:footnoteRef/>
      </w:r>
      <w:r>
        <w:t xml:space="preserve"> </w:t>
      </w:r>
      <w:r w:rsidRPr="0054506F" w:rsidR="00E94746">
        <w:rPr>
          <w:i/>
          <w:iCs/>
          <w:spacing w:val="-2"/>
        </w:rPr>
        <w:t>Amendment of Parts 1, 73, 74 and 76 of the Commission’s Rules to Update Rules Applicable to Broadcast Stations</w:t>
      </w:r>
      <w:r w:rsidRPr="00160F06">
        <w:t xml:space="preserve">, </w:t>
      </w:r>
      <w:r w:rsidRPr="0057265D" w:rsidR="0057265D">
        <w:t>91</w:t>
      </w:r>
      <w:r w:rsidRPr="00160F06">
        <w:t xml:space="preserve"> Fed. Reg. </w:t>
      </w:r>
      <w:r w:rsidRPr="0057265D" w:rsidR="0057265D">
        <w:t>29037</w:t>
      </w:r>
      <w:r>
        <w:t xml:space="preserve"> </w:t>
      </w:r>
      <w:r w:rsidRPr="00160F06">
        <w:t>(</w:t>
      </w:r>
      <w:r w:rsidR="00832168">
        <w:t>May</w:t>
      </w:r>
      <w:r w:rsidR="00C84421">
        <w:t xml:space="preserve"> </w:t>
      </w:r>
      <w:r w:rsidR="00832168">
        <w:t>19</w:t>
      </w:r>
      <w:r w:rsidR="00C84421">
        <w:t>, 202</w:t>
      </w:r>
      <w:r w:rsidR="00832168">
        <w:t>6</w:t>
      </w:r>
      <w:r w:rsidRPr="00160F06">
        <w:t>).</w:t>
      </w:r>
    </w:p>
  </w:footnote>
  <w:footnote w:id="5">
    <w:p w:rsidR="00480EAE" w:rsidP="00480EAE" w14:paraId="0FE6CE87" w14:textId="7B4A8080">
      <w:pPr>
        <w:pStyle w:val="FootnoteText"/>
      </w:pPr>
      <w:r>
        <w:rPr>
          <w:rStyle w:val="FootnoteReference"/>
        </w:rPr>
        <w:footnoteRef/>
      </w:r>
      <w:r>
        <w:t xml:space="preserve"> </w:t>
      </w:r>
      <w:r>
        <w:rPr>
          <w:i/>
        </w:rPr>
        <w:t>See</w:t>
      </w:r>
      <w:r>
        <w:t xml:space="preserve"> </w:t>
      </w:r>
      <w:r w:rsidRPr="00FC07D6" w:rsidR="00FC07D6">
        <w:t>https://docs.fcc.gov/public/attachments/FCC-26-14A1.pdf</w:t>
      </w:r>
      <w:r>
        <w:t>.</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5A594F" w14:paraId="761D1E71" w14:textId="77777777">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5A594F" w14:paraId="02A7050E" w14:textId="77777777">
    <w:pPr>
      <w:tabs>
        <w:tab w:val="center" w:pos="4680"/>
        <w:tab w:val="right" w:pos="9360"/>
      </w:tabs>
    </w:pPr>
    <w:r>
      <w:rPr>
        <w:b/>
      </w:rPr>
      <w:tab/>
      <w:t>Federal Communications Commission</w:t>
    </w:r>
    <w:r>
      <w:rPr>
        <w:b/>
      </w:rPr>
      <w:tab/>
    </w:r>
    <w:r>
      <w:rPr>
        <w:b/>
      </w:rPr>
      <w:fldChar w:fldCharType="begin"/>
    </w:r>
    <w:r>
      <w:rPr>
        <w:b/>
      </w:rPr>
      <w:instrText xml:space="preserve"> MACROBUTTON  AcceptAllChangesShown "FCC/DA  XX-XXX" </w:instrText>
    </w:r>
    <w:r>
      <w:rPr>
        <w:b/>
      </w:rPr>
      <w:fldChar w:fldCharType="end"/>
    </w:r>
  </w:p>
  <w:p w:rsidR="005A594F" w14:paraId="5C79AB46" w14:textId="39884C47">
    <w:pPr>
      <w:tabs>
        <w:tab w:val="left" w:pos="-720"/>
      </w:tabs>
      <w:suppressAutoHyphens/>
      <w:spacing w:line="19" w:lineRule="exact"/>
      <w:rPr>
        <w:spacing w:val="-2"/>
      </w:rPr>
    </w:pPr>
    <w:r>
      <w:rPr>
        <w:noProof/>
      </w:rPr>
      <mc:AlternateContent>
        <mc:Choice Requires="wps">
          <w:drawing>
            <wp:anchor distT="0" distB="0" distL="114300" distR="114300" simplePos="0" relativeHeight="251658240" behindDoc="1" locked="0" layoutInCell="0" allowOverlap="1">
              <wp:simplePos x="0" y="0"/>
              <wp:positionH relativeFrom="margin">
                <wp:posOffset>0</wp:posOffset>
              </wp:positionH>
              <wp:positionV relativeFrom="paragraph">
                <wp:posOffset>0</wp:posOffset>
              </wp:positionV>
              <wp:extent cx="5943600" cy="12065"/>
              <wp:effectExtent l="0" t="0" r="0" b="0"/>
              <wp:wrapNone/>
              <wp:docPr id="15" name="Rectangle 1"/>
              <wp:cNvGraphicFramePr/>
              <a:graphic xmlns:a="http://schemas.openxmlformats.org/drawingml/2006/main">
                <a:graphicData uri="http://schemas.microsoft.com/office/word/2010/wordprocessingShape">
                  <wps:wsp xmlns:wps="http://schemas.microsoft.com/office/word/2010/wordprocessingShape">
                    <wps:cNvSpPr>
                      <a:spLocks noChangeArrowheads="1"/>
                    </wps:cNvSpPr>
                    <wps:spPr bwMode="auto">
                      <a:xfrm>
                        <a:off x="0" y="0"/>
                        <a:ext cx="5943600" cy="12065"/>
                      </a:xfrm>
                      <a:prstGeom prst="rect">
                        <a:avLst/>
                      </a:prstGeom>
                      <a:solidFill>
                        <a:srgbClr val="000000"/>
                      </a:solidFill>
                      <a:ln>
                        <a:noFill/>
                      </a:ln>
                      <a:effectLst/>
                      <a:extLst>
                        <a:ext xmlns:a="http://schemas.openxmlformats.org/drawingml/2006/main" uri="{91240B29-F687-4F45-9708-019B960494DF}">
                          <a14:hiddenLine xmlns:a14="http://schemas.microsoft.com/office/drawing/2010/main" w="635">
                            <a:solidFill>
                              <a:srgbClr val="000000"/>
                            </a:solidFill>
                            <a:miter lim="800000"/>
                            <a:headEnd/>
                            <a:tailEnd/>
                          </a14:hiddenLine>
                        </a:ext>
                        <a:ext xmlns:a="http://schemas.openxmlformats.org/drawingml/2006/main" uri="{AF507438-7753-43E0-B8FC-AC1667EBCBE1}">
                          <a14:hiddenEffects xmlns:a14="http://schemas.microsoft.com/office/drawing/2010/main">
                            <a:effectLst>
                              <a:outerShdw algn="ctr" dir="2700000" dist="35921" rotWithShape="0">
                                <a:srgbClr val="808080"/>
                              </a:outerShdw>
                            </a:effectLst>
                          </a14:hiddenEffects>
                        </a:ext>
                      </a:extLst>
                    </wps:spPr>
                    <wps:bodyPr rot="0" vert="horz" wrap="square" lIns="91440" tIns="45720" rIns="91440" bIns="45720" anchor="t" anchorCtr="0" upright="1"/>
                  </wps:wsp>
                </a:graphicData>
              </a:graphic>
              <wp14:sizeRelH relativeFrom="page">
                <wp14:pctWidth>0</wp14:pctWidth>
              </wp14:sizeRelH>
              <wp14:sizeRelV relativeFrom="page">
                <wp14:pctHeight>0</wp14:pctHeight>
              </wp14:sizeRelV>
            </wp:anchor>
          </w:drawing>
        </mc:Choice>
        <mc:Fallback>
          <w:pict>
            <v:rect id="Rectangle 1" o:spid="_x0000_s2049" style="width:468pt;height:0.95pt;margin-top:0;margin-left:0;mso-height-percent:0;mso-height-relative:page;mso-position-horizontal-relative:margin;mso-width-percent:0;mso-width-relative:page;mso-wrap-distance-bottom:0;mso-wrap-distance-left:9pt;mso-wrap-distance-right:9pt;mso-wrap-distance-top:0;mso-wrap-style:square;position:absolute;visibility:visible;v-text-anchor:top;z-index:-251657216" o:allowincell="f" fillcolor="black" stroked="f" strokeweight="0.05pt">
              <w10:wrap anchorx="margin"/>
            </v:rect>
          </w:pict>
        </mc:Fallback>
      </mc:AlternateContent>
    </w:r>
  </w:p>
  <w:p w:rsidR="005A594F" w14:paraId="42AC7752" w14:textId="77777777">
    <w:pPr>
      <w:spacing w:before="40"/>
      <w:rPr>
        <w:rFonts w:ascii="Arial" w:hAnsi="Arial" w:cs="Arial"/>
        <w:b/>
        <w:sz w:val="20"/>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5A594F" w14:paraId="7C14BF24" w14:textId="308F80AE">
    <w:pPr>
      <w:pStyle w:val="Header"/>
    </w:pPr>
    <w:r>
      <w:rPr>
        <w:noProof/>
        <w:snapToGrid/>
      </w:rPr>
      <w:drawing>
        <wp:inline distT="0" distB="0" distL="0" distR="0">
          <wp:extent cx="5943600" cy="142875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pic:cNvPicPr>
                    <a:picLocks noChangeAspect="1" noChangeArrowheads="1"/>
                  </pic:cNvPicPr>
                </pic:nvPicPr>
                <pic:blipFill>
                  <a:blip xmlns:r="http://schemas.openxmlformats.org/officeDocument/2006/relationships" r:embed="rId1">
                    <a:extLst>
                      <a:ext xmlns:a="http://schemas.openxmlformats.org/drawingml/2006/main" uri="{28A0092B-C50C-407E-A947-70E740481C1C}">
                        <a14:useLocalDpi xmlns:a14="http://schemas.microsoft.com/office/drawing/2010/main" val="0"/>
                      </a:ext>
                    </a:extLst>
                  </a:blip>
                  <a:stretch>
                    <a:fillRect/>
                  </a:stretch>
                </pic:blipFill>
                <pic:spPr bwMode="auto">
                  <a:xfrm>
                    <a:off x="0" y="0"/>
                    <a:ext cx="5943600" cy="1428750"/>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abstractNum w:abstractNumId="0">
    <w:nsid w:val="084B453C"/>
    <w:multiLevelType w:val="singleLevel"/>
    <w:tmpl w:val="40A8E97A"/>
    <w:lvl w:ilvl="0">
      <w:start w:val="1"/>
      <w:numFmt w:val="decimal"/>
      <w:lvlText w:val="%1."/>
      <w:lvlJc w:val="left"/>
      <w:pPr>
        <w:tabs>
          <w:tab w:val="num" w:pos="1080"/>
        </w:tabs>
        <w:ind w:left="0" w:firstLine="720"/>
      </w:pPr>
    </w:lvl>
  </w:abstractNum>
  <w:abstractNum w:abstractNumId="1">
    <w:nsid w:val="23F40A0F"/>
    <w:multiLevelType w:val="singleLevel"/>
    <w:tmpl w:val="3244DD0A"/>
    <w:lvl w:ilvl="0">
      <w:start w:val="1"/>
      <w:numFmt w:val="bullet"/>
      <w:pStyle w:val="Bullet"/>
      <w:lvlText w:val=""/>
      <w:lvlJc w:val="left"/>
      <w:pPr>
        <w:tabs>
          <w:tab w:val="num" w:pos="360"/>
        </w:tabs>
        <w:ind w:left="360" w:hanging="360"/>
      </w:pPr>
      <w:rPr>
        <w:rFonts w:ascii="Symbol" w:hAnsi="Symbol" w:hint="default"/>
      </w:rPr>
    </w:lvl>
  </w:abstractNum>
  <w:abstractNum w:abstractNumId="2">
    <w:nsid w:val="248246F3"/>
    <w:multiLevelType w:val="singleLevel"/>
    <w:tmpl w:val="B1F45678"/>
    <w:lvl w:ilvl="0">
      <w:start w:val="1"/>
      <w:numFmt w:val="decimal"/>
      <w:lvlText w:val="%1."/>
      <w:lvlJc w:val="left"/>
      <w:pPr>
        <w:tabs>
          <w:tab w:val="num" w:pos="1080"/>
        </w:tabs>
        <w:ind w:left="0" w:firstLine="720"/>
      </w:pPr>
    </w:lvl>
  </w:abstractNum>
  <w:abstractNum w:abstractNumId="3">
    <w:nsid w:val="27E06CBB"/>
    <w:multiLevelType w:val="multilevel"/>
    <w:tmpl w:val="F1A86982"/>
    <w:lvl w:ilvl="0">
      <w:start w:val="1"/>
      <w:numFmt w:val="upperRoman"/>
      <w:pStyle w:val="Heading1"/>
      <w:lvlText w:val="%1."/>
      <w:lvlJc w:val="left"/>
      <w:pPr>
        <w:tabs>
          <w:tab w:val="num" w:pos="720"/>
        </w:tabs>
        <w:ind w:left="720" w:hanging="720"/>
      </w:pPr>
    </w:lvl>
    <w:lvl w:ilvl="1">
      <w:start w:val="1"/>
      <w:numFmt w:val="upperLetter"/>
      <w:pStyle w:val="Heading2"/>
      <w:lvlText w:val="%2."/>
      <w:lvlJc w:val="left"/>
      <w:pPr>
        <w:tabs>
          <w:tab w:val="num" w:pos="1440"/>
        </w:tabs>
        <w:ind w:left="1440" w:hanging="720"/>
      </w:pPr>
    </w:lvl>
    <w:lvl w:ilvl="2">
      <w:start w:val="1"/>
      <w:numFmt w:val="decimal"/>
      <w:pStyle w:val="Heading3"/>
      <w:lvlText w:val="%3."/>
      <w:lvlJc w:val="left"/>
      <w:pPr>
        <w:tabs>
          <w:tab w:val="num" w:pos="2160"/>
        </w:tabs>
        <w:ind w:left="2160" w:hanging="720"/>
      </w:pPr>
    </w:lvl>
    <w:lvl w:ilvl="3">
      <w:start w:val="1"/>
      <w:numFmt w:val="lowerLetter"/>
      <w:pStyle w:val="Heading4"/>
      <w:lvlText w:val="%4."/>
      <w:lvlJc w:val="left"/>
      <w:pPr>
        <w:tabs>
          <w:tab w:val="num" w:pos="2880"/>
        </w:tabs>
        <w:ind w:left="2880" w:hanging="720"/>
      </w:pPr>
    </w:lvl>
    <w:lvl w:ilvl="4">
      <w:start w:val="1"/>
      <w:numFmt w:val="lowerRoman"/>
      <w:pStyle w:val="Heading5"/>
      <w:lvlText w:val="(%5)"/>
      <w:lvlJc w:val="left"/>
      <w:pPr>
        <w:tabs>
          <w:tab w:val="num" w:pos="3600"/>
        </w:tabs>
        <w:ind w:left="3600" w:hanging="720"/>
      </w:pPr>
    </w:lvl>
    <w:lvl w:ilvl="5">
      <w:start w:val="1"/>
      <w:numFmt w:val="lowerLetter"/>
      <w:pStyle w:val="Heading6"/>
      <w:lvlText w:val="(%6)"/>
      <w:lvlJc w:val="left"/>
      <w:pPr>
        <w:tabs>
          <w:tab w:val="num" w:pos="4320"/>
        </w:tabs>
        <w:ind w:left="4320" w:hanging="720"/>
      </w:pPr>
    </w:lvl>
    <w:lvl w:ilvl="6">
      <w:start w:val="1"/>
      <w:numFmt w:val="lowerRoman"/>
      <w:pStyle w:val="Heading7"/>
      <w:lvlText w:val="(%7)"/>
      <w:lvlJc w:val="left"/>
      <w:pPr>
        <w:tabs>
          <w:tab w:val="num" w:pos="5040"/>
        </w:tabs>
        <w:ind w:left="4320" w:firstLine="0"/>
      </w:pPr>
    </w:lvl>
    <w:lvl w:ilvl="7">
      <w:start w:val="1"/>
      <w:numFmt w:val="lowerLetter"/>
      <w:pStyle w:val="Heading8"/>
      <w:lvlText w:val="(%8)"/>
      <w:lvlJc w:val="left"/>
      <w:pPr>
        <w:tabs>
          <w:tab w:val="num" w:pos="5400"/>
        </w:tabs>
        <w:ind w:left="5040" w:firstLine="0"/>
      </w:pPr>
    </w:lvl>
    <w:lvl w:ilvl="8">
      <w:start w:val="1"/>
      <w:numFmt w:val="lowerRoman"/>
      <w:pStyle w:val="Heading9"/>
      <w:lvlText w:val="(%9)"/>
      <w:lvlJc w:val="left"/>
      <w:pPr>
        <w:tabs>
          <w:tab w:val="num" w:pos="6120"/>
        </w:tabs>
        <w:ind w:left="5760" w:firstLine="0"/>
      </w:pPr>
    </w:lvl>
  </w:abstractNum>
  <w:abstractNum w:abstractNumId="4">
    <w:nsid w:val="3D0F1B3D"/>
    <w:multiLevelType w:val="singleLevel"/>
    <w:tmpl w:val="0902D07C"/>
    <w:lvl w:ilvl="0">
      <w:start w:val="1"/>
      <w:numFmt w:val="decimal"/>
      <w:pStyle w:val="Paranum0"/>
      <w:lvlText w:val="%1."/>
      <w:lvlJc w:val="left"/>
      <w:pPr>
        <w:tabs>
          <w:tab w:val="num" w:pos="1080"/>
        </w:tabs>
        <w:ind w:left="0" w:firstLine="720"/>
      </w:pPr>
      <w:rPr>
        <w:rFonts w:ascii="Times New Roman" w:hAnsi="Times New Roman" w:hint="default"/>
        <w:b w:val="0"/>
        <w:i w:val="0"/>
        <w:caps w:val="0"/>
        <w:strike w:val="0"/>
        <w:dstrike w:val="0"/>
        <w:vanish w:val="0"/>
        <w:sz w:val="22"/>
        <w:u w:val="none"/>
        <w:vertAlign w:val="baseline"/>
      </w:rPr>
    </w:lvl>
  </w:abstractNum>
  <w:abstractNum w:abstractNumId="5">
    <w:nsid w:val="4DF61CE4"/>
    <w:multiLevelType w:val="multilevel"/>
    <w:tmpl w:val="F1A86982"/>
    <w:lvl w:ilvl="0">
      <w:start w:val="1"/>
      <w:numFmt w:val="upperRoman"/>
      <w:lvlText w:val="%1."/>
      <w:lvlJc w:val="left"/>
      <w:pPr>
        <w:tabs>
          <w:tab w:val="num" w:pos="720"/>
        </w:tabs>
        <w:ind w:left="720" w:hanging="720"/>
      </w:pPr>
    </w:lvl>
    <w:lvl w:ilvl="1">
      <w:start w:val="1"/>
      <w:numFmt w:val="upperLetter"/>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lowerLetter"/>
      <w:lvlText w:val="%4."/>
      <w:lvlJc w:val="left"/>
      <w:pPr>
        <w:tabs>
          <w:tab w:val="num" w:pos="2880"/>
        </w:tabs>
        <w:ind w:left="2880" w:hanging="720"/>
      </w:pPr>
    </w:lvl>
    <w:lvl w:ilvl="4">
      <w:start w:val="1"/>
      <w:numFmt w:val="lowerRoman"/>
      <w:lvlText w:val="(%5)"/>
      <w:lvlJc w:val="left"/>
      <w:pPr>
        <w:tabs>
          <w:tab w:val="num" w:pos="3600"/>
        </w:tabs>
        <w:ind w:left="3600" w:hanging="720"/>
      </w:pPr>
    </w:lvl>
    <w:lvl w:ilvl="5">
      <w:start w:val="1"/>
      <w:numFmt w:val="lowerLetter"/>
      <w:lvlText w:val="(%6)"/>
      <w:lvlJc w:val="left"/>
      <w:pPr>
        <w:tabs>
          <w:tab w:val="num" w:pos="4320"/>
        </w:tabs>
        <w:ind w:left="4320" w:hanging="720"/>
      </w:pPr>
    </w:lvl>
    <w:lvl w:ilvl="6">
      <w:start w:val="1"/>
      <w:numFmt w:val="lowerRoman"/>
      <w:lvlText w:val="(%7)"/>
      <w:lvlJc w:val="left"/>
      <w:pPr>
        <w:tabs>
          <w:tab w:val="num" w:pos="5040"/>
        </w:tabs>
        <w:ind w:left="4320" w:firstLine="0"/>
      </w:pPr>
    </w:lvl>
    <w:lvl w:ilvl="7">
      <w:start w:val="1"/>
      <w:numFmt w:val="lowerLetter"/>
      <w:lvlText w:val="(%8)"/>
      <w:lvlJc w:val="left"/>
      <w:pPr>
        <w:tabs>
          <w:tab w:val="num" w:pos="5400"/>
        </w:tabs>
        <w:ind w:left="5040" w:firstLine="0"/>
      </w:pPr>
    </w:lvl>
    <w:lvl w:ilvl="8">
      <w:start w:val="1"/>
      <w:numFmt w:val="lowerRoman"/>
      <w:lvlText w:val="(%9)"/>
      <w:lvlJc w:val="left"/>
      <w:pPr>
        <w:tabs>
          <w:tab w:val="num" w:pos="6120"/>
        </w:tabs>
        <w:ind w:left="5760" w:firstLine="0"/>
      </w:pPr>
    </w:lvl>
  </w:abstractNum>
  <w:abstractNum w:abstractNumId="6">
    <w:nsid w:val="61182925"/>
    <w:multiLevelType w:val="singleLevel"/>
    <w:tmpl w:val="D180CED0"/>
    <w:lvl w:ilvl="0">
      <w:start w:val="1"/>
      <w:numFmt w:val="decimal"/>
      <w:pStyle w:val="ParaNum"/>
      <w:lvlText w:val="%1."/>
      <w:lvlJc w:val="left"/>
      <w:pPr>
        <w:tabs>
          <w:tab w:val="num" w:pos="1080"/>
        </w:tabs>
        <w:ind w:left="0" w:firstLine="720"/>
      </w:pPr>
    </w:lvl>
  </w:abstractNum>
  <w:num w:numId="1" w16cid:durableId="439179519">
    <w:abstractNumId w:val="1"/>
  </w:num>
  <w:num w:numId="2" w16cid:durableId="1776436898">
    <w:abstractNumId w:val="6"/>
  </w:num>
  <w:num w:numId="3" w16cid:durableId="1835873340">
    <w:abstractNumId w:val="3"/>
  </w:num>
  <w:num w:numId="4" w16cid:durableId="1940525321">
    <w:abstractNumId w:val="5"/>
  </w:num>
  <w:num w:numId="5" w16cid:durableId="1985622380">
    <w:abstractNumId w:val="2"/>
  </w:num>
  <w:num w:numId="6" w16cid:durableId="1586962382">
    <w:abstractNumId w:val="0"/>
  </w:num>
  <w:num w:numId="7" w16cid:durableId="328751233">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bordersDoNotSurroundHeader/>
  <w:bordersDoNotSurroundFooter/>
  <w:proofState w:spelling="clean" w:grammar="clean"/>
  <w:stylePaneFormatFilter w:val="3F01" w:allStyles="1" w:alternateStyleNames="0" w:clearFormatting="1" w:customStyles="0" w:directFormattingOnNumbering="1" w:directFormattingOnParagraphs="1" w:directFormattingOnRuns="1" w:directFormattingOnTables="1" w:headingStyles="0" w:latentStyles="0" w:numberingStyles="0" w:stylesInUse="0" w:tableStyles="0" w:top3HeadingStyles="1" w:visibleStyles="0"/>
  <w:defaultTabStop w:val="720"/>
  <w:hyphenationZone w:val="950"/>
  <w:doNotHyphenateCaps/>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footnotePr>
    <w:footnote w:id="0"/>
    <w:footnote w:id="1"/>
    <w:footnote w:id="2"/>
  </w:footnotePr>
  <w:endnotePr>
    <w:numFmt w:val="decimal"/>
    <w:endnote w:id="0"/>
    <w:endnote w:id="1"/>
    <w:endnote w:id="2"/>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80EAE"/>
    <w:rsid w:val="00023ACB"/>
    <w:rsid w:val="0003731D"/>
    <w:rsid w:val="000466E8"/>
    <w:rsid w:val="00060F17"/>
    <w:rsid w:val="00061886"/>
    <w:rsid w:val="00070D98"/>
    <w:rsid w:val="00094C7B"/>
    <w:rsid w:val="000B0BF1"/>
    <w:rsid w:val="000B77F2"/>
    <w:rsid w:val="00160F06"/>
    <w:rsid w:val="0016151D"/>
    <w:rsid w:val="00180C08"/>
    <w:rsid w:val="001959E6"/>
    <w:rsid w:val="00195F82"/>
    <w:rsid w:val="001E4FD1"/>
    <w:rsid w:val="00220F1C"/>
    <w:rsid w:val="00227CAE"/>
    <w:rsid w:val="00245A35"/>
    <w:rsid w:val="00256B6A"/>
    <w:rsid w:val="00265917"/>
    <w:rsid w:val="00286C2C"/>
    <w:rsid w:val="002970C1"/>
    <w:rsid w:val="00346607"/>
    <w:rsid w:val="00395550"/>
    <w:rsid w:val="003A7B5D"/>
    <w:rsid w:val="003A7FE5"/>
    <w:rsid w:val="003B284C"/>
    <w:rsid w:val="003D3498"/>
    <w:rsid w:val="003F6408"/>
    <w:rsid w:val="00415387"/>
    <w:rsid w:val="004275F9"/>
    <w:rsid w:val="00442B0D"/>
    <w:rsid w:val="00476B71"/>
    <w:rsid w:val="00480EAE"/>
    <w:rsid w:val="0048362B"/>
    <w:rsid w:val="004D2FF9"/>
    <w:rsid w:val="004D7547"/>
    <w:rsid w:val="00502D2D"/>
    <w:rsid w:val="00530924"/>
    <w:rsid w:val="00542E42"/>
    <w:rsid w:val="0054506F"/>
    <w:rsid w:val="00546B5C"/>
    <w:rsid w:val="00552317"/>
    <w:rsid w:val="0057265D"/>
    <w:rsid w:val="00597876"/>
    <w:rsid w:val="005A594F"/>
    <w:rsid w:val="005C0CA7"/>
    <w:rsid w:val="005D6418"/>
    <w:rsid w:val="005E7B79"/>
    <w:rsid w:val="00612B0A"/>
    <w:rsid w:val="006234B0"/>
    <w:rsid w:val="00624647"/>
    <w:rsid w:val="00630E1A"/>
    <w:rsid w:val="00642922"/>
    <w:rsid w:val="006900CF"/>
    <w:rsid w:val="006D0CCE"/>
    <w:rsid w:val="0073499E"/>
    <w:rsid w:val="0075350A"/>
    <w:rsid w:val="00766C8E"/>
    <w:rsid w:val="00767271"/>
    <w:rsid w:val="007B2FA6"/>
    <w:rsid w:val="007C1F30"/>
    <w:rsid w:val="00831A43"/>
    <w:rsid w:val="00832168"/>
    <w:rsid w:val="008637E0"/>
    <w:rsid w:val="00891322"/>
    <w:rsid w:val="008C05F0"/>
    <w:rsid w:val="008E58EA"/>
    <w:rsid w:val="00933ECC"/>
    <w:rsid w:val="00960940"/>
    <w:rsid w:val="00962F45"/>
    <w:rsid w:val="00963973"/>
    <w:rsid w:val="00964120"/>
    <w:rsid w:val="00966BA6"/>
    <w:rsid w:val="009A7397"/>
    <w:rsid w:val="009C7271"/>
    <w:rsid w:val="00A3221F"/>
    <w:rsid w:val="00A6185D"/>
    <w:rsid w:val="00A7084B"/>
    <w:rsid w:val="00A924ED"/>
    <w:rsid w:val="00AC46B6"/>
    <w:rsid w:val="00AF02D3"/>
    <w:rsid w:val="00AF2BC8"/>
    <w:rsid w:val="00B06BAB"/>
    <w:rsid w:val="00B15E0F"/>
    <w:rsid w:val="00B4481D"/>
    <w:rsid w:val="00B71355"/>
    <w:rsid w:val="00B7414D"/>
    <w:rsid w:val="00BA292B"/>
    <w:rsid w:val="00BB2449"/>
    <w:rsid w:val="00BF3DE1"/>
    <w:rsid w:val="00C26D3C"/>
    <w:rsid w:val="00C30142"/>
    <w:rsid w:val="00C34466"/>
    <w:rsid w:val="00C4306F"/>
    <w:rsid w:val="00C618F2"/>
    <w:rsid w:val="00C84421"/>
    <w:rsid w:val="00CF6015"/>
    <w:rsid w:val="00D00B23"/>
    <w:rsid w:val="00D17C22"/>
    <w:rsid w:val="00D50C26"/>
    <w:rsid w:val="00D84BA1"/>
    <w:rsid w:val="00DB2B3C"/>
    <w:rsid w:val="00DB558A"/>
    <w:rsid w:val="00DD4727"/>
    <w:rsid w:val="00DE3E67"/>
    <w:rsid w:val="00E02D18"/>
    <w:rsid w:val="00E11107"/>
    <w:rsid w:val="00E24218"/>
    <w:rsid w:val="00E56093"/>
    <w:rsid w:val="00E8474A"/>
    <w:rsid w:val="00E866A0"/>
    <w:rsid w:val="00E94746"/>
    <w:rsid w:val="00EB65AC"/>
    <w:rsid w:val="00EF1448"/>
    <w:rsid w:val="00EF70BD"/>
    <w:rsid w:val="00F108DB"/>
    <w:rsid w:val="00F12169"/>
    <w:rsid w:val="00F14057"/>
    <w:rsid w:val="00F15F9F"/>
    <w:rsid w:val="00F30F9E"/>
    <w:rsid w:val="00F72D2A"/>
    <w:rsid w:val="00FC07D6"/>
    <w:rsid w:val="00FD27F5"/>
    <w:rsid w:val="00FF0E1C"/>
  </w:rsids>
  <m:mathPr>
    <m:mathFont m:val="Cambria Math"/>
  </m:mathPr>
  <w:themeFontLang w:val="en-US"/>
  <w:clrSchemeMapping w:bg1="light1" w:t1="dark1" w:bg2="light2" w:t2="dark2" w:accent1="accent1" w:accent2="accent2" w:accent3="accent3" w:accent4="accent4" w:accent5="accent5" w:accent6="accent6" w:hyperlink="hyperlink" w:followedHyperlink="followedHyperlink"/>
  <w:doNotIncludeSubdocsInStats/>
  <w14:docId w14:val="7F0F6921"/>
  <w15:chartTrackingRefBased/>
  <w15:docId w15:val="{6D11CBCB-4EBA-4B37-94DF-DF6C6BBF2C8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nhideWhenUsed="1"/>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pPr>
      <w:widowControl w:val="0"/>
    </w:pPr>
    <w:rPr>
      <w:snapToGrid w:val="0"/>
      <w:kern w:val="28"/>
      <w:sz w:val="22"/>
    </w:rPr>
  </w:style>
  <w:style w:type="paragraph" w:styleId="Heading1">
    <w:name w:val="heading 1"/>
    <w:basedOn w:val="Normal"/>
    <w:next w:val="ParaNum"/>
    <w:qFormat/>
    <w:pPr>
      <w:keepNext/>
      <w:numPr>
        <w:numId w:val="3"/>
      </w:numPr>
      <w:tabs>
        <w:tab w:val="left" w:pos="720"/>
      </w:tabs>
      <w:suppressAutoHyphens/>
      <w:spacing w:after="120"/>
      <w:outlineLvl w:val="0"/>
    </w:pPr>
    <w:rPr>
      <w:rFonts w:ascii="Times New Roman Bold" w:hAnsi="Times New Roman Bold"/>
      <w:b/>
      <w:caps/>
    </w:rPr>
  </w:style>
  <w:style w:type="paragraph" w:styleId="Heading2">
    <w:name w:val="heading 2"/>
    <w:basedOn w:val="Normal"/>
    <w:next w:val="ParaNum"/>
    <w:autoRedefine/>
    <w:qFormat/>
    <w:pPr>
      <w:keepNext/>
      <w:numPr>
        <w:ilvl w:val="1"/>
        <w:numId w:val="3"/>
      </w:numPr>
      <w:spacing w:after="120"/>
      <w:outlineLvl w:val="1"/>
    </w:pPr>
    <w:rPr>
      <w:b/>
    </w:rPr>
  </w:style>
  <w:style w:type="paragraph" w:styleId="Heading3">
    <w:name w:val="heading 3"/>
    <w:basedOn w:val="Normal"/>
    <w:next w:val="ParaNum"/>
    <w:qFormat/>
    <w:pPr>
      <w:keepNext/>
      <w:numPr>
        <w:ilvl w:val="2"/>
        <w:numId w:val="3"/>
      </w:numPr>
      <w:tabs>
        <w:tab w:val="left" w:pos="2160"/>
      </w:tabs>
      <w:spacing w:after="120"/>
      <w:outlineLvl w:val="2"/>
    </w:pPr>
    <w:rPr>
      <w:b/>
    </w:rPr>
  </w:style>
  <w:style w:type="paragraph" w:styleId="Heading4">
    <w:name w:val="heading 4"/>
    <w:basedOn w:val="Normal"/>
    <w:next w:val="ParaNum"/>
    <w:qFormat/>
    <w:pPr>
      <w:keepNext/>
      <w:numPr>
        <w:ilvl w:val="3"/>
        <w:numId w:val="3"/>
      </w:numPr>
      <w:tabs>
        <w:tab w:val="left" w:pos="2880"/>
      </w:tabs>
      <w:spacing w:after="120"/>
      <w:outlineLvl w:val="3"/>
    </w:pPr>
    <w:rPr>
      <w:b/>
    </w:rPr>
  </w:style>
  <w:style w:type="paragraph" w:styleId="Heading5">
    <w:name w:val="heading 5"/>
    <w:basedOn w:val="Normal"/>
    <w:next w:val="ParaNum"/>
    <w:qFormat/>
    <w:pPr>
      <w:keepNext/>
      <w:numPr>
        <w:ilvl w:val="4"/>
        <w:numId w:val="3"/>
      </w:numPr>
      <w:tabs>
        <w:tab w:val="left" w:pos="3600"/>
      </w:tabs>
      <w:suppressAutoHyphens/>
      <w:spacing w:after="120"/>
      <w:outlineLvl w:val="4"/>
    </w:pPr>
    <w:rPr>
      <w:b/>
    </w:rPr>
  </w:style>
  <w:style w:type="paragraph" w:styleId="Heading6">
    <w:name w:val="heading 6"/>
    <w:basedOn w:val="Normal"/>
    <w:next w:val="ParaNum"/>
    <w:qFormat/>
    <w:pPr>
      <w:numPr>
        <w:ilvl w:val="5"/>
        <w:numId w:val="3"/>
      </w:numPr>
      <w:tabs>
        <w:tab w:val="left" w:pos="4320"/>
      </w:tabs>
      <w:spacing w:after="120"/>
      <w:outlineLvl w:val="5"/>
    </w:pPr>
    <w:rPr>
      <w:b/>
    </w:rPr>
  </w:style>
  <w:style w:type="paragraph" w:styleId="Heading7">
    <w:name w:val="heading 7"/>
    <w:basedOn w:val="Normal"/>
    <w:next w:val="ParaNum"/>
    <w:qFormat/>
    <w:pPr>
      <w:numPr>
        <w:ilvl w:val="6"/>
        <w:numId w:val="3"/>
      </w:numPr>
      <w:tabs>
        <w:tab w:val="left" w:pos="5040"/>
      </w:tabs>
      <w:spacing w:after="120"/>
      <w:ind w:left="5040" w:hanging="720"/>
      <w:outlineLvl w:val="6"/>
    </w:pPr>
    <w:rPr>
      <w:b/>
    </w:rPr>
  </w:style>
  <w:style w:type="paragraph" w:styleId="Heading8">
    <w:name w:val="heading 8"/>
    <w:basedOn w:val="Normal"/>
    <w:next w:val="ParaNum"/>
    <w:qFormat/>
    <w:pPr>
      <w:numPr>
        <w:ilvl w:val="7"/>
        <w:numId w:val="3"/>
      </w:numPr>
      <w:tabs>
        <w:tab w:val="clear" w:pos="5400"/>
        <w:tab w:val="left" w:pos="5760"/>
      </w:tabs>
      <w:spacing w:after="120"/>
      <w:ind w:left="5760" w:hanging="720"/>
      <w:outlineLvl w:val="7"/>
    </w:pPr>
    <w:rPr>
      <w:b/>
    </w:rPr>
  </w:style>
  <w:style w:type="paragraph" w:styleId="Heading9">
    <w:name w:val="heading 9"/>
    <w:basedOn w:val="Normal"/>
    <w:next w:val="ParaNum"/>
    <w:qFormat/>
    <w:pPr>
      <w:numPr>
        <w:ilvl w:val="8"/>
        <w:numId w:val="3"/>
      </w:numPr>
      <w:tabs>
        <w:tab w:val="clear" w:pos="6120"/>
        <w:tab w:val="left" w:pos="6480"/>
      </w:tabs>
      <w:spacing w:after="120"/>
      <w:ind w:left="6480" w:hanging="720"/>
      <w:outlineLvl w:val="8"/>
    </w:pPr>
    <w:rPr>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araNum">
    <w:name w:val="ParaNum"/>
    <w:basedOn w:val="Normal"/>
    <w:pPr>
      <w:numPr>
        <w:numId w:val="2"/>
      </w:numPr>
      <w:tabs>
        <w:tab w:val="clear" w:pos="1080"/>
        <w:tab w:val="num" w:pos="1440"/>
      </w:tabs>
      <w:spacing w:after="120"/>
    </w:pPr>
  </w:style>
  <w:style w:type="paragraph" w:styleId="EndnoteText">
    <w:name w:val="endnote text"/>
    <w:basedOn w:val="Normal"/>
    <w:semiHidden/>
    <w:rPr>
      <w:sz w:val="20"/>
    </w:rPr>
  </w:style>
  <w:style w:type="character" w:styleId="EndnoteReference">
    <w:name w:val="endnote reference"/>
    <w:semiHidden/>
    <w:rPr>
      <w:vertAlign w:val="superscript"/>
    </w:rPr>
  </w:style>
  <w:style w:type="paragraph" w:styleId="FootnoteText">
    <w:name w:val="footnote text"/>
    <w:aliases w:val="Footnote Text Char,Footnote Text Char1 Char,Footnote Text Char Char1 Char,Footnote Text Char2 Char1 Char Char,Footnote Text Char Char1 Char Char Char1,Footnote Text Char1 Char Char Char1 Char Char,Footnote Text Char1,fn Char Char,fn Char,f"/>
    <w:link w:val="FootnoteTextChar2"/>
    <w:semiHidden/>
    <w:pPr>
      <w:spacing w:after="120"/>
    </w:pPr>
  </w:style>
  <w:style w:type="character" w:styleId="FootnoteReference">
    <w:name w:val="footnote reference"/>
    <w:aliases w:val="Style 12,(NECG) Footnote Reference,Appel note de bas de p,Style 124"/>
    <w:semiHidden/>
    <w:rPr>
      <w:rFonts w:ascii="Times New Roman" w:hAnsi="Times New Roman"/>
      <w:dstrike w:val="0"/>
      <w:color w:val="auto"/>
      <w:sz w:val="22"/>
      <w:vertAlign w:val="superscript"/>
    </w:rPr>
  </w:style>
  <w:style w:type="paragraph" w:styleId="TOC1">
    <w:name w:val="toc 1"/>
    <w:basedOn w:val="Normal"/>
    <w:next w:val="Normal"/>
    <w:uiPriority w:val="39"/>
    <w:pPr>
      <w:tabs>
        <w:tab w:val="left" w:pos="360"/>
        <w:tab w:val="right" w:leader="dot" w:pos="9360"/>
      </w:tabs>
      <w:suppressAutoHyphens/>
      <w:ind w:left="360" w:right="720" w:hanging="360"/>
    </w:pPr>
    <w:rPr>
      <w:caps/>
      <w:noProof/>
    </w:rPr>
  </w:style>
  <w:style w:type="paragraph" w:styleId="TOC2">
    <w:name w:val="toc 2"/>
    <w:basedOn w:val="Normal"/>
    <w:next w:val="Normal"/>
    <w:semiHidden/>
    <w:pPr>
      <w:tabs>
        <w:tab w:val="left" w:pos="720"/>
        <w:tab w:val="right" w:leader="dot" w:pos="9360"/>
      </w:tabs>
      <w:suppressAutoHyphens/>
      <w:ind w:left="720" w:right="720" w:hanging="360"/>
    </w:pPr>
    <w:rPr>
      <w:noProof/>
    </w:rPr>
  </w:style>
  <w:style w:type="paragraph" w:styleId="TOC3">
    <w:name w:val="toc 3"/>
    <w:basedOn w:val="Normal"/>
    <w:next w:val="Normal"/>
    <w:semiHidden/>
    <w:pPr>
      <w:tabs>
        <w:tab w:val="left" w:pos="1080"/>
        <w:tab w:val="right" w:leader="dot" w:pos="9360"/>
      </w:tabs>
      <w:suppressAutoHyphens/>
      <w:ind w:left="1080" w:right="720" w:hanging="360"/>
    </w:pPr>
    <w:rPr>
      <w:noProof/>
    </w:rPr>
  </w:style>
  <w:style w:type="paragraph" w:styleId="TOC4">
    <w:name w:val="toc 4"/>
    <w:basedOn w:val="Normal"/>
    <w:next w:val="Normal"/>
    <w:autoRedefine/>
    <w:semiHidden/>
    <w:pPr>
      <w:tabs>
        <w:tab w:val="left" w:pos="1440"/>
        <w:tab w:val="right" w:leader="dot" w:pos="9360"/>
      </w:tabs>
      <w:suppressAutoHyphens/>
      <w:ind w:left="1440" w:right="720" w:hanging="360"/>
    </w:pPr>
    <w:rPr>
      <w:noProof/>
    </w:rPr>
  </w:style>
  <w:style w:type="paragraph" w:styleId="TOC5">
    <w:name w:val="toc 5"/>
    <w:basedOn w:val="Normal"/>
    <w:next w:val="Normal"/>
    <w:autoRedefine/>
    <w:semiHidden/>
    <w:pPr>
      <w:tabs>
        <w:tab w:val="left" w:pos="1800"/>
        <w:tab w:val="right" w:leader="dot" w:pos="9360"/>
      </w:tabs>
      <w:suppressAutoHyphens/>
      <w:ind w:left="1800" w:right="720" w:hanging="360"/>
    </w:pPr>
    <w:rPr>
      <w:noProof/>
    </w:rPr>
  </w:style>
  <w:style w:type="paragraph" w:styleId="TOC6">
    <w:name w:val="toc 6"/>
    <w:basedOn w:val="Normal"/>
    <w:next w:val="Normal"/>
    <w:autoRedefine/>
    <w:semiHidden/>
    <w:pPr>
      <w:tabs>
        <w:tab w:val="left" w:pos="2160"/>
        <w:tab w:val="right" w:leader="dot" w:pos="9360"/>
      </w:tabs>
      <w:suppressAutoHyphens/>
      <w:ind w:left="2160" w:hanging="360"/>
    </w:pPr>
    <w:rPr>
      <w:noProof/>
    </w:rPr>
  </w:style>
  <w:style w:type="paragraph" w:styleId="TOC7">
    <w:name w:val="toc 7"/>
    <w:basedOn w:val="Normal"/>
    <w:next w:val="Normal"/>
    <w:autoRedefine/>
    <w:semiHidden/>
    <w:pPr>
      <w:tabs>
        <w:tab w:val="left" w:pos="2520"/>
        <w:tab w:val="right" w:leader="dot" w:pos="9360"/>
      </w:tabs>
      <w:suppressAutoHyphens/>
      <w:ind w:left="2520" w:hanging="360"/>
    </w:pPr>
    <w:rPr>
      <w:noProof/>
    </w:rPr>
  </w:style>
  <w:style w:type="paragraph" w:styleId="TOC8">
    <w:name w:val="toc 8"/>
    <w:basedOn w:val="Normal"/>
    <w:next w:val="Normal"/>
    <w:autoRedefine/>
    <w:semiHidden/>
    <w:pPr>
      <w:tabs>
        <w:tab w:val="left" w:pos="2880"/>
        <w:tab w:val="right" w:leader="dot" w:pos="9360"/>
      </w:tabs>
      <w:suppressAutoHyphens/>
      <w:ind w:left="2880" w:hanging="360"/>
    </w:pPr>
    <w:rPr>
      <w:noProof/>
    </w:rPr>
  </w:style>
  <w:style w:type="paragraph" w:styleId="TOC9">
    <w:name w:val="toc 9"/>
    <w:basedOn w:val="Normal"/>
    <w:next w:val="Normal"/>
    <w:autoRedefine/>
    <w:semiHidden/>
    <w:pPr>
      <w:tabs>
        <w:tab w:val="left" w:pos="3240"/>
        <w:tab w:val="right" w:leader="dot" w:pos="9360"/>
      </w:tabs>
      <w:suppressAutoHyphens/>
      <w:ind w:left="3240" w:hanging="360"/>
    </w:pPr>
    <w:rPr>
      <w:noProof/>
    </w:rPr>
  </w:style>
  <w:style w:type="paragraph" w:styleId="TOAHeading">
    <w:name w:val="toa heading"/>
    <w:basedOn w:val="Normal"/>
    <w:next w:val="Normal"/>
    <w:semiHidden/>
    <w:pPr>
      <w:tabs>
        <w:tab w:val="right" w:pos="9360"/>
      </w:tabs>
      <w:suppressAutoHyphens/>
    </w:pPr>
  </w:style>
  <w:style w:type="character" w:customStyle="1" w:styleId="EquationCaption">
    <w:name w:val="_Equation Caption"/>
  </w:style>
  <w:style w:type="paragraph" w:styleId="Header">
    <w:name w:val="header"/>
    <w:basedOn w:val="Normal"/>
    <w:autoRedefine/>
    <w:pPr>
      <w:tabs>
        <w:tab w:val="center" w:pos="4680"/>
        <w:tab w:val="right" w:pos="9360"/>
      </w:tabs>
    </w:pPr>
    <w:rPr>
      <w:rFonts w:ascii="Arial" w:hAnsi="Arial" w:cs="Arial"/>
      <w:b/>
      <w:sz w:val="96"/>
      <w:szCs w:val="96"/>
    </w:rPr>
  </w:style>
  <w:style w:type="paragraph" w:styleId="Footer">
    <w:name w:val="footer"/>
    <w:basedOn w:val="Normal"/>
    <w:link w:val="FooterChar"/>
    <w:uiPriority w:val="99"/>
    <w:pPr>
      <w:tabs>
        <w:tab w:val="center" w:pos="4320"/>
        <w:tab w:val="right" w:pos="8640"/>
      </w:tabs>
    </w:pPr>
  </w:style>
  <w:style w:type="character" w:styleId="PageNumber">
    <w:name w:val="page number"/>
    <w:basedOn w:val="DefaultParagraphFont"/>
  </w:style>
  <w:style w:type="paragraph" w:styleId="BlockText">
    <w:name w:val="Block Text"/>
    <w:basedOn w:val="Normal"/>
    <w:pPr>
      <w:spacing w:after="240"/>
      <w:ind w:left="1440" w:right="1440"/>
    </w:pPr>
  </w:style>
  <w:style w:type="paragraph" w:customStyle="1" w:styleId="Paratitle">
    <w:name w:val="Para title"/>
    <w:basedOn w:val="Normal"/>
    <w:pPr>
      <w:tabs>
        <w:tab w:val="center" w:pos="9270"/>
      </w:tabs>
      <w:spacing w:after="240"/>
    </w:pPr>
    <w:rPr>
      <w:spacing w:val="-2"/>
    </w:rPr>
  </w:style>
  <w:style w:type="paragraph" w:customStyle="1" w:styleId="Bullet">
    <w:name w:val="Bullet"/>
    <w:basedOn w:val="Normal"/>
    <w:pPr>
      <w:numPr>
        <w:numId w:val="1"/>
      </w:numPr>
      <w:tabs>
        <w:tab w:val="clear" w:pos="360"/>
        <w:tab w:val="left" w:pos="2160"/>
      </w:tabs>
      <w:spacing w:after="220"/>
      <w:ind w:left="2160" w:hanging="720"/>
    </w:pPr>
  </w:style>
  <w:style w:type="paragraph" w:customStyle="1" w:styleId="TableFormat">
    <w:name w:val="TableFormat"/>
    <w:basedOn w:val="Bullet"/>
    <w:pPr>
      <w:numPr>
        <w:numId w:val="0"/>
      </w:numPr>
      <w:tabs>
        <w:tab w:val="clear" w:pos="2160"/>
        <w:tab w:val="left" w:pos="5040"/>
      </w:tabs>
      <w:ind w:left="5040" w:hanging="3600"/>
    </w:pPr>
  </w:style>
  <w:style w:type="paragraph" w:customStyle="1" w:styleId="TOCTitle">
    <w:name w:val="TOC Title"/>
    <w:basedOn w:val="Normal"/>
    <w:pPr>
      <w:spacing w:before="240" w:after="240"/>
      <w:jc w:val="center"/>
    </w:pPr>
    <w:rPr>
      <w:rFonts w:ascii="Times New Roman Bold" w:hAnsi="Times New Roman Bold"/>
      <w:b/>
      <w:caps/>
      <w:spacing w:val="-2"/>
    </w:rPr>
  </w:style>
  <w:style w:type="paragraph" w:customStyle="1" w:styleId="StyleBoldCentered">
    <w:name w:val="Style Bold Centered"/>
    <w:basedOn w:val="Normal"/>
    <w:pPr>
      <w:jc w:val="center"/>
    </w:pPr>
    <w:rPr>
      <w:rFonts w:ascii="Times New Roman Bold" w:hAnsi="Times New Roman Bold"/>
      <w:b/>
      <w:bCs/>
      <w:caps/>
      <w:szCs w:val="22"/>
    </w:rPr>
  </w:style>
  <w:style w:type="character" w:styleId="Hyperlink">
    <w:name w:val="Hyperlink"/>
    <w:rPr>
      <w:color w:val="0000FF"/>
      <w:u w:val="single"/>
    </w:rPr>
  </w:style>
  <w:style w:type="character" w:customStyle="1" w:styleId="FooterChar">
    <w:name w:val="Footer Char"/>
    <w:link w:val="Footer"/>
    <w:uiPriority w:val="99"/>
    <w:rPr>
      <w:snapToGrid w:val="0"/>
      <w:kern w:val="28"/>
      <w:sz w:val="22"/>
    </w:rPr>
  </w:style>
  <w:style w:type="character" w:styleId="UnresolvedMention">
    <w:name w:val="Unresolved Mention"/>
    <w:uiPriority w:val="99"/>
    <w:semiHidden/>
    <w:unhideWhenUsed/>
    <w:rPr>
      <w:color w:val="605E5C"/>
      <w:shd w:val="clear" w:color="auto" w:fill="E1DFDD"/>
    </w:rPr>
  </w:style>
  <w:style w:type="paragraph" w:customStyle="1" w:styleId="Paranum0">
    <w:name w:val="Paranum"/>
    <w:basedOn w:val="Normal"/>
    <w:rsid w:val="00480EAE"/>
    <w:pPr>
      <w:numPr>
        <w:numId w:val="7"/>
      </w:numPr>
      <w:tabs>
        <w:tab w:val="clear" w:pos="1080"/>
      </w:tabs>
      <w:spacing w:after="220"/>
      <w:jc w:val="both"/>
    </w:pPr>
    <w:rPr>
      <w:snapToGrid/>
      <w:kern w:val="0"/>
    </w:rPr>
  </w:style>
  <w:style w:type="character" w:customStyle="1" w:styleId="searchterm">
    <w:name w:val="searchterm"/>
    <w:rsid w:val="00480EAE"/>
  </w:style>
  <w:style w:type="character" w:customStyle="1" w:styleId="FootnoteTextChar2">
    <w:name w:val="Footnote Text Char2"/>
    <w:aliases w:val="Footnote Text Char Char,Footnote Text Char1 Char Char,Footnote Text Char Char1 Char Char,Footnote Text Char2 Char1 Char Char Char,Footnote Text Char Char1 Char Char Char1 Char,Footnote Text Char1 Char Char Char1 Char Char Char,f Char"/>
    <w:link w:val="FootnoteText"/>
    <w:semiHidden/>
    <w:locked/>
    <w:rsid w:val="00480EAE"/>
  </w:style>
  <w:style w:type="paragraph" w:styleId="Revision">
    <w:name w:val="Revision"/>
    <w:hidden/>
    <w:uiPriority w:val="99"/>
    <w:semiHidden/>
    <w:rsid w:val="006234B0"/>
    <w:rPr>
      <w:snapToGrid w:val="0"/>
      <w:kern w:val="28"/>
      <w:sz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webSettings>
</file>

<file path=word/_rels/document.xml.rels><?xml version="1.0" encoding="utf-8" standalone="yes"?><Relationships xmlns="http://schemas.openxmlformats.org/package/2006/relationships"><Relationship Id="rId1" Type="http://schemas.openxmlformats.org/officeDocument/2006/relationships/footnotes" Target="footnotes.xml" /><Relationship Id="rId10" Type="http://schemas.openxmlformats.org/officeDocument/2006/relationships/header" Target="header2.xml" /><Relationship Id="rId11" Type="http://schemas.openxmlformats.org/officeDocument/2006/relationships/footer" Target="footer1.xml" /><Relationship Id="rId12" Type="http://schemas.openxmlformats.org/officeDocument/2006/relationships/footer" Target="footer2.xml" /><Relationship Id="rId13" Type="http://schemas.openxmlformats.org/officeDocument/2006/relationships/header" Target="header3.xml" /><Relationship Id="rId14" Type="http://schemas.openxmlformats.org/officeDocument/2006/relationships/footer" Target="footer3.xml" /><Relationship Id="rId15" Type="http://schemas.openxmlformats.org/officeDocument/2006/relationships/theme" Target="theme/theme1.xml" /><Relationship Id="rId16" Type="http://schemas.openxmlformats.org/officeDocument/2006/relationships/numbering" Target="numbering.xml" /><Relationship Id="rId17" Type="http://schemas.openxmlformats.org/officeDocument/2006/relationships/styles" Target="styles.xml" /><Relationship Id="rId2" Type="http://schemas.openxmlformats.org/officeDocument/2006/relationships/endnotes" Target="endnot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ntTable" Target="fontTable.xml" /><Relationship Id="rId6" Type="http://schemas.openxmlformats.org/officeDocument/2006/relationships/hyperlink" Target="mailto:Lisa.Scanlan@fcc.gov" TargetMode="External" /><Relationship Id="rId7" Type="http://schemas.openxmlformats.org/officeDocument/2006/relationships/hyperlink" Target="mailto:Ariane.Rangel@fcc.gov" TargetMode="External" /><Relationship Id="rId8" Type="http://schemas.openxmlformats.org/officeDocument/2006/relationships/hyperlink" Target="mailto:Albert.Shuldiner@fcc.gov" TargetMode="External" /><Relationship Id="rId9" Type="http://schemas.openxmlformats.org/officeDocument/2006/relationships/header" Target="header1.xml" /></Relationships>
</file>

<file path=word/_rels/header3.xml.rels><?xml version="1.0" encoding="utf-8" standalone="yes"?><Relationships xmlns="http://schemas.openxmlformats.org/package/2006/relationships"><Relationship Id="rId1" Type="http://schemas.openxmlformats.org/officeDocument/2006/relationships/image" Target="media/image1.png"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0</Pages>
  <Words>0</Words>
  <Characters>0</Characters>
  <Application>Microsoft Office Word</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0</cp:revision>
</cp:coreProperties>
</file>