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A3BA8" w14:paraId="0BEA4FF5" w14:textId="77777777">
      <w:pPr>
        <w:jc w:val="right"/>
        <w:rPr>
          <w:sz w:val="24"/>
        </w:rPr>
      </w:pPr>
    </w:p>
    <w:p w:rsidR="00BA3BA8" w:rsidRPr="00F94417" w14:paraId="370A201A" w14:textId="4733E0BD">
      <w:pPr>
        <w:jc w:val="right"/>
        <w:rPr>
          <w:b/>
          <w:sz w:val="24"/>
          <w:szCs w:val="24"/>
        </w:rPr>
      </w:pPr>
      <w:r w:rsidRPr="00F94417">
        <w:rPr>
          <w:b/>
          <w:sz w:val="24"/>
          <w:szCs w:val="24"/>
        </w:rPr>
        <w:t>DA 26-</w:t>
      </w:r>
      <w:r w:rsidR="00836890">
        <w:rPr>
          <w:b/>
          <w:sz w:val="24"/>
          <w:szCs w:val="24"/>
        </w:rPr>
        <w:t>501</w:t>
      </w:r>
    </w:p>
    <w:p w:rsidR="00BA3BA8" w14:paraId="1A7E64D5" w14:textId="06D21F4B">
      <w:pPr>
        <w:spacing w:before="60"/>
        <w:jc w:val="right"/>
        <w:rPr>
          <w:b/>
          <w:sz w:val="24"/>
        </w:rPr>
      </w:pPr>
      <w:r>
        <w:rPr>
          <w:b/>
          <w:sz w:val="24"/>
        </w:rPr>
        <w:t>Released</w:t>
      </w:r>
      <w:r>
        <w:rPr>
          <w:b/>
          <w:sz w:val="24"/>
        </w:rPr>
        <w:t xml:space="preserve">:  </w:t>
      </w:r>
      <w:r w:rsidR="00556BEB">
        <w:rPr>
          <w:b/>
          <w:sz w:val="24"/>
        </w:rPr>
        <w:t>May</w:t>
      </w:r>
      <w:r w:rsidR="00556BEB">
        <w:rPr>
          <w:b/>
          <w:sz w:val="24"/>
        </w:rPr>
        <w:t xml:space="preserve"> </w:t>
      </w:r>
      <w:r w:rsidR="00EB492B">
        <w:rPr>
          <w:b/>
          <w:sz w:val="24"/>
        </w:rPr>
        <w:t>19</w:t>
      </w:r>
      <w:r w:rsidR="00957143">
        <w:rPr>
          <w:b/>
          <w:sz w:val="24"/>
        </w:rPr>
        <w:t>, 2026</w:t>
      </w:r>
    </w:p>
    <w:p w:rsidR="00BA3BA8" w:rsidP="0088001D" w14:paraId="7DEEFB9E" w14:textId="77777777">
      <w:pPr>
        <w:jc w:val="center"/>
        <w:rPr>
          <w:sz w:val="24"/>
        </w:rPr>
      </w:pPr>
    </w:p>
    <w:p w:rsidR="00FF11D6" w:rsidRPr="00FF11D6" w:rsidP="0088001D" w14:paraId="5437DE19" w14:textId="77777777">
      <w:pPr>
        <w:jc w:val="center"/>
        <w:rPr>
          <w:rFonts w:ascii="Times New Roman Bold" w:hAnsi="Times New Roman Bold"/>
          <w:b/>
          <w:caps/>
          <w:sz w:val="24"/>
        </w:rPr>
      </w:pPr>
      <w:r w:rsidRPr="00FF11D6">
        <w:rPr>
          <w:rFonts w:ascii="Times New Roman Bold" w:hAnsi="Times New Roman Bold"/>
          <w:b/>
          <w:caps/>
          <w:sz w:val="24"/>
        </w:rPr>
        <w:t xml:space="preserve">MEDIA BUREAU ANNOUNCES </w:t>
      </w:r>
      <w:r w:rsidR="00C25E59">
        <w:rPr>
          <w:rFonts w:ascii="Times New Roman Bold" w:hAnsi="Times New Roman Bold"/>
          <w:b/>
          <w:caps/>
          <w:sz w:val="24"/>
        </w:rPr>
        <w:t>Guidelines</w:t>
      </w:r>
      <w:r w:rsidRPr="00FF11D6">
        <w:rPr>
          <w:rFonts w:ascii="Times New Roman Bold" w:hAnsi="Times New Roman Bold"/>
          <w:b/>
          <w:caps/>
          <w:sz w:val="24"/>
        </w:rPr>
        <w:t xml:space="preserve"> FOR </w:t>
      </w:r>
      <w:r w:rsidR="00C25E59">
        <w:rPr>
          <w:rFonts w:ascii="Times New Roman Bold" w:hAnsi="Times New Roman Bold"/>
          <w:b/>
          <w:caps/>
          <w:sz w:val="24"/>
        </w:rPr>
        <w:t xml:space="preserve">The </w:t>
      </w:r>
      <w:r w:rsidRPr="00FF11D6">
        <w:rPr>
          <w:rFonts w:ascii="Times New Roman Bold" w:hAnsi="Times New Roman Bold"/>
          <w:b/>
          <w:caps/>
          <w:sz w:val="24"/>
        </w:rPr>
        <w:t>PROCESSING</w:t>
      </w:r>
    </w:p>
    <w:p w:rsidR="00FF11D6" w:rsidP="0088001D" w14:paraId="7E504F1A" w14:textId="4672835F">
      <w:pPr>
        <w:spacing w:after="240"/>
        <w:jc w:val="center"/>
        <w:rPr>
          <w:rFonts w:ascii="Times New Roman Bold" w:hAnsi="Times New Roman Bold"/>
          <w:b/>
          <w:caps/>
          <w:sz w:val="24"/>
        </w:rPr>
      </w:pPr>
      <w:r>
        <w:rPr>
          <w:rFonts w:ascii="Times New Roman Bold" w:hAnsi="Times New Roman Bold"/>
          <w:b/>
          <w:caps/>
          <w:sz w:val="24"/>
        </w:rPr>
        <w:t xml:space="preserve">of </w:t>
      </w:r>
      <w:r w:rsidR="003E162A">
        <w:rPr>
          <w:rFonts w:ascii="Times New Roman Bold" w:hAnsi="Times New Roman Bold"/>
          <w:b/>
          <w:caps/>
          <w:sz w:val="24"/>
        </w:rPr>
        <w:t xml:space="preserve">Certain </w:t>
      </w:r>
      <w:r w:rsidR="008B19BA">
        <w:rPr>
          <w:rFonts w:ascii="Times New Roman Bold" w:hAnsi="Times New Roman Bold"/>
          <w:b/>
          <w:caps/>
          <w:sz w:val="24"/>
        </w:rPr>
        <w:t xml:space="preserve">Broadcast </w:t>
      </w:r>
      <w:r w:rsidRPr="00FF11D6">
        <w:rPr>
          <w:rFonts w:ascii="Times New Roman Bold" w:hAnsi="Times New Roman Bold"/>
          <w:b/>
          <w:caps/>
          <w:sz w:val="24"/>
        </w:rPr>
        <w:t>APPLICATIONS</w:t>
      </w:r>
      <w:r w:rsidR="003E162A">
        <w:rPr>
          <w:rFonts w:ascii="Times New Roman Bold" w:hAnsi="Times New Roman Bold"/>
          <w:b/>
          <w:caps/>
          <w:sz w:val="24"/>
        </w:rPr>
        <w:t xml:space="preserve"> Filed During the Pend</w:t>
      </w:r>
      <w:r w:rsidR="007C4CB5">
        <w:rPr>
          <w:rFonts w:ascii="Times New Roman Bold" w:hAnsi="Times New Roman Bold"/>
          <w:b/>
          <w:caps/>
          <w:sz w:val="24"/>
        </w:rPr>
        <w:t>e</w:t>
      </w:r>
      <w:r w:rsidR="003E162A">
        <w:rPr>
          <w:rFonts w:ascii="Times New Roman Bold" w:hAnsi="Times New Roman Bold"/>
          <w:b/>
          <w:caps/>
          <w:sz w:val="24"/>
        </w:rPr>
        <w:t>ncy of a Remedial Foreign Ownership Pe</w:t>
      </w:r>
      <w:r w:rsidR="00CC12A4">
        <w:rPr>
          <w:rFonts w:ascii="Times New Roman Bold" w:hAnsi="Times New Roman Bold"/>
          <w:b/>
          <w:caps/>
          <w:sz w:val="24"/>
        </w:rPr>
        <w:t>t</w:t>
      </w:r>
      <w:r w:rsidR="003E162A">
        <w:rPr>
          <w:rFonts w:ascii="Times New Roman Bold" w:hAnsi="Times New Roman Bold"/>
          <w:b/>
          <w:caps/>
          <w:sz w:val="24"/>
        </w:rPr>
        <w:t xml:space="preserve">ition </w:t>
      </w:r>
    </w:p>
    <w:p w:rsidR="00BA3BA8" w14:paraId="69F79978" w14:textId="17A6BBC3">
      <w:pPr>
        <w:jc w:val="center"/>
        <w:rPr>
          <w:b/>
          <w:sz w:val="24"/>
        </w:rPr>
      </w:pPr>
      <w:r w:rsidRPr="00BC7668">
        <w:rPr>
          <w:b/>
          <w:sz w:val="24"/>
        </w:rPr>
        <w:t>GN Docket No. 25-149</w:t>
      </w:r>
    </w:p>
    <w:p w:rsidR="0086262C" w14:paraId="70EB2CDA" w14:textId="77777777">
      <w:bookmarkStart w:id="0" w:name="TOChere"/>
    </w:p>
    <w:bookmarkEnd w:id="0"/>
    <w:p w:rsidR="00AE7052" w:rsidRPr="001B536C" w:rsidP="00AE7052" w14:paraId="0D01C40D" w14:textId="52FF13A0">
      <w:pPr>
        <w:spacing w:after="120"/>
        <w:ind w:firstLine="720"/>
        <w:rPr>
          <w:szCs w:val="22"/>
        </w:rPr>
      </w:pPr>
      <w:r w:rsidRPr="001B536C">
        <w:rPr>
          <w:szCs w:val="22"/>
        </w:rPr>
        <w:t xml:space="preserve">By this </w:t>
      </w:r>
      <w:r w:rsidRPr="001B536C">
        <w:rPr>
          <w:i/>
          <w:iCs/>
          <w:szCs w:val="22"/>
        </w:rPr>
        <w:t>Public Notice</w:t>
      </w:r>
      <w:r w:rsidRPr="001B536C">
        <w:rPr>
          <w:szCs w:val="22"/>
        </w:rPr>
        <w:t>, the Media Bureau</w:t>
      </w:r>
      <w:r w:rsidRPr="001B536C" w:rsidR="00FC51A5">
        <w:rPr>
          <w:szCs w:val="22"/>
        </w:rPr>
        <w:t xml:space="preserve"> (Bureau)</w:t>
      </w:r>
      <w:r w:rsidRPr="001B536C">
        <w:rPr>
          <w:szCs w:val="22"/>
        </w:rPr>
        <w:t xml:space="preserve"> announces </w:t>
      </w:r>
      <w:r w:rsidRPr="001B536C" w:rsidR="000C765E">
        <w:rPr>
          <w:szCs w:val="22"/>
        </w:rPr>
        <w:t>guidance</w:t>
      </w:r>
      <w:r w:rsidRPr="001B536C">
        <w:rPr>
          <w:szCs w:val="22"/>
        </w:rPr>
        <w:t xml:space="preserve"> </w:t>
      </w:r>
      <w:r w:rsidR="00393DF1">
        <w:rPr>
          <w:szCs w:val="22"/>
        </w:rPr>
        <w:t>on</w:t>
      </w:r>
      <w:r w:rsidRPr="001B536C" w:rsidR="000C765E">
        <w:rPr>
          <w:szCs w:val="22"/>
        </w:rPr>
        <w:t xml:space="preserve"> </w:t>
      </w:r>
      <w:r w:rsidRPr="001B536C" w:rsidR="00FC51A5">
        <w:rPr>
          <w:szCs w:val="22"/>
        </w:rPr>
        <w:t xml:space="preserve">how the Bureau expects to </w:t>
      </w:r>
      <w:r w:rsidR="00F911A7">
        <w:rPr>
          <w:szCs w:val="22"/>
        </w:rPr>
        <w:t>process broadcast</w:t>
      </w:r>
      <w:r w:rsidRPr="001B536C" w:rsidR="00F911A7">
        <w:rPr>
          <w:szCs w:val="22"/>
        </w:rPr>
        <w:t xml:space="preserve"> </w:t>
      </w:r>
      <w:r w:rsidRPr="001B536C" w:rsidR="00FC51A5">
        <w:rPr>
          <w:szCs w:val="22"/>
        </w:rPr>
        <w:t xml:space="preserve">applications </w:t>
      </w:r>
      <w:r w:rsidRPr="001B536C" w:rsidR="00CC6137">
        <w:rPr>
          <w:szCs w:val="22"/>
        </w:rPr>
        <w:t>filed</w:t>
      </w:r>
      <w:r w:rsidRPr="001B536C" w:rsidR="00197996">
        <w:rPr>
          <w:szCs w:val="22"/>
        </w:rPr>
        <w:t>,</w:t>
      </w:r>
      <w:r w:rsidRPr="001B536C" w:rsidR="00CC6137">
        <w:rPr>
          <w:szCs w:val="22"/>
        </w:rPr>
        <w:t xml:space="preserve"> </w:t>
      </w:r>
      <w:r w:rsidRPr="001B536C" w:rsidR="00FC51A5">
        <w:rPr>
          <w:szCs w:val="22"/>
        </w:rPr>
        <w:t xml:space="preserve">or </w:t>
      </w:r>
      <w:r w:rsidRPr="001B536C" w:rsidR="000C765E">
        <w:rPr>
          <w:szCs w:val="22"/>
        </w:rPr>
        <w:t xml:space="preserve">already </w:t>
      </w:r>
      <w:r w:rsidRPr="001B536C" w:rsidR="00FC51A5">
        <w:rPr>
          <w:szCs w:val="22"/>
        </w:rPr>
        <w:t>pending</w:t>
      </w:r>
      <w:r w:rsidRPr="001B536C" w:rsidR="00197996">
        <w:rPr>
          <w:szCs w:val="22"/>
        </w:rPr>
        <w:t>,</w:t>
      </w:r>
      <w:r w:rsidRPr="001B536C" w:rsidR="00FC51A5">
        <w:rPr>
          <w:szCs w:val="22"/>
        </w:rPr>
        <w:t xml:space="preserve"> </w:t>
      </w:r>
      <w:r w:rsidRPr="001B536C" w:rsidR="000C765E">
        <w:rPr>
          <w:szCs w:val="22"/>
        </w:rPr>
        <w:t>w</w:t>
      </w:r>
      <w:r w:rsidRPr="001B536C" w:rsidR="00197996">
        <w:rPr>
          <w:szCs w:val="22"/>
        </w:rPr>
        <w:t xml:space="preserve">hile </w:t>
      </w:r>
      <w:r w:rsidRPr="001B536C" w:rsidR="000C765E">
        <w:rPr>
          <w:szCs w:val="22"/>
        </w:rPr>
        <w:t xml:space="preserve">a licensee </w:t>
      </w:r>
      <w:r w:rsidRPr="001B536C" w:rsidR="00723112">
        <w:rPr>
          <w:szCs w:val="22"/>
        </w:rPr>
        <w:t xml:space="preserve">also </w:t>
      </w:r>
      <w:r w:rsidRPr="001B536C" w:rsidR="00B66647">
        <w:rPr>
          <w:szCs w:val="22"/>
        </w:rPr>
        <w:t>has</w:t>
      </w:r>
      <w:r w:rsidR="00393DF1">
        <w:rPr>
          <w:szCs w:val="22"/>
        </w:rPr>
        <w:t xml:space="preserve"> pending at the Commission</w:t>
      </w:r>
      <w:r w:rsidRPr="001B536C" w:rsidR="00197996">
        <w:rPr>
          <w:szCs w:val="22"/>
        </w:rPr>
        <w:t xml:space="preserve"> </w:t>
      </w:r>
      <w:r w:rsidRPr="001B536C" w:rsidR="000C765E">
        <w:rPr>
          <w:szCs w:val="22"/>
        </w:rPr>
        <w:t>a</w:t>
      </w:r>
      <w:r w:rsidRPr="001B536C" w:rsidR="00FC51A5">
        <w:rPr>
          <w:szCs w:val="22"/>
        </w:rPr>
        <w:t xml:space="preserve"> remedial foreign ownership petition for declaratory ruling</w:t>
      </w:r>
      <w:r w:rsidR="00393DF1">
        <w:rPr>
          <w:szCs w:val="22"/>
        </w:rPr>
        <w:t xml:space="preserve"> seeking to remedy noncompliance with the Commission’s foreign ownership rules</w:t>
      </w:r>
      <w:r w:rsidRPr="00336EC6" w:rsidR="00336EC6">
        <w:rPr>
          <w:szCs w:val="22"/>
        </w:rPr>
        <w:t xml:space="preserve"> </w:t>
      </w:r>
      <w:r w:rsidRPr="001B536C" w:rsidR="00336EC6">
        <w:rPr>
          <w:szCs w:val="22"/>
        </w:rPr>
        <w:t>pursuant to section 1.5004(f)</w:t>
      </w:r>
      <w:r w:rsidR="00393DF1">
        <w:rPr>
          <w:szCs w:val="22"/>
        </w:rPr>
        <w:t>.</w:t>
      </w:r>
      <w:r>
        <w:rPr>
          <w:rStyle w:val="FootnoteReference"/>
          <w:szCs w:val="22"/>
        </w:rPr>
        <w:footnoteReference w:id="3"/>
      </w:r>
      <w:r w:rsidR="00121FB5">
        <w:rPr>
          <w:szCs w:val="22"/>
        </w:rPr>
        <w:t xml:space="preserve"> </w:t>
      </w:r>
      <w:r w:rsidRPr="001B536C" w:rsidR="00CC6137">
        <w:rPr>
          <w:szCs w:val="22"/>
        </w:rPr>
        <w:t xml:space="preserve"> </w:t>
      </w:r>
    </w:p>
    <w:p w:rsidR="00B475A0" w:rsidRPr="001B536C" w:rsidP="00F63FDF" w14:paraId="5C28BD64" w14:textId="7511DE3E">
      <w:pPr>
        <w:widowControl/>
        <w:spacing w:after="120"/>
        <w:ind w:firstLine="720"/>
        <w:rPr>
          <w:szCs w:val="22"/>
        </w:rPr>
      </w:pPr>
      <w:r w:rsidRPr="001B536C">
        <w:rPr>
          <w:i/>
          <w:iCs/>
          <w:szCs w:val="22"/>
        </w:rPr>
        <w:t>Background</w:t>
      </w:r>
      <w:r w:rsidRPr="001B536C">
        <w:rPr>
          <w:szCs w:val="22"/>
        </w:rPr>
        <w:t xml:space="preserve">.  </w:t>
      </w:r>
      <w:r w:rsidRPr="001B536C" w:rsidR="002D24F2">
        <w:rPr>
          <w:szCs w:val="22"/>
        </w:rPr>
        <w:t xml:space="preserve">Section 310(b) of the </w:t>
      </w:r>
      <w:r w:rsidRPr="001B536C" w:rsidR="0086262C">
        <w:rPr>
          <w:szCs w:val="22"/>
        </w:rPr>
        <w:t xml:space="preserve">Act </w:t>
      </w:r>
      <w:r w:rsidRPr="001B536C" w:rsidR="002D24F2">
        <w:rPr>
          <w:szCs w:val="22"/>
        </w:rPr>
        <w:t>imposes restrictions on who may hold various types of</w:t>
      </w:r>
      <w:r w:rsidRPr="001B536C" w:rsidR="0086262C">
        <w:rPr>
          <w:szCs w:val="22"/>
        </w:rPr>
        <w:t xml:space="preserve"> </w:t>
      </w:r>
      <w:r w:rsidRPr="001B536C" w:rsidR="002B67E0">
        <w:rPr>
          <w:szCs w:val="22"/>
        </w:rPr>
        <w:t>Commission authorizations</w:t>
      </w:r>
      <w:r w:rsidRPr="001B536C" w:rsidR="0086262C">
        <w:rPr>
          <w:szCs w:val="22"/>
        </w:rPr>
        <w:t xml:space="preserve"> </w:t>
      </w:r>
      <w:r w:rsidRPr="001B536C" w:rsidR="002D24F2">
        <w:rPr>
          <w:szCs w:val="22"/>
        </w:rPr>
        <w:t xml:space="preserve">and requires the Commission to review foreign investment in broadcast </w:t>
      </w:r>
      <w:r w:rsidR="00393DF1">
        <w:rPr>
          <w:szCs w:val="22"/>
        </w:rPr>
        <w:t>and various other</w:t>
      </w:r>
      <w:r w:rsidRPr="001B536C" w:rsidR="002D24F2">
        <w:rPr>
          <w:szCs w:val="22"/>
        </w:rPr>
        <w:t xml:space="preserve"> licensees.</w:t>
      </w:r>
      <w:r>
        <w:rPr>
          <w:rStyle w:val="FootnoteReference"/>
          <w:szCs w:val="22"/>
        </w:rPr>
        <w:footnoteReference w:id="4"/>
      </w:r>
      <w:r w:rsidRPr="001B536C" w:rsidR="0086262C">
        <w:rPr>
          <w:szCs w:val="22"/>
        </w:rPr>
        <w:t xml:space="preserve">  </w:t>
      </w:r>
      <w:r w:rsidR="00865B56">
        <w:rPr>
          <w:szCs w:val="22"/>
        </w:rPr>
        <w:t>A b</w:t>
      </w:r>
      <w:r w:rsidRPr="001B536C" w:rsidR="00197996">
        <w:rPr>
          <w:szCs w:val="22"/>
        </w:rPr>
        <w:t xml:space="preserve">roadcast </w:t>
      </w:r>
      <w:r w:rsidRPr="001B536C" w:rsidR="007C744B">
        <w:rPr>
          <w:szCs w:val="22"/>
        </w:rPr>
        <w:t xml:space="preserve">licensee or </w:t>
      </w:r>
      <w:r w:rsidRPr="001B536C" w:rsidR="00B66647">
        <w:rPr>
          <w:szCs w:val="22"/>
        </w:rPr>
        <w:t xml:space="preserve">applicant </w:t>
      </w:r>
      <w:r w:rsidR="000F6CB5">
        <w:rPr>
          <w:szCs w:val="22"/>
        </w:rPr>
        <w:t>proposing</w:t>
      </w:r>
      <w:r w:rsidRPr="001B536C" w:rsidR="00197996">
        <w:rPr>
          <w:szCs w:val="22"/>
        </w:rPr>
        <w:t xml:space="preserve"> foreign ownership</w:t>
      </w:r>
      <w:r w:rsidR="00865B56">
        <w:rPr>
          <w:szCs w:val="22"/>
        </w:rPr>
        <w:t xml:space="preserve"> in its controlling U.S. parent</w:t>
      </w:r>
      <w:r w:rsidRPr="001B536C" w:rsidR="00197996">
        <w:rPr>
          <w:szCs w:val="22"/>
        </w:rPr>
        <w:t xml:space="preserve"> that exceeds the benchmarks established by </w:t>
      </w:r>
      <w:r w:rsidR="00EA145D">
        <w:rPr>
          <w:szCs w:val="22"/>
        </w:rPr>
        <w:t xml:space="preserve">section 310(b)(4) of </w:t>
      </w:r>
      <w:r w:rsidRPr="001B536C" w:rsidR="00197996">
        <w:rPr>
          <w:szCs w:val="22"/>
        </w:rPr>
        <w:t xml:space="preserve">the Act may seek </w:t>
      </w:r>
      <w:r w:rsidRPr="001B536C">
        <w:rPr>
          <w:szCs w:val="22"/>
        </w:rPr>
        <w:t xml:space="preserve">a declaratory ruling from the </w:t>
      </w:r>
      <w:r w:rsidRPr="001B536C" w:rsidR="00197996">
        <w:rPr>
          <w:szCs w:val="22"/>
        </w:rPr>
        <w:t xml:space="preserve">Commission </w:t>
      </w:r>
      <w:r w:rsidRPr="001B536C">
        <w:rPr>
          <w:szCs w:val="22"/>
        </w:rPr>
        <w:t xml:space="preserve">authorizing </w:t>
      </w:r>
      <w:r w:rsidRPr="001B536C" w:rsidR="00B66647">
        <w:rPr>
          <w:szCs w:val="22"/>
        </w:rPr>
        <w:t xml:space="preserve">such </w:t>
      </w:r>
      <w:r w:rsidRPr="001B536C" w:rsidR="00197996">
        <w:rPr>
          <w:szCs w:val="22"/>
        </w:rPr>
        <w:t xml:space="preserve">ownership </w:t>
      </w:r>
      <w:r w:rsidRPr="001B536C">
        <w:rPr>
          <w:szCs w:val="22"/>
        </w:rPr>
        <w:t>by filing</w:t>
      </w:r>
      <w:r w:rsidRPr="001B536C" w:rsidR="00197996">
        <w:rPr>
          <w:szCs w:val="22"/>
        </w:rPr>
        <w:t xml:space="preserve"> a petition for declaratory ruling</w:t>
      </w:r>
      <w:r w:rsidRPr="001B536C" w:rsidR="00B66647">
        <w:rPr>
          <w:szCs w:val="22"/>
        </w:rPr>
        <w:t>.</w:t>
      </w:r>
      <w:r>
        <w:rPr>
          <w:rStyle w:val="FootnoteReference"/>
          <w:szCs w:val="22"/>
        </w:rPr>
        <w:footnoteReference w:id="5"/>
      </w:r>
      <w:r w:rsidRPr="001B536C" w:rsidR="00197996">
        <w:rPr>
          <w:szCs w:val="22"/>
        </w:rPr>
        <w:t xml:space="preserve">  </w:t>
      </w:r>
    </w:p>
    <w:p w:rsidR="00237EB9" w:rsidRPr="001B536C" w:rsidP="00AE7052" w14:paraId="195A6E36" w14:textId="1C49589F">
      <w:pPr>
        <w:widowControl/>
        <w:spacing w:after="120"/>
        <w:ind w:firstLine="720"/>
        <w:rPr>
          <w:szCs w:val="22"/>
        </w:rPr>
      </w:pPr>
      <w:r w:rsidRPr="001B536C">
        <w:rPr>
          <w:szCs w:val="22"/>
        </w:rPr>
        <w:t xml:space="preserve">In situations where a </w:t>
      </w:r>
      <w:r w:rsidR="00461AB2">
        <w:rPr>
          <w:szCs w:val="22"/>
        </w:rPr>
        <w:t xml:space="preserve">broadcast </w:t>
      </w:r>
      <w:r w:rsidRPr="001B536C">
        <w:rPr>
          <w:szCs w:val="22"/>
        </w:rPr>
        <w:t xml:space="preserve">licensee </w:t>
      </w:r>
      <w:r w:rsidRPr="001B536C" w:rsidR="002B67E0">
        <w:rPr>
          <w:szCs w:val="22"/>
        </w:rPr>
        <w:t>determines</w:t>
      </w:r>
      <w:r w:rsidRPr="001B536C">
        <w:rPr>
          <w:szCs w:val="22"/>
        </w:rPr>
        <w:t xml:space="preserve"> </w:t>
      </w:r>
      <w:r w:rsidRPr="001B536C" w:rsidR="00B475A0">
        <w:rPr>
          <w:szCs w:val="22"/>
        </w:rPr>
        <w:t>that</w:t>
      </w:r>
      <w:r w:rsidR="001A4B6E">
        <w:rPr>
          <w:szCs w:val="22"/>
        </w:rPr>
        <w:t>,</w:t>
      </w:r>
      <w:r w:rsidRPr="001B536C" w:rsidR="00B475A0">
        <w:rPr>
          <w:szCs w:val="22"/>
        </w:rPr>
        <w:t xml:space="preserve"> </w:t>
      </w:r>
      <w:r w:rsidRPr="001B536C" w:rsidR="001A4B6E">
        <w:rPr>
          <w:szCs w:val="22"/>
        </w:rPr>
        <w:t xml:space="preserve">due to circumstances beyond its control, </w:t>
      </w:r>
      <w:r w:rsidRPr="001B536C" w:rsidR="00B475A0">
        <w:rPr>
          <w:szCs w:val="22"/>
        </w:rPr>
        <w:t>it</w:t>
      </w:r>
      <w:r w:rsidR="00AD68C3">
        <w:rPr>
          <w:szCs w:val="22"/>
        </w:rPr>
        <w:t xml:space="preserve"> </w:t>
      </w:r>
      <w:r w:rsidRPr="001B536C" w:rsidR="00B475A0">
        <w:rPr>
          <w:szCs w:val="22"/>
        </w:rPr>
        <w:t xml:space="preserve">is </w:t>
      </w:r>
      <w:r w:rsidRPr="001B536C">
        <w:rPr>
          <w:szCs w:val="22"/>
        </w:rPr>
        <w:t xml:space="preserve">out of compliance with </w:t>
      </w:r>
      <w:r w:rsidRPr="001B536C" w:rsidR="00E42E41">
        <w:rPr>
          <w:szCs w:val="22"/>
        </w:rPr>
        <w:t xml:space="preserve">an existing foreign ownership declaratory </w:t>
      </w:r>
      <w:r w:rsidRPr="001B536C">
        <w:rPr>
          <w:szCs w:val="22"/>
        </w:rPr>
        <w:t xml:space="preserve">ruling or </w:t>
      </w:r>
      <w:r w:rsidRPr="001B536C" w:rsidR="002B67E0">
        <w:rPr>
          <w:szCs w:val="22"/>
        </w:rPr>
        <w:t xml:space="preserve">with </w:t>
      </w:r>
      <w:r w:rsidRPr="001B536C">
        <w:rPr>
          <w:szCs w:val="22"/>
        </w:rPr>
        <w:t xml:space="preserve">the </w:t>
      </w:r>
      <w:r w:rsidR="001A4B6E">
        <w:rPr>
          <w:szCs w:val="22"/>
        </w:rPr>
        <w:t>R</w:t>
      </w:r>
      <w:r w:rsidRPr="001B536C">
        <w:rPr>
          <w:szCs w:val="22"/>
        </w:rPr>
        <w:t>ules relating to foreign ownership</w:t>
      </w:r>
      <w:r w:rsidR="001A4B6E">
        <w:rPr>
          <w:szCs w:val="22"/>
        </w:rPr>
        <w:t>,</w:t>
      </w:r>
      <w:r w:rsidRPr="001B536C">
        <w:rPr>
          <w:szCs w:val="22"/>
        </w:rPr>
        <w:t xml:space="preserve"> the </w:t>
      </w:r>
      <w:r w:rsidRPr="001B536C" w:rsidR="0086262C">
        <w:rPr>
          <w:szCs w:val="22"/>
        </w:rPr>
        <w:t>R</w:t>
      </w:r>
      <w:r w:rsidRPr="001B536C">
        <w:rPr>
          <w:szCs w:val="22"/>
        </w:rPr>
        <w:t>ules provide a remedial mechanism by which the licensee can notify the Commission</w:t>
      </w:r>
      <w:r w:rsidRPr="001B536C" w:rsidR="0086262C">
        <w:rPr>
          <w:szCs w:val="22"/>
        </w:rPr>
        <w:t xml:space="preserve"> of the infraction</w:t>
      </w:r>
      <w:r w:rsidRPr="001B536C">
        <w:rPr>
          <w:szCs w:val="22"/>
        </w:rPr>
        <w:t xml:space="preserve"> and either remediate the violation or seek approval for the change in </w:t>
      </w:r>
      <w:r w:rsidR="00461AB2">
        <w:rPr>
          <w:szCs w:val="22"/>
        </w:rPr>
        <w:t xml:space="preserve">indirect </w:t>
      </w:r>
      <w:r w:rsidRPr="001B536C">
        <w:rPr>
          <w:szCs w:val="22"/>
        </w:rPr>
        <w:t>foreign ownership</w:t>
      </w:r>
      <w:r w:rsidR="00844217">
        <w:rPr>
          <w:szCs w:val="22"/>
        </w:rPr>
        <w:t xml:space="preserve"> of the licensee’s controlling U.S. parent</w:t>
      </w:r>
      <w:r w:rsidRPr="001B536C">
        <w:rPr>
          <w:szCs w:val="22"/>
        </w:rPr>
        <w:t>.</w:t>
      </w:r>
      <w:r>
        <w:rPr>
          <w:rStyle w:val="FootnoteReference"/>
          <w:szCs w:val="22"/>
        </w:rPr>
        <w:footnoteReference w:id="6"/>
      </w:r>
      <w:r w:rsidRPr="001B536C">
        <w:rPr>
          <w:szCs w:val="22"/>
        </w:rPr>
        <w:t xml:space="preserve">  </w:t>
      </w:r>
      <w:r w:rsidRPr="001B536C" w:rsidR="002B67E0">
        <w:rPr>
          <w:szCs w:val="22"/>
        </w:rPr>
        <w:t>Generally, i</w:t>
      </w:r>
      <w:r w:rsidRPr="001B536C">
        <w:rPr>
          <w:szCs w:val="22"/>
        </w:rPr>
        <w:t xml:space="preserve">n such situations the Commission </w:t>
      </w:r>
      <w:r w:rsidR="00F911A7">
        <w:rPr>
          <w:szCs w:val="22"/>
        </w:rPr>
        <w:t>would not expect to</w:t>
      </w:r>
      <w:r w:rsidRPr="001B536C">
        <w:rPr>
          <w:szCs w:val="22"/>
        </w:rPr>
        <w:t xml:space="preserve"> take enforcement action due to the</w:t>
      </w:r>
      <w:r w:rsidR="004F773E">
        <w:rPr>
          <w:szCs w:val="22"/>
        </w:rPr>
        <w:t xml:space="preserve"> licensee’s</w:t>
      </w:r>
      <w:r w:rsidRPr="001B536C">
        <w:rPr>
          <w:szCs w:val="22"/>
        </w:rPr>
        <w:t xml:space="preserve"> </w:t>
      </w:r>
      <w:r w:rsidR="004C5516">
        <w:rPr>
          <w:szCs w:val="22"/>
        </w:rPr>
        <w:t xml:space="preserve">inadvertent </w:t>
      </w:r>
      <w:r w:rsidRPr="001B536C">
        <w:rPr>
          <w:szCs w:val="22"/>
        </w:rPr>
        <w:t xml:space="preserve">non-compliance </w:t>
      </w:r>
      <w:r w:rsidR="004F773E">
        <w:rPr>
          <w:szCs w:val="22"/>
        </w:rPr>
        <w:t>with the foreign ownership rules</w:t>
      </w:r>
      <w:r w:rsidR="00061520">
        <w:rPr>
          <w:szCs w:val="22"/>
        </w:rPr>
        <w:t xml:space="preserve">, provided the licensee satisfies </w:t>
      </w:r>
      <w:r w:rsidR="00504A22">
        <w:rPr>
          <w:szCs w:val="22"/>
        </w:rPr>
        <w:t>the specified</w:t>
      </w:r>
      <w:r w:rsidR="00061520">
        <w:rPr>
          <w:szCs w:val="22"/>
        </w:rPr>
        <w:t xml:space="preserve"> requirements</w:t>
      </w:r>
      <w:r w:rsidRPr="001B536C">
        <w:rPr>
          <w:szCs w:val="22"/>
        </w:rPr>
        <w:t>.</w:t>
      </w:r>
      <w:r>
        <w:rPr>
          <w:rStyle w:val="FootnoteReference"/>
          <w:szCs w:val="22"/>
        </w:rPr>
        <w:footnoteReference w:id="7"/>
      </w:r>
      <w:r w:rsidRPr="001B536C">
        <w:rPr>
          <w:szCs w:val="22"/>
        </w:rPr>
        <w:t xml:space="preserve">  </w:t>
      </w:r>
      <w:r w:rsidRPr="001B536C" w:rsidR="00861AD4">
        <w:rPr>
          <w:szCs w:val="22"/>
        </w:rPr>
        <w:t xml:space="preserve"> </w:t>
      </w:r>
    </w:p>
    <w:p w:rsidR="007C744B" w:rsidRPr="001B536C" w:rsidP="00AE7052" w14:paraId="2025226E" w14:textId="57342688">
      <w:pPr>
        <w:spacing w:after="120"/>
        <w:ind w:firstLine="720"/>
        <w:rPr>
          <w:szCs w:val="22"/>
        </w:rPr>
      </w:pPr>
      <w:r w:rsidRPr="001B536C">
        <w:rPr>
          <w:szCs w:val="22"/>
        </w:rPr>
        <w:t xml:space="preserve">On January </w:t>
      </w:r>
      <w:r w:rsidRPr="00D77147">
        <w:rPr>
          <w:szCs w:val="22"/>
        </w:rPr>
        <w:t>29</w:t>
      </w:r>
      <w:r w:rsidRPr="004F773E">
        <w:rPr>
          <w:szCs w:val="22"/>
        </w:rPr>
        <w:t>,</w:t>
      </w:r>
      <w:r w:rsidRPr="001B536C">
        <w:rPr>
          <w:szCs w:val="22"/>
        </w:rPr>
        <w:t xml:space="preserve"> 2026, the Commission adopted </w:t>
      </w:r>
      <w:r w:rsidR="006C547F">
        <w:rPr>
          <w:szCs w:val="22"/>
        </w:rPr>
        <w:t xml:space="preserve">the </w:t>
      </w:r>
      <w:r w:rsidRPr="00EA56BB" w:rsidR="00EA56BB">
        <w:rPr>
          <w:i/>
          <w:iCs/>
          <w:szCs w:val="22"/>
        </w:rPr>
        <w:t>2026</w:t>
      </w:r>
      <w:r w:rsidR="00EA56BB">
        <w:rPr>
          <w:szCs w:val="22"/>
        </w:rPr>
        <w:t xml:space="preserve"> </w:t>
      </w:r>
      <w:r w:rsidRPr="001B536C" w:rsidR="00990345">
        <w:rPr>
          <w:i/>
          <w:iCs/>
          <w:szCs w:val="22"/>
        </w:rPr>
        <w:t>Foreign Ownership</w:t>
      </w:r>
      <w:r w:rsidRPr="001B536C" w:rsidR="00990345">
        <w:rPr>
          <w:szCs w:val="22"/>
        </w:rPr>
        <w:t xml:space="preserve"> </w:t>
      </w:r>
      <w:r w:rsidRPr="001B536C" w:rsidR="00990345">
        <w:rPr>
          <w:i/>
          <w:iCs/>
          <w:szCs w:val="22"/>
        </w:rPr>
        <w:t xml:space="preserve">Report and </w:t>
      </w:r>
      <w:r w:rsidRPr="00F63FDF" w:rsidR="00990345">
        <w:rPr>
          <w:i/>
          <w:iCs/>
          <w:szCs w:val="22"/>
        </w:rPr>
        <w:t>Order</w:t>
      </w:r>
      <w:r w:rsidRPr="00F63FDF">
        <w:rPr>
          <w:szCs w:val="22"/>
        </w:rPr>
        <w:t xml:space="preserve"> </w:t>
      </w:r>
      <w:r w:rsidRPr="00F63FDF" w:rsidR="00BA0918">
        <w:rPr>
          <w:szCs w:val="22"/>
        </w:rPr>
        <w:t>modifying</w:t>
      </w:r>
      <w:r w:rsidRPr="00F63FDF">
        <w:rPr>
          <w:szCs w:val="22"/>
        </w:rPr>
        <w:t xml:space="preserve"> the </w:t>
      </w:r>
      <w:r w:rsidRPr="00F63FDF" w:rsidR="004F773E">
        <w:rPr>
          <w:szCs w:val="22"/>
        </w:rPr>
        <w:t>Com</w:t>
      </w:r>
      <w:r w:rsidR="004F773E">
        <w:rPr>
          <w:szCs w:val="22"/>
        </w:rPr>
        <w:t xml:space="preserve">mission’s </w:t>
      </w:r>
      <w:r w:rsidRPr="001B536C">
        <w:rPr>
          <w:szCs w:val="22"/>
        </w:rPr>
        <w:t xml:space="preserve">foreign ownership rules and streamlining </w:t>
      </w:r>
      <w:r w:rsidR="004F773E">
        <w:rPr>
          <w:szCs w:val="22"/>
        </w:rPr>
        <w:t>its</w:t>
      </w:r>
      <w:r w:rsidRPr="001B536C">
        <w:rPr>
          <w:szCs w:val="22"/>
        </w:rPr>
        <w:t xml:space="preserve"> foreign ownership review process.</w:t>
      </w:r>
      <w:r>
        <w:rPr>
          <w:rStyle w:val="FootnoteReference"/>
          <w:szCs w:val="22"/>
        </w:rPr>
        <w:footnoteReference w:id="8"/>
      </w:r>
      <w:r w:rsidRPr="001B536C">
        <w:rPr>
          <w:szCs w:val="22"/>
        </w:rPr>
        <w:t xml:space="preserve">  Among other things, the </w:t>
      </w:r>
      <w:r w:rsidRPr="00EA56BB" w:rsidR="00EA56BB">
        <w:rPr>
          <w:i/>
          <w:iCs/>
          <w:szCs w:val="22"/>
        </w:rPr>
        <w:t>2026</w:t>
      </w:r>
      <w:r w:rsidR="00EA56BB">
        <w:rPr>
          <w:szCs w:val="22"/>
        </w:rPr>
        <w:t xml:space="preserve"> </w:t>
      </w:r>
      <w:r w:rsidRPr="001B536C" w:rsidR="00102B7F">
        <w:rPr>
          <w:i/>
          <w:iCs/>
          <w:szCs w:val="22"/>
        </w:rPr>
        <w:t>Foreign Ownership</w:t>
      </w:r>
      <w:r w:rsidRPr="001B536C" w:rsidR="00102B7F">
        <w:rPr>
          <w:szCs w:val="22"/>
        </w:rPr>
        <w:t xml:space="preserve"> </w:t>
      </w:r>
      <w:r w:rsidRPr="001B536C">
        <w:rPr>
          <w:i/>
          <w:iCs/>
          <w:szCs w:val="22"/>
        </w:rPr>
        <w:t>Report and Order</w:t>
      </w:r>
      <w:r w:rsidRPr="001B536C">
        <w:rPr>
          <w:szCs w:val="22"/>
        </w:rPr>
        <w:t xml:space="preserve"> </w:t>
      </w:r>
      <w:r w:rsidR="004F773E">
        <w:rPr>
          <w:szCs w:val="22"/>
        </w:rPr>
        <w:t>revised the Rules to permit</w:t>
      </w:r>
      <w:r w:rsidRPr="001B536C" w:rsidR="004F773E">
        <w:rPr>
          <w:szCs w:val="22"/>
        </w:rPr>
        <w:t xml:space="preserve"> </w:t>
      </w:r>
      <w:r w:rsidRPr="001B536C">
        <w:rPr>
          <w:szCs w:val="22"/>
        </w:rPr>
        <w:t xml:space="preserve">privately held </w:t>
      </w:r>
      <w:r w:rsidR="004C5516">
        <w:rPr>
          <w:szCs w:val="22"/>
        </w:rPr>
        <w:t>entities</w:t>
      </w:r>
      <w:r w:rsidR="004F773E">
        <w:rPr>
          <w:szCs w:val="22"/>
        </w:rPr>
        <w:t xml:space="preserve"> to avail themselves of the </w:t>
      </w:r>
      <w:r w:rsidRPr="001B536C" w:rsidR="004F773E">
        <w:rPr>
          <w:szCs w:val="22"/>
        </w:rPr>
        <w:t>Remedial Petition process</w:t>
      </w:r>
      <w:r w:rsidR="004F773E">
        <w:rPr>
          <w:szCs w:val="22"/>
        </w:rPr>
        <w:t xml:space="preserve">, and, by extension, the </w:t>
      </w:r>
      <w:r w:rsidRPr="001B536C" w:rsidR="004F773E">
        <w:rPr>
          <w:szCs w:val="22"/>
        </w:rPr>
        <w:t>safe</w:t>
      </w:r>
      <w:r w:rsidR="000D6265">
        <w:rPr>
          <w:szCs w:val="22"/>
        </w:rPr>
        <w:t xml:space="preserve"> </w:t>
      </w:r>
      <w:r w:rsidRPr="001B536C" w:rsidR="004F773E">
        <w:rPr>
          <w:szCs w:val="22"/>
        </w:rPr>
        <w:t>harbor it affords</w:t>
      </w:r>
      <w:r w:rsidRPr="001B536C">
        <w:rPr>
          <w:szCs w:val="22"/>
        </w:rPr>
        <w:t>.</w:t>
      </w:r>
      <w:r>
        <w:rPr>
          <w:rStyle w:val="FootnoteReference"/>
          <w:szCs w:val="22"/>
        </w:rPr>
        <w:footnoteReference w:id="9"/>
      </w:r>
      <w:r w:rsidRPr="001B536C">
        <w:rPr>
          <w:szCs w:val="22"/>
        </w:rPr>
        <w:t xml:space="preserve">  </w:t>
      </w:r>
      <w:r w:rsidRPr="001B536C" w:rsidR="008F2467">
        <w:rPr>
          <w:szCs w:val="22"/>
        </w:rPr>
        <w:t>Previously, the Remedial Petition process and safe</w:t>
      </w:r>
      <w:r w:rsidR="000D6265">
        <w:rPr>
          <w:szCs w:val="22"/>
        </w:rPr>
        <w:t xml:space="preserve"> </w:t>
      </w:r>
      <w:r w:rsidRPr="001B536C" w:rsidR="008F2467">
        <w:rPr>
          <w:szCs w:val="22"/>
        </w:rPr>
        <w:t xml:space="preserve">harbor had </w:t>
      </w:r>
      <w:r w:rsidR="00AC3399">
        <w:rPr>
          <w:szCs w:val="22"/>
        </w:rPr>
        <w:t xml:space="preserve">been available </w:t>
      </w:r>
      <w:r w:rsidRPr="001B536C" w:rsidR="008F2467">
        <w:rPr>
          <w:szCs w:val="22"/>
        </w:rPr>
        <w:t xml:space="preserve">to </w:t>
      </w:r>
      <w:r w:rsidR="001D561C">
        <w:rPr>
          <w:szCs w:val="22"/>
        </w:rPr>
        <w:t xml:space="preserve">broadcast </w:t>
      </w:r>
      <w:r w:rsidRPr="001B536C" w:rsidR="008F2467">
        <w:rPr>
          <w:szCs w:val="22"/>
        </w:rPr>
        <w:t xml:space="preserve">licensees </w:t>
      </w:r>
      <w:r w:rsidR="001D561C">
        <w:rPr>
          <w:szCs w:val="22"/>
        </w:rPr>
        <w:t xml:space="preserve">only if the licensee’s </w:t>
      </w:r>
      <w:r w:rsidRPr="00F062D8" w:rsidR="00F062D8">
        <w:rPr>
          <w:szCs w:val="22"/>
        </w:rPr>
        <w:t xml:space="preserve">controlling U.S. parent </w:t>
      </w:r>
      <w:r w:rsidR="00F062D8">
        <w:rPr>
          <w:szCs w:val="22"/>
        </w:rPr>
        <w:t>was</w:t>
      </w:r>
      <w:r w:rsidRPr="00F062D8" w:rsidR="00F062D8">
        <w:rPr>
          <w:szCs w:val="22"/>
        </w:rPr>
        <w:t xml:space="preserve"> an eligible U.S. public company</w:t>
      </w:r>
      <w:r w:rsidR="00F062D8">
        <w:rPr>
          <w:szCs w:val="22"/>
        </w:rPr>
        <w:t>.</w:t>
      </w:r>
      <w:r>
        <w:rPr>
          <w:rStyle w:val="FootnoteReference"/>
          <w:szCs w:val="22"/>
        </w:rPr>
        <w:footnoteReference w:id="10"/>
      </w:r>
      <w:r w:rsidR="00F062D8">
        <w:rPr>
          <w:szCs w:val="22"/>
        </w:rPr>
        <w:t xml:space="preserve">  </w:t>
      </w:r>
    </w:p>
    <w:p w:rsidR="0002766A" w:rsidRPr="001B536C" w:rsidP="00AE7052" w14:paraId="335F5982" w14:textId="7832D760">
      <w:pPr>
        <w:spacing w:after="120"/>
        <w:ind w:firstLine="720"/>
        <w:rPr>
          <w:szCs w:val="22"/>
        </w:rPr>
      </w:pPr>
      <w:r w:rsidRPr="001B536C">
        <w:rPr>
          <w:szCs w:val="22"/>
        </w:rPr>
        <w:t xml:space="preserve">In addition, the </w:t>
      </w:r>
      <w:r w:rsidRPr="00EA56BB" w:rsidR="00EA56BB">
        <w:rPr>
          <w:i/>
          <w:iCs/>
          <w:szCs w:val="22"/>
        </w:rPr>
        <w:t>2026</w:t>
      </w:r>
      <w:r w:rsidR="00EA56BB">
        <w:rPr>
          <w:szCs w:val="22"/>
        </w:rPr>
        <w:t xml:space="preserve"> </w:t>
      </w:r>
      <w:r w:rsidRPr="001B536C" w:rsidR="00102B7F">
        <w:rPr>
          <w:i/>
          <w:iCs/>
          <w:szCs w:val="22"/>
        </w:rPr>
        <w:t>Foreign Ownership</w:t>
      </w:r>
      <w:r w:rsidRPr="001B536C" w:rsidR="00102B7F">
        <w:rPr>
          <w:szCs w:val="22"/>
        </w:rPr>
        <w:t xml:space="preserve"> </w:t>
      </w:r>
      <w:r w:rsidRPr="001B536C">
        <w:rPr>
          <w:i/>
          <w:iCs/>
          <w:szCs w:val="22"/>
        </w:rPr>
        <w:t>Report and Order</w:t>
      </w:r>
      <w:r w:rsidRPr="001B536C">
        <w:rPr>
          <w:szCs w:val="22"/>
        </w:rPr>
        <w:t xml:space="preserve"> directed the Bureau to specify processing guidelines for the treatment of applications filed by a broadcast licensee during the pendency of a foreign ownership Remedial Petition.</w:t>
      </w:r>
      <w:r>
        <w:rPr>
          <w:rStyle w:val="FootnoteReference"/>
          <w:szCs w:val="22"/>
        </w:rPr>
        <w:footnoteReference w:id="11"/>
      </w:r>
      <w:r w:rsidRPr="001B536C">
        <w:rPr>
          <w:szCs w:val="22"/>
        </w:rPr>
        <w:t xml:space="preserve">  In order to permit individualized approaches to specific cases, the Commission concluded that guidelines issued by the Bureau </w:t>
      </w:r>
      <w:r w:rsidR="00AC3399">
        <w:rPr>
          <w:szCs w:val="22"/>
        </w:rPr>
        <w:t>were</w:t>
      </w:r>
      <w:r w:rsidRPr="001B536C">
        <w:rPr>
          <w:szCs w:val="22"/>
        </w:rPr>
        <w:t xml:space="preserve"> preferable to rules for this purpose.</w:t>
      </w:r>
      <w:r>
        <w:rPr>
          <w:rStyle w:val="FootnoteReference"/>
          <w:szCs w:val="22"/>
        </w:rPr>
        <w:footnoteReference w:id="12"/>
      </w:r>
      <w:r w:rsidRPr="001B536C">
        <w:rPr>
          <w:szCs w:val="22"/>
        </w:rPr>
        <w:t xml:space="preserve">  </w:t>
      </w:r>
      <w:r w:rsidRPr="001B536C" w:rsidR="009B135C">
        <w:rPr>
          <w:szCs w:val="22"/>
        </w:rPr>
        <w:t>Accordingly, t</w:t>
      </w:r>
      <w:r w:rsidRPr="001B536C" w:rsidR="00623E9C">
        <w:rPr>
          <w:szCs w:val="22"/>
        </w:rPr>
        <w:t>o provide clarity to the broadcast industr</w:t>
      </w:r>
      <w:r w:rsidRPr="001B536C">
        <w:rPr>
          <w:szCs w:val="22"/>
        </w:rPr>
        <w:t xml:space="preserve">y </w:t>
      </w:r>
      <w:r w:rsidRPr="001B536C" w:rsidR="006E2C2F">
        <w:rPr>
          <w:szCs w:val="22"/>
        </w:rPr>
        <w:t xml:space="preserve">and licensees, </w:t>
      </w:r>
      <w:r w:rsidRPr="001B536C">
        <w:rPr>
          <w:szCs w:val="22"/>
        </w:rPr>
        <w:t xml:space="preserve">we provide the following guidance on the processing of broadcast applications during the pendency of a </w:t>
      </w:r>
      <w:r w:rsidRPr="001B536C" w:rsidR="006E2C2F">
        <w:rPr>
          <w:szCs w:val="22"/>
        </w:rPr>
        <w:t>Remedial Petition</w:t>
      </w:r>
      <w:r w:rsidRPr="001B536C">
        <w:rPr>
          <w:szCs w:val="22"/>
        </w:rPr>
        <w:t xml:space="preserve">. </w:t>
      </w:r>
    </w:p>
    <w:p w:rsidR="00CC6137" w:rsidRPr="001B536C" w:rsidP="00613F4A" w14:paraId="215EA911" w14:textId="4C38335A">
      <w:pPr>
        <w:widowControl/>
        <w:spacing w:after="120"/>
        <w:ind w:firstLine="720"/>
        <w:rPr>
          <w:szCs w:val="22"/>
        </w:rPr>
      </w:pPr>
      <w:r w:rsidRPr="001B536C">
        <w:rPr>
          <w:i/>
          <w:iCs/>
          <w:szCs w:val="22"/>
        </w:rPr>
        <w:t>Discussion</w:t>
      </w:r>
      <w:r w:rsidRPr="001B536C">
        <w:rPr>
          <w:szCs w:val="22"/>
        </w:rPr>
        <w:t xml:space="preserve">.  </w:t>
      </w:r>
      <w:r w:rsidRPr="001B536C" w:rsidR="009F75BD">
        <w:rPr>
          <w:szCs w:val="22"/>
        </w:rPr>
        <w:t xml:space="preserve">Consistent with the </w:t>
      </w:r>
      <w:r w:rsidR="00CB6476">
        <w:rPr>
          <w:szCs w:val="22"/>
        </w:rPr>
        <w:t>discussion</w:t>
      </w:r>
      <w:r w:rsidRPr="001B536C" w:rsidR="004B0C26">
        <w:rPr>
          <w:szCs w:val="22"/>
        </w:rPr>
        <w:t xml:space="preserve"> outlined in the </w:t>
      </w:r>
      <w:r w:rsidRPr="00EA56BB" w:rsidR="00EA56BB">
        <w:rPr>
          <w:i/>
          <w:iCs/>
          <w:szCs w:val="22"/>
        </w:rPr>
        <w:t>2026</w:t>
      </w:r>
      <w:r w:rsidR="00EA56BB">
        <w:rPr>
          <w:szCs w:val="22"/>
        </w:rPr>
        <w:t xml:space="preserve"> </w:t>
      </w:r>
      <w:r w:rsidRPr="001B536C" w:rsidR="00AC3399">
        <w:rPr>
          <w:i/>
          <w:iCs/>
          <w:szCs w:val="22"/>
        </w:rPr>
        <w:t>Foreign Ownership</w:t>
      </w:r>
      <w:r w:rsidRPr="001B536C" w:rsidR="00AC3399">
        <w:rPr>
          <w:szCs w:val="22"/>
        </w:rPr>
        <w:t xml:space="preserve"> </w:t>
      </w:r>
      <w:r w:rsidRPr="001B536C" w:rsidR="004B0C26">
        <w:rPr>
          <w:i/>
          <w:iCs/>
          <w:szCs w:val="22"/>
        </w:rPr>
        <w:t>Report and Order</w:t>
      </w:r>
      <w:r w:rsidRPr="001B536C" w:rsidR="005E1EDA">
        <w:rPr>
          <w:szCs w:val="22"/>
        </w:rPr>
        <w:t>,</w:t>
      </w:r>
      <w:r>
        <w:rPr>
          <w:rStyle w:val="FootnoteReference"/>
          <w:szCs w:val="22"/>
        </w:rPr>
        <w:footnoteReference w:id="13"/>
      </w:r>
      <w:r w:rsidRPr="001B536C" w:rsidR="005E1EDA">
        <w:rPr>
          <w:szCs w:val="22"/>
        </w:rPr>
        <w:t xml:space="preserve"> </w:t>
      </w:r>
      <w:r w:rsidRPr="009F76CB" w:rsidR="00436EA2">
        <w:rPr>
          <w:szCs w:val="22"/>
        </w:rPr>
        <w:t xml:space="preserve">the Bureau will typically proceed with the normal processing of routine types of applications, such as applications related to the continued operations of currently authorized broadcast facilities, and either grant with conditions or hold the processing of non-routine applications, such as applications </w:t>
      </w:r>
      <w:r w:rsidR="00436EA2">
        <w:rPr>
          <w:szCs w:val="22"/>
        </w:rPr>
        <w:t xml:space="preserve">seeking authorization for new facilities, </w:t>
      </w:r>
      <w:r w:rsidR="00B77E36">
        <w:rPr>
          <w:szCs w:val="22"/>
        </w:rPr>
        <w:t xml:space="preserve">the </w:t>
      </w:r>
      <w:r w:rsidR="00436EA2">
        <w:rPr>
          <w:szCs w:val="22"/>
        </w:rPr>
        <w:t>ren</w:t>
      </w:r>
      <w:r w:rsidRPr="009F76CB" w:rsidR="00436EA2">
        <w:rPr>
          <w:szCs w:val="22"/>
        </w:rPr>
        <w:t>ewal</w:t>
      </w:r>
      <w:r w:rsidR="00436EA2">
        <w:rPr>
          <w:szCs w:val="22"/>
        </w:rPr>
        <w:t xml:space="preserve"> of license</w:t>
      </w:r>
      <w:r w:rsidR="0041577B">
        <w:rPr>
          <w:szCs w:val="22"/>
        </w:rPr>
        <w:t>s</w:t>
      </w:r>
      <w:r w:rsidRPr="009F76CB" w:rsidR="00436EA2">
        <w:rPr>
          <w:szCs w:val="22"/>
        </w:rPr>
        <w:t xml:space="preserve">, </w:t>
      </w:r>
      <w:r w:rsidR="00436EA2">
        <w:rPr>
          <w:szCs w:val="22"/>
        </w:rPr>
        <w:t xml:space="preserve">or the assignment or </w:t>
      </w:r>
      <w:r w:rsidRPr="009F76CB" w:rsidR="00436EA2">
        <w:rPr>
          <w:szCs w:val="22"/>
        </w:rPr>
        <w:t>transfer</w:t>
      </w:r>
      <w:r w:rsidR="00436EA2">
        <w:rPr>
          <w:szCs w:val="22"/>
        </w:rPr>
        <w:t xml:space="preserve"> o</w:t>
      </w:r>
      <w:r w:rsidRPr="004C30F5" w:rsidR="00436EA2">
        <w:rPr>
          <w:szCs w:val="22"/>
        </w:rPr>
        <w:t xml:space="preserve">f </w:t>
      </w:r>
      <w:r w:rsidRPr="004C30F5" w:rsidR="00301FD7">
        <w:rPr>
          <w:szCs w:val="22"/>
        </w:rPr>
        <w:t xml:space="preserve">control of </w:t>
      </w:r>
      <w:r w:rsidRPr="004C30F5" w:rsidR="00436EA2">
        <w:rPr>
          <w:szCs w:val="22"/>
        </w:rPr>
        <w:t>licenses</w:t>
      </w:r>
      <w:r w:rsidRPr="009F76CB" w:rsidR="00436EA2">
        <w:rPr>
          <w:szCs w:val="22"/>
        </w:rPr>
        <w:t>.</w:t>
      </w:r>
      <w:r>
        <w:rPr>
          <w:rStyle w:val="FootnoteReference"/>
          <w:szCs w:val="22"/>
        </w:rPr>
        <w:footnoteReference w:id="14"/>
      </w:r>
      <w:r w:rsidR="00436EA2">
        <w:rPr>
          <w:szCs w:val="22"/>
        </w:rPr>
        <w:t xml:space="preserve">  Accordingly, as detailed further below, </w:t>
      </w:r>
      <w:r w:rsidRPr="001B536C" w:rsidR="005E1EDA">
        <w:rPr>
          <w:szCs w:val="22"/>
        </w:rPr>
        <w:t>f</w:t>
      </w:r>
      <w:r w:rsidRPr="001B536C" w:rsidR="009F75BD">
        <w:rPr>
          <w:szCs w:val="22"/>
        </w:rPr>
        <w:t xml:space="preserve">or </w:t>
      </w:r>
      <w:r w:rsidRPr="001B536C" w:rsidR="00227E11">
        <w:rPr>
          <w:szCs w:val="22"/>
        </w:rPr>
        <w:t>purposes</w:t>
      </w:r>
      <w:r w:rsidRPr="001B536C" w:rsidR="009F75BD">
        <w:rPr>
          <w:szCs w:val="22"/>
        </w:rPr>
        <w:t xml:space="preserve"> of processing applications during the pendency of a </w:t>
      </w:r>
      <w:r w:rsidRPr="001B536C" w:rsidR="005E1EDA">
        <w:rPr>
          <w:szCs w:val="22"/>
        </w:rPr>
        <w:t>R</w:t>
      </w:r>
      <w:r w:rsidRPr="001B536C" w:rsidR="009F75BD">
        <w:rPr>
          <w:szCs w:val="22"/>
        </w:rPr>
        <w:t xml:space="preserve">emedial </w:t>
      </w:r>
      <w:r w:rsidRPr="001B536C" w:rsidR="005E1EDA">
        <w:rPr>
          <w:szCs w:val="22"/>
        </w:rPr>
        <w:t>Petition</w:t>
      </w:r>
      <w:r w:rsidR="008B3EC5">
        <w:rPr>
          <w:szCs w:val="22"/>
        </w:rPr>
        <w:t>,</w:t>
      </w:r>
      <w:r w:rsidRPr="001B536C" w:rsidR="009F75BD">
        <w:rPr>
          <w:szCs w:val="22"/>
        </w:rPr>
        <w:t xml:space="preserve"> </w:t>
      </w:r>
      <w:r w:rsidRPr="001B536C" w:rsidR="00227E11">
        <w:rPr>
          <w:szCs w:val="22"/>
        </w:rPr>
        <w:t xml:space="preserve">we will generally divide </w:t>
      </w:r>
      <w:r w:rsidRPr="001B536C" w:rsidR="00102B7F">
        <w:rPr>
          <w:szCs w:val="22"/>
        </w:rPr>
        <w:t xml:space="preserve">broadcast </w:t>
      </w:r>
      <w:r w:rsidRPr="001B536C" w:rsidR="00227E11">
        <w:rPr>
          <w:szCs w:val="22"/>
        </w:rPr>
        <w:t xml:space="preserve">applications into </w:t>
      </w:r>
      <w:r w:rsidR="00E30F2B">
        <w:rPr>
          <w:szCs w:val="22"/>
        </w:rPr>
        <w:t>three</w:t>
      </w:r>
      <w:r w:rsidRPr="001B536C" w:rsidR="00E30F2B">
        <w:rPr>
          <w:szCs w:val="22"/>
        </w:rPr>
        <w:t xml:space="preserve"> </w:t>
      </w:r>
      <w:r w:rsidRPr="001B536C" w:rsidR="00227E11">
        <w:rPr>
          <w:szCs w:val="22"/>
        </w:rPr>
        <w:t xml:space="preserve">categories:  </w:t>
      </w:r>
      <w:r w:rsidRPr="001B536C" w:rsidR="00BE1A9F">
        <w:rPr>
          <w:szCs w:val="22"/>
        </w:rPr>
        <w:t>(</w:t>
      </w:r>
      <w:r w:rsidRPr="001B536C" w:rsidR="001A69B5">
        <w:rPr>
          <w:szCs w:val="22"/>
        </w:rPr>
        <w:t>1</w:t>
      </w:r>
      <w:r w:rsidRPr="001B536C" w:rsidR="00BE1A9F">
        <w:rPr>
          <w:szCs w:val="22"/>
        </w:rPr>
        <w:t xml:space="preserve">) </w:t>
      </w:r>
      <w:r w:rsidRPr="001B536C" w:rsidR="001A69B5">
        <w:rPr>
          <w:szCs w:val="22"/>
        </w:rPr>
        <w:t>applications related to the continued operation of existing broadcast facilities, including</w:t>
      </w:r>
      <w:r w:rsidRPr="001B536C" w:rsidR="005E141B">
        <w:rPr>
          <w:szCs w:val="22"/>
        </w:rPr>
        <w:t xml:space="preserve"> requests for</w:t>
      </w:r>
      <w:r w:rsidRPr="001B536C" w:rsidR="001A69B5">
        <w:rPr>
          <w:szCs w:val="22"/>
        </w:rPr>
        <w:t xml:space="preserve"> </w:t>
      </w:r>
      <w:r w:rsidRPr="001B536C" w:rsidR="00227E11">
        <w:rPr>
          <w:szCs w:val="22"/>
        </w:rPr>
        <w:t xml:space="preserve">special temporary authority (STA) </w:t>
      </w:r>
      <w:r w:rsidR="00BE5CD8">
        <w:rPr>
          <w:szCs w:val="22"/>
        </w:rPr>
        <w:t xml:space="preserve">and </w:t>
      </w:r>
      <w:r w:rsidRPr="001B536C" w:rsidR="00227E11">
        <w:rPr>
          <w:szCs w:val="22"/>
        </w:rPr>
        <w:t>minor modification</w:t>
      </w:r>
      <w:r w:rsidRPr="001B536C" w:rsidR="00BE1A9F">
        <w:rPr>
          <w:szCs w:val="22"/>
        </w:rPr>
        <w:t xml:space="preserve"> of existing facilities</w:t>
      </w:r>
      <w:r w:rsidR="00012D99">
        <w:rPr>
          <w:szCs w:val="22"/>
        </w:rPr>
        <w:t>;</w:t>
      </w:r>
      <w:r>
        <w:rPr>
          <w:rStyle w:val="FootnoteReference"/>
          <w:szCs w:val="22"/>
        </w:rPr>
        <w:footnoteReference w:id="15"/>
      </w:r>
      <w:r w:rsidR="00E30F2B">
        <w:rPr>
          <w:szCs w:val="22"/>
        </w:rPr>
        <w:t xml:space="preserve"> (2) applications for transfer of control or assignment of license, including </w:t>
      </w:r>
      <w:r w:rsidRPr="000051D1" w:rsidR="00227E11">
        <w:rPr>
          <w:i/>
          <w:iCs/>
          <w:szCs w:val="22"/>
        </w:rPr>
        <w:t>pro forma</w:t>
      </w:r>
      <w:r w:rsidRPr="001B536C" w:rsidR="00227E11">
        <w:rPr>
          <w:szCs w:val="22"/>
        </w:rPr>
        <w:t xml:space="preserve"> </w:t>
      </w:r>
      <w:r w:rsidRPr="001B536C" w:rsidR="00643270">
        <w:rPr>
          <w:szCs w:val="22"/>
        </w:rPr>
        <w:t>changes</w:t>
      </w:r>
      <w:r w:rsidR="00643270">
        <w:rPr>
          <w:szCs w:val="22"/>
        </w:rPr>
        <w:t xml:space="preserve"> in</w:t>
      </w:r>
      <w:r w:rsidRPr="001B536C" w:rsidR="00643270">
        <w:rPr>
          <w:szCs w:val="22"/>
        </w:rPr>
        <w:t xml:space="preserve"> </w:t>
      </w:r>
      <w:r w:rsidRPr="001B536C" w:rsidR="00BE1A9F">
        <w:rPr>
          <w:szCs w:val="22"/>
        </w:rPr>
        <w:t>ownership</w:t>
      </w:r>
      <w:r w:rsidRPr="001B536C" w:rsidR="001A69B5">
        <w:rPr>
          <w:szCs w:val="22"/>
        </w:rPr>
        <w:t>;</w:t>
      </w:r>
      <w:r>
        <w:rPr>
          <w:rStyle w:val="FootnoteReference"/>
          <w:szCs w:val="22"/>
        </w:rPr>
        <w:footnoteReference w:id="16"/>
      </w:r>
      <w:r w:rsidRPr="001B536C" w:rsidR="001A69B5">
        <w:rPr>
          <w:szCs w:val="22"/>
        </w:rPr>
        <w:t xml:space="preserve"> and (</w:t>
      </w:r>
      <w:r w:rsidR="00E30F2B">
        <w:rPr>
          <w:szCs w:val="22"/>
        </w:rPr>
        <w:t>3</w:t>
      </w:r>
      <w:r w:rsidRPr="001B536C" w:rsidR="001A69B5">
        <w:rPr>
          <w:szCs w:val="22"/>
        </w:rPr>
        <w:t>) applications for new authorizations, including construction permits for new facilities,</w:t>
      </w:r>
      <w:r w:rsidRPr="00BE5CD8" w:rsidR="00BE5CD8">
        <w:rPr>
          <w:szCs w:val="22"/>
        </w:rPr>
        <w:t xml:space="preserve"> </w:t>
      </w:r>
      <w:r w:rsidRPr="001B536C" w:rsidR="00BE5CD8">
        <w:rPr>
          <w:szCs w:val="22"/>
        </w:rPr>
        <w:t xml:space="preserve">construction permits for </w:t>
      </w:r>
      <w:r w:rsidR="00BE5CD8">
        <w:rPr>
          <w:szCs w:val="22"/>
        </w:rPr>
        <w:t>major modification</w:t>
      </w:r>
      <w:r w:rsidR="000434DB">
        <w:rPr>
          <w:szCs w:val="22"/>
        </w:rPr>
        <w:t xml:space="preserve"> of existing facilities</w:t>
      </w:r>
      <w:r w:rsidR="00BE5CD8">
        <w:rPr>
          <w:szCs w:val="22"/>
        </w:rPr>
        <w:t>,</w:t>
      </w:r>
      <w:r w:rsidRPr="001B536C" w:rsidR="001A69B5">
        <w:rPr>
          <w:szCs w:val="22"/>
        </w:rPr>
        <w:t xml:space="preserve"> licenses to cover</w:t>
      </w:r>
      <w:r w:rsidR="00BE5CD8">
        <w:rPr>
          <w:szCs w:val="22"/>
        </w:rPr>
        <w:t xml:space="preserve"> construction </w:t>
      </w:r>
      <w:r w:rsidR="000434DB">
        <w:rPr>
          <w:szCs w:val="22"/>
        </w:rPr>
        <w:t xml:space="preserve">of either </w:t>
      </w:r>
      <w:r w:rsidRPr="001B536C" w:rsidR="001A69B5">
        <w:rPr>
          <w:szCs w:val="22"/>
        </w:rPr>
        <w:t xml:space="preserve">new </w:t>
      </w:r>
      <w:r w:rsidR="000434DB">
        <w:rPr>
          <w:szCs w:val="22"/>
        </w:rPr>
        <w:t xml:space="preserve">facilities </w:t>
      </w:r>
      <w:r w:rsidRPr="001B536C" w:rsidR="001A69B5">
        <w:rPr>
          <w:szCs w:val="22"/>
        </w:rPr>
        <w:t xml:space="preserve">or </w:t>
      </w:r>
      <w:r w:rsidR="00BE5CD8">
        <w:rPr>
          <w:szCs w:val="22"/>
        </w:rPr>
        <w:t xml:space="preserve">major </w:t>
      </w:r>
      <w:r w:rsidRPr="001B536C" w:rsidR="001A69B5">
        <w:rPr>
          <w:szCs w:val="22"/>
        </w:rPr>
        <w:t>modifi</w:t>
      </w:r>
      <w:r w:rsidR="00BE5CD8">
        <w:rPr>
          <w:szCs w:val="22"/>
        </w:rPr>
        <w:t xml:space="preserve">cation of </w:t>
      </w:r>
      <w:r w:rsidR="000434DB">
        <w:rPr>
          <w:szCs w:val="22"/>
        </w:rPr>
        <w:t xml:space="preserve">existing </w:t>
      </w:r>
      <w:r w:rsidR="00BE5CD8">
        <w:rPr>
          <w:szCs w:val="22"/>
        </w:rPr>
        <w:t>facilities</w:t>
      </w:r>
      <w:r w:rsidR="005B10A4">
        <w:rPr>
          <w:szCs w:val="22"/>
        </w:rPr>
        <w:t>,</w:t>
      </w:r>
      <w:r w:rsidRPr="001B536C" w:rsidR="001A69B5">
        <w:rPr>
          <w:szCs w:val="22"/>
        </w:rPr>
        <w:t xml:space="preserve"> </w:t>
      </w:r>
      <w:r w:rsidR="00E30F2B">
        <w:rPr>
          <w:szCs w:val="22"/>
        </w:rPr>
        <w:t xml:space="preserve">and renewals of </w:t>
      </w:r>
      <w:r w:rsidRPr="001B536C" w:rsidR="00102B7F">
        <w:rPr>
          <w:szCs w:val="22"/>
        </w:rPr>
        <w:t>l</w:t>
      </w:r>
      <w:r w:rsidRPr="001B536C" w:rsidR="001A69B5">
        <w:rPr>
          <w:szCs w:val="22"/>
        </w:rPr>
        <w:t>icense</w:t>
      </w:r>
      <w:r w:rsidRPr="001B536C" w:rsidR="005E1EDA">
        <w:rPr>
          <w:szCs w:val="22"/>
        </w:rPr>
        <w:t>.</w:t>
      </w:r>
      <w:r>
        <w:rPr>
          <w:rStyle w:val="FootnoteReference"/>
          <w:szCs w:val="22"/>
        </w:rPr>
        <w:footnoteReference w:id="17"/>
      </w:r>
      <w:r w:rsidR="00B15DF6">
        <w:rPr>
          <w:szCs w:val="22"/>
        </w:rPr>
        <w:t xml:space="preserve">  </w:t>
      </w:r>
    </w:p>
    <w:p w:rsidR="00990345" w:rsidRPr="001B536C" w:rsidP="00336EC6" w14:paraId="5322FE98" w14:textId="6F5B652E">
      <w:pPr>
        <w:widowControl/>
        <w:spacing w:after="120"/>
        <w:ind w:firstLine="720"/>
        <w:rPr>
          <w:szCs w:val="22"/>
        </w:rPr>
      </w:pPr>
      <w:r w:rsidRPr="001B536C">
        <w:rPr>
          <w:szCs w:val="22"/>
        </w:rPr>
        <w:t>With regard to the first category involving applications related to the continued operation of an existing broadcast facility</w:t>
      </w:r>
      <w:r w:rsidRPr="001B536C">
        <w:rPr>
          <w:szCs w:val="22"/>
        </w:rPr>
        <w:t>,</w:t>
      </w:r>
      <w:r w:rsidRPr="001B536C">
        <w:rPr>
          <w:szCs w:val="22"/>
        </w:rPr>
        <w:t xml:space="preserve"> </w:t>
      </w:r>
      <w:r w:rsidR="00643270">
        <w:rPr>
          <w:szCs w:val="22"/>
        </w:rPr>
        <w:t>p</w:t>
      </w:r>
      <w:r w:rsidRPr="00012D99" w:rsidR="00643270">
        <w:rPr>
          <w:szCs w:val="22"/>
        </w:rPr>
        <w:t xml:space="preserve">rovided that the Remedial Petition is complete and there are no unresolved questions about whether the licensee/permittee is otherwise in compliance with </w:t>
      </w:r>
      <w:r w:rsidR="00B2599F">
        <w:rPr>
          <w:szCs w:val="22"/>
        </w:rPr>
        <w:t xml:space="preserve">the </w:t>
      </w:r>
      <w:r w:rsidR="001A4B6E">
        <w:rPr>
          <w:szCs w:val="22"/>
        </w:rPr>
        <w:t>R</w:t>
      </w:r>
      <w:r w:rsidRPr="00012D99" w:rsidR="00643270">
        <w:rPr>
          <w:szCs w:val="22"/>
        </w:rPr>
        <w:t xml:space="preserve">ules and </w:t>
      </w:r>
      <w:r w:rsidR="001A4B6E">
        <w:rPr>
          <w:szCs w:val="22"/>
        </w:rPr>
        <w:t xml:space="preserve">Commission </w:t>
      </w:r>
      <w:r w:rsidRPr="00012D99" w:rsidR="00643270">
        <w:rPr>
          <w:szCs w:val="22"/>
        </w:rPr>
        <w:t>policies</w:t>
      </w:r>
      <w:r w:rsidR="00643270">
        <w:rPr>
          <w:szCs w:val="22"/>
        </w:rPr>
        <w:t>, we</w:t>
      </w:r>
      <w:r w:rsidR="00CF60E9">
        <w:rPr>
          <w:szCs w:val="22"/>
        </w:rPr>
        <w:t xml:space="preserve"> will</w:t>
      </w:r>
      <w:r w:rsidR="00643270">
        <w:rPr>
          <w:szCs w:val="22"/>
        </w:rPr>
        <w:t xml:space="preserve"> </w:t>
      </w:r>
      <w:r w:rsidR="00F9611F">
        <w:rPr>
          <w:szCs w:val="22"/>
        </w:rPr>
        <w:t xml:space="preserve">typically </w:t>
      </w:r>
      <w:r w:rsidRPr="001B536C">
        <w:rPr>
          <w:szCs w:val="22"/>
        </w:rPr>
        <w:t xml:space="preserve">proceed with </w:t>
      </w:r>
      <w:r w:rsidR="00B2599F">
        <w:rPr>
          <w:szCs w:val="22"/>
        </w:rPr>
        <w:t xml:space="preserve">the </w:t>
      </w:r>
      <w:r w:rsidRPr="001B536C">
        <w:rPr>
          <w:szCs w:val="22"/>
        </w:rPr>
        <w:t xml:space="preserve">processing </w:t>
      </w:r>
      <w:r w:rsidR="00643270">
        <w:rPr>
          <w:szCs w:val="22"/>
        </w:rPr>
        <w:t xml:space="preserve">of such applications </w:t>
      </w:r>
      <w:r w:rsidRPr="001B536C">
        <w:rPr>
          <w:szCs w:val="22"/>
        </w:rPr>
        <w:t>despite the pendency of a Remedial Petition</w:t>
      </w:r>
      <w:r w:rsidRPr="001B536C">
        <w:rPr>
          <w:szCs w:val="22"/>
        </w:rPr>
        <w:t xml:space="preserve"> and without the need for additional conditions on the grant of any subsequent authorization</w:t>
      </w:r>
      <w:r w:rsidR="00643270">
        <w:rPr>
          <w:szCs w:val="22"/>
        </w:rPr>
        <w:t>.</w:t>
      </w:r>
      <w:r>
        <w:rPr>
          <w:rStyle w:val="FootnoteReference"/>
          <w:szCs w:val="22"/>
        </w:rPr>
        <w:footnoteReference w:id="18"/>
      </w:r>
      <w:r w:rsidRPr="001B536C">
        <w:rPr>
          <w:szCs w:val="22"/>
        </w:rPr>
        <w:t xml:space="preserve"> </w:t>
      </w:r>
    </w:p>
    <w:p w:rsidR="00E30F2B" w:rsidP="00AE7052" w14:paraId="42E0A9C7" w14:textId="016CD6F8">
      <w:pPr>
        <w:spacing w:after="120"/>
        <w:ind w:firstLine="720"/>
        <w:rPr>
          <w:szCs w:val="22"/>
        </w:rPr>
      </w:pPr>
      <w:r>
        <w:rPr>
          <w:szCs w:val="22"/>
        </w:rPr>
        <w:t>W</w:t>
      </w:r>
      <w:r w:rsidRPr="001B536C" w:rsidR="004B0C26">
        <w:rPr>
          <w:szCs w:val="22"/>
        </w:rPr>
        <w:t>ith regard to the second category of applications involving</w:t>
      </w:r>
      <w:r w:rsidRPr="00643270" w:rsidR="00643270">
        <w:rPr>
          <w:szCs w:val="22"/>
        </w:rPr>
        <w:t xml:space="preserve"> </w:t>
      </w:r>
      <w:r>
        <w:rPr>
          <w:szCs w:val="22"/>
        </w:rPr>
        <w:t xml:space="preserve">the </w:t>
      </w:r>
      <w:r w:rsidR="00643270">
        <w:rPr>
          <w:szCs w:val="22"/>
        </w:rPr>
        <w:t xml:space="preserve">transfer of control or assignment of license, including </w:t>
      </w:r>
      <w:r w:rsidRPr="000051D1" w:rsidR="00643270">
        <w:rPr>
          <w:i/>
          <w:iCs/>
          <w:szCs w:val="22"/>
        </w:rPr>
        <w:t>pro forma</w:t>
      </w:r>
      <w:r w:rsidRPr="001B536C" w:rsidR="00643270">
        <w:rPr>
          <w:szCs w:val="22"/>
        </w:rPr>
        <w:t xml:space="preserve"> ownership</w:t>
      </w:r>
      <w:r w:rsidRPr="00643270" w:rsidR="00643270">
        <w:rPr>
          <w:szCs w:val="22"/>
        </w:rPr>
        <w:t xml:space="preserve"> </w:t>
      </w:r>
      <w:r w:rsidRPr="001B536C" w:rsidR="00643270">
        <w:rPr>
          <w:szCs w:val="22"/>
        </w:rPr>
        <w:t>changes</w:t>
      </w:r>
      <w:r w:rsidRPr="001B536C" w:rsidR="00990345">
        <w:rPr>
          <w:szCs w:val="22"/>
        </w:rPr>
        <w:t xml:space="preserve">, </w:t>
      </w:r>
      <w:r>
        <w:rPr>
          <w:szCs w:val="22"/>
        </w:rPr>
        <w:t xml:space="preserve">and </w:t>
      </w:r>
      <w:r w:rsidR="00C33039">
        <w:rPr>
          <w:szCs w:val="22"/>
        </w:rPr>
        <w:t xml:space="preserve">provided </w:t>
      </w:r>
      <w:r>
        <w:rPr>
          <w:szCs w:val="22"/>
        </w:rPr>
        <w:t xml:space="preserve">that the Remedial Petition </w:t>
      </w:r>
      <w:r w:rsidR="00C33039">
        <w:rPr>
          <w:szCs w:val="22"/>
        </w:rPr>
        <w:t>is</w:t>
      </w:r>
      <w:r>
        <w:rPr>
          <w:szCs w:val="22"/>
        </w:rPr>
        <w:t xml:space="preserve"> complete and th</w:t>
      </w:r>
      <w:r w:rsidR="00C33039">
        <w:rPr>
          <w:szCs w:val="22"/>
        </w:rPr>
        <w:t>ere are no</w:t>
      </w:r>
      <w:r>
        <w:rPr>
          <w:szCs w:val="22"/>
        </w:rPr>
        <w:t xml:space="preserve"> unresolved questions </w:t>
      </w:r>
      <w:r w:rsidR="00C33039">
        <w:rPr>
          <w:szCs w:val="22"/>
        </w:rPr>
        <w:t>about</w:t>
      </w:r>
      <w:r>
        <w:rPr>
          <w:szCs w:val="22"/>
        </w:rPr>
        <w:t xml:space="preserve"> whether </w:t>
      </w:r>
      <w:r w:rsidR="00C33039">
        <w:rPr>
          <w:szCs w:val="22"/>
        </w:rPr>
        <w:t xml:space="preserve">the </w:t>
      </w:r>
      <w:r w:rsidR="003B3FE3">
        <w:rPr>
          <w:szCs w:val="22"/>
        </w:rPr>
        <w:t xml:space="preserve">parties to the application are </w:t>
      </w:r>
      <w:r>
        <w:rPr>
          <w:szCs w:val="22"/>
        </w:rPr>
        <w:t xml:space="preserve">otherwise in compliance with the </w:t>
      </w:r>
      <w:r w:rsidR="00C33039">
        <w:rPr>
          <w:szCs w:val="22"/>
        </w:rPr>
        <w:t>R</w:t>
      </w:r>
      <w:r>
        <w:rPr>
          <w:szCs w:val="22"/>
        </w:rPr>
        <w:t xml:space="preserve">ules and </w:t>
      </w:r>
      <w:r w:rsidR="00C33039">
        <w:rPr>
          <w:szCs w:val="22"/>
        </w:rPr>
        <w:t xml:space="preserve">Commission </w:t>
      </w:r>
      <w:r>
        <w:rPr>
          <w:szCs w:val="22"/>
        </w:rPr>
        <w:t xml:space="preserve">policies, </w:t>
      </w:r>
      <w:r w:rsidRPr="001B536C" w:rsidR="004B0C26">
        <w:rPr>
          <w:szCs w:val="22"/>
        </w:rPr>
        <w:t>we will</w:t>
      </w:r>
      <w:r w:rsidRPr="001B536C" w:rsidR="00990345">
        <w:rPr>
          <w:szCs w:val="22"/>
        </w:rPr>
        <w:t xml:space="preserve"> </w:t>
      </w:r>
      <w:r w:rsidR="00F14FAD">
        <w:rPr>
          <w:szCs w:val="22"/>
        </w:rPr>
        <w:t xml:space="preserve">typically </w:t>
      </w:r>
      <w:r w:rsidR="00C33039">
        <w:rPr>
          <w:szCs w:val="22"/>
        </w:rPr>
        <w:t xml:space="preserve">proceed with the </w:t>
      </w:r>
      <w:r w:rsidRPr="001B536C" w:rsidR="00990345">
        <w:rPr>
          <w:szCs w:val="22"/>
        </w:rPr>
        <w:t>process</w:t>
      </w:r>
      <w:r w:rsidR="00C33039">
        <w:rPr>
          <w:szCs w:val="22"/>
        </w:rPr>
        <w:t>ing</w:t>
      </w:r>
      <w:r w:rsidRPr="001B536C" w:rsidR="00990345">
        <w:rPr>
          <w:szCs w:val="22"/>
        </w:rPr>
        <w:t xml:space="preserve"> </w:t>
      </w:r>
      <w:r w:rsidR="00C33039">
        <w:rPr>
          <w:szCs w:val="22"/>
        </w:rPr>
        <w:t xml:space="preserve">of </w:t>
      </w:r>
      <w:r w:rsidRPr="001B536C" w:rsidR="00990345">
        <w:rPr>
          <w:szCs w:val="22"/>
        </w:rPr>
        <w:t xml:space="preserve">such applications during the pendency of a Remedial Petition; however, the grant of any such </w:t>
      </w:r>
      <w:r>
        <w:rPr>
          <w:szCs w:val="22"/>
        </w:rPr>
        <w:t xml:space="preserve">ensuing </w:t>
      </w:r>
      <w:r w:rsidRPr="001B536C" w:rsidR="00990345">
        <w:rPr>
          <w:szCs w:val="22"/>
        </w:rPr>
        <w:t>authorization</w:t>
      </w:r>
      <w:r w:rsidR="00643270">
        <w:rPr>
          <w:szCs w:val="22"/>
        </w:rPr>
        <w:t xml:space="preserve"> </w:t>
      </w:r>
      <w:r w:rsidRPr="001B536C" w:rsidR="00990345">
        <w:rPr>
          <w:szCs w:val="22"/>
        </w:rPr>
        <w:t xml:space="preserve">will </w:t>
      </w:r>
      <w:r w:rsidR="002F08AF">
        <w:rPr>
          <w:szCs w:val="22"/>
        </w:rPr>
        <w:t xml:space="preserve">typically </w:t>
      </w:r>
      <w:r w:rsidRPr="001B536C" w:rsidR="00990345">
        <w:rPr>
          <w:szCs w:val="22"/>
        </w:rPr>
        <w:t xml:space="preserve">be subject to </w:t>
      </w:r>
      <w:r w:rsidR="00025983">
        <w:rPr>
          <w:szCs w:val="22"/>
        </w:rPr>
        <w:t xml:space="preserve">the imposition of </w:t>
      </w:r>
      <w:r w:rsidRPr="001B536C" w:rsidR="00990345">
        <w:rPr>
          <w:szCs w:val="22"/>
        </w:rPr>
        <w:t xml:space="preserve">conditions </w:t>
      </w:r>
      <w:r w:rsidRPr="001B536C" w:rsidR="00FC7D83">
        <w:rPr>
          <w:szCs w:val="22"/>
        </w:rPr>
        <w:t xml:space="preserve">designed to </w:t>
      </w:r>
      <w:r w:rsidRPr="001B536C" w:rsidR="00990345">
        <w:rPr>
          <w:szCs w:val="22"/>
        </w:rPr>
        <w:t>minimize the involvement of the as-yet-unapproved foreign interest holder</w:t>
      </w:r>
      <w:r w:rsidR="00B2599F">
        <w:rPr>
          <w:szCs w:val="22"/>
        </w:rPr>
        <w:t>(</w:t>
      </w:r>
      <w:r w:rsidRPr="001B536C" w:rsidR="00990345">
        <w:rPr>
          <w:szCs w:val="22"/>
        </w:rPr>
        <w:t>s</w:t>
      </w:r>
      <w:r w:rsidR="00B2599F">
        <w:rPr>
          <w:szCs w:val="22"/>
        </w:rPr>
        <w:t>)</w:t>
      </w:r>
      <w:r w:rsidRPr="001B536C" w:rsidR="00990345">
        <w:rPr>
          <w:szCs w:val="22"/>
        </w:rPr>
        <w:t>.</w:t>
      </w:r>
      <w:r>
        <w:rPr>
          <w:rStyle w:val="FootnoteReference"/>
          <w:szCs w:val="22"/>
        </w:rPr>
        <w:footnoteReference w:id="19"/>
      </w:r>
      <w:r w:rsidRPr="001B536C" w:rsidR="00990345">
        <w:rPr>
          <w:szCs w:val="22"/>
        </w:rPr>
        <w:t xml:space="preserve"> </w:t>
      </w:r>
      <w:r w:rsidRPr="001B536C" w:rsidR="00743787">
        <w:rPr>
          <w:szCs w:val="22"/>
        </w:rPr>
        <w:t xml:space="preserve"> </w:t>
      </w:r>
      <w:r w:rsidRPr="00BF6B3B" w:rsidR="00BF6B3B">
        <w:rPr>
          <w:szCs w:val="22"/>
        </w:rPr>
        <w:t xml:space="preserve">Further, the grant of authorizations will </w:t>
      </w:r>
      <w:r w:rsidR="007646B3">
        <w:rPr>
          <w:szCs w:val="22"/>
        </w:rPr>
        <w:t xml:space="preserve">typically </w:t>
      </w:r>
      <w:r w:rsidRPr="00BF6B3B" w:rsidR="00BF6B3B">
        <w:rPr>
          <w:szCs w:val="22"/>
        </w:rPr>
        <w:t xml:space="preserve">be conditioned on the ultimate approval of the Remedial </w:t>
      </w:r>
      <w:r w:rsidRPr="00BC758D" w:rsidR="00BF6B3B">
        <w:rPr>
          <w:szCs w:val="22"/>
        </w:rPr>
        <w:t>Petition or</w:t>
      </w:r>
      <w:r w:rsidRPr="00BC758D" w:rsidR="00423537">
        <w:rPr>
          <w:szCs w:val="22"/>
        </w:rPr>
        <w:t>,</w:t>
      </w:r>
      <w:r w:rsidRPr="00BC758D" w:rsidR="00BF6B3B">
        <w:rPr>
          <w:szCs w:val="22"/>
        </w:rPr>
        <w:t xml:space="preserve"> alternatively</w:t>
      </w:r>
      <w:r w:rsidRPr="00BF6B3B" w:rsidR="00BF6B3B">
        <w:rPr>
          <w:szCs w:val="22"/>
        </w:rPr>
        <w:t>, remediation of the noncompliant foreign ownership, as well as subject to any enforcement action that may be warranted</w:t>
      </w:r>
      <w:r w:rsidR="009D5BD1">
        <w:rPr>
          <w:szCs w:val="22"/>
        </w:rPr>
        <w:t>, such as</w:t>
      </w:r>
      <w:r w:rsidRPr="00BF6B3B" w:rsidR="00BF6B3B">
        <w:rPr>
          <w:szCs w:val="22"/>
        </w:rPr>
        <w:t xml:space="preserve"> if the Commission determines that the Remedial Petition was </w:t>
      </w:r>
      <w:r w:rsidR="00650C92">
        <w:rPr>
          <w:szCs w:val="22"/>
        </w:rPr>
        <w:t xml:space="preserve">improper under section 1.5004(f)(3).  </w:t>
      </w:r>
      <w:r>
        <w:rPr>
          <w:szCs w:val="22"/>
        </w:rPr>
        <w:t>T</w:t>
      </w:r>
      <w:r w:rsidR="00CF4638">
        <w:rPr>
          <w:szCs w:val="22"/>
        </w:rPr>
        <w:t xml:space="preserve">he Bureau may </w:t>
      </w:r>
      <w:r>
        <w:rPr>
          <w:szCs w:val="22"/>
        </w:rPr>
        <w:t xml:space="preserve">choose </w:t>
      </w:r>
      <w:r w:rsidR="00076391">
        <w:rPr>
          <w:szCs w:val="22"/>
        </w:rPr>
        <w:t>not to impose</w:t>
      </w:r>
      <w:r w:rsidR="00CF4638">
        <w:rPr>
          <w:szCs w:val="22"/>
        </w:rPr>
        <w:t xml:space="preserve"> such conditions</w:t>
      </w:r>
      <w:r w:rsidR="00CF60E9">
        <w:rPr>
          <w:szCs w:val="22"/>
        </w:rPr>
        <w:t xml:space="preserve"> </w:t>
      </w:r>
      <w:r w:rsidR="00DE63DC">
        <w:rPr>
          <w:szCs w:val="22"/>
        </w:rPr>
        <w:t>depending on the particular facts presented, such as</w:t>
      </w:r>
      <w:r w:rsidR="00CF60E9">
        <w:rPr>
          <w:szCs w:val="22"/>
        </w:rPr>
        <w:t xml:space="preserve"> </w:t>
      </w:r>
      <w:r w:rsidR="00CF4638">
        <w:rPr>
          <w:szCs w:val="22"/>
        </w:rPr>
        <w:t>i</w:t>
      </w:r>
      <w:r w:rsidR="00643270">
        <w:rPr>
          <w:szCs w:val="22"/>
        </w:rPr>
        <w:t xml:space="preserve">n situations where the </w:t>
      </w:r>
      <w:r>
        <w:rPr>
          <w:szCs w:val="22"/>
        </w:rPr>
        <w:t>licensee</w:t>
      </w:r>
      <w:r w:rsidR="00B2599F">
        <w:rPr>
          <w:szCs w:val="22"/>
        </w:rPr>
        <w:t>/permittee</w:t>
      </w:r>
      <w:r>
        <w:rPr>
          <w:szCs w:val="22"/>
        </w:rPr>
        <w:t xml:space="preserve"> with the pending Remedial Petition </w:t>
      </w:r>
      <w:r w:rsidR="00643270">
        <w:rPr>
          <w:szCs w:val="22"/>
        </w:rPr>
        <w:t xml:space="preserve">is </w:t>
      </w:r>
      <w:r>
        <w:rPr>
          <w:szCs w:val="22"/>
        </w:rPr>
        <w:t>the party</w:t>
      </w:r>
      <w:r w:rsidR="00CF4638">
        <w:rPr>
          <w:szCs w:val="22"/>
        </w:rPr>
        <w:t xml:space="preserve"> </w:t>
      </w:r>
      <w:r w:rsidR="00643270">
        <w:rPr>
          <w:szCs w:val="22"/>
        </w:rPr>
        <w:t xml:space="preserve">assigning or transferring </w:t>
      </w:r>
      <w:r>
        <w:rPr>
          <w:szCs w:val="22"/>
        </w:rPr>
        <w:t>control of an</w:t>
      </w:r>
      <w:r w:rsidR="00643270">
        <w:rPr>
          <w:szCs w:val="22"/>
        </w:rPr>
        <w:t xml:space="preserve"> authorization</w:t>
      </w:r>
      <w:r w:rsidR="00CF4638">
        <w:rPr>
          <w:szCs w:val="22"/>
        </w:rPr>
        <w:t>,</w:t>
      </w:r>
      <w:r w:rsidR="00643270">
        <w:rPr>
          <w:szCs w:val="22"/>
        </w:rPr>
        <w:t xml:space="preserve"> as opposed to </w:t>
      </w:r>
      <w:r>
        <w:rPr>
          <w:szCs w:val="22"/>
        </w:rPr>
        <w:t xml:space="preserve">the party </w:t>
      </w:r>
      <w:r w:rsidR="00643270">
        <w:rPr>
          <w:szCs w:val="22"/>
        </w:rPr>
        <w:t xml:space="preserve">acquiring a new authorization.  </w:t>
      </w:r>
    </w:p>
    <w:p w:rsidR="00E30F2B" w:rsidP="00AE7052" w14:paraId="545BDEE7" w14:textId="5184BDB7">
      <w:pPr>
        <w:spacing w:after="120"/>
        <w:ind w:firstLine="720"/>
        <w:rPr>
          <w:szCs w:val="22"/>
        </w:rPr>
      </w:pPr>
      <w:r>
        <w:rPr>
          <w:szCs w:val="22"/>
        </w:rPr>
        <w:t xml:space="preserve">Finally, </w:t>
      </w:r>
      <w:r>
        <w:rPr>
          <w:szCs w:val="22"/>
        </w:rPr>
        <w:t>with regard to</w:t>
      </w:r>
      <w:r>
        <w:rPr>
          <w:szCs w:val="22"/>
        </w:rPr>
        <w:t xml:space="preserve"> the third category of </w:t>
      </w:r>
      <w:r w:rsidRPr="001B536C">
        <w:rPr>
          <w:szCs w:val="22"/>
        </w:rPr>
        <w:t>applications involving authorizations</w:t>
      </w:r>
      <w:r>
        <w:rPr>
          <w:szCs w:val="22"/>
        </w:rPr>
        <w:t xml:space="preserve"> for </w:t>
      </w:r>
      <w:r w:rsidR="00B2599F">
        <w:rPr>
          <w:szCs w:val="22"/>
        </w:rPr>
        <w:t>the co</w:t>
      </w:r>
      <w:r>
        <w:rPr>
          <w:szCs w:val="22"/>
        </w:rPr>
        <w:t xml:space="preserve">nstruction </w:t>
      </w:r>
      <w:r w:rsidR="000434DB">
        <w:rPr>
          <w:szCs w:val="22"/>
        </w:rPr>
        <w:t>of new facilities or</w:t>
      </w:r>
      <w:r w:rsidR="007C7B46">
        <w:rPr>
          <w:szCs w:val="22"/>
        </w:rPr>
        <w:t xml:space="preserve"> for the</w:t>
      </w:r>
      <w:r w:rsidR="000434DB">
        <w:rPr>
          <w:szCs w:val="22"/>
        </w:rPr>
        <w:t xml:space="preserve"> major modification of existing facilities</w:t>
      </w:r>
      <w:r>
        <w:rPr>
          <w:szCs w:val="22"/>
        </w:rPr>
        <w:t>, licenses</w:t>
      </w:r>
      <w:r w:rsidR="000434DB">
        <w:rPr>
          <w:szCs w:val="22"/>
        </w:rPr>
        <w:t xml:space="preserve"> </w:t>
      </w:r>
      <w:r w:rsidR="00B2599F">
        <w:rPr>
          <w:szCs w:val="22"/>
        </w:rPr>
        <w:t>to cover</w:t>
      </w:r>
      <w:r w:rsidR="000434DB">
        <w:rPr>
          <w:szCs w:val="22"/>
        </w:rPr>
        <w:t xml:space="preserve"> construction of the same</w:t>
      </w:r>
      <w:r>
        <w:rPr>
          <w:szCs w:val="22"/>
        </w:rPr>
        <w:t xml:space="preserve">, or </w:t>
      </w:r>
      <w:r w:rsidRPr="001B536C">
        <w:rPr>
          <w:szCs w:val="22"/>
        </w:rPr>
        <w:t xml:space="preserve">license renewals, </w:t>
      </w:r>
      <w:r>
        <w:rPr>
          <w:szCs w:val="22"/>
        </w:rPr>
        <w:t xml:space="preserve">generally </w:t>
      </w:r>
      <w:r w:rsidRPr="001B536C" w:rsidR="007C7B46">
        <w:rPr>
          <w:szCs w:val="22"/>
        </w:rPr>
        <w:t xml:space="preserve">we </w:t>
      </w:r>
      <w:r w:rsidR="00CF60E9">
        <w:rPr>
          <w:szCs w:val="22"/>
        </w:rPr>
        <w:t>will</w:t>
      </w:r>
      <w:r>
        <w:rPr>
          <w:szCs w:val="22"/>
        </w:rPr>
        <w:t xml:space="preserve"> hold processing of </w:t>
      </w:r>
      <w:r w:rsidRPr="001B536C">
        <w:rPr>
          <w:szCs w:val="22"/>
        </w:rPr>
        <w:t>such applications during the pendency of a Remedial Petition</w:t>
      </w:r>
      <w:r>
        <w:rPr>
          <w:szCs w:val="22"/>
        </w:rPr>
        <w:t>.</w:t>
      </w:r>
      <w:r w:rsidR="00CF4638">
        <w:rPr>
          <w:szCs w:val="22"/>
        </w:rPr>
        <w:t xml:space="preserve">  </w:t>
      </w:r>
      <w:r w:rsidRPr="00F7119A" w:rsidR="00F7119A">
        <w:rPr>
          <w:szCs w:val="22"/>
        </w:rPr>
        <w:t xml:space="preserve">Applications for new authorizations, construction permits for new facilities, and licenses to cover construction of new facilities involve the grant of a new license or approval of a new facility, rather than the continued, routine operation of an existing </w:t>
      </w:r>
      <w:r w:rsidR="00B42276">
        <w:rPr>
          <w:szCs w:val="22"/>
        </w:rPr>
        <w:t>station</w:t>
      </w:r>
      <w:r w:rsidRPr="00F7119A" w:rsidR="00F7119A">
        <w:rPr>
          <w:szCs w:val="22"/>
        </w:rPr>
        <w:t>, and we believe are best treated like applications for major modification of facilities, renewals of licenses, and acquisitions of new licenses, which similarly involve request</w:t>
      </w:r>
      <w:r w:rsidR="00B42276">
        <w:rPr>
          <w:szCs w:val="22"/>
        </w:rPr>
        <w:t>s</w:t>
      </w:r>
      <w:r w:rsidRPr="00F7119A" w:rsidR="00F7119A">
        <w:rPr>
          <w:szCs w:val="22"/>
        </w:rPr>
        <w:t xml:space="preserve"> for new facilit</w:t>
      </w:r>
      <w:r w:rsidR="00B42276">
        <w:rPr>
          <w:szCs w:val="22"/>
        </w:rPr>
        <w:t>ies</w:t>
      </w:r>
      <w:r w:rsidRPr="00F7119A" w:rsidR="00F7119A">
        <w:rPr>
          <w:szCs w:val="22"/>
        </w:rPr>
        <w:t xml:space="preserve"> or authorization</w:t>
      </w:r>
      <w:r w:rsidR="00B42276">
        <w:rPr>
          <w:szCs w:val="22"/>
        </w:rPr>
        <w:t>s</w:t>
      </w:r>
      <w:r w:rsidRPr="00F7119A" w:rsidR="00F7119A">
        <w:rPr>
          <w:szCs w:val="22"/>
        </w:rPr>
        <w:t>.</w:t>
      </w:r>
      <w:r>
        <w:rPr>
          <w:rStyle w:val="FootnoteReference"/>
          <w:szCs w:val="22"/>
        </w:rPr>
        <w:footnoteReference w:id="20"/>
      </w:r>
    </w:p>
    <w:p w:rsidR="00990345" w:rsidP="008B290C" w14:paraId="4116632E" w14:textId="4756FC5F">
      <w:pPr>
        <w:widowControl/>
        <w:spacing w:after="120"/>
        <w:ind w:firstLine="720"/>
        <w:rPr>
          <w:szCs w:val="22"/>
        </w:rPr>
      </w:pPr>
      <w:r>
        <w:rPr>
          <w:szCs w:val="22"/>
        </w:rPr>
        <w:t xml:space="preserve">Regardless of the </w:t>
      </w:r>
      <w:r w:rsidR="00C33039">
        <w:rPr>
          <w:szCs w:val="22"/>
        </w:rPr>
        <w:t>categories</w:t>
      </w:r>
      <w:r>
        <w:rPr>
          <w:szCs w:val="22"/>
        </w:rPr>
        <w:t xml:space="preserve"> outlined above,</w:t>
      </w:r>
      <w:r w:rsidR="00150984">
        <w:rPr>
          <w:szCs w:val="22"/>
        </w:rPr>
        <w:t xml:space="preserve"> the Bureau may determine </w:t>
      </w:r>
      <w:r w:rsidR="005B10A4">
        <w:rPr>
          <w:szCs w:val="22"/>
        </w:rPr>
        <w:t xml:space="preserve">in a particular case </w:t>
      </w:r>
      <w:r w:rsidR="00150984">
        <w:rPr>
          <w:szCs w:val="22"/>
        </w:rPr>
        <w:t>that grant of a new authorization, even with conditions, is not advisable during the pendency of the Remedial Petition</w:t>
      </w:r>
      <w:r>
        <w:rPr>
          <w:szCs w:val="22"/>
        </w:rPr>
        <w:t xml:space="preserve">.  Therefore, the Bureau may decide to </w:t>
      </w:r>
      <w:r w:rsidR="00150984">
        <w:rPr>
          <w:szCs w:val="22"/>
        </w:rPr>
        <w:t xml:space="preserve">defer action on a pending application until the </w:t>
      </w:r>
      <w:r w:rsidR="00026473">
        <w:rPr>
          <w:szCs w:val="22"/>
        </w:rPr>
        <w:t xml:space="preserve">Remedial Petition is </w:t>
      </w:r>
      <w:r w:rsidR="00CF60E9">
        <w:rPr>
          <w:szCs w:val="22"/>
        </w:rPr>
        <w:t>resolved</w:t>
      </w:r>
      <w:r w:rsidR="00026473">
        <w:rPr>
          <w:szCs w:val="22"/>
        </w:rPr>
        <w:t xml:space="preserve"> or the </w:t>
      </w:r>
      <w:r w:rsidR="00E92CFE">
        <w:rPr>
          <w:szCs w:val="22"/>
        </w:rPr>
        <w:t xml:space="preserve">non-compliant </w:t>
      </w:r>
      <w:r w:rsidR="00150984">
        <w:rPr>
          <w:szCs w:val="22"/>
        </w:rPr>
        <w:t xml:space="preserve">foreign ownership </w:t>
      </w:r>
      <w:r w:rsidR="005B10A4">
        <w:rPr>
          <w:szCs w:val="22"/>
        </w:rPr>
        <w:t>interest</w:t>
      </w:r>
      <w:r w:rsidR="00150984">
        <w:rPr>
          <w:szCs w:val="22"/>
        </w:rPr>
        <w:t xml:space="preserve"> is otherwise remedied.  </w:t>
      </w:r>
      <w:r w:rsidRPr="001B536C" w:rsidR="00FC7D83">
        <w:rPr>
          <w:szCs w:val="22"/>
        </w:rPr>
        <w:t xml:space="preserve">In determining whether to proceed with </w:t>
      </w:r>
      <w:r w:rsidRPr="001B536C" w:rsidR="001C3C26">
        <w:rPr>
          <w:szCs w:val="22"/>
        </w:rPr>
        <w:t xml:space="preserve">or </w:t>
      </w:r>
      <w:r w:rsidR="001C3C26">
        <w:rPr>
          <w:szCs w:val="22"/>
        </w:rPr>
        <w:t>suspend</w:t>
      </w:r>
      <w:r w:rsidRPr="001B536C" w:rsidR="001C3C26">
        <w:rPr>
          <w:szCs w:val="22"/>
        </w:rPr>
        <w:t xml:space="preserve"> </w:t>
      </w:r>
      <w:r w:rsidRPr="001B536C" w:rsidR="00FC7D83">
        <w:rPr>
          <w:szCs w:val="22"/>
        </w:rPr>
        <w:t xml:space="preserve">the processing of applications and/or </w:t>
      </w:r>
      <w:r w:rsidR="001C3C26">
        <w:rPr>
          <w:szCs w:val="22"/>
        </w:rPr>
        <w:t xml:space="preserve">whether </w:t>
      </w:r>
      <w:r w:rsidR="00025983">
        <w:rPr>
          <w:szCs w:val="22"/>
        </w:rPr>
        <w:t>to impose</w:t>
      </w:r>
      <w:r w:rsidRPr="001B536C" w:rsidR="00FC7D83">
        <w:rPr>
          <w:szCs w:val="22"/>
        </w:rPr>
        <w:t xml:space="preserve"> conditions, t</w:t>
      </w:r>
      <w:r w:rsidRPr="001B536C">
        <w:rPr>
          <w:szCs w:val="22"/>
        </w:rPr>
        <w:t>he Bureau will carefully consider the number and type of authorization(s) sought by the</w:t>
      </w:r>
      <w:r w:rsidRPr="001B536C" w:rsidR="00FC7D83">
        <w:rPr>
          <w:szCs w:val="22"/>
        </w:rPr>
        <w:t xml:space="preserve"> particular</w:t>
      </w:r>
      <w:r w:rsidRPr="001B536C">
        <w:rPr>
          <w:szCs w:val="22"/>
        </w:rPr>
        <w:t xml:space="preserve"> application, as well </w:t>
      </w:r>
      <w:r w:rsidR="001C3C26">
        <w:rPr>
          <w:szCs w:val="22"/>
        </w:rPr>
        <w:t xml:space="preserve">as </w:t>
      </w:r>
      <w:r w:rsidRPr="001B536C">
        <w:rPr>
          <w:szCs w:val="22"/>
        </w:rPr>
        <w:t xml:space="preserve">the scope and significance of the non-compliant foreign ownership </w:t>
      </w:r>
      <w:r w:rsidR="001C3C26">
        <w:rPr>
          <w:szCs w:val="22"/>
        </w:rPr>
        <w:t xml:space="preserve">interest </w:t>
      </w:r>
      <w:r w:rsidRPr="001B536C">
        <w:rPr>
          <w:szCs w:val="22"/>
        </w:rPr>
        <w:t>for which the pending Remedial Petition seeks consent</w:t>
      </w:r>
      <w:r w:rsidR="00150984">
        <w:rPr>
          <w:szCs w:val="22"/>
        </w:rPr>
        <w:t xml:space="preserve">, </w:t>
      </w:r>
      <w:r w:rsidRPr="00265396" w:rsidR="00265396">
        <w:rPr>
          <w:szCs w:val="22"/>
        </w:rPr>
        <w:t>national security</w:t>
      </w:r>
      <w:r w:rsidR="00265396">
        <w:rPr>
          <w:szCs w:val="22"/>
        </w:rPr>
        <w:t xml:space="preserve"> concerns,</w:t>
      </w:r>
      <w:r w:rsidRPr="00265396" w:rsidR="00265396">
        <w:rPr>
          <w:szCs w:val="22"/>
        </w:rPr>
        <w:t xml:space="preserve"> </w:t>
      </w:r>
      <w:r w:rsidR="00150984">
        <w:rPr>
          <w:szCs w:val="22"/>
        </w:rPr>
        <w:t>and any other relevant factors</w:t>
      </w:r>
      <w:r w:rsidRPr="001B536C" w:rsidR="00FC7D83">
        <w:rPr>
          <w:szCs w:val="22"/>
        </w:rPr>
        <w:t xml:space="preserve">.  </w:t>
      </w:r>
    </w:p>
    <w:p w:rsidR="00227E11" w:rsidRPr="001B536C" w:rsidP="00AE7052" w14:paraId="5E0AD22F" w14:textId="40D1B180">
      <w:pPr>
        <w:spacing w:after="120"/>
        <w:ind w:firstLine="720"/>
        <w:rPr>
          <w:szCs w:val="22"/>
        </w:rPr>
      </w:pPr>
      <w:r>
        <w:rPr>
          <w:szCs w:val="22"/>
        </w:rPr>
        <w:t>Further,</w:t>
      </w:r>
      <w:r w:rsidRPr="008B290C" w:rsidR="008B290C">
        <w:rPr>
          <w:szCs w:val="22"/>
        </w:rPr>
        <w:t xml:space="preserve"> </w:t>
      </w:r>
      <w:r w:rsidRPr="001B536C" w:rsidR="004E25D1">
        <w:rPr>
          <w:szCs w:val="22"/>
        </w:rPr>
        <w:t xml:space="preserve">while we </w:t>
      </w:r>
      <w:r w:rsidR="000F04EF">
        <w:rPr>
          <w:szCs w:val="22"/>
        </w:rPr>
        <w:t xml:space="preserve">provide this </w:t>
      </w:r>
      <w:r w:rsidR="00E05DB4">
        <w:rPr>
          <w:szCs w:val="22"/>
        </w:rPr>
        <w:t xml:space="preserve">general </w:t>
      </w:r>
      <w:r w:rsidR="000F04EF">
        <w:rPr>
          <w:szCs w:val="22"/>
        </w:rPr>
        <w:t xml:space="preserve">guidance </w:t>
      </w:r>
      <w:r w:rsidR="007E2D68">
        <w:rPr>
          <w:szCs w:val="22"/>
        </w:rPr>
        <w:t xml:space="preserve">for purposes of </w:t>
      </w:r>
      <w:r w:rsidRPr="001B536C" w:rsidR="004E25D1">
        <w:rPr>
          <w:szCs w:val="22"/>
        </w:rPr>
        <w:t xml:space="preserve">processing </w:t>
      </w:r>
      <w:r w:rsidR="007E2D68">
        <w:rPr>
          <w:szCs w:val="22"/>
        </w:rPr>
        <w:t>the various categories</w:t>
      </w:r>
      <w:r w:rsidRPr="001B536C" w:rsidR="004E25D1">
        <w:rPr>
          <w:szCs w:val="22"/>
        </w:rPr>
        <w:t xml:space="preserve"> of applications set forth above, </w:t>
      </w:r>
      <w:r w:rsidRPr="001B536C">
        <w:rPr>
          <w:szCs w:val="22"/>
        </w:rPr>
        <w:t xml:space="preserve">the </w:t>
      </w:r>
      <w:r w:rsidRPr="001B536C" w:rsidR="006E1400">
        <w:rPr>
          <w:szCs w:val="22"/>
        </w:rPr>
        <w:t>Bureau</w:t>
      </w:r>
      <w:r w:rsidRPr="001B536C">
        <w:rPr>
          <w:szCs w:val="22"/>
        </w:rPr>
        <w:t xml:space="preserve"> </w:t>
      </w:r>
      <w:r w:rsidRPr="001B536C" w:rsidR="0002766A">
        <w:rPr>
          <w:szCs w:val="22"/>
        </w:rPr>
        <w:t xml:space="preserve">retains the flexibility to </w:t>
      </w:r>
      <w:r w:rsidRPr="001B536C">
        <w:rPr>
          <w:szCs w:val="22"/>
        </w:rPr>
        <w:t xml:space="preserve">address </w:t>
      </w:r>
      <w:r w:rsidRPr="001B536C" w:rsidR="0002766A">
        <w:rPr>
          <w:szCs w:val="22"/>
        </w:rPr>
        <w:t xml:space="preserve">future situations individually </w:t>
      </w:r>
      <w:r w:rsidR="0074475B">
        <w:rPr>
          <w:szCs w:val="22"/>
        </w:rPr>
        <w:t>depending on</w:t>
      </w:r>
      <w:r w:rsidRPr="001B536C" w:rsidR="0074475B">
        <w:rPr>
          <w:szCs w:val="22"/>
        </w:rPr>
        <w:t xml:space="preserve"> </w:t>
      </w:r>
      <w:r w:rsidRPr="001B536C" w:rsidR="0002766A">
        <w:rPr>
          <w:szCs w:val="22"/>
        </w:rPr>
        <w:t xml:space="preserve">the particular </w:t>
      </w:r>
      <w:r w:rsidRPr="001B536C">
        <w:rPr>
          <w:szCs w:val="22"/>
        </w:rPr>
        <w:t xml:space="preserve">facts and circumstances of </w:t>
      </w:r>
      <w:r w:rsidRPr="001B536C" w:rsidR="0002766A">
        <w:rPr>
          <w:szCs w:val="22"/>
        </w:rPr>
        <w:t>a situation</w:t>
      </w:r>
      <w:r w:rsidR="0074475B">
        <w:rPr>
          <w:szCs w:val="22"/>
        </w:rPr>
        <w:t>, which may</w:t>
      </w:r>
      <w:r w:rsidRPr="001B536C" w:rsidR="0002766A">
        <w:rPr>
          <w:szCs w:val="22"/>
        </w:rPr>
        <w:t xml:space="preserve"> require a different approach than </w:t>
      </w:r>
      <w:r w:rsidR="00C01B47">
        <w:rPr>
          <w:szCs w:val="22"/>
        </w:rPr>
        <w:t xml:space="preserve">the guidelines </w:t>
      </w:r>
      <w:r w:rsidRPr="001B536C">
        <w:rPr>
          <w:szCs w:val="22"/>
        </w:rPr>
        <w:t xml:space="preserve">outlined above.  </w:t>
      </w:r>
      <w:r w:rsidR="00150984">
        <w:rPr>
          <w:szCs w:val="22"/>
        </w:rPr>
        <w:t>Further</w:t>
      </w:r>
      <w:r>
        <w:rPr>
          <w:szCs w:val="22"/>
        </w:rPr>
        <w:t>more</w:t>
      </w:r>
      <w:r w:rsidR="00150984">
        <w:rPr>
          <w:szCs w:val="22"/>
        </w:rPr>
        <w:t>, t</w:t>
      </w:r>
      <w:r w:rsidRPr="001B536C" w:rsidR="0002766A">
        <w:rPr>
          <w:szCs w:val="22"/>
        </w:rPr>
        <w:t xml:space="preserve">he </w:t>
      </w:r>
      <w:r w:rsidRPr="001B536C" w:rsidR="006E1400">
        <w:rPr>
          <w:szCs w:val="22"/>
        </w:rPr>
        <w:t>Bureau</w:t>
      </w:r>
      <w:r w:rsidRPr="001B536C" w:rsidR="00703EF6">
        <w:rPr>
          <w:szCs w:val="22"/>
        </w:rPr>
        <w:t xml:space="preserve"> retains the authority to</w:t>
      </w:r>
      <w:r w:rsidRPr="001B536C">
        <w:rPr>
          <w:szCs w:val="22"/>
        </w:rPr>
        <w:t xml:space="preserve"> tailor the processing of future </w:t>
      </w:r>
      <w:r w:rsidRPr="001B536C" w:rsidR="00AA5E7C">
        <w:rPr>
          <w:szCs w:val="22"/>
        </w:rPr>
        <w:t>applications</w:t>
      </w:r>
      <w:r w:rsidRPr="001B536C">
        <w:rPr>
          <w:szCs w:val="22"/>
        </w:rPr>
        <w:t xml:space="preserve"> as necessary, either on an individual basis or through the issuance of </w:t>
      </w:r>
      <w:r w:rsidRPr="001B536C">
        <w:rPr>
          <w:szCs w:val="22"/>
        </w:rPr>
        <w:t>a subsequent</w:t>
      </w:r>
      <w:r w:rsidRPr="001B536C">
        <w:rPr>
          <w:szCs w:val="22"/>
        </w:rPr>
        <w:t xml:space="preserve"> </w:t>
      </w:r>
      <w:r w:rsidRPr="001B536C" w:rsidR="006E1400">
        <w:rPr>
          <w:szCs w:val="22"/>
        </w:rPr>
        <w:t>public notice.</w:t>
      </w:r>
      <w:r w:rsidRPr="001B536C">
        <w:rPr>
          <w:szCs w:val="22"/>
        </w:rPr>
        <w:t xml:space="preserve">  </w:t>
      </w:r>
    </w:p>
    <w:p w:rsidR="00FD3F99" w:rsidRPr="001B536C" w:rsidP="00AE7052" w14:paraId="6176F726" w14:textId="41901AD5">
      <w:pPr>
        <w:spacing w:after="120"/>
        <w:ind w:firstLine="720"/>
        <w:rPr>
          <w:szCs w:val="22"/>
        </w:rPr>
      </w:pPr>
      <w:r w:rsidRPr="001B536C">
        <w:rPr>
          <w:szCs w:val="22"/>
        </w:rPr>
        <w:t xml:space="preserve">This action is taken by the </w:t>
      </w:r>
      <w:r w:rsidRPr="001B536C" w:rsidR="00A311C2">
        <w:rPr>
          <w:szCs w:val="22"/>
        </w:rPr>
        <w:t xml:space="preserve">Acting </w:t>
      </w:r>
      <w:r w:rsidRPr="001B536C">
        <w:rPr>
          <w:szCs w:val="22"/>
        </w:rPr>
        <w:t>Chief, Media Bureau, pursuant to authority delegated by 47 CFR §</w:t>
      </w:r>
      <w:r w:rsidRPr="001B536C" w:rsidR="00A311C2">
        <w:rPr>
          <w:szCs w:val="22"/>
        </w:rPr>
        <w:t xml:space="preserve"> </w:t>
      </w:r>
      <w:r w:rsidRPr="001B536C">
        <w:rPr>
          <w:szCs w:val="22"/>
        </w:rPr>
        <w:t xml:space="preserve">0.283 of the Commission’s </w:t>
      </w:r>
      <w:r w:rsidRPr="001B536C" w:rsidR="00A311C2">
        <w:rPr>
          <w:szCs w:val="22"/>
        </w:rPr>
        <w:t>R</w:t>
      </w:r>
      <w:r w:rsidRPr="001B536C">
        <w:rPr>
          <w:szCs w:val="22"/>
        </w:rPr>
        <w:t>ules</w:t>
      </w:r>
      <w:r w:rsidR="00463160">
        <w:rPr>
          <w:szCs w:val="22"/>
        </w:rPr>
        <w:t xml:space="preserve"> and </w:t>
      </w:r>
      <w:r w:rsidR="00BB7D31">
        <w:rPr>
          <w:szCs w:val="22"/>
        </w:rPr>
        <w:t xml:space="preserve">contained in section 553 of the Administrative Procedure Act, </w:t>
      </w:r>
      <w:r w:rsidR="007D32F5">
        <w:rPr>
          <w:szCs w:val="22"/>
        </w:rPr>
        <w:t>5 U.S.C. § 553</w:t>
      </w:r>
      <w:r w:rsidR="00261735">
        <w:rPr>
          <w:szCs w:val="22"/>
        </w:rPr>
        <w:t>(b)(A)</w:t>
      </w:r>
      <w:r w:rsidRPr="001B536C">
        <w:rPr>
          <w:szCs w:val="22"/>
        </w:rPr>
        <w:t>.</w:t>
      </w:r>
    </w:p>
    <w:p w:rsidR="00743787" w:rsidP="00436883" w14:paraId="72A1C25E" w14:textId="7D55FFBB">
      <w:pPr>
        <w:spacing w:after="120"/>
        <w:ind w:firstLine="720"/>
      </w:pPr>
      <w:r w:rsidRPr="001B536C">
        <w:rPr>
          <w:szCs w:val="22"/>
        </w:rPr>
        <w:t xml:space="preserve">For </w:t>
      </w:r>
      <w:r w:rsidRPr="001B536C" w:rsidR="006E1400">
        <w:rPr>
          <w:szCs w:val="22"/>
        </w:rPr>
        <w:t xml:space="preserve">additional </w:t>
      </w:r>
      <w:r w:rsidRPr="00246451" w:rsidR="006E1400">
        <w:rPr>
          <w:szCs w:val="22"/>
        </w:rPr>
        <w:t xml:space="preserve">information please contact </w:t>
      </w:r>
      <w:r w:rsidRPr="00246451" w:rsidR="00102B7F">
        <w:rPr>
          <w:szCs w:val="22"/>
        </w:rPr>
        <w:t xml:space="preserve">Albert Shuldiner, </w:t>
      </w:r>
      <w:hyperlink r:id="rId6" w:history="1">
        <w:r w:rsidRPr="00246451" w:rsidR="00102B7F">
          <w:rPr>
            <w:rStyle w:val="Hyperlink"/>
            <w:szCs w:val="22"/>
          </w:rPr>
          <w:t>Albert.Shuldiner@fcc.gov</w:t>
        </w:r>
      </w:hyperlink>
      <w:r w:rsidRPr="00246451" w:rsidR="00102B7F">
        <w:rPr>
          <w:szCs w:val="22"/>
        </w:rPr>
        <w:t>, (202) 418-2721</w:t>
      </w:r>
      <w:r w:rsidRPr="00246451" w:rsidR="006E1400">
        <w:rPr>
          <w:szCs w:val="22"/>
        </w:rPr>
        <w:t xml:space="preserve">, or </w:t>
      </w:r>
      <w:r w:rsidRPr="00246451" w:rsidR="006C3BE6">
        <w:rPr>
          <w:szCs w:val="22"/>
        </w:rPr>
        <w:t>Christopher Clark</w:t>
      </w:r>
      <w:r w:rsidRPr="00246451" w:rsidR="006E1400">
        <w:rPr>
          <w:szCs w:val="22"/>
        </w:rPr>
        <w:t xml:space="preserve">, </w:t>
      </w:r>
      <w:hyperlink r:id="rId7" w:history="1">
        <w:r w:rsidRPr="00246451" w:rsidR="00246451">
          <w:rPr>
            <w:rStyle w:val="Hyperlink"/>
            <w:szCs w:val="22"/>
          </w:rPr>
          <w:t>Christopher.Clark@fcc.gov</w:t>
        </w:r>
      </w:hyperlink>
      <w:r w:rsidRPr="00246451" w:rsidR="006E1400">
        <w:rPr>
          <w:szCs w:val="22"/>
        </w:rPr>
        <w:t>, (202) 418-2</w:t>
      </w:r>
      <w:r w:rsidRPr="00246451" w:rsidR="00246451">
        <w:rPr>
          <w:szCs w:val="22"/>
        </w:rPr>
        <w:t>609</w:t>
      </w:r>
      <w:r w:rsidRPr="00246451" w:rsidR="006E1400">
        <w:rPr>
          <w:szCs w:val="22"/>
        </w:rPr>
        <w:t xml:space="preserve"> of the Media Bureau, Audio Division</w:t>
      </w:r>
      <w:r w:rsidR="00697172">
        <w:rPr>
          <w:szCs w:val="22"/>
        </w:rPr>
        <w:t>,</w:t>
      </w:r>
      <w:r w:rsidRPr="00246451" w:rsidR="006E1400">
        <w:rPr>
          <w:szCs w:val="22"/>
        </w:rPr>
        <w:t xml:space="preserve"> or David Brown, </w:t>
      </w:r>
      <w:hyperlink r:id="rId8" w:history="1">
        <w:r w:rsidRPr="00246451" w:rsidR="00102B7F">
          <w:rPr>
            <w:rStyle w:val="Hyperlink"/>
            <w:szCs w:val="22"/>
          </w:rPr>
          <w:t>David.Brown@fcc.gov</w:t>
        </w:r>
      </w:hyperlink>
      <w:r w:rsidRPr="001B536C" w:rsidR="006E1400">
        <w:rPr>
          <w:szCs w:val="22"/>
        </w:rPr>
        <w:t>, (202) 418-1645</w:t>
      </w:r>
      <w:r w:rsidR="007C7B46">
        <w:rPr>
          <w:szCs w:val="22"/>
        </w:rPr>
        <w:t xml:space="preserve">, </w:t>
      </w:r>
      <w:r w:rsidR="00241B09">
        <w:rPr>
          <w:szCs w:val="22"/>
        </w:rPr>
        <w:t xml:space="preserve">or Emily Harrison, </w:t>
      </w:r>
      <w:hyperlink r:id="rId9" w:history="1">
        <w:r w:rsidRPr="0088416E" w:rsidR="00241B09">
          <w:rPr>
            <w:rStyle w:val="Hyperlink"/>
            <w:szCs w:val="22"/>
          </w:rPr>
          <w:t>Emily.Harrison@fcc.gov</w:t>
        </w:r>
      </w:hyperlink>
      <w:r w:rsidR="00241B09">
        <w:rPr>
          <w:szCs w:val="22"/>
        </w:rPr>
        <w:t>, (202) 418-1665</w:t>
      </w:r>
      <w:r w:rsidRPr="001B536C" w:rsidR="006E1400">
        <w:rPr>
          <w:szCs w:val="22"/>
        </w:rPr>
        <w:t xml:space="preserve"> of the Media Bureau, Video Division.  Press inquiries should be directed to Nancy Murphy, </w:t>
      </w:r>
      <w:hyperlink r:id="rId10" w:history="1">
        <w:r w:rsidRPr="001B536C" w:rsidR="00102B7F">
          <w:rPr>
            <w:rStyle w:val="Hyperlink"/>
            <w:szCs w:val="22"/>
          </w:rPr>
          <w:t>Nancy.Murphy@fcc.gov</w:t>
        </w:r>
      </w:hyperlink>
      <w:r w:rsidRPr="001B536C" w:rsidR="006E1400">
        <w:rPr>
          <w:szCs w:val="22"/>
        </w:rPr>
        <w:t xml:space="preserve">, at (202) 418-1043.  </w:t>
      </w:r>
    </w:p>
    <w:p w:rsidR="00436883" w:rsidP="00436883" w14:paraId="2753BB7D" w14:textId="77777777">
      <w:pPr>
        <w:spacing w:after="120"/>
        <w:ind w:firstLine="720"/>
      </w:pPr>
    </w:p>
    <w:p w:rsidR="00F82C5F" w:rsidRPr="00F82C5F" w:rsidP="00F82C5F" w14:paraId="610D1D4B" w14:textId="77777777">
      <w:pPr>
        <w:tabs>
          <w:tab w:val="left" w:pos="0"/>
        </w:tabs>
        <w:suppressAutoHyphens/>
        <w:jc w:val="center"/>
        <w:rPr>
          <w:b/>
          <w:bCs/>
        </w:rPr>
      </w:pPr>
      <w:r w:rsidRPr="00F82C5F">
        <w:rPr>
          <w:b/>
          <w:bCs/>
        </w:rPr>
        <w:t>–FCC–</w:t>
      </w:r>
    </w:p>
    <w:p w:rsidR="00436883" w:rsidRPr="00436883" w:rsidP="00436883" w14:paraId="5AB4315B" w14:textId="77777777">
      <w:pPr>
        <w:spacing w:after="120"/>
        <w:ind w:firstLine="720"/>
      </w:pPr>
    </w:p>
    <w:sectPr>
      <w:headerReference w:type="default" r:id="rId11"/>
      <w:footerReference w:type="even" r:id="rId12"/>
      <w:footerReference w:type="default" r:id="rId13"/>
      <w:headerReference w:type="first" r:id="rId14"/>
      <w:footerReference w:type="first" r:id="rId15"/>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BF6671" w14:paraId="16F52C2B" w14:textId="77777777">
      <w:pPr>
        <w:spacing w:line="20" w:lineRule="exact"/>
      </w:pPr>
    </w:p>
  </w:endnote>
  <w:endnote w:type="continuationSeparator" w:id="1">
    <w:p w:rsidR="00BF6671" w14:paraId="252DE5DE" w14:textId="77777777">
      <w:r>
        <w:t xml:space="preserve"> </w:t>
      </w:r>
    </w:p>
  </w:endnote>
  <w:endnote w:type="continuationNotice" w:id="2">
    <w:p w:rsidR="00BF6671" w14:paraId="3E2F8575"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Heavy Heap"/>
    <w:panose1 w:val="02020803070505020304"/>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389DB1EF"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14BFFB90"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5A8A05AA"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4F583FC0"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BF6671" w14:paraId="508030C5" w14:textId="77777777">
      <w:r>
        <w:separator/>
      </w:r>
    </w:p>
  </w:footnote>
  <w:footnote w:type="continuationSeparator" w:id="1">
    <w:p w:rsidR="00BF6671" w14:paraId="6DBEA2C9" w14:textId="77777777">
      <w:pPr>
        <w:rPr>
          <w:sz w:val="20"/>
        </w:rPr>
      </w:pPr>
      <w:r>
        <w:rPr>
          <w:sz w:val="20"/>
        </w:rPr>
        <w:t xml:space="preserve">(Continued from previous page)  </w:t>
      </w:r>
      <w:r>
        <w:rPr>
          <w:sz w:val="20"/>
        </w:rPr>
        <w:separator/>
      </w:r>
    </w:p>
  </w:footnote>
  <w:footnote w:type="continuationNotice" w:id="2">
    <w:p w:rsidR="00BF6671" w14:paraId="22C6DDBD" w14:textId="77777777">
      <w:pPr>
        <w:jc w:val="right"/>
        <w:rPr>
          <w:sz w:val="20"/>
        </w:rPr>
      </w:pPr>
      <w:r>
        <w:rPr>
          <w:sz w:val="20"/>
        </w:rPr>
        <w:t>(</w:t>
      </w:r>
      <w:r>
        <w:rPr>
          <w:sz w:val="20"/>
        </w:rPr>
        <w:t>continued</w:t>
      </w:r>
      <w:r>
        <w:rPr>
          <w:sz w:val="20"/>
        </w:rPr>
        <w:t>….)</w:t>
      </w:r>
    </w:p>
  </w:footnote>
  <w:footnote w:id="3">
    <w:p w:rsidR="00C305BE" w:rsidRPr="00150984" w:rsidP="00150984" w14:paraId="076AE194" w14:textId="2710876C">
      <w:pPr>
        <w:pStyle w:val="FootnoteText"/>
      </w:pPr>
      <w:r w:rsidRPr="00150984">
        <w:rPr>
          <w:rStyle w:val="FootnoteReference"/>
          <w:sz w:val="20"/>
        </w:rPr>
        <w:footnoteRef/>
      </w:r>
      <w:r w:rsidRPr="00150984">
        <w:t xml:space="preserve"> 47 CFR § 1.5004(f).  </w:t>
      </w:r>
      <w:r w:rsidRPr="00150984" w:rsidR="004F773E">
        <w:t xml:space="preserve">In this </w:t>
      </w:r>
      <w:r w:rsidRPr="00150984" w:rsidR="004F773E">
        <w:rPr>
          <w:i/>
          <w:iCs/>
        </w:rPr>
        <w:t>Public Notice</w:t>
      </w:r>
      <w:r w:rsidRPr="00150984" w:rsidR="004F773E">
        <w:t xml:space="preserve"> we will refer to such a petition for declaratory ruling filed pursuant to section 1.5004(f) of the </w:t>
      </w:r>
      <w:r w:rsidR="00393DF1">
        <w:t>Commission’s rules (</w:t>
      </w:r>
      <w:r w:rsidRPr="00150984" w:rsidR="004F773E">
        <w:t>Rules</w:t>
      </w:r>
      <w:r w:rsidR="00393DF1">
        <w:t>)</w:t>
      </w:r>
      <w:r w:rsidRPr="00150984" w:rsidR="004F773E">
        <w:t xml:space="preserve"> seeking to rectify noncompliance with the foreign ownership rules as a </w:t>
      </w:r>
      <w:r w:rsidR="00336EC6">
        <w:t>“</w:t>
      </w:r>
      <w:r w:rsidRPr="00150984" w:rsidR="004F773E">
        <w:t>Remedial Petition.</w:t>
      </w:r>
      <w:r w:rsidR="00336EC6">
        <w:t>”</w:t>
      </w:r>
      <w:r w:rsidR="000174E6">
        <w:t xml:space="preserve">  </w:t>
      </w:r>
      <w:r w:rsidR="00D77147">
        <w:t xml:space="preserve">We note further that the guidance we provide herein </w:t>
      </w:r>
      <w:r w:rsidRPr="00AE7052" w:rsidR="00D77147">
        <w:t>appl</w:t>
      </w:r>
      <w:r w:rsidR="00D77147">
        <w:t>ies only to situations involving foreign ownership in the controlling U.S. parent of a broadcast licensee under section 310(b)(4) of</w:t>
      </w:r>
      <w:r w:rsidRPr="00D30E76" w:rsidR="00D77147">
        <w:t xml:space="preserve"> the Communications Act or 1934, as amended (Act)</w:t>
      </w:r>
      <w:r w:rsidR="00D77147">
        <w:t xml:space="preserve">.  </w:t>
      </w:r>
      <w:r w:rsidRPr="00150984" w:rsidR="00D77147">
        <w:t>47 U.S.C. § 310(b)</w:t>
      </w:r>
      <w:r w:rsidR="00D77147">
        <w:t xml:space="preserve">(4). </w:t>
      </w:r>
      <w:r w:rsidRPr="00150984" w:rsidR="00D77147">
        <w:t xml:space="preserve"> </w:t>
      </w:r>
      <w:r w:rsidR="00D77147">
        <w:t xml:space="preserve">The ability to file a Remedial Petition does not apply to situations </w:t>
      </w:r>
      <w:r w:rsidR="00393DF1">
        <w:t xml:space="preserve">governed by section 310(b)(3) of the Act, </w:t>
      </w:r>
      <w:r w:rsidR="00D77147">
        <w:t xml:space="preserve">involving </w:t>
      </w:r>
      <w:r w:rsidRPr="002D6C44" w:rsidR="00D77147">
        <w:t>direct</w:t>
      </w:r>
      <w:r w:rsidR="00D77147">
        <w:t xml:space="preserve"> foreign ownership of a broadcast licensee, or </w:t>
      </w:r>
      <w:r w:rsidRPr="002D6C44" w:rsidR="00D77147">
        <w:t>indirect</w:t>
      </w:r>
      <w:r w:rsidR="00D77147">
        <w:rPr>
          <w:i/>
          <w:iCs/>
        </w:rPr>
        <w:t xml:space="preserve"> </w:t>
      </w:r>
      <w:r w:rsidR="00D77147">
        <w:t xml:space="preserve">foreign ownership of a broadcast licensee through an entity other than a controlling U.S. parent.  With respect to </w:t>
      </w:r>
      <w:r w:rsidR="00D427CB">
        <w:t xml:space="preserve">direct </w:t>
      </w:r>
      <w:r w:rsidR="00D77147">
        <w:t xml:space="preserve">foreign ownership in the controlling U.S. parent of a broadcast licensee, the Commission’s rules specify a different remedial process, which generally involves </w:t>
      </w:r>
      <w:r w:rsidRPr="00263BCE" w:rsidR="00D77147">
        <w:t>remediation of the offending foreign ownership interest within 30 days of the date the licensee or permittee learned of the non-compliant foreign interest</w:t>
      </w:r>
      <w:r w:rsidRPr="00AE7052" w:rsidR="00D77147">
        <w:t>(s).</w:t>
      </w:r>
      <w:r w:rsidR="00D77147">
        <w:t xml:space="preserve">  </w:t>
      </w:r>
      <w:r w:rsidRPr="008F26C7" w:rsidR="00D77147">
        <w:rPr>
          <w:i/>
          <w:iCs/>
        </w:rPr>
        <w:t>See</w:t>
      </w:r>
      <w:r w:rsidR="00D77147">
        <w:t xml:space="preserve"> </w:t>
      </w:r>
      <w:r w:rsidRPr="009215EF" w:rsidR="00D77147">
        <w:rPr>
          <w:i/>
          <w:iCs/>
        </w:rPr>
        <w:t>Review of Foreign Ownership Policies for Broadcast, Common Carrier and Aeronautical Radio Licensees Under Section 310(b)(4) of the Communications Act of 1934, as Amended</w:t>
      </w:r>
      <w:r w:rsidRPr="009215EF" w:rsidR="00D77147">
        <w:t xml:space="preserve">, Report and Order, 31 FCC </w:t>
      </w:r>
      <w:r w:rsidRPr="009215EF" w:rsidR="00D77147">
        <w:t>Rcd</w:t>
      </w:r>
      <w:r w:rsidRPr="009215EF" w:rsidR="00D77147">
        <w:t xml:space="preserve"> 11272, 1131</w:t>
      </w:r>
      <w:r w:rsidR="00D77147">
        <w:t>0-11</w:t>
      </w:r>
      <w:r w:rsidRPr="009215EF" w:rsidR="00D77147">
        <w:t>, paras. 8</w:t>
      </w:r>
      <w:r w:rsidR="00D77147">
        <w:t>2</w:t>
      </w:r>
      <w:r w:rsidRPr="009215EF" w:rsidR="00D77147">
        <w:t>-8</w:t>
      </w:r>
      <w:r w:rsidR="00D77147">
        <w:t>3</w:t>
      </w:r>
      <w:r w:rsidR="00F63FDF">
        <w:t xml:space="preserve"> </w:t>
      </w:r>
      <w:r w:rsidR="00D77147">
        <w:t>(2016)</w:t>
      </w:r>
      <w:r w:rsidR="00F63FDF">
        <w:t xml:space="preserve"> (</w:t>
      </w:r>
      <w:r w:rsidRPr="00F63FDF" w:rsidR="00F63FDF">
        <w:rPr>
          <w:i/>
          <w:iCs/>
        </w:rPr>
        <w:t>2016 Foreign Ownership Report and Order</w:t>
      </w:r>
      <w:r w:rsidRPr="00241B09" w:rsidR="00F63FDF">
        <w:t>)</w:t>
      </w:r>
      <w:r w:rsidR="00D77147">
        <w:t>.</w:t>
      </w:r>
    </w:p>
  </w:footnote>
  <w:footnote w:id="4">
    <w:p w:rsidR="0086262C" w:rsidRPr="00150984" w:rsidP="00150984" w14:paraId="2A5C963A" w14:textId="77777777">
      <w:pPr>
        <w:pStyle w:val="FootnoteText"/>
      </w:pPr>
      <w:r w:rsidRPr="00150984">
        <w:rPr>
          <w:rStyle w:val="FootnoteReference"/>
          <w:sz w:val="20"/>
        </w:rPr>
        <w:footnoteRef/>
      </w:r>
      <w:r w:rsidRPr="00150984">
        <w:t xml:space="preserve"> 47 U.S.C. § 310(b) (“No broadcast or common carrier or aeronautical </w:t>
      </w:r>
      <w:r w:rsidRPr="00150984">
        <w:t>en</w:t>
      </w:r>
      <w:r w:rsidRPr="00150984">
        <w:t xml:space="preserve"> route or aeronautical fixed radio station license shall be granted to or held by—(1) any alien or the representative of any alien; (2) any corporation organized under the laws of any foreign government; (3) any corporation of which more than one-fifth of the capital stock is owned of record or voted by aliens or their representatives or by a foreign government or representative thereof or by any corporation organized under the laws of a foreign country; (4) any corporation directly or indirectly controlled by any other corporation of which more than one-fourth of the capital stock is owned of record or voted by aliens, their representatives, or by a foreign government or representative thereof, or by any corporation organized under the laws of a foreign country, if the Commission finds that the public interest will be served by the refusal or revocation of such license.”). </w:t>
      </w:r>
    </w:p>
  </w:footnote>
  <w:footnote w:id="5">
    <w:p w:rsidR="00C305BE" w:rsidRPr="00150984" w:rsidP="00150984" w14:paraId="3CFBF009" w14:textId="594F7F30">
      <w:pPr>
        <w:pStyle w:val="FootnoteText"/>
      </w:pPr>
      <w:r w:rsidRPr="00150984">
        <w:rPr>
          <w:rStyle w:val="FootnoteReference"/>
          <w:sz w:val="20"/>
        </w:rPr>
        <w:footnoteRef/>
      </w:r>
      <w:r w:rsidRPr="00150984">
        <w:t xml:space="preserve"> </w:t>
      </w:r>
      <w:r w:rsidRPr="00150984" w:rsidR="00F63C66">
        <w:t>Section 1.500</w:t>
      </w:r>
      <w:r w:rsidRPr="00150984" w:rsidR="004F773E">
        <w:t>0</w:t>
      </w:r>
      <w:r w:rsidRPr="00150984" w:rsidR="00F63C66">
        <w:t xml:space="preserve"> </w:t>
      </w:r>
      <w:r w:rsidRPr="00150984" w:rsidR="00F63C66">
        <w:rPr>
          <w:i/>
          <w:iCs/>
        </w:rPr>
        <w:t>et seq.</w:t>
      </w:r>
      <w:r w:rsidRPr="00150984" w:rsidR="00F63C66">
        <w:t xml:space="preserve"> of the Rules establish the framework for seeking such Commission approval.  </w:t>
      </w:r>
      <w:r w:rsidRPr="00150984">
        <w:t>47 CFR § 1.500</w:t>
      </w:r>
      <w:r w:rsidRPr="00150984" w:rsidR="004F773E">
        <w:t>0</w:t>
      </w:r>
      <w:r w:rsidRPr="00150984">
        <w:t xml:space="preserve"> </w:t>
      </w:r>
      <w:r w:rsidRPr="00150984">
        <w:rPr>
          <w:i/>
          <w:iCs/>
        </w:rPr>
        <w:t>et seq</w:t>
      </w:r>
      <w:r w:rsidRPr="00150984">
        <w:t>.</w:t>
      </w:r>
    </w:p>
  </w:footnote>
  <w:footnote w:id="6">
    <w:p w:rsidR="00AD26CF" w:rsidRPr="00150984" w:rsidP="00150984" w14:paraId="28344F41" w14:textId="3471AF25">
      <w:pPr>
        <w:pStyle w:val="FootnoteText"/>
      </w:pPr>
      <w:r w:rsidRPr="00150984">
        <w:rPr>
          <w:rStyle w:val="FootnoteReference"/>
          <w:sz w:val="20"/>
        </w:rPr>
        <w:footnoteRef/>
      </w:r>
      <w:r w:rsidRPr="00150984">
        <w:t xml:space="preserve"> </w:t>
      </w:r>
      <w:r w:rsidRPr="00150984">
        <w:rPr>
          <w:i/>
          <w:iCs/>
        </w:rPr>
        <w:t>See</w:t>
      </w:r>
      <w:r w:rsidRPr="00150984">
        <w:t xml:space="preserve"> 47 CFR § 1.5004(f)</w:t>
      </w:r>
      <w:r w:rsidR="00E826F2">
        <w:t>(3)</w:t>
      </w:r>
      <w:r w:rsidRPr="008C2580">
        <w:t>.</w:t>
      </w:r>
      <w:r w:rsidRPr="00150984">
        <w:t xml:space="preserve">  </w:t>
      </w:r>
    </w:p>
  </w:footnote>
  <w:footnote w:id="7">
    <w:p w:rsidR="00AD26CF" w:rsidRPr="00663645" w:rsidP="00150984" w14:paraId="79D13D1D" w14:textId="135A9520">
      <w:pPr>
        <w:pStyle w:val="FootnoteText"/>
      </w:pPr>
      <w:r w:rsidRPr="00150984">
        <w:rPr>
          <w:rStyle w:val="FootnoteReference"/>
          <w:sz w:val="20"/>
        </w:rPr>
        <w:footnoteRef/>
      </w:r>
      <w:r w:rsidRPr="00150984">
        <w:t xml:space="preserve"> </w:t>
      </w:r>
      <w:r w:rsidRPr="00461AB2" w:rsidR="00461AB2">
        <w:rPr>
          <w:i/>
          <w:iCs/>
        </w:rPr>
        <w:t>Id</w:t>
      </w:r>
      <w:r w:rsidRPr="00F92EBE">
        <w:t>.</w:t>
      </w:r>
      <w:r w:rsidRPr="00150984" w:rsidR="00356BDE">
        <w:t xml:space="preserve">  The expectation that a licensee that complies with the remediation processes set forth in section 1.5004(f) will generally not be subject to enforcement action for </w:t>
      </w:r>
      <w:r w:rsidR="004C5516">
        <w:t>an inadvertent</w:t>
      </w:r>
      <w:r w:rsidRPr="00150984" w:rsidR="00356BDE">
        <w:t xml:space="preserve"> lapse in foreign ownership </w:t>
      </w:r>
      <w:r w:rsidRPr="00663645" w:rsidR="00356BDE">
        <w:t>compliance is generally referred to as a “</w:t>
      </w:r>
      <w:r w:rsidRPr="00663645" w:rsidR="001160D4">
        <w:t>safe harbor</w:t>
      </w:r>
      <w:r w:rsidRPr="00663645" w:rsidR="00356BDE">
        <w:t>.”</w:t>
      </w:r>
      <w:r w:rsidRPr="00663645" w:rsidR="00223B22">
        <w:t xml:space="preserve">  </w:t>
      </w:r>
      <w:r w:rsidRPr="00663645" w:rsidR="00223B22">
        <w:rPr>
          <w:i/>
          <w:iCs/>
        </w:rPr>
        <w:t xml:space="preserve">See </w:t>
      </w:r>
      <w:r w:rsidRPr="00663645" w:rsidR="00D427CB">
        <w:rPr>
          <w:i/>
          <w:iCs/>
        </w:rPr>
        <w:t>2016 Foreign Ownership Report and Order</w:t>
      </w:r>
      <w:r w:rsidRPr="00663645" w:rsidR="00796EAE">
        <w:t xml:space="preserve">, </w:t>
      </w:r>
      <w:r w:rsidRPr="00663645" w:rsidR="00EA4846">
        <w:t xml:space="preserve">31 FCC </w:t>
      </w:r>
      <w:r w:rsidRPr="00663645" w:rsidR="00EA4846">
        <w:t>Rcd</w:t>
      </w:r>
      <w:r w:rsidRPr="00663645" w:rsidR="00D427CB">
        <w:t xml:space="preserve"> at</w:t>
      </w:r>
      <w:r w:rsidRPr="00663645" w:rsidR="00223B22">
        <w:t xml:space="preserve"> 11309-10, para. 80</w:t>
      </w:r>
      <w:r w:rsidRPr="00663645" w:rsidR="001160D4">
        <w:t xml:space="preserve">; </w:t>
      </w:r>
      <w:r w:rsidRPr="00663645" w:rsidR="008D7A10">
        <w:rPr>
          <w:i/>
          <w:iCs/>
        </w:rPr>
        <w:t>Review of Foreign Ownership Policies for Broadcast, Common Carrier and Aeronautical Radio Licensees under Section 310(b)(4) of the Communications Act of 1934, as Amended</w:t>
      </w:r>
      <w:r w:rsidRPr="00663645" w:rsidR="008D7A10">
        <w:t xml:space="preserve">, GN Docket 25-149, Report and Order, </w:t>
      </w:r>
      <w:r w:rsidR="00655BA5">
        <w:t>at</w:t>
      </w:r>
      <w:r w:rsidR="00601C13">
        <w:t xml:space="preserve"> para. 16</w:t>
      </w:r>
      <w:r w:rsidR="00655BA5">
        <w:t xml:space="preserve"> </w:t>
      </w:r>
      <w:r w:rsidRPr="00663645" w:rsidR="008D7A10">
        <w:t>(rel. Jan. 30, 2026) (</w:t>
      </w:r>
      <w:r w:rsidRPr="00663645" w:rsidR="008D7A10">
        <w:rPr>
          <w:i/>
          <w:iCs/>
        </w:rPr>
        <w:t>2026</w:t>
      </w:r>
      <w:r w:rsidRPr="00663645" w:rsidR="008D7A10">
        <w:t xml:space="preserve"> </w:t>
      </w:r>
      <w:r w:rsidRPr="00663645" w:rsidR="008D7A10">
        <w:rPr>
          <w:i/>
          <w:iCs/>
        </w:rPr>
        <w:t>Foreign Ownership</w:t>
      </w:r>
      <w:r w:rsidRPr="00663645" w:rsidR="008D7A10">
        <w:t xml:space="preserve"> </w:t>
      </w:r>
      <w:r w:rsidRPr="00663645" w:rsidR="008D7A10">
        <w:rPr>
          <w:i/>
          <w:iCs/>
        </w:rPr>
        <w:t>Report and Order</w:t>
      </w:r>
      <w:r w:rsidRPr="00663645" w:rsidR="008D7A10">
        <w:t>).</w:t>
      </w:r>
      <w:r w:rsidRPr="00663645" w:rsidR="00223B22">
        <w:t xml:space="preserve">    </w:t>
      </w:r>
    </w:p>
  </w:footnote>
  <w:footnote w:id="8">
    <w:p w:rsidR="007C744B" w:rsidRPr="00EA56BB" w:rsidP="00150984" w14:paraId="52155B47" w14:textId="1CEBFFB7">
      <w:pPr>
        <w:spacing w:after="120"/>
        <w:rPr>
          <w:sz w:val="20"/>
        </w:rPr>
      </w:pPr>
      <w:r w:rsidRPr="00663645">
        <w:rPr>
          <w:rStyle w:val="FootnoteReference"/>
          <w:sz w:val="20"/>
        </w:rPr>
        <w:footnoteRef/>
      </w:r>
      <w:r w:rsidRPr="00663645">
        <w:rPr>
          <w:sz w:val="20"/>
        </w:rPr>
        <w:t xml:space="preserve"> </w:t>
      </w:r>
      <w:r w:rsidRPr="00663645" w:rsidR="00EA56BB">
        <w:rPr>
          <w:i/>
          <w:iCs/>
          <w:sz w:val="20"/>
        </w:rPr>
        <w:t>2026</w:t>
      </w:r>
      <w:r w:rsidRPr="00663645" w:rsidR="00EA56BB">
        <w:rPr>
          <w:sz w:val="20"/>
        </w:rPr>
        <w:t xml:space="preserve"> </w:t>
      </w:r>
      <w:r w:rsidRPr="00663645" w:rsidR="00EA56BB">
        <w:rPr>
          <w:i/>
          <w:iCs/>
          <w:sz w:val="20"/>
        </w:rPr>
        <w:t>Foreign Ownership</w:t>
      </w:r>
      <w:r w:rsidRPr="00663645" w:rsidR="00EA56BB">
        <w:rPr>
          <w:sz w:val="20"/>
        </w:rPr>
        <w:t xml:space="preserve"> </w:t>
      </w:r>
      <w:r w:rsidRPr="00663645" w:rsidR="00C36C04">
        <w:rPr>
          <w:i/>
          <w:iCs/>
          <w:sz w:val="20"/>
        </w:rPr>
        <w:t>Report and Order</w:t>
      </w:r>
      <w:r w:rsidRPr="00663645">
        <w:rPr>
          <w:sz w:val="20"/>
        </w:rPr>
        <w:t xml:space="preserve">.  The </w:t>
      </w:r>
      <w:r w:rsidRPr="00663645" w:rsidR="00EA56BB">
        <w:rPr>
          <w:i/>
          <w:iCs/>
          <w:sz w:val="20"/>
        </w:rPr>
        <w:t>2026</w:t>
      </w:r>
      <w:r w:rsidRPr="00663645" w:rsidR="00EA56BB">
        <w:rPr>
          <w:sz w:val="20"/>
        </w:rPr>
        <w:t xml:space="preserve"> </w:t>
      </w:r>
      <w:r w:rsidRPr="00663645" w:rsidR="00EA56BB">
        <w:rPr>
          <w:i/>
          <w:iCs/>
          <w:sz w:val="20"/>
        </w:rPr>
        <w:t>Foreign Ownership</w:t>
      </w:r>
      <w:r w:rsidRPr="00663645" w:rsidR="00EA56BB">
        <w:rPr>
          <w:sz w:val="20"/>
        </w:rPr>
        <w:t xml:space="preserve"> </w:t>
      </w:r>
      <w:r w:rsidRPr="00663645">
        <w:rPr>
          <w:i/>
          <w:iCs/>
          <w:sz w:val="20"/>
        </w:rPr>
        <w:t>Report and Order</w:t>
      </w:r>
      <w:r w:rsidRPr="00663645">
        <w:rPr>
          <w:sz w:val="20"/>
        </w:rPr>
        <w:t xml:space="preserve"> addressed issues raised in the underlying Notice of Proposed Rulemaking.  </w:t>
      </w:r>
      <w:r w:rsidRPr="00663645">
        <w:rPr>
          <w:i/>
          <w:iCs/>
          <w:sz w:val="20"/>
        </w:rPr>
        <w:t>Review of Foreign Ownership Policies for Broadcast, Common Carrier and Aeronautical Radio Licensees</w:t>
      </w:r>
      <w:r w:rsidRPr="00EA56BB">
        <w:rPr>
          <w:i/>
          <w:iCs/>
          <w:sz w:val="20"/>
        </w:rPr>
        <w:t xml:space="preserve"> under Section 310(b)(4) of the Communications Act of 1934, as Amended</w:t>
      </w:r>
      <w:r w:rsidRPr="00EA56BB">
        <w:rPr>
          <w:sz w:val="20"/>
        </w:rPr>
        <w:t xml:space="preserve">, Notice of Proposed Rulemaking, 40 FCC </w:t>
      </w:r>
      <w:r w:rsidRPr="00EA56BB">
        <w:rPr>
          <w:sz w:val="20"/>
        </w:rPr>
        <w:t>Rcd</w:t>
      </w:r>
      <w:r w:rsidRPr="00EA56BB">
        <w:rPr>
          <w:sz w:val="20"/>
        </w:rPr>
        <w:t xml:space="preserve"> 3516 (2025) (</w:t>
      </w:r>
      <w:r w:rsidRPr="00EA56BB">
        <w:rPr>
          <w:i/>
          <w:iCs/>
          <w:sz w:val="20"/>
        </w:rPr>
        <w:t>Section 310</w:t>
      </w:r>
      <w:r w:rsidRPr="00EA56BB">
        <w:rPr>
          <w:sz w:val="20"/>
        </w:rPr>
        <w:t xml:space="preserve"> </w:t>
      </w:r>
      <w:r w:rsidRPr="00EA56BB">
        <w:rPr>
          <w:i/>
          <w:iCs/>
          <w:sz w:val="20"/>
        </w:rPr>
        <w:t>NPRM</w:t>
      </w:r>
      <w:r w:rsidRPr="00EA56BB">
        <w:rPr>
          <w:sz w:val="20"/>
        </w:rPr>
        <w:t xml:space="preserve">). </w:t>
      </w:r>
    </w:p>
  </w:footnote>
  <w:footnote w:id="9">
    <w:p w:rsidR="007C744B" w:rsidRPr="009D64EE" w:rsidP="00150984" w14:paraId="185B8D4F" w14:textId="6FB8E168">
      <w:pPr>
        <w:pStyle w:val="FootnoteText"/>
        <w:rPr>
          <w:lang w:val="nb-NO"/>
        </w:rPr>
      </w:pPr>
      <w:r w:rsidRPr="00EA56BB">
        <w:rPr>
          <w:rStyle w:val="FootnoteReference"/>
          <w:sz w:val="20"/>
        </w:rPr>
        <w:footnoteRef/>
      </w:r>
      <w:r w:rsidRPr="00EA56BB">
        <w:t xml:space="preserve"> </w:t>
      </w:r>
      <w:r w:rsidRPr="00EA56BB" w:rsidR="00EA56BB">
        <w:rPr>
          <w:i/>
          <w:iCs/>
        </w:rPr>
        <w:t>2026</w:t>
      </w:r>
      <w:r w:rsidRPr="00EA56BB" w:rsidR="00EA56BB">
        <w:t xml:space="preserve"> </w:t>
      </w:r>
      <w:r w:rsidRPr="00EA56BB" w:rsidR="00EA56BB">
        <w:rPr>
          <w:i/>
          <w:iCs/>
        </w:rPr>
        <w:t>Foreign Ownership</w:t>
      </w:r>
      <w:r w:rsidRPr="00EA56BB" w:rsidR="00EA56BB">
        <w:t xml:space="preserve"> </w:t>
      </w:r>
      <w:r w:rsidRPr="00EA56BB">
        <w:rPr>
          <w:i/>
          <w:iCs/>
        </w:rPr>
        <w:t>Report and Order</w:t>
      </w:r>
      <w:r w:rsidRPr="00EA56BB">
        <w:t xml:space="preserve"> at </w:t>
      </w:r>
      <w:r w:rsidRPr="00EA56BB" w:rsidR="004C5516">
        <w:t xml:space="preserve">paras. </w:t>
      </w:r>
      <w:r w:rsidRPr="009D64EE" w:rsidR="004C5516">
        <w:rPr>
          <w:lang w:val="nb-NO"/>
        </w:rPr>
        <w:t>15-17</w:t>
      </w:r>
      <w:r w:rsidRPr="009D64EE">
        <w:rPr>
          <w:lang w:val="nb-NO"/>
        </w:rPr>
        <w:t xml:space="preserve">.  </w:t>
      </w:r>
    </w:p>
  </w:footnote>
  <w:footnote w:id="10">
    <w:p w:rsidR="004C5516" w:rsidRPr="009D64EE" w14:paraId="0418C733" w14:textId="1D152964">
      <w:pPr>
        <w:pStyle w:val="FootnoteText"/>
        <w:rPr>
          <w:lang w:val="nb-NO"/>
        </w:rPr>
      </w:pPr>
      <w:r w:rsidRPr="00EA56BB">
        <w:rPr>
          <w:rStyle w:val="FootnoteReference"/>
          <w:sz w:val="20"/>
        </w:rPr>
        <w:footnoteRef/>
      </w:r>
      <w:r w:rsidRPr="009D64EE">
        <w:rPr>
          <w:lang w:val="nb-NO"/>
        </w:rPr>
        <w:t xml:space="preserve"> </w:t>
      </w:r>
      <w:r w:rsidRPr="009D64EE" w:rsidR="00876CE7">
        <w:rPr>
          <w:i/>
          <w:iCs/>
          <w:lang w:val="nb-NO"/>
        </w:rPr>
        <w:t>Id.</w:t>
      </w:r>
      <w:r w:rsidRPr="009D64EE">
        <w:rPr>
          <w:lang w:val="nb-NO"/>
        </w:rPr>
        <w:t xml:space="preserve"> at para. 15.</w:t>
      </w:r>
    </w:p>
  </w:footnote>
  <w:footnote w:id="11">
    <w:p w:rsidR="007C744B" w:rsidRPr="00EA56BB" w:rsidP="00150984" w14:paraId="0B48D35D" w14:textId="06B71430">
      <w:pPr>
        <w:pStyle w:val="FootnoteText"/>
      </w:pPr>
      <w:r w:rsidRPr="00EA56BB">
        <w:rPr>
          <w:rStyle w:val="FootnoteReference"/>
          <w:sz w:val="20"/>
        </w:rPr>
        <w:footnoteRef/>
      </w:r>
      <w:r w:rsidRPr="009D64EE">
        <w:rPr>
          <w:lang w:val="nb-NO"/>
        </w:rPr>
        <w:t xml:space="preserve"> </w:t>
      </w:r>
      <w:r w:rsidRPr="009D64EE" w:rsidR="00876CE7">
        <w:rPr>
          <w:i/>
          <w:iCs/>
          <w:lang w:val="nb-NO"/>
        </w:rPr>
        <w:t>Id.</w:t>
      </w:r>
      <w:r w:rsidRPr="009D64EE">
        <w:rPr>
          <w:lang w:val="nb-NO"/>
        </w:rPr>
        <w:t xml:space="preserve"> </w:t>
      </w:r>
      <w:r w:rsidRPr="009D64EE">
        <w:rPr>
          <w:lang w:val="nb-NO"/>
        </w:rPr>
        <w:t xml:space="preserve">at </w:t>
      </w:r>
      <w:r w:rsidRPr="009D64EE" w:rsidR="004C5516">
        <w:rPr>
          <w:lang w:val="nb-NO"/>
        </w:rPr>
        <w:t xml:space="preserve">paras. </w:t>
      </w:r>
      <w:r w:rsidRPr="00EA56BB" w:rsidR="004C5516">
        <w:t>26-29</w:t>
      </w:r>
      <w:r w:rsidR="00664CB7">
        <w:t xml:space="preserve"> (stating that processing guidelines would provide </w:t>
      </w:r>
      <w:r w:rsidR="00D41A86">
        <w:t>“</w:t>
      </w:r>
      <w:r w:rsidR="00664CB7">
        <w:t xml:space="preserve">guidance on </w:t>
      </w:r>
      <w:r w:rsidR="00D41A86">
        <w:t xml:space="preserve">the </w:t>
      </w:r>
      <w:r w:rsidR="00861CB7">
        <w:t xml:space="preserve">topics discussed in the Section 310 NPRM, including: </w:t>
      </w:r>
      <w:r w:rsidR="000D6265">
        <w:t xml:space="preserve"> </w:t>
      </w:r>
      <w:r w:rsidR="00D41A86">
        <w:rPr>
          <w:color w:val="1F1F1F"/>
        </w:rPr>
        <w:t>(1) routine types of applications that should continue to be processed in the normal course during the pendency of the remedial process, such as applications related to the continued operations of currently authorized broadcast facilities (e.g., applications for special temporary authority or minor modifications); and (2) non-routine applications such as major modifications, license renewals, and assignments/transfers of control, that would require heightened scrutiny during the pendency of a remedial petition.”)</w:t>
      </w:r>
      <w:r w:rsidRPr="00EA56BB">
        <w:t xml:space="preserve">.  </w:t>
      </w:r>
      <w:r w:rsidRPr="00EA56BB" w:rsidR="00181A4D">
        <w:t xml:space="preserve">  </w:t>
      </w:r>
    </w:p>
  </w:footnote>
  <w:footnote w:id="12">
    <w:p w:rsidR="0033034B" w14:paraId="785FAA12" w14:textId="7B32EE9C">
      <w:pPr>
        <w:pStyle w:val="FootnoteText"/>
      </w:pPr>
      <w:r>
        <w:rPr>
          <w:rStyle w:val="FootnoteReference"/>
        </w:rPr>
        <w:footnoteRef/>
      </w:r>
      <w:r>
        <w:t xml:space="preserve"> </w:t>
      </w:r>
      <w:r w:rsidRPr="001160D4">
        <w:rPr>
          <w:i/>
          <w:iCs/>
        </w:rPr>
        <w:t xml:space="preserve">Id. </w:t>
      </w:r>
      <w:r>
        <w:t xml:space="preserve">at para. 29.  </w:t>
      </w:r>
    </w:p>
  </w:footnote>
  <w:footnote w:id="13">
    <w:p w:rsidR="00B86074" w:rsidRPr="00150984" w:rsidP="00150984" w14:paraId="26133ADA" w14:textId="57ADA890">
      <w:pPr>
        <w:pStyle w:val="FootnoteText"/>
      </w:pPr>
      <w:r w:rsidRPr="00EA56BB">
        <w:rPr>
          <w:rStyle w:val="FootnoteReference"/>
          <w:sz w:val="20"/>
        </w:rPr>
        <w:footnoteRef/>
      </w:r>
      <w:r w:rsidRPr="00EA56BB">
        <w:t xml:space="preserve"> </w:t>
      </w:r>
      <w:r w:rsidRPr="00EA56BB" w:rsidR="00EA56BB">
        <w:rPr>
          <w:i/>
          <w:iCs/>
        </w:rPr>
        <w:t>2026</w:t>
      </w:r>
      <w:r w:rsidRPr="00EA56BB" w:rsidR="00EA56BB">
        <w:t xml:space="preserve"> </w:t>
      </w:r>
      <w:r w:rsidRPr="00EA56BB" w:rsidR="00EA56BB">
        <w:rPr>
          <w:i/>
          <w:iCs/>
        </w:rPr>
        <w:t>Foreign Ownership</w:t>
      </w:r>
      <w:r w:rsidRPr="00EA56BB" w:rsidR="00EA56BB">
        <w:t xml:space="preserve"> </w:t>
      </w:r>
      <w:r w:rsidRPr="00EA56BB" w:rsidR="004B0C26">
        <w:rPr>
          <w:i/>
          <w:iCs/>
        </w:rPr>
        <w:t>Report and Order</w:t>
      </w:r>
      <w:r w:rsidRPr="00EA56BB" w:rsidR="004B0C26">
        <w:t xml:space="preserve"> at </w:t>
      </w:r>
      <w:r w:rsidRPr="00EA56BB" w:rsidR="00CB6476">
        <w:t>paras. 26-29</w:t>
      </w:r>
      <w:r w:rsidRPr="00EA56BB" w:rsidR="004B0C26">
        <w:t xml:space="preserve">; </w:t>
      </w:r>
      <w:r w:rsidR="00813F75">
        <w:rPr>
          <w:i/>
          <w:iCs/>
        </w:rPr>
        <w:t xml:space="preserve">see also </w:t>
      </w:r>
      <w:r w:rsidRPr="00EA56BB">
        <w:rPr>
          <w:i/>
          <w:iCs/>
        </w:rPr>
        <w:t>Section 310 NPRM</w:t>
      </w:r>
      <w:r w:rsidR="00076391">
        <w:t xml:space="preserve">, 40 FCC </w:t>
      </w:r>
      <w:r w:rsidR="00076391">
        <w:t>Rcd</w:t>
      </w:r>
      <w:r w:rsidRPr="00EA56BB">
        <w:t xml:space="preserve"> at 35</w:t>
      </w:r>
      <w:r w:rsidRPr="00EA56BB" w:rsidR="005B10A4">
        <w:t>36-38</w:t>
      </w:r>
      <w:r w:rsidRPr="00EA56BB">
        <w:t>, paras. 42-47</w:t>
      </w:r>
      <w:r w:rsidRPr="00EA56BB" w:rsidR="00C36C04">
        <w:t xml:space="preserve"> (seeking comment on how the Commission should handle the processing</w:t>
      </w:r>
      <w:r w:rsidRPr="00150984" w:rsidR="00C36C04">
        <w:t xml:space="preserve"> of new or pending broadcast applications during the pendency of a Remedial Petition). </w:t>
      </w:r>
    </w:p>
  </w:footnote>
  <w:footnote w:id="14">
    <w:p w:rsidR="00436EA2" w:rsidP="00436EA2" w14:paraId="73322BB2" w14:textId="5F85A29B">
      <w:pPr>
        <w:pStyle w:val="FootnoteText"/>
      </w:pPr>
      <w:r>
        <w:rPr>
          <w:rStyle w:val="FootnoteReference"/>
        </w:rPr>
        <w:footnoteRef/>
      </w:r>
      <w:r>
        <w:t xml:space="preserve"> </w:t>
      </w:r>
      <w:r w:rsidRPr="00EA56BB">
        <w:rPr>
          <w:i/>
          <w:iCs/>
        </w:rPr>
        <w:t>2026</w:t>
      </w:r>
      <w:r w:rsidRPr="00EA56BB">
        <w:t xml:space="preserve"> </w:t>
      </w:r>
      <w:r w:rsidRPr="00EA56BB">
        <w:rPr>
          <w:i/>
          <w:iCs/>
        </w:rPr>
        <w:t>Foreign Ownership</w:t>
      </w:r>
      <w:r w:rsidRPr="00EA56BB">
        <w:t xml:space="preserve"> </w:t>
      </w:r>
      <w:r w:rsidRPr="00EA56BB">
        <w:rPr>
          <w:i/>
          <w:iCs/>
        </w:rPr>
        <w:t>Report and Order</w:t>
      </w:r>
      <w:r w:rsidRPr="00EA56BB">
        <w:t xml:space="preserve"> at para. 29</w:t>
      </w:r>
      <w:r w:rsidR="00F7119A">
        <w:t>.</w:t>
      </w:r>
    </w:p>
  </w:footnote>
  <w:footnote w:id="15">
    <w:p w:rsidR="008116D8" w14:paraId="309D7667" w14:textId="7D5DC2A5">
      <w:pPr>
        <w:pStyle w:val="FootnoteText"/>
      </w:pPr>
      <w:r>
        <w:rPr>
          <w:rStyle w:val="FootnoteReference"/>
        </w:rPr>
        <w:footnoteRef/>
      </w:r>
      <w:r>
        <w:t xml:space="preserve"> </w:t>
      </w:r>
      <w:r w:rsidR="00436EA2">
        <w:rPr>
          <w:i/>
          <w:iCs/>
        </w:rPr>
        <w:t>Id</w:t>
      </w:r>
      <w:r w:rsidR="002616BE">
        <w:t>.</w:t>
      </w:r>
    </w:p>
  </w:footnote>
  <w:footnote w:id="16">
    <w:p w:rsidR="00491C1F" w:rsidRPr="009829EB" w14:paraId="45885C1C" w14:textId="04308916">
      <w:pPr>
        <w:pStyle w:val="FootnoteText"/>
      </w:pPr>
      <w:r>
        <w:rPr>
          <w:rStyle w:val="FootnoteReference"/>
        </w:rPr>
        <w:footnoteRef/>
      </w:r>
      <w:r>
        <w:t xml:space="preserve"> </w:t>
      </w:r>
      <w:r w:rsidR="009829EB">
        <w:rPr>
          <w:i/>
          <w:iCs/>
        </w:rPr>
        <w:t>Id.</w:t>
      </w:r>
    </w:p>
  </w:footnote>
  <w:footnote w:id="17">
    <w:p w:rsidR="008C7206" w14:paraId="637E494F" w14:textId="6422E2B5">
      <w:pPr>
        <w:pStyle w:val="FootnoteText"/>
      </w:pPr>
      <w:r>
        <w:rPr>
          <w:rStyle w:val="FootnoteReference"/>
        </w:rPr>
        <w:footnoteRef/>
      </w:r>
      <w:r>
        <w:t xml:space="preserve"> </w:t>
      </w:r>
      <w:r>
        <w:rPr>
          <w:i/>
          <w:iCs/>
        </w:rPr>
        <w:t>Id.</w:t>
      </w:r>
    </w:p>
  </w:footnote>
  <w:footnote w:id="18">
    <w:p w:rsidR="00F82751" w:rsidRPr="00B53C82" w14:paraId="69096A19" w14:textId="2AFC1105">
      <w:pPr>
        <w:pStyle w:val="FootnoteText"/>
      </w:pPr>
      <w:r>
        <w:rPr>
          <w:rStyle w:val="FootnoteReference"/>
        </w:rPr>
        <w:footnoteRef/>
      </w:r>
      <w:r>
        <w:t xml:space="preserve"> </w:t>
      </w:r>
      <w:r w:rsidR="00B53C82">
        <w:rPr>
          <w:i/>
          <w:iCs/>
        </w:rPr>
        <w:t>Id.</w:t>
      </w:r>
      <w:r w:rsidR="00672E37">
        <w:t xml:space="preserve"> (</w:t>
      </w:r>
      <w:r w:rsidR="00902EAA">
        <w:t>stating that the</w:t>
      </w:r>
      <w:r w:rsidRPr="00902EAA" w:rsidR="00902EAA">
        <w:t xml:space="preserve"> processing guidelines will provide guidance on topics </w:t>
      </w:r>
      <w:r w:rsidR="008A25F7">
        <w:t>to include</w:t>
      </w:r>
      <w:r w:rsidRPr="00902EAA" w:rsidR="00902EAA">
        <w:t xml:space="preserve"> </w:t>
      </w:r>
      <w:r w:rsidR="008A25F7">
        <w:t>“</w:t>
      </w:r>
      <w:r w:rsidRPr="00902EAA" w:rsidR="00902EAA">
        <w:t>routine types of applications that should continue to be processed in the normal course during the pendency of the remedial process, such as applications related to the continued operations of currently authorized broadcast facilities (e.g., applications for special temporary authority or minor modifications)</w:t>
      </w:r>
      <w:r w:rsidR="008A25F7">
        <w:t>”).</w:t>
      </w:r>
    </w:p>
  </w:footnote>
  <w:footnote w:id="19">
    <w:p w:rsidR="00FC7D83" w:rsidRPr="00150984" w:rsidP="00150984" w14:paraId="527A0D6C" w14:textId="40B63180">
      <w:pPr>
        <w:autoSpaceDE w:val="0"/>
        <w:autoSpaceDN w:val="0"/>
        <w:adjustRightInd w:val="0"/>
        <w:spacing w:after="120"/>
        <w:rPr>
          <w:sz w:val="20"/>
        </w:rPr>
      </w:pPr>
      <w:r w:rsidRPr="00150984">
        <w:rPr>
          <w:rStyle w:val="FootnoteReference"/>
          <w:sz w:val="20"/>
        </w:rPr>
        <w:footnoteRef/>
      </w:r>
      <w:r w:rsidR="0092178B">
        <w:rPr>
          <w:sz w:val="20"/>
        </w:rPr>
        <w:t xml:space="preserve"> </w:t>
      </w:r>
      <w:r w:rsidR="003028D0">
        <w:rPr>
          <w:sz w:val="20"/>
        </w:rPr>
        <w:t xml:space="preserve">The Commission </w:t>
      </w:r>
      <w:r w:rsidR="00FE6416">
        <w:rPr>
          <w:sz w:val="20"/>
        </w:rPr>
        <w:t>considered</w:t>
      </w:r>
      <w:r w:rsidR="003028D0">
        <w:rPr>
          <w:sz w:val="20"/>
        </w:rPr>
        <w:t xml:space="preserve"> that </w:t>
      </w:r>
      <w:r w:rsidR="00A122F3">
        <w:rPr>
          <w:sz w:val="20"/>
        </w:rPr>
        <w:t>grant of some authorization</w:t>
      </w:r>
      <w:r w:rsidR="00FE6416">
        <w:rPr>
          <w:sz w:val="20"/>
        </w:rPr>
        <w:t>s should be explicitly conditioned on the grant of the pending remedial petition</w:t>
      </w:r>
      <w:r w:rsidR="00DF0E6A">
        <w:rPr>
          <w:sz w:val="20"/>
        </w:rPr>
        <w:t xml:space="preserve">.  </w:t>
      </w:r>
      <w:r w:rsidR="00DF0E6A">
        <w:rPr>
          <w:i/>
          <w:iCs/>
          <w:sz w:val="20"/>
        </w:rPr>
        <w:t xml:space="preserve">See </w:t>
      </w:r>
      <w:r w:rsidRPr="00BB008E" w:rsidR="00DF0E6A">
        <w:rPr>
          <w:i/>
          <w:iCs/>
          <w:sz w:val="20"/>
        </w:rPr>
        <w:t>2026</w:t>
      </w:r>
      <w:r w:rsidRPr="00BB008E" w:rsidR="00DF0E6A">
        <w:rPr>
          <w:sz w:val="20"/>
        </w:rPr>
        <w:t xml:space="preserve"> </w:t>
      </w:r>
      <w:r w:rsidRPr="00BB008E" w:rsidR="00DF0E6A">
        <w:rPr>
          <w:i/>
          <w:iCs/>
          <w:sz w:val="20"/>
        </w:rPr>
        <w:t>Foreign Ownership</w:t>
      </w:r>
      <w:r w:rsidRPr="00BB008E" w:rsidR="00DF0E6A">
        <w:rPr>
          <w:sz w:val="20"/>
        </w:rPr>
        <w:t xml:space="preserve"> </w:t>
      </w:r>
      <w:r w:rsidRPr="00BB008E" w:rsidR="00DF0E6A">
        <w:rPr>
          <w:i/>
          <w:iCs/>
          <w:sz w:val="20"/>
        </w:rPr>
        <w:t>Report and Order</w:t>
      </w:r>
      <w:r w:rsidRPr="00BB008E" w:rsidR="00DF0E6A">
        <w:rPr>
          <w:sz w:val="20"/>
        </w:rPr>
        <w:t xml:space="preserve"> at para. 29</w:t>
      </w:r>
      <w:r w:rsidR="00DF0E6A">
        <w:rPr>
          <w:sz w:val="20"/>
        </w:rPr>
        <w:t xml:space="preserve">.  In addition, </w:t>
      </w:r>
      <w:r w:rsidR="00772975">
        <w:rPr>
          <w:sz w:val="20"/>
        </w:rPr>
        <w:t>imposing</w:t>
      </w:r>
      <w:r w:rsidR="0050075C">
        <w:rPr>
          <w:sz w:val="20"/>
        </w:rPr>
        <w:t xml:space="preserve"> </w:t>
      </w:r>
      <w:r w:rsidR="003C0AC0">
        <w:rPr>
          <w:sz w:val="20"/>
        </w:rPr>
        <w:t>conditions</w:t>
      </w:r>
      <w:r w:rsidR="0050075C">
        <w:rPr>
          <w:sz w:val="20"/>
        </w:rPr>
        <w:t xml:space="preserve"> will </w:t>
      </w:r>
      <w:r w:rsidR="003C0AC0">
        <w:rPr>
          <w:sz w:val="20"/>
        </w:rPr>
        <w:t xml:space="preserve">preserve the </w:t>
      </w:r>
      <w:r w:rsidR="00251196">
        <w:rPr>
          <w:sz w:val="20"/>
        </w:rPr>
        <w:t>Bureau’s</w:t>
      </w:r>
      <w:r w:rsidR="003C0AC0">
        <w:rPr>
          <w:sz w:val="20"/>
        </w:rPr>
        <w:t xml:space="preserve"> ability to</w:t>
      </w:r>
      <w:r w:rsidR="00DB0E6E">
        <w:rPr>
          <w:sz w:val="20"/>
        </w:rPr>
        <w:t xml:space="preserve"> </w:t>
      </w:r>
      <w:r w:rsidR="00F5373A">
        <w:rPr>
          <w:sz w:val="20"/>
        </w:rPr>
        <w:t>give</w:t>
      </w:r>
      <w:r w:rsidR="00747B09">
        <w:rPr>
          <w:sz w:val="20"/>
        </w:rPr>
        <w:t xml:space="preserve"> the necessary</w:t>
      </w:r>
      <w:r w:rsidR="00F5373A">
        <w:rPr>
          <w:sz w:val="20"/>
        </w:rPr>
        <w:t xml:space="preserve"> “heightened scrutiny” </w:t>
      </w:r>
      <w:r w:rsidR="00747B09">
        <w:rPr>
          <w:sz w:val="20"/>
        </w:rPr>
        <w:t>to</w:t>
      </w:r>
      <w:r w:rsidRPr="00BB008E" w:rsidR="00ED3D70">
        <w:rPr>
          <w:sz w:val="20"/>
        </w:rPr>
        <w:t xml:space="preserve"> “non-routine applications”</w:t>
      </w:r>
      <w:r w:rsidR="00EC43C8">
        <w:rPr>
          <w:sz w:val="20"/>
        </w:rPr>
        <w:t xml:space="preserve"> </w:t>
      </w:r>
      <w:r w:rsidR="003507E9">
        <w:rPr>
          <w:sz w:val="20"/>
        </w:rPr>
        <w:t>involving</w:t>
      </w:r>
      <w:r w:rsidR="00EC43C8">
        <w:rPr>
          <w:sz w:val="20"/>
        </w:rPr>
        <w:t xml:space="preserve"> </w:t>
      </w:r>
      <w:r w:rsidR="00A422A5">
        <w:rPr>
          <w:sz w:val="20"/>
        </w:rPr>
        <w:t>“assignments/transfers of control”</w:t>
      </w:r>
      <w:r w:rsidR="00220D23">
        <w:rPr>
          <w:sz w:val="20"/>
        </w:rPr>
        <w:t xml:space="preserve"> (among others),</w:t>
      </w:r>
      <w:r w:rsidR="00807EB2">
        <w:rPr>
          <w:sz w:val="20"/>
        </w:rPr>
        <w:t xml:space="preserve"> </w:t>
      </w:r>
      <w:r w:rsidR="0092178B">
        <w:rPr>
          <w:sz w:val="20"/>
        </w:rPr>
        <w:t xml:space="preserve">as the Commission envisioned.  </w:t>
      </w:r>
      <w:r w:rsidR="003A6FE0">
        <w:rPr>
          <w:i/>
          <w:iCs/>
          <w:sz w:val="20"/>
        </w:rPr>
        <w:t xml:space="preserve">See </w:t>
      </w:r>
      <w:r w:rsidR="0050075C">
        <w:rPr>
          <w:i/>
          <w:iCs/>
          <w:sz w:val="20"/>
        </w:rPr>
        <w:t>id.</w:t>
      </w:r>
      <w:r w:rsidRPr="00BB008E" w:rsidR="00BB008E">
        <w:rPr>
          <w:sz w:val="20"/>
        </w:rPr>
        <w:t xml:space="preserve"> at para. 29</w:t>
      </w:r>
      <w:r w:rsidR="00DF0F43">
        <w:rPr>
          <w:sz w:val="20"/>
        </w:rPr>
        <w:t>.</w:t>
      </w:r>
      <w:r w:rsidR="00A7385A">
        <w:rPr>
          <w:sz w:val="20"/>
        </w:rPr>
        <w:t xml:space="preserve">  </w:t>
      </w:r>
      <w:r w:rsidR="00352EF4">
        <w:rPr>
          <w:sz w:val="20"/>
        </w:rPr>
        <w:t xml:space="preserve"> </w:t>
      </w:r>
      <w:r w:rsidR="00251196">
        <w:rPr>
          <w:sz w:val="20"/>
        </w:rPr>
        <w:t>The imposition of conditions</w:t>
      </w:r>
      <w:r w:rsidR="00352EF4">
        <w:rPr>
          <w:sz w:val="20"/>
        </w:rPr>
        <w:t xml:space="preserve"> is also consistent with past agency practice.  </w:t>
      </w:r>
      <w:r w:rsidR="00BD59B7">
        <w:rPr>
          <w:sz w:val="20"/>
        </w:rPr>
        <w:t>Specifically</w:t>
      </w:r>
      <w:r w:rsidR="0068215B">
        <w:rPr>
          <w:rFonts w:eastAsia="Aptos"/>
          <w:snapToGrid/>
          <w:kern w:val="0"/>
          <w:sz w:val="20"/>
          <w14:ligatures w14:val="standardContextual"/>
        </w:rPr>
        <w:t>,</w:t>
      </w:r>
      <w:r w:rsidRPr="00150984">
        <w:rPr>
          <w:rFonts w:eastAsia="Aptos"/>
          <w:snapToGrid/>
          <w:kern w:val="0"/>
          <w:sz w:val="20"/>
          <w14:ligatures w14:val="standardContextual"/>
        </w:rPr>
        <w:t xml:space="preserve"> in such instances</w:t>
      </w:r>
      <w:r w:rsidR="0068215B">
        <w:rPr>
          <w:rFonts w:eastAsia="Aptos"/>
          <w:snapToGrid/>
          <w:kern w:val="0"/>
          <w:sz w:val="20"/>
          <w14:ligatures w14:val="standardContextual"/>
        </w:rPr>
        <w:t>,</w:t>
      </w:r>
      <w:r w:rsidRPr="00150984">
        <w:rPr>
          <w:rFonts w:eastAsia="Aptos"/>
          <w:snapToGrid/>
          <w:kern w:val="0"/>
          <w:sz w:val="20"/>
          <w14:ligatures w14:val="standardContextual"/>
        </w:rPr>
        <w:t xml:space="preserve"> the Bureau has concluded that the public interest would be served by granting certain applications with conditions that are designed to insulate, to the extent possible, certain foreign interests while a remedial petition for declaratory ruling is pending.  </w:t>
      </w:r>
      <w:r w:rsidRPr="00150984">
        <w:rPr>
          <w:rFonts w:eastAsia="Aptos"/>
          <w:i/>
          <w:iCs/>
          <w:snapToGrid/>
          <w:kern w:val="0"/>
          <w:sz w:val="20"/>
          <w14:ligatures w14:val="standardContextual"/>
        </w:rPr>
        <w:t>See, e.g.</w:t>
      </w:r>
      <w:r w:rsidRPr="00150984">
        <w:rPr>
          <w:rFonts w:eastAsia="Aptos"/>
          <w:snapToGrid/>
          <w:kern w:val="0"/>
          <w:sz w:val="20"/>
          <w14:ligatures w14:val="standardContextual"/>
        </w:rPr>
        <w:t xml:space="preserve">, </w:t>
      </w:r>
      <w:r w:rsidRPr="00150984">
        <w:rPr>
          <w:rFonts w:eastAsia="Aptos"/>
          <w:i/>
          <w:iCs/>
          <w:snapToGrid/>
          <w:kern w:val="0"/>
          <w:sz w:val="20"/>
          <w14:ligatures w14:val="standardContextual"/>
        </w:rPr>
        <w:t>Cumulus Licensing LLC (Assignor) and Cumulus Licensing Holding Company II LLC (Assignee), et al</w:t>
      </w:r>
      <w:r w:rsidRPr="00150984">
        <w:rPr>
          <w:rFonts w:eastAsia="Aptos"/>
          <w:snapToGrid/>
          <w:kern w:val="0"/>
          <w:sz w:val="20"/>
          <w14:ligatures w14:val="standardContextual"/>
        </w:rPr>
        <w:t xml:space="preserve">., Memorandum Opinion and Order, 39 FCC </w:t>
      </w:r>
      <w:r w:rsidRPr="00150984">
        <w:rPr>
          <w:rFonts w:eastAsia="Aptos"/>
          <w:snapToGrid/>
          <w:kern w:val="0"/>
          <w:sz w:val="20"/>
          <w14:ligatures w14:val="standardContextual"/>
        </w:rPr>
        <w:t>Rcd</w:t>
      </w:r>
      <w:r w:rsidRPr="00150984">
        <w:rPr>
          <w:rFonts w:eastAsia="Aptos"/>
          <w:snapToGrid/>
          <w:kern w:val="0"/>
          <w:sz w:val="20"/>
          <w14:ligatures w14:val="standardContextual"/>
        </w:rPr>
        <w:t xml:space="preserve"> 4108 (MB 2024) (granting applications for </w:t>
      </w:r>
      <w:r w:rsidR="00204C97">
        <w:rPr>
          <w:rFonts w:eastAsia="Aptos"/>
          <w:snapToGrid/>
          <w:kern w:val="0"/>
          <w:sz w:val="20"/>
          <w14:ligatures w14:val="standardContextual"/>
        </w:rPr>
        <w:t xml:space="preserve">pro forma </w:t>
      </w:r>
      <w:r w:rsidRPr="00150984">
        <w:rPr>
          <w:rFonts w:eastAsia="Aptos"/>
          <w:snapToGrid/>
          <w:kern w:val="0"/>
          <w:sz w:val="20"/>
          <w14:ligatures w14:val="standardContextual"/>
        </w:rPr>
        <w:t xml:space="preserve">assignment of license to Cumulus Licensing Holding Company II LLC, with conditions designed to insulate new foreign interests in Cumulus Media, Inc., while a remedial petition for declaratory ruling seeking specific approval of such interests was pending); </w:t>
      </w:r>
      <w:r w:rsidRPr="00150984">
        <w:rPr>
          <w:rFonts w:eastAsia="Aptos"/>
          <w:i/>
          <w:iCs/>
          <w:snapToGrid/>
          <w:kern w:val="0"/>
          <w:sz w:val="20"/>
          <w14:ligatures w14:val="standardContextual"/>
        </w:rPr>
        <w:t>Applications of Mortenson Broadcasting Co. of Texas, Inc., et al.</w:t>
      </w:r>
      <w:r w:rsidRPr="00150984">
        <w:rPr>
          <w:rFonts w:eastAsia="Aptos"/>
          <w:snapToGrid/>
          <w:kern w:val="0"/>
          <w:sz w:val="20"/>
          <w14:ligatures w14:val="standardContextual"/>
        </w:rPr>
        <w:t xml:space="preserve">, Memorandum Opinion and Order, 36 FCC </w:t>
      </w:r>
      <w:r w:rsidRPr="00150984">
        <w:rPr>
          <w:rFonts w:eastAsia="Aptos"/>
          <w:snapToGrid/>
          <w:kern w:val="0"/>
          <w:sz w:val="20"/>
          <w14:ligatures w14:val="standardContextual"/>
        </w:rPr>
        <w:t>Rcd</w:t>
      </w:r>
      <w:r w:rsidRPr="00150984">
        <w:rPr>
          <w:rFonts w:eastAsia="Aptos"/>
          <w:snapToGrid/>
          <w:kern w:val="0"/>
          <w:sz w:val="20"/>
          <w14:ligatures w14:val="standardContextual"/>
        </w:rPr>
        <w:t xml:space="preserve"> 5935, 5939-42, paras. 9-12 (MB 2021) (granting applications for assignment of licenses to </w:t>
      </w:r>
      <w:r w:rsidRPr="00150984">
        <w:rPr>
          <w:rFonts w:eastAsia="Aptos"/>
          <w:snapToGrid/>
          <w:kern w:val="0"/>
          <w:sz w:val="20"/>
          <w14:ligatures w14:val="standardContextual"/>
        </w:rPr>
        <w:t>iHM</w:t>
      </w:r>
      <w:r w:rsidRPr="00150984">
        <w:rPr>
          <w:rFonts w:eastAsia="Aptos"/>
          <w:snapToGrid/>
          <w:kern w:val="0"/>
          <w:sz w:val="20"/>
          <w14:ligatures w14:val="standardContextual"/>
        </w:rPr>
        <w:t xml:space="preserve"> Licenses, LLC, with conditions designed to insulate new foreign interests in iHeart Media, </w:t>
      </w:r>
      <w:r w:rsidRPr="00150984">
        <w:rPr>
          <w:rFonts w:eastAsia="Aptos"/>
          <w:sz w:val="20"/>
          <w14:ligatures w14:val="standardContextual"/>
        </w:rPr>
        <w:t>Inc., while a remedial petition for declaratory</w:t>
      </w:r>
      <w:r w:rsidRPr="00150984">
        <w:rPr>
          <w:rFonts w:eastAsia="Aptos"/>
          <w:kern w:val="2"/>
          <w:sz w:val="20"/>
          <w14:ligatures w14:val="standardContextual"/>
        </w:rPr>
        <w:t xml:space="preserve"> </w:t>
      </w:r>
      <w:r w:rsidRPr="00150984">
        <w:rPr>
          <w:rFonts w:eastAsia="Aptos"/>
          <w:sz w:val="20"/>
          <w14:ligatures w14:val="standardContextual"/>
        </w:rPr>
        <w:t>seeking specific approval of such interests was pending).</w:t>
      </w:r>
    </w:p>
  </w:footnote>
  <w:footnote w:id="20">
    <w:p w:rsidR="00F7119A" w14:paraId="7513CE4B" w14:textId="0FD5A49F">
      <w:pPr>
        <w:pStyle w:val="FootnoteText"/>
      </w:pPr>
      <w:r>
        <w:rPr>
          <w:rStyle w:val="FootnoteReference"/>
        </w:rPr>
        <w:footnoteRef/>
      </w:r>
      <w:r>
        <w:t xml:space="preserve"> </w:t>
      </w:r>
      <w:r w:rsidRPr="007A554E">
        <w:rPr>
          <w:i/>
          <w:iCs/>
        </w:rPr>
        <w:t>See</w:t>
      </w:r>
      <w:r>
        <w:t xml:space="preserve"> </w:t>
      </w:r>
      <w:r w:rsidRPr="00B47CB8">
        <w:rPr>
          <w:i/>
          <w:iCs/>
        </w:rPr>
        <w:t>2026 Foreign Ownership Report and Order</w:t>
      </w:r>
      <w:r w:rsidRPr="00F7119A">
        <w:t xml:space="preserve"> at para. 29</w:t>
      </w:r>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7B90852B" w14:textId="603FDAEB">
    <w:pPr>
      <w:tabs>
        <w:tab w:val="center" w:pos="4680"/>
        <w:tab w:val="right" w:pos="9360"/>
      </w:tabs>
    </w:pPr>
    <w:r>
      <w:rPr>
        <w:b/>
      </w:rPr>
      <w:tab/>
      <w:t>Federal Communications Commission</w:t>
    </w:r>
    <w:r>
      <w:rPr>
        <w:b/>
      </w:rPr>
      <w:tab/>
    </w:r>
    <w:r w:rsidR="00F94417">
      <w:rPr>
        <w:b/>
      </w:rPr>
      <w:t>DA 26-</w:t>
    </w:r>
    <w:r w:rsidR="00836890">
      <w:rPr>
        <w:b/>
      </w:rPr>
      <w:t>501</w:t>
    </w:r>
  </w:p>
  <w:p w:rsidR="00BA3BA8" w14:paraId="7251B961" w14:textId="5CD4ACF6">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A3BA8" w14:paraId="4441BAB2"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609EA5AC" w14:textId="204A756C">
    <w:pPr>
      <w:pStyle w:val="Header"/>
    </w:pPr>
    <w:r>
      <w:rPr>
        <w:noProof/>
      </w:rPr>
      <w:drawing>
        <wp:inline distT="0" distB="0" distL="0" distR="0">
          <wp:extent cx="5948680" cy="1428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8680" cy="14287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D180CED0"/>
    <w:lvl w:ilvl="0">
      <w:start w:val="1"/>
      <w:numFmt w:val="decimal"/>
      <w:pStyle w:val="ParaNum"/>
      <w:lvlText w:val="%1."/>
      <w:lvlJc w:val="left"/>
      <w:pPr>
        <w:tabs>
          <w:tab w:val="num" w:pos="1080"/>
        </w:tabs>
        <w:ind w:left="0" w:firstLine="720"/>
      </w:pPr>
    </w:lvl>
  </w:abstractNum>
  <w:abstractNum w:abstractNumId="6">
    <w:nsid w:val="629A6C2E"/>
    <w:multiLevelType w:val="hybridMultilevel"/>
    <w:tmpl w:val="32542B3C"/>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16cid:durableId="1277979818">
    <w:abstractNumId w:val="1"/>
  </w:num>
  <w:num w:numId="2" w16cid:durableId="173374918">
    <w:abstractNumId w:val="5"/>
  </w:num>
  <w:num w:numId="3" w16cid:durableId="1968317373">
    <w:abstractNumId w:val="3"/>
  </w:num>
  <w:num w:numId="4" w16cid:durableId="1137605321">
    <w:abstractNumId w:val="4"/>
  </w:num>
  <w:num w:numId="5" w16cid:durableId="1042293934">
    <w:abstractNumId w:val="2"/>
  </w:num>
  <w:num w:numId="6" w16cid:durableId="1394501548">
    <w:abstractNumId w:val="0"/>
  </w:num>
  <w:num w:numId="7" w16cid:durableId="80111389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466B"/>
    <w:rsid w:val="00002A9A"/>
    <w:rsid w:val="000051D1"/>
    <w:rsid w:val="00005B69"/>
    <w:rsid w:val="00010899"/>
    <w:rsid w:val="00012D99"/>
    <w:rsid w:val="00013127"/>
    <w:rsid w:val="0001617E"/>
    <w:rsid w:val="000168CA"/>
    <w:rsid w:val="00016CD5"/>
    <w:rsid w:val="000174E6"/>
    <w:rsid w:val="0002047D"/>
    <w:rsid w:val="0002193F"/>
    <w:rsid w:val="00023539"/>
    <w:rsid w:val="00025983"/>
    <w:rsid w:val="00026473"/>
    <w:rsid w:val="0002766A"/>
    <w:rsid w:val="00030A7C"/>
    <w:rsid w:val="0003171B"/>
    <w:rsid w:val="00032FD3"/>
    <w:rsid w:val="00033703"/>
    <w:rsid w:val="00034AB4"/>
    <w:rsid w:val="000360FC"/>
    <w:rsid w:val="00041A7A"/>
    <w:rsid w:val="0004253F"/>
    <w:rsid w:val="000434DB"/>
    <w:rsid w:val="00043995"/>
    <w:rsid w:val="00043D8A"/>
    <w:rsid w:val="00053253"/>
    <w:rsid w:val="00057C2B"/>
    <w:rsid w:val="000613D9"/>
    <w:rsid w:val="00061520"/>
    <w:rsid w:val="000618E5"/>
    <w:rsid w:val="000668A8"/>
    <w:rsid w:val="000678CB"/>
    <w:rsid w:val="00072280"/>
    <w:rsid w:val="000737D7"/>
    <w:rsid w:val="00073865"/>
    <w:rsid w:val="00076391"/>
    <w:rsid w:val="0007654B"/>
    <w:rsid w:val="000820F1"/>
    <w:rsid w:val="00085F36"/>
    <w:rsid w:val="00086EFC"/>
    <w:rsid w:val="00097130"/>
    <w:rsid w:val="000A0BB4"/>
    <w:rsid w:val="000A1AE0"/>
    <w:rsid w:val="000A207E"/>
    <w:rsid w:val="000A2648"/>
    <w:rsid w:val="000A3DB7"/>
    <w:rsid w:val="000B2298"/>
    <w:rsid w:val="000B2A23"/>
    <w:rsid w:val="000B7D71"/>
    <w:rsid w:val="000C4D14"/>
    <w:rsid w:val="000C765E"/>
    <w:rsid w:val="000D2E98"/>
    <w:rsid w:val="000D4B63"/>
    <w:rsid w:val="000D6265"/>
    <w:rsid w:val="000D6B45"/>
    <w:rsid w:val="000E16A1"/>
    <w:rsid w:val="000E1882"/>
    <w:rsid w:val="000E29A8"/>
    <w:rsid w:val="000E3F7B"/>
    <w:rsid w:val="000E5AA6"/>
    <w:rsid w:val="000F04EF"/>
    <w:rsid w:val="000F6CB5"/>
    <w:rsid w:val="000F7530"/>
    <w:rsid w:val="001000B4"/>
    <w:rsid w:val="00102B7F"/>
    <w:rsid w:val="00103064"/>
    <w:rsid w:val="0010408D"/>
    <w:rsid w:val="00110245"/>
    <w:rsid w:val="0011171F"/>
    <w:rsid w:val="00114822"/>
    <w:rsid w:val="001160D4"/>
    <w:rsid w:val="00120987"/>
    <w:rsid w:val="00121FB5"/>
    <w:rsid w:val="00122358"/>
    <w:rsid w:val="00122ECB"/>
    <w:rsid w:val="001233DE"/>
    <w:rsid w:val="00123D6C"/>
    <w:rsid w:val="001240F1"/>
    <w:rsid w:val="00124581"/>
    <w:rsid w:val="00133081"/>
    <w:rsid w:val="00135230"/>
    <w:rsid w:val="001369F2"/>
    <w:rsid w:val="00137300"/>
    <w:rsid w:val="0014171D"/>
    <w:rsid w:val="00141CA7"/>
    <w:rsid w:val="00142442"/>
    <w:rsid w:val="00143F8C"/>
    <w:rsid w:val="00146698"/>
    <w:rsid w:val="00150984"/>
    <w:rsid w:val="00153F11"/>
    <w:rsid w:val="00154711"/>
    <w:rsid w:val="00157A28"/>
    <w:rsid w:val="00157C48"/>
    <w:rsid w:val="00160421"/>
    <w:rsid w:val="00160CB5"/>
    <w:rsid w:val="00161A31"/>
    <w:rsid w:val="00164059"/>
    <w:rsid w:val="001669C2"/>
    <w:rsid w:val="00172C17"/>
    <w:rsid w:val="00172D48"/>
    <w:rsid w:val="00173465"/>
    <w:rsid w:val="001741F9"/>
    <w:rsid w:val="00177701"/>
    <w:rsid w:val="0018025B"/>
    <w:rsid w:val="00180F0F"/>
    <w:rsid w:val="00181A4D"/>
    <w:rsid w:val="0018559F"/>
    <w:rsid w:val="00187EC8"/>
    <w:rsid w:val="0019053D"/>
    <w:rsid w:val="00191DDE"/>
    <w:rsid w:val="001921C8"/>
    <w:rsid w:val="00193302"/>
    <w:rsid w:val="00193D6E"/>
    <w:rsid w:val="00193FB0"/>
    <w:rsid w:val="00194583"/>
    <w:rsid w:val="00197996"/>
    <w:rsid w:val="001A21A8"/>
    <w:rsid w:val="001A26E1"/>
    <w:rsid w:val="001A3B75"/>
    <w:rsid w:val="001A4B6E"/>
    <w:rsid w:val="001A52CB"/>
    <w:rsid w:val="001A69B5"/>
    <w:rsid w:val="001B536C"/>
    <w:rsid w:val="001B6DCA"/>
    <w:rsid w:val="001C3C26"/>
    <w:rsid w:val="001C5AA5"/>
    <w:rsid w:val="001C79F6"/>
    <w:rsid w:val="001D46C8"/>
    <w:rsid w:val="001D561C"/>
    <w:rsid w:val="001D5B6B"/>
    <w:rsid w:val="001D6083"/>
    <w:rsid w:val="001D6E75"/>
    <w:rsid w:val="001D73C7"/>
    <w:rsid w:val="001E4A13"/>
    <w:rsid w:val="001E68F1"/>
    <w:rsid w:val="001E7533"/>
    <w:rsid w:val="001E7AF9"/>
    <w:rsid w:val="001F16E5"/>
    <w:rsid w:val="001F2F30"/>
    <w:rsid w:val="001F367B"/>
    <w:rsid w:val="001F7472"/>
    <w:rsid w:val="00201144"/>
    <w:rsid w:val="0020184F"/>
    <w:rsid w:val="00202338"/>
    <w:rsid w:val="0020309B"/>
    <w:rsid w:val="00204A05"/>
    <w:rsid w:val="00204C97"/>
    <w:rsid w:val="0021282C"/>
    <w:rsid w:val="00213591"/>
    <w:rsid w:val="00213B8F"/>
    <w:rsid w:val="00213FF7"/>
    <w:rsid w:val="002144E5"/>
    <w:rsid w:val="00215D29"/>
    <w:rsid w:val="002203A0"/>
    <w:rsid w:val="00220D23"/>
    <w:rsid w:val="002222A4"/>
    <w:rsid w:val="00223007"/>
    <w:rsid w:val="00223901"/>
    <w:rsid w:val="00223B22"/>
    <w:rsid w:val="00224442"/>
    <w:rsid w:val="002253AE"/>
    <w:rsid w:val="0022765A"/>
    <w:rsid w:val="00227E11"/>
    <w:rsid w:val="002340BC"/>
    <w:rsid w:val="00236661"/>
    <w:rsid w:val="00236FC6"/>
    <w:rsid w:val="0023755D"/>
    <w:rsid w:val="00237EB9"/>
    <w:rsid w:val="00241B09"/>
    <w:rsid w:val="00242E92"/>
    <w:rsid w:val="00243626"/>
    <w:rsid w:val="00244A69"/>
    <w:rsid w:val="00244F49"/>
    <w:rsid w:val="002454F7"/>
    <w:rsid w:val="00245854"/>
    <w:rsid w:val="00246451"/>
    <w:rsid w:val="00246727"/>
    <w:rsid w:val="00251196"/>
    <w:rsid w:val="00253195"/>
    <w:rsid w:val="00253C68"/>
    <w:rsid w:val="002616BE"/>
    <w:rsid w:val="00261735"/>
    <w:rsid w:val="0026180E"/>
    <w:rsid w:val="00262495"/>
    <w:rsid w:val="00263BCE"/>
    <w:rsid w:val="0026461F"/>
    <w:rsid w:val="00265396"/>
    <w:rsid w:val="002662E2"/>
    <w:rsid w:val="0026687B"/>
    <w:rsid w:val="00267D7F"/>
    <w:rsid w:val="0027304C"/>
    <w:rsid w:val="00275C50"/>
    <w:rsid w:val="00275FB7"/>
    <w:rsid w:val="0027639B"/>
    <w:rsid w:val="0028215F"/>
    <w:rsid w:val="002856E4"/>
    <w:rsid w:val="0028693F"/>
    <w:rsid w:val="002943D6"/>
    <w:rsid w:val="0029544F"/>
    <w:rsid w:val="002A119A"/>
    <w:rsid w:val="002A3BCE"/>
    <w:rsid w:val="002A79F6"/>
    <w:rsid w:val="002B2ED2"/>
    <w:rsid w:val="002B6129"/>
    <w:rsid w:val="002B67E0"/>
    <w:rsid w:val="002B6933"/>
    <w:rsid w:val="002B7515"/>
    <w:rsid w:val="002C0014"/>
    <w:rsid w:val="002C3B12"/>
    <w:rsid w:val="002C4A07"/>
    <w:rsid w:val="002C587A"/>
    <w:rsid w:val="002C67EE"/>
    <w:rsid w:val="002C7197"/>
    <w:rsid w:val="002D07B1"/>
    <w:rsid w:val="002D1737"/>
    <w:rsid w:val="002D24F2"/>
    <w:rsid w:val="002D3857"/>
    <w:rsid w:val="002D5819"/>
    <w:rsid w:val="002D64B7"/>
    <w:rsid w:val="002D6C44"/>
    <w:rsid w:val="002E1A13"/>
    <w:rsid w:val="002E3878"/>
    <w:rsid w:val="002E43A9"/>
    <w:rsid w:val="002E4449"/>
    <w:rsid w:val="002E5447"/>
    <w:rsid w:val="002F08AF"/>
    <w:rsid w:val="002F0E88"/>
    <w:rsid w:val="002F25FE"/>
    <w:rsid w:val="002F3016"/>
    <w:rsid w:val="002F302D"/>
    <w:rsid w:val="002F652B"/>
    <w:rsid w:val="00300694"/>
    <w:rsid w:val="00301FD7"/>
    <w:rsid w:val="003028A8"/>
    <w:rsid w:val="003028D0"/>
    <w:rsid w:val="00304BF1"/>
    <w:rsid w:val="003066A7"/>
    <w:rsid w:val="003113CF"/>
    <w:rsid w:val="00312F37"/>
    <w:rsid w:val="00314263"/>
    <w:rsid w:val="00315422"/>
    <w:rsid w:val="0031596D"/>
    <w:rsid w:val="00315A5E"/>
    <w:rsid w:val="003161F3"/>
    <w:rsid w:val="003163D7"/>
    <w:rsid w:val="00317CBB"/>
    <w:rsid w:val="003218DF"/>
    <w:rsid w:val="003241D6"/>
    <w:rsid w:val="0033034B"/>
    <w:rsid w:val="003310BA"/>
    <w:rsid w:val="0033623E"/>
    <w:rsid w:val="00336968"/>
    <w:rsid w:val="00336EC6"/>
    <w:rsid w:val="003403FB"/>
    <w:rsid w:val="003417A6"/>
    <w:rsid w:val="003441C1"/>
    <w:rsid w:val="0034450C"/>
    <w:rsid w:val="003467FA"/>
    <w:rsid w:val="00346ADE"/>
    <w:rsid w:val="003507E9"/>
    <w:rsid w:val="00352EF4"/>
    <w:rsid w:val="00354E59"/>
    <w:rsid w:val="00356BDE"/>
    <w:rsid w:val="0036381D"/>
    <w:rsid w:val="00364978"/>
    <w:rsid w:val="00364D0C"/>
    <w:rsid w:val="00365C51"/>
    <w:rsid w:val="00377B48"/>
    <w:rsid w:val="00383E78"/>
    <w:rsid w:val="003854A8"/>
    <w:rsid w:val="0038566E"/>
    <w:rsid w:val="003856A8"/>
    <w:rsid w:val="003861AA"/>
    <w:rsid w:val="003907C6"/>
    <w:rsid w:val="00392747"/>
    <w:rsid w:val="00393426"/>
    <w:rsid w:val="00393DF1"/>
    <w:rsid w:val="0039459D"/>
    <w:rsid w:val="003A2763"/>
    <w:rsid w:val="003A2A2F"/>
    <w:rsid w:val="003A333D"/>
    <w:rsid w:val="003A5979"/>
    <w:rsid w:val="003A6FE0"/>
    <w:rsid w:val="003A74F6"/>
    <w:rsid w:val="003B3111"/>
    <w:rsid w:val="003B33FA"/>
    <w:rsid w:val="003B3FE3"/>
    <w:rsid w:val="003B5890"/>
    <w:rsid w:val="003B6BD0"/>
    <w:rsid w:val="003C0AC0"/>
    <w:rsid w:val="003C1057"/>
    <w:rsid w:val="003C2ECC"/>
    <w:rsid w:val="003C6D6F"/>
    <w:rsid w:val="003E0BEB"/>
    <w:rsid w:val="003E162A"/>
    <w:rsid w:val="003E21A1"/>
    <w:rsid w:val="003E3131"/>
    <w:rsid w:val="003E490E"/>
    <w:rsid w:val="003F0B5F"/>
    <w:rsid w:val="003F1AE1"/>
    <w:rsid w:val="004002D7"/>
    <w:rsid w:val="00400CCF"/>
    <w:rsid w:val="00401221"/>
    <w:rsid w:val="0040226A"/>
    <w:rsid w:val="004023C9"/>
    <w:rsid w:val="00402AF4"/>
    <w:rsid w:val="00404CB0"/>
    <w:rsid w:val="004063B3"/>
    <w:rsid w:val="00410C27"/>
    <w:rsid w:val="004130D8"/>
    <w:rsid w:val="0041577B"/>
    <w:rsid w:val="004162CF"/>
    <w:rsid w:val="00423537"/>
    <w:rsid w:val="00425A49"/>
    <w:rsid w:val="0042781E"/>
    <w:rsid w:val="00430183"/>
    <w:rsid w:val="00431020"/>
    <w:rsid w:val="00431677"/>
    <w:rsid w:val="00435F8C"/>
    <w:rsid w:val="00436883"/>
    <w:rsid w:val="00436EA2"/>
    <w:rsid w:val="00447D79"/>
    <w:rsid w:val="00452059"/>
    <w:rsid w:val="00452472"/>
    <w:rsid w:val="00453A03"/>
    <w:rsid w:val="00461AB2"/>
    <w:rsid w:val="00463160"/>
    <w:rsid w:val="00466524"/>
    <w:rsid w:val="00466AB9"/>
    <w:rsid w:val="00473D60"/>
    <w:rsid w:val="00474B5B"/>
    <w:rsid w:val="0047779E"/>
    <w:rsid w:val="00477B82"/>
    <w:rsid w:val="00481284"/>
    <w:rsid w:val="004827F5"/>
    <w:rsid w:val="00483021"/>
    <w:rsid w:val="004849F8"/>
    <w:rsid w:val="004873C2"/>
    <w:rsid w:val="00487C9A"/>
    <w:rsid w:val="00491C1F"/>
    <w:rsid w:val="004926CA"/>
    <w:rsid w:val="00492FE1"/>
    <w:rsid w:val="00493CEF"/>
    <w:rsid w:val="004959E1"/>
    <w:rsid w:val="00496A79"/>
    <w:rsid w:val="0049777A"/>
    <w:rsid w:val="0049788F"/>
    <w:rsid w:val="004A5062"/>
    <w:rsid w:val="004A5E3D"/>
    <w:rsid w:val="004B0C26"/>
    <w:rsid w:val="004B1598"/>
    <w:rsid w:val="004B16C0"/>
    <w:rsid w:val="004B23F1"/>
    <w:rsid w:val="004C30F5"/>
    <w:rsid w:val="004C5516"/>
    <w:rsid w:val="004C6C29"/>
    <w:rsid w:val="004C6E74"/>
    <w:rsid w:val="004E2349"/>
    <w:rsid w:val="004E25D1"/>
    <w:rsid w:val="004E3B2C"/>
    <w:rsid w:val="004E404A"/>
    <w:rsid w:val="004E4790"/>
    <w:rsid w:val="004F034E"/>
    <w:rsid w:val="004F0497"/>
    <w:rsid w:val="004F06EC"/>
    <w:rsid w:val="004F07E8"/>
    <w:rsid w:val="004F0F23"/>
    <w:rsid w:val="004F1D4F"/>
    <w:rsid w:val="004F4DA0"/>
    <w:rsid w:val="004F655F"/>
    <w:rsid w:val="004F773E"/>
    <w:rsid w:val="0050075C"/>
    <w:rsid w:val="0050343F"/>
    <w:rsid w:val="00504A22"/>
    <w:rsid w:val="00504AF8"/>
    <w:rsid w:val="00504B47"/>
    <w:rsid w:val="005066E7"/>
    <w:rsid w:val="00510B72"/>
    <w:rsid w:val="005139F2"/>
    <w:rsid w:val="00514543"/>
    <w:rsid w:val="00527874"/>
    <w:rsid w:val="0053340F"/>
    <w:rsid w:val="00540D5A"/>
    <w:rsid w:val="0054133D"/>
    <w:rsid w:val="00545196"/>
    <w:rsid w:val="00550FA3"/>
    <w:rsid w:val="00556BEB"/>
    <w:rsid w:val="0055750A"/>
    <w:rsid w:val="0056010A"/>
    <w:rsid w:val="005656C4"/>
    <w:rsid w:val="0056730C"/>
    <w:rsid w:val="005674FB"/>
    <w:rsid w:val="0057011C"/>
    <w:rsid w:val="005701CA"/>
    <w:rsid w:val="00572809"/>
    <w:rsid w:val="005735E1"/>
    <w:rsid w:val="00574FB0"/>
    <w:rsid w:val="00577188"/>
    <w:rsid w:val="00581493"/>
    <w:rsid w:val="00581B90"/>
    <w:rsid w:val="00582528"/>
    <w:rsid w:val="0058442F"/>
    <w:rsid w:val="005870C9"/>
    <w:rsid w:val="00587939"/>
    <w:rsid w:val="00587B07"/>
    <w:rsid w:val="0059098B"/>
    <w:rsid w:val="00590E05"/>
    <w:rsid w:val="00597467"/>
    <w:rsid w:val="005A1E3E"/>
    <w:rsid w:val="005A4022"/>
    <w:rsid w:val="005A4331"/>
    <w:rsid w:val="005A5138"/>
    <w:rsid w:val="005A514F"/>
    <w:rsid w:val="005A5F97"/>
    <w:rsid w:val="005A73D1"/>
    <w:rsid w:val="005A76CC"/>
    <w:rsid w:val="005B10A4"/>
    <w:rsid w:val="005B3A40"/>
    <w:rsid w:val="005B3E25"/>
    <w:rsid w:val="005C2914"/>
    <w:rsid w:val="005C3954"/>
    <w:rsid w:val="005C7A72"/>
    <w:rsid w:val="005D0173"/>
    <w:rsid w:val="005D235D"/>
    <w:rsid w:val="005D2FAB"/>
    <w:rsid w:val="005D3A70"/>
    <w:rsid w:val="005D6F87"/>
    <w:rsid w:val="005E06BC"/>
    <w:rsid w:val="005E141B"/>
    <w:rsid w:val="005E1EDA"/>
    <w:rsid w:val="005E41CC"/>
    <w:rsid w:val="005E497B"/>
    <w:rsid w:val="005E650B"/>
    <w:rsid w:val="005F02DC"/>
    <w:rsid w:val="005F1EBA"/>
    <w:rsid w:val="005F2A19"/>
    <w:rsid w:val="005F4560"/>
    <w:rsid w:val="005F68C8"/>
    <w:rsid w:val="005F7B5F"/>
    <w:rsid w:val="006001D2"/>
    <w:rsid w:val="00601C13"/>
    <w:rsid w:val="00602D38"/>
    <w:rsid w:val="00603820"/>
    <w:rsid w:val="00606BFC"/>
    <w:rsid w:val="0061261F"/>
    <w:rsid w:val="00613F4A"/>
    <w:rsid w:val="006204F1"/>
    <w:rsid w:val="006206B6"/>
    <w:rsid w:val="006206EF"/>
    <w:rsid w:val="00623166"/>
    <w:rsid w:val="00623E9C"/>
    <w:rsid w:val="006313F8"/>
    <w:rsid w:val="00632400"/>
    <w:rsid w:val="00633C72"/>
    <w:rsid w:val="00635830"/>
    <w:rsid w:val="00636BF6"/>
    <w:rsid w:val="00643270"/>
    <w:rsid w:val="006438DA"/>
    <w:rsid w:val="006438E8"/>
    <w:rsid w:val="00645146"/>
    <w:rsid w:val="00650C92"/>
    <w:rsid w:val="0065253C"/>
    <w:rsid w:val="00655BA5"/>
    <w:rsid w:val="00663645"/>
    <w:rsid w:val="006640FF"/>
    <w:rsid w:val="0066451B"/>
    <w:rsid w:val="00664CB7"/>
    <w:rsid w:val="00666948"/>
    <w:rsid w:val="00672E37"/>
    <w:rsid w:val="00675D92"/>
    <w:rsid w:val="00681ABC"/>
    <w:rsid w:val="00682008"/>
    <w:rsid w:val="0068215B"/>
    <w:rsid w:val="0068419B"/>
    <w:rsid w:val="00685A91"/>
    <w:rsid w:val="00690873"/>
    <w:rsid w:val="00691296"/>
    <w:rsid w:val="00691C67"/>
    <w:rsid w:val="00691F95"/>
    <w:rsid w:val="0069347E"/>
    <w:rsid w:val="0069698C"/>
    <w:rsid w:val="00697172"/>
    <w:rsid w:val="00697EEF"/>
    <w:rsid w:val="006A146A"/>
    <w:rsid w:val="006A15ED"/>
    <w:rsid w:val="006A2A5B"/>
    <w:rsid w:val="006B1312"/>
    <w:rsid w:val="006B4303"/>
    <w:rsid w:val="006C3BE6"/>
    <w:rsid w:val="006C48FA"/>
    <w:rsid w:val="006C5405"/>
    <w:rsid w:val="006C547F"/>
    <w:rsid w:val="006D00AA"/>
    <w:rsid w:val="006D051A"/>
    <w:rsid w:val="006D1FF6"/>
    <w:rsid w:val="006D230D"/>
    <w:rsid w:val="006D6283"/>
    <w:rsid w:val="006D7CAE"/>
    <w:rsid w:val="006E1400"/>
    <w:rsid w:val="006E1936"/>
    <w:rsid w:val="006E2C2F"/>
    <w:rsid w:val="006E4D74"/>
    <w:rsid w:val="006F30DE"/>
    <w:rsid w:val="006F53F7"/>
    <w:rsid w:val="006F6361"/>
    <w:rsid w:val="006F6778"/>
    <w:rsid w:val="006F72CD"/>
    <w:rsid w:val="006F7DE3"/>
    <w:rsid w:val="0070130A"/>
    <w:rsid w:val="007022CF"/>
    <w:rsid w:val="00703EF6"/>
    <w:rsid w:val="007055FD"/>
    <w:rsid w:val="00705A47"/>
    <w:rsid w:val="0070761E"/>
    <w:rsid w:val="00710855"/>
    <w:rsid w:val="0071399F"/>
    <w:rsid w:val="00717936"/>
    <w:rsid w:val="00717CF2"/>
    <w:rsid w:val="00720D5C"/>
    <w:rsid w:val="00723112"/>
    <w:rsid w:val="00723A28"/>
    <w:rsid w:val="00724FCE"/>
    <w:rsid w:val="00725700"/>
    <w:rsid w:val="007315AC"/>
    <w:rsid w:val="00732F15"/>
    <w:rsid w:val="007343ED"/>
    <w:rsid w:val="00734CF4"/>
    <w:rsid w:val="00735D4C"/>
    <w:rsid w:val="00741194"/>
    <w:rsid w:val="00741DB9"/>
    <w:rsid w:val="00743787"/>
    <w:rsid w:val="0074475B"/>
    <w:rsid w:val="00744A84"/>
    <w:rsid w:val="00744BAE"/>
    <w:rsid w:val="00744CCD"/>
    <w:rsid w:val="00745E30"/>
    <w:rsid w:val="00747B09"/>
    <w:rsid w:val="00751E5F"/>
    <w:rsid w:val="00752148"/>
    <w:rsid w:val="00752EE2"/>
    <w:rsid w:val="007532F7"/>
    <w:rsid w:val="00753580"/>
    <w:rsid w:val="00760424"/>
    <w:rsid w:val="00760522"/>
    <w:rsid w:val="00760B46"/>
    <w:rsid w:val="007646B3"/>
    <w:rsid w:val="00772975"/>
    <w:rsid w:val="00780527"/>
    <w:rsid w:val="00782853"/>
    <w:rsid w:val="0078389F"/>
    <w:rsid w:val="00784527"/>
    <w:rsid w:val="007921B9"/>
    <w:rsid w:val="007929A2"/>
    <w:rsid w:val="00793A08"/>
    <w:rsid w:val="00793AB4"/>
    <w:rsid w:val="00793D8E"/>
    <w:rsid w:val="0079459D"/>
    <w:rsid w:val="007958B9"/>
    <w:rsid w:val="00795A23"/>
    <w:rsid w:val="00795B0C"/>
    <w:rsid w:val="00796569"/>
    <w:rsid w:val="00796EAE"/>
    <w:rsid w:val="00797A0E"/>
    <w:rsid w:val="00797DF7"/>
    <w:rsid w:val="007A488D"/>
    <w:rsid w:val="007A554E"/>
    <w:rsid w:val="007A57DC"/>
    <w:rsid w:val="007A774B"/>
    <w:rsid w:val="007B038E"/>
    <w:rsid w:val="007B4E7A"/>
    <w:rsid w:val="007B57BE"/>
    <w:rsid w:val="007B6F19"/>
    <w:rsid w:val="007C0CBF"/>
    <w:rsid w:val="007C4CB5"/>
    <w:rsid w:val="007C5ED7"/>
    <w:rsid w:val="007C744B"/>
    <w:rsid w:val="007C7B46"/>
    <w:rsid w:val="007D0826"/>
    <w:rsid w:val="007D32F5"/>
    <w:rsid w:val="007D3E6D"/>
    <w:rsid w:val="007E12FD"/>
    <w:rsid w:val="007E197E"/>
    <w:rsid w:val="007E1B1A"/>
    <w:rsid w:val="007E2D68"/>
    <w:rsid w:val="007E621D"/>
    <w:rsid w:val="007E7C7A"/>
    <w:rsid w:val="007F12B7"/>
    <w:rsid w:val="007F29C5"/>
    <w:rsid w:val="007F5042"/>
    <w:rsid w:val="007F7B58"/>
    <w:rsid w:val="00801615"/>
    <w:rsid w:val="008021B5"/>
    <w:rsid w:val="00803DE3"/>
    <w:rsid w:val="00803DE6"/>
    <w:rsid w:val="00804186"/>
    <w:rsid w:val="008060A1"/>
    <w:rsid w:val="008077B9"/>
    <w:rsid w:val="00807EB2"/>
    <w:rsid w:val="008116D8"/>
    <w:rsid w:val="00813C1B"/>
    <w:rsid w:val="00813F75"/>
    <w:rsid w:val="00814EEC"/>
    <w:rsid w:val="00821D12"/>
    <w:rsid w:val="00830477"/>
    <w:rsid w:val="00831C93"/>
    <w:rsid w:val="00832595"/>
    <w:rsid w:val="008355BC"/>
    <w:rsid w:val="00835AAD"/>
    <w:rsid w:val="00836890"/>
    <w:rsid w:val="00842A09"/>
    <w:rsid w:val="00842AF3"/>
    <w:rsid w:val="00843B70"/>
    <w:rsid w:val="00844217"/>
    <w:rsid w:val="00845675"/>
    <w:rsid w:val="00847839"/>
    <w:rsid w:val="00854FEC"/>
    <w:rsid w:val="00855DC7"/>
    <w:rsid w:val="008573DF"/>
    <w:rsid w:val="00857437"/>
    <w:rsid w:val="00861AD4"/>
    <w:rsid w:val="00861CB7"/>
    <w:rsid w:val="00861E68"/>
    <w:rsid w:val="0086262C"/>
    <w:rsid w:val="008628CF"/>
    <w:rsid w:val="00865B56"/>
    <w:rsid w:val="008661B4"/>
    <w:rsid w:val="008679DF"/>
    <w:rsid w:val="00867D5E"/>
    <w:rsid w:val="00871484"/>
    <w:rsid w:val="0087351D"/>
    <w:rsid w:val="00876573"/>
    <w:rsid w:val="00876CE7"/>
    <w:rsid w:val="0088001D"/>
    <w:rsid w:val="00880482"/>
    <w:rsid w:val="0088416E"/>
    <w:rsid w:val="00887007"/>
    <w:rsid w:val="00891C54"/>
    <w:rsid w:val="00892633"/>
    <w:rsid w:val="00895183"/>
    <w:rsid w:val="00897AA1"/>
    <w:rsid w:val="008A05B5"/>
    <w:rsid w:val="008A25F7"/>
    <w:rsid w:val="008A30A5"/>
    <w:rsid w:val="008A30B6"/>
    <w:rsid w:val="008A32BB"/>
    <w:rsid w:val="008A4C6E"/>
    <w:rsid w:val="008B19BA"/>
    <w:rsid w:val="008B290C"/>
    <w:rsid w:val="008B3AEE"/>
    <w:rsid w:val="008B3E10"/>
    <w:rsid w:val="008B3EC5"/>
    <w:rsid w:val="008C0811"/>
    <w:rsid w:val="008C2580"/>
    <w:rsid w:val="008C6323"/>
    <w:rsid w:val="008C7206"/>
    <w:rsid w:val="008C74E4"/>
    <w:rsid w:val="008D2597"/>
    <w:rsid w:val="008D2A4D"/>
    <w:rsid w:val="008D4189"/>
    <w:rsid w:val="008D6B35"/>
    <w:rsid w:val="008D7A10"/>
    <w:rsid w:val="008E4430"/>
    <w:rsid w:val="008F1085"/>
    <w:rsid w:val="008F2338"/>
    <w:rsid w:val="008F2467"/>
    <w:rsid w:val="008F26C7"/>
    <w:rsid w:val="008F3AAA"/>
    <w:rsid w:val="008F5CF1"/>
    <w:rsid w:val="00900C56"/>
    <w:rsid w:val="009029D0"/>
    <w:rsid w:val="00902EAA"/>
    <w:rsid w:val="00904481"/>
    <w:rsid w:val="009123FB"/>
    <w:rsid w:val="00917A7D"/>
    <w:rsid w:val="009215EF"/>
    <w:rsid w:val="0092178B"/>
    <w:rsid w:val="00922827"/>
    <w:rsid w:val="00922F60"/>
    <w:rsid w:val="0092601E"/>
    <w:rsid w:val="009261B4"/>
    <w:rsid w:val="009277E9"/>
    <w:rsid w:val="00927CA8"/>
    <w:rsid w:val="009313ED"/>
    <w:rsid w:val="0093346B"/>
    <w:rsid w:val="00936659"/>
    <w:rsid w:val="009371D1"/>
    <w:rsid w:val="00941590"/>
    <w:rsid w:val="00942E30"/>
    <w:rsid w:val="00944A98"/>
    <w:rsid w:val="0094637E"/>
    <w:rsid w:val="00947D85"/>
    <w:rsid w:val="00950C1D"/>
    <w:rsid w:val="009518B2"/>
    <w:rsid w:val="00957143"/>
    <w:rsid w:val="00960FB3"/>
    <w:rsid w:val="009610F7"/>
    <w:rsid w:val="009651B8"/>
    <w:rsid w:val="00965BA5"/>
    <w:rsid w:val="00966C48"/>
    <w:rsid w:val="00967990"/>
    <w:rsid w:val="00970030"/>
    <w:rsid w:val="009705AF"/>
    <w:rsid w:val="009769A5"/>
    <w:rsid w:val="00977FD8"/>
    <w:rsid w:val="00980042"/>
    <w:rsid w:val="00980388"/>
    <w:rsid w:val="009829EB"/>
    <w:rsid w:val="00983446"/>
    <w:rsid w:val="00984512"/>
    <w:rsid w:val="00990345"/>
    <w:rsid w:val="00991FBD"/>
    <w:rsid w:val="00996EBB"/>
    <w:rsid w:val="009A2962"/>
    <w:rsid w:val="009A5037"/>
    <w:rsid w:val="009A795B"/>
    <w:rsid w:val="009B135C"/>
    <w:rsid w:val="009B4CD2"/>
    <w:rsid w:val="009B5800"/>
    <w:rsid w:val="009C16ED"/>
    <w:rsid w:val="009C7A8D"/>
    <w:rsid w:val="009D3BB9"/>
    <w:rsid w:val="009D5BD1"/>
    <w:rsid w:val="009D64EE"/>
    <w:rsid w:val="009E2359"/>
    <w:rsid w:val="009E3E24"/>
    <w:rsid w:val="009E70F0"/>
    <w:rsid w:val="009F40B2"/>
    <w:rsid w:val="009F75BD"/>
    <w:rsid w:val="009F76CB"/>
    <w:rsid w:val="00A003F0"/>
    <w:rsid w:val="00A05D8B"/>
    <w:rsid w:val="00A103B2"/>
    <w:rsid w:val="00A1080A"/>
    <w:rsid w:val="00A10AFF"/>
    <w:rsid w:val="00A10EFF"/>
    <w:rsid w:val="00A122F3"/>
    <w:rsid w:val="00A16C14"/>
    <w:rsid w:val="00A17E36"/>
    <w:rsid w:val="00A205B9"/>
    <w:rsid w:val="00A20679"/>
    <w:rsid w:val="00A22C15"/>
    <w:rsid w:val="00A256F7"/>
    <w:rsid w:val="00A27E3C"/>
    <w:rsid w:val="00A30A14"/>
    <w:rsid w:val="00A311C2"/>
    <w:rsid w:val="00A3330F"/>
    <w:rsid w:val="00A422A5"/>
    <w:rsid w:val="00A43215"/>
    <w:rsid w:val="00A43C7E"/>
    <w:rsid w:val="00A447B4"/>
    <w:rsid w:val="00A458F8"/>
    <w:rsid w:val="00A53439"/>
    <w:rsid w:val="00A54480"/>
    <w:rsid w:val="00A618C5"/>
    <w:rsid w:val="00A634A3"/>
    <w:rsid w:val="00A707A4"/>
    <w:rsid w:val="00A7385A"/>
    <w:rsid w:val="00A738BC"/>
    <w:rsid w:val="00A754DB"/>
    <w:rsid w:val="00A758B9"/>
    <w:rsid w:val="00A77432"/>
    <w:rsid w:val="00A77EFD"/>
    <w:rsid w:val="00A86713"/>
    <w:rsid w:val="00A9082E"/>
    <w:rsid w:val="00A91993"/>
    <w:rsid w:val="00A938C7"/>
    <w:rsid w:val="00A95077"/>
    <w:rsid w:val="00A958E9"/>
    <w:rsid w:val="00AA0AFC"/>
    <w:rsid w:val="00AA5E26"/>
    <w:rsid w:val="00AA5E7C"/>
    <w:rsid w:val="00AA7806"/>
    <w:rsid w:val="00AB6592"/>
    <w:rsid w:val="00AB6A9B"/>
    <w:rsid w:val="00AB70D7"/>
    <w:rsid w:val="00AC2229"/>
    <w:rsid w:val="00AC3399"/>
    <w:rsid w:val="00AC3848"/>
    <w:rsid w:val="00AC6994"/>
    <w:rsid w:val="00AD0578"/>
    <w:rsid w:val="00AD098D"/>
    <w:rsid w:val="00AD26CF"/>
    <w:rsid w:val="00AD4382"/>
    <w:rsid w:val="00AD4BE7"/>
    <w:rsid w:val="00AD68C3"/>
    <w:rsid w:val="00AD784B"/>
    <w:rsid w:val="00AD7DD0"/>
    <w:rsid w:val="00AE1550"/>
    <w:rsid w:val="00AE3C40"/>
    <w:rsid w:val="00AE4A44"/>
    <w:rsid w:val="00AE5BBF"/>
    <w:rsid w:val="00AE7052"/>
    <w:rsid w:val="00AF5292"/>
    <w:rsid w:val="00AF5BBB"/>
    <w:rsid w:val="00AF72D9"/>
    <w:rsid w:val="00B0229D"/>
    <w:rsid w:val="00B02FAE"/>
    <w:rsid w:val="00B063D4"/>
    <w:rsid w:val="00B0752F"/>
    <w:rsid w:val="00B07F49"/>
    <w:rsid w:val="00B11C2F"/>
    <w:rsid w:val="00B134A4"/>
    <w:rsid w:val="00B15DF6"/>
    <w:rsid w:val="00B16087"/>
    <w:rsid w:val="00B20954"/>
    <w:rsid w:val="00B20BEC"/>
    <w:rsid w:val="00B21273"/>
    <w:rsid w:val="00B2599F"/>
    <w:rsid w:val="00B27BBB"/>
    <w:rsid w:val="00B3059D"/>
    <w:rsid w:val="00B31C1E"/>
    <w:rsid w:val="00B36E2B"/>
    <w:rsid w:val="00B37D55"/>
    <w:rsid w:val="00B42276"/>
    <w:rsid w:val="00B433B7"/>
    <w:rsid w:val="00B44F35"/>
    <w:rsid w:val="00B46187"/>
    <w:rsid w:val="00B475A0"/>
    <w:rsid w:val="00B47CB8"/>
    <w:rsid w:val="00B518F3"/>
    <w:rsid w:val="00B53AAF"/>
    <w:rsid w:val="00B53C82"/>
    <w:rsid w:val="00B55B55"/>
    <w:rsid w:val="00B55D14"/>
    <w:rsid w:val="00B6248F"/>
    <w:rsid w:val="00B62B81"/>
    <w:rsid w:val="00B650C2"/>
    <w:rsid w:val="00B65959"/>
    <w:rsid w:val="00B66647"/>
    <w:rsid w:val="00B67069"/>
    <w:rsid w:val="00B715F8"/>
    <w:rsid w:val="00B71D61"/>
    <w:rsid w:val="00B73BEF"/>
    <w:rsid w:val="00B77E36"/>
    <w:rsid w:val="00B80E24"/>
    <w:rsid w:val="00B81C4B"/>
    <w:rsid w:val="00B86074"/>
    <w:rsid w:val="00B93CA1"/>
    <w:rsid w:val="00B96CBA"/>
    <w:rsid w:val="00BA0519"/>
    <w:rsid w:val="00BA0918"/>
    <w:rsid w:val="00BA35A0"/>
    <w:rsid w:val="00BA3BA8"/>
    <w:rsid w:val="00BA4295"/>
    <w:rsid w:val="00BA48D1"/>
    <w:rsid w:val="00BB008E"/>
    <w:rsid w:val="00BB180E"/>
    <w:rsid w:val="00BB3EDF"/>
    <w:rsid w:val="00BB5CF7"/>
    <w:rsid w:val="00BB6175"/>
    <w:rsid w:val="00BB6328"/>
    <w:rsid w:val="00BB79DE"/>
    <w:rsid w:val="00BB7D31"/>
    <w:rsid w:val="00BC06D6"/>
    <w:rsid w:val="00BC4BAD"/>
    <w:rsid w:val="00BC5235"/>
    <w:rsid w:val="00BC6A91"/>
    <w:rsid w:val="00BC758D"/>
    <w:rsid w:val="00BC7668"/>
    <w:rsid w:val="00BD0CFC"/>
    <w:rsid w:val="00BD1B9C"/>
    <w:rsid w:val="00BD2A91"/>
    <w:rsid w:val="00BD59B7"/>
    <w:rsid w:val="00BE01A1"/>
    <w:rsid w:val="00BE1A9F"/>
    <w:rsid w:val="00BE32E0"/>
    <w:rsid w:val="00BE4155"/>
    <w:rsid w:val="00BE4FD0"/>
    <w:rsid w:val="00BE5CD8"/>
    <w:rsid w:val="00BF112D"/>
    <w:rsid w:val="00BF257D"/>
    <w:rsid w:val="00BF310B"/>
    <w:rsid w:val="00BF4E5C"/>
    <w:rsid w:val="00BF6489"/>
    <w:rsid w:val="00BF64F3"/>
    <w:rsid w:val="00BF6671"/>
    <w:rsid w:val="00BF6B3B"/>
    <w:rsid w:val="00C01B08"/>
    <w:rsid w:val="00C01B47"/>
    <w:rsid w:val="00C02B9F"/>
    <w:rsid w:val="00C041E7"/>
    <w:rsid w:val="00C05F43"/>
    <w:rsid w:val="00C06A34"/>
    <w:rsid w:val="00C06D44"/>
    <w:rsid w:val="00C07868"/>
    <w:rsid w:val="00C112D2"/>
    <w:rsid w:val="00C1193B"/>
    <w:rsid w:val="00C17CE1"/>
    <w:rsid w:val="00C25E59"/>
    <w:rsid w:val="00C26477"/>
    <w:rsid w:val="00C305BE"/>
    <w:rsid w:val="00C31EC5"/>
    <w:rsid w:val="00C32172"/>
    <w:rsid w:val="00C33039"/>
    <w:rsid w:val="00C3523C"/>
    <w:rsid w:val="00C35352"/>
    <w:rsid w:val="00C36C04"/>
    <w:rsid w:val="00C40681"/>
    <w:rsid w:val="00C40FAF"/>
    <w:rsid w:val="00C43496"/>
    <w:rsid w:val="00C52994"/>
    <w:rsid w:val="00C547AA"/>
    <w:rsid w:val="00C5666B"/>
    <w:rsid w:val="00C57744"/>
    <w:rsid w:val="00C6439D"/>
    <w:rsid w:val="00C657F2"/>
    <w:rsid w:val="00C73840"/>
    <w:rsid w:val="00C73B27"/>
    <w:rsid w:val="00C74074"/>
    <w:rsid w:val="00C749B5"/>
    <w:rsid w:val="00C74F78"/>
    <w:rsid w:val="00C761A8"/>
    <w:rsid w:val="00C77A7B"/>
    <w:rsid w:val="00C80930"/>
    <w:rsid w:val="00C861B4"/>
    <w:rsid w:val="00C87CA6"/>
    <w:rsid w:val="00C935D9"/>
    <w:rsid w:val="00C947E6"/>
    <w:rsid w:val="00C95328"/>
    <w:rsid w:val="00C958BB"/>
    <w:rsid w:val="00C95DEE"/>
    <w:rsid w:val="00C970A9"/>
    <w:rsid w:val="00CA2663"/>
    <w:rsid w:val="00CA2A4E"/>
    <w:rsid w:val="00CA6FC4"/>
    <w:rsid w:val="00CA70AE"/>
    <w:rsid w:val="00CB062B"/>
    <w:rsid w:val="00CB10BC"/>
    <w:rsid w:val="00CB2A9A"/>
    <w:rsid w:val="00CB2BE2"/>
    <w:rsid w:val="00CB4BDB"/>
    <w:rsid w:val="00CB6476"/>
    <w:rsid w:val="00CB7763"/>
    <w:rsid w:val="00CB789D"/>
    <w:rsid w:val="00CC0CBA"/>
    <w:rsid w:val="00CC12A4"/>
    <w:rsid w:val="00CC256B"/>
    <w:rsid w:val="00CC5A58"/>
    <w:rsid w:val="00CC6137"/>
    <w:rsid w:val="00CC73A5"/>
    <w:rsid w:val="00CC7E5D"/>
    <w:rsid w:val="00CD0A11"/>
    <w:rsid w:val="00CD3447"/>
    <w:rsid w:val="00CD3C3C"/>
    <w:rsid w:val="00CD4A72"/>
    <w:rsid w:val="00CD58C2"/>
    <w:rsid w:val="00CD5DD4"/>
    <w:rsid w:val="00CD6601"/>
    <w:rsid w:val="00CD754A"/>
    <w:rsid w:val="00CE6AAD"/>
    <w:rsid w:val="00CF095E"/>
    <w:rsid w:val="00CF143A"/>
    <w:rsid w:val="00CF1B91"/>
    <w:rsid w:val="00CF3C4C"/>
    <w:rsid w:val="00CF4638"/>
    <w:rsid w:val="00CF60E9"/>
    <w:rsid w:val="00D01530"/>
    <w:rsid w:val="00D07329"/>
    <w:rsid w:val="00D1332B"/>
    <w:rsid w:val="00D142D2"/>
    <w:rsid w:val="00D14D90"/>
    <w:rsid w:val="00D1574F"/>
    <w:rsid w:val="00D15D6A"/>
    <w:rsid w:val="00D16455"/>
    <w:rsid w:val="00D17DEB"/>
    <w:rsid w:val="00D2089E"/>
    <w:rsid w:val="00D211DD"/>
    <w:rsid w:val="00D21D95"/>
    <w:rsid w:val="00D27804"/>
    <w:rsid w:val="00D304C1"/>
    <w:rsid w:val="00D30E76"/>
    <w:rsid w:val="00D3395F"/>
    <w:rsid w:val="00D343A3"/>
    <w:rsid w:val="00D34C94"/>
    <w:rsid w:val="00D40894"/>
    <w:rsid w:val="00D417A1"/>
    <w:rsid w:val="00D41A86"/>
    <w:rsid w:val="00D427CB"/>
    <w:rsid w:val="00D45D2C"/>
    <w:rsid w:val="00D54450"/>
    <w:rsid w:val="00D54CEE"/>
    <w:rsid w:val="00D61647"/>
    <w:rsid w:val="00D620A4"/>
    <w:rsid w:val="00D71B17"/>
    <w:rsid w:val="00D735AD"/>
    <w:rsid w:val="00D7393A"/>
    <w:rsid w:val="00D74F37"/>
    <w:rsid w:val="00D77147"/>
    <w:rsid w:val="00D77429"/>
    <w:rsid w:val="00D82455"/>
    <w:rsid w:val="00D828C8"/>
    <w:rsid w:val="00D82E16"/>
    <w:rsid w:val="00D866AA"/>
    <w:rsid w:val="00D903C7"/>
    <w:rsid w:val="00D90A28"/>
    <w:rsid w:val="00D922E3"/>
    <w:rsid w:val="00D926D9"/>
    <w:rsid w:val="00D927E8"/>
    <w:rsid w:val="00D9753B"/>
    <w:rsid w:val="00DA3A42"/>
    <w:rsid w:val="00DA445B"/>
    <w:rsid w:val="00DA5D94"/>
    <w:rsid w:val="00DA6B75"/>
    <w:rsid w:val="00DB0E6E"/>
    <w:rsid w:val="00DB23E6"/>
    <w:rsid w:val="00DB2CC2"/>
    <w:rsid w:val="00DB74B3"/>
    <w:rsid w:val="00DC1007"/>
    <w:rsid w:val="00DC26BB"/>
    <w:rsid w:val="00DC4E79"/>
    <w:rsid w:val="00DD4D5C"/>
    <w:rsid w:val="00DE00F7"/>
    <w:rsid w:val="00DE26CE"/>
    <w:rsid w:val="00DE4037"/>
    <w:rsid w:val="00DE5BDE"/>
    <w:rsid w:val="00DE63DC"/>
    <w:rsid w:val="00DF0861"/>
    <w:rsid w:val="00DF0E6A"/>
    <w:rsid w:val="00DF0F43"/>
    <w:rsid w:val="00DF2791"/>
    <w:rsid w:val="00DF77E3"/>
    <w:rsid w:val="00DF7940"/>
    <w:rsid w:val="00E001D0"/>
    <w:rsid w:val="00E04D86"/>
    <w:rsid w:val="00E05949"/>
    <w:rsid w:val="00E05DB4"/>
    <w:rsid w:val="00E072F2"/>
    <w:rsid w:val="00E119BF"/>
    <w:rsid w:val="00E13FD5"/>
    <w:rsid w:val="00E17F5E"/>
    <w:rsid w:val="00E30F2B"/>
    <w:rsid w:val="00E31A19"/>
    <w:rsid w:val="00E37306"/>
    <w:rsid w:val="00E40AA8"/>
    <w:rsid w:val="00E40F5F"/>
    <w:rsid w:val="00E41563"/>
    <w:rsid w:val="00E42E41"/>
    <w:rsid w:val="00E44F93"/>
    <w:rsid w:val="00E470C8"/>
    <w:rsid w:val="00E52B3F"/>
    <w:rsid w:val="00E53784"/>
    <w:rsid w:val="00E558B6"/>
    <w:rsid w:val="00E578A1"/>
    <w:rsid w:val="00E578C3"/>
    <w:rsid w:val="00E63377"/>
    <w:rsid w:val="00E67AF6"/>
    <w:rsid w:val="00E67CDC"/>
    <w:rsid w:val="00E75881"/>
    <w:rsid w:val="00E80DEE"/>
    <w:rsid w:val="00E826F2"/>
    <w:rsid w:val="00E92510"/>
    <w:rsid w:val="00E92BD2"/>
    <w:rsid w:val="00E92CFE"/>
    <w:rsid w:val="00E940B1"/>
    <w:rsid w:val="00E94667"/>
    <w:rsid w:val="00E96597"/>
    <w:rsid w:val="00EA145D"/>
    <w:rsid w:val="00EA4846"/>
    <w:rsid w:val="00EA56BB"/>
    <w:rsid w:val="00EA67FA"/>
    <w:rsid w:val="00EA6FE5"/>
    <w:rsid w:val="00EB492B"/>
    <w:rsid w:val="00EB4C2B"/>
    <w:rsid w:val="00EB5055"/>
    <w:rsid w:val="00EC32AA"/>
    <w:rsid w:val="00EC43C8"/>
    <w:rsid w:val="00ED2530"/>
    <w:rsid w:val="00ED31E5"/>
    <w:rsid w:val="00ED3D70"/>
    <w:rsid w:val="00ED427A"/>
    <w:rsid w:val="00ED55FE"/>
    <w:rsid w:val="00ED662C"/>
    <w:rsid w:val="00ED6B47"/>
    <w:rsid w:val="00EE1473"/>
    <w:rsid w:val="00EE1893"/>
    <w:rsid w:val="00EE4371"/>
    <w:rsid w:val="00EE7084"/>
    <w:rsid w:val="00EF21B8"/>
    <w:rsid w:val="00EF2431"/>
    <w:rsid w:val="00EF4556"/>
    <w:rsid w:val="00EF466B"/>
    <w:rsid w:val="00EF64BF"/>
    <w:rsid w:val="00EF6F62"/>
    <w:rsid w:val="00EF7050"/>
    <w:rsid w:val="00F00D1C"/>
    <w:rsid w:val="00F012B6"/>
    <w:rsid w:val="00F01831"/>
    <w:rsid w:val="00F03EA1"/>
    <w:rsid w:val="00F062D8"/>
    <w:rsid w:val="00F06E08"/>
    <w:rsid w:val="00F07665"/>
    <w:rsid w:val="00F137A5"/>
    <w:rsid w:val="00F14FAD"/>
    <w:rsid w:val="00F16549"/>
    <w:rsid w:val="00F17E34"/>
    <w:rsid w:val="00F22894"/>
    <w:rsid w:val="00F24100"/>
    <w:rsid w:val="00F244EF"/>
    <w:rsid w:val="00F246E4"/>
    <w:rsid w:val="00F26D2D"/>
    <w:rsid w:val="00F26FBB"/>
    <w:rsid w:val="00F26FC9"/>
    <w:rsid w:val="00F33607"/>
    <w:rsid w:val="00F337D7"/>
    <w:rsid w:val="00F33992"/>
    <w:rsid w:val="00F35D21"/>
    <w:rsid w:val="00F423A9"/>
    <w:rsid w:val="00F4528F"/>
    <w:rsid w:val="00F45BE1"/>
    <w:rsid w:val="00F4799A"/>
    <w:rsid w:val="00F5218C"/>
    <w:rsid w:val="00F5275C"/>
    <w:rsid w:val="00F52D4B"/>
    <w:rsid w:val="00F5373A"/>
    <w:rsid w:val="00F53DE9"/>
    <w:rsid w:val="00F54A83"/>
    <w:rsid w:val="00F63C66"/>
    <w:rsid w:val="00F63D2F"/>
    <w:rsid w:val="00F63FDF"/>
    <w:rsid w:val="00F66152"/>
    <w:rsid w:val="00F66D40"/>
    <w:rsid w:val="00F7119A"/>
    <w:rsid w:val="00F73914"/>
    <w:rsid w:val="00F745D5"/>
    <w:rsid w:val="00F747D5"/>
    <w:rsid w:val="00F776C3"/>
    <w:rsid w:val="00F77E54"/>
    <w:rsid w:val="00F815B7"/>
    <w:rsid w:val="00F8208F"/>
    <w:rsid w:val="00F826E0"/>
    <w:rsid w:val="00F82751"/>
    <w:rsid w:val="00F82C5F"/>
    <w:rsid w:val="00F85582"/>
    <w:rsid w:val="00F911A7"/>
    <w:rsid w:val="00F91E55"/>
    <w:rsid w:val="00F92EBE"/>
    <w:rsid w:val="00F934D8"/>
    <w:rsid w:val="00F94049"/>
    <w:rsid w:val="00F94417"/>
    <w:rsid w:val="00F9611F"/>
    <w:rsid w:val="00F96E42"/>
    <w:rsid w:val="00F971EF"/>
    <w:rsid w:val="00FA5C2E"/>
    <w:rsid w:val="00FA5FA3"/>
    <w:rsid w:val="00FA74AA"/>
    <w:rsid w:val="00FB02E0"/>
    <w:rsid w:val="00FB2035"/>
    <w:rsid w:val="00FB51FE"/>
    <w:rsid w:val="00FB723B"/>
    <w:rsid w:val="00FB7BDC"/>
    <w:rsid w:val="00FC37DB"/>
    <w:rsid w:val="00FC51A5"/>
    <w:rsid w:val="00FC7CC8"/>
    <w:rsid w:val="00FC7D83"/>
    <w:rsid w:val="00FD1AEB"/>
    <w:rsid w:val="00FD2AAD"/>
    <w:rsid w:val="00FD3F99"/>
    <w:rsid w:val="00FD6798"/>
    <w:rsid w:val="00FE5917"/>
    <w:rsid w:val="00FE6416"/>
    <w:rsid w:val="00FF11D6"/>
    <w:rsid w:val="00FF33D4"/>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7CCEF6F0"/>
  <w15:chartTrackingRefBased/>
  <w15:docId w15:val="{C7C9C4FB-AEE5-4FEC-8CAC-4E2852F554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pPr>
      <w:numPr>
        <w:numId w:val="2"/>
      </w:numPr>
      <w:tabs>
        <w:tab w:val="num" w:pos="360"/>
        <w:tab w:val="clear" w:pos="1080"/>
        <w:tab w:val="num" w:pos="1440"/>
      </w:tabs>
      <w:spacing w:after="120"/>
      <w:ind w:firstLine="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semiHidden/>
    <w:pPr>
      <w:spacing w:after="120"/>
    </w:pPr>
  </w:style>
  <w:style w:type="character" w:styleId="FootnoteReference">
    <w:name w:val="footnote reference"/>
    <w:semiHidden/>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unhideWhenUsed/>
    <w:rPr>
      <w:color w:val="605E5C"/>
      <w:shd w:val="clear" w:color="auto" w:fill="E1DFDD"/>
    </w:rPr>
  </w:style>
  <w:style w:type="paragraph" w:styleId="ListParagraph">
    <w:name w:val="List Paragraph"/>
    <w:basedOn w:val="Normal"/>
    <w:uiPriority w:val="34"/>
    <w:qFormat/>
    <w:rsid w:val="00E04D86"/>
    <w:pPr>
      <w:ind w:left="720"/>
      <w:contextualSpacing/>
    </w:pPr>
  </w:style>
  <w:style w:type="paragraph" w:styleId="Revision">
    <w:name w:val="Revision"/>
    <w:hidden/>
    <w:uiPriority w:val="99"/>
    <w:semiHidden/>
    <w:rsid w:val="00EA145D"/>
    <w:rPr>
      <w:snapToGrid w:val="0"/>
      <w:kern w:val="28"/>
      <w:sz w:val="22"/>
    </w:rPr>
  </w:style>
  <w:style w:type="character" w:styleId="CommentReference">
    <w:name w:val="annotation reference"/>
    <w:basedOn w:val="DefaultParagraphFont"/>
    <w:uiPriority w:val="99"/>
    <w:semiHidden/>
    <w:unhideWhenUsed/>
    <w:rsid w:val="001A21A8"/>
    <w:rPr>
      <w:sz w:val="16"/>
      <w:szCs w:val="16"/>
    </w:rPr>
  </w:style>
  <w:style w:type="paragraph" w:styleId="CommentText">
    <w:name w:val="annotation text"/>
    <w:basedOn w:val="Normal"/>
    <w:link w:val="CommentTextChar"/>
    <w:uiPriority w:val="99"/>
    <w:unhideWhenUsed/>
    <w:rsid w:val="001A21A8"/>
    <w:rPr>
      <w:sz w:val="20"/>
    </w:rPr>
  </w:style>
  <w:style w:type="character" w:customStyle="1" w:styleId="CommentTextChar">
    <w:name w:val="Comment Text Char"/>
    <w:basedOn w:val="DefaultParagraphFont"/>
    <w:link w:val="CommentText"/>
    <w:uiPriority w:val="99"/>
    <w:rsid w:val="001A21A8"/>
    <w:rPr>
      <w:snapToGrid w:val="0"/>
      <w:kern w:val="28"/>
    </w:rPr>
  </w:style>
  <w:style w:type="paragraph" w:styleId="CommentSubject">
    <w:name w:val="annotation subject"/>
    <w:basedOn w:val="CommentText"/>
    <w:next w:val="CommentText"/>
    <w:link w:val="CommentSubjectChar"/>
    <w:uiPriority w:val="99"/>
    <w:semiHidden/>
    <w:unhideWhenUsed/>
    <w:rsid w:val="001A21A8"/>
    <w:rPr>
      <w:b/>
      <w:bCs/>
    </w:rPr>
  </w:style>
  <w:style w:type="character" w:customStyle="1" w:styleId="CommentSubjectChar">
    <w:name w:val="Comment Subject Char"/>
    <w:basedOn w:val="CommentTextChar"/>
    <w:link w:val="CommentSubject"/>
    <w:uiPriority w:val="99"/>
    <w:semiHidden/>
    <w:rsid w:val="001A21A8"/>
    <w:rPr>
      <w:b/>
      <w:bCs/>
      <w:snapToGrid w:val="0"/>
      <w:kern w:val="28"/>
    </w:rPr>
  </w:style>
  <w:style w:type="paragraph" w:customStyle="1" w:styleId="pf0">
    <w:name w:val="pf0"/>
    <w:basedOn w:val="Normal"/>
    <w:rsid w:val="007022CF"/>
    <w:pPr>
      <w:widowControl/>
      <w:spacing w:before="100" w:beforeAutospacing="1" w:after="100" w:afterAutospacing="1"/>
    </w:pPr>
    <w:rPr>
      <w:snapToGrid/>
      <w:kern w:val="0"/>
      <w:sz w:val="24"/>
      <w:szCs w:val="24"/>
    </w:rPr>
  </w:style>
  <w:style w:type="character" w:customStyle="1" w:styleId="cf01">
    <w:name w:val="cf01"/>
    <w:basedOn w:val="DefaultParagraphFont"/>
    <w:rsid w:val="007022CF"/>
    <w:rPr>
      <w:rFonts w:ascii="Segoe UI" w:hAnsi="Segoe UI" w:cs="Segoe UI" w:hint="default"/>
      <w:sz w:val="18"/>
      <w:szCs w:val="18"/>
    </w:rPr>
  </w:style>
  <w:style w:type="character" w:styleId="Mention">
    <w:name w:val="Mention"/>
    <w:basedOn w:val="DefaultParagraphFont"/>
    <w:uiPriority w:val="99"/>
    <w:unhideWhenUsed/>
    <w:rsid w:val="00B16087"/>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mailto:Nancy.Murphy@fcc.gov" TargetMode="External" /><Relationship Id="rId11" Type="http://schemas.openxmlformats.org/officeDocument/2006/relationships/header" Target="header1.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2.xml" /><Relationship Id="rId15" Type="http://schemas.openxmlformats.org/officeDocument/2006/relationships/footer" Target="footer3.xml" /><Relationship Id="rId16" Type="http://schemas.openxmlformats.org/officeDocument/2006/relationships/theme" Target="theme/theme1.xml" /><Relationship Id="rId17" Type="http://schemas.openxmlformats.org/officeDocument/2006/relationships/numbering" Target="numbering.xml" /><Relationship Id="rId18"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mailto:Albert.Shuldiner@fcc.gov" TargetMode="External" /><Relationship Id="rId7" Type="http://schemas.openxmlformats.org/officeDocument/2006/relationships/hyperlink" Target="mailto:Christopher.Clark@fcc.gov" TargetMode="External" /><Relationship Id="rId8" Type="http://schemas.openxmlformats.org/officeDocument/2006/relationships/hyperlink" Target="mailto:David.Brown@fcc.gov" TargetMode="External" /><Relationship Id="rId9" Type="http://schemas.openxmlformats.org/officeDocument/2006/relationships/hyperlink" Target="mailto:Emily.Harrison@fcc.gov"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