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80328" w:rsidRPr="00D54A87" w:rsidP="00E80328" w14:paraId="0EA50FDC" w14:textId="77777777">
      <w:pPr>
        <w:jc w:val="right"/>
        <w:rPr>
          <w:szCs w:val="22"/>
        </w:rPr>
      </w:pPr>
    </w:p>
    <w:p w:rsidR="00E80328" w:rsidRPr="00D54A87" w:rsidP="00876F56" w14:paraId="6D5E182D" w14:textId="201CEB24">
      <w:pPr>
        <w:jc w:val="right"/>
        <w:rPr>
          <w:b/>
          <w:szCs w:val="22"/>
        </w:rPr>
      </w:pPr>
      <w:r w:rsidRPr="00D54A87">
        <w:rPr>
          <w:b/>
          <w:szCs w:val="22"/>
        </w:rPr>
        <w:t xml:space="preserve">DA </w:t>
      </w:r>
      <w:r w:rsidRPr="00D54A87" w:rsidR="00876F56">
        <w:rPr>
          <w:b/>
          <w:szCs w:val="22"/>
        </w:rPr>
        <w:t>26-505</w:t>
      </w:r>
    </w:p>
    <w:p w:rsidR="00E80328" w:rsidRPr="00D54A87" w:rsidP="00876F56" w14:paraId="4DD26B76" w14:textId="0D88AD3F">
      <w:pPr>
        <w:jc w:val="right"/>
        <w:rPr>
          <w:b/>
          <w:szCs w:val="22"/>
        </w:rPr>
      </w:pPr>
      <w:r w:rsidRPr="00D54A87">
        <w:rPr>
          <w:b/>
          <w:szCs w:val="22"/>
        </w:rPr>
        <w:t>Released:</w:t>
      </w:r>
      <w:r w:rsidRPr="00D54A87" w:rsidR="002B30E3">
        <w:rPr>
          <w:b/>
          <w:szCs w:val="22"/>
        </w:rPr>
        <w:t xml:space="preserve"> </w:t>
      </w:r>
      <w:r w:rsidRPr="00D54A87" w:rsidR="00FE27C0">
        <w:rPr>
          <w:b/>
          <w:szCs w:val="22"/>
        </w:rPr>
        <w:t>May 20</w:t>
      </w:r>
      <w:r w:rsidRPr="00D54A87" w:rsidR="002B30E3">
        <w:rPr>
          <w:b/>
          <w:szCs w:val="22"/>
        </w:rPr>
        <w:t>, 202</w:t>
      </w:r>
      <w:r w:rsidRPr="00D54A87" w:rsidR="002217F3">
        <w:rPr>
          <w:b/>
          <w:szCs w:val="22"/>
        </w:rPr>
        <w:t>6</w:t>
      </w:r>
      <w:r w:rsidRPr="00D54A87">
        <w:rPr>
          <w:b/>
          <w:szCs w:val="22"/>
        </w:rPr>
        <w:t xml:space="preserve">  </w:t>
      </w:r>
    </w:p>
    <w:p w:rsidR="00E80328" w:rsidRPr="00D54A87" w:rsidP="00E80328" w14:paraId="1C71641D" w14:textId="77777777">
      <w:pPr>
        <w:jc w:val="right"/>
        <w:rPr>
          <w:szCs w:val="22"/>
        </w:rPr>
      </w:pPr>
    </w:p>
    <w:p w:rsidR="00876F56" w:rsidRPr="00D54A87" w:rsidP="00876F56" w14:paraId="0D96E018" w14:textId="701FA479">
      <w:pPr>
        <w:pStyle w:val="Heading1"/>
        <w:numPr>
          <w:ilvl w:val="0"/>
          <w:numId w:val="0"/>
        </w:numPr>
        <w:spacing w:after="0"/>
        <w:jc w:val="center"/>
        <w:rPr>
          <w:rFonts w:ascii="Times New Roman" w:hAnsi="Times New Roman"/>
          <w:szCs w:val="22"/>
        </w:rPr>
      </w:pPr>
      <w:r w:rsidRPr="00D54A87">
        <w:rPr>
          <w:rFonts w:ascii="Times New Roman" w:hAnsi="Times New Roman"/>
          <w:szCs w:val="22"/>
        </w:rPr>
        <w:t xml:space="preserve">OET </w:t>
      </w:r>
      <w:r w:rsidRPr="00D54A87" w:rsidR="0084563F">
        <w:rPr>
          <w:rFonts w:ascii="Times New Roman" w:hAnsi="Times New Roman"/>
          <w:szCs w:val="22"/>
        </w:rPr>
        <w:t xml:space="preserve">Seeks Comment on </w:t>
      </w:r>
      <w:r w:rsidRPr="00D54A87" w:rsidR="005D465C">
        <w:rPr>
          <w:rFonts w:ascii="Times New Roman" w:hAnsi="Times New Roman"/>
          <w:szCs w:val="22"/>
        </w:rPr>
        <w:t xml:space="preserve">REVISIONS </w:t>
      </w:r>
      <w:r w:rsidRPr="00D54A87" w:rsidR="003805B8">
        <w:rPr>
          <w:rFonts w:ascii="Times New Roman" w:hAnsi="Times New Roman"/>
          <w:szCs w:val="22"/>
        </w:rPr>
        <w:t>to post-market surveillance</w:t>
      </w:r>
      <w:r w:rsidRPr="00D54A87" w:rsidR="003805B8">
        <w:rPr>
          <w:rFonts w:ascii="Times New Roman" w:hAnsi="Times New Roman"/>
          <w:szCs w:val="22"/>
        </w:rPr>
        <w:t xml:space="preserve"> </w:t>
      </w:r>
      <w:r w:rsidRPr="00D54A87" w:rsidR="003805B8">
        <w:rPr>
          <w:rFonts w:ascii="Times New Roman" w:hAnsi="Times New Roman"/>
          <w:szCs w:val="22"/>
        </w:rPr>
        <w:t>procedures</w:t>
      </w:r>
    </w:p>
    <w:p w:rsidR="00876F56" w:rsidRPr="00D54A87" w:rsidP="00876F56" w14:paraId="55CD0F78" w14:textId="77777777">
      <w:pPr>
        <w:pStyle w:val="ParaNum"/>
        <w:numPr>
          <w:ilvl w:val="0"/>
          <w:numId w:val="0"/>
        </w:numPr>
        <w:spacing w:after="0"/>
        <w:ind w:firstLine="720"/>
        <w:rPr>
          <w:szCs w:val="22"/>
        </w:rPr>
      </w:pPr>
    </w:p>
    <w:p w:rsidR="00E80328" w:rsidRPr="00D54A87" w:rsidP="00876F56" w14:paraId="049B6AC2" w14:textId="7947ED78">
      <w:pPr>
        <w:jc w:val="center"/>
        <w:rPr>
          <w:b/>
          <w:szCs w:val="22"/>
          <w:lang w:val="sv-SE"/>
        </w:rPr>
      </w:pPr>
      <w:r w:rsidRPr="00D54A87">
        <w:rPr>
          <w:b/>
          <w:szCs w:val="22"/>
          <w:lang w:val="sv-SE"/>
        </w:rPr>
        <w:t>ET</w:t>
      </w:r>
      <w:r w:rsidRPr="00D54A87" w:rsidR="00E87C98">
        <w:rPr>
          <w:b/>
          <w:szCs w:val="22"/>
          <w:lang w:val="sv-SE"/>
        </w:rPr>
        <w:t xml:space="preserve"> Docket No. </w:t>
      </w:r>
      <w:r w:rsidRPr="00D54A87" w:rsidR="00876F56">
        <w:rPr>
          <w:b/>
          <w:szCs w:val="22"/>
          <w:lang w:val="sv-SE"/>
        </w:rPr>
        <w:t>26-118</w:t>
      </w:r>
    </w:p>
    <w:p w:rsidR="00E80328" w:rsidRPr="00D54A87" w:rsidP="00E80328" w14:paraId="595B5810" w14:textId="77777777">
      <w:pPr>
        <w:rPr>
          <w:szCs w:val="22"/>
          <w:lang w:val="sv-SE"/>
        </w:rPr>
      </w:pPr>
      <w:bookmarkStart w:id="0" w:name="TOChere"/>
    </w:p>
    <w:bookmarkEnd w:id="0"/>
    <w:p w:rsidR="00E80328" w:rsidRPr="00D54A87" w:rsidP="00E80328" w14:paraId="204E3182" w14:textId="63714B94">
      <w:pPr>
        <w:rPr>
          <w:b/>
          <w:bCs/>
          <w:szCs w:val="22"/>
        </w:rPr>
      </w:pPr>
      <w:r w:rsidRPr="00D54A87">
        <w:rPr>
          <w:b/>
          <w:bCs/>
          <w:szCs w:val="22"/>
        </w:rPr>
        <w:t xml:space="preserve">Comment Date:  </w:t>
      </w:r>
      <w:r w:rsidRPr="00D54A87" w:rsidR="00FE27C0">
        <w:rPr>
          <w:b/>
          <w:bCs/>
          <w:szCs w:val="22"/>
        </w:rPr>
        <w:t>June 19</w:t>
      </w:r>
      <w:r w:rsidRPr="00D54A87" w:rsidR="0084563F">
        <w:rPr>
          <w:b/>
          <w:bCs/>
          <w:szCs w:val="22"/>
        </w:rPr>
        <w:t>, 2026</w:t>
      </w:r>
    </w:p>
    <w:p w:rsidR="00E80328" w:rsidRPr="00D54A87" w:rsidP="00E80328" w14:paraId="72CE1DF1" w14:textId="47CD7486">
      <w:pPr>
        <w:spacing w:after="240"/>
        <w:rPr>
          <w:b/>
          <w:bCs/>
          <w:szCs w:val="22"/>
        </w:rPr>
      </w:pPr>
      <w:r w:rsidRPr="00D54A87">
        <w:rPr>
          <w:b/>
          <w:bCs/>
          <w:szCs w:val="22"/>
        </w:rPr>
        <w:t xml:space="preserve">Reply Comment Date:  </w:t>
      </w:r>
      <w:r w:rsidRPr="00D54A87" w:rsidR="00FE27C0">
        <w:rPr>
          <w:b/>
          <w:bCs/>
          <w:szCs w:val="22"/>
        </w:rPr>
        <w:t>July 6</w:t>
      </w:r>
      <w:r w:rsidRPr="00D54A87" w:rsidR="0084563F">
        <w:rPr>
          <w:b/>
          <w:bCs/>
          <w:szCs w:val="22"/>
        </w:rPr>
        <w:t>, 2026</w:t>
      </w:r>
    </w:p>
    <w:p w:rsidR="004118FF" w:rsidRPr="00876F56" w:rsidP="000541D4" w14:paraId="09D2FB09" w14:textId="2AFA872F">
      <w:pPr>
        <w:spacing w:after="240"/>
        <w:ind w:firstLine="720"/>
        <w:rPr>
          <w:szCs w:val="22"/>
        </w:rPr>
      </w:pPr>
      <w:r w:rsidRPr="00876F56">
        <w:rPr>
          <w:szCs w:val="22"/>
        </w:rPr>
        <w:t xml:space="preserve">In the </w:t>
      </w:r>
      <w:r w:rsidRPr="00876F56" w:rsidR="00EB79D1">
        <w:rPr>
          <w:i/>
          <w:iCs/>
          <w:szCs w:val="22"/>
        </w:rPr>
        <w:t>Second Report and Order and Second Further Notice of Proposed Rulemaking (Second EA Integrity R&amp;</w:t>
      </w:r>
      <w:r w:rsidRPr="00876F56" w:rsidR="0010046F">
        <w:rPr>
          <w:i/>
          <w:iCs/>
          <w:szCs w:val="22"/>
        </w:rPr>
        <w:t>O)</w:t>
      </w:r>
      <w:r w:rsidRPr="00876F56" w:rsidR="0010046F">
        <w:rPr>
          <w:szCs w:val="22"/>
        </w:rPr>
        <w:t xml:space="preserve">, the Federal Communications Commission (Commission) </w:t>
      </w:r>
      <w:r w:rsidRPr="00876F56" w:rsidR="00580BE5">
        <w:rPr>
          <w:szCs w:val="22"/>
        </w:rPr>
        <w:t xml:space="preserve">agreed to </w:t>
      </w:r>
      <w:r w:rsidRPr="00876F56" w:rsidR="001D2D04">
        <w:rPr>
          <w:szCs w:val="22"/>
        </w:rPr>
        <w:t>updat</w:t>
      </w:r>
      <w:r w:rsidRPr="00876F56" w:rsidR="009837B5">
        <w:rPr>
          <w:szCs w:val="22"/>
        </w:rPr>
        <w:t>e</w:t>
      </w:r>
      <w:r w:rsidRPr="00876F56" w:rsidR="001D2D04">
        <w:rPr>
          <w:szCs w:val="22"/>
        </w:rPr>
        <w:t xml:space="preserve"> its</w:t>
      </w:r>
      <w:r w:rsidRPr="00876F56" w:rsidR="003F34DE">
        <w:rPr>
          <w:szCs w:val="22"/>
        </w:rPr>
        <w:t xml:space="preserve"> post-market surveillance</w:t>
      </w:r>
      <w:r w:rsidRPr="00876F56" w:rsidR="000541D4">
        <w:rPr>
          <w:szCs w:val="22"/>
        </w:rPr>
        <w:t xml:space="preserve"> </w:t>
      </w:r>
      <w:r w:rsidRPr="00876F56" w:rsidR="00F614AB">
        <w:rPr>
          <w:szCs w:val="22"/>
        </w:rPr>
        <w:t xml:space="preserve">procedures in effort to properly </w:t>
      </w:r>
      <w:r w:rsidRPr="00876F56" w:rsidR="000541D4">
        <w:rPr>
          <w:szCs w:val="22"/>
        </w:rPr>
        <w:t>consider the rapidly evolving national security threat landscape and the new risks to our equipment authorization program</w:t>
      </w:r>
      <w:r w:rsidRPr="00876F56" w:rsidR="00853341">
        <w:rPr>
          <w:szCs w:val="22"/>
        </w:rPr>
        <w:t>.</w:t>
      </w:r>
      <w:r>
        <w:rPr>
          <w:rStyle w:val="FootnoteReference"/>
          <w:szCs w:val="22"/>
        </w:rPr>
        <w:footnoteReference w:id="3"/>
      </w:r>
      <w:r w:rsidRPr="00876F56" w:rsidR="003F34DE">
        <w:rPr>
          <w:szCs w:val="22"/>
        </w:rPr>
        <w:t xml:space="preserve"> </w:t>
      </w:r>
      <w:r w:rsidRPr="00876F56" w:rsidR="005548B7">
        <w:rPr>
          <w:szCs w:val="22"/>
        </w:rPr>
        <w:t xml:space="preserve"> </w:t>
      </w:r>
      <w:r w:rsidRPr="00876F56" w:rsidR="0032374E">
        <w:rPr>
          <w:szCs w:val="22"/>
        </w:rPr>
        <w:t xml:space="preserve">Accordingly, the </w:t>
      </w:r>
      <w:r w:rsidRPr="00876F56" w:rsidR="0028244E">
        <w:rPr>
          <w:szCs w:val="22"/>
        </w:rPr>
        <w:t xml:space="preserve">Commission directed the </w:t>
      </w:r>
      <w:r w:rsidRPr="00876F56" w:rsidR="0032374E">
        <w:rPr>
          <w:szCs w:val="22"/>
        </w:rPr>
        <w:t>Office of Engineering and Technology (OET)</w:t>
      </w:r>
      <w:r w:rsidRPr="00876F56">
        <w:rPr>
          <w:szCs w:val="22"/>
        </w:rPr>
        <w:t xml:space="preserve"> </w:t>
      </w:r>
      <w:r w:rsidRPr="00876F56" w:rsidR="0028244E">
        <w:rPr>
          <w:szCs w:val="22"/>
        </w:rPr>
        <w:t xml:space="preserve">to </w:t>
      </w:r>
      <w:r w:rsidRPr="00876F56">
        <w:rPr>
          <w:szCs w:val="22"/>
        </w:rPr>
        <w:t>seek comment on</w:t>
      </w:r>
      <w:r w:rsidRPr="00876F56">
        <w:rPr>
          <w:szCs w:val="22"/>
        </w:rPr>
        <w:t xml:space="preserve"> </w:t>
      </w:r>
      <w:r w:rsidRPr="00876F56" w:rsidR="00CD5525">
        <w:rPr>
          <w:szCs w:val="22"/>
        </w:rPr>
        <w:t xml:space="preserve">updated </w:t>
      </w:r>
      <w:r w:rsidRPr="00876F56" w:rsidR="0038031F">
        <w:rPr>
          <w:szCs w:val="22"/>
        </w:rPr>
        <w:t>information that</w:t>
      </w:r>
      <w:r w:rsidRPr="00876F56" w:rsidR="007644BB">
        <w:rPr>
          <w:szCs w:val="22"/>
        </w:rPr>
        <w:t xml:space="preserve"> should be included in </w:t>
      </w:r>
      <w:r w:rsidRPr="00876F56" w:rsidR="00E2715B">
        <w:rPr>
          <w:szCs w:val="22"/>
        </w:rPr>
        <w:t>the</w:t>
      </w:r>
      <w:r w:rsidRPr="00876F56" w:rsidR="007644BB">
        <w:rPr>
          <w:szCs w:val="22"/>
        </w:rPr>
        <w:t xml:space="preserve"> revised </w:t>
      </w:r>
      <w:r w:rsidRPr="00876F56" w:rsidR="001C4A52">
        <w:rPr>
          <w:szCs w:val="22"/>
        </w:rPr>
        <w:t>post-market surveillance procedures</w:t>
      </w:r>
      <w:r w:rsidRPr="00876F56" w:rsidR="008B467D">
        <w:rPr>
          <w:szCs w:val="22"/>
        </w:rPr>
        <w:t>.</w:t>
      </w:r>
      <w:r w:rsidRPr="00876F56" w:rsidR="004B2556">
        <w:rPr>
          <w:szCs w:val="22"/>
        </w:rPr>
        <w:t xml:space="preserve"> </w:t>
      </w:r>
    </w:p>
    <w:p w:rsidR="009237A4" w:rsidRPr="00876F56" w:rsidP="009237A4" w14:paraId="5239BA8A" w14:textId="15CD2726">
      <w:pPr>
        <w:spacing w:after="240"/>
        <w:rPr>
          <w:b/>
          <w:bCs/>
          <w:szCs w:val="22"/>
          <w:u w:val="single"/>
        </w:rPr>
      </w:pPr>
      <w:r w:rsidRPr="00876F56">
        <w:rPr>
          <w:b/>
          <w:bCs/>
          <w:szCs w:val="22"/>
          <w:u w:val="single"/>
        </w:rPr>
        <w:t>Background</w:t>
      </w:r>
    </w:p>
    <w:p w:rsidR="004C2C4A" w:rsidRPr="00876F56" w:rsidP="00025C8E" w14:paraId="6C163AEA" w14:textId="7D88C044">
      <w:pPr>
        <w:spacing w:after="240"/>
        <w:ind w:firstLine="720"/>
        <w:rPr>
          <w:szCs w:val="22"/>
        </w:rPr>
      </w:pPr>
      <w:r w:rsidRPr="00876F56">
        <w:rPr>
          <w:szCs w:val="22"/>
        </w:rPr>
        <w:t>Current</w:t>
      </w:r>
      <w:r w:rsidRPr="00876F56" w:rsidR="00DF1F26">
        <w:rPr>
          <w:szCs w:val="22"/>
        </w:rPr>
        <w:t>ly, the Commission</w:t>
      </w:r>
      <w:r w:rsidRPr="00876F56" w:rsidR="00FF326C">
        <w:rPr>
          <w:szCs w:val="22"/>
        </w:rPr>
        <w:t>’s</w:t>
      </w:r>
      <w:r w:rsidRPr="00876F56" w:rsidR="00DF1F26">
        <w:rPr>
          <w:szCs w:val="22"/>
        </w:rPr>
        <w:t xml:space="preserve"> </w:t>
      </w:r>
      <w:r w:rsidRPr="00876F56" w:rsidR="007D3FF5">
        <w:rPr>
          <w:szCs w:val="22"/>
        </w:rPr>
        <w:t xml:space="preserve">rules </w:t>
      </w:r>
      <w:r w:rsidRPr="00876F56" w:rsidR="00042105">
        <w:rPr>
          <w:szCs w:val="22"/>
        </w:rPr>
        <w:t xml:space="preserve">impose obligations on </w:t>
      </w:r>
      <w:r w:rsidRPr="00876F56" w:rsidR="00DB4BDE">
        <w:rPr>
          <w:szCs w:val="22"/>
        </w:rPr>
        <w:t>Telecommunication</w:t>
      </w:r>
      <w:r w:rsidRPr="00876F56" w:rsidR="00102D8A">
        <w:rPr>
          <w:szCs w:val="22"/>
        </w:rPr>
        <w:t>s Certification Bodies (TCBs)</w:t>
      </w:r>
      <w:r w:rsidRPr="00876F56" w:rsidR="005D4B54">
        <w:rPr>
          <w:szCs w:val="22"/>
        </w:rPr>
        <w:t xml:space="preserve"> to perform post-market surveillance</w:t>
      </w:r>
      <w:r w:rsidRPr="00876F56" w:rsidR="00BF4814">
        <w:rPr>
          <w:szCs w:val="22"/>
        </w:rPr>
        <w:t xml:space="preserve"> based on “type testing a certain number of samples of the total number of product types” that the TCB has certified.</w:t>
      </w:r>
      <w:r>
        <w:rPr>
          <w:rStyle w:val="FootnoteReference"/>
          <w:szCs w:val="22"/>
        </w:rPr>
        <w:footnoteReference w:id="4"/>
      </w:r>
      <w:r w:rsidRPr="00876F56" w:rsidR="00426185">
        <w:rPr>
          <w:szCs w:val="22"/>
        </w:rPr>
        <w:t xml:space="preserve"> </w:t>
      </w:r>
      <w:r w:rsidRPr="00876F56" w:rsidR="002924E4">
        <w:rPr>
          <w:szCs w:val="22"/>
        </w:rPr>
        <w:t xml:space="preserve"> </w:t>
      </w:r>
      <w:r w:rsidRPr="00876F56" w:rsidR="00EC39A5">
        <w:rPr>
          <w:szCs w:val="22"/>
        </w:rPr>
        <w:t>In addition, a TCB must perform post-market surveillance activit</w:t>
      </w:r>
      <w:r w:rsidRPr="00876F56" w:rsidR="00DF3DB0">
        <w:rPr>
          <w:szCs w:val="22"/>
        </w:rPr>
        <w:t>ies in accordance with ISO/IEC 17065</w:t>
      </w:r>
      <w:r w:rsidRPr="00876F56" w:rsidR="003E7C40">
        <w:rPr>
          <w:szCs w:val="22"/>
        </w:rPr>
        <w:t>.</w:t>
      </w:r>
      <w:r>
        <w:rPr>
          <w:rStyle w:val="FootnoteReference"/>
          <w:szCs w:val="22"/>
        </w:rPr>
        <w:footnoteReference w:id="5"/>
      </w:r>
      <w:r w:rsidRPr="00876F56" w:rsidR="00567225">
        <w:rPr>
          <w:szCs w:val="22"/>
        </w:rPr>
        <w:t xml:space="preserve"> </w:t>
      </w:r>
      <w:r w:rsidRPr="00876F56" w:rsidR="003E7C40">
        <w:rPr>
          <w:szCs w:val="22"/>
        </w:rPr>
        <w:t xml:space="preserve"> </w:t>
      </w:r>
      <w:r w:rsidRPr="00876F56" w:rsidR="0074051D">
        <w:rPr>
          <w:szCs w:val="22"/>
        </w:rPr>
        <w:t xml:space="preserve">OET </w:t>
      </w:r>
      <w:r w:rsidRPr="00876F56" w:rsidR="0056025A">
        <w:rPr>
          <w:szCs w:val="22"/>
        </w:rPr>
        <w:t xml:space="preserve">also </w:t>
      </w:r>
      <w:r w:rsidRPr="00876F56" w:rsidR="00EC30CD">
        <w:rPr>
          <w:szCs w:val="22"/>
        </w:rPr>
        <w:t xml:space="preserve">provides specific benchmarks designating </w:t>
      </w:r>
      <w:r w:rsidRPr="00876F56" w:rsidR="00601ED2">
        <w:rPr>
          <w:szCs w:val="22"/>
        </w:rPr>
        <w:t>which device samples TCBs must test and checklists to help TCBs streamline their surveillance reporting.</w:t>
      </w:r>
      <w:r>
        <w:rPr>
          <w:rStyle w:val="FootnoteReference"/>
          <w:szCs w:val="22"/>
        </w:rPr>
        <w:footnoteReference w:id="6"/>
      </w:r>
      <w:r w:rsidRPr="00876F56" w:rsidR="00A11317">
        <w:rPr>
          <w:szCs w:val="22"/>
        </w:rPr>
        <w:t xml:space="preserve"> </w:t>
      </w:r>
      <w:r w:rsidRPr="00876F56" w:rsidR="00EB6EE2">
        <w:rPr>
          <w:szCs w:val="22"/>
        </w:rPr>
        <w:t xml:space="preserve"> </w:t>
      </w:r>
      <w:r w:rsidRPr="00876F56" w:rsidR="00426185">
        <w:rPr>
          <w:szCs w:val="22"/>
        </w:rPr>
        <w:t>TCBs are obligated to ensure that communication equipment on the FCC’s Covered List</w:t>
      </w:r>
      <w:r w:rsidRPr="00876F56" w:rsidR="00A32A17">
        <w:rPr>
          <w:szCs w:val="22"/>
        </w:rPr>
        <w:t>,</w:t>
      </w:r>
      <w:r w:rsidRPr="00876F56" w:rsidR="00530577">
        <w:rPr>
          <w:szCs w:val="22"/>
        </w:rPr>
        <w:t xml:space="preserve"> </w:t>
      </w:r>
      <w:r w:rsidRPr="00876F56" w:rsidR="00A33C6A">
        <w:rPr>
          <w:szCs w:val="22"/>
        </w:rPr>
        <w:t xml:space="preserve">specifically determined to pose </w:t>
      </w:r>
      <w:r w:rsidRPr="00876F56" w:rsidR="00530577">
        <w:rPr>
          <w:szCs w:val="22"/>
        </w:rPr>
        <w:t>a</w:t>
      </w:r>
      <w:r w:rsidRPr="00876F56" w:rsidR="00B25688">
        <w:rPr>
          <w:szCs w:val="22"/>
        </w:rPr>
        <w:t>n “unacceptable risk to the national security of the United States</w:t>
      </w:r>
      <w:r w:rsidRPr="00876F56" w:rsidR="00A33C6A">
        <w:rPr>
          <w:szCs w:val="22"/>
        </w:rPr>
        <w:t xml:space="preserve"> or the safety and security of United States persons</w:t>
      </w:r>
      <w:r w:rsidRPr="00876F56" w:rsidR="00A32A17">
        <w:rPr>
          <w:szCs w:val="22"/>
        </w:rPr>
        <w:t>,</w:t>
      </w:r>
      <w:r w:rsidRPr="00876F56" w:rsidR="003F638D">
        <w:rPr>
          <w:szCs w:val="22"/>
        </w:rPr>
        <w:t>”</w:t>
      </w:r>
      <w:r w:rsidRPr="00876F56" w:rsidR="00EB6EE2">
        <w:rPr>
          <w:rStyle w:val="FootnoteReference"/>
          <w:szCs w:val="22"/>
        </w:rPr>
        <w:t xml:space="preserve"> </w:t>
      </w:r>
      <w:r>
        <w:rPr>
          <w:rStyle w:val="FootnoteReference"/>
          <w:szCs w:val="22"/>
        </w:rPr>
        <w:footnoteReference w:id="7"/>
      </w:r>
      <w:r w:rsidRPr="00876F56" w:rsidR="009E642A">
        <w:rPr>
          <w:szCs w:val="22"/>
        </w:rPr>
        <w:t xml:space="preserve"> </w:t>
      </w:r>
      <w:r w:rsidRPr="00876F56" w:rsidR="00630F29">
        <w:rPr>
          <w:szCs w:val="22"/>
        </w:rPr>
        <w:t xml:space="preserve"> do not receive</w:t>
      </w:r>
      <w:r w:rsidRPr="00876F56" w:rsidR="00426185">
        <w:rPr>
          <w:szCs w:val="22"/>
        </w:rPr>
        <w:t xml:space="preserve"> equipment authorization</w:t>
      </w:r>
      <w:r w:rsidRPr="00876F56" w:rsidR="003A1951">
        <w:rPr>
          <w:szCs w:val="22"/>
        </w:rPr>
        <w:t>.</w:t>
      </w:r>
      <w:r>
        <w:rPr>
          <w:rStyle w:val="FootnoteReference"/>
          <w:szCs w:val="22"/>
        </w:rPr>
        <w:footnoteReference w:id="8"/>
      </w:r>
      <w:r w:rsidRPr="00876F56" w:rsidR="00630F29">
        <w:rPr>
          <w:szCs w:val="22"/>
        </w:rPr>
        <w:t xml:space="preserve"> </w:t>
      </w:r>
      <w:r w:rsidRPr="00876F56" w:rsidR="002236B1">
        <w:rPr>
          <w:szCs w:val="22"/>
        </w:rPr>
        <w:t xml:space="preserve"> </w:t>
      </w:r>
      <w:r w:rsidRPr="00876F56" w:rsidR="00D56830">
        <w:rPr>
          <w:szCs w:val="22"/>
        </w:rPr>
        <w:t>In this manner, TCBs have historically played a critical role in the protection of American national security.</w:t>
      </w:r>
      <w:r>
        <w:rPr>
          <w:rStyle w:val="FootnoteReference"/>
          <w:szCs w:val="22"/>
        </w:rPr>
        <w:footnoteReference w:id="9"/>
      </w:r>
    </w:p>
    <w:p w:rsidR="004118FF" w:rsidRPr="00876F56" w:rsidP="004E1BD6" w14:paraId="21D44F93" w14:textId="2C9EFD00">
      <w:pPr>
        <w:spacing w:after="240"/>
        <w:rPr>
          <w:b/>
          <w:bCs/>
          <w:szCs w:val="22"/>
          <w:u w:val="single"/>
        </w:rPr>
      </w:pPr>
      <w:r w:rsidRPr="00876F56">
        <w:rPr>
          <w:b/>
          <w:bCs/>
          <w:szCs w:val="22"/>
          <w:u w:val="single"/>
        </w:rPr>
        <w:t>Request for Comment</w:t>
      </w:r>
    </w:p>
    <w:p w:rsidR="00E80328" w:rsidRPr="00876F56" w:rsidP="00CB36AC" w14:paraId="4AE45403" w14:textId="7F6FF1A4">
      <w:pPr>
        <w:spacing w:after="240"/>
        <w:ind w:firstLine="602"/>
        <w:rPr>
          <w:szCs w:val="22"/>
        </w:rPr>
      </w:pPr>
      <w:r w:rsidRPr="00876F56">
        <w:rPr>
          <w:szCs w:val="22"/>
        </w:rPr>
        <w:t>OET</w:t>
      </w:r>
      <w:r w:rsidRPr="00876F56" w:rsidR="5901DE78">
        <w:rPr>
          <w:szCs w:val="22"/>
        </w:rPr>
        <w:t xml:space="preserve"> seeks</w:t>
      </w:r>
      <w:r w:rsidRPr="00876F56" w:rsidR="002472DF">
        <w:rPr>
          <w:szCs w:val="22"/>
        </w:rPr>
        <w:t xml:space="preserve"> general</w:t>
      </w:r>
      <w:r w:rsidRPr="00876F56" w:rsidR="5901DE78">
        <w:rPr>
          <w:szCs w:val="22"/>
        </w:rPr>
        <w:t xml:space="preserve"> comment on </w:t>
      </w:r>
      <w:r w:rsidRPr="00876F56" w:rsidR="002832A0">
        <w:rPr>
          <w:szCs w:val="22"/>
        </w:rPr>
        <w:t xml:space="preserve">potential revisions </w:t>
      </w:r>
      <w:r w:rsidRPr="00876F56" w:rsidR="008B467D">
        <w:rPr>
          <w:szCs w:val="22"/>
        </w:rPr>
        <w:t>to</w:t>
      </w:r>
      <w:r w:rsidRPr="00876F56" w:rsidR="00045BB9">
        <w:rPr>
          <w:szCs w:val="22"/>
        </w:rPr>
        <w:t xml:space="preserve"> </w:t>
      </w:r>
      <w:r w:rsidRPr="00876F56" w:rsidR="00FF326C">
        <w:rPr>
          <w:szCs w:val="22"/>
        </w:rPr>
        <w:t>the</w:t>
      </w:r>
      <w:r w:rsidRPr="00876F56" w:rsidR="00D1159E">
        <w:rPr>
          <w:szCs w:val="22"/>
        </w:rPr>
        <w:t xml:space="preserve"> post-market surveillance </w:t>
      </w:r>
      <w:r w:rsidRPr="00876F56" w:rsidR="00045BB9">
        <w:rPr>
          <w:szCs w:val="22"/>
        </w:rPr>
        <w:t>procedures</w:t>
      </w:r>
      <w:r w:rsidRPr="00876F56" w:rsidR="002472DF">
        <w:rPr>
          <w:szCs w:val="22"/>
        </w:rPr>
        <w:t xml:space="preserve">. </w:t>
      </w:r>
      <w:r w:rsidRPr="00876F56" w:rsidR="002E19DF">
        <w:rPr>
          <w:szCs w:val="22"/>
        </w:rPr>
        <w:t xml:space="preserve"> </w:t>
      </w:r>
      <w:r w:rsidRPr="00876F56" w:rsidR="007644BB">
        <w:rPr>
          <w:szCs w:val="22"/>
        </w:rPr>
        <w:t xml:space="preserve">Specifically, </w:t>
      </w:r>
      <w:r w:rsidRPr="00876F56">
        <w:rPr>
          <w:szCs w:val="22"/>
        </w:rPr>
        <w:t>OET</w:t>
      </w:r>
      <w:r w:rsidRPr="00876F56" w:rsidR="002472DF">
        <w:rPr>
          <w:szCs w:val="22"/>
        </w:rPr>
        <w:t xml:space="preserve"> seeks input on</w:t>
      </w:r>
      <w:r w:rsidRPr="00876F56" w:rsidR="00842606">
        <w:rPr>
          <w:szCs w:val="22"/>
        </w:rPr>
        <w:t xml:space="preserve"> </w:t>
      </w:r>
      <w:r w:rsidRPr="00876F56" w:rsidR="002832A0">
        <w:rPr>
          <w:szCs w:val="22"/>
        </w:rPr>
        <w:t>the following questions</w:t>
      </w:r>
      <w:r w:rsidRPr="00876F56" w:rsidR="007F556B">
        <w:rPr>
          <w:szCs w:val="22"/>
        </w:rPr>
        <w:t>:</w:t>
      </w:r>
    </w:p>
    <w:p w:rsidR="00410E96" w:rsidRPr="00876F56" w:rsidP="00F85E68" w14:paraId="6D789E36" w14:textId="3A1D1EA1">
      <w:pPr>
        <w:widowControl/>
        <w:numPr>
          <w:ilvl w:val="0"/>
          <w:numId w:val="22"/>
        </w:numPr>
        <w:shd w:val="clear" w:color="auto" w:fill="FFFFFF"/>
        <w:rPr>
          <w:b/>
          <w:bCs/>
          <w:szCs w:val="22"/>
          <w:u w:val="single"/>
        </w:rPr>
      </w:pPr>
      <w:r w:rsidRPr="00876F56">
        <w:rPr>
          <w:szCs w:val="22"/>
        </w:rPr>
        <w:t>What percentage of certification grants s</w:t>
      </w:r>
      <w:r w:rsidRPr="00876F56" w:rsidR="00326C50">
        <w:rPr>
          <w:szCs w:val="22"/>
        </w:rPr>
        <w:t xml:space="preserve">hould TCBs be required to sample </w:t>
      </w:r>
      <w:r w:rsidRPr="00876F56" w:rsidR="0031115C">
        <w:rPr>
          <w:szCs w:val="22"/>
        </w:rPr>
        <w:t xml:space="preserve">in a calendar? </w:t>
      </w:r>
      <w:r w:rsidRPr="00876F56" w:rsidR="002E19DF">
        <w:rPr>
          <w:szCs w:val="22"/>
        </w:rPr>
        <w:t xml:space="preserve"> </w:t>
      </w:r>
      <w:r w:rsidRPr="00876F56" w:rsidR="004712EA">
        <w:rPr>
          <w:szCs w:val="22"/>
        </w:rPr>
        <w:t xml:space="preserve">How should that </w:t>
      </w:r>
      <w:r w:rsidRPr="00876F56" w:rsidR="008E25EC">
        <w:rPr>
          <w:szCs w:val="22"/>
        </w:rPr>
        <w:t xml:space="preserve">quota </w:t>
      </w:r>
      <w:r w:rsidRPr="00876F56" w:rsidR="004712EA">
        <w:rPr>
          <w:szCs w:val="22"/>
        </w:rPr>
        <w:t>be calculated</w:t>
      </w:r>
      <w:r w:rsidRPr="00876F56" w:rsidR="008E25EC">
        <w:rPr>
          <w:szCs w:val="22"/>
        </w:rPr>
        <w:t xml:space="preserve">? </w:t>
      </w:r>
      <w:r w:rsidRPr="00876F56" w:rsidR="002E19DF">
        <w:rPr>
          <w:szCs w:val="22"/>
        </w:rPr>
        <w:t xml:space="preserve"> </w:t>
      </w:r>
      <w:r w:rsidRPr="00876F56" w:rsidR="008E25EC">
        <w:rPr>
          <w:szCs w:val="22"/>
        </w:rPr>
        <w:t>Should it</w:t>
      </w:r>
      <w:r w:rsidRPr="00876F56" w:rsidR="004712EA">
        <w:rPr>
          <w:szCs w:val="22"/>
        </w:rPr>
        <w:t xml:space="preserve"> be calculated</w:t>
      </w:r>
      <w:r w:rsidRPr="00876F56" w:rsidR="00326C50">
        <w:rPr>
          <w:szCs w:val="22"/>
        </w:rPr>
        <w:t xml:space="preserve"> </w:t>
      </w:r>
      <w:r w:rsidRPr="00876F56" w:rsidR="00256505">
        <w:rPr>
          <w:szCs w:val="22"/>
        </w:rPr>
        <w:t>with</w:t>
      </w:r>
      <w:r w:rsidRPr="00876F56" w:rsidR="00326C50">
        <w:rPr>
          <w:szCs w:val="22"/>
        </w:rPr>
        <w:t xml:space="preserve">in the same calendar year? </w:t>
      </w:r>
      <w:r w:rsidRPr="00876F56" w:rsidR="002E19DF">
        <w:rPr>
          <w:szCs w:val="22"/>
        </w:rPr>
        <w:t xml:space="preserve"> </w:t>
      </w:r>
      <w:r w:rsidRPr="00876F56" w:rsidR="00B434BF">
        <w:rPr>
          <w:szCs w:val="22"/>
        </w:rPr>
        <w:t>Are there alternatives the Commission should consider?</w:t>
      </w:r>
      <w:r w:rsidRPr="00876F56" w:rsidR="00061533">
        <w:rPr>
          <w:szCs w:val="22"/>
        </w:rPr>
        <w:t xml:space="preserve">  </w:t>
      </w:r>
    </w:p>
    <w:p w:rsidR="00F85E68" w:rsidRPr="00876F56" w:rsidP="00F85E68" w14:paraId="2BB77E4E" w14:textId="5703FB23">
      <w:pPr>
        <w:widowControl/>
        <w:numPr>
          <w:ilvl w:val="0"/>
          <w:numId w:val="22"/>
        </w:numPr>
        <w:shd w:val="clear" w:color="auto" w:fill="FFFFFF"/>
        <w:rPr>
          <w:color w:val="242424"/>
          <w:szCs w:val="22"/>
        </w:rPr>
      </w:pPr>
      <w:r w:rsidRPr="00876F56">
        <w:rPr>
          <w:szCs w:val="22"/>
        </w:rPr>
        <w:t>How s</w:t>
      </w:r>
      <w:r w:rsidRPr="00876F56" w:rsidR="00061533">
        <w:rPr>
          <w:szCs w:val="22"/>
        </w:rPr>
        <w:t xml:space="preserve">hould TCBs be required to </w:t>
      </w:r>
      <w:r w:rsidRPr="00876F56">
        <w:rPr>
          <w:szCs w:val="22"/>
        </w:rPr>
        <w:t>explain</w:t>
      </w:r>
      <w:r w:rsidRPr="00876F56" w:rsidR="00061533">
        <w:rPr>
          <w:szCs w:val="22"/>
        </w:rPr>
        <w:t xml:space="preserve"> their reasoning behind the sample selection and tests carried out for surveillance?  Also, would it make sense for a percentage of surveillance devices to be required to be tested by the TCB’s internal test lab?</w:t>
      </w:r>
      <w:r w:rsidRPr="00876F56" w:rsidR="00D0124A">
        <w:rPr>
          <w:szCs w:val="22"/>
        </w:rPr>
        <w:t xml:space="preserve"> </w:t>
      </w:r>
      <w:r w:rsidRPr="00876F56" w:rsidR="00E011A9">
        <w:rPr>
          <w:szCs w:val="22"/>
        </w:rPr>
        <w:t xml:space="preserve"> </w:t>
      </w:r>
      <w:r w:rsidRPr="00876F56">
        <w:rPr>
          <w:color w:val="242424"/>
          <w:szCs w:val="22"/>
        </w:rPr>
        <w:t>Most devices that go through TCB post</w:t>
      </w:r>
      <w:r w:rsidRPr="00876F56" w:rsidR="00983A86">
        <w:rPr>
          <w:color w:val="242424"/>
          <w:szCs w:val="22"/>
        </w:rPr>
        <w:t>-</w:t>
      </w:r>
      <w:r w:rsidRPr="00876F56">
        <w:rPr>
          <w:color w:val="242424"/>
          <w:szCs w:val="22"/>
        </w:rPr>
        <w:t xml:space="preserve">market surveillance are tested at the same lab the device received certification from.  Is there benefit in requiring some post market surveillance testing to be done in a different test lab </w:t>
      </w:r>
      <w:r w:rsidRPr="00876F56" w:rsidR="00D04F5F">
        <w:rPr>
          <w:color w:val="242424"/>
          <w:szCs w:val="22"/>
        </w:rPr>
        <w:t>than</w:t>
      </w:r>
      <w:r w:rsidRPr="00876F56">
        <w:rPr>
          <w:color w:val="242424"/>
          <w:szCs w:val="22"/>
        </w:rPr>
        <w:t xml:space="preserve"> the one that was used for certification?</w:t>
      </w:r>
    </w:p>
    <w:p w:rsidR="00BB4178" w:rsidRPr="00876F56" w:rsidP="00F85E68" w14:paraId="59275EC8" w14:textId="54B1BE0C">
      <w:pPr>
        <w:pStyle w:val="ListParagraph"/>
        <w:numPr>
          <w:ilvl w:val="0"/>
          <w:numId w:val="22"/>
        </w:numPr>
        <w:spacing w:after="0" w:line="240" w:lineRule="auto"/>
        <w:rPr>
          <w:b/>
          <w:bCs/>
          <w:u w:val="single"/>
        </w:rPr>
      </w:pPr>
      <w:r w:rsidRPr="00876F56">
        <w:rPr>
          <w:color w:val="242424"/>
        </w:rPr>
        <w:t>Would it be beneficial for some surveillance devices to be tested “out of the box,” meaning surveillance is conducted organically to activate the EUT, rather than relying solely on test mode from the manufacturer?</w:t>
      </w:r>
    </w:p>
    <w:p w:rsidR="00AC3C66" w:rsidRPr="00876F56" w:rsidP="00F85E68" w14:paraId="3ED6863B" w14:textId="0C614C9F">
      <w:pPr>
        <w:pStyle w:val="ListParagraph"/>
        <w:numPr>
          <w:ilvl w:val="0"/>
          <w:numId w:val="22"/>
        </w:numPr>
        <w:spacing w:after="0" w:line="240" w:lineRule="auto"/>
      </w:pPr>
      <w:r w:rsidRPr="00876F56">
        <w:t xml:space="preserve">How can </w:t>
      </w:r>
      <w:r w:rsidRPr="00876F56" w:rsidR="00AB1857">
        <w:t xml:space="preserve">OET strengthen the existing </w:t>
      </w:r>
      <w:r w:rsidRPr="00876F56" w:rsidR="00397541">
        <w:t>voucher program</w:t>
      </w:r>
      <w:r w:rsidRPr="00876F56" w:rsidR="009C4251">
        <w:t xml:space="preserve"> in section 2.945(b)(1) to allow for more real-world testing of devices in the marketplace?</w:t>
      </w:r>
    </w:p>
    <w:p w:rsidR="0006102B" w:rsidRPr="00876F56" w:rsidP="00F85E68" w14:paraId="1A4BDEED" w14:textId="615EB0BC">
      <w:pPr>
        <w:pStyle w:val="ListParagraph"/>
        <w:numPr>
          <w:ilvl w:val="0"/>
          <w:numId w:val="22"/>
        </w:numPr>
        <w:spacing w:after="0" w:line="240" w:lineRule="auto"/>
        <w:rPr>
          <w:b/>
          <w:bCs/>
          <w:u w:val="single"/>
        </w:rPr>
      </w:pPr>
      <w:r w:rsidRPr="00876F56">
        <w:t>What m</w:t>
      </w:r>
      <w:r w:rsidRPr="00876F56" w:rsidR="00C34CC6">
        <w:t xml:space="preserve">ethods for </w:t>
      </w:r>
      <w:r w:rsidRPr="00876F56" w:rsidR="00337E6A">
        <w:t xml:space="preserve">escalation </w:t>
      </w:r>
      <w:r w:rsidRPr="00876F56">
        <w:t xml:space="preserve">should be utilized </w:t>
      </w:r>
      <w:r w:rsidRPr="00876F56" w:rsidR="00C34CC6">
        <w:t xml:space="preserve">when a </w:t>
      </w:r>
      <w:r w:rsidRPr="00876F56" w:rsidR="004106AC">
        <w:t xml:space="preserve">TCB needs to raise concerns, such as when grantees are uncooperative in providing required samples for surveillance testing or when they believe </w:t>
      </w:r>
      <w:r w:rsidRPr="00876F56" w:rsidR="00B434BF">
        <w:t>other TCBs are out of compliance with procedural standards</w:t>
      </w:r>
      <w:r w:rsidRPr="00876F56">
        <w:t>?</w:t>
      </w:r>
      <w:r w:rsidRPr="00876F56" w:rsidR="00B434BF">
        <w:t xml:space="preserve"> </w:t>
      </w:r>
    </w:p>
    <w:p w:rsidR="00A73832" w:rsidRPr="00876F56" w:rsidP="00F85E68" w14:paraId="45EA5D9E" w14:textId="13456E64">
      <w:pPr>
        <w:widowControl/>
        <w:numPr>
          <w:ilvl w:val="0"/>
          <w:numId w:val="22"/>
        </w:numPr>
        <w:shd w:val="clear" w:color="auto" w:fill="FFFFFF"/>
        <w:rPr>
          <w:color w:val="242424"/>
          <w:szCs w:val="22"/>
        </w:rPr>
      </w:pPr>
      <w:r w:rsidRPr="00876F56">
        <w:rPr>
          <w:color w:val="242424"/>
          <w:szCs w:val="22"/>
        </w:rPr>
        <w:t>Are there certain types of devices/equipment classes that should have required testing pe</w:t>
      </w:r>
      <w:r w:rsidRPr="00876F56" w:rsidR="00C62CF2">
        <w:rPr>
          <w:color w:val="242424"/>
          <w:szCs w:val="22"/>
        </w:rPr>
        <w:t>r</w:t>
      </w:r>
      <w:r w:rsidRPr="00876F56">
        <w:rPr>
          <w:color w:val="242424"/>
          <w:szCs w:val="22"/>
        </w:rPr>
        <w:t>formed during surveillance testing?</w:t>
      </w:r>
    </w:p>
    <w:p w:rsidR="00A73832" w:rsidRPr="00876F56" w:rsidP="00F85E68" w14:paraId="4B165495" w14:textId="33F41E38">
      <w:pPr>
        <w:widowControl/>
        <w:numPr>
          <w:ilvl w:val="0"/>
          <w:numId w:val="22"/>
        </w:numPr>
        <w:shd w:val="clear" w:color="auto" w:fill="FFFFFF"/>
        <w:rPr>
          <w:color w:val="242424"/>
          <w:szCs w:val="22"/>
        </w:rPr>
      </w:pPr>
      <w:r w:rsidRPr="00876F56">
        <w:rPr>
          <w:color w:val="242424"/>
          <w:szCs w:val="22"/>
        </w:rPr>
        <w:t>Should we also look at selecting devices for surveillance based on their power listed on the grant of certification?</w:t>
      </w:r>
      <w:r w:rsidRPr="00876F56" w:rsidR="00D97C95">
        <w:rPr>
          <w:color w:val="242424"/>
          <w:szCs w:val="22"/>
        </w:rPr>
        <w:t xml:space="preserve"> </w:t>
      </w:r>
      <w:r w:rsidRPr="00876F56">
        <w:rPr>
          <w:color w:val="242424"/>
          <w:szCs w:val="22"/>
        </w:rPr>
        <w:t xml:space="preserve"> For example, devices that are closest to the regulatory limits might be more appropriate candidates for surveillance testing. </w:t>
      </w:r>
    </w:p>
    <w:p w:rsidR="00A73832" w:rsidRPr="00876F56" w:rsidP="00F85E68" w14:paraId="32B7BE55" w14:textId="77777777">
      <w:pPr>
        <w:widowControl/>
        <w:numPr>
          <w:ilvl w:val="0"/>
          <w:numId w:val="22"/>
        </w:numPr>
        <w:shd w:val="clear" w:color="auto" w:fill="FFFFFF"/>
        <w:rPr>
          <w:color w:val="242424"/>
          <w:szCs w:val="22"/>
        </w:rPr>
      </w:pPr>
      <w:r w:rsidRPr="00876F56">
        <w:rPr>
          <w:color w:val="242424"/>
          <w:szCs w:val="22"/>
        </w:rPr>
        <w:t>How can we make post market surveillance testing more beneficial to the public? </w:t>
      </w:r>
    </w:p>
    <w:p w:rsidR="00C16158" w:rsidRPr="00876F56" w:rsidP="00441C81" w14:paraId="4558674F" w14:textId="4EC64169">
      <w:pPr>
        <w:pStyle w:val="ListParagraph"/>
        <w:numPr>
          <w:ilvl w:val="0"/>
          <w:numId w:val="22"/>
        </w:numPr>
        <w:spacing w:after="0" w:line="240" w:lineRule="auto"/>
        <w:rPr>
          <w:b/>
          <w:bCs/>
          <w:u w:val="single"/>
        </w:rPr>
      </w:pPr>
      <w:r w:rsidRPr="00876F56">
        <w:t>Are there any alternative approaches and additional considerations related to</w:t>
      </w:r>
      <w:r w:rsidRPr="00876F56" w:rsidR="009B04D8">
        <w:t xml:space="preserve"> post-market surveillance </w:t>
      </w:r>
      <w:r w:rsidRPr="00876F56">
        <w:t>procedures</w:t>
      </w:r>
      <w:r w:rsidRPr="00876F56" w:rsidR="008F5875">
        <w:t xml:space="preserve"> not</w:t>
      </w:r>
      <w:r w:rsidRPr="00876F56" w:rsidR="00D97C95">
        <w:t xml:space="preserve"> explicitly</w:t>
      </w:r>
      <w:r w:rsidRPr="00876F56" w:rsidR="008F5875">
        <w:t xml:space="preserve"> listed in this Public Notice</w:t>
      </w:r>
      <w:r w:rsidRPr="00876F56" w:rsidR="00D97C95">
        <w:t>?</w:t>
      </w:r>
    </w:p>
    <w:p w:rsidR="00C16158" w:rsidRPr="00876F56" w:rsidP="006A0E6C" w14:paraId="05E1815D" w14:textId="77777777">
      <w:pPr>
        <w:spacing w:after="240"/>
        <w:rPr>
          <w:b/>
          <w:bCs/>
          <w:szCs w:val="22"/>
          <w:u w:val="single"/>
        </w:rPr>
      </w:pPr>
    </w:p>
    <w:p w:rsidR="00EF2DDD" w:rsidRPr="00876F56" w:rsidP="006A0E6C" w14:paraId="796D862A" w14:textId="5B953365">
      <w:pPr>
        <w:spacing w:after="240"/>
        <w:rPr>
          <w:b/>
          <w:bCs/>
          <w:szCs w:val="22"/>
          <w:u w:val="single"/>
        </w:rPr>
      </w:pPr>
      <w:r w:rsidRPr="00876F56">
        <w:rPr>
          <w:b/>
          <w:bCs/>
          <w:szCs w:val="22"/>
          <w:u w:val="single"/>
        </w:rPr>
        <w:t>Procedural Matters</w:t>
      </w:r>
    </w:p>
    <w:p w:rsidR="0089415A" w:rsidRPr="00876F56" w:rsidP="00EF2DDD" w14:paraId="557DCB66" w14:textId="1721A240">
      <w:pPr>
        <w:spacing w:after="240"/>
        <w:ind w:firstLine="602"/>
        <w:rPr>
          <w:szCs w:val="22"/>
        </w:rPr>
      </w:pPr>
      <w:r w:rsidRPr="00876F56">
        <w:rPr>
          <w:szCs w:val="22"/>
        </w:rPr>
        <w:t>Pursuant to sections 1.415 and 1.419</w:t>
      </w:r>
      <w:r w:rsidRPr="00876F56" w:rsidR="00845665">
        <w:rPr>
          <w:szCs w:val="22"/>
        </w:rPr>
        <w:t xml:space="preserve"> </w:t>
      </w:r>
      <w:r w:rsidRPr="00876F56">
        <w:rPr>
          <w:szCs w:val="22"/>
        </w:rPr>
        <w:t xml:space="preserve">of the Commission’s rules, 47 CFR §§ 1.415, 1.149, interested parties may file comments in ET Docket No. </w:t>
      </w:r>
      <w:r w:rsidR="00876F56">
        <w:rPr>
          <w:szCs w:val="22"/>
        </w:rPr>
        <w:t>26-118</w:t>
      </w:r>
      <w:r w:rsidRPr="00876F56">
        <w:rPr>
          <w:szCs w:val="22"/>
        </w:rPr>
        <w:t xml:space="preserve"> on or before the date indicated on the first page of this document and should reference this public notice. Comments may be filed using the Commission’s Electronic Comment Filing System (ECFS).</w:t>
      </w:r>
      <w:r w:rsidRPr="00876F56" w:rsidR="00D97C95">
        <w:rPr>
          <w:szCs w:val="22"/>
        </w:rPr>
        <w:t xml:space="preserve"> </w:t>
      </w:r>
      <w:r w:rsidRPr="00876F56">
        <w:rPr>
          <w:szCs w:val="22"/>
        </w:rPr>
        <w:t xml:space="preserve"> See </w:t>
      </w:r>
      <w:r w:rsidRPr="00876F56">
        <w:rPr>
          <w:i/>
          <w:iCs/>
          <w:szCs w:val="22"/>
        </w:rPr>
        <w:t>Electronic Filing of Documents in Rulemaking Proceedings</w:t>
      </w:r>
      <w:r w:rsidRPr="00876F56">
        <w:rPr>
          <w:szCs w:val="22"/>
        </w:rPr>
        <w:t xml:space="preserve">, 63 FR 24121 (1998). </w:t>
      </w:r>
    </w:p>
    <w:p w:rsidR="00A71770" w:rsidRPr="00876F56" w:rsidP="00A71770" w14:paraId="607AC021" w14:textId="6029A24E">
      <w:pPr>
        <w:pStyle w:val="ListParagraph"/>
        <w:numPr>
          <w:ilvl w:val="0"/>
          <w:numId w:val="23"/>
        </w:numPr>
        <w:spacing w:after="240"/>
      </w:pPr>
      <w:r w:rsidRPr="00876F56">
        <w:t>Electronic Filers: Comments may be filed electronically using the Internet by accessing the ECFS: https://apps.fcc.gov/ecfs/</w:t>
      </w:r>
      <w:r w:rsidRPr="00876F56">
        <w:t>.</w:t>
      </w:r>
      <w:r w:rsidRPr="00876F56">
        <w:t xml:space="preserve"> </w:t>
      </w:r>
    </w:p>
    <w:p w:rsidR="00D62781" w:rsidRPr="00876F56" w:rsidP="00A71770" w14:paraId="4C868649" w14:textId="77777777">
      <w:pPr>
        <w:pStyle w:val="ListParagraph"/>
        <w:numPr>
          <w:ilvl w:val="0"/>
          <w:numId w:val="23"/>
        </w:numPr>
        <w:spacing w:after="240"/>
      </w:pPr>
      <w:r w:rsidRPr="00876F56">
        <w:t>Paper Filers: Parties who choose to file by paper must file an original and one copy of each filing.</w:t>
      </w:r>
    </w:p>
    <w:p w:rsidR="00D62781" w:rsidRPr="00876F56" w:rsidP="00D62781" w14:paraId="75BF2605" w14:textId="77777777">
      <w:pPr>
        <w:pStyle w:val="ListParagraph"/>
        <w:numPr>
          <w:ilvl w:val="1"/>
          <w:numId w:val="23"/>
        </w:numPr>
        <w:spacing w:after="240"/>
      </w:pPr>
      <w:r w:rsidRPr="00876F56">
        <w:t xml:space="preserve">Filings can be sent by hand or messenger delivery, by commercial courier, or by the U.S. Postal Service mail. </w:t>
      </w:r>
      <w:r w:rsidRPr="00876F56">
        <w:rPr>
          <w:b/>
          <w:bCs/>
        </w:rPr>
        <w:t>All filings must be addressed to the Commission’s Secretary, Office of the Secretary, Federal Communications Commission.</w:t>
      </w:r>
      <w:r w:rsidRPr="00876F56">
        <w:t xml:space="preserve"> </w:t>
      </w:r>
    </w:p>
    <w:p w:rsidR="00D62781" w:rsidRPr="00876F56" w:rsidP="00D62781" w14:paraId="054C3E8B" w14:textId="66EB220D">
      <w:pPr>
        <w:pStyle w:val="ListParagraph"/>
        <w:numPr>
          <w:ilvl w:val="1"/>
          <w:numId w:val="23"/>
        </w:numPr>
        <w:spacing w:after="240"/>
      </w:pPr>
      <w:r w:rsidRPr="00876F56">
        <w:t xml:space="preserve">All hand-delivered or messenger-delivered paper filings for the Commission’s Secretary are accepted between 8:00 a.m. and 4:00 p.m. by the FCC’s mailing contractor at 9050 Junction Drive, Annapolis Junction, MD 20701. </w:t>
      </w:r>
      <w:r w:rsidRPr="00876F56" w:rsidR="00090BF4">
        <w:t xml:space="preserve"> </w:t>
      </w:r>
      <w:r w:rsidRPr="00876F56">
        <w:t xml:space="preserve">All hand deliveries must be held together with rubber bands or fasteners. </w:t>
      </w:r>
      <w:r w:rsidRPr="00876F56" w:rsidR="00090BF4">
        <w:t xml:space="preserve"> </w:t>
      </w:r>
      <w:r w:rsidRPr="00876F56">
        <w:t xml:space="preserve">Any envelopes and boxes must be disposed of </w:t>
      </w:r>
      <w:r w:rsidRPr="00876F56">
        <w:rPr>
          <w:u w:val="single"/>
        </w:rPr>
        <w:t>before</w:t>
      </w:r>
      <w:r w:rsidRPr="00876F56">
        <w:t xml:space="preserve"> entering the building. </w:t>
      </w:r>
    </w:p>
    <w:p w:rsidR="00EA6060" w:rsidRPr="00876F56" w:rsidP="00D62781" w14:paraId="1DD13946" w14:textId="77777777">
      <w:pPr>
        <w:pStyle w:val="ListParagraph"/>
        <w:numPr>
          <w:ilvl w:val="1"/>
          <w:numId w:val="23"/>
        </w:numPr>
        <w:spacing w:after="240"/>
      </w:pPr>
      <w:r w:rsidRPr="00876F56">
        <w:t xml:space="preserve">Commercial courier deliveries (any deliveries not by the U.S. Postal Service) must be sent to 9050 Junction Drive, Annapolis Junction, MD 20701. </w:t>
      </w:r>
    </w:p>
    <w:p w:rsidR="00E747DE" w:rsidRPr="00876F56" w:rsidP="00D62781" w14:paraId="640C85B3" w14:textId="77777777">
      <w:pPr>
        <w:pStyle w:val="ListParagraph"/>
        <w:numPr>
          <w:ilvl w:val="1"/>
          <w:numId w:val="23"/>
        </w:numPr>
        <w:spacing w:after="240"/>
      </w:pPr>
      <w:r w:rsidRPr="00876F56">
        <w:t xml:space="preserve">U.S. Postal Service First-Class Mail, Priority Mail, and Priority Mail Express must be sent to 45 L St. NE, Washington, DC 20554. </w:t>
      </w:r>
    </w:p>
    <w:p w:rsidR="007D6DE2" w:rsidRPr="00876F56" w:rsidP="00E747DE" w14:paraId="68028A09" w14:textId="77777777">
      <w:pPr>
        <w:pStyle w:val="ListParagraph"/>
        <w:numPr>
          <w:ilvl w:val="0"/>
          <w:numId w:val="23"/>
        </w:numPr>
        <w:spacing w:after="240"/>
      </w:pPr>
      <w:r w:rsidRPr="00876F56">
        <w:t>People with Disabilities: To request materials in accessible formats for people with disabilities (braille, large print, electronic files, audio format), send an e-mail to fcc504@fcc.gov or call the Consumer &amp; Governmental Affairs Bureau at 202-418-0530 (voice), 202-418-0432 (</w:t>
      </w:r>
      <w:r w:rsidRPr="00876F56">
        <w:t>tty</w:t>
      </w:r>
      <w:r w:rsidRPr="00876F56">
        <w:t xml:space="preserve">). </w:t>
      </w:r>
    </w:p>
    <w:p w:rsidR="00F142E9" w:rsidRPr="00876F56" w:rsidP="00570169" w14:paraId="56E51D6C" w14:textId="3D00E15B">
      <w:pPr>
        <w:spacing w:after="240"/>
        <w:ind w:firstLine="720"/>
        <w:rPr>
          <w:szCs w:val="22"/>
        </w:rPr>
      </w:pPr>
      <w:r w:rsidRPr="00876F56">
        <w:rPr>
          <w:szCs w:val="22"/>
        </w:rPr>
        <w:t xml:space="preserve">We set deadlines for filing comments and reply comments at 30 and 45 days, respectively, from the date of this Public Notice’s release. </w:t>
      </w:r>
      <w:r w:rsidRPr="00876F56" w:rsidR="00090BF4">
        <w:rPr>
          <w:szCs w:val="22"/>
        </w:rPr>
        <w:t xml:space="preserve"> </w:t>
      </w:r>
      <w:r w:rsidRPr="00876F56">
        <w:rPr>
          <w:szCs w:val="22"/>
        </w:rPr>
        <w:t xml:space="preserve">Accordingly, comments must be filed on or before </w:t>
      </w:r>
      <w:r w:rsidRPr="00876F56" w:rsidR="00A76846">
        <w:rPr>
          <w:szCs w:val="22"/>
        </w:rPr>
        <w:t xml:space="preserve">June </w:t>
      </w:r>
      <w:r w:rsidRPr="00876F56" w:rsidR="00FE27C0">
        <w:rPr>
          <w:szCs w:val="22"/>
        </w:rPr>
        <w:t>19</w:t>
      </w:r>
      <w:r w:rsidRPr="00876F56">
        <w:rPr>
          <w:szCs w:val="22"/>
        </w:rPr>
        <w:t xml:space="preserve">, 2026, and reply comments must be filed on or before </w:t>
      </w:r>
      <w:r w:rsidRPr="00876F56" w:rsidR="00A76846">
        <w:rPr>
          <w:szCs w:val="22"/>
        </w:rPr>
        <w:t xml:space="preserve">July </w:t>
      </w:r>
      <w:r w:rsidRPr="00876F56" w:rsidR="00FE27C0">
        <w:rPr>
          <w:szCs w:val="22"/>
        </w:rPr>
        <w:t>06</w:t>
      </w:r>
      <w:r w:rsidRPr="00876F56">
        <w:rPr>
          <w:szCs w:val="22"/>
        </w:rPr>
        <w:t>, 2026.</w:t>
      </w:r>
      <w:r>
        <w:rPr>
          <w:rStyle w:val="FootnoteReference"/>
          <w:szCs w:val="22"/>
        </w:rPr>
        <w:footnoteReference w:id="10"/>
      </w:r>
    </w:p>
    <w:p w:rsidR="00E80328" w:rsidRPr="00876F56" w:rsidP="00570169" w14:paraId="0220161A" w14:textId="4CF4BD1D">
      <w:pPr>
        <w:spacing w:after="240"/>
        <w:ind w:firstLine="720"/>
        <w:rPr>
          <w:szCs w:val="22"/>
        </w:rPr>
      </w:pPr>
      <w:r w:rsidRPr="00876F56">
        <w:rPr>
          <w:szCs w:val="22"/>
        </w:rPr>
        <w:t xml:space="preserve">For further information, please contact </w:t>
      </w:r>
      <w:r w:rsidRPr="00876F56" w:rsidR="00D530EB">
        <w:rPr>
          <w:szCs w:val="22"/>
        </w:rPr>
        <w:t>Katherine Nevitt</w:t>
      </w:r>
      <w:r w:rsidRPr="00876F56" w:rsidR="005F7E0F">
        <w:rPr>
          <w:szCs w:val="22"/>
        </w:rPr>
        <w:t>, Attorney Advisor, Office of Engineering and Technology</w:t>
      </w:r>
      <w:r w:rsidRPr="00876F56">
        <w:rPr>
          <w:szCs w:val="22"/>
        </w:rPr>
        <w:t xml:space="preserve">, by email at </w:t>
      </w:r>
      <w:hyperlink r:id="rId6" w:history="1">
        <w:r w:rsidRPr="00876F56" w:rsidR="00A76846">
          <w:rPr>
            <w:rStyle w:val="Hyperlink"/>
            <w:szCs w:val="22"/>
          </w:rPr>
          <w:t>katherine.nevitt@fcc.gov</w:t>
        </w:r>
      </w:hyperlink>
      <w:r w:rsidRPr="00876F56">
        <w:rPr>
          <w:szCs w:val="22"/>
        </w:rPr>
        <w:t xml:space="preserve"> or by phone at </w:t>
      </w:r>
      <w:r w:rsidRPr="00876F56" w:rsidR="005706CB">
        <w:rPr>
          <w:szCs w:val="22"/>
        </w:rPr>
        <w:t>(301) 362-3017</w:t>
      </w:r>
      <w:r w:rsidRPr="00876F56">
        <w:rPr>
          <w:szCs w:val="22"/>
        </w:rPr>
        <w:t>.</w:t>
      </w:r>
    </w:p>
    <w:p w:rsidR="00E80328" w:rsidRPr="00876F56" w:rsidP="00E80328" w14:paraId="23FC9294" w14:textId="77777777">
      <w:pPr>
        <w:jc w:val="center"/>
        <w:rPr>
          <w:b/>
          <w:bCs/>
          <w:szCs w:val="22"/>
        </w:rPr>
      </w:pPr>
      <w:r w:rsidRPr="00876F56">
        <w:rPr>
          <w:b/>
          <w:bCs/>
          <w:szCs w:val="22"/>
        </w:rPr>
        <w:t>- FCC -</w:t>
      </w:r>
    </w:p>
    <w:p w:rsidR="00E80328" w:rsidRPr="00876F56" w:rsidP="003851AC" w14:paraId="1E7F6172" w14:textId="33902026">
      <w:pPr>
        <w:spacing w:after="160" w:line="259" w:lineRule="auto"/>
        <w:rPr>
          <w:szCs w:val="22"/>
        </w:rPr>
      </w:pPr>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215EA" w14:paraId="188FB4F3" w14:textId="77777777">
      <w:r>
        <w:separator/>
      </w:r>
    </w:p>
  </w:endnote>
  <w:endnote w:type="continuationSeparator" w:id="1">
    <w:p w:rsidR="007215EA" w14:paraId="722A44B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3F1FF16B" w14:textId="77777777">
    <w:pPr>
      <w:pStyle w:val="Footer"/>
      <w:framePr w:wrap="around" w:vAnchor="text" w:hAnchor="margin" w:xAlign="center" w:y="1"/>
    </w:pPr>
    <w:r>
      <w:fldChar w:fldCharType="begin"/>
    </w:r>
    <w:r>
      <w:instrText xml:space="preserve">PAGE  </w:instrText>
    </w:r>
    <w:r>
      <w:fldChar w:fldCharType="separate"/>
    </w:r>
    <w:r>
      <w:fldChar w:fldCharType="end"/>
    </w:r>
  </w:p>
  <w:p w:rsidR="00C2657F" w14:paraId="477D710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3A8812C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4ADA53C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215EA" w14:paraId="6CCD6E17" w14:textId="77777777">
      <w:r>
        <w:separator/>
      </w:r>
    </w:p>
  </w:footnote>
  <w:footnote w:type="continuationSeparator" w:id="1">
    <w:p w:rsidR="007215EA" w14:paraId="06AC3430" w14:textId="77777777">
      <w:pPr>
        <w:rPr>
          <w:sz w:val="20"/>
        </w:rPr>
      </w:pPr>
      <w:r>
        <w:rPr>
          <w:sz w:val="20"/>
        </w:rPr>
        <w:t xml:space="preserve">(Continued from previous page)  </w:t>
      </w:r>
      <w:r>
        <w:rPr>
          <w:sz w:val="20"/>
        </w:rPr>
        <w:separator/>
      </w:r>
    </w:p>
  </w:footnote>
  <w:footnote w:type="continuationNotice" w:id="2">
    <w:p w:rsidR="007215EA" w14:paraId="118FA289" w14:textId="77777777">
      <w:pPr>
        <w:jc w:val="right"/>
        <w:rPr>
          <w:sz w:val="20"/>
        </w:rPr>
      </w:pPr>
      <w:r>
        <w:rPr>
          <w:sz w:val="20"/>
        </w:rPr>
        <w:t>(continued….)</w:t>
      </w:r>
    </w:p>
  </w:footnote>
  <w:footnote w:id="3">
    <w:p w:rsidR="009649EF" w:rsidP="003A1951" w14:paraId="6820ED5D" w14:textId="4E64A1B7">
      <w:pPr>
        <w:pStyle w:val="FootnoteText"/>
      </w:pPr>
      <w:r>
        <w:rPr>
          <w:rStyle w:val="FootnoteReference"/>
        </w:rPr>
        <w:footnoteRef/>
      </w:r>
      <w:r>
        <w:t xml:space="preserve"> </w:t>
      </w:r>
      <w:r w:rsidRPr="00127CE5">
        <w:rPr>
          <w:i/>
          <w:iCs/>
        </w:rPr>
        <w:t xml:space="preserve">Promoting the Integrity and Security of Telecommunications Certification Bodies, Measurement Facilities, and the Equipment Authorization Program. </w:t>
      </w:r>
      <w:r>
        <w:t>ET Docket 24-136. Second Report and Order, Order on Reconsideration, and Second Further Notice of Proposed Rulemaking</w:t>
      </w:r>
      <w:r w:rsidR="00FE27C0">
        <w:t>,</w:t>
      </w:r>
      <w:r>
        <w:t xml:space="preserve"> </w:t>
      </w:r>
      <w:r w:rsidR="00FE27C0">
        <w:t xml:space="preserve">FCC 26-28, </w:t>
      </w:r>
      <w:r w:rsidRPr="00FE27C0" w:rsidR="00FE27C0">
        <w:t>91 FR 27843</w:t>
      </w:r>
      <w:r w:rsidR="00FE27C0">
        <w:t xml:space="preserve"> (2026) </w:t>
      </w:r>
      <w:r w:rsidRPr="00FE27C0" w:rsidR="00FE27C0">
        <w:t>(</w:t>
      </w:r>
      <w:r w:rsidRPr="003A1951" w:rsidR="00FE27C0">
        <w:rPr>
          <w:i/>
          <w:iCs/>
        </w:rPr>
        <w:t>Second EA Integrity R&amp;O</w:t>
      </w:r>
      <w:r w:rsidRPr="00FE27C0" w:rsidR="00FE27C0">
        <w:t>)</w:t>
      </w:r>
      <w:r w:rsidR="00FE27C0">
        <w:t>.</w:t>
      </w:r>
    </w:p>
  </w:footnote>
  <w:footnote w:id="4">
    <w:p w:rsidR="00BF4814" w:rsidP="003A1951" w14:paraId="1AD781FF" w14:textId="3B547B2A">
      <w:pPr>
        <w:pStyle w:val="FootnoteText"/>
      </w:pPr>
      <w:r>
        <w:rPr>
          <w:rStyle w:val="FootnoteReference"/>
        </w:rPr>
        <w:footnoteRef/>
      </w:r>
      <w:r>
        <w:t xml:space="preserve"> </w:t>
      </w:r>
      <w:r w:rsidR="00845665">
        <w:t xml:space="preserve">47 CFR </w:t>
      </w:r>
      <w:r w:rsidRPr="00EF2DDD" w:rsidR="00845665">
        <w:t>§§</w:t>
      </w:r>
      <w:r w:rsidR="008D2444">
        <w:t xml:space="preserve"> </w:t>
      </w:r>
      <w:r w:rsidR="003B700A">
        <w:t>2.962(g)(1)</w:t>
      </w:r>
      <w:r w:rsidR="008A2742">
        <w:t>.</w:t>
      </w:r>
    </w:p>
  </w:footnote>
  <w:footnote w:id="5">
    <w:p w:rsidR="00DF3DB0" w:rsidP="003A1951" w14:paraId="6C82BB67" w14:textId="1029C5C4">
      <w:pPr>
        <w:pStyle w:val="FootnoteText"/>
      </w:pPr>
      <w:r>
        <w:rPr>
          <w:rStyle w:val="FootnoteReference"/>
        </w:rPr>
        <w:footnoteRef/>
      </w:r>
      <w:r>
        <w:t xml:space="preserve"> 47 CFR </w:t>
      </w:r>
      <w:r w:rsidRPr="00EF2DDD">
        <w:t>§§</w:t>
      </w:r>
      <w:r w:rsidR="00C60238">
        <w:t xml:space="preserve"> 2.962(i); 2.910 (incorporating by reference ISO/IEC 17065:2012(E)).</w:t>
      </w:r>
    </w:p>
  </w:footnote>
  <w:footnote w:id="6">
    <w:p w:rsidR="00601ED2" w:rsidP="003A1951" w14:paraId="79D8C273" w14:textId="313AB0EC">
      <w:pPr>
        <w:pStyle w:val="FootnoteText"/>
      </w:pPr>
      <w:r>
        <w:rPr>
          <w:rStyle w:val="FootnoteReference"/>
        </w:rPr>
        <w:footnoteRef/>
      </w:r>
      <w:r>
        <w:t xml:space="preserve"> </w:t>
      </w:r>
      <w:r w:rsidR="003A1951">
        <w:rPr>
          <w:i/>
          <w:iCs/>
        </w:rPr>
        <w:t>TCB P</w:t>
      </w:r>
      <w:r w:rsidRPr="009D02A4" w:rsidR="00942631">
        <w:rPr>
          <w:i/>
          <w:iCs/>
        </w:rPr>
        <w:t>ost-Market Surveillance Requirements</w:t>
      </w:r>
      <w:r w:rsidR="00942631">
        <w:t>, FCC OET KDB</w:t>
      </w:r>
      <w:r w:rsidR="003A1951">
        <w:t xml:space="preserve"> Publication</w:t>
      </w:r>
      <w:r w:rsidR="00942631">
        <w:t xml:space="preserve"> 61007</w:t>
      </w:r>
      <w:r w:rsidR="009D02A4">
        <w:t>7 (</w:t>
      </w:r>
      <w:r w:rsidR="001C2316">
        <w:t>Apr.</w:t>
      </w:r>
      <w:r w:rsidR="003A1951">
        <w:t xml:space="preserve"> 26,</w:t>
      </w:r>
      <w:r w:rsidR="009D02A4">
        <w:t xml:space="preserve"> 2022), </w:t>
      </w:r>
      <w:hyperlink r:id="rId1" w:history="1">
        <w:r w:rsidRPr="006E600C" w:rsidR="00FE27C0">
          <w:rPr>
            <w:rStyle w:val="Hyperlink"/>
          </w:rPr>
          <w:t>https://apps.fcc.gov/oetcf/kdb/forms/FTSSearchResultPage.cfm?switch=P&amp;id=20540</w:t>
        </w:r>
      </w:hyperlink>
      <w:r w:rsidR="00FE27C0">
        <w:t xml:space="preserve">. </w:t>
      </w:r>
    </w:p>
  </w:footnote>
  <w:footnote w:id="7">
    <w:p w:rsidR="00EB6EE2" w:rsidP="003A1951" w14:paraId="1708C9DA" w14:textId="786A2002">
      <w:pPr>
        <w:pStyle w:val="FootnoteText"/>
      </w:pPr>
      <w:r>
        <w:rPr>
          <w:rStyle w:val="FootnoteReference"/>
        </w:rPr>
        <w:footnoteRef/>
      </w:r>
      <w:r>
        <w:t xml:space="preserve"> </w:t>
      </w:r>
      <w:r w:rsidRPr="0075696D">
        <w:rPr>
          <w:i/>
          <w:iCs/>
        </w:rPr>
        <w:t>See</w:t>
      </w:r>
      <w:r>
        <w:t xml:space="preserve"> </w:t>
      </w:r>
      <w:r w:rsidR="0036671C">
        <w:t xml:space="preserve">47 USC </w:t>
      </w:r>
      <w:r w:rsidRPr="00EF2DDD" w:rsidR="0036671C">
        <w:t>§</w:t>
      </w:r>
      <w:r w:rsidR="0036671C">
        <w:t xml:space="preserve"> </w:t>
      </w:r>
      <w:r w:rsidR="00291A25">
        <w:t xml:space="preserve">1601(b), (c);  </w:t>
      </w:r>
      <w:r>
        <w:t xml:space="preserve">47 CFR </w:t>
      </w:r>
      <w:r w:rsidRPr="00EF2DDD">
        <w:t>§</w:t>
      </w:r>
      <w:r>
        <w:t xml:space="preserve"> 1.50000 </w:t>
      </w:r>
      <w:r w:rsidRPr="0075696D">
        <w:rPr>
          <w:i/>
          <w:iCs/>
        </w:rPr>
        <w:t>et seq</w:t>
      </w:r>
      <w:r>
        <w:t xml:space="preserve">. List of the Equipment and Services Covered by Section 2 of the Secure Networks Act, </w:t>
      </w:r>
      <w:hyperlink r:id="rId2" w:history="1">
        <w:r w:rsidRPr="006E600C" w:rsidR="00FE27C0">
          <w:rPr>
            <w:rStyle w:val="Hyperlink"/>
          </w:rPr>
          <w:t>https://www.fcc.gov/supplychain/coveredlist</w:t>
        </w:r>
      </w:hyperlink>
      <w:r w:rsidR="00FE27C0">
        <w:t>.</w:t>
      </w:r>
    </w:p>
  </w:footnote>
  <w:footnote w:id="8">
    <w:p w:rsidR="003A1951" w:rsidRPr="003A1951" w:rsidP="003A1951" w14:paraId="46AA62B5" w14:textId="09D75F5D">
      <w:pPr>
        <w:widowControl/>
        <w:autoSpaceDE w:val="0"/>
        <w:autoSpaceDN w:val="0"/>
        <w:adjustRightInd w:val="0"/>
        <w:spacing w:after="120"/>
        <w:rPr>
          <w:rFonts w:ascii="TimesNewRomanPSMT" w:hAnsi="TimesNewRomanPSMT" w:cs="TimesNewRomanPSMT"/>
          <w:snapToGrid/>
          <w:kern w:val="0"/>
          <w:sz w:val="20"/>
        </w:rPr>
      </w:pPr>
      <w:r>
        <w:rPr>
          <w:rStyle w:val="FootnoteReference"/>
        </w:rPr>
        <w:footnoteRef/>
      </w:r>
      <w:r>
        <w:t xml:space="preserve"> </w:t>
      </w:r>
      <w:r>
        <w:rPr>
          <w:rFonts w:ascii="TimesNewRomanPSMT" w:hAnsi="TimesNewRomanPSMT" w:cs="TimesNewRomanPSMT"/>
          <w:snapToGrid/>
          <w:kern w:val="0"/>
          <w:sz w:val="20"/>
        </w:rPr>
        <w:t>Secure and Trusted Communications Networks Act of 2019, Pub. L. No. 116-124, 133 Stat.158 (2020) (codified as amended at 47 U.S.C. §§ 1601–1609).</w:t>
      </w:r>
    </w:p>
  </w:footnote>
  <w:footnote w:id="9">
    <w:p w:rsidR="003A1951" w:rsidP="003A1951" w14:paraId="4FE86542" w14:textId="5A9A7A39">
      <w:pPr>
        <w:pStyle w:val="FootnoteText"/>
      </w:pPr>
      <w:r>
        <w:rPr>
          <w:rStyle w:val="FootnoteReference"/>
        </w:rPr>
        <w:footnoteRef/>
      </w:r>
      <w:r>
        <w:t xml:space="preserve"> </w:t>
      </w:r>
      <w:r w:rsidRPr="003A1951">
        <w:rPr>
          <w:i/>
          <w:iCs/>
        </w:rPr>
        <w:t>Second EA Integrity R&amp;O</w:t>
      </w:r>
      <w:r>
        <w:t xml:space="preserve"> at ¶ 6.</w:t>
      </w:r>
    </w:p>
  </w:footnote>
  <w:footnote w:id="10">
    <w:p w:rsidR="00FE27C0" w14:paraId="65D2352D" w14:textId="07275E8C">
      <w:pPr>
        <w:pStyle w:val="FootnoteText"/>
      </w:pPr>
      <w:r>
        <w:rPr>
          <w:rStyle w:val="FootnoteReference"/>
        </w:rPr>
        <w:footnoteRef/>
      </w:r>
      <w:r>
        <w:t xml:space="preserve"> </w:t>
      </w:r>
      <w:r>
        <w:rPr>
          <w:i/>
          <w:iCs/>
        </w:rPr>
        <w:t>See</w:t>
      </w:r>
      <w:r>
        <w:t xml:space="preserve"> </w:t>
      </w:r>
      <w:r w:rsidRPr="0095603D">
        <w:t>47 CFR §</w:t>
      </w:r>
      <w:r>
        <w:t xml:space="preserve"> 1.4(j).</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52393F52" w14:textId="61C92C36">
    <w:pPr>
      <w:tabs>
        <w:tab w:val="center" w:pos="4680"/>
        <w:tab w:val="right" w:pos="9360"/>
      </w:tabs>
    </w:pPr>
    <w:r>
      <w:rPr>
        <w:b/>
      </w:rPr>
      <w:tab/>
      <w:t>Federal Communications Commission</w:t>
    </w:r>
    <w:r>
      <w:rPr>
        <w:b/>
      </w:rPr>
      <w:tab/>
    </w:r>
    <w:r w:rsidR="00E80328">
      <w:rPr>
        <w:b/>
      </w:rPr>
      <w:t>DA</w:t>
    </w:r>
    <w:r w:rsidR="00876F56">
      <w:rPr>
        <w:b/>
      </w:rPr>
      <w:t xml:space="preserve"> 26-505</w:t>
    </w:r>
    <w:r w:rsidR="00E80328">
      <w:rPr>
        <w:b/>
      </w:rPr>
      <w:t xml:space="preserve"> </w:t>
    </w:r>
  </w:p>
  <w:p w:rsidR="00C2657F" w14:paraId="793F128A" w14:textId="018C99F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C2657F" w14:paraId="03B7429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2657F" w14:paraId="4EBDE0ED" w14:textId="23C9CBA2">
    <w:pPr>
      <w:pStyle w:val="Header"/>
    </w:pPr>
    <w:r>
      <w:rPr>
        <w:noProof/>
        <w:snapToGrid/>
      </w:rPr>
      <w:drawing>
        <wp:inline distT="0" distB="0" distL="0" distR="0">
          <wp:extent cx="59436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0F24CE8"/>
    <w:multiLevelType w:val="hybridMultilevel"/>
    <w:tmpl w:val="4946987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6791A52"/>
    <w:multiLevelType w:val="hybridMultilevel"/>
    <w:tmpl w:val="D5ACC23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BEB1AF9"/>
    <w:multiLevelType w:val="hybridMultilevel"/>
    <w:tmpl w:val="179E7776"/>
    <w:lvl w:ilvl="0">
      <w:start w:val="2"/>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9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3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0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7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5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2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nsid w:val="2D3512E5"/>
    <w:multiLevelType w:val="hybridMultilevel"/>
    <w:tmpl w:val="3D1A67AE"/>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nsid w:val="381A0D28"/>
    <w:multiLevelType w:val="hybridMultilevel"/>
    <w:tmpl w:val="D22A44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399968F6"/>
    <w:multiLevelType w:val="hybridMultilevel"/>
    <w:tmpl w:val="D494ED4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4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0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2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6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8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nsid w:val="3CD73906"/>
    <w:multiLevelType w:val="hybridMultilevel"/>
    <w:tmpl w:val="7E5610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40B76927"/>
    <w:multiLevelType w:val="hybridMultilevel"/>
    <w:tmpl w:val="93B4C586"/>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nsid w:val="484D7345"/>
    <w:multiLevelType w:val="hybridMultilevel"/>
    <w:tmpl w:val="DEAA9F00"/>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nsid w:val="4C411E20"/>
    <w:multiLevelType w:val="hybridMultilevel"/>
    <w:tmpl w:val="C5E809A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4C785410"/>
    <w:multiLevelType w:val="hybridMultilevel"/>
    <w:tmpl w:val="79702A40"/>
    <w:lvl w:ilvl="0">
      <w:start w:val="2"/>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1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9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3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0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7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5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2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6">
    <w:nsid w:val="4E9853E1"/>
    <w:multiLevelType w:val="multilevel"/>
    <w:tmpl w:val="3118BA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54183330"/>
    <w:multiLevelType w:val="hybridMultilevel"/>
    <w:tmpl w:val="EDE045F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5DA42048"/>
    <w:multiLevelType w:val="hybridMultilevel"/>
    <w:tmpl w:val="500651C4"/>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9">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20">
    <w:nsid w:val="67C95E03"/>
    <w:multiLevelType w:val="hybridMultilevel"/>
    <w:tmpl w:val="C9CADD5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1">
    <w:nsid w:val="6DBE5C14"/>
    <w:multiLevelType w:val="hybridMultilevel"/>
    <w:tmpl w:val="8A94DC6A"/>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2">
    <w:nsid w:val="775708F2"/>
    <w:multiLevelType w:val="hybridMultilevel"/>
    <w:tmpl w:val="B8122BA2"/>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nsid w:val="7AC94860"/>
    <w:multiLevelType w:val="hybridMultilevel"/>
    <w:tmpl w:val="98242812"/>
    <w:lvl w:ilvl="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075010648">
    <w:abstractNumId w:val="17"/>
  </w:num>
  <w:num w:numId="2" w16cid:durableId="1296833756">
    <w:abstractNumId w:val="2"/>
  </w:num>
  <w:num w:numId="3" w16cid:durableId="66466608">
    <w:abstractNumId w:val="19"/>
  </w:num>
  <w:num w:numId="4" w16cid:durableId="1277325927">
    <w:abstractNumId w:val="5"/>
  </w:num>
  <w:num w:numId="5" w16cid:durableId="1295066226">
    <w:abstractNumId w:val="15"/>
  </w:num>
  <w:num w:numId="6" w16cid:durableId="255794994">
    <w:abstractNumId w:val="3"/>
  </w:num>
  <w:num w:numId="7" w16cid:durableId="1546139974">
    <w:abstractNumId w:val="0"/>
  </w:num>
  <w:num w:numId="8" w16cid:durableId="1532111168">
    <w:abstractNumId w:val="7"/>
  </w:num>
  <w:num w:numId="9" w16cid:durableId="1315136925">
    <w:abstractNumId w:val="1"/>
  </w:num>
  <w:num w:numId="10" w16cid:durableId="1080978349">
    <w:abstractNumId w:val="14"/>
  </w:num>
  <w:num w:numId="11" w16cid:durableId="1475442194">
    <w:abstractNumId w:val="11"/>
  </w:num>
  <w:num w:numId="12" w16cid:durableId="787311371">
    <w:abstractNumId w:val="6"/>
  </w:num>
  <w:num w:numId="13" w16cid:durableId="863247980">
    <w:abstractNumId w:val="21"/>
  </w:num>
  <w:num w:numId="14" w16cid:durableId="1652900934">
    <w:abstractNumId w:val="22"/>
  </w:num>
  <w:num w:numId="15" w16cid:durableId="1422220096">
    <w:abstractNumId w:val="9"/>
  </w:num>
  <w:num w:numId="16" w16cid:durableId="1658338606">
    <w:abstractNumId w:val="23"/>
  </w:num>
  <w:num w:numId="17" w16cid:durableId="1807507279">
    <w:abstractNumId w:val="12"/>
  </w:num>
  <w:num w:numId="18" w16cid:durableId="272130334">
    <w:abstractNumId w:val="18"/>
  </w:num>
  <w:num w:numId="19" w16cid:durableId="350836447">
    <w:abstractNumId w:val="10"/>
  </w:num>
  <w:num w:numId="20" w16cid:durableId="448092115">
    <w:abstractNumId w:val="13"/>
  </w:num>
  <w:num w:numId="21" w16cid:durableId="1646467910">
    <w:abstractNumId w:val="8"/>
  </w:num>
  <w:num w:numId="22" w16cid:durableId="774908594">
    <w:abstractNumId w:val="4"/>
  </w:num>
  <w:num w:numId="23" w16cid:durableId="2010911296">
    <w:abstractNumId w:val="20"/>
  </w:num>
  <w:num w:numId="24" w16cid:durableId="59822108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0328"/>
    <w:rsid w:val="000036CD"/>
    <w:rsid w:val="000109D6"/>
    <w:rsid w:val="00020F42"/>
    <w:rsid w:val="00025C8E"/>
    <w:rsid w:val="00026D45"/>
    <w:rsid w:val="00031335"/>
    <w:rsid w:val="0003491D"/>
    <w:rsid w:val="00036FFD"/>
    <w:rsid w:val="00041033"/>
    <w:rsid w:val="00042105"/>
    <w:rsid w:val="00042ED7"/>
    <w:rsid w:val="00044913"/>
    <w:rsid w:val="00045BB9"/>
    <w:rsid w:val="00045DC4"/>
    <w:rsid w:val="000512E1"/>
    <w:rsid w:val="0005394B"/>
    <w:rsid w:val="000541D4"/>
    <w:rsid w:val="0006102B"/>
    <w:rsid w:val="00061533"/>
    <w:rsid w:val="00062AF9"/>
    <w:rsid w:val="00063620"/>
    <w:rsid w:val="00063ABE"/>
    <w:rsid w:val="00080D3A"/>
    <w:rsid w:val="00082C9E"/>
    <w:rsid w:val="00083D90"/>
    <w:rsid w:val="00084713"/>
    <w:rsid w:val="00090BF4"/>
    <w:rsid w:val="000A4F6E"/>
    <w:rsid w:val="000A7D4F"/>
    <w:rsid w:val="000B1ABE"/>
    <w:rsid w:val="000B23EF"/>
    <w:rsid w:val="000B490E"/>
    <w:rsid w:val="000B4BDF"/>
    <w:rsid w:val="000C1DF0"/>
    <w:rsid w:val="000C5276"/>
    <w:rsid w:val="000C6387"/>
    <w:rsid w:val="000D7FF2"/>
    <w:rsid w:val="000E258E"/>
    <w:rsid w:val="000E61FC"/>
    <w:rsid w:val="000E727C"/>
    <w:rsid w:val="000E7509"/>
    <w:rsid w:val="000F0594"/>
    <w:rsid w:val="000F2976"/>
    <w:rsid w:val="0010046F"/>
    <w:rsid w:val="0010203B"/>
    <w:rsid w:val="00102D8A"/>
    <w:rsid w:val="00106407"/>
    <w:rsid w:val="001069EB"/>
    <w:rsid w:val="00107DA1"/>
    <w:rsid w:val="00107E08"/>
    <w:rsid w:val="00115CE4"/>
    <w:rsid w:val="0011773D"/>
    <w:rsid w:val="00122CE6"/>
    <w:rsid w:val="00124184"/>
    <w:rsid w:val="001242E7"/>
    <w:rsid w:val="00127CE5"/>
    <w:rsid w:val="00130443"/>
    <w:rsid w:val="001317C4"/>
    <w:rsid w:val="00133D2D"/>
    <w:rsid w:val="00134C58"/>
    <w:rsid w:val="00134D6B"/>
    <w:rsid w:val="00154028"/>
    <w:rsid w:val="0015453C"/>
    <w:rsid w:val="00155E09"/>
    <w:rsid w:val="0015668F"/>
    <w:rsid w:val="001648F2"/>
    <w:rsid w:val="00166A00"/>
    <w:rsid w:val="00166D19"/>
    <w:rsid w:val="0016706E"/>
    <w:rsid w:val="00176AA6"/>
    <w:rsid w:val="001838E5"/>
    <w:rsid w:val="00187143"/>
    <w:rsid w:val="001901A9"/>
    <w:rsid w:val="0019248B"/>
    <w:rsid w:val="001A44A0"/>
    <w:rsid w:val="001A4EE7"/>
    <w:rsid w:val="001B2335"/>
    <w:rsid w:val="001B5E69"/>
    <w:rsid w:val="001B6D0A"/>
    <w:rsid w:val="001C08A6"/>
    <w:rsid w:val="001C0BCE"/>
    <w:rsid w:val="001C2316"/>
    <w:rsid w:val="001C4A52"/>
    <w:rsid w:val="001C5A2D"/>
    <w:rsid w:val="001D2D04"/>
    <w:rsid w:val="001D3CD6"/>
    <w:rsid w:val="001D470F"/>
    <w:rsid w:val="001D5259"/>
    <w:rsid w:val="001D7720"/>
    <w:rsid w:val="001E0B5B"/>
    <w:rsid w:val="001E17E7"/>
    <w:rsid w:val="001E4C01"/>
    <w:rsid w:val="001E6BDA"/>
    <w:rsid w:val="001F5A46"/>
    <w:rsid w:val="001F747F"/>
    <w:rsid w:val="002040D5"/>
    <w:rsid w:val="002047B2"/>
    <w:rsid w:val="00220059"/>
    <w:rsid w:val="00220A97"/>
    <w:rsid w:val="002217F3"/>
    <w:rsid w:val="002236B1"/>
    <w:rsid w:val="0022590F"/>
    <w:rsid w:val="0022693B"/>
    <w:rsid w:val="00227AAE"/>
    <w:rsid w:val="00233DA6"/>
    <w:rsid w:val="002472DF"/>
    <w:rsid w:val="002563B1"/>
    <w:rsid w:val="00256505"/>
    <w:rsid w:val="00264F59"/>
    <w:rsid w:val="00266B1C"/>
    <w:rsid w:val="00270AA2"/>
    <w:rsid w:val="00270C02"/>
    <w:rsid w:val="00272DAE"/>
    <w:rsid w:val="00275E92"/>
    <w:rsid w:val="002772ED"/>
    <w:rsid w:val="00277F43"/>
    <w:rsid w:val="0028244E"/>
    <w:rsid w:val="00282579"/>
    <w:rsid w:val="002832A0"/>
    <w:rsid w:val="00284D3E"/>
    <w:rsid w:val="00291A25"/>
    <w:rsid w:val="002924E4"/>
    <w:rsid w:val="002A1FB8"/>
    <w:rsid w:val="002A2121"/>
    <w:rsid w:val="002A31D3"/>
    <w:rsid w:val="002B1FDC"/>
    <w:rsid w:val="002B30E3"/>
    <w:rsid w:val="002D511C"/>
    <w:rsid w:val="002E1722"/>
    <w:rsid w:val="002E19DF"/>
    <w:rsid w:val="002E6388"/>
    <w:rsid w:val="002E7BF2"/>
    <w:rsid w:val="002E7CB7"/>
    <w:rsid w:val="002F08D6"/>
    <w:rsid w:val="0030514A"/>
    <w:rsid w:val="0031115C"/>
    <w:rsid w:val="0032374E"/>
    <w:rsid w:val="00326C50"/>
    <w:rsid w:val="0033287E"/>
    <w:rsid w:val="0033616A"/>
    <w:rsid w:val="00337E6A"/>
    <w:rsid w:val="00340C84"/>
    <w:rsid w:val="0035058F"/>
    <w:rsid w:val="003552CC"/>
    <w:rsid w:val="0036277B"/>
    <w:rsid w:val="0036671C"/>
    <w:rsid w:val="00373CEA"/>
    <w:rsid w:val="00375CCC"/>
    <w:rsid w:val="0038031F"/>
    <w:rsid w:val="003805B8"/>
    <w:rsid w:val="00382C2B"/>
    <w:rsid w:val="00383FDB"/>
    <w:rsid w:val="003851AC"/>
    <w:rsid w:val="0038799E"/>
    <w:rsid w:val="003970FD"/>
    <w:rsid w:val="00397541"/>
    <w:rsid w:val="003A1951"/>
    <w:rsid w:val="003A34DC"/>
    <w:rsid w:val="003A5525"/>
    <w:rsid w:val="003A5A41"/>
    <w:rsid w:val="003B37A6"/>
    <w:rsid w:val="003B700A"/>
    <w:rsid w:val="003C0C3F"/>
    <w:rsid w:val="003C1CC2"/>
    <w:rsid w:val="003C6418"/>
    <w:rsid w:val="003D1CCF"/>
    <w:rsid w:val="003D6586"/>
    <w:rsid w:val="003D6774"/>
    <w:rsid w:val="003E5D01"/>
    <w:rsid w:val="003E7C40"/>
    <w:rsid w:val="003F2B45"/>
    <w:rsid w:val="003F34DE"/>
    <w:rsid w:val="003F43D9"/>
    <w:rsid w:val="003F638D"/>
    <w:rsid w:val="003F7A73"/>
    <w:rsid w:val="0040037F"/>
    <w:rsid w:val="004106AC"/>
    <w:rsid w:val="00410E0C"/>
    <w:rsid w:val="00410E96"/>
    <w:rsid w:val="004118FF"/>
    <w:rsid w:val="004164B1"/>
    <w:rsid w:val="00421F9E"/>
    <w:rsid w:val="00426185"/>
    <w:rsid w:val="00432F07"/>
    <w:rsid w:val="00441031"/>
    <w:rsid w:val="00441C81"/>
    <w:rsid w:val="00444731"/>
    <w:rsid w:val="00444A50"/>
    <w:rsid w:val="00447095"/>
    <w:rsid w:val="00450184"/>
    <w:rsid w:val="00453F3A"/>
    <w:rsid w:val="0045560D"/>
    <w:rsid w:val="00461FA2"/>
    <w:rsid w:val="00462B9B"/>
    <w:rsid w:val="0046755D"/>
    <w:rsid w:val="004712EA"/>
    <w:rsid w:val="00480186"/>
    <w:rsid w:val="00480D97"/>
    <w:rsid w:val="00482A4D"/>
    <w:rsid w:val="0049145E"/>
    <w:rsid w:val="0049264C"/>
    <w:rsid w:val="004A24C4"/>
    <w:rsid w:val="004A4BB3"/>
    <w:rsid w:val="004A7FAF"/>
    <w:rsid w:val="004B2556"/>
    <w:rsid w:val="004B6919"/>
    <w:rsid w:val="004C0FB2"/>
    <w:rsid w:val="004C2C4A"/>
    <w:rsid w:val="004C5B40"/>
    <w:rsid w:val="004D3DCD"/>
    <w:rsid w:val="004D4733"/>
    <w:rsid w:val="004E1BD6"/>
    <w:rsid w:val="004F3581"/>
    <w:rsid w:val="004F7161"/>
    <w:rsid w:val="005010FA"/>
    <w:rsid w:val="00503D75"/>
    <w:rsid w:val="00504EF0"/>
    <w:rsid w:val="00505F61"/>
    <w:rsid w:val="005065E3"/>
    <w:rsid w:val="0050695E"/>
    <w:rsid w:val="00510C40"/>
    <w:rsid w:val="0051114E"/>
    <w:rsid w:val="005154B6"/>
    <w:rsid w:val="00520DB1"/>
    <w:rsid w:val="00522772"/>
    <w:rsid w:val="00522D06"/>
    <w:rsid w:val="00523726"/>
    <w:rsid w:val="00523D2A"/>
    <w:rsid w:val="00526650"/>
    <w:rsid w:val="00527679"/>
    <w:rsid w:val="00530577"/>
    <w:rsid w:val="0053417A"/>
    <w:rsid w:val="005347F2"/>
    <w:rsid w:val="005415D4"/>
    <w:rsid w:val="00542328"/>
    <w:rsid w:val="00542714"/>
    <w:rsid w:val="00544771"/>
    <w:rsid w:val="0055356C"/>
    <w:rsid w:val="005548B7"/>
    <w:rsid w:val="00556FFB"/>
    <w:rsid w:val="0056025A"/>
    <w:rsid w:val="00567225"/>
    <w:rsid w:val="00570169"/>
    <w:rsid w:val="005706CB"/>
    <w:rsid w:val="00580BE5"/>
    <w:rsid w:val="00582B8C"/>
    <w:rsid w:val="00582E91"/>
    <w:rsid w:val="00585FE2"/>
    <w:rsid w:val="00594BE3"/>
    <w:rsid w:val="005A0DD1"/>
    <w:rsid w:val="005A6102"/>
    <w:rsid w:val="005B1D31"/>
    <w:rsid w:val="005B1FED"/>
    <w:rsid w:val="005B496D"/>
    <w:rsid w:val="005B6DC9"/>
    <w:rsid w:val="005C6AF5"/>
    <w:rsid w:val="005D465C"/>
    <w:rsid w:val="005D4B54"/>
    <w:rsid w:val="005E0416"/>
    <w:rsid w:val="005E0F0B"/>
    <w:rsid w:val="005F58F1"/>
    <w:rsid w:val="005F6EF5"/>
    <w:rsid w:val="005F78EA"/>
    <w:rsid w:val="005F7E0F"/>
    <w:rsid w:val="00600C2B"/>
    <w:rsid w:val="00601ED2"/>
    <w:rsid w:val="00605A5E"/>
    <w:rsid w:val="00606287"/>
    <w:rsid w:val="00613853"/>
    <w:rsid w:val="0061458C"/>
    <w:rsid w:val="00620FA3"/>
    <w:rsid w:val="006243ED"/>
    <w:rsid w:val="00626C72"/>
    <w:rsid w:val="006307FF"/>
    <w:rsid w:val="00630EA5"/>
    <w:rsid w:val="00630F29"/>
    <w:rsid w:val="006350F8"/>
    <w:rsid w:val="00644C43"/>
    <w:rsid w:val="00650AEC"/>
    <w:rsid w:val="00650FF2"/>
    <w:rsid w:val="006520D5"/>
    <w:rsid w:val="00660EA0"/>
    <w:rsid w:val="006628D9"/>
    <w:rsid w:val="00664331"/>
    <w:rsid w:val="00665DBC"/>
    <w:rsid w:val="0068031F"/>
    <w:rsid w:val="00682967"/>
    <w:rsid w:val="00682CDD"/>
    <w:rsid w:val="00686082"/>
    <w:rsid w:val="00690320"/>
    <w:rsid w:val="00693228"/>
    <w:rsid w:val="00695A4E"/>
    <w:rsid w:val="006A0381"/>
    <w:rsid w:val="006A0E6C"/>
    <w:rsid w:val="006A1FC9"/>
    <w:rsid w:val="006A28D3"/>
    <w:rsid w:val="006A29FC"/>
    <w:rsid w:val="006A6785"/>
    <w:rsid w:val="006B54C8"/>
    <w:rsid w:val="006C488D"/>
    <w:rsid w:val="006C4C49"/>
    <w:rsid w:val="006D7E3C"/>
    <w:rsid w:val="006E0D64"/>
    <w:rsid w:val="006E179A"/>
    <w:rsid w:val="006E600C"/>
    <w:rsid w:val="00701FEF"/>
    <w:rsid w:val="00702A01"/>
    <w:rsid w:val="00704113"/>
    <w:rsid w:val="007215EA"/>
    <w:rsid w:val="00721F81"/>
    <w:rsid w:val="00724B0C"/>
    <w:rsid w:val="00724B44"/>
    <w:rsid w:val="0072602F"/>
    <w:rsid w:val="0073171B"/>
    <w:rsid w:val="00731D5E"/>
    <w:rsid w:val="00737F5D"/>
    <w:rsid w:val="0074051D"/>
    <w:rsid w:val="007415FB"/>
    <w:rsid w:val="007424B3"/>
    <w:rsid w:val="00746E44"/>
    <w:rsid w:val="00752F72"/>
    <w:rsid w:val="00753754"/>
    <w:rsid w:val="0075696D"/>
    <w:rsid w:val="00760758"/>
    <w:rsid w:val="0076329C"/>
    <w:rsid w:val="007641A3"/>
    <w:rsid w:val="007644BB"/>
    <w:rsid w:val="00771B77"/>
    <w:rsid w:val="007720CE"/>
    <w:rsid w:val="0077277F"/>
    <w:rsid w:val="00774D25"/>
    <w:rsid w:val="00775382"/>
    <w:rsid w:val="007777EF"/>
    <w:rsid w:val="00780445"/>
    <w:rsid w:val="00781F04"/>
    <w:rsid w:val="00795BBE"/>
    <w:rsid w:val="007A6DB7"/>
    <w:rsid w:val="007C333C"/>
    <w:rsid w:val="007D3FF5"/>
    <w:rsid w:val="007D543F"/>
    <w:rsid w:val="007D6DE2"/>
    <w:rsid w:val="007E2EB2"/>
    <w:rsid w:val="007F24E2"/>
    <w:rsid w:val="007F556B"/>
    <w:rsid w:val="007F57EB"/>
    <w:rsid w:val="00800800"/>
    <w:rsid w:val="00803137"/>
    <w:rsid w:val="0080465D"/>
    <w:rsid w:val="0081331F"/>
    <w:rsid w:val="0081376D"/>
    <w:rsid w:val="008159FF"/>
    <w:rsid w:val="00816D14"/>
    <w:rsid w:val="008215FE"/>
    <w:rsid w:val="00822AD7"/>
    <w:rsid w:val="008275C6"/>
    <w:rsid w:val="008356D5"/>
    <w:rsid w:val="00842606"/>
    <w:rsid w:val="0084563F"/>
    <w:rsid w:val="00845665"/>
    <w:rsid w:val="00847366"/>
    <w:rsid w:val="008527F5"/>
    <w:rsid w:val="00853341"/>
    <w:rsid w:val="008552DF"/>
    <w:rsid w:val="00856EFC"/>
    <w:rsid w:val="008624DA"/>
    <w:rsid w:val="0086424D"/>
    <w:rsid w:val="00870528"/>
    <w:rsid w:val="0087230C"/>
    <w:rsid w:val="00875D21"/>
    <w:rsid w:val="00876F56"/>
    <w:rsid w:val="008839F0"/>
    <w:rsid w:val="0088508B"/>
    <w:rsid w:val="0089415A"/>
    <w:rsid w:val="008972BD"/>
    <w:rsid w:val="008A20E9"/>
    <w:rsid w:val="008A2742"/>
    <w:rsid w:val="008B467D"/>
    <w:rsid w:val="008B4F0F"/>
    <w:rsid w:val="008B5CD4"/>
    <w:rsid w:val="008B7FAE"/>
    <w:rsid w:val="008C362E"/>
    <w:rsid w:val="008C37B9"/>
    <w:rsid w:val="008C70E7"/>
    <w:rsid w:val="008C7CF8"/>
    <w:rsid w:val="008D0C82"/>
    <w:rsid w:val="008D2444"/>
    <w:rsid w:val="008D6BBA"/>
    <w:rsid w:val="008E25EC"/>
    <w:rsid w:val="008F1201"/>
    <w:rsid w:val="008F5875"/>
    <w:rsid w:val="00901102"/>
    <w:rsid w:val="00913DC4"/>
    <w:rsid w:val="00915998"/>
    <w:rsid w:val="009237A4"/>
    <w:rsid w:val="00935ACB"/>
    <w:rsid w:val="00936C2C"/>
    <w:rsid w:val="00942631"/>
    <w:rsid w:val="009451E1"/>
    <w:rsid w:val="00947682"/>
    <w:rsid w:val="00950306"/>
    <w:rsid w:val="00951B4B"/>
    <w:rsid w:val="0095603D"/>
    <w:rsid w:val="0095716E"/>
    <w:rsid w:val="00960622"/>
    <w:rsid w:val="00961147"/>
    <w:rsid w:val="009640B8"/>
    <w:rsid w:val="009649EF"/>
    <w:rsid w:val="009719FF"/>
    <w:rsid w:val="00972528"/>
    <w:rsid w:val="00977E9B"/>
    <w:rsid w:val="009837B5"/>
    <w:rsid w:val="00983A86"/>
    <w:rsid w:val="00986AE7"/>
    <w:rsid w:val="009939D6"/>
    <w:rsid w:val="00993D43"/>
    <w:rsid w:val="00994C63"/>
    <w:rsid w:val="009A4391"/>
    <w:rsid w:val="009B04D8"/>
    <w:rsid w:val="009B06C0"/>
    <w:rsid w:val="009B155C"/>
    <w:rsid w:val="009B40BF"/>
    <w:rsid w:val="009B5745"/>
    <w:rsid w:val="009B6CE4"/>
    <w:rsid w:val="009B77C6"/>
    <w:rsid w:val="009C2268"/>
    <w:rsid w:val="009C4251"/>
    <w:rsid w:val="009C6275"/>
    <w:rsid w:val="009C6B2C"/>
    <w:rsid w:val="009C7CC3"/>
    <w:rsid w:val="009D02A4"/>
    <w:rsid w:val="009D6D68"/>
    <w:rsid w:val="009E642A"/>
    <w:rsid w:val="009F3277"/>
    <w:rsid w:val="00A06429"/>
    <w:rsid w:val="00A11317"/>
    <w:rsid w:val="00A12E86"/>
    <w:rsid w:val="00A149D0"/>
    <w:rsid w:val="00A1695A"/>
    <w:rsid w:val="00A25B5F"/>
    <w:rsid w:val="00A32A17"/>
    <w:rsid w:val="00A33C6A"/>
    <w:rsid w:val="00A42319"/>
    <w:rsid w:val="00A63B04"/>
    <w:rsid w:val="00A63B47"/>
    <w:rsid w:val="00A714AD"/>
    <w:rsid w:val="00A71770"/>
    <w:rsid w:val="00A7223A"/>
    <w:rsid w:val="00A73832"/>
    <w:rsid w:val="00A76846"/>
    <w:rsid w:val="00A80112"/>
    <w:rsid w:val="00A8258C"/>
    <w:rsid w:val="00A853E1"/>
    <w:rsid w:val="00A94654"/>
    <w:rsid w:val="00AA1703"/>
    <w:rsid w:val="00AA1AFC"/>
    <w:rsid w:val="00AA23FB"/>
    <w:rsid w:val="00AA60C1"/>
    <w:rsid w:val="00AA668B"/>
    <w:rsid w:val="00AB12FC"/>
    <w:rsid w:val="00AB1857"/>
    <w:rsid w:val="00AB1D9B"/>
    <w:rsid w:val="00AB4600"/>
    <w:rsid w:val="00AB765A"/>
    <w:rsid w:val="00AC0510"/>
    <w:rsid w:val="00AC3C66"/>
    <w:rsid w:val="00AC5EB4"/>
    <w:rsid w:val="00AC61A8"/>
    <w:rsid w:val="00AC6B73"/>
    <w:rsid w:val="00AD3F93"/>
    <w:rsid w:val="00AE2FAD"/>
    <w:rsid w:val="00AE54AA"/>
    <w:rsid w:val="00AE5975"/>
    <w:rsid w:val="00AF4974"/>
    <w:rsid w:val="00AF6ADC"/>
    <w:rsid w:val="00AF7844"/>
    <w:rsid w:val="00B02B05"/>
    <w:rsid w:val="00B10EE0"/>
    <w:rsid w:val="00B1246D"/>
    <w:rsid w:val="00B17606"/>
    <w:rsid w:val="00B20D07"/>
    <w:rsid w:val="00B21796"/>
    <w:rsid w:val="00B22FC0"/>
    <w:rsid w:val="00B246DC"/>
    <w:rsid w:val="00B25688"/>
    <w:rsid w:val="00B256DB"/>
    <w:rsid w:val="00B25AD7"/>
    <w:rsid w:val="00B27530"/>
    <w:rsid w:val="00B30559"/>
    <w:rsid w:val="00B353F6"/>
    <w:rsid w:val="00B366EF"/>
    <w:rsid w:val="00B40E1A"/>
    <w:rsid w:val="00B434BF"/>
    <w:rsid w:val="00B47877"/>
    <w:rsid w:val="00B53EBE"/>
    <w:rsid w:val="00B5492F"/>
    <w:rsid w:val="00B571B1"/>
    <w:rsid w:val="00B60DC8"/>
    <w:rsid w:val="00B64175"/>
    <w:rsid w:val="00B666B6"/>
    <w:rsid w:val="00B74C14"/>
    <w:rsid w:val="00B757F0"/>
    <w:rsid w:val="00B8154B"/>
    <w:rsid w:val="00B83E27"/>
    <w:rsid w:val="00B868AB"/>
    <w:rsid w:val="00B90564"/>
    <w:rsid w:val="00B97A92"/>
    <w:rsid w:val="00BA00CE"/>
    <w:rsid w:val="00BA0FF9"/>
    <w:rsid w:val="00BA2CA1"/>
    <w:rsid w:val="00BA4BDD"/>
    <w:rsid w:val="00BB4178"/>
    <w:rsid w:val="00BB5673"/>
    <w:rsid w:val="00BB56CE"/>
    <w:rsid w:val="00BB5F22"/>
    <w:rsid w:val="00BC0483"/>
    <w:rsid w:val="00BC0A21"/>
    <w:rsid w:val="00BC291E"/>
    <w:rsid w:val="00BD0C87"/>
    <w:rsid w:val="00BF4814"/>
    <w:rsid w:val="00BF4BF7"/>
    <w:rsid w:val="00BF4D5E"/>
    <w:rsid w:val="00BF7229"/>
    <w:rsid w:val="00BF72D0"/>
    <w:rsid w:val="00C0087E"/>
    <w:rsid w:val="00C0203C"/>
    <w:rsid w:val="00C02199"/>
    <w:rsid w:val="00C16158"/>
    <w:rsid w:val="00C174AB"/>
    <w:rsid w:val="00C26231"/>
    <w:rsid w:val="00C2657F"/>
    <w:rsid w:val="00C307E9"/>
    <w:rsid w:val="00C308E1"/>
    <w:rsid w:val="00C31FB6"/>
    <w:rsid w:val="00C330FA"/>
    <w:rsid w:val="00C34CC6"/>
    <w:rsid w:val="00C41729"/>
    <w:rsid w:val="00C4591E"/>
    <w:rsid w:val="00C524B8"/>
    <w:rsid w:val="00C60238"/>
    <w:rsid w:val="00C61A39"/>
    <w:rsid w:val="00C62CF2"/>
    <w:rsid w:val="00C636A0"/>
    <w:rsid w:val="00C74BA4"/>
    <w:rsid w:val="00C75E82"/>
    <w:rsid w:val="00C7787E"/>
    <w:rsid w:val="00C84834"/>
    <w:rsid w:val="00C86798"/>
    <w:rsid w:val="00C96D86"/>
    <w:rsid w:val="00CA0BB4"/>
    <w:rsid w:val="00CA2E81"/>
    <w:rsid w:val="00CA38FF"/>
    <w:rsid w:val="00CA4164"/>
    <w:rsid w:val="00CA7206"/>
    <w:rsid w:val="00CB0806"/>
    <w:rsid w:val="00CB0EA6"/>
    <w:rsid w:val="00CB36AC"/>
    <w:rsid w:val="00CB7288"/>
    <w:rsid w:val="00CC5B6A"/>
    <w:rsid w:val="00CD3428"/>
    <w:rsid w:val="00CD3BF9"/>
    <w:rsid w:val="00CD5525"/>
    <w:rsid w:val="00CE3CEF"/>
    <w:rsid w:val="00CE4E19"/>
    <w:rsid w:val="00CE5114"/>
    <w:rsid w:val="00CF1BD8"/>
    <w:rsid w:val="00CF2B67"/>
    <w:rsid w:val="00CF453B"/>
    <w:rsid w:val="00D0124A"/>
    <w:rsid w:val="00D02DF8"/>
    <w:rsid w:val="00D04F5F"/>
    <w:rsid w:val="00D05B84"/>
    <w:rsid w:val="00D1159E"/>
    <w:rsid w:val="00D11ECE"/>
    <w:rsid w:val="00D12F36"/>
    <w:rsid w:val="00D13794"/>
    <w:rsid w:val="00D1393B"/>
    <w:rsid w:val="00D2048A"/>
    <w:rsid w:val="00D2336B"/>
    <w:rsid w:val="00D245B3"/>
    <w:rsid w:val="00D32BFB"/>
    <w:rsid w:val="00D331AE"/>
    <w:rsid w:val="00D43B1E"/>
    <w:rsid w:val="00D47718"/>
    <w:rsid w:val="00D521B8"/>
    <w:rsid w:val="00D530EB"/>
    <w:rsid w:val="00D530F5"/>
    <w:rsid w:val="00D533D5"/>
    <w:rsid w:val="00D54A87"/>
    <w:rsid w:val="00D56830"/>
    <w:rsid w:val="00D57C4E"/>
    <w:rsid w:val="00D60FE1"/>
    <w:rsid w:val="00D62781"/>
    <w:rsid w:val="00D63B9D"/>
    <w:rsid w:val="00D640A5"/>
    <w:rsid w:val="00D6506C"/>
    <w:rsid w:val="00D7172F"/>
    <w:rsid w:val="00D7195E"/>
    <w:rsid w:val="00D724A8"/>
    <w:rsid w:val="00D93B1B"/>
    <w:rsid w:val="00D964DF"/>
    <w:rsid w:val="00D96BD4"/>
    <w:rsid w:val="00D97C95"/>
    <w:rsid w:val="00DA2A9F"/>
    <w:rsid w:val="00DA4E9B"/>
    <w:rsid w:val="00DA7967"/>
    <w:rsid w:val="00DB148F"/>
    <w:rsid w:val="00DB1F8A"/>
    <w:rsid w:val="00DB3DC2"/>
    <w:rsid w:val="00DB4BDE"/>
    <w:rsid w:val="00DC11E4"/>
    <w:rsid w:val="00DC2F27"/>
    <w:rsid w:val="00DC3CF3"/>
    <w:rsid w:val="00DC631F"/>
    <w:rsid w:val="00DC68A9"/>
    <w:rsid w:val="00DD1BAB"/>
    <w:rsid w:val="00DD1DC9"/>
    <w:rsid w:val="00DD424D"/>
    <w:rsid w:val="00DD427A"/>
    <w:rsid w:val="00DD6691"/>
    <w:rsid w:val="00DE5F72"/>
    <w:rsid w:val="00DF1F26"/>
    <w:rsid w:val="00DF3DB0"/>
    <w:rsid w:val="00DF46E5"/>
    <w:rsid w:val="00E011A9"/>
    <w:rsid w:val="00E0356D"/>
    <w:rsid w:val="00E12755"/>
    <w:rsid w:val="00E22875"/>
    <w:rsid w:val="00E22CC4"/>
    <w:rsid w:val="00E26AAC"/>
    <w:rsid w:val="00E2715B"/>
    <w:rsid w:val="00E349C4"/>
    <w:rsid w:val="00E36CBC"/>
    <w:rsid w:val="00E37D76"/>
    <w:rsid w:val="00E40291"/>
    <w:rsid w:val="00E429D7"/>
    <w:rsid w:val="00E47C61"/>
    <w:rsid w:val="00E518E4"/>
    <w:rsid w:val="00E61885"/>
    <w:rsid w:val="00E67609"/>
    <w:rsid w:val="00E747DE"/>
    <w:rsid w:val="00E7526B"/>
    <w:rsid w:val="00E76F24"/>
    <w:rsid w:val="00E77212"/>
    <w:rsid w:val="00E777C2"/>
    <w:rsid w:val="00E80328"/>
    <w:rsid w:val="00E82AB8"/>
    <w:rsid w:val="00E85174"/>
    <w:rsid w:val="00E87C98"/>
    <w:rsid w:val="00E91A38"/>
    <w:rsid w:val="00E924F0"/>
    <w:rsid w:val="00E9453E"/>
    <w:rsid w:val="00E959A2"/>
    <w:rsid w:val="00E968E9"/>
    <w:rsid w:val="00E972C2"/>
    <w:rsid w:val="00EA171D"/>
    <w:rsid w:val="00EA6060"/>
    <w:rsid w:val="00EB0DCE"/>
    <w:rsid w:val="00EB1A11"/>
    <w:rsid w:val="00EB6EE2"/>
    <w:rsid w:val="00EB79D1"/>
    <w:rsid w:val="00EC24A4"/>
    <w:rsid w:val="00EC30CD"/>
    <w:rsid w:val="00EC39A5"/>
    <w:rsid w:val="00EC51E6"/>
    <w:rsid w:val="00EC5362"/>
    <w:rsid w:val="00ED28F4"/>
    <w:rsid w:val="00ED2B17"/>
    <w:rsid w:val="00ED4751"/>
    <w:rsid w:val="00EE6FA1"/>
    <w:rsid w:val="00EF1DC5"/>
    <w:rsid w:val="00EF2DDD"/>
    <w:rsid w:val="00EF3FE8"/>
    <w:rsid w:val="00EF6D69"/>
    <w:rsid w:val="00F04F07"/>
    <w:rsid w:val="00F12F9C"/>
    <w:rsid w:val="00F142E9"/>
    <w:rsid w:val="00F14FAF"/>
    <w:rsid w:val="00F15D2C"/>
    <w:rsid w:val="00F20471"/>
    <w:rsid w:val="00F32930"/>
    <w:rsid w:val="00F440F3"/>
    <w:rsid w:val="00F4492B"/>
    <w:rsid w:val="00F45034"/>
    <w:rsid w:val="00F56281"/>
    <w:rsid w:val="00F57A3B"/>
    <w:rsid w:val="00F614AB"/>
    <w:rsid w:val="00F64894"/>
    <w:rsid w:val="00F65377"/>
    <w:rsid w:val="00F712F3"/>
    <w:rsid w:val="00F72CA7"/>
    <w:rsid w:val="00F744B7"/>
    <w:rsid w:val="00F77C3B"/>
    <w:rsid w:val="00F85E68"/>
    <w:rsid w:val="00F86687"/>
    <w:rsid w:val="00F8694C"/>
    <w:rsid w:val="00F94031"/>
    <w:rsid w:val="00F94F35"/>
    <w:rsid w:val="00F95593"/>
    <w:rsid w:val="00F96D66"/>
    <w:rsid w:val="00FA3CFF"/>
    <w:rsid w:val="00FA676B"/>
    <w:rsid w:val="00FB7C89"/>
    <w:rsid w:val="00FC0597"/>
    <w:rsid w:val="00FC073E"/>
    <w:rsid w:val="00FC17C3"/>
    <w:rsid w:val="00FC30EC"/>
    <w:rsid w:val="00FC69F3"/>
    <w:rsid w:val="00FC6F86"/>
    <w:rsid w:val="00FD6E4A"/>
    <w:rsid w:val="00FE27C0"/>
    <w:rsid w:val="00FE6AA5"/>
    <w:rsid w:val="00FE7346"/>
    <w:rsid w:val="00FF0A5B"/>
    <w:rsid w:val="00FF326C"/>
    <w:rsid w:val="00FF3AEE"/>
    <w:rsid w:val="013FAB24"/>
    <w:rsid w:val="03B1CF26"/>
    <w:rsid w:val="04D3E2E4"/>
    <w:rsid w:val="05E314D2"/>
    <w:rsid w:val="068E809C"/>
    <w:rsid w:val="0836EE0A"/>
    <w:rsid w:val="0928A921"/>
    <w:rsid w:val="0B8C8AE5"/>
    <w:rsid w:val="0D09318F"/>
    <w:rsid w:val="0F448B5B"/>
    <w:rsid w:val="175411CF"/>
    <w:rsid w:val="17C4D2C6"/>
    <w:rsid w:val="1CE14EFF"/>
    <w:rsid w:val="1D4BDF02"/>
    <w:rsid w:val="1EA46648"/>
    <w:rsid w:val="205E35DF"/>
    <w:rsid w:val="241DE190"/>
    <w:rsid w:val="247D1995"/>
    <w:rsid w:val="28659EC3"/>
    <w:rsid w:val="28DB6C4E"/>
    <w:rsid w:val="2D7E3950"/>
    <w:rsid w:val="305B4796"/>
    <w:rsid w:val="3121758F"/>
    <w:rsid w:val="32B98D80"/>
    <w:rsid w:val="32DB9851"/>
    <w:rsid w:val="33AC54AA"/>
    <w:rsid w:val="3588B3BD"/>
    <w:rsid w:val="35AFA932"/>
    <w:rsid w:val="3A06A3A7"/>
    <w:rsid w:val="3AF257D1"/>
    <w:rsid w:val="3BB1CF62"/>
    <w:rsid w:val="3DEE1255"/>
    <w:rsid w:val="3F4D83BD"/>
    <w:rsid w:val="4050EDF0"/>
    <w:rsid w:val="42A58EE9"/>
    <w:rsid w:val="52136E92"/>
    <w:rsid w:val="5293C065"/>
    <w:rsid w:val="539B8E9E"/>
    <w:rsid w:val="55A42391"/>
    <w:rsid w:val="565A3918"/>
    <w:rsid w:val="56B6641C"/>
    <w:rsid w:val="56E9536C"/>
    <w:rsid w:val="5880CEC0"/>
    <w:rsid w:val="58BB59D5"/>
    <w:rsid w:val="5901DE78"/>
    <w:rsid w:val="5AAE8162"/>
    <w:rsid w:val="5B48B4B9"/>
    <w:rsid w:val="5C690081"/>
    <w:rsid w:val="62AD36B9"/>
    <w:rsid w:val="635B14EA"/>
    <w:rsid w:val="660F62A5"/>
    <w:rsid w:val="66250D2E"/>
    <w:rsid w:val="66AD0FBF"/>
    <w:rsid w:val="69B71B87"/>
    <w:rsid w:val="6BE23FF0"/>
    <w:rsid w:val="738FC17E"/>
    <w:rsid w:val="7802DDD7"/>
    <w:rsid w:val="7A9306AD"/>
    <w:rsid w:val="7D71FF93"/>
    <w:rsid w:val="7E338160"/>
    <w:rsid w:val="7F014534"/>
    <w:rsid w:val="7FCC7C6E"/>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1E63B066"/>
  <w15:chartTrackingRefBased/>
  <w15:docId w15:val="{8BFBDA79-40DF-4D8A-AC7A-61B486491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E80328"/>
    <w:pPr>
      <w:widowControl w:val="0"/>
    </w:pPr>
    <w:rPr>
      <w:snapToGrid w:val="0"/>
      <w:kern w:val="28"/>
      <w:sz w:val="22"/>
    </w:rPr>
  </w:style>
  <w:style w:type="paragraph" w:styleId="Heading1">
    <w:name w:val="heading 1"/>
    <w:basedOn w:val="Normal"/>
    <w:next w:val="ParaNum"/>
    <w:link w:val="Heading1Char"/>
    <w:uiPriority w:val="9"/>
    <w:qFormat/>
    <w:pPr>
      <w:keepNext/>
      <w:numPr>
        <w:numId w:val="4"/>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70528"/>
    <w:pPr>
      <w:keepNext/>
      <w:spacing w:after="120"/>
      <w:outlineLvl w:val="1"/>
    </w:pPr>
    <w:rPr>
      <w:b/>
    </w:rPr>
  </w:style>
  <w:style w:type="paragraph" w:styleId="Heading3">
    <w:name w:val="heading 3"/>
    <w:basedOn w:val="Normal"/>
    <w:next w:val="ParaNum"/>
    <w:qFormat/>
    <w:pPr>
      <w:keepNext/>
      <w:numPr>
        <w:ilvl w:val="2"/>
        <w:numId w:val="4"/>
      </w:numPr>
      <w:tabs>
        <w:tab w:val="left" w:pos="2160"/>
      </w:tabs>
      <w:spacing w:after="120"/>
      <w:outlineLvl w:val="2"/>
    </w:pPr>
    <w:rPr>
      <w:b/>
    </w:rPr>
  </w:style>
  <w:style w:type="paragraph" w:styleId="Heading4">
    <w:name w:val="heading 4"/>
    <w:basedOn w:val="Normal"/>
    <w:next w:val="ParaNum"/>
    <w:qFormat/>
    <w:pPr>
      <w:keepNext/>
      <w:numPr>
        <w:ilvl w:val="3"/>
        <w:numId w:val="4"/>
      </w:numPr>
      <w:tabs>
        <w:tab w:val="left" w:pos="2880"/>
      </w:tabs>
      <w:spacing w:after="120"/>
      <w:outlineLvl w:val="3"/>
    </w:pPr>
    <w:rPr>
      <w:b/>
    </w:rPr>
  </w:style>
  <w:style w:type="paragraph" w:styleId="Heading5">
    <w:name w:val="heading 5"/>
    <w:basedOn w:val="Normal"/>
    <w:next w:val="ParaNum"/>
    <w:qFormat/>
    <w:pPr>
      <w:keepNext/>
      <w:numPr>
        <w:ilvl w:val="4"/>
        <w:numId w:val="4"/>
      </w:numPr>
      <w:tabs>
        <w:tab w:val="left" w:pos="3600"/>
      </w:tabs>
      <w:suppressAutoHyphens/>
      <w:spacing w:after="120"/>
      <w:outlineLvl w:val="4"/>
    </w:pPr>
    <w:rPr>
      <w:b/>
    </w:rPr>
  </w:style>
  <w:style w:type="paragraph" w:styleId="Heading6">
    <w:name w:val="heading 6"/>
    <w:basedOn w:val="Normal"/>
    <w:next w:val="ParaNum"/>
    <w:qFormat/>
    <w:pPr>
      <w:numPr>
        <w:ilvl w:val="5"/>
        <w:numId w:val="4"/>
      </w:numPr>
      <w:tabs>
        <w:tab w:val="left" w:pos="4320"/>
      </w:tabs>
      <w:spacing w:after="120"/>
      <w:outlineLvl w:val="5"/>
    </w:pPr>
    <w:rPr>
      <w:b/>
    </w:rPr>
  </w:style>
  <w:style w:type="paragraph" w:styleId="Heading7">
    <w:name w:val="heading 7"/>
    <w:basedOn w:val="Normal"/>
    <w:next w:val="ParaNum"/>
    <w:qFormat/>
    <w:pPr>
      <w:numPr>
        <w:ilvl w:val="6"/>
        <w:numId w:val="4"/>
      </w:numPr>
      <w:tabs>
        <w:tab w:val="left" w:pos="5040"/>
      </w:tabs>
      <w:spacing w:after="120"/>
      <w:ind w:left="5040" w:hanging="720"/>
      <w:outlineLvl w:val="6"/>
    </w:pPr>
    <w:rPr>
      <w:b/>
    </w:rPr>
  </w:style>
  <w:style w:type="paragraph" w:styleId="Heading8">
    <w:name w:val="heading 8"/>
    <w:basedOn w:val="Normal"/>
    <w:next w:val="ParaNum"/>
    <w:qFormat/>
    <w:pPr>
      <w:numPr>
        <w:ilvl w:val="7"/>
        <w:numId w:val="4"/>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4"/>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pPr>
      <w:numPr>
        <w:numId w:val="3"/>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 Char Char,f,fn,fn Char,fn Char Char,fn Char Char Char Char,fn Char1"/>
    <w:link w:val="FootnoteTextChar"/>
    <w:semiHidden/>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2"/>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customStyle="1" w:styleId="UnresolvedMention1">
    <w:name w:val="Unresolved Mention1"/>
    <w:uiPriority w:val="99"/>
    <w:semiHidden/>
    <w:unhideWhenUsed/>
    <w:rPr>
      <w:color w:val="605E5C"/>
      <w:shd w:val="clear" w:color="auto" w:fill="E1DFDD"/>
    </w:rPr>
  </w:style>
  <w:style w:type="character" w:customStyle="1" w:styleId="Heading1Char">
    <w:name w:val="Heading 1 Char"/>
    <w:link w:val="Heading1"/>
    <w:uiPriority w:val="9"/>
    <w:rsid w:val="00E80328"/>
    <w:rPr>
      <w:rFonts w:ascii="Times New Roman Bold" w:hAnsi="Times New Roman Bold"/>
      <w:b/>
      <w:caps/>
      <w:snapToGrid w:val="0"/>
      <w:kern w:val="28"/>
      <w:sz w:val="22"/>
    </w:rPr>
  </w:style>
  <w:style w:type="table" w:customStyle="1" w:styleId="TableGrid1">
    <w:name w:val="Table Grid1"/>
    <w:rsid w:val="00E80328"/>
    <w:rPr>
      <w:rFonts w:ascii="Calibri" w:hAnsi="Calibri"/>
      <w:sz w:val="22"/>
      <w:szCs w:val="22"/>
    </w:rPr>
    <w:tblPr>
      <w:tblCellMar>
        <w:top w:w="0" w:type="dxa"/>
        <w:left w:w="0" w:type="dxa"/>
        <w:bottom w:w="0" w:type="dxa"/>
        <w:right w:w="0" w:type="dxa"/>
      </w:tblCellMar>
    </w:tblPr>
  </w:style>
  <w:style w:type="paragraph" w:styleId="ListParagraph">
    <w:name w:val="List Paragraph"/>
    <w:basedOn w:val="Normal"/>
    <w:uiPriority w:val="34"/>
    <w:qFormat/>
    <w:rsid w:val="00E80328"/>
    <w:pPr>
      <w:widowControl/>
      <w:spacing w:after="14" w:line="248" w:lineRule="auto"/>
      <w:ind w:left="720" w:hanging="10"/>
      <w:contextualSpacing/>
    </w:pPr>
    <w:rPr>
      <w:snapToGrid/>
      <w:color w:val="000000"/>
      <w:kern w:val="0"/>
      <w:szCs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 Char Char,f Char,fn Char2,fn Char Char1,fn Char1 Char"/>
    <w:link w:val="FootnoteText"/>
    <w:semiHidden/>
    <w:rsid w:val="00E80328"/>
  </w:style>
  <w:style w:type="paragraph" w:styleId="Revision">
    <w:name w:val="Revision"/>
    <w:hidden/>
    <w:uiPriority w:val="99"/>
    <w:semiHidden/>
    <w:rsid w:val="00951B4B"/>
    <w:rPr>
      <w:snapToGrid w:val="0"/>
      <w:kern w:val="28"/>
      <w:sz w:val="22"/>
    </w:rPr>
  </w:style>
  <w:style w:type="character" w:styleId="CommentReference">
    <w:name w:val="annotation reference"/>
    <w:basedOn w:val="DefaultParagraphFont"/>
    <w:uiPriority w:val="99"/>
    <w:semiHidden/>
    <w:unhideWhenUsed/>
    <w:rsid w:val="00AA1AFC"/>
    <w:rPr>
      <w:sz w:val="16"/>
      <w:szCs w:val="16"/>
    </w:rPr>
  </w:style>
  <w:style w:type="paragraph" w:styleId="CommentText">
    <w:name w:val="annotation text"/>
    <w:basedOn w:val="Normal"/>
    <w:link w:val="CommentTextChar"/>
    <w:uiPriority w:val="99"/>
    <w:unhideWhenUsed/>
    <w:rsid w:val="00AA1AFC"/>
    <w:rPr>
      <w:sz w:val="20"/>
    </w:rPr>
  </w:style>
  <w:style w:type="character" w:customStyle="1" w:styleId="CommentTextChar">
    <w:name w:val="Comment Text Char"/>
    <w:basedOn w:val="DefaultParagraphFont"/>
    <w:link w:val="CommentText"/>
    <w:uiPriority w:val="99"/>
    <w:rsid w:val="00AA1AFC"/>
    <w:rPr>
      <w:snapToGrid w:val="0"/>
      <w:kern w:val="28"/>
    </w:rPr>
  </w:style>
  <w:style w:type="paragraph" w:styleId="CommentSubject">
    <w:name w:val="annotation subject"/>
    <w:basedOn w:val="CommentText"/>
    <w:next w:val="CommentText"/>
    <w:link w:val="CommentSubjectChar"/>
    <w:uiPriority w:val="99"/>
    <w:semiHidden/>
    <w:unhideWhenUsed/>
    <w:rsid w:val="00AA1AFC"/>
    <w:rPr>
      <w:b/>
      <w:bCs/>
    </w:rPr>
  </w:style>
  <w:style w:type="character" w:customStyle="1" w:styleId="CommentSubjectChar">
    <w:name w:val="Comment Subject Char"/>
    <w:basedOn w:val="CommentTextChar"/>
    <w:link w:val="CommentSubject"/>
    <w:uiPriority w:val="99"/>
    <w:semiHidden/>
    <w:rsid w:val="00AA1AFC"/>
    <w:rPr>
      <w:b/>
      <w:bCs/>
      <w:snapToGrid w:val="0"/>
      <w:kern w:val="28"/>
    </w:rPr>
  </w:style>
  <w:style w:type="character" w:customStyle="1" w:styleId="ParaNumChar">
    <w:name w:val="ParaNum Char"/>
    <w:link w:val="ParaNum"/>
    <w:rsid w:val="00C308E1"/>
    <w:rPr>
      <w:snapToGrid w:val="0"/>
      <w:kern w:val="28"/>
      <w:sz w:val="22"/>
    </w:rPr>
  </w:style>
  <w:style w:type="character" w:styleId="UnresolvedMention">
    <w:name w:val="Unresolved Mention"/>
    <w:basedOn w:val="DefaultParagraphFont"/>
    <w:uiPriority w:val="99"/>
    <w:rsid w:val="00441031"/>
    <w:rPr>
      <w:color w:val="605E5C"/>
      <w:shd w:val="clear" w:color="auto" w:fill="E1DFDD"/>
    </w:rPr>
  </w:style>
  <w:style w:type="character" w:styleId="FollowedHyperlink">
    <w:name w:val="FollowedHyperlink"/>
    <w:basedOn w:val="DefaultParagraphFont"/>
    <w:uiPriority w:val="99"/>
    <w:semiHidden/>
    <w:unhideWhenUsed/>
    <w:rsid w:val="003A195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katherine.nevitt@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apps.fcc.gov/oetcf/kdb/forms/FTSSearchResultPage.cfm?switch=P&amp;id=20540" TargetMode="External" /><Relationship Id="rId2"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