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85FA0" w:rsidRPr="00775F96" w:rsidP="00685FA0" w14:paraId="77B105CA" w14:textId="77777777">
      <w:pPr>
        <w:jc w:val="center"/>
        <w:rPr>
          <w:b/>
        </w:rPr>
      </w:pPr>
      <w:r w:rsidRPr="00775F96">
        <w:rPr>
          <w:rFonts w:ascii="Times New Roman Bold" w:hAnsi="Times New Roman Bold"/>
          <w:b/>
          <w:kern w:val="0"/>
          <w:szCs w:val="22"/>
        </w:rPr>
        <w:t>Before</w:t>
      </w:r>
      <w:r w:rsidRPr="00775F96">
        <w:rPr>
          <w:b/>
        </w:rPr>
        <w:t xml:space="preserve"> the</w:t>
      </w:r>
    </w:p>
    <w:p w:rsidR="00685FA0" w:rsidRPr="00775F96" w:rsidP="00685FA0" w14:paraId="5D380234" w14:textId="77777777">
      <w:pPr>
        <w:pStyle w:val="StyleBoldCentered"/>
      </w:pPr>
      <w:r w:rsidRPr="00775F96">
        <w:t>F</w:t>
      </w:r>
      <w:r w:rsidRPr="00775F96">
        <w:rPr>
          <w:caps w:val="0"/>
        </w:rPr>
        <w:t>ederal Communications Commission</w:t>
      </w:r>
    </w:p>
    <w:p w:rsidR="00685FA0" w:rsidRPr="00775F96" w:rsidP="00685FA0" w14:paraId="48B96D6A" w14:textId="77777777">
      <w:pPr>
        <w:pStyle w:val="StyleBoldCentered"/>
      </w:pPr>
      <w:r w:rsidRPr="00775F96">
        <w:rPr>
          <w:caps w:val="0"/>
        </w:rPr>
        <w:t>Washington, D.C. 20554</w:t>
      </w:r>
    </w:p>
    <w:p w:rsidR="00685FA0" w:rsidRPr="00775F96" w14:paraId="767B6A7C" w14:textId="77777777"/>
    <w:tbl>
      <w:tblPr>
        <w:tblW w:w="0" w:type="auto"/>
        <w:tblLayout w:type="fixed"/>
        <w:tblLook w:val="0000"/>
      </w:tblPr>
      <w:tblGrid>
        <w:gridCol w:w="4698"/>
        <w:gridCol w:w="630"/>
        <w:gridCol w:w="4248"/>
      </w:tblGrid>
      <w:tr w14:paraId="105BB7EA" w14:textId="77777777" w:rsidTr="002A0438">
        <w:tblPrEx>
          <w:tblW w:w="0" w:type="auto"/>
          <w:tblLayout w:type="fixed"/>
          <w:tblLook w:val="0000"/>
        </w:tblPrEx>
        <w:tc>
          <w:tcPr>
            <w:tcW w:w="4698" w:type="dxa"/>
          </w:tcPr>
          <w:p w:rsidR="00685FA0" w:rsidRPr="00775F96" w:rsidP="002A0438" w14:paraId="54FC5B4E" w14:textId="3C1A6CC8">
            <w:pPr>
              <w:tabs>
                <w:tab w:val="center" w:pos="4680"/>
              </w:tabs>
              <w:rPr>
                <w:spacing w:val="-2"/>
              </w:rPr>
            </w:pPr>
            <w:r w:rsidRPr="00775F96">
              <w:rPr>
                <w:spacing w:val="-2"/>
              </w:rPr>
              <w:t>In re Application</w:t>
            </w:r>
            <w:r w:rsidRPr="00775F96" w:rsidR="002527A9">
              <w:rPr>
                <w:spacing w:val="-2"/>
              </w:rPr>
              <w:t>s</w:t>
            </w:r>
            <w:r w:rsidRPr="00775F96">
              <w:rPr>
                <w:spacing w:val="-2"/>
              </w:rPr>
              <w:t xml:space="preserve"> of</w:t>
            </w:r>
          </w:p>
          <w:p w:rsidR="00707766" w:rsidRPr="00775F96" w:rsidP="002A0438" w14:paraId="0252A65D" w14:textId="77777777">
            <w:pPr>
              <w:tabs>
                <w:tab w:val="center" w:pos="4680"/>
              </w:tabs>
              <w:rPr>
                <w:spacing w:val="-2"/>
              </w:rPr>
            </w:pPr>
          </w:p>
          <w:p w:rsidR="00D61638" w:rsidP="002A0438" w14:paraId="599C7DD0" w14:textId="51A08BE1">
            <w:pPr>
              <w:tabs>
                <w:tab w:val="center" w:pos="4680"/>
              </w:tabs>
              <w:rPr>
                <w:spacing w:val="-2"/>
              </w:rPr>
            </w:pPr>
            <w:r w:rsidRPr="00775F96">
              <w:rPr>
                <w:b/>
                <w:bCs/>
                <w:spacing w:val="-2"/>
              </w:rPr>
              <w:t>Fifth Street Enterprises, LLC</w:t>
            </w:r>
            <w:r w:rsidRPr="00775F96" w:rsidR="00B85566">
              <w:rPr>
                <w:b/>
                <w:bCs/>
                <w:spacing w:val="-2"/>
              </w:rPr>
              <w:t xml:space="preserve"> </w:t>
            </w:r>
            <w:r w:rsidRPr="00775F96" w:rsidR="00B85566">
              <w:rPr>
                <w:spacing w:val="-2"/>
              </w:rPr>
              <w:t xml:space="preserve"> </w:t>
            </w:r>
          </w:p>
          <w:p w:rsidR="00D61638" w:rsidP="002A0438" w14:paraId="1AE9F4AB" w14:textId="77777777">
            <w:pPr>
              <w:tabs>
                <w:tab w:val="center" w:pos="4680"/>
              </w:tabs>
              <w:rPr>
                <w:spacing w:val="-2"/>
              </w:rPr>
            </w:pPr>
          </w:p>
          <w:p w:rsidR="00B971C5" w:rsidRPr="00775F96" w:rsidP="002A0438" w14:paraId="490C5F45" w14:textId="46EA1FD6">
            <w:pPr>
              <w:tabs>
                <w:tab w:val="center" w:pos="4680"/>
              </w:tabs>
              <w:rPr>
                <w:spacing w:val="-2"/>
              </w:rPr>
            </w:pPr>
            <w:r w:rsidRPr="00775F96">
              <w:rPr>
                <w:spacing w:val="-2"/>
              </w:rPr>
              <w:t>For Renewal of License</w:t>
            </w:r>
            <w:r w:rsidR="00A10E40">
              <w:rPr>
                <w:spacing w:val="-2"/>
              </w:rPr>
              <w:t>s</w:t>
            </w:r>
            <w:r w:rsidRPr="00775F96">
              <w:rPr>
                <w:spacing w:val="-2"/>
              </w:rPr>
              <w:t xml:space="preserve"> of </w:t>
            </w:r>
            <w:r w:rsidRPr="00775F96" w:rsidR="002718CA">
              <w:rPr>
                <w:spacing w:val="-2"/>
              </w:rPr>
              <w:t xml:space="preserve">Class A TV </w:t>
            </w:r>
            <w:r w:rsidRPr="00775F96" w:rsidR="00685FA0">
              <w:rPr>
                <w:spacing w:val="-2"/>
              </w:rPr>
              <w:t>Station</w:t>
            </w:r>
            <w:r w:rsidRPr="00775F96" w:rsidR="005519FA">
              <w:rPr>
                <w:spacing w:val="-2"/>
              </w:rPr>
              <w:t>s</w:t>
            </w:r>
            <w:r w:rsidRPr="00775F96" w:rsidR="00685FA0">
              <w:rPr>
                <w:spacing w:val="-2"/>
              </w:rPr>
              <w:t xml:space="preserve"> </w:t>
            </w:r>
            <w:r w:rsidRPr="00775F96" w:rsidR="00B85566">
              <w:rPr>
                <w:spacing w:val="-2"/>
              </w:rPr>
              <w:t xml:space="preserve"> </w:t>
            </w:r>
            <w:r w:rsidRPr="00775F96">
              <w:rPr>
                <w:spacing w:val="-2"/>
              </w:rPr>
              <w:t>WWAT</w:t>
            </w:r>
            <w:r w:rsidRPr="00775F96" w:rsidR="000F27A5">
              <w:rPr>
                <w:spacing w:val="-2"/>
              </w:rPr>
              <w:t>-CD</w:t>
            </w:r>
            <w:r w:rsidRPr="00775F96" w:rsidR="00685FA0">
              <w:rPr>
                <w:spacing w:val="-2"/>
              </w:rPr>
              <w:t xml:space="preserve">, </w:t>
            </w:r>
            <w:r w:rsidRPr="00775F96">
              <w:rPr>
                <w:spacing w:val="-2"/>
              </w:rPr>
              <w:t>Charleroi</w:t>
            </w:r>
            <w:r w:rsidRPr="00775F96" w:rsidR="00685FA0">
              <w:rPr>
                <w:spacing w:val="-2"/>
              </w:rPr>
              <w:t xml:space="preserve">, </w:t>
            </w:r>
            <w:r w:rsidRPr="00775F96">
              <w:rPr>
                <w:spacing w:val="-2"/>
              </w:rPr>
              <w:t>Pennsylvania</w:t>
            </w:r>
            <w:r w:rsidRPr="00775F96" w:rsidR="002718CA">
              <w:rPr>
                <w:spacing w:val="-2"/>
              </w:rPr>
              <w:t xml:space="preserve"> and</w:t>
            </w:r>
            <w:r w:rsidRPr="00775F96" w:rsidR="00D33403">
              <w:rPr>
                <w:spacing w:val="-2"/>
              </w:rPr>
              <w:t xml:space="preserve"> </w:t>
            </w:r>
            <w:r w:rsidRPr="00775F96" w:rsidR="00707766">
              <w:rPr>
                <w:spacing w:val="-2"/>
              </w:rPr>
              <w:t>WPTG</w:t>
            </w:r>
            <w:r w:rsidRPr="00775F96" w:rsidR="00E3154E">
              <w:rPr>
                <w:spacing w:val="-2"/>
              </w:rPr>
              <w:t>-CD, Pittsburgh, Pennsylvania</w:t>
            </w:r>
          </w:p>
          <w:p w:rsidR="00E3154E" w:rsidRPr="00775F96" w:rsidP="002A0438" w14:paraId="1D486ADD" w14:textId="7AAFC835">
            <w:pPr>
              <w:tabs>
                <w:tab w:val="center" w:pos="4680"/>
              </w:tabs>
              <w:rPr>
                <w:spacing w:val="-2"/>
              </w:rPr>
            </w:pPr>
          </w:p>
        </w:tc>
        <w:tc>
          <w:tcPr>
            <w:tcW w:w="630" w:type="dxa"/>
          </w:tcPr>
          <w:p w:rsidR="00685FA0" w:rsidRPr="00775F96" w:rsidP="002A0438" w14:paraId="44A099E8" w14:textId="77777777">
            <w:pPr>
              <w:tabs>
                <w:tab w:val="center" w:pos="4680"/>
              </w:tabs>
              <w:rPr>
                <w:b/>
                <w:spacing w:val="-2"/>
              </w:rPr>
            </w:pPr>
            <w:r w:rsidRPr="00775F96">
              <w:rPr>
                <w:b/>
                <w:spacing w:val="-2"/>
              </w:rPr>
              <w:t>)</w:t>
            </w:r>
          </w:p>
          <w:p w:rsidR="00685FA0" w:rsidRPr="00775F96" w:rsidP="002A0438" w14:paraId="603D2E79" w14:textId="77777777">
            <w:pPr>
              <w:tabs>
                <w:tab w:val="center" w:pos="4680"/>
              </w:tabs>
              <w:rPr>
                <w:b/>
                <w:spacing w:val="-2"/>
              </w:rPr>
            </w:pPr>
            <w:r w:rsidRPr="00775F96">
              <w:rPr>
                <w:b/>
                <w:spacing w:val="-2"/>
              </w:rPr>
              <w:t>)</w:t>
            </w:r>
          </w:p>
          <w:p w:rsidR="00685FA0" w:rsidRPr="00775F96" w:rsidP="002A0438" w14:paraId="262CC5F4" w14:textId="77777777">
            <w:pPr>
              <w:tabs>
                <w:tab w:val="center" w:pos="4680"/>
              </w:tabs>
              <w:rPr>
                <w:b/>
                <w:spacing w:val="-2"/>
              </w:rPr>
            </w:pPr>
            <w:r w:rsidRPr="00775F96">
              <w:rPr>
                <w:b/>
                <w:spacing w:val="-2"/>
              </w:rPr>
              <w:t>)</w:t>
            </w:r>
          </w:p>
          <w:p w:rsidR="00685FA0" w:rsidRPr="00775F96" w:rsidP="002A0438" w14:paraId="1EB2EDFF" w14:textId="77777777">
            <w:pPr>
              <w:tabs>
                <w:tab w:val="center" w:pos="4680"/>
              </w:tabs>
              <w:rPr>
                <w:b/>
                <w:spacing w:val="-2"/>
              </w:rPr>
            </w:pPr>
            <w:r w:rsidRPr="00775F96">
              <w:rPr>
                <w:b/>
                <w:spacing w:val="-2"/>
              </w:rPr>
              <w:t>)</w:t>
            </w:r>
          </w:p>
          <w:p w:rsidR="00685FA0" w:rsidRPr="00775F96" w:rsidP="002A0438" w14:paraId="7E3853FB" w14:textId="77777777">
            <w:pPr>
              <w:tabs>
                <w:tab w:val="center" w:pos="4680"/>
              </w:tabs>
              <w:rPr>
                <w:b/>
                <w:spacing w:val="-2"/>
              </w:rPr>
            </w:pPr>
            <w:r w:rsidRPr="00775F96">
              <w:rPr>
                <w:b/>
                <w:spacing w:val="-2"/>
              </w:rPr>
              <w:t>)</w:t>
            </w:r>
          </w:p>
          <w:p w:rsidR="00685FA0" w:rsidRPr="00775F96" w:rsidP="002A0438" w14:paraId="51FAD11F" w14:textId="77777777">
            <w:pPr>
              <w:tabs>
                <w:tab w:val="center" w:pos="4680"/>
              </w:tabs>
              <w:rPr>
                <w:b/>
                <w:spacing w:val="-2"/>
              </w:rPr>
            </w:pPr>
            <w:r w:rsidRPr="00775F96">
              <w:rPr>
                <w:b/>
                <w:spacing w:val="-2"/>
              </w:rPr>
              <w:t>)</w:t>
            </w:r>
          </w:p>
          <w:p w:rsidR="00E3154E" w:rsidRPr="00775F96" w:rsidP="00E3154E" w14:paraId="630DCD74" w14:textId="1B7D9B32">
            <w:pPr>
              <w:tabs>
                <w:tab w:val="center" w:pos="4680"/>
              </w:tabs>
              <w:rPr>
                <w:b/>
                <w:spacing w:val="-2"/>
              </w:rPr>
            </w:pPr>
            <w:r>
              <w:rPr>
                <w:b/>
                <w:spacing w:val="-2"/>
              </w:rPr>
              <w:t>)</w:t>
            </w:r>
          </w:p>
        </w:tc>
        <w:tc>
          <w:tcPr>
            <w:tcW w:w="4248" w:type="dxa"/>
          </w:tcPr>
          <w:p w:rsidR="00685FA0" w:rsidRPr="00775F96" w:rsidP="002A0438" w14:paraId="238FBE46" w14:textId="77777777">
            <w:pPr>
              <w:tabs>
                <w:tab w:val="center" w:pos="4680"/>
              </w:tabs>
              <w:rPr>
                <w:spacing w:val="-2"/>
              </w:rPr>
            </w:pPr>
          </w:p>
          <w:p w:rsidR="00685FA0" w:rsidRPr="00775F96" w:rsidP="002A0438" w14:paraId="5C8342D1" w14:textId="77777777">
            <w:pPr>
              <w:pStyle w:val="TOAHeading"/>
              <w:tabs>
                <w:tab w:val="center" w:pos="4680"/>
                <w:tab w:val="clear" w:pos="9360"/>
              </w:tabs>
              <w:suppressAutoHyphens w:val="0"/>
              <w:rPr>
                <w:spacing w:val="-2"/>
              </w:rPr>
            </w:pPr>
          </w:p>
          <w:p w:rsidR="00685FA0" w:rsidRPr="00775F96" w:rsidP="002A0438" w14:paraId="32A73F64" w14:textId="1FB9CE63">
            <w:pPr>
              <w:pStyle w:val="TOAHeading"/>
              <w:tabs>
                <w:tab w:val="center" w:pos="4680"/>
              </w:tabs>
              <w:suppressAutoHyphens w:val="0"/>
              <w:rPr>
                <w:spacing w:val="-2"/>
              </w:rPr>
            </w:pPr>
            <w:r w:rsidRPr="00775F96">
              <w:rPr>
                <w:spacing w:val="-2"/>
              </w:rPr>
              <w:t xml:space="preserve">Acct. No. </w:t>
            </w:r>
            <w:r w:rsidR="00614014">
              <w:rPr>
                <w:spacing w:val="-2"/>
              </w:rPr>
              <w:t>20254140012</w:t>
            </w:r>
          </w:p>
          <w:p w:rsidR="00685FA0" w:rsidRPr="00775F96" w:rsidP="002A0438" w14:paraId="5537B5A5" w14:textId="689C964A">
            <w:pPr>
              <w:pStyle w:val="TOAHeading"/>
              <w:tabs>
                <w:tab w:val="center" w:pos="4680"/>
              </w:tabs>
              <w:suppressAutoHyphens w:val="0"/>
              <w:rPr>
                <w:spacing w:val="-2"/>
              </w:rPr>
            </w:pPr>
            <w:r w:rsidRPr="00775F96">
              <w:rPr>
                <w:spacing w:val="-2"/>
              </w:rPr>
              <w:t>FRN:  00</w:t>
            </w:r>
            <w:r w:rsidRPr="00775F96" w:rsidR="009226A6">
              <w:rPr>
                <w:spacing w:val="-2"/>
              </w:rPr>
              <w:t>24413338</w:t>
            </w:r>
          </w:p>
          <w:p w:rsidR="00685FA0" w:rsidRPr="00775F96" w:rsidP="002A0438" w14:paraId="55405E5F" w14:textId="79B15D85">
            <w:pPr>
              <w:pStyle w:val="TOAHeading"/>
              <w:tabs>
                <w:tab w:val="center" w:pos="4680"/>
              </w:tabs>
              <w:suppressAutoHyphens w:val="0"/>
              <w:rPr>
                <w:spacing w:val="-2"/>
              </w:rPr>
            </w:pPr>
            <w:r w:rsidRPr="00775F96">
              <w:rPr>
                <w:spacing w:val="-2"/>
              </w:rPr>
              <w:t>Facility ID No</w:t>
            </w:r>
            <w:r w:rsidRPr="00775F96" w:rsidR="009226A6">
              <w:rPr>
                <w:spacing w:val="-2"/>
              </w:rPr>
              <w:t xml:space="preserve">. </w:t>
            </w:r>
            <w:r w:rsidRPr="00775F96" w:rsidR="00631A04">
              <w:rPr>
                <w:spacing w:val="-2"/>
              </w:rPr>
              <w:t>257</w:t>
            </w:r>
            <w:r w:rsidRPr="00775F96" w:rsidR="002718CA">
              <w:rPr>
                <w:spacing w:val="-2"/>
              </w:rPr>
              <w:t xml:space="preserve"> and</w:t>
            </w:r>
            <w:r w:rsidRPr="00775F96" w:rsidR="00631A04">
              <w:rPr>
                <w:spacing w:val="-2"/>
              </w:rPr>
              <w:t xml:space="preserve"> 272</w:t>
            </w:r>
          </w:p>
          <w:p w:rsidR="00685FA0" w:rsidRPr="00775F96" w:rsidP="002A0438" w14:paraId="21713DC7" w14:textId="61FC63E1">
            <w:pPr>
              <w:tabs>
                <w:tab w:val="center" w:pos="4680"/>
              </w:tabs>
              <w:rPr>
                <w:spacing w:val="-2"/>
              </w:rPr>
            </w:pPr>
            <w:r w:rsidRPr="00775F96">
              <w:rPr>
                <w:spacing w:val="-2"/>
              </w:rPr>
              <w:t>LMS File No</w:t>
            </w:r>
            <w:r w:rsidRPr="00775F96" w:rsidR="00A718D4">
              <w:rPr>
                <w:spacing w:val="-2"/>
              </w:rPr>
              <w:t>s</w:t>
            </w:r>
            <w:r w:rsidRPr="00775F96">
              <w:rPr>
                <w:spacing w:val="-2"/>
              </w:rPr>
              <w:t xml:space="preserve">. </w:t>
            </w:r>
            <w:r w:rsidRPr="00775F96" w:rsidR="002F01DD">
              <w:rPr>
                <w:spacing w:val="-2"/>
              </w:rPr>
              <w:t>0000213311</w:t>
            </w:r>
            <w:r w:rsidRPr="00775F96" w:rsidR="002718CA">
              <w:rPr>
                <w:spacing w:val="-2"/>
              </w:rPr>
              <w:t xml:space="preserve"> and</w:t>
            </w:r>
            <w:r w:rsidRPr="00775F96" w:rsidR="002F01DD">
              <w:rPr>
                <w:spacing w:val="-2"/>
              </w:rPr>
              <w:t xml:space="preserve"> 0000213314</w:t>
            </w:r>
          </w:p>
        </w:tc>
      </w:tr>
    </w:tbl>
    <w:p w:rsidR="00685FA0" w:rsidRPr="00775F96" w:rsidP="00685FA0" w14:paraId="29AB3D76" w14:textId="77777777"/>
    <w:p w:rsidR="00685FA0" w:rsidRPr="00775F96" w:rsidP="00685FA0" w14:paraId="2961AD36" w14:textId="77777777">
      <w:pPr>
        <w:pStyle w:val="StyleBoldCentered"/>
      </w:pPr>
      <w:r w:rsidRPr="00775F96">
        <w:t>order</w:t>
      </w:r>
    </w:p>
    <w:p w:rsidR="00685FA0" w:rsidRPr="00775F96" w:rsidP="00685FA0" w14:paraId="233EC630" w14:textId="77777777">
      <w:pPr>
        <w:tabs>
          <w:tab w:val="left" w:pos="-720"/>
        </w:tabs>
        <w:spacing w:line="227" w:lineRule="auto"/>
        <w:rPr>
          <w:spacing w:val="-2"/>
        </w:rPr>
      </w:pPr>
    </w:p>
    <w:p w:rsidR="00685FA0" w:rsidRPr="00775F96" w:rsidP="00685FA0" w14:paraId="3A45E38C" w14:textId="42ADE740">
      <w:pPr>
        <w:tabs>
          <w:tab w:val="left" w:pos="720"/>
          <w:tab w:val="right" w:pos="9360"/>
        </w:tabs>
        <w:spacing w:line="227" w:lineRule="auto"/>
        <w:rPr>
          <w:spacing w:val="-2"/>
        </w:rPr>
      </w:pPr>
      <w:r w:rsidRPr="00775F96">
        <w:rPr>
          <w:b/>
          <w:spacing w:val="-2"/>
        </w:rPr>
        <w:t xml:space="preserve">Adopted:  </w:t>
      </w:r>
      <w:r w:rsidR="00D3167B">
        <w:rPr>
          <w:b/>
          <w:spacing w:val="-2"/>
        </w:rPr>
        <w:t>January</w:t>
      </w:r>
      <w:r w:rsidRPr="00775F96" w:rsidR="0074719B">
        <w:rPr>
          <w:b/>
          <w:spacing w:val="-2"/>
        </w:rPr>
        <w:t xml:space="preserve"> </w:t>
      </w:r>
      <w:r w:rsidR="00092856">
        <w:rPr>
          <w:b/>
          <w:spacing w:val="-2"/>
        </w:rPr>
        <w:t>21</w:t>
      </w:r>
      <w:r w:rsidRPr="00775F96">
        <w:rPr>
          <w:b/>
          <w:spacing w:val="-2"/>
        </w:rPr>
        <w:t>, 202</w:t>
      </w:r>
      <w:r w:rsidR="00D3167B">
        <w:rPr>
          <w:b/>
          <w:spacing w:val="-2"/>
        </w:rPr>
        <w:t>6</w:t>
      </w:r>
      <w:r w:rsidRPr="00775F96">
        <w:rPr>
          <w:b/>
          <w:spacing w:val="-2"/>
        </w:rPr>
        <w:tab/>
        <w:t xml:space="preserve">Released:  </w:t>
      </w:r>
      <w:r w:rsidR="00D3167B">
        <w:rPr>
          <w:b/>
          <w:spacing w:val="-2"/>
        </w:rPr>
        <w:t>January</w:t>
      </w:r>
      <w:r w:rsidRPr="00775F96" w:rsidR="0074719B">
        <w:rPr>
          <w:b/>
          <w:spacing w:val="-2"/>
        </w:rPr>
        <w:t xml:space="preserve"> </w:t>
      </w:r>
      <w:r w:rsidR="00092856">
        <w:rPr>
          <w:b/>
          <w:spacing w:val="-2"/>
        </w:rPr>
        <w:t>21</w:t>
      </w:r>
      <w:r w:rsidRPr="00775F96">
        <w:rPr>
          <w:b/>
          <w:spacing w:val="-2"/>
        </w:rPr>
        <w:t>, 202</w:t>
      </w:r>
      <w:r w:rsidR="00D3167B">
        <w:rPr>
          <w:b/>
          <w:spacing w:val="-2"/>
        </w:rPr>
        <w:t>6</w:t>
      </w:r>
    </w:p>
    <w:p w:rsidR="00685FA0" w:rsidRPr="00775F96" w:rsidP="00685FA0" w14:paraId="26374FF9" w14:textId="77777777"/>
    <w:p w:rsidR="00685FA0" w:rsidRPr="00775F96" w:rsidP="00685FA0" w14:paraId="3303BC54" w14:textId="36FAD28B">
      <w:pPr>
        <w:rPr>
          <w:spacing w:val="-2"/>
        </w:rPr>
      </w:pPr>
      <w:r w:rsidRPr="00775F96">
        <w:t>By the</w:t>
      </w:r>
      <w:r w:rsidRPr="00775F96" w:rsidR="002718CA">
        <w:t xml:space="preserve"> </w:t>
      </w:r>
      <w:r w:rsidRPr="00775F96">
        <w:rPr>
          <w:spacing w:val="-2"/>
        </w:rPr>
        <w:t>Chief, Video Division, Media Bureau:</w:t>
      </w:r>
    </w:p>
    <w:p w:rsidR="00685FA0" w:rsidRPr="00775F96" w:rsidP="00685FA0" w14:paraId="315CB730" w14:textId="77777777">
      <w:pPr>
        <w:rPr>
          <w:spacing w:val="-2"/>
        </w:rPr>
      </w:pPr>
    </w:p>
    <w:p w:rsidR="00685FA0" w:rsidRPr="00775F96" w:rsidP="00B612DB" w14:paraId="4CEC69A7" w14:textId="4F6BE7B3">
      <w:pPr>
        <w:pStyle w:val="ParaNum"/>
        <w:rPr>
          <w:szCs w:val="22"/>
        </w:rPr>
      </w:pPr>
      <w:r w:rsidRPr="00775F96">
        <w:t xml:space="preserve">In this Order, we adopt the attached Consent Decree entered into by the </w:t>
      </w:r>
      <w:r w:rsidRPr="00775F96" w:rsidR="002718CA">
        <w:t xml:space="preserve">Video Division, </w:t>
      </w:r>
      <w:r w:rsidRPr="00775F96">
        <w:t>Media Bureau (Bureau)</w:t>
      </w:r>
      <w:r w:rsidRPr="00775F96" w:rsidR="00556692">
        <w:t xml:space="preserve"> and</w:t>
      </w:r>
      <w:r w:rsidRPr="00775F96" w:rsidR="00EF08CD">
        <w:t xml:space="preserve"> </w:t>
      </w:r>
      <w:r w:rsidRPr="00775F96" w:rsidR="00AF62B5">
        <w:t>Fifth Street Enterprises, LLC</w:t>
      </w:r>
      <w:r w:rsidRPr="00775F96" w:rsidR="00097821">
        <w:t xml:space="preserve"> (Licensee)</w:t>
      </w:r>
      <w:r w:rsidRPr="00775F96" w:rsidR="00950252">
        <w:t xml:space="preserve">, </w:t>
      </w:r>
      <w:r w:rsidRPr="00775F96" w:rsidR="00C54421">
        <w:t>licensee of Class A television stations</w:t>
      </w:r>
      <w:r w:rsidRPr="00775F96" w:rsidR="00131BAE">
        <w:t xml:space="preserve"> </w:t>
      </w:r>
      <w:r w:rsidRPr="00775F96" w:rsidR="00514D53">
        <w:t xml:space="preserve">WWAT-CD, Charleroi, Pennsylvania (WWAT) </w:t>
      </w:r>
      <w:r w:rsidRPr="00775F96" w:rsidR="007D21BE">
        <w:t>and WPTG</w:t>
      </w:r>
      <w:r w:rsidRPr="00775F96" w:rsidR="00D31CDF">
        <w:t>-CD, Pittsburgh, Pennsylvania (</w:t>
      </w:r>
      <w:r w:rsidRPr="00775F96" w:rsidR="007D21BE">
        <w:t>WPTG)</w:t>
      </w:r>
      <w:r w:rsidRPr="00775F96" w:rsidR="00F44985">
        <w:t xml:space="preserve"> (collectively, Stations)</w:t>
      </w:r>
      <w:r w:rsidRPr="00775F96" w:rsidR="001770E1">
        <w:t>.</w:t>
      </w:r>
      <w:r w:rsidRPr="00775F96">
        <w:t xml:space="preserve">  The Consent Decree resolves issues arising from the</w:t>
      </w:r>
      <w:r w:rsidR="00A10E40">
        <w:t xml:space="preserve"> staff’s</w:t>
      </w:r>
      <w:r w:rsidR="00D61638">
        <w:t xml:space="preserve"> </w:t>
      </w:r>
      <w:r w:rsidRPr="00775F96">
        <w:t>review of the Station</w:t>
      </w:r>
      <w:r w:rsidRPr="00775F96" w:rsidR="00F522F6">
        <w:t>s’</w:t>
      </w:r>
      <w:r w:rsidRPr="00775F96">
        <w:t xml:space="preserve"> pending license renewal application</w:t>
      </w:r>
      <w:r w:rsidRPr="00775F96" w:rsidR="00F522F6">
        <w:t>s</w:t>
      </w:r>
      <w:r w:rsidRPr="00775F96">
        <w:t>.</w:t>
      </w:r>
      <w:r>
        <w:rPr>
          <w:rStyle w:val="FootnoteReference"/>
        </w:rPr>
        <w:footnoteReference w:id="3"/>
      </w:r>
      <w:r w:rsidRPr="00775F96">
        <w:t xml:space="preserve">  In particular, the Consent Decree resolves the Bureau’s investigation </w:t>
      </w:r>
      <w:r w:rsidRPr="00775F96" w:rsidR="0017581E">
        <w:t xml:space="preserve">relating to </w:t>
      </w:r>
      <w:r w:rsidRPr="00775F96" w:rsidR="004760D6">
        <w:t xml:space="preserve">the Licensee’s </w:t>
      </w:r>
      <w:r w:rsidRPr="00775F96" w:rsidR="0017581E">
        <w:t xml:space="preserve">compliance </w:t>
      </w:r>
      <w:r w:rsidRPr="00775F96" w:rsidR="003976A3">
        <w:t>with</w:t>
      </w:r>
      <w:r w:rsidRPr="00775F96" w:rsidR="000B4D9D">
        <w:t xml:space="preserve"> </w:t>
      </w:r>
      <w:r w:rsidRPr="00775F96" w:rsidR="001B0A22">
        <w:t>(</w:t>
      </w:r>
      <w:r w:rsidRPr="00775F96" w:rsidR="00786D10">
        <w:t>1</w:t>
      </w:r>
      <w:r w:rsidRPr="00775F96" w:rsidR="001B0A22">
        <w:t xml:space="preserve">) </w:t>
      </w:r>
      <w:r w:rsidRPr="00775F96" w:rsidR="000B4D9D">
        <w:t>section</w:t>
      </w:r>
      <w:r w:rsidRPr="00775F96" w:rsidR="003976A3">
        <w:t xml:space="preserve"> </w:t>
      </w:r>
      <w:r w:rsidRPr="00775F96" w:rsidR="002A7D52">
        <w:t>1.17</w:t>
      </w:r>
      <w:r w:rsidRPr="00775F96" w:rsidR="00083EDF">
        <w:t xml:space="preserve"> of the Commission’s rules (Rules), </w:t>
      </w:r>
      <w:r w:rsidRPr="00775F96" w:rsidR="00DD5406">
        <w:t xml:space="preserve">which requires </w:t>
      </w:r>
      <w:r w:rsidRPr="00775F96" w:rsidR="00E23C21">
        <w:t>l</w:t>
      </w:r>
      <w:r w:rsidRPr="00775F96" w:rsidR="00DD5406">
        <w:t xml:space="preserve">icensees </w:t>
      </w:r>
      <w:r w:rsidRPr="00775F96" w:rsidR="003A7AE3">
        <w:t xml:space="preserve">to provide </w:t>
      </w:r>
      <w:r w:rsidRPr="00775F96" w:rsidR="00C75EB9">
        <w:t xml:space="preserve">accurate </w:t>
      </w:r>
      <w:r w:rsidRPr="00775F96" w:rsidR="00DB16B9">
        <w:t>information</w:t>
      </w:r>
      <w:r w:rsidRPr="00775F96" w:rsidR="00C75EB9">
        <w:t xml:space="preserve"> to the Commission</w:t>
      </w:r>
      <w:r w:rsidRPr="00775F96" w:rsidR="003A7AE3">
        <w:t>,</w:t>
      </w:r>
      <w:r>
        <w:rPr>
          <w:rStyle w:val="FootnoteReference"/>
        </w:rPr>
        <w:footnoteReference w:id="4"/>
      </w:r>
      <w:r w:rsidRPr="00775F96" w:rsidR="004A3F80">
        <w:t xml:space="preserve"> and</w:t>
      </w:r>
      <w:r w:rsidRPr="00775F96" w:rsidR="00786D10">
        <w:t xml:space="preserve"> (2)</w:t>
      </w:r>
      <w:r w:rsidRPr="00775F96" w:rsidR="00DA0468">
        <w:t xml:space="preserve"> section</w:t>
      </w:r>
      <w:r w:rsidRPr="00775F96" w:rsidR="004A3F80">
        <w:t xml:space="preserve"> </w:t>
      </w:r>
      <w:r w:rsidRPr="00775F96" w:rsidR="003976A3">
        <w:t>73.3526(e)(11)</w:t>
      </w:r>
      <w:r w:rsidRPr="00775F96" w:rsidR="00450A07">
        <w:t>(</w:t>
      </w:r>
      <w:r w:rsidRPr="00775F96" w:rsidR="00450A07">
        <w:t>i</w:t>
      </w:r>
      <w:r w:rsidRPr="00775F96" w:rsidR="00450A07">
        <w:t>)</w:t>
      </w:r>
      <w:r w:rsidRPr="00775F96" w:rsidR="003976A3">
        <w:t xml:space="preserve"> of the Rules, which require</w:t>
      </w:r>
      <w:r w:rsidRPr="00775F96" w:rsidR="00AA6694">
        <w:t>s</w:t>
      </w:r>
      <w:r w:rsidRPr="00775F96" w:rsidR="003976A3">
        <w:t xml:space="preserve"> Class A television stations </w:t>
      </w:r>
      <w:r w:rsidRPr="00775F96" w:rsidR="00AA6694">
        <w:t xml:space="preserve">to </w:t>
      </w:r>
      <w:r w:rsidRPr="00775F96" w:rsidR="00786D10">
        <w:t xml:space="preserve">upload </w:t>
      </w:r>
      <w:r w:rsidRPr="00775F96" w:rsidR="00AA6694">
        <w:t xml:space="preserve">to their online public inspection file (OPIF) on a quarterly basis </w:t>
      </w:r>
      <w:r w:rsidRPr="00775F96" w:rsidR="0081576F">
        <w:t xml:space="preserve">a </w:t>
      </w:r>
      <w:r w:rsidRPr="00775F96" w:rsidR="00786D10">
        <w:t>list</w:t>
      </w:r>
      <w:r w:rsidRPr="00775F96" w:rsidR="0081576F">
        <w:t xml:space="preserve"> of</w:t>
      </w:r>
      <w:r w:rsidRPr="00775F96" w:rsidR="00A55ADE">
        <w:t xml:space="preserve"> programs </w:t>
      </w:r>
      <w:r w:rsidRPr="00775F96" w:rsidR="007C67CE">
        <w:t xml:space="preserve">(issues/programs lists) </w:t>
      </w:r>
      <w:r w:rsidRPr="00775F96" w:rsidR="00A55ADE">
        <w:t>that have provided the station’s most significant treatment of community issues during that period</w:t>
      </w:r>
      <w:r w:rsidRPr="00775F96" w:rsidR="00E76C3A">
        <w:t>.</w:t>
      </w:r>
      <w:r>
        <w:rPr>
          <w:rStyle w:val="FootnoteReference"/>
          <w:sz w:val="22"/>
          <w:szCs w:val="22"/>
        </w:rPr>
        <w:footnoteReference w:id="5"/>
      </w:r>
      <w:r w:rsidRPr="00775F96" w:rsidR="00E76C3A">
        <w:t xml:space="preserve"> </w:t>
      </w:r>
      <w:r w:rsidRPr="00775F96" w:rsidR="00B13F83">
        <w:t xml:space="preserve"> </w:t>
      </w:r>
      <w:r w:rsidRPr="00775F96">
        <w:rPr>
          <w:szCs w:val="22"/>
        </w:rPr>
        <w:t>We find that through adoption of the Consent Decree grant of the Stations</w:t>
      </w:r>
      <w:r w:rsidRPr="00775F96" w:rsidR="00B31E67">
        <w:rPr>
          <w:szCs w:val="22"/>
        </w:rPr>
        <w:t>’</w:t>
      </w:r>
      <w:r w:rsidRPr="00775F96">
        <w:rPr>
          <w:szCs w:val="22"/>
        </w:rPr>
        <w:t xml:space="preserve"> Renewal Application</w:t>
      </w:r>
      <w:r w:rsidRPr="00775F96" w:rsidR="00B31E67">
        <w:rPr>
          <w:szCs w:val="22"/>
        </w:rPr>
        <w:t>s</w:t>
      </w:r>
      <w:r w:rsidRPr="00775F96">
        <w:rPr>
          <w:szCs w:val="22"/>
        </w:rPr>
        <w:t xml:space="preserve"> is in the public interest.</w:t>
      </w:r>
    </w:p>
    <w:p w:rsidR="00685FA0" w:rsidRPr="00775F96" w:rsidP="004515E6" w14:paraId="5F936363" w14:textId="0D159200">
      <w:pPr>
        <w:pStyle w:val="ParaNum"/>
      </w:pPr>
      <w:r w:rsidRPr="00775F96">
        <w:t>The Bureau and the Licensee have negotiated the attached Consent Decree in which the Licensee agree</w:t>
      </w:r>
      <w:r w:rsidRPr="00775F96" w:rsidR="002B484C">
        <w:t>s</w:t>
      </w:r>
      <w:r w:rsidRPr="00775F96">
        <w:t xml:space="preserve">, among other things, to make a </w:t>
      </w:r>
      <w:r w:rsidRPr="00775F96" w:rsidR="00F90ED6">
        <w:t>voluntary contribution</w:t>
      </w:r>
      <w:r w:rsidRPr="00775F96">
        <w:t xml:space="preserve"> to the United States Treasury in the amount of </w:t>
      </w:r>
      <w:r w:rsidRPr="00775F96" w:rsidR="004B51C3">
        <w:t xml:space="preserve">Six </w:t>
      </w:r>
      <w:r w:rsidRPr="00775F96">
        <w:t>Thousand Dollars ($</w:t>
      </w:r>
      <w:r w:rsidRPr="00775F96" w:rsidR="004B51C3">
        <w:t>6</w:t>
      </w:r>
      <w:r w:rsidRPr="00775F96">
        <w:t>,</w:t>
      </w:r>
      <w:r w:rsidRPr="00775F96" w:rsidR="00B320F6">
        <w:t>0</w:t>
      </w:r>
      <w:r w:rsidRPr="00775F96">
        <w:t xml:space="preserve">00) and implement a compliance plan to ensure future compliance with </w:t>
      </w:r>
      <w:r w:rsidRPr="00775F96" w:rsidR="00E2235C">
        <w:t>section</w:t>
      </w:r>
      <w:r w:rsidRPr="00775F96" w:rsidR="00C0328E">
        <w:t>s</w:t>
      </w:r>
      <w:r w:rsidRPr="00775F96" w:rsidR="00E2235C">
        <w:t xml:space="preserve"> </w:t>
      </w:r>
      <w:r w:rsidRPr="00775F96" w:rsidR="00C75EB9">
        <w:t>1.17</w:t>
      </w:r>
      <w:r w:rsidRPr="00775F96" w:rsidR="00C0328E">
        <w:t xml:space="preserve"> and </w:t>
      </w:r>
      <w:r w:rsidRPr="00775F96" w:rsidR="00E2235C">
        <w:t>73.3526</w:t>
      </w:r>
      <w:r w:rsidRPr="00775F96" w:rsidR="00C0328E">
        <w:t>(e)(11)</w:t>
      </w:r>
      <w:r w:rsidRPr="00775F96" w:rsidR="00450A07">
        <w:t>(</w:t>
      </w:r>
      <w:r w:rsidRPr="00775F96" w:rsidR="00450A07">
        <w:t>i</w:t>
      </w:r>
      <w:r w:rsidRPr="00775F96" w:rsidR="00450A07">
        <w:t>)</w:t>
      </w:r>
      <w:r w:rsidRPr="00775F96" w:rsidR="00E2235C">
        <w:t xml:space="preserve"> of the Rules</w:t>
      </w:r>
      <w:r w:rsidRPr="00775F96">
        <w:t>.</w:t>
      </w:r>
      <w:r>
        <w:rPr>
          <w:rStyle w:val="FootnoteReference"/>
        </w:rPr>
        <w:footnoteReference w:id="6"/>
      </w:r>
      <w:r w:rsidRPr="00775F96">
        <w:t xml:space="preserve">  After reviewing the terms of the Consent Decree, we find that the public interest will be served by its approval</w:t>
      </w:r>
      <w:r w:rsidRPr="00775F96" w:rsidR="00E4700F">
        <w:t xml:space="preserve"> and</w:t>
      </w:r>
      <w:r w:rsidRPr="00775F96" w:rsidR="00E2235C">
        <w:t xml:space="preserve"> </w:t>
      </w:r>
      <w:r w:rsidRPr="00775F96">
        <w:t>by terminating</w:t>
      </w:r>
      <w:r w:rsidRPr="00775F96" w:rsidR="00E2235C">
        <w:t xml:space="preserve"> investigation described in paragraph 1</w:t>
      </w:r>
      <w:r w:rsidRPr="00775F96">
        <w:t>.</w:t>
      </w:r>
      <w:r>
        <w:rPr>
          <w:rStyle w:val="FootnoteReference"/>
        </w:rPr>
        <w:footnoteReference w:id="7"/>
      </w:r>
      <w:r w:rsidRPr="00775F96" w:rsidR="00E2235C">
        <w:t xml:space="preserve">  </w:t>
      </w:r>
      <w:r w:rsidRPr="00775F96">
        <w:t>We</w:t>
      </w:r>
      <w:r w:rsidRPr="00775F96" w:rsidR="00E2235C">
        <w:t xml:space="preserve"> also</w:t>
      </w:r>
      <w:r w:rsidRPr="00775F96">
        <w:t xml:space="preserve"> </w:t>
      </w:r>
      <w:r w:rsidRPr="00775F96" w:rsidR="00E2235C">
        <w:t xml:space="preserve">find that </w:t>
      </w:r>
      <w:r w:rsidRPr="00775F96">
        <w:t>the Station</w:t>
      </w:r>
      <w:r w:rsidRPr="00775F96" w:rsidR="00104A15">
        <w:t>s</w:t>
      </w:r>
      <w:r w:rsidRPr="00775F96">
        <w:t xml:space="preserve"> ha</w:t>
      </w:r>
      <w:r w:rsidRPr="00775F96" w:rsidR="00104A15">
        <w:t>ve</w:t>
      </w:r>
      <w:r w:rsidRPr="00775F96">
        <w:t xml:space="preserve"> served the public interest, convenience, and necessity during the subject license term and that grant of the </w:t>
      </w:r>
      <w:r w:rsidRPr="00775F96" w:rsidR="00360DC5">
        <w:t xml:space="preserve">Renewal Applications </w:t>
      </w:r>
      <w:r w:rsidRPr="00775F96">
        <w:t>i</w:t>
      </w:r>
      <w:r w:rsidRPr="00775F96" w:rsidR="0076704F">
        <w:t>s</w:t>
      </w:r>
      <w:r w:rsidRPr="00775F96">
        <w:t xml:space="preserve"> warranted pursuant to section 309(k)</w:t>
      </w:r>
      <w:r w:rsidRPr="00775F96" w:rsidR="00B85566">
        <w:t>(1)</w:t>
      </w:r>
      <w:r w:rsidRPr="00775F96">
        <w:t xml:space="preserve"> of the Communications Act of 1934, as amended.</w:t>
      </w:r>
      <w:r>
        <w:rPr>
          <w:rStyle w:val="FootnoteReference"/>
          <w:sz w:val="22"/>
          <w:szCs w:val="22"/>
        </w:rPr>
        <w:footnoteReference w:id="8"/>
      </w:r>
      <w:r w:rsidRPr="00775F96">
        <w:t xml:space="preserve">  We find that </w:t>
      </w:r>
      <w:r w:rsidRPr="00775F96">
        <w:t xml:space="preserve">nothing in the record creates a substantial and material question of fact as to whether the Licensee possess the basic qualifications to </w:t>
      </w:r>
      <w:r w:rsidRPr="00775F96" w:rsidR="00B85566">
        <w:t xml:space="preserve">hold Commission authorizations or </w:t>
      </w:r>
      <w:r w:rsidRPr="00775F96">
        <w:t>remain</w:t>
      </w:r>
      <w:r w:rsidR="00A10E40">
        <w:t xml:space="preserve"> a</w:t>
      </w:r>
      <w:r w:rsidRPr="00775F96">
        <w:t xml:space="preserve"> Commission licensee.  </w:t>
      </w:r>
    </w:p>
    <w:p w:rsidR="00685FA0" w:rsidRPr="00775F96" w:rsidP="00B612DB" w14:paraId="3458A588" w14:textId="77777777">
      <w:pPr>
        <w:pStyle w:val="ParaNum"/>
      </w:pPr>
      <w:r w:rsidRPr="00775F96">
        <w:rPr>
          <w:b/>
          <w:bCs/>
        </w:rPr>
        <w:t>ACCORDINGLY, IT IS ORDERED</w:t>
      </w:r>
      <w:r w:rsidRPr="00775F96">
        <w:t xml:space="preserve"> that, pursuant to section 4(</w:t>
      </w:r>
      <w:r w:rsidRPr="00775F96">
        <w:t>i</w:t>
      </w:r>
      <w:r w:rsidRPr="00775F96">
        <w:t>) of the Communications Act of 1934, as amended,</w:t>
      </w:r>
      <w:r>
        <w:rPr>
          <w:rStyle w:val="FootnoteReference"/>
          <w:sz w:val="22"/>
          <w:szCs w:val="22"/>
        </w:rPr>
        <w:footnoteReference w:id="9"/>
      </w:r>
      <w:r w:rsidRPr="00775F96">
        <w:t xml:space="preserve"> and by the authority delegated by sections 0.61, 0.204, 0.283, and 1.93(b) of the Commission’s rules,</w:t>
      </w:r>
      <w:r>
        <w:rPr>
          <w:rStyle w:val="FootnoteReference"/>
          <w:sz w:val="22"/>
          <w:szCs w:val="22"/>
        </w:rPr>
        <w:footnoteReference w:id="10"/>
      </w:r>
      <w:r w:rsidRPr="00775F96">
        <w:t xml:space="preserve"> the Consent Decree attached hereto </w:t>
      </w:r>
      <w:r w:rsidRPr="00775F96">
        <w:rPr>
          <w:b/>
          <w:bCs/>
        </w:rPr>
        <w:t xml:space="preserve">IS ADOPTED </w:t>
      </w:r>
      <w:r w:rsidRPr="00775F96">
        <w:t>without change, addition, or modification, and incorporated by reference.</w:t>
      </w:r>
    </w:p>
    <w:p w:rsidR="00685FA0" w:rsidRPr="00775F96" w:rsidP="00B612DB" w14:paraId="47D320B5" w14:textId="0670816E">
      <w:pPr>
        <w:pStyle w:val="ParaNum"/>
      </w:pPr>
      <w:r w:rsidRPr="00775F96">
        <w:rPr>
          <w:b/>
          <w:bCs/>
        </w:rPr>
        <w:t>IT IS FURTHER ORDERED</w:t>
      </w:r>
      <w:r w:rsidRPr="00775F96">
        <w:t xml:space="preserve"> that the investigation by the Media Bureau of the matters noted above </w:t>
      </w:r>
      <w:r w:rsidRPr="00775F96">
        <w:rPr>
          <w:b/>
          <w:bCs/>
        </w:rPr>
        <w:t>IS TERMINATED</w:t>
      </w:r>
      <w:r w:rsidRPr="00775F96" w:rsidR="00B85566">
        <w:rPr>
          <w:b/>
          <w:bCs/>
        </w:rPr>
        <w:t xml:space="preserve"> </w:t>
      </w:r>
      <w:r w:rsidRPr="00775F96" w:rsidR="00B85566">
        <w:t>in accordance with the terms of the attached Consent Decree</w:t>
      </w:r>
      <w:r w:rsidRPr="00775F96">
        <w:t>.</w:t>
      </w:r>
    </w:p>
    <w:p w:rsidR="00685FA0" w:rsidRPr="00775F96" w:rsidP="00B612DB" w14:paraId="099A927A" w14:textId="5B23002D">
      <w:pPr>
        <w:pStyle w:val="ParaNum"/>
      </w:pPr>
      <w:r w:rsidRPr="00775F96">
        <w:rPr>
          <w:b/>
          <w:bCs/>
        </w:rPr>
        <w:t xml:space="preserve">IT IS FURTHER ORDERED </w:t>
      </w:r>
      <w:r w:rsidRPr="00775F96">
        <w:t>that pursuant to section 309(k)</w:t>
      </w:r>
      <w:r w:rsidR="00213665">
        <w:t>(1)</w:t>
      </w:r>
      <w:r w:rsidRPr="00775F96">
        <w:t xml:space="preserve"> of the Communications Act of 1934, as amended,</w:t>
      </w:r>
      <w:r>
        <w:rPr>
          <w:rStyle w:val="FootnoteReference"/>
          <w:sz w:val="22"/>
          <w:szCs w:val="22"/>
        </w:rPr>
        <w:footnoteReference w:id="11"/>
      </w:r>
      <w:r w:rsidRPr="00775F96">
        <w:t xml:space="preserve"> the application</w:t>
      </w:r>
      <w:r w:rsidRPr="00775F96" w:rsidR="00924B43">
        <w:t>s</w:t>
      </w:r>
      <w:r w:rsidRPr="00775F96">
        <w:t xml:space="preserve"> for renewal of license of </w:t>
      </w:r>
      <w:r w:rsidRPr="00775F96" w:rsidR="00366517">
        <w:t>Class A</w:t>
      </w:r>
      <w:r w:rsidRPr="00775F96" w:rsidR="00163EAD">
        <w:t xml:space="preserve"> </w:t>
      </w:r>
      <w:r w:rsidRPr="00775F96">
        <w:t>television station</w:t>
      </w:r>
      <w:r w:rsidRPr="00775F96" w:rsidR="00707699">
        <w:t>s</w:t>
      </w:r>
      <w:r w:rsidRPr="00775F96">
        <w:t xml:space="preserve"> </w:t>
      </w:r>
      <w:r w:rsidRPr="00775F96" w:rsidR="00924B43">
        <w:rPr>
          <w:spacing w:val="-2"/>
        </w:rPr>
        <w:t>WWAT</w:t>
      </w:r>
      <w:r w:rsidRPr="00775F96" w:rsidR="00F125AB">
        <w:rPr>
          <w:spacing w:val="-2"/>
        </w:rPr>
        <w:t>-CD</w:t>
      </w:r>
      <w:r w:rsidRPr="00775F96">
        <w:rPr>
          <w:spacing w:val="-2"/>
        </w:rPr>
        <w:t xml:space="preserve">, </w:t>
      </w:r>
      <w:r w:rsidRPr="00775F96" w:rsidR="00D4631F">
        <w:rPr>
          <w:spacing w:val="-2"/>
        </w:rPr>
        <w:t>Charleroi, Pennsylvania</w:t>
      </w:r>
      <w:r w:rsidRPr="00775F96" w:rsidR="00B85566">
        <w:rPr>
          <w:spacing w:val="-2"/>
        </w:rPr>
        <w:t xml:space="preserve"> (</w:t>
      </w:r>
      <w:r w:rsidRPr="00775F96">
        <w:t>LMS File No. 0000</w:t>
      </w:r>
      <w:r w:rsidRPr="00775F96" w:rsidR="00707699">
        <w:t>213311</w:t>
      </w:r>
      <w:r w:rsidRPr="00775F96" w:rsidR="00B85566">
        <w:t>)</w:t>
      </w:r>
      <w:r w:rsidRPr="00775F96" w:rsidR="001E4DBB">
        <w:t xml:space="preserve"> and</w:t>
      </w:r>
      <w:r w:rsidRPr="00775F96" w:rsidR="00707699">
        <w:t xml:space="preserve"> WPTG-CD, Pittsburgh, Pennsylvania</w:t>
      </w:r>
      <w:r w:rsidRPr="00775F96" w:rsidR="00B85566">
        <w:t xml:space="preserve"> (</w:t>
      </w:r>
      <w:r w:rsidRPr="00775F96" w:rsidR="00EA7CFA">
        <w:t xml:space="preserve">LMS File No. </w:t>
      </w:r>
      <w:r w:rsidRPr="00775F96" w:rsidR="00707699">
        <w:t>0000213314</w:t>
      </w:r>
      <w:r w:rsidRPr="00775F96" w:rsidR="00B85566">
        <w:t>)</w:t>
      </w:r>
      <w:r w:rsidRPr="00775F96">
        <w:t xml:space="preserve"> </w:t>
      </w:r>
      <w:r w:rsidRPr="00775F96" w:rsidR="00112E16">
        <w:rPr>
          <w:b/>
          <w:bCs/>
        </w:rPr>
        <w:t>ARE</w:t>
      </w:r>
      <w:r w:rsidRPr="00775F96">
        <w:rPr>
          <w:b/>
          <w:bCs/>
        </w:rPr>
        <w:t xml:space="preserve"> GRANTED</w:t>
      </w:r>
      <w:r w:rsidRPr="00775F96" w:rsidR="00B85566">
        <w:rPr>
          <w:b/>
          <w:bCs/>
        </w:rPr>
        <w:t xml:space="preserve"> </w:t>
      </w:r>
      <w:r w:rsidRPr="00775F96" w:rsidR="00B85566">
        <w:t xml:space="preserve">in accordance with </w:t>
      </w:r>
      <w:r w:rsidRPr="00775F96">
        <w:t>the terms</w:t>
      </w:r>
      <w:r w:rsidRPr="00775F96" w:rsidR="00B85566">
        <w:t xml:space="preserve"> </w:t>
      </w:r>
      <w:r w:rsidRPr="00775F96">
        <w:t>of the attached Consent Decree</w:t>
      </w:r>
      <w:r w:rsidR="00C36D2F">
        <w:t xml:space="preserve"> and conditioned upon compliance with the terms of paragraph 13 thereto</w:t>
      </w:r>
      <w:r w:rsidRPr="00775F96">
        <w:t>.</w:t>
      </w:r>
    </w:p>
    <w:p w:rsidR="00B54056" w:rsidRPr="00775F96" w:rsidP="00B54056" w14:paraId="4F682467" w14:textId="2667A7C6">
      <w:pPr>
        <w:pStyle w:val="ParaNum"/>
      </w:pPr>
      <w:r w:rsidRPr="00775F96">
        <w:rPr>
          <w:b/>
          <w:bCs/>
        </w:rPr>
        <w:t>IT IS FURTHER ORDERED</w:t>
      </w:r>
      <w:r w:rsidRPr="00775F96">
        <w:t xml:space="preserve"> that a copy of this Order and Consent Decree shall be sent, by First Class and Certified Mail, Return Receipt Requested, to </w:t>
      </w:r>
      <w:r w:rsidRPr="00775F96" w:rsidR="00995D8A">
        <w:rPr>
          <w:snapToGrid/>
          <w:kern w:val="0"/>
        </w:rPr>
        <w:t>Ron Bruno</w:t>
      </w:r>
      <w:r w:rsidRPr="00775F96">
        <w:rPr>
          <w:snapToGrid/>
          <w:kern w:val="0"/>
        </w:rPr>
        <w:t>,</w:t>
      </w:r>
      <w:r w:rsidRPr="00775F96">
        <w:rPr>
          <w:kern w:val="0"/>
        </w:rPr>
        <w:t xml:space="preserve"> </w:t>
      </w:r>
      <w:r w:rsidRPr="00775F96" w:rsidR="00002ECE">
        <w:rPr>
          <w:snapToGrid/>
          <w:kern w:val="0"/>
        </w:rPr>
        <w:t>Fifth Street Enterprises, LLC,</w:t>
      </w:r>
      <w:r w:rsidRPr="00775F96" w:rsidR="00F84B3F">
        <w:t xml:space="preserve"> </w:t>
      </w:r>
      <w:r w:rsidRPr="00775F96" w:rsidR="00FB5DD3">
        <w:t xml:space="preserve">975 Greentree </w:t>
      </w:r>
      <w:r w:rsidRPr="00775F96" w:rsidR="00C579B7">
        <w:t>Rd.</w:t>
      </w:r>
      <w:r w:rsidRPr="00775F96" w:rsidR="004E04A9">
        <w:t xml:space="preserve">, </w:t>
      </w:r>
      <w:r w:rsidRPr="00775F96" w:rsidR="00C579B7">
        <w:t>Pi</w:t>
      </w:r>
      <w:r w:rsidRPr="00775F96" w:rsidR="00ED7B18">
        <w:t>ttsburgh</w:t>
      </w:r>
      <w:r w:rsidRPr="00775F96" w:rsidR="004E04A9">
        <w:t xml:space="preserve">, </w:t>
      </w:r>
      <w:r w:rsidRPr="00775F96" w:rsidR="00ED7B18">
        <w:t>PA</w:t>
      </w:r>
      <w:r w:rsidRPr="00775F96" w:rsidR="004E04A9">
        <w:t xml:space="preserve"> </w:t>
      </w:r>
      <w:r w:rsidRPr="00775F96" w:rsidR="00ED7B18">
        <w:t>15220</w:t>
      </w:r>
      <w:r w:rsidRPr="00775F96" w:rsidR="00B85566">
        <w:t xml:space="preserve">, and by e-mail to </w:t>
      </w:r>
      <w:hyperlink r:id="rId6" w:history="1">
        <w:r w:rsidRPr="00775F96" w:rsidR="00692418">
          <w:rPr>
            <w:rStyle w:val="Hyperlink"/>
          </w:rPr>
          <w:t>ron@thevideohouse.com</w:t>
        </w:r>
      </w:hyperlink>
      <w:r w:rsidRPr="00775F96">
        <w:t xml:space="preserve">.  A copy shall also be sent in the same manner to </w:t>
      </w:r>
      <w:r w:rsidRPr="00775F96" w:rsidR="00DC36B9">
        <w:t xml:space="preserve">the </w:t>
      </w:r>
      <w:r w:rsidRPr="00775F96">
        <w:t>Licensee</w:t>
      </w:r>
      <w:r w:rsidRPr="00775F96" w:rsidR="00ED7B18">
        <w:t>’</w:t>
      </w:r>
      <w:r w:rsidRPr="00775F96" w:rsidR="001833D9">
        <w:t>s</w:t>
      </w:r>
      <w:r w:rsidRPr="00775F96">
        <w:t xml:space="preserve"> counsel, </w:t>
      </w:r>
      <w:r w:rsidRPr="00775F96" w:rsidR="00ED7B18">
        <w:t>Joan</w:t>
      </w:r>
      <w:r w:rsidRPr="00775F96" w:rsidR="00872704">
        <w:t xml:space="preserve"> </w:t>
      </w:r>
      <w:r w:rsidRPr="00775F96" w:rsidR="00ED7B18">
        <w:t>Stewart</w:t>
      </w:r>
      <w:r w:rsidRPr="00775F96">
        <w:t xml:space="preserve">, Esq., </w:t>
      </w:r>
      <w:r w:rsidRPr="00775F96" w:rsidR="006C4D32">
        <w:t>2050 M Street</w:t>
      </w:r>
      <w:r w:rsidRPr="00775F96" w:rsidR="009A3439">
        <w:t>, NW</w:t>
      </w:r>
      <w:r w:rsidRPr="00775F96">
        <w:t xml:space="preserve">, </w:t>
      </w:r>
      <w:r w:rsidRPr="00775F96" w:rsidR="00811622">
        <w:t>Washington</w:t>
      </w:r>
      <w:r w:rsidRPr="00775F96">
        <w:t xml:space="preserve">, </w:t>
      </w:r>
      <w:r w:rsidRPr="00775F96" w:rsidR="00811622">
        <w:t>DC</w:t>
      </w:r>
      <w:r w:rsidRPr="00775F96">
        <w:t xml:space="preserve"> </w:t>
      </w:r>
      <w:r w:rsidRPr="00775F96" w:rsidR="00811622">
        <w:t>20036</w:t>
      </w:r>
      <w:r w:rsidRPr="00775F96">
        <w:t>, and by e-mail to</w:t>
      </w:r>
      <w:r w:rsidRPr="00775F96" w:rsidR="00B70673">
        <w:t xml:space="preserve"> </w:t>
      </w:r>
      <w:hyperlink r:id="rId7" w:history="1">
        <w:r w:rsidRPr="00775F96" w:rsidR="009A3439">
          <w:rPr>
            <w:rStyle w:val="Hyperlink"/>
          </w:rPr>
          <w:t>jstewart@wiley.law</w:t>
        </w:r>
      </w:hyperlink>
      <w:r w:rsidRPr="00775F96" w:rsidR="00811622">
        <w:t>.</w:t>
      </w:r>
      <w:r w:rsidRPr="00775F96" w:rsidR="009A3439">
        <w:t xml:space="preserve"> </w:t>
      </w:r>
      <w:r w:rsidRPr="00775F96" w:rsidR="00811622">
        <w:t xml:space="preserve"> </w:t>
      </w:r>
    </w:p>
    <w:p w:rsidR="00685FA0" w:rsidRPr="00775F96" w:rsidP="00685FA0" w14:paraId="27E3119B" w14:textId="77777777">
      <w:pPr>
        <w:pStyle w:val="ParaNum"/>
        <w:numPr>
          <w:ilvl w:val="0"/>
          <w:numId w:val="0"/>
        </w:numPr>
        <w:ind w:left="720"/>
        <w:rPr>
          <w:szCs w:val="22"/>
        </w:rPr>
      </w:pPr>
      <w:r w:rsidRPr="00775F96">
        <w:rPr>
          <w:szCs w:val="22"/>
        </w:rPr>
        <w:tab/>
        <w:t xml:space="preserve"> </w:t>
      </w:r>
      <w:r w:rsidRPr="00775F96">
        <w:rPr>
          <w:szCs w:val="22"/>
        </w:rPr>
        <w:tab/>
      </w:r>
      <w:r w:rsidRPr="00775F96">
        <w:rPr>
          <w:szCs w:val="22"/>
        </w:rPr>
        <w:tab/>
      </w:r>
      <w:r w:rsidRPr="00775F96">
        <w:rPr>
          <w:szCs w:val="22"/>
        </w:rPr>
        <w:tab/>
      </w:r>
      <w:r w:rsidRPr="00775F96">
        <w:rPr>
          <w:szCs w:val="22"/>
        </w:rPr>
        <w:tab/>
        <w:t>FEDERAL COMMUNICATIONS COMMISSION</w:t>
      </w:r>
    </w:p>
    <w:p w:rsidR="00685FA0" w:rsidRPr="00775F96" w:rsidP="00685FA0" w14:paraId="4D27384E" w14:textId="77777777">
      <w:pPr>
        <w:tabs>
          <w:tab w:val="left" w:pos="720"/>
          <w:tab w:val="left" w:pos="4680"/>
        </w:tabs>
        <w:rPr>
          <w:szCs w:val="22"/>
        </w:rPr>
      </w:pPr>
    </w:p>
    <w:p w:rsidR="00685FA0" w:rsidRPr="00775F96" w:rsidP="00685FA0" w14:paraId="74A7EFBC" w14:textId="77777777">
      <w:pPr>
        <w:tabs>
          <w:tab w:val="left" w:pos="720"/>
          <w:tab w:val="left" w:pos="4680"/>
        </w:tabs>
        <w:rPr>
          <w:szCs w:val="22"/>
        </w:rPr>
      </w:pPr>
    </w:p>
    <w:p w:rsidR="00685FA0" w:rsidRPr="00775F96" w:rsidP="00685FA0" w14:paraId="69A4F29C" w14:textId="77777777">
      <w:pPr>
        <w:tabs>
          <w:tab w:val="left" w:pos="720"/>
          <w:tab w:val="left" w:pos="4680"/>
        </w:tabs>
        <w:rPr>
          <w:szCs w:val="22"/>
        </w:rPr>
      </w:pPr>
    </w:p>
    <w:p w:rsidR="00685FA0" w:rsidRPr="00775F96" w:rsidP="00685FA0" w14:paraId="77FC397D" w14:textId="60A37AF5">
      <w:pPr>
        <w:autoSpaceDE w:val="0"/>
        <w:autoSpaceDN w:val="0"/>
        <w:adjustRightInd w:val="0"/>
        <w:rPr>
          <w:szCs w:val="22"/>
        </w:rPr>
      </w:pPr>
      <w:r w:rsidRPr="00775F96">
        <w:rPr>
          <w:szCs w:val="22"/>
        </w:rPr>
        <w:tab/>
      </w:r>
      <w:r w:rsidRPr="00775F96">
        <w:rPr>
          <w:szCs w:val="22"/>
        </w:rPr>
        <w:tab/>
      </w:r>
      <w:r w:rsidRPr="00775F96">
        <w:rPr>
          <w:szCs w:val="22"/>
        </w:rPr>
        <w:tab/>
      </w:r>
      <w:r w:rsidRPr="00775F96">
        <w:rPr>
          <w:szCs w:val="22"/>
        </w:rPr>
        <w:tab/>
      </w:r>
      <w:r w:rsidRPr="00775F96">
        <w:rPr>
          <w:szCs w:val="22"/>
        </w:rPr>
        <w:tab/>
      </w:r>
      <w:r w:rsidRPr="00775F96">
        <w:rPr>
          <w:szCs w:val="22"/>
        </w:rPr>
        <w:tab/>
      </w:r>
      <w:r w:rsidRPr="00775F96" w:rsidR="0091541B">
        <w:rPr>
          <w:szCs w:val="22"/>
        </w:rPr>
        <w:t>David</w:t>
      </w:r>
      <w:r w:rsidR="00A10E40">
        <w:rPr>
          <w:szCs w:val="22"/>
        </w:rPr>
        <w:t xml:space="preserve"> J.</w:t>
      </w:r>
      <w:r w:rsidRPr="00775F96" w:rsidR="0091541B">
        <w:rPr>
          <w:szCs w:val="22"/>
        </w:rPr>
        <w:t xml:space="preserve"> Brown</w:t>
      </w:r>
    </w:p>
    <w:p w:rsidR="00685FA0" w:rsidRPr="00775F96" w:rsidP="00685FA0" w14:paraId="2236630D" w14:textId="74F8C3F0">
      <w:pPr>
        <w:autoSpaceDE w:val="0"/>
        <w:autoSpaceDN w:val="0"/>
        <w:adjustRightInd w:val="0"/>
        <w:ind w:left="3600" w:firstLine="720"/>
        <w:rPr>
          <w:szCs w:val="22"/>
        </w:rPr>
      </w:pPr>
      <w:r w:rsidRPr="00775F96">
        <w:rPr>
          <w:szCs w:val="22"/>
        </w:rPr>
        <w:t>Chief, Video Division</w:t>
      </w:r>
    </w:p>
    <w:p w:rsidR="00685FA0" w:rsidRPr="00775F96" w:rsidP="00685FA0" w14:paraId="1B82C044" w14:textId="77777777">
      <w:pPr>
        <w:tabs>
          <w:tab w:val="left" w:pos="720"/>
          <w:tab w:val="left" w:pos="4320"/>
        </w:tabs>
        <w:rPr>
          <w:szCs w:val="22"/>
        </w:rPr>
      </w:pPr>
      <w:r w:rsidRPr="00775F96">
        <w:rPr>
          <w:szCs w:val="22"/>
        </w:rPr>
        <w:tab/>
      </w:r>
      <w:r w:rsidRPr="00775F96">
        <w:rPr>
          <w:szCs w:val="22"/>
        </w:rPr>
        <w:tab/>
        <w:t>Media Bureau</w:t>
      </w:r>
    </w:p>
    <w:p w:rsidR="00685FA0" w:rsidRPr="00775F96" w:rsidP="009D144D" w14:paraId="582C2932" w14:textId="77777777">
      <w:pPr>
        <w:jc w:val="center"/>
        <w:rPr>
          <w:rFonts w:ascii="Times New Roman Bold" w:hAnsi="Times New Roman Bold"/>
          <w:b/>
          <w:kern w:val="0"/>
          <w:szCs w:val="22"/>
        </w:rPr>
        <w:sectPr w:rsidSect="00685FA0">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720" w:left="1440" w:header="720" w:footer="720" w:gutter="0"/>
          <w:pgNumType w:start="1"/>
          <w:cols w:space="720"/>
          <w:noEndnote/>
          <w:titlePg/>
        </w:sectPr>
      </w:pPr>
    </w:p>
    <w:p w:rsidR="00603BFA" w:rsidRPr="00775F96" w:rsidP="00603BFA" w14:paraId="5B4637E0" w14:textId="77777777">
      <w:pPr>
        <w:jc w:val="center"/>
        <w:rPr>
          <w:b/>
        </w:rPr>
      </w:pPr>
      <w:r w:rsidRPr="00775F96">
        <w:rPr>
          <w:rFonts w:ascii="Times New Roman Bold" w:hAnsi="Times New Roman Bold"/>
          <w:b/>
          <w:kern w:val="0"/>
          <w:szCs w:val="22"/>
        </w:rPr>
        <w:t>Before</w:t>
      </w:r>
      <w:r w:rsidRPr="00775F96">
        <w:rPr>
          <w:b/>
        </w:rPr>
        <w:t xml:space="preserve"> the</w:t>
      </w:r>
    </w:p>
    <w:p w:rsidR="00603BFA" w:rsidRPr="00775F96" w:rsidP="00603BFA" w14:paraId="2FDA6E02" w14:textId="77777777">
      <w:pPr>
        <w:pStyle w:val="StyleBoldCentered"/>
      </w:pPr>
      <w:r w:rsidRPr="00775F96">
        <w:t>F</w:t>
      </w:r>
      <w:r w:rsidRPr="00775F96">
        <w:rPr>
          <w:caps w:val="0"/>
        </w:rPr>
        <w:t>ederal Communications Commission</w:t>
      </w:r>
    </w:p>
    <w:p w:rsidR="00603BFA" w:rsidRPr="00775F96" w:rsidP="00603BFA" w14:paraId="69BB1033" w14:textId="77777777">
      <w:pPr>
        <w:pStyle w:val="StyleBoldCentered"/>
      </w:pPr>
      <w:r w:rsidRPr="00775F96">
        <w:rPr>
          <w:caps w:val="0"/>
        </w:rPr>
        <w:t>Washington, D.C. 20554</w:t>
      </w:r>
    </w:p>
    <w:p w:rsidR="00603BFA" w:rsidRPr="00775F96" w:rsidP="00603BFA" w14:paraId="48696DB0" w14:textId="77777777"/>
    <w:tbl>
      <w:tblPr>
        <w:tblW w:w="0" w:type="auto"/>
        <w:tblLayout w:type="fixed"/>
        <w:tblLook w:val="0000"/>
      </w:tblPr>
      <w:tblGrid>
        <w:gridCol w:w="4698"/>
        <w:gridCol w:w="630"/>
        <w:gridCol w:w="4248"/>
      </w:tblGrid>
      <w:tr w14:paraId="17C4CA9C" w14:textId="77777777" w:rsidTr="00A26590">
        <w:tblPrEx>
          <w:tblW w:w="0" w:type="auto"/>
          <w:tblLayout w:type="fixed"/>
          <w:tblLook w:val="0000"/>
        </w:tblPrEx>
        <w:tc>
          <w:tcPr>
            <w:tcW w:w="4698" w:type="dxa"/>
          </w:tcPr>
          <w:p w:rsidR="00B66D26" w:rsidRPr="00775F96" w:rsidP="00B66D26" w14:paraId="54AA6201" w14:textId="31AE523D">
            <w:pPr>
              <w:tabs>
                <w:tab w:val="center" w:pos="4680"/>
              </w:tabs>
              <w:rPr>
                <w:spacing w:val="-2"/>
              </w:rPr>
            </w:pPr>
            <w:r w:rsidRPr="00775F96">
              <w:rPr>
                <w:spacing w:val="-2"/>
              </w:rPr>
              <w:t>In re Applications of</w:t>
            </w:r>
          </w:p>
          <w:p w:rsidR="00B66D26" w:rsidRPr="00775F96" w:rsidP="00B66D26" w14:paraId="07FED6FF" w14:textId="77777777">
            <w:pPr>
              <w:tabs>
                <w:tab w:val="center" w:pos="4680"/>
              </w:tabs>
              <w:rPr>
                <w:spacing w:val="-2"/>
              </w:rPr>
            </w:pPr>
          </w:p>
          <w:p w:rsidR="00A10E40" w:rsidP="00B85566" w14:paraId="79A923F1" w14:textId="0F8EBFBA">
            <w:pPr>
              <w:tabs>
                <w:tab w:val="center" w:pos="4680"/>
              </w:tabs>
              <w:rPr>
                <w:spacing w:val="-2"/>
              </w:rPr>
            </w:pPr>
            <w:r w:rsidRPr="00775F96">
              <w:rPr>
                <w:b/>
                <w:bCs/>
                <w:spacing w:val="-2"/>
              </w:rPr>
              <w:t>Fifth Street Enterprises, LLC</w:t>
            </w:r>
            <w:r w:rsidRPr="00775F96" w:rsidR="00B85566">
              <w:rPr>
                <w:b/>
                <w:bCs/>
                <w:spacing w:val="-2"/>
              </w:rPr>
              <w:t xml:space="preserve"> </w:t>
            </w:r>
            <w:r w:rsidRPr="00775F96" w:rsidR="00B85566">
              <w:rPr>
                <w:spacing w:val="-2"/>
              </w:rPr>
              <w:t xml:space="preserve"> </w:t>
            </w:r>
          </w:p>
          <w:p w:rsidR="00A10E40" w:rsidP="00B85566" w14:paraId="04FF91B3" w14:textId="77777777">
            <w:pPr>
              <w:tabs>
                <w:tab w:val="center" w:pos="4680"/>
              </w:tabs>
              <w:rPr>
                <w:spacing w:val="-2"/>
              </w:rPr>
            </w:pPr>
          </w:p>
          <w:p w:rsidR="00603BFA" w:rsidRPr="00775F96" w:rsidP="00B85566" w14:paraId="3A34C3AE" w14:textId="11B26CAB">
            <w:pPr>
              <w:tabs>
                <w:tab w:val="center" w:pos="4680"/>
              </w:tabs>
              <w:rPr>
                <w:spacing w:val="-2"/>
              </w:rPr>
            </w:pPr>
            <w:r w:rsidRPr="00775F96">
              <w:rPr>
                <w:spacing w:val="-2"/>
              </w:rPr>
              <w:t>For Renewal of License</w:t>
            </w:r>
            <w:r w:rsidR="00A10E40">
              <w:rPr>
                <w:spacing w:val="-2"/>
              </w:rPr>
              <w:t>s</w:t>
            </w:r>
            <w:r w:rsidRPr="00775F96">
              <w:rPr>
                <w:spacing w:val="-2"/>
              </w:rPr>
              <w:t xml:space="preserve"> of </w:t>
            </w:r>
            <w:r w:rsidRPr="00775F96" w:rsidR="00B85566">
              <w:rPr>
                <w:spacing w:val="-2"/>
              </w:rPr>
              <w:t xml:space="preserve">Class A TV </w:t>
            </w:r>
            <w:r w:rsidRPr="00775F96" w:rsidR="00B66D26">
              <w:rPr>
                <w:spacing w:val="-2"/>
              </w:rPr>
              <w:t>Stations WWAT-CD, Charleroi, Pennsylvania</w:t>
            </w:r>
            <w:r w:rsidRPr="00775F96" w:rsidR="00B85566">
              <w:rPr>
                <w:spacing w:val="-2"/>
              </w:rPr>
              <w:t xml:space="preserve"> and </w:t>
            </w:r>
            <w:r w:rsidRPr="00775F96" w:rsidR="00B66D26">
              <w:rPr>
                <w:spacing w:val="-2"/>
              </w:rPr>
              <w:t>WPTG</w:t>
            </w:r>
            <w:r w:rsidRPr="00775F96">
              <w:rPr>
                <w:spacing w:val="-2"/>
              </w:rPr>
              <w:t>-CD, Pittsburgh, Pennsylvania</w:t>
            </w:r>
          </w:p>
        </w:tc>
        <w:tc>
          <w:tcPr>
            <w:tcW w:w="630" w:type="dxa"/>
          </w:tcPr>
          <w:p w:rsidR="00603BFA" w:rsidRPr="00775F96" w:rsidP="00A26590" w14:paraId="1543C8EC" w14:textId="77777777">
            <w:pPr>
              <w:tabs>
                <w:tab w:val="center" w:pos="4680"/>
              </w:tabs>
              <w:rPr>
                <w:b/>
                <w:spacing w:val="-2"/>
              </w:rPr>
            </w:pPr>
            <w:r w:rsidRPr="00775F96">
              <w:rPr>
                <w:b/>
                <w:spacing w:val="-2"/>
              </w:rPr>
              <w:t>)</w:t>
            </w:r>
          </w:p>
          <w:p w:rsidR="00603BFA" w:rsidRPr="00775F96" w:rsidP="00A26590" w14:paraId="647FCFFD" w14:textId="77777777">
            <w:pPr>
              <w:tabs>
                <w:tab w:val="center" w:pos="4680"/>
              </w:tabs>
              <w:rPr>
                <w:b/>
                <w:spacing w:val="-2"/>
              </w:rPr>
            </w:pPr>
            <w:r w:rsidRPr="00775F96">
              <w:rPr>
                <w:b/>
                <w:spacing w:val="-2"/>
              </w:rPr>
              <w:t>)</w:t>
            </w:r>
          </w:p>
          <w:p w:rsidR="00603BFA" w:rsidRPr="00775F96" w:rsidP="00A26590" w14:paraId="165AF6FA" w14:textId="77777777">
            <w:pPr>
              <w:tabs>
                <w:tab w:val="center" w:pos="4680"/>
              </w:tabs>
              <w:rPr>
                <w:b/>
                <w:spacing w:val="-2"/>
              </w:rPr>
            </w:pPr>
            <w:r w:rsidRPr="00775F96">
              <w:rPr>
                <w:b/>
                <w:spacing w:val="-2"/>
              </w:rPr>
              <w:t>)</w:t>
            </w:r>
          </w:p>
          <w:p w:rsidR="00603BFA" w:rsidRPr="00775F96" w:rsidP="00A26590" w14:paraId="3AC19509" w14:textId="77777777">
            <w:pPr>
              <w:tabs>
                <w:tab w:val="center" w:pos="4680"/>
              </w:tabs>
              <w:rPr>
                <w:b/>
                <w:spacing w:val="-2"/>
              </w:rPr>
            </w:pPr>
            <w:r w:rsidRPr="00775F96">
              <w:rPr>
                <w:b/>
                <w:spacing w:val="-2"/>
              </w:rPr>
              <w:t>)</w:t>
            </w:r>
          </w:p>
          <w:p w:rsidR="00603BFA" w:rsidRPr="00775F96" w:rsidP="00A26590" w14:paraId="2F7F474C" w14:textId="77777777">
            <w:pPr>
              <w:tabs>
                <w:tab w:val="center" w:pos="4680"/>
              </w:tabs>
              <w:rPr>
                <w:b/>
                <w:spacing w:val="-2"/>
              </w:rPr>
            </w:pPr>
            <w:r w:rsidRPr="00775F96">
              <w:rPr>
                <w:b/>
                <w:spacing w:val="-2"/>
              </w:rPr>
              <w:t>)</w:t>
            </w:r>
          </w:p>
          <w:p w:rsidR="001677F2" w:rsidP="00A26590" w14:paraId="54939E30" w14:textId="77777777">
            <w:pPr>
              <w:tabs>
                <w:tab w:val="center" w:pos="4680"/>
              </w:tabs>
              <w:rPr>
                <w:b/>
                <w:spacing w:val="-2"/>
              </w:rPr>
            </w:pPr>
            <w:r w:rsidRPr="00775F96">
              <w:rPr>
                <w:b/>
                <w:spacing w:val="-2"/>
              </w:rPr>
              <w:t>)</w:t>
            </w:r>
          </w:p>
          <w:p w:rsidR="00A10E40" w:rsidRPr="00775F96" w:rsidP="00A26590" w14:paraId="40DEFDF5" w14:textId="2ABF0E86">
            <w:pPr>
              <w:tabs>
                <w:tab w:val="center" w:pos="4680"/>
              </w:tabs>
              <w:rPr>
                <w:b/>
                <w:spacing w:val="-2"/>
              </w:rPr>
            </w:pPr>
            <w:r>
              <w:rPr>
                <w:b/>
                <w:spacing w:val="-2"/>
              </w:rPr>
              <w:t>)</w:t>
            </w:r>
          </w:p>
        </w:tc>
        <w:tc>
          <w:tcPr>
            <w:tcW w:w="4248" w:type="dxa"/>
          </w:tcPr>
          <w:p w:rsidR="00603BFA" w:rsidRPr="00775F96" w:rsidP="00A26590" w14:paraId="45C1878E" w14:textId="77777777">
            <w:pPr>
              <w:tabs>
                <w:tab w:val="center" w:pos="4680"/>
              </w:tabs>
              <w:rPr>
                <w:spacing w:val="-2"/>
              </w:rPr>
            </w:pPr>
          </w:p>
          <w:p w:rsidR="00603BFA" w:rsidRPr="00775F96" w:rsidP="00A26590" w14:paraId="2C7A2D7A" w14:textId="77777777">
            <w:pPr>
              <w:pStyle w:val="TOAHeading"/>
              <w:tabs>
                <w:tab w:val="center" w:pos="4680"/>
                <w:tab w:val="clear" w:pos="9360"/>
              </w:tabs>
              <w:suppressAutoHyphens w:val="0"/>
              <w:rPr>
                <w:spacing w:val="-2"/>
              </w:rPr>
            </w:pPr>
          </w:p>
          <w:p w:rsidR="002425E5" w:rsidRPr="00775F96" w:rsidP="002425E5" w14:paraId="601EA95B" w14:textId="493166F3">
            <w:pPr>
              <w:pStyle w:val="TOAHeading"/>
              <w:tabs>
                <w:tab w:val="center" w:pos="4680"/>
              </w:tabs>
              <w:suppressAutoHyphens w:val="0"/>
              <w:rPr>
                <w:spacing w:val="-2"/>
              </w:rPr>
            </w:pPr>
            <w:r w:rsidRPr="00775F96">
              <w:rPr>
                <w:spacing w:val="-2"/>
              </w:rPr>
              <w:t xml:space="preserve">Acct. No. </w:t>
            </w:r>
            <w:r w:rsidR="00614014">
              <w:rPr>
                <w:spacing w:val="-2"/>
              </w:rPr>
              <w:t>202541420012</w:t>
            </w:r>
          </w:p>
          <w:p w:rsidR="002425E5" w:rsidRPr="00775F96" w:rsidP="002425E5" w14:paraId="135400B2" w14:textId="1A85AFB1">
            <w:pPr>
              <w:pStyle w:val="TOAHeading"/>
              <w:tabs>
                <w:tab w:val="center" w:pos="4680"/>
              </w:tabs>
              <w:suppressAutoHyphens w:val="0"/>
              <w:rPr>
                <w:spacing w:val="-2"/>
              </w:rPr>
            </w:pPr>
            <w:r w:rsidRPr="00775F96">
              <w:rPr>
                <w:spacing w:val="-2"/>
              </w:rPr>
              <w:t xml:space="preserve">FRN:  </w:t>
            </w:r>
            <w:r w:rsidRPr="00775F96" w:rsidR="00FE5E36">
              <w:rPr>
                <w:spacing w:val="-2"/>
              </w:rPr>
              <w:t>0024413338</w:t>
            </w:r>
          </w:p>
          <w:p w:rsidR="002425E5" w:rsidRPr="00775F96" w:rsidP="002425E5" w14:paraId="18AB7114" w14:textId="440BA987">
            <w:pPr>
              <w:pStyle w:val="TOAHeading"/>
              <w:tabs>
                <w:tab w:val="center" w:pos="4680"/>
              </w:tabs>
              <w:suppressAutoHyphens w:val="0"/>
              <w:rPr>
                <w:spacing w:val="-2"/>
              </w:rPr>
            </w:pPr>
            <w:r w:rsidRPr="00775F96">
              <w:rPr>
                <w:spacing w:val="-2"/>
              </w:rPr>
              <w:t xml:space="preserve">Facility ID No. </w:t>
            </w:r>
            <w:r w:rsidRPr="00775F96" w:rsidR="00FE5E36">
              <w:rPr>
                <w:spacing w:val="-2"/>
              </w:rPr>
              <w:t>257</w:t>
            </w:r>
            <w:r w:rsidRPr="00775F96" w:rsidR="00B85566">
              <w:rPr>
                <w:spacing w:val="-2"/>
              </w:rPr>
              <w:t xml:space="preserve"> and</w:t>
            </w:r>
            <w:r w:rsidRPr="00775F96" w:rsidR="00FE5E36">
              <w:rPr>
                <w:spacing w:val="-2"/>
              </w:rPr>
              <w:t xml:space="preserve"> 272</w:t>
            </w:r>
          </w:p>
          <w:p w:rsidR="00603BFA" w:rsidRPr="00775F96" w:rsidP="002425E5" w14:paraId="70DE35D9" w14:textId="28A347D9">
            <w:pPr>
              <w:tabs>
                <w:tab w:val="center" w:pos="4680"/>
              </w:tabs>
              <w:rPr>
                <w:spacing w:val="-2"/>
              </w:rPr>
            </w:pPr>
            <w:r w:rsidRPr="00775F96">
              <w:rPr>
                <w:spacing w:val="-2"/>
              </w:rPr>
              <w:t xml:space="preserve">LMS File </w:t>
            </w:r>
            <w:r w:rsidRPr="00775F96" w:rsidR="00FE5E36">
              <w:rPr>
                <w:spacing w:val="-2"/>
              </w:rPr>
              <w:t>Nos. 0000213311</w:t>
            </w:r>
            <w:r w:rsidRPr="00775F96" w:rsidR="00B85566">
              <w:rPr>
                <w:spacing w:val="-2"/>
              </w:rPr>
              <w:t xml:space="preserve"> and</w:t>
            </w:r>
            <w:r w:rsidRPr="00775F96" w:rsidR="00FE5E36">
              <w:rPr>
                <w:spacing w:val="-2"/>
              </w:rPr>
              <w:t xml:space="preserve"> 0000213314</w:t>
            </w:r>
          </w:p>
        </w:tc>
      </w:tr>
    </w:tbl>
    <w:p w:rsidR="00603BFA" w:rsidRPr="00775F96" w:rsidP="00603BFA" w14:paraId="739D710D" w14:textId="77777777"/>
    <w:p w:rsidR="00603BFA" w:rsidRPr="00775F96" w:rsidP="00603BFA" w14:paraId="7A06EA44" w14:textId="77777777">
      <w:pPr>
        <w:pStyle w:val="StyleBoldCentered"/>
      </w:pPr>
      <w:r w:rsidRPr="00775F96">
        <w:t>consent decree</w:t>
      </w:r>
    </w:p>
    <w:p w:rsidR="00603BFA" w:rsidRPr="00775F96" w:rsidP="00603BFA" w14:paraId="76563E4B" w14:textId="77777777">
      <w:pPr>
        <w:tabs>
          <w:tab w:val="left" w:pos="-720"/>
        </w:tabs>
        <w:spacing w:line="227" w:lineRule="auto"/>
        <w:rPr>
          <w:spacing w:val="-2"/>
        </w:rPr>
      </w:pPr>
    </w:p>
    <w:p w:rsidR="00603BFA" w:rsidRPr="00775F96" w:rsidP="00603BFA" w14:paraId="65A0AC5E" w14:textId="704ABF07">
      <w:pPr>
        <w:pStyle w:val="ParaNum"/>
        <w:numPr>
          <w:ilvl w:val="0"/>
          <w:numId w:val="12"/>
        </w:numPr>
        <w:tabs>
          <w:tab w:val="clear" w:pos="1080"/>
        </w:tabs>
      </w:pPr>
      <w:r w:rsidRPr="00775F96">
        <w:t xml:space="preserve">The </w:t>
      </w:r>
      <w:r w:rsidRPr="00775F96" w:rsidR="00EE0DB6">
        <w:t xml:space="preserve">Video Division, </w:t>
      </w:r>
      <w:r w:rsidRPr="00775F96">
        <w:t xml:space="preserve">Media Bureau </w:t>
      </w:r>
      <w:r w:rsidRPr="00775F96" w:rsidR="00EE0DB6">
        <w:t>(hereafter Bureau, as defined below)</w:t>
      </w:r>
      <w:r w:rsidRPr="00775F96" w:rsidR="00DD082B">
        <w:t xml:space="preserve"> </w:t>
      </w:r>
      <w:r w:rsidRPr="00775F96">
        <w:t>of the Federal Communications Commission</w:t>
      </w:r>
      <w:r w:rsidRPr="00775F96" w:rsidR="002A668C">
        <w:t xml:space="preserve"> (hereafter Commissi</w:t>
      </w:r>
      <w:r w:rsidRPr="00775F96" w:rsidR="000B2901">
        <w:t>on, as defined below)</w:t>
      </w:r>
      <w:r w:rsidRPr="00775F96" w:rsidR="009640D9">
        <w:t xml:space="preserve"> and Fifth Street Enterprises, LLC </w:t>
      </w:r>
      <w:r w:rsidRPr="00775F96">
        <w:t xml:space="preserve">(hereafter </w:t>
      </w:r>
      <w:r w:rsidRPr="00775F96" w:rsidR="0006275D">
        <w:t xml:space="preserve">the </w:t>
      </w:r>
      <w:r w:rsidRPr="00775F96">
        <w:t>Licensee, as defined below), by their authorized representatives, hereby enter into this Consent Decree for the purpose of terminating the</w:t>
      </w:r>
      <w:r w:rsidRPr="00775F96">
        <w:rPr>
          <w:bCs/>
        </w:rPr>
        <w:t xml:space="preserve"> </w:t>
      </w:r>
      <w:r w:rsidRPr="00775F96">
        <w:t xml:space="preserve">Bureau’s </w:t>
      </w:r>
      <w:r w:rsidRPr="00775F96" w:rsidR="007C67CE">
        <w:t>I</w:t>
      </w:r>
      <w:r w:rsidRPr="00775F96">
        <w:t>nvestigation</w:t>
      </w:r>
      <w:r w:rsidRPr="00775F96" w:rsidR="007C67CE">
        <w:t xml:space="preserve"> (as defined below)</w:t>
      </w:r>
      <w:r w:rsidRPr="00775F96">
        <w:t xml:space="preserve"> into the Licensee</w:t>
      </w:r>
      <w:r w:rsidRPr="00775F96" w:rsidR="00A77076">
        <w:t>’</w:t>
      </w:r>
      <w:r w:rsidRPr="00775F96">
        <w:rPr>
          <w:bCs/>
        </w:rPr>
        <w:t>s</w:t>
      </w:r>
      <w:r w:rsidRPr="00775F96">
        <w:t xml:space="preserve"> compliance with</w:t>
      </w:r>
      <w:r w:rsidRPr="00775F96" w:rsidR="00A47A5D">
        <w:t xml:space="preserve"> (1)</w:t>
      </w:r>
      <w:r w:rsidRPr="00775F96">
        <w:t xml:space="preserve"> section </w:t>
      </w:r>
      <w:r w:rsidRPr="00775F96" w:rsidR="00840364">
        <w:t>1.17</w:t>
      </w:r>
      <w:r w:rsidRPr="00775F96" w:rsidR="00700E95">
        <w:t xml:space="preserve"> </w:t>
      </w:r>
      <w:r w:rsidRPr="00775F96" w:rsidR="00A47A5D">
        <w:t>of the Commission’s Rules (hereafter Rules as defined below) which requires</w:t>
      </w:r>
      <w:r w:rsidRPr="00775F96" w:rsidR="001B0A22">
        <w:t xml:space="preserve"> licensees to provide accurate information to the Commission </w:t>
      </w:r>
      <w:r w:rsidRPr="00775F96" w:rsidR="00700E95">
        <w:t>and</w:t>
      </w:r>
      <w:r w:rsidRPr="00775F96" w:rsidR="001B0A22">
        <w:t xml:space="preserve"> (2) </w:t>
      </w:r>
      <w:r w:rsidR="005A5DA1">
        <w:t xml:space="preserve">section </w:t>
      </w:r>
      <w:r w:rsidRPr="00775F96">
        <w:t>73.3526(e)(11)(</w:t>
      </w:r>
      <w:r w:rsidRPr="00775F96">
        <w:t>i</w:t>
      </w:r>
      <w:r w:rsidRPr="00775F96">
        <w:t>)</w:t>
      </w:r>
      <w:r w:rsidRPr="00775F96" w:rsidR="00FD1C0D">
        <w:t xml:space="preserve"> </w:t>
      </w:r>
      <w:r w:rsidRPr="00775F96">
        <w:t>of the Rules</w:t>
      </w:r>
      <w:r w:rsidRPr="00775F96" w:rsidR="00A47A5D">
        <w:t xml:space="preserve"> which requires Class A TV stations upload </w:t>
      </w:r>
      <w:r w:rsidRPr="00775F96" w:rsidR="00A017D3">
        <w:t>to their online public inspection file (OPIF)</w:t>
      </w:r>
      <w:r w:rsidRPr="00775F96" w:rsidR="007C67CE">
        <w:t>,</w:t>
      </w:r>
      <w:r w:rsidRPr="00775F96" w:rsidR="00A017D3">
        <w:t xml:space="preserve"> on a quarterly basis</w:t>
      </w:r>
      <w:r w:rsidRPr="00775F96" w:rsidR="007C67CE">
        <w:t>,</w:t>
      </w:r>
      <w:r w:rsidRPr="00775F96" w:rsidR="00A017D3">
        <w:t xml:space="preserve"> </w:t>
      </w:r>
      <w:r w:rsidRPr="00775F96" w:rsidR="0081576F">
        <w:t xml:space="preserve">a list of </w:t>
      </w:r>
      <w:r w:rsidRPr="00775F96" w:rsidR="00A017D3">
        <w:t>programs that have provided the station’s most significant treatment of community issues during that period</w:t>
      </w:r>
      <w:r w:rsidRPr="00775F96">
        <w:t>.</w:t>
      </w:r>
      <w:r>
        <w:rPr>
          <w:rStyle w:val="FootnoteReference"/>
          <w:sz w:val="22"/>
          <w:szCs w:val="22"/>
        </w:rPr>
        <w:footnoteReference w:id="12"/>
      </w:r>
      <w:r w:rsidRPr="00775F96">
        <w:t xml:space="preserve">  To resolve these matters, </w:t>
      </w:r>
      <w:bookmarkStart w:id="0" w:name="_Hlk40885159"/>
      <w:r w:rsidRPr="00775F96">
        <w:t xml:space="preserve">the </w:t>
      </w:r>
      <w:r w:rsidRPr="00775F96">
        <w:rPr>
          <w:bCs/>
        </w:rPr>
        <w:t>Licensee</w:t>
      </w:r>
      <w:r w:rsidRPr="00775F96">
        <w:rPr>
          <w:b/>
        </w:rPr>
        <w:t xml:space="preserve"> </w:t>
      </w:r>
      <w:bookmarkEnd w:id="0"/>
      <w:r w:rsidRPr="00775F96">
        <w:t xml:space="preserve">agrees to </w:t>
      </w:r>
      <w:r w:rsidRPr="00775F96" w:rsidR="009B335B">
        <w:t>make a voluntary contribution</w:t>
      </w:r>
      <w:r w:rsidRPr="00775F96">
        <w:t xml:space="preserve"> to the United States Treasury in the amount of </w:t>
      </w:r>
      <w:r w:rsidRPr="00775F96" w:rsidR="005D69E9">
        <w:t xml:space="preserve">Six </w:t>
      </w:r>
      <w:r w:rsidRPr="00775F96">
        <w:t xml:space="preserve">Thousand </w:t>
      </w:r>
      <w:r w:rsidRPr="00775F96" w:rsidR="007C67CE">
        <w:t>D</w:t>
      </w:r>
      <w:r w:rsidRPr="00775F96">
        <w:t>ollars ($</w:t>
      </w:r>
      <w:r w:rsidRPr="00775F96" w:rsidR="005D69E9">
        <w:t>6</w:t>
      </w:r>
      <w:r w:rsidRPr="00775F96">
        <w:t>,</w:t>
      </w:r>
      <w:r w:rsidRPr="00775F96" w:rsidR="000A580D">
        <w:t>0</w:t>
      </w:r>
      <w:r w:rsidRPr="00775F96">
        <w:t xml:space="preserve">00) and implement a comprehensive Compliance Plan </w:t>
      </w:r>
      <w:r w:rsidRPr="00775F96" w:rsidR="007C67CE">
        <w:t xml:space="preserve">(as defined below) </w:t>
      </w:r>
      <w:r w:rsidRPr="00775F96">
        <w:t xml:space="preserve">to ensure its future compliance with sections </w:t>
      </w:r>
      <w:r w:rsidRPr="00775F96" w:rsidR="00840364">
        <w:t>1.17</w:t>
      </w:r>
      <w:r w:rsidRPr="00775F96" w:rsidR="00571B2D">
        <w:t xml:space="preserve"> and </w:t>
      </w:r>
      <w:r w:rsidRPr="00775F96">
        <w:t>73.3526(e)(11)(</w:t>
      </w:r>
      <w:r w:rsidRPr="00775F96">
        <w:t>i</w:t>
      </w:r>
      <w:r w:rsidRPr="00775F96">
        <w:t>)</w:t>
      </w:r>
      <w:r w:rsidRPr="00775F96" w:rsidR="00FD1C0D">
        <w:t xml:space="preserve"> </w:t>
      </w:r>
      <w:r w:rsidRPr="00775F96">
        <w:t>of the Rules.</w:t>
      </w:r>
      <w:r>
        <w:rPr>
          <w:rStyle w:val="FootnoteReference"/>
          <w:szCs w:val="22"/>
        </w:rPr>
        <w:footnoteReference w:id="13"/>
      </w:r>
      <w:r w:rsidRPr="00775F96">
        <w:t xml:space="preserve">  The Bureau agrees to terminate its </w:t>
      </w:r>
      <w:r w:rsidRPr="00775F96" w:rsidR="007C67CE">
        <w:t>I</w:t>
      </w:r>
      <w:r w:rsidRPr="00775F96">
        <w:t>nvestigation and grant the Stations</w:t>
      </w:r>
      <w:r w:rsidRPr="00775F96" w:rsidR="008739BF">
        <w:t>’</w:t>
      </w:r>
      <w:r w:rsidRPr="00775F96">
        <w:t xml:space="preserve"> pending </w:t>
      </w:r>
      <w:r w:rsidRPr="00775F96" w:rsidR="007C67CE">
        <w:t>R</w:t>
      </w:r>
      <w:r w:rsidRPr="00775F96">
        <w:t xml:space="preserve">enewal </w:t>
      </w:r>
      <w:r w:rsidRPr="00775F96" w:rsidR="007C67CE">
        <w:t>A</w:t>
      </w:r>
      <w:r w:rsidRPr="00775F96">
        <w:t>pplication</w:t>
      </w:r>
      <w:r w:rsidRPr="00775F96" w:rsidR="008739BF">
        <w:t>s</w:t>
      </w:r>
      <w:r w:rsidRPr="00775F96" w:rsidR="007C67CE">
        <w:t xml:space="preserve"> (as defined below) in accordance with </w:t>
      </w:r>
      <w:r w:rsidRPr="00775F96">
        <w:t xml:space="preserve">the terms </w:t>
      </w:r>
      <w:r w:rsidRPr="00775F96" w:rsidR="007C67CE">
        <w:t>of this Consent Decree</w:t>
      </w:r>
      <w:r w:rsidRPr="00775F96">
        <w:t>.</w:t>
      </w:r>
    </w:p>
    <w:p w:rsidR="00603BFA" w:rsidRPr="00775F96" w:rsidP="00603BFA" w14:paraId="60018C5B" w14:textId="77777777">
      <w:pPr>
        <w:pStyle w:val="Heading1"/>
        <w:keepNext w:val="0"/>
        <w:suppressAutoHyphens w:val="0"/>
      </w:pPr>
      <w:r w:rsidRPr="00775F96">
        <w:t>DEFINITIONS</w:t>
      </w:r>
    </w:p>
    <w:p w:rsidR="00603BFA" w:rsidRPr="00775F96" w:rsidP="00603BFA" w14:paraId="367262B7" w14:textId="77777777">
      <w:pPr>
        <w:pStyle w:val="ParaNum"/>
      </w:pPr>
      <w:r w:rsidRPr="00775F96">
        <w:t>For the purposes of this Consent Decree, the following definitions shall apply:</w:t>
      </w:r>
    </w:p>
    <w:p w:rsidR="00603BFA" w:rsidRPr="00775F96" w:rsidP="00603BFA" w14:paraId="5D41D049" w14:textId="77777777">
      <w:pPr>
        <w:numPr>
          <w:ilvl w:val="0"/>
          <w:numId w:val="7"/>
        </w:numPr>
        <w:spacing w:after="120"/>
        <w:rPr>
          <w:szCs w:val="22"/>
        </w:rPr>
      </w:pPr>
      <w:r w:rsidRPr="00775F96">
        <w:rPr>
          <w:szCs w:val="22"/>
        </w:rPr>
        <w:t xml:space="preserve">“Act” means the Communications Act of 1934, as amended, 47 U.S.C. § 151 </w:t>
      </w:r>
      <w:r w:rsidRPr="00775F96">
        <w:rPr>
          <w:i/>
          <w:szCs w:val="22"/>
        </w:rPr>
        <w:t>et seq</w:t>
      </w:r>
      <w:r w:rsidRPr="00775F96">
        <w:rPr>
          <w:szCs w:val="22"/>
        </w:rPr>
        <w:t>.</w:t>
      </w:r>
    </w:p>
    <w:p w:rsidR="00D57C09" w:rsidRPr="00775F96" w:rsidP="006A0971" w14:paraId="5C55492E" w14:textId="3AB6FD0A">
      <w:pPr>
        <w:numPr>
          <w:ilvl w:val="0"/>
          <w:numId w:val="7"/>
        </w:numPr>
        <w:spacing w:after="120"/>
        <w:rPr>
          <w:szCs w:val="22"/>
        </w:rPr>
      </w:pPr>
      <w:r w:rsidRPr="00775F96">
        <w:rPr>
          <w:szCs w:val="22"/>
        </w:rPr>
        <w:t>“Accurate Statements Rule” means 47 CFR § 1.17.</w:t>
      </w:r>
    </w:p>
    <w:p w:rsidR="00B3379E" w:rsidRPr="00775F96" w:rsidP="00D57C09" w14:paraId="28E4645C" w14:textId="6174E3D5">
      <w:pPr>
        <w:numPr>
          <w:ilvl w:val="0"/>
          <w:numId w:val="7"/>
        </w:numPr>
        <w:spacing w:after="120"/>
        <w:rPr>
          <w:szCs w:val="22"/>
        </w:rPr>
      </w:pPr>
      <w:r w:rsidRPr="00775F96">
        <w:rPr>
          <w:szCs w:val="22"/>
        </w:rPr>
        <w:t>“Adopting Order” means an Order of the Bureau adopting the terms of this Consent Decree without change, addition, deletion, or modification.</w:t>
      </w:r>
    </w:p>
    <w:p w:rsidR="00603BFA" w:rsidRPr="00775F96" w:rsidP="005D4B70" w14:paraId="1981A1D0" w14:textId="423A4448">
      <w:pPr>
        <w:numPr>
          <w:ilvl w:val="0"/>
          <w:numId w:val="7"/>
        </w:numPr>
        <w:spacing w:after="120"/>
        <w:rPr>
          <w:szCs w:val="22"/>
        </w:rPr>
      </w:pPr>
      <w:r w:rsidRPr="00775F96">
        <w:rPr>
          <w:szCs w:val="22"/>
        </w:rPr>
        <w:t xml:space="preserve">“Bureau” means the Media Bureau of the Federal Communications Commission. </w:t>
      </w:r>
    </w:p>
    <w:p w:rsidR="00603BFA" w:rsidRPr="00775F96" w:rsidP="00603BFA" w14:paraId="1D2966D5" w14:textId="77777777">
      <w:pPr>
        <w:numPr>
          <w:ilvl w:val="0"/>
          <w:numId w:val="7"/>
        </w:numPr>
        <w:spacing w:after="120"/>
        <w:rPr>
          <w:szCs w:val="22"/>
        </w:rPr>
      </w:pPr>
      <w:r w:rsidRPr="00775F96">
        <w:rPr>
          <w:szCs w:val="22"/>
        </w:rPr>
        <w:t xml:space="preserve">“Commission” or “FCC” means the Federal Communications Commission and all of its bureaus and offices.  </w:t>
      </w:r>
    </w:p>
    <w:p w:rsidR="00603BFA" w:rsidRPr="00775F96" w:rsidP="0031046F" w14:paraId="585AAAAE" w14:textId="61F2C6EA">
      <w:pPr>
        <w:numPr>
          <w:ilvl w:val="0"/>
          <w:numId w:val="7"/>
        </w:numPr>
        <w:spacing w:after="120"/>
        <w:rPr>
          <w:szCs w:val="22"/>
        </w:rPr>
      </w:pPr>
      <w:r w:rsidRPr="00775F96">
        <w:rPr>
          <w:szCs w:val="22"/>
        </w:rPr>
        <w:t>“Communications Laws” means collectively, the Act, the Rules, and the published and promulgated orders and decisions of the Commission to which the Licensee is subject by virtue of it being a Commission licensee.</w:t>
      </w:r>
    </w:p>
    <w:p w:rsidR="00603BFA" w:rsidRPr="00775F96" w:rsidP="0031046F" w14:paraId="670EF4FE" w14:textId="0F411EDC">
      <w:pPr>
        <w:widowControl/>
        <w:numPr>
          <w:ilvl w:val="0"/>
          <w:numId w:val="7"/>
        </w:numPr>
        <w:spacing w:after="120"/>
        <w:rPr>
          <w:szCs w:val="22"/>
        </w:rPr>
      </w:pPr>
      <w:r w:rsidRPr="00775F96">
        <w:rPr>
          <w:szCs w:val="22"/>
        </w:rPr>
        <w:t>“Compliance Officer” means a responsible party employed by the Licensee to be responsible for developing, implementing, and administering the Compliance Plan and ensuring that the Licensee complies with the terms and conditions of the Compliance Plan and this Consent Decree</w:t>
      </w:r>
      <w:r w:rsidRPr="00775F96" w:rsidR="00CE6E3C">
        <w:rPr>
          <w:szCs w:val="22"/>
        </w:rPr>
        <w:t>, as described in paragraph 16</w:t>
      </w:r>
      <w:r w:rsidRPr="00775F96">
        <w:rPr>
          <w:szCs w:val="22"/>
        </w:rPr>
        <w:t>.</w:t>
      </w:r>
    </w:p>
    <w:p w:rsidR="00647FFD" w:rsidRPr="00775F96" w:rsidP="00647FFD" w14:paraId="361FE4EE" w14:textId="1B10CC63">
      <w:pPr>
        <w:numPr>
          <w:ilvl w:val="0"/>
          <w:numId w:val="7"/>
        </w:numPr>
        <w:spacing w:after="120"/>
        <w:rPr>
          <w:szCs w:val="22"/>
        </w:rPr>
      </w:pPr>
      <w:r w:rsidRPr="00775F96">
        <w:rPr>
          <w:szCs w:val="22"/>
        </w:rPr>
        <w:t xml:space="preserve">“Compliance Plan” means the processes and procedures developed by the Licensee in an effort to ensure compliance with </w:t>
      </w:r>
      <w:r w:rsidRPr="00775F96" w:rsidR="00CC0911">
        <w:rPr>
          <w:szCs w:val="22"/>
        </w:rPr>
        <w:t>47 CFR §</w:t>
      </w:r>
      <w:r w:rsidRPr="00775F96" w:rsidR="00E26157">
        <w:rPr>
          <w:szCs w:val="22"/>
        </w:rPr>
        <w:t>§</w:t>
      </w:r>
      <w:r w:rsidRPr="00775F96" w:rsidR="00CC0911">
        <w:rPr>
          <w:szCs w:val="22"/>
        </w:rPr>
        <w:t xml:space="preserve"> </w:t>
      </w:r>
      <w:r w:rsidRPr="00775F96" w:rsidR="00840364">
        <w:rPr>
          <w:szCs w:val="22"/>
        </w:rPr>
        <w:t>1.17</w:t>
      </w:r>
      <w:r w:rsidRPr="00775F96" w:rsidR="00CC0911">
        <w:rPr>
          <w:szCs w:val="22"/>
        </w:rPr>
        <w:t xml:space="preserve"> and </w:t>
      </w:r>
      <w:r w:rsidRPr="00775F96">
        <w:rPr>
          <w:szCs w:val="22"/>
        </w:rPr>
        <w:t>73.3526 generally, including 47 CFR § 73.3526(e)(11)(</w:t>
      </w:r>
      <w:r w:rsidRPr="00775F96">
        <w:rPr>
          <w:szCs w:val="22"/>
        </w:rPr>
        <w:t>i</w:t>
      </w:r>
      <w:r w:rsidRPr="00775F96">
        <w:rPr>
          <w:szCs w:val="22"/>
        </w:rPr>
        <w:t>)</w:t>
      </w:r>
      <w:r w:rsidRPr="00775F96" w:rsidR="00E26157">
        <w:rPr>
          <w:szCs w:val="22"/>
        </w:rPr>
        <w:t>, as described in paragraph 17</w:t>
      </w:r>
      <w:r w:rsidRPr="00775F96">
        <w:rPr>
          <w:szCs w:val="22"/>
        </w:rPr>
        <w:t>.</w:t>
      </w:r>
    </w:p>
    <w:p w:rsidR="00603BFA" w:rsidRPr="00775F96" w:rsidP="00603BFA" w14:paraId="43D99DFF" w14:textId="03CA9B08">
      <w:pPr>
        <w:numPr>
          <w:ilvl w:val="0"/>
          <w:numId w:val="7"/>
        </w:numPr>
        <w:spacing w:after="120"/>
        <w:rPr>
          <w:szCs w:val="22"/>
        </w:rPr>
      </w:pPr>
      <w:r w:rsidRPr="00775F96">
        <w:rPr>
          <w:szCs w:val="22"/>
        </w:rPr>
        <w:t>“Covered Employees</w:t>
      </w:r>
      <w:r w:rsidR="003E42E9">
        <w:rPr>
          <w:szCs w:val="22"/>
        </w:rPr>
        <w:t>,</w:t>
      </w:r>
      <w:r w:rsidRPr="00775F96">
        <w:rPr>
          <w:szCs w:val="22"/>
        </w:rPr>
        <w:t>”</w:t>
      </w:r>
      <w:r w:rsidR="003E42E9">
        <w:rPr>
          <w:szCs w:val="22"/>
        </w:rPr>
        <w:t xml:space="preserve"> each of which is a Covered Employee,</w:t>
      </w:r>
      <w:r w:rsidRPr="00775F96">
        <w:rPr>
          <w:szCs w:val="22"/>
        </w:rPr>
        <w:t xml:space="preserve"> means all employees, volunteers, and agents of the Licensee, who are responsible for performing, supervising, overseeing, or managing activities related to the maintenance of the Station’s OPIF, as required by </w:t>
      </w:r>
      <w:r w:rsidRPr="00775F96" w:rsidR="00FD1C0D">
        <w:rPr>
          <w:szCs w:val="22"/>
        </w:rPr>
        <w:t>47 CFR § 73.3526</w:t>
      </w:r>
      <w:r w:rsidRPr="00775F96">
        <w:rPr>
          <w:szCs w:val="22"/>
        </w:rPr>
        <w:t>.</w:t>
      </w:r>
    </w:p>
    <w:p w:rsidR="00603BFA" w:rsidRPr="00775F96" w:rsidP="00603BFA" w14:paraId="0E8F24CB" w14:textId="77777777">
      <w:pPr>
        <w:numPr>
          <w:ilvl w:val="0"/>
          <w:numId w:val="7"/>
        </w:numPr>
        <w:spacing w:after="120"/>
        <w:rPr>
          <w:szCs w:val="22"/>
        </w:rPr>
      </w:pPr>
      <w:r w:rsidRPr="00775F96">
        <w:rPr>
          <w:szCs w:val="22"/>
        </w:rPr>
        <w:t>“Division” means the Video Division of the Media Bureau of the Commission.</w:t>
      </w:r>
    </w:p>
    <w:p w:rsidR="00603BFA" w:rsidRPr="00775F96" w:rsidP="00603BFA" w14:paraId="24833B77" w14:textId="77777777">
      <w:pPr>
        <w:numPr>
          <w:ilvl w:val="0"/>
          <w:numId w:val="7"/>
        </w:numPr>
        <w:spacing w:after="120"/>
        <w:rPr>
          <w:szCs w:val="22"/>
        </w:rPr>
      </w:pPr>
      <w:r w:rsidRPr="00775F96">
        <w:rPr>
          <w:szCs w:val="22"/>
        </w:rPr>
        <w:t>“Effective Date” means the date on which the Bureau releases the Adopting Order.</w:t>
      </w:r>
    </w:p>
    <w:p w:rsidR="00603BFA" w:rsidRPr="00775F96" w:rsidP="00603BFA" w14:paraId="598D1527" w14:textId="36A8D110">
      <w:pPr>
        <w:numPr>
          <w:ilvl w:val="0"/>
          <w:numId w:val="7"/>
        </w:numPr>
        <w:spacing w:after="120"/>
        <w:rPr>
          <w:szCs w:val="22"/>
        </w:rPr>
      </w:pPr>
      <w:r w:rsidRPr="00775F96">
        <w:rPr>
          <w:szCs w:val="22"/>
        </w:rPr>
        <w:t xml:space="preserve">“Investigation” </w:t>
      </w:r>
      <w:r w:rsidRPr="007D5D78" w:rsidR="007D5D78">
        <w:rPr>
          <w:szCs w:val="22"/>
        </w:rPr>
        <w:t>means the Bureau’s examination of the Licensees’ compliance with 47 CFR §§ 1.17 and 73.3526(e)(11)(</w:t>
      </w:r>
      <w:r w:rsidRPr="007D5D78" w:rsidR="007D5D78">
        <w:rPr>
          <w:szCs w:val="22"/>
        </w:rPr>
        <w:t>i</w:t>
      </w:r>
      <w:r w:rsidRPr="007D5D78" w:rsidR="007D5D78">
        <w:rPr>
          <w:szCs w:val="22"/>
        </w:rPr>
        <w:t>).</w:t>
      </w:r>
    </w:p>
    <w:p w:rsidR="00603BFA" w:rsidRPr="00775F96" w:rsidP="00603BFA" w14:paraId="1471599B" w14:textId="67871EC8">
      <w:pPr>
        <w:numPr>
          <w:ilvl w:val="0"/>
          <w:numId w:val="7"/>
        </w:numPr>
        <w:spacing w:after="120"/>
        <w:rPr>
          <w:szCs w:val="22"/>
        </w:rPr>
      </w:pPr>
      <w:r w:rsidRPr="00775F96">
        <w:rPr>
          <w:szCs w:val="22"/>
        </w:rPr>
        <w:t>“Issues and Programs List Rule” means the requirements detailed in 47 CFR § 73.3526(e)(11)(</w:t>
      </w:r>
      <w:r w:rsidRPr="00775F96">
        <w:rPr>
          <w:szCs w:val="22"/>
        </w:rPr>
        <w:t>i</w:t>
      </w:r>
      <w:r w:rsidRPr="00775F96">
        <w:rPr>
          <w:szCs w:val="22"/>
        </w:rPr>
        <w:t>).</w:t>
      </w:r>
    </w:p>
    <w:p w:rsidR="00603BFA" w:rsidRPr="00775F96" w:rsidP="00603BFA" w14:paraId="5B873A04" w14:textId="7BB5371A">
      <w:pPr>
        <w:numPr>
          <w:ilvl w:val="0"/>
          <w:numId w:val="7"/>
        </w:numPr>
        <w:spacing w:after="120"/>
        <w:rPr>
          <w:szCs w:val="22"/>
        </w:rPr>
      </w:pPr>
      <w:r w:rsidRPr="00775F96">
        <w:rPr>
          <w:szCs w:val="22"/>
        </w:rPr>
        <w:t xml:space="preserve">“Licensee” means </w:t>
      </w:r>
      <w:r w:rsidRPr="00775F96" w:rsidR="00AF1C31">
        <w:rPr>
          <w:szCs w:val="22"/>
        </w:rPr>
        <w:t>Fifth Street Enterprises, LLC</w:t>
      </w:r>
      <w:r w:rsidR="001518D3">
        <w:rPr>
          <w:szCs w:val="22"/>
        </w:rPr>
        <w:t>,</w:t>
      </w:r>
      <w:r w:rsidRPr="00775F96">
        <w:rPr>
          <w:szCs w:val="22"/>
        </w:rPr>
        <w:t xml:space="preserve"> and </w:t>
      </w:r>
      <w:r w:rsidRPr="00775F96" w:rsidR="009D67D1">
        <w:rPr>
          <w:szCs w:val="22"/>
        </w:rPr>
        <w:t>its</w:t>
      </w:r>
      <w:r w:rsidRPr="00775F96">
        <w:rPr>
          <w:szCs w:val="22"/>
        </w:rPr>
        <w:t xml:space="preserve"> affiliates, subsidiaries, predecessors-in-interest, and successors-in-interest.  </w:t>
      </w:r>
    </w:p>
    <w:p w:rsidR="00603BFA" w:rsidRPr="00775F96" w:rsidP="00603BFA" w14:paraId="6DC999D2" w14:textId="77777777">
      <w:pPr>
        <w:numPr>
          <w:ilvl w:val="0"/>
          <w:numId w:val="7"/>
        </w:numPr>
        <w:spacing w:after="120"/>
        <w:rPr>
          <w:szCs w:val="22"/>
        </w:rPr>
      </w:pPr>
      <w:r w:rsidRPr="00775F96">
        <w:rPr>
          <w:szCs w:val="22"/>
        </w:rPr>
        <w:t>“LMS” means the Commission’s Licensing and Management System, which allows licensees, permittees, applicants, and the public to submit, manage, and track television and radio broadcast applications, notifications and related pleadings.</w:t>
      </w:r>
    </w:p>
    <w:p w:rsidR="00603BFA" w:rsidRPr="00775F96" w:rsidP="00603BFA" w14:paraId="6A1EFC7B" w14:textId="75D64824">
      <w:pPr>
        <w:numPr>
          <w:ilvl w:val="0"/>
          <w:numId w:val="7"/>
        </w:numPr>
        <w:spacing w:after="120"/>
        <w:rPr>
          <w:szCs w:val="22"/>
        </w:rPr>
      </w:pPr>
      <w:r w:rsidRPr="00775F96">
        <w:rPr>
          <w:szCs w:val="22"/>
        </w:rPr>
        <w:t>“OPIF” means the Station’s online public inspection file as defined by 47 CFR § 73.3526.</w:t>
      </w:r>
    </w:p>
    <w:p w:rsidR="00603BFA" w:rsidRPr="00775F96" w:rsidP="005E5CF6" w14:paraId="41C8E9CD" w14:textId="5BF05AAF">
      <w:pPr>
        <w:numPr>
          <w:ilvl w:val="0"/>
          <w:numId w:val="7"/>
        </w:numPr>
        <w:spacing w:after="120"/>
        <w:rPr>
          <w:szCs w:val="22"/>
        </w:rPr>
      </w:pPr>
      <w:r w:rsidRPr="00775F96">
        <w:rPr>
          <w:szCs w:val="22"/>
        </w:rPr>
        <w:t>“OPIF Rule” means the requirements detailed in 47 CFR § 73.3526</w:t>
      </w:r>
      <w:r w:rsidRPr="00775F96" w:rsidR="00FD1C0D">
        <w:rPr>
          <w:szCs w:val="22"/>
        </w:rPr>
        <w:t>,</w:t>
      </w:r>
      <w:r w:rsidRPr="00775F96">
        <w:rPr>
          <w:szCs w:val="22"/>
        </w:rPr>
        <w:t xml:space="preserve"> in its entirety.</w:t>
      </w:r>
    </w:p>
    <w:p w:rsidR="00603BFA" w:rsidRPr="00775F96" w:rsidP="00603BFA" w14:paraId="53BE459F" w14:textId="6E7DA523">
      <w:pPr>
        <w:numPr>
          <w:ilvl w:val="0"/>
          <w:numId w:val="7"/>
        </w:numPr>
        <w:spacing w:after="120"/>
        <w:rPr>
          <w:szCs w:val="22"/>
        </w:rPr>
      </w:pPr>
      <w:r w:rsidRPr="00775F96">
        <w:rPr>
          <w:szCs w:val="22"/>
        </w:rPr>
        <w:t>“Parties” means the Licensee</w:t>
      </w:r>
      <w:r w:rsidRPr="00775F96">
        <w:rPr>
          <w:b/>
          <w:szCs w:val="22"/>
        </w:rPr>
        <w:t xml:space="preserve"> </w:t>
      </w:r>
      <w:r w:rsidRPr="00775F96">
        <w:rPr>
          <w:szCs w:val="22"/>
        </w:rPr>
        <w:t>and the Bureau, each of which is a “Party.”</w:t>
      </w:r>
    </w:p>
    <w:p w:rsidR="00D57C09" w:rsidRPr="00775F96" w:rsidP="00603BFA" w14:paraId="2E4962B9" w14:textId="5538A305">
      <w:pPr>
        <w:numPr>
          <w:ilvl w:val="0"/>
          <w:numId w:val="7"/>
        </w:numPr>
        <w:spacing w:after="120"/>
        <w:rPr>
          <w:szCs w:val="22"/>
        </w:rPr>
      </w:pPr>
      <w:r w:rsidRPr="00775F96">
        <w:rPr>
          <w:szCs w:val="22"/>
        </w:rPr>
        <w:t>“Renewal Applications” means the applications of Fifth Street Enterprises, LLC, for renewal of the television broadcast licenses for</w:t>
      </w:r>
      <w:r w:rsidRPr="00775F96" w:rsidR="00FE58BE">
        <w:rPr>
          <w:szCs w:val="22"/>
        </w:rPr>
        <w:t xml:space="preserve"> Class A TV</w:t>
      </w:r>
      <w:r w:rsidRPr="00775F96">
        <w:rPr>
          <w:szCs w:val="22"/>
        </w:rPr>
        <w:t xml:space="preserve"> stations</w:t>
      </w:r>
      <w:r w:rsidRPr="00775F96">
        <w:rPr>
          <w:spacing w:val="-2"/>
          <w:szCs w:val="22"/>
        </w:rPr>
        <w:t xml:space="preserve"> WWAT-CD, Charleroi, Pennsylvania (Facility ID 257), LMS File No. </w:t>
      </w:r>
      <w:r w:rsidRPr="00775F96">
        <w:rPr>
          <w:spacing w:val="-2"/>
        </w:rPr>
        <w:t>0000213311</w:t>
      </w:r>
      <w:r w:rsidRPr="00775F96" w:rsidR="00FE58BE">
        <w:rPr>
          <w:spacing w:val="-2"/>
        </w:rPr>
        <w:t xml:space="preserve"> (</w:t>
      </w:r>
      <w:r w:rsidRPr="00775F96">
        <w:rPr>
          <w:spacing w:val="-2"/>
        </w:rPr>
        <w:t>filed March 31, 2023, and as amended June 9, 2023, and August 6, 2025</w:t>
      </w:r>
      <w:r w:rsidRPr="00775F96" w:rsidR="00FE58BE">
        <w:rPr>
          <w:spacing w:val="-2"/>
        </w:rPr>
        <w:t xml:space="preserve">) and </w:t>
      </w:r>
      <w:r w:rsidRPr="00775F96">
        <w:rPr>
          <w:spacing w:val="-2"/>
          <w:szCs w:val="22"/>
        </w:rPr>
        <w:t xml:space="preserve"> WPTG</w:t>
      </w:r>
      <w:r w:rsidRPr="00775F96">
        <w:rPr>
          <w:spacing w:val="-2"/>
        </w:rPr>
        <w:t>-CD, Pittsburgh, Pennsylvania</w:t>
      </w:r>
      <w:r w:rsidRPr="00775F96">
        <w:rPr>
          <w:szCs w:val="22"/>
        </w:rPr>
        <w:t xml:space="preserve"> (Facility ID No. 272), LMS File No. </w:t>
      </w:r>
      <w:r w:rsidRPr="00775F96">
        <w:rPr>
          <w:spacing w:val="-2"/>
        </w:rPr>
        <w:t>0000213314</w:t>
      </w:r>
      <w:r w:rsidRPr="00775F96" w:rsidR="00FE58BE">
        <w:rPr>
          <w:spacing w:val="-2"/>
        </w:rPr>
        <w:t xml:space="preserve"> (</w:t>
      </w:r>
      <w:r w:rsidRPr="00775F96">
        <w:rPr>
          <w:szCs w:val="22"/>
        </w:rPr>
        <w:t>filed March 31, 2023, and as amended August 6, 2025</w:t>
      </w:r>
      <w:r w:rsidRPr="00775F96" w:rsidR="00FE58BE">
        <w:rPr>
          <w:szCs w:val="22"/>
        </w:rPr>
        <w:t>)</w:t>
      </w:r>
      <w:r w:rsidRPr="00775F96">
        <w:rPr>
          <w:szCs w:val="22"/>
        </w:rPr>
        <w:t>.</w:t>
      </w:r>
    </w:p>
    <w:p w:rsidR="00C40E15" w:rsidRPr="00775F96" w:rsidP="00C40E15" w14:paraId="315CA3EC" w14:textId="77777777">
      <w:pPr>
        <w:numPr>
          <w:ilvl w:val="0"/>
          <w:numId w:val="7"/>
        </w:numPr>
        <w:spacing w:after="120"/>
        <w:rPr>
          <w:szCs w:val="22"/>
        </w:rPr>
      </w:pPr>
      <w:r w:rsidRPr="00775F96">
        <w:rPr>
          <w:szCs w:val="22"/>
        </w:rPr>
        <w:t xml:space="preserve">“Rules” means the Commission’s regulations found in Title 47 of the Code of Federal Regulations. </w:t>
      </w:r>
    </w:p>
    <w:p w:rsidR="00603BFA" w:rsidRPr="00775F96" w:rsidP="00C40E15" w14:paraId="60FAA6E4" w14:textId="423D7063">
      <w:pPr>
        <w:numPr>
          <w:ilvl w:val="0"/>
          <w:numId w:val="7"/>
        </w:numPr>
        <w:spacing w:after="120"/>
        <w:rPr>
          <w:szCs w:val="22"/>
        </w:rPr>
      </w:pPr>
      <w:r w:rsidRPr="00775F96">
        <w:rPr>
          <w:szCs w:val="22"/>
        </w:rPr>
        <w:t>“Station</w:t>
      </w:r>
      <w:r w:rsidRPr="00775F96" w:rsidR="00EE5A62">
        <w:rPr>
          <w:szCs w:val="22"/>
        </w:rPr>
        <w:t>s</w:t>
      </w:r>
      <w:r w:rsidR="003E42E9">
        <w:rPr>
          <w:szCs w:val="22"/>
        </w:rPr>
        <w:t>,</w:t>
      </w:r>
      <w:r w:rsidRPr="00775F96">
        <w:rPr>
          <w:szCs w:val="22"/>
        </w:rPr>
        <w:t xml:space="preserve">” means </w:t>
      </w:r>
      <w:r w:rsidRPr="00775F96" w:rsidR="00C40E15">
        <w:rPr>
          <w:spacing w:val="-2"/>
        </w:rPr>
        <w:t>WWAT-CD, Charleroi, Pennsylvania</w:t>
      </w:r>
      <w:r w:rsidRPr="00775F96" w:rsidR="00C40E15">
        <w:rPr>
          <w:szCs w:val="22"/>
        </w:rPr>
        <w:t xml:space="preserve"> (Facility ID 257</w:t>
      </w:r>
      <w:r w:rsidRPr="00775F96" w:rsidR="0061497C">
        <w:rPr>
          <w:szCs w:val="22"/>
        </w:rPr>
        <w:t>)</w:t>
      </w:r>
      <w:r w:rsidRPr="00775F96" w:rsidR="00227B60">
        <w:rPr>
          <w:szCs w:val="22"/>
        </w:rPr>
        <w:t xml:space="preserve"> (</w:t>
      </w:r>
      <w:r w:rsidRPr="00775F96" w:rsidR="00FE58BE">
        <w:rPr>
          <w:szCs w:val="22"/>
        </w:rPr>
        <w:t xml:space="preserve"> “</w:t>
      </w:r>
      <w:r w:rsidRPr="00775F96" w:rsidR="00227B60">
        <w:rPr>
          <w:szCs w:val="22"/>
        </w:rPr>
        <w:t>WWAT</w:t>
      </w:r>
      <w:r w:rsidRPr="00775F96" w:rsidR="00FE58BE">
        <w:rPr>
          <w:szCs w:val="22"/>
        </w:rPr>
        <w:t>”</w:t>
      </w:r>
      <w:r w:rsidRPr="00775F96" w:rsidR="00227B60">
        <w:rPr>
          <w:szCs w:val="22"/>
        </w:rPr>
        <w:t>)</w:t>
      </w:r>
      <w:r w:rsidRPr="00775F96" w:rsidR="0061497C">
        <w:rPr>
          <w:szCs w:val="22"/>
        </w:rPr>
        <w:t xml:space="preserve">; and </w:t>
      </w:r>
      <w:r w:rsidRPr="00775F96" w:rsidR="00C40E15">
        <w:rPr>
          <w:spacing w:val="-2"/>
        </w:rPr>
        <w:t>WPTG-CD, Pittsburgh, Pennsylvania</w:t>
      </w:r>
      <w:r w:rsidRPr="00775F96">
        <w:rPr>
          <w:szCs w:val="22"/>
        </w:rPr>
        <w:t xml:space="preserve"> (Facility ID No. </w:t>
      </w:r>
      <w:r w:rsidRPr="00775F96" w:rsidR="0061497C">
        <w:rPr>
          <w:szCs w:val="22"/>
        </w:rPr>
        <w:t>272</w:t>
      </w:r>
      <w:r w:rsidRPr="00775F96">
        <w:rPr>
          <w:szCs w:val="22"/>
        </w:rPr>
        <w:t>)</w:t>
      </w:r>
      <w:r w:rsidRPr="00775F96" w:rsidR="00227B60">
        <w:rPr>
          <w:szCs w:val="22"/>
        </w:rPr>
        <w:t xml:space="preserve"> (</w:t>
      </w:r>
      <w:r w:rsidRPr="00775F96" w:rsidR="00FE58BE">
        <w:rPr>
          <w:szCs w:val="22"/>
        </w:rPr>
        <w:t xml:space="preserve"> “</w:t>
      </w:r>
      <w:r w:rsidRPr="00775F96" w:rsidR="00227B60">
        <w:rPr>
          <w:szCs w:val="22"/>
        </w:rPr>
        <w:t>WPTG</w:t>
      </w:r>
      <w:r w:rsidRPr="00775F96" w:rsidR="00FE58BE">
        <w:rPr>
          <w:szCs w:val="22"/>
        </w:rPr>
        <w:t>”</w:t>
      </w:r>
      <w:r w:rsidRPr="00775F96" w:rsidR="00227B60">
        <w:rPr>
          <w:szCs w:val="22"/>
        </w:rPr>
        <w:t>)</w:t>
      </w:r>
      <w:r w:rsidR="00A44372">
        <w:rPr>
          <w:szCs w:val="22"/>
        </w:rPr>
        <w:t>, each of which is a “Station”</w:t>
      </w:r>
      <w:r w:rsidRPr="00775F96">
        <w:rPr>
          <w:spacing w:val="-2"/>
          <w:szCs w:val="22"/>
        </w:rPr>
        <w:t>.</w:t>
      </w:r>
    </w:p>
    <w:p w:rsidR="00603BFA" w:rsidRPr="00775F96" w:rsidP="00E80C75" w14:paraId="01BFD534" w14:textId="65D86204">
      <w:pPr>
        <w:pStyle w:val="Heading1"/>
        <w:keepNext w:val="0"/>
        <w:suppressAutoHyphens w:val="0"/>
      </w:pPr>
      <w:r w:rsidRPr="00775F96">
        <w:t>BACKGROUND</w:t>
      </w:r>
    </w:p>
    <w:p w:rsidR="006431A8" w:rsidRPr="00775F96" w:rsidP="006370BB" w14:paraId="4F78212A" w14:textId="68BD051B">
      <w:pPr>
        <w:pStyle w:val="ParaNum"/>
        <w:widowControl/>
        <w:rPr>
          <w:snapToGrid/>
          <w:szCs w:val="22"/>
        </w:rPr>
      </w:pPr>
      <w:r w:rsidRPr="00775F96">
        <w:rPr>
          <w:szCs w:val="22"/>
        </w:rPr>
        <w:t xml:space="preserve">Section </w:t>
      </w:r>
      <w:r w:rsidRPr="00775F96" w:rsidR="00840364">
        <w:rPr>
          <w:szCs w:val="22"/>
        </w:rPr>
        <w:t>1.17</w:t>
      </w:r>
      <w:r w:rsidRPr="00775F96">
        <w:rPr>
          <w:szCs w:val="22"/>
        </w:rPr>
        <w:t xml:space="preserve"> of the Rules provi</w:t>
      </w:r>
      <w:r w:rsidRPr="00775F96" w:rsidR="003C64F8">
        <w:rPr>
          <w:szCs w:val="22"/>
        </w:rPr>
        <w:t>des that “[e]ach application shall include all information called for by the particular form on which the application is required to b</w:t>
      </w:r>
      <w:r w:rsidRPr="00775F96" w:rsidR="002D08FA">
        <w:rPr>
          <w:szCs w:val="22"/>
        </w:rPr>
        <w:t>e filed . . . .”</w:t>
      </w:r>
      <w:r>
        <w:rPr>
          <w:rStyle w:val="FootnoteReference"/>
          <w:szCs w:val="22"/>
        </w:rPr>
        <w:footnoteReference w:id="14"/>
      </w:r>
      <w:r w:rsidRPr="00775F96" w:rsidR="00AE5657">
        <w:rPr>
          <w:szCs w:val="22"/>
        </w:rPr>
        <w:t xml:space="preserve">  </w:t>
      </w:r>
      <w:r w:rsidRPr="00775F96" w:rsidR="00603BFA">
        <w:rPr>
          <w:szCs w:val="22"/>
        </w:rPr>
        <w:t>Section 73.3526(e)(11)(</w:t>
      </w:r>
      <w:r w:rsidRPr="00775F96" w:rsidR="00603BFA">
        <w:rPr>
          <w:szCs w:val="22"/>
        </w:rPr>
        <w:t>i</w:t>
      </w:r>
      <w:r w:rsidRPr="00775F96" w:rsidR="00603BFA">
        <w:rPr>
          <w:szCs w:val="22"/>
        </w:rPr>
        <w:t>) of the Rules requires every Class A television licensee to place in its</w:t>
      </w:r>
      <w:r w:rsidRPr="00775F96" w:rsidR="00FD1C0D">
        <w:rPr>
          <w:szCs w:val="22"/>
        </w:rPr>
        <w:t xml:space="preserve"> station’s</w:t>
      </w:r>
      <w:r w:rsidRPr="00775F96" w:rsidR="00603BFA">
        <w:rPr>
          <w:szCs w:val="22"/>
        </w:rPr>
        <w:t xml:space="preserve"> OPIF, on a quarterly basis, an issues/programs list that details programs that have provided the station’s most significant treatment of community issues during the preceding three month period and must include a brief narrative of the issues addressed, as well as the time, date, duration, and title of each program in which the issues were treated.</w:t>
      </w:r>
      <w:r>
        <w:rPr>
          <w:rStyle w:val="FootnoteReference"/>
          <w:sz w:val="22"/>
          <w:szCs w:val="22"/>
        </w:rPr>
        <w:footnoteReference w:id="15"/>
      </w:r>
      <w:r w:rsidRPr="00775F96" w:rsidR="00603BFA">
        <w:rPr>
          <w:szCs w:val="22"/>
        </w:rPr>
        <w:t xml:space="preserve">  Issues/programs lists must be placed in the station’s OPIF by the tenth </w:t>
      </w:r>
      <w:r w:rsidRPr="00775F96" w:rsidR="00603BFA">
        <w:rPr>
          <w:szCs w:val="22"/>
        </w:rPr>
        <w:t>day of the succeeding calendar quarter and copies must be retained until final action on the station’s next license renewal application.</w:t>
      </w:r>
      <w:r>
        <w:rPr>
          <w:rStyle w:val="FootnoteReference"/>
          <w:sz w:val="22"/>
          <w:szCs w:val="22"/>
        </w:rPr>
        <w:footnoteReference w:id="16"/>
      </w:r>
    </w:p>
    <w:p w:rsidR="00603BFA" w:rsidRPr="00775F96" w:rsidP="00C22F93" w14:paraId="2F769820" w14:textId="52C5E543">
      <w:pPr>
        <w:pStyle w:val="ParaNum"/>
        <w:rPr>
          <w:szCs w:val="22"/>
        </w:rPr>
      </w:pPr>
      <w:r w:rsidRPr="00775F96">
        <w:t xml:space="preserve">On </w:t>
      </w:r>
      <w:r w:rsidRPr="00775F96" w:rsidR="00A02591">
        <w:t>March</w:t>
      </w:r>
      <w:r w:rsidRPr="00775F96">
        <w:t xml:space="preserve"> </w:t>
      </w:r>
      <w:r w:rsidRPr="00775F96" w:rsidR="00DF74C2">
        <w:t>31</w:t>
      </w:r>
      <w:r w:rsidRPr="00775F96">
        <w:t>, 202</w:t>
      </w:r>
      <w:r w:rsidRPr="00775F96" w:rsidR="00A02591">
        <w:t>3</w:t>
      </w:r>
      <w:r w:rsidRPr="00775F96">
        <w:t xml:space="preserve">, the Licensee filed the </w:t>
      </w:r>
      <w:r w:rsidRPr="00775F96" w:rsidR="00535511">
        <w:t xml:space="preserve">Renewal </w:t>
      </w:r>
      <w:r w:rsidRPr="00775F96">
        <w:t>Application</w:t>
      </w:r>
      <w:r w:rsidRPr="00775F96" w:rsidR="00DF74C2">
        <w:t>s</w:t>
      </w:r>
      <w:r w:rsidRPr="00775F96">
        <w:t xml:space="preserve">.  In the </w:t>
      </w:r>
      <w:r w:rsidRPr="00775F96" w:rsidR="00535511">
        <w:t xml:space="preserve">Renewal </w:t>
      </w:r>
      <w:r w:rsidRPr="00775F96">
        <w:t>Application</w:t>
      </w:r>
      <w:r w:rsidRPr="00775F96" w:rsidR="00DF74C2">
        <w:t>s</w:t>
      </w:r>
      <w:r w:rsidRPr="00775F96">
        <w:t>, the Licensee responded “</w:t>
      </w:r>
      <w:r w:rsidRPr="00775F96" w:rsidR="00767D2D">
        <w:t>Yes</w:t>
      </w:r>
      <w:r w:rsidRPr="00775F96">
        <w:t>” to the statement that “the documentation, required by 47 CFR Section 73.3526 . . . has been uploaded to the station's public inspection file when required.”</w:t>
      </w:r>
      <w:r>
        <w:rPr>
          <w:rStyle w:val="FootnoteReference"/>
          <w:sz w:val="22"/>
          <w:szCs w:val="22"/>
        </w:rPr>
        <w:footnoteReference w:id="17"/>
      </w:r>
      <w:r w:rsidRPr="00775F96">
        <w:t xml:space="preserve">  </w:t>
      </w:r>
      <w:r w:rsidRPr="00775F96" w:rsidR="00A34043">
        <w:t>R</w:t>
      </w:r>
      <w:r w:rsidRPr="00775F96">
        <w:rPr>
          <w:szCs w:val="22"/>
        </w:rPr>
        <w:t>eview of the Stations</w:t>
      </w:r>
      <w:r w:rsidRPr="00775F96" w:rsidR="0061497C">
        <w:rPr>
          <w:szCs w:val="22"/>
        </w:rPr>
        <w:t>’</w:t>
      </w:r>
      <w:r w:rsidRPr="00775F96">
        <w:rPr>
          <w:szCs w:val="22"/>
        </w:rPr>
        <w:t xml:space="preserve"> OPIF</w:t>
      </w:r>
      <w:r w:rsidRPr="00775F96" w:rsidR="0061497C">
        <w:rPr>
          <w:szCs w:val="22"/>
        </w:rPr>
        <w:t>s</w:t>
      </w:r>
      <w:r w:rsidRPr="00775F96" w:rsidR="002B4C9B">
        <w:rPr>
          <w:szCs w:val="22"/>
        </w:rPr>
        <w:t xml:space="preserve"> by</w:t>
      </w:r>
      <w:r w:rsidRPr="00775F96">
        <w:rPr>
          <w:szCs w:val="22"/>
        </w:rPr>
        <w:t xml:space="preserve"> Division staff </w:t>
      </w:r>
      <w:r w:rsidRPr="00775F96" w:rsidR="002B4C9B">
        <w:rPr>
          <w:szCs w:val="22"/>
        </w:rPr>
        <w:t>identified</w:t>
      </w:r>
      <w:r w:rsidRPr="00775F96" w:rsidR="00A34043">
        <w:rPr>
          <w:szCs w:val="22"/>
        </w:rPr>
        <w:t xml:space="preserve"> numerous </w:t>
      </w:r>
      <w:r w:rsidRPr="00775F96">
        <w:rPr>
          <w:szCs w:val="22"/>
        </w:rPr>
        <w:t>issues/programs lists</w:t>
      </w:r>
      <w:r w:rsidRPr="00775F96" w:rsidR="00C012A1">
        <w:rPr>
          <w:szCs w:val="22"/>
        </w:rPr>
        <w:t xml:space="preserve"> </w:t>
      </w:r>
      <w:r w:rsidRPr="00775F96" w:rsidR="00A43267">
        <w:rPr>
          <w:szCs w:val="22"/>
        </w:rPr>
        <w:t xml:space="preserve">were either missing or uploaded late to </w:t>
      </w:r>
      <w:r w:rsidRPr="00775F96" w:rsidR="002052AE">
        <w:rPr>
          <w:szCs w:val="22"/>
        </w:rPr>
        <w:t>WWAT</w:t>
      </w:r>
      <w:r w:rsidRPr="00775F96" w:rsidR="00A72673">
        <w:rPr>
          <w:szCs w:val="22"/>
        </w:rPr>
        <w:t>’s</w:t>
      </w:r>
      <w:r w:rsidRPr="00775F96" w:rsidR="00A43267">
        <w:rPr>
          <w:szCs w:val="22"/>
        </w:rPr>
        <w:t xml:space="preserve"> </w:t>
      </w:r>
      <w:r w:rsidRPr="00775F96" w:rsidR="004B51D6">
        <w:rPr>
          <w:szCs w:val="22"/>
        </w:rPr>
        <w:t xml:space="preserve">and WPTG’s </w:t>
      </w:r>
      <w:r w:rsidRPr="00775F96" w:rsidR="00A43267">
        <w:rPr>
          <w:szCs w:val="22"/>
        </w:rPr>
        <w:t>OPIF</w:t>
      </w:r>
      <w:r w:rsidRPr="00775F96" w:rsidR="004B51D6">
        <w:rPr>
          <w:szCs w:val="22"/>
        </w:rPr>
        <w:t>s</w:t>
      </w:r>
      <w:r w:rsidRPr="00775F96" w:rsidR="00592FAE">
        <w:rPr>
          <w:szCs w:val="22"/>
        </w:rPr>
        <w:t>.</w:t>
      </w:r>
      <w:r w:rsidRPr="00775F96">
        <w:rPr>
          <w:szCs w:val="22"/>
        </w:rPr>
        <w:t xml:space="preserve">  </w:t>
      </w:r>
      <w:r w:rsidRPr="00775F96" w:rsidR="00F83B64">
        <w:rPr>
          <w:szCs w:val="22"/>
        </w:rPr>
        <w:t>T</w:t>
      </w:r>
      <w:r w:rsidRPr="00775F96" w:rsidR="006B2BCE">
        <w:rPr>
          <w:szCs w:val="22"/>
        </w:rPr>
        <w:t xml:space="preserve">he Licensee </w:t>
      </w:r>
      <w:r w:rsidRPr="00775F96" w:rsidR="00A34043">
        <w:rPr>
          <w:szCs w:val="22"/>
        </w:rPr>
        <w:t xml:space="preserve">uploaded </w:t>
      </w:r>
      <w:r w:rsidRPr="00775F96" w:rsidR="00FC61A0">
        <w:rPr>
          <w:szCs w:val="22"/>
        </w:rPr>
        <w:t>the missing issues/programs lists</w:t>
      </w:r>
      <w:r w:rsidRPr="00775F96" w:rsidR="00637C09">
        <w:rPr>
          <w:szCs w:val="22"/>
        </w:rPr>
        <w:t xml:space="preserve"> </w:t>
      </w:r>
      <w:r w:rsidRPr="00775F96" w:rsidR="002052AE">
        <w:rPr>
          <w:szCs w:val="22"/>
        </w:rPr>
        <w:t>between</w:t>
      </w:r>
      <w:r w:rsidRPr="00775F96" w:rsidR="00637C09">
        <w:rPr>
          <w:szCs w:val="22"/>
        </w:rPr>
        <w:t xml:space="preserve"> </w:t>
      </w:r>
      <w:r w:rsidRPr="00775F96" w:rsidR="00B82F5E">
        <w:rPr>
          <w:szCs w:val="22"/>
        </w:rPr>
        <w:t>July 14</w:t>
      </w:r>
      <w:r w:rsidRPr="00775F96" w:rsidR="002052AE">
        <w:rPr>
          <w:szCs w:val="22"/>
        </w:rPr>
        <w:t xml:space="preserve"> and 16</w:t>
      </w:r>
      <w:r w:rsidRPr="00775F96" w:rsidR="00B82F5E">
        <w:rPr>
          <w:szCs w:val="22"/>
        </w:rPr>
        <w:t>, 2025</w:t>
      </w:r>
      <w:r w:rsidRPr="00775F96" w:rsidR="00F83B64">
        <w:rPr>
          <w:szCs w:val="22"/>
        </w:rPr>
        <w:t>.</w:t>
      </w:r>
      <w:r w:rsidRPr="00775F96" w:rsidR="00B82F5E">
        <w:rPr>
          <w:szCs w:val="22"/>
        </w:rPr>
        <w:t xml:space="preserve"> </w:t>
      </w:r>
      <w:r w:rsidRPr="00775F96" w:rsidR="005B7AB7">
        <w:rPr>
          <w:szCs w:val="22"/>
        </w:rPr>
        <w:t xml:space="preserve"> </w:t>
      </w:r>
      <w:r w:rsidRPr="00775F96" w:rsidR="00F83B64">
        <w:rPr>
          <w:szCs w:val="22"/>
        </w:rPr>
        <w:t xml:space="preserve">On </w:t>
      </w:r>
      <w:r w:rsidRPr="00775F96" w:rsidR="00715A04">
        <w:rPr>
          <w:szCs w:val="22"/>
        </w:rPr>
        <w:t>August 6, 2025</w:t>
      </w:r>
      <w:r w:rsidR="00213665">
        <w:rPr>
          <w:szCs w:val="22"/>
        </w:rPr>
        <w:t>,</w:t>
      </w:r>
      <w:r w:rsidRPr="00775F96" w:rsidR="00F83B64">
        <w:rPr>
          <w:szCs w:val="22"/>
        </w:rPr>
        <w:t xml:space="preserve"> the</w:t>
      </w:r>
      <w:r w:rsidRPr="00775F96" w:rsidR="00C11E43">
        <w:rPr>
          <w:szCs w:val="22"/>
        </w:rPr>
        <w:t xml:space="preserve"> Licensee</w:t>
      </w:r>
      <w:r w:rsidRPr="00775F96" w:rsidR="00F83B64">
        <w:rPr>
          <w:szCs w:val="22"/>
        </w:rPr>
        <w:t xml:space="preserve"> </w:t>
      </w:r>
      <w:r w:rsidRPr="00775F96" w:rsidR="005B7AB7">
        <w:rPr>
          <w:szCs w:val="22"/>
        </w:rPr>
        <w:t xml:space="preserve">amended the </w:t>
      </w:r>
      <w:r w:rsidRPr="00775F96" w:rsidR="00535511">
        <w:rPr>
          <w:szCs w:val="22"/>
        </w:rPr>
        <w:t xml:space="preserve">Renewal </w:t>
      </w:r>
      <w:r w:rsidRPr="00775F96" w:rsidR="005B7AB7">
        <w:rPr>
          <w:szCs w:val="22"/>
        </w:rPr>
        <w:t>Application</w:t>
      </w:r>
      <w:r w:rsidRPr="00775F96" w:rsidR="00A878ED">
        <w:rPr>
          <w:szCs w:val="22"/>
        </w:rPr>
        <w:t>s</w:t>
      </w:r>
      <w:r w:rsidRPr="00775F96" w:rsidR="005B7AB7">
        <w:rPr>
          <w:szCs w:val="22"/>
        </w:rPr>
        <w:t xml:space="preserve"> to change the response to </w:t>
      </w:r>
      <w:r w:rsidRPr="00775F96" w:rsidR="004A4ABB">
        <w:rPr>
          <w:szCs w:val="22"/>
        </w:rPr>
        <w:t>the</w:t>
      </w:r>
      <w:r w:rsidRPr="00775F96" w:rsidR="00A34043">
        <w:rPr>
          <w:szCs w:val="22"/>
        </w:rPr>
        <w:t xml:space="preserve"> aforementioned</w:t>
      </w:r>
      <w:r w:rsidRPr="00775F96" w:rsidR="004A4ABB">
        <w:rPr>
          <w:szCs w:val="22"/>
        </w:rPr>
        <w:t xml:space="preserve"> statement</w:t>
      </w:r>
      <w:r w:rsidRPr="00775F96" w:rsidR="00A34043">
        <w:t xml:space="preserve"> from “Yes” to </w:t>
      </w:r>
      <w:r w:rsidRPr="00775F96" w:rsidR="004A4ABB">
        <w:t>“No.”</w:t>
      </w:r>
      <w:r w:rsidRPr="00775F96" w:rsidR="00873296">
        <w:t xml:space="preserve">  </w:t>
      </w:r>
      <w:r w:rsidRPr="00775F96" w:rsidR="00A34043">
        <w:t>In total there were</w:t>
      </w:r>
      <w:r w:rsidRPr="00775F96" w:rsidR="00FF3B2F">
        <w:t xml:space="preserve"> </w:t>
      </w:r>
      <w:r w:rsidRPr="00775F96" w:rsidR="002052AE">
        <w:t>six</w:t>
      </w:r>
      <w:r w:rsidRPr="00775F96" w:rsidR="009541F0">
        <w:t xml:space="preserve"> late filed issues/programs lists</w:t>
      </w:r>
      <w:r w:rsidRPr="00775F96" w:rsidR="002052AE">
        <w:t xml:space="preserve"> for WWAT</w:t>
      </w:r>
      <w:r w:rsidRPr="00775F96" w:rsidR="00C71B6D">
        <w:t xml:space="preserve"> (five of which were initially missing)</w:t>
      </w:r>
      <w:r w:rsidRPr="00775F96" w:rsidR="002052AE">
        <w:t xml:space="preserve"> and seven late filed issues/programs lists for WPTG</w:t>
      </w:r>
      <w:r w:rsidRPr="00775F96" w:rsidR="00C71B6D">
        <w:t xml:space="preserve"> (six of which were initially missing)</w:t>
      </w:r>
      <w:r w:rsidRPr="00775F96" w:rsidR="009541F0">
        <w:t>.</w:t>
      </w:r>
      <w:r>
        <w:rPr>
          <w:rStyle w:val="FootnoteReference"/>
          <w:szCs w:val="22"/>
        </w:rPr>
        <w:footnoteReference w:id="18"/>
      </w:r>
      <w:r w:rsidRPr="00775F96" w:rsidR="00FC61A0">
        <w:rPr>
          <w:szCs w:val="22"/>
        </w:rPr>
        <w:t xml:space="preserve"> </w:t>
      </w:r>
      <w:r w:rsidRPr="00775F96" w:rsidR="00873296">
        <w:rPr>
          <w:szCs w:val="22"/>
        </w:rPr>
        <w:t xml:space="preserve"> </w:t>
      </w:r>
      <w:r w:rsidRPr="00775F96">
        <w:rPr>
          <w:szCs w:val="22"/>
        </w:rPr>
        <w:t>As of the date of the Adopting Order, all required documents have been placed in the Stations</w:t>
      </w:r>
      <w:r w:rsidRPr="00775F96" w:rsidR="00A878ED">
        <w:rPr>
          <w:szCs w:val="22"/>
        </w:rPr>
        <w:t>’</w:t>
      </w:r>
      <w:r w:rsidRPr="00775F96">
        <w:rPr>
          <w:szCs w:val="22"/>
        </w:rPr>
        <w:t xml:space="preserve"> OPIF</w:t>
      </w:r>
      <w:r w:rsidRPr="00775F96" w:rsidR="00A878ED">
        <w:rPr>
          <w:szCs w:val="22"/>
        </w:rPr>
        <w:t>s</w:t>
      </w:r>
      <w:r w:rsidRPr="00775F96">
        <w:rPr>
          <w:szCs w:val="22"/>
        </w:rPr>
        <w:t>.</w:t>
      </w:r>
    </w:p>
    <w:p w:rsidR="00603BFA" w:rsidRPr="00775F96" w:rsidP="00603BFA" w14:paraId="73B6DDD6" w14:textId="71AAC6AA">
      <w:pPr>
        <w:pStyle w:val="ParaNum"/>
        <w:rPr>
          <w:snapToGrid/>
          <w:szCs w:val="22"/>
        </w:rPr>
      </w:pPr>
      <w:r w:rsidRPr="00775F96">
        <w:rPr>
          <w:snapToGrid/>
          <w:szCs w:val="22"/>
        </w:rPr>
        <w:t>The Bureau and the Licensee have negotiated the terms of the Consent Decree, subject to specific terms and conditions, by which the Bureau will terminate the Investigation</w:t>
      </w:r>
      <w:r w:rsidRPr="00775F96" w:rsidR="0017198C">
        <w:rPr>
          <w:snapToGrid/>
          <w:szCs w:val="22"/>
        </w:rPr>
        <w:t xml:space="preserve"> </w:t>
      </w:r>
      <w:r w:rsidRPr="00775F96">
        <w:rPr>
          <w:snapToGrid/>
          <w:szCs w:val="22"/>
        </w:rPr>
        <w:t xml:space="preserve">and grant the </w:t>
      </w:r>
      <w:r w:rsidRPr="00775F96" w:rsidR="00535511">
        <w:rPr>
          <w:snapToGrid/>
          <w:szCs w:val="22"/>
        </w:rPr>
        <w:t xml:space="preserve">Renewal </w:t>
      </w:r>
      <w:r w:rsidRPr="00775F96">
        <w:rPr>
          <w:snapToGrid/>
          <w:szCs w:val="22"/>
        </w:rPr>
        <w:t>Application</w:t>
      </w:r>
      <w:r w:rsidRPr="00775F96" w:rsidR="00B16F29">
        <w:rPr>
          <w:snapToGrid/>
          <w:szCs w:val="22"/>
        </w:rPr>
        <w:t>s</w:t>
      </w:r>
      <w:r w:rsidRPr="00775F96">
        <w:rPr>
          <w:snapToGrid/>
          <w:szCs w:val="22"/>
        </w:rPr>
        <w:t>.  In consideration, the Licensee agrees to implement and maintain a Compliance Plan designed to ensure its future compliance with the</w:t>
      </w:r>
      <w:r w:rsidRPr="00775F96" w:rsidR="0017198C">
        <w:rPr>
          <w:snapToGrid/>
          <w:szCs w:val="22"/>
        </w:rPr>
        <w:t xml:space="preserve"> Accurate Statement Rule and</w:t>
      </w:r>
      <w:r w:rsidRPr="00775F96">
        <w:rPr>
          <w:snapToGrid/>
          <w:szCs w:val="22"/>
        </w:rPr>
        <w:t xml:space="preserve"> OPIF Rule, and </w:t>
      </w:r>
      <w:r w:rsidRPr="00775F96">
        <w:rPr>
          <w:szCs w:val="22"/>
        </w:rPr>
        <w:t xml:space="preserve">has agreed to </w:t>
      </w:r>
      <w:r w:rsidRPr="00775F96" w:rsidR="004E501B">
        <w:rPr>
          <w:szCs w:val="22"/>
        </w:rPr>
        <w:t>make a voluntary contribution</w:t>
      </w:r>
      <w:r w:rsidRPr="00775F96">
        <w:rPr>
          <w:szCs w:val="22"/>
        </w:rPr>
        <w:t xml:space="preserve"> in the amount of </w:t>
      </w:r>
      <w:r w:rsidRPr="00775F96" w:rsidR="000122E8">
        <w:rPr>
          <w:szCs w:val="22"/>
        </w:rPr>
        <w:t xml:space="preserve">Six </w:t>
      </w:r>
      <w:r w:rsidRPr="00775F96">
        <w:rPr>
          <w:szCs w:val="22"/>
        </w:rPr>
        <w:t>Thousand Dollars ($</w:t>
      </w:r>
      <w:r w:rsidRPr="00775F96" w:rsidR="000122E8">
        <w:rPr>
          <w:szCs w:val="22"/>
        </w:rPr>
        <w:t>6</w:t>
      </w:r>
      <w:r w:rsidRPr="00775F96" w:rsidR="004E501B">
        <w:rPr>
          <w:szCs w:val="22"/>
        </w:rPr>
        <w:t>,0</w:t>
      </w:r>
      <w:r w:rsidRPr="00775F96">
        <w:rPr>
          <w:szCs w:val="22"/>
        </w:rPr>
        <w:t>00) to the United States Treasury.</w:t>
      </w:r>
    </w:p>
    <w:p w:rsidR="00603BFA" w:rsidRPr="00775F96" w:rsidP="00603BFA" w14:paraId="49694F41" w14:textId="77777777">
      <w:pPr>
        <w:pStyle w:val="ParaNum"/>
        <w:numPr>
          <w:ilvl w:val="0"/>
          <w:numId w:val="0"/>
        </w:numPr>
        <w:rPr>
          <w:b/>
          <w:szCs w:val="22"/>
        </w:rPr>
      </w:pPr>
      <w:r w:rsidRPr="00775F96">
        <w:rPr>
          <w:b/>
          <w:szCs w:val="22"/>
        </w:rPr>
        <w:t>III.</w:t>
      </w:r>
      <w:r w:rsidRPr="00775F96">
        <w:rPr>
          <w:b/>
          <w:szCs w:val="22"/>
        </w:rPr>
        <w:tab/>
        <w:t>TERMS OF AGREEMENT</w:t>
      </w:r>
    </w:p>
    <w:p w:rsidR="00603BFA" w:rsidRPr="00775F96" w:rsidP="00603BFA" w14:paraId="68125BD5" w14:textId="69B394E9">
      <w:pPr>
        <w:pStyle w:val="ParaNum"/>
        <w:rPr>
          <w:szCs w:val="22"/>
          <w:u w:val="single"/>
        </w:rPr>
      </w:pPr>
      <w:r w:rsidRPr="00775F96">
        <w:rPr>
          <w:b/>
          <w:szCs w:val="22"/>
          <w:u w:val="single"/>
        </w:rPr>
        <w:t>Adopting Order</w:t>
      </w:r>
      <w:r w:rsidRPr="00775F96">
        <w:rPr>
          <w:szCs w:val="22"/>
        </w:rPr>
        <w:t>.</w:t>
      </w:r>
      <w:r w:rsidRPr="00775F96">
        <w:rPr>
          <w:bCs/>
          <w:szCs w:val="22"/>
        </w:rPr>
        <w:t xml:space="preserve">  </w:t>
      </w:r>
      <w:r w:rsidRPr="00775F96">
        <w:rPr>
          <w:szCs w:val="22"/>
        </w:rPr>
        <w:t>The Parties agree that the provisions of this Consent Decree shall be incorporated by reference by the Bureau in an Adopting Order</w:t>
      </w:r>
      <w:r w:rsidRPr="00775F96" w:rsidR="003E54CD">
        <w:rPr>
          <w:szCs w:val="22"/>
        </w:rPr>
        <w:t xml:space="preserve"> without change, addition, deletion, or modification</w:t>
      </w:r>
      <w:r w:rsidRPr="00775F96">
        <w:rPr>
          <w:szCs w:val="22"/>
        </w:rPr>
        <w:t>.</w:t>
      </w:r>
      <w:r w:rsidRPr="00775F96">
        <w:rPr>
          <w:b/>
          <w:szCs w:val="22"/>
          <w:u w:val="single"/>
        </w:rPr>
        <w:t xml:space="preserve"> </w:t>
      </w:r>
    </w:p>
    <w:p w:rsidR="00603BFA" w:rsidRPr="00775F96" w:rsidP="00603BFA" w14:paraId="2359F7D0" w14:textId="77777777">
      <w:pPr>
        <w:pStyle w:val="ParaNum"/>
        <w:rPr>
          <w:szCs w:val="22"/>
        </w:rPr>
      </w:pPr>
      <w:r w:rsidRPr="00775F96">
        <w:rPr>
          <w:b/>
          <w:szCs w:val="22"/>
          <w:u w:val="single"/>
        </w:rPr>
        <w:t>Jurisdiction</w:t>
      </w:r>
      <w:r w:rsidRPr="00775F96">
        <w:rPr>
          <w:szCs w:val="22"/>
        </w:rPr>
        <w:t>.  The Licensee</w:t>
      </w:r>
      <w:r w:rsidRPr="00775F96">
        <w:rPr>
          <w:b/>
          <w:szCs w:val="22"/>
        </w:rPr>
        <w:t xml:space="preserve"> </w:t>
      </w:r>
      <w:r w:rsidRPr="00775F96">
        <w:rPr>
          <w:szCs w:val="22"/>
        </w:rPr>
        <w:t>agrees that the Bureau has jurisdiction over it and the matters contained in this Consent Decree and has the authority to enter into and adopt this Consent Decree.</w:t>
      </w:r>
    </w:p>
    <w:p w:rsidR="00603BFA" w:rsidRPr="00775F96" w:rsidP="00603BFA" w14:paraId="4D849C96" w14:textId="77777777">
      <w:pPr>
        <w:pStyle w:val="ParaNum"/>
        <w:rPr>
          <w:szCs w:val="22"/>
        </w:rPr>
      </w:pPr>
      <w:r w:rsidRPr="00775F96">
        <w:rPr>
          <w:b/>
          <w:szCs w:val="22"/>
          <w:u w:val="single"/>
        </w:rPr>
        <w:t>Effective Date</w:t>
      </w:r>
      <w:r w:rsidRPr="00775F96">
        <w:rPr>
          <w:szCs w:val="22"/>
        </w:rPr>
        <w:t>.  The Parties agree that this Consent Decree shall become effective on the Effective Date, as defined herein.  As of the Effective Date, the Parties agree that this Consent Decree shall have the same force and effect as any other order of the Commission.</w:t>
      </w:r>
    </w:p>
    <w:p w:rsidR="00603BFA" w:rsidRPr="00775F96" w:rsidP="004547AD" w14:paraId="5D7AF102" w14:textId="50652ECC">
      <w:pPr>
        <w:pStyle w:val="ParaNum"/>
        <w:rPr>
          <w:szCs w:val="22"/>
        </w:rPr>
      </w:pPr>
      <w:r w:rsidRPr="00775F96">
        <w:rPr>
          <w:b/>
          <w:bCs/>
          <w:szCs w:val="22"/>
          <w:u w:val="single"/>
        </w:rPr>
        <w:t>Violations</w:t>
      </w:r>
      <w:r w:rsidRPr="00775F96">
        <w:rPr>
          <w:szCs w:val="22"/>
        </w:rPr>
        <w:t xml:space="preserve">. </w:t>
      </w:r>
      <w:r w:rsidRPr="00775F96" w:rsidR="006E26DB">
        <w:rPr>
          <w:szCs w:val="22"/>
        </w:rPr>
        <w:t xml:space="preserve"> </w:t>
      </w:r>
      <w:r w:rsidRPr="00775F96">
        <w:rPr>
          <w:szCs w:val="22"/>
        </w:rPr>
        <w:t>The Parties agree that any violation of the Adopting Order or the terms of this Consent Decree, in whole or in part, shall constitute a separate violation of a Commission order, entitling the Commission, or its delegated authority to exercise any rights and remedies attendant to the enforcement of a Commission order.</w:t>
      </w:r>
    </w:p>
    <w:p w:rsidR="003E54CD" w:rsidRPr="00775F96" w:rsidP="003E54CD" w14:paraId="2F68D31D" w14:textId="1D066388">
      <w:pPr>
        <w:pStyle w:val="ParaNum"/>
        <w:rPr>
          <w:szCs w:val="22"/>
        </w:rPr>
      </w:pPr>
      <w:r w:rsidRPr="00775F96">
        <w:rPr>
          <w:b/>
          <w:u w:val="single"/>
        </w:rPr>
        <w:t>Admission of Facts</w:t>
      </w:r>
      <w:r w:rsidRPr="00775F96">
        <w:rPr>
          <w:bCs/>
        </w:rPr>
        <w:t>.</w:t>
      </w:r>
      <w:r w:rsidRPr="00775F96">
        <w:rPr>
          <w:szCs w:val="22"/>
        </w:rPr>
        <w:t xml:space="preserve">  The Licensee admits for the purpose of this Consent Decree and for Commission civil enforcement purposes, and in express reliance on the provisions of paragraph 1</w:t>
      </w:r>
      <w:r w:rsidRPr="00775F96" w:rsidR="00046EEC">
        <w:rPr>
          <w:szCs w:val="22"/>
        </w:rPr>
        <w:t>1</w:t>
      </w:r>
      <w:r w:rsidRPr="00775F96">
        <w:t xml:space="preserve"> h</w:t>
      </w:r>
      <w:r w:rsidRPr="00775F96">
        <w:rPr>
          <w:szCs w:val="22"/>
        </w:rPr>
        <w:t xml:space="preserve">erein, that paragraphs </w:t>
      </w:r>
      <w:r w:rsidRPr="00775F96">
        <w:t xml:space="preserve">3 through </w:t>
      </w:r>
      <w:r w:rsidRPr="00775F96" w:rsidR="00E74C33">
        <w:rPr>
          <w:szCs w:val="22"/>
        </w:rPr>
        <w:t>4</w:t>
      </w:r>
      <w:r w:rsidRPr="00775F96">
        <w:rPr>
          <w:szCs w:val="22"/>
        </w:rPr>
        <w:t xml:space="preserve"> are a true and accurate description of the facts underlying the Investigation.  </w:t>
      </w:r>
      <w:r w:rsidRPr="00775F96" w:rsidR="009710B7">
        <w:rPr>
          <w:szCs w:val="22"/>
        </w:rPr>
        <w:t xml:space="preserve">By entering into this Consent Decree, </w:t>
      </w:r>
      <w:r w:rsidRPr="00775F96" w:rsidR="00FB6D04">
        <w:rPr>
          <w:szCs w:val="22"/>
        </w:rPr>
        <w:t xml:space="preserve">The Licensee makes no admission of liability </w:t>
      </w:r>
      <w:r w:rsidRPr="00775F96" w:rsidR="007F75F9">
        <w:rPr>
          <w:szCs w:val="22"/>
        </w:rPr>
        <w:t xml:space="preserve">or violation </w:t>
      </w:r>
      <w:r w:rsidRPr="00775F96" w:rsidR="00FB6D04">
        <w:rPr>
          <w:szCs w:val="22"/>
        </w:rPr>
        <w:t xml:space="preserve">of any </w:t>
      </w:r>
      <w:r w:rsidRPr="00775F96">
        <w:rPr>
          <w:szCs w:val="22"/>
        </w:rPr>
        <w:t xml:space="preserve">Communications Law, and the Bureau make no finding of any liability or violation. </w:t>
      </w:r>
    </w:p>
    <w:p w:rsidR="00603BFA" w:rsidRPr="00775F96" w:rsidP="003E54CD" w14:paraId="5B2F9147" w14:textId="18C0CE40">
      <w:pPr>
        <w:pStyle w:val="ParaNum"/>
        <w:rPr>
          <w:szCs w:val="22"/>
        </w:rPr>
      </w:pPr>
      <w:r w:rsidRPr="00775F96">
        <w:rPr>
          <w:b/>
          <w:szCs w:val="22"/>
          <w:u w:val="single"/>
        </w:rPr>
        <w:t>Termination of Investigation</w:t>
      </w:r>
      <w:r w:rsidRPr="00775F96">
        <w:rPr>
          <w:szCs w:val="22"/>
        </w:rPr>
        <w:t>.</w:t>
      </w:r>
      <w:r w:rsidRPr="00775F96">
        <w:rPr>
          <w:bCs/>
          <w:szCs w:val="22"/>
        </w:rPr>
        <w:t xml:space="preserve">  </w:t>
      </w:r>
      <w:r w:rsidRPr="00775F96">
        <w:rPr>
          <w:szCs w:val="22"/>
        </w:rPr>
        <w:t xml:space="preserve">In express reliance on the covenants and representations in this Consent Decree and to avoid further expenditure of public resources, the Bureau agrees to terminate the Investigation and to take the actions specified in </w:t>
      </w:r>
      <w:r w:rsidRPr="00775F96" w:rsidR="003E54CD">
        <w:t>p</w:t>
      </w:r>
      <w:r w:rsidRPr="00775F96">
        <w:t xml:space="preserve">aragraph </w:t>
      </w:r>
      <w:r w:rsidRPr="00775F96">
        <w:rPr>
          <w:szCs w:val="22"/>
        </w:rPr>
        <w:t>1</w:t>
      </w:r>
      <w:r w:rsidRPr="00775F96" w:rsidR="00046EEC">
        <w:rPr>
          <w:szCs w:val="22"/>
        </w:rPr>
        <w:t>5</w:t>
      </w:r>
      <w:r w:rsidRPr="00775F96">
        <w:t>.</w:t>
      </w:r>
      <w:r w:rsidRPr="00775F96">
        <w:rPr>
          <w:szCs w:val="22"/>
        </w:rPr>
        <w:t xml:space="preserve">  In consideration for the termination of the Investigation, the Licensee agrees to the terms, conditions, and procedures contained herein, including the actions specified in </w:t>
      </w:r>
      <w:r w:rsidRPr="00775F96" w:rsidR="003E54CD">
        <w:t>p</w:t>
      </w:r>
      <w:r w:rsidRPr="00775F96">
        <w:t xml:space="preserve">aragraphs </w:t>
      </w:r>
      <w:r w:rsidRPr="00775F96">
        <w:rPr>
          <w:szCs w:val="22"/>
        </w:rPr>
        <w:t>1</w:t>
      </w:r>
      <w:r w:rsidRPr="00775F96" w:rsidR="00046EEC">
        <w:rPr>
          <w:szCs w:val="22"/>
        </w:rPr>
        <w:t>3</w:t>
      </w:r>
      <w:r w:rsidRPr="00775F96">
        <w:rPr>
          <w:szCs w:val="22"/>
        </w:rPr>
        <w:t xml:space="preserve">, </w:t>
      </w:r>
      <w:r w:rsidRPr="00775F96" w:rsidR="00046EEC">
        <w:rPr>
          <w:szCs w:val="22"/>
        </w:rPr>
        <w:t>16</w:t>
      </w:r>
      <w:r w:rsidRPr="00775F96">
        <w:rPr>
          <w:szCs w:val="22"/>
        </w:rPr>
        <w:t xml:space="preserve">, </w:t>
      </w:r>
      <w:r w:rsidRPr="00775F96" w:rsidR="00046EEC">
        <w:t>17</w:t>
      </w:r>
      <w:r w:rsidRPr="00775F96">
        <w:t xml:space="preserve">, and </w:t>
      </w:r>
      <w:r w:rsidRPr="00775F96" w:rsidR="00046EEC">
        <w:rPr>
          <w:szCs w:val="22"/>
        </w:rPr>
        <w:t>19</w:t>
      </w:r>
      <w:r w:rsidRPr="00775F96">
        <w:rPr>
          <w:szCs w:val="22"/>
        </w:rPr>
        <w:t xml:space="preserve"> of this Consent Decree.</w:t>
      </w:r>
      <w:r w:rsidRPr="00775F96" w:rsidR="003E54CD">
        <w:rPr>
          <w:szCs w:val="22"/>
        </w:rPr>
        <w:t xml:space="preserve">  </w:t>
      </w:r>
      <w:r w:rsidRPr="00775F96">
        <w:rPr>
          <w:szCs w:val="22"/>
        </w:rPr>
        <w:t xml:space="preserve">The </w:t>
      </w:r>
      <w:r w:rsidRPr="00775F96">
        <w:rPr>
          <w:szCs w:val="22"/>
        </w:rPr>
        <w:t xml:space="preserve">Bureau further agrees that, in the absence of new material evidence, the Bureau will not use the facts developed in </w:t>
      </w:r>
      <w:r w:rsidRPr="00775F96" w:rsidR="00C81FEE">
        <w:rPr>
          <w:szCs w:val="22"/>
        </w:rPr>
        <w:t xml:space="preserve">the </w:t>
      </w:r>
      <w:r w:rsidRPr="00775F96">
        <w:rPr>
          <w:szCs w:val="22"/>
        </w:rPr>
        <w:t>Investigation through the Effective Date, or the existence of this Consent Decree, to institute, on its own motion or in response to any petition to deny or other third-party objection, any new proceeding</w:t>
      </w:r>
      <w:r w:rsidRPr="00775F96" w:rsidR="001D4BD1">
        <w:rPr>
          <w:szCs w:val="22"/>
        </w:rPr>
        <w:t xml:space="preserve"> (</w:t>
      </w:r>
      <w:r w:rsidRPr="00775F96">
        <w:rPr>
          <w:szCs w:val="22"/>
        </w:rPr>
        <w:t>formal or informal</w:t>
      </w:r>
      <w:r w:rsidRPr="00775F96" w:rsidR="001D4BD1">
        <w:rPr>
          <w:szCs w:val="22"/>
        </w:rPr>
        <w:t>)</w:t>
      </w:r>
      <w:r w:rsidRPr="00775F96">
        <w:rPr>
          <w:szCs w:val="22"/>
        </w:rPr>
        <w:t xml:space="preserve"> or take any action on its own motion against the Licensee</w:t>
      </w:r>
      <w:r w:rsidRPr="00775F96">
        <w:rPr>
          <w:b/>
          <w:szCs w:val="22"/>
        </w:rPr>
        <w:t xml:space="preserve"> </w:t>
      </w:r>
      <w:r w:rsidRPr="00775F96">
        <w:rPr>
          <w:szCs w:val="22"/>
        </w:rPr>
        <w:t>concerning the matters that were the subject of the Investigation.  The Bureau also agrees that, in the absence of new material evidence, it will not use the facts developed in the Investigation through the Effective Date, or the existence of this Consent Decree, to institute on its own motion any proceeding</w:t>
      </w:r>
      <w:r w:rsidRPr="00775F96" w:rsidR="001D4BD1">
        <w:rPr>
          <w:szCs w:val="22"/>
        </w:rPr>
        <w:t xml:space="preserve"> (</w:t>
      </w:r>
      <w:r w:rsidRPr="00775F96">
        <w:rPr>
          <w:szCs w:val="22"/>
        </w:rPr>
        <w:t>formal or informal</w:t>
      </w:r>
      <w:r w:rsidRPr="00775F96" w:rsidR="001D4BD1">
        <w:rPr>
          <w:szCs w:val="22"/>
        </w:rPr>
        <w:t>)</w:t>
      </w:r>
      <w:r w:rsidRPr="00775F96">
        <w:rPr>
          <w:szCs w:val="22"/>
        </w:rPr>
        <w:t xml:space="preserve"> to set for hearing the question of the Licensee’s basic qualifications to be a Commission licensee or to hold Commission licenses or authorizations.</w:t>
      </w:r>
      <w:r>
        <w:rPr>
          <w:rStyle w:val="FootnoteReference"/>
          <w:sz w:val="22"/>
          <w:szCs w:val="22"/>
        </w:rPr>
        <w:footnoteReference w:id="19"/>
      </w:r>
    </w:p>
    <w:p w:rsidR="00603BFA" w:rsidRPr="00775F96" w:rsidP="00603BFA" w14:paraId="4AE534F9" w14:textId="6F5C79C9">
      <w:pPr>
        <w:pStyle w:val="ParaNum"/>
        <w:rPr>
          <w:szCs w:val="22"/>
        </w:rPr>
      </w:pPr>
      <w:r w:rsidRPr="00775F96">
        <w:rPr>
          <w:b/>
          <w:bCs/>
          <w:szCs w:val="22"/>
          <w:u w:val="single"/>
        </w:rPr>
        <w:t>Subsequent Investigations</w:t>
      </w:r>
      <w:r w:rsidRPr="00775F96">
        <w:rPr>
          <w:szCs w:val="22"/>
        </w:rPr>
        <w:t xml:space="preserve">.  This Consent Decree shall not prevent the Commission from investigating new evidence of noncompliance by the Licensee with the Rules or Act or from adjudicating complaints or other adjudicatory pleadings filed by third parties against the Licensee for alleged violations of the Communications Laws or for any alleged misconduct, regardless of when such misconduct took place.  Further, except as expressly provided herein, the Licensee acknowledges that the Commission retains the discretion and authority to propose sanctions against the Licensee, including the issuance of notices of apparent liability for forfeiture, for any apparent willful and/or repeated violation by the Licensee of the Rules or Act.  The Commission’s adjudication of any complaints or potential will be based solely on the record developed in subsequent proceedings.  </w:t>
      </w:r>
    </w:p>
    <w:p w:rsidR="00603BFA" w:rsidRPr="00775F96" w:rsidP="00603BFA" w14:paraId="562E08AD" w14:textId="13F8366C">
      <w:pPr>
        <w:pStyle w:val="ParaNum"/>
        <w:rPr>
          <w:szCs w:val="22"/>
        </w:rPr>
      </w:pPr>
      <w:r w:rsidRPr="00775F96">
        <w:rPr>
          <w:b/>
          <w:bCs/>
          <w:u w:val="single"/>
        </w:rPr>
        <w:t>Voluntary Contribution</w:t>
      </w:r>
      <w:r w:rsidRPr="00775F96">
        <w:t xml:space="preserve">.  The Licensee agrees to make a </w:t>
      </w:r>
      <w:r w:rsidRPr="00775F96" w:rsidR="00970A17">
        <w:t>“V</w:t>
      </w:r>
      <w:r w:rsidRPr="00775F96" w:rsidR="00E57CC6">
        <w:t xml:space="preserve">oluntary </w:t>
      </w:r>
      <w:r w:rsidRPr="00775F96" w:rsidR="00970A17">
        <w:t>Co</w:t>
      </w:r>
      <w:r w:rsidRPr="00775F96" w:rsidR="00E57CC6">
        <w:t>ntribution</w:t>
      </w:r>
      <w:r w:rsidRPr="00775F96" w:rsidR="00970A17">
        <w:t>”</w:t>
      </w:r>
      <w:r w:rsidRPr="00775F96">
        <w:t xml:space="preserve"> to the United States Treasury in the amount of </w:t>
      </w:r>
      <w:r w:rsidRPr="00775F96" w:rsidR="000122E8">
        <w:t xml:space="preserve">Six </w:t>
      </w:r>
      <w:r w:rsidRPr="00775F96">
        <w:t xml:space="preserve">Thousand </w:t>
      </w:r>
      <w:r w:rsidRPr="00775F96" w:rsidR="007372C6">
        <w:t>D</w:t>
      </w:r>
      <w:r w:rsidRPr="00775F96">
        <w:t>ollars ($</w:t>
      </w:r>
      <w:r w:rsidRPr="00775F96" w:rsidR="000122E8">
        <w:t>6</w:t>
      </w:r>
      <w:r w:rsidRPr="00775F96">
        <w:t>,</w:t>
      </w:r>
      <w:r w:rsidRPr="00775F96" w:rsidR="006D4EE7">
        <w:t>0</w:t>
      </w:r>
      <w:r w:rsidRPr="00775F96">
        <w:t>00)</w:t>
      </w:r>
      <w:r w:rsidRPr="00775F96" w:rsidR="00F87429">
        <w:t xml:space="preserve"> </w:t>
      </w:r>
      <w:r w:rsidRPr="00775F96">
        <w:t xml:space="preserve">within thirty (30) calendar days after the Effective Date.  It also acknowledges and agrees that upon execution of this Consent Decree, the </w:t>
      </w:r>
      <w:r w:rsidRPr="00775F96" w:rsidR="00970A17">
        <w:t>Voluntary Contribution</w:t>
      </w:r>
      <w:r w:rsidRPr="00775F96">
        <w:t xml:space="preserve"> shall become a “Claim” or “Debt” as defined in section 3701(b)(1) of the Debt Collection Improvement Act of 1996.</w:t>
      </w:r>
      <w:r>
        <w:rPr>
          <w:rStyle w:val="FootnoteReference"/>
          <w:sz w:val="22"/>
          <w:szCs w:val="22"/>
        </w:rPr>
        <w:footnoteReference w:id="20"/>
      </w:r>
      <w:r w:rsidRPr="00775F96">
        <w:t xml:space="preserve">  </w:t>
      </w:r>
      <w:r w:rsidRPr="00775F96">
        <w:rPr>
          <w:b/>
          <w:bCs/>
        </w:rPr>
        <w:t xml:space="preserve">The Licensee shall send electronic notification of payment to </w:t>
      </w:r>
      <w:hyperlink r:id="rId13" w:history="1">
        <w:r w:rsidRPr="00775F96" w:rsidR="009A3439">
          <w:rPr>
            <w:rStyle w:val="Hyperlink"/>
            <w:b/>
            <w:bCs/>
            <w:szCs w:val="22"/>
          </w:rPr>
          <w:t>VideoCompliance@fcc.gov</w:t>
        </w:r>
      </w:hyperlink>
      <w:r w:rsidRPr="00775F96">
        <w:rPr>
          <w:b/>
          <w:bCs/>
        </w:rPr>
        <w:t xml:space="preserve"> on the date payment is made.</w:t>
      </w:r>
      <w:r w:rsidRPr="00775F96">
        <w:t xml:space="preserve">  Payment of the </w:t>
      </w:r>
      <w:r w:rsidRPr="00775F96" w:rsidR="00977814">
        <w:t>Voluntary Contribution</w:t>
      </w:r>
      <w:r w:rsidRPr="00775F96">
        <w:t xml:space="preserve"> must be made by credit card, ACH (Automated Clearing House) debit from a bank account using CORES (the Commission’s online payment system),</w:t>
      </w:r>
      <w:r>
        <w:rPr>
          <w:rStyle w:val="FootnoteReference"/>
          <w:sz w:val="22"/>
          <w:szCs w:val="22"/>
        </w:rPr>
        <w:footnoteReference w:id="21"/>
      </w:r>
      <w:r w:rsidRPr="00775F96">
        <w:t xml:space="preserve"> or by wire transfer.  Payments by check or money order are no longer accepted.  </w:t>
      </w:r>
      <w:r w:rsidRPr="00775F96">
        <w:rPr>
          <w:szCs w:val="22"/>
        </w:rPr>
        <w:t xml:space="preserve">Questions regarding payment procedures should be directed to the Financial Operations Group Help Desk by phone, 1-877-480-3201 (option #6), or by e-mail at </w:t>
      </w:r>
      <w:hyperlink r:id="rId14" w:history="1">
        <w:r w:rsidRPr="00775F96">
          <w:rPr>
            <w:rStyle w:val="Hyperlink"/>
            <w:szCs w:val="22"/>
          </w:rPr>
          <w:t>ARINQUIRIES@fcc.gov</w:t>
        </w:r>
      </w:hyperlink>
      <w:r w:rsidRPr="00775F96">
        <w:rPr>
          <w:szCs w:val="22"/>
        </w:rPr>
        <w:t xml:space="preserve">.  Below are instructions that the Licensee should follow based on the form of payment selected: </w:t>
      </w:r>
    </w:p>
    <w:p w:rsidR="00603BFA" w:rsidRPr="00775F96" w:rsidP="00603BFA" w14:paraId="3F0FB4FB" w14:textId="77777777">
      <w:pPr>
        <w:pStyle w:val="ParaNum"/>
        <w:numPr>
          <w:ilvl w:val="0"/>
          <w:numId w:val="9"/>
        </w:numPr>
        <w:rPr>
          <w:szCs w:val="22"/>
        </w:rPr>
      </w:pPr>
      <w:r w:rsidRPr="00775F96">
        <w:rPr>
          <w:szCs w:val="22"/>
        </w:rPr>
        <w:t xml:space="preserve">Payment by wire transfer must be made to ABA Number 021030004, receiving bank TREAS/NYC, and Account Number 27000001.  A completed FCC Form 159 must be faxed to the Federal Communications Commission at 202-418-2843 or e-mailed to </w:t>
      </w:r>
      <w:hyperlink r:id="rId15" w:history="1">
        <w:r w:rsidRPr="00775F96">
          <w:rPr>
            <w:rStyle w:val="Hyperlink"/>
            <w:szCs w:val="22"/>
          </w:rPr>
          <w:t>RROGWireFaxes@fcc.gov</w:t>
        </w:r>
      </w:hyperlink>
      <w:r w:rsidRPr="00775F96">
        <w:rPr>
          <w:szCs w:val="22"/>
        </w:rPr>
        <w:t xml:space="preserve"> on the same business day the wire transfer is initiated.  Failure to provide all required information in Form 159 may result in payment not being recognized as having been received.  When completing FCC Form 159, enter the Account Number captioned above in block number 23A (call sign/other ID), enter the letters “FORF” in block number 24A (payment type code), and enter in block number 11 the FRN(s) captioned above (Payor FRN).</w:t>
      </w:r>
      <w:r>
        <w:rPr>
          <w:rStyle w:val="FootnoteReference"/>
          <w:sz w:val="22"/>
          <w:szCs w:val="22"/>
        </w:rPr>
        <w:footnoteReference w:id="22"/>
      </w:r>
      <w:r w:rsidRPr="00775F96">
        <w:rPr>
          <w:szCs w:val="22"/>
        </w:rPr>
        <w:t xml:space="preserve">  For additional detail and wire transfer instructions, go to </w:t>
      </w:r>
      <w:hyperlink r:id="rId16" w:history="1">
        <w:r w:rsidRPr="00775F96">
          <w:rPr>
            <w:rStyle w:val="Hyperlink"/>
            <w:szCs w:val="22"/>
          </w:rPr>
          <w:t>https://www.fcc.gov/licensing-databases/fees/wire-transfer</w:t>
        </w:r>
      </w:hyperlink>
      <w:r w:rsidRPr="00775F96">
        <w:rPr>
          <w:szCs w:val="22"/>
        </w:rPr>
        <w:t xml:space="preserve">. </w:t>
      </w:r>
    </w:p>
    <w:p w:rsidR="00603BFA" w:rsidRPr="00775F96" w:rsidP="00603BFA" w14:paraId="589EDCBF" w14:textId="77777777">
      <w:pPr>
        <w:pStyle w:val="ParaNum"/>
        <w:numPr>
          <w:ilvl w:val="0"/>
          <w:numId w:val="9"/>
        </w:numPr>
        <w:rPr>
          <w:szCs w:val="22"/>
        </w:rPr>
      </w:pPr>
      <w:r w:rsidRPr="00775F96">
        <w:rPr>
          <w:szCs w:val="22"/>
        </w:rPr>
        <w:t xml:space="preserve">Payment by credit card must be made by using the Commission’s Registration System (CORES) at </w:t>
      </w:r>
      <w:hyperlink r:id="rId17" w:history="1">
        <w:r w:rsidRPr="00775F96">
          <w:rPr>
            <w:rStyle w:val="Hyperlink"/>
            <w:szCs w:val="22"/>
          </w:rPr>
          <w:t>https://apps.fcc.gov/cores/userLogin.do</w:t>
        </w:r>
      </w:hyperlink>
      <w:r w:rsidRPr="00775F96">
        <w:rPr>
          <w:szCs w:val="22"/>
        </w:rPr>
        <w:t xml:space="preserve">.  To pay by credit card, log-in using the FCC Username associated to the FRN captioned above.  If payment must be split across FRNs, complete this process for each FRN.  Next, select “Manage Existing FRNs | FRN </w:t>
      </w:r>
      <w:r w:rsidRPr="00775F96">
        <w:rPr>
          <w:szCs w:val="22"/>
        </w:rPr>
        <w:t>Financial | Bills &amp; Fees” from the CORES Menu, then select FRN Financial and the view/make payments option next to the FRN.  Select the “Open Bills” tab and find the bill number associated with the Consent Decree.  The bill number is the Acct. No. (e.g., Acct. No. 1912345678 would be associated with FCC Bill Number 1912345678) captioned above.  After selecting the bill for payment, choose the “Pay by Credit Card” option.  Please note that there is a $24,999.99 limit on credit card transactions.</w:t>
      </w:r>
    </w:p>
    <w:p w:rsidR="00603BFA" w:rsidRPr="00775F96" w:rsidP="00603BFA" w14:paraId="618763E0" w14:textId="77777777">
      <w:pPr>
        <w:pStyle w:val="ParaNum"/>
        <w:numPr>
          <w:ilvl w:val="0"/>
          <w:numId w:val="9"/>
        </w:numPr>
        <w:rPr>
          <w:szCs w:val="22"/>
        </w:rPr>
      </w:pPr>
      <w:r w:rsidRPr="00775F96">
        <w:rPr>
          <w:szCs w:val="22"/>
        </w:rPr>
        <w:t xml:space="preserve">Payment by ACH must be made by using the Commission’s Registration System (CORES) at </w:t>
      </w:r>
      <w:hyperlink r:id="rId18" w:history="1">
        <w:r w:rsidRPr="00775F96">
          <w:rPr>
            <w:rStyle w:val="Hyperlink"/>
            <w:szCs w:val="22"/>
          </w:rPr>
          <w:t>https://apps.fcc.gov/cores/paymentFrnLogin.do</w:t>
        </w:r>
      </w:hyperlink>
      <w:r w:rsidRPr="00775F96">
        <w:rPr>
          <w:szCs w:val="22"/>
        </w:rPr>
        <w:t xml:space="preserve">.  To pay by ACH, log-in using the FCC Username associated to the FRN captioned above.  If payment must be split across FRNs, complete this process for each FRN.  Next, select “Manage Existing FRNs | FRN Financial | Bills &amp; Fees” on the CORES Menu, then select FRN Financial and the view/make payments option next to the FRN.  Select the “Open Bills” tab and find the bill number associated with the Consent Decree.  The bill number is the Acct. No. (e.g., Acct. No. 1912345678 would be associated with FCC Bill Number 1912345678) captioned above.  Finally, choose the “Pay from Bank Account” option.  Please contact the appropriate financial institution to confirm the correct Routing Number and the correct account number from which payment will be made and verify with that financial institution that the designated account has authorization to accept ACH transactions. </w:t>
      </w:r>
    </w:p>
    <w:p w:rsidR="00603BFA" w:rsidRPr="00775F96" w:rsidP="00603BFA" w14:paraId="220F7612" w14:textId="6255A395">
      <w:pPr>
        <w:pStyle w:val="ParaNum"/>
        <w:rPr>
          <w:szCs w:val="22"/>
        </w:rPr>
      </w:pPr>
      <w:r w:rsidRPr="00775F96">
        <w:rPr>
          <w:b/>
          <w:bCs/>
          <w:szCs w:val="22"/>
          <w:u w:val="single"/>
        </w:rPr>
        <w:t>Event of Default</w:t>
      </w:r>
      <w:r w:rsidRPr="00775F96">
        <w:rPr>
          <w:szCs w:val="22"/>
        </w:rPr>
        <w:t xml:space="preserve">.  The Parties agree that an “Event of Default” shall occur upon the failure by the Licensee to pay the full amount of the </w:t>
      </w:r>
      <w:r w:rsidRPr="00775F96" w:rsidR="00A23F6D">
        <w:rPr>
          <w:szCs w:val="22"/>
        </w:rPr>
        <w:t>Voluntary Contribution</w:t>
      </w:r>
      <w:r w:rsidRPr="00775F96">
        <w:rPr>
          <w:szCs w:val="22"/>
        </w:rPr>
        <w:t xml:space="preserve"> on or before the due date specified in </w:t>
      </w:r>
      <w:r w:rsidRPr="00775F96" w:rsidR="00970A17">
        <w:t>p</w:t>
      </w:r>
      <w:r w:rsidRPr="00775F96">
        <w:t xml:space="preserve">aragraph </w:t>
      </w:r>
      <w:r w:rsidRPr="00775F96">
        <w:rPr>
          <w:szCs w:val="22"/>
        </w:rPr>
        <w:t>1</w:t>
      </w:r>
      <w:r w:rsidRPr="00775F96" w:rsidR="00A83E74">
        <w:rPr>
          <w:szCs w:val="22"/>
        </w:rPr>
        <w:t>3</w:t>
      </w:r>
      <w:r w:rsidRPr="00775F96">
        <w:t>.</w:t>
      </w:r>
      <w:r w:rsidRPr="00775F96">
        <w:rPr>
          <w:szCs w:val="22"/>
        </w:rPr>
        <w:t xml:space="preserve">  After an Event of Default has occurred under this Consent Decree, the unpaid amount of the </w:t>
      </w:r>
      <w:r w:rsidRPr="00775F96" w:rsidR="00505F4E">
        <w:rPr>
          <w:szCs w:val="22"/>
        </w:rPr>
        <w:t>Voluntary Contribution</w:t>
      </w:r>
      <w:r w:rsidRPr="00775F96">
        <w:rPr>
          <w:szCs w:val="22"/>
        </w:rPr>
        <w:t xml:space="preserve"> shall accrue interest, computed using the U.S. Prime Rate in effect on the date of the Event of Default plus 4.75%, from the date of the Event of Default until payment in full.  Upon an Event of Default, the then unpaid amount of the </w:t>
      </w:r>
      <w:r w:rsidRPr="00775F96" w:rsidR="00A23F6D">
        <w:rPr>
          <w:szCs w:val="22"/>
        </w:rPr>
        <w:t>Voluntary Contribution</w:t>
      </w:r>
      <w:r w:rsidRPr="00775F96">
        <w:rPr>
          <w:szCs w:val="22"/>
        </w:rPr>
        <w:t>, together with interest, any penalties permitted and/or required by the law, including but not limited to 31 U.S.C. § 3717 and administrative charges, plus the costs of collection, litigation, and attorneys’ fees, shall become immediately due and payable, without notice, presentment, demand, protest, or notice of protest of any kind, all of which are waived by the Licensee.</w:t>
      </w:r>
    </w:p>
    <w:p w:rsidR="00603BFA" w:rsidRPr="00775F96" w:rsidP="00603BFA" w14:paraId="46316762" w14:textId="6BCA3A21">
      <w:pPr>
        <w:pStyle w:val="ParaNum"/>
      </w:pPr>
      <w:r w:rsidRPr="00775F96">
        <w:rPr>
          <w:b/>
          <w:bCs/>
          <w:u w:val="single"/>
        </w:rPr>
        <w:t xml:space="preserve">Grant of </w:t>
      </w:r>
      <w:r w:rsidRPr="00775F96" w:rsidR="00535511">
        <w:rPr>
          <w:b/>
          <w:bCs/>
          <w:u w:val="single"/>
        </w:rPr>
        <w:t xml:space="preserve">Renewal </w:t>
      </w:r>
      <w:r w:rsidRPr="00775F96">
        <w:rPr>
          <w:b/>
          <w:bCs/>
          <w:u w:val="single"/>
        </w:rPr>
        <w:t>Application</w:t>
      </w:r>
      <w:r w:rsidRPr="00775F96" w:rsidR="00D53CD1">
        <w:rPr>
          <w:b/>
          <w:bCs/>
          <w:u w:val="single"/>
        </w:rPr>
        <w:t>s</w:t>
      </w:r>
      <w:r w:rsidRPr="00775F96">
        <w:t xml:space="preserve">.  In the Adopting Order, the Bureau has determined that grant of the </w:t>
      </w:r>
      <w:r w:rsidRPr="00775F96" w:rsidR="00535511">
        <w:t xml:space="preserve">Renewal </w:t>
      </w:r>
      <w:r w:rsidRPr="00775F96">
        <w:t>Application</w:t>
      </w:r>
      <w:r w:rsidRPr="00775F96" w:rsidR="00D53CD1">
        <w:t>s</w:t>
      </w:r>
      <w:r w:rsidRPr="00775F96">
        <w:t xml:space="preserve"> is in the public interest, convenience, and necessity, and consistent with 47 U.S.C. § 309(k)</w:t>
      </w:r>
      <w:r w:rsidRPr="00775F96" w:rsidR="00510F8E">
        <w:t>(1)</w:t>
      </w:r>
      <w:r w:rsidRPr="00775F96">
        <w:t xml:space="preserve">.  The Bureau agrees to grant the </w:t>
      </w:r>
      <w:r w:rsidRPr="00775F96" w:rsidR="00535511">
        <w:t xml:space="preserve">Renewal </w:t>
      </w:r>
      <w:r w:rsidRPr="00775F96">
        <w:t>Application</w:t>
      </w:r>
      <w:r w:rsidRPr="00775F96" w:rsidR="00D53CD1">
        <w:t>s</w:t>
      </w:r>
      <w:r w:rsidRPr="00775F96">
        <w:t xml:space="preserve"> for a full eight year term from the</w:t>
      </w:r>
      <w:r w:rsidRPr="00775F96" w:rsidR="00510F8E">
        <w:t xml:space="preserve"> Stations’</w:t>
      </w:r>
      <w:r w:rsidRPr="00775F96">
        <w:t xml:space="preserve"> prior license expiration date</w:t>
      </w:r>
      <w:r w:rsidRPr="00775F96" w:rsidR="00510F8E">
        <w:t>s</w:t>
      </w:r>
      <w:r w:rsidRPr="00775F96">
        <w:t xml:space="preserve">.  The </w:t>
      </w:r>
      <w:r w:rsidRPr="00775F96" w:rsidR="00535511">
        <w:t xml:space="preserve">Renewal </w:t>
      </w:r>
      <w:r w:rsidRPr="00775F96">
        <w:t>Application</w:t>
      </w:r>
      <w:r w:rsidRPr="00775F96" w:rsidR="00D53CD1">
        <w:t>s</w:t>
      </w:r>
      <w:r w:rsidRPr="00775F96">
        <w:t xml:space="preserve"> will be granted within two business days following the Effective Date.  Grant of the </w:t>
      </w:r>
      <w:r w:rsidRPr="00775F96" w:rsidR="00535511">
        <w:t xml:space="preserve">Renewal </w:t>
      </w:r>
      <w:r w:rsidRPr="00775F96">
        <w:t>Application</w:t>
      </w:r>
      <w:r w:rsidRPr="00775F96" w:rsidR="00D53CD1">
        <w:t>s</w:t>
      </w:r>
      <w:r w:rsidRPr="00775F96">
        <w:t xml:space="preserve"> will be conditioned on compliance with the terms set forth in </w:t>
      </w:r>
      <w:r w:rsidRPr="00775F96" w:rsidR="00970A17">
        <w:t>p</w:t>
      </w:r>
      <w:r w:rsidRPr="00775F96">
        <w:t>aragraph 1</w:t>
      </w:r>
      <w:r w:rsidRPr="00775F96" w:rsidR="00A83E74">
        <w:t>3</w:t>
      </w:r>
      <w:r w:rsidRPr="00775F96">
        <w:t>.</w:t>
      </w:r>
    </w:p>
    <w:p w:rsidR="00970A17" w:rsidRPr="00775F96" w:rsidP="00970A17" w14:paraId="3018CF2C" w14:textId="6EC736D5">
      <w:pPr>
        <w:pStyle w:val="ParaNum"/>
        <w:rPr>
          <w:szCs w:val="22"/>
        </w:rPr>
      </w:pPr>
      <w:r w:rsidRPr="00775F96">
        <w:rPr>
          <w:b/>
          <w:szCs w:val="22"/>
          <w:u w:val="single"/>
        </w:rPr>
        <w:t>Compliance Officer</w:t>
      </w:r>
      <w:r w:rsidRPr="00775F96">
        <w:rPr>
          <w:szCs w:val="22"/>
        </w:rPr>
        <w:t xml:space="preserve">.  Within thirty (30) calendar days after the Effective Date, the Licensee shall designate a responsible party employed (on a full, part-time, or contract basis) to serve as a Compliance Officer and to discharge the duties set forth in paragraphs </w:t>
      </w:r>
      <w:r w:rsidRPr="00775F96" w:rsidR="009D081B">
        <w:rPr>
          <w:szCs w:val="22"/>
        </w:rPr>
        <w:t>17</w:t>
      </w:r>
      <w:r w:rsidRPr="00775F96">
        <w:t xml:space="preserve"> and </w:t>
      </w:r>
      <w:r w:rsidRPr="00775F96" w:rsidR="009D081B">
        <w:rPr>
          <w:szCs w:val="22"/>
        </w:rPr>
        <w:t>19</w:t>
      </w:r>
      <w:r w:rsidRPr="00775F96">
        <w:t>.</w:t>
      </w:r>
      <w:r w:rsidRPr="00775F96">
        <w:rPr>
          <w:szCs w:val="22"/>
        </w:rPr>
        <w:t>  The Compliance Officer must be provided all necessary corporate and organizational authority to ensure they are able to discharge their duties.  The Compliance Officer shall report directly to the Licensee’s Chief Executive Officer (or other senior executive officer/owner</w:t>
      </w:r>
      <w:r w:rsidRPr="00775F96" w:rsidR="006317C8">
        <w:rPr>
          <w:szCs w:val="22"/>
        </w:rPr>
        <w:t xml:space="preserve">/equivalent </w:t>
      </w:r>
      <w:r w:rsidRPr="00775F96" w:rsidR="005A1523">
        <w:rPr>
          <w:szCs w:val="22"/>
        </w:rPr>
        <w:t xml:space="preserve">senior </w:t>
      </w:r>
      <w:r w:rsidRPr="00775F96" w:rsidR="006317C8">
        <w:rPr>
          <w:szCs w:val="22"/>
        </w:rPr>
        <w:t>officer</w:t>
      </w:r>
      <w:r w:rsidRPr="00775F96">
        <w:rPr>
          <w:szCs w:val="22"/>
        </w:rPr>
        <w:t xml:space="preserve">) on a regular basis, and shall be responsible for developing, implementing, and administering the Compliance Plan, and ensuring compliance with the terms and conditions of this Consent Decree.  The Compliance Officer shall have specific knowledge of </w:t>
      </w:r>
      <w:r w:rsidRPr="00775F96">
        <w:rPr>
          <w:bCs/>
          <w:szCs w:val="22"/>
        </w:rPr>
        <w:t xml:space="preserve">the </w:t>
      </w:r>
      <w:r w:rsidRPr="00775F96" w:rsidR="005A1523">
        <w:rPr>
          <w:bCs/>
          <w:szCs w:val="22"/>
        </w:rPr>
        <w:t>Accurate Statements Rule</w:t>
      </w:r>
      <w:r w:rsidRPr="00775F96" w:rsidR="00AC5FF8">
        <w:rPr>
          <w:bCs/>
          <w:szCs w:val="22"/>
        </w:rPr>
        <w:t xml:space="preserve">, </w:t>
      </w:r>
      <w:r w:rsidRPr="00775F96">
        <w:rPr>
          <w:bCs/>
          <w:szCs w:val="22"/>
        </w:rPr>
        <w:t>OPIF Rule,</w:t>
      </w:r>
      <w:r w:rsidRPr="00775F96" w:rsidR="00AC5FF8">
        <w:rPr>
          <w:bCs/>
          <w:szCs w:val="22"/>
        </w:rPr>
        <w:t xml:space="preserve"> and terms of this Consent Decree</w:t>
      </w:r>
      <w:r w:rsidRPr="00775F96">
        <w:rPr>
          <w:bCs/>
          <w:szCs w:val="22"/>
        </w:rPr>
        <w:t xml:space="preserve"> </w:t>
      </w:r>
      <w:r w:rsidRPr="00775F96">
        <w:rPr>
          <w:szCs w:val="22"/>
        </w:rPr>
        <w:t>prior to assuming their duties.</w:t>
      </w:r>
      <w:r w:rsidRPr="00775F96">
        <w:rPr>
          <w:bCs/>
          <w:szCs w:val="22"/>
        </w:rPr>
        <w:t xml:space="preserve">  </w:t>
      </w:r>
      <w:r w:rsidRPr="00775F96">
        <w:rPr>
          <w:szCs w:val="22"/>
        </w:rPr>
        <w:t xml:space="preserve">The name and contact information (mailing address, phone number, and electronic mail address) of the Compliance Officer must be submitted to the Bureau by electronic mail at </w:t>
      </w:r>
      <w:hyperlink r:id="rId13" w:history="1">
        <w:r w:rsidRPr="00775F96">
          <w:rPr>
            <w:rStyle w:val="Hyperlink"/>
            <w:szCs w:val="22"/>
          </w:rPr>
          <w:t>VideoCompliance@fcc.gov</w:t>
        </w:r>
      </w:hyperlink>
      <w:r w:rsidRPr="00775F96">
        <w:t xml:space="preserve"> </w:t>
      </w:r>
      <w:r w:rsidRPr="00775F96">
        <w:rPr>
          <w:szCs w:val="22"/>
        </w:rPr>
        <w:t>within thirty (30) calendar days after the Effective Date.  The Bureau must be notified, as previously specified, of any change in the person serving as Compliance Officer within five (5) business days.</w:t>
      </w:r>
    </w:p>
    <w:p w:rsidR="00603BFA" w:rsidRPr="00775F96" w:rsidP="00603BFA" w14:paraId="7057E215" w14:textId="59C0089F">
      <w:pPr>
        <w:pStyle w:val="ParaNum"/>
        <w:rPr>
          <w:szCs w:val="22"/>
        </w:rPr>
      </w:pPr>
      <w:r w:rsidRPr="00775F96">
        <w:rPr>
          <w:b/>
          <w:szCs w:val="22"/>
          <w:u w:val="single"/>
        </w:rPr>
        <w:t>Compliance Plan</w:t>
      </w:r>
      <w:r w:rsidRPr="00775F96">
        <w:rPr>
          <w:szCs w:val="22"/>
        </w:rPr>
        <w:t xml:space="preserve">.  For purposes of settling the matters set forth herein, the Licensee </w:t>
      </w:r>
      <w:r w:rsidRPr="00775F96">
        <w:rPr>
          <w:rFonts w:eastAsia="MS Mincho"/>
          <w:szCs w:val="22"/>
        </w:rPr>
        <w:t>agrees that it shall</w:t>
      </w:r>
      <w:r w:rsidRPr="00775F96" w:rsidR="00970A17">
        <w:rPr>
          <w:rFonts w:eastAsia="MS Mincho"/>
          <w:szCs w:val="22"/>
        </w:rPr>
        <w:t xml:space="preserve"> </w:t>
      </w:r>
      <w:r w:rsidRPr="00775F96">
        <w:rPr>
          <w:rFonts w:eastAsia="MS Mincho"/>
          <w:szCs w:val="22"/>
        </w:rPr>
        <w:t>develop and implement</w:t>
      </w:r>
      <w:r w:rsidRPr="00775F96">
        <w:rPr>
          <w:rFonts w:eastAsia="MS Mincho"/>
          <w:b/>
          <w:szCs w:val="22"/>
        </w:rPr>
        <w:t xml:space="preserve"> </w:t>
      </w:r>
      <w:r w:rsidRPr="00775F96">
        <w:rPr>
          <w:rFonts w:eastAsia="MS Mincho"/>
          <w:szCs w:val="22"/>
        </w:rPr>
        <w:t xml:space="preserve">a Compliance Plan designed to ensure future compliance with </w:t>
      </w:r>
      <w:r w:rsidRPr="00775F96">
        <w:rPr>
          <w:rFonts w:eastAsia="MS Mincho"/>
          <w:szCs w:val="22"/>
        </w:rPr>
        <w:t xml:space="preserve">the </w:t>
      </w:r>
      <w:r w:rsidRPr="00775F96" w:rsidR="00A574D9">
        <w:rPr>
          <w:rFonts w:eastAsia="MS Mincho"/>
          <w:szCs w:val="22"/>
        </w:rPr>
        <w:t>Accurate Statements Rule</w:t>
      </w:r>
      <w:r w:rsidRPr="00775F96" w:rsidR="007078F2">
        <w:rPr>
          <w:rFonts w:eastAsia="MS Mincho"/>
          <w:szCs w:val="22"/>
        </w:rPr>
        <w:t xml:space="preserve"> and </w:t>
      </w:r>
      <w:r w:rsidRPr="00775F96">
        <w:rPr>
          <w:bCs/>
          <w:szCs w:val="22"/>
        </w:rPr>
        <w:t>OPIF Rule</w:t>
      </w:r>
      <w:r w:rsidRPr="00775F96">
        <w:rPr>
          <w:rFonts w:eastAsia="MS Mincho"/>
          <w:szCs w:val="22"/>
        </w:rPr>
        <w:t xml:space="preserve">, </w:t>
      </w:r>
      <w:r w:rsidRPr="00775F96">
        <w:rPr>
          <w:bCs/>
          <w:szCs w:val="22"/>
        </w:rPr>
        <w:t>including but not limited to the Issues and Programs List Rule</w:t>
      </w:r>
      <w:r w:rsidRPr="00775F96" w:rsidR="00B01722">
        <w:rPr>
          <w:bCs/>
          <w:szCs w:val="22"/>
        </w:rPr>
        <w:t xml:space="preserve">, </w:t>
      </w:r>
      <w:r w:rsidRPr="00775F96">
        <w:rPr>
          <w:rFonts w:eastAsia="MS Mincho"/>
          <w:szCs w:val="22"/>
        </w:rPr>
        <w:t xml:space="preserve">and </w:t>
      </w:r>
      <w:r w:rsidRPr="00775F96">
        <w:rPr>
          <w:szCs w:val="22"/>
        </w:rPr>
        <w:t>with the terms and conditions of this Consent Decree.  The Compliance Plan shall solely apply to the Station</w:t>
      </w:r>
      <w:r w:rsidRPr="00775F96" w:rsidR="00B37D51">
        <w:rPr>
          <w:szCs w:val="22"/>
        </w:rPr>
        <w:t>s</w:t>
      </w:r>
      <w:r w:rsidRPr="00775F96">
        <w:rPr>
          <w:szCs w:val="22"/>
        </w:rPr>
        <w:t xml:space="preserve">.  The Compliance Plan shall contain, at a minimum, the following elements: </w:t>
      </w:r>
    </w:p>
    <w:p w:rsidR="00603BFA" w:rsidRPr="00775F96" w:rsidP="00CE6E3C" w14:paraId="3077824F" w14:textId="734F1E7E">
      <w:pPr>
        <w:numPr>
          <w:ilvl w:val="0"/>
          <w:numId w:val="8"/>
        </w:numPr>
        <w:spacing w:after="120"/>
        <w:ind w:left="1170" w:hanging="450"/>
        <w:outlineLvl w:val="1"/>
        <w:rPr>
          <w:bCs/>
          <w:szCs w:val="22"/>
        </w:rPr>
      </w:pPr>
      <w:r w:rsidRPr="00775F96">
        <w:rPr>
          <w:b/>
          <w:szCs w:val="22"/>
          <w:u w:val="single"/>
        </w:rPr>
        <w:t>Compliance Manual</w:t>
      </w:r>
      <w:r w:rsidRPr="00775F96">
        <w:rPr>
          <w:bCs/>
          <w:szCs w:val="22"/>
        </w:rPr>
        <w:t>.</w:t>
      </w:r>
      <w:r w:rsidRPr="00775F96">
        <w:rPr>
          <w:b/>
          <w:szCs w:val="22"/>
        </w:rPr>
        <w:t xml:space="preserve">  </w:t>
      </w:r>
      <w:r w:rsidRPr="00775F96">
        <w:rPr>
          <w:bCs/>
          <w:szCs w:val="22"/>
        </w:rPr>
        <w:t xml:space="preserve">Within </w:t>
      </w:r>
      <w:r w:rsidRPr="00775F96" w:rsidR="00E655CA">
        <w:rPr>
          <w:bCs/>
          <w:szCs w:val="22"/>
        </w:rPr>
        <w:t>sixty (60)</w:t>
      </w:r>
      <w:r w:rsidRPr="00775F96">
        <w:rPr>
          <w:bCs/>
          <w:szCs w:val="22"/>
        </w:rPr>
        <w:t xml:space="preserve"> calendar days after the Effective Date, the Compliance Officer shall develop and distribute a Compliance Manual to all Covered Employees.  The Compliance Officer shall distribute a Compliance Manual that they have personally prepared</w:t>
      </w:r>
      <w:r w:rsidRPr="00775F96" w:rsidR="00102F06">
        <w:rPr>
          <w:bCs/>
          <w:szCs w:val="22"/>
        </w:rPr>
        <w:t>, has been prepared by in-house legal counsel,</w:t>
      </w:r>
      <w:r w:rsidRPr="00775F96">
        <w:rPr>
          <w:bCs/>
          <w:szCs w:val="22"/>
        </w:rPr>
        <w:t xml:space="preserve"> or has been prepared by a third party, such as a trade association or a law firm.  The Compliance Manual shall:</w:t>
      </w:r>
    </w:p>
    <w:p w:rsidR="00603BFA" w:rsidRPr="00775F96" w:rsidP="00CE6E3C" w14:paraId="73CEEFA1" w14:textId="574B43F7">
      <w:pPr>
        <w:numPr>
          <w:ilvl w:val="2"/>
          <w:numId w:val="8"/>
        </w:numPr>
        <w:spacing w:after="120"/>
        <w:ind w:left="2070"/>
        <w:outlineLvl w:val="1"/>
      </w:pPr>
      <w:r w:rsidRPr="00775F96">
        <w:t xml:space="preserve">thoroughly explain the requirements embodied in the </w:t>
      </w:r>
      <w:r w:rsidRPr="00775F96" w:rsidR="00A574D9">
        <w:t>Accurate Statements Rule</w:t>
      </w:r>
      <w:r w:rsidRPr="00775F96" w:rsidR="004B0DC4">
        <w:t xml:space="preserve"> </w:t>
      </w:r>
      <w:r w:rsidRPr="00775F96" w:rsidR="005B7A5E">
        <w:t xml:space="preserve">and the </w:t>
      </w:r>
      <w:r w:rsidRPr="00775F96">
        <w:t xml:space="preserve">OPIF Rule, including but not limited to the Issues and Programs List Rule;  </w:t>
      </w:r>
    </w:p>
    <w:p w:rsidR="00603BFA" w:rsidRPr="00775F96" w:rsidP="00CE6E3C" w14:paraId="64CBF902" w14:textId="1E003A9B">
      <w:pPr>
        <w:numPr>
          <w:ilvl w:val="2"/>
          <w:numId w:val="8"/>
        </w:numPr>
        <w:spacing w:after="120"/>
        <w:ind w:left="2070"/>
        <w:outlineLvl w:val="1"/>
      </w:pPr>
      <w:r w:rsidRPr="00775F96">
        <w:t xml:space="preserve">establish </w:t>
      </w:r>
      <w:r w:rsidRPr="00775F96" w:rsidR="00102F06">
        <w:t>“</w:t>
      </w:r>
      <w:r w:rsidRPr="00775F96">
        <w:t>Operating Procedures</w:t>
      </w:r>
      <w:r w:rsidRPr="00775F96" w:rsidR="00102F06">
        <w:t>”</w:t>
      </w:r>
      <w:r w:rsidRPr="00775F96">
        <w:t xml:space="preserve"> that Covered Employees must follow to help ensure the </w:t>
      </w:r>
      <w:r w:rsidRPr="00775F96" w:rsidR="00102F06">
        <w:t>Stations</w:t>
      </w:r>
      <w:r w:rsidRPr="00775F96" w:rsidR="004641F4">
        <w:t>’</w:t>
      </w:r>
      <w:r w:rsidRPr="00775F96" w:rsidR="00102F06">
        <w:t xml:space="preserve"> </w:t>
      </w:r>
      <w:r w:rsidRPr="00775F96">
        <w:t xml:space="preserve">compliance with the </w:t>
      </w:r>
      <w:r w:rsidRPr="00775F96" w:rsidR="00D65D72">
        <w:t>Accurate Statements</w:t>
      </w:r>
      <w:r w:rsidRPr="00775F96" w:rsidR="005B7A5E">
        <w:t xml:space="preserve"> Rule</w:t>
      </w:r>
      <w:r w:rsidRPr="00775F96" w:rsidR="00F116CB">
        <w:t xml:space="preserve"> and the</w:t>
      </w:r>
      <w:r w:rsidRPr="00775F96" w:rsidR="005B7A5E">
        <w:t xml:space="preserve"> </w:t>
      </w:r>
      <w:r w:rsidRPr="00775F96">
        <w:t xml:space="preserve">OPIF Rule, including but not limited to the Issues and Programs List Rule.  The Operating Procedures shall include internal procedures and policies specifically designed to ensure that all required information </w:t>
      </w:r>
      <w:r w:rsidRPr="00775F96" w:rsidR="00102F06">
        <w:t xml:space="preserve">is uploaded </w:t>
      </w:r>
      <w:r w:rsidRPr="00775F96">
        <w:t xml:space="preserve">to </w:t>
      </w:r>
      <w:r w:rsidRPr="00775F96" w:rsidR="00102F06">
        <w:t>the Stations</w:t>
      </w:r>
      <w:r w:rsidRPr="00775F96" w:rsidR="004641F4">
        <w:t>’</w:t>
      </w:r>
      <w:r w:rsidRPr="00775F96" w:rsidR="00102F06">
        <w:t xml:space="preserve"> </w:t>
      </w:r>
      <w:r w:rsidRPr="00775F96">
        <w:t>OPIF</w:t>
      </w:r>
      <w:r w:rsidRPr="00775F96" w:rsidR="004641F4">
        <w:t>s</w:t>
      </w:r>
      <w:r w:rsidRPr="00775F96">
        <w:t xml:space="preserve"> in a timely manner and otherwise maintains full, complete, and up to date information therein; and</w:t>
      </w:r>
    </w:p>
    <w:p w:rsidR="00603BFA" w:rsidRPr="00775F96" w:rsidP="00CE6E3C" w14:paraId="001CB5F2" w14:textId="5411FD6A">
      <w:pPr>
        <w:numPr>
          <w:ilvl w:val="2"/>
          <w:numId w:val="8"/>
        </w:numPr>
        <w:spacing w:after="120"/>
        <w:ind w:left="2070"/>
        <w:outlineLvl w:val="1"/>
      </w:pPr>
      <w:r w:rsidRPr="00775F96">
        <w:t xml:space="preserve">be reviewed and revised </w:t>
      </w:r>
      <w:r w:rsidRPr="00775F96" w:rsidR="00102F06">
        <w:t xml:space="preserve">by the Compliance Officer, or legal counsel (internal or external) in coordination with the Compliance Officer, </w:t>
      </w:r>
      <w:r w:rsidRPr="00775F96">
        <w:t xml:space="preserve">as necessary to ensure that the information set forth therein remains current, complete, accurate, and effective.  The Compliance Officer shall distribute any revisions to the Compliance Manual within </w:t>
      </w:r>
      <w:r w:rsidRPr="00775F96" w:rsidR="003A10F2">
        <w:t xml:space="preserve">ten </w:t>
      </w:r>
      <w:r w:rsidRPr="00775F96">
        <w:t>(</w:t>
      </w:r>
      <w:r w:rsidRPr="00775F96" w:rsidR="003A10F2">
        <w:t>10</w:t>
      </w:r>
      <w:r w:rsidRPr="00775F96">
        <w:t xml:space="preserve">) business days of any updates to all Covered Employees.  </w:t>
      </w:r>
    </w:p>
    <w:p w:rsidR="00603BFA" w:rsidRPr="00775F96" w:rsidP="00603BFA" w14:paraId="687CADD3" w14:textId="5133BBF9">
      <w:pPr>
        <w:numPr>
          <w:ilvl w:val="0"/>
          <w:numId w:val="8"/>
        </w:numPr>
        <w:spacing w:after="120"/>
        <w:ind w:left="1170" w:hanging="450"/>
        <w:outlineLvl w:val="1"/>
        <w:rPr>
          <w:bCs/>
          <w:szCs w:val="22"/>
        </w:rPr>
      </w:pPr>
      <w:r w:rsidRPr="00775F96">
        <w:rPr>
          <w:b/>
          <w:szCs w:val="22"/>
          <w:u w:val="single"/>
        </w:rPr>
        <w:t>Compliance Training Program</w:t>
      </w:r>
      <w:r w:rsidRPr="00775F96">
        <w:rPr>
          <w:bCs/>
          <w:szCs w:val="22"/>
        </w:rPr>
        <w:t xml:space="preserve">.  </w:t>
      </w:r>
      <w:r w:rsidRPr="00775F96" w:rsidR="00E655CA">
        <w:rPr>
          <w:bCs/>
          <w:szCs w:val="22"/>
        </w:rPr>
        <w:t>Within sixty (60) calendar days after the Effective Date of this Consent Decree, and on an annual basis thereafter while this Compliance Plan remains in effect, t</w:t>
      </w:r>
      <w:r w:rsidRPr="00775F96">
        <w:rPr>
          <w:bCs/>
          <w:szCs w:val="22"/>
        </w:rPr>
        <w:t xml:space="preserve">he </w:t>
      </w:r>
      <w:r w:rsidRPr="00775F96" w:rsidR="00102F06">
        <w:rPr>
          <w:bCs/>
          <w:szCs w:val="22"/>
        </w:rPr>
        <w:t xml:space="preserve">Licensee will conduct formal </w:t>
      </w:r>
      <w:r w:rsidRPr="00775F96">
        <w:rPr>
          <w:bCs/>
          <w:szCs w:val="22"/>
        </w:rPr>
        <w:t>compliance training program</w:t>
      </w:r>
      <w:r w:rsidRPr="00775F96" w:rsidR="00102F06">
        <w:rPr>
          <w:bCs/>
          <w:szCs w:val="22"/>
        </w:rPr>
        <w:t xml:space="preserve"> on the </w:t>
      </w:r>
      <w:r w:rsidRPr="00775F96" w:rsidR="00A574D9">
        <w:rPr>
          <w:bCs/>
          <w:szCs w:val="22"/>
        </w:rPr>
        <w:t>Accurate Statements Rule</w:t>
      </w:r>
      <w:r w:rsidRPr="00775F96" w:rsidR="00B04B20">
        <w:rPr>
          <w:bCs/>
          <w:szCs w:val="22"/>
        </w:rPr>
        <w:t xml:space="preserve"> and </w:t>
      </w:r>
      <w:r w:rsidRPr="00775F96" w:rsidR="00102F06">
        <w:rPr>
          <w:bCs/>
          <w:szCs w:val="22"/>
        </w:rPr>
        <w:t xml:space="preserve">OPIF Rule for all </w:t>
      </w:r>
      <w:r w:rsidRPr="00775F96">
        <w:rPr>
          <w:bCs/>
          <w:szCs w:val="22"/>
        </w:rPr>
        <w:t xml:space="preserve">Covered Employees.  </w:t>
      </w:r>
      <w:r w:rsidRPr="00775F96" w:rsidR="00102F06">
        <w:rPr>
          <w:bCs/>
          <w:szCs w:val="22"/>
        </w:rPr>
        <w:t xml:space="preserve">Training must also be provided to every new Covered Employee within ten business (10) days after commencing employment or becoming a Covered Employee.  The compliance training program must include instruction relating to the provisions of the </w:t>
      </w:r>
      <w:r w:rsidRPr="00775F96" w:rsidR="00A574D9">
        <w:rPr>
          <w:bCs/>
          <w:szCs w:val="22"/>
        </w:rPr>
        <w:t>Accurate Statements Rule</w:t>
      </w:r>
      <w:r w:rsidRPr="00775F96" w:rsidR="00CB61D1">
        <w:rPr>
          <w:bCs/>
          <w:szCs w:val="22"/>
        </w:rPr>
        <w:t xml:space="preserve"> and </w:t>
      </w:r>
      <w:r w:rsidRPr="00775F96" w:rsidR="00102F06">
        <w:rPr>
          <w:bCs/>
          <w:szCs w:val="22"/>
        </w:rPr>
        <w:t xml:space="preserve">OPIF Rule, including but not limited to the Issues and Programs List Rule. </w:t>
      </w:r>
      <w:r w:rsidRPr="00775F96" w:rsidR="00102F06">
        <w:t xml:space="preserve"> </w:t>
      </w:r>
      <w:r w:rsidRPr="00775F96" w:rsidR="00102F06">
        <w:rPr>
          <w:bCs/>
          <w:szCs w:val="22"/>
        </w:rPr>
        <w:t>The compliance training must be reviewed and revised by the Compliance Officer, or legal counsel (internal or external) in coordination with the Compliance Officer, as necessary to remain current, complete, accurate, and effective.</w:t>
      </w:r>
    </w:p>
    <w:p w:rsidR="00603BFA" w:rsidRPr="00775F96" w:rsidP="004515E6" w14:paraId="3DB6E331" w14:textId="417C7792">
      <w:pPr>
        <w:numPr>
          <w:ilvl w:val="0"/>
          <w:numId w:val="8"/>
        </w:numPr>
        <w:spacing w:after="120"/>
        <w:ind w:left="1170" w:hanging="450"/>
        <w:rPr>
          <w:bCs/>
          <w:szCs w:val="22"/>
        </w:rPr>
      </w:pPr>
      <w:r w:rsidRPr="00775F96">
        <w:rPr>
          <w:b/>
          <w:bCs/>
          <w:szCs w:val="22"/>
          <w:u w:val="single"/>
        </w:rPr>
        <w:t>Reporting Noncompliance</w:t>
      </w:r>
      <w:r w:rsidRPr="00775F96">
        <w:rPr>
          <w:szCs w:val="22"/>
        </w:rPr>
        <w:t xml:space="preserve">.  The Licensee shall report any instance of noncompliance with the </w:t>
      </w:r>
      <w:r w:rsidRPr="00775F96" w:rsidR="00102F06">
        <w:rPr>
          <w:szCs w:val="22"/>
        </w:rPr>
        <w:t xml:space="preserve">OPIF </w:t>
      </w:r>
      <w:r w:rsidRPr="00775F96">
        <w:rPr>
          <w:szCs w:val="22"/>
        </w:rPr>
        <w:t>Rule</w:t>
      </w:r>
      <w:r w:rsidRPr="00775F96" w:rsidR="00102F06">
        <w:rPr>
          <w:szCs w:val="22"/>
        </w:rPr>
        <w:t xml:space="preserve"> or the </w:t>
      </w:r>
      <w:r w:rsidRPr="00775F96">
        <w:rPr>
          <w:szCs w:val="22"/>
        </w:rPr>
        <w:t xml:space="preserve">terms and conditions of this Consent Decree within ten (10) </w:t>
      </w:r>
      <w:r w:rsidRPr="00775F96" w:rsidR="00404DB4">
        <w:rPr>
          <w:szCs w:val="22"/>
        </w:rPr>
        <w:t xml:space="preserve">business </w:t>
      </w:r>
      <w:r w:rsidRPr="00775F96">
        <w:rPr>
          <w:szCs w:val="22"/>
        </w:rPr>
        <w:t>days after discovery of such noncompliance.  Such reports shall include a detailed explanation of:  (</w:t>
      </w:r>
      <w:r w:rsidRPr="00775F96">
        <w:rPr>
          <w:szCs w:val="22"/>
        </w:rPr>
        <w:t>i</w:t>
      </w:r>
      <w:r w:rsidRPr="00775F96">
        <w:rPr>
          <w:szCs w:val="22"/>
        </w:rPr>
        <w:t>) each such instance of noncompliance; (ii) the steps that the Licensee has taken or will take to remedy such noncompliance</w:t>
      </w:r>
      <w:r w:rsidRPr="00775F96" w:rsidR="00102F06">
        <w:rPr>
          <w:szCs w:val="22"/>
        </w:rPr>
        <w:t>; (iii)</w:t>
      </w:r>
      <w:r w:rsidRPr="00775F96">
        <w:rPr>
          <w:szCs w:val="22"/>
        </w:rPr>
        <w:t xml:space="preserve"> the schedule on which such action</w:t>
      </w:r>
      <w:r w:rsidRPr="00775F96" w:rsidR="00102F06">
        <w:rPr>
          <w:szCs w:val="22"/>
        </w:rPr>
        <w:t>(</w:t>
      </w:r>
      <w:r w:rsidRPr="00775F96">
        <w:rPr>
          <w:szCs w:val="22"/>
        </w:rPr>
        <w:t>s</w:t>
      </w:r>
      <w:r w:rsidRPr="00775F96" w:rsidR="00102F06">
        <w:rPr>
          <w:szCs w:val="22"/>
        </w:rPr>
        <w:t>) has or</w:t>
      </w:r>
      <w:r w:rsidRPr="00775F96">
        <w:rPr>
          <w:szCs w:val="22"/>
        </w:rPr>
        <w:t xml:space="preserve"> will be taken; and (i</w:t>
      </w:r>
      <w:r w:rsidRPr="00775F96" w:rsidR="00102F06">
        <w:rPr>
          <w:szCs w:val="22"/>
        </w:rPr>
        <w:t>v</w:t>
      </w:r>
      <w:r w:rsidRPr="00775F96">
        <w:rPr>
          <w:szCs w:val="22"/>
        </w:rPr>
        <w:t xml:space="preserve">) the steps that the Licensee has taken or will take to prevent the recurrence of any such noncompliance.  </w:t>
      </w:r>
      <w:r w:rsidRPr="00775F96" w:rsidR="00E655CA">
        <w:rPr>
          <w:szCs w:val="22"/>
        </w:rPr>
        <w:t xml:space="preserve">Any such report must be signed by the Compliance Officer and be subscribed to as true and accurate under penalty of perjury in accordance with 47 CFR § 1.16.  </w:t>
      </w:r>
      <w:r w:rsidRPr="00775F96">
        <w:rPr>
          <w:szCs w:val="22"/>
        </w:rPr>
        <w:t xml:space="preserve">All reports of noncompliance shall be submitted to </w:t>
      </w:r>
      <w:hyperlink r:id="rId13" w:history="1">
        <w:r w:rsidRPr="00775F96">
          <w:rPr>
            <w:rStyle w:val="Hyperlink"/>
            <w:szCs w:val="22"/>
          </w:rPr>
          <w:t>VideoCompliance@fcc.gov</w:t>
        </w:r>
      </w:hyperlink>
      <w:r w:rsidRPr="00775F96">
        <w:rPr>
          <w:szCs w:val="22"/>
        </w:rPr>
        <w:t>.</w:t>
      </w:r>
      <w:r w:rsidRPr="00775F96" w:rsidR="00E655CA">
        <w:rPr>
          <w:szCs w:val="22"/>
        </w:rPr>
        <w:t xml:space="preserve">  All reports must </w:t>
      </w:r>
      <w:r w:rsidRPr="00775F96" w:rsidR="007B58CC">
        <w:rPr>
          <w:szCs w:val="22"/>
        </w:rPr>
        <w:t xml:space="preserve">also </w:t>
      </w:r>
      <w:r w:rsidRPr="00775F96" w:rsidR="00E655CA">
        <w:rPr>
          <w:szCs w:val="22"/>
        </w:rPr>
        <w:t>be</w:t>
      </w:r>
      <w:r w:rsidRPr="00775F96" w:rsidR="00383514">
        <w:rPr>
          <w:szCs w:val="22"/>
        </w:rPr>
        <w:t xml:space="preserve"> uploaded to the Station’s OPIF within </w:t>
      </w:r>
      <w:r w:rsidRPr="00775F96" w:rsidR="00F03CEC">
        <w:rPr>
          <w:szCs w:val="22"/>
        </w:rPr>
        <w:t>ten (</w:t>
      </w:r>
      <w:r w:rsidRPr="00775F96" w:rsidR="00FD2993">
        <w:rPr>
          <w:szCs w:val="22"/>
        </w:rPr>
        <w:t>10</w:t>
      </w:r>
      <w:r w:rsidRPr="00775F96" w:rsidR="00F03CEC">
        <w:rPr>
          <w:szCs w:val="22"/>
        </w:rPr>
        <w:t>)</w:t>
      </w:r>
      <w:r w:rsidRPr="00775F96" w:rsidR="00FD2993">
        <w:rPr>
          <w:szCs w:val="22"/>
        </w:rPr>
        <w:t xml:space="preserve"> </w:t>
      </w:r>
      <w:r w:rsidRPr="00775F96" w:rsidR="00404DB4">
        <w:rPr>
          <w:szCs w:val="22"/>
        </w:rPr>
        <w:t>business</w:t>
      </w:r>
      <w:r w:rsidRPr="00775F96" w:rsidR="00FD2993">
        <w:rPr>
          <w:szCs w:val="22"/>
        </w:rPr>
        <w:t xml:space="preserve"> days</w:t>
      </w:r>
      <w:r w:rsidRPr="00775F96" w:rsidR="00404DB4">
        <w:rPr>
          <w:szCs w:val="22"/>
        </w:rPr>
        <w:t xml:space="preserve"> i</w:t>
      </w:r>
      <w:r w:rsidRPr="00775F96" w:rsidR="00404DB4">
        <w:rPr>
          <w:bCs/>
          <w:szCs w:val="22"/>
        </w:rPr>
        <w:t>n the folder entitled “FCC Investigations or Complaints”</w:t>
      </w:r>
      <w:r w:rsidRPr="00775F96" w:rsidR="00FD2993">
        <w:rPr>
          <w:szCs w:val="22"/>
        </w:rPr>
        <w:t xml:space="preserve"> </w:t>
      </w:r>
      <w:r w:rsidRPr="00775F96" w:rsidR="00383514">
        <w:rPr>
          <w:szCs w:val="22"/>
        </w:rPr>
        <w:t xml:space="preserve">and </w:t>
      </w:r>
      <w:r w:rsidRPr="00775F96" w:rsidR="006E7842">
        <w:rPr>
          <w:szCs w:val="22"/>
        </w:rPr>
        <w:t xml:space="preserve">retained in the Station’s OPIF until the “Termination Date,” as specified in </w:t>
      </w:r>
      <w:r w:rsidRPr="00775F96" w:rsidR="006E7842">
        <w:t xml:space="preserve">paragraph </w:t>
      </w:r>
      <w:r w:rsidRPr="00775F96" w:rsidR="00137B0C">
        <w:rPr>
          <w:szCs w:val="22"/>
        </w:rPr>
        <w:t>18</w:t>
      </w:r>
      <w:r w:rsidRPr="00775F96" w:rsidR="006E7842">
        <w:t>.</w:t>
      </w:r>
      <w:r w:rsidRPr="00775F96" w:rsidR="007B58CC">
        <w:rPr>
          <w:szCs w:val="22"/>
        </w:rPr>
        <w:t xml:space="preserve">  Further, the Licensee must disclose</w:t>
      </w:r>
      <w:r w:rsidRPr="00775F96" w:rsidR="00B61925">
        <w:rPr>
          <w:szCs w:val="22"/>
        </w:rPr>
        <w:t xml:space="preserve"> any noncompliance</w:t>
      </w:r>
      <w:r w:rsidRPr="00775F96" w:rsidR="007B58CC">
        <w:rPr>
          <w:szCs w:val="22"/>
        </w:rPr>
        <w:t xml:space="preserve"> reports in an attachment to its next license renewal application. </w:t>
      </w:r>
      <w:r w:rsidRPr="00775F96" w:rsidR="006E7842">
        <w:rPr>
          <w:szCs w:val="22"/>
        </w:rPr>
        <w:t xml:space="preserve"> </w:t>
      </w:r>
      <w:r w:rsidRPr="00775F96" w:rsidR="00E655CA">
        <w:rPr>
          <w:szCs w:val="22"/>
        </w:rPr>
        <w:t xml:space="preserve">  </w:t>
      </w:r>
    </w:p>
    <w:p w:rsidR="00603BFA" w:rsidRPr="00775F96" w:rsidP="006370BB" w14:paraId="2C36B022" w14:textId="12CDB94E">
      <w:pPr>
        <w:pStyle w:val="ParaNum"/>
        <w:widowControl/>
        <w:rPr>
          <w:bCs/>
          <w:szCs w:val="22"/>
        </w:rPr>
      </w:pPr>
      <w:r w:rsidRPr="00775F96">
        <w:rPr>
          <w:b/>
          <w:bCs/>
          <w:szCs w:val="22"/>
          <w:u w:val="single"/>
        </w:rPr>
        <w:t>Termination Date</w:t>
      </w:r>
      <w:r w:rsidRPr="00775F96">
        <w:rPr>
          <w:szCs w:val="22"/>
        </w:rPr>
        <w:t xml:space="preserve">.  The obligations to which the Licensee is subject pursuant to this Consent Decree shall terminate </w:t>
      </w:r>
      <w:r w:rsidRPr="00775F96" w:rsidR="00ED4FA8">
        <w:rPr>
          <w:szCs w:val="22"/>
        </w:rPr>
        <w:t>two years after the Effective Date</w:t>
      </w:r>
      <w:r w:rsidRPr="00775F96" w:rsidR="00466310">
        <w:rPr>
          <w:szCs w:val="22"/>
        </w:rPr>
        <w:t xml:space="preserve"> provided the Bureau is satisfied that the Licensee has demonstrated substantial compliance with its obligations. </w:t>
      </w:r>
      <w:r w:rsidRPr="00775F96" w:rsidR="004B51D6">
        <w:rPr>
          <w:szCs w:val="22"/>
        </w:rPr>
        <w:t xml:space="preserve"> </w:t>
      </w:r>
      <w:r w:rsidRPr="00775F96" w:rsidR="00466310">
        <w:rPr>
          <w:szCs w:val="22"/>
        </w:rPr>
        <w:t>The Bureau may deem the Licensee has failed to demonstrate substantial compliance with its obligations if the Station fails to upload in a timely manner to its OPIF three or more documents during the term of this Consent Decree.  In such an instance, the Bureau may, within its sole discretion and authority and upon written notice to the Licensee, extend the term of this Consent Decree for up to an additional two years.</w:t>
      </w:r>
    </w:p>
    <w:p w:rsidR="00603BFA" w:rsidRPr="00775F96" w:rsidP="00603BFA" w14:paraId="490FE051" w14:textId="45C509BE">
      <w:pPr>
        <w:pStyle w:val="ParaNum"/>
        <w:rPr>
          <w:bCs/>
          <w:szCs w:val="22"/>
        </w:rPr>
      </w:pPr>
      <w:r w:rsidRPr="00775F96">
        <w:rPr>
          <w:b/>
          <w:bCs/>
          <w:szCs w:val="22"/>
          <w:u w:val="single"/>
        </w:rPr>
        <w:t>Placement of Consent Decree in OPIF</w:t>
      </w:r>
      <w:r w:rsidRPr="00775F96">
        <w:rPr>
          <w:bCs/>
          <w:szCs w:val="22"/>
        </w:rPr>
        <w:t>.  Within thirty (30) days of the Effective Date, the Licensee shall place in the Stations</w:t>
      </w:r>
      <w:r w:rsidRPr="00775F96" w:rsidR="00946C8F">
        <w:rPr>
          <w:bCs/>
          <w:szCs w:val="22"/>
        </w:rPr>
        <w:t>’</w:t>
      </w:r>
      <w:r w:rsidRPr="00775F96">
        <w:rPr>
          <w:bCs/>
          <w:szCs w:val="22"/>
        </w:rPr>
        <w:t xml:space="preserve"> OPIF</w:t>
      </w:r>
      <w:r w:rsidRPr="00775F96" w:rsidR="00466310">
        <w:rPr>
          <w:bCs/>
          <w:szCs w:val="22"/>
        </w:rPr>
        <w:t>s</w:t>
      </w:r>
      <w:r w:rsidRPr="00775F96">
        <w:rPr>
          <w:bCs/>
          <w:szCs w:val="22"/>
        </w:rPr>
        <w:t xml:space="preserve"> a copy of this Consent Decree in the folder entitled “FCC Investigations or Complaints.”  The Consent Decree shall be retained in the Stations</w:t>
      </w:r>
      <w:r w:rsidRPr="00775F96" w:rsidR="00466310">
        <w:rPr>
          <w:bCs/>
          <w:szCs w:val="22"/>
        </w:rPr>
        <w:t>’</w:t>
      </w:r>
      <w:r w:rsidRPr="00775F96">
        <w:rPr>
          <w:bCs/>
          <w:szCs w:val="22"/>
        </w:rPr>
        <w:t xml:space="preserve"> OPIF</w:t>
      </w:r>
      <w:r w:rsidRPr="00775F96" w:rsidR="00466310">
        <w:rPr>
          <w:bCs/>
          <w:szCs w:val="22"/>
        </w:rPr>
        <w:t>s</w:t>
      </w:r>
      <w:r w:rsidRPr="00775F96">
        <w:rPr>
          <w:bCs/>
          <w:szCs w:val="22"/>
        </w:rPr>
        <w:t xml:space="preserve"> until </w:t>
      </w:r>
      <w:r w:rsidRPr="00775F96" w:rsidR="00970A17">
        <w:rPr>
          <w:bCs/>
          <w:szCs w:val="22"/>
        </w:rPr>
        <w:t xml:space="preserve">the “Termination Date,” as specified in </w:t>
      </w:r>
      <w:r w:rsidRPr="00775F96" w:rsidR="00970A17">
        <w:t xml:space="preserve">paragraph </w:t>
      </w:r>
      <w:r w:rsidRPr="00775F96" w:rsidR="00BA6F14">
        <w:rPr>
          <w:bCs/>
          <w:szCs w:val="22"/>
        </w:rPr>
        <w:t>18</w:t>
      </w:r>
      <w:r w:rsidRPr="00775F96">
        <w:t>.</w:t>
      </w:r>
      <w:r>
        <w:rPr>
          <w:rStyle w:val="FootnoteReference"/>
          <w:bCs/>
          <w:sz w:val="22"/>
          <w:szCs w:val="22"/>
        </w:rPr>
        <w:footnoteReference w:id="23"/>
      </w:r>
    </w:p>
    <w:p w:rsidR="00970A17" w:rsidRPr="00775F96" w:rsidP="00970A17" w14:paraId="24F7448D" w14:textId="55BEEAB3">
      <w:pPr>
        <w:pStyle w:val="ParaNum"/>
        <w:rPr>
          <w:szCs w:val="22"/>
        </w:rPr>
      </w:pPr>
      <w:r w:rsidRPr="00775F96">
        <w:rPr>
          <w:b/>
          <w:bCs/>
          <w:szCs w:val="22"/>
          <w:u w:val="single"/>
        </w:rPr>
        <w:t>Computation of Time</w:t>
      </w:r>
      <w:r w:rsidRPr="00775F96">
        <w:rPr>
          <w:szCs w:val="22"/>
        </w:rPr>
        <w:t xml:space="preserve">.  The Parties agree that the method for computing the amount of time within which the Parties must act in response to deadlines established by this Consent Decree shall be governed by 47 CFR § 1.4. </w:t>
      </w:r>
    </w:p>
    <w:p w:rsidR="00603BFA" w:rsidRPr="00775F96" w:rsidP="00603BFA" w14:paraId="5FF9FB14" w14:textId="43A17AF8">
      <w:pPr>
        <w:pStyle w:val="ParaNum"/>
        <w:rPr>
          <w:bCs/>
          <w:szCs w:val="22"/>
        </w:rPr>
      </w:pPr>
      <w:r w:rsidRPr="00775F96">
        <w:rPr>
          <w:b/>
          <w:bCs/>
          <w:szCs w:val="22"/>
          <w:u w:val="single"/>
        </w:rPr>
        <w:t>Waivers</w:t>
      </w:r>
      <w:r w:rsidRPr="00775F96">
        <w:rPr>
          <w:szCs w:val="22"/>
        </w:rPr>
        <w:t xml:space="preserve">.  As of the Effective Date, the Licensee waives any and all rights it may have to seek administrative or judicial reconsideration, review, appeal, or stay, or to otherwise challenge or contest the validity of this Consent Decree and the Adopting Order.  The Licensee shall retain the right to challenge Commission interpretation of the Consent Decree or any terms contained herein.  If either Party (or the United States on behalf of the Commission) brings a judicial action to enforce the terms of the Consent Decree or Adopting Order, neither the Licensee nor the Commission shall contest the validity of the Consent Decree or the Adopting Order, and the Licensee shall waive any statutory right to a trial </w:t>
      </w:r>
      <w:r w:rsidRPr="00775F96">
        <w:rPr>
          <w:i/>
          <w:szCs w:val="22"/>
        </w:rPr>
        <w:t>de novo</w:t>
      </w:r>
      <w:r w:rsidRPr="00775F96">
        <w:rPr>
          <w:szCs w:val="22"/>
        </w:rPr>
        <w:t>.  The Licensee hereby agrees to waive any claims it may have under the Equal Access to Justice Act</w:t>
      </w:r>
      <w:r>
        <w:rPr>
          <w:rStyle w:val="FootnoteReference"/>
          <w:bCs/>
          <w:sz w:val="22"/>
          <w:szCs w:val="22"/>
        </w:rPr>
        <w:footnoteReference w:id="24"/>
      </w:r>
      <w:r w:rsidRPr="00775F96">
        <w:rPr>
          <w:szCs w:val="22"/>
        </w:rPr>
        <w:t xml:space="preserve"> relating to the matters addressed in this Consent Decree.</w:t>
      </w:r>
    </w:p>
    <w:p w:rsidR="00603BFA" w:rsidRPr="00775F96" w:rsidP="00603BFA" w14:paraId="1422197E" w14:textId="77777777">
      <w:pPr>
        <w:pStyle w:val="ParaNum"/>
        <w:rPr>
          <w:szCs w:val="22"/>
        </w:rPr>
      </w:pPr>
      <w:r w:rsidRPr="00775F96">
        <w:rPr>
          <w:b/>
          <w:szCs w:val="22"/>
          <w:u w:val="single"/>
        </w:rPr>
        <w:t>Severability</w:t>
      </w:r>
      <w:r w:rsidRPr="00775F96">
        <w:rPr>
          <w:szCs w:val="22"/>
        </w:rPr>
        <w:t>.  The Parties agree that if any of the provisions of the Consent Decree shall be held unenforceable by any court of competent jurisdiction, such unenforceability shall not render unenforceable the entire Consent Decree, but rather the entire Consent Decree shall be construed as if not containing the particular unenforceable provision or provisions, and the rights and obligations of the Parties shall be construed and enforced accordingly.</w:t>
      </w:r>
    </w:p>
    <w:p w:rsidR="00603BFA" w:rsidRPr="00775F96" w:rsidP="00603BFA" w14:paraId="7B38B2F0" w14:textId="77777777">
      <w:pPr>
        <w:pStyle w:val="ParaNum"/>
        <w:rPr>
          <w:szCs w:val="22"/>
        </w:rPr>
      </w:pPr>
      <w:r w:rsidRPr="00775F96">
        <w:rPr>
          <w:b/>
          <w:szCs w:val="22"/>
          <w:u w:val="single"/>
        </w:rPr>
        <w:t>Invalidity</w:t>
      </w:r>
      <w:r w:rsidRPr="00775F96">
        <w:rPr>
          <w:szCs w:val="22"/>
        </w:rPr>
        <w:t xml:space="preserve">.  In the event that this Consent Decree in its entirety is rendered invalid by any court of competent jurisdiction, it shall become null and void and may not be used in any manner in any legal proceeding.  </w:t>
      </w:r>
    </w:p>
    <w:p w:rsidR="00603BFA" w:rsidRPr="00775F96" w:rsidP="00603BFA" w14:paraId="49359BEB" w14:textId="77777777">
      <w:pPr>
        <w:pStyle w:val="ParaNum"/>
        <w:rPr>
          <w:szCs w:val="22"/>
        </w:rPr>
      </w:pPr>
      <w:r w:rsidRPr="00775F96">
        <w:rPr>
          <w:b/>
          <w:szCs w:val="22"/>
          <w:u w:val="single"/>
        </w:rPr>
        <w:t>Subsequent Rule or Order</w:t>
      </w:r>
      <w:r w:rsidRPr="00775F96">
        <w:rPr>
          <w:szCs w:val="22"/>
        </w:rPr>
        <w:t xml:space="preserve">.  The Parties agree that if any provision of this Consent Decree conflicts with any subsequent Rule or Order adopted by the Commission (except an order specifically intended to revise the terms of this Consent Decree to which the Licensee does not expressly consent) or any federal law or regulation, that provision will be superseded by such Rule, Order, law, or regulation.  </w:t>
      </w:r>
    </w:p>
    <w:p w:rsidR="00603BFA" w:rsidRPr="00775F96" w:rsidP="00603BFA" w14:paraId="28AB7498" w14:textId="77777777">
      <w:pPr>
        <w:pStyle w:val="ParaNum"/>
        <w:rPr>
          <w:szCs w:val="22"/>
        </w:rPr>
      </w:pPr>
      <w:r w:rsidRPr="00775F96">
        <w:rPr>
          <w:b/>
          <w:szCs w:val="22"/>
          <w:u w:val="single"/>
        </w:rPr>
        <w:t>Successors and Assigns</w:t>
      </w:r>
      <w:r w:rsidRPr="00775F96">
        <w:rPr>
          <w:szCs w:val="22"/>
        </w:rPr>
        <w:t>.</w:t>
      </w:r>
      <w:r w:rsidRPr="00775F96">
        <w:rPr>
          <w:b/>
          <w:szCs w:val="22"/>
        </w:rPr>
        <w:t xml:space="preserve">  </w:t>
      </w:r>
      <w:r w:rsidRPr="00775F96">
        <w:rPr>
          <w:bCs/>
          <w:szCs w:val="22"/>
        </w:rPr>
        <w:t>The Licensee</w:t>
      </w:r>
      <w:r w:rsidRPr="00775F96">
        <w:rPr>
          <w:b/>
          <w:szCs w:val="22"/>
        </w:rPr>
        <w:t xml:space="preserve"> </w:t>
      </w:r>
      <w:r w:rsidRPr="00775F96">
        <w:rPr>
          <w:szCs w:val="22"/>
        </w:rPr>
        <w:t>agrees that the provisions of this Consent Decree shall be binding on its successors, assigns, and transferees unless otherwise agreed to by the Commission or Bureau.</w:t>
      </w:r>
    </w:p>
    <w:p w:rsidR="00603BFA" w:rsidRPr="00775F96" w:rsidP="00603BFA" w14:paraId="54A4A61D" w14:textId="77777777">
      <w:pPr>
        <w:pStyle w:val="ParaNum"/>
        <w:rPr>
          <w:szCs w:val="22"/>
        </w:rPr>
      </w:pPr>
      <w:r w:rsidRPr="00775F96">
        <w:rPr>
          <w:b/>
          <w:szCs w:val="22"/>
          <w:u w:val="single"/>
        </w:rPr>
        <w:t>Final Settlement</w:t>
      </w:r>
      <w:r w:rsidRPr="00775F96">
        <w:rPr>
          <w:szCs w:val="22"/>
        </w:rPr>
        <w:t>.  The Parties agree and acknowledge that this Consent Decree shall constitute a final settlement between the Parties with respect to the Investigation.</w:t>
      </w:r>
    </w:p>
    <w:p w:rsidR="00603BFA" w:rsidRPr="00775F96" w:rsidP="006370BB" w14:paraId="4B857788" w14:textId="77777777">
      <w:pPr>
        <w:pStyle w:val="ParaNum"/>
        <w:widowControl/>
        <w:rPr>
          <w:szCs w:val="22"/>
        </w:rPr>
      </w:pPr>
      <w:r w:rsidRPr="00775F96">
        <w:rPr>
          <w:b/>
          <w:szCs w:val="22"/>
          <w:u w:val="single"/>
        </w:rPr>
        <w:t>Modifications</w:t>
      </w:r>
      <w:r w:rsidRPr="00775F96">
        <w:rPr>
          <w:szCs w:val="22"/>
        </w:rPr>
        <w:t>.  This Consent Decree cannot be modified without the advance written consent of both Parties.</w:t>
      </w:r>
    </w:p>
    <w:p w:rsidR="00603BFA" w:rsidRPr="00775F96" w:rsidP="003E42E9" w14:paraId="5A4783CE" w14:textId="77777777">
      <w:pPr>
        <w:pStyle w:val="ParaNum"/>
        <w:rPr>
          <w:szCs w:val="22"/>
        </w:rPr>
      </w:pPr>
      <w:r w:rsidRPr="00775F96">
        <w:rPr>
          <w:b/>
          <w:szCs w:val="22"/>
          <w:u w:val="single"/>
        </w:rPr>
        <w:t>Paragraph Headings</w:t>
      </w:r>
      <w:r w:rsidRPr="00775F96">
        <w:rPr>
          <w:szCs w:val="22"/>
        </w:rPr>
        <w:t>.  The headings of the paragraphs in this Consent Decree are inserted for convenience only and are not intended to affect the meaning or interpretation of this Consent Decree.</w:t>
      </w:r>
    </w:p>
    <w:p w:rsidR="00603BFA" w:rsidRPr="00775F96" w:rsidP="003E42E9" w14:paraId="04986928" w14:textId="77777777">
      <w:pPr>
        <w:pStyle w:val="ParaNum"/>
        <w:rPr>
          <w:szCs w:val="22"/>
        </w:rPr>
      </w:pPr>
      <w:r w:rsidRPr="00775F96">
        <w:rPr>
          <w:b/>
          <w:szCs w:val="22"/>
          <w:u w:val="single"/>
        </w:rPr>
        <w:t>Authorized Representative</w:t>
      </w:r>
      <w:r w:rsidRPr="00775F96">
        <w:rPr>
          <w:szCs w:val="22"/>
        </w:rPr>
        <w:t>.  Each Party represents and warrants to the other that it has full power and authority to enter into this Consent Decree.  Each person signing this Consent Decree on behalf of a Party hereby represents that he or she is fully authorized by the Party to execute this Consent Decree and to bind the Party to its terms and conditions.</w:t>
      </w:r>
    </w:p>
    <w:p w:rsidR="003E42E9" w:rsidRPr="006370BB" w:rsidP="003E42E9" w14:paraId="7BDC7F5B" w14:textId="0E2AB212">
      <w:pPr>
        <w:pStyle w:val="ParaNum"/>
        <w:rPr>
          <w:szCs w:val="22"/>
        </w:rPr>
      </w:pPr>
      <w:r w:rsidRPr="003E42E9">
        <w:rPr>
          <w:b/>
          <w:szCs w:val="22"/>
          <w:u w:val="single"/>
        </w:rPr>
        <w:t>Counterparts</w:t>
      </w:r>
      <w:r w:rsidRPr="003E42E9">
        <w:rPr>
          <w:szCs w:val="22"/>
        </w:rPr>
        <w:t>.  This Consent Decree may be signed in counterparts (including electronically or by facsimile).  Each counterpart, when executed and delivered, shall be an original, and all of the counterparts together shall constitute one and the same fully executed instrument.</w:t>
      </w:r>
    </w:p>
    <w:p w:rsidR="003E42E9" w:rsidP="003E42E9" w14:paraId="06C64B6D" w14:textId="77777777">
      <w:pPr>
        <w:pStyle w:val="ParaNum"/>
        <w:numPr>
          <w:ilvl w:val="0"/>
          <w:numId w:val="0"/>
        </w:numPr>
        <w:rPr>
          <w:b/>
          <w:bCs/>
          <w:szCs w:val="22"/>
        </w:rPr>
      </w:pPr>
    </w:p>
    <w:p w:rsidR="00603BFA" w:rsidRPr="003E42E9" w:rsidP="006370BB" w14:paraId="2CD57788" w14:textId="37BA7279">
      <w:pPr>
        <w:pStyle w:val="ParaNum"/>
        <w:numPr>
          <w:ilvl w:val="0"/>
          <w:numId w:val="0"/>
        </w:numPr>
        <w:rPr>
          <w:szCs w:val="22"/>
        </w:rPr>
      </w:pPr>
      <w:r w:rsidRPr="003E42E9">
        <w:rPr>
          <w:b/>
          <w:bCs/>
          <w:szCs w:val="22"/>
        </w:rPr>
        <w:t>Federal Communications Commission</w:t>
      </w:r>
    </w:p>
    <w:p w:rsidR="00603BFA" w:rsidRPr="00775F96" w:rsidP="00603BFA" w14:paraId="145776EC" w14:textId="77777777">
      <w:pPr>
        <w:rPr>
          <w:szCs w:val="22"/>
        </w:rPr>
      </w:pPr>
    </w:p>
    <w:p w:rsidR="00603BFA" w:rsidRPr="00775F96" w:rsidP="00603BFA" w14:paraId="7A79FF64" w14:textId="77777777">
      <w:pPr>
        <w:rPr>
          <w:szCs w:val="22"/>
        </w:rPr>
      </w:pPr>
      <w:r w:rsidRPr="00775F96">
        <w:rPr>
          <w:szCs w:val="22"/>
        </w:rPr>
        <w:t>By:</w:t>
      </w:r>
    </w:p>
    <w:p w:rsidR="00603BFA" w:rsidRPr="00775F96" w:rsidP="00603BFA" w14:paraId="3547A05B" w14:textId="77777777">
      <w:pPr>
        <w:rPr>
          <w:szCs w:val="22"/>
        </w:rPr>
      </w:pPr>
    </w:p>
    <w:p w:rsidR="00603BFA" w:rsidRPr="00775F96" w:rsidP="00603BFA" w14:paraId="17DF94CF" w14:textId="77777777">
      <w:pPr>
        <w:rPr>
          <w:szCs w:val="22"/>
        </w:rPr>
      </w:pPr>
    </w:p>
    <w:p w:rsidR="00603BFA" w:rsidRPr="00775F96" w:rsidP="00603BFA" w14:paraId="775C8331" w14:textId="77777777">
      <w:pPr>
        <w:rPr>
          <w:szCs w:val="22"/>
        </w:rPr>
      </w:pPr>
    </w:p>
    <w:p w:rsidR="00603BFA" w:rsidRPr="00775F96" w:rsidP="00603BFA" w14:paraId="3321DF45" w14:textId="77777777">
      <w:pPr>
        <w:rPr>
          <w:szCs w:val="22"/>
        </w:rPr>
      </w:pPr>
      <w:r w:rsidRPr="00775F96">
        <w:rPr>
          <w:szCs w:val="22"/>
        </w:rPr>
        <w:t>_____________________________________</w:t>
      </w:r>
    </w:p>
    <w:p w:rsidR="00603BFA" w:rsidRPr="00775F96" w:rsidP="00603BFA" w14:paraId="357F2645" w14:textId="5CA3A400">
      <w:pPr>
        <w:rPr>
          <w:szCs w:val="22"/>
        </w:rPr>
      </w:pPr>
      <w:r w:rsidRPr="00775F96">
        <w:rPr>
          <w:szCs w:val="22"/>
        </w:rPr>
        <w:t xml:space="preserve">David </w:t>
      </w:r>
      <w:r w:rsidR="00DB2F89">
        <w:rPr>
          <w:szCs w:val="22"/>
        </w:rPr>
        <w:t xml:space="preserve">J. </w:t>
      </w:r>
      <w:r w:rsidRPr="00775F96">
        <w:rPr>
          <w:szCs w:val="22"/>
        </w:rPr>
        <w:t>Brown</w:t>
      </w:r>
    </w:p>
    <w:p w:rsidR="00603BFA" w:rsidRPr="00775F96" w:rsidP="00603BFA" w14:paraId="69EBF47D" w14:textId="7170A1A9">
      <w:pPr>
        <w:rPr>
          <w:szCs w:val="22"/>
        </w:rPr>
      </w:pPr>
      <w:r w:rsidRPr="00775F96">
        <w:rPr>
          <w:szCs w:val="22"/>
        </w:rPr>
        <w:t>Chief</w:t>
      </w:r>
      <w:r w:rsidRPr="00775F96">
        <w:rPr>
          <w:szCs w:val="22"/>
        </w:rPr>
        <w:t>, Video Division</w:t>
      </w:r>
    </w:p>
    <w:p w:rsidR="00603BFA" w:rsidRPr="00775F96" w:rsidP="00603BFA" w14:paraId="1C0F4DEF" w14:textId="77777777">
      <w:pPr>
        <w:rPr>
          <w:szCs w:val="22"/>
        </w:rPr>
      </w:pPr>
      <w:r w:rsidRPr="00775F96">
        <w:rPr>
          <w:szCs w:val="22"/>
        </w:rPr>
        <w:t xml:space="preserve">Media Bureau </w:t>
      </w:r>
    </w:p>
    <w:p w:rsidR="00603BFA" w:rsidRPr="00775F96" w:rsidP="00603BFA" w14:paraId="122D7A3B" w14:textId="77777777">
      <w:pPr>
        <w:rPr>
          <w:szCs w:val="22"/>
        </w:rPr>
      </w:pPr>
    </w:p>
    <w:p w:rsidR="00603BFA" w:rsidRPr="00775F96" w:rsidP="00603BFA" w14:paraId="75B6E9F2" w14:textId="77777777">
      <w:pPr>
        <w:rPr>
          <w:szCs w:val="22"/>
        </w:rPr>
      </w:pPr>
    </w:p>
    <w:p w:rsidR="00603BFA" w:rsidRPr="00775F96" w:rsidP="00603BFA" w14:paraId="0539D1D1" w14:textId="77777777">
      <w:pPr>
        <w:rPr>
          <w:szCs w:val="22"/>
        </w:rPr>
      </w:pPr>
      <w:r w:rsidRPr="00775F96">
        <w:rPr>
          <w:szCs w:val="22"/>
        </w:rPr>
        <w:t>_____________________________________</w:t>
      </w:r>
    </w:p>
    <w:p w:rsidR="00603BFA" w:rsidRPr="00775F96" w:rsidP="00603BFA" w14:paraId="1632FDCB" w14:textId="77777777">
      <w:pPr>
        <w:rPr>
          <w:szCs w:val="22"/>
        </w:rPr>
      </w:pPr>
      <w:r w:rsidRPr="00775F96">
        <w:rPr>
          <w:szCs w:val="22"/>
        </w:rPr>
        <w:t>Date</w:t>
      </w:r>
    </w:p>
    <w:p w:rsidR="00603BFA" w:rsidRPr="00775F96" w:rsidP="00603BFA" w14:paraId="3D3F176F" w14:textId="77777777">
      <w:pPr>
        <w:rPr>
          <w:szCs w:val="22"/>
        </w:rPr>
      </w:pPr>
    </w:p>
    <w:p w:rsidR="00603BFA" w:rsidRPr="00775F96" w:rsidP="00603BFA" w14:paraId="3872CA20" w14:textId="77777777">
      <w:pPr>
        <w:rPr>
          <w:szCs w:val="22"/>
        </w:rPr>
      </w:pPr>
    </w:p>
    <w:p w:rsidR="00603BFA" w:rsidRPr="00775F96" w:rsidP="00603BFA" w14:paraId="26C10E6F" w14:textId="07D3E523">
      <w:pPr>
        <w:rPr>
          <w:szCs w:val="22"/>
        </w:rPr>
      </w:pPr>
      <w:r w:rsidRPr="00775F96">
        <w:rPr>
          <w:b/>
          <w:bCs/>
          <w:szCs w:val="22"/>
        </w:rPr>
        <w:t>Fifth Street Enterprises, LLC</w:t>
      </w:r>
      <w:r w:rsidRPr="00775F96" w:rsidR="00C56020">
        <w:rPr>
          <w:b/>
          <w:bCs/>
          <w:szCs w:val="22"/>
        </w:rPr>
        <w:t>.</w:t>
      </w:r>
    </w:p>
    <w:p w:rsidR="00603BFA" w:rsidRPr="00775F96" w:rsidP="00603BFA" w14:paraId="575385E0" w14:textId="77777777">
      <w:pPr>
        <w:rPr>
          <w:szCs w:val="22"/>
        </w:rPr>
      </w:pPr>
    </w:p>
    <w:p w:rsidR="00603BFA" w:rsidRPr="00775F96" w:rsidP="00603BFA" w14:paraId="3A43BC24" w14:textId="77777777">
      <w:pPr>
        <w:rPr>
          <w:szCs w:val="22"/>
        </w:rPr>
      </w:pPr>
      <w:r w:rsidRPr="00775F96">
        <w:rPr>
          <w:szCs w:val="22"/>
        </w:rPr>
        <w:t>By:</w:t>
      </w:r>
    </w:p>
    <w:p w:rsidR="00603BFA" w:rsidRPr="00775F96" w:rsidP="00603BFA" w14:paraId="53957BC8" w14:textId="77777777">
      <w:pPr>
        <w:rPr>
          <w:szCs w:val="22"/>
        </w:rPr>
      </w:pPr>
    </w:p>
    <w:p w:rsidR="00603BFA" w:rsidRPr="00775F96" w:rsidP="00603BFA" w14:paraId="28BA852B" w14:textId="77777777">
      <w:pPr>
        <w:rPr>
          <w:szCs w:val="22"/>
        </w:rPr>
      </w:pPr>
    </w:p>
    <w:p w:rsidR="00603BFA" w:rsidRPr="00775F96" w:rsidP="00603BFA" w14:paraId="16939079" w14:textId="77777777">
      <w:pPr>
        <w:rPr>
          <w:szCs w:val="22"/>
        </w:rPr>
      </w:pPr>
    </w:p>
    <w:p w:rsidR="00603BFA" w:rsidRPr="00775F96" w:rsidP="00603BFA" w14:paraId="361A413B" w14:textId="77777777">
      <w:pPr>
        <w:rPr>
          <w:szCs w:val="22"/>
        </w:rPr>
      </w:pPr>
      <w:r w:rsidRPr="00775F96">
        <w:rPr>
          <w:szCs w:val="22"/>
        </w:rPr>
        <w:t>_____________________________________</w:t>
      </w:r>
    </w:p>
    <w:p w:rsidR="00603BFA" w:rsidRPr="00775F96" w:rsidP="00603BFA" w14:paraId="28455505" w14:textId="3E6C214F">
      <w:pPr>
        <w:rPr>
          <w:bCs/>
          <w:szCs w:val="22"/>
        </w:rPr>
      </w:pPr>
      <w:r w:rsidRPr="00775F96">
        <w:rPr>
          <w:bCs/>
          <w:szCs w:val="22"/>
        </w:rPr>
        <w:t>Ronald J. Bruno</w:t>
      </w:r>
    </w:p>
    <w:p w:rsidR="00603BFA" w:rsidRPr="00775F96" w:rsidP="00603BFA" w14:paraId="06DB5977" w14:textId="245E4DE8">
      <w:pPr>
        <w:rPr>
          <w:szCs w:val="22"/>
        </w:rPr>
      </w:pPr>
      <w:r>
        <w:rPr>
          <w:bCs/>
          <w:szCs w:val="22"/>
        </w:rPr>
        <w:t>Manager</w:t>
      </w:r>
    </w:p>
    <w:p w:rsidR="00603BFA" w:rsidRPr="00775F96" w:rsidP="00603BFA" w14:paraId="2803E9FF" w14:textId="77777777">
      <w:pPr>
        <w:rPr>
          <w:szCs w:val="22"/>
        </w:rPr>
      </w:pPr>
    </w:p>
    <w:p w:rsidR="00603BFA" w:rsidRPr="00775F96" w:rsidP="00603BFA" w14:paraId="3934A538" w14:textId="77777777">
      <w:pPr>
        <w:rPr>
          <w:szCs w:val="22"/>
        </w:rPr>
      </w:pPr>
    </w:p>
    <w:p w:rsidR="00603BFA" w:rsidRPr="00775F96" w:rsidP="00603BFA" w14:paraId="33B3170F" w14:textId="77777777">
      <w:pPr>
        <w:rPr>
          <w:szCs w:val="22"/>
        </w:rPr>
      </w:pPr>
      <w:r w:rsidRPr="00775F96">
        <w:rPr>
          <w:szCs w:val="22"/>
        </w:rPr>
        <w:t>_____________________________________</w:t>
      </w:r>
    </w:p>
    <w:p w:rsidR="00412FC5" w:rsidRPr="009D144D" w:rsidP="00603BFA" w14:paraId="690E48FD" w14:textId="3A54B066">
      <w:pPr>
        <w:rPr>
          <w:szCs w:val="22"/>
        </w:rPr>
      </w:pPr>
      <w:r w:rsidRPr="00775F96">
        <w:rPr>
          <w:szCs w:val="22"/>
        </w:rPr>
        <w:t>Date</w:t>
      </w:r>
      <w:r w:rsidRPr="00D85914">
        <w:rPr>
          <w:szCs w:val="22"/>
        </w:rPr>
        <w:t xml:space="preserve"> </w:t>
      </w:r>
    </w:p>
    <w:sectPr w:rsidSect="00685FA0">
      <w:footnotePr>
        <w:numRestart w:val="eachSect"/>
      </w:footnotePr>
      <w:endnotePr>
        <w:numFmt w:val="decimal"/>
      </w:endnotePr>
      <w:pgSz w:w="12240" w:h="15840"/>
      <w:pgMar w:top="1440" w:right="1440" w:bottom="720" w:left="1440" w:header="720" w:footer="720" w:gutter="0"/>
      <w:pgNumType w:start="3"/>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9424E" w14:paraId="2B715D81" w14:textId="77777777">
      <w:pPr>
        <w:spacing w:line="20" w:lineRule="exact"/>
      </w:pPr>
    </w:p>
  </w:endnote>
  <w:endnote w:type="continuationSeparator" w:id="1">
    <w:p w:rsidR="0079424E" w14:paraId="6B971A3C" w14:textId="77777777">
      <w:r>
        <w:t xml:space="preserve"> </w:t>
      </w:r>
    </w:p>
  </w:endnote>
  <w:endnote w:type="continuationNotice" w:id="2">
    <w:p w:rsidR="0079424E" w14:paraId="221DD29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1AADBB43"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5F5AF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9D144D" w14:paraId="5C163A5F" w14:textId="743B43CA">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9D144D" w14:paraId="05F1242B" w14:textId="06207EB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424E" w14:paraId="7F761EF8" w14:textId="77777777">
      <w:r>
        <w:separator/>
      </w:r>
    </w:p>
  </w:footnote>
  <w:footnote w:type="continuationSeparator" w:id="1">
    <w:p w:rsidR="0079424E" w:rsidP="00C721AC" w14:paraId="1737B388" w14:textId="77777777">
      <w:pPr>
        <w:spacing w:before="120"/>
        <w:rPr>
          <w:sz w:val="20"/>
        </w:rPr>
      </w:pPr>
      <w:r>
        <w:rPr>
          <w:sz w:val="20"/>
        </w:rPr>
        <w:t xml:space="preserve">(Continued from previous page)  </w:t>
      </w:r>
      <w:r>
        <w:rPr>
          <w:sz w:val="20"/>
        </w:rPr>
        <w:separator/>
      </w:r>
    </w:p>
  </w:footnote>
  <w:footnote w:type="continuationNotice" w:id="2">
    <w:p w:rsidR="0079424E" w:rsidP="00C721AC" w14:paraId="46697AA3" w14:textId="77777777">
      <w:pPr>
        <w:jc w:val="right"/>
        <w:rPr>
          <w:sz w:val="20"/>
        </w:rPr>
      </w:pPr>
      <w:r>
        <w:rPr>
          <w:sz w:val="20"/>
        </w:rPr>
        <w:t>(continued….)</w:t>
      </w:r>
    </w:p>
  </w:footnote>
  <w:footnote w:id="3">
    <w:p w:rsidR="00685FA0" w:rsidRPr="00775F96" w:rsidP="00685FA0" w14:paraId="0216C2AE" w14:textId="193B8015">
      <w:pPr>
        <w:pStyle w:val="FootnoteText"/>
        <w:widowControl w:val="0"/>
      </w:pPr>
      <w:r w:rsidRPr="00775F96">
        <w:rPr>
          <w:rStyle w:val="FootnoteReference"/>
        </w:rPr>
        <w:footnoteRef/>
      </w:r>
      <w:r w:rsidRPr="00775F96">
        <w:t xml:space="preserve"> </w:t>
      </w:r>
      <w:r w:rsidRPr="00775F96" w:rsidR="00CC7C1A">
        <w:rPr>
          <w:spacing w:val="-2"/>
        </w:rPr>
        <w:t xml:space="preserve">Application of </w:t>
      </w:r>
      <w:r w:rsidRPr="00775F96" w:rsidR="003B2D76">
        <w:t>Fifth Street Enterprises</w:t>
      </w:r>
      <w:r w:rsidRPr="00775F96" w:rsidR="003319F3">
        <w:t>, L</w:t>
      </w:r>
      <w:r w:rsidRPr="00775F96" w:rsidR="003B2D76">
        <w:t>LC</w:t>
      </w:r>
      <w:r w:rsidRPr="00775F96" w:rsidR="00CC7C1A">
        <w:t xml:space="preserve"> for Renewal of License, LMS File No. </w:t>
      </w:r>
      <w:r w:rsidRPr="00775F96" w:rsidR="00212EE4">
        <w:t>0000</w:t>
      </w:r>
      <w:r w:rsidRPr="00775F96" w:rsidR="00907755">
        <w:t>213311</w:t>
      </w:r>
      <w:r w:rsidRPr="00775F96" w:rsidR="00025758">
        <w:rPr>
          <w:spacing w:val="-2"/>
        </w:rPr>
        <w:t xml:space="preserve"> (filed Mar. </w:t>
      </w:r>
      <w:r w:rsidRPr="00775F96" w:rsidR="00586019">
        <w:rPr>
          <w:spacing w:val="-2"/>
        </w:rPr>
        <w:t>31</w:t>
      </w:r>
      <w:r w:rsidRPr="00775F96" w:rsidR="00025758">
        <w:rPr>
          <w:spacing w:val="-2"/>
        </w:rPr>
        <w:t>, 2023</w:t>
      </w:r>
      <w:r w:rsidRPr="00775F96" w:rsidR="00E4700F">
        <w:rPr>
          <w:spacing w:val="-2"/>
        </w:rPr>
        <w:t xml:space="preserve">, amended </w:t>
      </w:r>
      <w:r w:rsidRPr="00775F96" w:rsidR="00F1769A">
        <w:rPr>
          <w:spacing w:val="-2"/>
        </w:rPr>
        <w:t>Jun</w:t>
      </w:r>
      <w:r w:rsidRPr="00775F96" w:rsidR="00E4700F">
        <w:rPr>
          <w:spacing w:val="-2"/>
        </w:rPr>
        <w:t xml:space="preserve">. </w:t>
      </w:r>
      <w:r w:rsidRPr="00775F96" w:rsidR="00F1769A">
        <w:rPr>
          <w:spacing w:val="-2"/>
        </w:rPr>
        <w:t>9</w:t>
      </w:r>
      <w:r w:rsidRPr="00775F96" w:rsidR="00E4700F">
        <w:rPr>
          <w:spacing w:val="-2"/>
        </w:rPr>
        <w:t>, 2023</w:t>
      </w:r>
      <w:r w:rsidRPr="00775F96">
        <w:rPr>
          <w:spacing w:val="-2"/>
        </w:rPr>
        <w:t>)</w:t>
      </w:r>
      <w:r w:rsidRPr="00775F96" w:rsidR="00F776A5">
        <w:rPr>
          <w:spacing w:val="-2"/>
        </w:rPr>
        <w:t xml:space="preserve"> (WWAT </w:t>
      </w:r>
      <w:r w:rsidRPr="00775F96" w:rsidR="00025758">
        <w:rPr>
          <w:spacing w:val="-2"/>
        </w:rPr>
        <w:t>Application</w:t>
      </w:r>
      <w:r w:rsidRPr="00775F96" w:rsidR="00F776A5">
        <w:rPr>
          <w:spacing w:val="-2"/>
        </w:rPr>
        <w:t>)</w:t>
      </w:r>
      <w:r w:rsidRPr="00775F96" w:rsidR="00F1769A">
        <w:rPr>
          <w:spacing w:val="-2"/>
        </w:rPr>
        <w:t xml:space="preserve">; </w:t>
      </w:r>
      <w:r w:rsidRPr="00775F96" w:rsidR="00F776A5">
        <w:rPr>
          <w:spacing w:val="-2"/>
        </w:rPr>
        <w:t>Application of Fifth Street Enterprises</w:t>
      </w:r>
      <w:r w:rsidRPr="00775F96" w:rsidR="005A02CE">
        <w:rPr>
          <w:spacing w:val="-2"/>
        </w:rPr>
        <w:t>, LLC for Renewal of License, LMS File No. 0000213314 (filed Mar. 31, 2023) (WPTG Application</w:t>
      </w:r>
      <w:r w:rsidRPr="00775F96" w:rsidR="008A507B">
        <w:rPr>
          <w:spacing w:val="-2"/>
        </w:rPr>
        <w:t>).</w:t>
      </w:r>
      <w:r w:rsidRPr="00775F96" w:rsidR="00025758">
        <w:rPr>
          <w:spacing w:val="-2"/>
        </w:rPr>
        <w:t xml:space="preserve"> </w:t>
      </w:r>
      <w:r w:rsidRPr="00775F96">
        <w:rPr>
          <w:spacing w:val="-2"/>
        </w:rPr>
        <w:t>(</w:t>
      </w:r>
      <w:r w:rsidRPr="00775F96" w:rsidR="00025758">
        <w:rPr>
          <w:spacing w:val="-2"/>
        </w:rPr>
        <w:t xml:space="preserve">Collectively </w:t>
      </w:r>
      <w:r w:rsidRPr="00775F96">
        <w:rPr>
          <w:spacing w:val="-2"/>
        </w:rPr>
        <w:t>Renewal Application</w:t>
      </w:r>
      <w:r w:rsidRPr="00775F96" w:rsidR="00025758">
        <w:rPr>
          <w:spacing w:val="-2"/>
        </w:rPr>
        <w:t>s)</w:t>
      </w:r>
      <w:r w:rsidRPr="00775F96">
        <w:t>.</w:t>
      </w:r>
    </w:p>
  </w:footnote>
  <w:footnote w:id="4">
    <w:p w:rsidR="003A7AE3" w:rsidRPr="00775F96" w14:paraId="5AFC3574" w14:textId="403C40D9">
      <w:pPr>
        <w:pStyle w:val="FootnoteText"/>
      </w:pPr>
      <w:r w:rsidRPr="00775F96">
        <w:rPr>
          <w:rStyle w:val="FootnoteReference"/>
        </w:rPr>
        <w:footnoteRef/>
      </w:r>
      <w:r w:rsidRPr="00775F96">
        <w:t xml:space="preserve"> </w:t>
      </w:r>
      <w:r w:rsidRPr="00775F96" w:rsidR="00E76C3A">
        <w:t xml:space="preserve">47 CFR § </w:t>
      </w:r>
      <w:r w:rsidRPr="00775F96" w:rsidR="00C75EB9">
        <w:t>1.17</w:t>
      </w:r>
      <w:r w:rsidRPr="00775F96" w:rsidR="00E76C3A">
        <w:t>.</w:t>
      </w:r>
    </w:p>
  </w:footnote>
  <w:footnote w:id="5">
    <w:p w:rsidR="00685FA0" w:rsidRPr="00775F96" w:rsidP="00685FA0" w14:paraId="3E3735BF" w14:textId="53CB964D">
      <w:pPr>
        <w:pStyle w:val="FootnoteText"/>
        <w:widowControl w:val="0"/>
        <w:rPr>
          <w:lang w:eastAsia="zh-CN"/>
        </w:rPr>
      </w:pPr>
      <w:r w:rsidRPr="00775F96">
        <w:rPr>
          <w:rStyle w:val="FootnoteReference"/>
        </w:rPr>
        <w:footnoteRef/>
      </w:r>
      <w:r w:rsidRPr="00775F96">
        <w:t xml:space="preserve"> 47 CFR</w:t>
      </w:r>
      <w:r w:rsidRPr="00775F96">
        <w:rPr>
          <w:lang w:eastAsia="zh-CN"/>
        </w:rPr>
        <w:t xml:space="preserve"> §§ </w:t>
      </w:r>
      <w:r w:rsidRPr="00775F96">
        <w:t>73.3526(e)(11)</w:t>
      </w:r>
      <w:r w:rsidRPr="00775F96" w:rsidR="00450A07">
        <w:t>(</w:t>
      </w:r>
      <w:r w:rsidRPr="00775F96" w:rsidR="00450A07">
        <w:t>i</w:t>
      </w:r>
      <w:r w:rsidRPr="00775F96" w:rsidR="00450A07">
        <w:t>)</w:t>
      </w:r>
      <w:r w:rsidRPr="00775F96">
        <w:t>.</w:t>
      </w:r>
    </w:p>
  </w:footnote>
  <w:footnote w:id="6">
    <w:p w:rsidR="00E2235C" w:rsidRPr="00775F96" w14:paraId="3EADD148" w14:textId="3EE47F87">
      <w:pPr>
        <w:pStyle w:val="FootnoteText"/>
      </w:pPr>
      <w:r w:rsidRPr="00775F96">
        <w:rPr>
          <w:rStyle w:val="FootnoteReference"/>
        </w:rPr>
        <w:footnoteRef/>
      </w:r>
      <w:r w:rsidRPr="00775F96">
        <w:t xml:space="preserve"> 47 CFR</w:t>
      </w:r>
      <w:r w:rsidRPr="00775F96">
        <w:rPr>
          <w:lang w:eastAsia="zh-CN"/>
        </w:rPr>
        <w:t xml:space="preserve"> §§ </w:t>
      </w:r>
      <w:r w:rsidRPr="00775F96" w:rsidR="00C75EB9">
        <w:rPr>
          <w:lang w:eastAsia="zh-CN"/>
        </w:rPr>
        <w:t>1.17</w:t>
      </w:r>
      <w:r w:rsidRPr="00775F96" w:rsidR="00C0328E">
        <w:rPr>
          <w:lang w:eastAsia="zh-CN"/>
        </w:rPr>
        <w:t xml:space="preserve">, </w:t>
      </w:r>
      <w:r w:rsidRPr="00775F96">
        <w:t>73.3526</w:t>
      </w:r>
      <w:r w:rsidRPr="00775F96" w:rsidR="00C0328E">
        <w:t>(e)(11)</w:t>
      </w:r>
      <w:r w:rsidRPr="00775F96" w:rsidR="00450A07">
        <w:t>(</w:t>
      </w:r>
      <w:r w:rsidRPr="00775F96" w:rsidR="00450A07">
        <w:t>i</w:t>
      </w:r>
      <w:r w:rsidRPr="00775F96" w:rsidR="00450A07">
        <w:t>)</w:t>
      </w:r>
      <w:r w:rsidRPr="00775F96">
        <w:t>.</w:t>
      </w:r>
    </w:p>
  </w:footnote>
  <w:footnote w:id="7">
    <w:p w:rsidR="00E2235C" w:rsidRPr="00775F96" w14:paraId="5B08ACDF" w14:textId="1AE43705">
      <w:pPr>
        <w:pStyle w:val="FootnoteText"/>
      </w:pPr>
      <w:r w:rsidRPr="00775F96">
        <w:rPr>
          <w:rStyle w:val="FootnoteReference"/>
        </w:rPr>
        <w:footnoteRef/>
      </w:r>
      <w:r w:rsidRPr="00775F96">
        <w:t xml:space="preserve"> </w:t>
      </w:r>
      <w:r w:rsidRPr="00775F96">
        <w:rPr>
          <w:i/>
          <w:iCs/>
        </w:rPr>
        <w:t>See also infra</w:t>
      </w:r>
      <w:r w:rsidRPr="00775F96">
        <w:t xml:space="preserve"> Consent Decree at paras. 3-</w:t>
      </w:r>
      <w:r w:rsidRPr="00775F96" w:rsidR="005C44A0">
        <w:t>4</w:t>
      </w:r>
      <w:r w:rsidRPr="00775F96">
        <w:t>.</w:t>
      </w:r>
    </w:p>
  </w:footnote>
  <w:footnote w:id="8">
    <w:p w:rsidR="00685FA0" w:rsidRPr="00775F96" w:rsidP="00685FA0" w14:paraId="6715C47E" w14:textId="0C367128">
      <w:pPr>
        <w:pStyle w:val="FootnoteText"/>
        <w:widowControl w:val="0"/>
      </w:pPr>
      <w:r w:rsidRPr="00775F96">
        <w:rPr>
          <w:rStyle w:val="FootnoteReference"/>
        </w:rPr>
        <w:footnoteRef/>
      </w:r>
      <w:r w:rsidRPr="00775F96">
        <w:t xml:space="preserve"> 47 U.S.C. § 309(k)</w:t>
      </w:r>
      <w:r w:rsidRPr="00775F96" w:rsidR="00B85566">
        <w:t>(1)</w:t>
      </w:r>
      <w:r w:rsidRPr="00775F96">
        <w:t xml:space="preserve">.  In evaluating an application for license renewal, the Commission’s decision is governed by section 309(k) of the Act.  47 U.S.C. § 309(k).  That section provides that the Commission shall grant the renewal application if, upon consideration of the application and pleadings, it finds that:  (1) the station has served the public interest, convenience, and necessity; (2) there have been no serious violations of the Act or the Rules; and (3) there have been no other violations which, taken together, constitute a pattern of abuse.  </w:t>
      </w:r>
      <w:r w:rsidRPr="00775F96">
        <w:rPr>
          <w:i/>
          <w:iCs/>
        </w:rPr>
        <w:t>See</w:t>
      </w:r>
      <w:r w:rsidRPr="00775F96">
        <w:t xml:space="preserve"> 47 U.S.C. § 309(k)(1).</w:t>
      </w:r>
    </w:p>
  </w:footnote>
  <w:footnote w:id="9">
    <w:p w:rsidR="00685FA0" w:rsidRPr="00775F96" w:rsidP="00685FA0" w14:paraId="491FFA07" w14:textId="77777777">
      <w:pPr>
        <w:pStyle w:val="FootnoteText"/>
        <w:widowControl w:val="0"/>
      </w:pPr>
      <w:r w:rsidRPr="00775F96">
        <w:rPr>
          <w:rStyle w:val="FootnoteReference"/>
        </w:rPr>
        <w:footnoteRef/>
      </w:r>
      <w:r w:rsidRPr="00775F96">
        <w:t xml:space="preserve"> 47 U.S.C. § 154(</w:t>
      </w:r>
      <w:r w:rsidRPr="00775F96">
        <w:t>i</w:t>
      </w:r>
      <w:r w:rsidRPr="00775F96">
        <w:t xml:space="preserve">). </w:t>
      </w:r>
    </w:p>
  </w:footnote>
  <w:footnote w:id="10">
    <w:p w:rsidR="00685FA0" w:rsidRPr="00775F96" w:rsidP="00685FA0" w14:paraId="6AC7B9BA" w14:textId="77777777">
      <w:pPr>
        <w:pStyle w:val="FootnoteText"/>
        <w:widowControl w:val="0"/>
      </w:pPr>
      <w:r w:rsidRPr="00775F96">
        <w:rPr>
          <w:rStyle w:val="FootnoteReference"/>
        </w:rPr>
        <w:footnoteRef/>
      </w:r>
      <w:r w:rsidRPr="00775F96">
        <w:t xml:space="preserve"> 47 CFR §§ 0.61, 0.204, 0.283, and 1.93(b). </w:t>
      </w:r>
    </w:p>
  </w:footnote>
  <w:footnote w:id="11">
    <w:p w:rsidR="00685FA0" w:rsidRPr="00775F96" w:rsidP="00685FA0" w14:paraId="0B2D16F3" w14:textId="72D8A1EB">
      <w:pPr>
        <w:pStyle w:val="FootnoteText"/>
        <w:widowControl w:val="0"/>
      </w:pPr>
      <w:r w:rsidRPr="00775F96">
        <w:rPr>
          <w:rStyle w:val="FootnoteReference"/>
        </w:rPr>
        <w:footnoteRef/>
      </w:r>
      <w:r w:rsidRPr="00775F96">
        <w:t xml:space="preserve"> 47 U.S.C. § 309(k)</w:t>
      </w:r>
      <w:r w:rsidRPr="00775F96" w:rsidR="00B85566">
        <w:t>(1)</w:t>
      </w:r>
      <w:r w:rsidRPr="00775F96">
        <w:t>.</w:t>
      </w:r>
    </w:p>
  </w:footnote>
  <w:footnote w:id="12">
    <w:p w:rsidR="00603BFA" w:rsidRPr="00775F96" w:rsidP="00603BFA" w14:paraId="4749FE4D" w14:textId="53329462">
      <w:pPr>
        <w:pStyle w:val="FootnoteText"/>
        <w:widowControl w:val="0"/>
      </w:pPr>
      <w:r w:rsidRPr="00775F96">
        <w:rPr>
          <w:rStyle w:val="FootnoteReference"/>
        </w:rPr>
        <w:footnoteRef/>
      </w:r>
      <w:r w:rsidRPr="00775F96">
        <w:rPr>
          <w:lang w:eastAsia="zh-CN"/>
        </w:rPr>
        <w:t xml:space="preserve"> 47 CFR §§ </w:t>
      </w:r>
      <w:r w:rsidRPr="00775F96" w:rsidR="00840364">
        <w:rPr>
          <w:lang w:eastAsia="zh-CN"/>
        </w:rPr>
        <w:t>1.17</w:t>
      </w:r>
      <w:r w:rsidRPr="00775F96" w:rsidR="00B23C44">
        <w:rPr>
          <w:lang w:eastAsia="zh-CN"/>
        </w:rPr>
        <w:t xml:space="preserve">, </w:t>
      </w:r>
      <w:r w:rsidRPr="00775F96">
        <w:t>73.3526(e)(11)(</w:t>
      </w:r>
      <w:r w:rsidRPr="00775F96">
        <w:t>i</w:t>
      </w:r>
      <w:r w:rsidRPr="00775F96">
        <w:t>).</w:t>
      </w:r>
    </w:p>
  </w:footnote>
  <w:footnote w:id="13">
    <w:p w:rsidR="00603BFA" w:rsidRPr="00775F96" w:rsidP="00603BFA" w14:paraId="7CADB81F" w14:textId="77777777">
      <w:pPr>
        <w:pStyle w:val="FootnoteText"/>
        <w:widowControl w:val="0"/>
      </w:pPr>
      <w:r w:rsidRPr="00775F96">
        <w:rPr>
          <w:rStyle w:val="FootnoteReference"/>
        </w:rPr>
        <w:footnoteRef/>
      </w:r>
      <w:r w:rsidRPr="00775F96">
        <w:t xml:space="preserve"> </w:t>
      </w:r>
      <w:r w:rsidRPr="00775F96">
        <w:rPr>
          <w:i/>
          <w:iCs/>
          <w:lang w:eastAsia="zh-CN"/>
        </w:rPr>
        <w:t>Id.</w:t>
      </w:r>
    </w:p>
  </w:footnote>
  <w:footnote w:id="14">
    <w:p w:rsidR="002D08FA" w:rsidRPr="00775F96" w14:paraId="31785CC9" w14:textId="1EE7CB50">
      <w:pPr>
        <w:pStyle w:val="FootnoteText"/>
      </w:pPr>
      <w:r w:rsidRPr="00775F96">
        <w:rPr>
          <w:rStyle w:val="FootnoteReference"/>
        </w:rPr>
        <w:footnoteRef/>
      </w:r>
      <w:r w:rsidRPr="00775F96">
        <w:t xml:space="preserve"> 47 CFR § </w:t>
      </w:r>
      <w:r w:rsidRPr="00775F96" w:rsidR="00840364">
        <w:t>1.17</w:t>
      </w:r>
      <w:r w:rsidRPr="00775F96">
        <w:t>.</w:t>
      </w:r>
    </w:p>
  </w:footnote>
  <w:footnote w:id="15">
    <w:p w:rsidR="00603BFA" w:rsidRPr="00775F96" w:rsidP="00603BFA" w14:paraId="4BB5BAE1" w14:textId="77777777">
      <w:pPr>
        <w:pStyle w:val="FootnoteText"/>
        <w:widowControl w:val="0"/>
      </w:pPr>
      <w:r w:rsidRPr="00775F96">
        <w:rPr>
          <w:rStyle w:val="FootnoteReference"/>
        </w:rPr>
        <w:footnoteRef/>
      </w:r>
      <w:r w:rsidRPr="00775F96">
        <w:t xml:space="preserve"> 47 CFR § 73.3526(e)(11)(</w:t>
      </w:r>
      <w:r w:rsidRPr="00775F96">
        <w:t>i</w:t>
      </w:r>
      <w:r w:rsidRPr="00775F96">
        <w:t>).</w:t>
      </w:r>
    </w:p>
  </w:footnote>
  <w:footnote w:id="16">
    <w:p w:rsidR="00603BFA" w:rsidRPr="00775F96" w:rsidP="00603BFA" w14:paraId="15CF25E7" w14:textId="77777777">
      <w:pPr>
        <w:spacing w:after="120"/>
        <w:rPr>
          <w:sz w:val="20"/>
        </w:rPr>
      </w:pPr>
      <w:r w:rsidRPr="00775F96">
        <w:rPr>
          <w:rStyle w:val="FootnoteReference"/>
        </w:rPr>
        <w:footnoteRef/>
      </w:r>
      <w:r w:rsidRPr="00775F96">
        <w:rPr>
          <w:sz w:val="20"/>
        </w:rPr>
        <w:t xml:space="preserve"> </w:t>
      </w:r>
      <w:r w:rsidRPr="00775F96">
        <w:rPr>
          <w:i/>
          <w:iCs/>
          <w:snapToGrid/>
          <w:kern w:val="0"/>
          <w:sz w:val="20"/>
        </w:rPr>
        <w:t>Id</w:t>
      </w:r>
      <w:r w:rsidRPr="00775F96">
        <w:rPr>
          <w:snapToGrid/>
          <w:kern w:val="0"/>
          <w:sz w:val="20"/>
        </w:rPr>
        <w:t>.</w:t>
      </w:r>
    </w:p>
  </w:footnote>
  <w:footnote w:id="17">
    <w:p w:rsidR="00502BBB" w:rsidRPr="00775F96" w:rsidP="00502BBB" w14:paraId="015758E6" w14:textId="69FD422C">
      <w:pPr>
        <w:pStyle w:val="FootnoteText"/>
        <w:widowControl w:val="0"/>
      </w:pPr>
      <w:r w:rsidRPr="00775F96">
        <w:rPr>
          <w:rStyle w:val="FootnoteReference"/>
        </w:rPr>
        <w:footnoteRef/>
      </w:r>
      <w:r w:rsidRPr="00775F96">
        <w:t xml:space="preserve"> </w:t>
      </w:r>
      <w:r w:rsidRPr="00775F96" w:rsidR="00552A1C">
        <w:t xml:space="preserve">Renewal </w:t>
      </w:r>
      <w:r w:rsidRPr="00775F96">
        <w:t>Application</w:t>
      </w:r>
      <w:r w:rsidRPr="00775F96" w:rsidR="00F80C87">
        <w:t>s</w:t>
      </w:r>
      <w:r w:rsidRPr="00775F96">
        <w:t>.</w:t>
      </w:r>
    </w:p>
  </w:footnote>
  <w:footnote w:id="18">
    <w:p w:rsidR="009541F0" w:rsidRPr="00775F96" w:rsidP="009541F0" w14:paraId="179DF003" w14:textId="7682CC77">
      <w:pPr>
        <w:pStyle w:val="FootnoteText"/>
      </w:pPr>
      <w:r w:rsidRPr="00775F96">
        <w:rPr>
          <w:rStyle w:val="FootnoteReference"/>
        </w:rPr>
        <w:footnoteRef/>
      </w:r>
      <w:r w:rsidRPr="00775F96">
        <w:t xml:space="preserve"> </w:t>
      </w:r>
      <w:r w:rsidRPr="00775F96" w:rsidR="002052AE">
        <w:t xml:space="preserve">WWAT’s late issues/programs lists consisted of </w:t>
      </w:r>
      <w:r w:rsidRPr="00775F96" w:rsidR="00F66864">
        <w:t>two that were filed under one month late, and four that were filed over one year late.  WPTG’s</w:t>
      </w:r>
      <w:r w:rsidRPr="00775F96">
        <w:t xml:space="preserve"> late issues/programs lists consisted of </w:t>
      </w:r>
      <w:r w:rsidRPr="00775F96" w:rsidR="00F66864">
        <w:t>two</w:t>
      </w:r>
      <w:r w:rsidRPr="00775F96">
        <w:t xml:space="preserve"> that w</w:t>
      </w:r>
      <w:r w:rsidRPr="00775F96" w:rsidR="00BC75BE">
        <w:t>ere</w:t>
      </w:r>
      <w:r w:rsidRPr="00775F96">
        <w:t xml:space="preserve"> filed under one month late, </w:t>
      </w:r>
      <w:r w:rsidRPr="00775F96" w:rsidR="00F66864">
        <w:t>three</w:t>
      </w:r>
      <w:r w:rsidRPr="00775F96">
        <w:t xml:space="preserve"> that were filed between one month and one year late, and </w:t>
      </w:r>
      <w:r w:rsidRPr="00775F96" w:rsidR="00FA63F8">
        <w:t>two</w:t>
      </w:r>
      <w:r w:rsidRPr="00775F96">
        <w:t xml:space="preserve"> that were filed over one year late.  </w:t>
      </w:r>
    </w:p>
  </w:footnote>
  <w:footnote w:id="19">
    <w:p w:rsidR="00603BFA" w:rsidRPr="00775F96" w:rsidP="00603BFA" w14:paraId="2908D850" w14:textId="77777777">
      <w:pPr>
        <w:pStyle w:val="FootnoteText"/>
        <w:widowControl w:val="0"/>
      </w:pPr>
      <w:r w:rsidRPr="00775F96">
        <w:rPr>
          <w:rStyle w:val="FootnoteReference"/>
        </w:rPr>
        <w:footnoteRef/>
      </w:r>
      <w:r w:rsidRPr="00775F96">
        <w:t xml:space="preserve"> </w:t>
      </w:r>
      <w:r w:rsidRPr="00775F96">
        <w:rPr>
          <w:i/>
        </w:rPr>
        <w:t>See</w:t>
      </w:r>
      <w:r w:rsidRPr="00775F96">
        <w:t xml:space="preserve"> 47 CFR § 1.93(b). </w:t>
      </w:r>
    </w:p>
  </w:footnote>
  <w:footnote w:id="20">
    <w:p w:rsidR="00603BFA" w:rsidRPr="00775F96" w:rsidP="00603BFA" w14:paraId="06BC8FA0" w14:textId="77777777">
      <w:pPr>
        <w:pStyle w:val="FootnoteText"/>
        <w:widowControl w:val="0"/>
      </w:pPr>
      <w:r w:rsidRPr="00775F96">
        <w:rPr>
          <w:rStyle w:val="FootnoteReference"/>
        </w:rPr>
        <w:footnoteRef/>
      </w:r>
      <w:r w:rsidRPr="00775F96">
        <w:t xml:space="preserve"> Debt Collection Improvement Act of 1996, Pub. L. No. 104-134, 110 Stat. 1321, 1358 (Apr. 26, 1996). </w:t>
      </w:r>
    </w:p>
  </w:footnote>
  <w:footnote w:id="21">
    <w:p w:rsidR="00603BFA" w:rsidRPr="00775F96" w:rsidP="00603BFA" w14:paraId="0ADE9CC8" w14:textId="77777777">
      <w:pPr>
        <w:pStyle w:val="FootnoteText"/>
        <w:widowControl w:val="0"/>
      </w:pPr>
      <w:r w:rsidRPr="00775F96">
        <w:rPr>
          <w:rStyle w:val="FootnoteReference"/>
        </w:rPr>
        <w:footnoteRef/>
      </w:r>
      <w:r w:rsidRPr="00775F96">
        <w:t xml:space="preserve"> Payments made using CORES do not require the submission of an FCC Form 159.</w:t>
      </w:r>
    </w:p>
  </w:footnote>
  <w:footnote w:id="22">
    <w:p w:rsidR="00603BFA" w:rsidRPr="00775F96" w:rsidP="00603BFA" w14:paraId="19316C37" w14:textId="77777777">
      <w:pPr>
        <w:pStyle w:val="FootnoteText"/>
        <w:widowControl w:val="0"/>
      </w:pPr>
      <w:r w:rsidRPr="00775F96">
        <w:rPr>
          <w:rStyle w:val="FootnoteReference"/>
        </w:rPr>
        <w:footnoteRef/>
      </w:r>
      <w:r w:rsidRPr="00775F96">
        <w:t xml:space="preserve"> Instructions for completing the form may be obtained at </w:t>
      </w:r>
      <w:hyperlink r:id="rId1" w:history="1">
        <w:r w:rsidRPr="00775F96">
          <w:rPr>
            <w:rStyle w:val="Hyperlink"/>
          </w:rPr>
          <w:t>https://www.fcc.gov/Forms/Form159/159.pdf</w:t>
        </w:r>
      </w:hyperlink>
      <w:r w:rsidRPr="00775F96">
        <w:t xml:space="preserve"> .</w:t>
      </w:r>
    </w:p>
  </w:footnote>
  <w:footnote w:id="23">
    <w:p w:rsidR="00603BFA" w:rsidRPr="00775F96" w:rsidP="00603BFA" w14:paraId="68B8B444" w14:textId="77777777">
      <w:pPr>
        <w:pStyle w:val="FootnoteText"/>
        <w:widowControl w:val="0"/>
      </w:pPr>
      <w:r w:rsidRPr="00775F96">
        <w:rPr>
          <w:rStyle w:val="FootnoteReference"/>
        </w:rPr>
        <w:footnoteRef/>
      </w:r>
      <w:r w:rsidRPr="00775F96">
        <w:t xml:space="preserve"> </w:t>
      </w:r>
      <w:r w:rsidRPr="00775F96">
        <w:rPr>
          <w:i/>
          <w:iCs/>
        </w:rPr>
        <w:t>See</w:t>
      </w:r>
      <w:r w:rsidRPr="00775F96">
        <w:t xml:space="preserve"> 47 CFR § 73.3526(e)(10) (requiring stations to place in their OPIF “[m]</w:t>
      </w:r>
      <w:r w:rsidRPr="00775F96">
        <w:t>aterial</w:t>
      </w:r>
      <w:r w:rsidRPr="00775F96">
        <w:t xml:space="preserve"> relating to FCC investigation or complaint” and instructing that such material “be retained until the applicant, permittee, or licensee is notified in writing that the material may be discarded).</w:t>
      </w:r>
    </w:p>
  </w:footnote>
  <w:footnote w:id="24">
    <w:p w:rsidR="00603BFA" w:rsidRPr="00D85914" w:rsidP="00603BFA" w14:paraId="10E87A9C" w14:textId="77777777">
      <w:pPr>
        <w:pStyle w:val="FootnoteText"/>
        <w:widowControl w:val="0"/>
      </w:pPr>
      <w:r w:rsidRPr="00775F96">
        <w:rPr>
          <w:rStyle w:val="FootnoteReference"/>
        </w:rPr>
        <w:footnoteRef/>
      </w:r>
      <w:r w:rsidRPr="00775F96">
        <w:t xml:space="preserve"> </w:t>
      </w:r>
      <w:r w:rsidRPr="00775F96">
        <w:rPr>
          <w:i/>
        </w:rPr>
        <w:t>See</w:t>
      </w:r>
      <w:r w:rsidRPr="00775F96">
        <w:t xml:space="preserve"> 5 U.S.C. § 504; 47 CFR §§ 1.1501-1.1530.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0926FF0" w14:textId="34F17245">
    <w:pPr>
      <w:pStyle w:val="Header"/>
      <w:rPr>
        <w:b w:val="0"/>
      </w:rPr>
    </w:pPr>
    <w:r>
      <w:tab/>
      <w:t>Federal Communications Commission</w:t>
    </w:r>
    <w:r>
      <w:tab/>
    </w:r>
    <w:r w:rsidR="009D144D">
      <w:t>DA 2</w:t>
    </w:r>
    <w:r w:rsidR="00CE24D4">
      <w:t>6</w:t>
    </w:r>
    <w:r w:rsidR="009D144D">
      <w:t>-</w:t>
    </w:r>
    <w:r w:rsidR="00064394">
      <w:t>50</w:t>
    </w:r>
  </w:p>
  <w:p w:rsidR="00D25FB5" w14:paraId="3CDD3CFA" w14:textId="48FC3C63">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0E792727"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8F30E67" w14:textId="7FF1C7EB">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Pr="00064394" w:rsidR="009D144D">
      <w:rPr>
        <w:spacing w:val="-2"/>
      </w:rPr>
      <w:t>DA 2</w:t>
    </w:r>
    <w:r w:rsidRPr="00064394" w:rsidR="00D3167B">
      <w:rPr>
        <w:spacing w:val="-2"/>
      </w:rPr>
      <w:t>6</w:t>
    </w:r>
    <w:r w:rsidRPr="00064394" w:rsidR="009D144D">
      <w:rPr>
        <w:spacing w:val="-2"/>
      </w:rPr>
      <w:t>-</w:t>
    </w:r>
    <w:r w:rsidRPr="00064394" w:rsidR="00B85566">
      <w:rPr>
        <w:spacing w:val="-2"/>
      </w:rPr>
      <w:t xml:space="preserve"> </w:t>
    </w:r>
    <w:r w:rsidRPr="00064394" w:rsidR="00064394">
      <w:rPr>
        <w:spacing w:val="-2"/>
      </w:rPr>
      <w:t>50</w:t>
    </w:r>
    <w:r w:rsidR="00B85566">
      <w:rPr>
        <w:spacing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17D915FF"/>
    <w:multiLevelType w:val="hybridMultilevel"/>
    <w:tmpl w:val="0688ECA0"/>
    <w:lvl w:ilvl="0">
      <w:start w:val="1"/>
      <w:numFmt w:val="lowerLetter"/>
      <w:lvlText w:val="(%1)"/>
      <w:lvlJc w:val="left"/>
      <w:pPr>
        <w:ind w:left="1440" w:hanging="360"/>
      </w:pPr>
      <w:rPr>
        <w:rFonts w:cs="Times New Roman" w:hint="default"/>
        <w:b w:val="0"/>
        <w:i w:val="0"/>
        <w:sz w:val="22"/>
        <w:szCs w:val="22"/>
      </w:rPr>
    </w:lvl>
    <w:lvl w:ilvl="1">
      <w:start w:val="9"/>
      <w:numFmt w:val="lowerLetter"/>
      <w:lvlText w:val="%2."/>
      <w:lvlJc w:val="left"/>
      <w:pPr>
        <w:ind w:left="2160" w:hanging="360"/>
      </w:pPr>
      <w:rPr>
        <w:rFonts w:hint="default"/>
        <w:b w:val="0"/>
        <w:bC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4E6D7C35"/>
    <w:multiLevelType w:val="hybridMultilevel"/>
    <w:tmpl w:val="8E862D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8">
    <w:nsid w:val="62C56C31"/>
    <w:multiLevelType w:val="hybridMultilevel"/>
    <w:tmpl w:val="CE3EA164"/>
    <w:lvl w:ilvl="0">
      <w:start w:val="35"/>
      <w:numFmt w:val="lowerLetter"/>
      <w:lvlText w:val="%1."/>
      <w:lvlJc w:val="left"/>
      <w:pPr>
        <w:ind w:left="216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6FD57B8"/>
    <w:multiLevelType w:val="hybridMultilevel"/>
    <w:tmpl w:val="9ED6F946"/>
    <w:lvl w:ilvl="0">
      <w:start w:val="1"/>
      <w:numFmt w:val="lowerLetter"/>
      <w:lvlText w:val="(%1)"/>
      <w:lvlJc w:val="left"/>
      <w:pPr>
        <w:tabs>
          <w:tab w:val="num" w:pos="1872"/>
        </w:tabs>
        <w:ind w:left="1872" w:hanging="432"/>
      </w:pPr>
      <w:rPr>
        <w:rFonts w:cs="Times New Roman" w:hint="default"/>
        <w:b w:val="0"/>
        <w:i w:val="0"/>
        <w:sz w:val="22"/>
        <w:szCs w:val="22"/>
      </w:rPr>
    </w:lvl>
    <w:lvl w:ilvl="1">
      <w:start w:val="1"/>
      <w:numFmt w:val="lowerRoman"/>
      <w:lvlText w:val="%2."/>
      <w:lvlJc w:val="right"/>
      <w:pPr>
        <w:ind w:left="2088" w:hanging="360"/>
      </w:pPr>
    </w:lvl>
    <w:lvl w:ilvl="2">
      <w:start w:val="1"/>
      <w:numFmt w:val="lowerRoman"/>
      <w:lvlText w:val="%3."/>
      <w:lvlJc w:val="right"/>
      <w:pPr>
        <w:tabs>
          <w:tab w:val="num" w:pos="2808"/>
        </w:tabs>
        <w:ind w:left="2808" w:hanging="180"/>
      </w:pPr>
    </w:lvl>
    <w:lvl w:ilvl="3">
      <w:start w:val="1"/>
      <w:numFmt w:val="decimal"/>
      <w:lvlText w:val="%4."/>
      <w:lvlJc w:val="left"/>
      <w:pPr>
        <w:tabs>
          <w:tab w:val="num" w:pos="3528"/>
        </w:tabs>
        <w:ind w:left="3528" w:hanging="360"/>
      </w:pPr>
    </w:lvl>
    <w:lvl w:ilvl="4">
      <w:start w:val="1"/>
      <w:numFmt w:val="lowerLetter"/>
      <w:lvlText w:val="%5."/>
      <w:lvlJc w:val="left"/>
      <w:pPr>
        <w:tabs>
          <w:tab w:val="num" w:pos="4248"/>
        </w:tabs>
        <w:ind w:left="4248" w:hanging="360"/>
      </w:pPr>
    </w:lvl>
    <w:lvl w:ilvl="5">
      <w:start w:val="1"/>
      <w:numFmt w:val="lowerRoman"/>
      <w:lvlText w:val="%6."/>
      <w:lvlJc w:val="right"/>
      <w:pPr>
        <w:tabs>
          <w:tab w:val="num" w:pos="4968"/>
        </w:tabs>
        <w:ind w:left="4968" w:hanging="180"/>
      </w:pPr>
    </w:lvl>
    <w:lvl w:ilvl="6">
      <w:start w:val="1"/>
      <w:numFmt w:val="decimal"/>
      <w:lvlText w:val="%7."/>
      <w:lvlJc w:val="left"/>
      <w:pPr>
        <w:tabs>
          <w:tab w:val="num" w:pos="5688"/>
        </w:tabs>
        <w:ind w:left="5688" w:hanging="360"/>
      </w:pPr>
    </w:lvl>
    <w:lvl w:ilvl="7">
      <w:start w:val="1"/>
      <w:numFmt w:val="lowerLetter"/>
      <w:lvlText w:val="%8."/>
      <w:lvlJc w:val="left"/>
      <w:pPr>
        <w:tabs>
          <w:tab w:val="num" w:pos="6408"/>
        </w:tabs>
        <w:ind w:left="6408" w:hanging="360"/>
      </w:pPr>
    </w:lvl>
    <w:lvl w:ilvl="8" w:tentative="1">
      <w:start w:val="1"/>
      <w:numFmt w:val="lowerRoman"/>
      <w:lvlText w:val="%9."/>
      <w:lvlJc w:val="right"/>
      <w:pPr>
        <w:tabs>
          <w:tab w:val="num" w:pos="7128"/>
        </w:tabs>
        <w:ind w:left="7128" w:hanging="180"/>
      </w:pPr>
    </w:lvl>
  </w:abstractNum>
  <w:abstractNum w:abstractNumId="10">
    <w:nsid w:val="6B71119D"/>
    <w:multiLevelType w:val="hybridMultilevel"/>
    <w:tmpl w:val="9ED6F946"/>
    <w:lvl w:ilvl="0">
      <w:start w:val="1"/>
      <w:numFmt w:val="lowerLetter"/>
      <w:lvlText w:val="(%1)"/>
      <w:lvlJc w:val="left"/>
      <w:pPr>
        <w:tabs>
          <w:tab w:val="num" w:pos="1872"/>
        </w:tabs>
        <w:ind w:left="1872" w:hanging="432"/>
      </w:pPr>
      <w:rPr>
        <w:rFonts w:cs="Times New Roman" w:hint="default"/>
        <w:b w:val="0"/>
        <w:i w:val="0"/>
        <w:sz w:val="22"/>
        <w:szCs w:val="22"/>
      </w:rPr>
    </w:lvl>
    <w:lvl w:ilvl="1">
      <w:start w:val="1"/>
      <w:numFmt w:val="lowerRoman"/>
      <w:lvlText w:val="%2."/>
      <w:lvlJc w:val="right"/>
      <w:pPr>
        <w:ind w:left="2088" w:hanging="360"/>
      </w:pPr>
    </w:lvl>
    <w:lvl w:ilvl="2">
      <w:start w:val="1"/>
      <w:numFmt w:val="lowerRoman"/>
      <w:lvlText w:val="%3."/>
      <w:lvlJc w:val="right"/>
      <w:pPr>
        <w:tabs>
          <w:tab w:val="num" w:pos="2808"/>
        </w:tabs>
        <w:ind w:left="2808" w:hanging="180"/>
      </w:pPr>
    </w:lvl>
    <w:lvl w:ilvl="3">
      <w:start w:val="1"/>
      <w:numFmt w:val="decimal"/>
      <w:lvlText w:val="%4."/>
      <w:lvlJc w:val="left"/>
      <w:pPr>
        <w:tabs>
          <w:tab w:val="num" w:pos="3528"/>
        </w:tabs>
        <w:ind w:left="3528" w:hanging="360"/>
      </w:pPr>
    </w:lvl>
    <w:lvl w:ilvl="4">
      <w:start w:val="1"/>
      <w:numFmt w:val="lowerLetter"/>
      <w:lvlText w:val="%5."/>
      <w:lvlJc w:val="left"/>
      <w:pPr>
        <w:tabs>
          <w:tab w:val="num" w:pos="4248"/>
        </w:tabs>
        <w:ind w:left="4248" w:hanging="360"/>
      </w:pPr>
    </w:lvl>
    <w:lvl w:ilvl="5">
      <w:start w:val="1"/>
      <w:numFmt w:val="lowerRoman"/>
      <w:lvlText w:val="%6."/>
      <w:lvlJc w:val="right"/>
      <w:pPr>
        <w:tabs>
          <w:tab w:val="num" w:pos="4968"/>
        </w:tabs>
        <w:ind w:left="4968" w:hanging="180"/>
      </w:pPr>
    </w:lvl>
    <w:lvl w:ilvl="6">
      <w:start w:val="1"/>
      <w:numFmt w:val="decimal"/>
      <w:lvlText w:val="%7."/>
      <w:lvlJc w:val="left"/>
      <w:pPr>
        <w:tabs>
          <w:tab w:val="num" w:pos="5688"/>
        </w:tabs>
        <w:ind w:left="5688" w:hanging="360"/>
      </w:pPr>
    </w:lvl>
    <w:lvl w:ilvl="7">
      <w:start w:val="1"/>
      <w:numFmt w:val="lowerLetter"/>
      <w:lvlText w:val="%8."/>
      <w:lvlJc w:val="left"/>
      <w:pPr>
        <w:tabs>
          <w:tab w:val="num" w:pos="6408"/>
        </w:tabs>
        <w:ind w:left="6408" w:hanging="360"/>
      </w:pPr>
    </w:lvl>
    <w:lvl w:ilvl="8" w:tentative="1">
      <w:start w:val="1"/>
      <w:numFmt w:val="lowerRoman"/>
      <w:lvlText w:val="%9."/>
      <w:lvlJc w:val="right"/>
      <w:pPr>
        <w:tabs>
          <w:tab w:val="num" w:pos="7128"/>
        </w:tabs>
        <w:ind w:left="7128" w:hanging="180"/>
      </w:pPr>
    </w:lvl>
  </w:abstractNum>
  <w:num w:numId="1" w16cid:durableId="839850978">
    <w:abstractNumId w:val="2"/>
  </w:num>
  <w:num w:numId="2" w16cid:durableId="1699311548">
    <w:abstractNumId w:val="7"/>
  </w:num>
  <w:num w:numId="3" w16cid:durableId="1624725691">
    <w:abstractNumId w:val="4"/>
  </w:num>
  <w:num w:numId="4" w16cid:durableId="1295063178">
    <w:abstractNumId w:val="5"/>
  </w:num>
  <w:num w:numId="5" w16cid:durableId="373770107">
    <w:abstractNumId w:val="3"/>
  </w:num>
  <w:num w:numId="6" w16cid:durableId="165167590">
    <w:abstractNumId w:val="0"/>
  </w:num>
  <w:num w:numId="7" w16cid:durableId="470942263">
    <w:abstractNumId w:val="9"/>
  </w:num>
  <w:num w:numId="8" w16cid:durableId="521626003">
    <w:abstractNumId w:val="1"/>
  </w:num>
  <w:num w:numId="9" w16cid:durableId="1200240388">
    <w:abstractNumId w:val="6"/>
  </w:num>
  <w:num w:numId="10" w16cid:durableId="1419524241">
    <w:abstractNumId w:val="8"/>
  </w:num>
  <w:num w:numId="11" w16cid:durableId="1642417103">
    <w:abstractNumId w:val="7"/>
    <w:lvlOverride w:ilvl="0">
      <w:startOverride w:val="1"/>
    </w:lvlOverride>
  </w:num>
  <w:num w:numId="12" w16cid:durableId="1886333782">
    <w:abstractNumId w:val="7"/>
    <w:lvlOverride w:ilvl="0">
      <w:startOverride w:val="1"/>
    </w:lvlOverride>
  </w:num>
  <w:num w:numId="13" w16cid:durableId="1888830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44D"/>
    <w:rsid w:val="00001FA9"/>
    <w:rsid w:val="00002ECE"/>
    <w:rsid w:val="00007728"/>
    <w:rsid w:val="000121B0"/>
    <w:rsid w:val="000122E8"/>
    <w:rsid w:val="00015999"/>
    <w:rsid w:val="00020001"/>
    <w:rsid w:val="00023E8A"/>
    <w:rsid w:val="00025758"/>
    <w:rsid w:val="000302CB"/>
    <w:rsid w:val="00033C28"/>
    <w:rsid w:val="0003410A"/>
    <w:rsid w:val="00036039"/>
    <w:rsid w:val="000368A4"/>
    <w:rsid w:val="00037F90"/>
    <w:rsid w:val="00042FA3"/>
    <w:rsid w:val="0004361C"/>
    <w:rsid w:val="00044AB4"/>
    <w:rsid w:val="00046EEC"/>
    <w:rsid w:val="00051CA0"/>
    <w:rsid w:val="00054F90"/>
    <w:rsid w:val="00060B28"/>
    <w:rsid w:val="0006242F"/>
    <w:rsid w:val="00062712"/>
    <w:rsid w:val="0006275D"/>
    <w:rsid w:val="00063523"/>
    <w:rsid w:val="00064394"/>
    <w:rsid w:val="000679C2"/>
    <w:rsid w:val="00070FAC"/>
    <w:rsid w:val="0007448E"/>
    <w:rsid w:val="00075648"/>
    <w:rsid w:val="000771DA"/>
    <w:rsid w:val="0007728E"/>
    <w:rsid w:val="000811C5"/>
    <w:rsid w:val="00083EDF"/>
    <w:rsid w:val="00085A6D"/>
    <w:rsid w:val="000875BF"/>
    <w:rsid w:val="00087622"/>
    <w:rsid w:val="00087FDF"/>
    <w:rsid w:val="00092856"/>
    <w:rsid w:val="00092998"/>
    <w:rsid w:val="00093B2C"/>
    <w:rsid w:val="00094516"/>
    <w:rsid w:val="00096D8C"/>
    <w:rsid w:val="00097821"/>
    <w:rsid w:val="000A580D"/>
    <w:rsid w:val="000A70D7"/>
    <w:rsid w:val="000A7762"/>
    <w:rsid w:val="000B2901"/>
    <w:rsid w:val="000B3DFD"/>
    <w:rsid w:val="000B4D9D"/>
    <w:rsid w:val="000B74D9"/>
    <w:rsid w:val="000C0B65"/>
    <w:rsid w:val="000C0E5B"/>
    <w:rsid w:val="000C33A9"/>
    <w:rsid w:val="000C348B"/>
    <w:rsid w:val="000C4FBE"/>
    <w:rsid w:val="000D2741"/>
    <w:rsid w:val="000E05FE"/>
    <w:rsid w:val="000E2395"/>
    <w:rsid w:val="000E3D42"/>
    <w:rsid w:val="000F0084"/>
    <w:rsid w:val="000F27A5"/>
    <w:rsid w:val="000F3518"/>
    <w:rsid w:val="000F7983"/>
    <w:rsid w:val="00101C39"/>
    <w:rsid w:val="00102F06"/>
    <w:rsid w:val="00103656"/>
    <w:rsid w:val="00104A15"/>
    <w:rsid w:val="001072D7"/>
    <w:rsid w:val="00112E16"/>
    <w:rsid w:val="001200EC"/>
    <w:rsid w:val="00122BD5"/>
    <w:rsid w:val="00124AF6"/>
    <w:rsid w:val="00125BA8"/>
    <w:rsid w:val="001279B2"/>
    <w:rsid w:val="00131BAE"/>
    <w:rsid w:val="0013312C"/>
    <w:rsid w:val="00133F79"/>
    <w:rsid w:val="00137B0C"/>
    <w:rsid w:val="001414C8"/>
    <w:rsid w:val="001439E0"/>
    <w:rsid w:val="001518D3"/>
    <w:rsid w:val="001607A7"/>
    <w:rsid w:val="00163EAD"/>
    <w:rsid w:val="00164882"/>
    <w:rsid w:val="001677F2"/>
    <w:rsid w:val="00170629"/>
    <w:rsid w:val="0017198C"/>
    <w:rsid w:val="00173AE0"/>
    <w:rsid w:val="00173D7F"/>
    <w:rsid w:val="0017581E"/>
    <w:rsid w:val="00175F2F"/>
    <w:rsid w:val="00176E53"/>
    <w:rsid w:val="001770E1"/>
    <w:rsid w:val="00182AB5"/>
    <w:rsid w:val="001833D9"/>
    <w:rsid w:val="00183A13"/>
    <w:rsid w:val="001875F7"/>
    <w:rsid w:val="00193647"/>
    <w:rsid w:val="00194A66"/>
    <w:rsid w:val="001A132C"/>
    <w:rsid w:val="001A451B"/>
    <w:rsid w:val="001B0A22"/>
    <w:rsid w:val="001C2F66"/>
    <w:rsid w:val="001D1809"/>
    <w:rsid w:val="001D458B"/>
    <w:rsid w:val="001D49A7"/>
    <w:rsid w:val="001D4BD1"/>
    <w:rsid w:val="001D6BCF"/>
    <w:rsid w:val="001D6C0D"/>
    <w:rsid w:val="001D77DE"/>
    <w:rsid w:val="001E01CA"/>
    <w:rsid w:val="001E4DBB"/>
    <w:rsid w:val="001E5739"/>
    <w:rsid w:val="001E7B76"/>
    <w:rsid w:val="002052AE"/>
    <w:rsid w:val="00210772"/>
    <w:rsid w:val="0021175D"/>
    <w:rsid w:val="00212EE4"/>
    <w:rsid w:val="00213665"/>
    <w:rsid w:val="00222A03"/>
    <w:rsid w:val="00223DD4"/>
    <w:rsid w:val="00227B60"/>
    <w:rsid w:val="002425E5"/>
    <w:rsid w:val="002429B1"/>
    <w:rsid w:val="002502AF"/>
    <w:rsid w:val="002527A9"/>
    <w:rsid w:val="00253838"/>
    <w:rsid w:val="00266895"/>
    <w:rsid w:val="002718CA"/>
    <w:rsid w:val="00273459"/>
    <w:rsid w:val="00275CF5"/>
    <w:rsid w:val="00276A3D"/>
    <w:rsid w:val="00280420"/>
    <w:rsid w:val="00281947"/>
    <w:rsid w:val="0028270E"/>
    <w:rsid w:val="0028301F"/>
    <w:rsid w:val="00284860"/>
    <w:rsid w:val="00285017"/>
    <w:rsid w:val="00287DBA"/>
    <w:rsid w:val="00290058"/>
    <w:rsid w:val="00290D9E"/>
    <w:rsid w:val="00294EF6"/>
    <w:rsid w:val="002A0438"/>
    <w:rsid w:val="002A0CBF"/>
    <w:rsid w:val="002A2D2E"/>
    <w:rsid w:val="002A4C90"/>
    <w:rsid w:val="002A668C"/>
    <w:rsid w:val="002A7D52"/>
    <w:rsid w:val="002B14B8"/>
    <w:rsid w:val="002B2DBE"/>
    <w:rsid w:val="002B464C"/>
    <w:rsid w:val="002B484C"/>
    <w:rsid w:val="002B4C9B"/>
    <w:rsid w:val="002C00E8"/>
    <w:rsid w:val="002C3F8D"/>
    <w:rsid w:val="002C66FD"/>
    <w:rsid w:val="002C69E9"/>
    <w:rsid w:val="002D08FA"/>
    <w:rsid w:val="002D3889"/>
    <w:rsid w:val="002E3D64"/>
    <w:rsid w:val="002F01DD"/>
    <w:rsid w:val="002F7B91"/>
    <w:rsid w:val="00307242"/>
    <w:rsid w:val="0031046F"/>
    <w:rsid w:val="00310AD4"/>
    <w:rsid w:val="00314F41"/>
    <w:rsid w:val="00315F57"/>
    <w:rsid w:val="00320963"/>
    <w:rsid w:val="00323AE4"/>
    <w:rsid w:val="00325A02"/>
    <w:rsid w:val="003319F3"/>
    <w:rsid w:val="00332503"/>
    <w:rsid w:val="00336AF8"/>
    <w:rsid w:val="00343749"/>
    <w:rsid w:val="003537C6"/>
    <w:rsid w:val="00360DC5"/>
    <w:rsid w:val="003660ED"/>
    <w:rsid w:val="00366517"/>
    <w:rsid w:val="00383514"/>
    <w:rsid w:val="00386AC6"/>
    <w:rsid w:val="00390EEF"/>
    <w:rsid w:val="003976A3"/>
    <w:rsid w:val="003A10F2"/>
    <w:rsid w:val="003A5CA0"/>
    <w:rsid w:val="003A7AE3"/>
    <w:rsid w:val="003B0550"/>
    <w:rsid w:val="003B2D76"/>
    <w:rsid w:val="003B694F"/>
    <w:rsid w:val="003C3352"/>
    <w:rsid w:val="003C64F8"/>
    <w:rsid w:val="003C744D"/>
    <w:rsid w:val="003E0886"/>
    <w:rsid w:val="003E42E9"/>
    <w:rsid w:val="003E54CD"/>
    <w:rsid w:val="003F171C"/>
    <w:rsid w:val="003F1D9A"/>
    <w:rsid w:val="003F20DB"/>
    <w:rsid w:val="003F2DAD"/>
    <w:rsid w:val="003F4194"/>
    <w:rsid w:val="00403C54"/>
    <w:rsid w:val="00404DB4"/>
    <w:rsid w:val="00411BC4"/>
    <w:rsid w:val="00411CEA"/>
    <w:rsid w:val="00412FC5"/>
    <w:rsid w:val="004147D6"/>
    <w:rsid w:val="0041754B"/>
    <w:rsid w:val="00422276"/>
    <w:rsid w:val="004242F1"/>
    <w:rsid w:val="00424E1C"/>
    <w:rsid w:val="00431CBF"/>
    <w:rsid w:val="00442628"/>
    <w:rsid w:val="00442B97"/>
    <w:rsid w:val="00445A00"/>
    <w:rsid w:val="00450A07"/>
    <w:rsid w:val="004515E6"/>
    <w:rsid w:val="00451B0F"/>
    <w:rsid w:val="0045390D"/>
    <w:rsid w:val="004547AD"/>
    <w:rsid w:val="00455BB8"/>
    <w:rsid w:val="004641F4"/>
    <w:rsid w:val="00466310"/>
    <w:rsid w:val="00466759"/>
    <w:rsid w:val="004740BC"/>
    <w:rsid w:val="00475C34"/>
    <w:rsid w:val="004760D6"/>
    <w:rsid w:val="00477BB7"/>
    <w:rsid w:val="00487DD6"/>
    <w:rsid w:val="00496527"/>
    <w:rsid w:val="004A1C21"/>
    <w:rsid w:val="004A2097"/>
    <w:rsid w:val="004A3F80"/>
    <w:rsid w:val="004A4ABB"/>
    <w:rsid w:val="004B0BE2"/>
    <w:rsid w:val="004B0DC4"/>
    <w:rsid w:val="004B4835"/>
    <w:rsid w:val="004B51C3"/>
    <w:rsid w:val="004B51D6"/>
    <w:rsid w:val="004C1208"/>
    <w:rsid w:val="004C2EE3"/>
    <w:rsid w:val="004C3288"/>
    <w:rsid w:val="004D00A6"/>
    <w:rsid w:val="004D5361"/>
    <w:rsid w:val="004D7B4F"/>
    <w:rsid w:val="004E04A9"/>
    <w:rsid w:val="004E299F"/>
    <w:rsid w:val="004E4732"/>
    <w:rsid w:val="004E4A22"/>
    <w:rsid w:val="004E4B06"/>
    <w:rsid w:val="004E4DB9"/>
    <w:rsid w:val="004E501B"/>
    <w:rsid w:val="004E7542"/>
    <w:rsid w:val="004F17FC"/>
    <w:rsid w:val="004F33FB"/>
    <w:rsid w:val="004F3EA7"/>
    <w:rsid w:val="00501A27"/>
    <w:rsid w:val="00502BBB"/>
    <w:rsid w:val="00505F4E"/>
    <w:rsid w:val="0050679A"/>
    <w:rsid w:val="00510F8E"/>
    <w:rsid w:val="00511968"/>
    <w:rsid w:val="00514B1E"/>
    <w:rsid w:val="00514D53"/>
    <w:rsid w:val="00516E90"/>
    <w:rsid w:val="00520290"/>
    <w:rsid w:val="005272E1"/>
    <w:rsid w:val="00527A8F"/>
    <w:rsid w:val="00531E88"/>
    <w:rsid w:val="00535511"/>
    <w:rsid w:val="0054454F"/>
    <w:rsid w:val="005519FA"/>
    <w:rsid w:val="00552665"/>
    <w:rsid w:val="00552A1C"/>
    <w:rsid w:val="0055564D"/>
    <w:rsid w:val="0055614C"/>
    <w:rsid w:val="00556692"/>
    <w:rsid w:val="00566D06"/>
    <w:rsid w:val="00566D7B"/>
    <w:rsid w:val="00571B2D"/>
    <w:rsid w:val="005763E3"/>
    <w:rsid w:val="00581002"/>
    <w:rsid w:val="00586019"/>
    <w:rsid w:val="00586F6B"/>
    <w:rsid w:val="0058707E"/>
    <w:rsid w:val="00592FAE"/>
    <w:rsid w:val="005930AC"/>
    <w:rsid w:val="00596CA0"/>
    <w:rsid w:val="005A02CE"/>
    <w:rsid w:val="005A1523"/>
    <w:rsid w:val="005A2F34"/>
    <w:rsid w:val="005A5DA1"/>
    <w:rsid w:val="005B0434"/>
    <w:rsid w:val="005B7A5E"/>
    <w:rsid w:val="005B7AB7"/>
    <w:rsid w:val="005C20EF"/>
    <w:rsid w:val="005C4180"/>
    <w:rsid w:val="005C44A0"/>
    <w:rsid w:val="005D1AFD"/>
    <w:rsid w:val="005D4B70"/>
    <w:rsid w:val="005D4FE3"/>
    <w:rsid w:val="005D69E9"/>
    <w:rsid w:val="005E14C2"/>
    <w:rsid w:val="005E18D2"/>
    <w:rsid w:val="005E43E0"/>
    <w:rsid w:val="005E5519"/>
    <w:rsid w:val="005E5CF6"/>
    <w:rsid w:val="005F3A0D"/>
    <w:rsid w:val="005F52B6"/>
    <w:rsid w:val="005F63B1"/>
    <w:rsid w:val="00603BFA"/>
    <w:rsid w:val="006061BD"/>
    <w:rsid w:val="00607BA5"/>
    <w:rsid w:val="0061180A"/>
    <w:rsid w:val="00614014"/>
    <w:rsid w:val="0061497C"/>
    <w:rsid w:val="0061533F"/>
    <w:rsid w:val="00617AC8"/>
    <w:rsid w:val="006208D8"/>
    <w:rsid w:val="00624566"/>
    <w:rsid w:val="00626EB6"/>
    <w:rsid w:val="006317C8"/>
    <w:rsid w:val="00631A04"/>
    <w:rsid w:val="00636265"/>
    <w:rsid w:val="0063653B"/>
    <w:rsid w:val="006370BB"/>
    <w:rsid w:val="00637C09"/>
    <w:rsid w:val="006405F9"/>
    <w:rsid w:val="006431A8"/>
    <w:rsid w:val="00647FFD"/>
    <w:rsid w:val="00650344"/>
    <w:rsid w:val="00655D03"/>
    <w:rsid w:val="00655E5C"/>
    <w:rsid w:val="006565A5"/>
    <w:rsid w:val="00665338"/>
    <w:rsid w:val="0067000E"/>
    <w:rsid w:val="0067392F"/>
    <w:rsid w:val="00676510"/>
    <w:rsid w:val="00680523"/>
    <w:rsid w:val="00683069"/>
    <w:rsid w:val="00683388"/>
    <w:rsid w:val="00683F84"/>
    <w:rsid w:val="00685FA0"/>
    <w:rsid w:val="00685FE3"/>
    <w:rsid w:val="00686623"/>
    <w:rsid w:val="00692418"/>
    <w:rsid w:val="0069323D"/>
    <w:rsid w:val="006A02F5"/>
    <w:rsid w:val="006A0971"/>
    <w:rsid w:val="006A1806"/>
    <w:rsid w:val="006A3CF3"/>
    <w:rsid w:val="006A6A81"/>
    <w:rsid w:val="006B2BCE"/>
    <w:rsid w:val="006B7F5D"/>
    <w:rsid w:val="006C0276"/>
    <w:rsid w:val="006C0CA1"/>
    <w:rsid w:val="006C4D32"/>
    <w:rsid w:val="006C4FC1"/>
    <w:rsid w:val="006C7587"/>
    <w:rsid w:val="006D2924"/>
    <w:rsid w:val="006D4EE7"/>
    <w:rsid w:val="006D5FC4"/>
    <w:rsid w:val="006D7CCF"/>
    <w:rsid w:val="006E0310"/>
    <w:rsid w:val="006E26DB"/>
    <w:rsid w:val="006E38A1"/>
    <w:rsid w:val="006E5C6D"/>
    <w:rsid w:val="006E62A6"/>
    <w:rsid w:val="006E7842"/>
    <w:rsid w:val="006F66D6"/>
    <w:rsid w:val="006F7393"/>
    <w:rsid w:val="00700DFD"/>
    <w:rsid w:val="00700E95"/>
    <w:rsid w:val="0070224F"/>
    <w:rsid w:val="00707699"/>
    <w:rsid w:val="00707766"/>
    <w:rsid w:val="007078F2"/>
    <w:rsid w:val="0071158E"/>
    <w:rsid w:val="007115F7"/>
    <w:rsid w:val="0071438A"/>
    <w:rsid w:val="00714CB1"/>
    <w:rsid w:val="00715A04"/>
    <w:rsid w:val="00715B87"/>
    <w:rsid w:val="007332C3"/>
    <w:rsid w:val="00733565"/>
    <w:rsid w:val="00734D24"/>
    <w:rsid w:val="007372C6"/>
    <w:rsid w:val="00741749"/>
    <w:rsid w:val="0074306A"/>
    <w:rsid w:val="0074719B"/>
    <w:rsid w:val="00751AED"/>
    <w:rsid w:val="007531FA"/>
    <w:rsid w:val="0075445E"/>
    <w:rsid w:val="00760A4F"/>
    <w:rsid w:val="00763525"/>
    <w:rsid w:val="0076704F"/>
    <w:rsid w:val="00767D2D"/>
    <w:rsid w:val="00774838"/>
    <w:rsid w:val="00775F96"/>
    <w:rsid w:val="00780B32"/>
    <w:rsid w:val="00782288"/>
    <w:rsid w:val="00785689"/>
    <w:rsid w:val="00786D10"/>
    <w:rsid w:val="00792C09"/>
    <w:rsid w:val="00793801"/>
    <w:rsid w:val="0079424E"/>
    <w:rsid w:val="0079754B"/>
    <w:rsid w:val="007A1546"/>
    <w:rsid w:val="007A1E6D"/>
    <w:rsid w:val="007B0EB2"/>
    <w:rsid w:val="007B3A95"/>
    <w:rsid w:val="007B58CC"/>
    <w:rsid w:val="007B5E36"/>
    <w:rsid w:val="007B72B8"/>
    <w:rsid w:val="007C2640"/>
    <w:rsid w:val="007C395D"/>
    <w:rsid w:val="007C597D"/>
    <w:rsid w:val="007C67CE"/>
    <w:rsid w:val="007D21BE"/>
    <w:rsid w:val="007D5D78"/>
    <w:rsid w:val="007F29AE"/>
    <w:rsid w:val="007F75F9"/>
    <w:rsid w:val="007F760B"/>
    <w:rsid w:val="00804705"/>
    <w:rsid w:val="00810B6F"/>
    <w:rsid w:val="00811622"/>
    <w:rsid w:val="00811F69"/>
    <w:rsid w:val="0081576F"/>
    <w:rsid w:val="0081658B"/>
    <w:rsid w:val="00822CE0"/>
    <w:rsid w:val="00824C6F"/>
    <w:rsid w:val="008260CF"/>
    <w:rsid w:val="0083461D"/>
    <w:rsid w:val="00834693"/>
    <w:rsid w:val="0083577E"/>
    <w:rsid w:val="00837CE0"/>
    <w:rsid w:val="00840364"/>
    <w:rsid w:val="00841380"/>
    <w:rsid w:val="00841AB1"/>
    <w:rsid w:val="00850E4B"/>
    <w:rsid w:val="00872641"/>
    <w:rsid w:val="00872704"/>
    <w:rsid w:val="00873296"/>
    <w:rsid w:val="008739BF"/>
    <w:rsid w:val="0087770C"/>
    <w:rsid w:val="00877B6F"/>
    <w:rsid w:val="00877B97"/>
    <w:rsid w:val="00883F31"/>
    <w:rsid w:val="00884B06"/>
    <w:rsid w:val="008A067A"/>
    <w:rsid w:val="008A447D"/>
    <w:rsid w:val="008A507B"/>
    <w:rsid w:val="008A623E"/>
    <w:rsid w:val="008A6267"/>
    <w:rsid w:val="008B0692"/>
    <w:rsid w:val="008B4CF0"/>
    <w:rsid w:val="008C68F1"/>
    <w:rsid w:val="008D3159"/>
    <w:rsid w:val="008D59E2"/>
    <w:rsid w:val="008E0B17"/>
    <w:rsid w:val="00901661"/>
    <w:rsid w:val="00903CE8"/>
    <w:rsid w:val="00904F3B"/>
    <w:rsid w:val="00907755"/>
    <w:rsid w:val="00913B04"/>
    <w:rsid w:val="0091541B"/>
    <w:rsid w:val="009163A6"/>
    <w:rsid w:val="00921803"/>
    <w:rsid w:val="00921F97"/>
    <w:rsid w:val="009226A6"/>
    <w:rsid w:val="00924B43"/>
    <w:rsid w:val="00925A15"/>
    <w:rsid w:val="00926503"/>
    <w:rsid w:val="009403F2"/>
    <w:rsid w:val="0094137B"/>
    <w:rsid w:val="00942FDF"/>
    <w:rsid w:val="009435E4"/>
    <w:rsid w:val="0094413F"/>
    <w:rsid w:val="00946C8F"/>
    <w:rsid w:val="00950252"/>
    <w:rsid w:val="00950B2B"/>
    <w:rsid w:val="0095197F"/>
    <w:rsid w:val="009541F0"/>
    <w:rsid w:val="00955A1C"/>
    <w:rsid w:val="009572D6"/>
    <w:rsid w:val="009640D9"/>
    <w:rsid w:val="00970A17"/>
    <w:rsid w:val="009710B7"/>
    <w:rsid w:val="009726D8"/>
    <w:rsid w:val="00976C57"/>
    <w:rsid w:val="00977814"/>
    <w:rsid w:val="009807DE"/>
    <w:rsid w:val="00980C4C"/>
    <w:rsid w:val="00986520"/>
    <w:rsid w:val="00987960"/>
    <w:rsid w:val="009905BF"/>
    <w:rsid w:val="00990FFC"/>
    <w:rsid w:val="00995D8A"/>
    <w:rsid w:val="0099785A"/>
    <w:rsid w:val="009A3439"/>
    <w:rsid w:val="009A469C"/>
    <w:rsid w:val="009B23BD"/>
    <w:rsid w:val="009B335B"/>
    <w:rsid w:val="009B639F"/>
    <w:rsid w:val="009D081B"/>
    <w:rsid w:val="009D144D"/>
    <w:rsid w:val="009D15FE"/>
    <w:rsid w:val="009D26AC"/>
    <w:rsid w:val="009D45AD"/>
    <w:rsid w:val="009D5289"/>
    <w:rsid w:val="009D67D1"/>
    <w:rsid w:val="009D7308"/>
    <w:rsid w:val="009E00FC"/>
    <w:rsid w:val="009E0ABD"/>
    <w:rsid w:val="009E58E1"/>
    <w:rsid w:val="009F61F3"/>
    <w:rsid w:val="009F76DB"/>
    <w:rsid w:val="00A017D3"/>
    <w:rsid w:val="00A023D9"/>
    <w:rsid w:val="00A0252A"/>
    <w:rsid w:val="00A02591"/>
    <w:rsid w:val="00A04EEF"/>
    <w:rsid w:val="00A10E40"/>
    <w:rsid w:val="00A113A6"/>
    <w:rsid w:val="00A1167B"/>
    <w:rsid w:val="00A1782A"/>
    <w:rsid w:val="00A22D21"/>
    <w:rsid w:val="00A23F6D"/>
    <w:rsid w:val="00A26590"/>
    <w:rsid w:val="00A32A0A"/>
    <w:rsid w:val="00A32C3B"/>
    <w:rsid w:val="00A3396E"/>
    <w:rsid w:val="00A34043"/>
    <w:rsid w:val="00A3753C"/>
    <w:rsid w:val="00A43267"/>
    <w:rsid w:val="00A44372"/>
    <w:rsid w:val="00A45F4F"/>
    <w:rsid w:val="00A461DB"/>
    <w:rsid w:val="00A47A5D"/>
    <w:rsid w:val="00A50A6E"/>
    <w:rsid w:val="00A50D44"/>
    <w:rsid w:val="00A55ADE"/>
    <w:rsid w:val="00A574D9"/>
    <w:rsid w:val="00A600A9"/>
    <w:rsid w:val="00A626FE"/>
    <w:rsid w:val="00A65955"/>
    <w:rsid w:val="00A718D4"/>
    <w:rsid w:val="00A72673"/>
    <w:rsid w:val="00A73857"/>
    <w:rsid w:val="00A754EC"/>
    <w:rsid w:val="00A76E26"/>
    <w:rsid w:val="00A77076"/>
    <w:rsid w:val="00A83E74"/>
    <w:rsid w:val="00A878ED"/>
    <w:rsid w:val="00A9224D"/>
    <w:rsid w:val="00A92B9E"/>
    <w:rsid w:val="00A93E8B"/>
    <w:rsid w:val="00A974ED"/>
    <w:rsid w:val="00AA00B5"/>
    <w:rsid w:val="00AA55B7"/>
    <w:rsid w:val="00AA5B9E"/>
    <w:rsid w:val="00AA6694"/>
    <w:rsid w:val="00AA6B92"/>
    <w:rsid w:val="00AB2407"/>
    <w:rsid w:val="00AB53DF"/>
    <w:rsid w:val="00AB6335"/>
    <w:rsid w:val="00AC4A2A"/>
    <w:rsid w:val="00AC5FF8"/>
    <w:rsid w:val="00AC69BD"/>
    <w:rsid w:val="00AC7C86"/>
    <w:rsid w:val="00AD1087"/>
    <w:rsid w:val="00AD1AA5"/>
    <w:rsid w:val="00AE54CD"/>
    <w:rsid w:val="00AE5657"/>
    <w:rsid w:val="00AF10F6"/>
    <w:rsid w:val="00AF151A"/>
    <w:rsid w:val="00AF1C31"/>
    <w:rsid w:val="00AF5489"/>
    <w:rsid w:val="00AF62B5"/>
    <w:rsid w:val="00B01722"/>
    <w:rsid w:val="00B04B20"/>
    <w:rsid w:val="00B07E5C"/>
    <w:rsid w:val="00B11127"/>
    <w:rsid w:val="00B13F83"/>
    <w:rsid w:val="00B16F29"/>
    <w:rsid w:val="00B22521"/>
    <w:rsid w:val="00B225FF"/>
    <w:rsid w:val="00B23C44"/>
    <w:rsid w:val="00B26EE9"/>
    <w:rsid w:val="00B30B27"/>
    <w:rsid w:val="00B31E67"/>
    <w:rsid w:val="00B320F6"/>
    <w:rsid w:val="00B32CA9"/>
    <w:rsid w:val="00B3379E"/>
    <w:rsid w:val="00B37D51"/>
    <w:rsid w:val="00B479F2"/>
    <w:rsid w:val="00B54056"/>
    <w:rsid w:val="00B56C8B"/>
    <w:rsid w:val="00B612DB"/>
    <w:rsid w:val="00B61925"/>
    <w:rsid w:val="00B63033"/>
    <w:rsid w:val="00B6663F"/>
    <w:rsid w:val="00B66D26"/>
    <w:rsid w:val="00B70673"/>
    <w:rsid w:val="00B811F7"/>
    <w:rsid w:val="00B82F5E"/>
    <w:rsid w:val="00B85566"/>
    <w:rsid w:val="00B86AF5"/>
    <w:rsid w:val="00B91C4A"/>
    <w:rsid w:val="00B91D02"/>
    <w:rsid w:val="00B96386"/>
    <w:rsid w:val="00B971C5"/>
    <w:rsid w:val="00BA5721"/>
    <w:rsid w:val="00BA5DC6"/>
    <w:rsid w:val="00BA5E84"/>
    <w:rsid w:val="00BA6196"/>
    <w:rsid w:val="00BA6F14"/>
    <w:rsid w:val="00BA7711"/>
    <w:rsid w:val="00BB4C23"/>
    <w:rsid w:val="00BB630C"/>
    <w:rsid w:val="00BB66A3"/>
    <w:rsid w:val="00BB6836"/>
    <w:rsid w:val="00BB7A57"/>
    <w:rsid w:val="00BC6D8C"/>
    <w:rsid w:val="00BC75BE"/>
    <w:rsid w:val="00BE1A26"/>
    <w:rsid w:val="00BE35BB"/>
    <w:rsid w:val="00BE54D5"/>
    <w:rsid w:val="00BE5C42"/>
    <w:rsid w:val="00BF5582"/>
    <w:rsid w:val="00C012A1"/>
    <w:rsid w:val="00C02A64"/>
    <w:rsid w:val="00C0328E"/>
    <w:rsid w:val="00C03EA9"/>
    <w:rsid w:val="00C11E43"/>
    <w:rsid w:val="00C13808"/>
    <w:rsid w:val="00C13B99"/>
    <w:rsid w:val="00C15655"/>
    <w:rsid w:val="00C209C4"/>
    <w:rsid w:val="00C22F93"/>
    <w:rsid w:val="00C306FD"/>
    <w:rsid w:val="00C3171C"/>
    <w:rsid w:val="00C34006"/>
    <w:rsid w:val="00C34C50"/>
    <w:rsid w:val="00C35E11"/>
    <w:rsid w:val="00C36B4C"/>
    <w:rsid w:val="00C36D2F"/>
    <w:rsid w:val="00C40E15"/>
    <w:rsid w:val="00C426B1"/>
    <w:rsid w:val="00C43234"/>
    <w:rsid w:val="00C436DE"/>
    <w:rsid w:val="00C46524"/>
    <w:rsid w:val="00C54421"/>
    <w:rsid w:val="00C56020"/>
    <w:rsid w:val="00C561B3"/>
    <w:rsid w:val="00C579B7"/>
    <w:rsid w:val="00C60A77"/>
    <w:rsid w:val="00C611F6"/>
    <w:rsid w:val="00C66160"/>
    <w:rsid w:val="00C67C3E"/>
    <w:rsid w:val="00C71B6D"/>
    <w:rsid w:val="00C721AC"/>
    <w:rsid w:val="00C74078"/>
    <w:rsid w:val="00C74431"/>
    <w:rsid w:val="00C75EB9"/>
    <w:rsid w:val="00C7797C"/>
    <w:rsid w:val="00C8035A"/>
    <w:rsid w:val="00C81FEE"/>
    <w:rsid w:val="00C90D6A"/>
    <w:rsid w:val="00C94DC6"/>
    <w:rsid w:val="00CA247E"/>
    <w:rsid w:val="00CA31DF"/>
    <w:rsid w:val="00CA5DE3"/>
    <w:rsid w:val="00CA6D21"/>
    <w:rsid w:val="00CB0012"/>
    <w:rsid w:val="00CB211B"/>
    <w:rsid w:val="00CB463A"/>
    <w:rsid w:val="00CB61D1"/>
    <w:rsid w:val="00CB6773"/>
    <w:rsid w:val="00CB7C4D"/>
    <w:rsid w:val="00CC0911"/>
    <w:rsid w:val="00CC4CEF"/>
    <w:rsid w:val="00CC61BC"/>
    <w:rsid w:val="00CC72B6"/>
    <w:rsid w:val="00CC7C1A"/>
    <w:rsid w:val="00CD2B03"/>
    <w:rsid w:val="00CE0809"/>
    <w:rsid w:val="00CE24D4"/>
    <w:rsid w:val="00CE623C"/>
    <w:rsid w:val="00CE67C5"/>
    <w:rsid w:val="00CE6E3C"/>
    <w:rsid w:val="00CF0AD6"/>
    <w:rsid w:val="00CF1278"/>
    <w:rsid w:val="00CF6A29"/>
    <w:rsid w:val="00D0218D"/>
    <w:rsid w:val="00D02247"/>
    <w:rsid w:val="00D031C9"/>
    <w:rsid w:val="00D233C8"/>
    <w:rsid w:val="00D25FB5"/>
    <w:rsid w:val="00D261E6"/>
    <w:rsid w:val="00D27D46"/>
    <w:rsid w:val="00D3167B"/>
    <w:rsid w:val="00D31CDF"/>
    <w:rsid w:val="00D33403"/>
    <w:rsid w:val="00D3553C"/>
    <w:rsid w:val="00D40E98"/>
    <w:rsid w:val="00D44223"/>
    <w:rsid w:val="00D4631F"/>
    <w:rsid w:val="00D52EDE"/>
    <w:rsid w:val="00D53CD1"/>
    <w:rsid w:val="00D5692B"/>
    <w:rsid w:val="00D56AAE"/>
    <w:rsid w:val="00D56D53"/>
    <w:rsid w:val="00D57C09"/>
    <w:rsid w:val="00D61638"/>
    <w:rsid w:val="00D6319C"/>
    <w:rsid w:val="00D646CF"/>
    <w:rsid w:val="00D65D72"/>
    <w:rsid w:val="00D666C8"/>
    <w:rsid w:val="00D66DAA"/>
    <w:rsid w:val="00D707BF"/>
    <w:rsid w:val="00D85914"/>
    <w:rsid w:val="00D85F02"/>
    <w:rsid w:val="00D91AB1"/>
    <w:rsid w:val="00DA0468"/>
    <w:rsid w:val="00DA2529"/>
    <w:rsid w:val="00DA5A13"/>
    <w:rsid w:val="00DB0A2D"/>
    <w:rsid w:val="00DB1246"/>
    <w:rsid w:val="00DB130A"/>
    <w:rsid w:val="00DB16B9"/>
    <w:rsid w:val="00DB1D0D"/>
    <w:rsid w:val="00DB1D0E"/>
    <w:rsid w:val="00DB23E5"/>
    <w:rsid w:val="00DB2EBB"/>
    <w:rsid w:val="00DB2F89"/>
    <w:rsid w:val="00DC10A1"/>
    <w:rsid w:val="00DC30A4"/>
    <w:rsid w:val="00DC36B9"/>
    <w:rsid w:val="00DC44F6"/>
    <w:rsid w:val="00DC655F"/>
    <w:rsid w:val="00DD082B"/>
    <w:rsid w:val="00DD0B59"/>
    <w:rsid w:val="00DD2FF3"/>
    <w:rsid w:val="00DD5406"/>
    <w:rsid w:val="00DD7EBD"/>
    <w:rsid w:val="00DE4BB3"/>
    <w:rsid w:val="00DE5544"/>
    <w:rsid w:val="00DE7CA5"/>
    <w:rsid w:val="00DF15CC"/>
    <w:rsid w:val="00DF21C0"/>
    <w:rsid w:val="00DF62B6"/>
    <w:rsid w:val="00DF6E90"/>
    <w:rsid w:val="00DF74C2"/>
    <w:rsid w:val="00E044A3"/>
    <w:rsid w:val="00E07225"/>
    <w:rsid w:val="00E1233A"/>
    <w:rsid w:val="00E17A96"/>
    <w:rsid w:val="00E2235C"/>
    <w:rsid w:val="00E23C21"/>
    <w:rsid w:val="00E247F0"/>
    <w:rsid w:val="00E26157"/>
    <w:rsid w:val="00E311A3"/>
    <w:rsid w:val="00E3154E"/>
    <w:rsid w:val="00E42048"/>
    <w:rsid w:val="00E42593"/>
    <w:rsid w:val="00E4700F"/>
    <w:rsid w:val="00E51E2C"/>
    <w:rsid w:val="00E5409F"/>
    <w:rsid w:val="00E577BE"/>
    <w:rsid w:val="00E57CC6"/>
    <w:rsid w:val="00E63430"/>
    <w:rsid w:val="00E655CA"/>
    <w:rsid w:val="00E668E9"/>
    <w:rsid w:val="00E66FB0"/>
    <w:rsid w:val="00E70876"/>
    <w:rsid w:val="00E748F0"/>
    <w:rsid w:val="00E74C33"/>
    <w:rsid w:val="00E76C3A"/>
    <w:rsid w:val="00E77642"/>
    <w:rsid w:val="00E80C75"/>
    <w:rsid w:val="00E8372D"/>
    <w:rsid w:val="00E93853"/>
    <w:rsid w:val="00E96C39"/>
    <w:rsid w:val="00EA3ABB"/>
    <w:rsid w:val="00EA7CFA"/>
    <w:rsid w:val="00EB2645"/>
    <w:rsid w:val="00EC2820"/>
    <w:rsid w:val="00EC61AC"/>
    <w:rsid w:val="00EC7C4F"/>
    <w:rsid w:val="00ED0463"/>
    <w:rsid w:val="00ED2B22"/>
    <w:rsid w:val="00ED4FA8"/>
    <w:rsid w:val="00ED7B18"/>
    <w:rsid w:val="00EE0DB6"/>
    <w:rsid w:val="00EE5A62"/>
    <w:rsid w:val="00EE5F9C"/>
    <w:rsid w:val="00EE6488"/>
    <w:rsid w:val="00EF08CD"/>
    <w:rsid w:val="00EF2EF0"/>
    <w:rsid w:val="00EF3CBD"/>
    <w:rsid w:val="00EF419C"/>
    <w:rsid w:val="00EF680F"/>
    <w:rsid w:val="00EF7BA1"/>
    <w:rsid w:val="00F021FA"/>
    <w:rsid w:val="00F02518"/>
    <w:rsid w:val="00F03CEC"/>
    <w:rsid w:val="00F11125"/>
    <w:rsid w:val="00F116CB"/>
    <w:rsid w:val="00F1199D"/>
    <w:rsid w:val="00F125AB"/>
    <w:rsid w:val="00F1769A"/>
    <w:rsid w:val="00F2304E"/>
    <w:rsid w:val="00F24B42"/>
    <w:rsid w:val="00F306FB"/>
    <w:rsid w:val="00F30E35"/>
    <w:rsid w:val="00F34AE0"/>
    <w:rsid w:val="00F352C7"/>
    <w:rsid w:val="00F36C6B"/>
    <w:rsid w:val="00F44985"/>
    <w:rsid w:val="00F45F24"/>
    <w:rsid w:val="00F522F6"/>
    <w:rsid w:val="00F53DAF"/>
    <w:rsid w:val="00F60413"/>
    <w:rsid w:val="00F607CC"/>
    <w:rsid w:val="00F6109A"/>
    <w:rsid w:val="00F62E97"/>
    <w:rsid w:val="00F6404C"/>
    <w:rsid w:val="00F64209"/>
    <w:rsid w:val="00F649D8"/>
    <w:rsid w:val="00F66864"/>
    <w:rsid w:val="00F75098"/>
    <w:rsid w:val="00F776A5"/>
    <w:rsid w:val="00F80C87"/>
    <w:rsid w:val="00F8266D"/>
    <w:rsid w:val="00F83B64"/>
    <w:rsid w:val="00F84B3F"/>
    <w:rsid w:val="00F87429"/>
    <w:rsid w:val="00F90ED6"/>
    <w:rsid w:val="00F93BF5"/>
    <w:rsid w:val="00F94E0A"/>
    <w:rsid w:val="00F95F62"/>
    <w:rsid w:val="00FA63F8"/>
    <w:rsid w:val="00FA695B"/>
    <w:rsid w:val="00FA7979"/>
    <w:rsid w:val="00FA7E30"/>
    <w:rsid w:val="00FB155F"/>
    <w:rsid w:val="00FB5DD3"/>
    <w:rsid w:val="00FB60D2"/>
    <w:rsid w:val="00FB6D04"/>
    <w:rsid w:val="00FB7CD6"/>
    <w:rsid w:val="00FC4848"/>
    <w:rsid w:val="00FC61A0"/>
    <w:rsid w:val="00FD1C0D"/>
    <w:rsid w:val="00FD2993"/>
    <w:rsid w:val="00FD5555"/>
    <w:rsid w:val="00FE24BA"/>
    <w:rsid w:val="00FE2A27"/>
    <w:rsid w:val="00FE33EC"/>
    <w:rsid w:val="00FE58BE"/>
    <w:rsid w:val="00FE5E36"/>
    <w:rsid w:val="00FF1A2B"/>
    <w:rsid w:val="00FF33BF"/>
    <w:rsid w:val="00FF3B2F"/>
    <w:rsid w:val="00FF3C9C"/>
    <w:rsid w:val="00FF3E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9EC7D5"/>
  <w15:chartTrackingRefBased/>
  <w15:docId w15:val="{B2BEF8DC-F733-4B02-86CF-8A5EEF27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2856"/>
    <w:pPr>
      <w:widowControl w:val="0"/>
    </w:pPr>
    <w:rPr>
      <w:snapToGrid w:val="0"/>
      <w:kern w:val="28"/>
      <w:sz w:val="22"/>
    </w:rPr>
  </w:style>
  <w:style w:type="paragraph" w:styleId="Heading1">
    <w:name w:val="heading 1"/>
    <w:basedOn w:val="Normal"/>
    <w:next w:val="ParaNum"/>
    <w:qFormat/>
    <w:rsid w:val="0009285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092856"/>
    <w:pPr>
      <w:keepNext/>
      <w:numPr>
        <w:ilvl w:val="1"/>
        <w:numId w:val="3"/>
      </w:numPr>
      <w:spacing w:after="120"/>
      <w:outlineLvl w:val="1"/>
    </w:pPr>
    <w:rPr>
      <w:b/>
    </w:rPr>
  </w:style>
  <w:style w:type="paragraph" w:styleId="Heading3">
    <w:name w:val="heading 3"/>
    <w:basedOn w:val="Normal"/>
    <w:next w:val="ParaNum"/>
    <w:qFormat/>
    <w:rsid w:val="00092856"/>
    <w:pPr>
      <w:keepNext/>
      <w:numPr>
        <w:ilvl w:val="2"/>
        <w:numId w:val="3"/>
      </w:numPr>
      <w:tabs>
        <w:tab w:val="left" w:pos="2160"/>
      </w:tabs>
      <w:spacing w:after="120"/>
      <w:outlineLvl w:val="2"/>
    </w:pPr>
    <w:rPr>
      <w:b/>
    </w:rPr>
  </w:style>
  <w:style w:type="paragraph" w:styleId="Heading4">
    <w:name w:val="heading 4"/>
    <w:basedOn w:val="Normal"/>
    <w:next w:val="ParaNum"/>
    <w:qFormat/>
    <w:rsid w:val="00092856"/>
    <w:pPr>
      <w:keepNext/>
      <w:numPr>
        <w:ilvl w:val="3"/>
        <w:numId w:val="3"/>
      </w:numPr>
      <w:tabs>
        <w:tab w:val="left" w:pos="2880"/>
      </w:tabs>
      <w:spacing w:after="120"/>
      <w:outlineLvl w:val="3"/>
    </w:pPr>
    <w:rPr>
      <w:b/>
    </w:rPr>
  </w:style>
  <w:style w:type="paragraph" w:styleId="Heading5">
    <w:name w:val="heading 5"/>
    <w:basedOn w:val="Normal"/>
    <w:next w:val="ParaNum"/>
    <w:qFormat/>
    <w:rsid w:val="00092856"/>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92856"/>
    <w:pPr>
      <w:numPr>
        <w:ilvl w:val="5"/>
        <w:numId w:val="3"/>
      </w:numPr>
      <w:tabs>
        <w:tab w:val="left" w:pos="4320"/>
      </w:tabs>
      <w:spacing w:after="120"/>
      <w:outlineLvl w:val="5"/>
    </w:pPr>
    <w:rPr>
      <w:b/>
    </w:rPr>
  </w:style>
  <w:style w:type="paragraph" w:styleId="Heading7">
    <w:name w:val="heading 7"/>
    <w:basedOn w:val="Normal"/>
    <w:next w:val="ParaNum"/>
    <w:qFormat/>
    <w:rsid w:val="00092856"/>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092856"/>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092856"/>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0928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2856"/>
  </w:style>
  <w:style w:type="paragraph" w:customStyle="1" w:styleId="ParaNum">
    <w:name w:val="ParaNum"/>
    <w:basedOn w:val="Normal"/>
    <w:link w:val="ParaNumChar"/>
    <w:rsid w:val="00092856"/>
    <w:pPr>
      <w:numPr>
        <w:numId w:val="2"/>
      </w:numPr>
      <w:tabs>
        <w:tab w:val="clear" w:pos="1080"/>
        <w:tab w:val="num" w:pos="1440"/>
      </w:tabs>
      <w:spacing w:after="120"/>
    </w:pPr>
  </w:style>
  <w:style w:type="paragraph" w:styleId="EndnoteText">
    <w:name w:val="endnote text"/>
    <w:basedOn w:val="Normal"/>
    <w:semiHidden/>
    <w:rsid w:val="00092856"/>
    <w:rPr>
      <w:sz w:val="20"/>
    </w:rPr>
  </w:style>
  <w:style w:type="character" w:styleId="EndnoteReference">
    <w:name w:val="endnote reference"/>
    <w:semiHidden/>
    <w:rsid w:val="00092856"/>
    <w:rPr>
      <w:vertAlign w:val="superscript"/>
    </w:rPr>
  </w:style>
  <w:style w:type="paragraph" w:styleId="FootnoteText">
    <w:name w:val="footnote text"/>
    <w:aliases w:val="Footnote Text Char,Footnote Text Char1 Char,Footnote Text Char7 Char Char,Footnote Text Char4 Char1 Char Char,Footnote Text Char Char Char4 Char Char,Footnote Text Char7 Char Char Char Char Char,Footnote Text Char1,Footnote Text Char7 Char"/>
    <w:link w:val="FootnoteTextChar2"/>
    <w:rsid w:val="00092856"/>
    <w:pPr>
      <w:spacing w:after="120"/>
    </w:pPr>
  </w:style>
  <w:style w:type="character" w:styleId="FootnoteReference">
    <w:name w:val="footnote reference"/>
    <w:aliases w:val="Style 12,(NECG) Footnote Reference,Appel note de bas de p,Style 124,-E Funotenzeichen,A,FR,Footnote Reference/,Footnote Reference1,Style 13,Style 17,Style 20,Style 3,Style 34,Style 4,Style 6,Style 7,Style 9,callout,fr,o,Ref,Style 1"/>
    <w:rsid w:val="00092856"/>
    <w:rPr>
      <w:rFonts w:ascii="Times New Roman" w:hAnsi="Times New Roman"/>
      <w:dstrike w:val="0"/>
      <w:color w:val="auto"/>
      <w:sz w:val="20"/>
      <w:vertAlign w:val="superscript"/>
    </w:rPr>
  </w:style>
  <w:style w:type="paragraph" w:styleId="TOC1">
    <w:name w:val="toc 1"/>
    <w:basedOn w:val="Normal"/>
    <w:next w:val="Normal"/>
    <w:semiHidden/>
    <w:rsid w:val="00092856"/>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092856"/>
    <w:pPr>
      <w:tabs>
        <w:tab w:val="left" w:pos="720"/>
        <w:tab w:val="right" w:leader="dot" w:pos="9360"/>
      </w:tabs>
      <w:suppressAutoHyphens/>
      <w:ind w:left="720" w:right="720" w:hanging="360"/>
    </w:pPr>
    <w:rPr>
      <w:noProof/>
    </w:rPr>
  </w:style>
  <w:style w:type="paragraph" w:styleId="TOC3">
    <w:name w:val="toc 3"/>
    <w:basedOn w:val="Normal"/>
    <w:next w:val="Normal"/>
    <w:semiHidden/>
    <w:rsid w:val="00092856"/>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092856"/>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092856"/>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092856"/>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092856"/>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092856"/>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092856"/>
    <w:pPr>
      <w:tabs>
        <w:tab w:val="left" w:pos="3240"/>
        <w:tab w:val="right" w:leader="dot" w:pos="9360"/>
      </w:tabs>
      <w:suppressAutoHyphens/>
      <w:ind w:left="3240" w:hanging="360"/>
    </w:pPr>
    <w:rPr>
      <w:noProof/>
    </w:rPr>
  </w:style>
  <w:style w:type="paragraph" w:styleId="TOAHeading">
    <w:name w:val="toa heading"/>
    <w:basedOn w:val="Normal"/>
    <w:next w:val="Normal"/>
    <w:semiHidden/>
    <w:rsid w:val="00092856"/>
    <w:pPr>
      <w:tabs>
        <w:tab w:val="right" w:pos="9360"/>
      </w:tabs>
      <w:suppressAutoHyphens/>
    </w:pPr>
  </w:style>
  <w:style w:type="character" w:customStyle="1" w:styleId="EquationCaption">
    <w:name w:val="_Equation Caption"/>
    <w:rsid w:val="00092856"/>
  </w:style>
  <w:style w:type="paragraph" w:styleId="Header">
    <w:name w:val="header"/>
    <w:basedOn w:val="Normal"/>
    <w:autoRedefine/>
    <w:rsid w:val="00092856"/>
    <w:pPr>
      <w:tabs>
        <w:tab w:val="center" w:pos="4680"/>
        <w:tab w:val="right" w:pos="9360"/>
      </w:tabs>
    </w:pPr>
    <w:rPr>
      <w:b/>
    </w:rPr>
  </w:style>
  <w:style w:type="paragraph" w:styleId="Footer">
    <w:name w:val="footer"/>
    <w:basedOn w:val="Normal"/>
    <w:link w:val="FooterChar"/>
    <w:uiPriority w:val="99"/>
    <w:rsid w:val="00092856"/>
    <w:pPr>
      <w:tabs>
        <w:tab w:val="center" w:pos="4320"/>
        <w:tab w:val="right" w:pos="8640"/>
      </w:tabs>
    </w:pPr>
  </w:style>
  <w:style w:type="character" w:styleId="PageNumber">
    <w:name w:val="page number"/>
    <w:basedOn w:val="DefaultParagraphFont"/>
    <w:rsid w:val="00092856"/>
  </w:style>
  <w:style w:type="paragraph" w:styleId="BlockText">
    <w:name w:val="Block Text"/>
    <w:basedOn w:val="Normal"/>
    <w:rsid w:val="00092856"/>
    <w:pPr>
      <w:spacing w:after="240"/>
      <w:ind w:left="1440" w:right="1440"/>
    </w:pPr>
  </w:style>
  <w:style w:type="paragraph" w:customStyle="1" w:styleId="Paratitle">
    <w:name w:val="Para title"/>
    <w:basedOn w:val="Normal"/>
    <w:rsid w:val="00092856"/>
    <w:pPr>
      <w:tabs>
        <w:tab w:val="center" w:pos="9270"/>
      </w:tabs>
      <w:spacing w:after="240"/>
    </w:pPr>
    <w:rPr>
      <w:spacing w:val="-2"/>
    </w:rPr>
  </w:style>
  <w:style w:type="paragraph" w:customStyle="1" w:styleId="Bullet">
    <w:name w:val="Bullet"/>
    <w:basedOn w:val="Normal"/>
    <w:rsid w:val="00092856"/>
    <w:pPr>
      <w:tabs>
        <w:tab w:val="left" w:pos="2160"/>
      </w:tabs>
      <w:spacing w:after="220"/>
      <w:ind w:left="2160" w:hanging="720"/>
    </w:pPr>
  </w:style>
  <w:style w:type="paragraph" w:customStyle="1" w:styleId="TableFormat">
    <w:name w:val="TableFormat"/>
    <w:basedOn w:val="Bullet"/>
    <w:rsid w:val="00092856"/>
    <w:pPr>
      <w:tabs>
        <w:tab w:val="clear" w:pos="2160"/>
        <w:tab w:val="left" w:pos="5040"/>
      </w:tabs>
      <w:ind w:left="5040" w:hanging="3600"/>
    </w:pPr>
  </w:style>
  <w:style w:type="paragraph" w:customStyle="1" w:styleId="TOCTitle">
    <w:name w:val="TOC Title"/>
    <w:basedOn w:val="Normal"/>
    <w:rsid w:val="00092856"/>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2856"/>
    <w:pPr>
      <w:jc w:val="center"/>
    </w:pPr>
    <w:rPr>
      <w:rFonts w:ascii="Times New Roman Bold" w:hAnsi="Times New Roman Bold"/>
      <w:b/>
      <w:bCs/>
      <w:caps/>
      <w:szCs w:val="22"/>
    </w:rPr>
  </w:style>
  <w:style w:type="character" w:styleId="Hyperlink">
    <w:name w:val="Hyperlink"/>
    <w:rsid w:val="00092856"/>
    <w:rPr>
      <w:color w:val="0000FF"/>
      <w:u w:val="single"/>
    </w:rPr>
  </w:style>
  <w:style w:type="character" w:customStyle="1" w:styleId="FooterChar">
    <w:name w:val="Footer Char"/>
    <w:link w:val="Footer"/>
    <w:uiPriority w:val="99"/>
    <w:rsid w:val="00092856"/>
    <w:rPr>
      <w:snapToGrid w:val="0"/>
      <w:kern w:val="28"/>
      <w:sz w:val="22"/>
    </w:rPr>
  </w:style>
  <w:style w:type="character" w:customStyle="1" w:styleId="FootnoteTextChar2">
    <w:name w:val="Footnote Text Char2"/>
    <w:aliases w:val="Footnote Text Char Char,Footnote Text Char1 Char Char,Footnote Text Char7 Char Char Char,Footnote Text Char4 Char1 Char Char Char,Footnote Text Char Char Char4 Char Char Char,Footnote Text Char7 Char Char Char Char Char Char"/>
    <w:link w:val="FootnoteText"/>
    <w:rsid w:val="009D144D"/>
  </w:style>
  <w:style w:type="character" w:customStyle="1" w:styleId="ParaNumChar">
    <w:name w:val="ParaNum Char"/>
    <w:link w:val="ParaNum"/>
    <w:locked/>
    <w:rsid w:val="009D144D"/>
    <w:rPr>
      <w:snapToGrid w:val="0"/>
      <w:kern w:val="28"/>
      <w:sz w:val="22"/>
    </w:rPr>
  </w:style>
  <w:style w:type="character" w:styleId="UnresolvedMention">
    <w:name w:val="Unresolved Mention"/>
    <w:uiPriority w:val="99"/>
    <w:semiHidden/>
    <w:unhideWhenUsed/>
    <w:rsid w:val="00CB211B"/>
    <w:rPr>
      <w:color w:val="605E5C"/>
      <w:shd w:val="clear" w:color="auto" w:fill="E1DFDD"/>
    </w:rPr>
  </w:style>
  <w:style w:type="character" w:customStyle="1" w:styleId="FootnoteTextChar3">
    <w:name w:val="Footnote Text Char3"/>
    <w:aliases w:val="Footnote Text Char4 Char1 Char Char Char Char Char"/>
    <w:basedOn w:val="DefaultParagraphFont"/>
    <w:rsid w:val="0013312C"/>
  </w:style>
  <w:style w:type="paragraph" w:styleId="Revision">
    <w:name w:val="Revision"/>
    <w:hidden/>
    <w:uiPriority w:val="99"/>
    <w:semiHidden/>
    <w:rsid w:val="00FD1C0D"/>
    <w:rPr>
      <w:snapToGrid w:val="0"/>
      <w:kern w:val="28"/>
      <w:sz w:val="22"/>
    </w:rPr>
  </w:style>
  <w:style w:type="character" w:styleId="CommentReference">
    <w:name w:val="annotation reference"/>
    <w:rsid w:val="00A43267"/>
    <w:rPr>
      <w:sz w:val="16"/>
      <w:szCs w:val="16"/>
    </w:rPr>
  </w:style>
  <w:style w:type="paragraph" w:styleId="CommentText">
    <w:name w:val="annotation text"/>
    <w:basedOn w:val="Normal"/>
    <w:link w:val="CommentTextChar"/>
    <w:rsid w:val="00A43267"/>
    <w:rPr>
      <w:sz w:val="20"/>
    </w:rPr>
  </w:style>
  <w:style w:type="character" w:customStyle="1" w:styleId="CommentTextChar">
    <w:name w:val="Comment Text Char"/>
    <w:link w:val="CommentText"/>
    <w:rsid w:val="00A43267"/>
    <w:rPr>
      <w:snapToGrid w:val="0"/>
      <w:kern w:val="28"/>
    </w:rPr>
  </w:style>
  <w:style w:type="paragraph" w:styleId="CommentSubject">
    <w:name w:val="annotation subject"/>
    <w:basedOn w:val="CommentText"/>
    <w:next w:val="CommentText"/>
    <w:link w:val="CommentSubjectChar"/>
    <w:rsid w:val="00A43267"/>
    <w:rPr>
      <w:b/>
      <w:bCs/>
    </w:rPr>
  </w:style>
  <w:style w:type="character" w:customStyle="1" w:styleId="CommentSubjectChar">
    <w:name w:val="Comment Subject Char"/>
    <w:link w:val="CommentSubject"/>
    <w:rsid w:val="00A43267"/>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hyperlink" Target="mailto:VideoCompliance@fcc.gov" TargetMode="External" /><Relationship Id="rId14" Type="http://schemas.openxmlformats.org/officeDocument/2006/relationships/hyperlink" Target="mailto:ARINQUIRIES@fcc.gov" TargetMode="External" /><Relationship Id="rId15" Type="http://schemas.openxmlformats.org/officeDocument/2006/relationships/hyperlink" Target="mailto:RROGWireFaxes@fcc.gov" TargetMode="External" /><Relationship Id="rId16" Type="http://schemas.openxmlformats.org/officeDocument/2006/relationships/hyperlink" Target="https://www.fcc.gov/licensing-databases/fees/wire-transfer" TargetMode="External" /><Relationship Id="rId17" Type="http://schemas.openxmlformats.org/officeDocument/2006/relationships/hyperlink" Target="https://apps.fcc.gov/cores/userLogin.do" TargetMode="External" /><Relationship Id="rId18" Type="http://schemas.openxmlformats.org/officeDocument/2006/relationships/hyperlink" Target="https://apps.fcc.gov/cores/paymentFrnLogin.do" TargetMode="Externa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ron@thevideohouse.com" TargetMode="External" /><Relationship Id="rId7" Type="http://schemas.openxmlformats.org/officeDocument/2006/relationships/hyperlink" Target="mailto:jstewart@wiley.law"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Forms/Form159/159.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