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 Generated by Aspose.Words for Java 24.11.0 -->
  <w:body>
    <w:p w:rsidR="00BA3BA8" w14:paraId="26D3CC56" w14:textId="77777777">
      <w:pPr>
        <w:jc w:val="right"/>
        <w:rPr>
          <w:sz w:val="24"/>
        </w:rPr>
      </w:pPr>
    </w:p>
    <w:p w:rsidR="00BA3BA8" w:rsidRPr="00441DCB" w14:paraId="2652BB09" w14:textId="1E074244">
      <w:pPr>
        <w:jc w:val="right"/>
        <w:rPr>
          <w:b/>
          <w:szCs w:val="22"/>
        </w:rPr>
      </w:pPr>
      <w:r>
        <w:rPr>
          <w:b/>
          <w:szCs w:val="22"/>
        </w:rPr>
        <w:t>DA 26-516</w:t>
      </w:r>
    </w:p>
    <w:p w:rsidR="00BA3BA8" w:rsidRPr="00441DCB" w14:paraId="4EDE2029" w14:textId="12647330">
      <w:pPr>
        <w:spacing w:before="60"/>
        <w:jc w:val="right"/>
        <w:rPr>
          <w:b/>
          <w:szCs w:val="22"/>
        </w:rPr>
      </w:pPr>
      <w:r w:rsidRPr="00441DCB">
        <w:rPr>
          <w:b/>
          <w:szCs w:val="22"/>
        </w:rPr>
        <w:t xml:space="preserve">Released:  </w:t>
      </w:r>
      <w:r w:rsidR="004C1D05">
        <w:rPr>
          <w:b/>
          <w:szCs w:val="22"/>
        </w:rPr>
        <w:t>May 22, 2026</w:t>
      </w:r>
    </w:p>
    <w:p w:rsidR="00BA3BA8" w14:paraId="3A84A135" w14:textId="77777777">
      <w:pPr>
        <w:jc w:val="right"/>
        <w:rPr>
          <w:sz w:val="24"/>
        </w:rPr>
      </w:pPr>
    </w:p>
    <w:p w:rsidR="00D97042" w:rsidRPr="008C7188" w:rsidP="00D97042" w14:paraId="0D293FB4" w14:textId="77777777">
      <w:pPr>
        <w:spacing w:after="240"/>
        <w:jc w:val="center"/>
        <w:rPr>
          <w:b/>
          <w:caps/>
          <w:szCs w:val="22"/>
        </w:rPr>
      </w:pPr>
      <w:r>
        <w:rPr>
          <w:b/>
          <w:caps/>
          <w:szCs w:val="22"/>
        </w:rPr>
        <w:t>TRS Fund administrator</w:t>
      </w:r>
      <w:r w:rsidRPr="008C7188">
        <w:rPr>
          <w:b/>
          <w:caps/>
          <w:szCs w:val="22"/>
        </w:rPr>
        <w:t xml:space="preserve"> Submits Payment Formulas and Funding Requirements for the Telecommunications Relay Services Fund</w:t>
      </w:r>
    </w:p>
    <w:p w:rsidR="00D97042" w:rsidRPr="008C7188" w:rsidP="00D97042" w14:paraId="027DA0E1" w14:textId="77777777">
      <w:pPr>
        <w:jc w:val="center"/>
        <w:rPr>
          <w:b/>
          <w:szCs w:val="22"/>
        </w:rPr>
      </w:pPr>
      <w:bookmarkStart w:id="0" w:name="TOChere"/>
      <w:r w:rsidRPr="008C7188">
        <w:rPr>
          <w:b/>
          <w:szCs w:val="22"/>
        </w:rPr>
        <w:t>CG Docket No. 03-123</w:t>
      </w:r>
    </w:p>
    <w:p w:rsidR="00BA3BA8" w14:paraId="28918BF7" w14:textId="77777777"/>
    <w:p w:rsidR="00D97042" w:rsidRPr="00CE1B54" w:rsidP="00D97042" w14:paraId="72B34D5C" w14:textId="0596FD9C">
      <w:pPr>
        <w:pStyle w:val="StyleBoldAfter6pt"/>
        <w:rPr>
          <w:szCs w:val="22"/>
        </w:rPr>
      </w:pPr>
      <w:r w:rsidRPr="00CE1B54">
        <w:rPr>
          <w:szCs w:val="22"/>
        </w:rPr>
        <w:t xml:space="preserve">Comments Due: </w:t>
      </w:r>
      <w:r w:rsidR="003105E8">
        <w:rPr>
          <w:szCs w:val="22"/>
        </w:rPr>
        <w:t>June 8, 2026</w:t>
      </w:r>
    </w:p>
    <w:p w:rsidR="00D97042" w:rsidRPr="00CE1B54" w:rsidP="00D97042" w14:paraId="63ABAFF7" w14:textId="1A5AE7F8">
      <w:pPr>
        <w:rPr>
          <w:b/>
          <w:bCs/>
          <w:szCs w:val="22"/>
        </w:rPr>
      </w:pPr>
      <w:r w:rsidRPr="00CE1B54">
        <w:rPr>
          <w:b/>
          <w:bCs/>
          <w:szCs w:val="22"/>
        </w:rPr>
        <w:t xml:space="preserve">Reply Comments Due: </w:t>
      </w:r>
      <w:r w:rsidR="003105E8">
        <w:rPr>
          <w:b/>
          <w:bCs/>
          <w:szCs w:val="22"/>
        </w:rPr>
        <w:t>June 16, 2026</w:t>
      </w:r>
    </w:p>
    <w:p w:rsidR="00BA3BA8" w14:paraId="4C8A8626" w14:textId="77777777"/>
    <w:p w:rsidR="00D97042" w:rsidRPr="000B4090" w:rsidP="00D97042" w14:paraId="79493D76" w14:textId="77777777">
      <w:pPr>
        <w:ind w:firstLine="720"/>
      </w:pPr>
      <w:r w:rsidRPr="0D33583A">
        <w:t xml:space="preserve">The Consumer and Governmental Affairs Bureau (Bureau) seeks comment on the Telecommunications Relay Services </w:t>
      </w:r>
      <w:r>
        <w:t xml:space="preserve">(TRS) </w:t>
      </w:r>
      <w:r w:rsidRPr="0D33583A">
        <w:t>Fund administrator’s proposed provider compensation formulas, funding requirements, and contribution factors for the period from July 1, 202</w:t>
      </w:r>
      <w:r>
        <w:t>6</w:t>
      </w:r>
      <w:r w:rsidRPr="0D33583A">
        <w:t>, through June 30, 202</w:t>
      </w:r>
      <w:r>
        <w:t xml:space="preserve">7 </w:t>
      </w:r>
      <w:r w:rsidRPr="0D33583A">
        <w:t>(202</w:t>
      </w:r>
      <w:r>
        <w:t>6</w:t>
      </w:r>
      <w:r w:rsidRPr="0D33583A">
        <w:t>-2</w:t>
      </w:r>
      <w:r>
        <w:t>7</w:t>
      </w:r>
      <w:r w:rsidRPr="0D33583A">
        <w:t xml:space="preserve"> Fund Year)</w:t>
      </w:r>
      <w:r w:rsidRPr="000B4090">
        <w:rPr>
          <w:szCs w:val="22"/>
        </w:rPr>
        <w:t>.</w:t>
      </w:r>
      <w:r>
        <w:rPr>
          <w:rStyle w:val="FootnoteReference"/>
        </w:rPr>
        <w:footnoteReference w:id="3"/>
      </w:r>
      <w:r w:rsidRPr="000B4090">
        <w:rPr>
          <w:szCs w:val="22"/>
        </w:rPr>
        <w:t xml:space="preserve">  </w:t>
      </w:r>
    </w:p>
    <w:p w:rsidR="00D97042" w:rsidRPr="003775EE" w:rsidP="00D97042" w14:paraId="09C7DA05" w14:textId="77777777">
      <w:pPr>
        <w:pStyle w:val="BodyText"/>
        <w:ind w:firstLine="0"/>
        <w:jc w:val="center"/>
        <w:rPr>
          <w:szCs w:val="22"/>
          <w:u w:val="single"/>
          <w:lang w:val="en-US"/>
        </w:rPr>
      </w:pPr>
      <w:r w:rsidRPr="000B4090">
        <w:rPr>
          <w:szCs w:val="22"/>
          <w:u w:val="single"/>
        </w:rPr>
        <w:t>TRS Using MARS Plan</w:t>
      </w:r>
    </w:p>
    <w:p w:rsidR="00D97042" w:rsidP="00D97042" w14:paraId="5303B8EC" w14:textId="06D6950A">
      <w:pPr>
        <w:spacing w:after="120"/>
        <w:ind w:firstLine="720"/>
        <w:rPr>
          <w:szCs w:val="22"/>
        </w:rPr>
      </w:pPr>
      <w:r w:rsidRPr="000B4090">
        <w:rPr>
          <w:szCs w:val="22"/>
        </w:rPr>
        <w:t xml:space="preserve">Rolka Loube </w:t>
      </w:r>
      <w:r>
        <w:rPr>
          <w:szCs w:val="22"/>
        </w:rPr>
        <w:t xml:space="preserve">Saltzer </w:t>
      </w:r>
      <w:r w:rsidRPr="000B4090">
        <w:rPr>
          <w:szCs w:val="22"/>
        </w:rPr>
        <w:t>Associates</w:t>
      </w:r>
      <w:r>
        <w:rPr>
          <w:szCs w:val="22"/>
        </w:rPr>
        <w:t>,</w:t>
      </w:r>
      <w:r w:rsidRPr="000B4090">
        <w:rPr>
          <w:szCs w:val="22"/>
        </w:rPr>
        <w:t xml:space="preserve"> LLC (Rolka Loube), the TRS Fund administrator, proposes per-minute compensation formulas for services subject to the Multi-</w:t>
      </w:r>
      <w:r w:rsidR="0044174C">
        <w:rPr>
          <w:szCs w:val="22"/>
        </w:rPr>
        <w:t>S</w:t>
      </w:r>
      <w:r w:rsidRPr="000B4090">
        <w:rPr>
          <w:szCs w:val="22"/>
        </w:rPr>
        <w:t>tate Average Rate Structure (MARS) plan methodology,</w:t>
      </w:r>
      <w:r>
        <w:rPr>
          <w:rStyle w:val="FootnoteReference"/>
          <w:szCs w:val="22"/>
        </w:rPr>
        <w:footnoteReference w:id="4"/>
      </w:r>
      <w:r w:rsidRPr="000B4090">
        <w:rPr>
          <w:szCs w:val="22"/>
        </w:rPr>
        <w:t xml:space="preserve"> as follows: </w:t>
      </w:r>
      <w:r w:rsidRPr="007F3D34">
        <w:rPr>
          <w:szCs w:val="22"/>
        </w:rPr>
        <w:t>$</w:t>
      </w:r>
      <w:r>
        <w:rPr>
          <w:szCs w:val="22"/>
        </w:rPr>
        <w:t>9.1713</w:t>
      </w:r>
      <w:r w:rsidRPr="000B4090">
        <w:rPr>
          <w:szCs w:val="22"/>
        </w:rPr>
        <w:t xml:space="preserve"> for interstate traditional TRS; </w:t>
      </w:r>
      <w:r w:rsidRPr="006027E2">
        <w:rPr>
          <w:szCs w:val="22"/>
        </w:rPr>
        <w:t>$</w:t>
      </w:r>
      <w:r>
        <w:rPr>
          <w:szCs w:val="22"/>
        </w:rPr>
        <w:t>10.3023</w:t>
      </w:r>
      <w:r w:rsidRPr="000B4090">
        <w:rPr>
          <w:szCs w:val="22"/>
        </w:rPr>
        <w:t xml:space="preserve"> for interstate speech-to-speech relay service (STS); and </w:t>
      </w:r>
      <w:r w:rsidRPr="006027E2">
        <w:rPr>
          <w:szCs w:val="22"/>
        </w:rPr>
        <w:t>$</w:t>
      </w:r>
      <w:r>
        <w:rPr>
          <w:szCs w:val="22"/>
        </w:rPr>
        <w:t>3.3885</w:t>
      </w:r>
      <w:r w:rsidRPr="000B4090">
        <w:rPr>
          <w:szCs w:val="22"/>
        </w:rPr>
        <w:t xml:space="preserve"> for interstate captioned telephone service (CTS).</w:t>
      </w:r>
      <w:r>
        <w:rPr>
          <w:rStyle w:val="FootnoteReference"/>
          <w:szCs w:val="22"/>
        </w:rPr>
        <w:footnoteReference w:id="5"/>
      </w:r>
      <w:r w:rsidRPr="000B4090">
        <w:rPr>
          <w:szCs w:val="22"/>
        </w:rPr>
        <w:t xml:space="preserve">  We seek comment on whether these proposed formulas correctly apply the MARS </w:t>
      </w:r>
      <w:r>
        <w:rPr>
          <w:szCs w:val="22"/>
        </w:rPr>
        <w:t>plan methodology</w:t>
      </w:r>
      <w:r w:rsidRPr="000B4090">
        <w:rPr>
          <w:szCs w:val="22"/>
        </w:rPr>
        <w:t>.</w:t>
      </w:r>
    </w:p>
    <w:p w:rsidR="00D97042" w:rsidP="00D97042" w14:paraId="50DA1E09" w14:textId="77777777">
      <w:pPr>
        <w:spacing w:after="120"/>
        <w:jc w:val="center"/>
        <w:rPr>
          <w:szCs w:val="22"/>
          <w:u w:val="single"/>
        </w:rPr>
      </w:pPr>
      <w:r>
        <w:rPr>
          <w:szCs w:val="22"/>
          <w:u w:val="single"/>
        </w:rPr>
        <w:t>Internet Protocol Relay Service (IP Relay)</w:t>
      </w:r>
    </w:p>
    <w:p w:rsidR="00D97042" w:rsidRPr="00BF4210" w:rsidP="00D97042" w14:paraId="5ABF131D" w14:textId="79D91F99">
      <w:pPr>
        <w:widowControl/>
        <w:autoSpaceDE w:val="0"/>
        <w:autoSpaceDN w:val="0"/>
        <w:adjustRightInd w:val="0"/>
        <w:spacing w:after="120"/>
        <w:ind w:firstLine="720"/>
      </w:pPr>
      <w:r w:rsidRPr="6611CE7E">
        <w:t xml:space="preserve">Pursuant to the </w:t>
      </w:r>
      <w:r w:rsidRPr="6611CE7E">
        <w:rPr>
          <w:i/>
          <w:iCs/>
        </w:rPr>
        <w:t>2022 IP Relay Compensation Order</w:t>
      </w:r>
      <w:r>
        <w:rPr>
          <w:bCs/>
          <w:szCs w:val="22"/>
        </w:rPr>
        <w:t>,</w:t>
      </w:r>
      <w:r>
        <w:rPr>
          <w:rStyle w:val="FootnoteReference"/>
        </w:rPr>
        <w:footnoteReference w:id="6"/>
      </w:r>
      <w:r w:rsidRPr="6611CE7E">
        <w:t xml:space="preserve"> Rolka Loube proposes a compensation rate of $2.</w:t>
      </w:r>
      <w:r>
        <w:t>2710</w:t>
      </w:r>
      <w:r w:rsidRPr="6611CE7E">
        <w:t xml:space="preserve"> per minute, calculated as 103</w:t>
      </w:r>
      <w:r w:rsidRPr="00F66BA2">
        <w:rPr>
          <w:bCs/>
          <w:szCs w:val="22"/>
        </w:rPr>
        <w:t>.</w:t>
      </w:r>
      <w:r w:rsidRPr="6611CE7E">
        <w:t>3</w:t>
      </w:r>
      <w:r>
        <w:t>7</w:t>
      </w:r>
      <w:r w:rsidRPr="6611CE7E">
        <w:t>% of the prior Fund year’s</w:t>
      </w:r>
      <w:r>
        <w:rPr>
          <w:bCs/>
          <w:szCs w:val="22"/>
        </w:rPr>
        <w:t xml:space="preserve"> </w:t>
      </w:r>
      <w:r w:rsidRPr="6611CE7E">
        <w:t>rate ($</w:t>
      </w:r>
      <w:r>
        <w:t>2.1970</w:t>
      </w:r>
      <w:r>
        <w:rPr>
          <w:bCs/>
          <w:szCs w:val="22"/>
        </w:rPr>
        <w:t>)</w:t>
      </w:r>
      <w:r w:rsidRPr="00F66BA2">
        <w:rPr>
          <w:bCs/>
          <w:szCs w:val="22"/>
        </w:rPr>
        <w:t>.</w:t>
      </w:r>
      <w:r>
        <w:rPr>
          <w:rStyle w:val="FootnoteReference"/>
        </w:rPr>
        <w:footnoteReference w:id="7"/>
      </w:r>
      <w:r w:rsidRPr="6611CE7E">
        <w:t xml:space="preserve">  We seek comment on whether the proposal correctly applies the </w:t>
      </w:r>
      <w:r w:rsidRPr="6611CE7E">
        <w:rPr>
          <w:i/>
          <w:iCs/>
        </w:rPr>
        <w:t>2022 IP Relay Compensation Order</w:t>
      </w:r>
      <w:r>
        <w:rPr>
          <w:bCs/>
          <w:szCs w:val="22"/>
        </w:rPr>
        <w:t>.</w:t>
      </w:r>
      <w:r w:rsidR="007E102A">
        <w:rPr>
          <w:bCs/>
          <w:szCs w:val="22"/>
        </w:rPr>
        <w:t xml:space="preserve">  We acknowledge that </w:t>
      </w:r>
      <w:r w:rsidR="003B31D6">
        <w:rPr>
          <w:bCs/>
          <w:szCs w:val="22"/>
        </w:rPr>
        <w:t xml:space="preserve">the TRS Fund compensation </w:t>
      </w:r>
      <w:r w:rsidR="00684CF2">
        <w:rPr>
          <w:bCs/>
          <w:szCs w:val="22"/>
        </w:rPr>
        <w:t xml:space="preserve">for the provision of IP </w:t>
      </w:r>
      <w:r w:rsidR="003D7B79">
        <w:rPr>
          <w:bCs/>
          <w:szCs w:val="22"/>
        </w:rPr>
        <w:t>Relay</w:t>
      </w:r>
      <w:r w:rsidR="00684CF2">
        <w:rPr>
          <w:bCs/>
          <w:szCs w:val="22"/>
        </w:rPr>
        <w:t xml:space="preserve"> described </w:t>
      </w:r>
      <w:r w:rsidR="003D7B79">
        <w:rPr>
          <w:bCs/>
          <w:szCs w:val="22"/>
        </w:rPr>
        <w:t xml:space="preserve">in the </w:t>
      </w:r>
      <w:r w:rsidR="003D7B79">
        <w:rPr>
          <w:bCs/>
          <w:i/>
          <w:iCs/>
          <w:szCs w:val="22"/>
        </w:rPr>
        <w:t>2022 IP Relay Compensation Order</w:t>
      </w:r>
      <w:r w:rsidR="003D7B79">
        <w:rPr>
          <w:bCs/>
          <w:szCs w:val="22"/>
        </w:rPr>
        <w:t xml:space="preserve"> </w:t>
      </w:r>
      <w:r w:rsidR="00F36C59">
        <w:rPr>
          <w:bCs/>
          <w:szCs w:val="22"/>
        </w:rPr>
        <w:t>is</w:t>
      </w:r>
      <w:r w:rsidR="003D7B79">
        <w:rPr>
          <w:bCs/>
          <w:szCs w:val="22"/>
        </w:rPr>
        <w:t xml:space="preserve"> for the period ending June 30, 2026</w:t>
      </w:r>
      <w:r w:rsidR="00E471AB">
        <w:rPr>
          <w:bCs/>
          <w:szCs w:val="22"/>
        </w:rPr>
        <w:t xml:space="preserve">.  </w:t>
      </w:r>
      <w:r w:rsidR="00EC7E3E">
        <w:rPr>
          <w:bCs/>
          <w:szCs w:val="22"/>
        </w:rPr>
        <w:t>While separate action of the</w:t>
      </w:r>
      <w:r w:rsidR="00E471AB">
        <w:rPr>
          <w:bCs/>
          <w:szCs w:val="22"/>
        </w:rPr>
        <w:t xml:space="preserve"> </w:t>
      </w:r>
      <w:r w:rsidR="00F36C59">
        <w:rPr>
          <w:bCs/>
          <w:szCs w:val="22"/>
        </w:rPr>
        <w:t xml:space="preserve">Federal Communications </w:t>
      </w:r>
      <w:r w:rsidR="00E471AB">
        <w:rPr>
          <w:bCs/>
          <w:szCs w:val="22"/>
        </w:rPr>
        <w:t>Commission</w:t>
      </w:r>
      <w:r w:rsidR="00EC7E3E">
        <w:rPr>
          <w:bCs/>
          <w:szCs w:val="22"/>
        </w:rPr>
        <w:t xml:space="preserve"> or the Bureau may be necessary </w:t>
      </w:r>
      <w:r w:rsidR="00650791">
        <w:rPr>
          <w:bCs/>
          <w:szCs w:val="22"/>
        </w:rPr>
        <w:t xml:space="preserve">to set IP Relay compensation for the 2026-27 TRS Fund year, </w:t>
      </w:r>
      <w:r w:rsidR="00E471AB">
        <w:rPr>
          <w:bCs/>
          <w:szCs w:val="22"/>
        </w:rPr>
        <w:t>we believe it</w:t>
      </w:r>
      <w:r w:rsidR="009C1C2B">
        <w:rPr>
          <w:bCs/>
          <w:szCs w:val="22"/>
        </w:rPr>
        <w:t xml:space="preserve"> is reasonable for Rolka Loube to propose a compensation</w:t>
      </w:r>
      <w:r w:rsidR="00B06032">
        <w:rPr>
          <w:bCs/>
          <w:szCs w:val="22"/>
        </w:rPr>
        <w:t xml:space="preserve"> rate based on the existing </w:t>
      </w:r>
      <w:r w:rsidR="002D5F5A">
        <w:rPr>
          <w:bCs/>
          <w:szCs w:val="22"/>
        </w:rPr>
        <w:t xml:space="preserve">IP Relay compensation </w:t>
      </w:r>
      <w:r w:rsidR="00B06032">
        <w:rPr>
          <w:bCs/>
          <w:szCs w:val="22"/>
        </w:rPr>
        <w:t>plan</w:t>
      </w:r>
      <w:r w:rsidR="002D5F5A">
        <w:rPr>
          <w:bCs/>
          <w:szCs w:val="22"/>
        </w:rPr>
        <w:t xml:space="preserve"> and seek comment o</w:t>
      </w:r>
      <w:r w:rsidR="00E629F1">
        <w:rPr>
          <w:bCs/>
          <w:szCs w:val="22"/>
        </w:rPr>
        <w:t xml:space="preserve">n its proposal. </w:t>
      </w:r>
      <w:r>
        <w:rPr>
          <w:bCs/>
          <w:szCs w:val="22"/>
        </w:rPr>
        <w:t xml:space="preserve"> </w:t>
      </w:r>
    </w:p>
    <w:p w:rsidR="00D97042" w:rsidRPr="000B4090" w:rsidP="00D97042" w14:paraId="6F4D2330" w14:textId="77777777">
      <w:pPr>
        <w:pStyle w:val="BodyText"/>
        <w:ind w:firstLine="0"/>
        <w:jc w:val="center"/>
        <w:rPr>
          <w:szCs w:val="22"/>
          <w:u w:val="single"/>
          <w:lang w:val="en-US"/>
        </w:rPr>
      </w:pPr>
      <w:r w:rsidRPr="000B4090">
        <w:rPr>
          <w:szCs w:val="22"/>
          <w:u w:val="single"/>
        </w:rPr>
        <w:t>V</w:t>
      </w:r>
      <w:r>
        <w:rPr>
          <w:szCs w:val="22"/>
          <w:u w:val="single"/>
        </w:rPr>
        <w:t>ideo Relay Service (VRS)</w:t>
      </w:r>
    </w:p>
    <w:p w:rsidR="00D97042" w:rsidP="00D97042" w14:paraId="7D4BD89A" w14:textId="77777777">
      <w:pPr>
        <w:widowControl/>
        <w:autoSpaceDE w:val="0"/>
        <w:autoSpaceDN w:val="0"/>
        <w:adjustRightInd w:val="0"/>
        <w:spacing w:after="120"/>
        <w:ind w:firstLine="720"/>
      </w:pPr>
      <w:r w:rsidRPr="6611CE7E">
        <w:t xml:space="preserve">Pursuant to the </w:t>
      </w:r>
      <w:r w:rsidRPr="6611CE7E">
        <w:rPr>
          <w:i/>
          <w:iCs/>
        </w:rPr>
        <w:t>2023 VRS Compensation Order</w:t>
      </w:r>
      <w:r>
        <w:rPr>
          <w:bCs/>
          <w:szCs w:val="22"/>
        </w:rPr>
        <w:t>,</w:t>
      </w:r>
      <w:r>
        <w:rPr>
          <w:rStyle w:val="FootnoteReference"/>
        </w:rPr>
        <w:footnoteReference w:id="8"/>
      </w:r>
      <w:r w:rsidRPr="6611CE7E">
        <w:t xml:space="preserve"> Rolka Loube proposes the following per-minute compensation rates: $8.</w:t>
      </w:r>
      <w:r>
        <w:t>61</w:t>
      </w:r>
      <w:r w:rsidRPr="6611CE7E">
        <w:t xml:space="preserve"> for small providers, who provide 1 million monthly minutes or fewer; $</w:t>
      </w:r>
      <w:r>
        <w:t>6.96</w:t>
      </w:r>
      <w:r w:rsidRPr="6611CE7E">
        <w:t xml:space="preserve"> for Tier 1, applicable to a provider’s first 1 million monthly minutes; $4.</w:t>
      </w:r>
      <w:r>
        <w:t>35</w:t>
      </w:r>
      <w:r w:rsidRPr="6611CE7E">
        <w:t xml:space="preserve"> for Tier II, applicable to a provider’s monthly minutes in excess of 1 million; and a $0.2</w:t>
      </w:r>
      <w:r>
        <w:t>2</w:t>
      </w:r>
      <w:r w:rsidRPr="6611CE7E">
        <w:t xml:space="preserve"> additive rate for Video-Text service.</w:t>
      </w:r>
      <w:r>
        <w:rPr>
          <w:rStyle w:val="FootnoteReference"/>
        </w:rPr>
        <w:footnoteReference w:id="9"/>
      </w:r>
      <w:r w:rsidRPr="6611CE7E">
        <w:t xml:space="preserve">  We seek comment on whether the proposal correctly applies the </w:t>
      </w:r>
      <w:r w:rsidRPr="6611CE7E">
        <w:rPr>
          <w:i/>
          <w:iCs/>
        </w:rPr>
        <w:t>2023 VRS Compensation Order</w:t>
      </w:r>
      <w:r>
        <w:rPr>
          <w:bCs/>
          <w:szCs w:val="22"/>
        </w:rPr>
        <w:t xml:space="preserve">. </w:t>
      </w:r>
    </w:p>
    <w:p w:rsidR="00D97042" w:rsidRPr="00BF4210" w:rsidP="00D97042" w14:paraId="61C18900" w14:textId="77777777">
      <w:pPr>
        <w:widowControl/>
        <w:autoSpaceDE w:val="0"/>
        <w:autoSpaceDN w:val="0"/>
        <w:adjustRightInd w:val="0"/>
        <w:spacing w:after="120"/>
        <w:jc w:val="center"/>
        <w:rPr>
          <w:bCs/>
          <w:szCs w:val="22"/>
        </w:rPr>
      </w:pPr>
      <w:r>
        <w:rPr>
          <w:u w:val="single"/>
        </w:rPr>
        <w:t>Internet Protocol Captioned Telephone Service (IP CTS)</w:t>
      </w:r>
    </w:p>
    <w:p w:rsidR="00D97042" w:rsidRPr="000B4090" w:rsidP="00D97042" w14:paraId="58B1A4FB" w14:textId="77777777">
      <w:pPr>
        <w:widowControl/>
        <w:autoSpaceDE w:val="0"/>
        <w:autoSpaceDN w:val="0"/>
        <w:adjustRightInd w:val="0"/>
        <w:spacing w:after="120"/>
        <w:ind w:firstLine="720"/>
      </w:pPr>
      <w:r w:rsidRPr="00BF6D0C">
        <w:t xml:space="preserve">Pursuant to the </w:t>
      </w:r>
      <w:r w:rsidRPr="6611CE7E">
        <w:rPr>
          <w:i/>
          <w:iCs/>
        </w:rPr>
        <w:t>2024 IP CTS Compensation Order</w:t>
      </w:r>
      <w:r w:rsidRPr="00BF6D0C">
        <w:t>,</w:t>
      </w:r>
      <w:r>
        <w:rPr>
          <w:rStyle w:val="FootnoteReference"/>
        </w:rPr>
        <w:footnoteReference w:id="10"/>
      </w:r>
      <w:r w:rsidRPr="00BF6D0C">
        <w:t xml:space="preserve"> Rolka Loube proposes </w:t>
      </w:r>
      <w:r>
        <w:t xml:space="preserve">per-minute </w:t>
      </w:r>
      <w:r w:rsidRPr="00BF6D0C">
        <w:t xml:space="preserve">compensation </w:t>
      </w:r>
      <w:r>
        <w:t xml:space="preserve">rates </w:t>
      </w:r>
      <w:r w:rsidRPr="00BF6D0C">
        <w:t>of $</w:t>
      </w:r>
      <w:r>
        <w:t>0.95</w:t>
      </w:r>
      <w:r w:rsidRPr="00BF6D0C">
        <w:t xml:space="preserve"> for service</w:t>
      </w:r>
      <w:r>
        <w:t xml:space="preserve"> using only automatic speech technology,</w:t>
      </w:r>
      <w:r>
        <w:rPr>
          <w:rStyle w:val="FootnoteReference"/>
        </w:rPr>
        <w:footnoteReference w:id="11"/>
      </w:r>
      <w:r>
        <w:t xml:space="preserve"> </w:t>
      </w:r>
      <w:r w:rsidRPr="00BF6D0C">
        <w:t>$1.4</w:t>
      </w:r>
      <w:r>
        <w:t>5</w:t>
      </w:r>
      <w:r w:rsidRPr="00BF6D0C">
        <w:t xml:space="preserve"> for service</w:t>
      </w:r>
      <w:r>
        <w:t xml:space="preserve"> using a communications assistant (CA)</w:t>
      </w:r>
      <w:r w:rsidRPr="00BF6D0C">
        <w:t xml:space="preserve">, </w:t>
      </w:r>
      <w:r>
        <w:t xml:space="preserve">and </w:t>
      </w:r>
      <w:r w:rsidRPr="00BF6D0C">
        <w:t xml:space="preserve">a supplemental </w:t>
      </w:r>
      <w:r>
        <w:t xml:space="preserve">rate </w:t>
      </w:r>
      <w:r w:rsidRPr="00BF6D0C">
        <w:t>of $0.2</w:t>
      </w:r>
      <w:r>
        <w:t>3</w:t>
      </w:r>
      <w:r w:rsidRPr="00BF6D0C">
        <w:t xml:space="preserve"> </w:t>
      </w:r>
      <w:r>
        <w:t xml:space="preserve">for CA-assisted service </w:t>
      </w:r>
      <w:r w:rsidRPr="00BF6D0C">
        <w:t>when the CA is paid a threshold amount</w:t>
      </w:r>
      <w:r>
        <w:t>.</w:t>
      </w:r>
      <w:r>
        <w:rPr>
          <w:rStyle w:val="FootnoteReference"/>
        </w:rPr>
        <w:footnoteReference w:id="12"/>
      </w:r>
      <w:r w:rsidRPr="00BF6D0C">
        <w:t xml:space="preserve"> </w:t>
      </w:r>
      <w:r>
        <w:t xml:space="preserve"> This threshold amount is adjusted annually, and based on the information provided in the report, the threshold amount for the </w:t>
      </w:r>
      <w:r w:rsidRPr="0045370C">
        <w:t>202</w:t>
      </w:r>
      <w:r>
        <w:t>6</w:t>
      </w:r>
      <w:r w:rsidRPr="0045370C">
        <w:t>-2</w:t>
      </w:r>
      <w:r>
        <w:t>7</w:t>
      </w:r>
      <w:r w:rsidRPr="0045370C">
        <w:t xml:space="preserve"> Fund Year </w:t>
      </w:r>
      <w:r>
        <w:t>would be $18.38.</w:t>
      </w:r>
      <w:r>
        <w:rPr>
          <w:rStyle w:val="FootnoteReference"/>
        </w:rPr>
        <w:footnoteReference w:id="13"/>
      </w:r>
      <w:r>
        <w:t xml:space="preserve">  </w:t>
      </w:r>
      <w:r w:rsidRPr="00BF6D0C">
        <w:t xml:space="preserve">We seek comment on whether the proposal correctly applies the </w:t>
      </w:r>
      <w:r w:rsidRPr="6611CE7E">
        <w:rPr>
          <w:i/>
          <w:iCs/>
        </w:rPr>
        <w:t>2024 IP CTS Compensation Order</w:t>
      </w:r>
      <w:r w:rsidRPr="00BF6D0C">
        <w:t>.</w:t>
      </w:r>
    </w:p>
    <w:p w:rsidR="00D97042" w:rsidRPr="000B4090" w:rsidP="00D97042" w14:paraId="3213252C" w14:textId="77777777">
      <w:pPr>
        <w:pStyle w:val="BodyText"/>
        <w:ind w:firstLine="0"/>
        <w:jc w:val="center"/>
        <w:rPr>
          <w:szCs w:val="22"/>
          <w:u w:val="single"/>
          <w:lang w:val="en-US"/>
        </w:rPr>
      </w:pPr>
      <w:r w:rsidRPr="000B4090">
        <w:rPr>
          <w:szCs w:val="22"/>
          <w:u w:val="single"/>
        </w:rPr>
        <w:t>Funding Requirement and Contribution Factor</w:t>
      </w:r>
      <w:r w:rsidRPr="000B4090">
        <w:rPr>
          <w:szCs w:val="22"/>
          <w:u w:val="single"/>
          <w:lang w:val="en-US"/>
        </w:rPr>
        <w:t>s</w:t>
      </w:r>
    </w:p>
    <w:p w:rsidR="00D97042" w:rsidRPr="000B4090" w:rsidP="00D97042" w14:paraId="2385E9B8" w14:textId="77777777">
      <w:pPr>
        <w:spacing w:after="120"/>
        <w:ind w:firstLine="720"/>
        <w:rPr>
          <w:szCs w:val="22"/>
        </w:rPr>
      </w:pPr>
      <w:r w:rsidRPr="000B4090">
        <w:rPr>
          <w:szCs w:val="22"/>
        </w:rPr>
        <w:t>Comment is invited on Rolka Loube’s demand projections and funding requirements for the various relay services supported by the Fund.</w:t>
      </w:r>
      <w:r>
        <w:rPr>
          <w:rStyle w:val="FootnoteReference"/>
          <w:szCs w:val="22"/>
        </w:rPr>
        <w:footnoteReference w:id="14"/>
      </w:r>
    </w:p>
    <w:p w:rsidR="00D97042" w:rsidRPr="000B4090" w:rsidP="00D97042" w14:paraId="6363FE6D" w14:textId="77777777">
      <w:pPr>
        <w:widowControl/>
        <w:spacing w:after="120"/>
        <w:ind w:firstLine="720"/>
      </w:pPr>
      <w:r w:rsidRPr="05ED6A30">
        <w:t>We seek comment on Rolka Loube’s estimates and proposals for disbursements under the National Deaf-Blind Equipment Distribution Program ($10,000,000) and for funding to cover TRS research and administration ($3</w:t>
      </w:r>
      <w:r w:rsidR="009E6142">
        <w:t>1,001,144</w:t>
      </w:r>
      <w:r w:rsidRPr="004E11A1">
        <w:rPr>
          <w:szCs w:val="22"/>
        </w:rPr>
        <w:t>)</w:t>
      </w:r>
      <w:r w:rsidRPr="05ED6A30">
        <w:t>, including allowances for research and number administration contracts; data collection, validation, and maintenance;</w:t>
      </w:r>
      <w:r w:rsidRPr="000B4090">
        <w:rPr>
          <w:szCs w:val="22"/>
        </w:rPr>
        <w:t xml:space="preserve"> </w:t>
      </w:r>
      <w:r w:rsidRPr="05ED6A30">
        <w:t>Fund administration and the TRS Fund Advisory Council</w:t>
      </w:r>
      <w:r>
        <w:rPr>
          <w:szCs w:val="22"/>
        </w:rPr>
        <w:t>;</w:t>
      </w:r>
      <w:r w:rsidRPr="05ED6A30">
        <w:t xml:space="preserve"> service provider audits</w:t>
      </w:r>
      <w:r>
        <w:rPr>
          <w:szCs w:val="22"/>
        </w:rPr>
        <w:t>;</w:t>
      </w:r>
      <w:r w:rsidRPr="05ED6A30">
        <w:t xml:space="preserve"> an independent financial audit of the Fund; an information security audit; and various reporting obligations</w:t>
      </w:r>
      <w:r w:rsidRPr="000B4090">
        <w:rPr>
          <w:szCs w:val="22"/>
        </w:rPr>
        <w:t>.</w:t>
      </w:r>
      <w:r>
        <w:rPr>
          <w:rStyle w:val="FootnoteReference"/>
        </w:rPr>
        <w:footnoteReference w:id="15"/>
      </w:r>
      <w:r w:rsidRPr="05ED6A30">
        <w:t xml:space="preserve">  In addition, we seek comment on Rolka Loube’s </w:t>
      </w:r>
      <w:r w:rsidRPr="000B4090">
        <w:rPr>
          <w:szCs w:val="22"/>
        </w:rPr>
        <w:t xml:space="preserve">proposal </w:t>
      </w:r>
      <w:r w:rsidRPr="05ED6A30">
        <w:t>to include a two-month payment reserve, totaling $2</w:t>
      </w:r>
      <w:r w:rsidR="00C32710">
        <w:t>71,875,909</w:t>
      </w:r>
      <w:r w:rsidRPr="05ED6A30">
        <w:t>, in the overall funding requirement for the coming year.</w:t>
      </w:r>
      <w:r>
        <w:rPr>
          <w:rStyle w:val="FootnoteReference"/>
        </w:rPr>
        <w:footnoteReference w:id="16"/>
      </w:r>
    </w:p>
    <w:p w:rsidR="00D97042" w:rsidP="00D97042" w14:paraId="0E24797C" w14:textId="77777777">
      <w:pPr>
        <w:widowControl/>
        <w:spacing w:after="120"/>
        <w:ind w:firstLine="720"/>
        <w:rPr>
          <w:szCs w:val="22"/>
        </w:rPr>
      </w:pPr>
      <w:r w:rsidRPr="000B4090">
        <w:rPr>
          <w:szCs w:val="22"/>
        </w:rPr>
        <w:t xml:space="preserve"> Rolka Loube proposes a </w:t>
      </w:r>
      <w:r>
        <w:rPr>
          <w:szCs w:val="22"/>
        </w:rPr>
        <w:t xml:space="preserve">total </w:t>
      </w:r>
      <w:r w:rsidRPr="000B4090">
        <w:rPr>
          <w:szCs w:val="22"/>
        </w:rPr>
        <w:t xml:space="preserve">Fund requirement of </w:t>
      </w:r>
      <w:r w:rsidRPr="00F12671">
        <w:rPr>
          <w:szCs w:val="22"/>
        </w:rPr>
        <w:t>$</w:t>
      </w:r>
      <w:r>
        <w:rPr>
          <w:szCs w:val="22"/>
        </w:rPr>
        <w:t>1,</w:t>
      </w:r>
      <w:r w:rsidR="00C32710">
        <w:rPr>
          <w:szCs w:val="22"/>
        </w:rPr>
        <w:t>827,809,551</w:t>
      </w:r>
      <w:r>
        <w:rPr>
          <w:szCs w:val="22"/>
        </w:rPr>
        <w:t xml:space="preserve"> </w:t>
      </w:r>
      <w:r w:rsidRPr="000B4090">
        <w:rPr>
          <w:szCs w:val="22"/>
        </w:rPr>
        <w:t>for the 202</w:t>
      </w:r>
      <w:r w:rsidR="00C32710">
        <w:rPr>
          <w:szCs w:val="22"/>
        </w:rPr>
        <w:t>6</w:t>
      </w:r>
      <w:r w:rsidRPr="000B4090">
        <w:rPr>
          <w:szCs w:val="22"/>
        </w:rPr>
        <w:t>-2</w:t>
      </w:r>
      <w:r w:rsidR="00C32710">
        <w:rPr>
          <w:szCs w:val="22"/>
        </w:rPr>
        <w:t>7</w:t>
      </w:r>
      <w:r w:rsidRPr="000B4090">
        <w:rPr>
          <w:szCs w:val="22"/>
        </w:rPr>
        <w:t xml:space="preserve"> Fund Year.</w:t>
      </w:r>
      <w:r>
        <w:rPr>
          <w:rStyle w:val="FootnoteReference"/>
          <w:szCs w:val="22"/>
        </w:rPr>
        <w:footnoteReference w:id="17"/>
      </w:r>
      <w:r w:rsidRPr="000B4090">
        <w:rPr>
          <w:szCs w:val="22"/>
        </w:rPr>
        <w:t xml:space="preserve">  Rolka Loube anticipates that there will be a </w:t>
      </w:r>
      <w:r>
        <w:rPr>
          <w:szCs w:val="22"/>
        </w:rPr>
        <w:t>carryover Fund balance</w:t>
      </w:r>
      <w:r w:rsidRPr="000B4090">
        <w:rPr>
          <w:szCs w:val="22"/>
        </w:rPr>
        <w:t xml:space="preserve"> of approximately </w:t>
      </w:r>
      <w:r w:rsidRPr="000B7C6E">
        <w:rPr>
          <w:szCs w:val="22"/>
        </w:rPr>
        <w:t>$</w:t>
      </w:r>
      <w:r>
        <w:rPr>
          <w:szCs w:val="22"/>
        </w:rPr>
        <w:t>2</w:t>
      </w:r>
      <w:r w:rsidR="00C32710">
        <w:rPr>
          <w:szCs w:val="22"/>
        </w:rPr>
        <w:t>9</w:t>
      </w:r>
      <w:r>
        <w:rPr>
          <w:szCs w:val="22"/>
        </w:rPr>
        <w:t xml:space="preserve">0,000,000 for the </w:t>
      </w:r>
      <w:r w:rsidRPr="00527916">
        <w:rPr>
          <w:szCs w:val="22"/>
        </w:rPr>
        <w:t>202</w:t>
      </w:r>
      <w:r w:rsidR="00C32710">
        <w:rPr>
          <w:szCs w:val="22"/>
        </w:rPr>
        <w:t>5</w:t>
      </w:r>
      <w:r w:rsidRPr="00527916">
        <w:rPr>
          <w:szCs w:val="22"/>
        </w:rPr>
        <w:t>-2</w:t>
      </w:r>
      <w:r w:rsidR="00C32710">
        <w:rPr>
          <w:szCs w:val="22"/>
        </w:rPr>
        <w:t>6</w:t>
      </w:r>
      <w:r>
        <w:rPr>
          <w:szCs w:val="22"/>
        </w:rPr>
        <w:t xml:space="preserve"> Fund Year.</w:t>
      </w:r>
      <w:r>
        <w:rPr>
          <w:rStyle w:val="FootnoteReference"/>
          <w:szCs w:val="22"/>
        </w:rPr>
        <w:footnoteReference w:id="18"/>
      </w:r>
      <w:r w:rsidRPr="000B4090">
        <w:rPr>
          <w:szCs w:val="22"/>
        </w:rPr>
        <w:t xml:space="preserve"> </w:t>
      </w:r>
      <w:r>
        <w:rPr>
          <w:szCs w:val="22"/>
        </w:rPr>
        <w:t xml:space="preserve"> D</w:t>
      </w:r>
      <w:r w:rsidRPr="000B4090">
        <w:rPr>
          <w:szCs w:val="22"/>
        </w:rPr>
        <w:t>educt</w:t>
      </w:r>
      <w:r>
        <w:rPr>
          <w:szCs w:val="22"/>
        </w:rPr>
        <w:t>ing last year’s surplus</w:t>
      </w:r>
      <w:r w:rsidRPr="000B4090">
        <w:rPr>
          <w:szCs w:val="22"/>
        </w:rPr>
        <w:t xml:space="preserve"> from the </w:t>
      </w:r>
      <w:r>
        <w:rPr>
          <w:szCs w:val="22"/>
        </w:rPr>
        <w:t xml:space="preserve">total Fund </w:t>
      </w:r>
      <w:r w:rsidRPr="000B4090">
        <w:rPr>
          <w:szCs w:val="22"/>
        </w:rPr>
        <w:t>requirement</w:t>
      </w:r>
      <w:r>
        <w:rPr>
          <w:szCs w:val="22"/>
        </w:rPr>
        <w:t>,</w:t>
      </w:r>
      <w:r w:rsidRPr="000B4090">
        <w:rPr>
          <w:szCs w:val="22"/>
        </w:rPr>
        <w:t xml:space="preserve"> </w:t>
      </w:r>
      <w:r>
        <w:rPr>
          <w:szCs w:val="22"/>
        </w:rPr>
        <w:t xml:space="preserve">Rolka Loube </w:t>
      </w:r>
      <w:r w:rsidRPr="000B4090">
        <w:rPr>
          <w:szCs w:val="22"/>
        </w:rPr>
        <w:t xml:space="preserve">proposes a net </w:t>
      </w:r>
      <w:r>
        <w:rPr>
          <w:szCs w:val="22"/>
        </w:rPr>
        <w:t>F</w:t>
      </w:r>
      <w:r w:rsidRPr="000B4090">
        <w:rPr>
          <w:szCs w:val="22"/>
        </w:rPr>
        <w:t xml:space="preserve">und requirement of </w:t>
      </w:r>
      <w:r w:rsidRPr="000B55A8">
        <w:rPr>
          <w:szCs w:val="22"/>
        </w:rPr>
        <w:t>$</w:t>
      </w:r>
      <w:r w:rsidR="00C32710">
        <w:rPr>
          <w:szCs w:val="22"/>
        </w:rPr>
        <w:t>1,577,910,696</w:t>
      </w:r>
      <w:r w:rsidRPr="000B4090">
        <w:rPr>
          <w:szCs w:val="22"/>
        </w:rPr>
        <w:t>.</w:t>
      </w:r>
      <w:r>
        <w:rPr>
          <w:rStyle w:val="FootnoteReference"/>
          <w:szCs w:val="22"/>
        </w:rPr>
        <w:footnoteReference w:id="19"/>
      </w:r>
      <w:r w:rsidRPr="000B4090">
        <w:rPr>
          <w:szCs w:val="22"/>
        </w:rPr>
        <w:t xml:space="preserve"> </w:t>
      </w:r>
    </w:p>
    <w:p w:rsidR="00D97042" w:rsidRPr="000B4090" w:rsidP="00D97042" w14:paraId="28555461" w14:textId="77777777">
      <w:pPr>
        <w:widowControl/>
        <w:spacing w:after="120"/>
        <w:ind w:firstLine="720"/>
        <w:rPr>
          <w:szCs w:val="22"/>
        </w:rPr>
      </w:pPr>
      <w:r>
        <w:rPr>
          <w:szCs w:val="22"/>
        </w:rPr>
        <w:t>The TRS rules provide that contributions to support all IP-based relay services are determined based on Fund contributors’ interstate and intrastate end-user revenues.</w:t>
      </w:r>
      <w:r>
        <w:rPr>
          <w:rStyle w:val="FootnoteReference"/>
          <w:szCs w:val="22"/>
        </w:rPr>
        <w:footnoteReference w:id="20"/>
      </w:r>
      <w:r>
        <w:rPr>
          <w:szCs w:val="22"/>
        </w:rPr>
        <w:t xml:space="preserve">  </w:t>
      </w:r>
      <w:r w:rsidRPr="000B4090">
        <w:rPr>
          <w:szCs w:val="22"/>
        </w:rPr>
        <w:t xml:space="preserve">Rolka Loube </w:t>
      </w:r>
      <w:r>
        <w:rPr>
          <w:szCs w:val="22"/>
        </w:rPr>
        <w:t xml:space="preserve">estimates </w:t>
      </w:r>
      <w:r w:rsidRPr="000B4090">
        <w:rPr>
          <w:szCs w:val="22"/>
        </w:rPr>
        <w:t xml:space="preserve">a contribution factor of </w:t>
      </w:r>
      <w:r>
        <w:rPr>
          <w:szCs w:val="22"/>
        </w:rPr>
        <w:t>0.02</w:t>
      </w:r>
      <w:r w:rsidR="00C32710">
        <w:rPr>
          <w:szCs w:val="22"/>
        </w:rPr>
        <w:t>337</w:t>
      </w:r>
      <w:r>
        <w:rPr>
          <w:szCs w:val="22"/>
        </w:rPr>
        <w:t xml:space="preserve"> for support of IP-based relay services</w:t>
      </w:r>
      <w:r w:rsidRPr="000B4090">
        <w:rPr>
          <w:szCs w:val="22"/>
        </w:rPr>
        <w:t xml:space="preserve">, to be applied to contributors’ interstate </w:t>
      </w:r>
      <w:r>
        <w:rPr>
          <w:szCs w:val="22"/>
        </w:rPr>
        <w:t xml:space="preserve">and intrastate </w:t>
      </w:r>
      <w:r w:rsidRPr="000B4090">
        <w:rPr>
          <w:szCs w:val="22"/>
        </w:rPr>
        <w:t>end-user revenues</w:t>
      </w:r>
      <w:r>
        <w:rPr>
          <w:szCs w:val="22"/>
        </w:rPr>
        <w:t xml:space="preserve">, and </w:t>
      </w:r>
      <w:r w:rsidRPr="000B4090">
        <w:rPr>
          <w:szCs w:val="22"/>
        </w:rPr>
        <w:t xml:space="preserve">a contribution factor of </w:t>
      </w:r>
      <w:r w:rsidRPr="00CF28A3">
        <w:rPr>
          <w:szCs w:val="22"/>
        </w:rPr>
        <w:t>0.</w:t>
      </w:r>
      <w:r>
        <w:rPr>
          <w:szCs w:val="22"/>
        </w:rPr>
        <w:t>0002</w:t>
      </w:r>
      <w:r w:rsidR="00C32710">
        <w:rPr>
          <w:szCs w:val="22"/>
        </w:rPr>
        <w:t>1</w:t>
      </w:r>
      <w:r>
        <w:rPr>
          <w:szCs w:val="22"/>
        </w:rPr>
        <w:t xml:space="preserve"> for support of other relay services, to be applied </w:t>
      </w:r>
      <w:r w:rsidRPr="00E9753B">
        <w:rPr>
          <w:szCs w:val="22"/>
        </w:rPr>
        <w:t>to contributors’ interstate end-user revenues</w:t>
      </w:r>
      <w:r w:rsidRPr="000B4090">
        <w:rPr>
          <w:szCs w:val="22"/>
        </w:rPr>
        <w:t>.</w:t>
      </w:r>
      <w:r>
        <w:rPr>
          <w:rStyle w:val="FootnoteReference"/>
          <w:szCs w:val="22"/>
        </w:rPr>
        <w:footnoteReference w:id="21"/>
      </w:r>
      <w:r w:rsidRPr="000B4090">
        <w:rPr>
          <w:szCs w:val="22"/>
        </w:rPr>
        <w:t xml:space="preserve">  </w:t>
      </w:r>
      <w:r>
        <w:rPr>
          <w:szCs w:val="22"/>
        </w:rPr>
        <w:t xml:space="preserve">We </w:t>
      </w:r>
      <w:r w:rsidRPr="000B4090">
        <w:rPr>
          <w:szCs w:val="22"/>
        </w:rPr>
        <w:t xml:space="preserve">seek comment on the proposed contribution factors. </w:t>
      </w:r>
    </w:p>
    <w:p w:rsidR="00D97042" w:rsidRPr="000B4090" w:rsidP="00D97042" w14:paraId="6C92C7E8" w14:textId="77777777">
      <w:pPr>
        <w:widowControl/>
        <w:spacing w:after="120"/>
        <w:ind w:firstLine="720"/>
        <w:rPr>
          <w:szCs w:val="22"/>
        </w:rPr>
      </w:pPr>
      <w:r w:rsidRPr="000B4090">
        <w:rPr>
          <w:i/>
          <w:szCs w:val="22"/>
        </w:rPr>
        <w:t xml:space="preserve">Filing Requirements.  </w:t>
      </w:r>
      <w:r w:rsidRPr="000B4090">
        <w:rPr>
          <w:szCs w:val="22"/>
        </w:rPr>
        <w:t>Interested parties may file comments on the 202</w:t>
      </w:r>
      <w:r w:rsidR="00C32710">
        <w:rPr>
          <w:szCs w:val="22"/>
        </w:rPr>
        <w:t>6</w:t>
      </w:r>
      <w:r w:rsidRPr="000B4090">
        <w:rPr>
          <w:szCs w:val="22"/>
        </w:rPr>
        <w:t xml:space="preserve"> TRS Report on or before the date indicated on the first page of this document.</w:t>
      </w:r>
      <w:r>
        <w:rPr>
          <w:rStyle w:val="FootnoteReference"/>
          <w:szCs w:val="22"/>
        </w:rPr>
        <w:footnoteReference w:id="22"/>
      </w:r>
      <w:r w:rsidRPr="000B4090">
        <w:rPr>
          <w:szCs w:val="22"/>
        </w:rPr>
        <w:t xml:space="preserve">  </w:t>
      </w:r>
      <w:r w:rsidRPr="000B4090">
        <w:rPr>
          <w:iCs/>
          <w:szCs w:val="22"/>
        </w:rPr>
        <w:t xml:space="preserve">All filings must reference CG Docket No. 03-123.  </w:t>
      </w:r>
      <w:r w:rsidRPr="000B4090">
        <w:rPr>
          <w:szCs w:val="22"/>
        </w:rPr>
        <w:t>Comments may be filed using the Commission’s Electronic Comment Filing System (ECFS).</w:t>
      </w:r>
      <w:r>
        <w:rPr>
          <w:rStyle w:val="FootnoteReference"/>
          <w:szCs w:val="22"/>
        </w:rPr>
        <w:footnoteReference w:id="23"/>
      </w:r>
      <w:r w:rsidRPr="000B4090">
        <w:rPr>
          <w:szCs w:val="22"/>
        </w:rPr>
        <w:t xml:space="preserve">  </w:t>
      </w:r>
    </w:p>
    <w:p w:rsidR="00D97042" w:rsidRPr="000E451F" w:rsidP="00D97042" w14:paraId="560BF1BC" w14:textId="77777777">
      <w:pPr>
        <w:widowControl/>
        <w:numPr>
          <w:ilvl w:val="0"/>
          <w:numId w:val="7"/>
        </w:numPr>
        <w:spacing w:after="120"/>
        <w:ind w:left="1080"/>
        <w:rPr>
          <w:szCs w:val="22"/>
        </w:rPr>
      </w:pPr>
      <w:r w:rsidRPr="000E451F">
        <w:rPr>
          <w:szCs w:val="22"/>
        </w:rPr>
        <w:t xml:space="preserve">Electronic Filers:  Comments may be filed electronically using the Internet by accessing the ECFS:  </w:t>
      </w:r>
      <w:hyperlink r:id="rId6" w:history="1">
        <w:r w:rsidRPr="000E451F">
          <w:rPr>
            <w:color w:val="0000FF"/>
            <w:szCs w:val="22"/>
            <w:u w:val="single"/>
          </w:rPr>
          <w:t>https://www.fcc.gov/ecfs/filings</w:t>
        </w:r>
      </w:hyperlink>
      <w:r w:rsidRPr="000E451F">
        <w:rPr>
          <w:szCs w:val="22"/>
        </w:rPr>
        <w:t xml:space="preserve">.  </w:t>
      </w:r>
    </w:p>
    <w:p w:rsidR="00D97042" w:rsidRPr="000E451F" w:rsidP="00D97042" w14:paraId="2345AD37" w14:textId="77777777">
      <w:pPr>
        <w:widowControl/>
        <w:numPr>
          <w:ilvl w:val="0"/>
          <w:numId w:val="7"/>
        </w:numPr>
        <w:spacing w:after="120"/>
        <w:ind w:left="1080"/>
        <w:rPr>
          <w:szCs w:val="22"/>
        </w:rPr>
      </w:pPr>
      <w:r w:rsidRPr="000E451F">
        <w:rPr>
          <w:szCs w:val="22"/>
        </w:rPr>
        <w:t>Paper Filers:</w:t>
      </w:r>
      <w:r>
        <w:rPr>
          <w:szCs w:val="22"/>
        </w:rPr>
        <w:t xml:space="preserve">  </w:t>
      </w:r>
      <w:r w:rsidRPr="000E451F">
        <w:rPr>
          <w:szCs w:val="22"/>
        </w:rPr>
        <w:t xml:space="preserve">Parties who choose to file by paper must file an original and one copy of each filing.    </w:t>
      </w:r>
    </w:p>
    <w:p w:rsidR="00D97042" w:rsidRPr="0068664F" w:rsidP="00D97042" w14:paraId="4312CA62" w14:textId="77777777">
      <w:pPr>
        <w:widowControl/>
        <w:numPr>
          <w:ilvl w:val="1"/>
          <w:numId w:val="9"/>
        </w:numPr>
        <w:spacing w:after="120"/>
        <w:rPr>
          <w:szCs w:val="22"/>
        </w:rPr>
      </w:pPr>
      <w:r w:rsidRPr="0068664F">
        <w:rPr>
          <w:szCs w:val="22"/>
        </w:rPr>
        <w:t>Filings can be sent by hand or messenger delivery, by commercial overnight courier, or by U.S. Postal Service.  All filings must be addressed to the Secretary, Federal Communications Commission.</w:t>
      </w:r>
    </w:p>
    <w:p w:rsidR="00D97042" w:rsidP="00D97042" w14:paraId="42EADC4E" w14:textId="77777777">
      <w:pPr>
        <w:widowControl/>
        <w:numPr>
          <w:ilvl w:val="1"/>
          <w:numId w:val="10"/>
        </w:numPr>
        <w:spacing w:after="120"/>
        <w:rPr>
          <w:szCs w:val="22"/>
        </w:rPr>
      </w:pPr>
      <w:r w:rsidRPr="002A54D4">
        <w:rPr>
          <w:szCs w:val="22"/>
        </w:rPr>
        <w:t>Hand-delivered or messenger-delivered paper filings for the Commission’s Secretary are accepted between 8:00 a.m. and 4:00 p.m. by the FCC’s mailing contractor at 9050 Junction Drive, Annapolis Junction, MD 20701.  All hand deliveries must be held together with rubber bands or fasteners.  Any envelopes and boxes must be disposed of before entering the building.</w:t>
      </w:r>
      <w:r>
        <w:rPr>
          <w:szCs w:val="22"/>
        </w:rPr>
        <w:t xml:space="preserve"> </w:t>
      </w:r>
    </w:p>
    <w:p w:rsidR="00D97042" w:rsidP="00D97042" w14:paraId="471279D9" w14:textId="77777777">
      <w:pPr>
        <w:widowControl/>
        <w:numPr>
          <w:ilvl w:val="1"/>
          <w:numId w:val="10"/>
        </w:numPr>
        <w:spacing w:after="120"/>
        <w:rPr>
          <w:szCs w:val="22"/>
        </w:rPr>
      </w:pPr>
      <w:r w:rsidRPr="000E451F">
        <w:rPr>
          <w:szCs w:val="22"/>
        </w:rPr>
        <w:t>Commercial courier deliveries (</w:t>
      </w:r>
      <w:r>
        <w:rPr>
          <w:szCs w:val="22"/>
        </w:rPr>
        <w:t>any deliveries not by the U.S. Postal Service</w:t>
      </w:r>
      <w:r w:rsidRPr="000E451F">
        <w:rPr>
          <w:szCs w:val="22"/>
        </w:rPr>
        <w:t>) must be sent to 9050 Junction Drive, Annapolis Junction, MD 20701.</w:t>
      </w:r>
      <w:r>
        <w:rPr>
          <w:szCs w:val="22"/>
        </w:rPr>
        <w:t xml:space="preserve">  </w:t>
      </w:r>
    </w:p>
    <w:p w:rsidR="00D97042" w:rsidRPr="000E451F" w:rsidP="00D97042" w14:paraId="2AD947AF" w14:textId="77777777">
      <w:pPr>
        <w:widowControl/>
        <w:numPr>
          <w:ilvl w:val="1"/>
          <w:numId w:val="10"/>
        </w:numPr>
        <w:spacing w:after="120"/>
        <w:rPr>
          <w:szCs w:val="22"/>
        </w:rPr>
      </w:pPr>
      <w:r w:rsidRPr="000E451F">
        <w:rPr>
          <w:szCs w:val="22"/>
        </w:rPr>
        <w:t>Filings sent by U.S. Postal Service First-Class Mail, Priority Mail, and Priority Mail Express may be addressed to 45 L Street, NE, Washington, DC 20554.</w:t>
      </w:r>
    </w:p>
    <w:p w:rsidR="00D97042" w:rsidRPr="000E451F" w:rsidP="009D28D7" w14:paraId="6C9FD3D9" w14:textId="77777777">
      <w:pPr>
        <w:spacing w:after="120"/>
        <w:ind w:firstLine="720"/>
        <w:rPr>
          <w:rFonts w:eastAsia="Calibri"/>
        </w:rPr>
      </w:pPr>
      <w:r w:rsidRPr="000E451F">
        <w:rPr>
          <w:rFonts w:eastAsia="Calibri"/>
          <w:i/>
          <w:iCs/>
        </w:rPr>
        <w:t>Ex Parte Rules.</w:t>
      </w:r>
      <w:r w:rsidRPr="000E451F">
        <w:rPr>
          <w:rFonts w:eastAsia="Calibri"/>
        </w:rPr>
        <w:t xml:space="preserve">  The proceeding this Public Notice initiates shall be treated as a “permit-but-disclose” proceeding in accordance with the Commission’s </w:t>
      </w:r>
      <w:r w:rsidRPr="00F30B47">
        <w:rPr>
          <w:rFonts w:eastAsia="Calibri"/>
          <w:i/>
          <w:iCs/>
        </w:rPr>
        <w:t>ex parte</w:t>
      </w:r>
      <w:r w:rsidRPr="000E451F">
        <w:rPr>
          <w:rFonts w:eastAsia="Calibri"/>
        </w:rPr>
        <w:t xml:space="preserve"> rules.</w:t>
      </w:r>
      <w:r>
        <w:rPr>
          <w:rStyle w:val="FootnoteReference"/>
          <w:rFonts w:eastAsia="Calibri"/>
          <w:szCs w:val="22"/>
        </w:rPr>
        <w:footnoteReference w:id="24"/>
      </w:r>
      <w:r w:rsidRPr="000E451F">
        <w:rPr>
          <w:rFonts w:eastAsia="Calibri"/>
        </w:rPr>
        <w:t xml:space="preserve">  Persons making </w:t>
      </w:r>
      <w:r w:rsidRPr="00F30B47">
        <w:rPr>
          <w:rFonts w:eastAsia="Calibri"/>
          <w:i/>
          <w:iCs/>
        </w:rPr>
        <w:t>ex parte</w:t>
      </w:r>
      <w:r w:rsidRPr="000E451F">
        <w:rPr>
          <w:rFonts w:eastAsia="Calibri"/>
        </w:rPr>
        <w:t xml:space="preserve"> presentations must file a copy of any written presentation or a memorandum summarizing any oral presentation within two business days after the presentation (unless a different deadline applicable to the Sunshine period applies).  Persons making oral </w:t>
      </w:r>
      <w:r w:rsidRPr="00F30B47">
        <w:rPr>
          <w:rFonts w:eastAsia="Calibri"/>
          <w:i/>
          <w:iCs/>
        </w:rPr>
        <w:t>ex parte</w:t>
      </w:r>
      <w:r w:rsidRPr="000E451F">
        <w:rPr>
          <w:rFonts w:eastAsia="Calibri"/>
        </w:rPr>
        <w:t xml:space="preserve"> presentations are reminded that memoranda summarizing the presentation must (1) list all persons attending or otherwise participating in the meeting at which the </w:t>
      </w:r>
      <w:r w:rsidRPr="00F30B47">
        <w:rPr>
          <w:rFonts w:eastAsia="Calibri"/>
          <w:i/>
          <w:iCs/>
        </w:rPr>
        <w:t>ex parte</w:t>
      </w:r>
      <w:r w:rsidRPr="000E451F">
        <w:rPr>
          <w:rFonts w:eastAsia="Calibri"/>
        </w:rPr>
        <w:t xml:space="preserve"> presentation was made, and (2) summarize all data presented and arguments made during the presentation.  If the presentation consisted in whole or in part of the presentation of data or arguments already reflected in the presenter’s written comments, memoranda or other filings in the proceeding, the presenter may provide citations to such data or arguments in his or her prior comments, memoranda, or other filings (specifying the relevant page and/or paragraph numbers where such data or arguments can be found) in lieu of summarizing them in the memorandum.  Documents shown or given to Commission staff during </w:t>
      </w:r>
      <w:r w:rsidRPr="00F30B47">
        <w:rPr>
          <w:rFonts w:eastAsia="Calibri"/>
          <w:i/>
          <w:iCs/>
        </w:rPr>
        <w:t>ex parte</w:t>
      </w:r>
      <w:r w:rsidRPr="000E451F">
        <w:rPr>
          <w:rFonts w:eastAsia="Calibri"/>
        </w:rPr>
        <w:t xml:space="preserve"> meetings are deemed to be written </w:t>
      </w:r>
      <w:r w:rsidRPr="00F30B47">
        <w:rPr>
          <w:rFonts w:eastAsia="Calibri"/>
          <w:i/>
          <w:iCs/>
        </w:rPr>
        <w:t>ex parte</w:t>
      </w:r>
      <w:r w:rsidRPr="000E451F">
        <w:rPr>
          <w:rFonts w:eastAsia="Calibri"/>
        </w:rPr>
        <w:t xml:space="preserve"> presentations and must be filed consistent with section 1.1206(b).  In proceedings governed by section 1.49(f) or for which the Commission has made available a method of electronic filing, written </w:t>
      </w:r>
      <w:r w:rsidRPr="00F30B47">
        <w:rPr>
          <w:rFonts w:eastAsia="Calibri"/>
          <w:i/>
          <w:iCs/>
        </w:rPr>
        <w:t>ex parte</w:t>
      </w:r>
      <w:r w:rsidRPr="000E451F">
        <w:rPr>
          <w:rFonts w:eastAsia="Calibri"/>
        </w:rPr>
        <w:t xml:space="preserve"> presentations and memoranda summarizing oral </w:t>
      </w:r>
      <w:r w:rsidRPr="00F30B47">
        <w:rPr>
          <w:rFonts w:eastAsia="Calibri"/>
          <w:i/>
          <w:iCs/>
        </w:rPr>
        <w:t>ex parte</w:t>
      </w:r>
      <w:r w:rsidRPr="000E451F">
        <w:rPr>
          <w:rFonts w:eastAsia="Calibri"/>
        </w:rPr>
        <w:t xml:space="preserve"> presentations, and all attachments thereto, must be filed through the electronic comment filing system available for that proceeding, and must be filed in their native format (e.g., .doc, .xml, .ppt, searchable .pdf).  Participants in this proceeding should familiarize themselves with the Commission’s </w:t>
      </w:r>
      <w:r w:rsidRPr="00F30B47">
        <w:rPr>
          <w:rFonts w:eastAsia="Calibri"/>
          <w:i/>
          <w:iCs/>
        </w:rPr>
        <w:t>ex parte</w:t>
      </w:r>
      <w:r w:rsidRPr="000E451F">
        <w:rPr>
          <w:rFonts w:eastAsia="Calibri"/>
        </w:rPr>
        <w:t xml:space="preserve"> rules.</w:t>
      </w:r>
    </w:p>
    <w:p w:rsidR="00D97042" w:rsidRPr="000B4090" w:rsidP="00D97042" w14:paraId="4A8F0C6A" w14:textId="77777777">
      <w:pPr>
        <w:spacing w:after="120"/>
        <w:ind w:firstLine="720"/>
        <w:rPr>
          <w:szCs w:val="22"/>
        </w:rPr>
      </w:pPr>
      <w:r w:rsidRPr="000B4090">
        <w:rPr>
          <w:i/>
          <w:iCs/>
          <w:szCs w:val="22"/>
        </w:rPr>
        <w:t xml:space="preserve">Accessible Materials.  </w:t>
      </w:r>
      <w:r w:rsidRPr="000B4090">
        <w:rPr>
          <w:szCs w:val="22"/>
        </w:rPr>
        <w:t xml:space="preserve">To request materials in accessible formats for people with disabilities (Braille, large print, electronic files, audio format), send an e-mail to </w:t>
      </w:r>
      <w:hyperlink r:id="rId7" w:history="1">
        <w:r w:rsidRPr="00840253">
          <w:rPr>
            <w:rStyle w:val="Hyperlink"/>
            <w:szCs w:val="22"/>
          </w:rPr>
          <w:t>fcc504@fcc.gov</w:t>
        </w:r>
      </w:hyperlink>
      <w:r w:rsidRPr="000B4090">
        <w:rPr>
          <w:szCs w:val="22"/>
        </w:rPr>
        <w:t xml:space="preserve"> or call the Consumer and Governmental Affairs Bureau at (202) 418-0530 (voice).</w:t>
      </w:r>
    </w:p>
    <w:p w:rsidR="00D97042" w:rsidP="00D97042" w14:paraId="6CDC1D97" w14:textId="77777777">
      <w:pPr>
        <w:spacing w:after="120"/>
        <w:ind w:firstLine="720"/>
        <w:rPr>
          <w:szCs w:val="22"/>
        </w:rPr>
      </w:pPr>
      <w:r w:rsidRPr="000B4090">
        <w:rPr>
          <w:szCs w:val="22"/>
        </w:rPr>
        <w:t xml:space="preserve">For further information, please contact </w:t>
      </w:r>
      <w:r>
        <w:rPr>
          <w:szCs w:val="22"/>
        </w:rPr>
        <w:t>Stephen Wang</w:t>
      </w:r>
      <w:r w:rsidRPr="000B4090">
        <w:rPr>
          <w:szCs w:val="22"/>
        </w:rPr>
        <w:t xml:space="preserve"> at (202) 418-</w:t>
      </w:r>
      <w:r>
        <w:rPr>
          <w:szCs w:val="22"/>
        </w:rPr>
        <w:t>1634</w:t>
      </w:r>
      <w:r w:rsidRPr="000B4090">
        <w:rPr>
          <w:szCs w:val="22"/>
        </w:rPr>
        <w:t xml:space="preserve"> or by e-mail at</w:t>
      </w:r>
      <w:r>
        <w:rPr>
          <w:szCs w:val="22"/>
        </w:rPr>
        <w:t xml:space="preserve"> </w:t>
      </w:r>
      <w:hyperlink r:id="rId8" w:history="1">
        <w:r w:rsidRPr="00C94E5C">
          <w:rPr>
            <w:rStyle w:val="Hyperlink"/>
          </w:rPr>
          <w:t>Stephen.Wang@fcc.gov</w:t>
        </w:r>
      </w:hyperlink>
      <w:r w:rsidRPr="000B4090">
        <w:rPr>
          <w:szCs w:val="22"/>
        </w:rPr>
        <w:t>.</w:t>
      </w:r>
      <w:r>
        <w:rPr>
          <w:szCs w:val="22"/>
        </w:rPr>
        <w:t xml:space="preserve"> </w:t>
      </w:r>
      <w:r w:rsidRPr="000B4090">
        <w:rPr>
          <w:szCs w:val="22"/>
        </w:rPr>
        <w:t xml:space="preserve"> </w:t>
      </w:r>
    </w:p>
    <w:p w:rsidR="00D97042" w:rsidRPr="000B4090" w:rsidP="00D97042" w14:paraId="536816F3" w14:textId="77777777">
      <w:pPr>
        <w:spacing w:after="120"/>
        <w:ind w:firstLine="720"/>
        <w:rPr>
          <w:b/>
          <w:szCs w:val="22"/>
        </w:rPr>
      </w:pPr>
    </w:p>
    <w:p w:rsidR="00D97042" w:rsidRPr="000B4090" w:rsidP="00D97042" w14:paraId="5B455419" w14:textId="77777777">
      <w:pPr>
        <w:spacing w:after="120"/>
        <w:jc w:val="center"/>
        <w:rPr>
          <w:szCs w:val="22"/>
        </w:rPr>
      </w:pPr>
      <w:r w:rsidRPr="000B4090">
        <w:rPr>
          <w:b/>
          <w:szCs w:val="22"/>
        </w:rPr>
        <w:t>-FCC-</w:t>
      </w:r>
    </w:p>
    <w:p w:rsidR="00BA3BA8" w14:paraId="0DB82B89" w14:textId="77777777"/>
    <w:bookmarkEnd w:id="0"/>
    <w:p w:rsidR="00BA3BA8" w14:paraId="6D6AE22F" w14:textId="77777777"/>
    <w:sectPr>
      <w:headerReference w:type="default" r:id="rId9"/>
      <w:footerReference w:type="even" r:id="rId10"/>
      <w:footerReference w:type="default" r:id="rId11"/>
      <w:headerReference w:type="first" r:id="rId12"/>
      <w:footerReference w:type="first" r:id="rId13"/>
      <w:endnotePr>
        <w:numFmt w:val="decimal"/>
      </w:endnotePr>
      <w:pgSz w:w="12240" w:h="15840"/>
      <w:pgMar w:top="1440" w:right="1440" w:bottom="720" w:left="1440" w:header="630" w:footer="720" w:gutter="0"/>
      <w:pgNumType w:start="1"/>
      <w:cols w:space="720"/>
      <w:noEndnote/>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endnote w:type="separator" w:id="0">
    <w:p w:rsidR="0055244B" w14:paraId="43E5B8C5" w14:textId="77777777">
      <w:pPr>
        <w:spacing w:line="20" w:lineRule="exact"/>
      </w:pPr>
    </w:p>
  </w:endnote>
  <w:endnote w:type="continuationSeparator" w:id="1">
    <w:p w:rsidR="0055244B" w14:paraId="730FCB1D" w14:textId="77777777">
      <w:r>
        <w:t xml:space="preserve"> </w:t>
      </w:r>
    </w:p>
  </w:endnote>
  <w:endnote w:type="continuationNotice" w:id="2">
    <w:p w:rsidR="0055244B" w14:paraId="79DC9331" w14:textId="77777777">
      <w:r>
        <w:t xml:space="preserve"> </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Bold">
    <w:panose1 w:val="00000000000000000000"/>
    <w:charset w:val="00"/>
    <w:family w:val="roman"/>
    <w:notTrueType/>
    <w:pitch w:val="default"/>
    <w:sig w:usb0="00000003" w:usb1="00000000" w:usb2="00000000" w:usb3="00000000" w:csb0="00000001"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ptos Display">
    <w:panose1 w:val="00000000000000000000"/>
    <w:charset w:val="00"/>
    <w:family w:val="roman"/>
    <w:notTrueType/>
    <w:pitch w:val="default"/>
  </w:font>
  <w:font w:name="Aptos">
    <w:panose1 w:val="00000000000000000000"/>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BA3BA8" w14:paraId="01CC9B0D" w14:textId="77777777">
    <w:pPr>
      <w:pStyle w:val="Footer"/>
      <w:framePr w:wrap="around" w:vAnchor="text" w:hAnchor="margin" w:xAlign="center" w:y="1"/>
    </w:pPr>
    <w:r>
      <w:fldChar w:fldCharType="begin"/>
    </w:r>
    <w:r>
      <w:instrText xml:space="preserve">PAGE  </w:instrText>
    </w:r>
    <w:r>
      <w:fldChar w:fldCharType="separate"/>
    </w:r>
    <w:r>
      <w:fldChar w:fldCharType="end"/>
    </w:r>
  </w:p>
  <w:p w:rsidR="00BA3BA8" w14:paraId="2164E9A9" w14:textId="7777777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BA3BA8" w14:paraId="30D11CC2" w14:textId="77777777">
    <w:pPr>
      <w:pStyle w:val="Footer"/>
      <w:jc w:val="center"/>
    </w:pPr>
    <w:r>
      <w:fldChar w:fldCharType="begin"/>
    </w:r>
    <w:r>
      <w:instrText xml:space="preserve"> PAGE   \* MERGEFORMAT </w:instrText>
    </w:r>
    <w:r>
      <w:fldChar w:fldCharType="separate"/>
    </w:r>
    <w:r>
      <w:rPr>
        <w:noProof/>
      </w:rPr>
      <w:t>2</w:t>
    </w:r>
    <w:r>
      <w:rPr>
        <w:noProof/>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BA3BA8" w14:paraId="65CE18B8" w14:textId="77777777">
    <w:pPr>
      <w:pStyle w:val="Footer"/>
      <w:tabs>
        <w:tab w:val="clear" w:pos="8640"/>
      </w:tabs>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footnote w:type="separator" w:id="0">
    <w:p w:rsidR="0055244B" w14:paraId="099E568F" w14:textId="77777777">
      <w:r>
        <w:separator/>
      </w:r>
    </w:p>
  </w:footnote>
  <w:footnote w:type="continuationSeparator" w:id="1">
    <w:p w:rsidR="0055244B" w14:paraId="24D6C329" w14:textId="77777777">
      <w:pPr>
        <w:rPr>
          <w:sz w:val="20"/>
        </w:rPr>
      </w:pPr>
      <w:r>
        <w:rPr>
          <w:sz w:val="20"/>
        </w:rPr>
        <w:t xml:space="preserve">(Continued from previous page)  </w:t>
      </w:r>
      <w:r>
        <w:rPr>
          <w:sz w:val="20"/>
        </w:rPr>
        <w:separator/>
      </w:r>
    </w:p>
  </w:footnote>
  <w:footnote w:type="continuationNotice" w:id="2">
    <w:p w:rsidR="0055244B" w14:paraId="350F7BE2" w14:textId="77777777">
      <w:pPr>
        <w:jc w:val="right"/>
        <w:rPr>
          <w:sz w:val="20"/>
        </w:rPr>
      </w:pPr>
      <w:r>
        <w:rPr>
          <w:sz w:val="20"/>
        </w:rPr>
        <w:t>(continued….)</w:t>
      </w:r>
    </w:p>
  </w:footnote>
  <w:footnote w:id="3">
    <w:p w:rsidR="00D97042" w:rsidRPr="0090682B" w:rsidP="00D97042" w14:paraId="01F9366D" w14:textId="77777777">
      <w:pPr>
        <w:pStyle w:val="FootnoteText"/>
      </w:pPr>
      <w:r w:rsidRPr="00972420">
        <w:rPr>
          <w:rStyle w:val="FootnoteReference"/>
        </w:rPr>
        <w:footnoteRef/>
      </w:r>
      <w:r w:rsidRPr="00972420">
        <w:t xml:space="preserve"> </w:t>
      </w:r>
      <w:r w:rsidRPr="00972420">
        <w:rPr>
          <w:i/>
        </w:rPr>
        <w:t>See</w:t>
      </w:r>
      <w:r w:rsidRPr="00972420">
        <w:t xml:space="preserve"> Rolka Loube </w:t>
      </w:r>
      <w:r>
        <w:t xml:space="preserve">Saltzer </w:t>
      </w:r>
      <w:r w:rsidRPr="00972420">
        <w:t>Associates</w:t>
      </w:r>
      <w:r>
        <w:t>,</w:t>
      </w:r>
      <w:r w:rsidRPr="00972420">
        <w:t xml:space="preserve"> LLC, Interstate Telecommunications Relay Services Fund: Payment Formula and Fund Size Estimate, CG Docket Nos. 03-123 and 10-51 (filed </w:t>
      </w:r>
      <w:r>
        <w:t>May 4</w:t>
      </w:r>
      <w:r w:rsidRPr="00972420">
        <w:t>, 202</w:t>
      </w:r>
      <w:r>
        <w:t>6</w:t>
      </w:r>
      <w:r w:rsidRPr="00972420">
        <w:t>),</w:t>
      </w:r>
      <w:r w:rsidR="003C3B0D">
        <w:t xml:space="preserve"> </w:t>
      </w:r>
      <w:hyperlink r:id="rId1" w:history="1">
        <w:r w:rsidRPr="00AA64FF" w:rsidR="003C3B0D">
          <w:rPr>
            <w:rStyle w:val="Hyperlink"/>
          </w:rPr>
          <w:t>https://www.fcc.gov/ecfs/document/10504140406416/1</w:t>
        </w:r>
      </w:hyperlink>
      <w:r w:rsidR="003C3B0D">
        <w:t xml:space="preserve"> </w:t>
      </w:r>
      <w:r w:rsidRPr="00972420">
        <w:t>(202</w:t>
      </w:r>
      <w:r w:rsidR="003C3B0D">
        <w:t>6</w:t>
      </w:r>
      <w:r w:rsidRPr="00972420">
        <w:t xml:space="preserve"> TRS Report); </w:t>
      </w:r>
      <w:r w:rsidRPr="00972420">
        <w:rPr>
          <w:i/>
          <w:iCs/>
        </w:rPr>
        <w:t>s</w:t>
      </w:r>
      <w:r w:rsidRPr="00972420">
        <w:rPr>
          <w:i/>
        </w:rPr>
        <w:t>ee also</w:t>
      </w:r>
      <w:r w:rsidRPr="00972420">
        <w:t xml:space="preserve"> 47 CFR § 64.604(c)(5)(iii)(H).</w:t>
      </w:r>
      <w:r w:rsidRPr="00601162">
        <w:t xml:space="preserve">  </w:t>
      </w:r>
    </w:p>
  </w:footnote>
  <w:footnote w:id="4">
    <w:p w:rsidR="00D97042" w:rsidRPr="008227F8" w:rsidP="00D97042" w14:paraId="50A9A978" w14:textId="77777777">
      <w:pPr>
        <w:pStyle w:val="FootnoteText"/>
      </w:pPr>
      <w:r w:rsidRPr="0090682B">
        <w:rPr>
          <w:rStyle w:val="FootnoteReference"/>
        </w:rPr>
        <w:footnoteRef/>
      </w:r>
      <w:r w:rsidRPr="0090682B">
        <w:t xml:space="preserve"> Under the MARS </w:t>
      </w:r>
      <w:r>
        <w:t>p</w:t>
      </w:r>
      <w:r w:rsidRPr="0090682B">
        <w:t xml:space="preserve">lan methodology, </w:t>
      </w:r>
      <w:r w:rsidRPr="0013484D">
        <w:rPr>
          <w:i/>
          <w:iCs/>
        </w:rPr>
        <w:t>interstate</w:t>
      </w:r>
      <w:r w:rsidRPr="0090682B">
        <w:t xml:space="preserve"> TRS </w:t>
      </w:r>
      <w:r>
        <w:t xml:space="preserve">Fund </w:t>
      </w:r>
      <w:r w:rsidRPr="0090682B">
        <w:t xml:space="preserve">compensation </w:t>
      </w:r>
      <w:r>
        <w:t xml:space="preserve">formulas for relay services provided through state TRS programs </w:t>
      </w:r>
      <w:r w:rsidRPr="0090682B">
        <w:t xml:space="preserve">are calculated based on a weighted average of the </w:t>
      </w:r>
      <w:r>
        <w:t xml:space="preserve">per-minute </w:t>
      </w:r>
      <w:r w:rsidRPr="0013484D">
        <w:rPr>
          <w:i/>
        </w:rPr>
        <w:t>intrastate</w:t>
      </w:r>
      <w:r w:rsidRPr="0090682B">
        <w:rPr>
          <w:i/>
          <w:iCs/>
        </w:rPr>
        <w:t xml:space="preserve"> </w:t>
      </w:r>
      <w:r w:rsidRPr="0090682B">
        <w:t xml:space="preserve">compensation paid by state TRS programs for the same or a similar relay service.  </w:t>
      </w:r>
      <w:r w:rsidRPr="0090682B">
        <w:rPr>
          <w:i/>
        </w:rPr>
        <w:t>See</w:t>
      </w:r>
      <w:r w:rsidRPr="0090682B">
        <w:t xml:space="preserve"> </w:t>
      </w:r>
      <w:r w:rsidRPr="0090682B">
        <w:rPr>
          <w:i/>
        </w:rPr>
        <w:t xml:space="preserve">Telecommunications Relay Services and Speech-to-Speech Services for Individuals with Hearing and </w:t>
      </w:r>
      <w:r w:rsidRPr="008227F8">
        <w:rPr>
          <w:i/>
        </w:rPr>
        <w:t>Speech Disabilities</w:t>
      </w:r>
      <w:r w:rsidRPr="008227F8">
        <w:t>, CG Docket No. 03-123, Report and Order and Declaratory Ruling, 22 FCC Rcd 20140, 20151-58, paras. 16-37 (2007).</w:t>
      </w:r>
    </w:p>
  </w:footnote>
  <w:footnote w:id="5">
    <w:p w:rsidR="00D97042" w:rsidRPr="00002F65" w:rsidP="00D97042" w14:paraId="17D75171" w14:textId="77777777">
      <w:pPr>
        <w:pStyle w:val="FootnoteText"/>
      </w:pPr>
      <w:r w:rsidRPr="00972420">
        <w:rPr>
          <w:rStyle w:val="FootnoteReference"/>
        </w:rPr>
        <w:footnoteRef/>
      </w:r>
      <w:r w:rsidRPr="00972420">
        <w:t xml:space="preserve"> 202</w:t>
      </w:r>
      <w:r w:rsidR="003C3B0D">
        <w:t>6</w:t>
      </w:r>
      <w:r w:rsidRPr="00972420">
        <w:t xml:space="preserve"> TRS Report at </w:t>
      </w:r>
      <w:r w:rsidR="003C3B0D">
        <w:t>7</w:t>
      </w:r>
      <w:r w:rsidRPr="00972420">
        <w:t xml:space="preserve">, </w:t>
      </w:r>
      <w:r w:rsidR="003C3B0D">
        <w:t>9</w:t>
      </w:r>
      <w:r w:rsidRPr="00972420">
        <w:t xml:space="preserve">.  The current compensation </w:t>
      </w:r>
      <w:r>
        <w:t>formulas</w:t>
      </w:r>
      <w:r w:rsidRPr="00972420">
        <w:t xml:space="preserve"> for these services are as follows: $</w:t>
      </w:r>
      <w:r w:rsidR="003C3B0D">
        <w:rPr>
          <w:szCs w:val="22"/>
        </w:rPr>
        <w:t>7.3512</w:t>
      </w:r>
      <w:r w:rsidRPr="00972420">
        <w:rPr>
          <w:szCs w:val="22"/>
        </w:rPr>
        <w:t xml:space="preserve"> </w:t>
      </w:r>
      <w:r w:rsidRPr="00972420">
        <w:t>per minute for interstate traditional TRS; $</w:t>
      </w:r>
      <w:r w:rsidR="003C3B0D">
        <w:t>8.4822</w:t>
      </w:r>
      <w:r w:rsidRPr="00972420">
        <w:t xml:space="preserve"> per minute for interstate STS; and $</w:t>
      </w:r>
      <w:r w:rsidR="003C3B0D">
        <w:rPr>
          <w:szCs w:val="22"/>
        </w:rPr>
        <w:t>3.1893</w:t>
      </w:r>
      <w:r w:rsidRPr="00972420">
        <w:rPr>
          <w:szCs w:val="22"/>
        </w:rPr>
        <w:t xml:space="preserve"> </w:t>
      </w:r>
      <w:r w:rsidRPr="00972420">
        <w:t xml:space="preserve">per minute for interstate CTS.  </w:t>
      </w:r>
      <w:r w:rsidRPr="006F6297">
        <w:rPr>
          <w:i/>
          <w:iCs/>
        </w:rPr>
        <w:t>Id</w:t>
      </w:r>
      <w:r>
        <w:t xml:space="preserve">. </w:t>
      </w:r>
      <w:r w:rsidRPr="00972420">
        <w:t xml:space="preserve">at </w:t>
      </w:r>
      <w:r w:rsidR="003C3B0D">
        <w:t>10-14.</w:t>
      </w:r>
    </w:p>
  </w:footnote>
  <w:footnote w:id="6">
    <w:p w:rsidR="00D97042" w:rsidP="00D97042" w14:paraId="3A5C154C" w14:textId="77777777">
      <w:pPr>
        <w:pStyle w:val="FootnoteText"/>
      </w:pPr>
      <w:r>
        <w:rPr>
          <w:rStyle w:val="FootnoteReference"/>
        </w:rPr>
        <w:footnoteRef/>
      </w:r>
      <w:r>
        <w:t xml:space="preserve"> </w:t>
      </w:r>
      <w:r w:rsidRPr="00D6462C">
        <w:rPr>
          <w:i/>
          <w:iCs/>
        </w:rPr>
        <w:t>Telecommunications Relay Services and Speech-to-Speech Services for Individuals with Hearing and Speech</w:t>
      </w:r>
      <w:r>
        <w:rPr>
          <w:i/>
          <w:iCs/>
        </w:rPr>
        <w:t xml:space="preserve"> </w:t>
      </w:r>
      <w:r w:rsidRPr="00D6462C">
        <w:rPr>
          <w:i/>
          <w:iCs/>
        </w:rPr>
        <w:t>Disabilities</w:t>
      </w:r>
      <w:r w:rsidRPr="00D6462C">
        <w:t xml:space="preserve">; </w:t>
      </w:r>
      <w:r w:rsidRPr="00D6462C">
        <w:rPr>
          <w:i/>
          <w:iCs/>
        </w:rPr>
        <w:t>Petition for Rulemaking of Sprint Corporation</w:t>
      </w:r>
      <w:r w:rsidRPr="00D6462C">
        <w:t xml:space="preserve">, CG Docket No. 03-123 and RM-11820, </w:t>
      </w:r>
      <w:r>
        <w:t>Report and Order</w:t>
      </w:r>
      <w:r w:rsidRPr="00D6462C">
        <w:t xml:space="preserve">, </w:t>
      </w:r>
      <w:r>
        <w:t xml:space="preserve">37 FCC Rcd 8009 </w:t>
      </w:r>
      <w:r w:rsidRPr="00D6462C">
        <w:t>(</w:t>
      </w:r>
      <w:r>
        <w:t>2022</w:t>
      </w:r>
      <w:r w:rsidRPr="00D6462C">
        <w:t>)</w:t>
      </w:r>
      <w:r>
        <w:t xml:space="preserve"> (</w:t>
      </w:r>
      <w:r w:rsidRPr="00E612E2">
        <w:rPr>
          <w:bCs/>
          <w:i/>
          <w:iCs/>
        </w:rPr>
        <w:t>2022 IP Relay Compensation Order</w:t>
      </w:r>
      <w:r>
        <w:rPr>
          <w:bCs/>
        </w:rPr>
        <w:t>)</w:t>
      </w:r>
      <w:r w:rsidRPr="00E612E2">
        <w:t xml:space="preserve"> </w:t>
      </w:r>
      <w:r>
        <w:t xml:space="preserve">(adopting compensation plan for IP Relay); </w:t>
      </w:r>
      <w:r w:rsidRPr="00132CF0">
        <w:rPr>
          <w:i/>
          <w:iCs/>
        </w:rPr>
        <w:t>see also</w:t>
      </w:r>
      <w:r>
        <w:t xml:space="preserve"> </w:t>
      </w:r>
      <w:r w:rsidRPr="00132CF0">
        <w:t>47 CFR § 64.64</w:t>
      </w:r>
      <w:r>
        <w:t>0.</w:t>
      </w:r>
    </w:p>
  </w:footnote>
  <w:footnote w:id="7">
    <w:p w:rsidR="00D97042" w:rsidP="00D97042" w14:paraId="79A9D5C1" w14:textId="77777777">
      <w:pPr>
        <w:pStyle w:val="FootnoteText"/>
      </w:pPr>
      <w:r w:rsidRPr="00BF6D0C">
        <w:rPr>
          <w:rStyle w:val="FootnoteReference"/>
        </w:rPr>
        <w:footnoteRef/>
      </w:r>
      <w:r w:rsidRPr="00BF6D0C">
        <w:t xml:space="preserve"> 202</w:t>
      </w:r>
      <w:r w:rsidR="003C3B0D">
        <w:t>6</w:t>
      </w:r>
      <w:r w:rsidRPr="00BF6D0C">
        <w:t xml:space="preserve"> TRS Report at </w:t>
      </w:r>
      <w:r w:rsidR="003C3B0D">
        <w:t>18-19</w:t>
      </w:r>
      <w:r w:rsidRPr="00BF6D0C">
        <w:t>.</w:t>
      </w:r>
    </w:p>
  </w:footnote>
  <w:footnote w:id="8">
    <w:p w:rsidR="00D97042" w:rsidP="00D97042" w14:paraId="037A4274" w14:textId="77777777">
      <w:pPr>
        <w:pStyle w:val="FootnoteText"/>
      </w:pPr>
      <w:r>
        <w:rPr>
          <w:rStyle w:val="FootnoteReference"/>
        </w:rPr>
        <w:footnoteRef/>
      </w:r>
      <w:r>
        <w:t xml:space="preserve"> </w:t>
      </w:r>
      <w:r w:rsidRPr="00D6462C">
        <w:rPr>
          <w:i/>
          <w:iCs/>
        </w:rPr>
        <w:t>Telecommunications Relay Services and Speech-to-Speech Services for Individuals with Hearing and Speech</w:t>
      </w:r>
      <w:r>
        <w:rPr>
          <w:i/>
          <w:iCs/>
        </w:rPr>
        <w:t xml:space="preserve"> </w:t>
      </w:r>
      <w:r w:rsidRPr="00D6462C">
        <w:rPr>
          <w:i/>
          <w:iCs/>
        </w:rPr>
        <w:t>Disabilitie</w:t>
      </w:r>
      <w:r>
        <w:rPr>
          <w:i/>
          <w:iCs/>
        </w:rPr>
        <w:t>s</w:t>
      </w:r>
      <w:r w:rsidRPr="00A61D6B">
        <w:t>;</w:t>
      </w:r>
      <w:r>
        <w:rPr>
          <w:i/>
          <w:iCs/>
        </w:rPr>
        <w:t xml:space="preserve"> Structure and Practices of the Video Relay Service Program</w:t>
      </w:r>
      <w:r>
        <w:t>, CG Docket Nos. 03-123 and 10-51, Report and Order and Further Notice of Proposed Rulemaking, 38 FCC Rcd 9157 (2023) (</w:t>
      </w:r>
      <w:r>
        <w:rPr>
          <w:bCs/>
          <w:i/>
          <w:iCs/>
          <w:szCs w:val="22"/>
        </w:rPr>
        <w:t xml:space="preserve">2023 VRS </w:t>
      </w:r>
      <w:r w:rsidRPr="00BF4210">
        <w:rPr>
          <w:bCs/>
          <w:i/>
          <w:iCs/>
          <w:szCs w:val="22"/>
        </w:rPr>
        <w:t>Compensation Order</w:t>
      </w:r>
      <w:r>
        <w:rPr>
          <w:bCs/>
          <w:szCs w:val="22"/>
        </w:rPr>
        <w:t>)</w:t>
      </w:r>
      <w:r>
        <w:t xml:space="preserve"> (adopting compensation plan for VRS);</w:t>
      </w:r>
      <w:r w:rsidRPr="005A4851">
        <w:rPr>
          <w:i/>
          <w:iCs/>
          <w:snapToGrid w:val="0"/>
          <w:kern w:val="28"/>
          <w:sz w:val="22"/>
        </w:rPr>
        <w:t xml:space="preserve"> </w:t>
      </w:r>
      <w:r w:rsidRPr="005A4851">
        <w:rPr>
          <w:i/>
          <w:iCs/>
        </w:rPr>
        <w:t>see also</w:t>
      </w:r>
      <w:r w:rsidRPr="005A4851">
        <w:t xml:space="preserve"> 47 CFR § 64.64</w:t>
      </w:r>
      <w:r>
        <w:t>3.</w:t>
      </w:r>
    </w:p>
  </w:footnote>
  <w:footnote w:id="9">
    <w:p w:rsidR="00D97042" w:rsidP="00D97042" w14:paraId="04542101" w14:textId="77777777">
      <w:pPr>
        <w:pStyle w:val="FootnoteText"/>
      </w:pPr>
      <w:r w:rsidRPr="00BF6D0C">
        <w:rPr>
          <w:rStyle w:val="FootnoteReference"/>
        </w:rPr>
        <w:footnoteRef/>
      </w:r>
      <w:r w:rsidRPr="00BF6D0C">
        <w:t xml:space="preserve"> 202</w:t>
      </w:r>
      <w:r w:rsidR="003C3B0D">
        <w:t>6</w:t>
      </w:r>
      <w:r w:rsidRPr="00BF6D0C">
        <w:t xml:space="preserve"> TRS Report at </w:t>
      </w:r>
      <w:r w:rsidR="009E6142">
        <w:t xml:space="preserve">14-15, </w:t>
      </w:r>
      <w:r w:rsidR="003C3B0D">
        <w:t>19-22</w:t>
      </w:r>
      <w:r w:rsidRPr="00BF6D0C">
        <w:t>.  These rates are calculated as 103.3</w:t>
      </w:r>
      <w:r w:rsidR="003C3B0D">
        <w:t>7</w:t>
      </w:r>
      <w:r w:rsidRPr="00BF6D0C">
        <w:t>% of the prior Fund year’s amounts, which are as follows: $</w:t>
      </w:r>
      <w:r w:rsidR="003C3B0D">
        <w:t>8.33</w:t>
      </w:r>
      <w:r w:rsidRPr="00BF6D0C">
        <w:t xml:space="preserve"> for small providers, $6.</w:t>
      </w:r>
      <w:r w:rsidR="003C3B0D">
        <w:t>73</w:t>
      </w:r>
      <w:r w:rsidRPr="00BF6D0C">
        <w:t xml:space="preserve"> for Tier I, $4.</w:t>
      </w:r>
      <w:r w:rsidR="003C3B0D">
        <w:t>21</w:t>
      </w:r>
      <w:r w:rsidRPr="00BF6D0C">
        <w:t xml:space="preserve"> for Tier II, and a $0.2</w:t>
      </w:r>
      <w:r w:rsidR="003C3B0D">
        <w:t>1</w:t>
      </w:r>
      <w:r w:rsidRPr="00BF6D0C">
        <w:t xml:space="preserve"> additive rate for Video-Text service.  </w:t>
      </w:r>
      <w:r w:rsidRPr="00BF6D0C">
        <w:rPr>
          <w:i/>
          <w:iCs/>
        </w:rPr>
        <w:t>See id.</w:t>
      </w:r>
      <w:r w:rsidRPr="00BF6D0C">
        <w:t xml:space="preserve"> at </w:t>
      </w:r>
      <w:r w:rsidR="009E6142">
        <w:t>15</w:t>
      </w:r>
      <w:r w:rsidRPr="00BF6D0C">
        <w:t>.</w:t>
      </w:r>
      <w:r>
        <w:t xml:space="preserve"> </w:t>
      </w:r>
    </w:p>
  </w:footnote>
  <w:footnote w:id="10">
    <w:p w:rsidR="00D97042" w:rsidRPr="008515E1" w:rsidP="00D97042" w14:paraId="2A82D411" w14:textId="695A2673">
      <w:pPr>
        <w:pStyle w:val="FootnoteText"/>
      </w:pPr>
      <w:r>
        <w:rPr>
          <w:rStyle w:val="FootnoteReference"/>
        </w:rPr>
        <w:footnoteRef/>
      </w:r>
      <w:r>
        <w:t xml:space="preserve"> </w:t>
      </w:r>
      <w:r w:rsidRPr="00C61F17">
        <w:rPr>
          <w:i/>
          <w:iCs/>
        </w:rPr>
        <w:t>Internet Protocol Captioned Telephone Service Compensation</w:t>
      </w:r>
      <w:r w:rsidRPr="00A61D6B">
        <w:t>;</w:t>
      </w:r>
      <w:r>
        <w:t xml:space="preserve"> </w:t>
      </w:r>
      <w:r w:rsidRPr="0040448F">
        <w:rPr>
          <w:i/>
          <w:iCs/>
        </w:rPr>
        <w:t>Telecommunications Relay Services and Speech-to-Speech Services for Individuals with Hearing and Speech Disabilities</w:t>
      </w:r>
      <w:r w:rsidRPr="00A61D6B">
        <w:t>;</w:t>
      </w:r>
      <w:r w:rsidRPr="00AC2E1A">
        <w:t xml:space="preserve"> </w:t>
      </w:r>
      <w:r>
        <w:rPr>
          <w:i/>
          <w:iCs/>
        </w:rPr>
        <w:t xml:space="preserve">Misuse of Internet Protocol (IP) Captioned Telephone </w:t>
      </w:r>
      <w:r w:rsidRPr="00D94810">
        <w:rPr>
          <w:i/>
          <w:iCs/>
        </w:rPr>
        <w:t>Service</w:t>
      </w:r>
      <w:r w:rsidRPr="00D94810">
        <w:t>, CG Docket Nos. 22-408, 03-123</w:t>
      </w:r>
      <w:r>
        <w:t>,</w:t>
      </w:r>
      <w:r w:rsidRPr="00D94810">
        <w:t xml:space="preserve"> and 13-24,</w:t>
      </w:r>
      <w:r>
        <w:t xml:space="preserve"> Report and Order and Order, </w:t>
      </w:r>
      <w:r w:rsidRPr="003B0753" w:rsidR="003B0753">
        <w:t>39 FCC Rcd 9099</w:t>
      </w:r>
      <w:r w:rsidR="003B0753">
        <w:t xml:space="preserve"> </w:t>
      </w:r>
      <w:r>
        <w:t>(July 31, 2024) (</w:t>
      </w:r>
      <w:r>
        <w:rPr>
          <w:i/>
          <w:iCs/>
        </w:rPr>
        <w:t>2024 IP CTS Compensation Order</w:t>
      </w:r>
      <w:r>
        <w:t xml:space="preserve">) (adopting compensation plan for IP CTS); </w:t>
      </w:r>
      <w:r w:rsidRPr="005A4851">
        <w:rPr>
          <w:i/>
          <w:iCs/>
        </w:rPr>
        <w:t>see also</w:t>
      </w:r>
      <w:r w:rsidRPr="005A4851">
        <w:t xml:space="preserve"> 47 CFR </w:t>
      </w:r>
      <w:bookmarkStart w:id="1" w:name="_Hlk197433850"/>
      <w:r w:rsidRPr="005A4851">
        <w:t>§ 64.641</w:t>
      </w:r>
      <w:bookmarkEnd w:id="1"/>
      <w:r>
        <w:t>(a)(2).</w:t>
      </w:r>
    </w:p>
  </w:footnote>
  <w:footnote w:id="11">
    <w:p w:rsidR="00D97042" w:rsidRPr="00BF6D0C" w:rsidP="00D97042" w14:paraId="780E6C8F" w14:textId="77777777">
      <w:pPr>
        <w:pStyle w:val="FootnoteText"/>
      </w:pPr>
      <w:r>
        <w:rPr>
          <w:rStyle w:val="FootnoteReference"/>
        </w:rPr>
        <w:footnoteRef/>
      </w:r>
      <w:r w:rsidRPr="00FD7AC3">
        <w:t xml:space="preserve"> </w:t>
      </w:r>
      <w:r>
        <w:rPr>
          <w:i/>
          <w:iCs/>
        </w:rPr>
        <w:t xml:space="preserve">See </w:t>
      </w:r>
      <w:r>
        <w:t>202</w:t>
      </w:r>
      <w:r w:rsidR="009E6142">
        <w:t>6</w:t>
      </w:r>
      <w:r>
        <w:t xml:space="preserve"> TRS Report at </w:t>
      </w:r>
      <w:r w:rsidR="009E6142">
        <w:t>22-24</w:t>
      </w:r>
      <w:r>
        <w:t xml:space="preserve">; </w:t>
      </w:r>
      <w:r w:rsidRPr="006F074E">
        <w:t xml:space="preserve">47 CFR </w:t>
      </w:r>
      <w:r w:rsidRPr="00AA0D02">
        <w:t>§</w:t>
      </w:r>
      <w:r>
        <w:t xml:space="preserve"> </w:t>
      </w:r>
      <w:r w:rsidRPr="006F074E">
        <w:t>64.641(a)(2)</w:t>
      </w:r>
      <w:r>
        <w:rPr>
          <w:i/>
          <w:iCs/>
        </w:rPr>
        <w:t>.</w:t>
      </w:r>
    </w:p>
  </w:footnote>
  <w:footnote w:id="12">
    <w:p w:rsidR="00D97042" w:rsidRPr="008C7188" w:rsidP="00D97042" w14:paraId="5C67A8BA" w14:textId="77777777">
      <w:pPr>
        <w:pStyle w:val="FootnoteText"/>
      </w:pPr>
      <w:r>
        <w:rPr>
          <w:rStyle w:val="FootnoteReference"/>
        </w:rPr>
        <w:footnoteRef/>
      </w:r>
      <w:r>
        <w:t xml:space="preserve"> 202</w:t>
      </w:r>
      <w:r w:rsidR="009E6142">
        <w:t>6</w:t>
      </w:r>
      <w:r>
        <w:t xml:space="preserve"> TRS Report at </w:t>
      </w:r>
      <w:r w:rsidR="009E6142">
        <w:t>22-24</w:t>
      </w:r>
      <w:r>
        <w:t>.  The CA-assisted service compensation rate and supplemental rate are calculated as 103.3</w:t>
      </w:r>
      <w:r w:rsidR="009E6142">
        <w:t>7</w:t>
      </w:r>
      <w:r>
        <w:t>% of the prior Fund year’s rates ($1.</w:t>
      </w:r>
      <w:r w:rsidR="009E6142">
        <w:t>40</w:t>
      </w:r>
      <w:r>
        <w:t xml:space="preserve"> and $0.2</w:t>
      </w:r>
      <w:r w:rsidR="009E6142">
        <w:t>2</w:t>
      </w:r>
      <w:r>
        <w:t xml:space="preserve">, respectively).  </w:t>
      </w:r>
      <w:r>
        <w:rPr>
          <w:i/>
          <w:iCs/>
        </w:rPr>
        <w:t>See id.</w:t>
      </w:r>
      <w:r>
        <w:t xml:space="preserve"> at 2</w:t>
      </w:r>
      <w:r w:rsidR="009E6142">
        <w:t>3</w:t>
      </w:r>
      <w:r>
        <w:t>.  The rate supplement is applicable to those minutes for which the CA producing captions is paid a “</w:t>
      </w:r>
      <w:r w:rsidRPr="005A3B03">
        <w:t>Minimum Hourly Wage</w:t>
      </w:r>
      <w:r>
        <w:t xml:space="preserve">.”  </w:t>
      </w:r>
      <w:r w:rsidRPr="009170A2">
        <w:t>47 CFR § 64.6</w:t>
      </w:r>
      <w:r>
        <w:t xml:space="preserve">41(c)(1).  This amount, initially set at $17.20 per hour, is adjusted annually by the same factor applicable to the rates for CA-assisted service.  </w:t>
      </w:r>
      <w:r>
        <w:rPr>
          <w:i/>
          <w:iCs/>
        </w:rPr>
        <w:t>Id.</w:t>
      </w:r>
      <w:r>
        <w:t xml:space="preserve"> </w:t>
      </w:r>
      <w:r w:rsidRPr="00AA0D02">
        <w:t>§ 64.641(c)</w:t>
      </w:r>
      <w:r>
        <w:t>.</w:t>
      </w:r>
    </w:p>
  </w:footnote>
  <w:footnote w:id="13">
    <w:p w:rsidR="00D97042" w:rsidRPr="002E3CFE" w:rsidP="00D97042" w14:paraId="0FC0CE4D" w14:textId="77777777">
      <w:pPr>
        <w:pStyle w:val="FootnoteText"/>
      </w:pPr>
      <w:r>
        <w:rPr>
          <w:rStyle w:val="FootnoteReference"/>
        </w:rPr>
        <w:footnoteRef/>
      </w:r>
      <w:r>
        <w:t xml:space="preserve"> $18.38 = 17.78 * (1 + 0.0337).  </w:t>
      </w:r>
      <w:r>
        <w:rPr>
          <w:i/>
          <w:iCs/>
        </w:rPr>
        <w:t xml:space="preserve">See </w:t>
      </w:r>
      <w:r w:rsidRPr="008C7188">
        <w:t>202</w:t>
      </w:r>
      <w:r>
        <w:t>6</w:t>
      </w:r>
      <w:r w:rsidRPr="008C7188">
        <w:t xml:space="preserve"> TRS Report at 2</w:t>
      </w:r>
      <w:r>
        <w:t xml:space="preserve">3; 47 CFR </w:t>
      </w:r>
      <w:r w:rsidRPr="00AA0D02">
        <w:t>§</w:t>
      </w:r>
      <w:r>
        <w:t xml:space="preserve"> 64.641(c)(2). </w:t>
      </w:r>
    </w:p>
  </w:footnote>
  <w:footnote w:id="14">
    <w:p w:rsidR="00D97042" w:rsidRPr="00D94810" w:rsidP="00D97042" w14:paraId="72B71492" w14:textId="77777777">
      <w:pPr>
        <w:pStyle w:val="FootnoteText"/>
      </w:pPr>
      <w:r w:rsidRPr="00D94810">
        <w:rPr>
          <w:rStyle w:val="FootnoteReference"/>
        </w:rPr>
        <w:footnoteRef/>
      </w:r>
      <w:r w:rsidRPr="00D94810">
        <w:t xml:space="preserve"> 202</w:t>
      </w:r>
      <w:r w:rsidR="009E6142">
        <w:t>6</w:t>
      </w:r>
      <w:r w:rsidRPr="00D94810">
        <w:t xml:space="preserve"> TRS Report at </w:t>
      </w:r>
      <w:r>
        <w:t>2</w:t>
      </w:r>
      <w:r w:rsidR="009E6142">
        <w:t>5-26</w:t>
      </w:r>
      <w:r w:rsidRPr="00D94810">
        <w:t xml:space="preserve"> &amp; Exh. 2.</w:t>
      </w:r>
      <w:r w:rsidRPr="00D94810">
        <w:rPr>
          <w:szCs w:val="22"/>
        </w:rPr>
        <w:t xml:space="preserve">  </w:t>
      </w:r>
    </w:p>
  </w:footnote>
  <w:footnote w:id="15">
    <w:p w:rsidR="00D97042" w:rsidRPr="00AB0F18" w:rsidP="00D97042" w14:paraId="749D1282" w14:textId="77777777">
      <w:pPr>
        <w:pStyle w:val="FootnoteText"/>
        <w:tabs>
          <w:tab w:val="left" w:pos="3446"/>
          <w:tab w:val="left" w:pos="6000"/>
        </w:tabs>
        <w:rPr>
          <w:highlight w:val="yellow"/>
        </w:rPr>
      </w:pPr>
      <w:r w:rsidRPr="003E7C8F">
        <w:rPr>
          <w:rStyle w:val="FootnoteReference"/>
        </w:rPr>
        <w:footnoteRef/>
      </w:r>
      <w:r w:rsidRPr="003E7C8F">
        <w:t xml:space="preserve"> </w:t>
      </w:r>
      <w:r w:rsidRPr="000F7936">
        <w:rPr>
          <w:i/>
          <w:iCs/>
        </w:rPr>
        <w:t>Id</w:t>
      </w:r>
      <w:r>
        <w:t>.</w:t>
      </w:r>
      <w:r w:rsidRPr="003E7C8F">
        <w:tab/>
      </w:r>
      <w:r>
        <w:tab/>
      </w:r>
    </w:p>
  </w:footnote>
  <w:footnote w:id="16">
    <w:p w:rsidR="00D97042" w:rsidRPr="00AB0F18" w:rsidP="00D97042" w14:paraId="48DBED9A" w14:textId="77777777">
      <w:pPr>
        <w:pStyle w:val="FootnoteText"/>
        <w:rPr>
          <w:i/>
          <w:iCs/>
          <w:highlight w:val="yellow"/>
        </w:rPr>
      </w:pPr>
      <w:r w:rsidRPr="00A3787A">
        <w:rPr>
          <w:rStyle w:val="FootnoteReference"/>
        </w:rPr>
        <w:footnoteRef/>
      </w:r>
      <w:r w:rsidRPr="00A3787A">
        <w:t xml:space="preserve"> </w:t>
      </w:r>
      <w:r w:rsidRPr="00A3787A">
        <w:rPr>
          <w:i/>
        </w:rPr>
        <w:t>Id.</w:t>
      </w:r>
      <w:r w:rsidRPr="00A3787A">
        <w:t xml:space="preserve"> at 2</w:t>
      </w:r>
      <w:r w:rsidR="00C32710">
        <w:t>6</w:t>
      </w:r>
      <w:r w:rsidRPr="00A3787A">
        <w:t xml:space="preserve"> &amp; Exh. 2.</w:t>
      </w:r>
    </w:p>
  </w:footnote>
  <w:footnote w:id="17">
    <w:p w:rsidR="00D97042" w:rsidRPr="00A3787A" w:rsidP="00D97042" w14:paraId="383707D6" w14:textId="77777777">
      <w:pPr>
        <w:pStyle w:val="FootnoteText"/>
      </w:pPr>
      <w:r w:rsidRPr="00A3787A">
        <w:rPr>
          <w:rStyle w:val="FootnoteReference"/>
        </w:rPr>
        <w:footnoteRef/>
      </w:r>
      <w:r w:rsidRPr="00A3787A">
        <w:t xml:space="preserve"> </w:t>
      </w:r>
      <w:r w:rsidRPr="00A3787A">
        <w:rPr>
          <w:i/>
          <w:iCs/>
        </w:rPr>
        <w:t>Id</w:t>
      </w:r>
      <w:r w:rsidRPr="00C32710">
        <w:rPr>
          <w:i/>
          <w:iCs/>
        </w:rPr>
        <w:t>.</w:t>
      </w:r>
    </w:p>
  </w:footnote>
  <w:footnote w:id="18">
    <w:p w:rsidR="00D97042" w:rsidP="00D97042" w14:paraId="32345CE2" w14:textId="77777777">
      <w:pPr>
        <w:pStyle w:val="FootnoteText"/>
      </w:pPr>
      <w:r w:rsidRPr="00A3787A">
        <w:rPr>
          <w:rStyle w:val="FootnoteReference"/>
        </w:rPr>
        <w:footnoteRef/>
      </w:r>
      <w:r w:rsidRPr="00A3787A">
        <w:t xml:space="preserve"> </w:t>
      </w:r>
      <w:r w:rsidRPr="00A3787A">
        <w:rPr>
          <w:i/>
          <w:iCs/>
        </w:rPr>
        <w:t>I</w:t>
      </w:r>
      <w:r w:rsidR="00C32710">
        <w:rPr>
          <w:i/>
          <w:iCs/>
        </w:rPr>
        <w:t>d.</w:t>
      </w:r>
    </w:p>
  </w:footnote>
  <w:footnote w:id="19">
    <w:p w:rsidR="00D97042" w:rsidP="00D97042" w14:paraId="1DDC1029" w14:textId="77777777">
      <w:pPr>
        <w:pStyle w:val="FootnoteText"/>
      </w:pPr>
      <w:r>
        <w:rPr>
          <w:rStyle w:val="FootnoteReference"/>
        </w:rPr>
        <w:footnoteRef/>
      </w:r>
      <w:r>
        <w:t xml:space="preserve"> </w:t>
      </w:r>
      <w:r>
        <w:rPr>
          <w:i/>
          <w:iCs/>
        </w:rPr>
        <w:t>Id</w:t>
      </w:r>
      <w:r>
        <w:t>.</w:t>
      </w:r>
    </w:p>
  </w:footnote>
  <w:footnote w:id="20">
    <w:p w:rsidR="00D97042" w:rsidRPr="00AA3BDE" w:rsidP="00D97042" w14:paraId="1E64C85E" w14:textId="77777777">
      <w:pPr>
        <w:pStyle w:val="FootnoteText"/>
      </w:pPr>
      <w:r>
        <w:rPr>
          <w:rStyle w:val="FootnoteReference"/>
        </w:rPr>
        <w:footnoteRef/>
      </w:r>
      <w:r>
        <w:t xml:space="preserve"> </w:t>
      </w:r>
      <w:r w:rsidRPr="00676F70">
        <w:t>47 CFR § 64.604(c)(5)(iii)(A).</w:t>
      </w:r>
    </w:p>
  </w:footnote>
  <w:footnote w:id="21">
    <w:p w:rsidR="00D97042" w:rsidRPr="00AB3941" w:rsidP="00D97042" w14:paraId="1B677EF7" w14:textId="77777777">
      <w:pPr>
        <w:pStyle w:val="FootnoteText"/>
      </w:pPr>
      <w:r w:rsidRPr="0090682B">
        <w:rPr>
          <w:rStyle w:val="FootnoteReference"/>
        </w:rPr>
        <w:footnoteRef/>
      </w:r>
      <w:r w:rsidRPr="0090682B">
        <w:t xml:space="preserve"> </w:t>
      </w:r>
      <w:r w:rsidRPr="005950AA">
        <w:t>202</w:t>
      </w:r>
      <w:r w:rsidR="00C32710">
        <w:t>6</w:t>
      </w:r>
      <w:r w:rsidRPr="005950AA">
        <w:t xml:space="preserve"> TRS Report</w:t>
      </w:r>
      <w:r>
        <w:t xml:space="preserve"> at 2</w:t>
      </w:r>
      <w:r w:rsidR="00C32710">
        <w:t>7-28</w:t>
      </w:r>
      <w:r>
        <w:t xml:space="preserve"> &amp; </w:t>
      </w:r>
      <w:r w:rsidRPr="00D94810">
        <w:t>Exh. 2.</w:t>
      </w:r>
      <w:r>
        <w:t xml:space="preserve">  </w:t>
      </w:r>
    </w:p>
  </w:footnote>
  <w:footnote w:id="22">
    <w:p w:rsidR="00D97042" w:rsidRPr="00801F23" w:rsidP="00D97042" w14:paraId="6C7E81C6" w14:textId="77777777">
      <w:pPr>
        <w:pStyle w:val="FootnoteText"/>
      </w:pPr>
      <w:r w:rsidRPr="00801F23">
        <w:rPr>
          <w:rStyle w:val="FootnoteReference"/>
        </w:rPr>
        <w:footnoteRef/>
      </w:r>
      <w:r w:rsidRPr="00801F23">
        <w:t xml:space="preserve"> </w:t>
      </w:r>
      <w:r>
        <w:rPr>
          <w:i/>
        </w:rPr>
        <w:t xml:space="preserve">See </w:t>
      </w:r>
      <w:r w:rsidRPr="00801F23">
        <w:t>47 CFR §</w:t>
      </w:r>
      <w:r>
        <w:t>§ 1.1, 1.45</w:t>
      </w:r>
      <w:r w:rsidRPr="00801F23">
        <w:t>, 1.49.</w:t>
      </w:r>
    </w:p>
  </w:footnote>
  <w:footnote w:id="23">
    <w:p w:rsidR="00D97042" w:rsidRPr="0033400D" w:rsidP="00D97042" w14:paraId="4C458409" w14:textId="77777777">
      <w:pPr>
        <w:pStyle w:val="FootnoteText"/>
      </w:pPr>
      <w:r w:rsidRPr="00801F23">
        <w:rPr>
          <w:rStyle w:val="FootnoteReference"/>
        </w:rPr>
        <w:footnoteRef/>
      </w:r>
      <w:r w:rsidRPr="00801F23">
        <w:t xml:space="preserve"> </w:t>
      </w:r>
      <w:r>
        <w:rPr>
          <w:i/>
        </w:rPr>
        <w:t>Electronic Filing of Documents in Rulemaking Proceedings</w:t>
      </w:r>
      <w:r>
        <w:t>, GC Docket No. 97-113, Report and Order, 13 FCC Rcd 11322 (1998).</w:t>
      </w:r>
      <w:r>
        <w:rPr>
          <w:i/>
        </w:rPr>
        <w:t xml:space="preserve">  </w:t>
      </w:r>
    </w:p>
  </w:footnote>
  <w:footnote w:id="24">
    <w:p w:rsidR="00D97042" w:rsidRPr="001933F7" w:rsidP="00D97042" w14:paraId="21E737E5" w14:textId="77777777">
      <w:pPr>
        <w:pStyle w:val="FootnoteText"/>
        <w:rPr>
          <w:i/>
          <w:iCs/>
        </w:rPr>
      </w:pPr>
      <w:r w:rsidRPr="001933F7">
        <w:rPr>
          <w:rStyle w:val="FootnoteReference"/>
        </w:rPr>
        <w:footnoteRef/>
      </w:r>
      <w:r w:rsidRPr="001933F7">
        <w:t xml:space="preserve"> 47 CFR §§ 1.1200 </w:t>
      </w:r>
      <w:r w:rsidRPr="001933F7">
        <w:rPr>
          <w:i/>
          <w:iCs/>
        </w:rPr>
        <w:t>et seq.</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BA3BA8" w14:paraId="19C97974" w14:textId="4C74C916">
    <w:pPr>
      <w:tabs>
        <w:tab w:val="center" w:pos="4680"/>
        <w:tab w:val="right" w:pos="9360"/>
      </w:tabs>
    </w:pPr>
    <w:r>
      <w:rPr>
        <w:b/>
      </w:rPr>
      <w:tab/>
      <w:t>Federal Communications Commission</w:t>
    </w:r>
    <w:r>
      <w:rPr>
        <w:b/>
      </w:rPr>
      <w:tab/>
    </w:r>
    <w:r w:rsidR="003105E8">
      <w:rPr>
        <w:b/>
      </w:rPr>
      <w:t>DA 26-516</w:t>
    </w:r>
  </w:p>
  <w:p w:rsidR="00BA3BA8" w14:paraId="6145145B" w14:textId="77777777">
    <w:pPr>
      <w:tabs>
        <w:tab w:val="left" w:pos="-720"/>
      </w:tabs>
      <w:suppressAutoHyphens/>
      <w:spacing w:line="19" w:lineRule="exact"/>
      <w:rPr>
        <w:spacing w:val="-2"/>
      </w:rPr>
    </w:pPr>
    <w:r>
      <w:rPr>
        <w:noProof/>
      </w:rPr>
      <w:pict>
        <v:rect id="Rectangle 15" o:spid="_x0000_s2049" style="width:468pt;height:0.95pt;margin-top:0;margin-left:0;mso-position-horizontal-relative:margin;position:absolute;visibility:visible;z-index:-251658240" o:allowincell="f" fillcolor="black" stroked="f" strokeweight="0.05pt">
          <w10:wrap anchorx="margin"/>
        </v:rect>
      </w:pict>
    </w:r>
  </w:p>
  <w:p w:rsidR="00BA3BA8" w14:paraId="322AD042" w14:textId="77777777">
    <w:pPr>
      <w:spacing w:before="40"/>
      <w:rPr>
        <w:rFonts w:ascii="Arial" w:hAnsi="Arial" w:cs="Arial"/>
        <w:b/>
        <w:sz w:val="20"/>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BA3BA8" w:rsidRPr="00F03EA1" w:rsidP="00F03EA1" w14:paraId="4BF76FF1" w14:textId="77777777">
    <w:pPr>
      <w:pStyle w:val="Header"/>
    </w:pPr>
    <w: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2050" type="#_x0000_t75" style="width:468.75pt;height:112.5pt">
          <v:imagedata r:id="rId1" o:title="PN Portrait pic"/>
        </v:shape>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abstractNum w:abstractNumId="0">
    <w:nsid w:val="01D7524E"/>
    <w:multiLevelType w:val="hybridMultilevel"/>
    <w:tmpl w:val="8666856C"/>
    <w:lvl w:ilvl="0">
      <w:start w:val="1"/>
      <w:numFmt w:val="bullet"/>
      <w:lvlText w:val=""/>
      <w:lvlJc w:val="left"/>
      <w:pPr>
        <w:ind w:left="780" w:hanging="360"/>
      </w:pPr>
      <w:rPr>
        <w:rFonts w:ascii="Symbol" w:hAnsi="Symbol" w:hint="default"/>
      </w:rPr>
    </w:lvl>
    <w:lvl w:ilvl="1">
      <w:start w:val="1"/>
      <w:numFmt w:val="bullet"/>
      <w:lvlText w:val="o"/>
      <w:lvlJc w:val="left"/>
      <w:pPr>
        <w:ind w:left="1500" w:hanging="360"/>
      </w:pPr>
      <w:rPr>
        <w:rFonts w:ascii="Courier New" w:hAnsi="Courier New" w:cs="Times New Roman Bold" w:hint="default"/>
      </w:rPr>
    </w:lvl>
    <w:lvl w:ilvl="2" w:tentative="1">
      <w:start w:val="1"/>
      <w:numFmt w:val="bullet"/>
      <w:lvlText w:val=""/>
      <w:lvlJc w:val="left"/>
      <w:pPr>
        <w:ind w:left="2220" w:hanging="360"/>
      </w:pPr>
      <w:rPr>
        <w:rFonts w:ascii="Wingdings" w:hAnsi="Wingdings" w:hint="default"/>
      </w:rPr>
    </w:lvl>
    <w:lvl w:ilvl="3" w:tentative="1">
      <w:start w:val="1"/>
      <w:numFmt w:val="bullet"/>
      <w:lvlText w:val=""/>
      <w:lvlJc w:val="left"/>
      <w:pPr>
        <w:ind w:left="2940" w:hanging="360"/>
      </w:pPr>
      <w:rPr>
        <w:rFonts w:ascii="Symbol" w:hAnsi="Symbol" w:hint="default"/>
      </w:rPr>
    </w:lvl>
    <w:lvl w:ilvl="4" w:tentative="1">
      <w:start w:val="1"/>
      <w:numFmt w:val="bullet"/>
      <w:lvlText w:val="o"/>
      <w:lvlJc w:val="left"/>
      <w:pPr>
        <w:ind w:left="3660" w:hanging="360"/>
      </w:pPr>
      <w:rPr>
        <w:rFonts w:ascii="Courier New" w:hAnsi="Courier New" w:cs="Times New Roman Bold" w:hint="default"/>
      </w:rPr>
    </w:lvl>
    <w:lvl w:ilvl="5" w:tentative="1">
      <w:start w:val="1"/>
      <w:numFmt w:val="bullet"/>
      <w:lvlText w:val=""/>
      <w:lvlJc w:val="left"/>
      <w:pPr>
        <w:ind w:left="4380" w:hanging="360"/>
      </w:pPr>
      <w:rPr>
        <w:rFonts w:ascii="Wingdings" w:hAnsi="Wingdings" w:hint="default"/>
      </w:rPr>
    </w:lvl>
    <w:lvl w:ilvl="6" w:tentative="1">
      <w:start w:val="1"/>
      <w:numFmt w:val="bullet"/>
      <w:lvlText w:val=""/>
      <w:lvlJc w:val="left"/>
      <w:pPr>
        <w:ind w:left="5100" w:hanging="360"/>
      </w:pPr>
      <w:rPr>
        <w:rFonts w:ascii="Symbol" w:hAnsi="Symbol" w:hint="default"/>
      </w:rPr>
    </w:lvl>
    <w:lvl w:ilvl="7" w:tentative="1">
      <w:start w:val="1"/>
      <w:numFmt w:val="bullet"/>
      <w:lvlText w:val="o"/>
      <w:lvlJc w:val="left"/>
      <w:pPr>
        <w:ind w:left="5820" w:hanging="360"/>
      </w:pPr>
      <w:rPr>
        <w:rFonts w:ascii="Courier New" w:hAnsi="Courier New" w:cs="Times New Roman Bold" w:hint="default"/>
      </w:rPr>
    </w:lvl>
    <w:lvl w:ilvl="8" w:tentative="1">
      <w:start w:val="1"/>
      <w:numFmt w:val="bullet"/>
      <w:lvlText w:val=""/>
      <w:lvlJc w:val="left"/>
      <w:pPr>
        <w:ind w:left="6540" w:hanging="360"/>
      </w:pPr>
      <w:rPr>
        <w:rFonts w:ascii="Wingdings" w:hAnsi="Wingdings" w:hint="default"/>
      </w:rPr>
    </w:lvl>
  </w:abstractNum>
  <w:abstractNum w:abstractNumId="1">
    <w:nsid w:val="07BC5696"/>
    <w:multiLevelType w:val="multilevel"/>
    <w:tmpl w:val="5274BDF0"/>
    <w:styleLink w:val="StyleBulletedLatinCourierNewLeft075Hanging0252"/>
    <w:lvl w:ilvl="0">
      <w:start w:val="1"/>
      <w:numFmt w:val="bullet"/>
      <w:lvlText w:val="o"/>
      <w:lvlJc w:val="left"/>
      <w:pPr>
        <w:ind w:left="720" w:hanging="360"/>
      </w:pPr>
      <w:rPr>
        <w:rFonts w:ascii="Times New Roman" w:hAnsi="Times New Roman" w:cs="Times New Roman Bold" w:hint="default"/>
      </w:rPr>
    </w:lvl>
    <w:lvl w:ilvl="1">
      <w:start w:val="1"/>
      <w:numFmt w:val="bullet"/>
      <w:lvlText w:val="o"/>
      <w:lvlJc w:val="left"/>
      <w:pPr>
        <w:ind w:left="1440" w:hanging="360"/>
      </w:pPr>
      <w:rPr>
        <w:rFonts w:ascii="Courier New" w:hAnsi="Courier New"/>
        <w:kern w:val="28"/>
        <w:sz w:val="22"/>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Times New Roman Bold"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Times New Roman Bold" w:hint="default"/>
      </w:rPr>
    </w:lvl>
    <w:lvl w:ilvl="8">
      <w:start w:val="1"/>
      <w:numFmt w:val="bullet"/>
      <w:lvlText w:val=""/>
      <w:lvlJc w:val="left"/>
      <w:pPr>
        <w:ind w:left="6480" w:hanging="360"/>
      </w:pPr>
      <w:rPr>
        <w:rFonts w:ascii="Wingdings" w:hAnsi="Wingdings" w:hint="default"/>
      </w:rPr>
    </w:lvl>
  </w:abstractNum>
  <w:abstractNum w:abstractNumId="2">
    <w:nsid w:val="084B453C"/>
    <w:multiLevelType w:val="singleLevel"/>
    <w:tmpl w:val="40A8E97A"/>
    <w:lvl w:ilvl="0">
      <w:start w:val="1"/>
      <w:numFmt w:val="decimal"/>
      <w:lvlText w:val="%1."/>
      <w:lvlJc w:val="left"/>
      <w:pPr>
        <w:tabs>
          <w:tab w:val="num" w:pos="1080"/>
        </w:tabs>
        <w:ind w:left="0" w:firstLine="720"/>
      </w:pPr>
    </w:lvl>
  </w:abstractNum>
  <w:abstractNum w:abstractNumId="3">
    <w:nsid w:val="1C6F1456"/>
    <w:multiLevelType w:val="multilevel"/>
    <w:tmpl w:val="5274BDF0"/>
    <w:numStyleLink w:val="StyleBulletedLatinCourierNewLeft075Hanging0252"/>
  </w:abstractNum>
  <w:abstractNum w:abstractNumId="4">
    <w:nsid w:val="23F40A0F"/>
    <w:multiLevelType w:val="singleLevel"/>
    <w:tmpl w:val="3244DD0A"/>
    <w:lvl w:ilvl="0">
      <w:start w:val="1"/>
      <w:numFmt w:val="bullet"/>
      <w:lvlText w:val=""/>
      <w:lvlJc w:val="left"/>
      <w:pPr>
        <w:tabs>
          <w:tab w:val="num" w:pos="360"/>
        </w:tabs>
        <w:ind w:left="360" w:hanging="360"/>
      </w:pPr>
      <w:rPr>
        <w:rFonts w:ascii="Symbol" w:hAnsi="Symbol" w:hint="default"/>
      </w:rPr>
    </w:lvl>
  </w:abstractNum>
  <w:abstractNum w:abstractNumId="5">
    <w:nsid w:val="248246F3"/>
    <w:multiLevelType w:val="singleLevel"/>
    <w:tmpl w:val="B1F45678"/>
    <w:lvl w:ilvl="0">
      <w:start w:val="1"/>
      <w:numFmt w:val="decimal"/>
      <w:lvlText w:val="%1."/>
      <w:lvlJc w:val="left"/>
      <w:pPr>
        <w:tabs>
          <w:tab w:val="num" w:pos="1080"/>
        </w:tabs>
        <w:ind w:left="0" w:firstLine="720"/>
      </w:pPr>
    </w:lvl>
  </w:abstractNum>
  <w:abstractNum w:abstractNumId="6">
    <w:nsid w:val="27E06CBB"/>
    <w:multiLevelType w:val="multilevel"/>
    <w:tmpl w:val="F1A86982"/>
    <w:lvl w:ilvl="0">
      <w:start w:val="1"/>
      <w:numFmt w:val="upperRoman"/>
      <w:pStyle w:val="Heading1"/>
      <w:lvlText w:val="%1."/>
      <w:lvlJc w:val="left"/>
      <w:pPr>
        <w:tabs>
          <w:tab w:val="num" w:pos="720"/>
        </w:tabs>
        <w:ind w:left="720" w:hanging="720"/>
      </w:pPr>
    </w:lvl>
    <w:lvl w:ilvl="1">
      <w:start w:val="1"/>
      <w:numFmt w:val="upperLetter"/>
      <w:pStyle w:val="Heading2"/>
      <w:lvlText w:val="%2."/>
      <w:lvlJc w:val="left"/>
      <w:pPr>
        <w:tabs>
          <w:tab w:val="num" w:pos="1440"/>
        </w:tabs>
        <w:ind w:left="1440" w:hanging="720"/>
      </w:pPr>
    </w:lvl>
    <w:lvl w:ilvl="2">
      <w:start w:val="1"/>
      <w:numFmt w:val="decimal"/>
      <w:pStyle w:val="Heading3"/>
      <w:lvlText w:val="%3."/>
      <w:lvlJc w:val="left"/>
      <w:pPr>
        <w:tabs>
          <w:tab w:val="num" w:pos="2160"/>
        </w:tabs>
        <w:ind w:left="2160" w:hanging="720"/>
      </w:pPr>
    </w:lvl>
    <w:lvl w:ilvl="3">
      <w:start w:val="1"/>
      <w:numFmt w:val="lowerLetter"/>
      <w:pStyle w:val="Heading4"/>
      <w:lvlText w:val="%4."/>
      <w:lvlJc w:val="left"/>
      <w:pPr>
        <w:tabs>
          <w:tab w:val="num" w:pos="2880"/>
        </w:tabs>
        <w:ind w:left="2880" w:hanging="720"/>
      </w:pPr>
    </w:lvl>
    <w:lvl w:ilvl="4">
      <w:start w:val="1"/>
      <w:numFmt w:val="lowerRoman"/>
      <w:pStyle w:val="Heading5"/>
      <w:lvlText w:val="(%5)"/>
      <w:lvlJc w:val="left"/>
      <w:pPr>
        <w:tabs>
          <w:tab w:val="num" w:pos="3600"/>
        </w:tabs>
        <w:ind w:left="3600" w:hanging="720"/>
      </w:pPr>
    </w:lvl>
    <w:lvl w:ilvl="5">
      <w:start w:val="1"/>
      <w:numFmt w:val="lowerLetter"/>
      <w:pStyle w:val="Heading6"/>
      <w:lvlText w:val="(%6)"/>
      <w:lvlJc w:val="left"/>
      <w:pPr>
        <w:tabs>
          <w:tab w:val="num" w:pos="4320"/>
        </w:tabs>
        <w:ind w:left="4320" w:hanging="720"/>
      </w:pPr>
    </w:lvl>
    <w:lvl w:ilvl="6">
      <w:start w:val="1"/>
      <w:numFmt w:val="lowerRoman"/>
      <w:pStyle w:val="Heading7"/>
      <w:lvlText w:val="(%7)"/>
      <w:lvlJc w:val="left"/>
      <w:pPr>
        <w:tabs>
          <w:tab w:val="num" w:pos="5040"/>
        </w:tabs>
        <w:ind w:left="4320" w:firstLine="0"/>
      </w:pPr>
    </w:lvl>
    <w:lvl w:ilvl="7">
      <w:start w:val="1"/>
      <w:numFmt w:val="lowerLetter"/>
      <w:pStyle w:val="Heading8"/>
      <w:lvlText w:val="(%8)"/>
      <w:lvlJc w:val="left"/>
      <w:pPr>
        <w:tabs>
          <w:tab w:val="num" w:pos="5400"/>
        </w:tabs>
        <w:ind w:left="5040" w:firstLine="0"/>
      </w:pPr>
    </w:lvl>
    <w:lvl w:ilvl="8">
      <w:start w:val="1"/>
      <w:numFmt w:val="lowerRoman"/>
      <w:pStyle w:val="Heading9"/>
      <w:lvlText w:val="(%9)"/>
      <w:lvlJc w:val="left"/>
      <w:pPr>
        <w:tabs>
          <w:tab w:val="num" w:pos="6120"/>
        </w:tabs>
        <w:ind w:left="5760" w:firstLine="0"/>
      </w:pPr>
    </w:lvl>
  </w:abstractNum>
  <w:abstractNum w:abstractNumId="7">
    <w:nsid w:val="4DF61CE4"/>
    <w:multiLevelType w:val="multilevel"/>
    <w:tmpl w:val="F1A86982"/>
    <w:lvl w:ilvl="0">
      <w:start w:val="1"/>
      <w:numFmt w:val="upperRoman"/>
      <w:lvlText w:val="%1."/>
      <w:lvlJc w:val="left"/>
      <w:pPr>
        <w:tabs>
          <w:tab w:val="num" w:pos="720"/>
        </w:tabs>
        <w:ind w:left="720" w:hanging="720"/>
      </w:pPr>
    </w:lvl>
    <w:lvl w:ilvl="1">
      <w:start w:val="1"/>
      <w:numFmt w:val="upperLetter"/>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lowerLetter"/>
      <w:lvlText w:val="%4."/>
      <w:lvlJc w:val="left"/>
      <w:pPr>
        <w:tabs>
          <w:tab w:val="num" w:pos="2880"/>
        </w:tabs>
        <w:ind w:left="2880" w:hanging="720"/>
      </w:pPr>
    </w:lvl>
    <w:lvl w:ilvl="4">
      <w:start w:val="1"/>
      <w:numFmt w:val="lowerRoman"/>
      <w:lvlText w:val="(%5)"/>
      <w:lvlJc w:val="left"/>
      <w:pPr>
        <w:tabs>
          <w:tab w:val="num" w:pos="3600"/>
        </w:tabs>
        <w:ind w:left="3600" w:hanging="720"/>
      </w:pPr>
    </w:lvl>
    <w:lvl w:ilvl="5">
      <w:start w:val="1"/>
      <w:numFmt w:val="lowerLetter"/>
      <w:lvlText w:val="(%6)"/>
      <w:lvlJc w:val="left"/>
      <w:pPr>
        <w:tabs>
          <w:tab w:val="num" w:pos="4320"/>
        </w:tabs>
        <w:ind w:left="4320" w:hanging="720"/>
      </w:pPr>
    </w:lvl>
    <w:lvl w:ilvl="6">
      <w:start w:val="1"/>
      <w:numFmt w:val="lowerRoman"/>
      <w:lvlText w:val="(%7)"/>
      <w:lvlJc w:val="left"/>
      <w:pPr>
        <w:tabs>
          <w:tab w:val="num" w:pos="5040"/>
        </w:tabs>
        <w:ind w:left="4320" w:firstLine="0"/>
      </w:pPr>
    </w:lvl>
    <w:lvl w:ilvl="7">
      <w:start w:val="1"/>
      <w:numFmt w:val="lowerLetter"/>
      <w:lvlText w:val="(%8)"/>
      <w:lvlJc w:val="left"/>
      <w:pPr>
        <w:tabs>
          <w:tab w:val="num" w:pos="5400"/>
        </w:tabs>
        <w:ind w:left="5040" w:firstLine="0"/>
      </w:pPr>
    </w:lvl>
    <w:lvl w:ilvl="8">
      <w:start w:val="1"/>
      <w:numFmt w:val="lowerRoman"/>
      <w:lvlText w:val="(%9)"/>
      <w:lvlJc w:val="left"/>
      <w:pPr>
        <w:tabs>
          <w:tab w:val="num" w:pos="6120"/>
        </w:tabs>
        <w:ind w:left="5760" w:firstLine="0"/>
      </w:pPr>
    </w:lvl>
  </w:abstractNum>
  <w:abstractNum w:abstractNumId="8">
    <w:nsid w:val="5CD7627A"/>
    <w:multiLevelType w:val="multilevel"/>
    <w:tmpl w:val="5274BDF0"/>
    <w:numStyleLink w:val="StyleBulletedLatinCourierNewLeft075Hanging0252"/>
  </w:abstractNum>
  <w:abstractNum w:abstractNumId="9">
    <w:nsid w:val="61182925"/>
    <w:multiLevelType w:val="singleLevel"/>
    <w:tmpl w:val="D180CED0"/>
    <w:lvl w:ilvl="0">
      <w:start w:val="1"/>
      <w:numFmt w:val="decimal"/>
      <w:pStyle w:val="ParaNum"/>
      <w:lvlText w:val="%1."/>
      <w:lvlJc w:val="left"/>
      <w:pPr>
        <w:tabs>
          <w:tab w:val="num" w:pos="1080"/>
        </w:tabs>
        <w:ind w:left="0" w:firstLine="720"/>
      </w:pPr>
    </w:lvl>
  </w:abstractNum>
  <w:num w:numId="1" w16cid:durableId="1655987984">
    <w:abstractNumId w:val="4"/>
  </w:num>
  <w:num w:numId="2" w16cid:durableId="847716036">
    <w:abstractNumId w:val="9"/>
  </w:num>
  <w:num w:numId="3" w16cid:durableId="25907297">
    <w:abstractNumId w:val="6"/>
  </w:num>
  <w:num w:numId="4" w16cid:durableId="1284776188">
    <w:abstractNumId w:val="7"/>
  </w:num>
  <w:num w:numId="5" w16cid:durableId="354043566">
    <w:abstractNumId w:val="5"/>
  </w:num>
  <w:num w:numId="6" w16cid:durableId="1427113382">
    <w:abstractNumId w:val="2"/>
  </w:num>
  <w:num w:numId="7" w16cid:durableId="1316374577">
    <w:abstractNumId w:val="0"/>
  </w:num>
  <w:num w:numId="8" w16cid:durableId="1087191705">
    <w:abstractNumId w:val="1"/>
  </w:num>
  <w:num w:numId="9" w16cid:durableId="1129199256">
    <w:abstractNumId w:val="8"/>
  </w:num>
  <w:num w:numId="10" w16cid:durableId="416709177">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bordersDoNotSurroundHeader/>
  <w:bordersDoNotSurroundFooter/>
  <w:attachedTemplate r:id="rId1"/>
  <w:linkStyles/>
  <w:stylePaneFormatFilter w:val="3F01" w:allStyles="1" w:alternateStyleNames="0" w:clearFormatting="1" w:customStyles="0" w:directFormattingOnNumbering="1" w:directFormattingOnParagraphs="1" w:directFormattingOnRuns="1" w:directFormattingOnTables="1" w:headingStyles="0" w:latentStyles="0" w:numberingStyles="0" w:stylesInUse="0" w:tableStyles="0" w:top3HeadingStyles="1" w:visibleStyles="0"/>
  <w:doNotTrackMoves/>
  <w:defaultTabStop w:val="720"/>
  <w:hyphenationZone w:val="950"/>
  <w:doNotHyphenateCaps/>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footnotePr>
    <w:footnote w:id="0"/>
    <w:footnote w:id="1"/>
    <w:footnote w:id="2"/>
  </w:footnotePr>
  <w:endnotePr>
    <w:numFmt w:val="decimal"/>
    <w:endnote w:id="0"/>
    <w:endnote w:id="1"/>
    <w:endnote w:id="2"/>
  </w:endnotePr>
  <w:compat>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C29FA"/>
    <w:rsid w:val="00002F65"/>
    <w:rsid w:val="00033AE8"/>
    <w:rsid w:val="000445BD"/>
    <w:rsid w:val="00045A31"/>
    <w:rsid w:val="000531BB"/>
    <w:rsid w:val="000A2801"/>
    <w:rsid w:val="000B3A68"/>
    <w:rsid w:val="000B4090"/>
    <w:rsid w:val="000B55A8"/>
    <w:rsid w:val="000B7C6E"/>
    <w:rsid w:val="000E451F"/>
    <w:rsid w:val="000F7936"/>
    <w:rsid w:val="0012197E"/>
    <w:rsid w:val="00132CF0"/>
    <w:rsid w:val="0013484D"/>
    <w:rsid w:val="00144E10"/>
    <w:rsid w:val="00146177"/>
    <w:rsid w:val="00165CF0"/>
    <w:rsid w:val="001839E2"/>
    <w:rsid w:val="00191543"/>
    <w:rsid w:val="001933F7"/>
    <w:rsid w:val="002A54D4"/>
    <w:rsid w:val="002D5F5A"/>
    <w:rsid w:val="002E3CFE"/>
    <w:rsid w:val="002E77C8"/>
    <w:rsid w:val="003105E8"/>
    <w:rsid w:val="0033400D"/>
    <w:rsid w:val="003351E9"/>
    <w:rsid w:val="003775EE"/>
    <w:rsid w:val="003B0753"/>
    <w:rsid w:val="003B31D6"/>
    <w:rsid w:val="003C3B0D"/>
    <w:rsid w:val="003D7B79"/>
    <w:rsid w:val="003E7C8F"/>
    <w:rsid w:val="003F6F6D"/>
    <w:rsid w:val="0040448F"/>
    <w:rsid w:val="00430183"/>
    <w:rsid w:val="0044174C"/>
    <w:rsid w:val="00441DCB"/>
    <w:rsid w:val="0045370C"/>
    <w:rsid w:val="004C1D05"/>
    <w:rsid w:val="004C29FA"/>
    <w:rsid w:val="004D629A"/>
    <w:rsid w:val="004E11A1"/>
    <w:rsid w:val="00527916"/>
    <w:rsid w:val="0055244B"/>
    <w:rsid w:val="005950AA"/>
    <w:rsid w:val="005A3B03"/>
    <w:rsid w:val="005A4851"/>
    <w:rsid w:val="005C6481"/>
    <w:rsid w:val="00601162"/>
    <w:rsid w:val="006027E2"/>
    <w:rsid w:val="006264AC"/>
    <w:rsid w:val="00650791"/>
    <w:rsid w:val="00676F70"/>
    <w:rsid w:val="00684CF2"/>
    <w:rsid w:val="0068664F"/>
    <w:rsid w:val="00693173"/>
    <w:rsid w:val="006F074E"/>
    <w:rsid w:val="006F6297"/>
    <w:rsid w:val="00783002"/>
    <w:rsid w:val="007A778F"/>
    <w:rsid w:val="007C1A09"/>
    <w:rsid w:val="007E102A"/>
    <w:rsid w:val="007F3D34"/>
    <w:rsid w:val="00801F23"/>
    <w:rsid w:val="00802517"/>
    <w:rsid w:val="008227F8"/>
    <w:rsid w:val="00840253"/>
    <w:rsid w:val="008515E1"/>
    <w:rsid w:val="008C7188"/>
    <w:rsid w:val="0090682B"/>
    <w:rsid w:val="009170A2"/>
    <w:rsid w:val="00972420"/>
    <w:rsid w:val="009B7F68"/>
    <w:rsid w:val="009C1C2B"/>
    <w:rsid w:val="009C2229"/>
    <w:rsid w:val="009C2864"/>
    <w:rsid w:val="009D28D7"/>
    <w:rsid w:val="009D5AB2"/>
    <w:rsid w:val="009E6142"/>
    <w:rsid w:val="00A20679"/>
    <w:rsid w:val="00A3787A"/>
    <w:rsid w:val="00A61D6B"/>
    <w:rsid w:val="00A72565"/>
    <w:rsid w:val="00A81B0D"/>
    <w:rsid w:val="00AA0D02"/>
    <w:rsid w:val="00AA3BDE"/>
    <w:rsid w:val="00AA56EC"/>
    <w:rsid w:val="00AA64FF"/>
    <w:rsid w:val="00AB0F18"/>
    <w:rsid w:val="00AB3941"/>
    <w:rsid w:val="00AC2E1A"/>
    <w:rsid w:val="00B06032"/>
    <w:rsid w:val="00BA3BA8"/>
    <w:rsid w:val="00BA69C1"/>
    <w:rsid w:val="00BF4210"/>
    <w:rsid w:val="00BF6D0C"/>
    <w:rsid w:val="00C15A29"/>
    <w:rsid w:val="00C21F86"/>
    <w:rsid w:val="00C32710"/>
    <w:rsid w:val="00C61F17"/>
    <w:rsid w:val="00C94E5C"/>
    <w:rsid w:val="00C97A7A"/>
    <w:rsid w:val="00CD010D"/>
    <w:rsid w:val="00CE1B54"/>
    <w:rsid w:val="00CF28A3"/>
    <w:rsid w:val="00D34799"/>
    <w:rsid w:val="00D55ED7"/>
    <w:rsid w:val="00D6462C"/>
    <w:rsid w:val="00D83832"/>
    <w:rsid w:val="00D94810"/>
    <w:rsid w:val="00D96B83"/>
    <w:rsid w:val="00D97042"/>
    <w:rsid w:val="00E471AB"/>
    <w:rsid w:val="00E612E2"/>
    <w:rsid w:val="00E629F1"/>
    <w:rsid w:val="00E63CCB"/>
    <w:rsid w:val="00E73276"/>
    <w:rsid w:val="00E9753B"/>
    <w:rsid w:val="00EA28D8"/>
    <w:rsid w:val="00EC7E3E"/>
    <w:rsid w:val="00EF4434"/>
    <w:rsid w:val="00EF466B"/>
    <w:rsid w:val="00F03EA1"/>
    <w:rsid w:val="00F12671"/>
    <w:rsid w:val="00F30B47"/>
    <w:rsid w:val="00F36C59"/>
    <w:rsid w:val="00F568EF"/>
    <w:rsid w:val="00F66BA2"/>
    <w:rsid w:val="00F76A98"/>
    <w:rsid w:val="00F812A1"/>
    <w:rsid w:val="00FA5B86"/>
    <w:rsid w:val="00FB55ED"/>
    <w:rsid w:val="00FD7AC3"/>
    <w:rsid w:val="00FF4C98"/>
    <w:rsid w:val="05ED6A30"/>
    <w:rsid w:val="0D33583A"/>
    <w:rsid w:val="6611CE7E"/>
  </w:rsids>
  <m:mathPr>
    <m:mathFont m:val="Cambria Math"/>
  </m:mathPr>
  <w:themeFontLang w:val="en-US"/>
  <w:clrSchemeMapping w:bg1="light1" w:t1="dark1" w:bg2="light2" w:t2="dark2" w:accent1="accent1" w:accent2="accent2" w:accent3="accent3" w:accent4="accent4" w:accent5="accent5" w:accent6="accent6" w:hyperlink="hyperlink" w:followedHyperlink="followedHyperlink"/>
  <w:doNotIncludeSubdocsInStats/>
  <w14:docId w14:val="05190C92"/>
  <w15:chartTrackingRefBased/>
  <w15:docId w15:val="{52621974-27EC-4EC8-B6B0-3E99E3893F5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nhideWhenUsed="1"/>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44174C"/>
    <w:pPr>
      <w:widowControl w:val="0"/>
    </w:pPr>
    <w:rPr>
      <w:snapToGrid w:val="0"/>
      <w:kern w:val="28"/>
      <w:sz w:val="22"/>
    </w:rPr>
  </w:style>
  <w:style w:type="paragraph" w:styleId="Heading1">
    <w:name w:val="heading 1"/>
    <w:basedOn w:val="Normal"/>
    <w:next w:val="ParaNum"/>
    <w:qFormat/>
    <w:rsid w:val="0044174C"/>
    <w:pPr>
      <w:keepNext/>
      <w:numPr>
        <w:numId w:val="3"/>
      </w:numPr>
      <w:tabs>
        <w:tab w:val="left" w:pos="720"/>
      </w:tabs>
      <w:suppressAutoHyphens/>
      <w:spacing w:after="120"/>
      <w:outlineLvl w:val="0"/>
    </w:pPr>
    <w:rPr>
      <w:rFonts w:ascii="Times New Roman Bold" w:hAnsi="Times New Roman Bold"/>
      <w:b/>
      <w:caps/>
    </w:rPr>
  </w:style>
  <w:style w:type="paragraph" w:styleId="Heading2">
    <w:name w:val="heading 2"/>
    <w:basedOn w:val="Normal"/>
    <w:next w:val="ParaNum"/>
    <w:autoRedefine/>
    <w:qFormat/>
    <w:rsid w:val="0044174C"/>
    <w:pPr>
      <w:keepNext/>
      <w:numPr>
        <w:ilvl w:val="1"/>
        <w:numId w:val="3"/>
      </w:numPr>
      <w:spacing w:after="120"/>
      <w:outlineLvl w:val="1"/>
    </w:pPr>
    <w:rPr>
      <w:b/>
    </w:rPr>
  </w:style>
  <w:style w:type="paragraph" w:styleId="Heading3">
    <w:name w:val="heading 3"/>
    <w:basedOn w:val="Normal"/>
    <w:next w:val="ParaNum"/>
    <w:qFormat/>
    <w:rsid w:val="0044174C"/>
    <w:pPr>
      <w:keepNext/>
      <w:numPr>
        <w:ilvl w:val="2"/>
        <w:numId w:val="3"/>
      </w:numPr>
      <w:tabs>
        <w:tab w:val="left" w:pos="2160"/>
      </w:tabs>
      <w:spacing w:after="120"/>
      <w:outlineLvl w:val="2"/>
    </w:pPr>
    <w:rPr>
      <w:b/>
    </w:rPr>
  </w:style>
  <w:style w:type="paragraph" w:styleId="Heading4">
    <w:name w:val="heading 4"/>
    <w:basedOn w:val="Normal"/>
    <w:next w:val="ParaNum"/>
    <w:qFormat/>
    <w:rsid w:val="0044174C"/>
    <w:pPr>
      <w:keepNext/>
      <w:numPr>
        <w:ilvl w:val="3"/>
        <w:numId w:val="3"/>
      </w:numPr>
      <w:tabs>
        <w:tab w:val="left" w:pos="2880"/>
      </w:tabs>
      <w:spacing w:after="120"/>
      <w:outlineLvl w:val="3"/>
    </w:pPr>
    <w:rPr>
      <w:b/>
    </w:rPr>
  </w:style>
  <w:style w:type="paragraph" w:styleId="Heading5">
    <w:name w:val="heading 5"/>
    <w:basedOn w:val="Normal"/>
    <w:next w:val="ParaNum"/>
    <w:qFormat/>
    <w:rsid w:val="0044174C"/>
    <w:pPr>
      <w:keepNext/>
      <w:numPr>
        <w:ilvl w:val="4"/>
        <w:numId w:val="3"/>
      </w:numPr>
      <w:tabs>
        <w:tab w:val="left" w:pos="3600"/>
      </w:tabs>
      <w:suppressAutoHyphens/>
      <w:spacing w:after="120"/>
      <w:outlineLvl w:val="4"/>
    </w:pPr>
    <w:rPr>
      <w:b/>
    </w:rPr>
  </w:style>
  <w:style w:type="paragraph" w:styleId="Heading6">
    <w:name w:val="heading 6"/>
    <w:basedOn w:val="Normal"/>
    <w:next w:val="ParaNum"/>
    <w:qFormat/>
    <w:rsid w:val="0044174C"/>
    <w:pPr>
      <w:numPr>
        <w:ilvl w:val="5"/>
        <w:numId w:val="3"/>
      </w:numPr>
      <w:tabs>
        <w:tab w:val="left" w:pos="4320"/>
      </w:tabs>
      <w:spacing w:after="120"/>
      <w:outlineLvl w:val="5"/>
    </w:pPr>
    <w:rPr>
      <w:b/>
    </w:rPr>
  </w:style>
  <w:style w:type="paragraph" w:styleId="Heading7">
    <w:name w:val="heading 7"/>
    <w:basedOn w:val="Normal"/>
    <w:next w:val="ParaNum"/>
    <w:qFormat/>
    <w:rsid w:val="0044174C"/>
    <w:pPr>
      <w:numPr>
        <w:ilvl w:val="6"/>
        <w:numId w:val="3"/>
      </w:numPr>
      <w:tabs>
        <w:tab w:val="left" w:pos="5040"/>
      </w:tabs>
      <w:spacing w:after="120"/>
      <w:ind w:left="5040" w:hanging="720"/>
      <w:outlineLvl w:val="6"/>
    </w:pPr>
    <w:rPr>
      <w:b/>
    </w:rPr>
  </w:style>
  <w:style w:type="paragraph" w:styleId="Heading8">
    <w:name w:val="heading 8"/>
    <w:basedOn w:val="Normal"/>
    <w:next w:val="ParaNum"/>
    <w:qFormat/>
    <w:rsid w:val="0044174C"/>
    <w:pPr>
      <w:numPr>
        <w:ilvl w:val="7"/>
        <w:numId w:val="3"/>
      </w:numPr>
      <w:tabs>
        <w:tab w:val="clear" w:pos="5400"/>
        <w:tab w:val="left" w:pos="5760"/>
      </w:tabs>
      <w:spacing w:after="120"/>
      <w:ind w:left="5760" w:hanging="720"/>
      <w:outlineLvl w:val="7"/>
    </w:pPr>
    <w:rPr>
      <w:b/>
    </w:rPr>
  </w:style>
  <w:style w:type="paragraph" w:styleId="Heading9">
    <w:name w:val="heading 9"/>
    <w:basedOn w:val="Normal"/>
    <w:next w:val="ParaNum"/>
    <w:qFormat/>
    <w:rsid w:val="0044174C"/>
    <w:pPr>
      <w:numPr>
        <w:ilvl w:val="8"/>
        <w:numId w:val="3"/>
      </w:numPr>
      <w:tabs>
        <w:tab w:val="clear" w:pos="6120"/>
        <w:tab w:val="left" w:pos="6480"/>
      </w:tabs>
      <w:spacing w:after="120"/>
      <w:ind w:left="6480" w:hanging="720"/>
      <w:outlineLvl w:val="8"/>
    </w:pPr>
    <w:rPr>
      <w:b/>
    </w:rPr>
  </w:style>
  <w:style w:type="character" w:default="1" w:styleId="DefaultParagraphFont">
    <w:name w:val="Default Paragraph Font"/>
    <w:uiPriority w:val="1"/>
    <w:semiHidden/>
    <w:rsid w:val="0044174C"/>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rsid w:val="0044174C"/>
  </w:style>
  <w:style w:type="paragraph" w:customStyle="1" w:styleId="ParaNum">
    <w:name w:val="ParaNum"/>
    <w:basedOn w:val="Normal"/>
    <w:link w:val="ParaNumChar"/>
    <w:rsid w:val="0044174C"/>
    <w:pPr>
      <w:numPr>
        <w:numId w:val="2"/>
      </w:numPr>
      <w:tabs>
        <w:tab w:val="clear" w:pos="1080"/>
        <w:tab w:val="num" w:pos="1440"/>
      </w:tabs>
      <w:spacing w:after="120"/>
    </w:pPr>
  </w:style>
  <w:style w:type="paragraph" w:styleId="EndnoteText">
    <w:name w:val="endnote text"/>
    <w:basedOn w:val="Normal"/>
    <w:semiHidden/>
    <w:rsid w:val="0044174C"/>
    <w:rPr>
      <w:sz w:val="20"/>
    </w:rPr>
  </w:style>
  <w:style w:type="character" w:styleId="EndnoteReference">
    <w:name w:val="endnote reference"/>
    <w:semiHidden/>
    <w:rsid w:val="0044174C"/>
    <w:rPr>
      <w:vertAlign w:val="superscript"/>
    </w:rPr>
  </w:style>
  <w:style w:type="paragraph" w:styleId="FootnoteText">
    <w:name w:val="footnote text"/>
    <w:link w:val="FootnoteTextChar"/>
    <w:rsid w:val="0044174C"/>
    <w:pPr>
      <w:spacing w:after="120"/>
    </w:pPr>
  </w:style>
  <w:style w:type="character" w:styleId="FootnoteReference">
    <w:name w:val="footnote reference"/>
    <w:aliases w:val="(NECG) Footnote Reference,-E Funotenzeichen,A,Appel note de bas de p,FR,Footnote Reference/,Footnote Reference1,Ref,Style 1,Style 12,Style 124,Style 13,Style 17,Style 20,Style 3,Style 34,Style 4,Style 6,Style 7,Style 9,callout,fr,o"/>
    <w:rsid w:val="0044174C"/>
    <w:rPr>
      <w:rFonts w:ascii="Times New Roman" w:hAnsi="Times New Roman"/>
      <w:dstrike w:val="0"/>
      <w:color w:val="auto"/>
      <w:sz w:val="22"/>
      <w:vertAlign w:val="superscript"/>
    </w:rPr>
  </w:style>
  <w:style w:type="paragraph" w:styleId="TOC1">
    <w:name w:val="toc 1"/>
    <w:basedOn w:val="Normal"/>
    <w:next w:val="Normal"/>
    <w:uiPriority w:val="39"/>
    <w:rsid w:val="0044174C"/>
    <w:pPr>
      <w:tabs>
        <w:tab w:val="left" w:pos="360"/>
        <w:tab w:val="right" w:leader="dot" w:pos="9360"/>
      </w:tabs>
      <w:suppressAutoHyphens/>
      <w:ind w:left="360" w:right="720" w:hanging="360"/>
    </w:pPr>
    <w:rPr>
      <w:caps/>
      <w:noProof/>
    </w:rPr>
  </w:style>
  <w:style w:type="paragraph" w:styleId="TOC2">
    <w:name w:val="toc 2"/>
    <w:basedOn w:val="Normal"/>
    <w:next w:val="Normal"/>
    <w:semiHidden/>
    <w:rsid w:val="0044174C"/>
    <w:pPr>
      <w:tabs>
        <w:tab w:val="left" w:pos="720"/>
        <w:tab w:val="right" w:leader="dot" w:pos="9360"/>
      </w:tabs>
      <w:suppressAutoHyphens/>
      <w:ind w:left="720" w:right="720" w:hanging="360"/>
    </w:pPr>
    <w:rPr>
      <w:noProof/>
    </w:rPr>
  </w:style>
  <w:style w:type="paragraph" w:styleId="TOC3">
    <w:name w:val="toc 3"/>
    <w:basedOn w:val="Normal"/>
    <w:next w:val="Normal"/>
    <w:semiHidden/>
    <w:rsid w:val="0044174C"/>
    <w:pPr>
      <w:tabs>
        <w:tab w:val="left" w:pos="1080"/>
        <w:tab w:val="right" w:leader="dot" w:pos="9360"/>
      </w:tabs>
      <w:suppressAutoHyphens/>
      <w:ind w:left="1080" w:right="720" w:hanging="360"/>
    </w:pPr>
    <w:rPr>
      <w:noProof/>
    </w:rPr>
  </w:style>
  <w:style w:type="paragraph" w:styleId="TOC4">
    <w:name w:val="toc 4"/>
    <w:basedOn w:val="Normal"/>
    <w:next w:val="Normal"/>
    <w:autoRedefine/>
    <w:semiHidden/>
    <w:rsid w:val="0044174C"/>
    <w:pPr>
      <w:tabs>
        <w:tab w:val="left" w:pos="1440"/>
        <w:tab w:val="right" w:leader="dot" w:pos="9360"/>
      </w:tabs>
      <w:suppressAutoHyphens/>
      <w:ind w:left="1440" w:right="720" w:hanging="360"/>
    </w:pPr>
    <w:rPr>
      <w:noProof/>
    </w:rPr>
  </w:style>
  <w:style w:type="paragraph" w:styleId="TOC5">
    <w:name w:val="toc 5"/>
    <w:basedOn w:val="Normal"/>
    <w:next w:val="Normal"/>
    <w:autoRedefine/>
    <w:semiHidden/>
    <w:rsid w:val="0044174C"/>
    <w:pPr>
      <w:tabs>
        <w:tab w:val="left" w:pos="1800"/>
        <w:tab w:val="right" w:leader="dot" w:pos="9360"/>
      </w:tabs>
      <w:suppressAutoHyphens/>
      <w:ind w:left="1800" w:right="720" w:hanging="360"/>
    </w:pPr>
    <w:rPr>
      <w:noProof/>
    </w:rPr>
  </w:style>
  <w:style w:type="paragraph" w:styleId="TOC6">
    <w:name w:val="toc 6"/>
    <w:basedOn w:val="Normal"/>
    <w:next w:val="Normal"/>
    <w:autoRedefine/>
    <w:semiHidden/>
    <w:rsid w:val="0044174C"/>
    <w:pPr>
      <w:tabs>
        <w:tab w:val="left" w:pos="2160"/>
        <w:tab w:val="right" w:leader="dot" w:pos="9360"/>
      </w:tabs>
      <w:suppressAutoHyphens/>
      <w:ind w:left="2160" w:hanging="360"/>
    </w:pPr>
    <w:rPr>
      <w:noProof/>
    </w:rPr>
  </w:style>
  <w:style w:type="paragraph" w:styleId="TOC7">
    <w:name w:val="toc 7"/>
    <w:basedOn w:val="Normal"/>
    <w:next w:val="Normal"/>
    <w:autoRedefine/>
    <w:semiHidden/>
    <w:rsid w:val="0044174C"/>
    <w:pPr>
      <w:tabs>
        <w:tab w:val="left" w:pos="2520"/>
        <w:tab w:val="right" w:leader="dot" w:pos="9360"/>
      </w:tabs>
      <w:suppressAutoHyphens/>
      <w:ind w:left="2520" w:hanging="360"/>
    </w:pPr>
    <w:rPr>
      <w:noProof/>
    </w:rPr>
  </w:style>
  <w:style w:type="paragraph" w:styleId="TOC8">
    <w:name w:val="toc 8"/>
    <w:basedOn w:val="Normal"/>
    <w:next w:val="Normal"/>
    <w:autoRedefine/>
    <w:semiHidden/>
    <w:rsid w:val="0044174C"/>
    <w:pPr>
      <w:tabs>
        <w:tab w:val="left" w:pos="2880"/>
        <w:tab w:val="right" w:leader="dot" w:pos="9360"/>
      </w:tabs>
      <w:suppressAutoHyphens/>
      <w:ind w:left="2880" w:hanging="360"/>
    </w:pPr>
    <w:rPr>
      <w:noProof/>
    </w:rPr>
  </w:style>
  <w:style w:type="paragraph" w:styleId="TOC9">
    <w:name w:val="toc 9"/>
    <w:basedOn w:val="Normal"/>
    <w:next w:val="Normal"/>
    <w:autoRedefine/>
    <w:semiHidden/>
    <w:rsid w:val="0044174C"/>
    <w:pPr>
      <w:tabs>
        <w:tab w:val="left" w:pos="3240"/>
        <w:tab w:val="right" w:leader="dot" w:pos="9360"/>
      </w:tabs>
      <w:suppressAutoHyphens/>
      <w:ind w:left="3240" w:hanging="360"/>
    </w:pPr>
    <w:rPr>
      <w:noProof/>
    </w:rPr>
  </w:style>
  <w:style w:type="paragraph" w:styleId="TOAHeading">
    <w:name w:val="toa heading"/>
    <w:basedOn w:val="Normal"/>
    <w:next w:val="Normal"/>
    <w:semiHidden/>
    <w:rsid w:val="0044174C"/>
    <w:pPr>
      <w:tabs>
        <w:tab w:val="right" w:pos="9360"/>
      </w:tabs>
      <w:suppressAutoHyphens/>
    </w:pPr>
  </w:style>
  <w:style w:type="character" w:customStyle="1" w:styleId="EquationCaption">
    <w:name w:val="_Equation Caption"/>
    <w:rsid w:val="0044174C"/>
  </w:style>
  <w:style w:type="paragraph" w:styleId="Header">
    <w:name w:val="header"/>
    <w:basedOn w:val="Normal"/>
    <w:autoRedefine/>
    <w:rsid w:val="0044174C"/>
    <w:pPr>
      <w:tabs>
        <w:tab w:val="center" w:pos="4680"/>
        <w:tab w:val="right" w:pos="9360"/>
      </w:tabs>
    </w:pPr>
    <w:rPr>
      <w:rFonts w:ascii="Arial" w:hAnsi="Arial" w:cs="Arial"/>
      <w:b/>
      <w:sz w:val="96"/>
      <w:szCs w:val="96"/>
    </w:rPr>
  </w:style>
  <w:style w:type="paragraph" w:styleId="Footer">
    <w:name w:val="footer"/>
    <w:basedOn w:val="Normal"/>
    <w:link w:val="FooterChar"/>
    <w:uiPriority w:val="99"/>
    <w:rsid w:val="0044174C"/>
    <w:pPr>
      <w:tabs>
        <w:tab w:val="center" w:pos="4320"/>
        <w:tab w:val="right" w:pos="8640"/>
      </w:tabs>
    </w:pPr>
  </w:style>
  <w:style w:type="character" w:styleId="PageNumber">
    <w:name w:val="page number"/>
    <w:basedOn w:val="DefaultParagraphFont"/>
    <w:rsid w:val="0044174C"/>
  </w:style>
  <w:style w:type="paragraph" w:styleId="BlockText">
    <w:name w:val="Block Text"/>
    <w:basedOn w:val="Normal"/>
    <w:rsid w:val="0044174C"/>
    <w:pPr>
      <w:spacing w:after="240"/>
      <w:ind w:left="1440" w:right="1440"/>
    </w:pPr>
  </w:style>
  <w:style w:type="paragraph" w:customStyle="1" w:styleId="Paratitle">
    <w:name w:val="Para title"/>
    <w:basedOn w:val="Normal"/>
    <w:rsid w:val="0044174C"/>
    <w:pPr>
      <w:tabs>
        <w:tab w:val="center" w:pos="9270"/>
      </w:tabs>
      <w:spacing w:after="240"/>
    </w:pPr>
    <w:rPr>
      <w:spacing w:val="-2"/>
    </w:rPr>
  </w:style>
  <w:style w:type="paragraph" w:customStyle="1" w:styleId="Bullet">
    <w:name w:val="Bullet"/>
    <w:basedOn w:val="Normal"/>
    <w:rsid w:val="0044174C"/>
    <w:pPr>
      <w:numPr>
        <w:numId w:val="1"/>
      </w:numPr>
      <w:tabs>
        <w:tab w:val="clear" w:pos="360"/>
        <w:tab w:val="left" w:pos="2160"/>
      </w:tabs>
      <w:spacing w:after="220"/>
      <w:ind w:left="2160" w:hanging="720"/>
    </w:pPr>
  </w:style>
  <w:style w:type="paragraph" w:customStyle="1" w:styleId="TableFormat">
    <w:name w:val="TableFormat"/>
    <w:basedOn w:val="Bullet"/>
    <w:rsid w:val="0044174C"/>
    <w:pPr>
      <w:numPr>
        <w:numId w:val="0"/>
      </w:numPr>
      <w:tabs>
        <w:tab w:val="clear" w:pos="2160"/>
        <w:tab w:val="left" w:pos="5040"/>
      </w:tabs>
      <w:ind w:left="5040" w:hanging="3600"/>
    </w:pPr>
  </w:style>
  <w:style w:type="paragraph" w:customStyle="1" w:styleId="TOCTitle">
    <w:name w:val="TOC Title"/>
    <w:basedOn w:val="Normal"/>
    <w:rsid w:val="0044174C"/>
    <w:pPr>
      <w:spacing w:before="240" w:after="240"/>
      <w:jc w:val="center"/>
    </w:pPr>
    <w:rPr>
      <w:rFonts w:ascii="Times New Roman Bold" w:hAnsi="Times New Roman Bold"/>
      <w:b/>
      <w:caps/>
      <w:spacing w:val="-2"/>
    </w:rPr>
  </w:style>
  <w:style w:type="paragraph" w:customStyle="1" w:styleId="StyleBoldCentered">
    <w:name w:val="Style Bold Centered"/>
    <w:basedOn w:val="Normal"/>
    <w:rsid w:val="0044174C"/>
    <w:pPr>
      <w:jc w:val="center"/>
    </w:pPr>
    <w:rPr>
      <w:rFonts w:ascii="Times New Roman Bold" w:hAnsi="Times New Roman Bold"/>
      <w:b/>
      <w:bCs/>
      <w:caps/>
      <w:szCs w:val="22"/>
    </w:rPr>
  </w:style>
  <w:style w:type="character" w:styleId="Hyperlink">
    <w:name w:val="Hyperlink"/>
    <w:rsid w:val="0044174C"/>
    <w:rPr>
      <w:color w:val="0000FF"/>
      <w:u w:val="single"/>
    </w:rPr>
  </w:style>
  <w:style w:type="character" w:customStyle="1" w:styleId="FooterChar">
    <w:name w:val="Footer Char"/>
    <w:link w:val="Footer"/>
    <w:uiPriority w:val="99"/>
    <w:rsid w:val="0044174C"/>
    <w:rPr>
      <w:snapToGrid w:val="0"/>
      <w:kern w:val="28"/>
      <w:sz w:val="22"/>
    </w:rPr>
  </w:style>
  <w:style w:type="character" w:styleId="UnresolvedMention">
    <w:name w:val="Unresolved Mention"/>
    <w:uiPriority w:val="99"/>
    <w:semiHidden/>
    <w:unhideWhenUsed/>
    <w:rsid w:val="0044174C"/>
    <w:rPr>
      <w:color w:val="605E5C"/>
      <w:shd w:val="clear" w:color="auto" w:fill="E1DFDD"/>
    </w:rPr>
  </w:style>
  <w:style w:type="paragraph" w:customStyle="1" w:styleId="StyleBoldAfter6pt">
    <w:name w:val="Style Bold After:  6 pt"/>
    <w:basedOn w:val="Normal"/>
    <w:rsid w:val="00D97042"/>
    <w:rPr>
      <w:b/>
      <w:bCs/>
    </w:rPr>
  </w:style>
  <w:style w:type="character" w:customStyle="1" w:styleId="FootnoteTextChar">
    <w:name w:val="Footnote Text Char"/>
    <w:link w:val="FootnoteText"/>
    <w:rsid w:val="00D97042"/>
  </w:style>
  <w:style w:type="paragraph" w:styleId="BodyText">
    <w:name w:val="Body Text"/>
    <w:basedOn w:val="Normal"/>
    <w:link w:val="BodyTextChar1"/>
    <w:rsid w:val="00D97042"/>
    <w:pPr>
      <w:spacing w:after="120"/>
      <w:ind w:firstLine="720"/>
    </w:pPr>
    <w:rPr>
      <w:snapToGrid/>
      <w:kern w:val="0"/>
      <w:lang w:val="x-none" w:eastAsia="x-none"/>
    </w:rPr>
  </w:style>
  <w:style w:type="character" w:customStyle="1" w:styleId="BodyTextChar">
    <w:name w:val="Body Text Char"/>
    <w:uiPriority w:val="99"/>
    <w:semiHidden/>
    <w:rsid w:val="00D97042"/>
    <w:rPr>
      <w:snapToGrid w:val="0"/>
      <w:kern w:val="28"/>
      <w:sz w:val="22"/>
    </w:rPr>
  </w:style>
  <w:style w:type="character" w:customStyle="1" w:styleId="BodyTextChar1">
    <w:name w:val="Body Text Char1"/>
    <w:link w:val="BodyText"/>
    <w:rsid w:val="00D97042"/>
    <w:rPr>
      <w:sz w:val="22"/>
      <w:lang w:val="x-none" w:eastAsia="x-none"/>
    </w:rPr>
  </w:style>
  <w:style w:type="numbering" w:customStyle="1" w:styleId="StyleBulletedLatinCourierNewLeft075Hanging0252">
    <w:name w:val="Style Bulleted (Latin) Courier New Left:  0.75&quot; Hanging:  0.25&quot;...2"/>
    <w:basedOn w:val="NoList"/>
    <w:rsid w:val="00D97042"/>
    <w:pPr>
      <w:numPr>
        <w:numId w:val="8"/>
      </w:numPr>
    </w:pPr>
  </w:style>
  <w:style w:type="character" w:customStyle="1" w:styleId="ParaNumChar">
    <w:name w:val="ParaNum Char"/>
    <w:link w:val="ParaNum"/>
    <w:locked/>
    <w:rsid w:val="00D97042"/>
    <w:rPr>
      <w:snapToGrid w:val="0"/>
      <w:kern w:val="28"/>
      <w:sz w:val="22"/>
    </w:rPr>
  </w:style>
  <w:style w:type="paragraph" w:styleId="Revision">
    <w:name w:val="Revision"/>
    <w:hidden/>
    <w:uiPriority w:val="99"/>
    <w:semiHidden/>
    <w:rsid w:val="00BA69C1"/>
    <w:rPr>
      <w:snapToGrid w:val="0"/>
      <w:kern w:val="28"/>
      <w:sz w:val="22"/>
    </w:rPr>
  </w:style>
  <w:style w:type="character" w:styleId="CommentReference">
    <w:name w:val="annotation reference"/>
    <w:uiPriority w:val="99"/>
    <w:semiHidden/>
    <w:unhideWhenUsed/>
    <w:rsid w:val="009C2229"/>
    <w:rPr>
      <w:sz w:val="16"/>
      <w:szCs w:val="16"/>
    </w:rPr>
  </w:style>
  <w:style w:type="paragraph" w:styleId="CommentText">
    <w:name w:val="annotation text"/>
    <w:basedOn w:val="Normal"/>
    <w:link w:val="CommentTextChar"/>
    <w:uiPriority w:val="99"/>
    <w:unhideWhenUsed/>
    <w:rsid w:val="009C2229"/>
    <w:rPr>
      <w:sz w:val="20"/>
    </w:rPr>
  </w:style>
  <w:style w:type="character" w:customStyle="1" w:styleId="CommentTextChar">
    <w:name w:val="Comment Text Char"/>
    <w:link w:val="CommentText"/>
    <w:uiPriority w:val="99"/>
    <w:rsid w:val="009C2229"/>
    <w:rPr>
      <w:snapToGrid w:val="0"/>
      <w:kern w:val="28"/>
    </w:rPr>
  </w:style>
  <w:style w:type="paragraph" w:styleId="CommentSubject">
    <w:name w:val="annotation subject"/>
    <w:basedOn w:val="CommentText"/>
    <w:next w:val="CommentText"/>
    <w:link w:val="CommentSubjectChar"/>
    <w:uiPriority w:val="99"/>
    <w:semiHidden/>
    <w:unhideWhenUsed/>
    <w:rsid w:val="009C2229"/>
    <w:rPr>
      <w:b/>
      <w:bCs/>
    </w:rPr>
  </w:style>
  <w:style w:type="character" w:customStyle="1" w:styleId="CommentSubjectChar">
    <w:name w:val="Comment Subject Char"/>
    <w:link w:val="CommentSubject"/>
    <w:uiPriority w:val="99"/>
    <w:semiHidden/>
    <w:rsid w:val="009C2229"/>
    <w:rPr>
      <w:b/>
      <w:bCs/>
      <w:snapToGrid w:val="0"/>
      <w:kern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webSettings>
</file>

<file path=word/_rels/document.xml.rels><?xml version="1.0" encoding="utf-8" standalone="yes"?><Relationships xmlns="http://schemas.openxmlformats.org/package/2006/relationships"><Relationship Id="rId1" Type="http://schemas.openxmlformats.org/officeDocument/2006/relationships/footnotes" Target="footnotes.xml" /><Relationship Id="rId10" Type="http://schemas.openxmlformats.org/officeDocument/2006/relationships/footer" Target="footer1.xml" /><Relationship Id="rId11" Type="http://schemas.openxmlformats.org/officeDocument/2006/relationships/footer" Target="footer2.xml" /><Relationship Id="rId12" Type="http://schemas.openxmlformats.org/officeDocument/2006/relationships/header" Target="header2.xml" /><Relationship Id="rId13" Type="http://schemas.openxmlformats.org/officeDocument/2006/relationships/footer" Target="footer3.xml" /><Relationship Id="rId14" Type="http://schemas.openxmlformats.org/officeDocument/2006/relationships/theme" Target="theme/theme1.xml" /><Relationship Id="rId15" Type="http://schemas.openxmlformats.org/officeDocument/2006/relationships/numbering" Target="numbering.xml" /><Relationship Id="rId16" Type="http://schemas.openxmlformats.org/officeDocument/2006/relationships/styles" Target="styles.xml" /><Relationship Id="rId2" Type="http://schemas.openxmlformats.org/officeDocument/2006/relationships/endnotes" Target="endnot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ntTable" Target="fontTable.xml" /><Relationship Id="rId6" Type="http://schemas.openxmlformats.org/officeDocument/2006/relationships/hyperlink" Target="https://www.fcc.gov/ecfs/filings" TargetMode="External" /><Relationship Id="rId7" Type="http://schemas.openxmlformats.org/officeDocument/2006/relationships/hyperlink" Target="mailto:fcc504@fcc.gov" TargetMode="External" /><Relationship Id="rId8" Type="http://schemas.openxmlformats.org/officeDocument/2006/relationships/hyperlink" Target="mailto:Stephen.Wang@fcc.gov" TargetMode="External" /><Relationship Id="rId9" Type="http://schemas.openxmlformats.org/officeDocument/2006/relationships/header" Target="header1.xml" /></Relationships>
</file>

<file path=word/_rels/footnotes.xml.rels><?xml version="1.0" encoding="utf-8" standalone="yes"?><Relationships xmlns="http://schemas.openxmlformats.org/package/2006/relationships"><Relationship Id="rId1" Type="http://schemas.openxmlformats.org/officeDocument/2006/relationships/hyperlink" Target="https://www.fcc.gov/ecfs/document/10504140406416/1" TargetMode="External" /></Relationships>
</file>

<file path=word/_rels/header2.xml.rels><?xml version="1.0" encoding="utf-8" standalone="yes"?><Relationships xmlns="http://schemas.openxmlformats.org/package/2006/relationships"><Relationship Id="rId1" Type="http://schemas.openxmlformats.org/officeDocument/2006/relationships/image" Target="media/image1.png" /></Relationships>
</file>

<file path=word/_rels/settings.xml.rels><?xml version="1.0" encoding="utf-8" standalone="yes"?><Relationships xmlns="http://schemas.openxmlformats.org/package/2006/relationships"><Relationship Id="rId1" Type="http://schemas.openxmlformats.org/officeDocument/2006/relationships/attachedTemplate" Target="file:///C:\Users\Michael.Scott\FCC\FCC%20-%20NAL\Form\OS%20Process\Public%20Notice%20Portrait.dot" TargetMode="Externa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Public Notice Portrait.dot</Template>
  <TotalTime>0</TotalTime>
  <Pages>0</Pages>
  <Words>0</Words>
  <Characters>0</Characters>
  <Application>Microsoft Office Word</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0</cp:revision>
</cp:coreProperties>
</file>