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 Generated by Aspose.Words for Java 24.11.0 -->
  <w:body>
    <w:p w:rsidR="00EE1112" w:rsidRPr="005A132C" w:rsidP="00B42271" w14:paraId="4706FADA" w14:textId="471E36B2">
      <w:pPr>
        <w:jc w:val="right"/>
        <w:rPr>
          <w:b/>
          <w:szCs w:val="22"/>
        </w:rPr>
      </w:pPr>
      <w:r w:rsidRPr="005A132C">
        <w:rPr>
          <w:b/>
          <w:szCs w:val="22"/>
        </w:rPr>
        <w:t>DA 2</w:t>
      </w:r>
      <w:r w:rsidRPr="005A132C" w:rsidR="002535DE">
        <w:rPr>
          <w:b/>
          <w:szCs w:val="22"/>
        </w:rPr>
        <w:t>6</w:t>
      </w:r>
      <w:r w:rsidRPr="005A132C">
        <w:rPr>
          <w:b/>
          <w:szCs w:val="22"/>
        </w:rPr>
        <w:t>-</w:t>
      </w:r>
      <w:r w:rsidR="00EB2914">
        <w:rPr>
          <w:b/>
          <w:szCs w:val="22"/>
        </w:rPr>
        <w:t>526</w:t>
      </w:r>
    </w:p>
    <w:p w:rsidR="00EE1112" w:rsidRPr="005A132C" w:rsidP="00EE1112" w14:paraId="71D25B6A" w14:textId="1B80A1C5">
      <w:pPr>
        <w:spacing w:before="60"/>
        <w:jc w:val="right"/>
        <w:rPr>
          <w:b/>
          <w:szCs w:val="22"/>
        </w:rPr>
      </w:pPr>
      <w:r w:rsidRPr="005A132C">
        <w:rPr>
          <w:b/>
          <w:szCs w:val="22"/>
        </w:rPr>
        <w:t xml:space="preserve">Released:  </w:t>
      </w:r>
      <w:r w:rsidRPr="005A132C" w:rsidR="004B5928">
        <w:rPr>
          <w:b/>
          <w:szCs w:val="22"/>
        </w:rPr>
        <w:t>May</w:t>
      </w:r>
      <w:r w:rsidRPr="005A132C" w:rsidR="00245682">
        <w:rPr>
          <w:b/>
          <w:szCs w:val="22"/>
        </w:rPr>
        <w:t xml:space="preserve"> </w:t>
      </w:r>
      <w:r w:rsidR="00240ED9">
        <w:rPr>
          <w:b/>
          <w:szCs w:val="22"/>
        </w:rPr>
        <w:t>26</w:t>
      </w:r>
      <w:r w:rsidRPr="005A132C">
        <w:rPr>
          <w:b/>
          <w:szCs w:val="22"/>
        </w:rPr>
        <w:t>, 202</w:t>
      </w:r>
      <w:r w:rsidRPr="005A132C" w:rsidR="004B5928">
        <w:rPr>
          <w:b/>
          <w:szCs w:val="22"/>
        </w:rPr>
        <w:t>6</w:t>
      </w:r>
    </w:p>
    <w:p w:rsidR="00013A8B" w:rsidRPr="005A132C" w:rsidP="00566493" w14:paraId="2E09EE57" w14:textId="77777777">
      <w:pPr>
        <w:jc w:val="center"/>
        <w:rPr>
          <w:szCs w:val="22"/>
        </w:rPr>
      </w:pPr>
    </w:p>
    <w:p w:rsidR="00E824A3" w:rsidRPr="005A132C" w:rsidP="00C51B48" w14:paraId="5029896D" w14:textId="709ACBFA">
      <w:pPr>
        <w:jc w:val="center"/>
        <w:rPr>
          <w:b/>
          <w:bCs/>
          <w:szCs w:val="22"/>
        </w:rPr>
      </w:pPr>
      <w:r w:rsidRPr="005A132C">
        <w:rPr>
          <w:b/>
          <w:bCs/>
          <w:szCs w:val="22"/>
        </w:rPr>
        <w:t>FCC</w:t>
      </w:r>
      <w:r w:rsidRPr="005A132C" w:rsidR="00E431E7">
        <w:rPr>
          <w:b/>
          <w:bCs/>
          <w:szCs w:val="22"/>
        </w:rPr>
        <w:t>’S</w:t>
      </w:r>
      <w:r w:rsidRPr="005A132C">
        <w:rPr>
          <w:b/>
          <w:bCs/>
          <w:szCs w:val="22"/>
        </w:rPr>
        <w:t xml:space="preserve"> </w:t>
      </w:r>
      <w:r w:rsidRPr="005A132C" w:rsidR="006A6B8C">
        <w:rPr>
          <w:b/>
          <w:bCs/>
          <w:szCs w:val="22"/>
        </w:rPr>
        <w:t xml:space="preserve">MEDIA BUREAU </w:t>
      </w:r>
      <w:r w:rsidRPr="005A132C">
        <w:rPr>
          <w:b/>
          <w:bCs/>
          <w:szCs w:val="22"/>
        </w:rPr>
        <w:t>REMINDS BROADCASTERS THAT</w:t>
      </w:r>
      <w:r w:rsidRPr="005A132C" w:rsidR="008302AA">
        <w:rPr>
          <w:b/>
          <w:bCs/>
          <w:szCs w:val="22"/>
        </w:rPr>
        <w:t xml:space="preserve"> MODIFICATIONS TO</w:t>
      </w:r>
      <w:r w:rsidRPr="005A132C">
        <w:rPr>
          <w:b/>
          <w:bCs/>
          <w:szCs w:val="22"/>
        </w:rPr>
        <w:t xml:space="preserve"> FIRST OF ITS KIND FOREIGN SPONSORSHIP IDENTIFICATION R</w:t>
      </w:r>
      <w:r w:rsidRPr="005A132C" w:rsidR="003257B9">
        <w:rPr>
          <w:b/>
          <w:bCs/>
          <w:szCs w:val="22"/>
        </w:rPr>
        <w:t>EQUIREMENTS</w:t>
      </w:r>
      <w:r w:rsidRPr="005A132C">
        <w:rPr>
          <w:b/>
          <w:bCs/>
          <w:szCs w:val="22"/>
        </w:rPr>
        <w:t xml:space="preserve"> GO INTO EFFECT JUNE </w:t>
      </w:r>
      <w:r w:rsidRPr="005A132C" w:rsidR="006B2E70">
        <w:rPr>
          <w:b/>
          <w:bCs/>
          <w:szCs w:val="22"/>
        </w:rPr>
        <w:t>7, 2026</w:t>
      </w:r>
    </w:p>
    <w:p w:rsidR="00382647" w:rsidRPr="005A132C" w:rsidP="00C51B48" w14:paraId="3F755BB6" w14:textId="6CA660C9">
      <w:pPr>
        <w:jc w:val="center"/>
        <w:rPr>
          <w:i/>
          <w:iCs/>
          <w:szCs w:val="22"/>
        </w:rPr>
      </w:pPr>
      <w:r w:rsidRPr="005A132C">
        <w:rPr>
          <w:i/>
          <w:iCs/>
          <w:szCs w:val="22"/>
        </w:rPr>
        <w:t xml:space="preserve">Public Notice </w:t>
      </w:r>
      <w:r w:rsidRPr="005A132C" w:rsidR="00664D3A">
        <w:rPr>
          <w:i/>
          <w:iCs/>
          <w:szCs w:val="22"/>
        </w:rPr>
        <w:t xml:space="preserve">Clarifies </w:t>
      </w:r>
      <w:r w:rsidRPr="005A132C">
        <w:rPr>
          <w:i/>
          <w:iCs/>
          <w:szCs w:val="22"/>
        </w:rPr>
        <w:t>A</w:t>
      </w:r>
      <w:r w:rsidRPr="005A132C" w:rsidR="00664D3A">
        <w:rPr>
          <w:i/>
          <w:iCs/>
          <w:szCs w:val="22"/>
        </w:rPr>
        <w:t>pplication</w:t>
      </w:r>
      <w:r w:rsidRPr="005A132C" w:rsidR="00EE02B0">
        <w:rPr>
          <w:i/>
          <w:iCs/>
          <w:szCs w:val="22"/>
        </w:rPr>
        <w:t xml:space="preserve"> of </w:t>
      </w:r>
      <w:r w:rsidRPr="005A132C">
        <w:rPr>
          <w:i/>
          <w:iCs/>
          <w:szCs w:val="22"/>
        </w:rPr>
        <w:t>T</w:t>
      </w:r>
      <w:r w:rsidRPr="005A132C" w:rsidR="00EE02B0">
        <w:rPr>
          <w:i/>
          <w:iCs/>
          <w:szCs w:val="22"/>
        </w:rPr>
        <w:t xml:space="preserve">echnical </w:t>
      </w:r>
      <w:r w:rsidRPr="005A132C">
        <w:rPr>
          <w:i/>
          <w:iCs/>
          <w:szCs w:val="22"/>
        </w:rPr>
        <w:t>R</w:t>
      </w:r>
      <w:r w:rsidRPr="005A132C" w:rsidR="00EE02B0">
        <w:rPr>
          <w:i/>
          <w:iCs/>
          <w:szCs w:val="22"/>
        </w:rPr>
        <w:t>equirements</w:t>
      </w:r>
      <w:r w:rsidRPr="005A132C" w:rsidR="00664D3A">
        <w:rPr>
          <w:i/>
          <w:iCs/>
          <w:szCs w:val="22"/>
        </w:rPr>
        <w:t xml:space="preserve"> to </w:t>
      </w:r>
      <w:r w:rsidRPr="005A132C">
        <w:rPr>
          <w:i/>
          <w:iCs/>
          <w:szCs w:val="22"/>
        </w:rPr>
        <w:t>C</w:t>
      </w:r>
      <w:r w:rsidRPr="005A132C" w:rsidR="00664D3A">
        <w:rPr>
          <w:i/>
          <w:iCs/>
          <w:szCs w:val="22"/>
        </w:rPr>
        <w:t xml:space="preserve">ertain </w:t>
      </w:r>
      <w:r w:rsidRPr="005A132C">
        <w:rPr>
          <w:i/>
          <w:iCs/>
          <w:szCs w:val="22"/>
        </w:rPr>
        <w:t>P</w:t>
      </w:r>
      <w:r w:rsidRPr="005A132C" w:rsidR="00664D3A">
        <w:rPr>
          <w:i/>
          <w:iCs/>
          <w:szCs w:val="22"/>
        </w:rPr>
        <w:t xml:space="preserve">rogram </w:t>
      </w:r>
      <w:r w:rsidRPr="005A132C">
        <w:rPr>
          <w:i/>
          <w:iCs/>
          <w:szCs w:val="22"/>
        </w:rPr>
        <w:t>T</w:t>
      </w:r>
      <w:r w:rsidRPr="005A132C" w:rsidR="00664D3A">
        <w:rPr>
          <w:i/>
          <w:iCs/>
          <w:szCs w:val="22"/>
        </w:rPr>
        <w:t>ypes</w:t>
      </w:r>
    </w:p>
    <w:p w:rsidR="00520B8F" w:rsidRPr="005A132C" w:rsidP="00C51B48" w14:paraId="34C5A316" w14:textId="77777777">
      <w:pPr>
        <w:ind w:firstLine="720"/>
        <w:jc w:val="center"/>
        <w:rPr>
          <w:rFonts w:eastAsia="Times New Roman Bold"/>
          <w:b/>
          <w:bCs/>
          <w:szCs w:val="22"/>
        </w:rPr>
      </w:pPr>
    </w:p>
    <w:p w:rsidR="00520B8F" w:rsidRPr="005A132C" w:rsidP="00C51B48" w14:paraId="48E441E2" w14:textId="36651B66">
      <w:pPr>
        <w:jc w:val="center"/>
        <w:rPr>
          <w:rFonts w:eastAsia="Times New Roman Bold"/>
          <w:b/>
          <w:bCs/>
          <w:szCs w:val="22"/>
        </w:rPr>
      </w:pPr>
      <w:r w:rsidRPr="005A132C">
        <w:rPr>
          <w:rFonts w:eastAsia="Times New Roman Bold"/>
          <w:b/>
          <w:bCs/>
          <w:szCs w:val="22"/>
        </w:rPr>
        <w:t xml:space="preserve">MB Docket No. </w:t>
      </w:r>
      <w:r w:rsidRPr="005A132C" w:rsidR="00B46268">
        <w:rPr>
          <w:rFonts w:eastAsia="Times New Roman Bold"/>
          <w:b/>
          <w:bCs/>
          <w:szCs w:val="22"/>
        </w:rPr>
        <w:t>20</w:t>
      </w:r>
      <w:r w:rsidRPr="005A132C">
        <w:rPr>
          <w:rFonts w:eastAsia="Times New Roman Bold"/>
          <w:b/>
          <w:bCs/>
          <w:szCs w:val="22"/>
        </w:rPr>
        <w:t>-2</w:t>
      </w:r>
      <w:r w:rsidRPr="005A132C" w:rsidR="00B46268">
        <w:rPr>
          <w:rFonts w:eastAsia="Times New Roman Bold"/>
          <w:b/>
          <w:bCs/>
          <w:szCs w:val="22"/>
        </w:rPr>
        <w:t>99</w:t>
      </w:r>
    </w:p>
    <w:p w:rsidR="005C1043" w:rsidRPr="005A132C" w:rsidP="005C1043" w14:paraId="6F603CCB" w14:textId="77777777">
      <w:pPr>
        <w:jc w:val="center"/>
        <w:rPr>
          <w:rFonts w:eastAsia="Times New Roman Bold"/>
          <w:b/>
          <w:bCs/>
          <w:szCs w:val="22"/>
        </w:rPr>
      </w:pPr>
    </w:p>
    <w:p w:rsidR="00520B8F" w:rsidRPr="005A132C" w:rsidP="005C1043" w14:paraId="77C0461A" w14:textId="4AF731D6">
      <w:pPr>
        <w:ind w:firstLine="720"/>
        <w:rPr>
          <w:rFonts w:eastAsia="Times New Roman Bold"/>
          <w:szCs w:val="22"/>
        </w:rPr>
      </w:pPr>
      <w:r w:rsidRPr="005A132C">
        <w:rPr>
          <w:rFonts w:eastAsia="Times New Roman Bold"/>
          <w:szCs w:val="22"/>
        </w:rPr>
        <w:t>In</w:t>
      </w:r>
      <w:r w:rsidRPr="005A132C" w:rsidR="004D14FE">
        <w:rPr>
          <w:rFonts w:eastAsia="Times New Roman Bold"/>
          <w:szCs w:val="22"/>
        </w:rPr>
        <w:t xml:space="preserve"> </w:t>
      </w:r>
      <w:r w:rsidRPr="005A132C" w:rsidR="005B49DC">
        <w:rPr>
          <w:rFonts w:eastAsia="Times New Roman Bold"/>
          <w:szCs w:val="22"/>
        </w:rPr>
        <w:t xml:space="preserve">an </w:t>
      </w:r>
      <w:r w:rsidRPr="005A132C" w:rsidR="00976DA3">
        <w:rPr>
          <w:rFonts w:eastAsia="Times New Roman Bold"/>
          <w:szCs w:val="22"/>
        </w:rPr>
        <w:t>April 22, 2021,</w:t>
      </w:r>
      <w:r w:rsidRPr="005A132C" w:rsidR="00E431E7">
        <w:rPr>
          <w:rFonts w:eastAsia="Times New Roman Bold"/>
          <w:szCs w:val="22"/>
        </w:rPr>
        <w:t xml:space="preserve"> decision,</w:t>
      </w:r>
      <w:r w:rsidRPr="005A132C" w:rsidR="004D14FE">
        <w:rPr>
          <w:rFonts w:eastAsia="Times New Roman Bold"/>
          <w:szCs w:val="22"/>
        </w:rPr>
        <w:t xml:space="preserve"> the Commission adopted first of</w:t>
      </w:r>
      <w:r w:rsidRPr="005A132C" w:rsidR="005C1043">
        <w:rPr>
          <w:rFonts w:eastAsia="Times New Roman Bold"/>
          <w:szCs w:val="22"/>
        </w:rPr>
        <w:t xml:space="preserve"> their</w:t>
      </w:r>
      <w:r w:rsidRPr="005A132C" w:rsidR="004D14FE">
        <w:rPr>
          <w:rFonts w:eastAsia="Times New Roman Bold"/>
          <w:szCs w:val="22"/>
        </w:rPr>
        <w:t xml:space="preserve"> kind </w:t>
      </w:r>
      <w:r w:rsidRPr="005A132C" w:rsidR="00BB03CC">
        <w:rPr>
          <w:rFonts w:eastAsia="Times New Roman Bold"/>
          <w:szCs w:val="22"/>
        </w:rPr>
        <w:t>disclosure requirements for broadcasters airing</w:t>
      </w:r>
      <w:r w:rsidRPr="005A132C" w:rsidR="006867C6">
        <w:rPr>
          <w:rFonts w:eastAsia="Times New Roman Bold"/>
          <w:szCs w:val="22"/>
        </w:rPr>
        <w:t xml:space="preserve"> leased</w:t>
      </w:r>
      <w:r w:rsidRPr="005A132C" w:rsidR="00BB03CC">
        <w:rPr>
          <w:rFonts w:eastAsia="Times New Roman Bold"/>
          <w:szCs w:val="22"/>
        </w:rPr>
        <w:t xml:space="preserve"> </w:t>
      </w:r>
      <w:r w:rsidRPr="005A132C" w:rsidR="00D02819">
        <w:rPr>
          <w:rFonts w:eastAsia="Times New Roman Bold"/>
          <w:szCs w:val="22"/>
        </w:rPr>
        <w:t>programming sponsored by foreign governmental entities</w:t>
      </w:r>
      <w:r w:rsidRPr="005A132C" w:rsidR="00BB03CC">
        <w:rPr>
          <w:rFonts w:eastAsia="Times New Roman Bold"/>
          <w:szCs w:val="22"/>
        </w:rPr>
        <w:t xml:space="preserve">. </w:t>
      </w:r>
      <w:r w:rsidRPr="005A132C" w:rsidR="00BB4920">
        <w:rPr>
          <w:rFonts w:eastAsia="Times New Roman Bold"/>
          <w:szCs w:val="22"/>
        </w:rPr>
        <w:t xml:space="preserve"> </w:t>
      </w:r>
      <w:r w:rsidRPr="005A132C" w:rsidR="00122AC9">
        <w:rPr>
          <w:rFonts w:eastAsia="Times New Roman Bold"/>
          <w:szCs w:val="22"/>
        </w:rPr>
        <w:t xml:space="preserve">On </w:t>
      </w:r>
      <w:r w:rsidRPr="005A132C" w:rsidR="00B25F59">
        <w:rPr>
          <w:rFonts w:eastAsia="Times New Roman Bold"/>
          <w:szCs w:val="22"/>
        </w:rPr>
        <w:t>June 10</w:t>
      </w:r>
      <w:r w:rsidRPr="005A132C" w:rsidR="00122AC9">
        <w:rPr>
          <w:rFonts w:eastAsia="Times New Roman Bold"/>
          <w:szCs w:val="22"/>
        </w:rPr>
        <w:t xml:space="preserve">, 2024, the Commission </w:t>
      </w:r>
      <w:r w:rsidRPr="005A132C" w:rsidR="00587D03">
        <w:rPr>
          <w:rFonts w:eastAsia="Times New Roman Bold"/>
          <w:szCs w:val="22"/>
        </w:rPr>
        <w:t>modif</w:t>
      </w:r>
      <w:r w:rsidRPr="005A132C" w:rsidR="00E431E7">
        <w:rPr>
          <w:rFonts w:eastAsia="Times New Roman Bold"/>
          <w:szCs w:val="22"/>
        </w:rPr>
        <w:t>ied</w:t>
      </w:r>
      <w:r w:rsidRPr="005A132C" w:rsidR="00587D03">
        <w:rPr>
          <w:rFonts w:eastAsia="Times New Roman Bold"/>
          <w:szCs w:val="22"/>
        </w:rPr>
        <w:t xml:space="preserve"> th</w:t>
      </w:r>
      <w:r w:rsidRPr="005A132C" w:rsidR="00E431E7">
        <w:rPr>
          <w:rFonts w:eastAsia="Times New Roman Bold"/>
          <w:szCs w:val="22"/>
        </w:rPr>
        <w:t>os</w:t>
      </w:r>
      <w:r w:rsidRPr="005A132C" w:rsidR="00587D03">
        <w:rPr>
          <w:rFonts w:eastAsia="Times New Roman Bold"/>
          <w:szCs w:val="22"/>
        </w:rPr>
        <w:t xml:space="preserve">e 2021 foreign </w:t>
      </w:r>
      <w:r w:rsidRPr="005A132C" w:rsidR="00B25F59">
        <w:rPr>
          <w:rFonts w:eastAsia="Times New Roman Bold"/>
          <w:szCs w:val="22"/>
        </w:rPr>
        <w:t>sponsorship identification requirements</w:t>
      </w:r>
      <w:r w:rsidRPr="005A132C" w:rsidR="00122AC9">
        <w:rPr>
          <w:rFonts w:eastAsia="Times New Roman Bold"/>
          <w:szCs w:val="22"/>
        </w:rPr>
        <w:t>.</w:t>
      </w:r>
      <w:r>
        <w:rPr>
          <w:rFonts w:eastAsia="Times New Roman Bold"/>
          <w:szCs w:val="22"/>
          <w:vertAlign w:val="superscript"/>
        </w:rPr>
        <w:footnoteReference w:id="3"/>
      </w:r>
      <w:r w:rsidRPr="005A132C" w:rsidR="00122AC9">
        <w:rPr>
          <w:rFonts w:eastAsia="Times New Roman Bold"/>
          <w:szCs w:val="22"/>
        </w:rPr>
        <w:t xml:space="preserve">  </w:t>
      </w:r>
      <w:r w:rsidRPr="005A132C" w:rsidR="00587D03">
        <w:rPr>
          <w:rFonts w:eastAsia="Times New Roman Bold"/>
          <w:szCs w:val="22"/>
        </w:rPr>
        <w:t>Among other changes, t</w:t>
      </w:r>
      <w:r w:rsidRPr="005A132C" w:rsidR="00122AC9">
        <w:rPr>
          <w:rFonts w:eastAsia="Times New Roman Bold"/>
          <w:szCs w:val="22"/>
        </w:rPr>
        <w:t xml:space="preserve">he </w:t>
      </w:r>
      <w:r w:rsidRPr="005A132C" w:rsidR="00E431E7">
        <w:rPr>
          <w:rFonts w:eastAsia="Times New Roman Bold"/>
          <w:szCs w:val="22"/>
        </w:rPr>
        <w:t xml:space="preserve">Commission’s 2024 </w:t>
      </w:r>
      <w:r w:rsidRPr="005A132C" w:rsidR="00B25F59">
        <w:rPr>
          <w:rFonts w:eastAsia="Times New Roman Bold"/>
          <w:i/>
          <w:iCs/>
          <w:szCs w:val="22"/>
        </w:rPr>
        <w:t>Second</w:t>
      </w:r>
      <w:r w:rsidRPr="005A132C" w:rsidR="00122AC9">
        <w:rPr>
          <w:rFonts w:eastAsia="Times New Roman Bold"/>
          <w:i/>
          <w:iCs/>
          <w:szCs w:val="22"/>
        </w:rPr>
        <w:t xml:space="preserve"> Report and Order</w:t>
      </w:r>
      <w:r w:rsidRPr="005A132C" w:rsidR="00122AC9">
        <w:rPr>
          <w:rFonts w:eastAsia="Times New Roman Bold"/>
          <w:szCs w:val="22"/>
        </w:rPr>
        <w:t xml:space="preserve"> </w:t>
      </w:r>
      <w:r w:rsidRPr="005A132C" w:rsidR="00B25F59">
        <w:rPr>
          <w:rFonts w:eastAsia="Times New Roman Bold"/>
          <w:szCs w:val="22"/>
        </w:rPr>
        <w:t>adopt</w:t>
      </w:r>
      <w:r w:rsidRPr="005A132C" w:rsidR="008836D1">
        <w:rPr>
          <w:rFonts w:eastAsia="Times New Roman Bold"/>
          <w:szCs w:val="22"/>
        </w:rPr>
        <w:t>ed</w:t>
      </w:r>
      <w:r w:rsidRPr="005A132C" w:rsidR="00B25F59">
        <w:rPr>
          <w:rFonts w:eastAsia="Times New Roman Bold"/>
          <w:szCs w:val="22"/>
        </w:rPr>
        <w:t xml:space="preserve"> a revised approach</w:t>
      </w:r>
      <w:r w:rsidRPr="005A132C" w:rsidR="008836D1">
        <w:rPr>
          <w:rFonts w:eastAsia="Times New Roman Bold"/>
          <w:szCs w:val="22"/>
        </w:rPr>
        <w:t xml:space="preserve"> </w:t>
      </w:r>
      <w:r w:rsidRPr="005A132C" w:rsidR="003B6229">
        <w:rPr>
          <w:rFonts w:eastAsia="Times New Roman Bold"/>
          <w:szCs w:val="22"/>
        </w:rPr>
        <w:t>under</w:t>
      </w:r>
      <w:r w:rsidRPr="005A132C" w:rsidR="002535DE">
        <w:rPr>
          <w:rFonts w:eastAsia="Times New Roman Bold"/>
          <w:szCs w:val="22"/>
        </w:rPr>
        <w:t xml:space="preserve"> section</w:t>
      </w:r>
      <w:r w:rsidRPr="005A132C" w:rsidR="003B6229">
        <w:rPr>
          <w:rFonts w:eastAsia="Times New Roman Bold"/>
          <w:szCs w:val="22"/>
        </w:rPr>
        <w:t xml:space="preserve"> CFR § 73.1212</w:t>
      </w:r>
      <w:r w:rsidRPr="005A132C" w:rsidR="003B6229">
        <w:rPr>
          <w:szCs w:val="22"/>
        </w:rPr>
        <w:t>(j)(3)</w:t>
      </w:r>
      <w:r w:rsidRPr="005A132C" w:rsidR="002535DE">
        <w:rPr>
          <w:szCs w:val="22"/>
        </w:rPr>
        <w:t xml:space="preserve"> of the Commission’s rules (Rules)</w:t>
      </w:r>
      <w:r>
        <w:rPr>
          <w:rStyle w:val="FootnoteReference"/>
          <w:szCs w:val="22"/>
        </w:rPr>
        <w:footnoteReference w:id="4"/>
      </w:r>
      <w:r w:rsidRPr="005A132C" w:rsidR="00A2161B">
        <w:rPr>
          <w:szCs w:val="22"/>
        </w:rPr>
        <w:t xml:space="preserve"> </w:t>
      </w:r>
      <w:r w:rsidRPr="005A132C" w:rsidR="008836D1">
        <w:rPr>
          <w:rFonts w:eastAsia="Times New Roman Bold"/>
          <w:szCs w:val="22"/>
        </w:rPr>
        <w:t>that</w:t>
      </w:r>
      <w:r w:rsidRPr="005A132C" w:rsidR="00B25F59">
        <w:rPr>
          <w:rFonts w:eastAsia="Times New Roman Bold"/>
          <w:szCs w:val="22"/>
        </w:rPr>
        <w:t xml:space="preserve"> provides </w:t>
      </w:r>
      <w:r w:rsidRPr="005A132C" w:rsidR="008836D1">
        <w:rPr>
          <w:rFonts w:eastAsia="Times New Roman Bold"/>
          <w:szCs w:val="22"/>
        </w:rPr>
        <w:t xml:space="preserve">radio and </w:t>
      </w:r>
      <w:r w:rsidRPr="005A132C" w:rsidR="00B25F59">
        <w:rPr>
          <w:rFonts w:eastAsia="Times New Roman Bold"/>
          <w:szCs w:val="22"/>
        </w:rPr>
        <w:t xml:space="preserve">television broadcast </w:t>
      </w:r>
      <w:r w:rsidRPr="005A132C" w:rsidR="008836D1">
        <w:rPr>
          <w:rFonts w:eastAsia="Times New Roman Bold"/>
          <w:szCs w:val="22"/>
        </w:rPr>
        <w:t>licensees</w:t>
      </w:r>
      <w:r w:rsidRPr="005A132C" w:rsidR="00B25F59">
        <w:rPr>
          <w:rFonts w:eastAsia="Times New Roman Bold"/>
          <w:szCs w:val="22"/>
        </w:rPr>
        <w:t xml:space="preserve"> with two options for demonstrating that they have met their duty of inquiry in seeking to obtain the information needed to determine whether programming </w:t>
      </w:r>
      <w:r w:rsidRPr="005A132C" w:rsidR="00BD6392">
        <w:rPr>
          <w:rFonts w:eastAsia="Times New Roman Bold"/>
          <w:szCs w:val="22"/>
        </w:rPr>
        <w:t>is sponsored, paid for, or furnished by a foreign governmental entity.</w:t>
      </w:r>
      <w:r w:rsidRPr="005A132C" w:rsidR="00FE220B">
        <w:rPr>
          <w:rFonts w:eastAsia="Times New Roman Bold"/>
          <w:szCs w:val="22"/>
        </w:rPr>
        <w:t xml:space="preserve"> </w:t>
      </w:r>
    </w:p>
    <w:p w:rsidR="005C1043" w:rsidRPr="005A132C" w:rsidP="005C1043" w14:paraId="2E4CBBAE" w14:textId="77777777">
      <w:pPr>
        <w:ind w:firstLine="720"/>
        <w:rPr>
          <w:rFonts w:eastAsia="Times New Roman Bold"/>
          <w:szCs w:val="22"/>
        </w:rPr>
      </w:pPr>
    </w:p>
    <w:p w:rsidR="00CE0095" w:rsidRPr="005A132C" w:rsidP="005C1043" w14:paraId="0D78FC28" w14:textId="03A7C302">
      <w:pPr>
        <w:ind w:firstLine="720"/>
        <w:rPr>
          <w:szCs w:val="22"/>
        </w:rPr>
      </w:pPr>
      <w:r w:rsidRPr="005A132C">
        <w:rPr>
          <w:szCs w:val="22"/>
        </w:rPr>
        <w:t>In a June 10, 2025</w:t>
      </w:r>
      <w:r w:rsidRPr="005A132C" w:rsidR="002535DE">
        <w:rPr>
          <w:szCs w:val="22"/>
        </w:rPr>
        <w:t>,</w:t>
      </w:r>
      <w:r w:rsidRPr="005A132C">
        <w:rPr>
          <w:szCs w:val="22"/>
        </w:rPr>
        <w:t xml:space="preserve"> Public Notice, the </w:t>
      </w:r>
      <w:r w:rsidRPr="005A132C" w:rsidR="005B49DC">
        <w:rPr>
          <w:szCs w:val="22"/>
        </w:rPr>
        <w:t xml:space="preserve">Media </w:t>
      </w:r>
      <w:r w:rsidRPr="005A132C">
        <w:rPr>
          <w:szCs w:val="22"/>
        </w:rPr>
        <w:t>Bureau</w:t>
      </w:r>
      <w:r w:rsidRPr="005A132C" w:rsidR="005B49DC">
        <w:rPr>
          <w:szCs w:val="22"/>
        </w:rPr>
        <w:t xml:space="preserve"> </w:t>
      </w:r>
      <w:r w:rsidRPr="005A132C">
        <w:rPr>
          <w:szCs w:val="22"/>
        </w:rPr>
        <w:t xml:space="preserve">announced that OMB approved the rule modifications which revise requirements under </w:t>
      </w:r>
      <w:r w:rsidRPr="005A132C" w:rsidR="002535DE">
        <w:rPr>
          <w:szCs w:val="22"/>
        </w:rPr>
        <w:t xml:space="preserve">section </w:t>
      </w:r>
      <w:r w:rsidRPr="005A132C">
        <w:rPr>
          <w:szCs w:val="22"/>
        </w:rPr>
        <w:t>73.1212(j)(3).</w:t>
      </w:r>
      <w:r>
        <w:rPr>
          <w:rStyle w:val="FootnoteReference"/>
          <w:szCs w:val="22"/>
        </w:rPr>
        <w:footnoteReference w:id="5"/>
      </w:r>
      <w:r w:rsidRPr="005A132C">
        <w:rPr>
          <w:szCs w:val="22"/>
        </w:rPr>
        <w:t xml:space="preserve"> </w:t>
      </w:r>
      <w:r w:rsidRPr="005A132C" w:rsidR="005761FE">
        <w:rPr>
          <w:szCs w:val="22"/>
        </w:rPr>
        <w:t xml:space="preserve"> </w:t>
      </w:r>
      <w:r w:rsidRPr="005A132C">
        <w:rPr>
          <w:szCs w:val="22"/>
        </w:rPr>
        <w:t xml:space="preserve">Accordingly, </w:t>
      </w:r>
      <w:r w:rsidRPr="005A132C" w:rsidR="00521440">
        <w:rPr>
          <w:szCs w:val="22"/>
        </w:rPr>
        <w:t xml:space="preserve">these </w:t>
      </w:r>
      <w:r w:rsidRPr="005A132C">
        <w:rPr>
          <w:szCs w:val="22"/>
        </w:rPr>
        <w:t>revised requirements became effective as of</w:t>
      </w:r>
      <w:r w:rsidRPr="005A132C" w:rsidR="00772428">
        <w:rPr>
          <w:szCs w:val="22"/>
        </w:rPr>
        <w:t xml:space="preserve"> </w:t>
      </w:r>
      <w:r w:rsidRPr="005A132C">
        <w:rPr>
          <w:bCs/>
          <w:szCs w:val="22"/>
        </w:rPr>
        <w:t>June 10, 2025</w:t>
      </w:r>
      <w:r w:rsidRPr="005A132C" w:rsidR="00302299">
        <w:rPr>
          <w:szCs w:val="22"/>
        </w:rPr>
        <w:t>.</w:t>
      </w:r>
      <w:r>
        <w:rPr>
          <w:rStyle w:val="FootnoteReference"/>
          <w:szCs w:val="22"/>
        </w:rPr>
        <w:footnoteReference w:id="6"/>
      </w:r>
      <w:r w:rsidRPr="005A132C" w:rsidR="001518A3">
        <w:rPr>
          <w:szCs w:val="22"/>
        </w:rPr>
        <w:t xml:space="preserve">  </w:t>
      </w:r>
      <w:r w:rsidRPr="005A132C" w:rsidR="00302299">
        <w:rPr>
          <w:szCs w:val="22"/>
        </w:rPr>
        <w:t>However,</w:t>
      </w:r>
      <w:r w:rsidRPr="005A132C">
        <w:rPr>
          <w:szCs w:val="22"/>
        </w:rPr>
        <w:t xml:space="preserve"> </w:t>
      </w:r>
      <w:r w:rsidRPr="005A132C" w:rsidR="00302299">
        <w:rPr>
          <w:szCs w:val="22"/>
        </w:rPr>
        <w:t>the Bureau defer</w:t>
      </w:r>
      <w:r w:rsidRPr="005A132C">
        <w:rPr>
          <w:szCs w:val="22"/>
        </w:rPr>
        <w:t>red</w:t>
      </w:r>
      <w:r w:rsidRPr="005A132C" w:rsidR="00302299">
        <w:rPr>
          <w:szCs w:val="22"/>
        </w:rPr>
        <w:t xml:space="preserve"> requiring compliance with the</w:t>
      </w:r>
      <w:r w:rsidRPr="005A132C" w:rsidR="00696BCD">
        <w:rPr>
          <w:szCs w:val="22"/>
        </w:rPr>
        <w:t xml:space="preserve"> modified</w:t>
      </w:r>
      <w:r w:rsidRPr="005A132C" w:rsidR="00302299">
        <w:rPr>
          <w:szCs w:val="22"/>
        </w:rPr>
        <w:t xml:space="preserve"> rule </w:t>
      </w:r>
      <w:r w:rsidRPr="005A132C">
        <w:rPr>
          <w:szCs w:val="22"/>
        </w:rPr>
        <w:t xml:space="preserve">for </w:t>
      </w:r>
      <w:r w:rsidRPr="005A132C" w:rsidR="00302299">
        <w:rPr>
          <w:szCs w:val="22"/>
        </w:rPr>
        <w:t>6 months</w:t>
      </w:r>
      <w:r w:rsidRPr="005A132C">
        <w:rPr>
          <w:szCs w:val="22"/>
        </w:rPr>
        <w:t>, or until December 8, 2025.</w:t>
      </w:r>
      <w:r>
        <w:rPr>
          <w:rStyle w:val="FootnoteReference"/>
          <w:szCs w:val="22"/>
        </w:rPr>
        <w:footnoteReference w:id="7"/>
      </w:r>
      <w:r w:rsidRPr="005A132C">
        <w:rPr>
          <w:szCs w:val="22"/>
        </w:rPr>
        <w:t xml:space="preserve">  </w:t>
      </w:r>
      <w:r w:rsidRPr="005A132C" w:rsidR="00827E98">
        <w:rPr>
          <w:szCs w:val="22"/>
        </w:rPr>
        <w:t xml:space="preserve">On December </w:t>
      </w:r>
      <w:r w:rsidRPr="005A132C" w:rsidR="00631BF0">
        <w:rPr>
          <w:szCs w:val="22"/>
        </w:rPr>
        <w:t xml:space="preserve">5, 2025 </w:t>
      </w:r>
      <w:r w:rsidRPr="005A132C" w:rsidR="00D04C35">
        <w:rPr>
          <w:szCs w:val="22"/>
        </w:rPr>
        <w:t xml:space="preserve">the </w:t>
      </w:r>
      <w:r w:rsidRPr="005A132C" w:rsidR="00E431E7">
        <w:rPr>
          <w:szCs w:val="22"/>
        </w:rPr>
        <w:t>B</w:t>
      </w:r>
      <w:r w:rsidRPr="005A132C" w:rsidR="00D04C35">
        <w:rPr>
          <w:szCs w:val="22"/>
        </w:rPr>
        <w:t xml:space="preserve">ureau further deferred compliance </w:t>
      </w:r>
      <w:r w:rsidRPr="005A132C" w:rsidR="009B0F09">
        <w:rPr>
          <w:szCs w:val="22"/>
        </w:rPr>
        <w:t>until</w:t>
      </w:r>
      <w:r w:rsidRPr="005A132C" w:rsidR="00737E31">
        <w:rPr>
          <w:szCs w:val="22"/>
        </w:rPr>
        <w:t xml:space="preserve"> June </w:t>
      </w:r>
      <w:r w:rsidRPr="005A132C" w:rsidR="00D844EB">
        <w:rPr>
          <w:szCs w:val="22"/>
        </w:rPr>
        <w:t>7</w:t>
      </w:r>
      <w:r w:rsidRPr="005A132C" w:rsidR="00737E31">
        <w:rPr>
          <w:szCs w:val="22"/>
        </w:rPr>
        <w:t>, 2026</w:t>
      </w:r>
      <w:r w:rsidRPr="005A132C" w:rsidR="00433DDD">
        <w:rPr>
          <w:szCs w:val="22"/>
        </w:rPr>
        <w:t>.</w:t>
      </w:r>
      <w:r>
        <w:rPr>
          <w:rStyle w:val="FootnoteReference"/>
          <w:szCs w:val="22"/>
        </w:rPr>
        <w:footnoteReference w:id="8"/>
      </w:r>
      <w:r w:rsidRPr="005A132C" w:rsidR="00433DDD">
        <w:rPr>
          <w:szCs w:val="22"/>
        </w:rPr>
        <w:t xml:space="preserve">  </w:t>
      </w:r>
      <w:r w:rsidRPr="005A132C" w:rsidR="001C3F8F">
        <w:rPr>
          <w:szCs w:val="22"/>
        </w:rPr>
        <w:t xml:space="preserve">By this Public Notice, the </w:t>
      </w:r>
      <w:r w:rsidRPr="005A132C" w:rsidR="00AC0AEF">
        <w:rPr>
          <w:szCs w:val="22"/>
        </w:rPr>
        <w:t xml:space="preserve">Bureau </w:t>
      </w:r>
      <w:r w:rsidRPr="005A132C" w:rsidR="00154FE3">
        <w:rPr>
          <w:szCs w:val="22"/>
        </w:rPr>
        <w:t xml:space="preserve">hereby affirms </w:t>
      </w:r>
      <w:r w:rsidRPr="005A132C" w:rsidR="004E6F72">
        <w:rPr>
          <w:szCs w:val="22"/>
        </w:rPr>
        <w:t xml:space="preserve">that </w:t>
      </w:r>
      <w:r w:rsidRPr="005A132C" w:rsidR="00154FE3">
        <w:rPr>
          <w:szCs w:val="22"/>
        </w:rPr>
        <w:t>these modifications are effective</w:t>
      </w:r>
      <w:r w:rsidRPr="005A132C" w:rsidR="00BD2963">
        <w:rPr>
          <w:szCs w:val="22"/>
        </w:rPr>
        <w:t xml:space="preserve"> June 7, 2026</w:t>
      </w:r>
      <w:r w:rsidRPr="005A132C" w:rsidR="00154FE3">
        <w:rPr>
          <w:szCs w:val="22"/>
        </w:rPr>
        <w:t>.</w:t>
      </w:r>
      <w:r w:rsidRPr="005A132C" w:rsidR="00BD2963">
        <w:rPr>
          <w:szCs w:val="22"/>
        </w:rPr>
        <w:t xml:space="preserve"> </w:t>
      </w:r>
      <w:r w:rsidRPr="005A132C">
        <w:rPr>
          <w:szCs w:val="22"/>
        </w:rPr>
        <w:t xml:space="preserve"> </w:t>
      </w:r>
      <w:r w:rsidRPr="005A132C" w:rsidR="00E431E7">
        <w:rPr>
          <w:szCs w:val="22"/>
        </w:rPr>
        <w:t>N</w:t>
      </w:r>
      <w:r w:rsidRPr="005A132C">
        <w:rPr>
          <w:szCs w:val="22"/>
        </w:rPr>
        <w:t xml:space="preserve">ew leases and renewals of existing leases </w:t>
      </w:r>
      <w:r w:rsidRPr="005A132C">
        <w:rPr>
          <w:szCs w:val="22"/>
        </w:rPr>
        <w:t>entered into</w:t>
      </w:r>
      <w:r w:rsidRPr="005A132C">
        <w:rPr>
          <w:szCs w:val="22"/>
        </w:rPr>
        <w:t xml:space="preserve"> on or after the compliance date must comply with the rule modifications.</w:t>
      </w:r>
      <w:r>
        <w:rPr>
          <w:rStyle w:val="FootnoteReference"/>
          <w:szCs w:val="22"/>
        </w:rPr>
        <w:footnoteReference w:id="9"/>
      </w:r>
    </w:p>
    <w:p w:rsidR="005C1043" w:rsidRPr="005A132C" w:rsidP="005C1043" w14:paraId="44E54DF0" w14:textId="77777777">
      <w:pPr>
        <w:ind w:firstLine="720"/>
        <w:rPr>
          <w:szCs w:val="22"/>
        </w:rPr>
      </w:pPr>
    </w:p>
    <w:p w:rsidR="00D10D40" w:rsidRPr="005A132C" w:rsidP="005C1043" w14:paraId="3E0DF3B2" w14:textId="56217005">
      <w:pPr>
        <w:ind w:firstLine="720"/>
        <w:rPr>
          <w:szCs w:val="22"/>
        </w:rPr>
      </w:pPr>
      <w:r w:rsidRPr="005A132C">
        <w:rPr>
          <w:szCs w:val="22"/>
        </w:rPr>
        <w:t xml:space="preserve">With respect to any advertisements or paid public service announcements (PSAs) that are subject to the sponsorship identification requirements for foreign government-provided programming, we are </w:t>
      </w:r>
      <w:r w:rsidRPr="005A132C" w:rsidR="00E431E7">
        <w:rPr>
          <w:szCs w:val="22"/>
        </w:rPr>
        <w:t xml:space="preserve">following the same approach used to bring the </w:t>
      </w:r>
      <w:r w:rsidRPr="005A132C" w:rsidR="00670862">
        <w:rPr>
          <w:szCs w:val="22"/>
        </w:rPr>
        <w:t xml:space="preserve">leasing requirements into place.  Specifically, we are </w:t>
      </w:r>
      <w:r w:rsidRPr="005A132C">
        <w:rPr>
          <w:szCs w:val="22"/>
        </w:rPr>
        <w:t>suspending the compliance deadline for the technical requirements set forth in section 73.1212(j)(3)</w:t>
      </w:r>
      <w:r w:rsidRPr="005A132C" w:rsidR="00D0781F">
        <w:rPr>
          <w:szCs w:val="22"/>
        </w:rPr>
        <w:t xml:space="preserve"> for </w:t>
      </w:r>
      <w:r w:rsidRPr="005A132C" w:rsidR="00D0781F">
        <w:rPr>
          <w:szCs w:val="22"/>
        </w:rPr>
        <w:t xml:space="preserve">two years or </w:t>
      </w:r>
      <w:r w:rsidRPr="005A132C" w:rsidR="000A2D6F">
        <w:rPr>
          <w:szCs w:val="22"/>
        </w:rPr>
        <w:t>until further notice</w:t>
      </w:r>
      <w:r w:rsidRPr="005A132C" w:rsidR="00264FFB">
        <w:rPr>
          <w:szCs w:val="22"/>
        </w:rPr>
        <w:t xml:space="preserve">, </w:t>
      </w:r>
      <w:r w:rsidRPr="005A132C" w:rsidR="003D565E">
        <w:rPr>
          <w:szCs w:val="22"/>
        </w:rPr>
        <w:t>whichever comes first</w:t>
      </w:r>
      <w:r w:rsidRPr="005A132C">
        <w:rPr>
          <w:szCs w:val="22"/>
        </w:rPr>
        <w:t xml:space="preserve">. </w:t>
      </w:r>
      <w:r w:rsidRPr="005A132C" w:rsidR="009B0F09">
        <w:rPr>
          <w:szCs w:val="22"/>
        </w:rPr>
        <w:t xml:space="preserve"> </w:t>
      </w:r>
      <w:r w:rsidRPr="005A132C" w:rsidR="00670862">
        <w:rPr>
          <w:szCs w:val="22"/>
        </w:rPr>
        <w:t>As with the initial delay in the leasing regulation</w:t>
      </w:r>
      <w:r w:rsidRPr="005A132C" w:rsidR="003D3F5C">
        <w:rPr>
          <w:szCs w:val="22"/>
        </w:rPr>
        <w:t xml:space="preserve"> context</w:t>
      </w:r>
      <w:r w:rsidRPr="005A132C" w:rsidR="00670862">
        <w:rPr>
          <w:szCs w:val="22"/>
        </w:rPr>
        <w:t xml:space="preserve">, </w:t>
      </w:r>
      <w:r w:rsidRPr="005A132C" w:rsidR="003D3F5C">
        <w:rPr>
          <w:szCs w:val="22"/>
        </w:rPr>
        <w:t>t</w:t>
      </w:r>
      <w:r w:rsidRPr="005A132C">
        <w:rPr>
          <w:szCs w:val="22"/>
        </w:rPr>
        <w:t xml:space="preserve">his delay </w:t>
      </w:r>
      <w:r w:rsidRPr="005A132C" w:rsidR="003D3F5C">
        <w:rPr>
          <w:szCs w:val="22"/>
        </w:rPr>
        <w:t>of</w:t>
      </w:r>
      <w:r w:rsidRPr="005A132C" w:rsidR="003D3F5C">
        <w:rPr>
          <w:szCs w:val="22"/>
        </w:rPr>
        <w:t xml:space="preserve"> the </w:t>
      </w:r>
      <w:r w:rsidRPr="005A132C" w:rsidR="00500819">
        <w:rPr>
          <w:szCs w:val="22"/>
        </w:rPr>
        <w:t xml:space="preserve">advertisement and paid PSA regulation </w:t>
      </w:r>
      <w:r w:rsidRPr="005A132C">
        <w:rPr>
          <w:szCs w:val="22"/>
        </w:rPr>
        <w:t xml:space="preserve">is necessary for the Commission to evaluate the costs and burdens associated with these requirements to ensure that there is sufficient offsetting public benefit. </w:t>
      </w:r>
      <w:r w:rsidRPr="005A132C" w:rsidR="009B0F09">
        <w:rPr>
          <w:szCs w:val="22"/>
        </w:rPr>
        <w:t xml:space="preserve"> </w:t>
      </w:r>
      <w:r w:rsidRPr="00255A92" w:rsidR="00500819">
        <w:rPr>
          <w:szCs w:val="22"/>
        </w:rPr>
        <w:t xml:space="preserve">We note that the record to date </w:t>
      </w:r>
      <w:r w:rsidRPr="00255A92" w:rsidR="00B74EAD">
        <w:rPr>
          <w:szCs w:val="22"/>
        </w:rPr>
        <w:t xml:space="preserve">does not show that there </w:t>
      </w:r>
      <w:r w:rsidRPr="00255A92" w:rsidR="00500819">
        <w:rPr>
          <w:szCs w:val="22"/>
        </w:rPr>
        <w:t xml:space="preserve">are any otherwise covered </w:t>
      </w:r>
      <w:r w:rsidRPr="00255A92" w:rsidR="00B74EAD">
        <w:rPr>
          <w:szCs w:val="22"/>
        </w:rPr>
        <w:t>advertisements or paid PSAs</w:t>
      </w:r>
      <w:r w:rsidRPr="00255A92" w:rsidR="0005712F">
        <w:rPr>
          <w:szCs w:val="22"/>
        </w:rPr>
        <w:t>.</w:t>
      </w:r>
      <w:r w:rsidRPr="005A132C" w:rsidR="0005712F">
        <w:rPr>
          <w:szCs w:val="22"/>
        </w:rPr>
        <w:t xml:space="preserve">  Likewise,</w:t>
      </w:r>
      <w:r w:rsidRPr="005A132C" w:rsidR="00CC3B3A">
        <w:rPr>
          <w:szCs w:val="22"/>
        </w:rPr>
        <w:t xml:space="preserve"> while the Bureau is waiving the technical requirements of the </w:t>
      </w:r>
      <w:r w:rsidRPr="005A132C" w:rsidR="005C1C52">
        <w:rPr>
          <w:szCs w:val="22"/>
        </w:rPr>
        <w:t>relevant regulation</w:t>
      </w:r>
      <w:r w:rsidRPr="005A132C" w:rsidR="00CC3B3A">
        <w:rPr>
          <w:szCs w:val="22"/>
        </w:rPr>
        <w:t xml:space="preserve">, </w:t>
      </w:r>
      <w:r w:rsidRPr="005A132C" w:rsidR="005A132C">
        <w:rPr>
          <w:szCs w:val="22"/>
        </w:rPr>
        <w:t>this does not preclude liability for any broadcaster who knowingly accepts</w:t>
      </w:r>
      <w:r w:rsidRPr="005A132C" w:rsidR="005C1C52">
        <w:rPr>
          <w:szCs w:val="22"/>
        </w:rPr>
        <w:t xml:space="preserve"> </w:t>
      </w:r>
      <w:r w:rsidRPr="005A132C" w:rsidR="00D73195">
        <w:rPr>
          <w:szCs w:val="22"/>
        </w:rPr>
        <w:t xml:space="preserve">any </w:t>
      </w:r>
      <w:r w:rsidRPr="005A132C" w:rsidR="005A132C">
        <w:rPr>
          <w:szCs w:val="22"/>
        </w:rPr>
        <w:t xml:space="preserve">foreign sponsored </w:t>
      </w:r>
      <w:r w:rsidRPr="005A132C" w:rsidR="00D73195">
        <w:rPr>
          <w:szCs w:val="22"/>
        </w:rPr>
        <w:t xml:space="preserve">advertisement or paid PSA </w:t>
      </w:r>
      <w:r w:rsidRPr="005A132C" w:rsidR="005A132C">
        <w:rPr>
          <w:szCs w:val="22"/>
        </w:rPr>
        <w:t>pursuant to</w:t>
      </w:r>
      <w:r w:rsidRPr="005A132C" w:rsidR="00D73195">
        <w:rPr>
          <w:szCs w:val="22"/>
        </w:rPr>
        <w:t xml:space="preserve"> the sponsorship identification requirements for foreign government-provided programming</w:t>
      </w:r>
      <w:r w:rsidRPr="005A132C" w:rsidR="00080B03">
        <w:rPr>
          <w:szCs w:val="22"/>
        </w:rPr>
        <w:t>.</w:t>
      </w:r>
      <w:r w:rsidRPr="005A132C" w:rsidR="0005712F">
        <w:rPr>
          <w:i/>
          <w:iCs/>
          <w:szCs w:val="22"/>
        </w:rPr>
        <w:t xml:space="preserve">  </w:t>
      </w:r>
      <w:r w:rsidRPr="005A132C">
        <w:rPr>
          <w:szCs w:val="22"/>
        </w:rPr>
        <w:t>We emphasize, however, that as of the June 7, 2026, effective date, the on-air disclosure requirements in section 73.1212(j)(1) shall apply to any covered advertisements or paid PSAs where the licensee has actual knowledge that the material was provided by a foreign governmental entity as defined in section 73.1212(j)(2).</w:t>
      </w:r>
    </w:p>
    <w:p w:rsidR="00520B8F" w:rsidRPr="005A132C" w:rsidP="00520B8F" w14:paraId="30E82429" w14:textId="77777777">
      <w:pPr>
        <w:spacing w:after="120"/>
        <w:rPr>
          <w:rFonts w:eastAsia="Times New Roman Bold"/>
          <w:b/>
          <w:bCs/>
          <w:szCs w:val="22"/>
        </w:rPr>
      </w:pPr>
    </w:p>
    <w:p w:rsidR="00EE1112" w:rsidRPr="005A132C" w:rsidP="00EE1112" w14:paraId="54C00B64" w14:textId="77777777">
      <w:pPr>
        <w:spacing w:after="120"/>
        <w:ind w:firstLine="720"/>
        <w:rPr>
          <w:rStyle w:val="Hyperlink"/>
          <w:rFonts w:eastAsia="Times New Roman Bold"/>
          <w:color w:val="auto"/>
          <w:szCs w:val="22"/>
          <w:u w:val="none"/>
        </w:rPr>
      </w:pPr>
    </w:p>
    <w:p w:rsidR="00EE1112" w:rsidRPr="005A132C" w:rsidP="00EE1112" w14:paraId="6681D4A4" w14:textId="77777777">
      <w:pPr>
        <w:spacing w:after="120"/>
        <w:jc w:val="center"/>
        <w:rPr>
          <w:szCs w:val="22"/>
        </w:rPr>
      </w:pPr>
      <w:r w:rsidRPr="005A132C">
        <w:rPr>
          <w:rStyle w:val="Hyperlink"/>
          <w:rFonts w:eastAsia="Times New Roman Bold"/>
          <w:b/>
          <w:bCs/>
          <w:color w:val="auto"/>
          <w:szCs w:val="22"/>
          <w:u w:val="none"/>
        </w:rPr>
        <w:t>- FCC -</w:t>
      </w:r>
      <w:r w:rsidRPr="005A132C">
        <w:rPr>
          <w:b/>
          <w:bCs/>
          <w:szCs w:val="22"/>
        </w:rPr>
        <w:t xml:space="preserve"> </w:t>
      </w:r>
    </w:p>
    <w:p w:rsidR="00F96F63" w:rsidRPr="005A132C" w:rsidP="00F96F63" w14:paraId="1DC78533" w14:textId="77777777">
      <w:pPr>
        <w:rPr>
          <w:szCs w:val="22"/>
        </w:rPr>
      </w:pPr>
    </w:p>
    <w:p w:rsidR="00930ECF" w:rsidRPr="005A132C" w:rsidP="00F96F63" w14:paraId="0A4DC568" w14:textId="77777777">
      <w:pPr>
        <w:rPr>
          <w:szCs w:val="22"/>
        </w:rPr>
      </w:pPr>
    </w:p>
    <w:sectPr w:rsidSect="00761DAC">
      <w:headerReference w:type="default" r:id="rId6"/>
      <w:footerReference w:type="even" r:id="rId7"/>
      <w:footerReference w:type="default" r:id="rId8"/>
      <w:headerReference w:type="first" r:id="rId9"/>
      <w:footerReference w:type="first" r:id="rId10"/>
      <w:endnotePr>
        <w:numFmt w:val="decimal"/>
      </w:endnotePr>
      <w:pgSz w:w="12240" w:h="15840"/>
      <w:pgMar w:top="1440" w:right="1440" w:bottom="720" w:left="1440" w:header="630" w:footer="720" w:gutter="0"/>
      <w:pgNumType w:start="1"/>
      <w:cols w:space="720"/>
      <w:noEndnote/>
      <w:titlePg/>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endnote w:type="separator" w:id="0">
    <w:p w:rsidR="001D788C" w14:paraId="42E03289" w14:textId="77777777">
      <w:r>
        <w:separator/>
      </w:r>
    </w:p>
  </w:endnote>
  <w:endnote w:type="continuationSeparator" w:id="1">
    <w:p w:rsidR="001D788C" w14:paraId="3EA47C77" w14:textId="7777777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Times New Roman Bold">
    <w:altName w:val="Times New Roman"/>
    <w:panose1 w:val="02020803070505020304"/>
    <w:charset w:val="00"/>
    <w:family w:val="roman"/>
    <w:notTrueType/>
    <w:pitch w:val="default"/>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Open Sans">
    <w:charset w:val="00"/>
    <w:family w:val="swiss"/>
    <w:pitch w:val="variable"/>
    <w:sig w:usb0="E00002EF" w:usb1="4000205B" w:usb2="00000028" w:usb3="00000000" w:csb0="0000019F" w:csb1="00000000"/>
  </w:font>
  <w:font w:name="Calibri Light">
    <w:panose1 w:val="020F0302020204030204"/>
    <w:charset w:val="00"/>
    <w:family w:val="swiss"/>
    <w:pitch w:val="variable"/>
    <w:sig w:usb0="E4002EFF" w:usb1="C200247B" w:usb2="00000009" w:usb3="00000000" w:csb0="000001F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6F7393" w:rsidP="0055614C" w14:paraId="657DBDE8" w14:textId="77777777">
    <w:pPr>
      <w:pStyle w:val="Footer"/>
      <w:framePr w:wrap="around" w:vAnchor="text" w:hAnchor="margin" w:xAlign="center" w:y="1"/>
    </w:pPr>
    <w:r>
      <w:fldChar w:fldCharType="begin"/>
    </w:r>
    <w:r>
      <w:instrText xml:space="preserve">PAGE  </w:instrText>
    </w:r>
    <w:r>
      <w:fldChar w:fldCharType="separate"/>
    </w:r>
    <w:r>
      <w:fldChar w:fldCharType="end"/>
    </w:r>
  </w:p>
  <w:p w:rsidR="006F7393" w14:paraId="23EB6B8A" w14:textId="7777777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6F7393" w:rsidP="00910F12" w14:paraId="41DF4E14" w14:textId="77777777">
    <w:pPr>
      <w:pStyle w:val="Footer"/>
      <w:jc w:val="center"/>
    </w:pPr>
    <w:r>
      <w:fldChar w:fldCharType="begin"/>
    </w:r>
    <w:r>
      <w:instrText xml:space="preserve"> PAGE   \* MERGEFORMAT </w:instrText>
    </w:r>
    <w:r>
      <w:fldChar w:fldCharType="separate"/>
    </w:r>
    <w:r>
      <w:rPr>
        <w:noProof/>
      </w:rPr>
      <w:t>2</w:t>
    </w:r>
    <w:r>
      <w:rPr>
        <w:noProof/>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6F7393" w14:paraId="4427E8AA" w14:textId="77777777">
    <w:pPr>
      <w:pStyle w:val="Footer"/>
      <w:tabs>
        <w:tab w:val="clear" w:pos="8640"/>
      </w:tabs>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footnote w:type="separator" w:id="0">
    <w:p w:rsidR="001D788C" w14:paraId="5218CBBE" w14:textId="77777777">
      <w:r>
        <w:separator/>
      </w:r>
    </w:p>
  </w:footnote>
  <w:footnote w:type="continuationSeparator" w:id="1">
    <w:p w:rsidR="001D788C" w14:paraId="57117628" w14:textId="77777777">
      <w:pPr>
        <w:rPr>
          <w:sz w:val="20"/>
        </w:rPr>
      </w:pPr>
      <w:r>
        <w:rPr>
          <w:sz w:val="20"/>
        </w:rPr>
        <w:t xml:space="preserve">(Continued from previous page)  </w:t>
      </w:r>
      <w:r>
        <w:rPr>
          <w:sz w:val="20"/>
        </w:rPr>
        <w:separator/>
      </w:r>
    </w:p>
  </w:footnote>
  <w:footnote w:type="continuationNotice" w:id="2">
    <w:p w:rsidR="001D788C" w:rsidP="00910F12" w14:paraId="0C3839C0" w14:textId="77777777">
      <w:pPr>
        <w:jc w:val="right"/>
        <w:rPr>
          <w:sz w:val="20"/>
        </w:rPr>
      </w:pPr>
      <w:r>
        <w:rPr>
          <w:sz w:val="20"/>
        </w:rPr>
        <w:t>(continued….)</w:t>
      </w:r>
    </w:p>
  </w:footnote>
  <w:footnote w:id="3">
    <w:p w:rsidR="00520B8F" w:rsidRPr="00E37575" w:rsidP="00520B8F" w14:paraId="0E627A67" w14:textId="30C6823E">
      <w:pPr>
        <w:pStyle w:val="FootnoteText"/>
      </w:pPr>
      <w:r w:rsidRPr="00E37575">
        <w:rPr>
          <w:rStyle w:val="FootnoteReference"/>
        </w:rPr>
        <w:footnoteRef/>
      </w:r>
      <w:r w:rsidRPr="00E37575">
        <w:t xml:space="preserve"> </w:t>
      </w:r>
      <w:r w:rsidR="00E120BC">
        <w:rPr>
          <w:i/>
          <w:iCs/>
        </w:rPr>
        <w:t>Sponsorship Identification Requirements for Foreign Government-Provided Programming</w:t>
      </w:r>
      <w:r w:rsidRPr="00E37575">
        <w:t xml:space="preserve">, MB Docket No. </w:t>
      </w:r>
      <w:r w:rsidR="00E120BC">
        <w:t>20</w:t>
      </w:r>
      <w:r w:rsidRPr="00E37575">
        <w:t>-2</w:t>
      </w:r>
      <w:r w:rsidR="00E120BC">
        <w:t>99</w:t>
      </w:r>
      <w:r w:rsidRPr="00E37575">
        <w:t xml:space="preserve">, </w:t>
      </w:r>
      <w:r w:rsidR="00E120BC">
        <w:t xml:space="preserve">Second </w:t>
      </w:r>
      <w:r w:rsidRPr="00E37575">
        <w:t xml:space="preserve">Report and Order, </w:t>
      </w:r>
      <w:r w:rsidRPr="00A85F10" w:rsidR="00A85F10">
        <w:t xml:space="preserve">39 FCC </w:t>
      </w:r>
      <w:r w:rsidRPr="00A85F10" w:rsidR="00A85F10">
        <w:t>Rcd</w:t>
      </w:r>
      <w:r w:rsidRPr="00A85F10" w:rsidR="00A85F10">
        <w:t xml:space="preserve"> 6049</w:t>
      </w:r>
      <w:r w:rsidRPr="00E37575">
        <w:t xml:space="preserve"> (2024) (</w:t>
      </w:r>
      <w:r w:rsidR="00E120BC">
        <w:rPr>
          <w:i/>
          <w:iCs/>
        </w:rPr>
        <w:t>Second</w:t>
      </w:r>
      <w:r w:rsidRPr="00E37575">
        <w:rPr>
          <w:i/>
          <w:iCs/>
        </w:rPr>
        <w:t xml:space="preserve"> Report and Order</w:t>
      </w:r>
      <w:r w:rsidRPr="00E37575">
        <w:t>).</w:t>
      </w:r>
    </w:p>
  </w:footnote>
  <w:footnote w:id="4">
    <w:p w:rsidR="002535DE" w14:paraId="550F8AC3" w14:textId="7F3154BF">
      <w:pPr>
        <w:pStyle w:val="FootnoteText"/>
      </w:pPr>
      <w:r>
        <w:rPr>
          <w:rStyle w:val="FootnoteReference"/>
        </w:rPr>
        <w:footnoteRef/>
      </w:r>
      <w:r>
        <w:t xml:space="preserve"> 47 CFR 73.212(j)(3)</w:t>
      </w:r>
    </w:p>
  </w:footnote>
  <w:footnote w:id="5">
    <w:p w:rsidR="00751200" w:rsidRPr="006D2538" w:rsidP="00751200" w14:paraId="65EE5EDE" w14:textId="40A84EDF">
      <w:pPr>
        <w:pStyle w:val="FootnoteText"/>
      </w:pPr>
      <w:r w:rsidRPr="009E7448">
        <w:rPr>
          <w:rStyle w:val="FootnoteReference"/>
        </w:rPr>
        <w:footnoteRef/>
      </w:r>
      <w:r w:rsidRPr="009E7448">
        <w:t xml:space="preserve"> </w:t>
      </w:r>
      <w:r w:rsidRPr="0076146D" w:rsidR="00245682">
        <w:rPr>
          <w:i/>
          <w:iCs/>
        </w:rPr>
        <w:t xml:space="preserve">Media Bureau Announces </w:t>
      </w:r>
      <w:r w:rsidR="00245682">
        <w:rPr>
          <w:i/>
          <w:iCs/>
        </w:rPr>
        <w:t xml:space="preserve">Effective Date For Revised </w:t>
      </w:r>
      <w:r w:rsidRPr="0076146D" w:rsidR="00245682">
        <w:rPr>
          <w:i/>
          <w:iCs/>
        </w:rPr>
        <w:t>Sponsorship Identification Requirements for Foreign Government-Provided Programming</w:t>
      </w:r>
      <w:r w:rsidR="00245682">
        <w:t xml:space="preserve">, Public Notice, </w:t>
      </w:r>
      <w:r w:rsidR="002535DE">
        <w:t xml:space="preserve">40 FCC </w:t>
      </w:r>
      <w:r w:rsidR="002535DE">
        <w:t>Rcd</w:t>
      </w:r>
      <w:r w:rsidR="002535DE">
        <w:t xml:space="preserve"> 4039</w:t>
      </w:r>
      <w:r w:rsidRPr="00A85F10" w:rsidR="00A85F10">
        <w:t xml:space="preserve"> </w:t>
      </w:r>
      <w:r w:rsidR="00245682">
        <w:t>(MB 2025) (</w:t>
      </w:r>
      <w:r w:rsidRPr="0086539B" w:rsidR="00245682">
        <w:rPr>
          <w:i/>
          <w:iCs/>
        </w:rPr>
        <w:t>June PN</w:t>
      </w:r>
      <w:r w:rsidR="00245682">
        <w:t>)</w:t>
      </w:r>
      <w:r w:rsidR="00AD2B85">
        <w:t xml:space="preserve">.  </w:t>
      </w:r>
    </w:p>
  </w:footnote>
  <w:footnote w:id="6">
    <w:p w:rsidR="00382647" w14:paraId="2B23EEBC" w14:textId="5337E08E">
      <w:pPr>
        <w:pStyle w:val="FootnoteText"/>
      </w:pPr>
      <w:r>
        <w:rPr>
          <w:rStyle w:val="FootnoteReference"/>
        </w:rPr>
        <w:footnoteRef/>
      </w:r>
      <w:r>
        <w:t xml:space="preserve"> </w:t>
      </w:r>
      <w:r w:rsidR="002535DE">
        <w:rPr>
          <w:i/>
          <w:iCs/>
        </w:rPr>
        <w:t>Id.</w:t>
      </w:r>
    </w:p>
  </w:footnote>
  <w:footnote w:id="7">
    <w:p w:rsidR="002729C8" w:rsidRPr="002729C8" w14:paraId="733CF599" w14:textId="74C89573">
      <w:pPr>
        <w:pStyle w:val="FootnoteText"/>
        <w:rPr>
          <w:i/>
          <w:iCs/>
        </w:rPr>
      </w:pPr>
      <w:r>
        <w:rPr>
          <w:rStyle w:val="FootnoteReference"/>
        </w:rPr>
        <w:footnoteRef/>
      </w:r>
      <w:r>
        <w:t xml:space="preserve"> </w:t>
      </w:r>
      <w:r>
        <w:rPr>
          <w:i/>
          <w:iCs/>
        </w:rPr>
        <w:t>Id.</w:t>
      </w:r>
    </w:p>
  </w:footnote>
  <w:footnote w:id="8">
    <w:p w:rsidR="00570B07" w:rsidRPr="002535DE" w14:paraId="63FA94CB" w14:textId="36728136">
      <w:pPr>
        <w:pStyle w:val="FootnoteText"/>
      </w:pPr>
      <w:r>
        <w:rPr>
          <w:rStyle w:val="FootnoteReference"/>
        </w:rPr>
        <w:footnoteRef/>
      </w:r>
      <w:r w:rsidRPr="002535DE" w:rsidR="002535DE">
        <w:rPr>
          <w:rFonts w:ascii="Open Sans" w:hAnsi="Open Sans" w:cs="Open Sans"/>
          <w:snapToGrid w:val="0"/>
          <w:color w:val="212529"/>
          <w:kern w:val="28"/>
          <w:shd w:val="clear" w:color="auto" w:fill="FFFFFF"/>
        </w:rPr>
        <w:t xml:space="preserve"> </w:t>
      </w:r>
      <w:r w:rsidRPr="002535DE" w:rsidR="002535DE">
        <w:rPr>
          <w:i/>
          <w:iCs/>
        </w:rPr>
        <w:t>Media Bureau Announces New Compliance Date for Revised Sponsorship Identification Requirements for Foreign Government-Provided Programming from the Second Report &amp; Orde</w:t>
      </w:r>
      <w:r w:rsidR="00C5424A">
        <w:rPr>
          <w:i/>
          <w:iCs/>
        </w:rPr>
        <w:t>r</w:t>
      </w:r>
      <w:r w:rsidR="002535DE">
        <w:t xml:space="preserve">, Public Notice, 40 FCC </w:t>
      </w:r>
      <w:r w:rsidR="002535DE">
        <w:t>Rcd</w:t>
      </w:r>
      <w:r w:rsidR="002535DE">
        <w:t xml:space="preserve"> 9356 (MB 2025).</w:t>
      </w:r>
    </w:p>
  </w:footnote>
  <w:footnote w:id="9">
    <w:p w:rsidR="00CE0095" w:rsidRPr="006D2538" w:rsidP="00CE0095" w14:paraId="58FAE0E1" w14:textId="77777777">
      <w:pPr>
        <w:pStyle w:val="FootnoteText"/>
      </w:pPr>
      <w:r w:rsidRPr="006D2538">
        <w:rPr>
          <w:rStyle w:val="FootnoteReference"/>
        </w:rPr>
        <w:footnoteRef/>
      </w:r>
      <w:r w:rsidRPr="006D2538">
        <w:t xml:space="preserve"> </w:t>
      </w:r>
      <w:r w:rsidRPr="006D2538">
        <w:rPr>
          <w:i/>
          <w:iCs/>
        </w:rPr>
        <w:t>Second Report and Order</w:t>
      </w:r>
      <w:r w:rsidRPr="006D2538">
        <w:t xml:space="preserve">, 39 FCC </w:t>
      </w:r>
      <w:r w:rsidRPr="006D2538">
        <w:t>Rcd</w:t>
      </w:r>
      <w:r w:rsidRPr="006D2538">
        <w:t xml:space="preserve"> 6049</w:t>
      </w:r>
      <w:r>
        <w:t xml:space="preserve"> at 6051</w:t>
      </w:r>
      <w:r w:rsidRPr="006D2538">
        <w:t xml:space="preserve">, para. </w:t>
      </w:r>
      <w:r>
        <w:t>3</w:t>
      </w:r>
      <w:r w:rsidRPr="006D2538">
        <w:t>.</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EE1112" w:rsidP="00EE1112" w14:paraId="11FCA488" w14:textId="1C5CBC39">
    <w:pPr>
      <w:tabs>
        <w:tab w:val="center" w:pos="4680"/>
        <w:tab w:val="right" w:pos="9360"/>
      </w:tabs>
    </w:pPr>
    <w:r w:rsidRPr="009838BC">
      <w:rPr>
        <w:b/>
      </w:rPr>
      <w:tab/>
      <w:t>Federal Communications Commission</w:t>
    </w:r>
    <w:r w:rsidRPr="009838BC">
      <w:rPr>
        <w:b/>
      </w:rPr>
      <w:tab/>
    </w:r>
    <w:r>
      <w:rPr>
        <w:b/>
      </w:rPr>
      <w:t>DA 2</w:t>
    </w:r>
    <w:r w:rsidR="002535DE">
      <w:rPr>
        <w:b/>
      </w:rPr>
      <w:t>6-</w:t>
    </w:r>
    <w:r w:rsidR="00EB2914">
      <w:rPr>
        <w:b/>
      </w:rPr>
      <w:t>526</w:t>
    </w:r>
  </w:p>
  <w:p w:rsidR="009838BC" w:rsidRPr="009838BC" w:rsidP="009838BC" w14:paraId="2440C1D6" w14:textId="77777777">
    <w:pPr>
      <w:tabs>
        <w:tab w:val="left" w:pos="-720"/>
      </w:tabs>
      <w:suppressAutoHyphens/>
      <w:spacing w:line="19" w:lineRule="exact"/>
      <w:rPr>
        <w:spacing w:val="-2"/>
      </w:rPr>
    </w:pPr>
    <w:r>
      <w:rPr>
        <w:noProof/>
      </w:rPr>
      <mc:AlternateContent>
        <mc:Choice Requires="wps">
          <w:drawing>
            <wp:anchor distT="0" distB="0" distL="114300" distR="114300" simplePos="0" relativeHeight="251658240" behindDoc="1" locked="0" layoutInCell="0" allowOverlap="1">
              <wp:simplePos x="0" y="0"/>
              <wp:positionH relativeFrom="margin">
                <wp:posOffset>0</wp:posOffset>
              </wp:positionH>
              <wp:positionV relativeFrom="paragraph">
                <wp:posOffset>0</wp:posOffset>
              </wp:positionV>
              <wp:extent cx="5943600" cy="12065"/>
              <wp:effectExtent l="0" t="0" r="0" b="0"/>
              <wp:wrapNone/>
              <wp:docPr id="250871692" name="Rectangle 15"/>
              <wp:cNvGraphicFramePr/>
              <a:graphic xmlns:a="http://schemas.openxmlformats.org/drawingml/2006/main">
                <a:graphicData uri="http://schemas.microsoft.com/office/word/2010/wordprocessingShape">
                  <wps:wsp xmlns:wps="http://schemas.microsoft.com/office/word/2010/wordprocessingShape">
                    <wps:cNvSpPr>
                      <a:spLocks noChangeArrowheads="1"/>
                    </wps:cNvSpPr>
                    <wps:spPr bwMode="auto">
                      <a:xfrm>
                        <a:off x="0" y="0"/>
                        <a:ext cx="5943600" cy="12065"/>
                      </a:xfrm>
                      <a:prstGeom prst="rect">
                        <a:avLst/>
                      </a:prstGeom>
                      <a:solidFill>
                        <a:srgbClr val="000000"/>
                      </a:solidFill>
                      <a:ln>
                        <a:noFill/>
                      </a:ln>
                      <a:extLst>
                        <a:ext xmlns:a="http://schemas.openxmlformats.org/drawingml/2006/main" uri="{91240B29-F687-4F45-9708-019B960494DF}">
                          <a14:hiddenLine xmlns:a14="http://schemas.microsoft.com/office/drawing/2010/main" w="635">
                            <a:solidFill>
                              <a:srgbClr val="000000"/>
                            </a:solidFill>
                            <a:miter lim="800000"/>
                            <a:headEnd/>
                            <a:tailEnd/>
                          </a14:hiddenLine>
                        </a:ext>
                      </a:extLst>
                    </wps:spPr>
                    <wps:bodyPr rot="0" vert="horz" wrap="square" lIns="91440" tIns="45720" rIns="91440" bIns="45720" anchor="t" anchorCtr="0" upright="1"/>
                  </wps:wsp>
                </a:graphicData>
              </a:graphic>
              <wp14:sizeRelH relativeFrom="page">
                <wp14:pctWidth>0</wp14:pctWidth>
              </wp14:sizeRelH>
              <wp14:sizeRelV relativeFrom="page">
                <wp14:pctHeight>0</wp14:pctHeight>
              </wp14:sizeRelV>
            </wp:anchor>
          </w:drawing>
        </mc:Choice>
        <mc:Fallback>
          <w:pict>
            <v:rect id="Rectangle 15" o:spid="_x0000_s2049" style="width:468pt;height:0.95pt;margin-top:0;margin-left:0;mso-height-percent:0;mso-height-relative:page;mso-position-horizontal-relative:margin;mso-width-percent:0;mso-width-relative:page;mso-wrap-distance-bottom:0;mso-wrap-distance-left:9pt;mso-wrap-distance-right:9pt;mso-wrap-distance-top:0;mso-wrap-style:square;position:absolute;visibility:visible;v-text-anchor:top;z-index:-251657216" o:allowincell="f" fillcolor="black" stroked="f" strokeweight="0.05pt">
              <w10:wrap anchorx="margin"/>
            </v:rect>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9838BC" w:rsidRPr="00A866AC" w:rsidP="009838BC" w14:paraId="0DBFB557" w14:textId="77777777">
    <w:pPr>
      <w:spacing w:before="40"/>
      <w:rPr>
        <w:rFonts w:ascii="Arial" w:hAnsi="Arial" w:cs="Arial"/>
        <w:b/>
        <w:sz w:val="96"/>
      </w:rPr>
    </w:pPr>
    <w:r>
      <w:rPr>
        <w:noProof/>
      </w:rPr>
      <mc:AlternateContent>
        <mc:Choice Requires="wps">
          <w:drawing>
            <wp:anchor distT="0" distB="0" distL="114300" distR="114300" simplePos="0" relativeHeight="251660288" behindDoc="0" locked="0" layoutInCell="0" allowOverlap="1">
              <wp:simplePos x="0" y="0"/>
              <wp:positionH relativeFrom="margin">
                <wp:posOffset>-57150</wp:posOffset>
              </wp:positionH>
              <wp:positionV relativeFrom="paragraph">
                <wp:posOffset>741045</wp:posOffset>
              </wp:positionV>
              <wp:extent cx="3108960" cy="640080"/>
              <wp:effectExtent l="0" t="0" r="0" b="0"/>
              <wp:wrapNone/>
              <wp:docPr id="2091658411" name="Text Box 12"/>
              <wp:cNvGraphicFramePr/>
              <a:graphic xmlns:a="http://schemas.openxmlformats.org/drawingml/2006/main">
                <a:graphicData uri="http://schemas.microsoft.com/office/word/2010/wordprocessingShape">
                  <wps:wsp xmlns:wps="http://schemas.microsoft.com/office/word/2010/wordprocessingShape">
                    <wps:cNvSpPr txBox="1">
                      <a:spLocks noChangeArrowheads="1"/>
                    </wps:cNvSpPr>
                    <wps:spPr bwMode="auto">
                      <a:xfrm>
                        <a:off x="0" y="0"/>
                        <a:ext cx="3108960" cy="640080"/>
                      </a:xfrm>
                      <a:prstGeom prst="rect">
                        <a:avLst/>
                      </a:prstGeom>
                      <a:solidFill>
                        <a:srgbClr val="FFFFFF"/>
                      </a:solidFill>
                      <a:ln>
                        <a:noFill/>
                      </a:ln>
                      <a:extLst>
                        <a:ext xmlns:a="http://schemas.openxmlformats.org/drawingml/2006/main" uri="{91240B29-F687-4F45-9708-019B960494DF}">
                          <a14:hiddenLine xmlns:a14="http://schemas.microsoft.com/office/drawing/2010/main" w="9525">
                            <a:solidFill>
                              <a:srgbClr val="000000"/>
                            </a:solidFill>
                            <a:miter lim="800000"/>
                            <a:headEnd/>
                            <a:tailEnd/>
                          </a14:hiddenLine>
                        </a:ext>
                      </a:extLst>
                    </wps:spPr>
                    <wps:txbx>
                      <w:txbxContent>
                        <w:p w:rsidR="00DE0AB8" w:rsidP="00DE0AB8" w14:textId="77777777">
                          <w:pPr>
                            <w:rPr>
                              <w:rFonts w:ascii="Arial" w:hAnsi="Arial"/>
                              <w:b/>
                              <w:snapToGrid/>
                            </w:rPr>
                          </w:pPr>
                          <w:r>
                            <w:rPr>
                              <w:rFonts w:ascii="Arial" w:hAnsi="Arial"/>
                              <w:b/>
                            </w:rPr>
                            <w:t>Federal Communications Commission</w:t>
                          </w:r>
                        </w:p>
                        <w:p w:rsidR="00DE0AB8" w:rsidP="00DE0AB8" w14:textId="77777777">
                          <w:pPr>
                            <w:rPr>
                              <w:rFonts w:ascii="Arial" w:hAnsi="Arial"/>
                              <w:b/>
                            </w:rPr>
                          </w:pPr>
                          <w:r>
                            <w:rPr>
                              <w:rFonts w:ascii="Arial" w:hAnsi="Arial"/>
                              <w:b/>
                            </w:rPr>
                            <w:t>45 L Street NE</w:t>
                          </w:r>
                        </w:p>
                        <w:p w:rsidR="009838BC" w:rsidP="00DE0AB8" w14:textId="77777777">
                          <w:pPr>
                            <w:rPr>
                              <w:rFonts w:ascii="Arial" w:hAnsi="Arial"/>
                              <w:sz w:val="24"/>
                            </w:rPr>
                          </w:pPr>
                          <w:r>
                            <w:rPr>
                              <w:rFonts w:ascii="Arial" w:hAnsi="Arial"/>
                              <w:b/>
                            </w:rPr>
                            <w:t>Washington, DC 20554</w:t>
                          </w:r>
                        </w:p>
                      </w:txbxContent>
                    </wps:txbx>
                    <wps:bodyPr rot="0" vert="horz" wrap="square" lIns="91440" tIns="45720" rIns="91440" bIns="45720" anchor="t" anchorCtr="0" upright="1"/>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12" o:spid="_x0000_s2050" type="#_x0000_t202" style="width:244.8pt;height:50.4pt;margin-top:58.35pt;margin-left:-4.5pt;mso-height-percent:0;mso-height-relative:page;mso-position-horizontal-relative:margin;mso-width-percent:0;mso-width-relative:page;mso-wrap-distance-bottom:0;mso-wrap-distance-left:9pt;mso-wrap-distance-right:9pt;mso-wrap-distance-top:0;mso-wrap-style:square;position:absolute;visibility:visible;v-text-anchor:top;z-index:251661312" o:allowincell="f" stroked="f">
              <v:textbox>
                <w:txbxContent>
                  <w:p w:rsidR="00DE0AB8" w:rsidP="00DE0AB8" w14:paraId="44B3C101" w14:textId="77777777">
                    <w:pPr>
                      <w:rPr>
                        <w:rFonts w:ascii="Arial" w:hAnsi="Arial"/>
                        <w:b/>
                        <w:snapToGrid/>
                      </w:rPr>
                    </w:pPr>
                    <w:r>
                      <w:rPr>
                        <w:rFonts w:ascii="Arial" w:hAnsi="Arial"/>
                        <w:b/>
                      </w:rPr>
                      <w:t>Federal Communications Commission</w:t>
                    </w:r>
                  </w:p>
                  <w:p w:rsidR="00DE0AB8" w:rsidP="00DE0AB8" w14:paraId="3F0027D8" w14:textId="77777777">
                    <w:pPr>
                      <w:rPr>
                        <w:rFonts w:ascii="Arial" w:hAnsi="Arial"/>
                        <w:b/>
                      </w:rPr>
                    </w:pPr>
                    <w:r>
                      <w:rPr>
                        <w:rFonts w:ascii="Arial" w:hAnsi="Arial"/>
                        <w:b/>
                      </w:rPr>
                      <w:t>45 L Street NE</w:t>
                    </w:r>
                  </w:p>
                  <w:p w:rsidR="009838BC" w:rsidP="00DE0AB8" w14:paraId="04055334" w14:textId="77777777">
                    <w:pPr>
                      <w:rPr>
                        <w:rFonts w:ascii="Arial" w:hAnsi="Arial"/>
                        <w:sz w:val="24"/>
                      </w:rPr>
                    </w:pPr>
                    <w:r>
                      <w:rPr>
                        <w:rFonts w:ascii="Arial" w:hAnsi="Arial"/>
                        <w:b/>
                      </w:rPr>
                      <w:t>Washington, DC 20554</w:t>
                    </w:r>
                  </w:p>
                </w:txbxContent>
              </v:textbox>
              <w10:wrap anchorx="margin"/>
            </v:shape>
          </w:pict>
        </mc:Fallback>
      </mc:AlternateContent>
    </w:r>
    <w:r>
      <w:rPr>
        <w:noProof/>
      </w:rPr>
      <w:drawing>
        <wp:anchor distT="0" distB="0" distL="114300" distR="114300" simplePos="0" relativeHeight="251662336" behindDoc="0" locked="0" layoutInCell="0" allowOverlap="1">
          <wp:simplePos x="0" y="0"/>
          <wp:positionH relativeFrom="column">
            <wp:posOffset>-650875</wp:posOffset>
          </wp:positionH>
          <wp:positionV relativeFrom="paragraph">
            <wp:posOffset>136525</wp:posOffset>
          </wp:positionV>
          <wp:extent cx="530225" cy="530225"/>
          <wp:effectExtent l="0" t="0" r="0" b="0"/>
          <wp:wrapTopAndBottom/>
          <wp:docPr id="1027" name="Picture 11" descr="fcc_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7" name="Picture 11" descr="fcc_logo"/>
                  <pic:cNvPicPr>
                    <a:picLocks noChangeAspect="1" noChangeArrowheads="1"/>
                  </pic:cNvPicPr>
                </pic:nvPicPr>
                <pic:blipFill>
                  <a:blip xmlns:r="http://schemas.openxmlformats.org/officeDocument/2006/relationships" r:embed="rId1">
                    <a:extLst>
                      <a:ext xmlns:a="http://schemas.openxmlformats.org/drawingml/2006/main" uri="{28A0092B-C50C-407E-A947-70E740481C1C}">
                        <a14:useLocalDpi xmlns:a14="http://schemas.microsoft.com/office/drawing/2010/main" val="0"/>
                      </a:ext>
                    </a:extLst>
                  </a:blip>
                  <a:stretch>
                    <a:fillRect/>
                  </a:stretch>
                </pic:blipFill>
                <pic:spPr bwMode="auto">
                  <a:xfrm>
                    <a:off x="0" y="0"/>
                    <a:ext cx="530225" cy="530225"/>
                  </a:xfrm>
                  <a:prstGeom prst="rect">
                    <a:avLst/>
                  </a:prstGeom>
                  <a:noFill/>
                </pic:spPr>
              </pic:pic>
            </a:graphicData>
          </a:graphic>
          <wp14:sizeRelH relativeFrom="page">
            <wp14:pctWidth>0</wp14:pctWidth>
          </wp14:sizeRelH>
          <wp14:sizeRelV relativeFrom="page">
            <wp14:pctHeight>0</wp14:pctHeight>
          </wp14:sizeRelV>
        </wp:anchor>
      </w:drawing>
    </w:r>
    <w:r w:rsidRPr="00A866AC" w:rsidR="00A34F04">
      <w:rPr>
        <w:rFonts w:ascii="Arial" w:hAnsi="Arial" w:cs="Arial"/>
        <w:b/>
        <w:sz w:val="96"/>
      </w:rPr>
      <w:t>PUBLIC NOTICE</w:t>
    </w:r>
  </w:p>
  <w:p w:rsidR="009838BC" w:rsidRPr="00357D50" w:rsidP="009838BC" w14:paraId="0E9C953D" w14:textId="77777777">
    <w:pPr>
      <w:spacing w:before="40"/>
      <w:rPr>
        <w:rFonts w:ascii="Arial" w:hAnsi="Arial" w:cs="Arial"/>
        <w:b/>
        <w:sz w:val="96"/>
      </w:rPr>
    </w:pPr>
    <w:r>
      <w:rPr>
        <w:noProof/>
      </w:rPr>
      <mc:AlternateContent>
        <mc:Choice Requires="wps">
          <w:drawing>
            <wp:anchor distT="0" distB="0" distL="114300" distR="114300" simplePos="0" relativeHeight="251663360" behindDoc="0" locked="0" layoutInCell="0" allowOverlap="1">
              <wp:simplePos x="0" y="0"/>
              <wp:positionH relativeFrom="margin">
                <wp:align>right</wp:align>
              </wp:positionH>
              <wp:positionV relativeFrom="paragraph">
                <wp:posOffset>720090</wp:posOffset>
              </wp:positionV>
              <wp:extent cx="5943600" cy="0"/>
              <wp:effectExtent l="10795" t="5715" r="8255" b="13335"/>
              <wp:wrapNone/>
              <wp:docPr id="1985144063" name="Straight Connector 10"/>
              <wp:cNvGraphicFramePr/>
              <a:graphic xmlns:a="http://schemas.openxmlformats.org/drawingml/2006/main">
                <a:graphicData uri="http://schemas.microsoft.com/office/word/2010/wordprocessingShape">
                  <wps:wsp xmlns:wps="http://schemas.microsoft.com/office/word/2010/wordprocessingShape">
                    <wps:cNvCnPr>
                      <a:cxnSpLocks noChangeShapeType="1"/>
                    </wps:cNvCnPr>
                    <wps:spPr bwMode="auto">
                      <a:xfrm>
                        <a:off x="0" y="0"/>
                        <a:ext cx="5943600" cy="0"/>
                      </a:xfrm>
                      <a:prstGeom prst="line">
                        <a:avLst/>
                      </a:prstGeom>
                      <a:noFill/>
                      <a:ln w="9525">
                        <a:solidFill>
                          <a:srgbClr val="000000"/>
                        </a:solidFill>
                        <a:round/>
                        <a:headEnd/>
                        <a:tailEnd/>
                      </a:ln>
                      <a:extLst>
                        <a:ext xmlns:a="http://schemas.openxmlformats.org/drawingml/2006/main"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Straight Connector 10" o:spid="_x0000_s2051" style="mso-height-percent:0;mso-height-relative:page;mso-position-horizontal:right;mso-position-horizontal-relative:margin;mso-width-percent:0;mso-width-relative:page;mso-wrap-distance-bottom:0;mso-wrap-distance-left:9pt;mso-wrap-distance-right:9pt;mso-wrap-distance-top:0;mso-wrap-style:square;position:absolute;visibility:visible;z-index:251664384" from="416.8pt,56.7pt" to="884.8pt,56.7pt" o:allowincell="f">
              <w10:wrap anchorx="margin"/>
            </v:line>
          </w:pict>
        </mc:Fallback>
      </mc:AlternateContent>
    </w:r>
    <w:r>
      <w:rPr>
        <w:noProof/>
      </w:rPr>
      <mc:AlternateContent>
        <mc:Choice Requires="wps">
          <w:drawing>
            <wp:anchor distT="0" distB="0" distL="114300" distR="114300" simplePos="0" relativeHeight="251665408" behindDoc="0" locked="0" layoutInCell="0" allowOverlap="1">
              <wp:simplePos x="0" y="0"/>
              <wp:positionH relativeFrom="column">
                <wp:posOffset>3343275</wp:posOffset>
              </wp:positionH>
              <wp:positionV relativeFrom="paragraph">
                <wp:posOffset>178435</wp:posOffset>
              </wp:positionV>
              <wp:extent cx="2640965" cy="447675"/>
              <wp:effectExtent l="0" t="0" r="0" b="2540"/>
              <wp:wrapNone/>
              <wp:docPr id="1412763465" name="Text Box 9"/>
              <wp:cNvGraphicFramePr/>
              <a:graphic xmlns:a="http://schemas.openxmlformats.org/drawingml/2006/main">
                <a:graphicData uri="http://schemas.microsoft.com/office/word/2010/wordprocessingShape">
                  <wps:wsp xmlns:wps="http://schemas.microsoft.com/office/word/2010/wordprocessingShape">
                    <wps:cNvSpPr txBox="1">
                      <a:spLocks noChangeArrowheads="1"/>
                    </wps:cNvSpPr>
                    <wps:spPr bwMode="auto">
                      <a:xfrm>
                        <a:off x="0" y="0"/>
                        <a:ext cx="2640965" cy="447675"/>
                      </a:xfrm>
                      <a:prstGeom prst="rect">
                        <a:avLst/>
                      </a:prstGeom>
                      <a:solidFill>
                        <a:srgbClr val="FFFFFF"/>
                      </a:solidFill>
                      <a:ln>
                        <a:noFill/>
                      </a:ln>
                      <a:extLst>
                        <a:ext xmlns:a="http://schemas.openxmlformats.org/drawingml/2006/main" uri="{91240B29-F687-4F45-9708-019B960494DF}">
                          <a14:hiddenLine xmlns:a14="http://schemas.microsoft.com/office/drawing/2010/main" w="9525">
                            <a:solidFill>
                              <a:srgbClr val="000000"/>
                            </a:solidFill>
                            <a:miter lim="800000"/>
                            <a:headEnd/>
                            <a:tailEnd/>
                          </a14:hiddenLine>
                        </a:ext>
                      </a:extLst>
                    </wps:spPr>
                    <wps:txbx>
                      <w:txbxContent>
                        <w:p w:rsidR="009838BC" w:rsidP="009838BC" w14:textId="77777777">
                          <w:pPr>
                            <w:spacing w:before="40"/>
                            <w:jc w:val="right"/>
                            <w:rPr>
                              <w:rFonts w:ascii="Arial" w:hAnsi="Arial"/>
                              <w:b/>
                              <w:sz w:val="16"/>
                            </w:rPr>
                          </w:pPr>
                          <w:r>
                            <w:rPr>
                              <w:rFonts w:ascii="Arial" w:hAnsi="Arial"/>
                              <w:b/>
                              <w:sz w:val="16"/>
                            </w:rPr>
                            <w:t>News Media Information 202 / 418-0500</w:t>
                          </w:r>
                        </w:p>
                        <w:p w:rsidR="009838BC" w:rsidP="009838BC" w14:textId="77777777">
                          <w:pPr>
                            <w:jc w:val="right"/>
                            <w:rPr>
                              <w:rFonts w:ascii="Arial" w:hAnsi="Arial"/>
                              <w:b/>
                              <w:sz w:val="16"/>
                            </w:rPr>
                          </w:pPr>
                          <w:r>
                            <w:rPr>
                              <w:rFonts w:ascii="Arial" w:hAnsi="Arial"/>
                              <w:b/>
                              <w:sz w:val="16"/>
                            </w:rPr>
                            <w:t xml:space="preserve">Internet: </w:t>
                          </w:r>
                          <w:bookmarkStart w:id="0" w:name="_Hlt233824"/>
                          <w:hyperlink r:id="rId2" w:history="1">
                            <w:r w:rsidRPr="00D216CD">
                              <w:rPr>
                                <w:rStyle w:val="Hyperlink"/>
                                <w:rFonts w:ascii="Arial" w:hAnsi="Arial"/>
                                <w:b/>
                                <w:sz w:val="16"/>
                              </w:rPr>
                              <w:t>h</w:t>
                            </w:r>
                            <w:bookmarkEnd w:id="0"/>
                            <w:r w:rsidRPr="00D216CD">
                              <w:rPr>
                                <w:rStyle w:val="Hyperlink"/>
                                <w:rFonts w:ascii="Arial" w:hAnsi="Arial"/>
                                <w:b/>
                                <w:sz w:val="16"/>
                              </w:rPr>
                              <w:t>ttps://www.fcc.gov</w:t>
                            </w:r>
                          </w:hyperlink>
                        </w:p>
                      </w:txbxContent>
                    </wps:txbx>
                    <wps:bodyPr rot="0" vert="horz" wrap="square" lIns="91440" tIns="0" rIns="91440" bIns="0" anchor="t" anchorCtr="0" upright="1"/>
                  </wps:wsp>
                </a:graphicData>
              </a:graphic>
              <wp14:sizeRelH relativeFrom="page">
                <wp14:pctWidth>0</wp14:pctWidth>
              </wp14:sizeRelH>
              <wp14:sizeRelV relativeFrom="page">
                <wp14:pctHeight>0</wp14:pctHeight>
              </wp14:sizeRelV>
            </wp:anchor>
          </w:drawing>
        </mc:Choice>
        <mc:Fallback>
          <w:pict>
            <v:shape id="Text Box 9" o:spid="_x0000_s2052" type="#_x0000_t202" style="width:207.95pt;height:35.25pt;margin-top:14.05pt;margin-left:263.25pt;mso-height-percent:0;mso-height-relative:page;mso-width-percent:0;mso-width-relative:page;mso-wrap-distance-bottom:0;mso-wrap-distance-left:9pt;mso-wrap-distance-right:9pt;mso-wrap-distance-top:0;mso-wrap-style:square;position:absolute;visibility:visible;v-text-anchor:top;z-index:251666432" o:allowincell="f" stroked="f">
              <v:textbox inset=",0,,0">
                <w:txbxContent>
                  <w:p w:rsidR="009838BC" w:rsidP="009838BC" w14:paraId="68E3888C" w14:textId="77777777">
                    <w:pPr>
                      <w:spacing w:before="40"/>
                      <w:jc w:val="right"/>
                      <w:rPr>
                        <w:rFonts w:ascii="Arial" w:hAnsi="Arial"/>
                        <w:b/>
                        <w:sz w:val="16"/>
                      </w:rPr>
                    </w:pPr>
                    <w:r>
                      <w:rPr>
                        <w:rFonts w:ascii="Arial" w:hAnsi="Arial"/>
                        <w:b/>
                        <w:sz w:val="16"/>
                      </w:rPr>
                      <w:t>News Media Information 202 / 418-0500</w:t>
                    </w:r>
                  </w:p>
                  <w:p w:rsidR="009838BC" w:rsidP="009838BC" w14:paraId="7BFA4AEE" w14:textId="77777777">
                    <w:pPr>
                      <w:jc w:val="right"/>
                      <w:rPr>
                        <w:rFonts w:ascii="Arial" w:hAnsi="Arial"/>
                        <w:b/>
                        <w:sz w:val="16"/>
                      </w:rPr>
                    </w:pPr>
                    <w:r>
                      <w:rPr>
                        <w:rFonts w:ascii="Arial" w:hAnsi="Arial"/>
                        <w:b/>
                        <w:sz w:val="16"/>
                      </w:rPr>
                      <w:t xml:space="preserve">Internet: </w:t>
                    </w:r>
                    <w:bookmarkStart w:id="0" w:name="_Hlt233824"/>
                    <w:hyperlink r:id="rId2" w:history="1">
                      <w:r w:rsidRPr="00D216CD">
                        <w:rPr>
                          <w:rStyle w:val="Hyperlink"/>
                          <w:rFonts w:ascii="Arial" w:hAnsi="Arial"/>
                          <w:b/>
                          <w:sz w:val="16"/>
                        </w:rPr>
                        <w:t>h</w:t>
                      </w:r>
                      <w:bookmarkEnd w:id="0"/>
                      <w:r w:rsidRPr="00D216CD">
                        <w:rPr>
                          <w:rStyle w:val="Hyperlink"/>
                          <w:rFonts w:ascii="Arial" w:hAnsi="Arial"/>
                          <w:b/>
                          <w:sz w:val="16"/>
                        </w:rPr>
                        <w:t>ttps://www.fcc.gov</w:t>
                      </w:r>
                    </w:hyperlink>
                  </w:p>
                </w:txbxContent>
              </v:textbox>
            </v:shape>
          </w:pict>
        </mc:Fallback>
      </mc:AlternateContent>
    </w:r>
  </w:p>
  <w:p w:rsidR="006F7393" w:rsidRPr="009838BC" w:rsidP="009838BC" w14:paraId="2815F557" w14:textId="77777777">
    <w:pPr>
      <w:pStyle w:val="Header"/>
      <w:rPr>
        <w:sz w:val="2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abstractNum w:abstractNumId="0">
    <w:nsid w:val="084B453C"/>
    <w:multiLevelType w:val="singleLevel"/>
    <w:tmpl w:val="40A8E97A"/>
    <w:lvl w:ilvl="0">
      <w:start w:val="1"/>
      <w:numFmt w:val="decimal"/>
      <w:lvlText w:val="%1."/>
      <w:lvlJc w:val="left"/>
      <w:pPr>
        <w:tabs>
          <w:tab w:val="num" w:pos="1080"/>
        </w:tabs>
        <w:ind w:left="0" w:firstLine="720"/>
      </w:pPr>
    </w:lvl>
  </w:abstractNum>
  <w:abstractNum w:abstractNumId="1">
    <w:nsid w:val="23F40A0F"/>
    <w:multiLevelType w:val="singleLevel"/>
    <w:tmpl w:val="3244DD0A"/>
    <w:lvl w:ilvl="0">
      <w:start w:val="1"/>
      <w:numFmt w:val="bullet"/>
      <w:pStyle w:val="Bullet"/>
      <w:lvlText w:val=""/>
      <w:lvlJc w:val="left"/>
      <w:pPr>
        <w:tabs>
          <w:tab w:val="num" w:pos="360"/>
        </w:tabs>
        <w:ind w:left="360" w:hanging="360"/>
      </w:pPr>
      <w:rPr>
        <w:rFonts w:ascii="Symbol" w:hAnsi="Symbol" w:hint="default"/>
      </w:rPr>
    </w:lvl>
  </w:abstractNum>
  <w:abstractNum w:abstractNumId="2">
    <w:nsid w:val="248246F3"/>
    <w:multiLevelType w:val="singleLevel"/>
    <w:tmpl w:val="B1F45678"/>
    <w:lvl w:ilvl="0">
      <w:start w:val="1"/>
      <w:numFmt w:val="decimal"/>
      <w:lvlText w:val="%1."/>
      <w:lvlJc w:val="left"/>
      <w:pPr>
        <w:tabs>
          <w:tab w:val="num" w:pos="1080"/>
        </w:tabs>
        <w:ind w:left="0" w:firstLine="720"/>
      </w:pPr>
    </w:lvl>
  </w:abstractNum>
  <w:abstractNum w:abstractNumId="3">
    <w:nsid w:val="27E06CBB"/>
    <w:multiLevelType w:val="multilevel"/>
    <w:tmpl w:val="F1A86982"/>
    <w:lvl w:ilvl="0">
      <w:start w:val="1"/>
      <w:numFmt w:val="upperRoman"/>
      <w:pStyle w:val="Heading1"/>
      <w:lvlText w:val="%1."/>
      <w:lvlJc w:val="left"/>
      <w:pPr>
        <w:tabs>
          <w:tab w:val="num" w:pos="720"/>
        </w:tabs>
        <w:ind w:left="720" w:hanging="720"/>
      </w:pPr>
    </w:lvl>
    <w:lvl w:ilvl="1">
      <w:start w:val="1"/>
      <w:numFmt w:val="upperLetter"/>
      <w:pStyle w:val="Heading2"/>
      <w:lvlText w:val="%2."/>
      <w:lvlJc w:val="left"/>
      <w:pPr>
        <w:tabs>
          <w:tab w:val="num" w:pos="1440"/>
        </w:tabs>
        <w:ind w:left="1440" w:hanging="720"/>
      </w:pPr>
    </w:lvl>
    <w:lvl w:ilvl="2">
      <w:start w:val="1"/>
      <w:numFmt w:val="decimal"/>
      <w:pStyle w:val="Heading3"/>
      <w:lvlText w:val="%3."/>
      <w:lvlJc w:val="left"/>
      <w:pPr>
        <w:tabs>
          <w:tab w:val="num" w:pos="2160"/>
        </w:tabs>
        <w:ind w:left="2160" w:hanging="720"/>
      </w:pPr>
    </w:lvl>
    <w:lvl w:ilvl="3">
      <w:start w:val="1"/>
      <w:numFmt w:val="lowerLetter"/>
      <w:pStyle w:val="Heading4"/>
      <w:lvlText w:val="%4."/>
      <w:lvlJc w:val="left"/>
      <w:pPr>
        <w:tabs>
          <w:tab w:val="num" w:pos="2880"/>
        </w:tabs>
        <w:ind w:left="2880" w:hanging="720"/>
      </w:pPr>
    </w:lvl>
    <w:lvl w:ilvl="4">
      <w:start w:val="1"/>
      <w:numFmt w:val="lowerRoman"/>
      <w:pStyle w:val="Heading5"/>
      <w:lvlText w:val="(%5)"/>
      <w:lvlJc w:val="left"/>
      <w:pPr>
        <w:tabs>
          <w:tab w:val="num" w:pos="3600"/>
        </w:tabs>
        <w:ind w:left="3600" w:hanging="720"/>
      </w:pPr>
    </w:lvl>
    <w:lvl w:ilvl="5">
      <w:start w:val="1"/>
      <w:numFmt w:val="lowerLetter"/>
      <w:pStyle w:val="Heading6"/>
      <w:lvlText w:val="(%6)"/>
      <w:lvlJc w:val="left"/>
      <w:pPr>
        <w:tabs>
          <w:tab w:val="num" w:pos="4320"/>
        </w:tabs>
        <w:ind w:left="4320" w:hanging="720"/>
      </w:pPr>
    </w:lvl>
    <w:lvl w:ilvl="6">
      <w:start w:val="1"/>
      <w:numFmt w:val="lowerRoman"/>
      <w:pStyle w:val="Heading7"/>
      <w:lvlText w:val="(%7)"/>
      <w:lvlJc w:val="left"/>
      <w:pPr>
        <w:tabs>
          <w:tab w:val="num" w:pos="5040"/>
        </w:tabs>
        <w:ind w:left="4320" w:firstLine="0"/>
      </w:pPr>
    </w:lvl>
    <w:lvl w:ilvl="7">
      <w:start w:val="1"/>
      <w:numFmt w:val="lowerLetter"/>
      <w:pStyle w:val="Heading8"/>
      <w:lvlText w:val="(%8)"/>
      <w:lvlJc w:val="left"/>
      <w:pPr>
        <w:tabs>
          <w:tab w:val="num" w:pos="5400"/>
        </w:tabs>
        <w:ind w:left="5040" w:firstLine="0"/>
      </w:pPr>
    </w:lvl>
    <w:lvl w:ilvl="8">
      <w:start w:val="1"/>
      <w:numFmt w:val="lowerRoman"/>
      <w:pStyle w:val="Heading9"/>
      <w:lvlText w:val="(%9)"/>
      <w:lvlJc w:val="left"/>
      <w:pPr>
        <w:tabs>
          <w:tab w:val="num" w:pos="6120"/>
        </w:tabs>
        <w:ind w:left="5760" w:firstLine="0"/>
      </w:pPr>
    </w:lvl>
  </w:abstractNum>
  <w:abstractNum w:abstractNumId="4">
    <w:nsid w:val="4DF61CE4"/>
    <w:multiLevelType w:val="multilevel"/>
    <w:tmpl w:val="F1A86982"/>
    <w:lvl w:ilvl="0">
      <w:start w:val="1"/>
      <w:numFmt w:val="upperRoman"/>
      <w:lvlText w:val="%1."/>
      <w:lvlJc w:val="left"/>
      <w:pPr>
        <w:tabs>
          <w:tab w:val="num" w:pos="720"/>
        </w:tabs>
        <w:ind w:left="720" w:hanging="720"/>
      </w:pPr>
    </w:lvl>
    <w:lvl w:ilvl="1">
      <w:start w:val="1"/>
      <w:numFmt w:val="upperLetter"/>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lowerLetter"/>
      <w:lvlText w:val="%4."/>
      <w:lvlJc w:val="left"/>
      <w:pPr>
        <w:tabs>
          <w:tab w:val="num" w:pos="2880"/>
        </w:tabs>
        <w:ind w:left="2880" w:hanging="720"/>
      </w:pPr>
    </w:lvl>
    <w:lvl w:ilvl="4">
      <w:start w:val="1"/>
      <w:numFmt w:val="lowerRoman"/>
      <w:lvlText w:val="(%5)"/>
      <w:lvlJc w:val="left"/>
      <w:pPr>
        <w:tabs>
          <w:tab w:val="num" w:pos="3600"/>
        </w:tabs>
        <w:ind w:left="3600" w:hanging="720"/>
      </w:pPr>
    </w:lvl>
    <w:lvl w:ilvl="5">
      <w:start w:val="1"/>
      <w:numFmt w:val="lowerLetter"/>
      <w:lvlText w:val="(%6)"/>
      <w:lvlJc w:val="left"/>
      <w:pPr>
        <w:tabs>
          <w:tab w:val="num" w:pos="4320"/>
        </w:tabs>
        <w:ind w:left="4320" w:hanging="720"/>
      </w:pPr>
    </w:lvl>
    <w:lvl w:ilvl="6">
      <w:start w:val="1"/>
      <w:numFmt w:val="lowerRoman"/>
      <w:lvlText w:val="(%7)"/>
      <w:lvlJc w:val="left"/>
      <w:pPr>
        <w:tabs>
          <w:tab w:val="num" w:pos="5040"/>
        </w:tabs>
        <w:ind w:left="4320" w:firstLine="0"/>
      </w:pPr>
    </w:lvl>
    <w:lvl w:ilvl="7">
      <w:start w:val="1"/>
      <w:numFmt w:val="lowerLetter"/>
      <w:lvlText w:val="(%8)"/>
      <w:lvlJc w:val="left"/>
      <w:pPr>
        <w:tabs>
          <w:tab w:val="num" w:pos="5400"/>
        </w:tabs>
        <w:ind w:left="5040" w:firstLine="0"/>
      </w:pPr>
    </w:lvl>
    <w:lvl w:ilvl="8">
      <w:start w:val="1"/>
      <w:numFmt w:val="lowerRoman"/>
      <w:lvlText w:val="(%9)"/>
      <w:lvlJc w:val="left"/>
      <w:pPr>
        <w:tabs>
          <w:tab w:val="num" w:pos="6120"/>
        </w:tabs>
        <w:ind w:left="5760" w:firstLine="0"/>
      </w:pPr>
    </w:lvl>
  </w:abstractNum>
  <w:abstractNum w:abstractNumId="5">
    <w:nsid w:val="61182925"/>
    <w:multiLevelType w:val="singleLevel"/>
    <w:tmpl w:val="D180CED0"/>
    <w:lvl w:ilvl="0">
      <w:start w:val="1"/>
      <w:numFmt w:val="decimal"/>
      <w:pStyle w:val="ParaNum"/>
      <w:lvlText w:val="%1."/>
      <w:lvlJc w:val="left"/>
      <w:pPr>
        <w:tabs>
          <w:tab w:val="num" w:pos="1080"/>
        </w:tabs>
        <w:ind w:left="0" w:firstLine="720"/>
      </w:pPr>
    </w:lvl>
  </w:abstractNum>
  <w:num w:numId="1" w16cid:durableId="1139374575">
    <w:abstractNumId w:val="1"/>
  </w:num>
  <w:num w:numId="2" w16cid:durableId="328094342">
    <w:abstractNumId w:val="5"/>
  </w:num>
  <w:num w:numId="3" w16cid:durableId="206840549">
    <w:abstractNumId w:val="3"/>
  </w:num>
  <w:num w:numId="4" w16cid:durableId="265312595">
    <w:abstractNumId w:val="4"/>
  </w:num>
  <w:num w:numId="5" w16cid:durableId="1882476386">
    <w:abstractNumId w:val="2"/>
  </w:num>
  <w:num w:numId="6" w16cid:durableId="122383551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bordersDoNotSurroundHeader/>
  <w:bordersDoNotSurroundFooter/>
  <w:proofState w:spelling="clean" w:grammar="clean"/>
  <w:stylePaneFormatFilter w:val="3F01" w:allStyles="1" w:alternateStyleNames="0" w:clearFormatting="1" w:customStyles="0" w:directFormattingOnNumbering="1" w:directFormattingOnParagraphs="1" w:directFormattingOnRuns="1" w:directFormattingOnTables="1" w:headingStyles="0" w:latentStyles="0" w:numberingStyles="0" w:stylesInUse="0" w:tableStyles="0" w:top3HeadingStyles="1" w:visibleStyles="0"/>
  <w:defaultTabStop w:val="720"/>
  <w:hyphenationZone w:val="950"/>
  <w:doNotHyphenateCaps/>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footnotePr>
    <w:footnote w:id="0"/>
    <w:footnote w:id="1"/>
    <w:footnote w:id="2"/>
  </w:footnotePr>
  <w:endnotePr>
    <w:numFmt w:val="decimal"/>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E1112"/>
    <w:rsid w:val="000028F6"/>
    <w:rsid w:val="000072CE"/>
    <w:rsid w:val="00013A8B"/>
    <w:rsid w:val="0001517D"/>
    <w:rsid w:val="00016109"/>
    <w:rsid w:val="00021445"/>
    <w:rsid w:val="000335E1"/>
    <w:rsid w:val="00034162"/>
    <w:rsid w:val="00036039"/>
    <w:rsid w:val="00037F90"/>
    <w:rsid w:val="00044CFC"/>
    <w:rsid w:val="0005712F"/>
    <w:rsid w:val="0006428C"/>
    <w:rsid w:val="00065DC7"/>
    <w:rsid w:val="000725A2"/>
    <w:rsid w:val="00080B03"/>
    <w:rsid w:val="000822D3"/>
    <w:rsid w:val="00084351"/>
    <w:rsid w:val="000875BF"/>
    <w:rsid w:val="00096D8C"/>
    <w:rsid w:val="00097D17"/>
    <w:rsid w:val="000A0620"/>
    <w:rsid w:val="000A2D6F"/>
    <w:rsid w:val="000B3DC5"/>
    <w:rsid w:val="000C0B65"/>
    <w:rsid w:val="000E3D42"/>
    <w:rsid w:val="000E5884"/>
    <w:rsid w:val="000F14CB"/>
    <w:rsid w:val="000F64F3"/>
    <w:rsid w:val="001050A8"/>
    <w:rsid w:val="00120A46"/>
    <w:rsid w:val="00122AC9"/>
    <w:rsid w:val="00122BD5"/>
    <w:rsid w:val="00135FAF"/>
    <w:rsid w:val="00136ACE"/>
    <w:rsid w:val="001418DB"/>
    <w:rsid w:val="001455B3"/>
    <w:rsid w:val="001518A3"/>
    <w:rsid w:val="00154FE3"/>
    <w:rsid w:val="001979D9"/>
    <w:rsid w:val="001B34F9"/>
    <w:rsid w:val="001B3A1B"/>
    <w:rsid w:val="001C3F8F"/>
    <w:rsid w:val="001D6BCF"/>
    <w:rsid w:val="001D6EE6"/>
    <w:rsid w:val="001D788C"/>
    <w:rsid w:val="001E01CA"/>
    <w:rsid w:val="001F11BA"/>
    <w:rsid w:val="001F519B"/>
    <w:rsid w:val="002060D9"/>
    <w:rsid w:val="00207841"/>
    <w:rsid w:val="00226822"/>
    <w:rsid w:val="0023765F"/>
    <w:rsid w:val="00240ED9"/>
    <w:rsid w:val="00245682"/>
    <w:rsid w:val="00246A3D"/>
    <w:rsid w:val="0025217B"/>
    <w:rsid w:val="002535DE"/>
    <w:rsid w:val="00255A92"/>
    <w:rsid w:val="00260594"/>
    <w:rsid w:val="00264FFB"/>
    <w:rsid w:val="002729C8"/>
    <w:rsid w:val="00282BAA"/>
    <w:rsid w:val="00285017"/>
    <w:rsid w:val="00296BF4"/>
    <w:rsid w:val="002A1932"/>
    <w:rsid w:val="002A1D52"/>
    <w:rsid w:val="002A2D2E"/>
    <w:rsid w:val="002C6334"/>
    <w:rsid w:val="002E08CB"/>
    <w:rsid w:val="002F4078"/>
    <w:rsid w:val="002F5E6A"/>
    <w:rsid w:val="00301DC8"/>
    <w:rsid w:val="00302299"/>
    <w:rsid w:val="00312EE1"/>
    <w:rsid w:val="003257B9"/>
    <w:rsid w:val="003318AE"/>
    <w:rsid w:val="00332D97"/>
    <w:rsid w:val="0033639F"/>
    <w:rsid w:val="00343749"/>
    <w:rsid w:val="00357D50"/>
    <w:rsid w:val="0036255E"/>
    <w:rsid w:val="00382647"/>
    <w:rsid w:val="00384A2E"/>
    <w:rsid w:val="00385C4B"/>
    <w:rsid w:val="00392075"/>
    <w:rsid w:val="003925DC"/>
    <w:rsid w:val="003944F1"/>
    <w:rsid w:val="003A6150"/>
    <w:rsid w:val="003B0550"/>
    <w:rsid w:val="003B6229"/>
    <w:rsid w:val="003B694F"/>
    <w:rsid w:val="003C1024"/>
    <w:rsid w:val="003C56B7"/>
    <w:rsid w:val="003D3F5C"/>
    <w:rsid w:val="003D565E"/>
    <w:rsid w:val="003E3DB4"/>
    <w:rsid w:val="003F171C"/>
    <w:rsid w:val="003F451C"/>
    <w:rsid w:val="003F5AE7"/>
    <w:rsid w:val="00405318"/>
    <w:rsid w:val="00412FC5"/>
    <w:rsid w:val="00416AAF"/>
    <w:rsid w:val="00422276"/>
    <w:rsid w:val="00423053"/>
    <w:rsid w:val="004242F1"/>
    <w:rsid w:val="00426630"/>
    <w:rsid w:val="00433DDD"/>
    <w:rsid w:val="0044197B"/>
    <w:rsid w:val="00444564"/>
    <w:rsid w:val="00445A00"/>
    <w:rsid w:val="004507E6"/>
    <w:rsid w:val="00451B0F"/>
    <w:rsid w:val="0046125F"/>
    <w:rsid w:val="0046733F"/>
    <w:rsid w:val="004704CB"/>
    <w:rsid w:val="00474F36"/>
    <w:rsid w:val="004753BE"/>
    <w:rsid w:val="00487524"/>
    <w:rsid w:val="00491F17"/>
    <w:rsid w:val="00496106"/>
    <w:rsid w:val="004A24D3"/>
    <w:rsid w:val="004A3DA4"/>
    <w:rsid w:val="004B5928"/>
    <w:rsid w:val="004C0538"/>
    <w:rsid w:val="004C12D0"/>
    <w:rsid w:val="004C2EE3"/>
    <w:rsid w:val="004D14FE"/>
    <w:rsid w:val="004D77F7"/>
    <w:rsid w:val="004E4A22"/>
    <w:rsid w:val="004E6F72"/>
    <w:rsid w:val="00500819"/>
    <w:rsid w:val="00510805"/>
    <w:rsid w:val="00511968"/>
    <w:rsid w:val="005131CD"/>
    <w:rsid w:val="00520B8F"/>
    <w:rsid w:val="00521440"/>
    <w:rsid w:val="005348FE"/>
    <w:rsid w:val="0053654B"/>
    <w:rsid w:val="0054075F"/>
    <w:rsid w:val="005524DE"/>
    <w:rsid w:val="00555443"/>
    <w:rsid w:val="0055614C"/>
    <w:rsid w:val="00566493"/>
    <w:rsid w:val="005673C3"/>
    <w:rsid w:val="00570B07"/>
    <w:rsid w:val="005761FE"/>
    <w:rsid w:val="00587D03"/>
    <w:rsid w:val="005912E8"/>
    <w:rsid w:val="00591B66"/>
    <w:rsid w:val="00595547"/>
    <w:rsid w:val="005A132C"/>
    <w:rsid w:val="005A50DE"/>
    <w:rsid w:val="005A5505"/>
    <w:rsid w:val="005A7C93"/>
    <w:rsid w:val="005B2031"/>
    <w:rsid w:val="005B49DC"/>
    <w:rsid w:val="005C1043"/>
    <w:rsid w:val="005C1C52"/>
    <w:rsid w:val="005E2510"/>
    <w:rsid w:val="005F5C97"/>
    <w:rsid w:val="00607BA5"/>
    <w:rsid w:val="006141BC"/>
    <w:rsid w:val="00615DBD"/>
    <w:rsid w:val="00616518"/>
    <w:rsid w:val="00617DCF"/>
    <w:rsid w:val="006211B8"/>
    <w:rsid w:val="00626EB6"/>
    <w:rsid w:val="00631BF0"/>
    <w:rsid w:val="006353A3"/>
    <w:rsid w:val="006363A7"/>
    <w:rsid w:val="00640793"/>
    <w:rsid w:val="00655D03"/>
    <w:rsid w:val="00664D3A"/>
    <w:rsid w:val="00670862"/>
    <w:rsid w:val="00670E41"/>
    <w:rsid w:val="00670EC4"/>
    <w:rsid w:val="00680DA0"/>
    <w:rsid w:val="00683F84"/>
    <w:rsid w:val="006867C6"/>
    <w:rsid w:val="00687D9C"/>
    <w:rsid w:val="00696BCD"/>
    <w:rsid w:val="006A6A81"/>
    <w:rsid w:val="006A6B8C"/>
    <w:rsid w:val="006B2E70"/>
    <w:rsid w:val="006C5904"/>
    <w:rsid w:val="006D2538"/>
    <w:rsid w:val="006E26AF"/>
    <w:rsid w:val="006E5184"/>
    <w:rsid w:val="006F3F0F"/>
    <w:rsid w:val="006F7393"/>
    <w:rsid w:val="0070224F"/>
    <w:rsid w:val="007115F7"/>
    <w:rsid w:val="0073126C"/>
    <w:rsid w:val="007317F6"/>
    <w:rsid w:val="007348B4"/>
    <w:rsid w:val="00737E31"/>
    <w:rsid w:val="00742F59"/>
    <w:rsid w:val="00751200"/>
    <w:rsid w:val="0076146D"/>
    <w:rsid w:val="00761DAC"/>
    <w:rsid w:val="00764D0D"/>
    <w:rsid w:val="00772428"/>
    <w:rsid w:val="00785689"/>
    <w:rsid w:val="0079754B"/>
    <w:rsid w:val="007A1E6D"/>
    <w:rsid w:val="007C4789"/>
    <w:rsid w:val="007F02F9"/>
    <w:rsid w:val="007F696D"/>
    <w:rsid w:val="007F7F54"/>
    <w:rsid w:val="008006CB"/>
    <w:rsid w:val="0081320B"/>
    <w:rsid w:val="00822CE0"/>
    <w:rsid w:val="00825FF4"/>
    <w:rsid w:val="00827E98"/>
    <w:rsid w:val="008302AA"/>
    <w:rsid w:val="00837C62"/>
    <w:rsid w:val="00840B53"/>
    <w:rsid w:val="00841289"/>
    <w:rsid w:val="00841AB1"/>
    <w:rsid w:val="00844034"/>
    <w:rsid w:val="0085487A"/>
    <w:rsid w:val="008549D8"/>
    <w:rsid w:val="0086539B"/>
    <w:rsid w:val="008733D5"/>
    <w:rsid w:val="008836D1"/>
    <w:rsid w:val="0089512C"/>
    <w:rsid w:val="008A27DC"/>
    <w:rsid w:val="008A344E"/>
    <w:rsid w:val="008B1BC2"/>
    <w:rsid w:val="008C22FD"/>
    <w:rsid w:val="008E17F2"/>
    <w:rsid w:val="008E4FE8"/>
    <w:rsid w:val="008E58B9"/>
    <w:rsid w:val="008E71BA"/>
    <w:rsid w:val="00905941"/>
    <w:rsid w:val="00910F12"/>
    <w:rsid w:val="00914368"/>
    <w:rsid w:val="00916DD1"/>
    <w:rsid w:val="009177CC"/>
    <w:rsid w:val="00926503"/>
    <w:rsid w:val="00927C4A"/>
    <w:rsid w:val="00930ECF"/>
    <w:rsid w:val="00934651"/>
    <w:rsid w:val="00944577"/>
    <w:rsid w:val="00976DA3"/>
    <w:rsid w:val="00980090"/>
    <w:rsid w:val="00982E65"/>
    <w:rsid w:val="009838BC"/>
    <w:rsid w:val="009A459B"/>
    <w:rsid w:val="009B0F09"/>
    <w:rsid w:val="009C2D3D"/>
    <w:rsid w:val="009C723D"/>
    <w:rsid w:val="009E409F"/>
    <w:rsid w:val="009E7448"/>
    <w:rsid w:val="009F7D55"/>
    <w:rsid w:val="00A2161B"/>
    <w:rsid w:val="00A243D8"/>
    <w:rsid w:val="00A27B4E"/>
    <w:rsid w:val="00A30165"/>
    <w:rsid w:val="00A30CA3"/>
    <w:rsid w:val="00A34F04"/>
    <w:rsid w:val="00A45F4F"/>
    <w:rsid w:val="00A600A9"/>
    <w:rsid w:val="00A6025A"/>
    <w:rsid w:val="00A72718"/>
    <w:rsid w:val="00A73FC6"/>
    <w:rsid w:val="00A76389"/>
    <w:rsid w:val="00A85F10"/>
    <w:rsid w:val="00A866AC"/>
    <w:rsid w:val="00AA55B7"/>
    <w:rsid w:val="00AA5B9E"/>
    <w:rsid w:val="00AB2407"/>
    <w:rsid w:val="00AB53DF"/>
    <w:rsid w:val="00AC0AEF"/>
    <w:rsid w:val="00AD2B85"/>
    <w:rsid w:val="00AE0EB3"/>
    <w:rsid w:val="00AE1189"/>
    <w:rsid w:val="00AE12B3"/>
    <w:rsid w:val="00AF6886"/>
    <w:rsid w:val="00B07E5C"/>
    <w:rsid w:val="00B20363"/>
    <w:rsid w:val="00B25F59"/>
    <w:rsid w:val="00B326E3"/>
    <w:rsid w:val="00B36D32"/>
    <w:rsid w:val="00B42271"/>
    <w:rsid w:val="00B46268"/>
    <w:rsid w:val="00B74EAD"/>
    <w:rsid w:val="00B808BC"/>
    <w:rsid w:val="00B811F7"/>
    <w:rsid w:val="00B92593"/>
    <w:rsid w:val="00BA5DC6"/>
    <w:rsid w:val="00BA6196"/>
    <w:rsid w:val="00BB03CC"/>
    <w:rsid w:val="00BB0442"/>
    <w:rsid w:val="00BB4920"/>
    <w:rsid w:val="00BC16F6"/>
    <w:rsid w:val="00BC1C29"/>
    <w:rsid w:val="00BC2D12"/>
    <w:rsid w:val="00BC6D8C"/>
    <w:rsid w:val="00BD1CF1"/>
    <w:rsid w:val="00BD2963"/>
    <w:rsid w:val="00BD6392"/>
    <w:rsid w:val="00BE7B81"/>
    <w:rsid w:val="00BF2BFE"/>
    <w:rsid w:val="00BF5F44"/>
    <w:rsid w:val="00C0594F"/>
    <w:rsid w:val="00C07604"/>
    <w:rsid w:val="00C13904"/>
    <w:rsid w:val="00C16AF2"/>
    <w:rsid w:val="00C24309"/>
    <w:rsid w:val="00C31B9B"/>
    <w:rsid w:val="00C332B5"/>
    <w:rsid w:val="00C34006"/>
    <w:rsid w:val="00C349C0"/>
    <w:rsid w:val="00C426B1"/>
    <w:rsid w:val="00C42826"/>
    <w:rsid w:val="00C51B48"/>
    <w:rsid w:val="00C5424A"/>
    <w:rsid w:val="00C7087C"/>
    <w:rsid w:val="00C74A23"/>
    <w:rsid w:val="00C77470"/>
    <w:rsid w:val="00C77F46"/>
    <w:rsid w:val="00C82B6B"/>
    <w:rsid w:val="00C84692"/>
    <w:rsid w:val="00C852D5"/>
    <w:rsid w:val="00C90D6A"/>
    <w:rsid w:val="00CA1323"/>
    <w:rsid w:val="00CB250E"/>
    <w:rsid w:val="00CC3716"/>
    <w:rsid w:val="00CC3B3A"/>
    <w:rsid w:val="00CC72B6"/>
    <w:rsid w:val="00CC7714"/>
    <w:rsid w:val="00CE0095"/>
    <w:rsid w:val="00CE075D"/>
    <w:rsid w:val="00D0218D"/>
    <w:rsid w:val="00D02819"/>
    <w:rsid w:val="00D04C35"/>
    <w:rsid w:val="00D0781F"/>
    <w:rsid w:val="00D10D40"/>
    <w:rsid w:val="00D16A9D"/>
    <w:rsid w:val="00D17D42"/>
    <w:rsid w:val="00D216CD"/>
    <w:rsid w:val="00D516A2"/>
    <w:rsid w:val="00D5596F"/>
    <w:rsid w:val="00D67761"/>
    <w:rsid w:val="00D73195"/>
    <w:rsid w:val="00D844EB"/>
    <w:rsid w:val="00D931CD"/>
    <w:rsid w:val="00D949C4"/>
    <w:rsid w:val="00DA2529"/>
    <w:rsid w:val="00DB130A"/>
    <w:rsid w:val="00DB6FDB"/>
    <w:rsid w:val="00DC10A1"/>
    <w:rsid w:val="00DC2107"/>
    <w:rsid w:val="00DC655F"/>
    <w:rsid w:val="00DD7E56"/>
    <w:rsid w:val="00DD7EBD"/>
    <w:rsid w:val="00DE0AB8"/>
    <w:rsid w:val="00DE1280"/>
    <w:rsid w:val="00DF62B6"/>
    <w:rsid w:val="00E07225"/>
    <w:rsid w:val="00E10672"/>
    <w:rsid w:val="00E120BC"/>
    <w:rsid w:val="00E155B7"/>
    <w:rsid w:val="00E24A32"/>
    <w:rsid w:val="00E34F09"/>
    <w:rsid w:val="00E37575"/>
    <w:rsid w:val="00E431E7"/>
    <w:rsid w:val="00E45591"/>
    <w:rsid w:val="00E5409F"/>
    <w:rsid w:val="00E824A3"/>
    <w:rsid w:val="00E921D8"/>
    <w:rsid w:val="00E938DE"/>
    <w:rsid w:val="00E93B07"/>
    <w:rsid w:val="00E965B6"/>
    <w:rsid w:val="00EA05A0"/>
    <w:rsid w:val="00EA1FD5"/>
    <w:rsid w:val="00EB2914"/>
    <w:rsid w:val="00EC0185"/>
    <w:rsid w:val="00ED3E66"/>
    <w:rsid w:val="00EE02B0"/>
    <w:rsid w:val="00EE1112"/>
    <w:rsid w:val="00EF5DCE"/>
    <w:rsid w:val="00EF7829"/>
    <w:rsid w:val="00F021FA"/>
    <w:rsid w:val="00F02955"/>
    <w:rsid w:val="00F16B9C"/>
    <w:rsid w:val="00F22FBE"/>
    <w:rsid w:val="00F3235E"/>
    <w:rsid w:val="00F522CE"/>
    <w:rsid w:val="00F55EBD"/>
    <w:rsid w:val="00F57ACA"/>
    <w:rsid w:val="00F62E97"/>
    <w:rsid w:val="00F64209"/>
    <w:rsid w:val="00F656D5"/>
    <w:rsid w:val="00F77BBC"/>
    <w:rsid w:val="00F84A94"/>
    <w:rsid w:val="00F86E0D"/>
    <w:rsid w:val="00F930C7"/>
    <w:rsid w:val="00F93BF5"/>
    <w:rsid w:val="00F96F63"/>
    <w:rsid w:val="00FA14DF"/>
    <w:rsid w:val="00FA7F95"/>
    <w:rsid w:val="00FE05A8"/>
    <w:rsid w:val="00FE220B"/>
  </w:rsids>
  <m:mathPr>
    <m:mathFont m:val="Cambria Math"/>
  </m:mathPr>
  <w:themeFontLang w:val="en-US"/>
  <w:clrSchemeMapping w:bg1="light1" w:t1="dark1" w:bg2="light2" w:t2="dark2" w:accent1="accent1" w:accent2="accent2" w:accent3="accent3" w:accent4="accent4" w:accent5="accent5" w:accent6="accent6" w:hyperlink="hyperlink" w:followedHyperlink="followedHyperlink"/>
  <w:doNotIncludeSubdocsInStats/>
  <w14:docId w14:val="060ED85A"/>
  <w15:chartTrackingRefBased/>
  <w15:docId w15:val="{69A87120-D8A3-4F7D-9CC0-1EA56F8E57B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nhideWhenUsed="1"/>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037F90"/>
    <w:pPr>
      <w:widowControl w:val="0"/>
    </w:pPr>
    <w:rPr>
      <w:snapToGrid w:val="0"/>
      <w:kern w:val="28"/>
      <w:sz w:val="22"/>
    </w:rPr>
  </w:style>
  <w:style w:type="paragraph" w:styleId="Heading1">
    <w:name w:val="heading 1"/>
    <w:basedOn w:val="Normal"/>
    <w:next w:val="ParaNum"/>
    <w:qFormat/>
    <w:rsid w:val="00626EB6"/>
    <w:pPr>
      <w:keepNext/>
      <w:numPr>
        <w:numId w:val="3"/>
      </w:numPr>
      <w:tabs>
        <w:tab w:val="left" w:pos="720"/>
      </w:tabs>
      <w:suppressAutoHyphens/>
      <w:spacing w:after="120"/>
      <w:outlineLvl w:val="0"/>
    </w:pPr>
    <w:rPr>
      <w:rFonts w:ascii="Times New Roman Bold" w:hAnsi="Times New Roman Bold"/>
      <w:b/>
      <w:caps/>
    </w:rPr>
  </w:style>
  <w:style w:type="paragraph" w:styleId="Heading2">
    <w:name w:val="heading 2"/>
    <w:basedOn w:val="Normal"/>
    <w:next w:val="ParaNum"/>
    <w:autoRedefine/>
    <w:qFormat/>
    <w:rsid w:val="007A1E6D"/>
    <w:pPr>
      <w:keepNext/>
      <w:numPr>
        <w:ilvl w:val="1"/>
        <w:numId w:val="3"/>
      </w:numPr>
      <w:spacing w:after="120"/>
      <w:outlineLvl w:val="1"/>
    </w:pPr>
    <w:rPr>
      <w:b/>
    </w:rPr>
  </w:style>
  <w:style w:type="paragraph" w:styleId="Heading3">
    <w:name w:val="heading 3"/>
    <w:basedOn w:val="Normal"/>
    <w:next w:val="ParaNum"/>
    <w:qFormat/>
    <w:rsid w:val="00BA6196"/>
    <w:pPr>
      <w:keepNext/>
      <w:numPr>
        <w:ilvl w:val="2"/>
        <w:numId w:val="3"/>
      </w:numPr>
      <w:tabs>
        <w:tab w:val="left" w:pos="2160"/>
      </w:tabs>
      <w:spacing w:after="120"/>
      <w:outlineLvl w:val="2"/>
    </w:pPr>
    <w:rPr>
      <w:b/>
    </w:rPr>
  </w:style>
  <w:style w:type="paragraph" w:styleId="Heading4">
    <w:name w:val="heading 4"/>
    <w:basedOn w:val="Normal"/>
    <w:next w:val="ParaNum"/>
    <w:qFormat/>
    <w:rsid w:val="00C426B1"/>
    <w:pPr>
      <w:keepNext/>
      <w:numPr>
        <w:ilvl w:val="3"/>
        <w:numId w:val="3"/>
      </w:numPr>
      <w:tabs>
        <w:tab w:val="left" w:pos="2880"/>
      </w:tabs>
      <w:spacing w:after="120"/>
      <w:outlineLvl w:val="3"/>
    </w:pPr>
    <w:rPr>
      <w:b/>
    </w:rPr>
  </w:style>
  <w:style w:type="paragraph" w:styleId="Heading5">
    <w:name w:val="heading 5"/>
    <w:basedOn w:val="Normal"/>
    <w:next w:val="ParaNum"/>
    <w:qFormat/>
    <w:rsid w:val="00511968"/>
    <w:pPr>
      <w:keepNext/>
      <w:numPr>
        <w:ilvl w:val="4"/>
        <w:numId w:val="3"/>
      </w:numPr>
      <w:tabs>
        <w:tab w:val="left" w:pos="3600"/>
      </w:tabs>
      <w:suppressAutoHyphens/>
      <w:spacing w:after="120"/>
      <w:outlineLvl w:val="4"/>
    </w:pPr>
    <w:rPr>
      <w:b/>
    </w:rPr>
  </w:style>
  <w:style w:type="paragraph" w:styleId="Heading6">
    <w:name w:val="heading 6"/>
    <w:basedOn w:val="Normal"/>
    <w:next w:val="ParaNum"/>
    <w:qFormat/>
    <w:rsid w:val="00036039"/>
    <w:pPr>
      <w:numPr>
        <w:ilvl w:val="5"/>
        <w:numId w:val="3"/>
      </w:numPr>
      <w:tabs>
        <w:tab w:val="left" w:pos="4320"/>
      </w:tabs>
      <w:spacing w:after="120"/>
      <w:outlineLvl w:val="5"/>
    </w:pPr>
    <w:rPr>
      <w:b/>
    </w:rPr>
  </w:style>
  <w:style w:type="paragraph" w:styleId="Heading7">
    <w:name w:val="heading 7"/>
    <w:basedOn w:val="Normal"/>
    <w:next w:val="ParaNum"/>
    <w:qFormat/>
    <w:rsid w:val="00036039"/>
    <w:pPr>
      <w:numPr>
        <w:ilvl w:val="6"/>
        <w:numId w:val="3"/>
      </w:numPr>
      <w:tabs>
        <w:tab w:val="left" w:pos="5040"/>
      </w:tabs>
      <w:spacing w:after="120"/>
      <w:ind w:left="5040" w:hanging="720"/>
      <w:outlineLvl w:val="6"/>
    </w:pPr>
    <w:rPr>
      <w:b/>
    </w:rPr>
  </w:style>
  <w:style w:type="paragraph" w:styleId="Heading8">
    <w:name w:val="heading 8"/>
    <w:basedOn w:val="Normal"/>
    <w:next w:val="ParaNum"/>
    <w:qFormat/>
    <w:rsid w:val="001E01CA"/>
    <w:pPr>
      <w:numPr>
        <w:ilvl w:val="7"/>
        <w:numId w:val="3"/>
      </w:numPr>
      <w:tabs>
        <w:tab w:val="clear" w:pos="5400"/>
        <w:tab w:val="left" w:pos="5760"/>
      </w:tabs>
      <w:spacing w:after="120"/>
      <w:ind w:left="5760" w:hanging="720"/>
      <w:outlineLvl w:val="7"/>
    </w:pPr>
    <w:rPr>
      <w:b/>
    </w:rPr>
  </w:style>
  <w:style w:type="paragraph" w:styleId="Heading9">
    <w:name w:val="heading 9"/>
    <w:basedOn w:val="Normal"/>
    <w:next w:val="ParaNum"/>
    <w:qFormat/>
    <w:rsid w:val="001E01CA"/>
    <w:pPr>
      <w:numPr>
        <w:ilvl w:val="8"/>
        <w:numId w:val="3"/>
      </w:numPr>
      <w:tabs>
        <w:tab w:val="clear" w:pos="6120"/>
        <w:tab w:val="left" w:pos="6480"/>
      </w:tabs>
      <w:spacing w:after="120"/>
      <w:ind w:left="6480" w:hanging="720"/>
      <w:outlineLvl w:val="8"/>
    </w:pPr>
    <w:rPr>
      <w: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araNum">
    <w:name w:val="ParaNum"/>
    <w:basedOn w:val="Normal"/>
    <w:rsid w:val="00E07225"/>
    <w:pPr>
      <w:numPr>
        <w:numId w:val="2"/>
      </w:numPr>
      <w:tabs>
        <w:tab w:val="clear" w:pos="1080"/>
        <w:tab w:val="num" w:pos="1440"/>
      </w:tabs>
      <w:spacing w:after="120"/>
    </w:pPr>
  </w:style>
  <w:style w:type="paragraph" w:styleId="EndnoteText">
    <w:name w:val="endnote text"/>
    <w:basedOn w:val="Normal"/>
    <w:semiHidden/>
    <w:rPr>
      <w:sz w:val="20"/>
    </w:rPr>
  </w:style>
  <w:style w:type="character" w:styleId="EndnoteReference">
    <w:name w:val="endnote reference"/>
    <w:semiHidden/>
    <w:rPr>
      <w:vertAlign w:val="superscript"/>
    </w:rPr>
  </w:style>
  <w:style w:type="paragraph" w:styleId="FootnoteText">
    <w:name w:val="footnote text"/>
    <w:aliases w:val="ALTS FOOTNOTE,Footnote Text Char Char,Footnote Text Char Char Char Char,Footnote Text Char Char Char Char Char Char,Footnote Text Char1,Footnote Text Char1 Char Char,Footnote Text Char1 Char Char Char Char,Footnote Text Char3 Char1,f,fn"/>
    <w:link w:val="FootnoteTextChar"/>
    <w:uiPriority w:val="99"/>
    <w:rsid w:val="000E3D42"/>
    <w:pPr>
      <w:spacing w:after="120"/>
    </w:pPr>
  </w:style>
  <w:style w:type="character" w:styleId="FootnoteReference">
    <w:name w:val="footnote reference"/>
    <w:aliases w:val="(NECG) Footnote Reference,-E Funotenzeichen,A,Appel note de bas de p,FR,Footnote Reference/,Footnote Reference1,Ref,Style 1,Style 12,Style 124,Style 13,Style 17,Style 20,Style 3,Style 34,Style 4,Style 6,Style 7,Style 9,callout,fr,o"/>
    <w:uiPriority w:val="99"/>
    <w:rPr>
      <w:rFonts w:ascii="Times New Roman" w:hAnsi="Times New Roman"/>
      <w:dstrike w:val="0"/>
      <w:color w:val="auto"/>
      <w:sz w:val="22"/>
      <w:vertAlign w:val="superscript"/>
    </w:rPr>
  </w:style>
  <w:style w:type="paragraph" w:styleId="TOC1">
    <w:name w:val="toc 1"/>
    <w:basedOn w:val="Normal"/>
    <w:next w:val="Normal"/>
    <w:uiPriority w:val="39"/>
    <w:pPr>
      <w:tabs>
        <w:tab w:val="left" w:pos="360"/>
        <w:tab w:val="right" w:leader="dot" w:pos="9360"/>
      </w:tabs>
      <w:suppressAutoHyphens/>
      <w:ind w:left="360" w:right="720" w:hanging="360"/>
    </w:pPr>
    <w:rPr>
      <w:caps/>
      <w:noProof/>
    </w:rPr>
  </w:style>
  <w:style w:type="paragraph" w:styleId="TOC2">
    <w:name w:val="toc 2"/>
    <w:basedOn w:val="Normal"/>
    <w:next w:val="Normal"/>
    <w:semiHidden/>
    <w:pPr>
      <w:tabs>
        <w:tab w:val="left" w:pos="720"/>
        <w:tab w:val="right" w:leader="dot" w:pos="9360"/>
      </w:tabs>
      <w:suppressAutoHyphens/>
      <w:ind w:left="720" w:right="720" w:hanging="360"/>
    </w:pPr>
    <w:rPr>
      <w:noProof/>
    </w:rPr>
  </w:style>
  <w:style w:type="paragraph" w:styleId="TOC3">
    <w:name w:val="toc 3"/>
    <w:basedOn w:val="Normal"/>
    <w:next w:val="Normal"/>
    <w:semiHidden/>
    <w:pPr>
      <w:tabs>
        <w:tab w:val="left" w:pos="1080"/>
        <w:tab w:val="right" w:leader="dot" w:pos="9360"/>
      </w:tabs>
      <w:suppressAutoHyphens/>
      <w:ind w:left="1080" w:right="720" w:hanging="360"/>
    </w:pPr>
    <w:rPr>
      <w:noProof/>
    </w:rPr>
  </w:style>
  <w:style w:type="paragraph" w:styleId="TOC4">
    <w:name w:val="toc 4"/>
    <w:basedOn w:val="Normal"/>
    <w:next w:val="Normal"/>
    <w:autoRedefine/>
    <w:semiHidden/>
    <w:pPr>
      <w:tabs>
        <w:tab w:val="left" w:pos="1440"/>
        <w:tab w:val="right" w:leader="dot" w:pos="9360"/>
      </w:tabs>
      <w:suppressAutoHyphens/>
      <w:ind w:left="1440" w:right="720" w:hanging="360"/>
    </w:pPr>
    <w:rPr>
      <w:noProof/>
    </w:rPr>
  </w:style>
  <w:style w:type="paragraph" w:styleId="TOC5">
    <w:name w:val="toc 5"/>
    <w:basedOn w:val="Normal"/>
    <w:next w:val="Normal"/>
    <w:autoRedefine/>
    <w:semiHidden/>
    <w:pPr>
      <w:tabs>
        <w:tab w:val="left" w:pos="1800"/>
        <w:tab w:val="right" w:leader="dot" w:pos="9360"/>
      </w:tabs>
      <w:suppressAutoHyphens/>
      <w:ind w:left="1800" w:right="720" w:hanging="360"/>
    </w:pPr>
    <w:rPr>
      <w:noProof/>
    </w:rPr>
  </w:style>
  <w:style w:type="paragraph" w:styleId="TOC6">
    <w:name w:val="toc 6"/>
    <w:basedOn w:val="Normal"/>
    <w:next w:val="Normal"/>
    <w:autoRedefine/>
    <w:semiHidden/>
    <w:pPr>
      <w:tabs>
        <w:tab w:val="left" w:pos="2160"/>
        <w:tab w:val="right" w:leader="dot" w:pos="9360"/>
      </w:tabs>
      <w:suppressAutoHyphens/>
      <w:ind w:left="2160" w:hanging="360"/>
    </w:pPr>
    <w:rPr>
      <w:noProof/>
    </w:rPr>
  </w:style>
  <w:style w:type="paragraph" w:styleId="TOC7">
    <w:name w:val="toc 7"/>
    <w:basedOn w:val="Normal"/>
    <w:next w:val="Normal"/>
    <w:autoRedefine/>
    <w:semiHidden/>
    <w:pPr>
      <w:tabs>
        <w:tab w:val="left" w:pos="2520"/>
        <w:tab w:val="right" w:leader="dot" w:pos="9360"/>
      </w:tabs>
      <w:suppressAutoHyphens/>
      <w:ind w:left="2520" w:hanging="360"/>
    </w:pPr>
    <w:rPr>
      <w:noProof/>
    </w:rPr>
  </w:style>
  <w:style w:type="paragraph" w:styleId="TOC8">
    <w:name w:val="toc 8"/>
    <w:basedOn w:val="Normal"/>
    <w:next w:val="Normal"/>
    <w:autoRedefine/>
    <w:semiHidden/>
    <w:pPr>
      <w:tabs>
        <w:tab w:val="left" w:pos="2880"/>
        <w:tab w:val="right" w:leader="dot" w:pos="9360"/>
      </w:tabs>
      <w:suppressAutoHyphens/>
      <w:ind w:left="2880" w:hanging="360"/>
    </w:pPr>
    <w:rPr>
      <w:noProof/>
    </w:rPr>
  </w:style>
  <w:style w:type="paragraph" w:styleId="TOC9">
    <w:name w:val="toc 9"/>
    <w:basedOn w:val="Normal"/>
    <w:next w:val="Normal"/>
    <w:autoRedefine/>
    <w:semiHidden/>
    <w:pPr>
      <w:tabs>
        <w:tab w:val="left" w:pos="3240"/>
        <w:tab w:val="right" w:leader="dot" w:pos="9360"/>
      </w:tabs>
      <w:suppressAutoHyphens/>
      <w:ind w:left="3240" w:hanging="360"/>
    </w:pPr>
    <w:rPr>
      <w:noProof/>
    </w:rPr>
  </w:style>
  <w:style w:type="paragraph" w:styleId="TOAHeading">
    <w:name w:val="toa heading"/>
    <w:basedOn w:val="Normal"/>
    <w:next w:val="Normal"/>
    <w:semiHidden/>
    <w:pPr>
      <w:tabs>
        <w:tab w:val="right" w:pos="9360"/>
      </w:tabs>
      <w:suppressAutoHyphens/>
    </w:pPr>
  </w:style>
  <w:style w:type="character" w:customStyle="1" w:styleId="EquationCaption">
    <w:name w:val="_Equation Caption"/>
  </w:style>
  <w:style w:type="paragraph" w:styleId="Header">
    <w:name w:val="header"/>
    <w:basedOn w:val="Normal"/>
    <w:autoRedefine/>
    <w:rsid w:val="00837C62"/>
    <w:pPr>
      <w:tabs>
        <w:tab w:val="center" w:pos="4680"/>
        <w:tab w:val="right" w:pos="9360"/>
      </w:tabs>
      <w:ind w:firstLine="1080"/>
    </w:pPr>
    <w:rPr>
      <w:rFonts w:ascii="Arial" w:hAnsi="Arial" w:cs="Arial"/>
      <w:b/>
      <w:sz w:val="96"/>
      <w:szCs w:val="96"/>
    </w:rPr>
  </w:style>
  <w:style w:type="paragraph" w:styleId="Footer">
    <w:name w:val="footer"/>
    <w:basedOn w:val="Normal"/>
    <w:link w:val="FooterChar"/>
    <w:uiPriority w:val="99"/>
    <w:pPr>
      <w:tabs>
        <w:tab w:val="center" w:pos="4320"/>
        <w:tab w:val="right" w:pos="8640"/>
      </w:tabs>
    </w:pPr>
  </w:style>
  <w:style w:type="character" w:styleId="PageNumber">
    <w:name w:val="page number"/>
    <w:basedOn w:val="DefaultParagraphFont"/>
  </w:style>
  <w:style w:type="paragraph" w:styleId="BlockText">
    <w:name w:val="Block Text"/>
    <w:basedOn w:val="Normal"/>
    <w:pPr>
      <w:spacing w:after="240"/>
      <w:ind w:left="1440" w:right="1440"/>
    </w:pPr>
  </w:style>
  <w:style w:type="paragraph" w:customStyle="1" w:styleId="Paratitle">
    <w:name w:val="Para title"/>
    <w:basedOn w:val="Normal"/>
    <w:pPr>
      <w:tabs>
        <w:tab w:val="center" w:pos="9270"/>
      </w:tabs>
      <w:spacing w:after="240"/>
    </w:pPr>
    <w:rPr>
      <w:spacing w:val="-2"/>
    </w:rPr>
  </w:style>
  <w:style w:type="paragraph" w:customStyle="1" w:styleId="Bullet">
    <w:name w:val="Bullet"/>
    <w:basedOn w:val="Normal"/>
    <w:pPr>
      <w:numPr>
        <w:numId w:val="1"/>
      </w:numPr>
      <w:tabs>
        <w:tab w:val="clear" w:pos="360"/>
        <w:tab w:val="left" w:pos="2160"/>
      </w:tabs>
      <w:spacing w:after="220"/>
      <w:ind w:left="2160" w:hanging="720"/>
    </w:pPr>
  </w:style>
  <w:style w:type="paragraph" w:customStyle="1" w:styleId="TableFormat">
    <w:name w:val="TableFormat"/>
    <w:basedOn w:val="Bullet"/>
    <w:pPr>
      <w:numPr>
        <w:numId w:val="0"/>
      </w:numPr>
      <w:tabs>
        <w:tab w:val="clear" w:pos="2160"/>
        <w:tab w:val="left" w:pos="5040"/>
      </w:tabs>
      <w:ind w:left="5040" w:hanging="3600"/>
    </w:pPr>
  </w:style>
  <w:style w:type="paragraph" w:customStyle="1" w:styleId="TOCTitle">
    <w:name w:val="TOC Title"/>
    <w:basedOn w:val="Normal"/>
    <w:pPr>
      <w:spacing w:before="240" w:after="240"/>
      <w:jc w:val="center"/>
    </w:pPr>
    <w:rPr>
      <w:rFonts w:ascii="Times New Roman Bold" w:hAnsi="Times New Roman Bold"/>
      <w:b/>
      <w:caps/>
      <w:spacing w:val="-2"/>
    </w:rPr>
  </w:style>
  <w:style w:type="paragraph" w:customStyle="1" w:styleId="StyleBoldCentered">
    <w:name w:val="Style Bold Centered"/>
    <w:basedOn w:val="Normal"/>
    <w:rsid w:val="00096D8C"/>
    <w:pPr>
      <w:jc w:val="center"/>
    </w:pPr>
    <w:rPr>
      <w:rFonts w:ascii="Times New Roman Bold" w:hAnsi="Times New Roman Bold"/>
      <w:b/>
      <w:bCs/>
      <w:caps/>
      <w:szCs w:val="22"/>
    </w:rPr>
  </w:style>
  <w:style w:type="character" w:styleId="Hyperlink">
    <w:name w:val="Hyperlink"/>
    <w:rsid w:val="002A2D2E"/>
    <w:rPr>
      <w:color w:val="0000FF"/>
      <w:u w:val="single"/>
    </w:rPr>
  </w:style>
  <w:style w:type="character" w:customStyle="1" w:styleId="FooterChar">
    <w:name w:val="Footer Char"/>
    <w:link w:val="Footer"/>
    <w:uiPriority w:val="99"/>
    <w:rsid w:val="00910F12"/>
    <w:rPr>
      <w:snapToGrid w:val="0"/>
      <w:kern w:val="28"/>
      <w:sz w:val="22"/>
    </w:rPr>
  </w:style>
  <w:style w:type="character" w:customStyle="1" w:styleId="FootnoteTextChar">
    <w:name w:val="Footnote Text Char"/>
    <w:aliases w:val="ALTS FOOTNOTE Char,Footnote Text Char Char Char,Footnote Text Char Char Char Char Char,Footnote Text Char Char Char Char Char Char Char,Footnote Text Char1 Char,Footnote Text Char1 Char Char Char,Footnote Text Char3 Char1 Char,f Char"/>
    <w:basedOn w:val="DefaultParagraphFont"/>
    <w:link w:val="FootnoteText"/>
    <w:uiPriority w:val="99"/>
    <w:rsid w:val="00EE1112"/>
  </w:style>
  <w:style w:type="character" w:customStyle="1" w:styleId="Style12pt">
    <w:name w:val="Style 12 pt"/>
    <w:rsid w:val="00EE1112"/>
    <w:rPr>
      <w:sz w:val="22"/>
    </w:rPr>
  </w:style>
  <w:style w:type="paragraph" w:styleId="Revision">
    <w:name w:val="Revision"/>
    <w:hidden/>
    <w:uiPriority w:val="99"/>
    <w:semiHidden/>
    <w:rsid w:val="00914368"/>
    <w:rPr>
      <w:snapToGrid w:val="0"/>
      <w:kern w:val="28"/>
      <w:sz w:val="22"/>
    </w:rPr>
  </w:style>
  <w:style w:type="character" w:styleId="CommentReference">
    <w:name w:val="annotation reference"/>
    <w:basedOn w:val="DefaultParagraphFont"/>
    <w:uiPriority w:val="99"/>
    <w:semiHidden/>
    <w:unhideWhenUsed/>
    <w:rsid w:val="008A344E"/>
    <w:rPr>
      <w:sz w:val="16"/>
      <w:szCs w:val="16"/>
    </w:rPr>
  </w:style>
  <w:style w:type="paragraph" w:styleId="CommentText">
    <w:name w:val="annotation text"/>
    <w:basedOn w:val="Normal"/>
    <w:link w:val="CommentTextChar"/>
    <w:uiPriority w:val="99"/>
    <w:unhideWhenUsed/>
    <w:rsid w:val="008A344E"/>
    <w:rPr>
      <w:sz w:val="20"/>
    </w:rPr>
  </w:style>
  <w:style w:type="character" w:customStyle="1" w:styleId="CommentTextChar">
    <w:name w:val="Comment Text Char"/>
    <w:basedOn w:val="DefaultParagraphFont"/>
    <w:link w:val="CommentText"/>
    <w:uiPriority w:val="99"/>
    <w:rsid w:val="008A344E"/>
    <w:rPr>
      <w:snapToGrid w:val="0"/>
      <w:kern w:val="28"/>
    </w:rPr>
  </w:style>
  <w:style w:type="paragraph" w:styleId="CommentSubject">
    <w:name w:val="annotation subject"/>
    <w:basedOn w:val="CommentText"/>
    <w:next w:val="CommentText"/>
    <w:link w:val="CommentSubjectChar"/>
    <w:uiPriority w:val="99"/>
    <w:semiHidden/>
    <w:unhideWhenUsed/>
    <w:rsid w:val="008A344E"/>
    <w:rPr>
      <w:b/>
      <w:bCs/>
    </w:rPr>
  </w:style>
  <w:style w:type="character" w:customStyle="1" w:styleId="CommentSubjectChar">
    <w:name w:val="Comment Subject Char"/>
    <w:basedOn w:val="CommentTextChar"/>
    <w:link w:val="CommentSubject"/>
    <w:uiPriority w:val="99"/>
    <w:semiHidden/>
    <w:rsid w:val="008A344E"/>
    <w:rPr>
      <w:b/>
      <w:bCs/>
      <w:snapToGrid w:val="0"/>
      <w:kern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webSettings>
</file>

<file path=word/_rels/document.xml.rels><?xml version="1.0" encoding="utf-8" standalone="yes"?><Relationships xmlns="http://schemas.openxmlformats.org/package/2006/relationships"><Relationship Id="rId1" Type="http://schemas.openxmlformats.org/officeDocument/2006/relationships/footnotes" Target="footnotes.xml" /><Relationship Id="rId10" Type="http://schemas.openxmlformats.org/officeDocument/2006/relationships/footer" Target="footer3.xml" /><Relationship Id="rId11" Type="http://schemas.openxmlformats.org/officeDocument/2006/relationships/theme" Target="theme/theme1.xml" /><Relationship Id="rId12" Type="http://schemas.openxmlformats.org/officeDocument/2006/relationships/numbering" Target="numbering.xml" /><Relationship Id="rId13" Type="http://schemas.openxmlformats.org/officeDocument/2006/relationships/styles" Target="styles.xml" /><Relationship Id="rId2" Type="http://schemas.openxmlformats.org/officeDocument/2006/relationships/endnotes" Target="endnot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ntTable" Target="fontTable.xml" /><Relationship Id="rId6" Type="http://schemas.openxmlformats.org/officeDocument/2006/relationships/header" Target="header1.xml" /><Relationship Id="rId7" Type="http://schemas.openxmlformats.org/officeDocument/2006/relationships/footer" Target="footer1.xml" /><Relationship Id="rId8" Type="http://schemas.openxmlformats.org/officeDocument/2006/relationships/footer" Target="footer2.xml" /><Relationship Id="rId9" Type="http://schemas.openxmlformats.org/officeDocument/2006/relationships/header" Target="header2.xml" /></Relationships>
</file>

<file path=word/_rels/header2.xml.rels><?xml version="1.0" encoding="utf-8" standalone="yes"?><Relationships xmlns="http://schemas.openxmlformats.org/package/2006/relationships"><Relationship Id="rId1" Type="http://schemas.openxmlformats.org/officeDocument/2006/relationships/image" Target="media/image1.png" /><Relationship Id="rId2" Type="http://schemas.openxmlformats.org/officeDocument/2006/relationships/hyperlink" Target="https://www.fcc.gov" TargetMode="Externa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0</Pages>
  <Words>0</Words>
  <Characters>0</Characters>
  <Application>Microsoft Office Word</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0</cp:revision>
</cp:coreProperties>
</file>