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B732D" w14:paraId="7E0D7AE5" w14:textId="77777777">
      <w:pPr>
        <w:jc w:val="right"/>
        <w:rPr>
          <w:b/>
          <w:szCs w:val="22"/>
        </w:rPr>
      </w:pPr>
    </w:p>
    <w:p w:rsidR="00BA3BA8" w:rsidRPr="00DB3CBC" w14:paraId="522BB0D6" w14:textId="6752D658">
      <w:pPr>
        <w:jc w:val="right"/>
        <w:rPr>
          <w:b/>
          <w:szCs w:val="22"/>
        </w:rPr>
      </w:pPr>
      <w:r w:rsidRPr="00DB3CBC">
        <w:rPr>
          <w:b/>
          <w:szCs w:val="22"/>
        </w:rPr>
        <w:t>DA 2</w:t>
      </w:r>
      <w:r w:rsidR="00417381">
        <w:rPr>
          <w:b/>
          <w:szCs w:val="22"/>
        </w:rPr>
        <w:t>6</w:t>
      </w:r>
      <w:r w:rsidRPr="00DB3CBC">
        <w:rPr>
          <w:b/>
          <w:szCs w:val="22"/>
        </w:rPr>
        <w:t>-</w:t>
      </w:r>
      <w:r w:rsidR="00B24546">
        <w:rPr>
          <w:b/>
          <w:szCs w:val="22"/>
        </w:rPr>
        <w:t>531</w:t>
      </w:r>
    </w:p>
    <w:p w:rsidR="00BA3BA8" w:rsidRPr="00DB3CBC" w:rsidP="007B22DE" w14:paraId="712BE9D1" w14:textId="13965993">
      <w:pPr>
        <w:spacing w:before="60"/>
        <w:jc w:val="right"/>
        <w:rPr>
          <w:b/>
          <w:szCs w:val="22"/>
        </w:rPr>
      </w:pPr>
      <w:r w:rsidRPr="00DB3CBC">
        <w:rPr>
          <w:b/>
          <w:szCs w:val="22"/>
        </w:rPr>
        <w:t xml:space="preserve">Released: </w:t>
      </w:r>
      <w:r w:rsidR="00417381">
        <w:rPr>
          <w:b/>
          <w:szCs w:val="22"/>
        </w:rPr>
        <w:t>Ma</w:t>
      </w:r>
      <w:r w:rsidR="00FF7C7E">
        <w:rPr>
          <w:b/>
          <w:szCs w:val="22"/>
        </w:rPr>
        <w:t>y</w:t>
      </w:r>
      <w:r w:rsidR="00261EFB">
        <w:rPr>
          <w:b/>
          <w:szCs w:val="22"/>
        </w:rPr>
        <w:t xml:space="preserve"> </w:t>
      </w:r>
      <w:r w:rsidR="00EE4BB8">
        <w:rPr>
          <w:b/>
          <w:szCs w:val="22"/>
        </w:rPr>
        <w:t>28</w:t>
      </w:r>
      <w:r w:rsidRPr="00DB3CBC" w:rsidR="001A5115">
        <w:rPr>
          <w:b/>
          <w:szCs w:val="22"/>
        </w:rPr>
        <w:t>, 202</w:t>
      </w:r>
      <w:r w:rsidR="00F029D4">
        <w:rPr>
          <w:b/>
          <w:szCs w:val="22"/>
        </w:rPr>
        <w:t>6</w:t>
      </w:r>
    </w:p>
    <w:p w:rsidR="00881759" w:rsidP="00881759" w14:paraId="3CB5DC3B" w14:textId="77777777">
      <w:pPr>
        <w:jc w:val="center"/>
        <w:rPr>
          <w:b/>
          <w:bCs/>
          <w:szCs w:val="22"/>
        </w:rPr>
      </w:pPr>
      <w:bookmarkStart w:id="0" w:name="_Hlk166229554"/>
    </w:p>
    <w:p w:rsidR="00881759" w:rsidP="00BA47C1" w14:paraId="27CE8D17" w14:textId="05CD3853">
      <w:pPr>
        <w:jc w:val="center"/>
        <w:rPr>
          <w:b/>
          <w:bCs/>
          <w:szCs w:val="22"/>
        </w:rPr>
      </w:pPr>
      <w:r w:rsidRPr="00DB3CBC">
        <w:rPr>
          <w:b/>
          <w:bCs/>
          <w:szCs w:val="22"/>
        </w:rPr>
        <w:t xml:space="preserve">DOMESTIC </w:t>
      </w:r>
      <w:r w:rsidRPr="00DB3CBC">
        <w:rPr>
          <w:b/>
          <w:bCs/>
          <w:caps/>
          <w:szCs w:val="22"/>
        </w:rPr>
        <w:t>SECTION</w:t>
      </w:r>
      <w:r w:rsidRPr="00DB3CBC">
        <w:rPr>
          <w:b/>
          <w:bCs/>
          <w:szCs w:val="22"/>
        </w:rPr>
        <w:t xml:space="preserve"> 214 APPLICATION </w:t>
      </w:r>
      <w:r w:rsidR="00FF7C7E">
        <w:rPr>
          <w:b/>
          <w:bCs/>
          <w:szCs w:val="22"/>
        </w:rPr>
        <w:t>GRANTED</w:t>
      </w:r>
      <w:r w:rsidRPr="00DB3CBC">
        <w:rPr>
          <w:b/>
          <w:bCs/>
          <w:szCs w:val="22"/>
        </w:rPr>
        <w:t xml:space="preserve"> </w:t>
      </w:r>
      <w:r w:rsidR="00D7016D">
        <w:rPr>
          <w:b/>
          <w:bCs/>
          <w:szCs w:val="22"/>
        </w:rPr>
        <w:t xml:space="preserve">FOR </w:t>
      </w:r>
      <w:r w:rsidRPr="00DB3CBC">
        <w:rPr>
          <w:b/>
          <w:bCs/>
          <w:szCs w:val="22"/>
        </w:rPr>
        <w:t>THE TRANSFER OF CONTROL OF</w:t>
      </w:r>
      <w:bookmarkEnd w:id="0"/>
      <w:r w:rsidR="00BA47C1">
        <w:rPr>
          <w:b/>
          <w:bCs/>
          <w:szCs w:val="22"/>
        </w:rPr>
        <w:t xml:space="preserve"> </w:t>
      </w:r>
      <w:r w:rsidRPr="00747B9E" w:rsidR="00747B9E">
        <w:rPr>
          <w:b/>
          <w:bCs/>
          <w:szCs w:val="22"/>
        </w:rPr>
        <w:t xml:space="preserve">GUNNISON TELEPHONE COMPANY </w:t>
      </w:r>
      <w:r w:rsidRPr="00BA47C1" w:rsidR="00747B9E">
        <w:rPr>
          <w:b/>
          <w:bCs/>
          <w:szCs w:val="22"/>
        </w:rPr>
        <w:t xml:space="preserve">TO </w:t>
      </w:r>
      <w:r w:rsidRPr="00747B9E" w:rsidR="00747B9E">
        <w:rPr>
          <w:b/>
          <w:bCs/>
          <w:szCs w:val="22"/>
        </w:rPr>
        <w:t>LYNCH TELEPHONE CORPORATION X</w:t>
      </w:r>
    </w:p>
    <w:p w:rsidR="00F723A8" w:rsidRPr="00F723A8" w:rsidP="00FD330B" w14:paraId="2863522C" w14:textId="77777777">
      <w:pPr>
        <w:rPr>
          <w:b/>
          <w:bCs/>
          <w:szCs w:val="22"/>
        </w:rPr>
      </w:pPr>
    </w:p>
    <w:p w:rsidR="00881759" w:rsidP="00ED2C37" w14:paraId="086E8306" w14:textId="04449DDD">
      <w:pPr>
        <w:jc w:val="center"/>
        <w:rPr>
          <w:b/>
          <w:szCs w:val="22"/>
        </w:rPr>
      </w:pPr>
      <w:r w:rsidRPr="00DB3CBC">
        <w:rPr>
          <w:b/>
          <w:szCs w:val="22"/>
        </w:rPr>
        <w:t>WC Docket No. 2</w:t>
      </w:r>
      <w:r w:rsidR="00D3124A">
        <w:rPr>
          <w:b/>
          <w:szCs w:val="22"/>
        </w:rPr>
        <w:t>5</w:t>
      </w:r>
      <w:r w:rsidR="00E37BFA">
        <w:rPr>
          <w:b/>
          <w:szCs w:val="22"/>
        </w:rPr>
        <w:t>-</w:t>
      </w:r>
      <w:r w:rsidR="002C71F8">
        <w:rPr>
          <w:b/>
          <w:szCs w:val="22"/>
        </w:rPr>
        <w:t>3</w:t>
      </w:r>
      <w:r w:rsidR="006B732D">
        <w:rPr>
          <w:b/>
          <w:szCs w:val="22"/>
        </w:rPr>
        <w:t>48</w:t>
      </w:r>
      <w:bookmarkStart w:id="1" w:name="TOChere"/>
    </w:p>
    <w:p w:rsidR="00881759" w:rsidRPr="00AD440B" w:rsidP="00881759" w14:paraId="64A2D91D" w14:textId="77777777">
      <w:pPr>
        <w:rPr>
          <w:b/>
          <w:szCs w:val="22"/>
        </w:rPr>
      </w:pPr>
    </w:p>
    <w:p w:rsidR="00715082" w:rsidP="00747B9E" w14:paraId="5670292A" w14:textId="6499706F">
      <w:pPr>
        <w:autoSpaceDE w:val="0"/>
        <w:autoSpaceDN w:val="0"/>
        <w:adjustRightInd w:val="0"/>
        <w:spacing w:after="120"/>
        <w:ind w:firstLine="720"/>
      </w:pPr>
      <w:r w:rsidRPr="52D3F29C">
        <w:t xml:space="preserve">By this Public Notice, the Wireline Competition Bureau </w:t>
      </w:r>
      <w:r w:rsidR="00B36F06">
        <w:t xml:space="preserve">(Bureau) </w:t>
      </w:r>
      <w:r w:rsidR="005A3540">
        <w:t>grants</w:t>
      </w:r>
      <w:r w:rsidRPr="52D3F29C">
        <w:t xml:space="preserve"> an application filed by </w:t>
      </w:r>
      <w:bookmarkStart w:id="2" w:name="_Hlk187678845"/>
      <w:bookmarkStart w:id="3" w:name="_Hlk73713070"/>
      <w:bookmarkStart w:id="4" w:name="_Hlk67917977"/>
      <w:r w:rsidRPr="00FA3752" w:rsidR="00FA3752">
        <w:t>Gunnison Telephone Company (Gunnison)</w:t>
      </w:r>
      <w:r w:rsidR="005C3678">
        <w:t xml:space="preserve"> and </w:t>
      </w:r>
      <w:r w:rsidRPr="00747B9E" w:rsidR="00747B9E">
        <w:t xml:space="preserve">Lynch Telephone Corporation X (Lynch X) </w:t>
      </w:r>
      <w:bookmarkEnd w:id="2"/>
      <w:r w:rsidR="00986FB9">
        <w:t>(</w:t>
      </w:r>
      <w:r w:rsidR="00BB7685">
        <w:t>together</w:t>
      </w:r>
      <w:r>
        <w:t xml:space="preserve">, </w:t>
      </w:r>
      <w:r w:rsidRPr="52D3F29C">
        <w:t>Applicant</w:t>
      </w:r>
      <w:r>
        <w:t>s</w:t>
      </w:r>
      <w:r>
        <w:rPr>
          <w:szCs w:val="22"/>
        </w:rPr>
        <w:t>),</w:t>
      </w:r>
      <w:r w:rsidRPr="52D3F29C">
        <w:t xml:space="preserve"> pursuant to section 214(a) of the Communications Act of 1934, as amended, and section 63.04 of the Commission’s rules,</w:t>
      </w:r>
      <w:r>
        <w:rPr>
          <w:rStyle w:val="FootnoteReference"/>
        </w:rPr>
        <w:footnoteReference w:id="3"/>
      </w:r>
      <w:r w:rsidRPr="00523F87">
        <w:rPr>
          <w:szCs w:val="22"/>
        </w:rPr>
        <w:t xml:space="preserve"> </w:t>
      </w:r>
      <w:r w:rsidRPr="52D3F29C">
        <w:t>requesting</w:t>
      </w:r>
      <w:r w:rsidR="00C70BF0">
        <w:t xml:space="preserve"> </w:t>
      </w:r>
      <w:r w:rsidRPr="00C70BF0" w:rsidR="00C70BF0">
        <w:t xml:space="preserve">Commission </w:t>
      </w:r>
      <w:r w:rsidR="00922730">
        <w:t>consent</w:t>
      </w:r>
      <w:r w:rsidRPr="00642BB6" w:rsidR="00642BB6">
        <w:t xml:space="preserve"> </w:t>
      </w:r>
      <w:r w:rsidR="00745776">
        <w:t xml:space="preserve">for the </w:t>
      </w:r>
      <w:r w:rsidRPr="00642BB6" w:rsidR="00642BB6">
        <w:t xml:space="preserve">transfer </w:t>
      </w:r>
      <w:r w:rsidR="00745776">
        <w:t xml:space="preserve">of </w:t>
      </w:r>
      <w:r w:rsidRPr="00642BB6" w:rsidR="00642BB6">
        <w:t xml:space="preserve">control of </w:t>
      </w:r>
      <w:bookmarkEnd w:id="3"/>
      <w:bookmarkEnd w:id="4"/>
      <w:r w:rsidRPr="00747B9E" w:rsidR="00747B9E">
        <w:t>Gunnison</w:t>
      </w:r>
      <w:r w:rsidR="00747B9E">
        <w:t xml:space="preserve"> </w:t>
      </w:r>
      <w:r w:rsidR="00265ED9">
        <w:t xml:space="preserve">to </w:t>
      </w:r>
      <w:r w:rsidRPr="00747B9E" w:rsidR="00747B9E">
        <w:t>Lynch X</w:t>
      </w:r>
      <w:r w:rsidR="00E75D8D">
        <w:t>.</w:t>
      </w:r>
      <w:r>
        <w:rPr>
          <w:vertAlign w:val="superscript"/>
        </w:rPr>
        <w:footnoteReference w:id="4"/>
      </w:r>
      <w:r w:rsidR="00200269">
        <w:t xml:space="preserve"> </w:t>
      </w:r>
      <w:r w:rsidR="00E71974">
        <w:t xml:space="preserve"> </w:t>
      </w:r>
      <w:r w:rsidR="00606025">
        <w:t xml:space="preserve">On March 16, 2026, the </w:t>
      </w:r>
      <w:r w:rsidR="00B36F06">
        <w:t xml:space="preserve">Bureau released a Public </w:t>
      </w:r>
      <w:r w:rsidR="004B215B">
        <w:t>N</w:t>
      </w:r>
      <w:r w:rsidR="00B36F06">
        <w:t xml:space="preserve">otice seeking comment </w:t>
      </w:r>
      <w:r w:rsidR="00BC5B61">
        <w:t xml:space="preserve">on </w:t>
      </w:r>
      <w:r w:rsidR="00B36F06">
        <w:t>the Application.</w:t>
      </w:r>
      <w:r>
        <w:rPr>
          <w:rStyle w:val="FootnoteReference"/>
        </w:rPr>
        <w:footnoteReference w:id="5"/>
      </w:r>
      <w:r w:rsidR="00B36F06">
        <w:t xml:space="preserve">  No </w:t>
      </w:r>
      <w:r w:rsidR="00624EDB">
        <w:t>comments were filed in opposition to a grant of the Application.</w:t>
      </w:r>
    </w:p>
    <w:p w:rsidR="00B11A37" w:rsidRPr="00905C90" w:rsidP="00B11A37" w14:paraId="13EB3BC4" w14:textId="74E73B54">
      <w:pPr>
        <w:autoSpaceDE w:val="0"/>
        <w:autoSpaceDN w:val="0"/>
        <w:adjustRightInd w:val="0"/>
        <w:spacing w:after="120"/>
        <w:rPr>
          <w:b/>
          <w:bCs/>
          <w:u w:val="single"/>
        </w:rPr>
      </w:pPr>
      <w:r w:rsidRPr="00905C90">
        <w:rPr>
          <w:b/>
          <w:bCs/>
          <w:u w:val="single"/>
        </w:rPr>
        <w:t>Description</w:t>
      </w:r>
      <w:r w:rsidRPr="00905C90">
        <w:rPr>
          <w:b/>
          <w:bCs/>
          <w:u w:val="single"/>
        </w:rPr>
        <w:t xml:space="preserve"> of Applicants and </w:t>
      </w:r>
      <w:r w:rsidRPr="00905C90">
        <w:rPr>
          <w:b/>
          <w:bCs/>
          <w:u w:val="single"/>
        </w:rPr>
        <w:t>Transaction</w:t>
      </w:r>
    </w:p>
    <w:p w:rsidR="007F58B8" w:rsidP="003C23EB" w14:paraId="2F335161" w14:textId="20A83772">
      <w:pPr>
        <w:autoSpaceDE w:val="0"/>
        <w:autoSpaceDN w:val="0"/>
        <w:adjustRightInd w:val="0"/>
        <w:spacing w:after="120"/>
        <w:ind w:firstLine="720"/>
      </w:pPr>
      <w:r w:rsidRPr="00FA3752">
        <w:t>Gunnison</w:t>
      </w:r>
      <w:r>
        <w:t xml:space="preserve">, </w:t>
      </w:r>
      <w:r w:rsidRPr="00FA3752">
        <w:t>a</w:t>
      </w:r>
      <w:r w:rsidRPr="00FA3752">
        <w:rPr>
          <w:rFonts w:ascii="TimesNewRomanPSMT" w:hAnsi="TimesNewRomanPSMT" w:cs="TimesNewRomanPSMT"/>
          <w:snapToGrid/>
          <w:kern w:val="0"/>
          <w:sz w:val="24"/>
          <w:szCs w:val="24"/>
        </w:rPr>
        <w:t xml:space="preserve"> </w:t>
      </w:r>
      <w:r w:rsidRPr="00FA3752">
        <w:t>Utah</w:t>
      </w:r>
      <w:r w:rsidRPr="00FA3752">
        <w:rPr>
          <w:rFonts w:ascii="TimesNewRomanPSMT" w:hAnsi="TimesNewRomanPSMT" w:cs="TimesNewRomanPSMT"/>
          <w:snapToGrid/>
          <w:kern w:val="0"/>
          <w:sz w:val="24"/>
          <w:szCs w:val="24"/>
        </w:rPr>
        <w:t xml:space="preserve"> </w:t>
      </w:r>
      <w:r w:rsidRPr="00FA3752">
        <w:t>corporation</w:t>
      </w:r>
      <w:r>
        <w:t xml:space="preserve">, </w:t>
      </w:r>
      <w:r w:rsidRPr="00FA3752">
        <w:t xml:space="preserve">provides </w:t>
      </w:r>
      <w:r w:rsidR="00FA5350">
        <w:t xml:space="preserve">service as an incumbent </w:t>
      </w:r>
      <w:r w:rsidRPr="00FA3752">
        <w:t xml:space="preserve">local exchange </w:t>
      </w:r>
      <w:r w:rsidR="00FA5350">
        <w:t xml:space="preserve">carrier (LEC) </w:t>
      </w:r>
      <w:r w:rsidRPr="00FA3752">
        <w:t>to approximately 530 access lines in its Utah study</w:t>
      </w:r>
      <w:r>
        <w:t xml:space="preserve"> </w:t>
      </w:r>
      <w:r w:rsidRPr="00FA3752">
        <w:t>areas, which consist of the communities of Gunnison, Centerfield, Mayfield, Fayette, and Axtell.</w:t>
      </w:r>
      <w:r>
        <w:rPr>
          <w:rStyle w:val="FootnoteReference"/>
        </w:rPr>
        <w:footnoteReference w:id="6"/>
      </w:r>
      <w:r>
        <w:t xml:space="preserve">  </w:t>
      </w:r>
      <w:r w:rsidRPr="00FA3752">
        <w:t>Gunnison has one affiliate, Gunnison Long Distance, Inc. (GLD), a Utah corporation</w:t>
      </w:r>
      <w:r w:rsidR="00D227A7">
        <w:t>, which</w:t>
      </w:r>
      <w:r w:rsidRPr="00C7589A" w:rsidR="00C7589A">
        <w:rPr>
          <w:rFonts w:ascii="TimesNewRomanPSMT" w:hAnsi="TimesNewRomanPSMT" w:cs="TimesNewRomanPSMT"/>
          <w:snapToGrid/>
          <w:kern w:val="0"/>
          <w:sz w:val="24"/>
          <w:szCs w:val="24"/>
        </w:rPr>
        <w:t xml:space="preserve"> </w:t>
      </w:r>
      <w:r w:rsidRPr="00C7589A" w:rsidR="00C7589A">
        <w:t>provides long-distance service to customers in Gunnison’s service area.</w:t>
      </w:r>
      <w:r>
        <w:rPr>
          <w:rStyle w:val="FootnoteReference"/>
        </w:rPr>
        <w:footnoteReference w:id="7"/>
      </w:r>
      <w:r w:rsidR="006366D6">
        <w:t xml:space="preserve">  </w:t>
      </w:r>
      <w:r w:rsidR="008231C9">
        <w:t xml:space="preserve">The following U.S. citizens hold a ten percent or greater interest in </w:t>
      </w:r>
      <w:r w:rsidR="00A54BFC">
        <w:t>Gunnison</w:t>
      </w:r>
      <w:r w:rsidR="009575B2">
        <w:t>: Kirsten S. Candland</w:t>
      </w:r>
      <w:r w:rsidR="00627938">
        <w:t xml:space="preserve"> (</w:t>
      </w:r>
      <w:r w:rsidR="001E73BC">
        <w:t>26.12%</w:t>
      </w:r>
      <w:r w:rsidR="00986B76">
        <w:t xml:space="preserve"> equity and voting interest)</w:t>
      </w:r>
      <w:r w:rsidR="00CC388F">
        <w:t>; and Howard J. Sanders</w:t>
      </w:r>
      <w:r w:rsidR="00986B76">
        <w:t xml:space="preserve"> (27.23% equit</w:t>
      </w:r>
      <w:r w:rsidR="00790B7E">
        <w:t>y and voting interest)</w:t>
      </w:r>
      <w:r w:rsidR="00CC388F">
        <w:t>.</w:t>
      </w:r>
      <w:r>
        <w:rPr>
          <w:rStyle w:val="FootnoteReference"/>
        </w:rPr>
        <w:footnoteReference w:id="8"/>
      </w:r>
    </w:p>
    <w:p w:rsidR="006366D6" w:rsidP="003C23EB" w14:paraId="649A1A72" w14:textId="152A9751">
      <w:pPr>
        <w:autoSpaceDE w:val="0"/>
        <w:autoSpaceDN w:val="0"/>
        <w:adjustRightInd w:val="0"/>
        <w:spacing w:after="120"/>
        <w:ind w:firstLine="720"/>
      </w:pPr>
      <w:r w:rsidRPr="006366D6">
        <w:t>Lynch X</w:t>
      </w:r>
      <w:r>
        <w:t xml:space="preserve">, </w:t>
      </w:r>
      <w:bookmarkStart w:id="5" w:name="_Hlk216361939"/>
      <w:r w:rsidR="00473935">
        <w:t xml:space="preserve">a Delaware </w:t>
      </w:r>
      <w:r w:rsidRPr="006366D6">
        <w:t>corporation</w:t>
      </w:r>
      <w:r>
        <w:t xml:space="preserve">, </w:t>
      </w:r>
      <w:r w:rsidR="00EB1BB4">
        <w:t xml:space="preserve">is </w:t>
      </w:r>
      <w:r w:rsidR="00861BBF">
        <w:t xml:space="preserve">indirectly held by </w:t>
      </w:r>
      <w:r w:rsidRPr="006366D6">
        <w:t>LICT Corporation (LICT)</w:t>
      </w:r>
      <w:r w:rsidR="000C0FCA">
        <w:t>, a Delaware corporation</w:t>
      </w:r>
      <w:r w:rsidRPr="006366D6">
        <w:t>.</w:t>
      </w:r>
      <w:r>
        <w:rPr>
          <w:rStyle w:val="FootnoteReference"/>
        </w:rPr>
        <w:footnoteReference w:id="9"/>
      </w:r>
      <w:r w:rsidR="00222888">
        <w:t xml:space="preserve">  </w:t>
      </w:r>
      <w:r w:rsidRPr="001E0E94" w:rsidR="001E0E94">
        <w:t xml:space="preserve">LICT </w:t>
      </w:r>
      <w:r w:rsidR="000F4AC5">
        <w:t xml:space="preserve">owns </w:t>
      </w:r>
      <w:r w:rsidR="005874FE">
        <w:t>multiple</w:t>
      </w:r>
      <w:r w:rsidRPr="001E0E94" w:rsidR="001E0E94">
        <w:t xml:space="preserve"> rural</w:t>
      </w:r>
      <w:r w:rsidR="008C4035">
        <w:t xml:space="preserve"> </w:t>
      </w:r>
      <w:r w:rsidR="007F3630">
        <w:t>incumbent</w:t>
      </w:r>
      <w:r w:rsidRPr="001E0E94" w:rsidR="001E0E94">
        <w:t xml:space="preserve"> LECs, which </w:t>
      </w:r>
      <w:r w:rsidR="005A6CC2">
        <w:t xml:space="preserve">provide </w:t>
      </w:r>
      <w:r w:rsidR="008D7D4E">
        <w:t xml:space="preserve">telecommunications </w:t>
      </w:r>
      <w:r w:rsidRPr="001E0E94" w:rsidR="001E0E94">
        <w:t xml:space="preserve">services </w:t>
      </w:r>
      <w:r w:rsidR="00137495">
        <w:t xml:space="preserve">or </w:t>
      </w:r>
      <w:r w:rsidR="005A6CC2">
        <w:t xml:space="preserve">other services </w:t>
      </w:r>
      <w:r w:rsidRPr="001E0E94" w:rsidR="001E0E94">
        <w:t xml:space="preserve">in </w:t>
      </w:r>
      <w:r w:rsidRPr="00560AA1" w:rsidR="001E0E94">
        <w:t>California, Iowa, Kansas, Michigan, New Mexico, Utah, and Wisconsin</w:t>
      </w:r>
      <w:r w:rsidRPr="001E0E94" w:rsidR="001E0E94">
        <w:t>.</w:t>
      </w:r>
      <w:r>
        <w:rPr>
          <w:rStyle w:val="FootnoteReference"/>
        </w:rPr>
        <w:footnoteReference w:id="10"/>
      </w:r>
      <w:r w:rsidR="003C23EB">
        <w:t xml:space="preserve">  </w:t>
      </w:r>
      <w:r w:rsidRPr="003C23EB" w:rsidR="003C23EB">
        <w:t>LICT</w:t>
      </w:r>
      <w:r w:rsidR="000F4AC5">
        <w:t xml:space="preserve"> </w:t>
      </w:r>
      <w:r w:rsidR="002F1901">
        <w:t xml:space="preserve">also </w:t>
      </w:r>
      <w:r w:rsidR="000F4AC5">
        <w:t xml:space="preserve">indirectly owns </w:t>
      </w:r>
      <w:r w:rsidRPr="003C23EB" w:rsidR="003C23EB">
        <w:t xml:space="preserve">Central </w:t>
      </w:r>
      <w:r w:rsidR="001A2A75">
        <w:t>Telcom Services, LLC</w:t>
      </w:r>
      <w:r w:rsidR="00C4473F">
        <w:t xml:space="preserve">, </w:t>
      </w:r>
      <w:r w:rsidRPr="006D178A" w:rsidR="0081534C">
        <w:t xml:space="preserve">a </w:t>
      </w:r>
      <w:r w:rsidRPr="006D178A" w:rsidR="004D4D5D">
        <w:t>Utah limited liabi</w:t>
      </w:r>
      <w:r w:rsidRPr="006D178A" w:rsidR="006D178A">
        <w:t>lity company</w:t>
      </w:r>
      <w:r w:rsidR="0081534C">
        <w:t>,</w:t>
      </w:r>
      <w:r w:rsidR="00570731">
        <w:t xml:space="preserve"> which operates as a competitive LEC in Utah and Nevada</w:t>
      </w:r>
      <w:r w:rsidRPr="003C23EB" w:rsidR="003C23EB">
        <w:t>.</w:t>
      </w:r>
      <w:r>
        <w:rPr>
          <w:rStyle w:val="FootnoteReference"/>
        </w:rPr>
        <w:footnoteReference w:id="11"/>
      </w:r>
      <w:r w:rsidR="00232BFB">
        <w:t xml:space="preserve"> </w:t>
      </w:r>
      <w:r w:rsidR="00FE1F7D">
        <w:t xml:space="preserve"> </w:t>
      </w:r>
      <w:r w:rsidR="00232BFB">
        <w:t>Applicants</w:t>
      </w:r>
      <w:r w:rsidR="00C21A6A">
        <w:t xml:space="preserve"> </w:t>
      </w:r>
      <w:r w:rsidR="00232BFB">
        <w:t>state that</w:t>
      </w:r>
      <w:r w:rsidR="00B91734">
        <w:t xml:space="preserve"> the only entity or individual holding a te</w:t>
      </w:r>
      <w:r w:rsidR="005C15EF">
        <w:t>n</w:t>
      </w:r>
      <w:r w:rsidR="00B91734">
        <w:t xml:space="preserve"> percent or greater interest in LICT is Mario J. Gabelli (38.42% equity and voting interest), a U.S. citizen.</w:t>
      </w:r>
      <w:r>
        <w:rPr>
          <w:rStyle w:val="FootnoteReference"/>
        </w:rPr>
        <w:footnoteReference w:id="12"/>
      </w:r>
    </w:p>
    <w:bookmarkEnd w:id="5"/>
    <w:p w:rsidR="00870AA8" w:rsidP="009D3A2A" w14:paraId="7509CB0D" w14:textId="2436B725">
      <w:pPr>
        <w:autoSpaceDE w:val="0"/>
        <w:autoSpaceDN w:val="0"/>
        <w:adjustRightInd w:val="0"/>
        <w:spacing w:after="120"/>
        <w:ind w:firstLine="720"/>
      </w:pPr>
      <w:r>
        <w:t xml:space="preserve">Pursuant to the terms of the </w:t>
      </w:r>
      <w:r w:rsidR="00085CF2">
        <w:t xml:space="preserve">proposed transaction, </w:t>
      </w:r>
      <w:r w:rsidRPr="00FC692C" w:rsidR="00FC692C">
        <w:t>Lynch X will acquire all</w:t>
      </w:r>
      <w:r w:rsidR="00FC692C">
        <w:t xml:space="preserve"> </w:t>
      </w:r>
      <w:r w:rsidRPr="00FC692C" w:rsidR="00FC692C">
        <w:t>of the stock of Gunnison</w:t>
      </w:r>
      <w:r>
        <w:t>.</w:t>
      </w:r>
      <w:r>
        <w:rPr>
          <w:rStyle w:val="FootnoteReference"/>
        </w:rPr>
        <w:footnoteReference w:id="13"/>
      </w:r>
      <w:r w:rsidR="00296CBA">
        <w:t xml:space="preserve"> </w:t>
      </w:r>
      <w:r>
        <w:t xml:space="preserve"> </w:t>
      </w:r>
      <w:r w:rsidR="003877DB">
        <w:t xml:space="preserve">Accordingly, after </w:t>
      </w:r>
      <w:r w:rsidRPr="00870AA8">
        <w:t>consummation</w:t>
      </w:r>
      <w:r w:rsidR="003877DB">
        <w:t xml:space="preserve"> of the proposed transaction</w:t>
      </w:r>
      <w:r w:rsidR="00296CBA">
        <w:t>,</w:t>
      </w:r>
      <w:r w:rsidRPr="00870AA8">
        <w:t xml:space="preserve"> </w:t>
      </w:r>
      <w:r w:rsidRPr="00FC692C" w:rsidR="00FC692C">
        <w:t xml:space="preserve">Gunnison </w:t>
      </w:r>
      <w:r w:rsidR="003877DB">
        <w:t xml:space="preserve">would </w:t>
      </w:r>
      <w:r w:rsidRPr="00FC692C" w:rsidR="00FC692C">
        <w:t>be a direct, wholly</w:t>
      </w:r>
      <w:r w:rsidR="006B7F18">
        <w:t>-</w:t>
      </w:r>
      <w:r w:rsidRPr="00FC692C" w:rsidR="00FC692C">
        <w:t>owned subsidiary of Lynch X</w:t>
      </w:r>
      <w:r>
        <w:t>.</w:t>
      </w:r>
      <w:r>
        <w:rPr>
          <w:rStyle w:val="FootnoteReference"/>
        </w:rPr>
        <w:footnoteReference w:id="14"/>
      </w:r>
      <w:r w:rsidRPr="009D3A2A" w:rsidR="009D3A2A">
        <w:t xml:space="preserve"> </w:t>
      </w:r>
    </w:p>
    <w:p w:rsidR="00862E39" w:rsidRPr="00905C90" w:rsidP="00862E39" w14:paraId="2DE335E2" w14:textId="16C8E4E8">
      <w:pPr>
        <w:widowControl/>
        <w:rPr>
          <w:b/>
          <w:bCs/>
          <w:color w:val="000000"/>
          <w:szCs w:val="22"/>
          <w:u w:val="single"/>
        </w:rPr>
      </w:pPr>
      <w:bookmarkStart w:id="6" w:name="SearchTerm"/>
      <w:r w:rsidRPr="00905C90">
        <w:rPr>
          <w:b/>
          <w:bCs/>
          <w:color w:val="000000"/>
          <w:szCs w:val="22"/>
          <w:u w:val="single"/>
        </w:rPr>
        <w:t>Discussion</w:t>
      </w:r>
    </w:p>
    <w:p w:rsidR="00905C90" w:rsidRPr="00862E39" w:rsidP="00862E39" w14:paraId="4C82EEAD" w14:textId="77777777">
      <w:pPr>
        <w:widowControl/>
        <w:rPr>
          <w:color w:val="000000"/>
          <w:szCs w:val="22"/>
          <w:u w:val="single"/>
        </w:rPr>
      </w:pPr>
    </w:p>
    <w:p w:rsidR="009909FE" w:rsidRPr="009968BD" w:rsidP="009909FE" w14:paraId="524E2ACF" w14:textId="177EA816">
      <w:pPr>
        <w:autoSpaceDE w:val="0"/>
        <w:autoSpaceDN w:val="0"/>
        <w:adjustRightInd w:val="0"/>
        <w:spacing w:after="120"/>
        <w:ind w:firstLine="720"/>
        <w:rPr>
          <w:szCs w:val="22"/>
        </w:rPr>
      </w:pPr>
      <w:bookmarkStart w:id="7" w:name="_Hlk190430453"/>
      <w:r w:rsidRPr="0022700C">
        <w:t>Applicants assert that a grant of the Application would serve the public interest, convenience, and necessity.</w:t>
      </w:r>
      <w:r>
        <w:rPr>
          <w:rStyle w:val="FootnoteReference"/>
        </w:rPr>
        <w:footnoteReference w:id="15"/>
      </w:r>
      <w:r>
        <w:t xml:space="preserve">  </w:t>
      </w:r>
      <w:r w:rsidR="00616830">
        <w:t>Applicants contend that the proposed transaction would “</w:t>
      </w:r>
      <w:r w:rsidR="00925B8C">
        <w:t>(</w:t>
      </w:r>
      <w:r w:rsidR="00925B8C">
        <w:t>i</w:t>
      </w:r>
      <w:r w:rsidR="00925B8C">
        <w:t>) facilitate efficiencies in Gunnison’s operations and grant Gunnison access to the financial resources of Lynch X and its parent companies</w:t>
      </w:r>
      <w:r w:rsidR="004824B5">
        <w:t xml:space="preserve">; (ii) provide Gunnison’s customers access to the in-house expertise of Lynch X and its </w:t>
      </w:r>
      <w:r w:rsidR="0072094C">
        <w:t xml:space="preserve">parent companies; (iii) </w:t>
      </w:r>
      <w:r w:rsidR="003E3ECE">
        <w:t xml:space="preserve">preserve Gunnison’s identity as a local company operated by many of the company’s existing employees; and </w:t>
      </w:r>
      <w:r w:rsidR="008902D8">
        <w:t>(iv) promote high-quality service for Gunnison’s customers.”</w:t>
      </w:r>
      <w:r>
        <w:rPr>
          <w:rStyle w:val="FootnoteReference"/>
        </w:rPr>
        <w:footnoteReference w:id="16"/>
      </w:r>
      <w:r w:rsidR="008902D8">
        <w:t xml:space="preserve">  </w:t>
      </w:r>
      <w:bookmarkEnd w:id="7"/>
    </w:p>
    <w:p w:rsidR="00554BF8" w:rsidRPr="003E2419" w:rsidP="00BF268F" w14:paraId="6EBA6318" w14:textId="15A1B1A5">
      <w:pPr>
        <w:widowControl/>
        <w:ind w:firstLine="720"/>
      </w:pPr>
      <w:r>
        <w:t xml:space="preserve">Applicants </w:t>
      </w:r>
      <w:r w:rsidR="005D312D">
        <w:t>state</w:t>
      </w:r>
      <w:r>
        <w:t xml:space="preserve"> that “</w:t>
      </w:r>
      <w:r w:rsidR="005D312D">
        <w:t>Applicants understand that one or more affiliates of Lyn</w:t>
      </w:r>
      <w:r w:rsidR="00BA4530">
        <w:t xml:space="preserve">ch X are identified in the Commission’s broadband data collection data as already providing fixed </w:t>
      </w:r>
      <w:r w:rsidR="00BF2097">
        <w:t>broadband service with speeds that meet or exceed the 100/20 Mbps service standard at certain locations in Utah</w:t>
      </w:r>
      <w:r w:rsidR="00EF4B9B">
        <w:t xml:space="preserve"> (Study Area Code 502279) </w:t>
      </w:r>
      <w:r w:rsidR="002C69C3">
        <w:t>for which</w:t>
      </w:r>
      <w:r w:rsidR="00EF4B9B">
        <w:t xml:space="preserve"> Gunnison receives Enhanced Alternative Connect America Cost Model (</w:t>
      </w:r>
      <w:r w:rsidR="00683ED4">
        <w:t>“</w:t>
      </w:r>
      <w:r w:rsidR="00FF7A12">
        <w:t xml:space="preserve">Enhanced </w:t>
      </w:r>
      <w:r w:rsidR="00683ED4">
        <w:t>A-CAM”) high-cost support identified by Commission staff as of April 22, 2026</w:t>
      </w:r>
      <w:r w:rsidR="00890552">
        <w:t xml:space="preserve"> (“Overlapping Locations”).</w:t>
      </w:r>
      <w:r w:rsidR="00B509E6">
        <w:t>”</w:t>
      </w:r>
      <w:r>
        <w:rPr>
          <w:rStyle w:val="FootnoteReference"/>
        </w:rPr>
        <w:footnoteReference w:id="17"/>
      </w:r>
      <w:r w:rsidR="00E2106D">
        <w:t xml:space="preserve">  Applicants attest that </w:t>
      </w:r>
      <w:r w:rsidR="00E90B0B">
        <w:t>Lyn</w:t>
      </w:r>
      <w:r w:rsidR="00D82880">
        <w:t>ch X acknowledges that following the consummation of the Proposed Transaction (as defined in the Application</w:t>
      </w:r>
      <w:r w:rsidR="003B21F8">
        <w:t xml:space="preserve">), </w:t>
      </w:r>
      <w:r w:rsidR="00F47B8B">
        <w:t>G</w:t>
      </w:r>
      <w:r w:rsidR="003B21F8">
        <w:t>unnison will no longer be eli</w:t>
      </w:r>
      <w:r w:rsidR="00A35CFD">
        <w:t xml:space="preserve">gible to receive Enhanced A-CAM </w:t>
      </w:r>
      <w:r w:rsidR="008859EF">
        <w:t>support for the Overlapping Locations.</w:t>
      </w:r>
      <w:r>
        <w:rPr>
          <w:rStyle w:val="FootnoteReference"/>
        </w:rPr>
        <w:footnoteReference w:id="18"/>
      </w:r>
      <w:r w:rsidR="008859EF">
        <w:t xml:space="preserve">  </w:t>
      </w:r>
      <w:r w:rsidR="009F1D2D">
        <w:t xml:space="preserve">Lynch X and Gunnison voluntarily commit to accept a reduction in Gunnison’s total Enhanced A-CAM support to reflect the </w:t>
      </w:r>
      <w:r w:rsidR="009F1D2D">
        <w:t>removal of the Overlapping Locations from Gunnison’s Enhanced A-CAM program participation.</w:t>
      </w:r>
      <w:r>
        <w:rPr>
          <w:rStyle w:val="FootnoteReference"/>
        </w:rPr>
        <w:footnoteReference w:id="19"/>
      </w:r>
      <w:r w:rsidR="009F1D2D">
        <w:t xml:space="preserve"> </w:t>
      </w:r>
      <w:r w:rsidR="00EF519A">
        <w:t xml:space="preserve"> </w:t>
      </w:r>
      <w:r w:rsidR="00972F6A">
        <w:t>Lynch X also commits</w:t>
      </w:r>
      <w:r w:rsidR="00010B49">
        <w:t>—on a pro rata basis—to return any such</w:t>
      </w:r>
      <w:r w:rsidR="0007572B">
        <w:t xml:space="preserve"> support that Gunnison </w:t>
      </w:r>
      <w:r w:rsidR="00010BCD">
        <w:t>has received</w:t>
      </w:r>
      <w:r w:rsidR="0077439B">
        <w:t xml:space="preserve"> for those Overlapping Locations</w:t>
      </w:r>
      <w:r w:rsidR="00010BCD">
        <w:t>, through a downward adjustment of support over the remainder</w:t>
      </w:r>
      <w:r w:rsidR="005A090C">
        <w:t xml:space="preserve"> of the Enhanced A-CAM program.</w:t>
      </w:r>
      <w:r>
        <w:rPr>
          <w:rStyle w:val="FootnoteReference"/>
        </w:rPr>
        <w:footnoteReference w:id="20"/>
      </w:r>
      <w:r w:rsidR="005A090C">
        <w:t xml:space="preserve">  </w:t>
      </w:r>
      <w:r w:rsidRPr="00400DF2" w:rsidR="00400DF2">
        <w:t>As part of these voluntary commitments, the Overlapping Locations will be removed from Gunnison’s list of obligated locations, which means Gunnison no longer will be subject to Enhanced A-CAM program service obligations for those Overlapping Locations, will not receive E-ACAM support for those Overlapping Locations, and will return any E</w:t>
      </w:r>
      <w:r w:rsidR="00866596">
        <w:t xml:space="preserve">nhanced </w:t>
      </w:r>
      <w:r w:rsidR="002C7D4E">
        <w:t xml:space="preserve">A-CAM </w:t>
      </w:r>
      <w:r w:rsidRPr="00400DF2" w:rsidR="00400DF2">
        <w:t xml:space="preserve"> support already received for those Overlapping Locations.</w:t>
      </w:r>
      <w:r>
        <w:rPr>
          <w:rStyle w:val="FootnoteReference"/>
        </w:rPr>
        <w:footnoteReference w:id="21"/>
      </w:r>
      <w:r w:rsidRPr="00400DF2" w:rsidR="00400DF2">
        <w:t xml:space="preserve">  </w:t>
      </w:r>
      <w:r w:rsidR="00493AC3">
        <w:t>A</w:t>
      </w:r>
      <w:r w:rsidR="002E20EC">
        <w:t>s part of its</w:t>
      </w:r>
      <w:r w:rsidR="0057315A">
        <w:t xml:space="preserve"> voluntary</w:t>
      </w:r>
      <w:r w:rsidR="002E20EC">
        <w:t xml:space="preserve"> commitmen</w:t>
      </w:r>
      <w:r w:rsidR="00504E6D">
        <w:t>t</w:t>
      </w:r>
      <w:r w:rsidR="0057315A">
        <w:t>,</w:t>
      </w:r>
      <w:r w:rsidR="00354992">
        <w:t xml:space="preserve"> </w:t>
      </w:r>
      <w:r w:rsidR="00465218">
        <w:t>“</w:t>
      </w:r>
      <w:r w:rsidRPr="00400DF2" w:rsidR="00400DF2">
        <w:t>Gunnison, under the control of Lynch X, will be obligated to serve all remaining Enhanced A-CAM locations consistent with the program requirements.</w:t>
      </w:r>
      <w:r w:rsidR="00BF268F">
        <w:t>”</w:t>
      </w:r>
      <w:r>
        <w:rPr>
          <w:rStyle w:val="FootnoteReference"/>
        </w:rPr>
        <w:footnoteReference w:id="22"/>
      </w:r>
      <w:r w:rsidR="00BF268F">
        <w:t xml:space="preserve">  </w:t>
      </w:r>
      <w:r w:rsidRPr="00671993">
        <w:t>We accept th</w:t>
      </w:r>
      <w:r w:rsidR="00B033D5">
        <w:t>ese</w:t>
      </w:r>
      <w:r w:rsidRPr="00671993">
        <w:t xml:space="preserve"> commitment</w:t>
      </w:r>
      <w:r w:rsidR="00B033D5">
        <w:t>s</w:t>
      </w:r>
      <w:r w:rsidRPr="00671993">
        <w:t xml:space="preserve"> as firm and definite and expect that </w:t>
      </w:r>
      <w:r w:rsidR="00F913D5">
        <w:t>they</w:t>
      </w:r>
      <w:r w:rsidRPr="00671993">
        <w:t xml:space="preserve"> will help ensure that the post-transaction company</w:t>
      </w:r>
      <w:r>
        <w:t xml:space="preserve"> and affiliates</w:t>
      </w:r>
      <w:r w:rsidRPr="00671993">
        <w:t xml:space="preserve"> will continue to deliver high</w:t>
      </w:r>
      <w:r w:rsidR="00D562FE">
        <w:t>-</w:t>
      </w:r>
      <w:r w:rsidRPr="00671993">
        <w:t>quality broadband service to rural Americans while avoiding potentially inefficient use of universal service support.</w:t>
      </w:r>
      <w:r>
        <w:rPr>
          <w:rStyle w:val="FootnoteReference"/>
        </w:rPr>
        <w:footnoteReference w:id="23"/>
      </w:r>
      <w:r w:rsidRPr="00532814">
        <w:rPr>
          <w:b/>
          <w:bCs/>
        </w:rPr>
        <w:t xml:space="preserve"> </w:t>
      </w:r>
      <w:r>
        <w:t xml:space="preserve">  </w:t>
      </w:r>
    </w:p>
    <w:p w:rsidR="00554BF8" w:rsidP="00B11A37" w14:paraId="77861AAD" w14:textId="77777777">
      <w:pPr>
        <w:widowControl/>
        <w:ind w:firstLine="720"/>
      </w:pPr>
    </w:p>
    <w:p w:rsidR="00B11A37" w:rsidRPr="00F81ED6" w:rsidP="00B11A37" w14:paraId="62736D5A" w14:textId="49DE6426">
      <w:pPr>
        <w:widowControl/>
        <w:ind w:firstLine="720"/>
      </w:pPr>
      <w:r w:rsidRPr="00966AAF">
        <w:rPr>
          <w:color w:val="000000"/>
          <w:szCs w:val="22"/>
        </w:rPr>
        <w:t>The Bureau finds, upon consideration of the record, that grant of the Application</w:t>
      </w:r>
      <w:bookmarkEnd w:id="6"/>
      <w:r w:rsidRPr="00966AAF">
        <w:rPr>
          <w:color w:val="000000"/>
          <w:szCs w:val="22"/>
        </w:rPr>
        <w:t xml:space="preserve"> will serve the public interest, convenience, and necessity </w:t>
      </w:r>
      <w:r w:rsidRPr="00966AAF">
        <w:rPr>
          <w:szCs w:val="24"/>
        </w:rPr>
        <w:t>and therefore grants the requested authorizations</w:t>
      </w:r>
      <w:r w:rsidRPr="00966AAF">
        <w:rPr>
          <w:color w:val="000000"/>
          <w:szCs w:val="22"/>
        </w:rPr>
        <w:t>.</w:t>
      </w:r>
      <w:r>
        <w:rPr>
          <w:szCs w:val="22"/>
          <w:vertAlign w:val="superscript"/>
        </w:rPr>
        <w:footnoteReference w:id="24"/>
      </w:r>
      <w:r w:rsidRPr="00966AAF">
        <w:rPr>
          <w:color w:val="000000"/>
          <w:szCs w:val="22"/>
        </w:rPr>
        <w:t xml:space="preserve"> </w:t>
      </w:r>
      <w:bookmarkStart w:id="8" w:name="FN[FN9]"/>
      <w:bookmarkEnd w:id="8"/>
      <w:r w:rsidRPr="00966AAF">
        <w:rPr>
          <w:color w:val="000000"/>
          <w:szCs w:val="22"/>
        </w:rPr>
        <w:t xml:space="preserve"> </w:t>
      </w:r>
      <w:r w:rsidRPr="00966AAF">
        <w:rPr>
          <w:szCs w:val="24"/>
        </w:rPr>
        <w:t xml:space="preserve">Pursuant </w:t>
      </w:r>
      <w:r w:rsidRPr="00966AAF">
        <w:rPr>
          <w:szCs w:val="24"/>
        </w:rPr>
        <w:t xml:space="preserve">to section 1.103 of the Commission’s rules, 47 CFR § 1.103, the consent granted herein is effective upon the release of the Public Notice.  Petitions for reconsideration under section 1.106 or applications for review under section 1.115 of the Commission’s rules, 47 CFR §§ 1.106, 1.115, may be filed within 30 days of the date of this Public Notice.  </w:t>
      </w:r>
    </w:p>
    <w:p w:rsidR="00B11A37" w:rsidRPr="00966AAF" w:rsidP="00B11A37" w14:paraId="0136FD1A" w14:textId="77777777">
      <w:pPr>
        <w:widowControl/>
        <w:rPr>
          <w:b/>
          <w:bCs/>
          <w:snapToGrid/>
          <w:color w:val="000000"/>
          <w:kern w:val="0"/>
          <w:szCs w:val="22"/>
          <w:lang w:eastAsia="ja-JP"/>
        </w:rPr>
      </w:pPr>
    </w:p>
    <w:p w:rsidR="00EE4BB8" w:rsidRPr="00966AAF" w:rsidP="00EE4BB8" w14:paraId="2B2B949A" w14:textId="77777777">
      <w:pPr>
        <w:widowControl/>
        <w:ind w:firstLine="720"/>
      </w:pPr>
      <w:r w:rsidRPr="00966AAF">
        <w:t>For further information, please contact Myrva Charles at 202-418-1506 or Dennis Johnson at 202-418-0809, Competition Policy Division, Wireline Competition Bureau.</w:t>
      </w:r>
    </w:p>
    <w:p w:rsidR="00BB3D1E" w:rsidP="00DF0BCD" w14:paraId="1A3B233B" w14:textId="77777777">
      <w:pPr>
        <w:autoSpaceDE w:val="0"/>
        <w:autoSpaceDN w:val="0"/>
        <w:adjustRightInd w:val="0"/>
        <w:jc w:val="center"/>
        <w:rPr>
          <w:b/>
          <w:szCs w:val="22"/>
        </w:rPr>
      </w:pPr>
    </w:p>
    <w:p w:rsidR="00EE4BB8" w:rsidP="00DF0BCD" w14:paraId="41BFEDD9" w14:textId="77777777">
      <w:pPr>
        <w:autoSpaceDE w:val="0"/>
        <w:autoSpaceDN w:val="0"/>
        <w:adjustRightInd w:val="0"/>
        <w:jc w:val="center"/>
        <w:rPr>
          <w:b/>
          <w:szCs w:val="22"/>
        </w:rPr>
      </w:pPr>
    </w:p>
    <w:p w:rsidR="00CF08BB" w:rsidP="00DF0BCD" w14:paraId="2450205E" w14:textId="77777777">
      <w:pPr>
        <w:autoSpaceDE w:val="0"/>
        <w:autoSpaceDN w:val="0"/>
        <w:adjustRightInd w:val="0"/>
        <w:jc w:val="center"/>
        <w:rPr>
          <w:b/>
          <w:szCs w:val="22"/>
        </w:rPr>
      </w:pPr>
    </w:p>
    <w:p w:rsidR="00BA3BA8" w:rsidRPr="00DF0BCD" w:rsidP="00DF0BCD" w14:paraId="48C9EF53" w14:textId="5BE5CECB">
      <w:pPr>
        <w:autoSpaceDE w:val="0"/>
        <w:autoSpaceDN w:val="0"/>
        <w:adjustRightInd w:val="0"/>
        <w:jc w:val="center"/>
        <w:rPr>
          <w:color w:val="000000"/>
          <w:szCs w:val="22"/>
        </w:rPr>
      </w:pPr>
      <w:r w:rsidRPr="007D6E06">
        <w:rPr>
          <w:b/>
          <w:szCs w:val="22"/>
        </w:rPr>
        <w:t>-FCC-</w:t>
      </w:r>
      <w:bookmarkEnd w:id="1"/>
    </w:p>
    <w:sectPr>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51914" w14:paraId="4C2168D4" w14:textId="77777777">
      <w:pPr>
        <w:spacing w:line="20" w:lineRule="exact"/>
      </w:pPr>
    </w:p>
  </w:endnote>
  <w:endnote w:type="continuationSeparator" w:id="1">
    <w:p w:rsidR="00A51914" w14:paraId="24019867" w14:textId="77777777">
      <w:r>
        <w:t xml:space="preserve"> </w:t>
      </w:r>
    </w:p>
  </w:endnote>
  <w:endnote w:type="continuationNotice" w:id="2">
    <w:p w:rsidR="00A51914" w14:paraId="7E027CCE"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BA4F519"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25BBED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1118F4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6EB0AB1"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51914" w14:paraId="530D989C" w14:textId="77777777">
      <w:r>
        <w:separator/>
      </w:r>
    </w:p>
  </w:footnote>
  <w:footnote w:type="continuationSeparator" w:id="1">
    <w:p w:rsidR="00A51914" w14:paraId="7E14C568" w14:textId="77777777">
      <w:pPr>
        <w:rPr>
          <w:sz w:val="20"/>
        </w:rPr>
      </w:pPr>
      <w:r>
        <w:rPr>
          <w:sz w:val="20"/>
        </w:rPr>
        <w:t xml:space="preserve">(Continued from previous page)  </w:t>
      </w:r>
      <w:r>
        <w:rPr>
          <w:sz w:val="20"/>
        </w:rPr>
        <w:separator/>
      </w:r>
    </w:p>
  </w:footnote>
  <w:footnote w:type="continuationNotice" w:id="2">
    <w:p w:rsidR="00A51914" w14:paraId="000B138A" w14:textId="77777777">
      <w:pPr>
        <w:jc w:val="right"/>
        <w:rPr>
          <w:sz w:val="20"/>
        </w:rPr>
      </w:pPr>
      <w:r>
        <w:rPr>
          <w:sz w:val="20"/>
        </w:rPr>
        <w:t>(continued….)</w:t>
      </w:r>
    </w:p>
  </w:footnote>
  <w:footnote w:id="3">
    <w:p w:rsidR="00881759" w:rsidRPr="008D03D7" w:rsidP="007415D0" w14:paraId="52518CA7" w14:textId="77777777">
      <w:pPr>
        <w:pStyle w:val="FootnoteText"/>
      </w:pPr>
      <w:r w:rsidRPr="008D03D7">
        <w:rPr>
          <w:rStyle w:val="FootnoteReference"/>
          <w:sz w:val="20"/>
        </w:rPr>
        <w:footnoteRef/>
      </w:r>
      <w:r w:rsidRPr="008D03D7">
        <w:t xml:space="preserve"> </w:t>
      </w:r>
      <w:r w:rsidRPr="008D03D7">
        <w:rPr>
          <w:i/>
        </w:rPr>
        <w:t>See</w:t>
      </w:r>
      <w:r w:rsidRPr="008D03D7">
        <w:t xml:space="preserve"> 47 U.S.C. § 214(a); 47 CFR § 63.04.</w:t>
      </w:r>
    </w:p>
  </w:footnote>
  <w:footnote w:id="4">
    <w:p w:rsidR="00881759" w:rsidRPr="008D03D7" w:rsidP="006E20B6" w14:paraId="1D8DB8B0" w14:textId="18CDC8DE">
      <w:pPr>
        <w:autoSpaceDE w:val="0"/>
        <w:autoSpaceDN w:val="0"/>
        <w:adjustRightInd w:val="0"/>
        <w:spacing w:after="120"/>
        <w:rPr>
          <w:sz w:val="20"/>
        </w:rPr>
      </w:pPr>
      <w:r w:rsidRPr="008D03D7">
        <w:rPr>
          <w:rStyle w:val="FootnoteReference"/>
          <w:sz w:val="20"/>
        </w:rPr>
        <w:footnoteRef/>
      </w:r>
      <w:r w:rsidRPr="008D03D7">
        <w:rPr>
          <w:sz w:val="20"/>
        </w:rPr>
        <w:t xml:space="preserve"> Domestic Section 214 Application for the Transfer of Control of</w:t>
      </w:r>
      <w:r w:rsidRPr="008D03D7" w:rsidR="00B569A0">
        <w:rPr>
          <w:sz w:val="20"/>
        </w:rPr>
        <w:t xml:space="preserve"> </w:t>
      </w:r>
      <w:r w:rsidRPr="008D03D7" w:rsidR="00747B9E">
        <w:rPr>
          <w:sz w:val="20"/>
        </w:rPr>
        <w:t xml:space="preserve">Gunnison Telephone Company </w:t>
      </w:r>
      <w:r w:rsidRPr="008D03D7" w:rsidR="00FC692C">
        <w:rPr>
          <w:sz w:val="20"/>
        </w:rPr>
        <w:t>t</w:t>
      </w:r>
      <w:r w:rsidRPr="008D03D7" w:rsidR="00747B9E">
        <w:rPr>
          <w:sz w:val="20"/>
        </w:rPr>
        <w:t>o Lynch Telephone Corporation X</w:t>
      </w:r>
      <w:r w:rsidRPr="008D03D7" w:rsidR="000A0F72">
        <w:rPr>
          <w:sz w:val="20"/>
        </w:rPr>
        <w:t xml:space="preserve">, WC </w:t>
      </w:r>
      <w:r w:rsidRPr="008D03D7">
        <w:rPr>
          <w:sz w:val="20"/>
        </w:rPr>
        <w:t>Docket No. 2</w:t>
      </w:r>
      <w:r w:rsidRPr="008D03D7" w:rsidR="00642BB6">
        <w:rPr>
          <w:sz w:val="20"/>
        </w:rPr>
        <w:t>5</w:t>
      </w:r>
      <w:r w:rsidRPr="008D03D7">
        <w:rPr>
          <w:sz w:val="20"/>
        </w:rPr>
        <w:t>-</w:t>
      </w:r>
      <w:r w:rsidRPr="008D03D7" w:rsidR="00986FB9">
        <w:rPr>
          <w:sz w:val="20"/>
        </w:rPr>
        <w:t>3</w:t>
      </w:r>
      <w:r w:rsidRPr="008D03D7" w:rsidR="00747B9E">
        <w:rPr>
          <w:sz w:val="20"/>
        </w:rPr>
        <w:t>48</w:t>
      </w:r>
      <w:r w:rsidRPr="008D03D7">
        <w:rPr>
          <w:sz w:val="20"/>
        </w:rPr>
        <w:t xml:space="preserve"> (filed </w:t>
      </w:r>
      <w:r w:rsidRPr="008D03D7" w:rsidR="00747B9E">
        <w:rPr>
          <w:sz w:val="20"/>
        </w:rPr>
        <w:t>Dec</w:t>
      </w:r>
      <w:r w:rsidRPr="008D03D7">
        <w:rPr>
          <w:sz w:val="20"/>
        </w:rPr>
        <w:t>.</w:t>
      </w:r>
      <w:r w:rsidRPr="008D03D7" w:rsidR="00F03D70">
        <w:rPr>
          <w:sz w:val="20"/>
        </w:rPr>
        <w:t xml:space="preserve"> </w:t>
      </w:r>
      <w:r w:rsidRPr="008D03D7" w:rsidR="006D53B4">
        <w:rPr>
          <w:sz w:val="20"/>
        </w:rPr>
        <w:t>1</w:t>
      </w:r>
      <w:r w:rsidRPr="008D03D7" w:rsidR="00747B9E">
        <w:rPr>
          <w:sz w:val="20"/>
        </w:rPr>
        <w:t>7</w:t>
      </w:r>
      <w:r w:rsidRPr="008D03D7">
        <w:rPr>
          <w:sz w:val="20"/>
        </w:rPr>
        <w:t>, 202</w:t>
      </w:r>
      <w:r w:rsidRPr="008D03D7" w:rsidR="005347B2">
        <w:rPr>
          <w:sz w:val="20"/>
        </w:rPr>
        <w:t>5</w:t>
      </w:r>
      <w:r w:rsidRPr="008D03D7">
        <w:rPr>
          <w:sz w:val="20"/>
        </w:rPr>
        <w:t>) (Application).</w:t>
      </w:r>
      <w:r w:rsidRPr="008D03D7" w:rsidR="00A93D6A">
        <w:rPr>
          <w:sz w:val="20"/>
        </w:rPr>
        <w:t xml:space="preserve">  </w:t>
      </w:r>
      <w:r w:rsidRPr="008D03D7" w:rsidR="00A45792">
        <w:rPr>
          <w:sz w:val="20"/>
        </w:rPr>
        <w:t>Applicants filed supplement</w:t>
      </w:r>
      <w:r w:rsidRPr="008D03D7" w:rsidR="00890552">
        <w:rPr>
          <w:sz w:val="20"/>
        </w:rPr>
        <w:t>s</w:t>
      </w:r>
      <w:r w:rsidRPr="008D03D7" w:rsidR="00A45792">
        <w:rPr>
          <w:sz w:val="20"/>
        </w:rPr>
        <w:t xml:space="preserve"> to the Application on March 2, </w:t>
      </w:r>
      <w:r w:rsidRPr="008D03D7" w:rsidR="00AC771E">
        <w:rPr>
          <w:sz w:val="20"/>
        </w:rPr>
        <w:t>2026,</w:t>
      </w:r>
      <w:r w:rsidRPr="008D03D7" w:rsidR="00890552">
        <w:rPr>
          <w:sz w:val="20"/>
        </w:rPr>
        <w:t xml:space="preserve"> and May </w:t>
      </w:r>
      <w:r w:rsidR="00E212B3">
        <w:rPr>
          <w:sz w:val="20"/>
        </w:rPr>
        <w:t>22</w:t>
      </w:r>
      <w:r w:rsidRPr="008D03D7" w:rsidR="00890552">
        <w:rPr>
          <w:sz w:val="20"/>
        </w:rPr>
        <w:t>, 2026</w:t>
      </w:r>
      <w:r w:rsidRPr="008D03D7" w:rsidR="00A45792">
        <w:rPr>
          <w:sz w:val="20"/>
        </w:rPr>
        <w:t xml:space="preserve">.  Letter from </w:t>
      </w:r>
      <w:r w:rsidRPr="008D03D7" w:rsidR="00CB40B6">
        <w:rPr>
          <w:sz w:val="20"/>
        </w:rPr>
        <w:t>Elizabeth R. Park et al., Counsel for Lynch Telephone</w:t>
      </w:r>
      <w:r w:rsidRPr="008D03D7" w:rsidR="00097BBD">
        <w:rPr>
          <w:sz w:val="20"/>
        </w:rPr>
        <w:t xml:space="preserve"> Corporation X, </w:t>
      </w:r>
      <w:r w:rsidRPr="008D03D7" w:rsidR="008254C5">
        <w:rPr>
          <w:sz w:val="20"/>
        </w:rPr>
        <w:t xml:space="preserve">and </w:t>
      </w:r>
      <w:r w:rsidRPr="008D03D7" w:rsidR="00097BBD">
        <w:rPr>
          <w:sz w:val="20"/>
        </w:rPr>
        <w:t xml:space="preserve">Paul W. Jones, </w:t>
      </w:r>
      <w:r w:rsidRPr="008D03D7" w:rsidR="00AF70CC">
        <w:rPr>
          <w:sz w:val="20"/>
        </w:rPr>
        <w:t>Counsel for Gunnison Telephone Company, to Marlene H. Dortch, Secretary, FCC</w:t>
      </w:r>
      <w:r w:rsidRPr="008D03D7" w:rsidR="00E27587">
        <w:rPr>
          <w:sz w:val="20"/>
        </w:rPr>
        <w:t>, WC Docket No. 25-348</w:t>
      </w:r>
      <w:r w:rsidRPr="008D03D7" w:rsidR="00152C2F">
        <w:rPr>
          <w:sz w:val="20"/>
        </w:rPr>
        <w:t xml:space="preserve"> (filed Mar</w:t>
      </w:r>
      <w:r w:rsidR="004B215B">
        <w:rPr>
          <w:sz w:val="20"/>
        </w:rPr>
        <w:t>.</w:t>
      </w:r>
      <w:r w:rsidRPr="008D03D7" w:rsidR="00152C2F">
        <w:rPr>
          <w:sz w:val="20"/>
        </w:rPr>
        <w:t xml:space="preserve"> 2</w:t>
      </w:r>
      <w:r w:rsidRPr="008D03D7" w:rsidR="00400B2B">
        <w:rPr>
          <w:sz w:val="20"/>
        </w:rPr>
        <w:t>, 2026)</w:t>
      </w:r>
      <w:r w:rsidRPr="008D03D7" w:rsidR="008E0730">
        <w:rPr>
          <w:sz w:val="20"/>
        </w:rPr>
        <w:t xml:space="preserve"> (</w:t>
      </w:r>
      <w:r w:rsidRPr="008D03D7" w:rsidR="00890552">
        <w:rPr>
          <w:sz w:val="20"/>
        </w:rPr>
        <w:t xml:space="preserve">Mar. </w:t>
      </w:r>
      <w:r w:rsidRPr="008D03D7" w:rsidR="00607077">
        <w:rPr>
          <w:sz w:val="20"/>
        </w:rPr>
        <w:t xml:space="preserve">2 </w:t>
      </w:r>
      <w:r w:rsidRPr="008D03D7" w:rsidR="008E0730">
        <w:rPr>
          <w:sz w:val="20"/>
        </w:rPr>
        <w:t>Supplement)</w:t>
      </w:r>
      <w:r w:rsidRPr="008D03D7" w:rsidR="00890552">
        <w:rPr>
          <w:sz w:val="20"/>
        </w:rPr>
        <w:t xml:space="preserve">; Letter from Elizabeth R. Park et al., Counsel for Lynch Telephone Corporation X, and Paul W. Jones, Counsel for Gunnison Telephone Company, to Marlene H. Dortch, Secretary, FCC, WC Docket No. 25-348 (filed May </w:t>
      </w:r>
      <w:r w:rsidR="002C7D4E">
        <w:rPr>
          <w:sz w:val="20"/>
        </w:rPr>
        <w:t>22</w:t>
      </w:r>
      <w:r w:rsidRPr="008D03D7" w:rsidR="00890552">
        <w:rPr>
          <w:sz w:val="20"/>
        </w:rPr>
        <w:t>, 2026) (</w:t>
      </w:r>
      <w:r w:rsidRPr="008D03D7" w:rsidR="00607077">
        <w:rPr>
          <w:sz w:val="20"/>
        </w:rPr>
        <w:t xml:space="preserve">May </w:t>
      </w:r>
      <w:r w:rsidR="002C7D4E">
        <w:rPr>
          <w:sz w:val="20"/>
        </w:rPr>
        <w:t>22</w:t>
      </w:r>
      <w:r w:rsidRPr="008D03D7" w:rsidR="00607077">
        <w:rPr>
          <w:sz w:val="20"/>
        </w:rPr>
        <w:t xml:space="preserve"> </w:t>
      </w:r>
      <w:r w:rsidRPr="008D03D7" w:rsidR="00890552">
        <w:rPr>
          <w:sz w:val="20"/>
        </w:rPr>
        <w:t>Supplement)</w:t>
      </w:r>
      <w:r w:rsidRPr="008D03D7" w:rsidR="00400B2B">
        <w:rPr>
          <w:sz w:val="20"/>
        </w:rPr>
        <w:t xml:space="preserve">.  </w:t>
      </w:r>
      <w:r w:rsidRPr="008D03D7" w:rsidR="00A93D6A">
        <w:rPr>
          <w:sz w:val="20"/>
        </w:rPr>
        <w:t xml:space="preserve">Applicants also filed applications for the transfer of </w:t>
      </w:r>
      <w:r w:rsidRPr="008D03D7" w:rsidR="00F029D4">
        <w:rPr>
          <w:sz w:val="20"/>
        </w:rPr>
        <w:t xml:space="preserve">wireless </w:t>
      </w:r>
      <w:r w:rsidRPr="008D03D7" w:rsidR="00A93D6A">
        <w:rPr>
          <w:sz w:val="20"/>
        </w:rPr>
        <w:t xml:space="preserve">authorizations.  </w:t>
      </w:r>
      <w:r w:rsidRPr="008D03D7" w:rsidR="007C5751">
        <w:rPr>
          <w:sz w:val="20"/>
        </w:rPr>
        <w:t xml:space="preserve">Any action on the domestic </w:t>
      </w:r>
      <w:r w:rsidRPr="008D03D7" w:rsidR="006645D8">
        <w:rPr>
          <w:sz w:val="20"/>
        </w:rPr>
        <w:t xml:space="preserve">section </w:t>
      </w:r>
      <w:r w:rsidRPr="008D03D7" w:rsidR="007C5751">
        <w:rPr>
          <w:sz w:val="20"/>
        </w:rPr>
        <w:t xml:space="preserve">214 application is without prejudice to Commission action on </w:t>
      </w:r>
      <w:r w:rsidRPr="008D03D7" w:rsidR="00E13708">
        <w:rPr>
          <w:sz w:val="20"/>
        </w:rPr>
        <w:t xml:space="preserve">other </w:t>
      </w:r>
      <w:r w:rsidRPr="008D03D7" w:rsidR="005969CF">
        <w:rPr>
          <w:sz w:val="20"/>
        </w:rPr>
        <w:t>related applications</w:t>
      </w:r>
      <w:r w:rsidRPr="008D03D7" w:rsidR="00E13708">
        <w:rPr>
          <w:sz w:val="20"/>
        </w:rPr>
        <w:t xml:space="preserve">. </w:t>
      </w:r>
    </w:p>
  </w:footnote>
  <w:footnote w:id="5">
    <w:p w:rsidR="00624EDB" w:rsidRPr="008D03D7" w14:paraId="78421921" w14:textId="52D117D3">
      <w:pPr>
        <w:pStyle w:val="FootnoteText"/>
      </w:pPr>
      <w:r w:rsidRPr="00ED6A62">
        <w:rPr>
          <w:rStyle w:val="FootnoteReference"/>
          <w:sz w:val="20"/>
        </w:rPr>
        <w:footnoteRef/>
      </w:r>
      <w:r w:rsidRPr="008D03D7">
        <w:t xml:space="preserve"> </w:t>
      </w:r>
      <w:r w:rsidRPr="008D03D7" w:rsidR="0055752E">
        <w:rPr>
          <w:i/>
          <w:iCs/>
        </w:rPr>
        <w:t>Domestic Section 214 Application Filed for the Transfer of Control of Gunnison Telephone Company to Lynch Telephone Corporation X</w:t>
      </w:r>
      <w:r w:rsidRPr="008D03D7" w:rsidR="0055752E">
        <w:t xml:space="preserve">, WC Docket No. </w:t>
      </w:r>
      <w:r w:rsidRPr="008D03D7" w:rsidR="00721A56">
        <w:t xml:space="preserve">25-348, Public Notice, DA 26-248 (WCB </w:t>
      </w:r>
      <w:r w:rsidRPr="008D03D7" w:rsidR="00560AB3">
        <w:t>2026).</w:t>
      </w:r>
    </w:p>
  </w:footnote>
  <w:footnote w:id="6">
    <w:p w:rsidR="00613424" w:rsidRPr="008D03D7" w14:paraId="3FA93744" w14:textId="599D2766">
      <w:pPr>
        <w:pStyle w:val="FootnoteText"/>
      </w:pPr>
      <w:r w:rsidRPr="00ED6A62">
        <w:rPr>
          <w:rStyle w:val="FootnoteReference"/>
          <w:sz w:val="20"/>
        </w:rPr>
        <w:footnoteRef/>
      </w:r>
      <w:r w:rsidRPr="008D03D7">
        <w:t xml:space="preserve"> Application at 3.</w:t>
      </w:r>
      <w:r w:rsidRPr="008D03D7" w:rsidR="0077357C">
        <w:t xml:space="preserve">  Applicants state that Gunnison receives high-cost Universal Service Fund (USF) support through the Enhanced Alternative Connect America Cost Model (Enhanced A-CAM) program.  Mar. 2 Supplement at 1.</w:t>
      </w:r>
    </w:p>
  </w:footnote>
  <w:footnote w:id="7">
    <w:p w:rsidR="00C7589A" w:rsidRPr="008D03D7" w:rsidP="00C7589A" w14:paraId="4213D3F8" w14:textId="7E515719">
      <w:pPr>
        <w:pStyle w:val="FootnoteText"/>
      </w:pPr>
      <w:r w:rsidRPr="00ED6A62">
        <w:rPr>
          <w:rStyle w:val="FootnoteReference"/>
          <w:sz w:val="20"/>
        </w:rPr>
        <w:footnoteRef/>
      </w:r>
      <w:r w:rsidRPr="008D03D7">
        <w:t xml:space="preserve"> </w:t>
      </w:r>
      <w:r w:rsidRPr="008D03D7" w:rsidR="00556F1C">
        <w:t>Applicants state that, p</w:t>
      </w:r>
      <w:r w:rsidRPr="008D03D7">
        <w:t xml:space="preserve">rior to the closing of the </w:t>
      </w:r>
      <w:r w:rsidRPr="008D03D7" w:rsidR="00556F1C">
        <w:t>p</w:t>
      </w:r>
      <w:r w:rsidRPr="008D03D7">
        <w:t xml:space="preserve">roposed </w:t>
      </w:r>
      <w:r w:rsidRPr="008D03D7" w:rsidR="00556F1C">
        <w:t>t</w:t>
      </w:r>
      <w:r w:rsidRPr="008D03D7">
        <w:t xml:space="preserve">ransaction, GLD will </w:t>
      </w:r>
      <w:r w:rsidRPr="008D03D7" w:rsidR="001C13C1">
        <w:t xml:space="preserve">consummate a </w:t>
      </w:r>
      <w:r w:rsidRPr="008D03D7" w:rsidR="001C13C1">
        <w:rPr>
          <w:i/>
          <w:iCs/>
        </w:rPr>
        <w:t>pro forma</w:t>
      </w:r>
      <w:r w:rsidRPr="008D03D7" w:rsidR="001C13C1">
        <w:t xml:space="preserve"> </w:t>
      </w:r>
      <w:r w:rsidRPr="008D03D7">
        <w:t xml:space="preserve">transfer </w:t>
      </w:r>
      <w:r w:rsidRPr="008D03D7" w:rsidR="001C13C1">
        <w:t xml:space="preserve">of </w:t>
      </w:r>
      <w:r w:rsidRPr="008D03D7">
        <w:t xml:space="preserve">its long-distance operations to Gunnison and be dissolved.  </w:t>
      </w:r>
      <w:r w:rsidRPr="008D03D7" w:rsidR="00F85EAD">
        <w:t>Application</w:t>
      </w:r>
      <w:r w:rsidRPr="008D03D7" w:rsidR="005E1BE2">
        <w:t xml:space="preserve"> at 10, n.7.</w:t>
      </w:r>
      <w:r w:rsidRPr="008D03D7" w:rsidR="00EA6F97">
        <w:t xml:space="preserve">  </w:t>
      </w:r>
    </w:p>
  </w:footnote>
  <w:footnote w:id="8">
    <w:p w:rsidR="00CC388F" w:rsidRPr="008D03D7" w14:paraId="72B5CFC5" w14:textId="6C88DF35">
      <w:pPr>
        <w:pStyle w:val="FootnoteText"/>
        <w:rPr>
          <w:i/>
          <w:iCs/>
        </w:rPr>
      </w:pPr>
      <w:r w:rsidRPr="00ED6A62">
        <w:rPr>
          <w:rStyle w:val="FootnoteReference"/>
          <w:sz w:val="20"/>
        </w:rPr>
        <w:footnoteRef/>
      </w:r>
      <w:r w:rsidRPr="008D03D7">
        <w:t xml:space="preserve"> </w:t>
      </w:r>
      <w:r w:rsidRPr="008D03D7" w:rsidR="00780476">
        <w:rPr>
          <w:i/>
          <w:iCs/>
        </w:rPr>
        <w:t>Id.</w:t>
      </w:r>
      <w:r w:rsidRPr="008D03D7" w:rsidR="003D1B66">
        <w:rPr>
          <w:i/>
          <w:iCs/>
        </w:rPr>
        <w:t xml:space="preserve"> </w:t>
      </w:r>
      <w:r w:rsidRPr="008D03D7">
        <w:t>at 8.</w:t>
      </w:r>
      <w:r w:rsidRPr="008D03D7" w:rsidR="00D81446">
        <w:t xml:space="preserve">  Applicants state that no other individuals or entities hold a ten percent or greater interest in Gunnison</w:t>
      </w:r>
      <w:r w:rsidRPr="008D03D7" w:rsidR="00D81446">
        <w:rPr>
          <w:i/>
          <w:iCs/>
        </w:rPr>
        <w:t>.  Id.</w:t>
      </w:r>
    </w:p>
  </w:footnote>
  <w:footnote w:id="9">
    <w:p w:rsidR="00DB6DCB" w:rsidRPr="008D03D7" w14:paraId="057BD92C" w14:textId="36D17C42">
      <w:pPr>
        <w:pStyle w:val="FootnoteText"/>
      </w:pPr>
      <w:r w:rsidRPr="00ED6A62">
        <w:rPr>
          <w:rStyle w:val="FootnoteReference"/>
          <w:sz w:val="20"/>
        </w:rPr>
        <w:footnoteRef/>
      </w:r>
      <w:r w:rsidRPr="008D03D7">
        <w:t xml:space="preserve"> </w:t>
      </w:r>
      <w:r w:rsidRPr="008D03D7">
        <w:rPr>
          <w:i/>
          <w:iCs/>
        </w:rPr>
        <w:t>Id.</w:t>
      </w:r>
      <w:r w:rsidRPr="008D03D7">
        <w:t xml:space="preserve"> at </w:t>
      </w:r>
      <w:r w:rsidRPr="008D03D7" w:rsidR="00780476">
        <w:t>1-2</w:t>
      </w:r>
      <w:r w:rsidRPr="008D03D7" w:rsidR="00934A3A">
        <w:t>.</w:t>
      </w:r>
    </w:p>
  </w:footnote>
  <w:footnote w:id="10">
    <w:p w:rsidR="00CA0D0F" w:rsidRPr="008D03D7" w14:paraId="6CF83C12" w14:textId="3A16737E">
      <w:pPr>
        <w:pStyle w:val="FootnoteText"/>
      </w:pPr>
      <w:r w:rsidRPr="00E44C3B">
        <w:rPr>
          <w:rStyle w:val="FootnoteReference"/>
          <w:sz w:val="20"/>
        </w:rPr>
        <w:footnoteRef/>
      </w:r>
      <w:r w:rsidRPr="008D03D7">
        <w:t xml:space="preserve"> </w:t>
      </w:r>
      <w:r w:rsidRPr="008D03D7">
        <w:rPr>
          <w:i/>
          <w:iCs/>
        </w:rPr>
        <w:t>Id.</w:t>
      </w:r>
      <w:r w:rsidRPr="008D03D7">
        <w:t xml:space="preserve"> at 2.</w:t>
      </w:r>
      <w:r w:rsidRPr="008D03D7" w:rsidR="00E569C5">
        <w:t xml:space="preserve">  </w:t>
      </w:r>
      <w:r w:rsidRPr="008D03D7" w:rsidR="00E569C5">
        <w:rPr>
          <w:i/>
          <w:iCs/>
        </w:rPr>
        <w:t>See</w:t>
      </w:r>
      <w:r w:rsidRPr="008D03D7" w:rsidR="00E569C5">
        <w:t xml:space="preserve"> </w:t>
      </w:r>
      <w:r w:rsidRPr="008D03D7" w:rsidR="00CC7687">
        <w:rPr>
          <w:i/>
          <w:iCs/>
        </w:rPr>
        <w:t>id.</w:t>
      </w:r>
      <w:r w:rsidRPr="008D03D7" w:rsidR="00E569C5">
        <w:t xml:space="preserve"> at 11-12</w:t>
      </w:r>
      <w:r w:rsidRPr="008D03D7" w:rsidR="00D125E6">
        <w:t xml:space="preserve"> and</w:t>
      </w:r>
      <w:r w:rsidRPr="008D03D7" w:rsidR="00E569C5">
        <w:t xml:space="preserve"> for a list of </w:t>
      </w:r>
      <w:r w:rsidRPr="008D03D7" w:rsidR="00D616E0">
        <w:t xml:space="preserve">providers affiliated with Lynch X, and a description of the services each provides and the states in which the services are provided.  </w:t>
      </w:r>
      <w:r w:rsidRPr="008D03D7" w:rsidR="00D616E0">
        <w:rPr>
          <w:i/>
          <w:iCs/>
        </w:rPr>
        <w:t>Id</w:t>
      </w:r>
      <w:r w:rsidRPr="008D03D7" w:rsidR="00D616E0">
        <w:t xml:space="preserve">. </w:t>
      </w:r>
    </w:p>
  </w:footnote>
  <w:footnote w:id="11">
    <w:p w:rsidR="00570731" w:rsidRPr="008D03D7" w:rsidP="00CD6BD6" w14:paraId="698C764D" w14:textId="737822C4">
      <w:pPr>
        <w:pStyle w:val="FootnoteText"/>
      </w:pPr>
      <w:r w:rsidRPr="00E44C3B">
        <w:rPr>
          <w:rStyle w:val="FootnoteReference"/>
          <w:sz w:val="20"/>
        </w:rPr>
        <w:footnoteRef/>
      </w:r>
      <w:r w:rsidRPr="008D03D7">
        <w:t xml:space="preserve"> </w:t>
      </w:r>
      <w:r w:rsidRPr="008D03D7">
        <w:rPr>
          <w:i/>
          <w:iCs/>
        </w:rPr>
        <w:t>Id</w:t>
      </w:r>
      <w:r w:rsidRPr="008D03D7">
        <w:t>. at 3</w:t>
      </w:r>
      <w:r w:rsidRPr="008D03D7" w:rsidR="006D178A">
        <w:t xml:space="preserve">; </w:t>
      </w:r>
      <w:r w:rsidRPr="008D03D7" w:rsidR="00D125E6">
        <w:t xml:space="preserve">Mar. 2 </w:t>
      </w:r>
      <w:r w:rsidRPr="008D03D7" w:rsidR="006D178A">
        <w:t>Supplement at 1</w:t>
      </w:r>
      <w:r w:rsidRPr="008D03D7" w:rsidR="00573FBA">
        <w:t>-</w:t>
      </w:r>
      <w:r w:rsidRPr="008D03D7" w:rsidR="00470161">
        <w:t>2</w:t>
      </w:r>
      <w:r w:rsidRPr="008D03D7" w:rsidR="006D178A">
        <w:t>.</w:t>
      </w:r>
      <w:r w:rsidRPr="008D03D7" w:rsidR="00FB63BC">
        <w:t xml:space="preserve">  Applicants </w:t>
      </w:r>
      <w:r w:rsidRPr="008D03D7" w:rsidR="00F327AA">
        <w:t xml:space="preserve">assert </w:t>
      </w:r>
      <w:r w:rsidRPr="008D03D7" w:rsidR="00FB63BC">
        <w:t xml:space="preserve">that most of the incumbent LEC affiliates of Lynch X received A-CAM and A-CAM II high-cost support and </w:t>
      </w:r>
      <w:r w:rsidRPr="008D03D7" w:rsidR="0010260C">
        <w:t xml:space="preserve">currently </w:t>
      </w:r>
      <w:r w:rsidRPr="008D03D7" w:rsidR="00FB63BC">
        <w:t xml:space="preserve">receive Enhanced A-CAM </w:t>
      </w:r>
      <w:r w:rsidRPr="008D03D7" w:rsidR="00EF1085">
        <w:t>high-cost</w:t>
      </w:r>
      <w:r w:rsidRPr="008D03D7" w:rsidR="00FB63BC">
        <w:t xml:space="preserve"> support and Intercarrier Compensation Recovery (ICC support)</w:t>
      </w:r>
      <w:r w:rsidRPr="008D03D7" w:rsidR="00573FBA">
        <w:t>.</w:t>
      </w:r>
      <w:r w:rsidRPr="008D03D7" w:rsidR="00FB63BC">
        <w:t xml:space="preserve"> </w:t>
      </w:r>
      <w:r w:rsidRPr="008D03D7" w:rsidR="00573FBA">
        <w:t xml:space="preserve"> Application</w:t>
      </w:r>
      <w:r w:rsidRPr="008D03D7" w:rsidR="00573FBA">
        <w:rPr>
          <w:i/>
          <w:iCs/>
        </w:rPr>
        <w:t xml:space="preserve"> </w:t>
      </w:r>
      <w:r w:rsidRPr="008D03D7" w:rsidR="00573FBA">
        <w:t xml:space="preserve">at 14-15.  Lynch X’s subsidiary, </w:t>
      </w:r>
      <w:r w:rsidRPr="008D03D7" w:rsidR="00FB63BC">
        <w:t xml:space="preserve">The Manti Telephone Company (Manti), </w:t>
      </w:r>
      <w:r w:rsidRPr="008D03D7" w:rsidR="002C25B7">
        <w:t>receives Connect America Fund Broadband Loop Support (CAF-BLS)</w:t>
      </w:r>
      <w:r w:rsidRPr="008D03D7" w:rsidR="00420F00">
        <w:t xml:space="preserve">, </w:t>
      </w:r>
      <w:r w:rsidRPr="008D03D7" w:rsidR="002C25B7">
        <w:t xml:space="preserve">High-Cost Loop (HCL) support, and Intercarrier Compensation (ICC) support.  Applicants state that Manti “participates in the NECA pool as an average schedule rate-of-return carrier.”  Mar. 2 Supplement at 1-2. </w:t>
      </w:r>
      <w:r w:rsidRPr="008D03D7" w:rsidR="00D20BA5">
        <w:t xml:space="preserve"> Applicants further explain that in 2024, Lynch X’s parent company, LICT, sold </w:t>
      </w:r>
      <w:r w:rsidRPr="008D03D7" w:rsidR="001B44F2">
        <w:t>i</w:t>
      </w:r>
      <w:r w:rsidRPr="008D03D7" w:rsidR="00D20BA5">
        <w:t xml:space="preserve">ts indirect interests in </w:t>
      </w:r>
      <w:r w:rsidRPr="008D03D7" w:rsidR="00E27FE9">
        <w:t xml:space="preserve">the </w:t>
      </w:r>
      <w:r w:rsidRPr="008D03D7" w:rsidR="007C5DF2">
        <w:t xml:space="preserve">two </w:t>
      </w:r>
      <w:r w:rsidRPr="008D03D7" w:rsidR="00E27FE9">
        <w:t xml:space="preserve">following </w:t>
      </w:r>
      <w:r w:rsidRPr="008D03D7" w:rsidR="007C5DF2">
        <w:t>affiliates</w:t>
      </w:r>
      <w:r w:rsidRPr="008D03D7" w:rsidR="00E27FE9">
        <w:t xml:space="preserve"> receiving </w:t>
      </w:r>
      <w:r w:rsidRPr="008D03D7" w:rsidR="001B44F2">
        <w:t>HCLS</w:t>
      </w:r>
      <w:r w:rsidRPr="008D03D7" w:rsidR="00E27FE9">
        <w:t xml:space="preserve">: 1) </w:t>
      </w:r>
      <w:r w:rsidRPr="008D03D7" w:rsidR="00D20BA5">
        <w:t xml:space="preserve">Dunkirk &amp; Fredonia </w:t>
      </w:r>
      <w:r w:rsidRPr="008D03D7" w:rsidR="007C5DF2">
        <w:t>(</w:t>
      </w:r>
      <w:r w:rsidRPr="008D03D7" w:rsidR="00E27FE9">
        <w:t xml:space="preserve">a cost company) </w:t>
      </w:r>
      <w:r w:rsidRPr="008D03D7" w:rsidR="00D20BA5">
        <w:t xml:space="preserve">and </w:t>
      </w:r>
      <w:r w:rsidRPr="008D03D7" w:rsidR="001B44F2">
        <w:t xml:space="preserve">2) </w:t>
      </w:r>
      <w:r w:rsidRPr="008D03D7" w:rsidR="00D20BA5">
        <w:t>Cassadaga (an</w:t>
      </w:r>
      <w:r w:rsidRPr="008D03D7" w:rsidR="001B44F2">
        <w:t xml:space="preserve"> average schedule company) to CIBL, Inc., </w:t>
      </w:r>
      <w:r w:rsidRPr="008D03D7" w:rsidR="00D20BA5">
        <w:t>resulting in LICT no longer holding any interest in either company, and CIBL holding an indirect 20% interest in each of these companies.</w:t>
      </w:r>
      <w:r w:rsidRPr="008D03D7" w:rsidR="00224F17">
        <w:t xml:space="preserve">  </w:t>
      </w:r>
      <w:r w:rsidRPr="00E44C3B" w:rsidR="00D160DE">
        <w:rPr>
          <w:i/>
          <w:iCs/>
        </w:rPr>
        <w:t>See</w:t>
      </w:r>
      <w:r w:rsidRPr="008D03D7" w:rsidR="00D160DE">
        <w:t xml:space="preserve"> </w:t>
      </w:r>
      <w:r w:rsidRPr="008D03D7" w:rsidR="00CD6BD6">
        <w:t xml:space="preserve">Mar. 2 </w:t>
      </w:r>
      <w:r w:rsidRPr="008D03D7" w:rsidR="00D160DE">
        <w:t xml:space="preserve">Supplement at 2.  </w:t>
      </w:r>
      <w:r w:rsidRPr="008D03D7" w:rsidR="00224F17">
        <w:t>Mario Gabelli</w:t>
      </w:r>
      <w:r w:rsidRPr="008D03D7" w:rsidR="00713DFF">
        <w:t xml:space="preserve">, </w:t>
      </w:r>
      <w:r w:rsidRPr="008D03D7" w:rsidR="00104257">
        <w:t xml:space="preserve">who </w:t>
      </w:r>
      <w:r w:rsidRPr="008D03D7" w:rsidR="00FA01B1">
        <w:t xml:space="preserve">owns 38.24% equity in Gunnison through LICT, </w:t>
      </w:r>
      <w:r w:rsidRPr="008D03D7" w:rsidR="00224F17">
        <w:t xml:space="preserve">is </w:t>
      </w:r>
      <w:r w:rsidRPr="008D03D7" w:rsidR="000A75DE">
        <w:t xml:space="preserve">also </w:t>
      </w:r>
      <w:r w:rsidRPr="008D03D7" w:rsidR="00224F17">
        <w:t xml:space="preserve">one of four directors </w:t>
      </w:r>
      <w:r w:rsidRPr="008D03D7" w:rsidR="00FA01B1">
        <w:t>on</w:t>
      </w:r>
      <w:r w:rsidRPr="008D03D7" w:rsidR="00224F17">
        <w:t xml:space="preserve"> CIBL</w:t>
      </w:r>
      <w:r w:rsidRPr="008D03D7" w:rsidR="00FA01B1">
        <w:t>’s</w:t>
      </w:r>
      <w:r w:rsidRPr="008D03D7" w:rsidR="00224F17">
        <w:t xml:space="preserve"> board</w:t>
      </w:r>
      <w:r w:rsidRPr="008D03D7" w:rsidR="00D93C1D">
        <w:t xml:space="preserve"> </w:t>
      </w:r>
      <w:r w:rsidRPr="008D03D7" w:rsidR="00CD6BD6">
        <w:t xml:space="preserve">and </w:t>
      </w:r>
      <w:r w:rsidRPr="008D03D7" w:rsidR="00D93C1D">
        <w:t>holds</w:t>
      </w:r>
      <w:r w:rsidRPr="008D03D7" w:rsidR="00CD6BD6">
        <w:t xml:space="preserve"> approximately</w:t>
      </w:r>
      <w:r w:rsidRPr="00ED6A62" w:rsidR="00D93C1D">
        <w:t xml:space="preserve"> </w:t>
      </w:r>
      <w:r w:rsidRPr="00641B8B" w:rsidR="00D93C1D">
        <w:t>1.</w:t>
      </w:r>
      <w:r w:rsidRPr="00641B8B" w:rsidR="00F960B4">
        <w:t>2</w:t>
      </w:r>
      <w:r w:rsidRPr="00641B8B" w:rsidR="00D93C1D">
        <w:t xml:space="preserve">% </w:t>
      </w:r>
      <w:r w:rsidRPr="00641B8B" w:rsidR="004A7ECD">
        <w:t>p</w:t>
      </w:r>
      <w:r w:rsidR="004A7ECD">
        <w:t xml:space="preserve">ecuniary </w:t>
      </w:r>
      <w:r w:rsidRPr="008D03D7" w:rsidR="00813B27">
        <w:t>interest in</w:t>
      </w:r>
      <w:r w:rsidRPr="00ED6A62" w:rsidR="00D93C1D">
        <w:t xml:space="preserve"> </w:t>
      </w:r>
      <w:hyperlink r:id="rId1" w:tgtFrame="_blank" w:history="1">
        <w:r w:rsidRPr="00ED6A62" w:rsidR="00D93C1D">
          <w:t>CIBL, Inc.</w:t>
        </w:r>
      </w:hyperlink>
      <w:r w:rsidRPr="008D03D7" w:rsidR="00420F00">
        <w:t xml:space="preserve">  </w:t>
      </w:r>
      <w:r w:rsidRPr="008D03D7" w:rsidR="00742A53">
        <w:t xml:space="preserve">Application at </w:t>
      </w:r>
      <w:r w:rsidRPr="008D03D7" w:rsidR="00713DFF">
        <w:t>11-12.</w:t>
      </w:r>
    </w:p>
  </w:footnote>
  <w:footnote w:id="12">
    <w:p w:rsidR="00B91734" w:rsidRPr="008D03D7" w14:paraId="5C0C0C24" w14:textId="54028276">
      <w:pPr>
        <w:pStyle w:val="FootnoteText"/>
      </w:pPr>
      <w:r w:rsidRPr="00ED6A62">
        <w:rPr>
          <w:rStyle w:val="FootnoteReference"/>
          <w:sz w:val="20"/>
        </w:rPr>
        <w:footnoteRef/>
      </w:r>
      <w:r w:rsidRPr="008D03D7">
        <w:t xml:space="preserve"> </w:t>
      </w:r>
      <w:r w:rsidRPr="008D03D7" w:rsidR="00200E1E">
        <w:t>Application</w:t>
      </w:r>
      <w:r w:rsidRPr="008D03D7">
        <w:t xml:space="preserve"> at 9</w:t>
      </w:r>
      <w:r w:rsidR="00BD77C3">
        <w:t>.</w:t>
      </w:r>
    </w:p>
  </w:footnote>
  <w:footnote w:id="13">
    <w:p w:rsidR="003877DB" w:rsidRPr="008D03D7" w14:paraId="4AF9F89E" w14:textId="6C216E27">
      <w:pPr>
        <w:pStyle w:val="FootnoteText"/>
      </w:pPr>
      <w:r w:rsidRPr="00ED6A62">
        <w:rPr>
          <w:rStyle w:val="FootnoteReference"/>
          <w:sz w:val="20"/>
        </w:rPr>
        <w:footnoteRef/>
      </w:r>
      <w:r w:rsidRPr="008D03D7">
        <w:t xml:space="preserve"> </w:t>
      </w:r>
      <w:r w:rsidRPr="008D03D7">
        <w:rPr>
          <w:i/>
          <w:iCs/>
        </w:rPr>
        <w:t>Id.</w:t>
      </w:r>
      <w:r w:rsidRPr="008D03D7">
        <w:t xml:space="preserve"> at 4.</w:t>
      </w:r>
    </w:p>
  </w:footnote>
  <w:footnote w:id="14">
    <w:p w:rsidR="003877DB" w:rsidRPr="008D03D7" w14:paraId="3BF9A058" w14:textId="32827D23">
      <w:pPr>
        <w:pStyle w:val="FootnoteText"/>
      </w:pPr>
      <w:r w:rsidRPr="00ED6A62">
        <w:rPr>
          <w:rStyle w:val="FootnoteReference"/>
          <w:sz w:val="20"/>
        </w:rPr>
        <w:footnoteRef/>
      </w:r>
      <w:r w:rsidRPr="008D03D7">
        <w:t xml:space="preserve"> </w:t>
      </w:r>
      <w:r w:rsidRPr="008D03D7">
        <w:rPr>
          <w:i/>
          <w:iCs/>
        </w:rPr>
        <w:t>Id.</w:t>
      </w:r>
    </w:p>
  </w:footnote>
  <w:footnote w:id="15">
    <w:p w:rsidR="009909FE" w:rsidRPr="008D03D7" w:rsidP="009909FE" w14:paraId="1BCD2756" w14:textId="36537D00">
      <w:pPr>
        <w:pStyle w:val="FootnoteText"/>
      </w:pPr>
      <w:r w:rsidRPr="008D03D7">
        <w:rPr>
          <w:rStyle w:val="FootnoteReference"/>
          <w:sz w:val="20"/>
        </w:rPr>
        <w:footnoteRef/>
      </w:r>
      <w:r w:rsidRPr="008D03D7">
        <w:t xml:space="preserve"> </w:t>
      </w:r>
      <w:r w:rsidRPr="008D03D7">
        <w:rPr>
          <w:i/>
          <w:iCs/>
        </w:rPr>
        <w:t xml:space="preserve">Id. </w:t>
      </w:r>
      <w:r w:rsidRPr="008D03D7">
        <w:t xml:space="preserve">at </w:t>
      </w:r>
      <w:r w:rsidRPr="008D03D7" w:rsidR="00834C40">
        <w:t>4-6</w:t>
      </w:r>
      <w:r w:rsidRPr="008D03D7">
        <w:t>.</w:t>
      </w:r>
    </w:p>
  </w:footnote>
  <w:footnote w:id="16">
    <w:p w:rsidR="008902D8" w:rsidRPr="008D03D7" w14:paraId="4E41943D" w14:textId="3262E238">
      <w:pPr>
        <w:pStyle w:val="FootnoteText"/>
      </w:pPr>
      <w:r w:rsidRPr="00ED6A62">
        <w:rPr>
          <w:rStyle w:val="FootnoteReference"/>
          <w:sz w:val="20"/>
        </w:rPr>
        <w:footnoteRef/>
      </w:r>
      <w:r w:rsidRPr="008D03D7">
        <w:t xml:space="preserve"> </w:t>
      </w:r>
      <w:r w:rsidRPr="008D03D7" w:rsidR="004E29D7">
        <w:rPr>
          <w:i/>
          <w:iCs/>
        </w:rPr>
        <w:t>Id.</w:t>
      </w:r>
      <w:r w:rsidRPr="008D03D7" w:rsidR="004E29D7">
        <w:t xml:space="preserve"> at 5. </w:t>
      </w:r>
    </w:p>
  </w:footnote>
  <w:footnote w:id="17">
    <w:p w:rsidR="00B509E6" w:rsidRPr="008D03D7" w14:paraId="612C6974" w14:textId="775BC4D8">
      <w:pPr>
        <w:pStyle w:val="FootnoteText"/>
      </w:pPr>
      <w:r w:rsidRPr="00ED6A62">
        <w:rPr>
          <w:rStyle w:val="FootnoteReference"/>
          <w:sz w:val="20"/>
        </w:rPr>
        <w:footnoteRef/>
      </w:r>
      <w:r w:rsidRPr="008D03D7">
        <w:t xml:space="preserve"> </w:t>
      </w:r>
      <w:r w:rsidRPr="008D03D7" w:rsidR="00EF00A9">
        <w:t xml:space="preserve">May </w:t>
      </w:r>
      <w:r w:rsidR="002C7D4E">
        <w:t>22</w:t>
      </w:r>
      <w:r w:rsidRPr="008D03D7" w:rsidR="00EF00A9">
        <w:t xml:space="preserve"> Supplement at 1.</w:t>
      </w:r>
    </w:p>
  </w:footnote>
  <w:footnote w:id="18">
    <w:p w:rsidR="00E25DE5" w14:paraId="64C1A8A9" w14:textId="387E0E50">
      <w:pPr>
        <w:pStyle w:val="FootnoteText"/>
      </w:pPr>
      <w:r>
        <w:rPr>
          <w:rStyle w:val="FootnoteReference"/>
        </w:rPr>
        <w:footnoteRef/>
      </w:r>
      <w:r>
        <w:t xml:space="preserve"> </w:t>
      </w:r>
      <w:r w:rsidRPr="00E25DE5">
        <w:rPr>
          <w:i/>
          <w:iCs/>
        </w:rPr>
        <w:t>Id.</w:t>
      </w:r>
    </w:p>
  </w:footnote>
  <w:footnote w:id="19">
    <w:p w:rsidR="00E25DE5" w14:paraId="7E1A84AD" w14:textId="001A8D0C">
      <w:pPr>
        <w:pStyle w:val="FootnoteText"/>
      </w:pPr>
      <w:r>
        <w:rPr>
          <w:rStyle w:val="FootnoteReference"/>
        </w:rPr>
        <w:footnoteRef/>
      </w:r>
      <w:r>
        <w:t xml:space="preserve"> </w:t>
      </w:r>
      <w:r w:rsidRPr="00E25DE5">
        <w:rPr>
          <w:i/>
          <w:iCs/>
        </w:rPr>
        <w:t>Id.</w:t>
      </w:r>
    </w:p>
  </w:footnote>
  <w:footnote w:id="20">
    <w:p w:rsidR="00E25DE5" w14:paraId="7728C7D4" w14:textId="5C44B543">
      <w:pPr>
        <w:pStyle w:val="FootnoteText"/>
      </w:pPr>
      <w:r>
        <w:rPr>
          <w:rStyle w:val="FootnoteReference"/>
        </w:rPr>
        <w:footnoteRef/>
      </w:r>
      <w:r>
        <w:t xml:space="preserve"> </w:t>
      </w:r>
      <w:r w:rsidRPr="00E25DE5">
        <w:rPr>
          <w:i/>
          <w:iCs/>
        </w:rPr>
        <w:t>Id.</w:t>
      </w:r>
    </w:p>
  </w:footnote>
  <w:footnote w:id="21">
    <w:p w:rsidR="00A91231" w14:paraId="4FA28166" w14:textId="75BD0629">
      <w:pPr>
        <w:pStyle w:val="FootnoteText"/>
      </w:pPr>
      <w:r>
        <w:rPr>
          <w:rStyle w:val="FootnoteReference"/>
        </w:rPr>
        <w:footnoteRef/>
      </w:r>
      <w:r>
        <w:t xml:space="preserve"> This will ensure that </w:t>
      </w:r>
      <w:r w:rsidRPr="00A91231">
        <w:t xml:space="preserve">that </w:t>
      </w:r>
      <w:r w:rsidR="00A349A3">
        <w:t>“</w:t>
      </w:r>
      <w:r w:rsidRPr="00A91231">
        <w:t>the transaction does not implicate inefficiencies associated with authorizing USF support to</w:t>
      </w:r>
      <w:r w:rsidR="00A349A3">
        <w:t xml:space="preserve"> </w:t>
      </w:r>
      <w:r w:rsidR="00F544A9">
        <w:t>a</w:t>
      </w:r>
      <w:r w:rsidRPr="00A91231">
        <w:t>cquiring parties to serve locations that they already competitively serve</w:t>
      </w:r>
      <w:r w:rsidR="00A349A3">
        <w:t>.</w:t>
      </w:r>
      <w:r w:rsidRPr="00A91231">
        <w:t>”</w:t>
      </w:r>
      <w:r w:rsidR="00055E4E">
        <w:t xml:space="preserve"> </w:t>
      </w:r>
      <w:r w:rsidRPr="00A91231">
        <w:t xml:space="preserve"> </w:t>
      </w:r>
      <w:r w:rsidR="00155DF4">
        <w:rPr>
          <w:i/>
          <w:iCs/>
        </w:rPr>
        <w:t>See Domestic Section 214 Application Granted for the Transfer of Control of Oklahoma Communication Systems, LLC and Mid-America Telephone, LLC From TDS Telecommunications, LLC to Hilliary Acquisition Oklahoma II, LLC</w:t>
      </w:r>
      <w:r w:rsidR="00155DF4">
        <w:t>, WC Docket No. 25-232, Public Notice, DA 25-1074 at 6 &amp; n.42 (WCB 2025).</w:t>
      </w:r>
    </w:p>
  </w:footnote>
  <w:footnote w:id="22">
    <w:p w:rsidR="00BF268F" w:rsidRPr="008D03D7" w14:paraId="0E8180BA" w14:textId="24B60F52">
      <w:pPr>
        <w:pStyle w:val="FootnoteText"/>
        <w:rPr>
          <w:i/>
          <w:iCs/>
        </w:rPr>
      </w:pPr>
      <w:r w:rsidRPr="00ED6A62">
        <w:rPr>
          <w:rStyle w:val="FootnoteReference"/>
          <w:sz w:val="20"/>
        </w:rPr>
        <w:footnoteRef/>
      </w:r>
      <w:r w:rsidRPr="008D03D7">
        <w:t xml:space="preserve"> </w:t>
      </w:r>
      <w:r w:rsidR="00A349A3">
        <w:t xml:space="preserve">May </w:t>
      </w:r>
      <w:r w:rsidR="002B3242">
        <w:t>22</w:t>
      </w:r>
      <w:r w:rsidR="00A349A3">
        <w:t xml:space="preserve"> Supplement</w:t>
      </w:r>
      <w:r w:rsidRPr="008D03D7">
        <w:rPr>
          <w:i/>
          <w:iCs/>
        </w:rPr>
        <w:t xml:space="preserve"> </w:t>
      </w:r>
      <w:r w:rsidRPr="008D03D7">
        <w:t xml:space="preserve">at </w:t>
      </w:r>
      <w:r w:rsidRPr="008D03D7" w:rsidR="00D73C1B">
        <w:t>1-2</w:t>
      </w:r>
      <w:r w:rsidRPr="008D03D7">
        <w:t>.</w:t>
      </w:r>
      <w:r w:rsidR="00CB21A1">
        <w:t xml:space="preserve">  </w:t>
      </w:r>
      <w:r w:rsidRPr="00CB21A1" w:rsidR="00CB21A1">
        <w:t>After notice of consummation of the transaction has been received, the Bureau will issue an Order reauthorizing the Enhanced A-CAM support (and assigning all related obligations) associated with this transaction, from Gunnison to Lynch.</w:t>
      </w:r>
    </w:p>
  </w:footnote>
  <w:footnote w:id="23">
    <w:p w:rsidR="00C02CE2" w:rsidRPr="008D03D7" w:rsidP="00102AA3" w14:paraId="7F343A77" w14:textId="3C4BAF47">
      <w:pPr>
        <w:pStyle w:val="FootnoteText"/>
      </w:pPr>
      <w:r w:rsidRPr="00ED6A62">
        <w:rPr>
          <w:rStyle w:val="FootnoteReference"/>
          <w:sz w:val="20"/>
        </w:rPr>
        <w:footnoteRef/>
      </w:r>
      <w:r w:rsidRPr="008D03D7" w:rsidR="006D14D5">
        <w:t xml:space="preserve"> </w:t>
      </w:r>
      <w:r w:rsidRPr="008D03D7" w:rsidR="009E1AA7">
        <w:t xml:space="preserve">We note that the Bureau applied the Hargray/ComSouth condition to a prior 214 transaction, which would be triggered if and when Manti converts from an average schedule company to a cost company, a condition that will continue to apply following the consummation of the proposed transaction.  </w:t>
      </w:r>
      <w:r w:rsidRPr="008D03D7" w:rsidR="009E1AA7">
        <w:rPr>
          <w:i/>
          <w:iCs/>
        </w:rPr>
        <w:t>See</w:t>
      </w:r>
      <w:r w:rsidRPr="008D03D7" w:rsidR="009E1AA7">
        <w:t xml:space="preserve"> </w:t>
      </w:r>
      <w:r w:rsidRPr="008D03D7" w:rsidR="009E1AA7">
        <w:rPr>
          <w:i/>
          <w:iCs/>
        </w:rPr>
        <w:t>Domestic 214 Application Granted for the Transfer of Control of the Manti Tel. Co. to Lynch Tel. Corp. X</w:t>
      </w:r>
      <w:r w:rsidRPr="008D03D7" w:rsidR="009E1AA7">
        <w:t>, WC Docket No. 24-93, Public Notice,</w:t>
      </w:r>
      <w:r w:rsidRPr="008D03D7" w:rsidR="009E1AA7">
        <w:rPr>
          <w:i/>
          <w:iCs/>
        </w:rPr>
        <w:t xml:space="preserve"> </w:t>
      </w:r>
      <w:r w:rsidRPr="008D03D7" w:rsidR="009E1AA7">
        <w:t>39 FCC Rcd 12500, 12501 (WCB 2024) (</w:t>
      </w:r>
      <w:r w:rsidRPr="008D03D7" w:rsidR="00FB5AC0">
        <w:rPr>
          <w:i/>
          <w:iCs/>
        </w:rPr>
        <w:t>Lynch/Manti</w:t>
      </w:r>
      <w:r w:rsidRPr="008D03D7" w:rsidR="00FB5AC0">
        <w:t xml:space="preserve"> </w:t>
      </w:r>
      <w:r w:rsidRPr="008D03D7" w:rsidR="00235570">
        <w:rPr>
          <w:i/>
          <w:iCs/>
        </w:rPr>
        <w:t>Public Notice</w:t>
      </w:r>
      <w:r w:rsidRPr="008D03D7" w:rsidR="00235570">
        <w:t xml:space="preserve">) </w:t>
      </w:r>
      <w:r w:rsidRPr="008D03D7" w:rsidR="002C5FC6">
        <w:t>(to mitigate the potential for cost shifting, if Manti converts to a non-average schedule cost company the newly converted cost company’s operating expense would be capped at the average of the three previous years’ operating expense and combined with the inflation-adjusted operating expense data of any other affiliated cost companies)</w:t>
      </w:r>
      <w:r w:rsidRPr="008D03D7" w:rsidR="00493DE4">
        <w:t xml:space="preserve">; </w:t>
      </w:r>
      <w:r w:rsidRPr="008D03D7" w:rsidR="00493DE4">
        <w:rPr>
          <w:i/>
          <w:iCs/>
        </w:rPr>
        <w:t>see</w:t>
      </w:r>
      <w:r w:rsidRPr="008D03D7" w:rsidR="00493DE4">
        <w:t xml:space="preserve"> </w:t>
      </w:r>
      <w:r w:rsidRPr="008D03D7" w:rsidR="00251A90">
        <w:rPr>
          <w:i/>
          <w:iCs/>
        </w:rPr>
        <w:t>also</w:t>
      </w:r>
      <w:r w:rsidRPr="008D03D7" w:rsidR="00251A90">
        <w:t xml:space="preserve"> </w:t>
      </w:r>
      <w:r w:rsidRPr="008D03D7" w:rsidR="00310D4B">
        <w:rPr>
          <w:i/>
          <w:iCs/>
        </w:rPr>
        <w:t>Domestic Section 214 Application Granted for the Acquisition of Certain Assets of Michigan Bell Telephone Company, LLC by UP</w:t>
      </w:r>
      <w:r w:rsidRPr="008D03D7" w:rsidR="004F5029">
        <w:rPr>
          <w:i/>
          <w:iCs/>
        </w:rPr>
        <w:t xml:space="preserve"> Fiber, Inc</w:t>
      </w:r>
      <w:r w:rsidRPr="008D03D7" w:rsidR="002C5FC6">
        <w:rPr>
          <w:i/>
          <w:iCs/>
        </w:rPr>
        <w:t>.</w:t>
      </w:r>
      <w:r w:rsidRPr="008D03D7" w:rsidR="004F5029">
        <w:t>, WC Docket No. 25-181</w:t>
      </w:r>
      <w:r w:rsidRPr="008D03D7" w:rsidR="000B2E36">
        <w:t>, CC Docket No. 96-45</w:t>
      </w:r>
      <w:r w:rsidRPr="008D03D7" w:rsidR="00490F10">
        <w:t xml:space="preserve">, Public Notice, </w:t>
      </w:r>
      <w:r w:rsidRPr="008D03D7" w:rsidR="00B628C2">
        <w:t>DA 26</w:t>
      </w:r>
      <w:r w:rsidRPr="008D03D7" w:rsidR="00781E83">
        <w:t>-181</w:t>
      </w:r>
      <w:r w:rsidRPr="008D03D7" w:rsidR="000B2E36">
        <w:t xml:space="preserve"> </w:t>
      </w:r>
      <w:r w:rsidRPr="008D03D7" w:rsidR="005D120A">
        <w:t xml:space="preserve">at n.11 </w:t>
      </w:r>
      <w:r w:rsidRPr="008D03D7" w:rsidR="000B2E36">
        <w:t>(WCB 2026)</w:t>
      </w:r>
      <w:r w:rsidRPr="008D03D7" w:rsidR="005D120A">
        <w:t xml:space="preserve"> (continuing </w:t>
      </w:r>
      <w:r w:rsidRPr="008D03D7" w:rsidR="0024244F">
        <w:t xml:space="preserve">to apply the condition </w:t>
      </w:r>
      <w:r w:rsidRPr="008D03D7" w:rsidR="006E2F7C">
        <w:t xml:space="preserve">adopted </w:t>
      </w:r>
      <w:r w:rsidRPr="008D03D7" w:rsidR="00235570">
        <w:t xml:space="preserve">in the </w:t>
      </w:r>
      <w:r w:rsidRPr="008D03D7" w:rsidR="00235570">
        <w:rPr>
          <w:i/>
          <w:iCs/>
        </w:rPr>
        <w:t>Lynch/Manti</w:t>
      </w:r>
      <w:r w:rsidRPr="008D03D7" w:rsidR="00DA735C">
        <w:t xml:space="preserve"> </w:t>
      </w:r>
      <w:r w:rsidRPr="008D03D7" w:rsidR="00DA735C">
        <w:rPr>
          <w:i/>
          <w:iCs/>
        </w:rPr>
        <w:t>Public Notice</w:t>
      </w:r>
      <w:r w:rsidRPr="008D03D7" w:rsidR="00DA735C">
        <w:t>)</w:t>
      </w:r>
      <w:r w:rsidR="00DE5D6E">
        <w:t xml:space="preserve">; </w:t>
      </w:r>
      <w:r w:rsidRPr="008522F5" w:rsidR="004059C4">
        <w:rPr>
          <w:i/>
          <w:iCs/>
        </w:rPr>
        <w:t>Joint Application of W. Mansfield Jennings Limited Partnership and Hargray Communications Group, Inc., for Consent to the Transfer of Control of ComSouth Corporation Pursuant to Section 214 of the Communications Act of 1934</w:t>
      </w:r>
      <w:r w:rsidR="004059C4">
        <w:t xml:space="preserve">, WC Docket No. </w:t>
      </w:r>
      <w:r w:rsidR="00360B00">
        <w:t xml:space="preserve">18-52, Order, </w:t>
      </w:r>
      <w:r w:rsidR="00F2049C">
        <w:t>33 F</w:t>
      </w:r>
      <w:r w:rsidR="008522F5">
        <w:t>CC</w:t>
      </w:r>
      <w:r w:rsidR="00F2049C">
        <w:t xml:space="preserve"> Rcd 4780, </w:t>
      </w:r>
      <w:r w:rsidR="00C42EB5">
        <w:t>4788-</w:t>
      </w:r>
      <w:r w:rsidR="00A14FB9">
        <w:t>91,</w:t>
      </w:r>
      <w:r w:rsidR="00C42EB5">
        <w:t xml:space="preserve"> </w:t>
      </w:r>
      <w:r w:rsidR="00F2049C">
        <w:t>paras. 26-</w:t>
      </w:r>
      <w:r w:rsidR="00AD5DEF">
        <w:t>31</w:t>
      </w:r>
      <w:r w:rsidR="00A14FB9">
        <w:t xml:space="preserve"> (2018)</w:t>
      </w:r>
      <w:r w:rsidR="000211F0">
        <w:t xml:space="preserve"> (establishing Hargray/ComSouth condition)</w:t>
      </w:r>
      <w:r w:rsidRPr="008D03D7" w:rsidR="000B2E36">
        <w:t>.</w:t>
      </w:r>
      <w:r w:rsidRPr="008D03D7" w:rsidR="00104257">
        <w:t xml:space="preserve">  </w:t>
      </w:r>
      <w:r w:rsidRPr="008D03D7" w:rsidR="00441FCD">
        <w:t>Neither the reported</w:t>
      </w:r>
      <w:r w:rsidRPr="008D03D7" w:rsidR="00104257">
        <w:t xml:space="preserve"> 1.2% indirect ownership interest of Mario Gabelli in CIBL </w:t>
      </w:r>
      <w:r w:rsidRPr="008D03D7" w:rsidR="00441FCD">
        <w:t xml:space="preserve">nor </w:t>
      </w:r>
      <w:r w:rsidRPr="008D03D7" w:rsidR="00104257">
        <w:t xml:space="preserve">Mr. Gabelli’s </w:t>
      </w:r>
      <w:r w:rsidRPr="008D03D7" w:rsidR="002330C7">
        <w:t>position on the board of CIBL pose</w:t>
      </w:r>
      <w:r w:rsidRPr="008D03D7" w:rsidR="00441FCD">
        <w:t>s</w:t>
      </w:r>
      <w:r w:rsidRPr="008D03D7" w:rsidR="002330C7">
        <w:t xml:space="preserve"> a </w:t>
      </w:r>
      <w:r w:rsidRPr="008D03D7" w:rsidR="00441FCD">
        <w:t xml:space="preserve">meaningful </w:t>
      </w:r>
      <w:r w:rsidRPr="008D03D7" w:rsidR="002330C7">
        <w:t xml:space="preserve">risk of cost </w:t>
      </w:r>
      <w:r w:rsidRPr="008D03D7" w:rsidR="00590B1C">
        <w:t>shifting warranting application of the Hargray</w:t>
      </w:r>
      <w:r w:rsidRPr="008D03D7" w:rsidR="00441FCD">
        <w:t>/ComSouth condition</w:t>
      </w:r>
      <w:r w:rsidRPr="008D03D7" w:rsidR="00590B1C">
        <w:t xml:space="preserve"> </w:t>
      </w:r>
      <w:r w:rsidRPr="008D03D7" w:rsidR="00441FCD">
        <w:t>to</w:t>
      </w:r>
      <w:r w:rsidRPr="008D03D7" w:rsidR="00590B1C">
        <w:t xml:space="preserve"> CIBL affiliates receiving legacy support. </w:t>
      </w:r>
      <w:r w:rsidRPr="008D03D7" w:rsidR="00F32B7A">
        <w:t xml:space="preserve"> </w:t>
      </w:r>
      <w:r w:rsidRPr="00ED6A62" w:rsidR="00F32B7A">
        <w:rPr>
          <w:i/>
        </w:rPr>
        <w:t>See</w:t>
      </w:r>
      <w:r w:rsidRPr="008D03D7" w:rsidR="002330C7">
        <w:t xml:space="preserve"> </w:t>
      </w:r>
      <w:r w:rsidRPr="008D03D7" w:rsidR="00590B1C">
        <w:t>Mar. 2 Supplement at 2 (</w:t>
      </w:r>
      <w:r w:rsidRPr="008D03D7" w:rsidR="004844AA">
        <w:t>explaining that c</w:t>
      </w:r>
      <w:r w:rsidRPr="008D03D7" w:rsidR="00590B1C">
        <w:t xml:space="preserve">ompanies owned by CIBL, </w:t>
      </w:r>
      <w:r w:rsidRPr="008D03D7" w:rsidR="004844AA">
        <w:t>including two subsidiaries receiving legacy support</w:t>
      </w:r>
      <w:r w:rsidRPr="008D03D7" w:rsidR="00590B1C">
        <w:t>, do not share any</w:t>
      </w:r>
      <w:r w:rsidRPr="008D03D7" w:rsidR="004844AA">
        <w:t xml:space="preserve"> common costs </w:t>
      </w:r>
      <w:r w:rsidRPr="008D03D7" w:rsidR="00441FCD">
        <w:t xml:space="preserve">or common books with </w:t>
      </w:r>
      <w:r w:rsidRPr="008D03D7" w:rsidR="00102AA3">
        <w:t>any of the LICT companies</w:t>
      </w:r>
      <w:r w:rsidRPr="008D03D7" w:rsidR="00441FCD">
        <w:t>);</w:t>
      </w:r>
      <w:r w:rsidRPr="00ED6A62" w:rsidR="00590B1C">
        <w:t xml:space="preserve"> </w:t>
      </w:r>
      <w:r w:rsidRPr="00ED6A62" w:rsidR="0020199B">
        <w:rPr>
          <w:i/>
        </w:rPr>
        <w:t>Domestic Section 214 Application for the Transfer of Control of Lavaca Telephone Company, Inc. to Dobson Technologies Inc</w:t>
      </w:r>
      <w:r w:rsidRPr="008D03D7" w:rsidR="0020199B">
        <w:t>., WC Docket No. 20-389, Order on Reconsideration, 36 FCC Rcd 8859</w:t>
      </w:r>
      <w:r w:rsidRPr="008D03D7" w:rsidR="00441FCD">
        <w:t>, 8864</w:t>
      </w:r>
      <w:r w:rsidRPr="008D03D7" w:rsidR="0020199B">
        <w:t xml:space="preserve"> (2021)</w:t>
      </w:r>
      <w:r w:rsidRPr="008D03D7" w:rsidR="00441FCD">
        <w:t xml:space="preserve"> (creating an exception to the applicability of the Hargray/ComSouth condition to specific mixed support relationships when the risk of cost shifting is generally nullified by a lack of common costs, cost sharing, or consolidation of corporate books).</w:t>
      </w:r>
      <w:r w:rsidRPr="00ED6A62" w:rsidR="00102AA3">
        <w:t xml:space="preserve"> </w:t>
      </w:r>
    </w:p>
  </w:footnote>
  <w:footnote w:id="24">
    <w:p w:rsidR="00B11A37" w:rsidRPr="008D03D7" w:rsidP="00B11A37" w14:paraId="35987509" w14:textId="00A03F6B">
      <w:pPr>
        <w:pStyle w:val="FootnoteText"/>
      </w:pPr>
      <w:r w:rsidRPr="00ED6A62">
        <w:rPr>
          <w:rStyle w:val="FootnoteReference"/>
          <w:sz w:val="20"/>
        </w:rPr>
        <w:footnoteRef/>
      </w:r>
      <w:r w:rsidRPr="008D03D7">
        <w:rPr>
          <w:i/>
        </w:rPr>
        <w:t xml:space="preserve"> See</w:t>
      </w:r>
      <w:r w:rsidRPr="008D03D7">
        <w:t xml:space="preserve"> 47 U.S.C. § 214(a).  </w:t>
      </w:r>
      <w:r w:rsidRPr="008D03D7" w:rsidR="00D312B4">
        <w:t xml:space="preserve">Applicants note that </w:t>
      </w:r>
      <w:r w:rsidRPr="008D03D7" w:rsidR="00337501">
        <w:t>the service areas of Gunnison and Lynch X’s incumbent LEC affiliate, Manti, are adjacent to one another</w:t>
      </w:r>
      <w:r w:rsidRPr="008D03D7" w:rsidR="00B245C7">
        <w:t>.</w:t>
      </w:r>
      <w:r w:rsidRPr="008D03D7" w:rsidR="00D312B4">
        <w:t xml:space="preserve"> </w:t>
      </w:r>
      <w:r w:rsidRPr="008D03D7" w:rsidR="00B245C7">
        <w:t xml:space="preserve"> </w:t>
      </w:r>
      <w:r w:rsidRPr="008D03D7" w:rsidR="00D312B4">
        <w:t xml:space="preserve">Application at </w:t>
      </w:r>
      <w:r w:rsidRPr="008D03D7" w:rsidR="00243B27">
        <w:t>10</w:t>
      </w:r>
      <w:r w:rsidRPr="008D03D7" w:rsidR="00D312B4">
        <w:t xml:space="preserve">.  We conclude that there will </w:t>
      </w:r>
      <w:r w:rsidRPr="008D03D7" w:rsidR="00E100FB">
        <w:t xml:space="preserve">likely </w:t>
      </w:r>
      <w:r w:rsidRPr="008D03D7" w:rsidR="00D312B4">
        <w:t xml:space="preserve">be efficiencies that result from these adjacent exchanges and find the proposed transaction in the public interest.  </w:t>
      </w:r>
      <w:r w:rsidRPr="008D03D7" w:rsidR="00D312B4">
        <w:rPr>
          <w:rStyle w:val="Emphasis"/>
        </w:rPr>
        <w:t>See Joint Applications of Global Crossing Ltd. and Citizens Communications Company for Authority to Transfer Control of Corporations Holding Commission Licenses and Authorizations Pursuant to Sections 214 and 310(d) of the Communications Act and Parts 20, 22, 63, 78, 90, and 101 of the Commission's Rules</w:t>
      </w:r>
      <w:r w:rsidRPr="008D03D7" w:rsidR="00D312B4">
        <w:t xml:space="preserve">, File Nos. ITC-T/C-20000828-00530, </w:t>
      </w:r>
      <w:r w:rsidRPr="008D03D7" w:rsidR="00D312B4">
        <w:t>CCBPol</w:t>
      </w:r>
      <w:r w:rsidRPr="008D03D7" w:rsidR="00D312B4">
        <w:t xml:space="preserve"> No. 00-1 20001005AD-09 0000209675 et al., Memorandum Opinion and Order, 16 FCC Rcd 8507, 8510-11, paras. 7-9 (CCB, IB, CSB, WTB 2001) (granting transfer of control involving incumbent LECs with </w:t>
      </w:r>
      <w:r w:rsidRPr="008D03D7" w:rsidR="00D312B4">
        <w:rPr>
          <w:rStyle w:val="cosearchterm"/>
        </w:rPr>
        <w:t>adjacent</w:t>
      </w:r>
      <w:r w:rsidRPr="008D03D7" w:rsidR="00D312B4">
        <w:t xml:space="preserve"> exchanges where merger would provide service efficiencies); </w:t>
      </w:r>
      <w:r w:rsidRPr="008D03D7" w:rsidR="00D312B4">
        <w:rPr>
          <w:i/>
          <w:iCs/>
        </w:rPr>
        <w:t xml:space="preserve">Applications of Level 3 Communications, Inc. and CenturyLink for Consent to Transfer Control of Licenses and Authorizations, </w:t>
      </w:r>
      <w:r w:rsidRPr="008D03D7" w:rsidR="00D312B4">
        <w:t>Memorandum Opinion and Order, 32 FCC Rcd 9581, 9606, para</w:t>
      </w:r>
      <w:r w:rsidR="00FD734F">
        <w:t>.</w:t>
      </w:r>
      <w:r w:rsidRPr="008D03D7" w:rsidR="00D312B4">
        <w:t xml:space="preserve"> 54 (2017) (finding that the transaction would advance the public interest by expanding the reach and service capacity of the combined entity).</w:t>
      </w:r>
      <w:r w:rsidRPr="008D03D7">
        <w:rPr>
          <w:b/>
          <w:bC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E4BA22B" w14:textId="381D6444">
    <w:pPr>
      <w:tabs>
        <w:tab w:val="center" w:pos="4680"/>
        <w:tab w:val="right" w:pos="9360"/>
      </w:tabs>
    </w:pPr>
    <w:r>
      <w:rPr>
        <w:b/>
      </w:rPr>
      <w:tab/>
      <w:t>Federal Communications Commission</w:t>
    </w:r>
    <w:r>
      <w:rPr>
        <w:b/>
      </w:rPr>
      <w:tab/>
    </w:r>
    <w:r w:rsidR="00227BA1">
      <w:rPr>
        <w:b/>
      </w:rPr>
      <w:t>DA 2</w:t>
    </w:r>
    <w:r w:rsidR="00417381">
      <w:rPr>
        <w:b/>
      </w:rPr>
      <w:t>6</w:t>
    </w:r>
    <w:r w:rsidR="00227BA1">
      <w:rPr>
        <w:b/>
      </w:rPr>
      <w:t>-</w:t>
    </w:r>
    <w:r w:rsidR="00B24546">
      <w:rPr>
        <w:b/>
      </w:rPr>
      <w:t>531</w:t>
    </w:r>
  </w:p>
  <w:p w:rsidR="00BA3BA8" w14:paraId="669940F5"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205DE23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02BC2596" w14:textId="77777777">
    <w:pPr>
      <w:pStyle w:val="Header"/>
    </w:pPr>
    <w:r>
      <w:rPr>
        <w:noProof/>
      </w:rPr>
      <w:drawing>
        <wp:inline distT="0" distB="0" distL="0" distR="0">
          <wp:extent cx="59563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63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7">
    <w:nsid w:val="6A614CCE"/>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89223528">
    <w:abstractNumId w:val="2"/>
  </w:num>
  <w:num w:numId="2" w16cid:durableId="890339313">
    <w:abstractNumId w:val="6"/>
  </w:num>
  <w:num w:numId="3" w16cid:durableId="528419151">
    <w:abstractNumId w:val="4"/>
  </w:num>
  <w:num w:numId="4" w16cid:durableId="1245721454">
    <w:abstractNumId w:val="5"/>
  </w:num>
  <w:num w:numId="5" w16cid:durableId="1255556118">
    <w:abstractNumId w:val="3"/>
  </w:num>
  <w:num w:numId="6" w16cid:durableId="1286346123">
    <w:abstractNumId w:val="0"/>
  </w:num>
  <w:num w:numId="7" w16cid:durableId="2096245613">
    <w:abstractNumId w:val="7"/>
  </w:num>
  <w:num w:numId="8" w16cid:durableId="823476080">
    <w:abstractNumId w:val="1"/>
  </w:num>
  <w:num w:numId="9" w16cid:durableId="183160307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115"/>
    <w:rsid w:val="00001356"/>
    <w:rsid w:val="00001ED4"/>
    <w:rsid w:val="00002E10"/>
    <w:rsid w:val="000041EE"/>
    <w:rsid w:val="00010B49"/>
    <w:rsid w:val="00010BCD"/>
    <w:rsid w:val="00011507"/>
    <w:rsid w:val="00011B6D"/>
    <w:rsid w:val="00012898"/>
    <w:rsid w:val="00014786"/>
    <w:rsid w:val="00020D51"/>
    <w:rsid w:val="000211F0"/>
    <w:rsid w:val="00023154"/>
    <w:rsid w:val="00024DE5"/>
    <w:rsid w:val="00027C50"/>
    <w:rsid w:val="000322BB"/>
    <w:rsid w:val="0003236E"/>
    <w:rsid w:val="000330AA"/>
    <w:rsid w:val="00034155"/>
    <w:rsid w:val="000360F7"/>
    <w:rsid w:val="000418CB"/>
    <w:rsid w:val="0004692B"/>
    <w:rsid w:val="0004701B"/>
    <w:rsid w:val="00051222"/>
    <w:rsid w:val="00052659"/>
    <w:rsid w:val="000532D2"/>
    <w:rsid w:val="0005433C"/>
    <w:rsid w:val="00054D09"/>
    <w:rsid w:val="00054D61"/>
    <w:rsid w:val="00054EBC"/>
    <w:rsid w:val="00055E4E"/>
    <w:rsid w:val="00060B78"/>
    <w:rsid w:val="000639C2"/>
    <w:rsid w:val="0006557E"/>
    <w:rsid w:val="00065C17"/>
    <w:rsid w:val="00066108"/>
    <w:rsid w:val="0006669C"/>
    <w:rsid w:val="00066ED5"/>
    <w:rsid w:val="00067D1D"/>
    <w:rsid w:val="00070716"/>
    <w:rsid w:val="000754F1"/>
    <w:rsid w:val="0007572B"/>
    <w:rsid w:val="00075B56"/>
    <w:rsid w:val="00077571"/>
    <w:rsid w:val="00077C93"/>
    <w:rsid w:val="00081FD5"/>
    <w:rsid w:val="00082FA6"/>
    <w:rsid w:val="00085918"/>
    <w:rsid w:val="00085CF2"/>
    <w:rsid w:val="00085D6F"/>
    <w:rsid w:val="0008633C"/>
    <w:rsid w:val="00086DC0"/>
    <w:rsid w:val="0009395A"/>
    <w:rsid w:val="00095B24"/>
    <w:rsid w:val="00097BBD"/>
    <w:rsid w:val="000A0D26"/>
    <w:rsid w:val="000A0F72"/>
    <w:rsid w:val="000A1A7D"/>
    <w:rsid w:val="000A1F02"/>
    <w:rsid w:val="000A2224"/>
    <w:rsid w:val="000A2FF6"/>
    <w:rsid w:val="000A4EE1"/>
    <w:rsid w:val="000A55F0"/>
    <w:rsid w:val="000A5FC8"/>
    <w:rsid w:val="000A61D7"/>
    <w:rsid w:val="000A75DE"/>
    <w:rsid w:val="000B2E36"/>
    <w:rsid w:val="000B3B42"/>
    <w:rsid w:val="000B3C96"/>
    <w:rsid w:val="000B43E9"/>
    <w:rsid w:val="000B4994"/>
    <w:rsid w:val="000C0FCA"/>
    <w:rsid w:val="000C1792"/>
    <w:rsid w:val="000C1A37"/>
    <w:rsid w:val="000C27B4"/>
    <w:rsid w:val="000C29D5"/>
    <w:rsid w:val="000C5FB4"/>
    <w:rsid w:val="000C644C"/>
    <w:rsid w:val="000D1DA9"/>
    <w:rsid w:val="000D2703"/>
    <w:rsid w:val="000D274C"/>
    <w:rsid w:val="000D5998"/>
    <w:rsid w:val="000E0123"/>
    <w:rsid w:val="000E0455"/>
    <w:rsid w:val="000E082F"/>
    <w:rsid w:val="000E1CD3"/>
    <w:rsid w:val="000E1F6E"/>
    <w:rsid w:val="000E5B0D"/>
    <w:rsid w:val="000E60AA"/>
    <w:rsid w:val="000E61D6"/>
    <w:rsid w:val="000E7447"/>
    <w:rsid w:val="000E7AEB"/>
    <w:rsid w:val="000F0BBF"/>
    <w:rsid w:val="000F4AC5"/>
    <w:rsid w:val="00100576"/>
    <w:rsid w:val="0010260C"/>
    <w:rsid w:val="00102AA3"/>
    <w:rsid w:val="00102E61"/>
    <w:rsid w:val="00104257"/>
    <w:rsid w:val="00113566"/>
    <w:rsid w:val="00115F81"/>
    <w:rsid w:val="00116E4B"/>
    <w:rsid w:val="00122469"/>
    <w:rsid w:val="00124029"/>
    <w:rsid w:val="00124CC1"/>
    <w:rsid w:val="001251C9"/>
    <w:rsid w:val="0012673A"/>
    <w:rsid w:val="00127D48"/>
    <w:rsid w:val="001301CF"/>
    <w:rsid w:val="00131D92"/>
    <w:rsid w:val="00131DE1"/>
    <w:rsid w:val="001335C3"/>
    <w:rsid w:val="00137495"/>
    <w:rsid w:val="00143CBF"/>
    <w:rsid w:val="00152477"/>
    <w:rsid w:val="00152C2F"/>
    <w:rsid w:val="00153541"/>
    <w:rsid w:val="0015367E"/>
    <w:rsid w:val="00155DF4"/>
    <w:rsid w:val="001563A7"/>
    <w:rsid w:val="001572FA"/>
    <w:rsid w:val="00161D73"/>
    <w:rsid w:val="00166E2C"/>
    <w:rsid w:val="00167AF7"/>
    <w:rsid w:val="00170FF4"/>
    <w:rsid w:val="00171702"/>
    <w:rsid w:val="00177B23"/>
    <w:rsid w:val="00180846"/>
    <w:rsid w:val="00181AB5"/>
    <w:rsid w:val="001829D4"/>
    <w:rsid w:val="001830F6"/>
    <w:rsid w:val="00184D48"/>
    <w:rsid w:val="0018541B"/>
    <w:rsid w:val="001870BE"/>
    <w:rsid w:val="001876E4"/>
    <w:rsid w:val="00191A47"/>
    <w:rsid w:val="001A035D"/>
    <w:rsid w:val="001A0A87"/>
    <w:rsid w:val="001A2A75"/>
    <w:rsid w:val="001A3923"/>
    <w:rsid w:val="001A5115"/>
    <w:rsid w:val="001A6998"/>
    <w:rsid w:val="001A7110"/>
    <w:rsid w:val="001B32D2"/>
    <w:rsid w:val="001B3492"/>
    <w:rsid w:val="001B44F2"/>
    <w:rsid w:val="001B4E0C"/>
    <w:rsid w:val="001C02DF"/>
    <w:rsid w:val="001C1055"/>
    <w:rsid w:val="001C13C1"/>
    <w:rsid w:val="001C13FC"/>
    <w:rsid w:val="001C7A5D"/>
    <w:rsid w:val="001D639E"/>
    <w:rsid w:val="001E0B61"/>
    <w:rsid w:val="001E0E94"/>
    <w:rsid w:val="001E35D3"/>
    <w:rsid w:val="001E46CE"/>
    <w:rsid w:val="001E4BBE"/>
    <w:rsid w:val="001E73BC"/>
    <w:rsid w:val="001F0641"/>
    <w:rsid w:val="001F12C1"/>
    <w:rsid w:val="001F5F9D"/>
    <w:rsid w:val="001F649E"/>
    <w:rsid w:val="001F6B5F"/>
    <w:rsid w:val="001F77B0"/>
    <w:rsid w:val="00200269"/>
    <w:rsid w:val="00200E1E"/>
    <w:rsid w:val="0020199B"/>
    <w:rsid w:val="00201F4C"/>
    <w:rsid w:val="00204109"/>
    <w:rsid w:val="0020463D"/>
    <w:rsid w:val="00204C75"/>
    <w:rsid w:val="00204CB0"/>
    <w:rsid w:val="0020750F"/>
    <w:rsid w:val="002078E0"/>
    <w:rsid w:val="002105B8"/>
    <w:rsid w:val="0021147D"/>
    <w:rsid w:val="0021202B"/>
    <w:rsid w:val="00213613"/>
    <w:rsid w:val="00215635"/>
    <w:rsid w:val="002177D5"/>
    <w:rsid w:val="00220946"/>
    <w:rsid w:val="002212BF"/>
    <w:rsid w:val="00222888"/>
    <w:rsid w:val="00223A6B"/>
    <w:rsid w:val="00224F17"/>
    <w:rsid w:val="0022700C"/>
    <w:rsid w:val="002277D3"/>
    <w:rsid w:val="00227BA1"/>
    <w:rsid w:val="00231F18"/>
    <w:rsid w:val="00232B3C"/>
    <w:rsid w:val="00232BFB"/>
    <w:rsid w:val="002330C7"/>
    <w:rsid w:val="0023504E"/>
    <w:rsid w:val="002350DE"/>
    <w:rsid w:val="00235570"/>
    <w:rsid w:val="00235A7C"/>
    <w:rsid w:val="0023603C"/>
    <w:rsid w:val="00237F00"/>
    <w:rsid w:val="002404D5"/>
    <w:rsid w:val="0024244F"/>
    <w:rsid w:val="00243B27"/>
    <w:rsid w:val="002463BA"/>
    <w:rsid w:val="00250417"/>
    <w:rsid w:val="00250A94"/>
    <w:rsid w:val="00251A90"/>
    <w:rsid w:val="00254E16"/>
    <w:rsid w:val="002610F6"/>
    <w:rsid w:val="00261106"/>
    <w:rsid w:val="00261219"/>
    <w:rsid w:val="00261EFB"/>
    <w:rsid w:val="00265ED9"/>
    <w:rsid w:val="00266968"/>
    <w:rsid w:val="00266D80"/>
    <w:rsid w:val="00272AF4"/>
    <w:rsid w:val="00273779"/>
    <w:rsid w:val="00275AFD"/>
    <w:rsid w:val="002764D3"/>
    <w:rsid w:val="00283618"/>
    <w:rsid w:val="00295169"/>
    <w:rsid w:val="0029592C"/>
    <w:rsid w:val="00296CBA"/>
    <w:rsid w:val="002A00F6"/>
    <w:rsid w:val="002A1FE7"/>
    <w:rsid w:val="002A43D4"/>
    <w:rsid w:val="002A6B9C"/>
    <w:rsid w:val="002A78DD"/>
    <w:rsid w:val="002A7A0C"/>
    <w:rsid w:val="002B0AFA"/>
    <w:rsid w:val="002B1B89"/>
    <w:rsid w:val="002B3117"/>
    <w:rsid w:val="002B31BE"/>
    <w:rsid w:val="002B3242"/>
    <w:rsid w:val="002B6BFD"/>
    <w:rsid w:val="002B7DA7"/>
    <w:rsid w:val="002C0D1D"/>
    <w:rsid w:val="002C25B7"/>
    <w:rsid w:val="002C29B5"/>
    <w:rsid w:val="002C4126"/>
    <w:rsid w:val="002C4ABC"/>
    <w:rsid w:val="002C4EAE"/>
    <w:rsid w:val="002C5784"/>
    <w:rsid w:val="002C5FC6"/>
    <w:rsid w:val="002C69C3"/>
    <w:rsid w:val="002C71F8"/>
    <w:rsid w:val="002C7D4E"/>
    <w:rsid w:val="002D28E6"/>
    <w:rsid w:val="002D2CE0"/>
    <w:rsid w:val="002D6026"/>
    <w:rsid w:val="002D6456"/>
    <w:rsid w:val="002E20EC"/>
    <w:rsid w:val="002E2538"/>
    <w:rsid w:val="002E566C"/>
    <w:rsid w:val="002E5ACF"/>
    <w:rsid w:val="002F0B44"/>
    <w:rsid w:val="002F13F6"/>
    <w:rsid w:val="002F1901"/>
    <w:rsid w:val="002F1EDE"/>
    <w:rsid w:val="002F58F1"/>
    <w:rsid w:val="003002CC"/>
    <w:rsid w:val="00304B5D"/>
    <w:rsid w:val="003063B6"/>
    <w:rsid w:val="00310D4B"/>
    <w:rsid w:val="0031169F"/>
    <w:rsid w:val="0031199B"/>
    <w:rsid w:val="0031512D"/>
    <w:rsid w:val="00322897"/>
    <w:rsid w:val="00322FA5"/>
    <w:rsid w:val="00325279"/>
    <w:rsid w:val="00326DF2"/>
    <w:rsid w:val="003273B5"/>
    <w:rsid w:val="00330500"/>
    <w:rsid w:val="00331725"/>
    <w:rsid w:val="0033190F"/>
    <w:rsid w:val="003326C9"/>
    <w:rsid w:val="00333219"/>
    <w:rsid w:val="00333766"/>
    <w:rsid w:val="003358A8"/>
    <w:rsid w:val="00337501"/>
    <w:rsid w:val="0034053A"/>
    <w:rsid w:val="00342C15"/>
    <w:rsid w:val="003447CE"/>
    <w:rsid w:val="00344869"/>
    <w:rsid w:val="003476C4"/>
    <w:rsid w:val="00351D10"/>
    <w:rsid w:val="00354992"/>
    <w:rsid w:val="00356B06"/>
    <w:rsid w:val="003576BB"/>
    <w:rsid w:val="00360B00"/>
    <w:rsid w:val="00361EA0"/>
    <w:rsid w:val="003620EA"/>
    <w:rsid w:val="00362B42"/>
    <w:rsid w:val="003729DF"/>
    <w:rsid w:val="00372D99"/>
    <w:rsid w:val="00373506"/>
    <w:rsid w:val="0037458C"/>
    <w:rsid w:val="00374AA3"/>
    <w:rsid w:val="00382CF2"/>
    <w:rsid w:val="00384074"/>
    <w:rsid w:val="0038537E"/>
    <w:rsid w:val="00385BFD"/>
    <w:rsid w:val="00386085"/>
    <w:rsid w:val="003870F2"/>
    <w:rsid w:val="003877DB"/>
    <w:rsid w:val="00390C4A"/>
    <w:rsid w:val="00392A66"/>
    <w:rsid w:val="00393E33"/>
    <w:rsid w:val="00394DB8"/>
    <w:rsid w:val="003A28F1"/>
    <w:rsid w:val="003A46CE"/>
    <w:rsid w:val="003A5E4D"/>
    <w:rsid w:val="003A6C0B"/>
    <w:rsid w:val="003B07B8"/>
    <w:rsid w:val="003B1C20"/>
    <w:rsid w:val="003B21F8"/>
    <w:rsid w:val="003B3AFF"/>
    <w:rsid w:val="003B417F"/>
    <w:rsid w:val="003B4968"/>
    <w:rsid w:val="003B4C13"/>
    <w:rsid w:val="003B5C0C"/>
    <w:rsid w:val="003C23EB"/>
    <w:rsid w:val="003C2C09"/>
    <w:rsid w:val="003C38DE"/>
    <w:rsid w:val="003C53F9"/>
    <w:rsid w:val="003C6F2E"/>
    <w:rsid w:val="003C74CB"/>
    <w:rsid w:val="003D1982"/>
    <w:rsid w:val="003D1B66"/>
    <w:rsid w:val="003D38E1"/>
    <w:rsid w:val="003D5071"/>
    <w:rsid w:val="003E2419"/>
    <w:rsid w:val="003E31BF"/>
    <w:rsid w:val="003E3ECE"/>
    <w:rsid w:val="003E6BA3"/>
    <w:rsid w:val="003F18E7"/>
    <w:rsid w:val="003F1C3D"/>
    <w:rsid w:val="003F21DF"/>
    <w:rsid w:val="003F241A"/>
    <w:rsid w:val="003F3FF7"/>
    <w:rsid w:val="003F6AF4"/>
    <w:rsid w:val="003F7058"/>
    <w:rsid w:val="00400B2B"/>
    <w:rsid w:val="00400DF2"/>
    <w:rsid w:val="00403C8A"/>
    <w:rsid w:val="004050D8"/>
    <w:rsid w:val="0040551F"/>
    <w:rsid w:val="004059C4"/>
    <w:rsid w:val="00406650"/>
    <w:rsid w:val="00407A18"/>
    <w:rsid w:val="00411297"/>
    <w:rsid w:val="00411B54"/>
    <w:rsid w:val="00414CF7"/>
    <w:rsid w:val="00417381"/>
    <w:rsid w:val="004204F3"/>
    <w:rsid w:val="00420F00"/>
    <w:rsid w:val="004212F5"/>
    <w:rsid w:val="00421A17"/>
    <w:rsid w:val="00426522"/>
    <w:rsid w:val="00430183"/>
    <w:rsid w:val="00430ECB"/>
    <w:rsid w:val="004325F7"/>
    <w:rsid w:val="00436245"/>
    <w:rsid w:val="00440FFD"/>
    <w:rsid w:val="00441FCD"/>
    <w:rsid w:val="004425DA"/>
    <w:rsid w:val="00446158"/>
    <w:rsid w:val="00446222"/>
    <w:rsid w:val="00447595"/>
    <w:rsid w:val="0044761E"/>
    <w:rsid w:val="00450F7B"/>
    <w:rsid w:val="00451DBB"/>
    <w:rsid w:val="00452A75"/>
    <w:rsid w:val="00453303"/>
    <w:rsid w:val="0045429D"/>
    <w:rsid w:val="004554A5"/>
    <w:rsid w:val="00457269"/>
    <w:rsid w:val="004618E9"/>
    <w:rsid w:val="0046267A"/>
    <w:rsid w:val="00465218"/>
    <w:rsid w:val="004677E5"/>
    <w:rsid w:val="00470161"/>
    <w:rsid w:val="00470585"/>
    <w:rsid w:val="00470F31"/>
    <w:rsid w:val="004735F5"/>
    <w:rsid w:val="00473935"/>
    <w:rsid w:val="00477B18"/>
    <w:rsid w:val="0048006D"/>
    <w:rsid w:val="0048055D"/>
    <w:rsid w:val="004824B5"/>
    <w:rsid w:val="004844AA"/>
    <w:rsid w:val="004856C1"/>
    <w:rsid w:val="00486DAE"/>
    <w:rsid w:val="00487B80"/>
    <w:rsid w:val="00490F10"/>
    <w:rsid w:val="00491364"/>
    <w:rsid w:val="00493AC3"/>
    <w:rsid w:val="00493DE4"/>
    <w:rsid w:val="0049567C"/>
    <w:rsid w:val="00497095"/>
    <w:rsid w:val="004A01F4"/>
    <w:rsid w:val="004A3383"/>
    <w:rsid w:val="004A4617"/>
    <w:rsid w:val="004A581A"/>
    <w:rsid w:val="004A6313"/>
    <w:rsid w:val="004A66E0"/>
    <w:rsid w:val="004A73AE"/>
    <w:rsid w:val="004A7ECD"/>
    <w:rsid w:val="004B0B75"/>
    <w:rsid w:val="004B215B"/>
    <w:rsid w:val="004B28A1"/>
    <w:rsid w:val="004B5C54"/>
    <w:rsid w:val="004B7D18"/>
    <w:rsid w:val="004B7E2D"/>
    <w:rsid w:val="004C12F2"/>
    <w:rsid w:val="004C1DD9"/>
    <w:rsid w:val="004C3770"/>
    <w:rsid w:val="004C43C2"/>
    <w:rsid w:val="004C4B6C"/>
    <w:rsid w:val="004C4FB3"/>
    <w:rsid w:val="004D1728"/>
    <w:rsid w:val="004D1D6B"/>
    <w:rsid w:val="004D1FFD"/>
    <w:rsid w:val="004D4D5D"/>
    <w:rsid w:val="004D60A3"/>
    <w:rsid w:val="004D71BF"/>
    <w:rsid w:val="004E0548"/>
    <w:rsid w:val="004E0F74"/>
    <w:rsid w:val="004E25D2"/>
    <w:rsid w:val="004E29D7"/>
    <w:rsid w:val="004E2D93"/>
    <w:rsid w:val="004E50B0"/>
    <w:rsid w:val="004E5451"/>
    <w:rsid w:val="004F2276"/>
    <w:rsid w:val="004F3017"/>
    <w:rsid w:val="004F438A"/>
    <w:rsid w:val="004F5029"/>
    <w:rsid w:val="00500944"/>
    <w:rsid w:val="00504A6F"/>
    <w:rsid w:val="00504E6D"/>
    <w:rsid w:val="00506A1E"/>
    <w:rsid w:val="005074B5"/>
    <w:rsid w:val="00511247"/>
    <w:rsid w:val="00511F02"/>
    <w:rsid w:val="005125D3"/>
    <w:rsid w:val="005135C2"/>
    <w:rsid w:val="00521470"/>
    <w:rsid w:val="00523F87"/>
    <w:rsid w:val="00524467"/>
    <w:rsid w:val="00530F3C"/>
    <w:rsid w:val="00532814"/>
    <w:rsid w:val="00534327"/>
    <w:rsid w:val="005347B2"/>
    <w:rsid w:val="00537E06"/>
    <w:rsid w:val="00540F82"/>
    <w:rsid w:val="00541050"/>
    <w:rsid w:val="00541829"/>
    <w:rsid w:val="00543CBE"/>
    <w:rsid w:val="0054466D"/>
    <w:rsid w:val="0054474F"/>
    <w:rsid w:val="00544AC1"/>
    <w:rsid w:val="005528FC"/>
    <w:rsid w:val="00554170"/>
    <w:rsid w:val="00554BF8"/>
    <w:rsid w:val="00556F1C"/>
    <w:rsid w:val="00557303"/>
    <w:rsid w:val="0055752E"/>
    <w:rsid w:val="00560AA1"/>
    <w:rsid w:val="00560AB3"/>
    <w:rsid w:val="00560F78"/>
    <w:rsid w:val="00563D7E"/>
    <w:rsid w:val="0056472C"/>
    <w:rsid w:val="00565000"/>
    <w:rsid w:val="005650DC"/>
    <w:rsid w:val="0056560A"/>
    <w:rsid w:val="005661D2"/>
    <w:rsid w:val="005704A8"/>
    <w:rsid w:val="00570731"/>
    <w:rsid w:val="00570B39"/>
    <w:rsid w:val="00572363"/>
    <w:rsid w:val="0057315A"/>
    <w:rsid w:val="00573FBA"/>
    <w:rsid w:val="00574547"/>
    <w:rsid w:val="0057528B"/>
    <w:rsid w:val="00576CF4"/>
    <w:rsid w:val="005806C8"/>
    <w:rsid w:val="00580D6D"/>
    <w:rsid w:val="005854C0"/>
    <w:rsid w:val="00585642"/>
    <w:rsid w:val="005874FE"/>
    <w:rsid w:val="005909C5"/>
    <w:rsid w:val="00590B1C"/>
    <w:rsid w:val="0059572C"/>
    <w:rsid w:val="00595EAC"/>
    <w:rsid w:val="0059621B"/>
    <w:rsid w:val="005969CF"/>
    <w:rsid w:val="005969DE"/>
    <w:rsid w:val="00597E20"/>
    <w:rsid w:val="005A090C"/>
    <w:rsid w:val="005A3540"/>
    <w:rsid w:val="005A590D"/>
    <w:rsid w:val="005A5F6D"/>
    <w:rsid w:val="005A6AD3"/>
    <w:rsid w:val="005A6CC2"/>
    <w:rsid w:val="005A6CD3"/>
    <w:rsid w:val="005A6DD0"/>
    <w:rsid w:val="005A7E08"/>
    <w:rsid w:val="005B26C5"/>
    <w:rsid w:val="005B28CD"/>
    <w:rsid w:val="005B3354"/>
    <w:rsid w:val="005B3707"/>
    <w:rsid w:val="005B3E03"/>
    <w:rsid w:val="005B40F9"/>
    <w:rsid w:val="005B4A33"/>
    <w:rsid w:val="005B55A0"/>
    <w:rsid w:val="005B5ABB"/>
    <w:rsid w:val="005B646A"/>
    <w:rsid w:val="005B7E28"/>
    <w:rsid w:val="005C07E8"/>
    <w:rsid w:val="005C15EF"/>
    <w:rsid w:val="005C3678"/>
    <w:rsid w:val="005D120A"/>
    <w:rsid w:val="005D1B86"/>
    <w:rsid w:val="005D312D"/>
    <w:rsid w:val="005D34F0"/>
    <w:rsid w:val="005D6116"/>
    <w:rsid w:val="005D7CFA"/>
    <w:rsid w:val="005E1103"/>
    <w:rsid w:val="005E1BE2"/>
    <w:rsid w:val="005E23EB"/>
    <w:rsid w:val="005E3D69"/>
    <w:rsid w:val="005E5213"/>
    <w:rsid w:val="005F042F"/>
    <w:rsid w:val="005F1406"/>
    <w:rsid w:val="005F1ABD"/>
    <w:rsid w:val="005F2248"/>
    <w:rsid w:val="005F45B1"/>
    <w:rsid w:val="005F4CBB"/>
    <w:rsid w:val="005F6F0C"/>
    <w:rsid w:val="006015E2"/>
    <w:rsid w:val="006019B6"/>
    <w:rsid w:val="00606025"/>
    <w:rsid w:val="00607077"/>
    <w:rsid w:val="00610073"/>
    <w:rsid w:val="006103EA"/>
    <w:rsid w:val="0061190D"/>
    <w:rsid w:val="00613424"/>
    <w:rsid w:val="00614449"/>
    <w:rsid w:val="00616830"/>
    <w:rsid w:val="00617D8D"/>
    <w:rsid w:val="00622C72"/>
    <w:rsid w:val="006237D0"/>
    <w:rsid w:val="00624430"/>
    <w:rsid w:val="006247C1"/>
    <w:rsid w:val="00624EDB"/>
    <w:rsid w:val="006255D8"/>
    <w:rsid w:val="006264D9"/>
    <w:rsid w:val="006266DF"/>
    <w:rsid w:val="00626842"/>
    <w:rsid w:val="00627938"/>
    <w:rsid w:val="0063001D"/>
    <w:rsid w:val="00630549"/>
    <w:rsid w:val="00633446"/>
    <w:rsid w:val="00633687"/>
    <w:rsid w:val="006366D6"/>
    <w:rsid w:val="00636A0F"/>
    <w:rsid w:val="00640C97"/>
    <w:rsid w:val="00640E5B"/>
    <w:rsid w:val="00641B8B"/>
    <w:rsid w:val="00641C96"/>
    <w:rsid w:val="006425CC"/>
    <w:rsid w:val="00642BB6"/>
    <w:rsid w:val="006433A5"/>
    <w:rsid w:val="0064379C"/>
    <w:rsid w:val="00644AD1"/>
    <w:rsid w:val="00647C47"/>
    <w:rsid w:val="00652053"/>
    <w:rsid w:val="00652E04"/>
    <w:rsid w:val="00653A9F"/>
    <w:rsid w:val="00654C35"/>
    <w:rsid w:val="006553AC"/>
    <w:rsid w:val="006560A0"/>
    <w:rsid w:val="006566B9"/>
    <w:rsid w:val="0065672B"/>
    <w:rsid w:val="00657C02"/>
    <w:rsid w:val="0066064F"/>
    <w:rsid w:val="00661D8D"/>
    <w:rsid w:val="006628BA"/>
    <w:rsid w:val="00662E42"/>
    <w:rsid w:val="006645D8"/>
    <w:rsid w:val="00665361"/>
    <w:rsid w:val="0066592E"/>
    <w:rsid w:val="006712C3"/>
    <w:rsid w:val="00671993"/>
    <w:rsid w:val="00672674"/>
    <w:rsid w:val="00673C18"/>
    <w:rsid w:val="00674EF0"/>
    <w:rsid w:val="006750FA"/>
    <w:rsid w:val="00675DA6"/>
    <w:rsid w:val="006764D0"/>
    <w:rsid w:val="00680155"/>
    <w:rsid w:val="00681B5D"/>
    <w:rsid w:val="00682685"/>
    <w:rsid w:val="00683ED4"/>
    <w:rsid w:val="00687E5B"/>
    <w:rsid w:val="0069270A"/>
    <w:rsid w:val="00693D49"/>
    <w:rsid w:val="00694233"/>
    <w:rsid w:val="00697B5A"/>
    <w:rsid w:val="006A31D3"/>
    <w:rsid w:val="006A3988"/>
    <w:rsid w:val="006A5216"/>
    <w:rsid w:val="006B054F"/>
    <w:rsid w:val="006B05CE"/>
    <w:rsid w:val="006B32FD"/>
    <w:rsid w:val="006B3309"/>
    <w:rsid w:val="006B37BD"/>
    <w:rsid w:val="006B4E5C"/>
    <w:rsid w:val="006B5529"/>
    <w:rsid w:val="006B732D"/>
    <w:rsid w:val="006B7869"/>
    <w:rsid w:val="006B7F18"/>
    <w:rsid w:val="006C2A2A"/>
    <w:rsid w:val="006C2E8B"/>
    <w:rsid w:val="006C3BC2"/>
    <w:rsid w:val="006C6280"/>
    <w:rsid w:val="006C6513"/>
    <w:rsid w:val="006C68D4"/>
    <w:rsid w:val="006C6C37"/>
    <w:rsid w:val="006D14D5"/>
    <w:rsid w:val="006D178A"/>
    <w:rsid w:val="006D30C4"/>
    <w:rsid w:val="006D53B4"/>
    <w:rsid w:val="006D56C3"/>
    <w:rsid w:val="006D5DC5"/>
    <w:rsid w:val="006D6158"/>
    <w:rsid w:val="006D73DE"/>
    <w:rsid w:val="006E0F04"/>
    <w:rsid w:val="006E20B6"/>
    <w:rsid w:val="006E2F7C"/>
    <w:rsid w:val="006E32E5"/>
    <w:rsid w:val="006E683A"/>
    <w:rsid w:val="006E6BA4"/>
    <w:rsid w:val="006E6F28"/>
    <w:rsid w:val="006F1BEE"/>
    <w:rsid w:val="0070151E"/>
    <w:rsid w:val="007040D7"/>
    <w:rsid w:val="00704754"/>
    <w:rsid w:val="00704A7A"/>
    <w:rsid w:val="00705CC1"/>
    <w:rsid w:val="00706557"/>
    <w:rsid w:val="00706C9B"/>
    <w:rsid w:val="00706FA0"/>
    <w:rsid w:val="007111D1"/>
    <w:rsid w:val="00712216"/>
    <w:rsid w:val="00713DFF"/>
    <w:rsid w:val="00714176"/>
    <w:rsid w:val="007141EF"/>
    <w:rsid w:val="00715082"/>
    <w:rsid w:val="0072094C"/>
    <w:rsid w:val="00721A56"/>
    <w:rsid w:val="007238D7"/>
    <w:rsid w:val="00723FB2"/>
    <w:rsid w:val="007248AA"/>
    <w:rsid w:val="00725CF1"/>
    <w:rsid w:val="00726A51"/>
    <w:rsid w:val="00730A79"/>
    <w:rsid w:val="00730F4A"/>
    <w:rsid w:val="00732C53"/>
    <w:rsid w:val="00737A51"/>
    <w:rsid w:val="007414D0"/>
    <w:rsid w:val="007415D0"/>
    <w:rsid w:val="0074288F"/>
    <w:rsid w:val="00742A53"/>
    <w:rsid w:val="00745776"/>
    <w:rsid w:val="007471AD"/>
    <w:rsid w:val="00747B9E"/>
    <w:rsid w:val="0075141B"/>
    <w:rsid w:val="00753914"/>
    <w:rsid w:val="007561E9"/>
    <w:rsid w:val="00757BA1"/>
    <w:rsid w:val="00760812"/>
    <w:rsid w:val="0076286C"/>
    <w:rsid w:val="007642C3"/>
    <w:rsid w:val="007646F8"/>
    <w:rsid w:val="00765163"/>
    <w:rsid w:val="0076575B"/>
    <w:rsid w:val="00765A57"/>
    <w:rsid w:val="00767D49"/>
    <w:rsid w:val="00771DC2"/>
    <w:rsid w:val="00772958"/>
    <w:rsid w:val="0077357C"/>
    <w:rsid w:val="00773A3F"/>
    <w:rsid w:val="0077439B"/>
    <w:rsid w:val="00774650"/>
    <w:rsid w:val="00774883"/>
    <w:rsid w:val="00777F5A"/>
    <w:rsid w:val="00780476"/>
    <w:rsid w:val="007818AD"/>
    <w:rsid w:val="00781E83"/>
    <w:rsid w:val="007821A7"/>
    <w:rsid w:val="00783A0A"/>
    <w:rsid w:val="00786869"/>
    <w:rsid w:val="00790B7E"/>
    <w:rsid w:val="00792CE7"/>
    <w:rsid w:val="00793443"/>
    <w:rsid w:val="00794C05"/>
    <w:rsid w:val="00794E8E"/>
    <w:rsid w:val="007950CC"/>
    <w:rsid w:val="00795128"/>
    <w:rsid w:val="007962C3"/>
    <w:rsid w:val="007966B1"/>
    <w:rsid w:val="00796A2B"/>
    <w:rsid w:val="00797BB7"/>
    <w:rsid w:val="007A05FB"/>
    <w:rsid w:val="007A272C"/>
    <w:rsid w:val="007A554F"/>
    <w:rsid w:val="007A56BA"/>
    <w:rsid w:val="007B0148"/>
    <w:rsid w:val="007B1FB8"/>
    <w:rsid w:val="007B22DE"/>
    <w:rsid w:val="007B4D14"/>
    <w:rsid w:val="007B4D2C"/>
    <w:rsid w:val="007B6D48"/>
    <w:rsid w:val="007B7658"/>
    <w:rsid w:val="007C2AE9"/>
    <w:rsid w:val="007C5751"/>
    <w:rsid w:val="007C5DF2"/>
    <w:rsid w:val="007D12A0"/>
    <w:rsid w:val="007D2530"/>
    <w:rsid w:val="007D4242"/>
    <w:rsid w:val="007D46FC"/>
    <w:rsid w:val="007D4980"/>
    <w:rsid w:val="007D5419"/>
    <w:rsid w:val="007D6B45"/>
    <w:rsid w:val="007D6E06"/>
    <w:rsid w:val="007E0001"/>
    <w:rsid w:val="007E25B3"/>
    <w:rsid w:val="007E37D6"/>
    <w:rsid w:val="007E5364"/>
    <w:rsid w:val="007E5A18"/>
    <w:rsid w:val="007E6960"/>
    <w:rsid w:val="007E7FC9"/>
    <w:rsid w:val="007F099B"/>
    <w:rsid w:val="007F0A78"/>
    <w:rsid w:val="007F3630"/>
    <w:rsid w:val="007F3A44"/>
    <w:rsid w:val="007F43EA"/>
    <w:rsid w:val="007F5541"/>
    <w:rsid w:val="007F58B8"/>
    <w:rsid w:val="007F59E2"/>
    <w:rsid w:val="00803B0A"/>
    <w:rsid w:val="008054B2"/>
    <w:rsid w:val="0080582E"/>
    <w:rsid w:val="008060BC"/>
    <w:rsid w:val="00806D88"/>
    <w:rsid w:val="00813B27"/>
    <w:rsid w:val="0081534C"/>
    <w:rsid w:val="008154D8"/>
    <w:rsid w:val="00817AEE"/>
    <w:rsid w:val="00820B4D"/>
    <w:rsid w:val="008223EB"/>
    <w:rsid w:val="008231C9"/>
    <w:rsid w:val="008254C5"/>
    <w:rsid w:val="00830008"/>
    <w:rsid w:val="00830B4A"/>
    <w:rsid w:val="008320DF"/>
    <w:rsid w:val="00833429"/>
    <w:rsid w:val="00834C40"/>
    <w:rsid w:val="008350C4"/>
    <w:rsid w:val="008366A1"/>
    <w:rsid w:val="00836D3F"/>
    <w:rsid w:val="00840D03"/>
    <w:rsid w:val="00845A6F"/>
    <w:rsid w:val="00850B32"/>
    <w:rsid w:val="00851728"/>
    <w:rsid w:val="00851D43"/>
    <w:rsid w:val="00851F90"/>
    <w:rsid w:val="008522F5"/>
    <w:rsid w:val="00854F60"/>
    <w:rsid w:val="00855064"/>
    <w:rsid w:val="008559C9"/>
    <w:rsid w:val="00857452"/>
    <w:rsid w:val="00861BBF"/>
    <w:rsid w:val="00862E39"/>
    <w:rsid w:val="00863A6D"/>
    <w:rsid w:val="00865461"/>
    <w:rsid w:val="00866596"/>
    <w:rsid w:val="00867133"/>
    <w:rsid w:val="008674AC"/>
    <w:rsid w:val="00867E86"/>
    <w:rsid w:val="00870A97"/>
    <w:rsid w:val="00870AA8"/>
    <w:rsid w:val="0087121E"/>
    <w:rsid w:val="0087210E"/>
    <w:rsid w:val="00875C54"/>
    <w:rsid w:val="008770B4"/>
    <w:rsid w:val="00881759"/>
    <w:rsid w:val="008859EF"/>
    <w:rsid w:val="00885C6D"/>
    <w:rsid w:val="008902D8"/>
    <w:rsid w:val="00890552"/>
    <w:rsid w:val="00891D42"/>
    <w:rsid w:val="00895408"/>
    <w:rsid w:val="008A1259"/>
    <w:rsid w:val="008A605C"/>
    <w:rsid w:val="008A6D7A"/>
    <w:rsid w:val="008B1A0B"/>
    <w:rsid w:val="008B1B61"/>
    <w:rsid w:val="008B3295"/>
    <w:rsid w:val="008B6E95"/>
    <w:rsid w:val="008C1FF5"/>
    <w:rsid w:val="008C24E2"/>
    <w:rsid w:val="008C4035"/>
    <w:rsid w:val="008C580F"/>
    <w:rsid w:val="008C77D0"/>
    <w:rsid w:val="008D03D7"/>
    <w:rsid w:val="008D0642"/>
    <w:rsid w:val="008D3855"/>
    <w:rsid w:val="008D5EEB"/>
    <w:rsid w:val="008D72A4"/>
    <w:rsid w:val="008D7D4E"/>
    <w:rsid w:val="008E0730"/>
    <w:rsid w:val="008E217D"/>
    <w:rsid w:val="008E29AF"/>
    <w:rsid w:val="008E57B2"/>
    <w:rsid w:val="008E5D2E"/>
    <w:rsid w:val="008E63D8"/>
    <w:rsid w:val="008F1BDB"/>
    <w:rsid w:val="008F327C"/>
    <w:rsid w:val="008F3B5D"/>
    <w:rsid w:val="008F40E4"/>
    <w:rsid w:val="008F5C76"/>
    <w:rsid w:val="008F7977"/>
    <w:rsid w:val="00900548"/>
    <w:rsid w:val="009007D7"/>
    <w:rsid w:val="00904AB8"/>
    <w:rsid w:val="00905C90"/>
    <w:rsid w:val="00906245"/>
    <w:rsid w:val="00907999"/>
    <w:rsid w:val="00912C15"/>
    <w:rsid w:val="00913A2A"/>
    <w:rsid w:val="00913FFD"/>
    <w:rsid w:val="00915D89"/>
    <w:rsid w:val="0091609D"/>
    <w:rsid w:val="00920E4F"/>
    <w:rsid w:val="00921475"/>
    <w:rsid w:val="00922171"/>
    <w:rsid w:val="00922730"/>
    <w:rsid w:val="00922C25"/>
    <w:rsid w:val="009237AE"/>
    <w:rsid w:val="009254F9"/>
    <w:rsid w:val="00925B8C"/>
    <w:rsid w:val="009262E3"/>
    <w:rsid w:val="009270F6"/>
    <w:rsid w:val="00932163"/>
    <w:rsid w:val="009322E0"/>
    <w:rsid w:val="009338BB"/>
    <w:rsid w:val="00934589"/>
    <w:rsid w:val="009349AB"/>
    <w:rsid w:val="00934A3A"/>
    <w:rsid w:val="009359DF"/>
    <w:rsid w:val="009365AD"/>
    <w:rsid w:val="00937CA3"/>
    <w:rsid w:val="0094337A"/>
    <w:rsid w:val="00944448"/>
    <w:rsid w:val="009458D1"/>
    <w:rsid w:val="0094746A"/>
    <w:rsid w:val="00952100"/>
    <w:rsid w:val="0095218C"/>
    <w:rsid w:val="00953F33"/>
    <w:rsid w:val="009560AF"/>
    <w:rsid w:val="009575B2"/>
    <w:rsid w:val="00964C50"/>
    <w:rsid w:val="00966AAF"/>
    <w:rsid w:val="00970157"/>
    <w:rsid w:val="009719C6"/>
    <w:rsid w:val="00972F6A"/>
    <w:rsid w:val="0097590D"/>
    <w:rsid w:val="00975CD6"/>
    <w:rsid w:val="00976FD2"/>
    <w:rsid w:val="009775FA"/>
    <w:rsid w:val="009777D3"/>
    <w:rsid w:val="009839BE"/>
    <w:rsid w:val="00983FA0"/>
    <w:rsid w:val="00986B76"/>
    <w:rsid w:val="00986FB9"/>
    <w:rsid w:val="009909FE"/>
    <w:rsid w:val="00990C73"/>
    <w:rsid w:val="0099127A"/>
    <w:rsid w:val="00991B7D"/>
    <w:rsid w:val="009939E8"/>
    <w:rsid w:val="00995D23"/>
    <w:rsid w:val="009968BD"/>
    <w:rsid w:val="009A0D75"/>
    <w:rsid w:val="009A443B"/>
    <w:rsid w:val="009A5332"/>
    <w:rsid w:val="009A57A6"/>
    <w:rsid w:val="009B1DA0"/>
    <w:rsid w:val="009B2C5D"/>
    <w:rsid w:val="009B45D8"/>
    <w:rsid w:val="009B77A0"/>
    <w:rsid w:val="009C12C2"/>
    <w:rsid w:val="009C13B3"/>
    <w:rsid w:val="009C242E"/>
    <w:rsid w:val="009C6240"/>
    <w:rsid w:val="009C6466"/>
    <w:rsid w:val="009D0992"/>
    <w:rsid w:val="009D12DB"/>
    <w:rsid w:val="009D2611"/>
    <w:rsid w:val="009D3A2A"/>
    <w:rsid w:val="009D5EA8"/>
    <w:rsid w:val="009D7898"/>
    <w:rsid w:val="009E0297"/>
    <w:rsid w:val="009E1AA7"/>
    <w:rsid w:val="009E424E"/>
    <w:rsid w:val="009E5250"/>
    <w:rsid w:val="009F1D2D"/>
    <w:rsid w:val="009F397D"/>
    <w:rsid w:val="009F5972"/>
    <w:rsid w:val="009F6175"/>
    <w:rsid w:val="00A003DB"/>
    <w:rsid w:val="00A037B6"/>
    <w:rsid w:val="00A12D33"/>
    <w:rsid w:val="00A136BA"/>
    <w:rsid w:val="00A14CA5"/>
    <w:rsid w:val="00A14FB9"/>
    <w:rsid w:val="00A174E2"/>
    <w:rsid w:val="00A17596"/>
    <w:rsid w:val="00A20679"/>
    <w:rsid w:val="00A21982"/>
    <w:rsid w:val="00A229B3"/>
    <w:rsid w:val="00A266CF"/>
    <w:rsid w:val="00A2796B"/>
    <w:rsid w:val="00A32790"/>
    <w:rsid w:val="00A3439D"/>
    <w:rsid w:val="00A349A3"/>
    <w:rsid w:val="00A353C7"/>
    <w:rsid w:val="00A35CFD"/>
    <w:rsid w:val="00A40712"/>
    <w:rsid w:val="00A40DF8"/>
    <w:rsid w:val="00A4118C"/>
    <w:rsid w:val="00A438B7"/>
    <w:rsid w:val="00A43FED"/>
    <w:rsid w:val="00A44654"/>
    <w:rsid w:val="00A44D09"/>
    <w:rsid w:val="00A456FE"/>
    <w:rsid w:val="00A45792"/>
    <w:rsid w:val="00A51914"/>
    <w:rsid w:val="00A5210F"/>
    <w:rsid w:val="00A543B1"/>
    <w:rsid w:val="00A54BFC"/>
    <w:rsid w:val="00A54E55"/>
    <w:rsid w:val="00A57918"/>
    <w:rsid w:val="00A57D60"/>
    <w:rsid w:val="00A610A5"/>
    <w:rsid w:val="00A622A9"/>
    <w:rsid w:val="00A7014E"/>
    <w:rsid w:val="00A702BE"/>
    <w:rsid w:val="00A70986"/>
    <w:rsid w:val="00A731D6"/>
    <w:rsid w:val="00A74783"/>
    <w:rsid w:val="00A751BD"/>
    <w:rsid w:val="00A752C7"/>
    <w:rsid w:val="00A76CAC"/>
    <w:rsid w:val="00A77DBF"/>
    <w:rsid w:val="00A8109E"/>
    <w:rsid w:val="00A81306"/>
    <w:rsid w:val="00A87BBB"/>
    <w:rsid w:val="00A91231"/>
    <w:rsid w:val="00A9361A"/>
    <w:rsid w:val="00A93D6A"/>
    <w:rsid w:val="00A94E33"/>
    <w:rsid w:val="00A974EA"/>
    <w:rsid w:val="00AA06B6"/>
    <w:rsid w:val="00AA489A"/>
    <w:rsid w:val="00AA66FF"/>
    <w:rsid w:val="00AB5788"/>
    <w:rsid w:val="00AB73A6"/>
    <w:rsid w:val="00AB76ED"/>
    <w:rsid w:val="00AB7CAC"/>
    <w:rsid w:val="00AC0E51"/>
    <w:rsid w:val="00AC519A"/>
    <w:rsid w:val="00AC68B2"/>
    <w:rsid w:val="00AC6C48"/>
    <w:rsid w:val="00AC771E"/>
    <w:rsid w:val="00AD00AB"/>
    <w:rsid w:val="00AD2606"/>
    <w:rsid w:val="00AD28A3"/>
    <w:rsid w:val="00AD2907"/>
    <w:rsid w:val="00AD3F93"/>
    <w:rsid w:val="00AD440B"/>
    <w:rsid w:val="00AD5DEF"/>
    <w:rsid w:val="00AE0DFA"/>
    <w:rsid w:val="00AF1DD4"/>
    <w:rsid w:val="00AF6576"/>
    <w:rsid w:val="00AF70CC"/>
    <w:rsid w:val="00AF7364"/>
    <w:rsid w:val="00B033D5"/>
    <w:rsid w:val="00B07C84"/>
    <w:rsid w:val="00B1096B"/>
    <w:rsid w:val="00B11A37"/>
    <w:rsid w:val="00B12AD5"/>
    <w:rsid w:val="00B160E2"/>
    <w:rsid w:val="00B17670"/>
    <w:rsid w:val="00B17998"/>
    <w:rsid w:val="00B21EA8"/>
    <w:rsid w:val="00B24546"/>
    <w:rsid w:val="00B245C7"/>
    <w:rsid w:val="00B25BB0"/>
    <w:rsid w:val="00B264D7"/>
    <w:rsid w:val="00B31269"/>
    <w:rsid w:val="00B31B20"/>
    <w:rsid w:val="00B35685"/>
    <w:rsid w:val="00B36F06"/>
    <w:rsid w:val="00B37FA0"/>
    <w:rsid w:val="00B42A14"/>
    <w:rsid w:val="00B46CCF"/>
    <w:rsid w:val="00B509E6"/>
    <w:rsid w:val="00B51F0C"/>
    <w:rsid w:val="00B5486D"/>
    <w:rsid w:val="00B568E2"/>
    <w:rsid w:val="00B569A0"/>
    <w:rsid w:val="00B6018F"/>
    <w:rsid w:val="00B60CFF"/>
    <w:rsid w:val="00B612D2"/>
    <w:rsid w:val="00B628C2"/>
    <w:rsid w:val="00B63501"/>
    <w:rsid w:val="00B63D0E"/>
    <w:rsid w:val="00B6502E"/>
    <w:rsid w:val="00B72CFB"/>
    <w:rsid w:val="00B73730"/>
    <w:rsid w:val="00B73D3A"/>
    <w:rsid w:val="00B73D75"/>
    <w:rsid w:val="00B76B79"/>
    <w:rsid w:val="00B820F1"/>
    <w:rsid w:val="00B823D3"/>
    <w:rsid w:val="00B848FF"/>
    <w:rsid w:val="00B8649F"/>
    <w:rsid w:val="00B9107D"/>
    <w:rsid w:val="00B91734"/>
    <w:rsid w:val="00B922A0"/>
    <w:rsid w:val="00B9265B"/>
    <w:rsid w:val="00B942F8"/>
    <w:rsid w:val="00B945B4"/>
    <w:rsid w:val="00B95055"/>
    <w:rsid w:val="00B955DF"/>
    <w:rsid w:val="00BA068C"/>
    <w:rsid w:val="00BA3BA8"/>
    <w:rsid w:val="00BA4530"/>
    <w:rsid w:val="00BA47C1"/>
    <w:rsid w:val="00BA51D6"/>
    <w:rsid w:val="00BA52D5"/>
    <w:rsid w:val="00BA689A"/>
    <w:rsid w:val="00BB05A6"/>
    <w:rsid w:val="00BB0F16"/>
    <w:rsid w:val="00BB2C4F"/>
    <w:rsid w:val="00BB3D1E"/>
    <w:rsid w:val="00BB5128"/>
    <w:rsid w:val="00BB7685"/>
    <w:rsid w:val="00BC07BD"/>
    <w:rsid w:val="00BC21D8"/>
    <w:rsid w:val="00BC3EE4"/>
    <w:rsid w:val="00BC55D0"/>
    <w:rsid w:val="00BC5B61"/>
    <w:rsid w:val="00BD156A"/>
    <w:rsid w:val="00BD2BE6"/>
    <w:rsid w:val="00BD3F0D"/>
    <w:rsid w:val="00BD50B8"/>
    <w:rsid w:val="00BD71EB"/>
    <w:rsid w:val="00BD77C3"/>
    <w:rsid w:val="00BD7960"/>
    <w:rsid w:val="00BE7B13"/>
    <w:rsid w:val="00BF0390"/>
    <w:rsid w:val="00BF0A95"/>
    <w:rsid w:val="00BF2097"/>
    <w:rsid w:val="00BF268F"/>
    <w:rsid w:val="00BF373E"/>
    <w:rsid w:val="00BF3786"/>
    <w:rsid w:val="00BF462D"/>
    <w:rsid w:val="00BF65EA"/>
    <w:rsid w:val="00BF6AF2"/>
    <w:rsid w:val="00BF7DD9"/>
    <w:rsid w:val="00C019D4"/>
    <w:rsid w:val="00C02CE2"/>
    <w:rsid w:val="00C0476A"/>
    <w:rsid w:val="00C10FD9"/>
    <w:rsid w:val="00C1272C"/>
    <w:rsid w:val="00C1440B"/>
    <w:rsid w:val="00C146FA"/>
    <w:rsid w:val="00C14E06"/>
    <w:rsid w:val="00C15B23"/>
    <w:rsid w:val="00C1777B"/>
    <w:rsid w:val="00C17BCC"/>
    <w:rsid w:val="00C201FF"/>
    <w:rsid w:val="00C203BF"/>
    <w:rsid w:val="00C21A6A"/>
    <w:rsid w:val="00C302E4"/>
    <w:rsid w:val="00C327FE"/>
    <w:rsid w:val="00C32D86"/>
    <w:rsid w:val="00C3306C"/>
    <w:rsid w:val="00C34416"/>
    <w:rsid w:val="00C3458A"/>
    <w:rsid w:val="00C35919"/>
    <w:rsid w:val="00C3663C"/>
    <w:rsid w:val="00C36E43"/>
    <w:rsid w:val="00C3725D"/>
    <w:rsid w:val="00C42A4B"/>
    <w:rsid w:val="00C42EB5"/>
    <w:rsid w:val="00C43069"/>
    <w:rsid w:val="00C43745"/>
    <w:rsid w:val="00C4406C"/>
    <w:rsid w:val="00C4473F"/>
    <w:rsid w:val="00C447EC"/>
    <w:rsid w:val="00C463A8"/>
    <w:rsid w:val="00C470EC"/>
    <w:rsid w:val="00C506B0"/>
    <w:rsid w:val="00C50D3A"/>
    <w:rsid w:val="00C51AC2"/>
    <w:rsid w:val="00C57DF3"/>
    <w:rsid w:val="00C62A2C"/>
    <w:rsid w:val="00C645A4"/>
    <w:rsid w:val="00C65657"/>
    <w:rsid w:val="00C65BE4"/>
    <w:rsid w:val="00C70BF0"/>
    <w:rsid w:val="00C733D9"/>
    <w:rsid w:val="00C745A0"/>
    <w:rsid w:val="00C7487D"/>
    <w:rsid w:val="00C74C1C"/>
    <w:rsid w:val="00C7589A"/>
    <w:rsid w:val="00C81363"/>
    <w:rsid w:val="00C81EAA"/>
    <w:rsid w:val="00C84F3D"/>
    <w:rsid w:val="00C85012"/>
    <w:rsid w:val="00C85326"/>
    <w:rsid w:val="00C867DE"/>
    <w:rsid w:val="00C92164"/>
    <w:rsid w:val="00C936CD"/>
    <w:rsid w:val="00C93E64"/>
    <w:rsid w:val="00C946F9"/>
    <w:rsid w:val="00C9539E"/>
    <w:rsid w:val="00C9590A"/>
    <w:rsid w:val="00C97D11"/>
    <w:rsid w:val="00CA0D0F"/>
    <w:rsid w:val="00CA1D18"/>
    <w:rsid w:val="00CA1F8D"/>
    <w:rsid w:val="00CA2D75"/>
    <w:rsid w:val="00CA5459"/>
    <w:rsid w:val="00CA6FB9"/>
    <w:rsid w:val="00CB07FE"/>
    <w:rsid w:val="00CB21A1"/>
    <w:rsid w:val="00CB22BE"/>
    <w:rsid w:val="00CB34C1"/>
    <w:rsid w:val="00CB34D2"/>
    <w:rsid w:val="00CB40B6"/>
    <w:rsid w:val="00CC04D9"/>
    <w:rsid w:val="00CC388F"/>
    <w:rsid w:val="00CC474B"/>
    <w:rsid w:val="00CC7687"/>
    <w:rsid w:val="00CC7B67"/>
    <w:rsid w:val="00CD1AA6"/>
    <w:rsid w:val="00CD255F"/>
    <w:rsid w:val="00CD2D8E"/>
    <w:rsid w:val="00CD5B3F"/>
    <w:rsid w:val="00CD5E12"/>
    <w:rsid w:val="00CD66B1"/>
    <w:rsid w:val="00CD6BD6"/>
    <w:rsid w:val="00CD6E5B"/>
    <w:rsid w:val="00CF08BB"/>
    <w:rsid w:val="00CF20B6"/>
    <w:rsid w:val="00CF2D15"/>
    <w:rsid w:val="00CF47C4"/>
    <w:rsid w:val="00CF5F66"/>
    <w:rsid w:val="00CF64E1"/>
    <w:rsid w:val="00CF7191"/>
    <w:rsid w:val="00D00B9D"/>
    <w:rsid w:val="00D01AA0"/>
    <w:rsid w:val="00D02694"/>
    <w:rsid w:val="00D039A0"/>
    <w:rsid w:val="00D03A45"/>
    <w:rsid w:val="00D03AA4"/>
    <w:rsid w:val="00D06610"/>
    <w:rsid w:val="00D11212"/>
    <w:rsid w:val="00D125E6"/>
    <w:rsid w:val="00D1307F"/>
    <w:rsid w:val="00D133F2"/>
    <w:rsid w:val="00D13E86"/>
    <w:rsid w:val="00D160DE"/>
    <w:rsid w:val="00D20BA5"/>
    <w:rsid w:val="00D21031"/>
    <w:rsid w:val="00D227A7"/>
    <w:rsid w:val="00D25139"/>
    <w:rsid w:val="00D26A89"/>
    <w:rsid w:val="00D27A7F"/>
    <w:rsid w:val="00D3124A"/>
    <w:rsid w:val="00D312B4"/>
    <w:rsid w:val="00D314E4"/>
    <w:rsid w:val="00D31AD3"/>
    <w:rsid w:val="00D3277B"/>
    <w:rsid w:val="00D33631"/>
    <w:rsid w:val="00D369EC"/>
    <w:rsid w:val="00D43278"/>
    <w:rsid w:val="00D432D8"/>
    <w:rsid w:val="00D43D02"/>
    <w:rsid w:val="00D45CCD"/>
    <w:rsid w:val="00D46706"/>
    <w:rsid w:val="00D4775F"/>
    <w:rsid w:val="00D52187"/>
    <w:rsid w:val="00D550DD"/>
    <w:rsid w:val="00D562FE"/>
    <w:rsid w:val="00D56394"/>
    <w:rsid w:val="00D57BBE"/>
    <w:rsid w:val="00D603AE"/>
    <w:rsid w:val="00D61176"/>
    <w:rsid w:val="00D616E0"/>
    <w:rsid w:val="00D63041"/>
    <w:rsid w:val="00D64AA1"/>
    <w:rsid w:val="00D66980"/>
    <w:rsid w:val="00D67C8B"/>
    <w:rsid w:val="00D67E75"/>
    <w:rsid w:val="00D7016D"/>
    <w:rsid w:val="00D71020"/>
    <w:rsid w:val="00D72090"/>
    <w:rsid w:val="00D727F2"/>
    <w:rsid w:val="00D7396F"/>
    <w:rsid w:val="00D73C1B"/>
    <w:rsid w:val="00D7571E"/>
    <w:rsid w:val="00D81446"/>
    <w:rsid w:val="00D8193B"/>
    <w:rsid w:val="00D82880"/>
    <w:rsid w:val="00D86121"/>
    <w:rsid w:val="00D92A33"/>
    <w:rsid w:val="00D93C1D"/>
    <w:rsid w:val="00D93E55"/>
    <w:rsid w:val="00D94F39"/>
    <w:rsid w:val="00D94F99"/>
    <w:rsid w:val="00D97BAC"/>
    <w:rsid w:val="00DA1A3C"/>
    <w:rsid w:val="00DA218D"/>
    <w:rsid w:val="00DA3340"/>
    <w:rsid w:val="00DA43E1"/>
    <w:rsid w:val="00DA4D80"/>
    <w:rsid w:val="00DA5151"/>
    <w:rsid w:val="00DA5602"/>
    <w:rsid w:val="00DA66EB"/>
    <w:rsid w:val="00DA697C"/>
    <w:rsid w:val="00DA6BF8"/>
    <w:rsid w:val="00DA735C"/>
    <w:rsid w:val="00DB3CBC"/>
    <w:rsid w:val="00DB6DCB"/>
    <w:rsid w:val="00DC0431"/>
    <w:rsid w:val="00DC2AC9"/>
    <w:rsid w:val="00DC40CE"/>
    <w:rsid w:val="00DC46FB"/>
    <w:rsid w:val="00DC4E8A"/>
    <w:rsid w:val="00DC5C76"/>
    <w:rsid w:val="00DC74C3"/>
    <w:rsid w:val="00DD2461"/>
    <w:rsid w:val="00DD3035"/>
    <w:rsid w:val="00DD32E3"/>
    <w:rsid w:val="00DD39EA"/>
    <w:rsid w:val="00DD55CF"/>
    <w:rsid w:val="00DD6B0E"/>
    <w:rsid w:val="00DE02FF"/>
    <w:rsid w:val="00DE4224"/>
    <w:rsid w:val="00DE5D6E"/>
    <w:rsid w:val="00DE5F3D"/>
    <w:rsid w:val="00DF06E2"/>
    <w:rsid w:val="00DF08AA"/>
    <w:rsid w:val="00DF0BCD"/>
    <w:rsid w:val="00DF0CFA"/>
    <w:rsid w:val="00DF14A6"/>
    <w:rsid w:val="00DF3828"/>
    <w:rsid w:val="00DF4D49"/>
    <w:rsid w:val="00DF55CF"/>
    <w:rsid w:val="00DF596F"/>
    <w:rsid w:val="00DF5A0E"/>
    <w:rsid w:val="00E00E85"/>
    <w:rsid w:val="00E01DCF"/>
    <w:rsid w:val="00E02EB2"/>
    <w:rsid w:val="00E05A1A"/>
    <w:rsid w:val="00E068EF"/>
    <w:rsid w:val="00E0697B"/>
    <w:rsid w:val="00E100FB"/>
    <w:rsid w:val="00E123C2"/>
    <w:rsid w:val="00E130E6"/>
    <w:rsid w:val="00E134C4"/>
    <w:rsid w:val="00E13708"/>
    <w:rsid w:val="00E13DBA"/>
    <w:rsid w:val="00E15901"/>
    <w:rsid w:val="00E2106D"/>
    <w:rsid w:val="00E212B3"/>
    <w:rsid w:val="00E215CB"/>
    <w:rsid w:val="00E217E2"/>
    <w:rsid w:val="00E21C0E"/>
    <w:rsid w:val="00E2333F"/>
    <w:rsid w:val="00E25554"/>
    <w:rsid w:val="00E25DE5"/>
    <w:rsid w:val="00E27587"/>
    <w:rsid w:val="00E27D35"/>
    <w:rsid w:val="00E27FE9"/>
    <w:rsid w:val="00E332D8"/>
    <w:rsid w:val="00E34865"/>
    <w:rsid w:val="00E3796F"/>
    <w:rsid w:val="00E37BFA"/>
    <w:rsid w:val="00E4003C"/>
    <w:rsid w:val="00E431D9"/>
    <w:rsid w:val="00E446E8"/>
    <w:rsid w:val="00E44C06"/>
    <w:rsid w:val="00E44C3B"/>
    <w:rsid w:val="00E46968"/>
    <w:rsid w:val="00E46BAF"/>
    <w:rsid w:val="00E4783B"/>
    <w:rsid w:val="00E5134E"/>
    <w:rsid w:val="00E51A58"/>
    <w:rsid w:val="00E51F7D"/>
    <w:rsid w:val="00E5242C"/>
    <w:rsid w:val="00E542A7"/>
    <w:rsid w:val="00E557E5"/>
    <w:rsid w:val="00E569C5"/>
    <w:rsid w:val="00E574B5"/>
    <w:rsid w:val="00E613FC"/>
    <w:rsid w:val="00E62D2A"/>
    <w:rsid w:val="00E64E14"/>
    <w:rsid w:val="00E654E2"/>
    <w:rsid w:val="00E6590A"/>
    <w:rsid w:val="00E71561"/>
    <w:rsid w:val="00E71974"/>
    <w:rsid w:val="00E7216E"/>
    <w:rsid w:val="00E741ED"/>
    <w:rsid w:val="00E744A0"/>
    <w:rsid w:val="00E75CED"/>
    <w:rsid w:val="00E75D8D"/>
    <w:rsid w:val="00E76787"/>
    <w:rsid w:val="00E83771"/>
    <w:rsid w:val="00E86F9F"/>
    <w:rsid w:val="00E9035D"/>
    <w:rsid w:val="00E90B0B"/>
    <w:rsid w:val="00E929CF"/>
    <w:rsid w:val="00E94670"/>
    <w:rsid w:val="00E96F40"/>
    <w:rsid w:val="00EA1E91"/>
    <w:rsid w:val="00EA2C28"/>
    <w:rsid w:val="00EA358B"/>
    <w:rsid w:val="00EA5272"/>
    <w:rsid w:val="00EA53A9"/>
    <w:rsid w:val="00EA57C2"/>
    <w:rsid w:val="00EA6B8B"/>
    <w:rsid w:val="00EA6F97"/>
    <w:rsid w:val="00EA7FBC"/>
    <w:rsid w:val="00EB0686"/>
    <w:rsid w:val="00EB0B7B"/>
    <w:rsid w:val="00EB1BB4"/>
    <w:rsid w:val="00EB5B78"/>
    <w:rsid w:val="00EB6772"/>
    <w:rsid w:val="00EB6DF7"/>
    <w:rsid w:val="00EC033E"/>
    <w:rsid w:val="00EC0935"/>
    <w:rsid w:val="00EC4E42"/>
    <w:rsid w:val="00EC58F9"/>
    <w:rsid w:val="00EC760E"/>
    <w:rsid w:val="00ED2C37"/>
    <w:rsid w:val="00ED3F07"/>
    <w:rsid w:val="00ED4063"/>
    <w:rsid w:val="00ED4AD1"/>
    <w:rsid w:val="00ED6A62"/>
    <w:rsid w:val="00ED6D95"/>
    <w:rsid w:val="00EE01EC"/>
    <w:rsid w:val="00EE0642"/>
    <w:rsid w:val="00EE1669"/>
    <w:rsid w:val="00EE2672"/>
    <w:rsid w:val="00EE4BB8"/>
    <w:rsid w:val="00EE531D"/>
    <w:rsid w:val="00EE53AE"/>
    <w:rsid w:val="00EE5661"/>
    <w:rsid w:val="00EF00A9"/>
    <w:rsid w:val="00EF1085"/>
    <w:rsid w:val="00EF158A"/>
    <w:rsid w:val="00EF466B"/>
    <w:rsid w:val="00EF4B9B"/>
    <w:rsid w:val="00EF519A"/>
    <w:rsid w:val="00EF580D"/>
    <w:rsid w:val="00EF6D5D"/>
    <w:rsid w:val="00F00215"/>
    <w:rsid w:val="00F004C1"/>
    <w:rsid w:val="00F00C55"/>
    <w:rsid w:val="00F029D4"/>
    <w:rsid w:val="00F03085"/>
    <w:rsid w:val="00F03D70"/>
    <w:rsid w:val="00F03EA1"/>
    <w:rsid w:val="00F04762"/>
    <w:rsid w:val="00F049DA"/>
    <w:rsid w:val="00F056F5"/>
    <w:rsid w:val="00F10913"/>
    <w:rsid w:val="00F11924"/>
    <w:rsid w:val="00F11975"/>
    <w:rsid w:val="00F2049C"/>
    <w:rsid w:val="00F23B1A"/>
    <w:rsid w:val="00F245C1"/>
    <w:rsid w:val="00F257A3"/>
    <w:rsid w:val="00F25C1F"/>
    <w:rsid w:val="00F26217"/>
    <w:rsid w:val="00F27691"/>
    <w:rsid w:val="00F311DC"/>
    <w:rsid w:val="00F320BF"/>
    <w:rsid w:val="00F327AA"/>
    <w:rsid w:val="00F32B7A"/>
    <w:rsid w:val="00F348C3"/>
    <w:rsid w:val="00F34F75"/>
    <w:rsid w:val="00F35FA1"/>
    <w:rsid w:val="00F407EE"/>
    <w:rsid w:val="00F41062"/>
    <w:rsid w:val="00F411D7"/>
    <w:rsid w:val="00F41832"/>
    <w:rsid w:val="00F42E61"/>
    <w:rsid w:val="00F4350A"/>
    <w:rsid w:val="00F47B8B"/>
    <w:rsid w:val="00F515B8"/>
    <w:rsid w:val="00F52EB2"/>
    <w:rsid w:val="00F544A9"/>
    <w:rsid w:val="00F5656C"/>
    <w:rsid w:val="00F657B0"/>
    <w:rsid w:val="00F6705C"/>
    <w:rsid w:val="00F676C8"/>
    <w:rsid w:val="00F716DD"/>
    <w:rsid w:val="00F71D24"/>
    <w:rsid w:val="00F723A8"/>
    <w:rsid w:val="00F73F7A"/>
    <w:rsid w:val="00F73FE6"/>
    <w:rsid w:val="00F74981"/>
    <w:rsid w:val="00F7588F"/>
    <w:rsid w:val="00F758F7"/>
    <w:rsid w:val="00F81ED6"/>
    <w:rsid w:val="00F83C29"/>
    <w:rsid w:val="00F84B9C"/>
    <w:rsid w:val="00F85EAD"/>
    <w:rsid w:val="00F913D5"/>
    <w:rsid w:val="00F915F9"/>
    <w:rsid w:val="00F92524"/>
    <w:rsid w:val="00F94F30"/>
    <w:rsid w:val="00F960B4"/>
    <w:rsid w:val="00F968D5"/>
    <w:rsid w:val="00FA01B1"/>
    <w:rsid w:val="00FA0AB9"/>
    <w:rsid w:val="00FA2329"/>
    <w:rsid w:val="00FA256A"/>
    <w:rsid w:val="00FA358D"/>
    <w:rsid w:val="00FA3752"/>
    <w:rsid w:val="00FA473A"/>
    <w:rsid w:val="00FA49E9"/>
    <w:rsid w:val="00FA5350"/>
    <w:rsid w:val="00FA55F5"/>
    <w:rsid w:val="00FA6869"/>
    <w:rsid w:val="00FB27A5"/>
    <w:rsid w:val="00FB2DB1"/>
    <w:rsid w:val="00FB51CC"/>
    <w:rsid w:val="00FB5AC0"/>
    <w:rsid w:val="00FB63BC"/>
    <w:rsid w:val="00FC0B82"/>
    <w:rsid w:val="00FC1793"/>
    <w:rsid w:val="00FC180D"/>
    <w:rsid w:val="00FC1BE8"/>
    <w:rsid w:val="00FC4234"/>
    <w:rsid w:val="00FC4A2A"/>
    <w:rsid w:val="00FC61EE"/>
    <w:rsid w:val="00FC692C"/>
    <w:rsid w:val="00FC7908"/>
    <w:rsid w:val="00FD1223"/>
    <w:rsid w:val="00FD1845"/>
    <w:rsid w:val="00FD330B"/>
    <w:rsid w:val="00FD5434"/>
    <w:rsid w:val="00FD734F"/>
    <w:rsid w:val="00FE15BE"/>
    <w:rsid w:val="00FE1F7D"/>
    <w:rsid w:val="00FE4970"/>
    <w:rsid w:val="00FE4B50"/>
    <w:rsid w:val="00FE52AD"/>
    <w:rsid w:val="00FE72C9"/>
    <w:rsid w:val="00FF0794"/>
    <w:rsid w:val="00FF2910"/>
    <w:rsid w:val="00FF5968"/>
    <w:rsid w:val="00FF5E1B"/>
    <w:rsid w:val="00FF6441"/>
    <w:rsid w:val="00FF6DE0"/>
    <w:rsid w:val="00FF6F7A"/>
    <w:rsid w:val="00FF7A12"/>
    <w:rsid w:val="00FF7C7E"/>
    <w:rsid w:val="35B2D715"/>
    <w:rsid w:val="52D3F29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A3BC924"/>
  <w15:chartTrackingRefBased/>
  <w15:docId w15:val="{C5F0EF45-9CA7-41C2-9274-4BDB65A81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rsid w:val="00881759"/>
  </w:style>
  <w:style w:type="character" w:customStyle="1" w:styleId="xcontentpasted0">
    <w:name w:val="x_contentpasted0"/>
    <w:basedOn w:val="DefaultParagraphFont"/>
    <w:rsid w:val="00693D49"/>
  </w:style>
  <w:style w:type="paragraph" w:styleId="Revision">
    <w:name w:val="Revision"/>
    <w:hidden/>
    <w:uiPriority w:val="99"/>
    <w:semiHidden/>
    <w:rsid w:val="00D45CCD"/>
    <w:rPr>
      <w:snapToGrid w:val="0"/>
      <w:kern w:val="28"/>
      <w:sz w:val="22"/>
    </w:rPr>
  </w:style>
  <w:style w:type="paragraph" w:styleId="ListParagraph">
    <w:name w:val="List Paragraph"/>
    <w:basedOn w:val="Normal"/>
    <w:uiPriority w:val="34"/>
    <w:qFormat/>
    <w:rsid w:val="00DF0BCD"/>
    <w:pPr>
      <w:ind w:left="720"/>
      <w:contextualSpacing/>
    </w:pPr>
  </w:style>
  <w:style w:type="character" w:styleId="CommentReference">
    <w:name w:val="annotation reference"/>
    <w:basedOn w:val="DefaultParagraphFont"/>
    <w:uiPriority w:val="99"/>
    <w:semiHidden/>
    <w:unhideWhenUsed/>
    <w:rsid w:val="00373506"/>
    <w:rPr>
      <w:sz w:val="16"/>
      <w:szCs w:val="16"/>
    </w:rPr>
  </w:style>
  <w:style w:type="paragraph" w:styleId="CommentText">
    <w:name w:val="annotation text"/>
    <w:basedOn w:val="Normal"/>
    <w:link w:val="CommentTextChar"/>
    <w:uiPriority w:val="99"/>
    <w:unhideWhenUsed/>
    <w:rsid w:val="00373506"/>
    <w:rPr>
      <w:sz w:val="20"/>
    </w:rPr>
  </w:style>
  <w:style w:type="character" w:customStyle="1" w:styleId="CommentTextChar">
    <w:name w:val="Comment Text Char"/>
    <w:basedOn w:val="DefaultParagraphFont"/>
    <w:link w:val="CommentText"/>
    <w:uiPriority w:val="99"/>
    <w:rsid w:val="00373506"/>
    <w:rPr>
      <w:snapToGrid w:val="0"/>
      <w:kern w:val="28"/>
    </w:rPr>
  </w:style>
  <w:style w:type="paragraph" w:styleId="CommentSubject">
    <w:name w:val="annotation subject"/>
    <w:basedOn w:val="CommentText"/>
    <w:next w:val="CommentText"/>
    <w:link w:val="CommentSubjectChar"/>
    <w:uiPriority w:val="99"/>
    <w:semiHidden/>
    <w:unhideWhenUsed/>
    <w:rsid w:val="00373506"/>
    <w:rPr>
      <w:b/>
      <w:bCs/>
    </w:rPr>
  </w:style>
  <w:style w:type="character" w:customStyle="1" w:styleId="CommentSubjectChar">
    <w:name w:val="Comment Subject Char"/>
    <w:basedOn w:val="CommentTextChar"/>
    <w:link w:val="CommentSubject"/>
    <w:uiPriority w:val="99"/>
    <w:semiHidden/>
    <w:rsid w:val="00373506"/>
    <w:rPr>
      <w:b/>
      <w:bCs/>
      <w:snapToGrid w:val="0"/>
      <w:kern w:val="28"/>
    </w:rPr>
  </w:style>
  <w:style w:type="character" w:customStyle="1" w:styleId="cosearchterm">
    <w:name w:val="co_searchterm"/>
    <w:rsid w:val="00D312B4"/>
  </w:style>
  <w:style w:type="character" w:styleId="Emphasis">
    <w:name w:val="Emphasis"/>
    <w:uiPriority w:val="20"/>
    <w:qFormat/>
    <w:rsid w:val="00D312B4"/>
    <w:rPr>
      <w:i/>
      <w:iCs/>
    </w:rPr>
  </w:style>
  <w:style w:type="character" w:styleId="Mention">
    <w:name w:val="Mention"/>
    <w:basedOn w:val="DefaultParagraphFont"/>
    <w:uiPriority w:val="99"/>
    <w:unhideWhenUsed/>
    <w:rsid w:val="008D03D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ciblinc.com/wp-content/uploads/2025/04/Cibl2025_ProxyStatement.pdf"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