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P="00C415FC" w14:paraId="44572717" w14:textId="0E0C9F99">
      <w:pPr>
        <w:spacing w:before="120"/>
        <w:rPr>
          <w:b/>
          <w:sz w:val="24"/>
          <w:szCs w:val="24"/>
        </w:rPr>
      </w:pPr>
    </w:p>
    <w:p w:rsidR="4E0C1B17" w:rsidP="4E0C1B17" w14:paraId="327ABAE5" w14:textId="01DC9356">
      <w:pPr>
        <w:spacing w:before="120"/>
        <w:rPr>
          <w:b/>
          <w:bCs/>
          <w:sz w:val="24"/>
          <w:szCs w:val="24"/>
        </w:rPr>
      </w:pPr>
    </w:p>
    <w:p w:rsidR="00BA3BA8" w14:paraId="5E837612" w14:textId="19B457A7">
      <w:pPr>
        <w:jc w:val="right"/>
        <w:rPr>
          <w:b/>
          <w:sz w:val="24"/>
        </w:rPr>
      </w:pPr>
      <w:r>
        <w:rPr>
          <w:b/>
          <w:sz w:val="24"/>
        </w:rPr>
        <w:t>DA 26-</w:t>
      </w:r>
      <w:r w:rsidR="00E92295">
        <w:rPr>
          <w:b/>
          <w:sz w:val="24"/>
        </w:rPr>
        <w:t>550</w:t>
      </w:r>
    </w:p>
    <w:p w:rsidR="00BA3BA8" w14:paraId="74556CC6" w14:textId="33B9C82B">
      <w:pPr>
        <w:spacing w:before="60"/>
        <w:jc w:val="right"/>
        <w:rPr>
          <w:b/>
          <w:sz w:val="24"/>
        </w:rPr>
      </w:pPr>
      <w:r>
        <w:rPr>
          <w:b/>
          <w:sz w:val="24"/>
        </w:rPr>
        <w:t xml:space="preserve">Released:  </w:t>
      </w:r>
      <w:r w:rsidR="00AF3737">
        <w:rPr>
          <w:b/>
          <w:sz w:val="24"/>
        </w:rPr>
        <w:t xml:space="preserve">June </w:t>
      </w:r>
      <w:r w:rsidR="00897CF2">
        <w:rPr>
          <w:b/>
          <w:sz w:val="24"/>
        </w:rPr>
        <w:t>4</w:t>
      </w:r>
      <w:r w:rsidR="00AF3737">
        <w:rPr>
          <w:b/>
          <w:sz w:val="24"/>
        </w:rPr>
        <w:t>, 2026</w:t>
      </w:r>
    </w:p>
    <w:p w:rsidR="00BA3BA8" w14:paraId="0C3AD8C6" w14:textId="77777777">
      <w:pPr>
        <w:jc w:val="right"/>
        <w:rPr>
          <w:sz w:val="24"/>
        </w:rPr>
      </w:pPr>
    </w:p>
    <w:p w:rsidR="00E65B7F" w:rsidP="00E65B7F" w14:paraId="611DBE8B" w14:textId="5E0B2448">
      <w:pPr>
        <w:jc w:val="center"/>
        <w:rPr>
          <w:rFonts w:ascii="Times New Roman Bold" w:hAnsi="Times New Roman Bold"/>
          <w:b/>
          <w:caps/>
          <w:sz w:val="24"/>
        </w:rPr>
      </w:pPr>
      <w:r>
        <w:rPr>
          <w:rFonts w:ascii="Times New Roman Bold" w:hAnsi="Times New Roman Bold"/>
          <w:b/>
          <w:caps/>
          <w:sz w:val="24"/>
        </w:rPr>
        <w:t xml:space="preserve">Globalstar, Inc. </w:t>
      </w:r>
      <w:r w:rsidR="00784C23">
        <w:rPr>
          <w:rFonts w:ascii="Times New Roman Bold" w:hAnsi="Times New Roman Bold"/>
          <w:b/>
          <w:caps/>
          <w:sz w:val="24"/>
        </w:rPr>
        <w:t xml:space="preserve">and Amazon.com, inc. seek fcc </w:t>
      </w:r>
      <w:r>
        <w:rPr>
          <w:rFonts w:ascii="Times New Roman Bold" w:hAnsi="Times New Roman Bold"/>
          <w:b/>
          <w:caps/>
          <w:sz w:val="24"/>
        </w:rPr>
        <w:t xml:space="preserve">Consent and </w:t>
      </w:r>
      <w:r w:rsidR="00B5074C">
        <w:rPr>
          <w:rFonts w:ascii="Times New Roman Bold" w:hAnsi="Times New Roman Bold"/>
          <w:b/>
          <w:caps/>
          <w:sz w:val="24"/>
        </w:rPr>
        <w:t>APPROVAL</w:t>
      </w:r>
      <w:r w:rsidR="00784C23">
        <w:rPr>
          <w:rFonts w:ascii="Times New Roman Bold" w:hAnsi="Times New Roman Bold"/>
          <w:b/>
          <w:caps/>
          <w:sz w:val="24"/>
        </w:rPr>
        <w:t xml:space="preserve"> </w:t>
      </w:r>
      <w:r w:rsidR="00B5074C">
        <w:rPr>
          <w:rFonts w:ascii="Times New Roman Bold" w:hAnsi="Times New Roman Bold"/>
          <w:b/>
          <w:caps/>
          <w:sz w:val="24"/>
        </w:rPr>
        <w:t>OF</w:t>
      </w:r>
      <w:r w:rsidR="00784C23">
        <w:rPr>
          <w:rFonts w:ascii="Times New Roman Bold" w:hAnsi="Times New Roman Bold"/>
          <w:b/>
          <w:caps/>
          <w:sz w:val="24"/>
        </w:rPr>
        <w:t xml:space="preserve"> the proposed </w:t>
      </w:r>
      <w:r w:rsidR="001C0DA8">
        <w:rPr>
          <w:rFonts w:ascii="Times New Roman Bold" w:hAnsi="Times New Roman Bold"/>
          <w:b/>
          <w:caps/>
          <w:sz w:val="24"/>
        </w:rPr>
        <w:t xml:space="preserve">assignment </w:t>
      </w:r>
      <w:r>
        <w:rPr>
          <w:rFonts w:ascii="Times New Roman Bold" w:hAnsi="Times New Roman Bold"/>
          <w:b/>
          <w:caps/>
          <w:sz w:val="24"/>
        </w:rPr>
        <w:t xml:space="preserve">and transfer of control </w:t>
      </w:r>
    </w:p>
    <w:p w:rsidR="00BA3BA8" w:rsidP="001B0EF7" w14:paraId="489AECAF" w14:textId="65710D70">
      <w:pPr>
        <w:jc w:val="center"/>
        <w:rPr>
          <w:rFonts w:ascii="Times New Roman Bold" w:hAnsi="Times New Roman Bold"/>
          <w:b/>
          <w:caps/>
          <w:sz w:val="24"/>
        </w:rPr>
      </w:pPr>
      <w:r>
        <w:rPr>
          <w:rFonts w:ascii="Times New Roman Bold" w:hAnsi="Times New Roman Bold"/>
          <w:b/>
          <w:caps/>
          <w:sz w:val="24"/>
        </w:rPr>
        <w:t xml:space="preserve">of </w:t>
      </w:r>
      <w:r w:rsidR="0098015F">
        <w:rPr>
          <w:rFonts w:ascii="Times New Roman Bold" w:hAnsi="Times New Roman Bold"/>
          <w:b/>
          <w:caps/>
          <w:sz w:val="24"/>
        </w:rPr>
        <w:t xml:space="preserve">licenses </w:t>
      </w:r>
      <w:r w:rsidR="002D496C">
        <w:rPr>
          <w:rFonts w:ascii="Times New Roman Bold" w:hAnsi="Times New Roman Bold"/>
          <w:b/>
          <w:caps/>
          <w:sz w:val="24"/>
        </w:rPr>
        <w:t>and authorizations</w:t>
      </w:r>
      <w:r w:rsidR="001B0EF7">
        <w:rPr>
          <w:rFonts w:ascii="Times New Roman Bold" w:hAnsi="Times New Roman Bold"/>
          <w:b/>
          <w:caps/>
          <w:sz w:val="24"/>
        </w:rPr>
        <w:t xml:space="preserve"> </w:t>
      </w:r>
      <w:r w:rsidR="0098015F">
        <w:rPr>
          <w:rFonts w:ascii="Times New Roman Bold" w:hAnsi="Times New Roman Bold"/>
          <w:b/>
          <w:caps/>
          <w:sz w:val="24"/>
        </w:rPr>
        <w:t>held by globalstar to amazon</w:t>
      </w:r>
    </w:p>
    <w:p w:rsidR="001B0EF7" w:rsidP="00AB31B9" w14:paraId="71A6FAC9" w14:textId="77777777">
      <w:pPr>
        <w:jc w:val="center"/>
        <w:rPr>
          <w:rFonts w:ascii="Times New Roman Bold" w:hAnsi="Times New Roman Bold"/>
          <w:b/>
          <w:caps/>
          <w:sz w:val="24"/>
        </w:rPr>
      </w:pPr>
    </w:p>
    <w:p w:rsidR="00BA3BA8" w14:paraId="7A76DDB9" w14:textId="4207886F">
      <w:pPr>
        <w:spacing w:after="240"/>
        <w:jc w:val="center"/>
        <w:rPr>
          <w:b/>
          <w:sz w:val="24"/>
        </w:rPr>
      </w:pPr>
      <w:r>
        <w:rPr>
          <w:b/>
          <w:sz w:val="24"/>
        </w:rPr>
        <w:t>Pleading Cycle Established</w:t>
      </w:r>
    </w:p>
    <w:p w:rsidR="00BA3BA8" w14:paraId="3D24EE7B" w14:textId="5F45A9E7">
      <w:pPr>
        <w:jc w:val="center"/>
        <w:rPr>
          <w:b/>
          <w:sz w:val="24"/>
        </w:rPr>
      </w:pPr>
      <w:r>
        <w:rPr>
          <w:b/>
          <w:sz w:val="24"/>
        </w:rPr>
        <w:t>GN Docket No. 26-</w:t>
      </w:r>
      <w:r w:rsidR="00E92295">
        <w:rPr>
          <w:b/>
          <w:sz w:val="24"/>
        </w:rPr>
        <w:t>134</w:t>
      </w:r>
    </w:p>
    <w:p w:rsidR="00BA3BA8" w14:paraId="4CDDAA4B" w14:textId="77777777">
      <w:bookmarkStart w:id="0" w:name="TOChere"/>
    </w:p>
    <w:p w:rsidR="00BA3BA8" w:rsidRPr="00AF3737" w14:paraId="6EDACF44" w14:textId="6D808EBF">
      <w:pPr>
        <w:rPr>
          <w:b/>
          <w:bCs/>
        </w:rPr>
      </w:pPr>
      <w:r w:rsidRPr="00AF3737">
        <w:rPr>
          <w:b/>
          <w:bCs/>
        </w:rPr>
        <w:t xml:space="preserve">Petitions to Deny Due: </w:t>
      </w:r>
      <w:r w:rsidR="00857FB2">
        <w:rPr>
          <w:b/>
          <w:bCs/>
        </w:rPr>
        <w:t>July</w:t>
      </w:r>
      <w:r w:rsidR="00C415FC">
        <w:rPr>
          <w:b/>
          <w:bCs/>
        </w:rPr>
        <w:t xml:space="preserve"> 6</w:t>
      </w:r>
      <w:r w:rsidRPr="00AF3737">
        <w:rPr>
          <w:b/>
          <w:bCs/>
        </w:rPr>
        <w:t xml:space="preserve">, 2026 </w:t>
      </w:r>
    </w:p>
    <w:p w:rsidR="00AF3737" w:rsidRPr="00AF3737" w14:paraId="1D544E4C" w14:textId="39B76319">
      <w:pPr>
        <w:rPr>
          <w:b/>
          <w:bCs/>
        </w:rPr>
      </w:pPr>
      <w:r w:rsidRPr="00AF3737">
        <w:rPr>
          <w:b/>
          <w:bCs/>
        </w:rPr>
        <w:t xml:space="preserve">Oppositions Due: </w:t>
      </w:r>
      <w:r w:rsidRPr="00AF3737">
        <w:rPr>
          <w:b/>
          <w:bCs/>
        </w:rPr>
        <w:tab/>
      </w:r>
      <w:r w:rsidR="00897CF2">
        <w:rPr>
          <w:b/>
          <w:bCs/>
        </w:rPr>
        <w:t>July</w:t>
      </w:r>
      <w:r w:rsidR="00C415FC">
        <w:rPr>
          <w:b/>
          <w:bCs/>
        </w:rPr>
        <w:t xml:space="preserve"> 21</w:t>
      </w:r>
      <w:r w:rsidRPr="00AF3737">
        <w:rPr>
          <w:b/>
          <w:bCs/>
        </w:rPr>
        <w:t xml:space="preserve">, 2026 </w:t>
      </w:r>
    </w:p>
    <w:p w:rsidR="00AF3737" w:rsidRPr="00AF3737" w14:paraId="5D5F16B4" w14:textId="1FF99B00">
      <w:pPr>
        <w:rPr>
          <w:b/>
          <w:bCs/>
        </w:rPr>
      </w:pPr>
      <w:r w:rsidRPr="00AF3737">
        <w:rPr>
          <w:b/>
          <w:bCs/>
        </w:rPr>
        <w:t xml:space="preserve">Replies Due: </w:t>
      </w:r>
      <w:r w:rsidRPr="00AF3737">
        <w:rPr>
          <w:b/>
          <w:bCs/>
        </w:rPr>
        <w:tab/>
      </w:r>
      <w:r w:rsidRPr="00AF3737">
        <w:rPr>
          <w:b/>
          <w:bCs/>
        </w:rPr>
        <w:tab/>
      </w:r>
      <w:r w:rsidR="00C415FC">
        <w:rPr>
          <w:b/>
          <w:bCs/>
        </w:rPr>
        <w:t>July 31</w:t>
      </w:r>
      <w:r w:rsidRPr="00AF3737">
        <w:rPr>
          <w:b/>
          <w:bCs/>
        </w:rPr>
        <w:t xml:space="preserve">, 2026 </w:t>
      </w:r>
    </w:p>
    <w:p w:rsidR="00BA3BA8" w14:paraId="5B4E639B" w14:textId="77777777"/>
    <w:bookmarkEnd w:id="0"/>
    <w:p w:rsidR="00A1131B" w:rsidP="000C2D54" w14:paraId="1A3271E9" w14:textId="56EA22F8">
      <w:pPr>
        <w:spacing w:after="120"/>
        <w:ind w:firstLine="720"/>
      </w:pPr>
      <w:r>
        <w:t>By this Public Notice, the Space Bureau</w:t>
      </w:r>
      <w:r w:rsidR="00BE7107">
        <w:t xml:space="preserve"> (SB),</w:t>
      </w:r>
      <w:r w:rsidR="009076EA">
        <w:t xml:space="preserve"> Office of Engineering and Technology (OET),</w:t>
      </w:r>
      <w:r w:rsidR="00D154E4">
        <w:t xml:space="preserve"> </w:t>
      </w:r>
      <w:r w:rsidR="009076EA">
        <w:t>Office of International Affairs (OIA)</w:t>
      </w:r>
      <w:r w:rsidR="00D154E4">
        <w:t xml:space="preserve">, and </w:t>
      </w:r>
      <w:r w:rsidR="009076EA">
        <w:t>Wireline Competition Bureau (WCB)</w:t>
      </w:r>
      <w:r w:rsidR="00F51129">
        <w:t xml:space="preserve"> </w:t>
      </w:r>
      <w:r>
        <w:t xml:space="preserve">announce that the </w:t>
      </w:r>
      <w:r w:rsidR="00590677">
        <w:t xml:space="preserve">application for assignment and </w:t>
      </w:r>
      <w:r>
        <w:t xml:space="preserve">transfer of control </w:t>
      </w:r>
      <w:r w:rsidR="00590677">
        <w:t xml:space="preserve">of the </w:t>
      </w:r>
      <w:r w:rsidR="00643D02">
        <w:t xml:space="preserve">licenses and </w:t>
      </w:r>
      <w:r w:rsidR="00590677">
        <w:t xml:space="preserve">authorizations held </w:t>
      </w:r>
      <w:r>
        <w:t xml:space="preserve">by </w:t>
      </w:r>
      <w:r>
        <w:t>Globalstar, Inc.</w:t>
      </w:r>
      <w:r w:rsidR="004745D9">
        <w:t xml:space="preserve"> and its wholly</w:t>
      </w:r>
      <w:r w:rsidR="000B621B">
        <w:t>-</w:t>
      </w:r>
      <w:r w:rsidR="004745D9">
        <w:t>owned subsidiaries</w:t>
      </w:r>
      <w:r>
        <w:t xml:space="preserve"> (Globalstar) </w:t>
      </w:r>
      <w:r w:rsidR="000B621B">
        <w:t>to</w:t>
      </w:r>
      <w:r>
        <w:t xml:space="preserve"> Amazon.com, Inc.</w:t>
      </w:r>
      <w:r w:rsidR="00320E76">
        <w:t xml:space="preserve"> and its wholly</w:t>
      </w:r>
      <w:r w:rsidR="001E367A">
        <w:t>-</w:t>
      </w:r>
      <w:r w:rsidR="00320E76">
        <w:t>owned subsidiaries</w:t>
      </w:r>
      <w:r>
        <w:t xml:space="preserve"> (Amazon) (collectively, the Applicants) ha</w:t>
      </w:r>
      <w:r w:rsidR="000B621B">
        <w:t>s</w:t>
      </w:r>
      <w:r>
        <w:t xml:space="preserve"> been found, upon initial review, to be acceptable for filing.</w:t>
      </w:r>
      <w:r>
        <w:rPr>
          <w:rStyle w:val="FootnoteReference"/>
        </w:rPr>
        <w:footnoteReference w:id="3"/>
      </w:r>
      <w:r>
        <w:t xml:space="preserve">  </w:t>
      </w:r>
    </w:p>
    <w:p w:rsidR="006E7B9C" w:rsidP="00D36095" w14:paraId="00B9C975" w14:textId="7E8B3E02">
      <w:pPr>
        <w:spacing w:after="120"/>
        <w:ind w:firstLine="720"/>
      </w:pPr>
      <w:r w:rsidRPr="00A1131B">
        <w:rPr>
          <w:i/>
          <w:iCs/>
        </w:rPr>
        <w:t>Description of Transaction</w:t>
      </w:r>
      <w:r>
        <w:t xml:space="preserve">.  On May 26, 2026, </w:t>
      </w:r>
      <w:r w:rsidR="00F34A2D">
        <w:t xml:space="preserve">Globalstar and Amazon filed an application pursuant to sections 214(a) and 310(d) of the Communications Act of 1934, as amended, seeking the Commission’s </w:t>
      </w:r>
      <w:r w:rsidR="00B5074C">
        <w:t>approval</w:t>
      </w:r>
      <w:r w:rsidR="00B906D3">
        <w:t xml:space="preserve"> and consent to </w:t>
      </w:r>
      <w:r w:rsidR="00452E1B">
        <w:t>the</w:t>
      </w:r>
      <w:r w:rsidR="006A0B45">
        <w:t xml:space="preserve"> assignment and transfer of control</w:t>
      </w:r>
      <w:r w:rsidR="00D25BE6">
        <w:t xml:space="preserve"> </w:t>
      </w:r>
      <w:r w:rsidR="00642FA9">
        <w:t>of Globalstar</w:t>
      </w:r>
      <w:r w:rsidR="005E7984">
        <w:t>’s space station licenses, earth station licenses, domestic and international section 214 authorizations, and experimental license</w:t>
      </w:r>
      <w:r w:rsidR="00A17FED">
        <w:t xml:space="preserve"> (the Transaction)</w:t>
      </w:r>
      <w:r w:rsidR="006A0B45">
        <w:t>.</w:t>
      </w:r>
      <w:r>
        <w:rPr>
          <w:rStyle w:val="FootnoteReference"/>
        </w:rPr>
        <w:footnoteReference w:id="4"/>
      </w:r>
      <w:r w:rsidR="006A0B45">
        <w:t xml:space="preserve">  </w:t>
      </w:r>
      <w:r>
        <w:t xml:space="preserve">As a result of the Transaction, Amazon will acquire 100% control of Globalstar, the Globalstar </w:t>
      </w:r>
      <w:r w:rsidR="00E35847">
        <w:t>s</w:t>
      </w:r>
      <w:r>
        <w:t xml:space="preserve">ubsidiaries, and the licenses </w:t>
      </w:r>
      <w:r w:rsidR="00E35847">
        <w:t xml:space="preserve">and authorizations </w:t>
      </w:r>
      <w:r>
        <w:t>held by them as a result of the Transaction.</w:t>
      </w:r>
      <w:r>
        <w:rPr>
          <w:rStyle w:val="FootnoteReference"/>
        </w:rPr>
        <w:footnoteReference w:id="5"/>
      </w:r>
      <w:r>
        <w:t xml:space="preserve">  Specifically, Globalstar will become a wholly-owned subsidiary of Amazon, the Globalstar U.S. subsidiaries will retain their corporate identities and Commission authorizations, and </w:t>
      </w:r>
      <w:r>
        <w:t>Globalstar will operate as an affiliate to Kuiper Systems LLC.</w:t>
      </w:r>
      <w:r>
        <w:rPr>
          <w:rStyle w:val="FootnoteReference"/>
        </w:rPr>
        <w:footnoteReference w:id="6"/>
      </w:r>
    </w:p>
    <w:p w:rsidR="00CA4A2E" w:rsidRPr="00AB31B9" w:rsidP="001C21DD" w14:paraId="07D929BC" w14:textId="67DAED4A">
      <w:pPr>
        <w:spacing w:after="120"/>
        <w:ind w:firstLine="720"/>
        <w:rPr>
          <w:vertAlign w:val="superscript"/>
        </w:rPr>
      </w:pPr>
      <w:r>
        <w:t>The Applicants</w:t>
      </w:r>
      <w:r w:rsidR="00AA1BA6">
        <w:t xml:space="preserve"> </w:t>
      </w:r>
      <w:r w:rsidRPr="00A7427C" w:rsidR="00A7427C">
        <w:t>state that granting the Transaction will bring enhanced data coverage to areas that are unserved or underserved, strengthen emergency communications capabilities, and fuel growth in industrial and enterprise data services to drive innovation and job creation in the space sector.</w:t>
      </w:r>
      <w:r>
        <w:rPr>
          <w:rStyle w:val="FootnoteReference"/>
        </w:rPr>
        <w:footnoteReference w:id="7"/>
      </w:r>
      <w:r w:rsidRPr="00A7427C" w:rsidR="00A7427C">
        <w:t>  The Applicants claim that their combination will accelerate competition in the provision of a ubiquitous direct-to-device (D2D) satellite service by augmenting Globalstar’s existing and planned services with new Amazon Leo D2D satellites.</w:t>
      </w:r>
      <w:r>
        <w:rPr>
          <w:rStyle w:val="FootnoteReference"/>
        </w:rPr>
        <w:footnoteReference w:id="8"/>
      </w:r>
      <w:r w:rsidRPr="00C83070" w:rsidR="001C21DD">
        <w:rPr>
          <w:rStyle w:val="FootnoteReference"/>
        </w:rPr>
        <w:t xml:space="preserve">  </w:t>
      </w:r>
      <w:r w:rsidRPr="00FA4693" w:rsidR="00FA4693">
        <w:t xml:space="preserve">Additionally, they contend that the Transaction would enhance and accelerate competition by introducing a new entrant to compete in the </w:t>
      </w:r>
      <w:r w:rsidR="00F34DB8">
        <w:t>mobile-satellite service (</w:t>
      </w:r>
      <w:r w:rsidRPr="00FA4693" w:rsidR="00FA4693">
        <w:t>MSS</w:t>
      </w:r>
      <w:r w:rsidR="00F34DB8">
        <w:t>)</w:t>
      </w:r>
      <w:r w:rsidRPr="00FA4693" w:rsidR="00FA4693">
        <w:t xml:space="preserve"> market and expanding consumer choice and access through a multi-carrier, multi-vendor architecture on a global basis.</w:t>
      </w:r>
      <w:r>
        <w:rPr>
          <w:rStyle w:val="FootnoteReference"/>
        </w:rPr>
        <w:footnoteReference w:id="9"/>
      </w:r>
      <w:r w:rsidR="00FA4693">
        <w:rPr>
          <w:vertAlign w:val="superscript"/>
        </w:rPr>
        <w:t xml:space="preserve">  </w:t>
      </w:r>
      <w:r w:rsidR="00FA4693">
        <w:t>The</w:t>
      </w:r>
      <w:r w:rsidR="003D6AC8">
        <w:t xml:space="preserve"> Applicants</w:t>
      </w:r>
      <w:r w:rsidRPr="001C21DD" w:rsidR="001C21DD">
        <w:t xml:space="preserve"> further argue that they provide complementary services, and that the Transaction therefore provides significant benefits with no accompanying competitive harms.</w:t>
      </w:r>
      <w:r>
        <w:rPr>
          <w:rStyle w:val="FootnoteReference"/>
        </w:rPr>
        <w:footnoteReference w:id="10"/>
      </w:r>
      <w:r w:rsidRPr="00C83070" w:rsidR="001C21DD">
        <w:rPr>
          <w:rStyle w:val="FootnoteReference"/>
        </w:rPr>
        <w:t> </w:t>
      </w:r>
      <w:r w:rsidR="0045762A">
        <w:t xml:space="preserve"> </w:t>
      </w:r>
    </w:p>
    <w:p w:rsidR="0051647D" w:rsidRPr="00C83070" w:rsidP="00D36095" w14:paraId="78F76688" w14:textId="520683E7">
      <w:pPr>
        <w:spacing w:after="120"/>
        <w:ind w:firstLine="720"/>
        <w:rPr>
          <w:rStyle w:val="FootnoteReference"/>
        </w:rPr>
      </w:pPr>
      <w:r>
        <w:t>Globalstar</w:t>
      </w:r>
      <w:r w:rsidR="008A2AAB">
        <w:t xml:space="preserve"> </w:t>
      </w:r>
      <w:r w:rsidR="001F23AB">
        <w:t xml:space="preserve">is a provider of </w:t>
      </w:r>
      <w:r w:rsidR="00EC2992">
        <w:t>MSS</w:t>
      </w:r>
      <w:r w:rsidR="00162580">
        <w:t xml:space="preserve"> connectivity </w:t>
      </w:r>
      <w:r w:rsidR="006965C0">
        <w:t>for voice a</w:t>
      </w:r>
      <w:r w:rsidR="00FA681E">
        <w:t>nd</w:t>
      </w:r>
      <w:r w:rsidR="006965C0">
        <w:t xml:space="preserve"> data services </w:t>
      </w:r>
      <w:r w:rsidR="00413EF8">
        <w:t xml:space="preserve">using </w:t>
      </w:r>
      <w:r w:rsidR="006965C0">
        <w:t xml:space="preserve">the </w:t>
      </w:r>
      <w:r w:rsidR="00D30BAE">
        <w:t>“Big LEO” frequency bands</w:t>
      </w:r>
      <w:r>
        <w:rPr>
          <w:rStyle w:val="FootnoteReference"/>
        </w:rPr>
        <w:footnoteReference w:id="11"/>
      </w:r>
      <w:r w:rsidRPr="00C83070" w:rsidR="00B37AAE">
        <w:rPr>
          <w:rStyle w:val="FootnoteReference"/>
        </w:rPr>
        <w:t xml:space="preserve"> </w:t>
      </w:r>
      <w:r w:rsidR="00A931F7">
        <w:t>for emergency communications, asset tracking, maritime and aviation connectivity, and supplemental mobile coverage.</w:t>
      </w:r>
      <w:r>
        <w:rPr>
          <w:rStyle w:val="FootnoteReference"/>
        </w:rPr>
        <w:footnoteReference w:id="12"/>
      </w:r>
      <w:r w:rsidRPr="00C83070" w:rsidR="00FA35B5">
        <w:rPr>
          <w:rStyle w:val="FootnoteReference"/>
        </w:rPr>
        <w:t xml:space="preserve"> </w:t>
      </w:r>
      <w:r w:rsidR="009E54AF">
        <w:t xml:space="preserve"> </w:t>
      </w:r>
      <w:r w:rsidR="00662073">
        <w:t xml:space="preserve">Two </w:t>
      </w:r>
      <w:r w:rsidR="00122817">
        <w:t xml:space="preserve">of </w:t>
      </w:r>
      <w:r w:rsidR="0054247C">
        <w:t>Globalstar</w:t>
      </w:r>
      <w:r w:rsidR="00122817">
        <w:t>’s</w:t>
      </w:r>
      <w:r w:rsidR="0054247C">
        <w:t xml:space="preserve"> </w:t>
      </w:r>
      <w:r w:rsidR="00C15610">
        <w:t>wholly-owned</w:t>
      </w:r>
      <w:r w:rsidR="0054247C">
        <w:t xml:space="preserve"> U.S.</w:t>
      </w:r>
      <w:r w:rsidR="00C15610">
        <w:t xml:space="preserve"> subsidiaries – GUSA Licensee LLC and Globalstar Licensee LLC (the Globalstar Subsidiaries)</w:t>
      </w:r>
      <w:r w:rsidR="009E26C5">
        <w:t xml:space="preserve"> – hold Commission </w:t>
      </w:r>
      <w:r w:rsidR="0054247C">
        <w:t>authorizations</w:t>
      </w:r>
      <w:r w:rsidR="009E26C5">
        <w:t>.</w:t>
      </w:r>
      <w:r>
        <w:rPr>
          <w:rStyle w:val="FootnoteReference"/>
        </w:rPr>
        <w:footnoteReference w:id="13"/>
      </w:r>
      <w:r w:rsidR="009E26C5">
        <w:t xml:space="preserve">  GUSA Licensee LLC holds a </w:t>
      </w:r>
      <w:r w:rsidR="00585861">
        <w:t xml:space="preserve">blanket license to operate mobile earth stations, as well as </w:t>
      </w:r>
      <w:r w:rsidR="00DE6253">
        <w:t xml:space="preserve">three </w:t>
      </w:r>
      <w:r w:rsidR="00585861">
        <w:t>international section 214 authorization</w:t>
      </w:r>
      <w:r w:rsidR="00CE446E">
        <w:t>s for global facilities-based and resold telecommunications services</w:t>
      </w:r>
      <w:r w:rsidR="00585861">
        <w:t>.</w:t>
      </w:r>
      <w:r>
        <w:rPr>
          <w:rStyle w:val="FootnoteReference"/>
        </w:rPr>
        <w:footnoteReference w:id="14"/>
      </w:r>
      <w:r w:rsidRPr="00C83070" w:rsidR="00585861">
        <w:rPr>
          <w:rStyle w:val="FootnoteReference"/>
        </w:rPr>
        <w:t xml:space="preserve"> </w:t>
      </w:r>
      <w:r w:rsidR="00585861">
        <w:t xml:space="preserve"> Globalstar Licensee</w:t>
      </w:r>
      <w:r w:rsidR="00FA681E">
        <w:t xml:space="preserve"> LLC</w:t>
      </w:r>
      <w:r w:rsidR="00585861">
        <w:t xml:space="preserve"> holds a space station license to </w:t>
      </w:r>
      <w:r w:rsidR="00E80B8D">
        <w:t xml:space="preserve">operate service links in the 1.6/2.4 GHz band </w:t>
      </w:r>
      <w:r w:rsidR="00097E50">
        <w:t xml:space="preserve">(1610-1626.5 MHz (Earth-to-space) and 2483.5-2500 MHz (space-to-Earth)) </w:t>
      </w:r>
      <w:r w:rsidR="00E80B8D">
        <w:t>and feeder links in the 5 GHz/7 GHz band</w:t>
      </w:r>
      <w:r w:rsidR="00324020">
        <w:t xml:space="preserve"> (5091-5250 </w:t>
      </w:r>
      <w:r w:rsidR="00097E50">
        <w:t xml:space="preserve">MHz </w:t>
      </w:r>
      <w:r w:rsidR="00324020">
        <w:t>(</w:t>
      </w:r>
      <w:r w:rsidR="00097E50">
        <w:t>Earth-to-space) and 6875-7055 MHz (space-to-Earth))</w:t>
      </w:r>
      <w:r w:rsidR="002327E5">
        <w:t xml:space="preserve">, </w:t>
      </w:r>
      <w:r w:rsidR="00E80B8D">
        <w:t xml:space="preserve">several </w:t>
      </w:r>
      <w:r w:rsidR="00D000B1">
        <w:t>fixed feeder link earth station licenses at six different gateway sites in the United States</w:t>
      </w:r>
      <w:r w:rsidR="002327E5">
        <w:t>, and a domestic section 214 authorization</w:t>
      </w:r>
      <w:r w:rsidR="00D000B1">
        <w:t>.</w:t>
      </w:r>
      <w:r>
        <w:rPr>
          <w:rStyle w:val="FootnoteReference"/>
        </w:rPr>
        <w:footnoteReference w:id="15"/>
      </w:r>
      <w:r w:rsidRPr="00C83070" w:rsidR="00D000B1">
        <w:rPr>
          <w:rStyle w:val="FootnoteReference"/>
        </w:rPr>
        <w:t xml:space="preserve"> </w:t>
      </w:r>
      <w:r w:rsidR="00D000B1">
        <w:t xml:space="preserve"> Globalstar</w:t>
      </w:r>
      <w:r w:rsidR="00CC2B3C">
        <w:t xml:space="preserve"> Inc.</w:t>
      </w:r>
      <w:r w:rsidR="003358DA">
        <w:t>, the parent company,</w:t>
      </w:r>
      <w:r w:rsidR="00CC2B3C">
        <w:t xml:space="preserve"> holds </w:t>
      </w:r>
      <w:r w:rsidR="002C1F65">
        <w:t>an</w:t>
      </w:r>
      <w:r w:rsidR="00CC2B3C">
        <w:t xml:space="preserve"> experimental license</w:t>
      </w:r>
      <w:r w:rsidR="00C83070">
        <w:t>.</w:t>
      </w:r>
      <w:r w:rsidRPr="00C83070" w:rsidR="00CC2B3C">
        <w:rPr>
          <w:rStyle w:val="FootnoteReference"/>
        </w:rPr>
        <w:t>.</w:t>
      </w:r>
      <w:r>
        <w:rPr>
          <w:rStyle w:val="FootnoteReference"/>
        </w:rPr>
        <w:footnoteReference w:id="16"/>
      </w:r>
    </w:p>
    <w:p w:rsidR="00DA7483" w:rsidP="00DD3B96" w14:paraId="45F34AD9" w14:textId="03B67739">
      <w:pPr>
        <w:spacing w:after="120"/>
        <w:ind w:firstLine="720"/>
      </w:pPr>
      <w:r>
        <w:t xml:space="preserve">Globalstar Licensee LLC holds a U.S. market access grant </w:t>
      </w:r>
      <w:r w:rsidR="00413EF8">
        <w:t xml:space="preserve">authorization </w:t>
      </w:r>
      <w:r>
        <w:t xml:space="preserve">to allow its fixed and mobile earth stations in the U.S. and U.S. territories to communicate with </w:t>
      </w:r>
      <w:r w:rsidR="0084480C">
        <w:t xml:space="preserve">the </w:t>
      </w:r>
      <w:r>
        <w:t>HIBLEO-X satellites, licensed by France.</w:t>
      </w:r>
      <w:r>
        <w:rPr>
          <w:rStyle w:val="FootnoteReference"/>
        </w:rPr>
        <w:footnoteReference w:id="17"/>
      </w:r>
      <w:r>
        <w:t xml:space="preserve">  Globalstar’s MSS system is comprised of both its U.S.-licensed HIBLEO-4 </w:t>
      </w:r>
      <w:r>
        <w:t>satellites and HIBLEO-X satellites, operating as one system.</w:t>
      </w:r>
      <w:r>
        <w:rPr>
          <w:rStyle w:val="FootnoteReference"/>
        </w:rPr>
        <w:footnoteReference w:id="18"/>
      </w:r>
      <w:r>
        <w:t xml:space="preserve">  The </w:t>
      </w:r>
      <w:r w:rsidR="009B6C75">
        <w:t xml:space="preserve">U.S. </w:t>
      </w:r>
      <w:r>
        <w:t xml:space="preserve">market access grant for the HIBLEO-X system will also be assigned by Globalstar but is not part of this Application because prior consent is </w:t>
      </w:r>
      <w:r w:rsidR="009B6C75">
        <w:t xml:space="preserve">not </w:t>
      </w:r>
      <w:r>
        <w:t xml:space="preserve">required for such assignments.  </w:t>
      </w:r>
    </w:p>
    <w:p w:rsidR="00877778" w:rsidP="00DD3B96" w14:paraId="3D85548B" w14:textId="2896A760">
      <w:pPr>
        <w:spacing w:after="120"/>
        <w:ind w:firstLine="720"/>
      </w:pPr>
      <w:r>
        <w:t>Amazon</w:t>
      </w:r>
      <w:r w:rsidR="00011640">
        <w:t xml:space="preserve"> is deploying a</w:t>
      </w:r>
      <w:r w:rsidR="00A67CFD">
        <w:t>n NGSO FSS</w:t>
      </w:r>
      <w:r w:rsidR="00011640">
        <w:t xml:space="preserve"> satellite communications </w:t>
      </w:r>
      <w:r w:rsidR="00A67CFD">
        <w:t>network</w:t>
      </w:r>
      <w:r w:rsidR="00011640">
        <w:t xml:space="preserve"> to provide satellite communications and data services to </w:t>
      </w:r>
      <w:r w:rsidR="00FB1AAA">
        <w:t xml:space="preserve">residential </w:t>
      </w:r>
      <w:r w:rsidR="00011640">
        <w:t xml:space="preserve">customers, </w:t>
      </w:r>
      <w:r w:rsidR="00C14462">
        <w:t>enterprise</w:t>
      </w:r>
      <w:r w:rsidR="00FB1AAA">
        <w:t>s</w:t>
      </w:r>
      <w:r w:rsidR="00C14462">
        <w:t>, and government users.  Amazon’s wholly</w:t>
      </w:r>
      <w:r w:rsidR="000C6EE4">
        <w:t>-</w:t>
      </w:r>
      <w:r w:rsidR="00C14462">
        <w:t xml:space="preserve">owned subsidiary, </w:t>
      </w:r>
      <w:r w:rsidR="00B8347E">
        <w:t>Kuiper LLC</w:t>
      </w:r>
      <w:r w:rsidR="00C14462">
        <w:t xml:space="preserve">, </w:t>
      </w:r>
      <w:r w:rsidR="00D8609E">
        <w:t xml:space="preserve">operating under the brand name Amazon Leo, </w:t>
      </w:r>
      <w:r w:rsidR="002E181A">
        <w:t xml:space="preserve">is </w:t>
      </w:r>
      <w:r w:rsidR="00B8347E">
        <w:t>positioned</w:t>
      </w:r>
      <w:r w:rsidR="002E181A">
        <w:t xml:space="preserve"> to provide high-speed, low-latency broadband services</w:t>
      </w:r>
      <w:r w:rsidR="00B8347E">
        <w:t xml:space="preserve"> through its Amazon Leo </w:t>
      </w:r>
      <w:r w:rsidR="000C6EE4">
        <w:t xml:space="preserve">NGSO FSS </w:t>
      </w:r>
      <w:r w:rsidR="00B8347E">
        <w:t>s</w:t>
      </w:r>
      <w:r w:rsidR="006552EB">
        <w:t>pace station authorizations</w:t>
      </w:r>
      <w:r w:rsidR="001C7D14">
        <w:t xml:space="preserve"> </w:t>
      </w:r>
      <w:r w:rsidR="00347E8A">
        <w:t xml:space="preserve">in the Ka-, Ku-, and V-bands </w:t>
      </w:r>
      <w:r w:rsidR="001C7D14">
        <w:t>and earth statio</w:t>
      </w:r>
      <w:r w:rsidR="003B5F90">
        <w:t>n authorizations</w:t>
      </w:r>
      <w:r w:rsidR="00B12AD4">
        <w:t xml:space="preserve"> to connect to</w:t>
      </w:r>
      <w:r w:rsidR="006552EB">
        <w:t xml:space="preserve"> the Amazon Leo systems</w:t>
      </w:r>
      <w:r w:rsidR="00B8347E">
        <w:t>.</w:t>
      </w:r>
      <w:r>
        <w:rPr>
          <w:rStyle w:val="FootnoteReference"/>
        </w:rPr>
        <w:footnoteReference w:id="19"/>
      </w:r>
      <w:r w:rsidR="0020686F">
        <w:t xml:space="preserve">  Amazon has </w:t>
      </w:r>
      <w:r w:rsidR="00E22F6A">
        <w:t xml:space="preserve">additionally </w:t>
      </w:r>
      <w:r w:rsidR="00F503A8">
        <w:t>invested</w:t>
      </w:r>
      <w:r w:rsidR="00BA4E09">
        <w:t xml:space="preserve"> significant</w:t>
      </w:r>
      <w:r w:rsidR="00F503A8">
        <w:t xml:space="preserve"> resources and capital </w:t>
      </w:r>
      <w:r w:rsidR="00E22F6A">
        <w:t>in</w:t>
      </w:r>
      <w:r w:rsidR="00F503A8">
        <w:t>to its</w:t>
      </w:r>
      <w:r w:rsidR="00E22F6A">
        <w:t xml:space="preserve"> </w:t>
      </w:r>
      <w:r w:rsidR="00BA4E09">
        <w:t xml:space="preserve">satellite and equipment manufacturing </w:t>
      </w:r>
      <w:r w:rsidR="00F503A8">
        <w:t xml:space="preserve">and processing </w:t>
      </w:r>
      <w:r w:rsidR="0024671F">
        <w:t>capacit</w:t>
      </w:r>
      <w:r w:rsidR="00C93C45">
        <w:t>ies</w:t>
      </w:r>
      <w:r w:rsidR="0024671F">
        <w:t xml:space="preserve"> in the U.S.</w:t>
      </w:r>
      <w:r w:rsidR="00A7735F">
        <w:t xml:space="preserve">, which it contends </w:t>
      </w:r>
      <w:r w:rsidR="00E9338E">
        <w:t xml:space="preserve">will further support and </w:t>
      </w:r>
      <w:r w:rsidR="00862EDD">
        <w:t>upgrade</w:t>
      </w:r>
      <w:r w:rsidR="00E9338E">
        <w:t xml:space="preserve"> Globalstar’s </w:t>
      </w:r>
      <w:r w:rsidR="00862EDD">
        <w:t xml:space="preserve">existing </w:t>
      </w:r>
      <w:r w:rsidR="0040445B">
        <w:t>systems and infrastructure</w:t>
      </w:r>
      <w:r w:rsidR="00BD02E1">
        <w:t xml:space="preserve"> </w:t>
      </w:r>
      <w:r w:rsidR="00BC6ABF">
        <w:t xml:space="preserve">while simultaneously launching </w:t>
      </w:r>
      <w:r w:rsidR="00C47579">
        <w:t>its</w:t>
      </w:r>
      <w:r w:rsidR="00BC6ABF">
        <w:t xml:space="preserve"> Amazon Leo systems</w:t>
      </w:r>
      <w:r w:rsidR="0040445B">
        <w:t>.</w:t>
      </w:r>
      <w:r>
        <w:rPr>
          <w:rStyle w:val="FootnoteReference"/>
        </w:rPr>
        <w:footnoteReference w:id="20"/>
      </w:r>
    </w:p>
    <w:p w:rsidR="00357E4B" w:rsidP="00AB31B9" w14:paraId="0D37F139" w14:textId="73CC1F0D">
      <w:pPr>
        <w:spacing w:after="120"/>
        <w:ind w:firstLine="720"/>
      </w:pPr>
      <w:r>
        <w:t xml:space="preserve">The Applicants assert that grant of the Application would serve the public interest, convenience and necessity, and would not violate any statue or Commission rule or raise issues </w:t>
      </w:r>
      <w:r w:rsidR="00593016">
        <w:t>in the areas of national security, law enforcement, foreign policy, or trade policy.</w:t>
      </w:r>
      <w:r>
        <w:rPr>
          <w:rStyle w:val="FootnoteReference"/>
        </w:rPr>
        <w:footnoteReference w:id="21"/>
      </w:r>
      <w:r w:rsidR="00593016">
        <w:t xml:space="preserve">  The Applicants claim that the Transaction complies with all limitations on foreign ownership under section 310 of the Act and would not otherwise conflict with any applicable provision of the Communications Act or the Commission’s rules.</w:t>
      </w:r>
      <w:r>
        <w:rPr>
          <w:rStyle w:val="FootnoteReference"/>
        </w:rPr>
        <w:footnoteReference w:id="22"/>
      </w:r>
      <w:r w:rsidR="00593016">
        <w:t xml:space="preserve">  The Applicants do not request any waivers of the Commission’s rules.</w:t>
      </w:r>
    </w:p>
    <w:p w:rsidR="00357E4B" w:rsidP="00DD3B96" w14:paraId="6FA0F6F3" w14:textId="09597117">
      <w:pPr>
        <w:spacing w:after="120"/>
        <w:ind w:firstLine="720"/>
      </w:pPr>
      <w:r w:rsidRPr="004216DB">
        <w:rPr>
          <w:i/>
          <w:iCs/>
        </w:rPr>
        <w:t>Ex Parte Rules</w:t>
      </w:r>
      <w:r w:rsidRPr="004216DB">
        <w:t xml:space="preserve">. </w:t>
      </w:r>
      <w:r w:rsidR="00C47579">
        <w:t xml:space="preserve"> </w:t>
      </w:r>
      <w:r w:rsidRPr="004216DB">
        <w:t>Pursuant to section 1.1200(a) of the Commission’s rules,</w:t>
      </w:r>
      <w:r>
        <w:rPr>
          <w:rStyle w:val="FootnoteReference"/>
        </w:rPr>
        <w:footnoteReference w:id="23"/>
      </w:r>
      <w:r w:rsidRPr="004216DB">
        <w:t xml:space="preserve"> the Commission may adopt modified or more stringent ex parte procedures in particular proceedings if the public interest so requires. We announce that this proceeding will be governed by permit-but-disclose </w:t>
      </w:r>
      <w:r w:rsidRPr="001E0845">
        <w:rPr>
          <w:i/>
          <w:iCs/>
        </w:rPr>
        <w:t>ex parte</w:t>
      </w:r>
      <w:r w:rsidRPr="004216DB">
        <w:t xml:space="preserve"> procedures that are applicable to non-restricted proceedings under section 1.1206 of the Commission’s rules.</w:t>
      </w:r>
      <w:r>
        <w:rPr>
          <w:rStyle w:val="FootnoteReference"/>
        </w:rPr>
        <w:footnoteReference w:id="24"/>
      </w:r>
      <w:r w:rsidRPr="004216DB">
        <w:t xml:space="preserve"> </w:t>
      </w:r>
      <w:r w:rsidR="001E0845">
        <w:t xml:space="preserve"> </w:t>
      </w:r>
      <w:r w:rsidRPr="004216DB">
        <w:t xml:space="preserve">This proceeding shall be treated as a “permit-but-disclose” proceeding in accordance with the Commission’s </w:t>
      </w:r>
      <w:r w:rsidRPr="001E0845">
        <w:rPr>
          <w:i/>
          <w:iCs/>
        </w:rPr>
        <w:t>ex parte</w:t>
      </w:r>
      <w:r w:rsidRPr="004216DB">
        <w:t xml:space="preserve"> rules.</w:t>
      </w:r>
      <w:r>
        <w:rPr>
          <w:rStyle w:val="FootnoteReference"/>
        </w:rPr>
        <w:footnoteReference w:id="25"/>
      </w:r>
      <w:r w:rsidRPr="004216DB">
        <w:t xml:space="preserve"> </w:t>
      </w:r>
      <w:r w:rsidR="001E0845">
        <w:t xml:space="preserve"> </w:t>
      </w:r>
      <w:r w:rsidRPr="004216DB">
        <w:t xml:space="preserve">Entities or persons making </w:t>
      </w:r>
      <w:r w:rsidRPr="001E0845">
        <w:rPr>
          <w:i/>
          <w:iCs/>
        </w:rPr>
        <w:t>ex parte</w:t>
      </w:r>
      <w:r w:rsidRPr="004216DB">
        <w:t xml:space="preserve"> presentations must file a copy of any written presentation or a memorandum summarizing any oral presentation within two business days after the </w:t>
      </w:r>
      <w:r w:rsidRPr="004216DB">
        <w:t xml:space="preserve">presentation (unless a different deadline applicable to the Sunshine period applies). </w:t>
      </w:r>
      <w:r w:rsidR="001E0845">
        <w:t xml:space="preserve"> </w:t>
      </w:r>
      <w:r w:rsidRPr="004216DB">
        <w:t xml:space="preserve">Entities or persons making oral </w:t>
      </w:r>
      <w:r w:rsidRPr="001E0845">
        <w:rPr>
          <w:i/>
          <w:iCs/>
        </w:rPr>
        <w:t>ex parte</w:t>
      </w:r>
      <w:r w:rsidRPr="004216DB">
        <w:t xml:space="preserve"> presentations are reminded that memoranda summarizing the presentation must: (1) list all persons attending or otherwise participating in the meeting at which the </w:t>
      </w:r>
      <w:r w:rsidRPr="001E0845">
        <w:rPr>
          <w:i/>
          <w:iCs/>
        </w:rPr>
        <w:t>ex parte</w:t>
      </w:r>
      <w:r w:rsidRPr="004216DB">
        <w:t xml:space="preserve"> presentation was made; and (2) summarize all data presented and arguments made during the presentation. </w:t>
      </w:r>
      <w:r w:rsidR="001E0845">
        <w:t xml:space="preserve"> </w:t>
      </w:r>
      <w:r w:rsidRPr="004216DB">
        <w:t xml:space="preserve">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w:t>
      </w:r>
      <w:r w:rsidR="001E0845">
        <w:t xml:space="preserve"> </w:t>
      </w:r>
      <w:r w:rsidRPr="004216DB">
        <w:t xml:space="preserve">Documents shown or given to Commission staff during </w:t>
      </w:r>
      <w:r w:rsidRPr="001E0845">
        <w:rPr>
          <w:i/>
          <w:iCs/>
        </w:rPr>
        <w:t>ex parte</w:t>
      </w:r>
      <w:r w:rsidRPr="004216DB">
        <w:t xml:space="preserve"> meetings are deemed to be written </w:t>
      </w:r>
      <w:r w:rsidRPr="001E0845">
        <w:rPr>
          <w:i/>
          <w:iCs/>
        </w:rPr>
        <w:t>ex parte</w:t>
      </w:r>
      <w:r w:rsidRPr="004216DB">
        <w:t xml:space="preserve"> presentations and must be filed consistent with rule 1.1206(b). In proceedings governed by rule 1.49(f) or for which the Commission has made available a method of electronic filing, written </w:t>
      </w:r>
      <w:r w:rsidRPr="001E0845">
        <w:rPr>
          <w:i/>
          <w:iCs/>
        </w:rPr>
        <w:t>ex parte</w:t>
      </w:r>
      <w:r w:rsidRPr="004216DB">
        <w:t xml:space="preserve"> presentations and memoranda summarizing oral </w:t>
      </w:r>
      <w:r w:rsidRPr="001E0845">
        <w:rPr>
          <w:i/>
          <w:iCs/>
        </w:rPr>
        <w:t>ex parte</w:t>
      </w:r>
      <w:r w:rsidRPr="004216DB">
        <w:t xml:space="preserve"> presentations, and all attachments thereto, must be filed through the electronic comment filing system available for that proceeding, and must be filed in their native format (e.g., .doc, .xml, .ppt, searchable .pdf).</w:t>
      </w:r>
      <w:r>
        <w:rPr>
          <w:rStyle w:val="FootnoteReference"/>
        </w:rPr>
        <w:footnoteReference w:id="26"/>
      </w:r>
      <w:r w:rsidRPr="004216DB">
        <w:t xml:space="preserve"> </w:t>
      </w:r>
      <w:r w:rsidR="001E0845">
        <w:t xml:space="preserve"> </w:t>
      </w:r>
      <w:r w:rsidRPr="004216DB">
        <w:t xml:space="preserve">Participants in this proceeding should familiarize themselves with the Commission’s </w:t>
      </w:r>
      <w:r w:rsidRPr="001E0845">
        <w:rPr>
          <w:i/>
          <w:iCs/>
        </w:rPr>
        <w:t>ex parte</w:t>
      </w:r>
      <w:r w:rsidRPr="004216DB">
        <w:t xml:space="preserve"> rules.</w:t>
      </w:r>
    </w:p>
    <w:p w:rsidR="00357E4B" w:rsidP="00DD3B96" w14:paraId="544165B6" w14:textId="752D680E">
      <w:pPr>
        <w:spacing w:after="120"/>
        <w:ind w:firstLine="720"/>
      </w:pPr>
      <w:r w:rsidRPr="00357E4B">
        <w:rPr>
          <w:i/>
          <w:iCs/>
        </w:rPr>
        <w:t>Comment Period and Filing Requirements</w:t>
      </w:r>
      <w:r>
        <w:t xml:space="preserve">.  Interested parties may file pleadings on or before the dates indicated on the first page of this document.  All filings may be filed using the Commission’s Electronic Comment Filing System (ECFS).  Filings should refer to Docket Number </w:t>
      </w:r>
      <w:r w:rsidR="00FF589C">
        <w:t>GN</w:t>
      </w:r>
      <w:r>
        <w:t xml:space="preserve"> </w:t>
      </w:r>
      <w:r w:rsidR="00FF589C">
        <w:t>26</w:t>
      </w:r>
      <w:r>
        <w:t>-</w:t>
      </w:r>
      <w:r w:rsidR="00E92295">
        <w:t>134</w:t>
      </w:r>
      <w:r>
        <w:t xml:space="preserve"> when filing in response to this Public Notice.  </w:t>
      </w:r>
    </w:p>
    <w:p w:rsidR="005979C8" w:rsidP="00DD3B96" w14:paraId="60E7F8CF" w14:textId="1C4320C0">
      <w:pPr>
        <w:numPr>
          <w:ilvl w:val="0"/>
          <w:numId w:val="7"/>
        </w:numPr>
        <w:spacing w:after="120"/>
      </w:pPr>
      <w:r>
        <w:t xml:space="preserve">Electronic Filers: Comments may be filed electronically by accessing ECFS at </w:t>
      </w:r>
      <w:hyperlink r:id="rId6" w:history="1">
        <w:r w:rsidRPr="00FD0FFF">
          <w:rPr>
            <w:rStyle w:val="Hyperlink"/>
          </w:rPr>
          <w:t>http://www.fcc.gov/ecfs/</w:t>
        </w:r>
      </w:hyperlink>
      <w:r>
        <w:t xml:space="preserve">. </w:t>
      </w:r>
    </w:p>
    <w:p w:rsidR="005979C8" w:rsidP="00DD3B96" w14:paraId="44AE42E5" w14:textId="564C3626">
      <w:pPr>
        <w:numPr>
          <w:ilvl w:val="0"/>
          <w:numId w:val="7"/>
        </w:numPr>
        <w:spacing w:after="120"/>
      </w:pPr>
      <w:r>
        <w:t xml:space="preserve">Paper filers: Parties who choose to file by paper must file an original and one copy of each filing. </w:t>
      </w:r>
    </w:p>
    <w:p w:rsidR="005979C8" w:rsidP="00DD3B96" w14:paraId="7B041A63" w14:textId="5B4D800B">
      <w:pPr>
        <w:numPr>
          <w:ilvl w:val="1"/>
          <w:numId w:val="7"/>
        </w:numPr>
        <w:spacing w:after="120"/>
      </w:pPr>
      <w:r>
        <w:t xml:space="preserve">Filings can be sent by hand or messenger delivery, or by commercial courier, or by the U.S. Postal Service.  All filings must be addressed to the Secretary, Federal Communications Commission. </w:t>
      </w:r>
    </w:p>
    <w:p w:rsidR="005979C8" w:rsidP="00DD3B96" w14:paraId="7D70C8BD" w14:textId="79B6BD07">
      <w:pPr>
        <w:numPr>
          <w:ilvl w:val="1"/>
          <w:numId w:val="7"/>
        </w:numPr>
        <w:spacing w:after="120"/>
      </w:pPr>
      <w:r>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E00FC2" w:rsidP="00DD3B96" w14:paraId="033FE46E" w14:textId="486083C3">
      <w:pPr>
        <w:numPr>
          <w:ilvl w:val="1"/>
          <w:numId w:val="7"/>
        </w:numPr>
        <w:spacing w:after="120"/>
      </w:pPr>
      <w:r w:rsidRPr="00E00FC2">
        <w:t>Commercial courier deliveries (any deliveries not by the U.S. Postal Service) must be</w:t>
      </w:r>
      <w:r>
        <w:t xml:space="preserve"> </w:t>
      </w:r>
      <w:r w:rsidRPr="00E00FC2">
        <w:t>sent to 9050 Junction Drive, Annapolis Junction, MD 20701</w:t>
      </w:r>
      <w:r w:rsidR="002F2787">
        <w:t xml:space="preserve">. </w:t>
      </w:r>
    </w:p>
    <w:p w:rsidR="002F2787" w:rsidP="00DD3B96" w14:paraId="5FF8B710" w14:textId="37D22BC0">
      <w:pPr>
        <w:numPr>
          <w:ilvl w:val="1"/>
          <w:numId w:val="7"/>
        </w:numPr>
        <w:spacing w:after="120"/>
      </w:pPr>
      <w:r w:rsidRPr="002F2787">
        <w:t>Filings sent by U.S. Postal Service First-Class Mail, Priority Mail, and Priority Mail Express must be sent to 45 L Street NE, Washington, DC 20554.</w:t>
      </w:r>
    </w:p>
    <w:p w:rsidR="00E92295" w:rsidP="00DD3B96" w14:paraId="5DC2D1F5" w14:textId="77777777">
      <w:pPr>
        <w:spacing w:after="120"/>
        <w:ind w:firstLine="720"/>
      </w:pPr>
      <w:r w:rsidRPr="002F2787">
        <w:t xml:space="preserve">One copy of each pleading, ex parte submission, or other filing must be delivered electronically, by email, or if delivered as paper copy, by commercial overnight courier, or by first-class or overnight U.S. Postal Service mail (according to the procedures set forth above for paper filings), to: (1) </w:t>
      </w:r>
      <w:r w:rsidRPr="002F2787" w:rsidR="005915FD">
        <w:t>Stephen Duall, Space Bureau, stephen.duall@fcc.gov</w:t>
      </w:r>
      <w:r w:rsidR="005915FD">
        <w:t>;</w:t>
      </w:r>
      <w:r w:rsidRPr="002F2787">
        <w:t xml:space="preserve"> (2) Aleksandr Yankelevich, Office of Economics and Analytics, aleks.yankelevich@fcc.gov; (3) </w:t>
      </w:r>
      <w:r w:rsidR="00344831">
        <w:t>Thomas Struble, Office of Engineering &amp; Technology, thomas</w:t>
      </w:r>
      <w:r w:rsidRPr="00045DAD" w:rsidR="00344831">
        <w:t>.struble@fcc.gov</w:t>
      </w:r>
      <w:r w:rsidR="00344831">
        <w:t xml:space="preserve">; (4) </w:t>
      </w:r>
      <w:r w:rsidR="00DE6253">
        <w:t>Karen Johnson</w:t>
      </w:r>
      <w:r w:rsidR="00C63DAC">
        <w:t>, Office of International Affairs</w:t>
      </w:r>
      <w:r w:rsidRPr="002F2787">
        <w:t xml:space="preserve">, </w:t>
      </w:r>
      <w:r w:rsidR="00DE6253">
        <w:t>karen.johnson</w:t>
      </w:r>
      <w:r w:rsidRPr="002F2787">
        <w:t>@fcc.gov; (</w:t>
      </w:r>
      <w:r w:rsidR="00344831">
        <w:t>5</w:t>
      </w:r>
      <w:r w:rsidRPr="002F2787">
        <w:t>)</w:t>
      </w:r>
      <w:r w:rsidR="00253544">
        <w:t xml:space="preserve"> </w:t>
      </w:r>
      <w:r w:rsidR="001B0EF7">
        <w:t>Gre</w:t>
      </w:r>
      <w:r w:rsidR="00810FB7">
        <w:t xml:space="preserve">gory Kwan, Wireline Competition Bureau, </w:t>
      </w:r>
      <w:r w:rsidRPr="00AB31B9" w:rsidR="00E57A74">
        <w:t>gregory.kwan@fcc.gov</w:t>
      </w:r>
      <w:r w:rsidR="00253544">
        <w:t xml:space="preserve">; </w:t>
      </w:r>
      <w:r w:rsidRPr="002F2787">
        <w:t>and (</w:t>
      </w:r>
      <w:r w:rsidR="00344831">
        <w:t>6</w:t>
      </w:r>
      <w:r w:rsidRPr="002F2787">
        <w:t xml:space="preserve">) Joel Rabinovitz, Office of General Counsel, at TransactionTeam@fcc.gov. </w:t>
      </w:r>
      <w:r w:rsidR="005915FD">
        <w:t xml:space="preserve"> </w:t>
      </w:r>
      <w:r w:rsidRPr="002F2787">
        <w:t xml:space="preserve">Any submission emailed to these individuals should include in the subject line of the email: </w:t>
      </w:r>
      <w:r w:rsidR="005915FD">
        <w:t xml:space="preserve"> </w:t>
      </w:r>
      <w:r w:rsidRPr="002F2787">
        <w:t xml:space="preserve">(1) </w:t>
      </w:r>
      <w:r w:rsidR="00492314">
        <w:t>GN</w:t>
      </w:r>
      <w:r w:rsidRPr="002F2787">
        <w:t xml:space="preserve"> Docket Number </w:t>
      </w:r>
      <w:r w:rsidRPr="00E92295" w:rsidR="00511CA9">
        <w:t>26</w:t>
      </w:r>
      <w:r w:rsidRPr="00E92295">
        <w:t>-</w:t>
      </w:r>
      <w:r w:rsidRPr="00E92295">
        <w:t>134</w:t>
      </w:r>
      <w:r w:rsidRPr="00E92295">
        <w:t>;</w:t>
      </w:r>
      <w:r w:rsidRPr="002F2787">
        <w:t xml:space="preserve"> (2) the name of the submitting </w:t>
      </w:r>
    </w:p>
    <w:p w:rsidR="00E92295" w14:paraId="3DBCA07F" w14:textId="77777777">
      <w:pPr>
        <w:widowControl/>
      </w:pPr>
      <w:r>
        <w:br w:type="page"/>
      </w:r>
    </w:p>
    <w:p w:rsidR="002F2787" w:rsidP="00E92295" w14:paraId="37F04D5F" w14:textId="15FD9EAA">
      <w:pPr>
        <w:spacing w:after="120"/>
      </w:pPr>
      <w:r w:rsidRPr="002F2787">
        <w:t>party; and (3) a brief description or title identifying the type of document being submitted (</w:t>
      </w:r>
      <w:r w:rsidRPr="00BD7D04">
        <w:rPr>
          <w:i/>
          <w:iCs/>
        </w:rPr>
        <w:t>e.g.</w:t>
      </w:r>
      <w:r w:rsidRPr="002F2787">
        <w:t xml:space="preserve">, </w:t>
      </w:r>
      <w:r w:rsidR="005915FD">
        <w:t xml:space="preserve">XX </w:t>
      </w:r>
      <w:r w:rsidRPr="002F2787">
        <w:t xml:space="preserve">Docket Number </w:t>
      </w:r>
      <w:r w:rsidR="005915FD">
        <w:t>26</w:t>
      </w:r>
      <w:r w:rsidRPr="002F2787">
        <w:t>-</w:t>
      </w:r>
      <w:r w:rsidR="005915FD">
        <w:t>###</w:t>
      </w:r>
      <w:r w:rsidRPr="002F2787">
        <w:t>; Widget Corp., Notice of Ex Parte Communications).</w:t>
      </w:r>
    </w:p>
    <w:p w:rsidR="00F15C99" w:rsidP="002F2787" w14:paraId="4C49E6C9" w14:textId="1779F90F">
      <w:pPr>
        <w:spacing w:after="120"/>
        <w:ind w:firstLine="720"/>
      </w:pPr>
      <w:r w:rsidRPr="00BD7D04">
        <w:rPr>
          <w:i/>
          <w:iCs/>
        </w:rPr>
        <w:t>People with Disabilities</w:t>
      </w:r>
      <w:r>
        <w:t xml:space="preserve">.  To request materials in accessible formats for people with disabilities (braille, large print, electronic files, audio format), send an email to </w:t>
      </w:r>
      <w:hyperlink r:id="rId7" w:history="1">
        <w:r w:rsidRPr="00FD0FFF">
          <w:rPr>
            <w:rStyle w:val="Hyperlink"/>
          </w:rPr>
          <w:t>fcc504@fcc.gov</w:t>
        </w:r>
      </w:hyperlink>
      <w:r>
        <w:t xml:space="preserve"> or call the Consumer &amp; Governmental Affairs Bureau at 202-418-0530 (voice). </w:t>
      </w:r>
    </w:p>
    <w:p w:rsidR="00E92295" w:rsidP="00E92295" w14:paraId="10048786" w14:textId="77777777">
      <w:pPr>
        <w:spacing w:after="120"/>
      </w:pPr>
    </w:p>
    <w:p w:rsidR="00E92295" w:rsidRPr="00E92295" w:rsidP="00E92295" w14:paraId="76B3C4E9" w14:textId="0DD6AF54">
      <w:pPr>
        <w:spacing w:after="120"/>
        <w:jc w:val="center"/>
        <w:rPr>
          <w:b/>
          <w:bCs/>
        </w:rPr>
      </w:pPr>
      <w:r>
        <w:rPr>
          <w:b/>
          <w:bCs/>
        </w:rPr>
        <w:t>-FCC-</w:t>
      </w:r>
    </w:p>
    <w:sectPr>
      <w:headerReference w:type="default" r:id="rId8"/>
      <w:footerReference w:type="even" r:id="rId9"/>
      <w:footerReference w:type="default" r:id="rId10"/>
      <w:headerReference w:type="first" r:id="rId11"/>
      <w:footerReference w:type="first" r:id="rId12"/>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2234C" w14:paraId="0C576C4E" w14:textId="77777777">
      <w:pPr>
        <w:spacing w:line="20" w:lineRule="exact"/>
      </w:pPr>
    </w:p>
  </w:endnote>
  <w:endnote w:type="continuationSeparator" w:id="1">
    <w:p w:rsidR="0062234C" w14:paraId="614A9E09" w14:textId="77777777">
      <w:r>
        <w:t xml:space="preserve"> </w:t>
      </w:r>
    </w:p>
  </w:endnote>
  <w:endnote w:type="continuationNotice" w:id="2">
    <w:p w:rsidR="0062234C" w14:paraId="67F62E1C"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pitch w:val="variable"/>
    <w:sig w:usb0="00003A87" w:usb1="00000000" w:usb2="00000000" w:usb3="00000000" w:csb0="000000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5C055C4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54B2657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589545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352D3862"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2234C" w14:paraId="4DC8F655" w14:textId="77777777">
      <w:r>
        <w:separator/>
      </w:r>
    </w:p>
  </w:footnote>
  <w:footnote w:type="continuationSeparator" w:id="1">
    <w:p w:rsidR="0062234C" w14:paraId="392AB382" w14:textId="77777777">
      <w:pPr>
        <w:rPr>
          <w:sz w:val="20"/>
        </w:rPr>
      </w:pPr>
      <w:r>
        <w:rPr>
          <w:sz w:val="20"/>
        </w:rPr>
        <w:t xml:space="preserve">(Continued from previous page)  </w:t>
      </w:r>
      <w:r>
        <w:rPr>
          <w:sz w:val="20"/>
        </w:rPr>
        <w:separator/>
      </w:r>
    </w:p>
  </w:footnote>
  <w:footnote w:type="continuationNotice" w:id="2">
    <w:p w:rsidR="0062234C" w14:paraId="38C921F6" w14:textId="77777777">
      <w:pPr>
        <w:jc w:val="right"/>
        <w:rPr>
          <w:sz w:val="20"/>
        </w:rPr>
      </w:pPr>
      <w:r>
        <w:rPr>
          <w:sz w:val="20"/>
        </w:rPr>
        <w:t>(continued….)</w:t>
      </w:r>
    </w:p>
  </w:footnote>
  <w:footnote w:id="3">
    <w:p w:rsidR="000C4A97" w14:paraId="6D5C3F92" w14:textId="15A3CF24">
      <w:pPr>
        <w:pStyle w:val="FootnoteText"/>
      </w:pPr>
      <w:r>
        <w:rPr>
          <w:rStyle w:val="FootnoteReference"/>
        </w:rPr>
        <w:footnoteRef/>
      </w:r>
      <w:r w:rsidR="002E3A47">
        <w:t xml:space="preserve"> </w:t>
      </w:r>
      <w:r w:rsidR="005D7752">
        <w:t xml:space="preserve">Application for Consent to Assign and Transfer Control of Licenses and Authorizations, ICFS File No. </w:t>
      </w:r>
      <w:r w:rsidR="002E3A47">
        <w:t>ITC-T/C</w:t>
      </w:r>
      <w:r w:rsidR="00FC5EDF">
        <w:t>-20260417-00114</w:t>
      </w:r>
      <w:r w:rsidR="005D7752">
        <w:t xml:space="preserve"> (filed </w:t>
      </w:r>
      <w:r w:rsidR="005E341E">
        <w:t>May 26, 2026)</w:t>
      </w:r>
      <w:r w:rsidR="00E563AD">
        <w:t xml:space="preserve"> (Application)</w:t>
      </w:r>
      <w:r w:rsidR="005E341E">
        <w:t xml:space="preserve">.  </w:t>
      </w:r>
      <w:r w:rsidRPr="00E563AD" w:rsidR="005E341E">
        <w:rPr>
          <w:i/>
          <w:iCs/>
        </w:rPr>
        <w:t>See</w:t>
      </w:r>
      <w:r w:rsidR="005E341E">
        <w:t xml:space="preserve"> </w:t>
      </w:r>
      <w:r w:rsidRPr="00E61FA4" w:rsidR="00E61FA4">
        <w:rPr>
          <w:i/>
          <w:iCs/>
        </w:rPr>
        <w:t>also</w:t>
      </w:r>
      <w:r w:rsidR="00E61FA4">
        <w:t xml:space="preserve"> </w:t>
      </w:r>
      <w:r w:rsidR="00795E55">
        <w:t>ICFS File Nos. SAT-T/C-20260426-00174, SAT-T/C-20260426</w:t>
      </w:r>
      <w:r w:rsidR="006B0F4F">
        <w:t>-00138, SAT-T/C-20260426-00137</w:t>
      </w:r>
      <w:r w:rsidR="002B779D">
        <w:t>; ELS</w:t>
      </w:r>
      <w:r w:rsidRPr="000C7175" w:rsidR="000C7175">
        <w:t xml:space="preserve"> </w:t>
      </w:r>
      <w:r w:rsidR="000C7175">
        <w:t>File Nos. 0080-EX-TU-2026, 0069-EX-TC-2026 (filed May 26, 2026).</w:t>
      </w:r>
      <w:r w:rsidR="002B779D">
        <w:t xml:space="preserve"> </w:t>
      </w:r>
      <w:r w:rsidR="00E563AD">
        <w:t xml:space="preserve"> The Commission reserves the right to return any of these applications if, upon further examination, it is determined to be defective and not in conformance with the Commission’s rules or policies.  </w:t>
      </w:r>
      <w:r w:rsidR="00C415FC">
        <w:t>Exhibit A to the Application includes a list of the licenses and authorizations held by Globalstar, Inc., Globalstar Licensee LLC, and GUSA Licensee LLC</w:t>
      </w:r>
      <w:r w:rsidR="00095B1E">
        <w:t xml:space="preserve"> that are subject to the Transaction.</w:t>
      </w:r>
      <w:r w:rsidRPr="00E61FA4" w:rsidR="00095B1E">
        <w:rPr>
          <w:i/>
          <w:iCs/>
        </w:rPr>
        <w:t xml:space="preserve">  </w:t>
      </w:r>
      <w:r w:rsidR="00095B1E">
        <w:t xml:space="preserve">Application, </w:t>
      </w:r>
      <w:r w:rsidR="005955A9">
        <w:t xml:space="preserve">Public Interest Statement </w:t>
      </w:r>
      <w:r w:rsidR="00095B1E">
        <w:t xml:space="preserve">at n. 2, </w:t>
      </w:r>
      <w:r w:rsidR="00095B1E">
        <w:t>Exh</w:t>
      </w:r>
      <w:r w:rsidR="00AD3D0A">
        <w:t>.</w:t>
      </w:r>
      <w:r w:rsidR="00095B1E">
        <w:t xml:space="preserve"> A. </w:t>
      </w:r>
    </w:p>
  </w:footnote>
  <w:footnote w:id="4">
    <w:p w:rsidR="00DC2163" w14:paraId="23F32AF1" w14:textId="0B920DC5">
      <w:pPr>
        <w:pStyle w:val="FootnoteText"/>
      </w:pPr>
      <w:r>
        <w:rPr>
          <w:rStyle w:val="FootnoteReference"/>
        </w:rPr>
        <w:footnoteRef/>
      </w:r>
      <w:r>
        <w:t xml:space="preserve"> 47 U.S.</w:t>
      </w:r>
      <w:r w:rsidR="006E7B9C">
        <w:t>C.</w:t>
      </w:r>
      <w:r>
        <w:t xml:space="preserve"> §</w:t>
      </w:r>
      <w:r w:rsidR="00076879">
        <w:t>§ 214(a),</w:t>
      </w:r>
      <w:r>
        <w:t xml:space="preserve"> 310(d); 47 CFR §§ </w:t>
      </w:r>
      <w:r w:rsidR="00076879">
        <w:t xml:space="preserve">5.79, 63.04, 63.18, 63.24, 25.119. </w:t>
      </w:r>
      <w:r w:rsidR="003674B7">
        <w:t xml:space="preserve"> </w:t>
      </w:r>
      <w:r w:rsidRPr="003674B7" w:rsidR="003674B7">
        <w:rPr>
          <w:i/>
          <w:iCs/>
        </w:rPr>
        <w:t>See</w:t>
      </w:r>
      <w:r w:rsidR="003674B7">
        <w:t xml:space="preserve"> </w:t>
      </w:r>
      <w:r w:rsidR="006A0901">
        <w:t xml:space="preserve">Application, </w:t>
      </w:r>
      <w:r w:rsidR="005955A9">
        <w:t>Public Interest Statement</w:t>
      </w:r>
      <w:r w:rsidR="003674B7">
        <w:t xml:space="preserve"> at 1. </w:t>
      </w:r>
    </w:p>
  </w:footnote>
  <w:footnote w:id="5">
    <w:p w:rsidR="0009762D" w14:paraId="3ED6C48B" w14:textId="2018589C">
      <w:pPr>
        <w:pStyle w:val="FootnoteText"/>
      </w:pPr>
      <w:r>
        <w:rPr>
          <w:rStyle w:val="FootnoteReference"/>
        </w:rPr>
        <w:footnoteRef/>
      </w:r>
      <w:r>
        <w:t xml:space="preserve"> </w:t>
      </w:r>
      <w:r w:rsidR="00DC49B3">
        <w:t>Application, Public Interest Statement at 11.</w:t>
      </w:r>
    </w:p>
  </w:footnote>
  <w:footnote w:id="6">
    <w:p w:rsidR="006E7B9C" w:rsidP="006E7B9C" w14:paraId="6A0416C3" w14:textId="77777777">
      <w:pPr>
        <w:pStyle w:val="FootnoteText"/>
      </w:pPr>
      <w:r>
        <w:rPr>
          <w:rStyle w:val="FootnoteReference"/>
        </w:rPr>
        <w:footnoteRef/>
      </w:r>
      <w:r>
        <w:t xml:space="preserve"> </w:t>
      </w:r>
      <w:r w:rsidRPr="003347E4">
        <w:rPr>
          <w:i/>
          <w:iCs/>
        </w:rPr>
        <w:t>Id</w:t>
      </w:r>
      <w:r>
        <w:t xml:space="preserve">. at 10, 11.  </w:t>
      </w:r>
    </w:p>
  </w:footnote>
  <w:footnote w:id="7">
    <w:p w:rsidR="001E0F31" w14:paraId="6CD75A46" w14:textId="5C712C66">
      <w:pPr>
        <w:pStyle w:val="FootnoteText"/>
      </w:pPr>
      <w:r>
        <w:rPr>
          <w:rStyle w:val="FootnoteReference"/>
        </w:rPr>
        <w:footnoteRef/>
      </w:r>
      <w:r>
        <w:t xml:space="preserve"> </w:t>
      </w:r>
      <w:r w:rsidRPr="00050CE7" w:rsidR="00050CE7">
        <w:rPr>
          <w:i/>
          <w:iCs/>
        </w:rPr>
        <w:t>Id.</w:t>
      </w:r>
      <w:r w:rsidR="00050CE7">
        <w:t xml:space="preserve"> </w:t>
      </w:r>
      <w:r w:rsidRPr="001E0F31">
        <w:t>at 2, 20-23.</w:t>
      </w:r>
    </w:p>
  </w:footnote>
  <w:footnote w:id="8">
    <w:p w:rsidR="00BA404D" w14:paraId="5D591CA4" w14:textId="20E83F05">
      <w:pPr>
        <w:pStyle w:val="FootnoteText"/>
      </w:pPr>
      <w:r>
        <w:rPr>
          <w:rStyle w:val="FootnoteReference"/>
        </w:rPr>
        <w:footnoteRef/>
      </w:r>
      <w:r>
        <w:t xml:space="preserve"> </w:t>
      </w:r>
      <w:r w:rsidRPr="00F27494">
        <w:rPr>
          <w:i/>
          <w:iCs/>
        </w:rPr>
        <w:t>Id</w:t>
      </w:r>
      <w:r w:rsidRPr="00F27494">
        <w:t>. at 2, 17-20.</w:t>
      </w:r>
      <w:r w:rsidRPr="00BA404D">
        <w:t>  Amazon states that it intends to file a license application to operate a global D2D satellite system for MSS connectivity designed to complement the Amazon LEO NGSO FSS system.  </w:t>
      </w:r>
      <w:r w:rsidRPr="00BA404D">
        <w:rPr>
          <w:i/>
          <w:iCs/>
        </w:rPr>
        <w:t>See</w:t>
      </w:r>
      <w:r w:rsidRPr="00BA404D">
        <w:t> </w:t>
      </w:r>
      <w:r w:rsidRPr="00F27494" w:rsidR="00F27494">
        <w:rPr>
          <w:i/>
          <w:iCs/>
        </w:rPr>
        <w:t>i</w:t>
      </w:r>
      <w:r w:rsidRPr="00F27494">
        <w:rPr>
          <w:i/>
          <w:iCs/>
        </w:rPr>
        <w:t>d</w:t>
      </w:r>
      <w:r w:rsidRPr="00F27494">
        <w:t>.</w:t>
      </w:r>
      <w:r w:rsidRPr="00BA404D">
        <w:t> at 6, </w:t>
      </w:r>
      <w:r w:rsidRPr="00F27494">
        <w:t>Exh</w:t>
      </w:r>
      <w:r w:rsidRPr="00F27494">
        <w:t>. </w:t>
      </w:r>
      <w:r w:rsidRPr="00BA404D">
        <w:t>B</w:t>
      </w:r>
      <w:r w:rsidR="00F27494">
        <w:t>.</w:t>
      </w:r>
    </w:p>
  </w:footnote>
  <w:footnote w:id="9">
    <w:p w:rsidR="00DE1180" w14:paraId="647760FD" w14:textId="2D31CD88">
      <w:pPr>
        <w:pStyle w:val="FootnoteText"/>
      </w:pPr>
      <w:r>
        <w:rPr>
          <w:rStyle w:val="FootnoteReference"/>
        </w:rPr>
        <w:footnoteRef/>
      </w:r>
      <w:r>
        <w:t xml:space="preserve"> </w:t>
      </w:r>
      <w:r w:rsidRPr="00DE1180">
        <w:rPr>
          <w:i/>
          <w:iCs/>
        </w:rPr>
        <w:t>Id</w:t>
      </w:r>
      <w:r w:rsidRPr="00DE1180">
        <w:t>. at 14-15.</w:t>
      </w:r>
    </w:p>
  </w:footnote>
  <w:footnote w:id="10">
    <w:p w:rsidR="009125D7" w14:paraId="432B3D3C" w14:textId="1CB6B3F8">
      <w:pPr>
        <w:pStyle w:val="FootnoteText"/>
      </w:pPr>
      <w:r>
        <w:rPr>
          <w:rStyle w:val="FootnoteReference"/>
        </w:rPr>
        <w:footnoteRef/>
      </w:r>
      <w:r>
        <w:t xml:space="preserve"> </w:t>
      </w:r>
      <w:r w:rsidRPr="009125D7">
        <w:rPr>
          <w:i/>
          <w:iCs/>
        </w:rPr>
        <w:t>Id.</w:t>
      </w:r>
      <w:r>
        <w:t xml:space="preserve"> at 2, 25-26.</w:t>
      </w:r>
    </w:p>
  </w:footnote>
  <w:footnote w:id="11">
    <w:p w:rsidR="00B26041" w14:paraId="1A721FBD" w14:textId="6B42AD9D">
      <w:pPr>
        <w:pStyle w:val="FootnoteText"/>
      </w:pPr>
      <w:r>
        <w:rPr>
          <w:rStyle w:val="FootnoteReference"/>
        </w:rPr>
        <w:footnoteRef/>
      </w:r>
      <w:r>
        <w:t xml:space="preserve"> Big LEO refers to low-Earth orbit (LEO) MSS services above 1 GHz. </w:t>
      </w:r>
    </w:p>
  </w:footnote>
  <w:footnote w:id="12">
    <w:p w:rsidR="00A931F7" w14:paraId="242243AD" w14:textId="6AEA2410">
      <w:pPr>
        <w:pStyle w:val="FootnoteText"/>
      </w:pPr>
      <w:r>
        <w:rPr>
          <w:rStyle w:val="FootnoteReference"/>
        </w:rPr>
        <w:footnoteRef/>
      </w:r>
      <w:r>
        <w:t xml:space="preserve"> </w:t>
      </w:r>
      <w:r w:rsidR="00050CE7">
        <w:t>A</w:t>
      </w:r>
      <w:r w:rsidRPr="001E0F31" w:rsidR="00050CE7">
        <w:t>pplication, Public Interest Statement</w:t>
      </w:r>
      <w:r>
        <w:t xml:space="preserve"> at </w:t>
      </w:r>
      <w:r w:rsidR="00FA35B5">
        <w:t xml:space="preserve">6, </w:t>
      </w:r>
      <w:r>
        <w:t>25-2</w:t>
      </w:r>
      <w:r w:rsidR="00B37AAE">
        <w:t>7.</w:t>
      </w:r>
    </w:p>
  </w:footnote>
  <w:footnote w:id="13">
    <w:p w:rsidR="00AC6962" w14:paraId="2D83A296" w14:textId="229AAED9">
      <w:pPr>
        <w:pStyle w:val="FootnoteText"/>
      </w:pPr>
      <w:r>
        <w:rPr>
          <w:rStyle w:val="FootnoteReference"/>
        </w:rPr>
        <w:footnoteRef/>
      </w:r>
      <w:r>
        <w:t xml:space="preserve"> </w:t>
      </w:r>
      <w:r w:rsidRPr="008049BD" w:rsidR="00DB520E">
        <w:rPr>
          <w:i/>
          <w:iCs/>
        </w:rPr>
        <w:t>Id</w:t>
      </w:r>
      <w:r w:rsidR="00DB520E">
        <w:t>. at 9</w:t>
      </w:r>
      <w:r w:rsidR="008049BD">
        <w:t xml:space="preserve">, </w:t>
      </w:r>
      <w:r w:rsidR="008049BD">
        <w:t>Exh</w:t>
      </w:r>
      <w:r w:rsidR="00050CE7">
        <w:t>.</w:t>
      </w:r>
      <w:r w:rsidR="008049BD">
        <w:t xml:space="preserve"> A, Globalstar, Inc. Licenses and Authorizations. </w:t>
      </w:r>
    </w:p>
  </w:footnote>
  <w:footnote w:id="14">
    <w:p w:rsidR="00CE446E" w14:paraId="786FA227" w14:textId="5D4177D4">
      <w:pPr>
        <w:pStyle w:val="FootnoteText"/>
      </w:pPr>
      <w:r>
        <w:rPr>
          <w:rStyle w:val="FootnoteReference"/>
        </w:rPr>
        <w:footnoteRef/>
      </w:r>
      <w:r>
        <w:t xml:space="preserve"> </w:t>
      </w:r>
      <w:r w:rsidRPr="00CE446E">
        <w:rPr>
          <w:i/>
          <w:iCs/>
        </w:rPr>
        <w:t>See</w:t>
      </w:r>
      <w:r>
        <w:t xml:space="preserve"> Application, </w:t>
      </w:r>
      <w:r w:rsidR="005955A9">
        <w:t xml:space="preserve">Public Interest Statement </w:t>
      </w:r>
      <w:r>
        <w:t>at 9, n.21</w:t>
      </w:r>
      <w:r w:rsidR="00296AD4">
        <w:t xml:space="preserve">.  </w:t>
      </w:r>
      <w:r w:rsidR="00CA6496">
        <w:t xml:space="preserve">Amazon states that it will continue to comply with the terms of two pre-existing </w:t>
      </w:r>
      <w:r w:rsidR="007012B7">
        <w:t xml:space="preserve">transition agreements between </w:t>
      </w:r>
      <w:r w:rsidR="00285CAA">
        <w:t xml:space="preserve">the Globalstar entities and the U.S. Department of War, Department of Justice, and the Federal Bureau of Investigation.  </w:t>
      </w:r>
      <w:r w:rsidRPr="00730268" w:rsidR="00285CAA">
        <w:rPr>
          <w:i/>
          <w:iCs/>
        </w:rPr>
        <w:t>See</w:t>
      </w:r>
      <w:r w:rsidR="00285CAA">
        <w:t xml:space="preserve"> </w:t>
      </w:r>
      <w:r w:rsidRPr="00730268" w:rsidR="00285CAA">
        <w:rPr>
          <w:i/>
          <w:iCs/>
        </w:rPr>
        <w:t>International Authorizations Granted</w:t>
      </w:r>
      <w:r w:rsidR="00285CAA">
        <w:t>, Report No. TEL-00191, DA No. 00-361</w:t>
      </w:r>
      <w:r w:rsidR="00296AD4">
        <w:t xml:space="preserve">; </w:t>
      </w:r>
      <w:r w:rsidRPr="00730268" w:rsidR="00296AD4">
        <w:rPr>
          <w:i/>
          <w:iCs/>
        </w:rPr>
        <w:t>International Authorizations Granted</w:t>
      </w:r>
      <w:r w:rsidR="00296AD4">
        <w:t xml:space="preserve">, Public Notice, IB Docket No. 04-4 (Mar. 8, 2004). </w:t>
      </w:r>
    </w:p>
  </w:footnote>
  <w:footnote w:id="15">
    <w:p w:rsidR="00FB0AC1" w14:paraId="60A52B92" w14:textId="1A98F39C">
      <w:pPr>
        <w:pStyle w:val="FootnoteText"/>
      </w:pPr>
      <w:r>
        <w:rPr>
          <w:rStyle w:val="FootnoteReference"/>
        </w:rPr>
        <w:footnoteRef/>
      </w:r>
      <w:r>
        <w:t xml:space="preserve"> </w:t>
      </w:r>
      <w:r w:rsidR="007C47E3">
        <w:t xml:space="preserve">Application, </w:t>
      </w:r>
      <w:r w:rsidR="005955A9">
        <w:t xml:space="preserve">Public Interest Statement </w:t>
      </w:r>
      <w:r w:rsidR="007C47E3">
        <w:t xml:space="preserve">at 9-10. </w:t>
      </w:r>
    </w:p>
  </w:footnote>
  <w:footnote w:id="16">
    <w:p w:rsidR="00065089" w14:paraId="22FBA02B" w14:textId="729EE7AA">
      <w:pPr>
        <w:pStyle w:val="FootnoteText"/>
      </w:pPr>
      <w:r>
        <w:rPr>
          <w:rStyle w:val="FootnoteReference"/>
        </w:rPr>
        <w:footnoteRef/>
      </w:r>
      <w:r>
        <w:t xml:space="preserve"> </w:t>
      </w:r>
      <w:r w:rsidRPr="00AF3081" w:rsidR="00AF3081">
        <w:rPr>
          <w:i/>
          <w:iCs/>
        </w:rPr>
        <w:t>See</w:t>
      </w:r>
      <w:r w:rsidR="00AF3081">
        <w:t xml:space="preserve"> </w:t>
      </w:r>
      <w:r w:rsidR="00866D7C">
        <w:t xml:space="preserve">Globalstar, Inc., </w:t>
      </w:r>
      <w:r w:rsidR="00A4711C">
        <w:t xml:space="preserve">File No. </w:t>
      </w:r>
      <w:r>
        <w:t>0334-</w:t>
      </w:r>
      <w:r w:rsidR="00E415CB">
        <w:t>EX-CN-2026</w:t>
      </w:r>
      <w:r w:rsidR="008C73B1">
        <w:t xml:space="preserve"> (granted Apr. 13, 2026)</w:t>
      </w:r>
      <w:r w:rsidR="000C7175">
        <w:t xml:space="preserve">. </w:t>
      </w:r>
    </w:p>
  </w:footnote>
  <w:footnote w:id="17">
    <w:p w:rsidR="0051647D" w14:paraId="18651828" w14:textId="28E5C66E">
      <w:pPr>
        <w:pStyle w:val="FootnoteText"/>
      </w:pPr>
      <w:r>
        <w:rPr>
          <w:rStyle w:val="FootnoteReference"/>
        </w:rPr>
        <w:footnoteRef/>
      </w:r>
      <w:r>
        <w:t xml:space="preserve"> Globalstar Licensee LLC additionally has a pending petition for declaratory ruling seeking U.S. market access for its planned Globalstar C-3 MSS system of 48 NGSO satellites, licensed by the Republic of France by Globalstar’s wholly-owned subsidiary Globalstar France SAS, pursuant to its AST-NG-C-3 filing at the International Telecommunications Union (ITU).   </w:t>
      </w:r>
      <w:r w:rsidRPr="00E96773">
        <w:rPr>
          <w:i/>
          <w:iCs/>
        </w:rPr>
        <w:t>See</w:t>
      </w:r>
      <w:r>
        <w:t xml:space="preserve"> Petition for Declaratory Ruling Granting Access to the U.S. Market for the Globalstar-C3 MSS System, ICFS File No. SAT-PDR-20250214-00047, S3233 (filed Feb. 14, 2025).  The petition was accepted for filing and placed on public notice.  </w:t>
      </w:r>
      <w:r w:rsidRPr="00E33CFC">
        <w:rPr>
          <w:i/>
          <w:iCs/>
        </w:rPr>
        <w:t>See Satellite Licensing Division and Satellite Programs and Policy Division Information, Space Station Applications Accepted for Filing</w:t>
      </w:r>
      <w:r>
        <w:t>, Public Notice, Report No. SAT-01923 (rel. May 30, 2025).  We note that the comment window on this petition has elapsed and this Public Notice does not seek additional comment on this petition.</w:t>
      </w:r>
    </w:p>
  </w:footnote>
  <w:footnote w:id="18">
    <w:p w:rsidR="0051647D" w:rsidP="0051647D" w14:paraId="34F5D749" w14:textId="77777777">
      <w:pPr>
        <w:pStyle w:val="FootnoteText"/>
      </w:pPr>
      <w:r>
        <w:rPr>
          <w:rStyle w:val="FootnoteReference"/>
        </w:rPr>
        <w:footnoteRef/>
      </w:r>
      <w:r>
        <w:t xml:space="preserve"> </w:t>
      </w:r>
      <w:r w:rsidRPr="000D4E9B">
        <w:rPr>
          <w:i/>
          <w:iCs/>
        </w:rPr>
        <w:t>See</w:t>
      </w:r>
      <w:r>
        <w:t xml:space="preserve"> </w:t>
      </w:r>
      <w:r w:rsidRPr="000D4E9B">
        <w:rPr>
          <w:i/>
          <w:iCs/>
        </w:rPr>
        <w:t>Globalstar Licensee LLC, Application for Modification of Non-Geostationary Mobile Satellite Service System Authorization</w:t>
      </w:r>
      <w:r>
        <w:t xml:space="preserve">, Order and Authorization, 39 FCC </w:t>
      </w:r>
      <w:r>
        <w:t>Rcd</w:t>
      </w:r>
      <w:r>
        <w:t xml:space="preserve"> 9346, ICFS File No. SAT-MOD-20230804-00192 (Aug. 16, 2024) (granting in part and deferring in part Globalstar’s application for modification to authorize HIBLEO-4 replacement satellites in the Big LEO bands).  </w:t>
      </w:r>
    </w:p>
  </w:footnote>
  <w:footnote w:id="19">
    <w:p w:rsidR="00D8609E" w14:paraId="4AC9415A" w14:textId="7EACE5AC">
      <w:pPr>
        <w:pStyle w:val="FootnoteText"/>
      </w:pPr>
      <w:r>
        <w:rPr>
          <w:rStyle w:val="FootnoteReference"/>
        </w:rPr>
        <w:footnoteRef/>
      </w:r>
      <w:r>
        <w:t xml:space="preserve"> Application, </w:t>
      </w:r>
      <w:r w:rsidR="005955A9">
        <w:t xml:space="preserve">Public Interest Statement </w:t>
      </w:r>
      <w:r>
        <w:t>at 2</w:t>
      </w:r>
      <w:r w:rsidR="003B5F90">
        <w:t>, n. 8 (listing Amazon Leo earth station authorizations).</w:t>
      </w:r>
      <w:r w:rsidR="004370F8">
        <w:t xml:space="preserve"> </w:t>
      </w:r>
      <w:r w:rsidR="003B5F90">
        <w:t xml:space="preserve"> </w:t>
      </w:r>
      <w:r w:rsidR="003B5F90">
        <w:rPr>
          <w:i/>
          <w:iCs/>
        </w:rPr>
        <w:t>S</w:t>
      </w:r>
      <w:r w:rsidRPr="006444AD" w:rsidR="004370F8">
        <w:rPr>
          <w:i/>
          <w:iCs/>
        </w:rPr>
        <w:t>ee</w:t>
      </w:r>
      <w:r w:rsidR="004370F8">
        <w:t xml:space="preserve"> </w:t>
      </w:r>
      <w:r w:rsidRPr="006444AD" w:rsidR="004370F8">
        <w:rPr>
          <w:i/>
          <w:iCs/>
        </w:rPr>
        <w:t xml:space="preserve">Kuiper Systems LLC </w:t>
      </w:r>
      <w:r w:rsidRPr="006444AD" w:rsidR="006444AD">
        <w:rPr>
          <w:i/>
          <w:iCs/>
        </w:rPr>
        <w:t>Application</w:t>
      </w:r>
      <w:r w:rsidRPr="006444AD" w:rsidR="004370F8">
        <w:rPr>
          <w:i/>
          <w:iCs/>
        </w:rPr>
        <w:t xml:space="preserve"> for Authority to Deploy and </w:t>
      </w:r>
      <w:r w:rsidRPr="006444AD" w:rsidR="006444AD">
        <w:rPr>
          <w:i/>
          <w:iCs/>
        </w:rPr>
        <w:t>Operate</w:t>
      </w:r>
      <w:r w:rsidRPr="006444AD" w:rsidR="004370F8">
        <w:rPr>
          <w:i/>
          <w:iCs/>
        </w:rPr>
        <w:t xml:space="preserve"> a Ka-band Non-</w:t>
      </w:r>
      <w:r w:rsidRPr="006444AD" w:rsidR="006444AD">
        <w:rPr>
          <w:i/>
          <w:iCs/>
        </w:rPr>
        <w:t>Geostationary</w:t>
      </w:r>
      <w:r w:rsidRPr="006444AD" w:rsidR="004370F8">
        <w:rPr>
          <w:i/>
          <w:iCs/>
        </w:rPr>
        <w:t xml:space="preserve"> Satellite Orbit System</w:t>
      </w:r>
      <w:r w:rsidR="004370F8">
        <w:t xml:space="preserve">, Order and Authorization, 35 FCC </w:t>
      </w:r>
      <w:r w:rsidR="004370F8">
        <w:t>Rcd</w:t>
      </w:r>
      <w:r w:rsidR="004370F8">
        <w:t xml:space="preserve"> 8324 (2020)</w:t>
      </w:r>
      <w:r w:rsidR="006444AD">
        <w:t xml:space="preserve"> (Gen1 Authorization)</w:t>
      </w:r>
      <w:r w:rsidR="00BF25DD">
        <w:t>; Kuiper Systems LLC, ICFS File Nos. SAT-LOA-20211104-00145, SAT-AMD-20250311-00068 (granted</w:t>
      </w:r>
      <w:r w:rsidR="006444AD">
        <w:t>,</w:t>
      </w:r>
      <w:r w:rsidR="00BF25DD">
        <w:t xml:space="preserve"> in part</w:t>
      </w:r>
      <w:r w:rsidR="006444AD">
        <w:t>,</w:t>
      </w:r>
      <w:r w:rsidR="00BF25DD">
        <w:t xml:space="preserve"> Feb. 10, 2026)</w:t>
      </w:r>
      <w:r w:rsidR="006444AD">
        <w:t xml:space="preserve"> (authorizing Amazon Leo’s Gen2 and Polar systems). </w:t>
      </w:r>
      <w:r w:rsidR="006552EB">
        <w:t xml:space="preserve"> Amazon Leo is authorized to launch, operate, and deploy </w:t>
      </w:r>
      <w:r w:rsidR="000D6EFB">
        <w:t xml:space="preserve">3,232 NGSO satellites. </w:t>
      </w:r>
    </w:p>
  </w:footnote>
  <w:footnote w:id="20">
    <w:p w:rsidR="0040445B" w14:paraId="14E97C8B" w14:textId="18E59AAD">
      <w:pPr>
        <w:pStyle w:val="FootnoteText"/>
      </w:pPr>
      <w:r>
        <w:rPr>
          <w:rStyle w:val="FootnoteReference"/>
        </w:rPr>
        <w:footnoteRef/>
      </w:r>
      <w:r>
        <w:t xml:space="preserve"> </w:t>
      </w:r>
      <w:r w:rsidRPr="00EE6A3C" w:rsidR="00EE6A3C">
        <w:rPr>
          <w:i/>
          <w:iCs/>
        </w:rPr>
        <w:t>See</w:t>
      </w:r>
      <w:r w:rsidR="00EE6A3C">
        <w:t xml:space="preserve"> </w:t>
      </w:r>
      <w:r>
        <w:t>Application</w:t>
      </w:r>
      <w:r w:rsidR="00EE6A3C">
        <w:t>,</w:t>
      </w:r>
      <w:r>
        <w:t xml:space="preserve"> </w:t>
      </w:r>
      <w:r w:rsidR="005955A9">
        <w:t xml:space="preserve">Public Interest Statement </w:t>
      </w:r>
      <w:r>
        <w:t xml:space="preserve">at </w:t>
      </w:r>
      <w:r w:rsidR="00EE6A3C">
        <w:t xml:space="preserve">4-5, </w:t>
      </w:r>
      <w:r>
        <w:t xml:space="preserve">18. </w:t>
      </w:r>
    </w:p>
  </w:footnote>
  <w:footnote w:id="21">
    <w:p w:rsidR="0088188D" w14:paraId="64A61DCD" w14:textId="4051F00B">
      <w:pPr>
        <w:pStyle w:val="FootnoteText"/>
      </w:pPr>
      <w:r>
        <w:rPr>
          <w:rStyle w:val="FootnoteReference"/>
        </w:rPr>
        <w:footnoteRef/>
      </w:r>
      <w:r>
        <w:t xml:space="preserve"> </w:t>
      </w:r>
      <w:r w:rsidRPr="00272513" w:rsidR="00272513">
        <w:rPr>
          <w:i/>
          <w:iCs/>
        </w:rPr>
        <w:t>Id</w:t>
      </w:r>
      <w:r w:rsidR="00272513">
        <w:t xml:space="preserve">. at </w:t>
      </w:r>
      <w:r>
        <w:t>11-12</w:t>
      </w:r>
    </w:p>
  </w:footnote>
  <w:footnote w:id="22">
    <w:p w:rsidR="00593016" w14:paraId="3B468121" w14:textId="418E929A">
      <w:pPr>
        <w:pStyle w:val="FootnoteText"/>
      </w:pPr>
      <w:r>
        <w:rPr>
          <w:rStyle w:val="FootnoteReference"/>
        </w:rPr>
        <w:footnoteRef/>
      </w:r>
      <w:r>
        <w:t xml:space="preserve"> </w:t>
      </w:r>
      <w:r w:rsidRPr="00272513" w:rsidR="00272513">
        <w:rPr>
          <w:i/>
          <w:iCs/>
        </w:rPr>
        <w:t>Id</w:t>
      </w:r>
      <w:r w:rsidR="00272513">
        <w:t>.</w:t>
      </w:r>
      <w:r>
        <w:t xml:space="preserve"> at 25. </w:t>
      </w:r>
    </w:p>
  </w:footnote>
  <w:footnote w:id="23">
    <w:p w:rsidR="004216DB" w14:paraId="103EC646" w14:textId="39817BC9">
      <w:pPr>
        <w:pStyle w:val="FootnoteText"/>
      </w:pPr>
      <w:r>
        <w:rPr>
          <w:rStyle w:val="FootnoteReference"/>
        </w:rPr>
        <w:footnoteRef/>
      </w:r>
      <w:r>
        <w:t xml:space="preserve"> </w:t>
      </w:r>
      <w:r w:rsidR="001E0845">
        <w:t xml:space="preserve">47 CFR § 1.1200(a). </w:t>
      </w:r>
    </w:p>
  </w:footnote>
  <w:footnote w:id="24">
    <w:p w:rsidR="004216DB" w14:paraId="338DB53E" w14:textId="42260EC0">
      <w:pPr>
        <w:pStyle w:val="FootnoteText"/>
      </w:pPr>
      <w:r>
        <w:rPr>
          <w:rStyle w:val="FootnoteReference"/>
        </w:rPr>
        <w:footnoteRef/>
      </w:r>
      <w:r>
        <w:t xml:space="preserve"> </w:t>
      </w:r>
      <w:r w:rsidRPr="00D066A6" w:rsidR="00D066A6">
        <w:rPr>
          <w:i/>
          <w:iCs/>
        </w:rPr>
        <w:t>Id.</w:t>
      </w:r>
      <w:r w:rsidR="00D066A6">
        <w:t xml:space="preserve"> at</w:t>
      </w:r>
      <w:r w:rsidR="001E0845">
        <w:t xml:space="preserve"> § 1.1206. </w:t>
      </w:r>
    </w:p>
  </w:footnote>
  <w:footnote w:id="25">
    <w:p w:rsidR="004216DB" w14:paraId="44E147A8" w14:textId="30DCF80B">
      <w:pPr>
        <w:pStyle w:val="FootnoteText"/>
      </w:pPr>
      <w:r>
        <w:rPr>
          <w:rStyle w:val="FootnoteReference"/>
        </w:rPr>
        <w:footnoteRef/>
      </w:r>
      <w:r>
        <w:t xml:space="preserve"> </w:t>
      </w:r>
      <w:r w:rsidRPr="00D066A6" w:rsidR="00D066A6">
        <w:rPr>
          <w:i/>
          <w:iCs/>
        </w:rPr>
        <w:t>Id.</w:t>
      </w:r>
      <w:r w:rsidR="00D066A6">
        <w:t xml:space="preserve"> at</w:t>
      </w:r>
      <w:r w:rsidR="001E0845">
        <w:t xml:space="preserve"> §§ 1.1200 </w:t>
      </w:r>
      <w:r w:rsidRPr="001E0845" w:rsidR="001E0845">
        <w:rPr>
          <w:i/>
          <w:iCs/>
        </w:rPr>
        <w:t>et seq</w:t>
      </w:r>
      <w:r w:rsidR="001E0845">
        <w:t xml:space="preserve">. </w:t>
      </w:r>
    </w:p>
  </w:footnote>
  <w:footnote w:id="26">
    <w:p w:rsidR="004216DB" w14:paraId="058F5169" w14:textId="67D1468C">
      <w:pPr>
        <w:pStyle w:val="FootnoteText"/>
      </w:pPr>
      <w:r>
        <w:rPr>
          <w:rStyle w:val="FootnoteReference"/>
        </w:rPr>
        <w:footnoteRef/>
      </w:r>
      <w:r>
        <w:t xml:space="preserve"> </w:t>
      </w:r>
      <w:r w:rsidRPr="00D066A6" w:rsidR="00D066A6">
        <w:rPr>
          <w:i/>
          <w:iCs/>
        </w:rPr>
        <w:t>Id.</w:t>
      </w:r>
      <w:r w:rsidR="00D066A6">
        <w:t xml:space="preserve"> at</w:t>
      </w:r>
      <w:r w:rsidR="001E0845">
        <w:t xml:space="preserve"> § 1.1206(b).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B3A73EC" w14:textId="73FFAE45">
    <w:pPr>
      <w:tabs>
        <w:tab w:val="center" w:pos="4680"/>
        <w:tab w:val="right" w:pos="9360"/>
      </w:tabs>
    </w:pPr>
    <w:r>
      <w:rPr>
        <w:b/>
      </w:rPr>
      <w:tab/>
      <w:t>Federal Communications Commission</w:t>
    </w:r>
    <w:r>
      <w:rPr>
        <w:b/>
      </w:rPr>
      <w:tab/>
    </w:r>
    <w:r w:rsidR="00AD3D0A">
      <w:rPr>
        <w:b/>
      </w:rPr>
      <w:t>DA 26-</w:t>
    </w:r>
    <w:r w:rsidR="00E92295">
      <w:rPr>
        <w:b/>
      </w:rPr>
      <w:t>550</w:t>
    </w:r>
  </w:p>
  <w:p w:rsidR="00BA3BA8" w14:paraId="3C7E1AAC" w14:textId="44115CB8">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4CD20EBA"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5C62DEE7" w14:textId="39F89130">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56792E20"/>
    <w:multiLevelType w:val="hybridMultilevel"/>
    <w:tmpl w:val="46105962"/>
    <w:lvl w:ilvl="0">
      <w:start w:val="0"/>
      <w:numFmt w:val="bullet"/>
      <w:lvlText w:val=""/>
      <w:lvlJc w:val="left"/>
      <w:pPr>
        <w:ind w:left="720" w:hanging="360"/>
      </w:pPr>
      <w:rPr>
        <w:rFonts w:ascii="Symbol" w:eastAsia="Times New Roman" w:hAnsi="Symbol" w:cs="Times New Roman"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21517334">
    <w:abstractNumId w:val="1"/>
  </w:num>
  <w:num w:numId="2" w16cid:durableId="110058787">
    <w:abstractNumId w:val="6"/>
  </w:num>
  <w:num w:numId="3" w16cid:durableId="1327050182">
    <w:abstractNumId w:val="3"/>
  </w:num>
  <w:num w:numId="4" w16cid:durableId="1227302646">
    <w:abstractNumId w:val="4"/>
  </w:num>
  <w:num w:numId="5" w16cid:durableId="1515533165">
    <w:abstractNumId w:val="2"/>
  </w:num>
  <w:num w:numId="6" w16cid:durableId="742675976">
    <w:abstractNumId w:val="0"/>
  </w:num>
  <w:num w:numId="7" w16cid:durableId="166608166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7C75"/>
    <w:rsid w:val="00000B54"/>
    <w:rsid w:val="00001DF0"/>
    <w:rsid w:val="00005A8D"/>
    <w:rsid w:val="00011640"/>
    <w:rsid w:val="00045DAD"/>
    <w:rsid w:val="00050CE7"/>
    <w:rsid w:val="0005231F"/>
    <w:rsid w:val="00053C71"/>
    <w:rsid w:val="00065089"/>
    <w:rsid w:val="00067393"/>
    <w:rsid w:val="00074B3D"/>
    <w:rsid w:val="00076879"/>
    <w:rsid w:val="00085552"/>
    <w:rsid w:val="00095B1E"/>
    <w:rsid w:val="0009762D"/>
    <w:rsid w:val="00097E50"/>
    <w:rsid w:val="000B543B"/>
    <w:rsid w:val="000B621B"/>
    <w:rsid w:val="000C0C69"/>
    <w:rsid w:val="000C1B33"/>
    <w:rsid w:val="000C2D54"/>
    <w:rsid w:val="000C315C"/>
    <w:rsid w:val="000C4A97"/>
    <w:rsid w:val="000C6EE4"/>
    <w:rsid w:val="000C7175"/>
    <w:rsid w:val="000D4E9B"/>
    <w:rsid w:val="000D6EFB"/>
    <w:rsid w:val="000F381E"/>
    <w:rsid w:val="000F596D"/>
    <w:rsid w:val="00100BAE"/>
    <w:rsid w:val="00104529"/>
    <w:rsid w:val="001146DF"/>
    <w:rsid w:val="001159A8"/>
    <w:rsid w:val="00122817"/>
    <w:rsid w:val="00130672"/>
    <w:rsid w:val="00142A6B"/>
    <w:rsid w:val="00162580"/>
    <w:rsid w:val="00164739"/>
    <w:rsid w:val="0017503D"/>
    <w:rsid w:val="00175804"/>
    <w:rsid w:val="00194DBC"/>
    <w:rsid w:val="001A4B10"/>
    <w:rsid w:val="001A72FC"/>
    <w:rsid w:val="001B0EF7"/>
    <w:rsid w:val="001B5BE4"/>
    <w:rsid w:val="001C0514"/>
    <w:rsid w:val="001C0DA8"/>
    <w:rsid w:val="001C21DD"/>
    <w:rsid w:val="001C2557"/>
    <w:rsid w:val="001C7D14"/>
    <w:rsid w:val="001D667F"/>
    <w:rsid w:val="001E0845"/>
    <w:rsid w:val="001E0F31"/>
    <w:rsid w:val="001E246D"/>
    <w:rsid w:val="001E2E75"/>
    <w:rsid w:val="001E367A"/>
    <w:rsid w:val="001F23AB"/>
    <w:rsid w:val="00200511"/>
    <w:rsid w:val="0020686F"/>
    <w:rsid w:val="002327E5"/>
    <w:rsid w:val="002426D5"/>
    <w:rsid w:val="0024671F"/>
    <w:rsid w:val="00253544"/>
    <w:rsid w:val="002540AD"/>
    <w:rsid w:val="00272513"/>
    <w:rsid w:val="0028283D"/>
    <w:rsid w:val="00285CAA"/>
    <w:rsid w:val="00296AD4"/>
    <w:rsid w:val="002B779D"/>
    <w:rsid w:val="002C1F65"/>
    <w:rsid w:val="002C5483"/>
    <w:rsid w:val="002C5BD7"/>
    <w:rsid w:val="002C6B6F"/>
    <w:rsid w:val="002D496C"/>
    <w:rsid w:val="002E181A"/>
    <w:rsid w:val="002E3A47"/>
    <w:rsid w:val="002F2787"/>
    <w:rsid w:val="00300F66"/>
    <w:rsid w:val="00320E76"/>
    <w:rsid w:val="00322218"/>
    <w:rsid w:val="00324020"/>
    <w:rsid w:val="003347E4"/>
    <w:rsid w:val="003358DA"/>
    <w:rsid w:val="00344831"/>
    <w:rsid w:val="00347E8A"/>
    <w:rsid w:val="00350538"/>
    <w:rsid w:val="0035167E"/>
    <w:rsid w:val="00357E4B"/>
    <w:rsid w:val="003654F3"/>
    <w:rsid w:val="00366E87"/>
    <w:rsid w:val="003674B7"/>
    <w:rsid w:val="00380C49"/>
    <w:rsid w:val="00383A53"/>
    <w:rsid w:val="003959A3"/>
    <w:rsid w:val="003B47BE"/>
    <w:rsid w:val="003B5F90"/>
    <w:rsid w:val="003C1796"/>
    <w:rsid w:val="003D6AC8"/>
    <w:rsid w:val="003D6DF1"/>
    <w:rsid w:val="003E301F"/>
    <w:rsid w:val="003F69F8"/>
    <w:rsid w:val="0040038A"/>
    <w:rsid w:val="0040445B"/>
    <w:rsid w:val="00413EF8"/>
    <w:rsid w:val="004216DB"/>
    <w:rsid w:val="004225F5"/>
    <w:rsid w:val="00424041"/>
    <w:rsid w:val="00430183"/>
    <w:rsid w:val="004370F8"/>
    <w:rsid w:val="00452E1B"/>
    <w:rsid w:val="00454042"/>
    <w:rsid w:val="0045762A"/>
    <w:rsid w:val="004676DF"/>
    <w:rsid w:val="004745D9"/>
    <w:rsid w:val="00485C86"/>
    <w:rsid w:val="00492314"/>
    <w:rsid w:val="004A6F95"/>
    <w:rsid w:val="004B37E2"/>
    <w:rsid w:val="004C0A60"/>
    <w:rsid w:val="004C1A7A"/>
    <w:rsid w:val="004F72F1"/>
    <w:rsid w:val="00506B17"/>
    <w:rsid w:val="00511CA9"/>
    <w:rsid w:val="00512B43"/>
    <w:rsid w:val="0051647D"/>
    <w:rsid w:val="00534D06"/>
    <w:rsid w:val="0054247C"/>
    <w:rsid w:val="0054307B"/>
    <w:rsid w:val="005572D0"/>
    <w:rsid w:val="00561437"/>
    <w:rsid w:val="00572A90"/>
    <w:rsid w:val="00574E34"/>
    <w:rsid w:val="00577F69"/>
    <w:rsid w:val="00580FCD"/>
    <w:rsid w:val="00585861"/>
    <w:rsid w:val="00590677"/>
    <w:rsid w:val="00590B01"/>
    <w:rsid w:val="005915FD"/>
    <w:rsid w:val="00593016"/>
    <w:rsid w:val="0059335C"/>
    <w:rsid w:val="005955A9"/>
    <w:rsid w:val="005971ED"/>
    <w:rsid w:val="005979C8"/>
    <w:rsid w:val="005A13AF"/>
    <w:rsid w:val="005A473B"/>
    <w:rsid w:val="005C4CF1"/>
    <w:rsid w:val="005D5CA4"/>
    <w:rsid w:val="005D7752"/>
    <w:rsid w:val="005E341E"/>
    <w:rsid w:val="005E5C0C"/>
    <w:rsid w:val="005E7984"/>
    <w:rsid w:val="005F66CB"/>
    <w:rsid w:val="0062234C"/>
    <w:rsid w:val="006257B7"/>
    <w:rsid w:val="00625C45"/>
    <w:rsid w:val="00632FFF"/>
    <w:rsid w:val="00642FA9"/>
    <w:rsid w:val="00643D02"/>
    <w:rsid w:val="006444AD"/>
    <w:rsid w:val="00646D06"/>
    <w:rsid w:val="006552EB"/>
    <w:rsid w:val="00662073"/>
    <w:rsid w:val="00663F1A"/>
    <w:rsid w:val="00671FB4"/>
    <w:rsid w:val="00672FFB"/>
    <w:rsid w:val="00673A49"/>
    <w:rsid w:val="00674D0D"/>
    <w:rsid w:val="00691144"/>
    <w:rsid w:val="006965C0"/>
    <w:rsid w:val="006A0901"/>
    <w:rsid w:val="006A0B45"/>
    <w:rsid w:val="006A5420"/>
    <w:rsid w:val="006B0F4F"/>
    <w:rsid w:val="006E052B"/>
    <w:rsid w:val="006E7B9C"/>
    <w:rsid w:val="006F57B6"/>
    <w:rsid w:val="007012B7"/>
    <w:rsid w:val="00713709"/>
    <w:rsid w:val="00713999"/>
    <w:rsid w:val="007278D7"/>
    <w:rsid w:val="00730268"/>
    <w:rsid w:val="0076364D"/>
    <w:rsid w:val="00784C23"/>
    <w:rsid w:val="00786768"/>
    <w:rsid w:val="00795E55"/>
    <w:rsid w:val="007C47E3"/>
    <w:rsid w:val="007D67B8"/>
    <w:rsid w:val="007D6BE0"/>
    <w:rsid w:val="007E3847"/>
    <w:rsid w:val="007F0608"/>
    <w:rsid w:val="00803008"/>
    <w:rsid w:val="008035EE"/>
    <w:rsid w:val="008049BD"/>
    <w:rsid w:val="00810FB7"/>
    <w:rsid w:val="008151E8"/>
    <w:rsid w:val="008201A1"/>
    <w:rsid w:val="008310FF"/>
    <w:rsid w:val="008332C6"/>
    <w:rsid w:val="00835F78"/>
    <w:rsid w:val="008369BD"/>
    <w:rsid w:val="00841120"/>
    <w:rsid w:val="0084480C"/>
    <w:rsid w:val="00857FB2"/>
    <w:rsid w:val="00862EDD"/>
    <w:rsid w:val="00863651"/>
    <w:rsid w:val="00863DA0"/>
    <w:rsid w:val="00866D7C"/>
    <w:rsid w:val="00877778"/>
    <w:rsid w:val="00880C63"/>
    <w:rsid w:val="0088188D"/>
    <w:rsid w:val="008952D8"/>
    <w:rsid w:val="00897CF2"/>
    <w:rsid w:val="008A2AAB"/>
    <w:rsid w:val="008B1282"/>
    <w:rsid w:val="008B4093"/>
    <w:rsid w:val="008B6477"/>
    <w:rsid w:val="008C73B1"/>
    <w:rsid w:val="008D36ED"/>
    <w:rsid w:val="008F1964"/>
    <w:rsid w:val="00906F5A"/>
    <w:rsid w:val="009076EA"/>
    <w:rsid w:val="00910A18"/>
    <w:rsid w:val="009125D7"/>
    <w:rsid w:val="00915950"/>
    <w:rsid w:val="009263B5"/>
    <w:rsid w:val="00945989"/>
    <w:rsid w:val="00947825"/>
    <w:rsid w:val="009621BD"/>
    <w:rsid w:val="00970342"/>
    <w:rsid w:val="0098015F"/>
    <w:rsid w:val="009855C6"/>
    <w:rsid w:val="009B316D"/>
    <w:rsid w:val="009B6C75"/>
    <w:rsid w:val="009B76B5"/>
    <w:rsid w:val="009E0D30"/>
    <w:rsid w:val="009E26C5"/>
    <w:rsid w:val="009E54AF"/>
    <w:rsid w:val="009E6055"/>
    <w:rsid w:val="009F2213"/>
    <w:rsid w:val="00A1131B"/>
    <w:rsid w:val="00A11B7A"/>
    <w:rsid w:val="00A14CBA"/>
    <w:rsid w:val="00A17FED"/>
    <w:rsid w:val="00A20679"/>
    <w:rsid w:val="00A34C42"/>
    <w:rsid w:val="00A36F58"/>
    <w:rsid w:val="00A42A36"/>
    <w:rsid w:val="00A4711C"/>
    <w:rsid w:val="00A67CFD"/>
    <w:rsid w:val="00A7427C"/>
    <w:rsid w:val="00A7735F"/>
    <w:rsid w:val="00A83548"/>
    <w:rsid w:val="00A931F7"/>
    <w:rsid w:val="00AA1BA6"/>
    <w:rsid w:val="00AA4F18"/>
    <w:rsid w:val="00AA7C75"/>
    <w:rsid w:val="00AB31B9"/>
    <w:rsid w:val="00AB7E32"/>
    <w:rsid w:val="00AC6962"/>
    <w:rsid w:val="00AD3D0A"/>
    <w:rsid w:val="00AE27CA"/>
    <w:rsid w:val="00AF3081"/>
    <w:rsid w:val="00AF3737"/>
    <w:rsid w:val="00B12AD4"/>
    <w:rsid w:val="00B26041"/>
    <w:rsid w:val="00B27DAF"/>
    <w:rsid w:val="00B37AAE"/>
    <w:rsid w:val="00B5074C"/>
    <w:rsid w:val="00B8347E"/>
    <w:rsid w:val="00B87FBA"/>
    <w:rsid w:val="00B906D3"/>
    <w:rsid w:val="00B93032"/>
    <w:rsid w:val="00B94027"/>
    <w:rsid w:val="00B96521"/>
    <w:rsid w:val="00BA3BA8"/>
    <w:rsid w:val="00BA404D"/>
    <w:rsid w:val="00BA4E09"/>
    <w:rsid w:val="00BC6ABF"/>
    <w:rsid w:val="00BD02E1"/>
    <w:rsid w:val="00BD7D04"/>
    <w:rsid w:val="00BE32FC"/>
    <w:rsid w:val="00BE7107"/>
    <w:rsid w:val="00BF25DD"/>
    <w:rsid w:val="00C067B6"/>
    <w:rsid w:val="00C14462"/>
    <w:rsid w:val="00C15610"/>
    <w:rsid w:val="00C36DCF"/>
    <w:rsid w:val="00C4001C"/>
    <w:rsid w:val="00C415FC"/>
    <w:rsid w:val="00C47579"/>
    <w:rsid w:val="00C63DAC"/>
    <w:rsid w:val="00C83070"/>
    <w:rsid w:val="00C93C45"/>
    <w:rsid w:val="00CA4A2E"/>
    <w:rsid w:val="00CA6496"/>
    <w:rsid w:val="00CB20CE"/>
    <w:rsid w:val="00CB69A7"/>
    <w:rsid w:val="00CC2B3C"/>
    <w:rsid w:val="00CD0B61"/>
    <w:rsid w:val="00CD3566"/>
    <w:rsid w:val="00CD7487"/>
    <w:rsid w:val="00CE446E"/>
    <w:rsid w:val="00CF3968"/>
    <w:rsid w:val="00D000B1"/>
    <w:rsid w:val="00D04816"/>
    <w:rsid w:val="00D05A8D"/>
    <w:rsid w:val="00D066A6"/>
    <w:rsid w:val="00D154E4"/>
    <w:rsid w:val="00D23A76"/>
    <w:rsid w:val="00D25BE6"/>
    <w:rsid w:val="00D26F27"/>
    <w:rsid w:val="00D30BAE"/>
    <w:rsid w:val="00D36095"/>
    <w:rsid w:val="00D46B29"/>
    <w:rsid w:val="00D5071A"/>
    <w:rsid w:val="00D64299"/>
    <w:rsid w:val="00D77183"/>
    <w:rsid w:val="00D8609E"/>
    <w:rsid w:val="00D91240"/>
    <w:rsid w:val="00D97B37"/>
    <w:rsid w:val="00DA3F22"/>
    <w:rsid w:val="00DA45B4"/>
    <w:rsid w:val="00DA7483"/>
    <w:rsid w:val="00DB520E"/>
    <w:rsid w:val="00DC2163"/>
    <w:rsid w:val="00DC49B3"/>
    <w:rsid w:val="00DD36B7"/>
    <w:rsid w:val="00DD3B96"/>
    <w:rsid w:val="00DE1180"/>
    <w:rsid w:val="00DE6253"/>
    <w:rsid w:val="00DE7DDE"/>
    <w:rsid w:val="00DF20BB"/>
    <w:rsid w:val="00DF6239"/>
    <w:rsid w:val="00DF6606"/>
    <w:rsid w:val="00DF6CFF"/>
    <w:rsid w:val="00E00FC2"/>
    <w:rsid w:val="00E01BC8"/>
    <w:rsid w:val="00E07F77"/>
    <w:rsid w:val="00E13F65"/>
    <w:rsid w:val="00E22F6A"/>
    <w:rsid w:val="00E33ADB"/>
    <w:rsid w:val="00E33CFC"/>
    <w:rsid w:val="00E35847"/>
    <w:rsid w:val="00E35D48"/>
    <w:rsid w:val="00E415CB"/>
    <w:rsid w:val="00E5358D"/>
    <w:rsid w:val="00E563AD"/>
    <w:rsid w:val="00E57A74"/>
    <w:rsid w:val="00E61FA4"/>
    <w:rsid w:val="00E65B7F"/>
    <w:rsid w:val="00E80B8D"/>
    <w:rsid w:val="00E86472"/>
    <w:rsid w:val="00E92295"/>
    <w:rsid w:val="00E9338E"/>
    <w:rsid w:val="00E96773"/>
    <w:rsid w:val="00EC0E36"/>
    <w:rsid w:val="00EC2992"/>
    <w:rsid w:val="00EC32FA"/>
    <w:rsid w:val="00EC4CCC"/>
    <w:rsid w:val="00EE6A3C"/>
    <w:rsid w:val="00EF466B"/>
    <w:rsid w:val="00F03EA1"/>
    <w:rsid w:val="00F15C99"/>
    <w:rsid w:val="00F27494"/>
    <w:rsid w:val="00F27563"/>
    <w:rsid w:val="00F34A2D"/>
    <w:rsid w:val="00F34DB8"/>
    <w:rsid w:val="00F46011"/>
    <w:rsid w:val="00F503A8"/>
    <w:rsid w:val="00F51129"/>
    <w:rsid w:val="00F659D0"/>
    <w:rsid w:val="00FA35B5"/>
    <w:rsid w:val="00FA4693"/>
    <w:rsid w:val="00FA681E"/>
    <w:rsid w:val="00FB0AC1"/>
    <w:rsid w:val="00FB1AAA"/>
    <w:rsid w:val="00FB296D"/>
    <w:rsid w:val="00FC5EDF"/>
    <w:rsid w:val="00FC6BEA"/>
    <w:rsid w:val="00FD0FFF"/>
    <w:rsid w:val="00FE72CF"/>
    <w:rsid w:val="00FF589C"/>
    <w:rsid w:val="4E0C1B1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0897ED6"/>
  <w15:chartTrackingRefBased/>
  <w15:docId w15:val="{D0B17892-EE79-40F4-A671-9543DD9DD8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semiHidden/>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styleId="CommentReference">
    <w:name w:val="annotation reference"/>
    <w:uiPriority w:val="99"/>
    <w:semiHidden/>
    <w:unhideWhenUsed/>
    <w:rsid w:val="005915FD"/>
    <w:rPr>
      <w:sz w:val="16"/>
      <w:szCs w:val="16"/>
    </w:rPr>
  </w:style>
  <w:style w:type="paragraph" w:styleId="CommentText">
    <w:name w:val="annotation text"/>
    <w:basedOn w:val="Normal"/>
    <w:link w:val="CommentTextChar"/>
    <w:uiPriority w:val="99"/>
    <w:unhideWhenUsed/>
    <w:rsid w:val="005915FD"/>
    <w:rPr>
      <w:sz w:val="20"/>
    </w:rPr>
  </w:style>
  <w:style w:type="character" w:customStyle="1" w:styleId="CommentTextChar">
    <w:name w:val="Comment Text Char"/>
    <w:link w:val="CommentText"/>
    <w:uiPriority w:val="99"/>
    <w:rsid w:val="005915FD"/>
    <w:rPr>
      <w:snapToGrid w:val="0"/>
      <w:kern w:val="28"/>
    </w:rPr>
  </w:style>
  <w:style w:type="paragraph" w:styleId="CommentSubject">
    <w:name w:val="annotation subject"/>
    <w:basedOn w:val="CommentText"/>
    <w:next w:val="CommentText"/>
    <w:link w:val="CommentSubjectChar"/>
    <w:uiPriority w:val="99"/>
    <w:semiHidden/>
    <w:unhideWhenUsed/>
    <w:rsid w:val="005915FD"/>
    <w:rPr>
      <w:b/>
      <w:bCs/>
    </w:rPr>
  </w:style>
  <w:style w:type="character" w:customStyle="1" w:styleId="CommentSubjectChar">
    <w:name w:val="Comment Subject Char"/>
    <w:link w:val="CommentSubject"/>
    <w:uiPriority w:val="99"/>
    <w:semiHidden/>
    <w:rsid w:val="005915FD"/>
    <w:rPr>
      <w:b/>
      <w:bCs/>
      <w:snapToGrid w:val="0"/>
      <w:kern w:val="28"/>
    </w:rPr>
  </w:style>
  <w:style w:type="paragraph" w:styleId="Revision">
    <w:name w:val="Revision"/>
    <w:hidden/>
    <w:uiPriority w:val="99"/>
    <w:semiHidden/>
    <w:rsid w:val="00D64299"/>
    <w:rPr>
      <w:snapToGrid w:val="0"/>
      <w:kern w:val="28"/>
      <w:sz w:val="22"/>
    </w:rPr>
  </w:style>
  <w:style w:type="character" w:styleId="Mention">
    <w:name w:val="Mention"/>
    <w:uiPriority w:val="99"/>
    <w:unhideWhenUsed/>
    <w:rsid w:val="005955A9"/>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footer" Target="footer3.xml" /><Relationship Id="rId13" Type="http://schemas.openxmlformats.org/officeDocument/2006/relationships/theme" Target="theme/theme1.xml" /><Relationship Id="rId14" Type="http://schemas.openxmlformats.org/officeDocument/2006/relationships/numbering" Target="numbering.xml" /><Relationship Id="rId15"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www.fcc.gov/ecfs/" TargetMode="External" /><Relationship Id="rId7" Type="http://schemas.openxmlformats.org/officeDocument/2006/relationships/hyperlink" Target="mailto:fcc504@fcc.gov" TargetMode="External" /><Relationship Id="rId8" Type="http://schemas.openxmlformats.org/officeDocument/2006/relationships/header" Target="header1.xml" /><Relationship Id="rId9" Type="http://schemas.openxmlformats.org/officeDocument/2006/relationships/footer" Target="foot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C:\Users\carolyn.mahoney\FCC\FCC%20-%20NAL\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