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0E4E16" w:rsidRPr="00075FF6" w:rsidP="002F6EA0" w14:paraId="02362077" w14:textId="376C93DD"/>
    <w:p w:rsidR="006F2901" w:rsidRPr="00075FF6" w:rsidP="002F6EA0" w14:paraId="71881B97" w14:textId="5B7153E2"/>
    <w:p w:rsidR="000E4E16" w:rsidRPr="00075FF6" w:rsidP="002F6EA0" w14:paraId="0D977010" w14:textId="24F6B747">
      <w:pPr>
        <w:jc w:val="right"/>
        <w:rPr>
          <w:b/>
          <w:sz w:val="24"/>
          <w:szCs w:val="24"/>
        </w:rPr>
      </w:pPr>
      <w:r w:rsidRPr="003354DC">
        <w:rPr>
          <w:b/>
          <w:sz w:val="24"/>
          <w:szCs w:val="24"/>
        </w:rPr>
        <w:t xml:space="preserve">DA </w:t>
      </w:r>
      <w:r w:rsidRPr="003354DC" w:rsidR="009373C9">
        <w:rPr>
          <w:b/>
          <w:sz w:val="24"/>
          <w:szCs w:val="24"/>
        </w:rPr>
        <w:t>26</w:t>
      </w:r>
      <w:r w:rsidRPr="003354DC" w:rsidR="00F4281B">
        <w:rPr>
          <w:b/>
          <w:sz w:val="24"/>
          <w:szCs w:val="24"/>
        </w:rPr>
        <w:t>-</w:t>
      </w:r>
      <w:r w:rsidR="0013162C">
        <w:rPr>
          <w:b/>
          <w:sz w:val="24"/>
          <w:szCs w:val="24"/>
        </w:rPr>
        <w:t>563</w:t>
      </w:r>
    </w:p>
    <w:p w:rsidR="006F117F" w:rsidRPr="00075FF6" w:rsidP="002F6EA0" w14:paraId="05B2D821" w14:textId="77777777">
      <w:pPr>
        <w:jc w:val="right"/>
        <w:rPr>
          <w:sz w:val="24"/>
          <w:szCs w:val="24"/>
        </w:rPr>
      </w:pPr>
    </w:p>
    <w:p w:rsidR="000E4E16" w:rsidRPr="00075FF6" w:rsidP="002F6EA0" w14:paraId="391A13F3" w14:textId="77777777">
      <w:pPr>
        <w:jc w:val="center"/>
        <w:rPr>
          <w:b/>
          <w:sz w:val="28"/>
          <w:szCs w:val="28"/>
        </w:rPr>
      </w:pPr>
      <w:r w:rsidRPr="00075FF6">
        <w:rPr>
          <w:b/>
          <w:sz w:val="28"/>
          <w:szCs w:val="28"/>
        </w:rPr>
        <w:t>SMALL ENTITY COMPLIANCE GUIDE</w:t>
      </w:r>
    </w:p>
    <w:p w:rsidR="004D2FFD" w:rsidRPr="00075FF6" w:rsidP="002F6EA0" w14:paraId="0CF10232" w14:textId="77777777">
      <w:pPr>
        <w:jc w:val="center"/>
        <w:rPr>
          <w:bCs/>
        </w:rPr>
      </w:pPr>
    </w:p>
    <w:p w:rsidR="006554C2" w:rsidP="002F6EA0" w14:paraId="1F35808F" w14:textId="77777777">
      <w:pPr>
        <w:jc w:val="center"/>
        <w:rPr>
          <w:b/>
        </w:rPr>
      </w:pPr>
      <w:r>
        <w:rPr>
          <w:b/>
        </w:rPr>
        <w:t xml:space="preserve">Protecting Our Communications </w:t>
      </w:r>
      <w:r w:rsidR="00F52087">
        <w:rPr>
          <w:b/>
        </w:rPr>
        <w:t xml:space="preserve">Networks by </w:t>
      </w:r>
    </w:p>
    <w:p w:rsidR="00071863" w:rsidRPr="00075FF6" w:rsidP="002F6EA0" w14:paraId="091665FE" w14:textId="33C46F48">
      <w:pPr>
        <w:jc w:val="center"/>
        <w:rPr>
          <w:b/>
        </w:rPr>
      </w:pPr>
      <w:r>
        <w:rPr>
          <w:b/>
        </w:rPr>
        <w:t>Promoting Transparency Regarding Foreign Adversary Control</w:t>
      </w:r>
    </w:p>
    <w:p w:rsidR="00071863" w:rsidRPr="00075FF6" w:rsidP="002F6EA0" w14:paraId="3B536F0E" w14:textId="77777777">
      <w:pPr>
        <w:jc w:val="center"/>
        <w:rPr>
          <w:b/>
        </w:rPr>
      </w:pPr>
    </w:p>
    <w:p w:rsidR="00071863" w:rsidRPr="00075FF6" w:rsidP="000D3FB8" w14:paraId="0AD84541" w14:textId="4B5BA122">
      <w:pPr>
        <w:tabs>
          <w:tab w:val="center" w:pos="4680"/>
          <w:tab w:val="left" w:pos="7900"/>
        </w:tabs>
        <w:jc w:val="center"/>
        <w:rPr>
          <w:b/>
        </w:rPr>
      </w:pPr>
      <w:r w:rsidRPr="00075FF6">
        <w:rPr>
          <w:b/>
        </w:rPr>
        <w:t xml:space="preserve">FCC </w:t>
      </w:r>
      <w:r w:rsidR="00F52087">
        <w:rPr>
          <w:b/>
        </w:rPr>
        <w:t>26</w:t>
      </w:r>
      <w:r w:rsidRPr="00075FF6" w:rsidR="00C37AC8">
        <w:rPr>
          <w:b/>
        </w:rPr>
        <w:t>-</w:t>
      </w:r>
      <w:r w:rsidR="00F52087">
        <w:rPr>
          <w:b/>
        </w:rPr>
        <w:t>2</w:t>
      </w:r>
    </w:p>
    <w:p w:rsidR="00071863" w:rsidRPr="00075FF6" w:rsidP="002F6EA0" w14:paraId="25E587EF" w14:textId="200A23BC">
      <w:pPr>
        <w:jc w:val="center"/>
        <w:rPr>
          <w:b/>
        </w:rPr>
      </w:pPr>
      <w:r>
        <w:rPr>
          <w:b/>
        </w:rPr>
        <w:t>GN</w:t>
      </w:r>
      <w:r w:rsidRPr="00075FF6" w:rsidR="00C37AC8">
        <w:rPr>
          <w:b/>
        </w:rPr>
        <w:t xml:space="preserve"> Docket No. </w:t>
      </w:r>
      <w:r>
        <w:rPr>
          <w:b/>
        </w:rPr>
        <w:t>25</w:t>
      </w:r>
      <w:r w:rsidRPr="00075FF6" w:rsidR="00C37AC8">
        <w:rPr>
          <w:b/>
        </w:rPr>
        <w:t>-</w:t>
      </w:r>
      <w:r>
        <w:rPr>
          <w:b/>
        </w:rPr>
        <w:t>166</w:t>
      </w:r>
    </w:p>
    <w:p w:rsidR="006F2901" w:rsidRPr="00075FF6" w:rsidP="002F6EA0" w14:paraId="719CB3F0" w14:textId="19FC6859">
      <w:pPr>
        <w:jc w:val="center"/>
        <w:rPr>
          <w:b/>
        </w:rPr>
      </w:pPr>
      <w:r w:rsidRPr="00075FF6">
        <w:rPr>
          <w:b/>
        </w:rPr>
        <w:t xml:space="preserve">Released </w:t>
      </w:r>
      <w:r w:rsidR="00F52087">
        <w:rPr>
          <w:b/>
        </w:rPr>
        <w:t>January 30</w:t>
      </w:r>
      <w:r w:rsidRPr="00075FF6" w:rsidR="00C37AC8">
        <w:rPr>
          <w:b/>
        </w:rPr>
        <w:t xml:space="preserve">, </w:t>
      </w:r>
      <w:r w:rsidRPr="00075FF6" w:rsidR="00B32363">
        <w:rPr>
          <w:b/>
        </w:rPr>
        <w:t>20</w:t>
      </w:r>
      <w:r w:rsidR="00F52087">
        <w:rPr>
          <w:b/>
        </w:rPr>
        <w:t>26</w:t>
      </w:r>
    </w:p>
    <w:p w:rsidR="000E4E16" w:rsidRPr="00075FF6" w:rsidP="002F6EA0" w14:paraId="2F802DF1" w14:textId="77777777"/>
    <w:p w:rsidR="00FE346F" w:rsidRPr="00075FF6" w:rsidP="002F6EA0" w14:paraId="636F4320" w14:textId="77777777">
      <w:pPr>
        <w:ind w:left="720"/>
        <w:rPr>
          <w:b/>
        </w:rPr>
      </w:pPr>
    </w:p>
    <w:p w:rsidR="006F2901" w:rsidRPr="00075FF6" w:rsidP="002F6EA0" w14:paraId="3E6F14E4" w14:textId="50B0D166">
      <w:pPr>
        <w:spacing w:after="120"/>
        <w:ind w:left="720" w:right="86" w:firstLine="720"/>
        <w:rPr>
          <w:bCs/>
        </w:rPr>
      </w:pPr>
      <w:r w:rsidRPr="00075FF6">
        <w:rPr>
          <w:bCs/>
        </w:rPr>
        <w:t>I</w:t>
      </w:r>
      <w:r w:rsidRPr="00075FF6">
        <w:rPr>
          <w:bCs/>
        </w:rPr>
        <w:t>n accordance with Section 212 of the Small Business Regulatory Enforcement Fairness Act of 1996</w:t>
      </w:r>
      <w:r w:rsidRPr="00075FF6" w:rsidR="00A16F1A">
        <w:rPr>
          <w:bCs/>
        </w:rPr>
        <w:t xml:space="preserve">, this </w:t>
      </w:r>
      <w:r w:rsidRPr="00075FF6" w:rsidR="00213D3A">
        <w:rPr>
          <w:bCs/>
        </w:rPr>
        <w:t>Small Entity Compliance Guide (Guide) is</w:t>
      </w:r>
      <w:r w:rsidRPr="00075FF6">
        <w:rPr>
          <w:bCs/>
        </w:rPr>
        <w:t xml:space="preserve"> intended to help small entities—small businesses, small organizations (non-profits), and small governmental jurisdictions—comply with the rules adopted in the above-referenced </w:t>
      </w:r>
      <w:r w:rsidRPr="00075FF6" w:rsidR="00C47CEF">
        <w:rPr>
          <w:bCs/>
        </w:rPr>
        <w:t>Federal Communications Commission (</w:t>
      </w:r>
      <w:r w:rsidRPr="00075FF6">
        <w:rPr>
          <w:bCs/>
        </w:rPr>
        <w:t>FCC</w:t>
      </w:r>
      <w:r w:rsidRPr="00075FF6" w:rsidR="00C47CEF">
        <w:rPr>
          <w:bCs/>
        </w:rPr>
        <w:t xml:space="preserve"> or Commission)</w:t>
      </w:r>
      <w:r w:rsidRPr="00075FF6">
        <w:rPr>
          <w:bCs/>
        </w:rPr>
        <w:t xml:space="preserve"> rulemaking dockets.  This Guide is not intended to replace </w:t>
      </w:r>
      <w:r w:rsidRPr="00075FF6" w:rsidR="00C47CEF">
        <w:rPr>
          <w:bCs/>
        </w:rPr>
        <w:t xml:space="preserve">or supersede </w:t>
      </w:r>
      <w:r w:rsidRPr="00075FF6">
        <w:rPr>
          <w:bCs/>
        </w:rPr>
        <w:t>the</w:t>
      </w:r>
      <w:r w:rsidRPr="00075FF6" w:rsidR="00C47CEF">
        <w:rPr>
          <w:bCs/>
        </w:rPr>
        <w:t>se</w:t>
      </w:r>
      <w:r w:rsidRPr="00075FF6">
        <w:rPr>
          <w:bCs/>
        </w:rPr>
        <w:t xml:space="preserve"> rules</w:t>
      </w:r>
      <w:r w:rsidRPr="00075FF6" w:rsidR="00C47CEF">
        <w:rPr>
          <w:bCs/>
        </w:rPr>
        <w:t xml:space="preserve">, but to facilitate compliance with the rules. </w:t>
      </w:r>
      <w:r w:rsidRPr="00075FF6">
        <w:rPr>
          <w:bCs/>
        </w:rPr>
        <w:t xml:space="preserve"> Although we have attempted to cover all parts of the rules that might be especially important to small entities, the coverage may not be exhaustive.  This Guide </w:t>
      </w:r>
      <w:r w:rsidRPr="00075FF6" w:rsidR="00B629FE">
        <w:rPr>
          <w:bCs/>
        </w:rPr>
        <w:t xml:space="preserve">cannot anticipate all situations in which the rules apply.  Furthermore, the Commission </w:t>
      </w:r>
      <w:r w:rsidRPr="00075FF6">
        <w:rPr>
          <w:bCs/>
        </w:rPr>
        <w:t xml:space="preserve">retains the discretion to adopt </w:t>
      </w:r>
      <w:r w:rsidRPr="00075FF6" w:rsidR="00B629FE">
        <w:rPr>
          <w:bCs/>
        </w:rPr>
        <w:t xml:space="preserve">case-by-case </w:t>
      </w:r>
      <w:r w:rsidRPr="00075FF6">
        <w:rPr>
          <w:bCs/>
        </w:rPr>
        <w:t>approaches</w:t>
      </w:r>
      <w:r w:rsidRPr="00075FF6" w:rsidR="00B629FE">
        <w:rPr>
          <w:bCs/>
        </w:rPr>
        <w:t>, where appropriate,</w:t>
      </w:r>
      <w:r w:rsidRPr="00075FF6">
        <w:rPr>
          <w:bCs/>
        </w:rPr>
        <w:t xml:space="preserve"> that may differ from this Guide.  Any decision regarding a particular small entity will be based on the statute and</w:t>
      </w:r>
      <w:r w:rsidRPr="00075FF6" w:rsidR="008E2841">
        <w:rPr>
          <w:bCs/>
        </w:rPr>
        <w:t xml:space="preserve"> any relevant rules</w:t>
      </w:r>
      <w:r w:rsidRPr="00075FF6">
        <w:rPr>
          <w:bCs/>
        </w:rPr>
        <w:t>.</w:t>
      </w:r>
    </w:p>
    <w:p w:rsidR="006F2901" w:rsidRPr="00075FF6" w:rsidP="002F6EA0" w14:paraId="468148BE" w14:textId="77777777">
      <w:pPr>
        <w:spacing w:after="120"/>
        <w:ind w:left="720" w:right="86" w:firstLine="720"/>
      </w:pPr>
      <w:r w:rsidRPr="11397FAD">
        <w:t xml:space="preserve">In any civil or administrative action against a small entity for a violation of rules, the content of the Guide may be considered as evidence of the reasonableness or appropriateness of proposed fines, penalties or damages.  Interested parties are free to file comments regarding this Guide </w:t>
      </w:r>
      <w:r w:rsidRPr="11397FAD" w:rsidR="00C04059">
        <w:t xml:space="preserve">in the above </w:t>
      </w:r>
      <w:r w:rsidRPr="11397FAD" w:rsidR="00AB2971">
        <w:t xml:space="preserve">referenced </w:t>
      </w:r>
      <w:r w:rsidRPr="11397FAD" w:rsidR="00ED4ACF">
        <w:t>docket</w:t>
      </w:r>
      <w:r w:rsidRPr="11397FAD" w:rsidR="00F55417">
        <w:t xml:space="preserve"> </w:t>
      </w:r>
      <w:r w:rsidRPr="11397FAD">
        <w:t>and the appropriateness of its application to a particular situation</w:t>
      </w:r>
      <w:r w:rsidRPr="11397FAD" w:rsidR="00B47D0B">
        <w:t xml:space="preserve">. </w:t>
      </w:r>
      <w:r w:rsidRPr="11397FAD" w:rsidR="00C17202">
        <w:t xml:space="preserve"> </w:t>
      </w:r>
      <w:r w:rsidRPr="11397FAD" w:rsidR="00B47D0B">
        <w:t>T</w:t>
      </w:r>
      <w:r w:rsidRPr="11397FAD">
        <w:t xml:space="preserve">he </w:t>
      </w:r>
      <w:r w:rsidRPr="11397FAD" w:rsidR="001A40C9">
        <w:t xml:space="preserve">Commission </w:t>
      </w:r>
      <w:r w:rsidRPr="11397FAD">
        <w:t xml:space="preserve">will </w:t>
      </w:r>
      <w:r w:rsidRPr="11397FAD" w:rsidR="00FE30EB">
        <w:t xml:space="preserve">then </w:t>
      </w:r>
      <w:r w:rsidRPr="11397FAD">
        <w:t xml:space="preserve">consider whether the recommendations or interpretations in the Guide are appropriate in that situation.  The </w:t>
      </w:r>
      <w:r w:rsidRPr="11397FAD" w:rsidR="002E6CC0">
        <w:t>Commission</w:t>
      </w:r>
      <w:r w:rsidRPr="11397FAD">
        <w:t xml:space="preserve"> may decide to revise this Guide without public notice to reflect changes in </w:t>
      </w:r>
      <w:r w:rsidRPr="11397FAD" w:rsidR="00B15A5D">
        <w:t>it</w:t>
      </w:r>
      <w:r w:rsidRPr="11397FAD" w:rsidR="00B64CCA">
        <w:t>s</w:t>
      </w:r>
      <w:r w:rsidRPr="11397FAD">
        <w:t xml:space="preserve"> approach to implementing a rule, or </w:t>
      </w:r>
      <w:r w:rsidRPr="11397FAD" w:rsidR="00B47D0B">
        <w:t>i</w:t>
      </w:r>
      <w:r w:rsidRPr="11397FAD">
        <w:t>t</w:t>
      </w:r>
      <w:r w:rsidRPr="11397FAD" w:rsidR="00B47D0B">
        <w:t xml:space="preserve"> may</w:t>
      </w:r>
      <w:r w:rsidRPr="11397FAD">
        <w:t xml:space="preserve"> clarify or update the text of the Guide.  </w:t>
      </w:r>
      <w:r w:rsidRPr="11397FAD" w:rsidR="006753FE">
        <w:t>Please d</w:t>
      </w:r>
      <w:r w:rsidRPr="11397FAD">
        <w:t xml:space="preserve">irect comments and recommendations, or </w:t>
      </w:r>
      <w:r w:rsidRPr="11397FAD" w:rsidR="006C4BF9">
        <w:t xml:space="preserve">requests </w:t>
      </w:r>
      <w:r w:rsidRPr="11397FAD">
        <w:t>for further assistance, to the FCC’s Consumer Center:</w:t>
      </w:r>
    </w:p>
    <w:p w:rsidR="000E4E16" w:rsidRPr="00075FF6" w:rsidP="002F6EA0" w14:paraId="68D079A9" w14:textId="77777777">
      <w:pPr>
        <w:pStyle w:val="ListParagraph"/>
        <w:rPr>
          <w:b/>
        </w:rPr>
      </w:pPr>
    </w:p>
    <w:p w:rsidR="006F2901" w:rsidRPr="008C1150" w:rsidP="002F6EA0" w14:paraId="20D84407" w14:textId="77777777">
      <w:pPr>
        <w:ind w:left="720"/>
        <w:jc w:val="center"/>
        <w:rPr>
          <w:b/>
        </w:rPr>
      </w:pPr>
      <w:r w:rsidRPr="008C1150">
        <w:rPr>
          <w:b/>
        </w:rPr>
        <w:t>1-888-CALL-FCC (1-888-225-5322)</w:t>
      </w:r>
    </w:p>
    <w:p w:rsidR="006F2901" w:rsidRPr="008C1150" w:rsidP="002F6EA0" w14:paraId="23B68F25" w14:textId="77777777">
      <w:pPr>
        <w:ind w:left="720"/>
        <w:jc w:val="center"/>
        <w:rPr>
          <w:b/>
        </w:rPr>
      </w:pPr>
      <w:r w:rsidRPr="008C1150">
        <w:rPr>
          <w:b/>
        </w:rPr>
        <w:t>Videophone: 1-844-4-FCC-ASL (1-844-432-2275)</w:t>
      </w:r>
    </w:p>
    <w:p w:rsidR="0095132F" w:rsidP="002F6EA0" w14:paraId="0F4AFB13" w14:textId="77777777">
      <w:pPr>
        <w:ind w:left="720"/>
        <w:jc w:val="center"/>
        <w:rPr>
          <w:b/>
        </w:rPr>
      </w:pPr>
      <w:r w:rsidRPr="008C1150">
        <w:rPr>
          <w:b/>
        </w:rPr>
        <w:t>Fax: 1-866-418-0232</w:t>
      </w:r>
    </w:p>
    <w:p w:rsidR="000D00CF" w:rsidRPr="008C1150" w:rsidP="002F6EA0" w14:paraId="2D9E46AC" w14:textId="77777777">
      <w:pPr>
        <w:ind w:left="720"/>
        <w:jc w:val="center"/>
        <w:rPr>
          <w:b/>
        </w:rPr>
        <w:sectPr w:rsidSect="001C47B0">
          <w:headerReference w:type="default" r:id="rId5"/>
          <w:footerReference w:type="first" r:id="rId6"/>
          <w:pgSz w:w="12240" w:h="15840" w:code="1"/>
          <w:pgMar w:top="1440" w:right="1440" w:bottom="720" w:left="1440" w:header="720" w:footer="720" w:gutter="0"/>
          <w:cols w:space="720"/>
          <w:docGrid w:linePitch="360"/>
        </w:sectPr>
      </w:pPr>
    </w:p>
    <w:p w:rsidR="00CD624E" w:rsidRPr="00075FF6" w:rsidP="002F6EA0" w14:paraId="095FC30F" w14:textId="77777777">
      <w:pPr>
        <w:jc w:val="center"/>
        <w:rPr>
          <w:b/>
          <w:u w:val="single"/>
        </w:rPr>
      </w:pPr>
      <w:r w:rsidRPr="00075FF6">
        <w:rPr>
          <w:b/>
          <w:u w:val="single"/>
        </w:rPr>
        <w:t>TABLE OF CONTENTS</w:t>
      </w:r>
    </w:p>
    <w:p w:rsidR="00CD624E" w:rsidRPr="00075FF6" w:rsidP="009B6513" w14:paraId="39CAC641" w14:textId="77777777">
      <w:pPr>
        <w:jc w:val="both"/>
      </w:pPr>
    </w:p>
    <w:p w:rsidR="00CD624E" w:rsidRPr="00075FF6" w:rsidP="009B6513" w14:paraId="3324811C" w14:textId="77777777">
      <w:pPr>
        <w:tabs>
          <w:tab w:val="right" w:leader="dot" w:pos="8640"/>
        </w:tabs>
        <w:jc w:val="both"/>
        <w:rPr>
          <w:bCs/>
        </w:rPr>
      </w:pPr>
      <w:r w:rsidRPr="00075FF6">
        <w:rPr>
          <w:bCs/>
        </w:rPr>
        <w:t xml:space="preserve">I.          OBJECTIVES OF THE PROCEEDING </w:t>
      </w:r>
      <w:r w:rsidRPr="00075FF6">
        <w:rPr>
          <w:bCs/>
        </w:rPr>
        <w:tab/>
      </w:r>
      <w:r w:rsidR="00DE6CE3">
        <w:rPr>
          <w:bCs/>
        </w:rPr>
        <w:t>1</w:t>
      </w:r>
    </w:p>
    <w:p w:rsidR="00ED741B" w:rsidP="009B6513" w14:paraId="1A79CC51" w14:textId="7B916F31">
      <w:pPr>
        <w:tabs>
          <w:tab w:val="right" w:leader="dot" w:pos="8640"/>
        </w:tabs>
        <w:jc w:val="both"/>
        <w:rPr>
          <w:bCs/>
        </w:rPr>
      </w:pPr>
      <w:r w:rsidRPr="00075FF6">
        <w:rPr>
          <w:bCs/>
        </w:rPr>
        <w:t xml:space="preserve">II.         COMPLIANCE REQUIREMENTS </w:t>
      </w:r>
      <w:r w:rsidRPr="00075FF6">
        <w:rPr>
          <w:bCs/>
        </w:rPr>
        <w:tab/>
      </w:r>
      <w:r w:rsidR="001F064B">
        <w:rPr>
          <w:bCs/>
        </w:rPr>
        <w:t>1</w:t>
      </w:r>
    </w:p>
    <w:p w:rsidR="00872EB2" w:rsidRPr="00B8024A" w:rsidP="00872EB2" w14:paraId="1114BCCF" w14:textId="69F9245B">
      <w:pPr>
        <w:tabs>
          <w:tab w:val="right" w:pos="1080"/>
          <w:tab w:val="right" w:pos="2160"/>
          <w:tab w:val="right" w:leader="dot" w:pos="8640"/>
        </w:tabs>
        <w:spacing w:after="120"/>
        <w:ind w:left="720"/>
        <w:rPr>
          <w:bCs/>
        </w:rPr>
      </w:pPr>
      <w:r>
        <w:rPr>
          <w:bCs/>
        </w:rPr>
        <w:t>A</w:t>
      </w:r>
      <w:r w:rsidRPr="002D0A4F">
        <w:rPr>
          <w:bCs/>
        </w:rPr>
        <w:t>.</w:t>
      </w:r>
      <w:r w:rsidR="006A3805">
        <w:rPr>
          <w:bCs/>
        </w:rPr>
        <w:t xml:space="preserve">  </w:t>
      </w:r>
      <w:r w:rsidR="00BB4119">
        <w:rPr>
          <w:bCs/>
        </w:rPr>
        <w:t>Definitions</w:t>
      </w:r>
      <w:r w:rsidRPr="00B8024A">
        <w:rPr>
          <w:bCs/>
        </w:rPr>
        <w:tab/>
      </w:r>
      <w:r w:rsidR="006A3805">
        <w:rPr>
          <w:bCs/>
        </w:rPr>
        <w:tab/>
      </w:r>
      <w:r w:rsidRPr="00B8024A">
        <w:rPr>
          <w:bCs/>
        </w:rPr>
        <w:t>2</w:t>
      </w:r>
    </w:p>
    <w:p w:rsidR="00C07732" w:rsidP="00872EB2" w14:paraId="7D5DD80E" w14:textId="77777777">
      <w:pPr>
        <w:tabs>
          <w:tab w:val="right" w:pos="1080"/>
          <w:tab w:val="right" w:pos="2160"/>
          <w:tab w:val="right" w:leader="dot" w:pos="8640"/>
        </w:tabs>
        <w:spacing w:after="120"/>
        <w:ind w:left="720"/>
        <w:contextualSpacing/>
        <w:rPr>
          <w:bCs/>
        </w:rPr>
      </w:pPr>
      <w:r w:rsidRPr="002D0A4F">
        <w:rPr>
          <w:bCs/>
        </w:rPr>
        <w:t>B.</w:t>
      </w:r>
      <w:r w:rsidRPr="00B8024A">
        <w:rPr>
          <w:bCs/>
        </w:rPr>
        <w:t xml:space="preserve"> </w:t>
      </w:r>
      <w:r>
        <w:rPr>
          <w:bCs/>
        </w:rPr>
        <w:tab/>
      </w:r>
      <w:r>
        <w:rPr>
          <w:bCs/>
        </w:rPr>
        <w:tab/>
      </w:r>
      <w:r w:rsidRPr="008431B2" w:rsidR="008431B2">
        <w:rPr>
          <w:bCs/>
        </w:rPr>
        <w:t xml:space="preserve">Schedules of Covered Authorizations that are Subject to Foreign Adversary </w:t>
      </w:r>
    </w:p>
    <w:p w:rsidR="00872EB2" w:rsidRPr="00B8024A" w:rsidP="00872EB2" w14:paraId="639C178E" w14:textId="764D6DB8">
      <w:pPr>
        <w:tabs>
          <w:tab w:val="right" w:pos="1080"/>
          <w:tab w:val="right" w:pos="2160"/>
          <w:tab w:val="right" w:leader="dot" w:pos="8640"/>
        </w:tabs>
        <w:spacing w:after="120"/>
        <w:ind w:left="720"/>
        <w:rPr>
          <w:bCs/>
        </w:rPr>
      </w:pPr>
      <w:r>
        <w:rPr>
          <w:bCs/>
        </w:rPr>
        <w:tab/>
      </w:r>
      <w:r>
        <w:rPr>
          <w:bCs/>
        </w:rPr>
        <w:tab/>
      </w:r>
      <w:r w:rsidRPr="008431B2" w:rsidR="008431B2">
        <w:rPr>
          <w:bCs/>
        </w:rPr>
        <w:t>Control Rules</w:t>
      </w:r>
      <w:r>
        <w:rPr>
          <w:bCs/>
        </w:rPr>
        <w:tab/>
        <w:t>3</w:t>
      </w:r>
    </w:p>
    <w:p w:rsidR="00872EB2" w:rsidRPr="00B8024A" w:rsidP="00872EB2" w14:paraId="764091ED" w14:textId="7E14799B">
      <w:pPr>
        <w:tabs>
          <w:tab w:val="right" w:pos="1080"/>
          <w:tab w:val="right" w:pos="2160"/>
          <w:tab w:val="right" w:leader="dot" w:pos="8640"/>
        </w:tabs>
        <w:spacing w:after="120"/>
        <w:ind w:left="720"/>
        <w:rPr>
          <w:bCs/>
        </w:rPr>
      </w:pPr>
      <w:r w:rsidRPr="002D0A4F">
        <w:rPr>
          <w:bCs/>
        </w:rPr>
        <w:t>C.</w:t>
      </w:r>
      <w:r w:rsidRPr="00B8024A">
        <w:rPr>
          <w:bCs/>
        </w:rPr>
        <w:t xml:space="preserve"> </w:t>
      </w:r>
      <w:r>
        <w:rPr>
          <w:bCs/>
        </w:rPr>
        <w:tab/>
      </w:r>
      <w:r>
        <w:rPr>
          <w:bCs/>
        </w:rPr>
        <w:tab/>
      </w:r>
      <w:r w:rsidRPr="00C07732" w:rsidR="00C07732">
        <w:rPr>
          <w:bCs/>
        </w:rPr>
        <w:t>Foreign Adversary Control Attestation and Disclosure Rules</w:t>
      </w:r>
      <w:r w:rsidRPr="00B8024A">
        <w:rPr>
          <w:bCs/>
        </w:rPr>
        <w:tab/>
      </w:r>
      <w:r w:rsidR="00C6326F">
        <w:rPr>
          <w:bCs/>
        </w:rPr>
        <w:t>3</w:t>
      </w:r>
    </w:p>
    <w:p w:rsidR="00872EB2" w:rsidRPr="00B8024A" w:rsidP="00872EB2" w14:paraId="262B2E28" w14:textId="5479EE5D">
      <w:pPr>
        <w:tabs>
          <w:tab w:val="right" w:pos="1080"/>
          <w:tab w:val="right" w:pos="2160"/>
          <w:tab w:val="right" w:leader="dot" w:pos="8640"/>
        </w:tabs>
        <w:spacing w:after="120"/>
        <w:ind w:left="720"/>
        <w:rPr>
          <w:bCs/>
        </w:rPr>
      </w:pPr>
      <w:r w:rsidRPr="002D0A4F">
        <w:rPr>
          <w:bCs/>
        </w:rPr>
        <w:t>D.</w:t>
      </w:r>
      <w:r w:rsidRPr="00B8024A">
        <w:rPr>
          <w:bCs/>
        </w:rPr>
        <w:t xml:space="preserve"> </w:t>
      </w:r>
      <w:r>
        <w:rPr>
          <w:bCs/>
        </w:rPr>
        <w:tab/>
      </w:r>
      <w:r>
        <w:rPr>
          <w:bCs/>
        </w:rPr>
        <w:tab/>
      </w:r>
      <w:r w:rsidRPr="006F3614" w:rsidR="006F3614">
        <w:rPr>
          <w:bCs/>
        </w:rPr>
        <w:t>Enforcement and Streamlined Revocation Process for Non-Compliance</w:t>
      </w:r>
      <w:r w:rsidRPr="00B8024A">
        <w:rPr>
          <w:bCs/>
        </w:rPr>
        <w:tab/>
        <w:t>6</w:t>
      </w:r>
    </w:p>
    <w:p w:rsidR="00CD624E" w:rsidRPr="00075FF6" w:rsidP="009B6513" w14:paraId="4D9FFB4B" w14:textId="1A8F7886">
      <w:pPr>
        <w:tabs>
          <w:tab w:val="right" w:leader="dot" w:pos="8640"/>
        </w:tabs>
        <w:jc w:val="both"/>
        <w:rPr>
          <w:bCs/>
        </w:rPr>
      </w:pPr>
      <w:r w:rsidRPr="00075FF6">
        <w:rPr>
          <w:bCs/>
        </w:rPr>
        <w:t xml:space="preserve">III.        RECORDKEEPING AND REPORTING REQUIREMENTS </w:t>
      </w:r>
      <w:r w:rsidRPr="00075FF6">
        <w:rPr>
          <w:bCs/>
        </w:rPr>
        <w:tab/>
      </w:r>
      <w:r w:rsidR="000D2FF1">
        <w:rPr>
          <w:bCs/>
        </w:rPr>
        <w:t>6</w:t>
      </w:r>
    </w:p>
    <w:p w:rsidR="00CD624E" w:rsidRPr="00075FF6" w:rsidP="009B6513" w14:paraId="0D784B1C" w14:textId="7C3C2F79">
      <w:pPr>
        <w:tabs>
          <w:tab w:val="right" w:leader="dot" w:pos="8640"/>
        </w:tabs>
        <w:jc w:val="both"/>
        <w:rPr>
          <w:bCs/>
        </w:rPr>
      </w:pPr>
      <w:r w:rsidRPr="00075FF6">
        <w:rPr>
          <w:bCs/>
        </w:rPr>
        <w:t xml:space="preserve">IV.        IMPLEMENTATION DATE </w:t>
      </w:r>
      <w:r w:rsidRPr="00075FF6">
        <w:rPr>
          <w:bCs/>
        </w:rPr>
        <w:tab/>
      </w:r>
      <w:r w:rsidR="000D2FF1">
        <w:rPr>
          <w:bCs/>
        </w:rPr>
        <w:t>8</w:t>
      </w:r>
    </w:p>
    <w:p w:rsidR="00CD624E" w:rsidP="009B6513" w14:paraId="5AE622FF" w14:textId="4D04F853">
      <w:pPr>
        <w:tabs>
          <w:tab w:val="right" w:leader="dot" w:pos="8640"/>
        </w:tabs>
        <w:jc w:val="both"/>
        <w:rPr>
          <w:bCs/>
        </w:rPr>
      </w:pPr>
      <w:r w:rsidRPr="00075FF6">
        <w:rPr>
          <w:bCs/>
        </w:rPr>
        <w:t xml:space="preserve">V.         INTERNET LINKS </w:t>
      </w:r>
      <w:r w:rsidRPr="00075FF6">
        <w:rPr>
          <w:bCs/>
        </w:rPr>
        <w:tab/>
      </w:r>
      <w:r w:rsidR="000D2FF1">
        <w:rPr>
          <w:bCs/>
        </w:rPr>
        <w:t>8</w:t>
      </w:r>
    </w:p>
    <w:p w:rsidR="002E3434" w:rsidP="009B6513" w14:paraId="49D988D2" w14:textId="77777777">
      <w:pPr>
        <w:tabs>
          <w:tab w:val="right" w:leader="dot" w:pos="8640"/>
        </w:tabs>
        <w:jc w:val="both"/>
        <w:rPr>
          <w:bCs/>
        </w:rPr>
      </w:pPr>
    </w:p>
    <w:p w:rsidR="00463A2A" w:rsidRPr="00075FF6" w:rsidP="009B6513" w14:paraId="3962C79E" w14:textId="77777777">
      <w:pPr>
        <w:jc w:val="both"/>
        <w:rPr>
          <w:b/>
        </w:rPr>
      </w:pPr>
    </w:p>
    <w:p w:rsidR="001743EF" w:rsidRPr="00075FF6" w:rsidP="009B6513" w14:paraId="1D90BE62" w14:textId="77777777">
      <w:pPr>
        <w:jc w:val="both"/>
        <w:rPr>
          <w:b/>
        </w:rPr>
        <w:sectPr w:rsidSect="001C47B0">
          <w:headerReference w:type="default" r:id="rId7"/>
          <w:footerReference w:type="default" r:id="rId8"/>
          <w:pgSz w:w="12240" w:h="15840" w:code="1"/>
          <w:pgMar w:top="1440" w:right="1440" w:bottom="720" w:left="1440" w:header="720" w:footer="720" w:gutter="0"/>
          <w:pgNumType w:start="1"/>
          <w:cols w:space="720"/>
          <w:docGrid w:linePitch="360"/>
        </w:sectPr>
      </w:pPr>
    </w:p>
    <w:p w:rsidR="00E97A21" w:rsidP="00E50D44" w14:paraId="54E4821A" w14:textId="3DF94CFE">
      <w:pPr>
        <w:pStyle w:val="ListParagraph"/>
        <w:numPr>
          <w:ilvl w:val="0"/>
          <w:numId w:val="20"/>
        </w:numPr>
        <w:tabs>
          <w:tab w:val="left" w:pos="720"/>
        </w:tabs>
        <w:spacing w:after="120"/>
        <w:ind w:left="720" w:hanging="720"/>
        <w:contextualSpacing w:val="0"/>
        <w:jc w:val="both"/>
        <w:rPr>
          <w:b/>
        </w:rPr>
      </w:pPr>
      <w:r w:rsidRPr="00075FF6">
        <w:rPr>
          <w:b/>
        </w:rPr>
        <w:t>OBJECTIVES OF THE PROCEEDING</w:t>
      </w:r>
    </w:p>
    <w:p w:rsidR="00845D30" w:rsidRPr="00CE0F6D" w:rsidP="000D3FB8" w14:paraId="3C4F316C" w14:textId="283B2084">
      <w:pPr>
        <w:spacing w:after="120"/>
        <w:ind w:firstLine="720"/>
        <w:jc w:val="both"/>
        <w:rPr>
          <w:bCs/>
        </w:rPr>
      </w:pPr>
      <w:r>
        <w:rPr>
          <w:bCs/>
        </w:rPr>
        <w:t xml:space="preserve">This Small Entity Compliance Guide (Guide) is designed to help individuals and small businesses </w:t>
      </w:r>
      <w:r w:rsidR="00CE0F6D">
        <w:rPr>
          <w:bCs/>
        </w:rPr>
        <w:t>understand the new Foreign Adversary Control attestation</w:t>
      </w:r>
      <w:r w:rsidR="004245B7">
        <w:rPr>
          <w:bCs/>
        </w:rPr>
        <w:t xml:space="preserve"> and disclosure</w:t>
      </w:r>
      <w:r w:rsidR="00CE0F6D">
        <w:rPr>
          <w:bCs/>
        </w:rPr>
        <w:t xml:space="preserve"> requirements.  This Guide is not a substitute for reading and reviewing the </w:t>
      </w:r>
      <w:r w:rsidR="004245B7">
        <w:rPr>
          <w:bCs/>
        </w:rPr>
        <w:t xml:space="preserve">relevant </w:t>
      </w:r>
      <w:r w:rsidR="00CE0F6D">
        <w:rPr>
          <w:bCs/>
        </w:rPr>
        <w:t>orders, rules, and public notices</w:t>
      </w:r>
      <w:r w:rsidR="004245B7">
        <w:rPr>
          <w:bCs/>
        </w:rPr>
        <w:t>, nor is it a substitute for legal advice on how the attestation and disclosure requirements apply to your circumstances.</w:t>
      </w:r>
    </w:p>
    <w:p w:rsidR="00752D70" w:rsidP="000D3FB8" w14:paraId="0B7E82A2" w14:textId="2990A133">
      <w:pPr>
        <w:spacing w:after="120"/>
        <w:ind w:firstLine="720"/>
        <w:jc w:val="both"/>
        <w:rPr>
          <w:bCs/>
        </w:rPr>
      </w:pPr>
      <w:r>
        <w:rPr>
          <w:bCs/>
        </w:rPr>
        <w:t xml:space="preserve">In the </w:t>
      </w:r>
      <w:r w:rsidRPr="004D7C32">
        <w:rPr>
          <w:bCs/>
          <w:i/>
          <w:iCs/>
        </w:rPr>
        <w:t>Foreign Adversary Control Report and Order</w:t>
      </w:r>
      <w:r>
        <w:rPr>
          <w:bCs/>
        </w:rPr>
        <w:t>,</w:t>
      </w:r>
      <w:r>
        <w:rPr>
          <w:rStyle w:val="FootnoteReference"/>
          <w:bCs/>
        </w:rPr>
        <w:footnoteReference w:id="3"/>
      </w:r>
      <w:r>
        <w:rPr>
          <w:bCs/>
        </w:rPr>
        <w:t xml:space="preserve"> t</w:t>
      </w:r>
      <w:r w:rsidR="00CD0F67">
        <w:rPr>
          <w:bCs/>
        </w:rPr>
        <w:t>he Commission strengthen</w:t>
      </w:r>
      <w:r w:rsidR="00164A33">
        <w:rPr>
          <w:bCs/>
        </w:rPr>
        <w:t>ed</w:t>
      </w:r>
      <w:r w:rsidR="00CD0F67">
        <w:rPr>
          <w:bCs/>
        </w:rPr>
        <w:t xml:space="preserve"> the security of U.S. telecommunications networks by establishing new Foreign Adversary Control attestation and disclosure requirements.  </w:t>
      </w:r>
      <w:r w:rsidR="00E91683">
        <w:rPr>
          <w:bCs/>
        </w:rPr>
        <w:t>To implement</w:t>
      </w:r>
      <w:r w:rsidR="009257AE">
        <w:rPr>
          <w:bCs/>
        </w:rPr>
        <w:t xml:space="preserve"> these requirements, t</w:t>
      </w:r>
      <w:r w:rsidR="00D623B9">
        <w:rPr>
          <w:bCs/>
        </w:rPr>
        <w:t xml:space="preserve">he Commission </w:t>
      </w:r>
      <w:r w:rsidR="00771864">
        <w:rPr>
          <w:bCs/>
        </w:rPr>
        <w:t>create</w:t>
      </w:r>
      <w:r w:rsidR="00164A33">
        <w:rPr>
          <w:bCs/>
        </w:rPr>
        <w:t>d</w:t>
      </w:r>
      <w:r w:rsidR="00E32362">
        <w:rPr>
          <w:bCs/>
        </w:rPr>
        <w:t xml:space="preserve"> a reporting framework by </w:t>
      </w:r>
      <w:r w:rsidR="00D623B9">
        <w:rPr>
          <w:bCs/>
        </w:rPr>
        <w:t>categoriz</w:t>
      </w:r>
      <w:r w:rsidR="00E32362">
        <w:rPr>
          <w:bCs/>
        </w:rPr>
        <w:t>ing</w:t>
      </w:r>
      <w:r w:rsidR="00D623B9">
        <w:rPr>
          <w:bCs/>
        </w:rPr>
        <w:t xml:space="preserve"> license</w:t>
      </w:r>
      <w:r w:rsidR="0048447C">
        <w:rPr>
          <w:bCs/>
        </w:rPr>
        <w:t>s</w:t>
      </w:r>
      <w:r w:rsidR="00D623B9">
        <w:rPr>
          <w:bCs/>
        </w:rPr>
        <w:t>,</w:t>
      </w:r>
      <w:r w:rsidR="00D6167F">
        <w:rPr>
          <w:bCs/>
        </w:rPr>
        <w:t xml:space="preserve"> leases,</w:t>
      </w:r>
      <w:r w:rsidR="00D623B9">
        <w:rPr>
          <w:bCs/>
        </w:rPr>
        <w:t xml:space="preserve"> authorization</w:t>
      </w:r>
      <w:r w:rsidR="0048447C">
        <w:rPr>
          <w:bCs/>
        </w:rPr>
        <w:t>s</w:t>
      </w:r>
      <w:r w:rsidR="00D623B9">
        <w:rPr>
          <w:bCs/>
        </w:rPr>
        <w:t>,</w:t>
      </w:r>
      <w:r w:rsidR="00DF1B07">
        <w:rPr>
          <w:bCs/>
        </w:rPr>
        <w:t xml:space="preserve"> permits, grants,</w:t>
      </w:r>
      <w:r w:rsidR="00E50D5F">
        <w:rPr>
          <w:bCs/>
        </w:rPr>
        <w:t xml:space="preserve"> and other approvals</w:t>
      </w:r>
      <w:r w:rsidR="00DF1B07">
        <w:rPr>
          <w:bCs/>
        </w:rPr>
        <w:t xml:space="preserve"> (</w:t>
      </w:r>
      <w:r w:rsidR="00F8503A">
        <w:rPr>
          <w:bCs/>
        </w:rPr>
        <w:t>Covered Authorizations</w:t>
      </w:r>
      <w:r w:rsidR="00DF1B07">
        <w:rPr>
          <w:bCs/>
        </w:rPr>
        <w:t>)</w:t>
      </w:r>
      <w:r w:rsidR="00E50D5F">
        <w:rPr>
          <w:bCs/>
        </w:rPr>
        <w:t xml:space="preserve"> into one of three groups, each subject to different attestation and disclosure </w:t>
      </w:r>
      <w:r w:rsidR="005E5234">
        <w:rPr>
          <w:bCs/>
        </w:rPr>
        <w:t>requirements based on risk to national security of Foreign Adversary Control.</w:t>
      </w:r>
      <w:r>
        <w:rPr>
          <w:rStyle w:val="FootnoteReference"/>
          <w:bCs/>
        </w:rPr>
        <w:footnoteReference w:id="4"/>
      </w:r>
      <w:r w:rsidR="00057F0A">
        <w:rPr>
          <w:bCs/>
        </w:rPr>
        <w:t xml:space="preserve">  </w:t>
      </w:r>
      <w:r w:rsidR="00DB5AD0">
        <w:rPr>
          <w:bCs/>
        </w:rPr>
        <w:t xml:space="preserve">The Commission </w:t>
      </w:r>
      <w:r w:rsidR="009257AE">
        <w:rPr>
          <w:bCs/>
        </w:rPr>
        <w:t>then</w:t>
      </w:r>
      <w:r w:rsidR="00DB5AD0">
        <w:rPr>
          <w:bCs/>
        </w:rPr>
        <w:t xml:space="preserve"> set forth the information to be collected for each group, </w:t>
      </w:r>
      <w:r w:rsidR="00292379">
        <w:rPr>
          <w:bCs/>
        </w:rPr>
        <w:t>how the information will be collected</w:t>
      </w:r>
      <w:r w:rsidR="00DB5AD0">
        <w:rPr>
          <w:bCs/>
        </w:rPr>
        <w:t xml:space="preserve">, and </w:t>
      </w:r>
      <w:r w:rsidR="0085581E">
        <w:rPr>
          <w:bCs/>
        </w:rPr>
        <w:t xml:space="preserve">a process for revoking a </w:t>
      </w:r>
      <w:r w:rsidR="00826D80">
        <w:rPr>
          <w:bCs/>
        </w:rPr>
        <w:t>Covered Authorization</w:t>
      </w:r>
      <w:r w:rsidR="0085581E">
        <w:rPr>
          <w:bCs/>
        </w:rPr>
        <w:t xml:space="preserve"> in the event of noncompliance, subject to </w:t>
      </w:r>
      <w:r w:rsidR="00826D80">
        <w:rPr>
          <w:bCs/>
        </w:rPr>
        <w:t xml:space="preserve">certain </w:t>
      </w:r>
      <w:r w:rsidR="0085581E">
        <w:rPr>
          <w:bCs/>
        </w:rPr>
        <w:t>exceptions.</w:t>
      </w:r>
      <w:r>
        <w:rPr>
          <w:rStyle w:val="FootnoteReference"/>
          <w:bCs/>
        </w:rPr>
        <w:footnoteReference w:id="5"/>
      </w:r>
      <w:r w:rsidR="0085581E">
        <w:rPr>
          <w:bCs/>
        </w:rPr>
        <w:t xml:space="preserve">  </w:t>
      </w:r>
      <w:r w:rsidR="009804E1">
        <w:rPr>
          <w:bCs/>
        </w:rPr>
        <w:t>These new reporting requirements allow the Commission to receive the information it needs to promote national security while minimizing the burden on entities that present minimal or no national security risk</w:t>
      </w:r>
      <w:r w:rsidR="0033365C">
        <w:rPr>
          <w:bCs/>
        </w:rPr>
        <w:t>, and allow the Commission to develop approaches to eliminate or mitigate national security threats from foreign adversaries</w:t>
      </w:r>
      <w:r w:rsidR="009804E1">
        <w:rPr>
          <w:bCs/>
        </w:rPr>
        <w:t xml:space="preserve">.  </w:t>
      </w:r>
    </w:p>
    <w:p w:rsidR="00DA673B" w:rsidP="00E50D44" w14:paraId="26FF3746" w14:textId="72C1AFB4">
      <w:pPr>
        <w:spacing w:after="120"/>
        <w:ind w:left="720" w:hanging="720"/>
        <w:jc w:val="both"/>
        <w:rPr>
          <w:b/>
        </w:rPr>
      </w:pPr>
      <w:r w:rsidRPr="00075FF6">
        <w:rPr>
          <w:b/>
        </w:rPr>
        <w:t>II.</w:t>
      </w:r>
      <w:r w:rsidRPr="00075FF6" w:rsidR="00286EA8">
        <w:rPr>
          <w:b/>
        </w:rPr>
        <w:tab/>
      </w:r>
      <w:r w:rsidRPr="00075FF6">
        <w:rPr>
          <w:b/>
        </w:rPr>
        <w:t>COMPLIANCE REQUIREMENTS</w:t>
      </w:r>
    </w:p>
    <w:p w:rsidR="00540E89" w:rsidP="00951522" w14:paraId="0B5FFC0E" w14:textId="740A3BE6">
      <w:pPr>
        <w:spacing w:after="120"/>
        <w:ind w:firstLine="720"/>
        <w:jc w:val="both"/>
        <w:rPr>
          <w:bCs/>
        </w:rPr>
      </w:pPr>
      <w:r w:rsidRPr="0043502E">
        <w:rPr>
          <w:bCs/>
        </w:rPr>
        <w:t>The</w:t>
      </w:r>
      <w:r>
        <w:rPr>
          <w:bCs/>
          <w:i/>
          <w:iCs/>
        </w:rPr>
        <w:t xml:space="preserve"> </w:t>
      </w:r>
      <w:r>
        <w:rPr>
          <w:bCs/>
        </w:rPr>
        <w:t>Commission create</w:t>
      </w:r>
      <w:r w:rsidR="000A7B0E">
        <w:rPr>
          <w:bCs/>
        </w:rPr>
        <w:t>d</w:t>
      </w:r>
      <w:r>
        <w:rPr>
          <w:bCs/>
        </w:rPr>
        <w:t xml:space="preserve"> new</w:t>
      </w:r>
      <w:r w:rsidR="005405DB">
        <w:rPr>
          <w:bCs/>
        </w:rPr>
        <w:t xml:space="preserve"> attestation and disclosure requirements for all </w:t>
      </w:r>
      <w:r w:rsidR="00AB35C3">
        <w:rPr>
          <w:bCs/>
        </w:rPr>
        <w:t>Regulatees</w:t>
      </w:r>
      <w:r w:rsidR="004628BE">
        <w:rPr>
          <w:bCs/>
        </w:rPr>
        <w:t>.</w:t>
      </w:r>
      <w:r w:rsidR="00EC724A">
        <w:rPr>
          <w:bCs/>
        </w:rPr>
        <w:t xml:space="preserve">  </w:t>
      </w:r>
      <w:r w:rsidRPr="00EC724A" w:rsidR="00EC724A">
        <w:rPr>
          <w:bCs/>
        </w:rPr>
        <w:t>The adopted rules</w:t>
      </w:r>
      <w:r w:rsidR="00EC724A">
        <w:rPr>
          <w:bCs/>
        </w:rPr>
        <w:t xml:space="preserve"> </w:t>
      </w:r>
      <w:r w:rsidRPr="00EC724A" w:rsidR="00EC724A">
        <w:rPr>
          <w:bCs/>
        </w:rPr>
        <w:t>categoriz</w:t>
      </w:r>
      <w:r w:rsidR="009E0BE0">
        <w:rPr>
          <w:bCs/>
        </w:rPr>
        <w:t>e</w:t>
      </w:r>
      <w:r w:rsidR="00285EA7">
        <w:rPr>
          <w:bCs/>
        </w:rPr>
        <w:t xml:space="preserve"> </w:t>
      </w:r>
      <w:r w:rsidR="00115521">
        <w:rPr>
          <w:bCs/>
        </w:rPr>
        <w:t xml:space="preserve">Covered Authorizations </w:t>
      </w:r>
      <w:r w:rsidRPr="00EC724A" w:rsidR="00EC724A">
        <w:rPr>
          <w:bCs/>
        </w:rPr>
        <w:t>into distinct</w:t>
      </w:r>
      <w:r w:rsidR="00EC724A">
        <w:rPr>
          <w:bCs/>
        </w:rPr>
        <w:t xml:space="preserve"> </w:t>
      </w:r>
      <w:r w:rsidRPr="00EC724A" w:rsidR="00EC724A">
        <w:rPr>
          <w:bCs/>
        </w:rPr>
        <w:t>groups, each subject to different attestation and disclosure requirements.</w:t>
      </w:r>
      <w:r>
        <w:rPr>
          <w:bCs/>
        </w:rPr>
        <w:t xml:space="preserve"> </w:t>
      </w:r>
      <w:r w:rsidRPr="00EC724A" w:rsidR="00EC724A">
        <w:rPr>
          <w:bCs/>
        </w:rPr>
        <w:t xml:space="preserve"> Specifically, </w:t>
      </w:r>
      <w:r>
        <w:rPr>
          <w:bCs/>
        </w:rPr>
        <w:t>the Commission</w:t>
      </w:r>
      <w:r w:rsidR="00EC724A">
        <w:rPr>
          <w:bCs/>
        </w:rPr>
        <w:t xml:space="preserve"> </w:t>
      </w:r>
      <w:r w:rsidRPr="00EC724A" w:rsidR="00EC724A">
        <w:rPr>
          <w:bCs/>
        </w:rPr>
        <w:t>establish</w:t>
      </w:r>
      <w:r>
        <w:rPr>
          <w:bCs/>
        </w:rPr>
        <w:t>e</w:t>
      </w:r>
      <w:r w:rsidR="000A7B0E">
        <w:rPr>
          <w:bCs/>
        </w:rPr>
        <w:t>d</w:t>
      </w:r>
      <w:r w:rsidRPr="00EC724A" w:rsidR="00EC724A">
        <w:rPr>
          <w:bCs/>
        </w:rPr>
        <w:t xml:space="preserve"> a reporting framework</w:t>
      </w:r>
      <w:r w:rsidR="001508F4">
        <w:rPr>
          <w:bCs/>
        </w:rPr>
        <w:t xml:space="preserve"> (i.e., Schedules)</w:t>
      </w:r>
      <w:r w:rsidRPr="00EC724A" w:rsidR="00EC724A">
        <w:rPr>
          <w:bCs/>
        </w:rPr>
        <w:t xml:space="preserve"> that distinguishes and categorizes each Covered Authorization based on</w:t>
      </w:r>
      <w:r w:rsidR="00EC724A">
        <w:rPr>
          <w:bCs/>
        </w:rPr>
        <w:t xml:space="preserve"> </w:t>
      </w:r>
      <w:r w:rsidRPr="00EC724A" w:rsidR="00EC724A">
        <w:rPr>
          <w:bCs/>
        </w:rPr>
        <w:t xml:space="preserve">whether the </w:t>
      </w:r>
      <w:r w:rsidRPr="00EC724A" w:rsidR="00EC724A">
        <w:rPr>
          <w:bCs/>
        </w:rPr>
        <w:t>Regulatee</w:t>
      </w:r>
      <w:r w:rsidRPr="00EC724A" w:rsidR="00EC724A">
        <w:rPr>
          <w:bCs/>
        </w:rPr>
        <w:t xml:space="preserve"> is: (A) required to submit an attestation either affirming or denying Foreign</w:t>
      </w:r>
      <w:r w:rsidR="00EC724A">
        <w:rPr>
          <w:bCs/>
        </w:rPr>
        <w:t xml:space="preserve"> </w:t>
      </w:r>
      <w:r w:rsidRPr="00EC724A" w:rsidR="00EC724A">
        <w:rPr>
          <w:bCs/>
        </w:rPr>
        <w:t>Adversary Control; (B) solely required to submit an attestation affirming Foreign Adversary Control; or</w:t>
      </w:r>
      <w:r w:rsidR="00EC724A">
        <w:rPr>
          <w:bCs/>
        </w:rPr>
        <w:t xml:space="preserve"> </w:t>
      </w:r>
      <w:r w:rsidRPr="00EC724A" w:rsidR="00EC724A">
        <w:rPr>
          <w:bCs/>
        </w:rPr>
        <w:t>(C) is not required to file an attestation in either even</w:t>
      </w:r>
      <w:r w:rsidR="009E0BE0">
        <w:rPr>
          <w:bCs/>
        </w:rPr>
        <w:t>t.</w:t>
      </w:r>
    </w:p>
    <w:p w:rsidR="00D76200" w:rsidP="00951522" w14:paraId="13647C2A" w14:textId="47A8D8E5">
      <w:pPr>
        <w:spacing w:after="120"/>
        <w:ind w:firstLine="720"/>
        <w:jc w:val="both"/>
        <w:rPr>
          <w:bCs/>
        </w:rPr>
      </w:pPr>
      <w:r>
        <w:rPr>
          <w:bCs/>
        </w:rPr>
        <w:t xml:space="preserve">Specific instructions for </w:t>
      </w:r>
      <w:r>
        <w:rPr>
          <w:bCs/>
        </w:rPr>
        <w:t>Regulatees</w:t>
      </w:r>
      <w:r>
        <w:rPr>
          <w:bCs/>
        </w:rPr>
        <w:t xml:space="preserve"> </w:t>
      </w:r>
      <w:r w:rsidR="00397271">
        <w:rPr>
          <w:bCs/>
        </w:rPr>
        <w:t xml:space="preserve">required to file </w:t>
      </w:r>
      <w:r w:rsidR="005E6847">
        <w:rPr>
          <w:bCs/>
        </w:rPr>
        <w:t xml:space="preserve">initial attestation and disclosures </w:t>
      </w:r>
      <w:r w:rsidR="00397271">
        <w:rPr>
          <w:bCs/>
        </w:rPr>
        <w:t xml:space="preserve">will be announced by public notice.  </w:t>
      </w:r>
      <w:r w:rsidR="005E6847">
        <w:rPr>
          <w:bCs/>
        </w:rPr>
        <w:t xml:space="preserve">Small entities that are required to submit initial attestations must do so within 120 days of the public notice announcing launch of the Foreign Adversary Control System.  </w:t>
      </w:r>
    </w:p>
    <w:p w:rsidR="007B4863" w:rsidRPr="0077730D" w:rsidP="000D3FB8" w14:paraId="1D494055" w14:textId="41AE53C9">
      <w:pPr>
        <w:spacing w:after="120"/>
        <w:ind w:firstLine="720"/>
        <w:jc w:val="both"/>
        <w:rPr>
          <w:bCs/>
        </w:rPr>
      </w:pPr>
      <w:r>
        <w:rPr>
          <w:bCs/>
        </w:rPr>
        <w:t xml:space="preserve">Small entities should </w:t>
      </w:r>
      <w:r w:rsidR="00540E89">
        <w:rPr>
          <w:bCs/>
        </w:rPr>
        <w:t>continue to</w:t>
      </w:r>
      <w:r w:rsidR="00E62A2E">
        <w:rPr>
          <w:bCs/>
        </w:rPr>
        <w:t xml:space="preserve"> </w:t>
      </w:r>
      <w:r w:rsidR="00540E89">
        <w:rPr>
          <w:bCs/>
        </w:rPr>
        <w:t>check for any</w:t>
      </w:r>
      <w:r w:rsidR="00E62A2E">
        <w:rPr>
          <w:bCs/>
        </w:rPr>
        <w:t xml:space="preserve"> </w:t>
      </w:r>
      <w:r w:rsidR="00ED68E7">
        <w:rPr>
          <w:bCs/>
        </w:rPr>
        <w:t>update</w:t>
      </w:r>
      <w:r w:rsidR="00540E89">
        <w:rPr>
          <w:bCs/>
        </w:rPr>
        <w:t xml:space="preserve">s to the </w:t>
      </w:r>
      <w:r w:rsidR="001508F4">
        <w:rPr>
          <w:bCs/>
        </w:rPr>
        <w:t>Schedules</w:t>
      </w:r>
      <w:r w:rsidR="00E62A2E">
        <w:rPr>
          <w:bCs/>
        </w:rPr>
        <w:t xml:space="preserve"> in 47 CFR</w:t>
      </w:r>
      <w:r w:rsidRPr="00E62A2E" w:rsidR="00E62A2E">
        <w:rPr>
          <w:bCs/>
        </w:rPr>
        <w:t xml:space="preserve"> § 1.8000</w:t>
      </w:r>
      <w:r w:rsidR="001600A4">
        <w:rPr>
          <w:bCs/>
        </w:rPr>
        <w:t>2</w:t>
      </w:r>
      <w:r w:rsidR="00ED68E7">
        <w:rPr>
          <w:bCs/>
        </w:rPr>
        <w:t xml:space="preserve">.  </w:t>
      </w:r>
      <w:r w:rsidR="004628BE">
        <w:rPr>
          <w:bCs/>
        </w:rPr>
        <w:t xml:space="preserve">Small entities should note that the Commission </w:t>
      </w:r>
      <w:r w:rsidR="00AB35C3">
        <w:rPr>
          <w:bCs/>
        </w:rPr>
        <w:t>exempt</w:t>
      </w:r>
      <w:r w:rsidR="00A8373F">
        <w:rPr>
          <w:bCs/>
        </w:rPr>
        <w:t>ed</w:t>
      </w:r>
      <w:r w:rsidR="00AB35C3">
        <w:rPr>
          <w:bCs/>
        </w:rPr>
        <w:t xml:space="preserve"> Covered Authorizations </w:t>
      </w:r>
      <w:r w:rsidR="00A04123">
        <w:rPr>
          <w:bCs/>
        </w:rPr>
        <w:t xml:space="preserve">designated in Schedule C from the initial attestation requirements for a variety of reasons, including that they are typically held by individuals or small entities that may pose a lesser risk to national security should they be under Foreign Adversary Control.  </w:t>
      </w:r>
      <w:r w:rsidR="005E6847">
        <w:rPr>
          <w:bCs/>
        </w:rPr>
        <w:t>E</w:t>
      </w:r>
      <w:r w:rsidR="00583E0B">
        <w:rPr>
          <w:bCs/>
        </w:rPr>
        <w:t>ntities</w:t>
      </w:r>
      <w:r w:rsidR="005E6847">
        <w:rPr>
          <w:bCs/>
        </w:rPr>
        <w:t xml:space="preserve"> in Schedule B</w:t>
      </w:r>
      <w:r w:rsidR="00583E0B">
        <w:rPr>
          <w:bCs/>
        </w:rPr>
        <w:t>, such as broadcasters with five or fewer employees, are only required to complete an attestation if the</w:t>
      </w:r>
      <w:r w:rsidR="005E6847">
        <w:rPr>
          <w:bCs/>
        </w:rPr>
        <w:t xml:space="preserve">y are </w:t>
      </w:r>
      <w:r w:rsidR="00583E0B">
        <w:rPr>
          <w:bCs/>
        </w:rPr>
        <w:t>subject to Foreign Adversary Control.</w:t>
      </w:r>
      <w:r w:rsidR="00353E34">
        <w:rPr>
          <w:bCs/>
        </w:rPr>
        <w:t xml:space="preserve">  </w:t>
      </w:r>
    </w:p>
    <w:p w:rsidR="00454809" w:rsidRPr="00AB50D5" w:rsidP="00E50D44" w14:paraId="54299A01" w14:textId="7C525336">
      <w:pPr>
        <w:pStyle w:val="ListParagraph"/>
        <w:keepNext/>
        <w:numPr>
          <w:ilvl w:val="0"/>
          <w:numId w:val="21"/>
        </w:numPr>
        <w:spacing w:after="120"/>
        <w:ind w:left="1440" w:hanging="720"/>
        <w:jc w:val="both"/>
        <w:rPr>
          <w:b/>
        </w:rPr>
      </w:pPr>
      <w:r w:rsidRPr="00AB50D5">
        <w:rPr>
          <w:b/>
        </w:rPr>
        <w:t>Definitions</w:t>
      </w:r>
      <w:r w:rsidR="00937E62">
        <w:rPr>
          <w:b/>
        </w:rPr>
        <w:t xml:space="preserve"> </w:t>
      </w:r>
      <w:r w:rsidRPr="00AB50D5" w:rsidR="00AB50D5">
        <w:rPr>
          <w:b/>
        </w:rPr>
        <w:t>(47 CFR § 1.80001)</w:t>
      </w:r>
    </w:p>
    <w:p w:rsidR="00EC4068" w:rsidP="000D3FB8" w14:paraId="7A873CD4" w14:textId="725B2391">
      <w:pPr>
        <w:spacing w:after="120"/>
        <w:ind w:firstLine="720"/>
        <w:jc w:val="both"/>
        <w:rPr>
          <w:bCs/>
        </w:rPr>
      </w:pPr>
      <w:r>
        <w:rPr>
          <w:bCs/>
          <w:i/>
          <w:iCs/>
        </w:rPr>
        <w:t xml:space="preserve">(a) </w:t>
      </w:r>
      <w:r w:rsidRPr="000D3FB8" w:rsidR="00CB67BD">
        <w:rPr>
          <w:bCs/>
          <w:i/>
          <w:iCs/>
          <w:u w:val="single"/>
        </w:rPr>
        <w:t>Covered Authorization</w:t>
      </w:r>
      <w:r w:rsidR="00CB67BD">
        <w:rPr>
          <w:bCs/>
        </w:rPr>
        <w:t xml:space="preserve">. </w:t>
      </w:r>
      <w:r w:rsidR="00CB67BD">
        <w:rPr>
          <w:bCs/>
          <w:i/>
          <w:iCs/>
        </w:rPr>
        <w:t xml:space="preserve"> </w:t>
      </w:r>
      <w:r w:rsidRPr="00CB67BD" w:rsidR="00FE0DA4">
        <w:rPr>
          <w:bCs/>
        </w:rPr>
        <w:t xml:space="preserve">The </w:t>
      </w:r>
      <w:r w:rsidR="00FE0DA4">
        <w:rPr>
          <w:bCs/>
        </w:rPr>
        <w:t xml:space="preserve">Commission’s </w:t>
      </w:r>
      <w:r w:rsidR="00E37BEA">
        <w:rPr>
          <w:bCs/>
        </w:rPr>
        <w:t>f</w:t>
      </w:r>
      <w:r w:rsidR="00FE0DA4">
        <w:rPr>
          <w:bCs/>
        </w:rPr>
        <w:t xml:space="preserve">oreign </w:t>
      </w:r>
      <w:r w:rsidR="00E37BEA">
        <w:rPr>
          <w:bCs/>
        </w:rPr>
        <w:t>a</w:t>
      </w:r>
      <w:r w:rsidR="00FE0DA4">
        <w:rPr>
          <w:bCs/>
        </w:rPr>
        <w:t xml:space="preserve">dversary </w:t>
      </w:r>
      <w:r w:rsidR="00E37BEA">
        <w:rPr>
          <w:bCs/>
        </w:rPr>
        <w:t>r</w:t>
      </w:r>
      <w:r w:rsidR="00FE0DA4">
        <w:rPr>
          <w:bCs/>
        </w:rPr>
        <w:t>ules apply to each</w:t>
      </w:r>
      <w:r w:rsidR="000C54C6">
        <w:rPr>
          <w:bCs/>
        </w:rPr>
        <w:t xml:space="preserve"> Commission license, </w:t>
      </w:r>
      <w:r w:rsidR="004A58B8">
        <w:rPr>
          <w:bCs/>
        </w:rPr>
        <w:t xml:space="preserve">lease, </w:t>
      </w:r>
      <w:r w:rsidRPr="00561694" w:rsidR="000C54C6">
        <w:rPr>
          <w:bCs/>
        </w:rPr>
        <w:t>authorization, permit, grant, and other approval</w:t>
      </w:r>
      <w:r w:rsidRPr="00561694" w:rsidR="00965E9F">
        <w:rPr>
          <w:bCs/>
        </w:rPr>
        <w:t xml:space="preserve">, which appear on the Schedules </w:t>
      </w:r>
      <w:r w:rsidR="008457A0">
        <w:rPr>
          <w:bCs/>
        </w:rPr>
        <w:t xml:space="preserve">listed </w:t>
      </w:r>
      <w:r w:rsidRPr="00561694" w:rsidR="00965E9F">
        <w:rPr>
          <w:bCs/>
        </w:rPr>
        <w:t xml:space="preserve">in </w:t>
      </w:r>
      <w:r w:rsidRPr="00561694" w:rsidR="00561694">
        <w:rPr>
          <w:bCs/>
        </w:rPr>
        <w:t>47 CFR §</w:t>
      </w:r>
      <w:r w:rsidR="00CF03F3">
        <w:rPr>
          <w:bCs/>
        </w:rPr>
        <w:t> </w:t>
      </w:r>
      <w:r w:rsidRPr="00561694" w:rsidR="00561694">
        <w:rPr>
          <w:bCs/>
        </w:rPr>
        <w:t>1.80002</w:t>
      </w:r>
      <w:r w:rsidR="000C54C6">
        <w:rPr>
          <w:bCs/>
        </w:rPr>
        <w:t xml:space="preserve">.  Together, these are referenced in the rules as </w:t>
      </w:r>
      <w:r w:rsidR="00FE0DA4">
        <w:rPr>
          <w:bCs/>
        </w:rPr>
        <w:t>Covered Authorization</w:t>
      </w:r>
      <w:r w:rsidR="000C54C6">
        <w:rPr>
          <w:bCs/>
        </w:rPr>
        <w:t>s.</w:t>
      </w:r>
      <w:r w:rsidR="00C16C18">
        <w:rPr>
          <w:bCs/>
        </w:rPr>
        <w:t xml:space="preserve">  </w:t>
      </w:r>
    </w:p>
    <w:p w:rsidR="008278E4" w:rsidP="009A57C2" w14:paraId="29A81116" w14:textId="03741E07">
      <w:pPr>
        <w:widowControl/>
        <w:spacing w:after="120"/>
        <w:ind w:firstLine="720"/>
        <w:jc w:val="both"/>
        <w:rPr>
          <w:bCs/>
        </w:rPr>
      </w:pPr>
      <w:r>
        <w:rPr>
          <w:bCs/>
          <w:i/>
          <w:iCs/>
        </w:rPr>
        <w:t xml:space="preserve">(b) </w:t>
      </w:r>
      <w:r w:rsidRPr="000D3FB8" w:rsidR="00CB67BD">
        <w:rPr>
          <w:bCs/>
          <w:i/>
          <w:iCs/>
          <w:u w:val="single"/>
        </w:rPr>
        <w:t>Foreign Adversary</w:t>
      </w:r>
      <w:r w:rsidR="00CB67BD">
        <w:rPr>
          <w:bCs/>
        </w:rPr>
        <w:t>.</w:t>
      </w:r>
      <w:r w:rsidR="00561694">
        <w:rPr>
          <w:bCs/>
        </w:rPr>
        <w:t xml:space="preserve">  </w:t>
      </w:r>
      <w:r w:rsidR="001965B7">
        <w:rPr>
          <w:bCs/>
        </w:rPr>
        <w:t xml:space="preserve">The term Foreign Adversary </w:t>
      </w:r>
      <w:r w:rsidR="00134F25">
        <w:rPr>
          <w:bCs/>
        </w:rPr>
        <w:t>means any foreign government or foreign non-government person determined by the Secretary of Commerce</w:t>
      </w:r>
      <w:r w:rsidR="00F7168A">
        <w:rPr>
          <w:bCs/>
        </w:rPr>
        <w:t>, pursuant to Executive Order 13873 of May 15, 2019, to have engaged in a long-term pattern or serious instances of conduct significantly adverse to the national security of the United States o</w:t>
      </w:r>
      <w:r w:rsidR="009235F0">
        <w:rPr>
          <w:bCs/>
        </w:rPr>
        <w:t xml:space="preserve">r security and safety of United States persons.  The Secretary of Commerce </w:t>
      </w:r>
      <w:r w:rsidR="00B06B5F">
        <w:rPr>
          <w:bCs/>
        </w:rPr>
        <w:t>has</w:t>
      </w:r>
      <w:r w:rsidR="00E4234A">
        <w:rPr>
          <w:bCs/>
        </w:rPr>
        <w:t xml:space="preserve"> currently</w:t>
      </w:r>
      <w:r w:rsidR="00B06B5F">
        <w:rPr>
          <w:bCs/>
        </w:rPr>
        <w:t xml:space="preserve"> </w:t>
      </w:r>
      <w:r w:rsidR="00481419">
        <w:rPr>
          <w:bCs/>
        </w:rPr>
        <w:t>determined that</w:t>
      </w:r>
      <w:r w:rsidR="00B06B5F">
        <w:rPr>
          <w:bCs/>
        </w:rPr>
        <w:t xml:space="preserve"> </w:t>
      </w:r>
      <w:r w:rsidR="00481419">
        <w:rPr>
          <w:bCs/>
        </w:rPr>
        <w:t xml:space="preserve">the following </w:t>
      </w:r>
      <w:r w:rsidR="00B06B5F">
        <w:rPr>
          <w:bCs/>
        </w:rPr>
        <w:t xml:space="preserve">foreign </w:t>
      </w:r>
      <w:r w:rsidR="00481419">
        <w:rPr>
          <w:bCs/>
        </w:rPr>
        <w:t>governments and non-government persons a</w:t>
      </w:r>
      <w:r w:rsidR="00E4234A">
        <w:rPr>
          <w:bCs/>
        </w:rPr>
        <w:t>re</w:t>
      </w:r>
      <w:r w:rsidR="00481419">
        <w:rPr>
          <w:bCs/>
        </w:rPr>
        <w:t xml:space="preserve"> Foreign Adversaries:</w:t>
      </w:r>
      <w:r>
        <w:rPr>
          <w:rStyle w:val="FootnoteReference"/>
          <w:bCs/>
        </w:rPr>
        <w:footnoteReference w:id="6"/>
      </w:r>
      <w:r>
        <w:rPr>
          <w:bCs/>
        </w:rPr>
        <w:t xml:space="preserve">  </w:t>
      </w:r>
    </w:p>
    <w:p w:rsidR="008278E4" w:rsidP="000D3FB8" w14:paraId="2DE4E7D3" w14:textId="651B6807">
      <w:pPr>
        <w:pStyle w:val="ListParagraph"/>
        <w:numPr>
          <w:ilvl w:val="0"/>
          <w:numId w:val="23"/>
        </w:numPr>
        <w:spacing w:after="120"/>
        <w:jc w:val="both"/>
        <w:rPr>
          <w:bCs/>
        </w:rPr>
      </w:pPr>
      <w:r>
        <w:rPr>
          <w:bCs/>
        </w:rPr>
        <w:t>The People’s Republic of China, including Hong Kong Special Administrative Region and the Macau Special Administrative Region (China);</w:t>
      </w:r>
    </w:p>
    <w:p w:rsidR="008278E4" w:rsidP="000D3FB8" w14:paraId="618F21F1" w14:textId="3ED1C59D">
      <w:pPr>
        <w:pStyle w:val="ListParagraph"/>
        <w:numPr>
          <w:ilvl w:val="0"/>
          <w:numId w:val="23"/>
        </w:numPr>
        <w:spacing w:after="120"/>
        <w:jc w:val="both"/>
        <w:rPr>
          <w:bCs/>
        </w:rPr>
      </w:pPr>
      <w:r>
        <w:rPr>
          <w:bCs/>
        </w:rPr>
        <w:t>Republic of Cuba (Cuba);</w:t>
      </w:r>
    </w:p>
    <w:p w:rsidR="008278E4" w:rsidP="000D3FB8" w14:paraId="4523DB77" w14:textId="1E920D10">
      <w:pPr>
        <w:pStyle w:val="ListParagraph"/>
        <w:numPr>
          <w:ilvl w:val="0"/>
          <w:numId w:val="23"/>
        </w:numPr>
        <w:spacing w:after="120"/>
        <w:jc w:val="both"/>
        <w:rPr>
          <w:bCs/>
        </w:rPr>
      </w:pPr>
      <w:r>
        <w:rPr>
          <w:bCs/>
        </w:rPr>
        <w:t>Islamic Republic of Iran (</w:t>
      </w:r>
      <w:r w:rsidR="00CF03F3">
        <w:rPr>
          <w:bCs/>
        </w:rPr>
        <w:t>Iran</w:t>
      </w:r>
      <w:r>
        <w:rPr>
          <w:bCs/>
        </w:rPr>
        <w:t>);</w:t>
      </w:r>
    </w:p>
    <w:p w:rsidR="008278E4" w:rsidP="000D3FB8" w14:paraId="071FA7C1" w14:textId="7AD56899">
      <w:pPr>
        <w:pStyle w:val="ListParagraph"/>
        <w:numPr>
          <w:ilvl w:val="0"/>
          <w:numId w:val="23"/>
        </w:numPr>
        <w:spacing w:after="120"/>
        <w:jc w:val="both"/>
        <w:rPr>
          <w:bCs/>
        </w:rPr>
      </w:pPr>
      <w:r>
        <w:rPr>
          <w:bCs/>
        </w:rPr>
        <w:t>Democratic People’s Republic of Korea (North Korea);</w:t>
      </w:r>
    </w:p>
    <w:p w:rsidR="008278E4" w:rsidP="000D3FB8" w14:paraId="61558D71" w14:textId="512A7C5E">
      <w:pPr>
        <w:pStyle w:val="ListParagraph"/>
        <w:numPr>
          <w:ilvl w:val="0"/>
          <w:numId w:val="23"/>
        </w:numPr>
        <w:spacing w:after="120"/>
        <w:jc w:val="both"/>
        <w:rPr>
          <w:bCs/>
        </w:rPr>
      </w:pPr>
      <w:r>
        <w:rPr>
          <w:bCs/>
        </w:rPr>
        <w:t>Russian Federation (Russia);</w:t>
      </w:r>
    </w:p>
    <w:p w:rsidR="008278E4" w:rsidRPr="008278E4" w:rsidP="000D3FB8" w14:paraId="0F516B1A" w14:textId="0CA96911">
      <w:pPr>
        <w:pStyle w:val="ListParagraph"/>
        <w:numPr>
          <w:ilvl w:val="0"/>
          <w:numId w:val="23"/>
        </w:numPr>
        <w:spacing w:after="120"/>
        <w:jc w:val="both"/>
        <w:rPr>
          <w:bCs/>
        </w:rPr>
      </w:pPr>
      <w:r>
        <w:rPr>
          <w:bCs/>
        </w:rPr>
        <w:t>Venezuelan politician Nicol</w:t>
      </w:r>
      <w:r w:rsidRPr="008B2E12" w:rsidR="008B2E12">
        <w:rPr>
          <w:bCs/>
        </w:rPr>
        <w:t>á</w:t>
      </w:r>
      <w:r w:rsidR="008B2E12">
        <w:rPr>
          <w:bCs/>
        </w:rPr>
        <w:t>s Maduro (Maduro Regime).</w:t>
      </w:r>
    </w:p>
    <w:p w:rsidR="00A046E1" w:rsidRPr="00A046E1" w:rsidP="000D3FB8" w14:paraId="2E9DA010" w14:textId="22A7AF06">
      <w:pPr>
        <w:spacing w:after="120"/>
        <w:ind w:firstLine="720"/>
        <w:jc w:val="both"/>
        <w:rPr>
          <w:bCs/>
        </w:rPr>
      </w:pPr>
      <w:r>
        <w:rPr>
          <w:bCs/>
          <w:i/>
          <w:iCs/>
        </w:rPr>
        <w:t>(</w:t>
      </w:r>
      <w:r w:rsidR="00B82D36">
        <w:rPr>
          <w:bCs/>
          <w:i/>
          <w:iCs/>
        </w:rPr>
        <w:t>c</w:t>
      </w:r>
      <w:r>
        <w:rPr>
          <w:bCs/>
          <w:i/>
          <w:iCs/>
        </w:rPr>
        <w:t xml:space="preserve">) </w:t>
      </w:r>
      <w:r w:rsidRPr="000D3FB8">
        <w:rPr>
          <w:bCs/>
          <w:i/>
          <w:iCs/>
          <w:u w:val="single"/>
        </w:rPr>
        <w:t>Licensing Bureau</w:t>
      </w:r>
      <w:r w:rsidRPr="000D3FB8" w:rsidR="000A744C">
        <w:rPr>
          <w:bCs/>
          <w:i/>
          <w:iCs/>
          <w:u w:val="single"/>
        </w:rPr>
        <w:t>s</w:t>
      </w:r>
      <w:r w:rsidRPr="000D3FB8">
        <w:rPr>
          <w:bCs/>
          <w:i/>
          <w:iCs/>
          <w:u w:val="single"/>
        </w:rPr>
        <w:t xml:space="preserve"> and Offices</w:t>
      </w:r>
      <w:r>
        <w:rPr>
          <w:bCs/>
        </w:rPr>
        <w:t>.</w:t>
      </w:r>
      <w:r w:rsidR="00C17D26">
        <w:rPr>
          <w:bCs/>
        </w:rPr>
        <w:t xml:space="preserve">  </w:t>
      </w:r>
      <w:r w:rsidR="00247B54">
        <w:rPr>
          <w:bCs/>
        </w:rPr>
        <w:t>The term Licensing Bureau</w:t>
      </w:r>
      <w:r w:rsidR="000A744C">
        <w:rPr>
          <w:bCs/>
        </w:rPr>
        <w:t>s</w:t>
      </w:r>
      <w:r w:rsidR="00247B54">
        <w:rPr>
          <w:bCs/>
        </w:rPr>
        <w:t xml:space="preserve"> </w:t>
      </w:r>
      <w:r w:rsidR="000A744C">
        <w:rPr>
          <w:bCs/>
        </w:rPr>
        <w:t xml:space="preserve">and Offices refer to </w:t>
      </w:r>
      <w:r w:rsidR="00D4387B">
        <w:rPr>
          <w:bCs/>
        </w:rPr>
        <w:t>a FCC Bureau o</w:t>
      </w:r>
      <w:r w:rsidR="00433AA6">
        <w:rPr>
          <w:bCs/>
        </w:rPr>
        <w:t>r</w:t>
      </w:r>
      <w:r w:rsidR="00D4387B">
        <w:rPr>
          <w:bCs/>
        </w:rPr>
        <w:t xml:space="preserve"> Office that grants a Covered Authorization.</w:t>
      </w:r>
      <w:r w:rsidR="00B0401E">
        <w:rPr>
          <w:bCs/>
        </w:rPr>
        <w:t xml:space="preserve">  These include the Consumer and Governmental Affairs Bureau, Media Bureau, Public Safety and Homeland Security Bureau, Space Bureau, Wireless Telecommunications Bureau, Wireline Competition Bureau, Office of Economics and Analytics, Office of Engineering and Technology, and Office of International Affairs.</w:t>
      </w:r>
    </w:p>
    <w:p w:rsidR="00CB67BD" w:rsidP="000D3FB8" w14:paraId="60F105FA" w14:textId="71210144">
      <w:pPr>
        <w:spacing w:after="120"/>
        <w:ind w:firstLine="720"/>
        <w:jc w:val="both"/>
        <w:rPr>
          <w:bCs/>
        </w:rPr>
      </w:pPr>
      <w:r>
        <w:rPr>
          <w:bCs/>
          <w:i/>
          <w:iCs/>
        </w:rPr>
        <w:t>(</w:t>
      </w:r>
      <w:r w:rsidR="00B82D36">
        <w:rPr>
          <w:bCs/>
          <w:i/>
          <w:iCs/>
        </w:rPr>
        <w:t>d</w:t>
      </w:r>
      <w:r>
        <w:rPr>
          <w:bCs/>
          <w:i/>
          <w:iCs/>
        </w:rPr>
        <w:t xml:space="preserve">) </w:t>
      </w:r>
      <w:r w:rsidRPr="000D3FB8">
        <w:rPr>
          <w:bCs/>
          <w:i/>
          <w:iCs/>
          <w:u w:val="single"/>
        </w:rPr>
        <w:t>Owned by, controlled by, or subject to the jurisdiction or direction of a foreign adversary</w:t>
      </w:r>
      <w:r>
        <w:rPr>
          <w:bCs/>
        </w:rPr>
        <w:t>.</w:t>
      </w:r>
      <w:r w:rsidR="00145445">
        <w:rPr>
          <w:bCs/>
        </w:rPr>
        <w:t xml:space="preserve">  </w:t>
      </w:r>
      <w:r w:rsidR="001F5962">
        <w:rPr>
          <w:bCs/>
        </w:rPr>
        <w:t xml:space="preserve">This term describes </w:t>
      </w:r>
      <w:r w:rsidR="00F605AF">
        <w:rPr>
          <w:bCs/>
        </w:rPr>
        <w:t xml:space="preserve">the </w:t>
      </w:r>
      <w:r w:rsidR="001F5962">
        <w:rPr>
          <w:bCs/>
        </w:rPr>
        <w:t xml:space="preserve">scenarios in which an individual or entity would </w:t>
      </w:r>
      <w:r w:rsidR="00F00959">
        <w:rPr>
          <w:bCs/>
        </w:rPr>
        <w:t xml:space="preserve">be </w:t>
      </w:r>
      <w:r w:rsidR="0071486C">
        <w:rPr>
          <w:bCs/>
        </w:rPr>
        <w:t xml:space="preserve">considered as being </w:t>
      </w:r>
      <w:r w:rsidR="00F00959">
        <w:rPr>
          <w:bCs/>
        </w:rPr>
        <w:t xml:space="preserve">subject to </w:t>
      </w:r>
      <w:r w:rsidR="00F71C71">
        <w:rPr>
          <w:bCs/>
        </w:rPr>
        <w:t>Foreign Adversary Control</w:t>
      </w:r>
      <w:r w:rsidR="00D15556">
        <w:rPr>
          <w:bCs/>
        </w:rPr>
        <w:t>:</w:t>
      </w:r>
      <w:r>
        <w:rPr>
          <w:rStyle w:val="FootnoteReference"/>
          <w:bCs/>
        </w:rPr>
        <w:footnoteReference w:id="7"/>
      </w:r>
    </w:p>
    <w:p w:rsidR="00F71C71" w:rsidP="000D3FB8" w14:paraId="643B1D3A" w14:textId="07153034">
      <w:pPr>
        <w:pStyle w:val="ListParagraph"/>
        <w:numPr>
          <w:ilvl w:val="0"/>
          <w:numId w:val="24"/>
        </w:numPr>
        <w:spacing w:after="120"/>
        <w:jc w:val="both"/>
        <w:rPr>
          <w:bCs/>
        </w:rPr>
      </w:pPr>
      <w:r w:rsidRPr="0067158E">
        <w:rPr>
          <w:bCs/>
        </w:rPr>
        <w:t>Any individual or entity, wherever located, who acts as an agent, representative, or employee, or any person who acts in any other capacity at the order, request, or under the direction or</w:t>
      </w:r>
      <w:r>
        <w:rPr>
          <w:bCs/>
        </w:rPr>
        <w:t xml:space="preserve"> </w:t>
      </w:r>
      <w:r w:rsidRPr="0067158E">
        <w:rPr>
          <w:bCs/>
        </w:rPr>
        <w:t>control, of a foreign adversary or of an individual or entity whose activities are directly or</w:t>
      </w:r>
      <w:r>
        <w:rPr>
          <w:bCs/>
        </w:rPr>
        <w:t xml:space="preserve"> </w:t>
      </w:r>
      <w:r w:rsidRPr="0067158E">
        <w:rPr>
          <w:bCs/>
        </w:rPr>
        <w:t>indirectly supervised, directed, controlled, financed, or subsidized in whole or in majority</w:t>
      </w:r>
      <w:r>
        <w:rPr>
          <w:bCs/>
        </w:rPr>
        <w:t xml:space="preserve"> </w:t>
      </w:r>
      <w:r w:rsidRPr="0067158E">
        <w:rPr>
          <w:bCs/>
        </w:rPr>
        <w:t>part by a foreign adversary;</w:t>
      </w:r>
    </w:p>
    <w:p w:rsidR="0067158E" w:rsidRPr="0076022E" w:rsidP="000D3FB8" w14:paraId="014D7293" w14:textId="5084B107">
      <w:pPr>
        <w:pStyle w:val="ListParagraph"/>
        <w:numPr>
          <w:ilvl w:val="0"/>
          <w:numId w:val="24"/>
        </w:numPr>
        <w:spacing w:after="120"/>
        <w:jc w:val="both"/>
        <w:rPr>
          <w:bCs/>
        </w:rPr>
      </w:pPr>
      <w:r w:rsidRPr="0076022E">
        <w:rPr>
          <w:rFonts w:ascii="TimesNewRomanPSMT" w:hAnsi="TimesNewRomanPSMT" w:cs="TimesNewRomanPSMT"/>
        </w:rPr>
        <w:t>Any individual, wherever located, who is a citizen of a foreign adversary or a country</w:t>
      </w:r>
      <w:r>
        <w:rPr>
          <w:rFonts w:ascii="TimesNewRomanPSMT" w:hAnsi="TimesNewRomanPSMT" w:cs="TimesNewRomanPSMT"/>
        </w:rPr>
        <w:t xml:space="preserve"> </w:t>
      </w:r>
      <w:r w:rsidRPr="0076022E">
        <w:rPr>
          <w:rFonts w:ascii="TimesNewRomanPSMT" w:hAnsi="TimesNewRomanPSMT" w:cs="TimesNewRomanPSMT"/>
        </w:rPr>
        <w:t>controlled by a foreign adversary, and is not a United States citizen or permanent resident of</w:t>
      </w:r>
      <w:r>
        <w:rPr>
          <w:rFonts w:ascii="TimesNewRomanPSMT" w:hAnsi="TimesNewRomanPSMT" w:cs="TimesNewRomanPSMT"/>
        </w:rPr>
        <w:t xml:space="preserve"> </w:t>
      </w:r>
      <w:r w:rsidRPr="0076022E">
        <w:rPr>
          <w:rFonts w:ascii="TimesNewRomanPSMT" w:hAnsi="TimesNewRomanPSMT" w:cs="TimesNewRomanPSMT"/>
        </w:rPr>
        <w:t>the United States;</w:t>
      </w:r>
    </w:p>
    <w:p w:rsidR="00D15556" w:rsidP="000D3FB8" w14:paraId="271A399B" w14:textId="77777777">
      <w:pPr>
        <w:pStyle w:val="ListParagraph"/>
        <w:numPr>
          <w:ilvl w:val="0"/>
          <w:numId w:val="24"/>
        </w:numPr>
        <w:autoSpaceDE w:val="0"/>
        <w:autoSpaceDN w:val="0"/>
        <w:adjustRightInd w:val="0"/>
        <w:spacing w:after="120"/>
        <w:jc w:val="both"/>
        <w:rPr>
          <w:rFonts w:ascii="TimesNewRomanPSMT" w:hAnsi="TimesNewRomanPSMT" w:cs="TimesNewRomanPSMT"/>
        </w:rPr>
      </w:pPr>
      <w:r w:rsidRPr="00D15556">
        <w:rPr>
          <w:rFonts w:ascii="TimesNewRomanPSMT" w:hAnsi="TimesNewRomanPSMT" w:cs="TimesNewRomanPSMT"/>
        </w:rPr>
        <w:t>Any entity, including a corporation, partnership, association, or other organization, that has a principal place of business in, or is headquartered in, incorporated in, or otherwise organized under the laws of a foreign adversary or a country controlled by a foreign adversary; or</w:t>
      </w:r>
    </w:p>
    <w:p w:rsidR="0076022E" w:rsidP="000D3FB8" w14:paraId="616A6DBA" w14:textId="5E867EE3">
      <w:pPr>
        <w:pStyle w:val="ListParagraph"/>
        <w:numPr>
          <w:ilvl w:val="0"/>
          <w:numId w:val="24"/>
        </w:numPr>
        <w:autoSpaceDE w:val="0"/>
        <w:autoSpaceDN w:val="0"/>
        <w:adjustRightInd w:val="0"/>
        <w:spacing w:after="120"/>
        <w:contextualSpacing w:val="0"/>
        <w:jc w:val="both"/>
        <w:rPr>
          <w:rFonts w:ascii="TimesNewRomanPSMT" w:hAnsi="TimesNewRomanPSMT" w:cs="TimesNewRomanPSMT"/>
        </w:rPr>
      </w:pPr>
      <w:r w:rsidRPr="00D15556">
        <w:rPr>
          <w:rFonts w:ascii="TimesNewRomanPSMT" w:hAnsi="TimesNewRomanPSMT" w:cs="TimesNewRomanPSMT"/>
        </w:rPr>
        <w:t>Any entity, including a corporation, partnership, association, or other organization, wherever organized or doing business, that is owned or controlled by a foreign adversary, to include circumstances in which any person identified in paragraphs (1) through (3) of this section possesses the power, direct or indirect, whether or not exercised, through the ownership of a</w:t>
      </w:r>
      <w:r>
        <w:rPr>
          <w:rFonts w:ascii="TimesNewRomanPSMT" w:hAnsi="TimesNewRomanPSMT" w:cs="TimesNewRomanPSMT"/>
        </w:rPr>
        <w:t xml:space="preserve"> </w:t>
      </w:r>
      <w:r w:rsidRPr="00D15556">
        <w:rPr>
          <w:rFonts w:ascii="TimesNewRomanPSMT" w:hAnsi="TimesNewRomanPSMT" w:cs="TimesNewRomanPSMT"/>
        </w:rPr>
        <w:t>majority or a dominant minority (10% or greater) of the total outstanding voting interest</w:t>
      </w:r>
      <w:r>
        <w:rPr>
          <w:rFonts w:ascii="TimesNewRomanPSMT" w:hAnsi="TimesNewRomanPSMT" w:cs="TimesNewRomanPSMT"/>
        </w:rPr>
        <w:t xml:space="preserve"> </w:t>
      </w:r>
      <w:r w:rsidRPr="00D15556">
        <w:rPr>
          <w:rFonts w:ascii="TimesNewRomanPSMT" w:hAnsi="TimesNewRomanPSMT" w:cs="TimesNewRomanPSMT"/>
        </w:rPr>
        <w:t>and/or equity interest, or through a controlling interest, in an entity, board representation,</w:t>
      </w:r>
      <w:r>
        <w:rPr>
          <w:rFonts w:ascii="TimesNewRomanPSMT" w:hAnsi="TimesNewRomanPSMT" w:cs="TimesNewRomanPSMT"/>
        </w:rPr>
        <w:t xml:space="preserve"> </w:t>
      </w:r>
      <w:r w:rsidRPr="00D15556">
        <w:rPr>
          <w:rFonts w:ascii="TimesNewRomanPSMT" w:hAnsi="TimesNewRomanPSMT" w:cs="TimesNewRomanPSMT"/>
        </w:rPr>
        <w:t>proxy voting, a special share, contractual arrangements, formal or informal arrangements to</w:t>
      </w:r>
      <w:r>
        <w:rPr>
          <w:rFonts w:ascii="TimesNewRomanPSMT" w:hAnsi="TimesNewRomanPSMT" w:cs="TimesNewRomanPSMT"/>
        </w:rPr>
        <w:t xml:space="preserve"> </w:t>
      </w:r>
      <w:r w:rsidRPr="00D15556">
        <w:rPr>
          <w:rFonts w:ascii="TimesNewRomanPSMT" w:hAnsi="TimesNewRomanPSMT" w:cs="TimesNewRomanPSMT"/>
        </w:rPr>
        <w:t>act in concert, or other means, to determine, direct, or decide important matters affecting an</w:t>
      </w:r>
      <w:r>
        <w:rPr>
          <w:rFonts w:ascii="TimesNewRomanPSMT" w:hAnsi="TimesNewRomanPSMT" w:cs="TimesNewRomanPSMT"/>
        </w:rPr>
        <w:t xml:space="preserve"> </w:t>
      </w:r>
      <w:r w:rsidRPr="00D15556">
        <w:rPr>
          <w:rFonts w:ascii="TimesNewRomanPSMT" w:hAnsi="TimesNewRomanPSMT" w:cs="TimesNewRomanPSMT"/>
        </w:rPr>
        <w:t>entity.</w:t>
      </w:r>
    </w:p>
    <w:p w:rsidR="00CB67BD" w:rsidP="000D3FB8" w14:paraId="4619A700" w14:textId="1EF0BE88">
      <w:pPr>
        <w:spacing w:after="120"/>
        <w:ind w:firstLine="720"/>
        <w:jc w:val="both"/>
        <w:rPr>
          <w:bCs/>
        </w:rPr>
      </w:pPr>
      <w:r>
        <w:rPr>
          <w:bCs/>
          <w:i/>
          <w:iCs/>
        </w:rPr>
        <w:t>(</w:t>
      </w:r>
      <w:r w:rsidR="00B82D36">
        <w:rPr>
          <w:bCs/>
          <w:i/>
          <w:iCs/>
        </w:rPr>
        <w:t>e</w:t>
      </w:r>
      <w:r>
        <w:rPr>
          <w:bCs/>
          <w:i/>
          <w:iCs/>
        </w:rPr>
        <w:t xml:space="preserve">) </w:t>
      </w:r>
      <w:r w:rsidRPr="000D3FB8">
        <w:rPr>
          <w:bCs/>
          <w:i/>
          <w:iCs/>
          <w:u w:val="single"/>
        </w:rPr>
        <w:t>Regulatee</w:t>
      </w:r>
      <w:r>
        <w:rPr>
          <w:bCs/>
        </w:rPr>
        <w:t>.</w:t>
      </w:r>
      <w:r w:rsidR="00F13660">
        <w:rPr>
          <w:bCs/>
        </w:rPr>
        <w:t xml:space="preserve">  </w:t>
      </w:r>
      <w:r w:rsidR="00B8034E">
        <w:rPr>
          <w:bCs/>
        </w:rPr>
        <w:t xml:space="preserve">The term </w:t>
      </w:r>
      <w:r w:rsidR="00B8034E">
        <w:rPr>
          <w:bCs/>
        </w:rPr>
        <w:t>Regula</w:t>
      </w:r>
      <w:r w:rsidR="008A2BCD">
        <w:rPr>
          <w:bCs/>
        </w:rPr>
        <w:t>tee</w:t>
      </w:r>
      <w:r w:rsidR="008A2BCD">
        <w:rPr>
          <w:bCs/>
        </w:rPr>
        <w:t xml:space="preserve"> refers to the holder of</w:t>
      </w:r>
      <w:r w:rsidR="001F295E">
        <w:rPr>
          <w:bCs/>
        </w:rPr>
        <w:t>, or applicant for,</w:t>
      </w:r>
      <w:r w:rsidR="008A2BCD">
        <w:rPr>
          <w:bCs/>
        </w:rPr>
        <w:t xml:space="preserve"> a Covered Authorization.</w:t>
      </w:r>
    </w:p>
    <w:p w:rsidR="00CB67BD" w:rsidP="000D3FB8" w14:paraId="5A673E8F" w14:textId="302B8C34">
      <w:pPr>
        <w:spacing w:after="120"/>
        <w:ind w:firstLine="720"/>
        <w:jc w:val="both"/>
        <w:rPr>
          <w:bCs/>
        </w:rPr>
      </w:pPr>
      <w:r>
        <w:rPr>
          <w:bCs/>
          <w:i/>
          <w:iCs/>
        </w:rPr>
        <w:t>(</w:t>
      </w:r>
      <w:r w:rsidR="00B82D36">
        <w:rPr>
          <w:bCs/>
          <w:i/>
          <w:iCs/>
        </w:rPr>
        <w:t>f</w:t>
      </w:r>
      <w:r>
        <w:rPr>
          <w:bCs/>
          <w:i/>
          <w:iCs/>
        </w:rPr>
        <w:t xml:space="preserve">) </w:t>
      </w:r>
      <w:r w:rsidRPr="000D3FB8">
        <w:rPr>
          <w:bCs/>
          <w:i/>
          <w:iCs/>
          <w:u w:val="single"/>
        </w:rPr>
        <w:t>Schedule</w:t>
      </w:r>
      <w:r>
        <w:rPr>
          <w:bCs/>
        </w:rPr>
        <w:t>.</w:t>
      </w:r>
      <w:r w:rsidR="008A2BCD">
        <w:rPr>
          <w:bCs/>
        </w:rPr>
        <w:t xml:space="preserve">  The term Schedule refers to the groups of Covered Authorizations described </w:t>
      </w:r>
      <w:r w:rsidR="00002525">
        <w:rPr>
          <w:bCs/>
        </w:rPr>
        <w:t xml:space="preserve">in 47 CFR </w:t>
      </w:r>
      <w:r w:rsidRPr="00441CD6" w:rsidR="00002525">
        <w:rPr>
          <w:bCs/>
        </w:rPr>
        <w:t>§</w:t>
      </w:r>
      <w:r w:rsidR="00002525">
        <w:rPr>
          <w:bCs/>
        </w:rPr>
        <w:t xml:space="preserve"> 1.80002</w:t>
      </w:r>
      <w:r w:rsidR="008A2BCD">
        <w:rPr>
          <w:bCs/>
        </w:rPr>
        <w:t>.</w:t>
      </w:r>
    </w:p>
    <w:p w:rsidR="00CB67BD" w:rsidP="000D00CF" w14:paraId="4EEEB7CE" w14:textId="654FE568">
      <w:pPr>
        <w:widowControl/>
        <w:spacing w:after="120"/>
        <w:ind w:firstLine="720"/>
        <w:jc w:val="both"/>
        <w:rPr>
          <w:bCs/>
        </w:rPr>
      </w:pPr>
      <w:r>
        <w:rPr>
          <w:bCs/>
          <w:i/>
          <w:iCs/>
        </w:rPr>
        <w:t>(</w:t>
      </w:r>
      <w:r w:rsidR="00B82D36">
        <w:rPr>
          <w:bCs/>
          <w:i/>
          <w:iCs/>
        </w:rPr>
        <w:t>g</w:t>
      </w:r>
      <w:r>
        <w:rPr>
          <w:bCs/>
          <w:i/>
          <w:iCs/>
        </w:rPr>
        <w:t xml:space="preserve">) </w:t>
      </w:r>
      <w:r w:rsidRPr="000D3FB8">
        <w:rPr>
          <w:bCs/>
          <w:i/>
          <w:iCs/>
          <w:u w:val="single"/>
        </w:rPr>
        <w:t>Small entity</w:t>
      </w:r>
      <w:r>
        <w:rPr>
          <w:bCs/>
        </w:rPr>
        <w:t>.</w:t>
      </w:r>
      <w:r w:rsidR="008A2BCD">
        <w:rPr>
          <w:bCs/>
        </w:rPr>
        <w:t xml:space="preserve">  The term Small Entity means a </w:t>
      </w:r>
      <w:r w:rsidR="008A2BCD">
        <w:rPr>
          <w:bCs/>
        </w:rPr>
        <w:t>Regulatee</w:t>
      </w:r>
      <w:r w:rsidR="008A2BCD">
        <w:rPr>
          <w:bCs/>
        </w:rPr>
        <w:t xml:space="preserve"> </w:t>
      </w:r>
      <w:r w:rsidR="00A976C6">
        <w:rPr>
          <w:bCs/>
        </w:rPr>
        <w:t xml:space="preserve">that is within the small size </w:t>
      </w:r>
      <w:r w:rsidR="0004206C">
        <w:rPr>
          <w:bCs/>
        </w:rPr>
        <w:t xml:space="preserve">business </w:t>
      </w:r>
      <w:r w:rsidR="00A976C6">
        <w:rPr>
          <w:bCs/>
        </w:rPr>
        <w:t xml:space="preserve">standards </w:t>
      </w:r>
      <w:r w:rsidR="0004206C">
        <w:rPr>
          <w:bCs/>
        </w:rPr>
        <w:t xml:space="preserve">as </w:t>
      </w:r>
      <w:r w:rsidR="000008ED">
        <w:rPr>
          <w:bCs/>
        </w:rPr>
        <w:t>described by the Small Business Administration in 13 CFR</w:t>
      </w:r>
      <w:r w:rsidR="00A976C6">
        <w:rPr>
          <w:bCs/>
        </w:rPr>
        <w:t xml:space="preserve"> </w:t>
      </w:r>
      <w:r w:rsidRPr="00152366" w:rsidR="000008ED">
        <w:rPr>
          <w:bCs/>
        </w:rPr>
        <w:t>§</w:t>
      </w:r>
      <w:r w:rsidR="000008ED">
        <w:rPr>
          <w:bCs/>
        </w:rPr>
        <w:t xml:space="preserve"> 121.201.</w:t>
      </w:r>
    </w:p>
    <w:p w:rsidR="00A21806" w:rsidRPr="00C66D6C" w:rsidP="009A57C2" w14:paraId="2D72CB43" w14:textId="32FD9138">
      <w:pPr>
        <w:pStyle w:val="ListParagraph"/>
        <w:numPr>
          <w:ilvl w:val="0"/>
          <w:numId w:val="21"/>
        </w:numPr>
        <w:spacing w:after="120"/>
        <w:ind w:left="1440" w:hanging="720"/>
        <w:jc w:val="both"/>
        <w:rPr>
          <w:b/>
        </w:rPr>
      </w:pPr>
      <w:r w:rsidRPr="00C66D6C">
        <w:rPr>
          <w:b/>
        </w:rPr>
        <w:t>Schedules of Covered Authorizations that are Subject to Foreign Adversary Control Rules (47 CFR § 1.80002)</w:t>
      </w:r>
    </w:p>
    <w:p w:rsidR="006A3090" w:rsidP="000D3FB8" w14:paraId="43CF8F2F" w14:textId="601AB993">
      <w:pPr>
        <w:spacing w:after="120"/>
        <w:ind w:firstLine="720"/>
        <w:jc w:val="both"/>
        <w:rPr>
          <w:bCs/>
        </w:rPr>
      </w:pPr>
      <w:r>
        <w:rPr>
          <w:bCs/>
        </w:rPr>
        <w:t>Covered Authorizations are categorized into</w:t>
      </w:r>
      <w:r w:rsidR="00163488">
        <w:rPr>
          <w:bCs/>
        </w:rPr>
        <w:t xml:space="preserve"> Schedule A, Schedule B, and Schedule C.</w:t>
      </w:r>
      <w:r w:rsidR="001E0F34">
        <w:rPr>
          <w:bCs/>
        </w:rPr>
        <w:t xml:space="preserve">  </w:t>
      </w:r>
      <w:r w:rsidR="00C03A1D">
        <w:rPr>
          <w:bCs/>
        </w:rPr>
        <w:t xml:space="preserve">The Schedules </w:t>
      </w:r>
      <w:r w:rsidR="008F6460">
        <w:rPr>
          <w:bCs/>
        </w:rPr>
        <w:t>are published</w:t>
      </w:r>
      <w:r w:rsidR="00647B6B">
        <w:rPr>
          <w:bCs/>
        </w:rPr>
        <w:t xml:space="preserve"> as tables</w:t>
      </w:r>
      <w:r w:rsidR="008F6460">
        <w:rPr>
          <w:bCs/>
        </w:rPr>
        <w:t xml:space="preserve"> in </w:t>
      </w:r>
      <w:r w:rsidR="00F8207E">
        <w:rPr>
          <w:bCs/>
        </w:rPr>
        <w:t>the Code of Federal Regulations (CFR)</w:t>
      </w:r>
      <w:r w:rsidR="006F4162">
        <w:rPr>
          <w:bCs/>
        </w:rPr>
        <w:t>.</w:t>
      </w:r>
      <w:r w:rsidR="00ED137A">
        <w:rPr>
          <w:bCs/>
        </w:rPr>
        <w:t xml:space="preserve"> </w:t>
      </w:r>
      <w:r w:rsidR="008F6460">
        <w:rPr>
          <w:bCs/>
        </w:rPr>
        <w:t xml:space="preserve"> </w:t>
      </w:r>
      <w:r w:rsidR="00F8207E">
        <w:rPr>
          <w:bCs/>
        </w:rPr>
        <w:t>P</w:t>
      </w:r>
      <w:r w:rsidR="00ED137A">
        <w:rPr>
          <w:bCs/>
        </w:rPr>
        <w:t xml:space="preserve">lease </w:t>
      </w:r>
      <w:r w:rsidR="00823BAE">
        <w:rPr>
          <w:bCs/>
        </w:rPr>
        <w:t>refer to</w:t>
      </w:r>
      <w:r w:rsidR="0081361D">
        <w:rPr>
          <w:bCs/>
        </w:rPr>
        <w:t xml:space="preserve"> </w:t>
      </w:r>
      <w:r w:rsidRPr="00441CD6" w:rsidR="00823BAE">
        <w:t xml:space="preserve">47 CFR </w:t>
      </w:r>
      <w:r w:rsidRPr="00441CD6" w:rsidR="00823BAE">
        <w:rPr>
          <w:bCs/>
        </w:rPr>
        <w:t>§</w:t>
      </w:r>
      <w:r w:rsidR="000A66E3">
        <w:rPr>
          <w:bCs/>
        </w:rPr>
        <w:t> </w:t>
      </w:r>
      <w:r w:rsidRPr="00441CD6" w:rsidR="00823BAE">
        <w:rPr>
          <w:bCs/>
        </w:rPr>
        <w:t>1.80002</w:t>
      </w:r>
      <w:r w:rsidR="00823BAE">
        <w:rPr>
          <w:bCs/>
        </w:rPr>
        <w:t xml:space="preserve"> for</w:t>
      </w:r>
      <w:r w:rsidR="00ED137A">
        <w:rPr>
          <w:bCs/>
        </w:rPr>
        <w:t xml:space="preserve"> the most up-to-date </w:t>
      </w:r>
      <w:r w:rsidR="00856876">
        <w:rPr>
          <w:bCs/>
        </w:rPr>
        <w:t xml:space="preserve">list of </w:t>
      </w:r>
      <w:r w:rsidR="00ED137A">
        <w:rPr>
          <w:bCs/>
        </w:rPr>
        <w:t>Schedules.</w:t>
      </w:r>
      <w:r>
        <w:rPr>
          <w:rStyle w:val="FootnoteReference"/>
          <w:bCs/>
        </w:rPr>
        <w:footnoteReference w:id="8"/>
      </w:r>
      <w:r w:rsidR="00ED137A">
        <w:rPr>
          <w:bCs/>
        </w:rPr>
        <w:t xml:space="preserve"> </w:t>
      </w:r>
      <w:r w:rsidR="003E7EC0">
        <w:rPr>
          <w:bCs/>
        </w:rPr>
        <w:t xml:space="preserve"> </w:t>
      </w:r>
      <w:r w:rsidR="00647B6B">
        <w:rPr>
          <w:bCs/>
        </w:rPr>
        <w:t>The Commission grant</w:t>
      </w:r>
      <w:r w:rsidR="00E9540E">
        <w:rPr>
          <w:bCs/>
        </w:rPr>
        <w:t>ed</w:t>
      </w:r>
      <w:r w:rsidR="00647B6B">
        <w:rPr>
          <w:bCs/>
        </w:rPr>
        <w:t xml:space="preserve"> </w:t>
      </w:r>
      <w:r w:rsidR="004360A0">
        <w:rPr>
          <w:bCs/>
        </w:rPr>
        <w:t xml:space="preserve">Licensing Bureaus and Offices authority to modify any of the Schedules if its determines that a revision is necessary </w:t>
      </w:r>
      <w:r w:rsidR="00F866AC">
        <w:rPr>
          <w:bCs/>
        </w:rPr>
        <w:t>based on an analysis of several criteria</w:t>
      </w:r>
      <w:r w:rsidR="00A04E43">
        <w:rPr>
          <w:bCs/>
        </w:rPr>
        <w:t xml:space="preserve">, including national risk, administrability, and burden on </w:t>
      </w:r>
      <w:r w:rsidR="00A04E43">
        <w:rPr>
          <w:bCs/>
        </w:rPr>
        <w:t>Regulatees</w:t>
      </w:r>
      <w:r w:rsidR="00F866AC">
        <w:rPr>
          <w:bCs/>
        </w:rPr>
        <w:t>.</w:t>
      </w:r>
      <w:r w:rsidR="009A0655">
        <w:rPr>
          <w:bCs/>
        </w:rPr>
        <w:t xml:space="preserve">  </w:t>
      </w:r>
    </w:p>
    <w:p w:rsidR="00A21806" w:rsidRPr="00B731A8" w:rsidP="009A57C2" w14:paraId="05E0F337" w14:textId="13684ECE">
      <w:pPr>
        <w:pStyle w:val="ListParagraph"/>
        <w:numPr>
          <w:ilvl w:val="0"/>
          <w:numId w:val="21"/>
        </w:numPr>
        <w:spacing w:after="120"/>
        <w:ind w:left="1440" w:hanging="720"/>
        <w:contextualSpacing w:val="0"/>
        <w:jc w:val="both"/>
        <w:rPr>
          <w:b/>
        </w:rPr>
      </w:pPr>
      <w:r w:rsidRPr="004C0159">
        <w:rPr>
          <w:b/>
        </w:rPr>
        <w:t>Foreign Adversary Control Attestation and Disclosure</w:t>
      </w:r>
      <w:r w:rsidRPr="004C0159" w:rsidR="002404CF">
        <w:rPr>
          <w:b/>
        </w:rPr>
        <w:t xml:space="preserve"> Rules (47 CFR § 1.80003)</w:t>
      </w:r>
    </w:p>
    <w:p w:rsidR="008235B1" w:rsidP="000D3FB8" w14:paraId="55FA40D0" w14:textId="7309FA13">
      <w:pPr>
        <w:spacing w:after="120"/>
        <w:ind w:firstLine="720"/>
        <w:jc w:val="both"/>
        <w:rPr>
          <w:bCs/>
        </w:rPr>
      </w:pPr>
      <w:r>
        <w:rPr>
          <w:bCs/>
        </w:rPr>
        <w:t>The</w:t>
      </w:r>
      <w:r w:rsidR="000F0850">
        <w:rPr>
          <w:bCs/>
        </w:rPr>
        <w:t xml:space="preserve"> rule</w:t>
      </w:r>
      <w:r w:rsidR="006030C5">
        <w:rPr>
          <w:bCs/>
        </w:rPr>
        <w:t xml:space="preserve">s in this section </w:t>
      </w:r>
      <w:r w:rsidR="006139A5">
        <w:rPr>
          <w:bCs/>
        </w:rPr>
        <w:t>describe when Covered Authorizations are required to attest or disclose any Foreign Adversary Control.</w:t>
      </w:r>
      <w:r w:rsidR="004012D5">
        <w:rPr>
          <w:bCs/>
        </w:rPr>
        <w:t xml:space="preserve"> </w:t>
      </w:r>
      <w:r w:rsidR="00136CF4">
        <w:rPr>
          <w:bCs/>
        </w:rPr>
        <w:t xml:space="preserve"> Refer to</w:t>
      </w:r>
      <w:r w:rsidR="001E168B">
        <w:rPr>
          <w:bCs/>
        </w:rPr>
        <w:t xml:space="preserve"> the</w:t>
      </w:r>
      <w:r w:rsidR="00136CF4">
        <w:rPr>
          <w:bCs/>
        </w:rPr>
        <w:t xml:space="preserve"> definition of “owned by, controlled by, or subject to the jurisdiction of or direction of a foreign adversary” under </w:t>
      </w:r>
      <w:r w:rsidR="001E168B">
        <w:rPr>
          <w:bCs/>
        </w:rPr>
        <w:t xml:space="preserve">47 CFR § </w:t>
      </w:r>
      <w:r w:rsidR="00136CF4">
        <w:rPr>
          <w:bCs/>
        </w:rPr>
        <w:t>1.80001(</w:t>
      </w:r>
      <w:r w:rsidR="000A66E3">
        <w:rPr>
          <w:bCs/>
        </w:rPr>
        <w:t>d</w:t>
      </w:r>
      <w:r w:rsidR="00136CF4">
        <w:rPr>
          <w:bCs/>
        </w:rPr>
        <w:t>)</w:t>
      </w:r>
      <w:r w:rsidR="000A66E3">
        <w:rPr>
          <w:bCs/>
        </w:rPr>
        <w:t xml:space="preserve"> above</w:t>
      </w:r>
      <w:r w:rsidR="00136CF4">
        <w:rPr>
          <w:bCs/>
        </w:rPr>
        <w:t xml:space="preserve">.  </w:t>
      </w:r>
    </w:p>
    <w:p w:rsidR="00B731A8" w:rsidP="000D3FB8" w14:paraId="44D39757" w14:textId="7C4E2F44">
      <w:pPr>
        <w:spacing w:after="120"/>
        <w:ind w:firstLine="720"/>
        <w:jc w:val="both"/>
        <w:rPr>
          <w:bCs/>
        </w:rPr>
      </w:pPr>
      <w:r>
        <w:rPr>
          <w:bCs/>
          <w:i/>
          <w:iCs/>
        </w:rPr>
        <w:t>(a</w:t>
      </w:r>
      <w:r w:rsidRPr="000D3FB8">
        <w:rPr>
          <w:bCs/>
          <w:i/>
          <w:iCs/>
          <w:u w:val="single"/>
        </w:rPr>
        <w:t xml:space="preserve">) </w:t>
      </w:r>
      <w:r w:rsidRPr="000D3FB8" w:rsidR="0068211D">
        <w:rPr>
          <w:bCs/>
          <w:i/>
          <w:iCs/>
          <w:u w:val="single"/>
        </w:rPr>
        <w:t>Schedule A Attestations</w:t>
      </w:r>
      <w:r w:rsidR="00B0192B">
        <w:rPr>
          <w:bCs/>
        </w:rPr>
        <w:t>.</w:t>
      </w:r>
      <w:r w:rsidR="0068211D">
        <w:rPr>
          <w:bCs/>
          <w:i/>
          <w:iCs/>
        </w:rPr>
        <w:t xml:space="preserve">  </w:t>
      </w:r>
      <w:r w:rsidR="008235B1">
        <w:rPr>
          <w:bCs/>
        </w:rPr>
        <w:t>Regulatees</w:t>
      </w:r>
      <w:r w:rsidR="008235B1">
        <w:rPr>
          <w:bCs/>
        </w:rPr>
        <w:t xml:space="preserve"> that hold Covered Authorizations listed in Schedule A</w:t>
      </w:r>
      <w:r w:rsidR="0086548D">
        <w:rPr>
          <w:bCs/>
        </w:rPr>
        <w:t xml:space="preserve"> </w:t>
      </w:r>
      <w:r w:rsidR="006779DF">
        <w:rPr>
          <w:bCs/>
        </w:rPr>
        <w:t xml:space="preserve">are required to attest </w:t>
      </w:r>
      <w:r w:rsidR="00983711">
        <w:rPr>
          <w:bCs/>
        </w:rPr>
        <w:t>to whether or not</w:t>
      </w:r>
      <w:r w:rsidR="006779DF">
        <w:rPr>
          <w:bCs/>
        </w:rPr>
        <w:t xml:space="preserve"> </w:t>
      </w:r>
      <w:r w:rsidR="00013845">
        <w:rPr>
          <w:bCs/>
        </w:rPr>
        <w:t xml:space="preserve">they are </w:t>
      </w:r>
      <w:r w:rsidR="004B5F7C">
        <w:rPr>
          <w:bCs/>
        </w:rPr>
        <w:t>subject to Foreign Adversary Control</w:t>
      </w:r>
      <w:r w:rsidR="00136CF4">
        <w:rPr>
          <w:bCs/>
        </w:rPr>
        <w:t xml:space="preserve">.  </w:t>
      </w:r>
      <w:r w:rsidR="00BA6DB1">
        <w:rPr>
          <w:bCs/>
        </w:rPr>
        <w:t>Regulatees</w:t>
      </w:r>
      <w:r w:rsidR="00BA6DB1">
        <w:rPr>
          <w:bCs/>
        </w:rPr>
        <w:t xml:space="preserve"> must submit a</w:t>
      </w:r>
      <w:r w:rsidR="00EA6FEA">
        <w:rPr>
          <w:bCs/>
        </w:rPr>
        <w:t xml:space="preserve"> definitive “yes” or “no”</w:t>
      </w:r>
      <w:r w:rsidR="00BA6DB1">
        <w:rPr>
          <w:bCs/>
        </w:rPr>
        <w:t xml:space="preserve"> attestation </w:t>
      </w:r>
      <w:r w:rsidR="00483DD2">
        <w:rPr>
          <w:bCs/>
        </w:rPr>
        <w:t xml:space="preserve">either affirming or denying </w:t>
      </w:r>
      <w:r w:rsidR="0097061D">
        <w:rPr>
          <w:bCs/>
        </w:rPr>
        <w:t>Foreign Adversary Control</w:t>
      </w:r>
      <w:r w:rsidR="00BA6DB1">
        <w:rPr>
          <w:bCs/>
        </w:rPr>
        <w:t>.</w:t>
      </w:r>
      <w:r w:rsidR="002F7D88">
        <w:rPr>
          <w:bCs/>
        </w:rPr>
        <w:t xml:space="preserve">  Attestations must be submitted by </w:t>
      </w:r>
      <w:r w:rsidR="005F0B4A">
        <w:rPr>
          <w:bCs/>
        </w:rPr>
        <w:t>an officer or other authorized representative of the</w:t>
      </w:r>
      <w:r w:rsidR="002F7D88">
        <w:rPr>
          <w:bCs/>
        </w:rPr>
        <w:t xml:space="preserve"> </w:t>
      </w:r>
      <w:r w:rsidR="002F7D88">
        <w:rPr>
          <w:bCs/>
        </w:rPr>
        <w:t>Regulatee</w:t>
      </w:r>
      <w:r w:rsidR="002F7D88">
        <w:rPr>
          <w:bCs/>
        </w:rPr>
        <w:t>.</w:t>
      </w:r>
      <w:r w:rsidR="008E56A9">
        <w:rPr>
          <w:bCs/>
        </w:rPr>
        <w:t xml:space="preserve">  </w:t>
      </w:r>
      <w:r w:rsidR="008E56A9">
        <w:rPr>
          <w:bCs/>
        </w:rPr>
        <w:t>Regulatees</w:t>
      </w:r>
      <w:r w:rsidR="008E56A9">
        <w:rPr>
          <w:bCs/>
        </w:rPr>
        <w:t xml:space="preserve"> attesting “yes” are required to provide additional information, described in</w:t>
      </w:r>
      <w:r w:rsidR="00122577">
        <w:rPr>
          <w:bCs/>
        </w:rPr>
        <w:t xml:space="preserve"> paragraph</w:t>
      </w:r>
      <w:r w:rsidR="008E56A9">
        <w:rPr>
          <w:bCs/>
        </w:rPr>
        <w:t xml:space="preserve"> (j) below.</w:t>
      </w:r>
    </w:p>
    <w:p w:rsidR="00E42042" w:rsidP="000D3FB8" w14:paraId="23B42900" w14:textId="11B9F5A4">
      <w:pPr>
        <w:spacing w:after="120"/>
        <w:ind w:firstLine="720"/>
        <w:jc w:val="both"/>
        <w:rPr>
          <w:bCs/>
        </w:rPr>
      </w:pPr>
      <w:r>
        <w:rPr>
          <w:bCs/>
          <w:i/>
          <w:iCs/>
        </w:rPr>
        <w:t xml:space="preserve">(b) </w:t>
      </w:r>
      <w:r w:rsidRPr="000D3FB8">
        <w:rPr>
          <w:bCs/>
          <w:i/>
          <w:iCs/>
          <w:u w:val="single"/>
        </w:rPr>
        <w:t>Schedule B Attestations</w:t>
      </w:r>
      <w:r w:rsidR="00B0192B">
        <w:rPr>
          <w:bCs/>
        </w:rPr>
        <w:t>.</w:t>
      </w:r>
      <w:r>
        <w:rPr>
          <w:bCs/>
        </w:rPr>
        <w:t xml:space="preserve">  </w:t>
      </w:r>
      <w:r>
        <w:rPr>
          <w:bCs/>
        </w:rPr>
        <w:t>Regulatees</w:t>
      </w:r>
      <w:r>
        <w:rPr>
          <w:bCs/>
        </w:rPr>
        <w:t xml:space="preserve"> that hold </w:t>
      </w:r>
      <w:r w:rsidR="009B7CD2">
        <w:rPr>
          <w:bCs/>
        </w:rPr>
        <w:t xml:space="preserve">Covered Authorizations listed in Schedule B are </w:t>
      </w:r>
      <w:r w:rsidR="00C477B4">
        <w:rPr>
          <w:bCs/>
        </w:rPr>
        <w:t xml:space="preserve">only </w:t>
      </w:r>
      <w:r w:rsidR="009B7CD2">
        <w:rPr>
          <w:bCs/>
        </w:rPr>
        <w:t xml:space="preserve">required to </w:t>
      </w:r>
      <w:r w:rsidR="00CF680A">
        <w:rPr>
          <w:bCs/>
        </w:rPr>
        <w:t xml:space="preserve">submit </w:t>
      </w:r>
      <w:r w:rsidR="00E84CBB">
        <w:rPr>
          <w:bCs/>
        </w:rPr>
        <w:t xml:space="preserve">an </w:t>
      </w:r>
      <w:r w:rsidR="00CF680A">
        <w:rPr>
          <w:bCs/>
        </w:rPr>
        <w:t xml:space="preserve">attestation </w:t>
      </w:r>
      <w:r w:rsidR="005E0542">
        <w:rPr>
          <w:bCs/>
        </w:rPr>
        <w:t xml:space="preserve">if they are </w:t>
      </w:r>
      <w:r w:rsidR="00CF680A">
        <w:rPr>
          <w:bCs/>
        </w:rPr>
        <w:t xml:space="preserve">affirming that they are subject to Foreign </w:t>
      </w:r>
      <w:r w:rsidR="00483DD2">
        <w:rPr>
          <w:bCs/>
        </w:rPr>
        <w:t>Adversary Control.</w:t>
      </w:r>
      <w:r w:rsidR="00131DF8">
        <w:rPr>
          <w:bCs/>
        </w:rPr>
        <w:t xml:space="preserve">  If a </w:t>
      </w:r>
      <w:r w:rsidR="00131DF8">
        <w:rPr>
          <w:bCs/>
        </w:rPr>
        <w:t>Regulatee</w:t>
      </w:r>
      <w:r w:rsidR="00131DF8">
        <w:rPr>
          <w:bCs/>
        </w:rPr>
        <w:t xml:space="preserve"> holds a </w:t>
      </w:r>
      <w:r w:rsidR="006944D9">
        <w:rPr>
          <w:bCs/>
        </w:rPr>
        <w:t xml:space="preserve">Schedule B </w:t>
      </w:r>
      <w:r w:rsidR="00131DF8">
        <w:rPr>
          <w:bCs/>
        </w:rPr>
        <w:t xml:space="preserve">Covered Authorization </w:t>
      </w:r>
      <w:r w:rsidR="00C35E1B">
        <w:rPr>
          <w:bCs/>
        </w:rPr>
        <w:t>but</w:t>
      </w:r>
      <w:r w:rsidR="00387677">
        <w:rPr>
          <w:bCs/>
        </w:rPr>
        <w:t xml:space="preserve"> </w:t>
      </w:r>
      <w:r w:rsidR="00131DF8">
        <w:rPr>
          <w:bCs/>
        </w:rPr>
        <w:t xml:space="preserve">is not subject to Foreign Adversary Control, there is no need to submit a “no” </w:t>
      </w:r>
      <w:r w:rsidR="003435F6">
        <w:rPr>
          <w:bCs/>
        </w:rPr>
        <w:t>attestation.</w:t>
      </w:r>
      <w:r w:rsidR="002F7D88">
        <w:rPr>
          <w:bCs/>
        </w:rPr>
        <w:t xml:space="preserve"> </w:t>
      </w:r>
      <w:r w:rsidRPr="002F7D88" w:rsidR="002F7D88">
        <w:rPr>
          <w:bCs/>
        </w:rPr>
        <w:t xml:space="preserve"> </w:t>
      </w:r>
      <w:r w:rsidR="0092739A">
        <w:rPr>
          <w:bCs/>
        </w:rPr>
        <w:t xml:space="preserve">Attestations must be submitted by an officer or other authorized representative of the </w:t>
      </w:r>
      <w:r w:rsidR="0092739A">
        <w:rPr>
          <w:bCs/>
        </w:rPr>
        <w:t>Regulatee</w:t>
      </w:r>
      <w:r w:rsidR="0092739A">
        <w:rPr>
          <w:bCs/>
        </w:rPr>
        <w:t>.</w:t>
      </w:r>
      <w:r w:rsidR="008E56A9">
        <w:rPr>
          <w:bCs/>
        </w:rPr>
        <w:t xml:space="preserve">  </w:t>
      </w:r>
      <w:r w:rsidR="008E56A9">
        <w:rPr>
          <w:bCs/>
        </w:rPr>
        <w:t>Regulatees</w:t>
      </w:r>
      <w:r w:rsidR="008E56A9">
        <w:rPr>
          <w:bCs/>
        </w:rPr>
        <w:t xml:space="preserve"> attesting “yes” are required to provide additional information, described in </w:t>
      </w:r>
      <w:r w:rsidR="00122577">
        <w:rPr>
          <w:bCs/>
        </w:rPr>
        <w:t xml:space="preserve">paragraph </w:t>
      </w:r>
      <w:r w:rsidR="008E56A9">
        <w:rPr>
          <w:bCs/>
        </w:rPr>
        <w:t>(j) below.</w:t>
      </w:r>
    </w:p>
    <w:p w:rsidR="00B731A8" w:rsidP="000D3FB8" w14:paraId="01704DF4" w14:textId="662BFD2E">
      <w:pPr>
        <w:spacing w:after="120"/>
        <w:ind w:firstLine="720"/>
        <w:jc w:val="both"/>
        <w:rPr>
          <w:bCs/>
        </w:rPr>
      </w:pPr>
      <w:r>
        <w:rPr>
          <w:bCs/>
          <w:i/>
          <w:iCs/>
        </w:rPr>
        <w:t xml:space="preserve">(c) </w:t>
      </w:r>
      <w:r w:rsidRPr="000D3FB8" w:rsidR="0097061D">
        <w:rPr>
          <w:bCs/>
          <w:i/>
          <w:iCs/>
          <w:u w:val="single"/>
        </w:rPr>
        <w:t>Schedule C Attestations</w:t>
      </w:r>
      <w:r w:rsidR="00B0192B">
        <w:rPr>
          <w:bCs/>
        </w:rPr>
        <w:t>.</w:t>
      </w:r>
      <w:r w:rsidR="0097061D">
        <w:rPr>
          <w:bCs/>
        </w:rPr>
        <w:t xml:space="preserve">  </w:t>
      </w:r>
      <w:r w:rsidR="0097061D">
        <w:rPr>
          <w:bCs/>
        </w:rPr>
        <w:t>Regulatees</w:t>
      </w:r>
      <w:r w:rsidR="0097061D">
        <w:rPr>
          <w:bCs/>
        </w:rPr>
        <w:t xml:space="preserve"> that hold Covered Authorizations listed in Schedule C are </w:t>
      </w:r>
      <w:r w:rsidR="002401D8">
        <w:rPr>
          <w:bCs/>
        </w:rPr>
        <w:t xml:space="preserve">exempt from </w:t>
      </w:r>
      <w:r w:rsidR="00595ECC">
        <w:rPr>
          <w:bCs/>
        </w:rPr>
        <w:t>initially attesting to whether or not they are subject to Foreign Adversary Control.</w:t>
      </w:r>
      <w:r w:rsidR="002F7D88">
        <w:rPr>
          <w:bCs/>
        </w:rPr>
        <w:t xml:space="preserve"> </w:t>
      </w:r>
    </w:p>
    <w:p w:rsidR="00695A5A" w:rsidP="000D3FB8" w14:paraId="08E6E0A0" w14:textId="5823AD52">
      <w:pPr>
        <w:spacing w:after="120"/>
        <w:ind w:firstLine="720"/>
        <w:jc w:val="both"/>
        <w:rPr>
          <w:bCs/>
        </w:rPr>
      </w:pPr>
      <w:r>
        <w:rPr>
          <w:bCs/>
          <w:i/>
          <w:iCs/>
        </w:rPr>
        <w:t xml:space="preserve">(d) </w:t>
      </w:r>
      <w:r w:rsidRPr="000D3FB8">
        <w:rPr>
          <w:bCs/>
          <w:i/>
          <w:iCs/>
          <w:u w:val="single"/>
        </w:rPr>
        <w:t>Regulatees</w:t>
      </w:r>
      <w:r w:rsidRPr="000D3FB8">
        <w:rPr>
          <w:bCs/>
          <w:i/>
          <w:iCs/>
          <w:u w:val="single"/>
        </w:rPr>
        <w:t xml:space="preserve"> holding or applying for Covered Authorizations in different Schedules</w:t>
      </w:r>
      <w:r>
        <w:rPr>
          <w:bCs/>
        </w:rPr>
        <w:t xml:space="preserve">.  If </w:t>
      </w:r>
      <w:r w:rsidR="00623A22">
        <w:rPr>
          <w:bCs/>
        </w:rPr>
        <w:t xml:space="preserve">a </w:t>
      </w:r>
      <w:r w:rsidR="00623A22">
        <w:rPr>
          <w:bCs/>
        </w:rPr>
        <w:t>Regulatee</w:t>
      </w:r>
      <w:r w:rsidR="00623A22">
        <w:rPr>
          <w:bCs/>
        </w:rPr>
        <w:t xml:space="preserve"> </w:t>
      </w:r>
      <w:r w:rsidR="003B29AA">
        <w:rPr>
          <w:bCs/>
        </w:rPr>
        <w:t xml:space="preserve">holds or is applying for Covered Authorizations listed in different Schedules, then the </w:t>
      </w:r>
      <w:r w:rsidR="003B29AA">
        <w:rPr>
          <w:bCs/>
        </w:rPr>
        <w:t>Regulatee’s</w:t>
      </w:r>
      <w:r w:rsidR="003B29AA">
        <w:rPr>
          <w:bCs/>
        </w:rPr>
        <w:t xml:space="preserve"> officer or authorized representative must submit an attestation </w:t>
      </w:r>
      <w:r w:rsidR="00EE7103">
        <w:rPr>
          <w:bCs/>
        </w:rPr>
        <w:t xml:space="preserve">to the requirements of the Covered Authorization listed in a Schedule that applies more reporting requirements.  For example, if a </w:t>
      </w:r>
      <w:r w:rsidR="00EE7103">
        <w:rPr>
          <w:bCs/>
        </w:rPr>
        <w:t>Regulatee</w:t>
      </w:r>
      <w:r w:rsidR="00EE7103">
        <w:rPr>
          <w:bCs/>
        </w:rPr>
        <w:t xml:space="preserve"> hold</w:t>
      </w:r>
      <w:r w:rsidR="00F13772">
        <w:rPr>
          <w:bCs/>
        </w:rPr>
        <w:t>s</w:t>
      </w:r>
      <w:r w:rsidR="00EE7103">
        <w:rPr>
          <w:bCs/>
        </w:rPr>
        <w:t xml:space="preserve"> or applies for a Covered Authorization from Schedule A and another from Schedule B, the </w:t>
      </w:r>
      <w:r w:rsidR="00EE7103">
        <w:rPr>
          <w:bCs/>
        </w:rPr>
        <w:t>Regulatee</w:t>
      </w:r>
      <w:r w:rsidR="00EE7103">
        <w:rPr>
          <w:bCs/>
        </w:rPr>
        <w:t xml:space="preserve"> shall only file a single attestation</w:t>
      </w:r>
      <w:r w:rsidR="00F7314A">
        <w:rPr>
          <w:bCs/>
        </w:rPr>
        <w:t xml:space="preserve">, according to the rules for Schedule A attestations. </w:t>
      </w:r>
    </w:p>
    <w:p w:rsidR="00F7314A" w:rsidP="000D3FB8" w14:paraId="03EB7AD3" w14:textId="6F5D7ADE">
      <w:pPr>
        <w:spacing w:after="120"/>
        <w:ind w:firstLine="720"/>
        <w:jc w:val="both"/>
        <w:rPr>
          <w:bCs/>
        </w:rPr>
      </w:pPr>
      <w:r>
        <w:rPr>
          <w:bCs/>
          <w:i/>
          <w:iCs/>
        </w:rPr>
        <w:t xml:space="preserve">(e) </w:t>
      </w:r>
      <w:r w:rsidRPr="000D3FB8">
        <w:rPr>
          <w:bCs/>
          <w:i/>
          <w:iCs/>
          <w:u w:val="single"/>
        </w:rPr>
        <w:t>Provisional attestations</w:t>
      </w:r>
      <w:r>
        <w:rPr>
          <w:bCs/>
        </w:rPr>
        <w:t xml:space="preserve">.  </w:t>
      </w:r>
      <w:r w:rsidR="00307780">
        <w:rPr>
          <w:bCs/>
        </w:rPr>
        <w:t>The Commission</w:t>
      </w:r>
      <w:r w:rsidR="00C00E39">
        <w:rPr>
          <w:bCs/>
        </w:rPr>
        <w:t xml:space="preserve"> generally</w:t>
      </w:r>
      <w:r w:rsidR="00307780">
        <w:rPr>
          <w:bCs/>
        </w:rPr>
        <w:t xml:space="preserve"> deems a holder of 10% or greater of the total outstanding voting and/or equity interest in a </w:t>
      </w:r>
      <w:r w:rsidR="00307780">
        <w:rPr>
          <w:bCs/>
        </w:rPr>
        <w:t>Regulatee</w:t>
      </w:r>
      <w:r w:rsidR="00307780">
        <w:rPr>
          <w:bCs/>
        </w:rPr>
        <w:t xml:space="preserve"> as possessing the </w:t>
      </w:r>
      <w:r w:rsidR="00B6469B">
        <w:rPr>
          <w:bCs/>
        </w:rPr>
        <w:t>ability</w:t>
      </w:r>
      <w:r w:rsidR="00307780">
        <w:rPr>
          <w:bCs/>
        </w:rPr>
        <w:t xml:space="preserve"> to determine, direct, or </w:t>
      </w:r>
      <w:r w:rsidR="006B48E1">
        <w:rPr>
          <w:bCs/>
        </w:rPr>
        <w:t xml:space="preserve">decide important matters affecting the </w:t>
      </w:r>
      <w:r w:rsidR="006B48E1">
        <w:rPr>
          <w:bCs/>
        </w:rPr>
        <w:t>Regulatee</w:t>
      </w:r>
      <w:r w:rsidR="006B48E1">
        <w:rPr>
          <w:bCs/>
        </w:rPr>
        <w:t xml:space="preserve">.  </w:t>
      </w:r>
      <w:r w:rsidR="00BF3512">
        <w:rPr>
          <w:bCs/>
        </w:rPr>
        <w:t xml:space="preserve">To the extent </w:t>
      </w:r>
      <w:r w:rsidR="000F2186">
        <w:rPr>
          <w:bCs/>
        </w:rPr>
        <w:t>a</w:t>
      </w:r>
      <w:r w:rsidR="00CC5C7A">
        <w:rPr>
          <w:bCs/>
        </w:rPr>
        <w:t>n individual or entity</w:t>
      </w:r>
      <w:r w:rsidR="00692FD3">
        <w:rPr>
          <w:bCs/>
        </w:rPr>
        <w:t xml:space="preserve"> identified in 47 CFR § 1.70001(g)(1)-(3)</w:t>
      </w:r>
      <w:r w:rsidR="00B41F56">
        <w:rPr>
          <w:bCs/>
        </w:rPr>
        <w:t xml:space="preserve"> holds such an interest in</w:t>
      </w:r>
      <w:r w:rsidR="00C0696A">
        <w:rPr>
          <w:bCs/>
        </w:rPr>
        <w:t xml:space="preserve"> a Schedule A or B </w:t>
      </w:r>
      <w:r w:rsidR="00C0696A">
        <w:rPr>
          <w:bCs/>
        </w:rPr>
        <w:t>Regulatee</w:t>
      </w:r>
      <w:r w:rsidR="00C0696A">
        <w:rPr>
          <w:bCs/>
        </w:rPr>
        <w:t xml:space="preserve">, the </w:t>
      </w:r>
      <w:r w:rsidR="00C0696A">
        <w:rPr>
          <w:bCs/>
        </w:rPr>
        <w:t>Regulatee</w:t>
      </w:r>
      <w:r w:rsidR="00C0696A">
        <w:rPr>
          <w:bCs/>
        </w:rPr>
        <w:t xml:space="preserve"> must file a “yes” attestation</w:t>
      </w:r>
      <w:r w:rsidR="00E242F6">
        <w:rPr>
          <w:bCs/>
        </w:rPr>
        <w:t xml:space="preserve"> even if it does not believe that the interest </w:t>
      </w:r>
      <w:r w:rsidR="00526343">
        <w:rPr>
          <w:bCs/>
        </w:rPr>
        <w:t>allow</w:t>
      </w:r>
      <w:r w:rsidR="00F31515">
        <w:rPr>
          <w:bCs/>
        </w:rPr>
        <w:t>s</w:t>
      </w:r>
      <w:r w:rsidR="00526343">
        <w:rPr>
          <w:bCs/>
        </w:rPr>
        <w:t xml:space="preserve"> the interest holder</w:t>
      </w:r>
      <w:r w:rsidR="00F31515">
        <w:rPr>
          <w:bCs/>
        </w:rPr>
        <w:t>(s)</w:t>
      </w:r>
      <w:r w:rsidR="00526343">
        <w:rPr>
          <w:bCs/>
        </w:rPr>
        <w:t xml:space="preserve"> to “determine, direct, or decide important matters affecting an entity</w:t>
      </w:r>
      <w:r w:rsidR="000B037D">
        <w:rPr>
          <w:bCs/>
        </w:rPr>
        <w:t>.</w:t>
      </w:r>
      <w:r w:rsidR="00526343">
        <w:rPr>
          <w:bCs/>
        </w:rPr>
        <w:t xml:space="preserve">” </w:t>
      </w:r>
      <w:r w:rsidR="00BB6B84">
        <w:rPr>
          <w:bCs/>
        </w:rPr>
        <w:t xml:space="preserve"> </w:t>
      </w:r>
      <w:r w:rsidR="00B5500C">
        <w:rPr>
          <w:bCs/>
        </w:rPr>
        <w:t>To the extent that</w:t>
      </w:r>
      <w:r w:rsidR="00526E87">
        <w:rPr>
          <w:bCs/>
        </w:rPr>
        <w:t xml:space="preserve"> </w:t>
      </w:r>
      <w:r w:rsidR="00B5500C">
        <w:rPr>
          <w:bCs/>
        </w:rPr>
        <w:t xml:space="preserve">the </w:t>
      </w:r>
      <w:r w:rsidR="00526E87">
        <w:rPr>
          <w:bCs/>
        </w:rPr>
        <w:t>Regulatee</w:t>
      </w:r>
      <w:r w:rsidR="00B5500C">
        <w:rPr>
          <w:bCs/>
        </w:rPr>
        <w:t xml:space="preserve"> denies</w:t>
      </w:r>
      <w:r w:rsidR="0031239A">
        <w:rPr>
          <w:bCs/>
        </w:rPr>
        <w:t xml:space="preserve"> that such an interest confers </w:t>
      </w:r>
      <w:r w:rsidR="002A2EC1">
        <w:rPr>
          <w:bCs/>
        </w:rPr>
        <w:t>upon the interest holder(s) such ability</w:t>
      </w:r>
      <w:r w:rsidR="00B6469B">
        <w:rPr>
          <w:bCs/>
        </w:rPr>
        <w:t>,</w:t>
      </w:r>
      <w:r w:rsidR="00526343">
        <w:rPr>
          <w:bCs/>
        </w:rPr>
        <w:t xml:space="preserve"> </w:t>
      </w:r>
      <w:r w:rsidR="00526E87">
        <w:rPr>
          <w:bCs/>
        </w:rPr>
        <w:t xml:space="preserve">the </w:t>
      </w:r>
      <w:r w:rsidR="00526E87">
        <w:rPr>
          <w:bCs/>
        </w:rPr>
        <w:t>Regulatee</w:t>
      </w:r>
      <w:r w:rsidR="00944360">
        <w:rPr>
          <w:bCs/>
        </w:rPr>
        <w:t xml:space="preserve"> </w:t>
      </w:r>
      <w:r w:rsidR="005B5FE5">
        <w:rPr>
          <w:bCs/>
        </w:rPr>
        <w:t>shall</w:t>
      </w:r>
      <w:r w:rsidR="006A2074">
        <w:rPr>
          <w:bCs/>
        </w:rPr>
        <w:t>, in addition to filing an affirmative attestation,</w:t>
      </w:r>
      <w:r w:rsidR="001977DA">
        <w:rPr>
          <w:bCs/>
        </w:rPr>
        <w:t xml:space="preserve"> </w:t>
      </w:r>
      <w:r w:rsidR="00944360">
        <w:rPr>
          <w:bCs/>
        </w:rPr>
        <w:t xml:space="preserve">demonstrate by clear and convincing evidence why such interest </w:t>
      </w:r>
      <w:r w:rsidR="00526E87">
        <w:rPr>
          <w:bCs/>
        </w:rPr>
        <w:t xml:space="preserve">does not meet </w:t>
      </w:r>
      <w:r w:rsidR="00862742">
        <w:rPr>
          <w:bCs/>
        </w:rPr>
        <w:t xml:space="preserve">47 CFR § </w:t>
      </w:r>
      <w:r w:rsidR="00382FED">
        <w:rPr>
          <w:bCs/>
        </w:rPr>
        <w:t>1.70001(g)(4)</w:t>
      </w:r>
      <w:r w:rsidR="00B157EF">
        <w:rPr>
          <w:bCs/>
        </w:rPr>
        <w:t>.</w:t>
      </w:r>
    </w:p>
    <w:p w:rsidR="00853283" w:rsidP="000D3FB8" w14:paraId="30E3B120" w14:textId="32BE436D">
      <w:pPr>
        <w:spacing w:after="120"/>
        <w:ind w:firstLine="720"/>
        <w:jc w:val="both"/>
        <w:rPr>
          <w:bCs/>
        </w:rPr>
      </w:pPr>
      <w:r>
        <w:rPr>
          <w:bCs/>
          <w:i/>
          <w:iCs/>
        </w:rPr>
        <w:t xml:space="preserve">(f) </w:t>
      </w:r>
      <w:r w:rsidRPr="000D3FB8">
        <w:rPr>
          <w:bCs/>
          <w:i/>
          <w:iCs/>
          <w:u w:val="single"/>
        </w:rPr>
        <w:t>Exemptions</w:t>
      </w:r>
      <w:r>
        <w:rPr>
          <w:bCs/>
        </w:rPr>
        <w:t xml:space="preserve">.  No state or local government agency, federally recognized Tribal Nation, or business controlled by a federally recognized Tribal Nation </w:t>
      </w:r>
      <w:r w:rsidR="0085589C">
        <w:rPr>
          <w:bCs/>
        </w:rPr>
        <w:t>is subject to the</w:t>
      </w:r>
      <w:r w:rsidR="00862742">
        <w:rPr>
          <w:bCs/>
        </w:rPr>
        <w:t>se requirements</w:t>
      </w:r>
      <w:r w:rsidR="0085589C">
        <w:rPr>
          <w:bCs/>
        </w:rPr>
        <w:t>.</w:t>
      </w:r>
    </w:p>
    <w:p w:rsidR="000C66F2" w:rsidP="000D3FB8" w14:paraId="421F0AF7" w14:textId="52DB6515">
      <w:pPr>
        <w:spacing w:after="120"/>
        <w:ind w:firstLine="720"/>
        <w:jc w:val="both"/>
        <w:rPr>
          <w:bCs/>
        </w:rPr>
      </w:pPr>
      <w:r>
        <w:rPr>
          <w:bCs/>
          <w:i/>
          <w:iCs/>
        </w:rPr>
        <w:t xml:space="preserve">(g) </w:t>
      </w:r>
      <w:r w:rsidRPr="000D3FB8">
        <w:rPr>
          <w:bCs/>
          <w:i/>
          <w:iCs/>
          <w:u w:val="single"/>
        </w:rPr>
        <w:t xml:space="preserve">Foreign Adversary </w:t>
      </w:r>
      <w:r w:rsidRPr="000D3FB8" w:rsidR="002470E7">
        <w:rPr>
          <w:bCs/>
          <w:i/>
          <w:iCs/>
          <w:u w:val="single"/>
        </w:rPr>
        <w:t>S</w:t>
      </w:r>
      <w:r w:rsidRPr="000D3FB8">
        <w:rPr>
          <w:bCs/>
          <w:i/>
          <w:iCs/>
          <w:u w:val="single"/>
        </w:rPr>
        <w:t>ponsorship</w:t>
      </w:r>
      <w:r>
        <w:rPr>
          <w:bCs/>
        </w:rPr>
        <w:t xml:space="preserve">.  </w:t>
      </w:r>
      <w:r w:rsidR="00B628C7">
        <w:rPr>
          <w:bCs/>
        </w:rPr>
        <w:t xml:space="preserve">An entity with a broadcast license (AM, FM, LPFM, FM translator, FM Booster, Full Power TV, Class A TV, LPTV, TV translator), a cable television relay service </w:t>
      </w:r>
      <w:r w:rsidR="00B628C7">
        <w:rPr>
          <w:bCs/>
        </w:rPr>
        <w:t>station (CARS) license,</w:t>
      </w:r>
      <w:r w:rsidR="00D60504">
        <w:rPr>
          <w:bCs/>
        </w:rPr>
        <w:t xml:space="preserve"> an international broadcast station license, or section 325(c) authorization </w:t>
      </w:r>
      <w:r w:rsidR="00693C1A">
        <w:rPr>
          <w:bCs/>
        </w:rPr>
        <w:t>listed in</w:t>
      </w:r>
      <w:r w:rsidR="00D60504">
        <w:rPr>
          <w:bCs/>
        </w:rPr>
        <w:t xml:space="preserve"> </w:t>
      </w:r>
      <w:r w:rsidR="001C51F4">
        <w:rPr>
          <w:bCs/>
        </w:rPr>
        <w:t xml:space="preserve">table 2 </w:t>
      </w:r>
      <w:r w:rsidR="00693C1A">
        <w:rPr>
          <w:bCs/>
        </w:rPr>
        <w:t>of</w:t>
      </w:r>
      <w:r w:rsidR="001C51F4">
        <w:rPr>
          <w:bCs/>
        </w:rPr>
        <w:t xml:space="preserve"> </w:t>
      </w:r>
      <w:r w:rsidR="00693C1A">
        <w:rPr>
          <w:bCs/>
        </w:rPr>
        <w:t xml:space="preserve">47 CFR § </w:t>
      </w:r>
      <w:r w:rsidR="001C51F4">
        <w:rPr>
          <w:bCs/>
        </w:rPr>
        <w:t xml:space="preserve">1.80002(b) that receives an affirmative </w:t>
      </w:r>
      <w:r w:rsidR="00333D51">
        <w:rPr>
          <w:bCs/>
        </w:rPr>
        <w:t xml:space="preserve">response under the Commission’s foreign sponsorship identification rules from a lessee that is a foreign adversary </w:t>
      </w:r>
      <w:r w:rsidR="00693C1A">
        <w:rPr>
          <w:bCs/>
        </w:rPr>
        <w:t>must</w:t>
      </w:r>
      <w:r w:rsidR="00271C33">
        <w:rPr>
          <w:bCs/>
        </w:rPr>
        <w:t xml:space="preserve"> fil</w:t>
      </w:r>
      <w:r w:rsidR="00693C1A">
        <w:rPr>
          <w:bCs/>
        </w:rPr>
        <w:t>e</w:t>
      </w:r>
      <w:r w:rsidR="00271C33">
        <w:rPr>
          <w:bCs/>
        </w:rPr>
        <w:t xml:space="preserve"> a copy of the lessee’s information with the Commission, as required by </w:t>
      </w:r>
      <w:r w:rsidR="00C6296E">
        <w:rPr>
          <w:bCs/>
        </w:rPr>
        <w:t>47 CFR §</w:t>
      </w:r>
      <w:r w:rsidR="00271C33">
        <w:rPr>
          <w:bCs/>
        </w:rPr>
        <w:t xml:space="preserve"> 73.1212(j).</w:t>
      </w:r>
    </w:p>
    <w:p w:rsidR="00CB2767" w:rsidP="000D3FB8" w14:paraId="3961C933" w14:textId="54D13BC9">
      <w:pPr>
        <w:spacing w:after="120"/>
        <w:ind w:firstLine="720"/>
        <w:jc w:val="both"/>
        <w:rPr>
          <w:bCs/>
        </w:rPr>
      </w:pPr>
      <w:r>
        <w:rPr>
          <w:bCs/>
          <w:i/>
          <w:iCs/>
        </w:rPr>
        <w:t xml:space="preserve">(h) </w:t>
      </w:r>
      <w:r w:rsidRPr="000D3FB8">
        <w:rPr>
          <w:bCs/>
          <w:i/>
          <w:iCs/>
          <w:u w:val="single"/>
        </w:rPr>
        <w:t>Deadline for initial attestations</w:t>
      </w:r>
      <w:r>
        <w:rPr>
          <w:bCs/>
        </w:rPr>
        <w:t xml:space="preserve">.  </w:t>
      </w:r>
      <w:r w:rsidR="00120E5C">
        <w:rPr>
          <w:bCs/>
        </w:rPr>
        <w:t xml:space="preserve">Except as provided </w:t>
      </w:r>
      <w:r w:rsidR="000E1216">
        <w:rPr>
          <w:bCs/>
        </w:rPr>
        <w:t>below in paragraph (</w:t>
      </w:r>
      <w:r w:rsidRPr="005B15F3" w:rsidR="000E1216">
        <w:rPr>
          <w:bCs/>
        </w:rPr>
        <w:t>i</w:t>
      </w:r>
      <w:r w:rsidR="000E1216">
        <w:rPr>
          <w:bCs/>
        </w:rPr>
        <w:t xml:space="preserve">), </w:t>
      </w:r>
      <w:r w:rsidR="000E1216">
        <w:rPr>
          <w:bCs/>
        </w:rPr>
        <w:t>R</w:t>
      </w:r>
      <w:r>
        <w:rPr>
          <w:bCs/>
        </w:rPr>
        <w:t>egulatees</w:t>
      </w:r>
      <w:r>
        <w:rPr>
          <w:bCs/>
        </w:rPr>
        <w:t xml:space="preserve"> that must submit an attestation for a Covered Authorization under Schedule A or Schedule B must complete its attestation no longer than </w:t>
      </w:r>
      <w:r w:rsidR="00BC233C">
        <w:rPr>
          <w:bCs/>
        </w:rPr>
        <w:t>6</w:t>
      </w:r>
      <w:r>
        <w:rPr>
          <w:bCs/>
        </w:rPr>
        <w:t xml:space="preserve">0 days after the publication of a public notice announcing the </w:t>
      </w:r>
      <w:r w:rsidR="00654475">
        <w:rPr>
          <w:bCs/>
        </w:rPr>
        <w:t xml:space="preserve">launch </w:t>
      </w:r>
      <w:r>
        <w:rPr>
          <w:bCs/>
        </w:rPr>
        <w:t>of the Foreign Adversary Control System.</w:t>
      </w:r>
      <w:r w:rsidR="00BC233C">
        <w:rPr>
          <w:bCs/>
        </w:rPr>
        <w:t xml:space="preserve">  The attestation shall be to its Foreign Adversary Control status as of the publication date of the same public notice.</w:t>
      </w:r>
    </w:p>
    <w:p w:rsidR="00F450AA" w:rsidP="000D3FB8" w14:paraId="17182DFC" w14:textId="5C4F3FFA">
      <w:pPr>
        <w:spacing w:after="120"/>
        <w:ind w:firstLine="720"/>
        <w:jc w:val="both"/>
        <w:rPr>
          <w:bCs/>
        </w:rPr>
      </w:pPr>
      <w:r>
        <w:rPr>
          <w:bCs/>
          <w:i/>
          <w:iCs/>
        </w:rPr>
        <w:t>(</w:t>
      </w:r>
      <w:r w:rsidR="00631A11">
        <w:rPr>
          <w:bCs/>
          <w:i/>
          <w:iCs/>
        </w:rPr>
        <w:t>i</w:t>
      </w:r>
      <w:r>
        <w:rPr>
          <w:bCs/>
          <w:i/>
          <w:iCs/>
        </w:rPr>
        <w:t xml:space="preserve">) </w:t>
      </w:r>
      <w:r w:rsidRPr="000D3FB8">
        <w:rPr>
          <w:bCs/>
          <w:i/>
          <w:iCs/>
          <w:u w:val="single"/>
        </w:rPr>
        <w:t>Deadline for initial attestations made by small entities</w:t>
      </w:r>
      <w:r>
        <w:rPr>
          <w:bCs/>
        </w:rPr>
        <w:t xml:space="preserve">.  </w:t>
      </w:r>
      <w:r w:rsidR="0089107F">
        <w:rPr>
          <w:bCs/>
        </w:rPr>
        <w:t xml:space="preserve">Small </w:t>
      </w:r>
      <w:r w:rsidR="005E3FB7">
        <w:rPr>
          <w:bCs/>
        </w:rPr>
        <w:t>E</w:t>
      </w:r>
      <w:r w:rsidR="0089107F">
        <w:rPr>
          <w:bCs/>
        </w:rPr>
        <w:t>ntit</w:t>
      </w:r>
      <w:r w:rsidR="005E3FB7">
        <w:rPr>
          <w:bCs/>
        </w:rPr>
        <w:t xml:space="preserve">y </w:t>
      </w:r>
      <w:r w:rsidR="005E3FB7">
        <w:rPr>
          <w:bCs/>
        </w:rPr>
        <w:t>Regulatees</w:t>
      </w:r>
      <w:r w:rsidR="0089107F">
        <w:rPr>
          <w:bCs/>
        </w:rPr>
        <w:t xml:space="preserve"> that </w:t>
      </w:r>
      <w:r w:rsidR="005E3FB7">
        <w:rPr>
          <w:bCs/>
        </w:rPr>
        <w:t xml:space="preserve">must submit an attestation for a Covered Authorization </w:t>
      </w:r>
      <w:r w:rsidR="00351208">
        <w:rPr>
          <w:bCs/>
        </w:rPr>
        <w:t xml:space="preserve">under </w:t>
      </w:r>
      <w:r w:rsidR="005E3FB7">
        <w:rPr>
          <w:bCs/>
        </w:rPr>
        <w:t>Schedule A or Schedule B</w:t>
      </w:r>
      <w:r w:rsidR="00351208">
        <w:rPr>
          <w:bCs/>
        </w:rPr>
        <w:t xml:space="preserve"> must complete its attestation </w:t>
      </w:r>
      <w:r w:rsidR="00341051">
        <w:rPr>
          <w:bCs/>
        </w:rPr>
        <w:t xml:space="preserve">no longer than </w:t>
      </w:r>
      <w:r w:rsidR="005E1C4A">
        <w:rPr>
          <w:bCs/>
        </w:rPr>
        <w:t>12</w:t>
      </w:r>
      <w:r w:rsidR="00341051">
        <w:rPr>
          <w:bCs/>
        </w:rPr>
        <w:t xml:space="preserve">0 days after the publication of a public notice announcing the </w:t>
      </w:r>
      <w:r w:rsidR="00664D9E">
        <w:rPr>
          <w:bCs/>
        </w:rPr>
        <w:t xml:space="preserve">launch </w:t>
      </w:r>
      <w:r w:rsidR="005E1C4A">
        <w:rPr>
          <w:bCs/>
        </w:rPr>
        <w:t xml:space="preserve">of the </w:t>
      </w:r>
      <w:r w:rsidR="00712799">
        <w:rPr>
          <w:bCs/>
        </w:rPr>
        <w:t xml:space="preserve">Foreign Adversary </w:t>
      </w:r>
      <w:r w:rsidR="0078580F">
        <w:rPr>
          <w:bCs/>
        </w:rPr>
        <w:t>Control System.</w:t>
      </w:r>
      <w:r w:rsidR="005A1D27">
        <w:rPr>
          <w:bCs/>
        </w:rPr>
        <w:t xml:space="preserve">  </w:t>
      </w:r>
      <w:r w:rsidR="00BC233C">
        <w:rPr>
          <w:bCs/>
        </w:rPr>
        <w:t>The attestation shall be to its Foreign Adversary Control status as of the publication date of the same public notice.</w:t>
      </w:r>
    </w:p>
    <w:p w:rsidR="008E2FF5" w:rsidP="000D3FB8" w14:paraId="2EBE8A3B" w14:textId="52C18C3A">
      <w:pPr>
        <w:spacing w:after="120"/>
        <w:ind w:firstLine="720"/>
        <w:jc w:val="both"/>
        <w:rPr>
          <w:bCs/>
        </w:rPr>
      </w:pPr>
      <w:r>
        <w:rPr>
          <w:bCs/>
          <w:i/>
          <w:iCs/>
        </w:rPr>
        <w:t xml:space="preserve">(j) </w:t>
      </w:r>
      <w:r w:rsidRPr="000D3FB8">
        <w:rPr>
          <w:bCs/>
          <w:i/>
          <w:iCs/>
          <w:u w:val="single"/>
        </w:rPr>
        <w:t>Additional disclosures for entities subject to Foreign Adversary Control</w:t>
      </w:r>
      <w:r>
        <w:rPr>
          <w:bCs/>
        </w:rPr>
        <w:t xml:space="preserve">. </w:t>
      </w:r>
      <w:r w:rsidR="00B70AD2">
        <w:rPr>
          <w:bCs/>
        </w:rPr>
        <w:t xml:space="preserve"> </w:t>
      </w:r>
      <w:r w:rsidR="00B70AD2">
        <w:rPr>
          <w:bCs/>
        </w:rPr>
        <w:t>Regulatees</w:t>
      </w:r>
      <w:r w:rsidR="00B70AD2">
        <w:rPr>
          <w:bCs/>
        </w:rPr>
        <w:t xml:space="preserve"> with Covered Authorizations under Schedule A, Schedule B, or Schedule C </w:t>
      </w:r>
      <w:r w:rsidR="00664D9E">
        <w:rPr>
          <w:bCs/>
        </w:rPr>
        <w:t>that attest</w:t>
      </w:r>
      <w:r w:rsidR="00A031A2">
        <w:rPr>
          <w:bCs/>
        </w:rPr>
        <w:t xml:space="preserve"> “yes”</w:t>
      </w:r>
      <w:r w:rsidR="00664D9E">
        <w:rPr>
          <w:bCs/>
        </w:rPr>
        <w:t xml:space="preserve"> to Foreign Adversary Control </w:t>
      </w:r>
      <w:r w:rsidR="00B70AD2">
        <w:rPr>
          <w:bCs/>
        </w:rPr>
        <w:t xml:space="preserve">shall </w:t>
      </w:r>
      <w:r>
        <w:rPr>
          <w:bCs/>
        </w:rPr>
        <w:t>disclose to the Commission the following information:</w:t>
      </w:r>
    </w:p>
    <w:p w:rsidR="008E2FF5" w:rsidP="000D3FB8" w14:paraId="327FEFC3" w14:textId="615FA373">
      <w:pPr>
        <w:spacing w:after="120"/>
        <w:ind w:left="360" w:firstLine="720"/>
        <w:jc w:val="both"/>
        <w:rPr>
          <w:bCs/>
        </w:rPr>
      </w:pPr>
      <w:r>
        <w:rPr>
          <w:bCs/>
        </w:rPr>
        <w:t xml:space="preserve">(1) </w:t>
      </w:r>
      <w:r w:rsidR="00422C61">
        <w:rPr>
          <w:bCs/>
        </w:rPr>
        <w:t>All 5% or greater direct or indirect equity and/or voting interest holders, and controlling interest holders, specifically:</w:t>
      </w:r>
    </w:p>
    <w:p w:rsidR="00422C61" w:rsidP="000D3FB8" w14:paraId="18591E2D" w14:textId="1756F201">
      <w:pPr>
        <w:spacing w:after="120"/>
        <w:ind w:left="360" w:firstLine="720"/>
        <w:jc w:val="both"/>
        <w:rPr>
          <w:bCs/>
        </w:rPr>
      </w:pPr>
      <w:r>
        <w:rPr>
          <w:bCs/>
        </w:rPr>
        <w:tab/>
        <w:t>(</w:t>
      </w:r>
      <w:r>
        <w:rPr>
          <w:bCs/>
        </w:rPr>
        <w:t>i</w:t>
      </w:r>
      <w:r>
        <w:rPr>
          <w:bCs/>
        </w:rPr>
        <w:t xml:space="preserve">) For each reported natural person interest holder, his or her: (A) Name; (B) Address; (C) </w:t>
      </w:r>
      <w:r w:rsidR="00906B76">
        <w:rPr>
          <w:bCs/>
        </w:rPr>
        <w:t xml:space="preserve">Country or countries of citizenship; (D) Percentage or equity and/or voting interest, and all controlling interests, held directly or indirectly in the </w:t>
      </w:r>
      <w:r w:rsidR="00906B76">
        <w:rPr>
          <w:bCs/>
        </w:rPr>
        <w:t>Regulatee</w:t>
      </w:r>
      <w:r w:rsidR="00906B76">
        <w:rPr>
          <w:bCs/>
        </w:rPr>
        <w:t>; and</w:t>
      </w:r>
    </w:p>
    <w:p w:rsidR="00906B76" w:rsidP="000D3FB8" w14:paraId="6B5335D0" w14:textId="2221253B">
      <w:pPr>
        <w:spacing w:after="120"/>
        <w:ind w:left="360" w:firstLine="720"/>
        <w:jc w:val="both"/>
        <w:rPr>
          <w:bCs/>
        </w:rPr>
      </w:pPr>
      <w:r>
        <w:rPr>
          <w:bCs/>
        </w:rPr>
        <w:tab/>
        <w:t xml:space="preserve">(ii) For each reported entity (including a government entity) interest holder, it: </w:t>
      </w:r>
      <w:r w:rsidR="006413A5">
        <w:rPr>
          <w:bCs/>
        </w:rPr>
        <w:t xml:space="preserve">(A) Name; (B) Address; (C) Country under the laws of which the entity is organized; (D) Country of the principal place of business, headquarters, and place of incorporation or organization; (E) Type of entity and principal business(es); (F) Percentage of equity and/or voting interest, and all controlling interests, held directly or indirectly in the </w:t>
      </w:r>
      <w:r w:rsidR="006413A5">
        <w:rPr>
          <w:bCs/>
        </w:rPr>
        <w:t>Regulatee</w:t>
      </w:r>
      <w:r w:rsidR="006413A5">
        <w:rPr>
          <w:bCs/>
        </w:rPr>
        <w:t>; and</w:t>
      </w:r>
    </w:p>
    <w:p w:rsidR="006413A5" w:rsidP="000D3FB8" w14:paraId="0448E626" w14:textId="15D1FAAE">
      <w:pPr>
        <w:spacing w:after="120"/>
        <w:ind w:left="360" w:firstLine="720"/>
        <w:jc w:val="both"/>
        <w:rPr>
          <w:bCs/>
        </w:rPr>
      </w:pPr>
      <w:r>
        <w:rPr>
          <w:bCs/>
        </w:rPr>
        <w:tab/>
        <w:t>(iii) An ow</w:t>
      </w:r>
      <w:r w:rsidR="003E04CE">
        <w:rPr>
          <w:bCs/>
        </w:rPr>
        <w:t xml:space="preserve">nership diagram that illustrates the </w:t>
      </w:r>
      <w:r w:rsidR="003E04CE">
        <w:rPr>
          <w:bCs/>
        </w:rPr>
        <w:t>Regulatee’s</w:t>
      </w:r>
      <w:r w:rsidR="003E04CE">
        <w:rPr>
          <w:bCs/>
        </w:rPr>
        <w:t xml:space="preserve"> vertical ownership structure, including the direct and indirect equity and/or voting interests, and/or controlling interests, as applicable, held by the individuals and entities named in response to this paragraph (j)(1). </w:t>
      </w:r>
      <w:r w:rsidR="006A2DBD">
        <w:rPr>
          <w:bCs/>
        </w:rPr>
        <w:t xml:space="preserve"> Every such individual or entity with equity and/or voting interests shall be depicted and all controlling interests must be identified.  For disclosures provided pursuant to </w:t>
      </w:r>
      <w:r w:rsidR="000B7260">
        <w:rPr>
          <w:bCs/>
        </w:rPr>
        <w:t>paragraphs (</w:t>
      </w:r>
      <w:r w:rsidRPr="007E30D2" w:rsidR="000B7260">
        <w:rPr>
          <w:bCs/>
          <w:i/>
          <w:iCs/>
        </w:rPr>
        <w:t>l</w:t>
      </w:r>
      <w:r w:rsidR="000B7260">
        <w:rPr>
          <w:bCs/>
        </w:rPr>
        <w:t>)(3)(ii), (</w:t>
      </w:r>
      <w:r w:rsidRPr="007E30D2" w:rsidR="000B7260">
        <w:rPr>
          <w:bCs/>
          <w:i/>
          <w:iCs/>
        </w:rPr>
        <w:t>l</w:t>
      </w:r>
      <w:r w:rsidR="000B7260">
        <w:rPr>
          <w:bCs/>
        </w:rPr>
        <w:t>)(4)(ii), and (</w:t>
      </w:r>
      <w:r w:rsidRPr="007E30D2" w:rsidR="000B7260">
        <w:rPr>
          <w:bCs/>
          <w:i/>
          <w:iCs/>
        </w:rPr>
        <w:t>l</w:t>
      </w:r>
      <w:r w:rsidR="000B7260">
        <w:rPr>
          <w:bCs/>
        </w:rPr>
        <w:t xml:space="preserve">)(5)(ii) of this section, the ownership diagram shall include both the pre-transaction and post-transaction ownership </w:t>
      </w:r>
      <w:r w:rsidR="003E56FE">
        <w:rPr>
          <w:bCs/>
        </w:rPr>
        <w:t>o</w:t>
      </w:r>
      <w:r w:rsidR="000B7260">
        <w:rPr>
          <w:bCs/>
        </w:rPr>
        <w:t xml:space="preserve">f the </w:t>
      </w:r>
      <w:r w:rsidR="000B7260">
        <w:rPr>
          <w:bCs/>
        </w:rPr>
        <w:t>Regulatee</w:t>
      </w:r>
      <w:r w:rsidR="00971C97">
        <w:rPr>
          <w:bCs/>
        </w:rPr>
        <w:t>;</w:t>
      </w:r>
    </w:p>
    <w:p w:rsidR="007E18B7" w:rsidP="000D3FB8" w14:paraId="224F8C46" w14:textId="2A5BDE63">
      <w:pPr>
        <w:spacing w:after="120"/>
        <w:ind w:left="360" w:firstLine="720"/>
        <w:jc w:val="both"/>
        <w:rPr>
          <w:bCs/>
        </w:rPr>
      </w:pPr>
      <w:r>
        <w:rPr>
          <w:bCs/>
        </w:rPr>
        <w:t xml:space="preserve">(2) The identity of the foreign adversary or foreign adversary country the </w:t>
      </w:r>
      <w:r>
        <w:rPr>
          <w:bCs/>
        </w:rPr>
        <w:t>Regulatee</w:t>
      </w:r>
      <w:r>
        <w:rPr>
          <w:bCs/>
        </w:rPr>
        <w:t xml:space="preserve"> is owned by, controlled by, or subject to the jurisdiction or direction of; and</w:t>
      </w:r>
    </w:p>
    <w:p w:rsidR="007E18B7" w:rsidP="000D3FB8" w14:paraId="45082ADB" w14:textId="669B1B01">
      <w:pPr>
        <w:spacing w:after="120"/>
        <w:ind w:left="360" w:firstLine="720"/>
        <w:jc w:val="both"/>
        <w:rPr>
          <w:bCs/>
        </w:rPr>
      </w:pPr>
      <w:r>
        <w:rPr>
          <w:bCs/>
        </w:rPr>
        <w:t xml:space="preserve">(3) The nature of the Foreign Adversary Control to which the </w:t>
      </w:r>
      <w:r>
        <w:rPr>
          <w:bCs/>
        </w:rPr>
        <w:t>Regulatee</w:t>
      </w:r>
      <w:r>
        <w:rPr>
          <w:bCs/>
        </w:rPr>
        <w:t xml:space="preserve"> is subject</w:t>
      </w:r>
      <w:r w:rsidR="00A935D2">
        <w:rPr>
          <w:bCs/>
        </w:rPr>
        <w:t>.</w:t>
      </w:r>
    </w:p>
    <w:p w:rsidR="00A97E64" w:rsidP="000D3FB8" w14:paraId="3B3A8C01" w14:textId="4F79415A">
      <w:pPr>
        <w:spacing w:after="120"/>
        <w:ind w:left="360" w:firstLine="720"/>
        <w:jc w:val="both"/>
        <w:rPr>
          <w:bCs/>
        </w:rPr>
      </w:pPr>
      <w:r>
        <w:rPr>
          <w:bCs/>
        </w:rPr>
        <w:t xml:space="preserve">(4) A </w:t>
      </w:r>
      <w:r>
        <w:rPr>
          <w:bCs/>
        </w:rPr>
        <w:t>Regulatee</w:t>
      </w:r>
      <w:r>
        <w:rPr>
          <w:bCs/>
        </w:rPr>
        <w:t xml:space="preserve"> filing a disclosure pursuant to this paragraph (j) shall include a statement certifying to the truth and accuracy of all information included in the disclosure. </w:t>
      </w:r>
    </w:p>
    <w:p w:rsidR="000D5A92" w:rsidP="009A57C2" w14:paraId="0F37EAB8" w14:textId="504AF778">
      <w:pPr>
        <w:spacing w:after="120"/>
        <w:ind w:firstLine="720"/>
        <w:jc w:val="both"/>
        <w:rPr>
          <w:bCs/>
        </w:rPr>
      </w:pPr>
      <w:r>
        <w:rPr>
          <w:bCs/>
          <w:i/>
          <w:iCs/>
        </w:rPr>
        <w:t xml:space="preserve">(k) </w:t>
      </w:r>
      <w:r w:rsidRPr="000D3FB8">
        <w:rPr>
          <w:bCs/>
          <w:i/>
          <w:iCs/>
          <w:u w:val="single"/>
        </w:rPr>
        <w:t>Eligible U.S. public companies</w:t>
      </w:r>
      <w:r>
        <w:rPr>
          <w:bCs/>
        </w:rPr>
        <w:t xml:space="preserve">.  </w:t>
      </w:r>
      <w:r w:rsidR="004D4193">
        <w:rPr>
          <w:bCs/>
        </w:rPr>
        <w:t xml:space="preserve">A </w:t>
      </w:r>
      <w:r w:rsidR="004D4193">
        <w:rPr>
          <w:bCs/>
        </w:rPr>
        <w:t>Regulatee</w:t>
      </w:r>
      <w:r w:rsidR="004D4193">
        <w:rPr>
          <w:bCs/>
        </w:rPr>
        <w:t xml:space="preserve"> that is an eligible U.S. public company, as that term is defined in </w:t>
      </w:r>
      <w:r w:rsidRPr="00553DE2" w:rsidR="003D331D">
        <w:rPr>
          <w:bCs/>
        </w:rPr>
        <w:t>47 CFR § 1.5000(e)</w:t>
      </w:r>
      <w:r w:rsidR="004D4193">
        <w:rPr>
          <w:bCs/>
        </w:rPr>
        <w:t xml:space="preserve">, and that is subject to the reporting requirements set forth in paragraph (j) of this section, shall follow the same standards set forth in </w:t>
      </w:r>
      <w:r w:rsidRPr="00553DE2" w:rsidR="003D331D">
        <w:rPr>
          <w:bCs/>
        </w:rPr>
        <w:t>47 CFR § 1.5000(e)</w:t>
      </w:r>
      <w:r w:rsidR="004D4193">
        <w:rPr>
          <w:bCs/>
        </w:rPr>
        <w:t>, to the extent applicable, in its reporting under paragraph (j) of this section.</w:t>
      </w:r>
    </w:p>
    <w:p w:rsidR="004D4193" w:rsidP="009A57C2" w14:paraId="27C4F706" w14:textId="6704A15D">
      <w:pPr>
        <w:spacing w:after="120"/>
        <w:ind w:firstLine="720"/>
        <w:jc w:val="both"/>
        <w:rPr>
          <w:bCs/>
        </w:rPr>
      </w:pPr>
      <w:r>
        <w:rPr>
          <w:bCs/>
          <w:i/>
          <w:iCs/>
        </w:rPr>
        <w:t xml:space="preserve">(l) </w:t>
      </w:r>
      <w:r w:rsidRPr="000D3FB8">
        <w:rPr>
          <w:bCs/>
          <w:i/>
          <w:iCs/>
          <w:u w:val="single"/>
        </w:rPr>
        <w:t>Ongoing attestation and disclosure requirements</w:t>
      </w:r>
      <w:r>
        <w:rPr>
          <w:bCs/>
        </w:rPr>
        <w:t xml:space="preserve">.  </w:t>
      </w:r>
      <w:r w:rsidR="000D09F9">
        <w:rPr>
          <w:bCs/>
        </w:rPr>
        <w:t>Regulatees</w:t>
      </w:r>
      <w:r w:rsidR="000D09F9">
        <w:rPr>
          <w:bCs/>
        </w:rPr>
        <w:t xml:space="preserve"> shall file </w:t>
      </w:r>
      <w:r w:rsidR="00A73AD5">
        <w:rPr>
          <w:bCs/>
        </w:rPr>
        <w:t>ongoing</w:t>
      </w:r>
      <w:r w:rsidR="000D09F9">
        <w:rPr>
          <w:bCs/>
        </w:rPr>
        <w:t xml:space="preserve"> </w:t>
      </w:r>
      <w:r w:rsidR="00E8391E">
        <w:rPr>
          <w:bCs/>
        </w:rPr>
        <w:t>attestations in the</w:t>
      </w:r>
      <w:r w:rsidR="00CB305E">
        <w:rPr>
          <w:bCs/>
        </w:rPr>
        <w:t xml:space="preserve"> scenarios listed below, and if </w:t>
      </w:r>
      <w:r w:rsidR="00502FFD">
        <w:rPr>
          <w:bCs/>
        </w:rPr>
        <w:t xml:space="preserve">the attestation is </w:t>
      </w:r>
      <w:r w:rsidR="00CB305E">
        <w:rPr>
          <w:bCs/>
        </w:rPr>
        <w:t>affirmative</w:t>
      </w:r>
      <w:r w:rsidR="00340DDB">
        <w:rPr>
          <w:bCs/>
        </w:rPr>
        <w:t xml:space="preserve"> (i.e., “yes” to Foreign Adversary Control)</w:t>
      </w:r>
      <w:r w:rsidR="00CB305E">
        <w:rPr>
          <w:bCs/>
        </w:rPr>
        <w:t xml:space="preserve">, </w:t>
      </w:r>
      <w:r w:rsidR="00CB305E">
        <w:rPr>
          <w:bCs/>
        </w:rPr>
        <w:t>Regulatees</w:t>
      </w:r>
      <w:r w:rsidR="00CB305E">
        <w:rPr>
          <w:bCs/>
        </w:rPr>
        <w:t xml:space="preserve"> shall also file</w:t>
      </w:r>
      <w:r w:rsidR="00B90006">
        <w:rPr>
          <w:bCs/>
        </w:rPr>
        <w:t xml:space="preserve"> the</w:t>
      </w:r>
      <w:r w:rsidR="00CB305E">
        <w:rPr>
          <w:bCs/>
        </w:rPr>
        <w:t xml:space="preserve"> additional</w:t>
      </w:r>
      <w:r w:rsidR="00B90006">
        <w:rPr>
          <w:bCs/>
        </w:rPr>
        <w:t xml:space="preserve"> </w:t>
      </w:r>
      <w:r w:rsidR="00CB305E">
        <w:rPr>
          <w:bCs/>
        </w:rPr>
        <w:t>disclosures required by paragraph (j) of this section</w:t>
      </w:r>
      <w:r w:rsidR="00E8391E">
        <w:rPr>
          <w:bCs/>
        </w:rPr>
        <w:t>:</w:t>
      </w:r>
    </w:p>
    <w:p w:rsidR="00E8391E" w:rsidP="000D00CF" w14:paraId="67F96668" w14:textId="44AB763F">
      <w:pPr>
        <w:widowControl/>
        <w:spacing w:after="120"/>
        <w:ind w:left="720" w:firstLine="360"/>
        <w:jc w:val="both"/>
        <w:rPr>
          <w:bCs/>
        </w:rPr>
      </w:pPr>
      <w:r>
        <w:rPr>
          <w:bCs/>
        </w:rPr>
        <w:t xml:space="preserve">(1) </w:t>
      </w:r>
      <w:r w:rsidR="00E83697">
        <w:rPr>
          <w:bCs/>
        </w:rPr>
        <w:t xml:space="preserve">Any </w:t>
      </w:r>
      <w:r w:rsidR="00E83697">
        <w:rPr>
          <w:bCs/>
        </w:rPr>
        <w:t>Regulatee</w:t>
      </w:r>
      <w:r w:rsidR="00E83697">
        <w:rPr>
          <w:bCs/>
        </w:rPr>
        <w:t xml:space="preserve"> holding a Covered Authorization designated in Schedule A or B, regard</w:t>
      </w:r>
      <w:r w:rsidR="00A9494D">
        <w:rPr>
          <w:bCs/>
        </w:rPr>
        <w:t>less of whether it has already filed an attestation</w:t>
      </w:r>
      <w:r w:rsidR="000F2C2C">
        <w:rPr>
          <w:bCs/>
        </w:rPr>
        <w:t>:</w:t>
      </w:r>
    </w:p>
    <w:p w:rsidR="00A9494D" w:rsidP="000D3FB8" w14:paraId="442F1461" w14:textId="3911B140">
      <w:pPr>
        <w:spacing w:after="120"/>
        <w:ind w:left="720" w:firstLine="360"/>
        <w:jc w:val="both"/>
        <w:rPr>
          <w:bCs/>
        </w:rPr>
      </w:pPr>
      <w:r>
        <w:rPr>
          <w:bCs/>
        </w:rPr>
        <w:tab/>
        <w:t>(</w:t>
      </w:r>
      <w:r>
        <w:rPr>
          <w:bCs/>
        </w:rPr>
        <w:t>i</w:t>
      </w:r>
      <w:r>
        <w:rPr>
          <w:bCs/>
        </w:rPr>
        <w:t xml:space="preserve">) within 30 days of the </w:t>
      </w:r>
      <w:r>
        <w:rPr>
          <w:bCs/>
        </w:rPr>
        <w:t>Regulatee</w:t>
      </w:r>
      <w:r>
        <w:rPr>
          <w:bCs/>
        </w:rPr>
        <w:t xml:space="preserve"> becoming subject to Foreign Adversary Control</w:t>
      </w:r>
      <w:r w:rsidR="007C3160">
        <w:rPr>
          <w:bCs/>
        </w:rPr>
        <w:t>, to the extent such change does not require Commission approval; or</w:t>
      </w:r>
    </w:p>
    <w:p w:rsidR="007C3160" w:rsidP="000D3FB8" w14:paraId="32CAFE55" w14:textId="5A576132">
      <w:pPr>
        <w:spacing w:after="120"/>
        <w:ind w:left="720" w:firstLine="360"/>
        <w:jc w:val="both"/>
        <w:rPr>
          <w:bCs/>
        </w:rPr>
      </w:pPr>
      <w:r>
        <w:rPr>
          <w:bCs/>
        </w:rPr>
        <w:tab/>
        <w:t>(ii) within 60 days, or for small entities, 120 days, of the effec</w:t>
      </w:r>
      <w:r w:rsidR="00162D9A">
        <w:rPr>
          <w:bCs/>
        </w:rPr>
        <w:t xml:space="preserve">tive date of an addition to the Department of Commerce’s list of foreign adversaries in </w:t>
      </w:r>
      <w:r w:rsidRPr="00553DE2" w:rsidR="003D331D">
        <w:rPr>
          <w:bCs/>
        </w:rPr>
        <w:t>15 CFR § 791.4</w:t>
      </w:r>
      <w:r w:rsidR="00162D9A">
        <w:rPr>
          <w:bCs/>
        </w:rPr>
        <w:t xml:space="preserve"> of a foreign government or foreign non-government person that has Foreign Adversary Control over the </w:t>
      </w:r>
      <w:r w:rsidR="00162D9A">
        <w:rPr>
          <w:bCs/>
        </w:rPr>
        <w:t>Regulatee</w:t>
      </w:r>
      <w:r w:rsidR="00162D9A">
        <w:rPr>
          <w:bCs/>
        </w:rPr>
        <w:t>;</w:t>
      </w:r>
    </w:p>
    <w:p w:rsidR="00162D9A" w:rsidP="000D3FB8" w14:paraId="45B2A3B7" w14:textId="3F87D850">
      <w:pPr>
        <w:spacing w:after="120"/>
        <w:ind w:left="720" w:firstLine="360"/>
        <w:jc w:val="both"/>
        <w:rPr>
          <w:bCs/>
        </w:rPr>
      </w:pPr>
      <w:r>
        <w:rPr>
          <w:bCs/>
        </w:rPr>
        <w:t xml:space="preserve">(2) Any </w:t>
      </w:r>
      <w:r>
        <w:rPr>
          <w:bCs/>
        </w:rPr>
        <w:t>Regulatee</w:t>
      </w:r>
      <w:r w:rsidR="000F6CC2">
        <w:rPr>
          <w:bCs/>
        </w:rPr>
        <w:t xml:space="preserve"> </w:t>
      </w:r>
      <w:r w:rsidR="009F5FD8">
        <w:rPr>
          <w:bCs/>
        </w:rPr>
        <w:t>holding a Covered Authorization designated in Schedule A, regardless of whether it has already filed an attestation, within 30 days of the effective date of a public notice announcing the designation;</w:t>
      </w:r>
    </w:p>
    <w:p w:rsidR="009F5FD8" w:rsidP="000D3FB8" w14:paraId="786176D8" w14:textId="5DEA1220">
      <w:pPr>
        <w:spacing w:after="120"/>
        <w:ind w:left="720" w:firstLine="360"/>
        <w:jc w:val="both"/>
        <w:rPr>
          <w:bCs/>
        </w:rPr>
      </w:pPr>
      <w:r>
        <w:rPr>
          <w:bCs/>
        </w:rPr>
        <w:t xml:space="preserve">(3) </w:t>
      </w:r>
      <w:r w:rsidR="002D540F">
        <w:rPr>
          <w:bCs/>
        </w:rPr>
        <w:t xml:space="preserve">Any </w:t>
      </w:r>
      <w:r w:rsidR="002D540F">
        <w:rPr>
          <w:bCs/>
        </w:rPr>
        <w:t>Regulatee</w:t>
      </w:r>
      <w:r w:rsidR="002D540F">
        <w:rPr>
          <w:bCs/>
        </w:rPr>
        <w:t xml:space="preserve"> holding a Covered Authorization designated in Schedule A or Schedule B that is subject to Foreign Adversary Control, or any </w:t>
      </w:r>
      <w:r w:rsidR="002D540F">
        <w:rPr>
          <w:bCs/>
        </w:rPr>
        <w:t>Regulatee</w:t>
      </w:r>
      <w:r w:rsidR="002D540F">
        <w:rPr>
          <w:bCs/>
        </w:rPr>
        <w:t xml:space="preserve"> whose last attestation w</w:t>
      </w:r>
      <w:r w:rsidR="000F2C2C">
        <w:rPr>
          <w:bCs/>
        </w:rPr>
        <w:t>as affirmative:</w:t>
      </w:r>
    </w:p>
    <w:p w:rsidR="000F2C2C" w:rsidP="000D3FB8" w14:paraId="0984F4FE" w14:textId="465CBFF0">
      <w:pPr>
        <w:spacing w:after="120"/>
        <w:ind w:left="720" w:firstLine="360"/>
        <w:jc w:val="both"/>
        <w:rPr>
          <w:bCs/>
        </w:rPr>
      </w:pPr>
      <w:r>
        <w:rPr>
          <w:bCs/>
        </w:rPr>
        <w:tab/>
        <w:t>(</w:t>
      </w:r>
      <w:r>
        <w:rPr>
          <w:bCs/>
        </w:rPr>
        <w:t>i</w:t>
      </w:r>
      <w:r>
        <w:rPr>
          <w:bCs/>
        </w:rPr>
        <w:t>) Upon application for any new Covered Authorization;</w:t>
      </w:r>
    </w:p>
    <w:p w:rsidR="000F2C2C" w:rsidP="000D3FB8" w14:paraId="77133FBC" w14:textId="1FF615B7">
      <w:pPr>
        <w:spacing w:after="120"/>
        <w:ind w:left="720" w:firstLine="360"/>
        <w:jc w:val="both"/>
        <w:rPr>
          <w:bCs/>
        </w:rPr>
      </w:pPr>
      <w:r>
        <w:rPr>
          <w:bCs/>
        </w:rPr>
        <w:tab/>
        <w:t xml:space="preserve">(ii) Upon application for an assignment, except a </w:t>
      </w:r>
      <w:r>
        <w:rPr>
          <w:bCs/>
          <w:i/>
          <w:iCs/>
        </w:rPr>
        <w:t xml:space="preserve">pro forma </w:t>
      </w:r>
      <w:r>
        <w:rPr>
          <w:bCs/>
        </w:rPr>
        <w:t>assignment as defined in</w:t>
      </w:r>
      <w:r w:rsidR="006C2C2C">
        <w:rPr>
          <w:bCs/>
        </w:rPr>
        <w:t xml:space="preserve"> 47 CFR</w:t>
      </w:r>
      <w:r>
        <w:rPr>
          <w:bCs/>
        </w:rPr>
        <w:t xml:space="preserve"> </w:t>
      </w:r>
      <w:r w:rsidRPr="005161C4" w:rsidR="005161C4">
        <w:rPr>
          <w:bCs/>
        </w:rPr>
        <w:t xml:space="preserve">§ </w:t>
      </w:r>
      <w:r w:rsidR="005161C4">
        <w:rPr>
          <w:bCs/>
        </w:rPr>
        <w:t xml:space="preserve">63.24(d), of any Covered Authorization held by the </w:t>
      </w:r>
      <w:r w:rsidR="005161C4">
        <w:rPr>
          <w:bCs/>
        </w:rPr>
        <w:t>Regulatee</w:t>
      </w:r>
      <w:r w:rsidR="005161C4">
        <w:rPr>
          <w:bCs/>
        </w:rPr>
        <w:t>;</w:t>
      </w:r>
    </w:p>
    <w:p w:rsidR="005161C4" w:rsidP="000D3FB8" w14:paraId="1F8256C3" w14:textId="74BD8848">
      <w:pPr>
        <w:spacing w:after="120"/>
        <w:ind w:left="720" w:firstLine="360"/>
        <w:jc w:val="both"/>
        <w:rPr>
          <w:bCs/>
        </w:rPr>
      </w:pPr>
      <w:r>
        <w:rPr>
          <w:bCs/>
        </w:rPr>
        <w:tab/>
        <w:t xml:space="preserve">(iii) </w:t>
      </w:r>
      <w:r w:rsidR="00234925">
        <w:rPr>
          <w:bCs/>
        </w:rPr>
        <w:t>Upon application for a renewal of any Covered Authorization;</w:t>
      </w:r>
    </w:p>
    <w:p w:rsidR="00234925" w:rsidP="000D3FB8" w14:paraId="09DB9A9F" w14:textId="1DB4D2A3">
      <w:pPr>
        <w:spacing w:after="120"/>
        <w:ind w:left="720" w:firstLine="360"/>
        <w:jc w:val="both"/>
        <w:rPr>
          <w:bCs/>
        </w:rPr>
      </w:pPr>
      <w:r>
        <w:rPr>
          <w:bCs/>
        </w:rPr>
        <w:tab/>
        <w:t>(iv) Upon application for a modification of any Covered Authorization;</w:t>
      </w:r>
    </w:p>
    <w:p w:rsidR="00234925" w:rsidP="000D3FB8" w14:paraId="7B24916F" w14:textId="12B7492E">
      <w:pPr>
        <w:spacing w:after="120"/>
        <w:ind w:left="720" w:firstLine="360"/>
        <w:jc w:val="both"/>
        <w:rPr>
          <w:bCs/>
        </w:rPr>
      </w:pPr>
      <w:r>
        <w:rPr>
          <w:bCs/>
        </w:rPr>
        <w:tab/>
        <w:t xml:space="preserve">(v) Within 30 days of any changes to 5% or greater direct or indirect equity and/or voting interests, or controlling interests, held in the </w:t>
      </w:r>
      <w:r>
        <w:rPr>
          <w:bCs/>
        </w:rPr>
        <w:t>Regulatee</w:t>
      </w:r>
      <w:r>
        <w:rPr>
          <w:bCs/>
        </w:rPr>
        <w:t>; or</w:t>
      </w:r>
    </w:p>
    <w:p w:rsidR="00FD3859" w:rsidP="000D3FB8" w14:paraId="5629E4B1" w14:textId="18F29D39">
      <w:pPr>
        <w:spacing w:after="120"/>
        <w:ind w:left="720" w:firstLine="360"/>
        <w:jc w:val="both"/>
        <w:rPr>
          <w:bCs/>
        </w:rPr>
      </w:pPr>
      <w:r>
        <w:rPr>
          <w:bCs/>
        </w:rPr>
        <w:tab/>
        <w:t xml:space="preserve">(vi) Within 30 days of the effective date of a public notice designating a Covered Authorization held by the </w:t>
      </w:r>
      <w:r>
        <w:rPr>
          <w:bCs/>
        </w:rPr>
        <w:t>Regulatee</w:t>
      </w:r>
      <w:r>
        <w:rPr>
          <w:bCs/>
        </w:rPr>
        <w:t xml:space="preserve"> in Schedule B;</w:t>
      </w:r>
    </w:p>
    <w:p w:rsidR="00A542FA" w:rsidP="000D3FB8" w14:paraId="6F8291F6" w14:textId="060DB87A">
      <w:pPr>
        <w:spacing w:after="120"/>
        <w:ind w:left="720" w:firstLine="360"/>
        <w:jc w:val="both"/>
        <w:rPr>
          <w:bCs/>
        </w:rPr>
      </w:pPr>
      <w:r>
        <w:rPr>
          <w:bCs/>
        </w:rPr>
        <w:t xml:space="preserve">(4) </w:t>
      </w:r>
      <w:r w:rsidR="007D041B">
        <w:rPr>
          <w:bCs/>
        </w:rPr>
        <w:t>Any entity regardless of Foreign Adversary Control:</w:t>
      </w:r>
    </w:p>
    <w:p w:rsidR="007D041B" w:rsidP="000D3FB8" w14:paraId="38D324B4" w14:textId="2FE8E04F">
      <w:pPr>
        <w:spacing w:after="120"/>
        <w:ind w:left="720" w:firstLine="360"/>
        <w:jc w:val="both"/>
        <w:rPr>
          <w:bCs/>
        </w:rPr>
      </w:pPr>
      <w:r>
        <w:rPr>
          <w:bCs/>
        </w:rPr>
        <w:tab/>
        <w:t>(</w:t>
      </w:r>
      <w:r>
        <w:rPr>
          <w:bCs/>
        </w:rPr>
        <w:t>i</w:t>
      </w:r>
      <w:r>
        <w:rPr>
          <w:bCs/>
        </w:rPr>
        <w:t>) Upon</w:t>
      </w:r>
      <w:r w:rsidR="00741934">
        <w:rPr>
          <w:bCs/>
        </w:rPr>
        <w:t xml:space="preserve"> application for the entity’s initial Covered Authorization designated in Schedule A; or</w:t>
      </w:r>
    </w:p>
    <w:p w:rsidR="00741934" w:rsidP="000D3FB8" w14:paraId="4906C914" w14:textId="6B864A95">
      <w:pPr>
        <w:spacing w:after="120"/>
        <w:ind w:left="720" w:firstLine="360"/>
        <w:jc w:val="both"/>
        <w:rPr>
          <w:bCs/>
        </w:rPr>
      </w:pPr>
      <w:r>
        <w:rPr>
          <w:bCs/>
        </w:rPr>
        <w:tab/>
        <w:t xml:space="preserve">(ii) Upon application for the entity to be the transferee or assignee of its initial Covered Authorization designated in Schedule A, except in the case of a </w:t>
      </w:r>
      <w:r>
        <w:rPr>
          <w:bCs/>
          <w:i/>
          <w:iCs/>
        </w:rPr>
        <w:t>pro forma</w:t>
      </w:r>
      <w:r>
        <w:rPr>
          <w:bCs/>
        </w:rPr>
        <w:t xml:space="preserve"> transfer of control or assignment as defined in</w:t>
      </w:r>
      <w:r w:rsidR="001257C4">
        <w:rPr>
          <w:bCs/>
        </w:rPr>
        <w:t xml:space="preserve"> 47 CFR</w:t>
      </w:r>
      <w:r>
        <w:rPr>
          <w:bCs/>
        </w:rPr>
        <w:t xml:space="preserve"> </w:t>
      </w:r>
      <w:r w:rsidRPr="005161C4" w:rsidR="00A154AF">
        <w:rPr>
          <w:bCs/>
        </w:rPr>
        <w:t>§</w:t>
      </w:r>
      <w:r w:rsidR="00A154AF">
        <w:rPr>
          <w:bCs/>
        </w:rPr>
        <w:t xml:space="preserve"> 63.24(d);</w:t>
      </w:r>
    </w:p>
    <w:p w:rsidR="00A154AF" w:rsidP="000D3FB8" w14:paraId="59338CA8" w14:textId="4577FB5C">
      <w:pPr>
        <w:spacing w:after="120"/>
        <w:ind w:left="720" w:firstLine="360"/>
        <w:jc w:val="both"/>
        <w:rPr>
          <w:bCs/>
        </w:rPr>
      </w:pPr>
      <w:r>
        <w:rPr>
          <w:bCs/>
        </w:rPr>
        <w:t xml:space="preserve">(5) Any entity </w:t>
      </w:r>
      <w:r w:rsidR="0073663D">
        <w:rPr>
          <w:bCs/>
        </w:rPr>
        <w:t>that is subject to Foreign Adversary Control</w:t>
      </w:r>
      <w:r w:rsidR="00F11E21">
        <w:rPr>
          <w:bCs/>
        </w:rPr>
        <w:t>:</w:t>
      </w:r>
    </w:p>
    <w:p w:rsidR="0073663D" w:rsidP="000D3FB8" w14:paraId="08313494" w14:textId="41974A8D">
      <w:pPr>
        <w:spacing w:after="120"/>
        <w:ind w:left="720" w:firstLine="360"/>
        <w:jc w:val="both"/>
        <w:rPr>
          <w:bCs/>
        </w:rPr>
      </w:pPr>
      <w:r>
        <w:rPr>
          <w:bCs/>
        </w:rPr>
        <w:tab/>
        <w:t>(</w:t>
      </w:r>
      <w:r>
        <w:rPr>
          <w:bCs/>
        </w:rPr>
        <w:t>i</w:t>
      </w:r>
      <w:r>
        <w:rPr>
          <w:bCs/>
        </w:rPr>
        <w:t xml:space="preserve">) </w:t>
      </w:r>
      <w:r w:rsidR="00590FA0">
        <w:rPr>
          <w:bCs/>
        </w:rPr>
        <w:t>Upon application for the entity’s initial Covered Authorization designated in Schedule B;</w:t>
      </w:r>
    </w:p>
    <w:p w:rsidR="00590FA0" w:rsidP="000D3FB8" w14:paraId="67AD30A6" w14:textId="51922F3B">
      <w:pPr>
        <w:spacing w:after="120"/>
        <w:ind w:left="720" w:firstLine="360"/>
        <w:jc w:val="both"/>
        <w:rPr>
          <w:bCs/>
        </w:rPr>
      </w:pPr>
      <w:r>
        <w:rPr>
          <w:bCs/>
        </w:rPr>
        <w:tab/>
        <w:t xml:space="preserve">(ii) Upon application </w:t>
      </w:r>
      <w:r w:rsidR="00AE331A">
        <w:rPr>
          <w:bCs/>
        </w:rPr>
        <w:t xml:space="preserve">for the entity to be the transferee or assignee of its initial Covered Authorization designated in Schedule B, except in the case of a </w:t>
      </w:r>
      <w:r w:rsidR="00AE331A">
        <w:rPr>
          <w:bCs/>
          <w:i/>
          <w:iCs/>
        </w:rPr>
        <w:t>pro forma</w:t>
      </w:r>
      <w:r w:rsidR="00AE331A">
        <w:rPr>
          <w:bCs/>
        </w:rPr>
        <w:t xml:space="preserve"> transfer of control or assignment as de</w:t>
      </w:r>
      <w:r w:rsidR="00383326">
        <w:rPr>
          <w:bCs/>
        </w:rPr>
        <w:t>f</w:t>
      </w:r>
      <w:r w:rsidR="00AE331A">
        <w:rPr>
          <w:bCs/>
        </w:rPr>
        <w:t xml:space="preserve">ined in </w:t>
      </w:r>
      <w:r w:rsidRPr="00553DE2" w:rsidR="003D331D">
        <w:rPr>
          <w:bCs/>
        </w:rPr>
        <w:t>47 CFR § 63.24(d)</w:t>
      </w:r>
      <w:r w:rsidR="00AE331A">
        <w:rPr>
          <w:bCs/>
        </w:rPr>
        <w:t>; or</w:t>
      </w:r>
    </w:p>
    <w:p w:rsidR="00AE331A" w:rsidP="000D3FB8" w14:paraId="5CF2A1AF" w14:textId="299AB8FA">
      <w:pPr>
        <w:spacing w:after="120"/>
        <w:ind w:left="720" w:firstLine="360"/>
        <w:jc w:val="both"/>
        <w:rPr>
          <w:bCs/>
        </w:rPr>
      </w:pPr>
      <w:r>
        <w:rPr>
          <w:bCs/>
        </w:rPr>
        <w:tab/>
        <w:t>(iii) Upon application for modification of a Covered Authorization designated in Schedule A or B that would ca</w:t>
      </w:r>
      <w:r w:rsidR="007C2656">
        <w:rPr>
          <w:bCs/>
        </w:rPr>
        <w:t>u</w:t>
      </w:r>
      <w:r>
        <w:rPr>
          <w:bCs/>
        </w:rPr>
        <w:t xml:space="preserve">se the entity to be a licensee or lessee of the Covered Authorizations; and </w:t>
      </w:r>
    </w:p>
    <w:p w:rsidR="0024716B" w:rsidRPr="0024716B" w:rsidP="000D3FB8" w14:paraId="4CD8DD6A" w14:textId="61B20C82">
      <w:pPr>
        <w:spacing w:after="120"/>
        <w:ind w:left="720" w:firstLine="360"/>
        <w:jc w:val="both"/>
        <w:rPr>
          <w:bCs/>
        </w:rPr>
      </w:pPr>
      <w:r>
        <w:rPr>
          <w:bCs/>
        </w:rPr>
        <w:t xml:space="preserve">(6) Any </w:t>
      </w:r>
      <w:r>
        <w:rPr>
          <w:bCs/>
        </w:rPr>
        <w:t>Regulatee</w:t>
      </w:r>
      <w:r>
        <w:rPr>
          <w:bCs/>
        </w:rPr>
        <w:t xml:space="preserve"> whose last attestation was affirmative within 30 days of its determination that it is no longer subject to Foreign Adversary Control. </w:t>
      </w:r>
      <w:r w:rsidR="00EC3CAE">
        <w:rPr>
          <w:bCs/>
        </w:rPr>
        <w:t xml:space="preserve"> </w:t>
      </w:r>
    </w:p>
    <w:p w:rsidR="002404CF" w:rsidRPr="00FB61F7" w:rsidP="00C654DA" w14:paraId="2E96B08C" w14:textId="0F422619">
      <w:pPr>
        <w:pStyle w:val="ListParagraph"/>
        <w:numPr>
          <w:ilvl w:val="0"/>
          <w:numId w:val="21"/>
        </w:numPr>
        <w:spacing w:after="120"/>
        <w:ind w:left="1440" w:hanging="720"/>
        <w:jc w:val="both"/>
        <w:rPr>
          <w:b/>
        </w:rPr>
      </w:pPr>
      <w:r w:rsidRPr="00C66D6C">
        <w:rPr>
          <w:b/>
        </w:rPr>
        <w:t>Enforcement and Streamlined Revocation Process for Non-Compliance (47 CFR § 1.80004)</w:t>
      </w:r>
    </w:p>
    <w:p w:rsidR="00B82DA9" w:rsidP="000D3FB8" w14:paraId="4864B019" w14:textId="5E268478">
      <w:pPr>
        <w:spacing w:after="120"/>
        <w:ind w:firstLine="720"/>
        <w:jc w:val="both"/>
        <w:rPr>
          <w:bCs/>
        </w:rPr>
      </w:pPr>
      <w:r>
        <w:rPr>
          <w:bCs/>
        </w:rPr>
        <w:t xml:space="preserve">The Commission may take enforcement action against a </w:t>
      </w:r>
      <w:r>
        <w:rPr>
          <w:bCs/>
        </w:rPr>
        <w:t>Regulatee</w:t>
      </w:r>
      <w:r>
        <w:rPr>
          <w:bCs/>
        </w:rPr>
        <w:t xml:space="preserve"> for failure to comply with the deadlines</w:t>
      </w:r>
      <w:r w:rsidR="005C4C09">
        <w:rPr>
          <w:bCs/>
        </w:rPr>
        <w:t xml:space="preserve">, </w:t>
      </w:r>
      <w:r>
        <w:rPr>
          <w:bCs/>
        </w:rPr>
        <w:t>an incomplete or inaccurate filing, including a false statement or representation</w:t>
      </w:r>
      <w:r w:rsidR="005C4C09">
        <w:rPr>
          <w:bCs/>
        </w:rPr>
        <w:t>,</w:t>
      </w:r>
      <w:r>
        <w:rPr>
          <w:bCs/>
        </w:rPr>
        <w:t xml:space="preserve"> or</w:t>
      </w:r>
      <w:r w:rsidR="005C4C09">
        <w:rPr>
          <w:bCs/>
        </w:rPr>
        <w:t xml:space="preserve"> </w:t>
      </w:r>
      <w:r>
        <w:rPr>
          <w:bCs/>
        </w:rPr>
        <w:t xml:space="preserve">if the </w:t>
      </w:r>
      <w:r>
        <w:rPr>
          <w:bCs/>
        </w:rPr>
        <w:t xml:space="preserve">Commission assesses that Foreign Adversary Control of the Covered Authorization may pose an unacceptable risk to national security.  </w:t>
      </w:r>
      <w:r w:rsidR="002F7C56">
        <w:rPr>
          <w:bCs/>
        </w:rPr>
        <w:t>Enforcement actions may include monetary forfeitures and the initiation of revocation proceedings.</w:t>
      </w:r>
    </w:p>
    <w:p w:rsidR="001B32BC" w:rsidP="000D3FB8" w14:paraId="682C8E44" w14:textId="3C811239">
      <w:pPr>
        <w:spacing w:after="120"/>
        <w:ind w:firstLine="720"/>
        <w:jc w:val="both"/>
        <w:rPr>
          <w:bCs/>
        </w:rPr>
      </w:pPr>
      <w:r>
        <w:rPr>
          <w:bCs/>
        </w:rPr>
        <w:t xml:space="preserve">The </w:t>
      </w:r>
      <w:r w:rsidR="00D16DA2">
        <w:rPr>
          <w:bCs/>
        </w:rPr>
        <w:t xml:space="preserve">Commission adopted </w:t>
      </w:r>
      <w:r w:rsidR="00B82DA9">
        <w:rPr>
          <w:bCs/>
        </w:rPr>
        <w:t xml:space="preserve">a streamlined process </w:t>
      </w:r>
      <w:r w:rsidR="00244D51">
        <w:rPr>
          <w:bCs/>
        </w:rPr>
        <w:t>that the Enforcement Bureau and/or Licensing Bureau or Office may</w:t>
      </w:r>
      <w:r w:rsidR="007D0B4E">
        <w:rPr>
          <w:bCs/>
        </w:rPr>
        <w:t xml:space="preserve"> use to revoke a </w:t>
      </w:r>
      <w:r w:rsidR="007D0B4E">
        <w:rPr>
          <w:bCs/>
        </w:rPr>
        <w:t>Regulatee’s</w:t>
      </w:r>
      <w:r w:rsidR="007D0B4E">
        <w:rPr>
          <w:bCs/>
        </w:rPr>
        <w:t xml:space="preserve"> Covered Authorization.  </w:t>
      </w:r>
      <w:r w:rsidR="00601319">
        <w:rPr>
          <w:bCs/>
        </w:rPr>
        <w:t>T</w:t>
      </w:r>
      <w:r w:rsidR="007D0B4E">
        <w:rPr>
          <w:bCs/>
        </w:rPr>
        <w:t xml:space="preserve">his </w:t>
      </w:r>
      <w:r w:rsidR="00D25D73">
        <w:rPr>
          <w:bCs/>
        </w:rPr>
        <w:t xml:space="preserve">streamlined </w:t>
      </w:r>
      <w:r w:rsidR="00381C91">
        <w:rPr>
          <w:bCs/>
        </w:rPr>
        <w:t>revocation process include</w:t>
      </w:r>
      <w:r w:rsidR="00601319">
        <w:rPr>
          <w:bCs/>
        </w:rPr>
        <w:t xml:space="preserve">s the following steps:  </w:t>
      </w:r>
    </w:p>
    <w:p w:rsidR="001B32BC" w:rsidP="000D3FB8" w14:paraId="65703F60" w14:textId="38E15DF5">
      <w:pPr>
        <w:spacing w:after="120"/>
        <w:ind w:left="360" w:firstLine="720"/>
        <w:jc w:val="both"/>
        <w:rPr>
          <w:bCs/>
        </w:rPr>
      </w:pPr>
      <w:r>
        <w:rPr>
          <w:bCs/>
        </w:rPr>
        <w:t>(</w:t>
      </w:r>
      <w:r w:rsidR="00CC5967">
        <w:rPr>
          <w:bCs/>
        </w:rPr>
        <w:t>1</w:t>
      </w:r>
      <w:r>
        <w:rPr>
          <w:bCs/>
        </w:rPr>
        <w:t xml:space="preserve">) </w:t>
      </w:r>
      <w:r w:rsidRPr="000D3FB8" w:rsidR="00F13772">
        <w:rPr>
          <w:bCs/>
          <w:i/>
          <w:iCs/>
          <w:u w:val="single"/>
        </w:rPr>
        <w:t>Notice</w:t>
      </w:r>
      <w:r w:rsidR="009731A7">
        <w:rPr>
          <w:bCs/>
          <w:i/>
          <w:iCs/>
          <w:u w:val="single"/>
        </w:rPr>
        <w:t xml:space="preserve"> of Deficiency and Opportunity to Respond</w:t>
      </w:r>
      <w:r w:rsidR="00F13772">
        <w:rPr>
          <w:bCs/>
        </w:rPr>
        <w:t xml:space="preserve">.  </w:t>
      </w:r>
      <w:r w:rsidR="007C7250">
        <w:rPr>
          <w:bCs/>
        </w:rPr>
        <w:t>P</w:t>
      </w:r>
      <w:r w:rsidR="00601319">
        <w:rPr>
          <w:bCs/>
        </w:rPr>
        <w:t>rior to a revocation, the Enforcement Bureau and/or Licensing Bureau or Office</w:t>
      </w:r>
      <w:r w:rsidR="00381C91">
        <w:rPr>
          <w:bCs/>
        </w:rPr>
        <w:t xml:space="preserve"> </w:t>
      </w:r>
      <w:r w:rsidR="00601319">
        <w:rPr>
          <w:bCs/>
        </w:rPr>
        <w:t>shall issue</w:t>
      </w:r>
      <w:r w:rsidR="00381C91">
        <w:rPr>
          <w:bCs/>
        </w:rPr>
        <w:t xml:space="preserve"> a Notice of Deficiency and Opportunity to Comply</w:t>
      </w:r>
      <w:r w:rsidR="00D96AC0">
        <w:rPr>
          <w:bCs/>
        </w:rPr>
        <w:t xml:space="preserve">.  If a </w:t>
      </w:r>
      <w:r w:rsidR="00D96AC0">
        <w:rPr>
          <w:bCs/>
        </w:rPr>
        <w:t>Regulatee</w:t>
      </w:r>
      <w:r w:rsidR="00D96AC0">
        <w:rPr>
          <w:bCs/>
        </w:rPr>
        <w:t xml:space="preserve"> receives a Notice of Deficiency and Opportunity to Comply, the </w:t>
      </w:r>
      <w:r w:rsidR="00D96AC0">
        <w:rPr>
          <w:bCs/>
        </w:rPr>
        <w:t>Regulatee</w:t>
      </w:r>
      <w:r w:rsidR="00D96AC0">
        <w:rPr>
          <w:bCs/>
        </w:rPr>
        <w:t xml:space="preserve"> has</w:t>
      </w:r>
      <w:r w:rsidR="00AB5F10">
        <w:rPr>
          <w:bCs/>
        </w:rPr>
        <w:t xml:space="preserve"> </w:t>
      </w:r>
      <w:r w:rsidR="00C85429">
        <w:rPr>
          <w:bCs/>
        </w:rPr>
        <w:t>thirty (</w:t>
      </w:r>
      <w:r w:rsidR="00AB5F10">
        <w:rPr>
          <w:bCs/>
        </w:rPr>
        <w:t>30</w:t>
      </w:r>
      <w:r w:rsidR="00C85429">
        <w:rPr>
          <w:bCs/>
        </w:rPr>
        <w:t>)</w:t>
      </w:r>
      <w:r w:rsidR="00AB5F10">
        <w:rPr>
          <w:bCs/>
        </w:rPr>
        <w:t xml:space="preserve"> calendar days to respond</w:t>
      </w:r>
      <w:r w:rsidR="006952ED">
        <w:rPr>
          <w:bCs/>
        </w:rPr>
        <w:t>,</w:t>
      </w:r>
      <w:r w:rsidR="00C85429">
        <w:rPr>
          <w:bCs/>
        </w:rPr>
        <w:t xml:space="preserve"> cure the deficiency</w:t>
      </w:r>
      <w:r w:rsidR="006952ED">
        <w:rPr>
          <w:bCs/>
        </w:rPr>
        <w:t>, and demonstrate why a revocation proceed</w:t>
      </w:r>
      <w:r w:rsidR="000D00B3">
        <w:rPr>
          <w:bCs/>
        </w:rPr>
        <w:t>ing</w:t>
      </w:r>
      <w:r w:rsidR="006952ED">
        <w:rPr>
          <w:bCs/>
        </w:rPr>
        <w:t xml:space="preserve"> should not be initiated</w:t>
      </w:r>
      <w:r w:rsidR="00C85429">
        <w:rPr>
          <w:bCs/>
        </w:rPr>
        <w:t>;</w:t>
      </w:r>
      <w:r w:rsidR="00381C91">
        <w:rPr>
          <w:bCs/>
        </w:rPr>
        <w:t xml:space="preserve"> </w:t>
      </w:r>
    </w:p>
    <w:p w:rsidR="00CB23E1" w:rsidP="000D3FB8" w14:paraId="5F5CA353" w14:textId="57503D92">
      <w:pPr>
        <w:spacing w:after="120"/>
        <w:ind w:left="360" w:firstLine="720"/>
        <w:jc w:val="both"/>
        <w:rPr>
          <w:bCs/>
        </w:rPr>
      </w:pPr>
      <w:r>
        <w:rPr>
          <w:bCs/>
        </w:rPr>
        <w:t>(</w:t>
      </w:r>
      <w:r w:rsidR="00CC5967">
        <w:rPr>
          <w:bCs/>
        </w:rPr>
        <w:t>2</w:t>
      </w:r>
      <w:r>
        <w:rPr>
          <w:bCs/>
        </w:rPr>
        <w:t xml:space="preserve">) </w:t>
      </w:r>
      <w:r w:rsidR="009731A7">
        <w:rPr>
          <w:bCs/>
          <w:i/>
          <w:iCs/>
          <w:u w:val="single"/>
        </w:rPr>
        <w:t>Order to Show Cause</w:t>
      </w:r>
      <w:r w:rsidR="005E7715">
        <w:rPr>
          <w:bCs/>
        </w:rPr>
        <w:t xml:space="preserve">.  </w:t>
      </w:r>
      <w:r w:rsidR="007C7250">
        <w:rPr>
          <w:bCs/>
        </w:rPr>
        <w:t>I</w:t>
      </w:r>
      <w:r w:rsidR="00DF5ED3">
        <w:rPr>
          <w:bCs/>
        </w:rPr>
        <w:t xml:space="preserve">f </w:t>
      </w:r>
      <w:r w:rsidR="00281CB6">
        <w:rPr>
          <w:bCs/>
        </w:rPr>
        <w:t xml:space="preserve">the </w:t>
      </w:r>
      <w:r w:rsidR="00DF5ED3">
        <w:rPr>
          <w:bCs/>
        </w:rPr>
        <w:t>Regulatee</w:t>
      </w:r>
      <w:r w:rsidR="00DF5ED3">
        <w:rPr>
          <w:bCs/>
        </w:rPr>
        <w:t xml:space="preserve"> fails to cure the filing defect or respond to the Notice of Deficiency and Opportunity to Comply, the L</w:t>
      </w:r>
      <w:r w:rsidR="001B32BC">
        <w:rPr>
          <w:bCs/>
        </w:rPr>
        <w:t>icen</w:t>
      </w:r>
      <w:r>
        <w:rPr>
          <w:bCs/>
        </w:rPr>
        <w:t>s</w:t>
      </w:r>
      <w:r w:rsidR="001B32BC">
        <w:rPr>
          <w:bCs/>
        </w:rPr>
        <w:t>ing</w:t>
      </w:r>
      <w:r>
        <w:rPr>
          <w:bCs/>
        </w:rPr>
        <w:t xml:space="preserve"> Bureau or Office</w:t>
      </w:r>
      <w:r w:rsidR="001B32BC">
        <w:rPr>
          <w:bCs/>
        </w:rPr>
        <w:t xml:space="preserve"> </w:t>
      </w:r>
      <w:r w:rsidR="00E5775A">
        <w:rPr>
          <w:bCs/>
        </w:rPr>
        <w:t>may issue an Order to Show Cause to commence a revocation proceeding</w:t>
      </w:r>
      <w:r w:rsidR="003C44F3">
        <w:rPr>
          <w:bCs/>
        </w:rPr>
        <w:t>.</w:t>
      </w:r>
      <w:r w:rsidR="007C7250">
        <w:rPr>
          <w:bCs/>
        </w:rPr>
        <w:t xml:space="preserve">  If a </w:t>
      </w:r>
      <w:r w:rsidR="007C7250">
        <w:rPr>
          <w:bCs/>
        </w:rPr>
        <w:t>Regulatee’s</w:t>
      </w:r>
      <w:r w:rsidR="007C7250">
        <w:rPr>
          <w:bCs/>
        </w:rPr>
        <w:t xml:space="preserve"> noncompliance is due to willfulness or considerations of public health, interest, or safety,</w:t>
      </w:r>
      <w:r>
        <w:rPr>
          <w:rStyle w:val="FootnoteReference"/>
          <w:bCs/>
        </w:rPr>
        <w:footnoteReference w:id="9"/>
      </w:r>
      <w:r w:rsidR="007C7250">
        <w:rPr>
          <w:bCs/>
        </w:rPr>
        <w:t xml:space="preserve"> the Commission may proceed directly to issuing an Order to Show Cause, without a Notice of Deficiency and Opportunity to Comply.</w:t>
      </w:r>
      <w:r w:rsidR="003C44F3">
        <w:rPr>
          <w:bCs/>
        </w:rPr>
        <w:t xml:space="preserve">  If a </w:t>
      </w:r>
      <w:r w:rsidR="003C44F3">
        <w:rPr>
          <w:bCs/>
        </w:rPr>
        <w:t>Regulatee</w:t>
      </w:r>
      <w:r w:rsidR="003C44F3">
        <w:rPr>
          <w:bCs/>
        </w:rPr>
        <w:t xml:space="preserve"> receives an Order to Show Cause, the </w:t>
      </w:r>
      <w:r w:rsidR="003C44F3">
        <w:rPr>
          <w:bCs/>
        </w:rPr>
        <w:t>Regulatee</w:t>
      </w:r>
      <w:r w:rsidR="003C44F3">
        <w:rPr>
          <w:bCs/>
        </w:rPr>
        <w:t xml:space="preserve"> has</w:t>
      </w:r>
      <w:r w:rsidR="00C85429">
        <w:rPr>
          <w:bCs/>
        </w:rPr>
        <w:t xml:space="preserve"> fifteen (15) calendar days to respond</w:t>
      </w:r>
      <w:r w:rsidR="00586CC7">
        <w:rPr>
          <w:bCs/>
        </w:rPr>
        <w:t xml:space="preserve"> and explain why the </w:t>
      </w:r>
      <w:r w:rsidR="00586CC7">
        <w:rPr>
          <w:bCs/>
        </w:rPr>
        <w:t>Regulatee’s</w:t>
      </w:r>
      <w:r w:rsidR="00586CC7">
        <w:rPr>
          <w:bCs/>
        </w:rPr>
        <w:t xml:space="preserve"> Covered Authorization should not be revoked</w:t>
      </w:r>
      <w:r w:rsidR="000D2F5C">
        <w:rPr>
          <w:bCs/>
        </w:rPr>
        <w:t xml:space="preserve">, except where statutory revocation procedures </w:t>
      </w:r>
      <w:r w:rsidR="00B12336">
        <w:rPr>
          <w:bCs/>
        </w:rPr>
        <w:t xml:space="preserve">(such as for </w:t>
      </w:r>
      <w:r w:rsidR="000D2F5C">
        <w:rPr>
          <w:bCs/>
        </w:rPr>
        <w:t>broadcast and wireless licenses</w:t>
      </w:r>
      <w:r w:rsidR="00B12336">
        <w:rPr>
          <w:bCs/>
        </w:rPr>
        <w:t>)</w:t>
      </w:r>
      <w:r w:rsidR="000D2F5C">
        <w:rPr>
          <w:bCs/>
        </w:rPr>
        <w:t xml:space="preserve"> apply instead</w:t>
      </w:r>
      <w:r w:rsidR="00C85429">
        <w:rPr>
          <w:bCs/>
        </w:rPr>
        <w:t>;</w:t>
      </w:r>
      <w:r w:rsidR="00E5775A">
        <w:rPr>
          <w:bCs/>
        </w:rPr>
        <w:t xml:space="preserve"> and </w:t>
      </w:r>
    </w:p>
    <w:p w:rsidR="00523C44" w:rsidP="000D3FB8" w14:paraId="019BDA18" w14:textId="4EB8DC05">
      <w:pPr>
        <w:spacing w:after="120"/>
        <w:ind w:left="360" w:firstLine="720"/>
        <w:jc w:val="both"/>
        <w:rPr>
          <w:bCs/>
        </w:rPr>
      </w:pPr>
      <w:r>
        <w:rPr>
          <w:bCs/>
        </w:rPr>
        <w:t>(</w:t>
      </w:r>
      <w:r w:rsidR="00CC5967">
        <w:rPr>
          <w:bCs/>
        </w:rPr>
        <w:t>3</w:t>
      </w:r>
      <w:r>
        <w:rPr>
          <w:bCs/>
        </w:rPr>
        <w:t xml:space="preserve">) </w:t>
      </w:r>
      <w:r w:rsidRPr="00F15A60" w:rsidR="009731A7">
        <w:rPr>
          <w:bCs/>
          <w:i/>
          <w:u w:val="single"/>
        </w:rPr>
        <w:t>Order of</w:t>
      </w:r>
      <w:r w:rsidRPr="00F15A60" w:rsidR="009731A7">
        <w:rPr>
          <w:bCs/>
          <w:u w:val="single"/>
        </w:rPr>
        <w:t xml:space="preserve"> </w:t>
      </w:r>
      <w:r w:rsidRPr="000D3FB8" w:rsidR="005E7715">
        <w:rPr>
          <w:bCs/>
          <w:i/>
          <w:iCs/>
          <w:u w:val="single"/>
        </w:rPr>
        <w:t>Revocation</w:t>
      </w:r>
      <w:r w:rsidR="005E7715">
        <w:rPr>
          <w:bCs/>
        </w:rPr>
        <w:t xml:space="preserve">.  </w:t>
      </w:r>
      <w:r w:rsidR="00586CC7">
        <w:rPr>
          <w:bCs/>
        </w:rPr>
        <w:t>A</w:t>
      </w:r>
      <w:r w:rsidR="002B2307">
        <w:rPr>
          <w:bCs/>
        </w:rPr>
        <w:t xml:space="preserve">fter the conclusion of the period for notice and opportunity to respond, the Licensing Bureau or Office </w:t>
      </w:r>
      <w:r>
        <w:rPr>
          <w:bCs/>
        </w:rPr>
        <w:t xml:space="preserve">may </w:t>
      </w:r>
      <w:r w:rsidR="0034733F">
        <w:rPr>
          <w:bCs/>
        </w:rPr>
        <w:t>issue an Order of Revocation</w:t>
      </w:r>
      <w:r w:rsidR="002B2307">
        <w:rPr>
          <w:bCs/>
        </w:rPr>
        <w:t xml:space="preserve"> revoking the </w:t>
      </w:r>
      <w:r w:rsidR="002B2307">
        <w:rPr>
          <w:bCs/>
        </w:rPr>
        <w:t>Regulatee’s</w:t>
      </w:r>
      <w:r w:rsidR="002B2307">
        <w:rPr>
          <w:bCs/>
        </w:rPr>
        <w:t xml:space="preserve"> Covered Authorization</w:t>
      </w:r>
      <w:r w:rsidR="0034733F">
        <w:rPr>
          <w:bCs/>
        </w:rPr>
        <w:t xml:space="preserve">. </w:t>
      </w:r>
      <w:r w:rsidR="001A3ADE">
        <w:rPr>
          <w:bCs/>
        </w:rPr>
        <w:t xml:space="preserve"> </w:t>
      </w:r>
    </w:p>
    <w:p w:rsidR="00DE567B" w:rsidP="00C654DA" w14:paraId="54DA764A" w14:textId="50F69C6C">
      <w:pPr>
        <w:spacing w:after="120"/>
        <w:ind w:left="720" w:hanging="720"/>
        <w:jc w:val="both"/>
        <w:rPr>
          <w:b/>
        </w:rPr>
      </w:pPr>
      <w:r w:rsidRPr="00075FF6">
        <w:rPr>
          <w:b/>
        </w:rPr>
        <w:t>I</w:t>
      </w:r>
      <w:r w:rsidRPr="00075FF6" w:rsidR="00BA1697">
        <w:rPr>
          <w:b/>
        </w:rPr>
        <w:t>II.</w:t>
      </w:r>
      <w:r w:rsidRPr="00075FF6" w:rsidR="00286EA8">
        <w:rPr>
          <w:b/>
        </w:rPr>
        <w:tab/>
      </w:r>
      <w:r w:rsidRPr="00075FF6">
        <w:rPr>
          <w:b/>
        </w:rPr>
        <w:t xml:space="preserve">RECORDKEEPING </w:t>
      </w:r>
      <w:r w:rsidRPr="00075FF6" w:rsidR="00292357">
        <w:rPr>
          <w:b/>
        </w:rPr>
        <w:t xml:space="preserve">AND REPORTING </w:t>
      </w:r>
      <w:r w:rsidRPr="00075FF6">
        <w:rPr>
          <w:b/>
        </w:rPr>
        <w:t>REQUIREMENTS</w:t>
      </w:r>
    </w:p>
    <w:p w:rsidR="00701319" w:rsidRPr="00075FF6" w:rsidP="000D3FB8" w14:paraId="5269CE7E" w14:textId="2274D6F6">
      <w:pPr>
        <w:pStyle w:val="ParaNumCharChar"/>
        <w:tabs>
          <w:tab w:val="left" w:pos="720"/>
          <w:tab w:val="clear" w:pos="1080"/>
          <w:tab w:val="clear" w:pos="1440"/>
        </w:tabs>
        <w:spacing w:after="120"/>
        <w:ind w:firstLine="0"/>
      </w:pPr>
      <w:r>
        <w:tab/>
      </w:r>
      <w:r w:rsidR="000B3059">
        <w:t>T</w:t>
      </w:r>
      <w:r w:rsidRPr="00075FF6">
        <w:t xml:space="preserve">he </w:t>
      </w:r>
      <w:r w:rsidR="00D6134E">
        <w:rPr>
          <w:i/>
          <w:iCs/>
        </w:rPr>
        <w:t xml:space="preserve">Foreign Adversary Control </w:t>
      </w:r>
      <w:r w:rsidRPr="00075FF6">
        <w:rPr>
          <w:i/>
        </w:rPr>
        <w:t xml:space="preserve">Report and Order </w:t>
      </w:r>
      <w:r w:rsidRPr="00075FF6">
        <w:t>contains</w:t>
      </w:r>
      <w:r w:rsidR="00084841">
        <w:t xml:space="preserve"> various</w:t>
      </w:r>
      <w:r w:rsidRPr="00075FF6">
        <w:t xml:space="preserve"> new inform</w:t>
      </w:r>
      <w:r w:rsidRPr="00075FF6" w:rsidR="00DA6B99">
        <w:t>ation collection requirements</w:t>
      </w:r>
      <w:r w:rsidR="00633E9E">
        <w:t xml:space="preserve"> </w:t>
      </w:r>
      <w:r w:rsidR="003D70DB">
        <w:t xml:space="preserve">for </w:t>
      </w:r>
      <w:r w:rsidR="003D70DB">
        <w:t>Regulatees</w:t>
      </w:r>
      <w:r w:rsidR="003D70DB">
        <w:t xml:space="preserve"> that hold Covered Authorizations</w:t>
      </w:r>
      <w:r w:rsidRPr="00075FF6">
        <w:t>.</w:t>
      </w:r>
      <w:r w:rsidR="003D70DB">
        <w:t xml:space="preserve"> </w:t>
      </w:r>
      <w:r w:rsidR="00633E9E">
        <w:t xml:space="preserve"> </w:t>
      </w:r>
      <w:r w:rsidR="002B7380">
        <w:t>Regulatees</w:t>
      </w:r>
      <w:r w:rsidR="002B7380">
        <w:t xml:space="preserve"> that hold Covered</w:t>
      </w:r>
      <w:r w:rsidR="00CD0816">
        <w:t xml:space="preserve"> Authorizations must </w:t>
      </w:r>
      <w:r w:rsidR="000A286D">
        <w:t>comply with</w:t>
      </w:r>
      <w:r w:rsidR="008B4BB9">
        <w:t xml:space="preserve"> the following</w:t>
      </w:r>
      <w:r w:rsidR="000A286D">
        <w:t xml:space="preserve"> obligations</w:t>
      </w:r>
      <w:r w:rsidR="008B4BB9">
        <w:t>:</w:t>
      </w:r>
    </w:p>
    <w:p w:rsidR="00666F01" w:rsidRPr="00666F01" w:rsidP="000D3FB8" w14:paraId="7EC1BFFC" w14:textId="5EDAB92B">
      <w:pPr>
        <w:pStyle w:val="ParaNumCharChar"/>
        <w:numPr>
          <w:ilvl w:val="0"/>
          <w:numId w:val="12"/>
        </w:numPr>
        <w:tabs>
          <w:tab w:val="left" w:pos="720"/>
          <w:tab w:val="clear" w:pos="1440"/>
        </w:tabs>
        <w:spacing w:after="120"/>
      </w:pPr>
      <w:r w:rsidRPr="000D3FB8">
        <w:rPr>
          <w:u w:val="single"/>
        </w:rPr>
        <w:t>Initial Foreign Adversary Control Attestations</w:t>
      </w:r>
      <w:r w:rsidRPr="000D3FB8" w:rsidR="00B72BAF">
        <w:rPr>
          <w:u w:val="single"/>
        </w:rPr>
        <w:t xml:space="preserve"> (47 CFR §§ 1.80003(a)-(c))</w:t>
      </w:r>
      <w:r>
        <w:t>:</w:t>
      </w:r>
    </w:p>
    <w:p w:rsidR="00DF3954" w:rsidP="000D3FB8" w14:paraId="783564D9" w14:textId="19B2E32C">
      <w:pPr>
        <w:pStyle w:val="ParaNumCharChar"/>
        <w:numPr>
          <w:ilvl w:val="1"/>
          <w:numId w:val="12"/>
        </w:numPr>
        <w:tabs>
          <w:tab w:val="left" w:pos="720"/>
          <w:tab w:val="clear" w:pos="1440"/>
        </w:tabs>
        <w:spacing w:after="120"/>
      </w:pPr>
      <w:r>
        <w:rPr>
          <w:i/>
          <w:iCs/>
        </w:rPr>
        <w:t>Schedule A Covered Authorizations</w:t>
      </w:r>
      <w:r>
        <w:t xml:space="preserve">: </w:t>
      </w:r>
      <w:r>
        <w:t>Regulatees</w:t>
      </w:r>
      <w:r>
        <w:t xml:space="preserve"> holding Covered Authorizations listed in Schedule A must submit a definitive “yes” or “no” attestation either affirming or denying Foreign Adversary Control.</w:t>
      </w:r>
    </w:p>
    <w:p w:rsidR="00DF3954" w:rsidRPr="003435F6" w:rsidP="000D3FB8" w14:paraId="73C3796C" w14:textId="227D33C3">
      <w:pPr>
        <w:pStyle w:val="ParaNumCharChar"/>
        <w:numPr>
          <w:ilvl w:val="1"/>
          <w:numId w:val="12"/>
        </w:numPr>
        <w:tabs>
          <w:tab w:val="left" w:pos="720"/>
          <w:tab w:val="clear" w:pos="1440"/>
        </w:tabs>
        <w:spacing w:after="120"/>
      </w:pPr>
      <w:r>
        <w:rPr>
          <w:bCs/>
          <w:i/>
          <w:iCs/>
        </w:rPr>
        <w:t>Schedule B Covered</w:t>
      </w:r>
      <w:r w:rsidRPr="00DF3954">
        <w:rPr>
          <w:bCs/>
          <w:i/>
          <w:iCs/>
        </w:rPr>
        <w:t xml:space="preserve"> Authorizations</w:t>
      </w:r>
      <w:r>
        <w:rPr>
          <w:bCs/>
        </w:rPr>
        <w:t xml:space="preserve">: </w:t>
      </w:r>
      <w:r w:rsidRPr="00DF3954">
        <w:rPr>
          <w:bCs/>
        </w:rPr>
        <w:t>Regulatees</w:t>
      </w:r>
      <w:r>
        <w:rPr>
          <w:bCs/>
        </w:rPr>
        <w:t xml:space="preserve"> holding Covered Authorizations listed in Schedule B</w:t>
      </w:r>
      <w:r w:rsidR="008576AD">
        <w:rPr>
          <w:bCs/>
        </w:rPr>
        <w:t xml:space="preserve"> that are subject to Foreign Adversary Control</w:t>
      </w:r>
      <w:r>
        <w:rPr>
          <w:bCs/>
        </w:rPr>
        <w:t xml:space="preserve"> must submit a definitive “yes” </w:t>
      </w:r>
      <w:r w:rsidR="008576AD">
        <w:rPr>
          <w:bCs/>
        </w:rPr>
        <w:t>attestation affirming Foreign Adversary Control.</w:t>
      </w:r>
      <w:r w:rsidR="003435F6">
        <w:rPr>
          <w:bCs/>
        </w:rPr>
        <w:t xml:space="preserve">  If a </w:t>
      </w:r>
      <w:r w:rsidR="003435F6">
        <w:rPr>
          <w:bCs/>
        </w:rPr>
        <w:t>Regulatee</w:t>
      </w:r>
      <w:r w:rsidR="003435F6">
        <w:rPr>
          <w:bCs/>
        </w:rPr>
        <w:t xml:space="preserve"> holds a Covered Authorization that is not subject to Foreign Adversary Control, there is no need to submit a “no” attestation.</w:t>
      </w:r>
    </w:p>
    <w:p w:rsidR="003435F6" w:rsidRPr="00666F01" w:rsidP="000D3FB8" w14:paraId="45B994C8" w14:textId="6A3BF856">
      <w:pPr>
        <w:pStyle w:val="ParaNumCharChar"/>
        <w:numPr>
          <w:ilvl w:val="1"/>
          <w:numId w:val="12"/>
        </w:numPr>
        <w:tabs>
          <w:tab w:val="left" w:pos="720"/>
          <w:tab w:val="clear" w:pos="1440"/>
        </w:tabs>
        <w:spacing w:after="120"/>
      </w:pPr>
      <w:r>
        <w:rPr>
          <w:bCs/>
          <w:i/>
          <w:iCs/>
        </w:rPr>
        <w:t>Schedule C Covered Authorizations</w:t>
      </w:r>
      <w:r>
        <w:rPr>
          <w:bCs/>
        </w:rPr>
        <w:t xml:space="preserve">:  </w:t>
      </w:r>
      <w:r>
        <w:rPr>
          <w:bCs/>
        </w:rPr>
        <w:t>Regulatees</w:t>
      </w:r>
      <w:r>
        <w:rPr>
          <w:bCs/>
        </w:rPr>
        <w:t xml:space="preserve"> holding Covered Authorizations listed in Schedule C </w:t>
      </w:r>
      <w:r w:rsidR="00666F01">
        <w:rPr>
          <w:bCs/>
        </w:rPr>
        <w:t>are exempt from filing initial attestations.</w:t>
      </w:r>
    </w:p>
    <w:p w:rsidR="00666F01" w:rsidP="000D3FB8" w14:paraId="26CE463C" w14:textId="4783E5A6">
      <w:pPr>
        <w:pStyle w:val="ParaNumCharChar"/>
        <w:numPr>
          <w:ilvl w:val="0"/>
          <w:numId w:val="12"/>
        </w:numPr>
        <w:tabs>
          <w:tab w:val="left" w:pos="720"/>
          <w:tab w:val="clear" w:pos="1440"/>
        </w:tabs>
        <w:spacing w:after="120"/>
      </w:pPr>
      <w:r w:rsidRPr="000D3FB8">
        <w:rPr>
          <w:u w:val="single"/>
        </w:rPr>
        <w:t>Ongoing Attestations</w:t>
      </w:r>
      <w:r w:rsidRPr="000D3FB8" w:rsidR="00B72BAF">
        <w:rPr>
          <w:u w:val="single"/>
        </w:rPr>
        <w:t xml:space="preserve"> (47 CFR § 1.80003(</w:t>
      </w:r>
      <w:r w:rsidR="0013326D">
        <w:rPr>
          <w:i/>
          <w:iCs/>
          <w:u w:val="single"/>
        </w:rPr>
        <w:t>l</w:t>
      </w:r>
      <w:r w:rsidRPr="000D3FB8" w:rsidR="00B72BAF">
        <w:rPr>
          <w:u w:val="single"/>
        </w:rPr>
        <w:t>))</w:t>
      </w:r>
      <w:r>
        <w:t>:</w:t>
      </w:r>
    </w:p>
    <w:p w:rsidR="00854182" w:rsidP="000D3FB8" w14:paraId="3A78B53C" w14:textId="43BF0EB7">
      <w:pPr>
        <w:pStyle w:val="ParaNumCharChar"/>
        <w:numPr>
          <w:ilvl w:val="1"/>
          <w:numId w:val="12"/>
        </w:numPr>
        <w:tabs>
          <w:tab w:val="left" w:pos="720"/>
          <w:tab w:val="clear" w:pos="1440"/>
        </w:tabs>
        <w:spacing w:after="120"/>
      </w:pPr>
      <w:r>
        <w:t xml:space="preserve">If a </w:t>
      </w:r>
      <w:r>
        <w:t>Regulatee</w:t>
      </w:r>
      <w:r>
        <w:t xml:space="preserve"> holding a Covered Authorization in Schedule A or B </w:t>
      </w:r>
      <w:r w:rsidR="00B710AA">
        <w:t>becomes subject to Foreign Adversary Control, they must submit an attestation.</w:t>
      </w:r>
    </w:p>
    <w:p w:rsidR="00B710AA" w:rsidP="000D3FB8" w14:paraId="26116976" w14:textId="511FBF88">
      <w:pPr>
        <w:pStyle w:val="ParaNumCharChar"/>
        <w:numPr>
          <w:ilvl w:val="1"/>
          <w:numId w:val="12"/>
        </w:numPr>
        <w:tabs>
          <w:tab w:val="left" w:pos="720"/>
          <w:tab w:val="clear" w:pos="1440"/>
        </w:tabs>
        <w:spacing w:after="120"/>
      </w:pPr>
      <w:r>
        <w:t xml:space="preserve">If a </w:t>
      </w:r>
      <w:r>
        <w:t>Regulatee</w:t>
      </w:r>
      <w:r>
        <w:t xml:space="preserve"> ho</w:t>
      </w:r>
      <w:r w:rsidR="00352672">
        <w:t>lding a Covered Authorization that is newly designated in Schedule A, they must submit an attestation.</w:t>
      </w:r>
    </w:p>
    <w:p w:rsidR="00352672" w:rsidP="000D3FB8" w14:paraId="07C3A999" w14:textId="0201A432">
      <w:pPr>
        <w:pStyle w:val="ParaNumCharChar"/>
        <w:numPr>
          <w:ilvl w:val="1"/>
          <w:numId w:val="12"/>
        </w:numPr>
        <w:tabs>
          <w:tab w:val="left" w:pos="720"/>
          <w:tab w:val="clear" w:pos="1440"/>
        </w:tabs>
        <w:spacing w:after="120"/>
      </w:pPr>
      <w:r>
        <w:t xml:space="preserve">If a </w:t>
      </w:r>
      <w:r>
        <w:t>Regulatee</w:t>
      </w:r>
      <w:r>
        <w:t xml:space="preserve"> </w:t>
      </w:r>
      <w:r w:rsidR="00B9562F">
        <w:t xml:space="preserve">holding a Covered Authorization in Schedule A or B is subject to Foreign </w:t>
      </w:r>
      <w:r w:rsidR="00B9562F">
        <w:t>Adversary Control, they must submit an attestation</w:t>
      </w:r>
    </w:p>
    <w:p w:rsidR="00B9562F" w:rsidP="000D3FB8" w14:paraId="6BDF240C" w14:textId="1DBAEBE9">
      <w:pPr>
        <w:pStyle w:val="ParaNumCharChar"/>
        <w:numPr>
          <w:ilvl w:val="2"/>
          <w:numId w:val="12"/>
        </w:numPr>
        <w:tabs>
          <w:tab w:val="left" w:pos="720"/>
          <w:tab w:val="clear" w:pos="1440"/>
        </w:tabs>
        <w:spacing w:after="120"/>
      </w:pPr>
      <w:r>
        <w:t>Upon application for a new Covered Authorization</w:t>
      </w:r>
      <w:r w:rsidR="00401027">
        <w:t>;</w:t>
      </w:r>
    </w:p>
    <w:p w:rsidR="00385F89" w:rsidP="000D3FB8" w14:paraId="2FC73C06" w14:textId="0A262A02">
      <w:pPr>
        <w:pStyle w:val="ParaNumCharChar"/>
        <w:numPr>
          <w:ilvl w:val="2"/>
          <w:numId w:val="12"/>
        </w:numPr>
        <w:tabs>
          <w:tab w:val="left" w:pos="720"/>
          <w:tab w:val="clear" w:pos="1440"/>
        </w:tabs>
        <w:spacing w:after="120"/>
      </w:pPr>
      <w:r>
        <w:t xml:space="preserve">Upon application for an assignment, except </w:t>
      </w:r>
      <w:r>
        <w:rPr>
          <w:i/>
          <w:iCs/>
        </w:rPr>
        <w:t>pro forma</w:t>
      </w:r>
      <w:r w:rsidRPr="00401027" w:rsidR="00401027">
        <w:t>;</w:t>
      </w:r>
      <w:r>
        <w:rPr>
          <w:rStyle w:val="FootnoteReference"/>
        </w:rPr>
        <w:footnoteReference w:id="10"/>
      </w:r>
    </w:p>
    <w:p w:rsidR="00385F89" w:rsidP="000D3FB8" w14:paraId="1B7A3BD0" w14:textId="48FF9A36">
      <w:pPr>
        <w:pStyle w:val="ParaNumCharChar"/>
        <w:numPr>
          <w:ilvl w:val="2"/>
          <w:numId w:val="12"/>
        </w:numPr>
        <w:tabs>
          <w:tab w:val="left" w:pos="720"/>
          <w:tab w:val="clear" w:pos="1440"/>
        </w:tabs>
        <w:spacing w:after="120"/>
      </w:pPr>
      <w:r>
        <w:t>Upon application for a renewal of a Covered Authorization</w:t>
      </w:r>
      <w:r w:rsidR="00401027">
        <w:t>;</w:t>
      </w:r>
    </w:p>
    <w:p w:rsidR="000A1EF4" w:rsidP="000D3FB8" w14:paraId="253394A8" w14:textId="10CBF7D7">
      <w:pPr>
        <w:pStyle w:val="ParaNumCharChar"/>
        <w:numPr>
          <w:ilvl w:val="2"/>
          <w:numId w:val="12"/>
        </w:numPr>
        <w:tabs>
          <w:tab w:val="left" w:pos="720"/>
          <w:tab w:val="clear" w:pos="1440"/>
        </w:tabs>
        <w:spacing w:after="120"/>
      </w:pPr>
      <w:r>
        <w:t>Upon application for a modification of any Covered Authorization</w:t>
      </w:r>
      <w:r w:rsidR="00401027">
        <w:t>;</w:t>
      </w:r>
    </w:p>
    <w:p w:rsidR="000A1EF4" w:rsidP="000D3FB8" w14:paraId="12F27361" w14:textId="113F778B">
      <w:pPr>
        <w:pStyle w:val="ParaNumCharChar"/>
        <w:numPr>
          <w:ilvl w:val="2"/>
          <w:numId w:val="12"/>
        </w:numPr>
        <w:tabs>
          <w:tab w:val="left" w:pos="720"/>
          <w:tab w:val="clear" w:pos="1440"/>
        </w:tabs>
        <w:spacing w:after="120"/>
      </w:pPr>
      <w:r>
        <w:t xml:space="preserve">Within 30 days of any changes to 5% or greater direct or indirect equity and/or voting interests, </w:t>
      </w:r>
      <w:r w:rsidR="00401027">
        <w:t xml:space="preserve">or </w:t>
      </w:r>
      <w:r>
        <w:t>controlling interests, held in</w:t>
      </w:r>
      <w:r w:rsidR="00401027">
        <w:t xml:space="preserve"> the </w:t>
      </w:r>
      <w:r w:rsidR="00401027">
        <w:t>Regulatee</w:t>
      </w:r>
      <w:r w:rsidR="00401027">
        <w:t>; or</w:t>
      </w:r>
    </w:p>
    <w:p w:rsidR="00401027" w:rsidP="000D3FB8" w14:paraId="48D31ECD" w14:textId="0EA26E3F">
      <w:pPr>
        <w:pStyle w:val="ParaNumCharChar"/>
        <w:numPr>
          <w:ilvl w:val="2"/>
          <w:numId w:val="12"/>
        </w:numPr>
        <w:tabs>
          <w:tab w:val="left" w:pos="720"/>
          <w:tab w:val="clear" w:pos="1440"/>
        </w:tabs>
        <w:spacing w:after="120"/>
      </w:pPr>
      <w:r>
        <w:t xml:space="preserve">Within 30 days of the effective date of a public notice designating a Covered Authorization held by the </w:t>
      </w:r>
      <w:r>
        <w:t>Regulatee</w:t>
      </w:r>
      <w:r>
        <w:t xml:space="preserve"> in Schedule B.</w:t>
      </w:r>
    </w:p>
    <w:p w:rsidR="00401027" w:rsidP="000D3FB8" w14:paraId="365EB1E8" w14:textId="29611B9D">
      <w:pPr>
        <w:pStyle w:val="ParaNumCharChar"/>
        <w:numPr>
          <w:ilvl w:val="1"/>
          <w:numId w:val="12"/>
        </w:numPr>
        <w:tabs>
          <w:tab w:val="left" w:pos="720"/>
          <w:tab w:val="clear" w:pos="1440"/>
        </w:tabs>
        <w:spacing w:after="120"/>
      </w:pPr>
      <w:r>
        <w:t>A</w:t>
      </w:r>
      <w:r w:rsidR="00F507A0">
        <w:t>ny</w:t>
      </w:r>
      <w:r>
        <w:t xml:space="preserve"> </w:t>
      </w:r>
      <w:r>
        <w:t>Regulatee</w:t>
      </w:r>
      <w:r w:rsidR="00F507A0">
        <w:t>, regardless of Foreign Adversary Control,</w:t>
      </w:r>
      <w:r>
        <w:t xml:space="preserve"> must submit an attestation when</w:t>
      </w:r>
    </w:p>
    <w:p w:rsidR="008B23D9" w:rsidP="000D3FB8" w14:paraId="4CC8BB73" w14:textId="35845A74">
      <w:pPr>
        <w:pStyle w:val="ParaNumCharChar"/>
        <w:numPr>
          <w:ilvl w:val="2"/>
          <w:numId w:val="12"/>
        </w:numPr>
        <w:tabs>
          <w:tab w:val="left" w:pos="720"/>
          <w:tab w:val="clear" w:pos="1440"/>
        </w:tabs>
        <w:spacing w:after="120"/>
      </w:pPr>
      <w:r>
        <w:t>Applying for the entity’s initial Covered Authorization designated in Schedule A</w:t>
      </w:r>
      <w:r w:rsidR="0065640B">
        <w:t>; or</w:t>
      </w:r>
    </w:p>
    <w:p w:rsidR="008B23D9" w:rsidP="000D3FB8" w14:paraId="7C85FCB8" w14:textId="75B1AC7B">
      <w:pPr>
        <w:pStyle w:val="ParaNumCharChar"/>
        <w:numPr>
          <w:ilvl w:val="2"/>
          <w:numId w:val="12"/>
        </w:numPr>
        <w:tabs>
          <w:tab w:val="left" w:pos="720"/>
          <w:tab w:val="clear" w:pos="1440"/>
        </w:tabs>
        <w:spacing w:after="120"/>
      </w:pPr>
      <w:r>
        <w:t xml:space="preserve">Applying for </w:t>
      </w:r>
      <w:r w:rsidR="0065640B">
        <w:t xml:space="preserve">the entity to be a transferee or assignee of its initial Covered Authorization designated in Schedule A, except in the case of a </w:t>
      </w:r>
      <w:r w:rsidR="0065640B">
        <w:rPr>
          <w:i/>
          <w:iCs/>
        </w:rPr>
        <w:t xml:space="preserve">pro forma </w:t>
      </w:r>
      <w:r w:rsidR="0065640B">
        <w:t>transfer of control or assignment.</w:t>
      </w:r>
    </w:p>
    <w:p w:rsidR="0065640B" w:rsidP="000D3FB8" w14:paraId="04C0C260" w14:textId="7BAE76B7">
      <w:pPr>
        <w:pStyle w:val="ParaNumCharChar"/>
        <w:numPr>
          <w:ilvl w:val="1"/>
          <w:numId w:val="12"/>
        </w:numPr>
        <w:tabs>
          <w:tab w:val="left" w:pos="720"/>
          <w:tab w:val="clear" w:pos="1440"/>
        </w:tabs>
        <w:spacing w:after="120"/>
      </w:pPr>
      <w:r>
        <w:t xml:space="preserve">Any </w:t>
      </w:r>
      <w:r w:rsidR="00F507A0">
        <w:t>entity</w:t>
      </w:r>
      <w:r>
        <w:t xml:space="preserve"> </w:t>
      </w:r>
      <w:r w:rsidR="00F507A0">
        <w:t>that is subject to Foreign Adversary Control</w:t>
      </w:r>
    </w:p>
    <w:p w:rsidR="00F507A0" w:rsidP="000D3FB8" w14:paraId="354614D6" w14:textId="0F0EFB67">
      <w:pPr>
        <w:pStyle w:val="ParaNumCharChar"/>
        <w:numPr>
          <w:ilvl w:val="2"/>
          <w:numId w:val="12"/>
        </w:numPr>
        <w:tabs>
          <w:tab w:val="left" w:pos="720"/>
          <w:tab w:val="clear" w:pos="1440"/>
        </w:tabs>
        <w:spacing w:after="120"/>
      </w:pPr>
      <w:r>
        <w:t>Upon application for the entity’s initial Covered Authorization designated in Schedule B;</w:t>
      </w:r>
    </w:p>
    <w:p w:rsidR="00C60ABC" w:rsidP="000D3FB8" w14:paraId="3C35F270" w14:textId="241BFAE5">
      <w:pPr>
        <w:pStyle w:val="ParaNumCharChar"/>
        <w:numPr>
          <w:ilvl w:val="2"/>
          <w:numId w:val="12"/>
        </w:numPr>
        <w:tabs>
          <w:tab w:val="left" w:pos="720"/>
          <w:tab w:val="clear" w:pos="1440"/>
        </w:tabs>
        <w:spacing w:after="120"/>
      </w:pPr>
      <w:r>
        <w:t xml:space="preserve">Upon application for the entity to be the transferee or assignee of its initial Covered Authorization designated in Schedule B, except in the case of a </w:t>
      </w:r>
      <w:r>
        <w:rPr>
          <w:i/>
          <w:iCs/>
        </w:rPr>
        <w:t xml:space="preserve">pro forma </w:t>
      </w:r>
      <w:r>
        <w:t>transfer of control or assignment; or</w:t>
      </w:r>
    </w:p>
    <w:p w:rsidR="00C60ABC" w:rsidP="000D3FB8" w14:paraId="5E3201EE" w14:textId="3C2869E4">
      <w:pPr>
        <w:pStyle w:val="ParaNumCharChar"/>
        <w:numPr>
          <w:ilvl w:val="2"/>
          <w:numId w:val="12"/>
        </w:numPr>
        <w:tabs>
          <w:tab w:val="left" w:pos="720"/>
          <w:tab w:val="clear" w:pos="1440"/>
        </w:tabs>
        <w:spacing w:after="120"/>
      </w:pPr>
      <w:r>
        <w:t>Upon application for modification of a Covered Authorization designated in Schedule A or B that would cause the entity to be a licensee or lessee of the Covered Authorization</w:t>
      </w:r>
      <w:r w:rsidR="0004607B">
        <w:t>.</w:t>
      </w:r>
    </w:p>
    <w:p w:rsidR="00C60ABC" w:rsidP="000D3FB8" w14:paraId="21A4BE81" w14:textId="2C86914B">
      <w:pPr>
        <w:pStyle w:val="ParaNumCharChar"/>
        <w:numPr>
          <w:ilvl w:val="1"/>
          <w:numId w:val="12"/>
        </w:numPr>
        <w:tabs>
          <w:tab w:val="left" w:pos="720"/>
          <w:tab w:val="clear" w:pos="1440"/>
        </w:tabs>
        <w:spacing w:after="120"/>
      </w:pPr>
      <w:r>
        <w:t xml:space="preserve">Any </w:t>
      </w:r>
      <w:r>
        <w:t>Regulatee</w:t>
      </w:r>
      <w:r>
        <w:t xml:space="preserve"> whose last attestation was affirmative within 30 days of its determination that it is no longer subject to Foreign Adversary Control.</w:t>
      </w:r>
    </w:p>
    <w:p w:rsidR="00832F3C" w:rsidP="000A7F82" w14:paraId="49DD7CCB" w14:textId="66D82084">
      <w:pPr>
        <w:pStyle w:val="ParaNumCharChar"/>
        <w:widowControl/>
        <w:numPr>
          <w:ilvl w:val="0"/>
          <w:numId w:val="12"/>
        </w:numPr>
        <w:tabs>
          <w:tab w:val="left" w:pos="720"/>
          <w:tab w:val="clear" w:pos="1440"/>
        </w:tabs>
        <w:spacing w:after="120"/>
      </w:pPr>
      <w:r w:rsidRPr="000D3FB8">
        <w:rPr>
          <w:u w:val="single"/>
        </w:rPr>
        <w:t>Additional Disclosures</w:t>
      </w:r>
      <w:r>
        <w:t xml:space="preserve">.  </w:t>
      </w:r>
      <w:r w:rsidR="00E364C7">
        <w:t xml:space="preserve">If a </w:t>
      </w:r>
      <w:r w:rsidR="00E364C7">
        <w:t>Regulatee</w:t>
      </w:r>
      <w:r w:rsidR="00E364C7">
        <w:t xml:space="preserve"> attests that it is subject to Foreign Adversary Control, </w:t>
      </w:r>
      <w:r w:rsidR="0013208A">
        <w:t>it must submit the following additional disclosures</w:t>
      </w:r>
      <w:r w:rsidR="00B72BAF">
        <w:t xml:space="preserve"> (47 CFR </w:t>
      </w:r>
      <w:r w:rsidRPr="00441CD6" w:rsidR="00B72BAF">
        <w:t>§</w:t>
      </w:r>
      <w:r w:rsidR="00B72BAF">
        <w:t xml:space="preserve"> 1.80003(</w:t>
      </w:r>
      <w:r w:rsidR="00AC69B4">
        <w:t>j</w:t>
      </w:r>
      <w:r w:rsidR="00B72BAF">
        <w:t>))</w:t>
      </w:r>
      <w:r w:rsidR="0013208A">
        <w:t>:</w:t>
      </w:r>
    </w:p>
    <w:p w:rsidR="00832F3C" w:rsidRPr="00832F3C" w:rsidP="000D3FB8" w14:paraId="41CB46B7" w14:textId="49F9B7DE">
      <w:pPr>
        <w:pStyle w:val="ParaNumCharChar"/>
        <w:numPr>
          <w:ilvl w:val="1"/>
          <w:numId w:val="12"/>
        </w:numPr>
        <w:tabs>
          <w:tab w:val="left" w:pos="720"/>
          <w:tab w:val="clear" w:pos="1440"/>
        </w:tabs>
        <w:spacing w:after="120"/>
      </w:pPr>
      <w:r w:rsidRPr="00832F3C">
        <w:rPr>
          <w:bCs/>
        </w:rPr>
        <w:t>All 5% or greater direct or indirect equity and/or voting interest holders, and controlling interest holders, specifically:</w:t>
      </w:r>
    </w:p>
    <w:p w:rsidR="00832F3C" w:rsidRPr="00832F3C" w:rsidP="000D3FB8" w14:paraId="64737680" w14:textId="37D64586">
      <w:pPr>
        <w:pStyle w:val="ParaNumCharChar"/>
        <w:numPr>
          <w:ilvl w:val="2"/>
          <w:numId w:val="12"/>
        </w:numPr>
        <w:tabs>
          <w:tab w:val="left" w:pos="720"/>
          <w:tab w:val="clear" w:pos="1440"/>
        </w:tabs>
        <w:spacing w:after="120"/>
      </w:pPr>
      <w:r w:rsidRPr="00832F3C">
        <w:rPr>
          <w:bCs/>
        </w:rPr>
        <w:t xml:space="preserve">For each reported natural person interest holder, his or her: (A) Name; (B) Address; (C) Country or countries of citizenship; (D) Percentage or equity and/or voting interest, and all controlling interests, held directly or indirectly in the </w:t>
      </w:r>
      <w:r w:rsidRPr="00832F3C">
        <w:rPr>
          <w:bCs/>
        </w:rPr>
        <w:t>Regulatee</w:t>
      </w:r>
      <w:r w:rsidRPr="00832F3C">
        <w:rPr>
          <w:bCs/>
        </w:rPr>
        <w:t>; and</w:t>
      </w:r>
    </w:p>
    <w:p w:rsidR="008630ED" w:rsidRPr="008630ED" w:rsidP="000D3FB8" w14:paraId="3050AF69" w14:textId="3DAD9D65">
      <w:pPr>
        <w:pStyle w:val="ParaNumCharChar"/>
        <w:numPr>
          <w:ilvl w:val="2"/>
          <w:numId w:val="12"/>
        </w:numPr>
        <w:tabs>
          <w:tab w:val="left" w:pos="720"/>
          <w:tab w:val="clear" w:pos="1440"/>
        </w:tabs>
        <w:spacing w:after="120"/>
      </w:pPr>
      <w:r w:rsidRPr="00832F3C">
        <w:rPr>
          <w:bCs/>
        </w:rPr>
        <w:t xml:space="preserve">For each reported entity (including a government entity) interest holder, it: (A) Name; (B) Address; (C) Country under the laws of which the entity is organized; (D) Country of the principal place of business, headquarters, and place of incorporation or organization; (E) Type of entity and principal business(es); (F) Percentage of equity and/or voting interest, and all controlling interests, held directly or indirectly in the </w:t>
      </w:r>
      <w:r w:rsidRPr="00832F3C">
        <w:rPr>
          <w:bCs/>
        </w:rPr>
        <w:t>Regulatee</w:t>
      </w:r>
      <w:r w:rsidRPr="00832F3C">
        <w:rPr>
          <w:bCs/>
        </w:rPr>
        <w:t>; and</w:t>
      </w:r>
    </w:p>
    <w:p w:rsidR="00832F3C" w:rsidRPr="008630ED" w:rsidP="000D3FB8" w14:paraId="179657ED" w14:textId="3E9D6D47">
      <w:pPr>
        <w:pStyle w:val="ParaNumCharChar"/>
        <w:numPr>
          <w:ilvl w:val="2"/>
          <w:numId w:val="12"/>
        </w:numPr>
        <w:tabs>
          <w:tab w:val="left" w:pos="720"/>
          <w:tab w:val="clear" w:pos="1440"/>
        </w:tabs>
        <w:spacing w:after="120"/>
      </w:pPr>
      <w:r w:rsidRPr="008630ED">
        <w:rPr>
          <w:bCs/>
        </w:rPr>
        <w:t xml:space="preserve">An ownership diagram that illustrates the </w:t>
      </w:r>
      <w:r w:rsidRPr="008630ED">
        <w:rPr>
          <w:bCs/>
        </w:rPr>
        <w:t>Regulatee’s</w:t>
      </w:r>
      <w:r w:rsidRPr="008630ED">
        <w:rPr>
          <w:bCs/>
        </w:rPr>
        <w:t xml:space="preserve"> vertical ownership structure, including the direct and indirect equity and/or voting interests, and/or controlling interests, as applicable, held by the individuals and entities named in response to this </w:t>
      </w:r>
      <w:r w:rsidR="0021721E">
        <w:rPr>
          <w:bCs/>
        </w:rPr>
        <w:t>section</w:t>
      </w:r>
      <w:r w:rsidRPr="008630ED">
        <w:rPr>
          <w:bCs/>
        </w:rPr>
        <w:t xml:space="preserve">.  Every such individual or entity with equity and/or voting interests shall be depicted and all controlling interests must be identified.  For disclosures provided pursuant to paragraphs </w:t>
      </w:r>
      <w:r w:rsidR="00B0762B">
        <w:rPr>
          <w:bCs/>
        </w:rPr>
        <w:t>that require ongoing attestations</w:t>
      </w:r>
      <w:r w:rsidRPr="008630ED">
        <w:rPr>
          <w:bCs/>
        </w:rPr>
        <w:t xml:space="preserve">, the ownership diagram shall include both the pre-transaction and post-transaction ownership </w:t>
      </w:r>
      <w:r w:rsidR="003E56FE">
        <w:rPr>
          <w:bCs/>
        </w:rPr>
        <w:t>o</w:t>
      </w:r>
      <w:r w:rsidRPr="008630ED">
        <w:rPr>
          <w:bCs/>
        </w:rPr>
        <w:t xml:space="preserve">f the </w:t>
      </w:r>
      <w:r w:rsidRPr="008630ED">
        <w:rPr>
          <w:bCs/>
        </w:rPr>
        <w:t>Regulatee</w:t>
      </w:r>
      <w:r w:rsidR="0047232F">
        <w:rPr>
          <w:bCs/>
        </w:rPr>
        <w:t>;</w:t>
      </w:r>
    </w:p>
    <w:p w:rsidR="008630ED" w:rsidRPr="008630ED" w:rsidP="000D3FB8" w14:paraId="7D4E89C2" w14:textId="01DDE068">
      <w:pPr>
        <w:pStyle w:val="ParaNumCharChar"/>
        <w:numPr>
          <w:ilvl w:val="1"/>
          <w:numId w:val="12"/>
        </w:numPr>
        <w:tabs>
          <w:tab w:val="left" w:pos="720"/>
          <w:tab w:val="clear" w:pos="1440"/>
        </w:tabs>
        <w:spacing w:after="120"/>
      </w:pPr>
      <w:r w:rsidRPr="008630ED">
        <w:rPr>
          <w:bCs/>
        </w:rPr>
        <w:t xml:space="preserve">The identity of the foreign adversary or foreign adversary country the </w:t>
      </w:r>
      <w:r w:rsidRPr="008630ED">
        <w:rPr>
          <w:bCs/>
        </w:rPr>
        <w:t>Regulatee</w:t>
      </w:r>
      <w:r w:rsidRPr="008630ED">
        <w:rPr>
          <w:bCs/>
        </w:rPr>
        <w:t xml:space="preserve"> is owned by, controlled by, or subject to the jurisdiction or direction of; and</w:t>
      </w:r>
    </w:p>
    <w:p w:rsidR="008630ED" w:rsidRPr="008630ED" w:rsidP="000D3FB8" w14:paraId="63872E9C" w14:textId="198AB025">
      <w:pPr>
        <w:pStyle w:val="ParaNumCharChar"/>
        <w:numPr>
          <w:ilvl w:val="1"/>
          <w:numId w:val="12"/>
        </w:numPr>
        <w:tabs>
          <w:tab w:val="left" w:pos="720"/>
          <w:tab w:val="clear" w:pos="1440"/>
        </w:tabs>
        <w:spacing w:after="120"/>
      </w:pPr>
      <w:r w:rsidRPr="008630ED">
        <w:rPr>
          <w:bCs/>
        </w:rPr>
        <w:t xml:space="preserve">The nature of the Foreign Adversary Control to which the </w:t>
      </w:r>
      <w:r w:rsidRPr="008630ED">
        <w:rPr>
          <w:bCs/>
        </w:rPr>
        <w:t>Regulatee</w:t>
      </w:r>
      <w:r w:rsidRPr="008630ED">
        <w:rPr>
          <w:bCs/>
        </w:rPr>
        <w:t xml:space="preserve"> is subject</w:t>
      </w:r>
      <w:r w:rsidR="00A935D2">
        <w:rPr>
          <w:bCs/>
        </w:rPr>
        <w:t>.</w:t>
      </w:r>
    </w:p>
    <w:p w:rsidR="0013208A" w:rsidP="000D3FB8" w14:paraId="53A06310" w14:textId="44B1092D">
      <w:pPr>
        <w:pStyle w:val="ParaNumCharChar"/>
        <w:numPr>
          <w:ilvl w:val="1"/>
          <w:numId w:val="12"/>
        </w:numPr>
        <w:tabs>
          <w:tab w:val="left" w:pos="720"/>
          <w:tab w:val="clear" w:pos="1440"/>
        </w:tabs>
        <w:spacing w:after="120"/>
      </w:pPr>
      <w:r w:rsidRPr="008630ED">
        <w:rPr>
          <w:bCs/>
        </w:rPr>
        <w:t xml:space="preserve">A </w:t>
      </w:r>
      <w:r w:rsidRPr="008630ED">
        <w:rPr>
          <w:bCs/>
        </w:rPr>
        <w:t>Regulatee</w:t>
      </w:r>
      <w:r w:rsidRPr="008630ED">
        <w:rPr>
          <w:bCs/>
        </w:rPr>
        <w:t xml:space="preserve"> filing a disclosure pursuant to this </w:t>
      </w:r>
      <w:r w:rsidR="00345CCA">
        <w:rPr>
          <w:bCs/>
        </w:rPr>
        <w:t xml:space="preserve">section </w:t>
      </w:r>
      <w:r w:rsidRPr="008630ED">
        <w:rPr>
          <w:bCs/>
        </w:rPr>
        <w:t xml:space="preserve">shall include a statement certifying to the truth and accuracy of all information included in the disclosure. </w:t>
      </w:r>
    </w:p>
    <w:p w:rsidR="00066CB4" w:rsidRPr="00075FF6" w:rsidP="00C654DA" w14:paraId="2604104F" w14:textId="735C3146">
      <w:pPr>
        <w:spacing w:after="120"/>
        <w:ind w:left="720" w:hanging="720"/>
        <w:jc w:val="both"/>
        <w:rPr>
          <w:b/>
        </w:rPr>
      </w:pPr>
      <w:r w:rsidRPr="00075FF6">
        <w:rPr>
          <w:b/>
        </w:rPr>
        <w:t>I</w:t>
      </w:r>
      <w:r w:rsidRPr="00075FF6">
        <w:rPr>
          <w:b/>
        </w:rPr>
        <w:t>V.</w:t>
      </w:r>
      <w:r w:rsidRPr="00075FF6" w:rsidR="00286EA8">
        <w:rPr>
          <w:b/>
        </w:rPr>
        <w:tab/>
      </w:r>
      <w:r w:rsidRPr="00075FF6">
        <w:rPr>
          <w:b/>
        </w:rPr>
        <w:t>IMPLEMENTATION</w:t>
      </w:r>
      <w:r w:rsidRPr="00075FF6" w:rsidR="00716724">
        <w:rPr>
          <w:b/>
        </w:rPr>
        <w:t xml:space="preserve"> DATE</w:t>
      </w:r>
    </w:p>
    <w:p w:rsidR="00102985" w:rsidRPr="00946F54" w:rsidP="00C654DA" w14:paraId="40787CBB" w14:textId="566758A7">
      <w:pPr>
        <w:pStyle w:val="ParaNumCharChar"/>
        <w:tabs>
          <w:tab w:val="clear" w:pos="1080"/>
          <w:tab w:val="clear" w:pos="1440"/>
        </w:tabs>
        <w:spacing w:after="120"/>
        <w:rPr>
          <w:iCs/>
        </w:rPr>
      </w:pPr>
      <w:r>
        <w:t>T</w:t>
      </w:r>
      <w:r w:rsidRPr="00075FF6">
        <w:t>he</w:t>
      </w:r>
      <w:r>
        <w:t xml:space="preserve"> rules in the </w:t>
      </w:r>
      <w:r>
        <w:rPr>
          <w:i/>
          <w:iCs/>
        </w:rPr>
        <w:t xml:space="preserve">Foreign Adversary Control </w:t>
      </w:r>
      <w:r w:rsidRPr="00075FF6">
        <w:rPr>
          <w:i/>
        </w:rPr>
        <w:t xml:space="preserve">Report and Order </w:t>
      </w:r>
      <w:r w:rsidR="00041B10">
        <w:rPr>
          <w:iCs/>
        </w:rPr>
        <w:t>are</w:t>
      </w:r>
      <w:r>
        <w:rPr>
          <w:iCs/>
        </w:rPr>
        <w:t xml:space="preserve"> effective </w:t>
      </w:r>
      <w:r w:rsidR="00C83BB8">
        <w:rPr>
          <w:iCs/>
        </w:rPr>
        <w:t>June 9, 2026</w:t>
      </w:r>
      <w:r>
        <w:rPr>
          <w:iCs/>
        </w:rPr>
        <w:t xml:space="preserve">.  </w:t>
      </w:r>
      <w:r w:rsidR="007D0DFC">
        <w:rPr>
          <w:iCs/>
        </w:rPr>
        <w:t>The new rules to be codified in 47 CFR</w:t>
      </w:r>
      <w:r w:rsidRPr="0081087A" w:rsidR="0081087A">
        <w:rPr>
          <w:rFonts w:ascii="TimesNewRomanPSMT" w:hAnsi="TimesNewRomanPSMT" w:eastAsiaTheme="minorHAnsi" w:cs="TimesNewRomanPSMT"/>
          <w:kern w:val="0"/>
          <w:szCs w:val="22"/>
        </w:rPr>
        <w:t xml:space="preserve"> </w:t>
      </w:r>
      <w:r w:rsidRPr="0081087A" w:rsidR="0081087A">
        <w:rPr>
          <w:iCs/>
        </w:rPr>
        <w:t>§</w:t>
      </w:r>
      <w:r w:rsidR="007D0DFC">
        <w:rPr>
          <w:iCs/>
        </w:rPr>
        <w:t xml:space="preserve"> 1.80003 and </w:t>
      </w:r>
      <w:r w:rsidR="0081087A">
        <w:rPr>
          <w:iCs/>
        </w:rPr>
        <w:t xml:space="preserve">the amendments to </w:t>
      </w:r>
      <w:r w:rsidRPr="00946F54" w:rsidR="0081087A">
        <w:rPr>
          <w:iCs/>
        </w:rPr>
        <w:t>47 CFR § 73.1212(j)(8) require approval by the Office of Management and Budget (OMB) under the Paperwork Reduction Act</w:t>
      </w:r>
      <w:r w:rsidRPr="00946F54" w:rsidR="001A43E9">
        <w:rPr>
          <w:iCs/>
        </w:rPr>
        <w:t>.  These rules shall become effective after the Commission publishes a notice in the Federal Register announcing OMB approval and the relevant effective date.</w:t>
      </w:r>
    </w:p>
    <w:p w:rsidR="00716656" w:rsidRPr="00AB4474" w:rsidP="00C654DA" w14:paraId="55F13971" w14:textId="55C0DDAD">
      <w:pPr>
        <w:spacing w:after="120"/>
        <w:ind w:firstLine="720"/>
        <w:jc w:val="both"/>
        <w:rPr>
          <w:bCs/>
        </w:rPr>
      </w:pPr>
      <w:r w:rsidRPr="00AB4474">
        <w:rPr>
          <w:bCs/>
        </w:rPr>
        <w:t xml:space="preserve">Specific instructions for </w:t>
      </w:r>
      <w:r w:rsidRPr="00AB4474">
        <w:rPr>
          <w:bCs/>
        </w:rPr>
        <w:t>Regulatees</w:t>
      </w:r>
      <w:r w:rsidRPr="00AB4474">
        <w:rPr>
          <w:bCs/>
        </w:rPr>
        <w:t xml:space="preserve"> required to file initial attestation and disclosures will be announced by public notice.  Small entities that are required to submit initial attestations must do so within 120 days of the public notice announcing launch of the Foreign Adversary Control System.  </w:t>
      </w:r>
    </w:p>
    <w:p w:rsidR="00C5062A" w:rsidRPr="00946F54" w:rsidP="00C654DA" w14:paraId="216346AD" w14:textId="3D68D194">
      <w:pPr>
        <w:spacing w:after="120"/>
        <w:ind w:left="720" w:hanging="720"/>
        <w:jc w:val="both"/>
        <w:rPr>
          <w:b/>
        </w:rPr>
      </w:pPr>
      <w:r w:rsidRPr="00946F54">
        <w:rPr>
          <w:b/>
        </w:rPr>
        <w:t>V.</w:t>
      </w:r>
      <w:r w:rsidRPr="00946F54">
        <w:rPr>
          <w:b/>
        </w:rPr>
        <w:tab/>
      </w:r>
      <w:r w:rsidRPr="00946F54">
        <w:rPr>
          <w:b/>
        </w:rPr>
        <w:t>INTERNET LINKS</w:t>
      </w:r>
    </w:p>
    <w:p w:rsidR="00C5062A" w:rsidRPr="002C6C00" w:rsidP="000D3FB8" w14:paraId="16EDDFF4" w14:textId="637B89DC">
      <w:pPr>
        <w:spacing w:after="120"/>
        <w:contextualSpacing/>
        <w:rPr>
          <w:b/>
          <w:highlight w:val="yellow"/>
        </w:rPr>
      </w:pPr>
      <w:r w:rsidRPr="46832B74">
        <w:t xml:space="preserve">A copy of the </w:t>
      </w:r>
      <w:r w:rsidR="0019761B">
        <w:rPr>
          <w:i/>
          <w:iCs/>
        </w:rPr>
        <w:t xml:space="preserve">Foreign Adversary Control </w:t>
      </w:r>
      <w:r w:rsidR="00745CE1">
        <w:rPr>
          <w:i/>
          <w:iCs/>
        </w:rPr>
        <w:t>Report and Order</w:t>
      </w:r>
      <w:r w:rsidRPr="46832B74">
        <w:t xml:space="preserve"> is available at</w:t>
      </w:r>
      <w:r w:rsidRPr="00AF6AFF" w:rsidR="00751821">
        <w:t>:</w:t>
      </w:r>
      <w:r w:rsidR="0019761B">
        <w:t xml:space="preserve"> </w:t>
      </w:r>
      <w:hyperlink r:id="rId9" w:history="1">
        <w:r w:rsidRPr="009F108F" w:rsidR="0019761B">
          <w:rPr>
            <w:rStyle w:val="Hyperlink"/>
          </w:rPr>
          <w:t>https://docs.fcc.gov/public/attachments/FCC-26-2A1.pdf</w:t>
        </w:r>
      </w:hyperlink>
      <w:r w:rsidR="0019761B">
        <w:t xml:space="preserve">. </w:t>
      </w:r>
    </w:p>
    <w:p w:rsidR="002973BD" w:rsidRPr="00075FF6" w:rsidP="000D3FB8" w14:paraId="3EB55880" w14:textId="77777777">
      <w:pPr>
        <w:spacing w:after="120"/>
        <w:contextualSpacing/>
        <w:rPr>
          <w:bCs/>
        </w:rPr>
      </w:pPr>
    </w:p>
    <w:p w:rsidR="008F02BA" w:rsidRPr="00075FF6" w:rsidP="000D3FB8" w14:paraId="4E10FD91" w14:textId="703F7774">
      <w:pPr>
        <w:spacing w:after="120"/>
        <w:contextualSpacing/>
        <w:rPr>
          <w:bCs/>
        </w:rPr>
      </w:pPr>
      <w:r w:rsidRPr="00075FF6">
        <w:rPr>
          <w:bCs/>
        </w:rPr>
        <w:t xml:space="preserve">A copy of the Federal Register Summary of the </w:t>
      </w:r>
      <w:r w:rsidR="0019761B">
        <w:rPr>
          <w:bCs/>
          <w:i/>
        </w:rPr>
        <w:t>F</w:t>
      </w:r>
      <w:r w:rsidR="00092B2C">
        <w:rPr>
          <w:bCs/>
          <w:i/>
        </w:rPr>
        <w:t>oreign</w:t>
      </w:r>
      <w:r w:rsidR="0019761B">
        <w:rPr>
          <w:bCs/>
          <w:i/>
        </w:rPr>
        <w:t xml:space="preserve"> Adversary Control </w:t>
      </w:r>
      <w:r w:rsidR="00745CE1">
        <w:rPr>
          <w:i/>
        </w:rPr>
        <w:t xml:space="preserve">Report and </w:t>
      </w:r>
      <w:r w:rsidRPr="00075FF6">
        <w:rPr>
          <w:bCs/>
          <w:i/>
        </w:rPr>
        <w:t>Order</w:t>
      </w:r>
      <w:r w:rsidR="0019761B">
        <w:rPr>
          <w:bCs/>
          <w:i/>
        </w:rPr>
        <w:t xml:space="preserve"> </w:t>
      </w:r>
      <w:r w:rsidRPr="00075FF6">
        <w:rPr>
          <w:bCs/>
        </w:rPr>
        <w:t xml:space="preserve">is available at: </w:t>
      </w:r>
      <w:hyperlink r:id="rId10" w:history="1">
        <w:r w:rsidRPr="009F108F" w:rsidR="00611706">
          <w:rPr>
            <w:rStyle w:val="Hyperlink"/>
            <w:bCs/>
          </w:rPr>
          <w:t>https://www.federalregister.gov/documents/2026/04/10/2026-06992/protecting-our-communications-networks-by-promoting-transparency-regarding-foreign-adversary-control</w:t>
        </w:r>
      </w:hyperlink>
      <w:r w:rsidR="00611706">
        <w:rPr>
          <w:bCs/>
        </w:rPr>
        <w:t xml:space="preserve">. </w:t>
      </w:r>
    </w:p>
    <w:p w:rsidR="000D450B" w:rsidP="000D3FB8" w14:paraId="7CDC800F" w14:textId="77777777">
      <w:pPr>
        <w:spacing w:after="120"/>
        <w:contextualSpacing/>
        <w:rPr>
          <w:bCs/>
        </w:rPr>
      </w:pPr>
    </w:p>
    <w:p w:rsidR="004008B8" w:rsidRPr="007E0103" w:rsidP="000D3FB8" w14:paraId="59D79991" w14:textId="7DA3B1C6">
      <w:pPr>
        <w:spacing w:after="120"/>
        <w:contextualSpacing/>
        <w:rPr>
          <w:bCs/>
        </w:rPr>
      </w:pPr>
      <w:r>
        <w:rPr>
          <w:bCs/>
        </w:rPr>
        <w:t xml:space="preserve">The rules adopted in the </w:t>
      </w:r>
      <w:r>
        <w:rPr>
          <w:i/>
          <w:iCs/>
        </w:rPr>
        <w:t xml:space="preserve">Foreign Adversary Control Report and Order </w:t>
      </w:r>
      <w:r>
        <w:t>will be codified in Part 1, Subpart GG</w:t>
      </w:r>
      <w:r>
        <w:rPr>
          <w:bCs/>
        </w:rPr>
        <w:t xml:space="preserve"> of the Code of Federal Regulations.  Part 1 is available at: </w:t>
      </w:r>
      <w:hyperlink r:id="rId11" w:history="1">
        <w:r w:rsidRPr="009F108F" w:rsidR="00AB5BEC">
          <w:rPr>
            <w:rStyle w:val="Hyperlink"/>
            <w:bCs/>
          </w:rPr>
          <w:t>https://www.ecfr.gov/current/title-47/chapter-I/subchapter-A/part-1</w:t>
        </w:r>
      </w:hyperlink>
      <w:r w:rsidR="00AB5BEC">
        <w:rPr>
          <w:bCs/>
        </w:rPr>
        <w:t xml:space="preserve">. </w:t>
      </w:r>
    </w:p>
    <w:sectPr w:rsidSect="001C47B0">
      <w:headerReference w:type="default" r:id="rId12"/>
      <w:footerReference w:type="default" r:id="rId13"/>
      <w:pgSz w:w="12240" w:h="15840" w:code="1"/>
      <w:pgMar w:top="1440" w:right="1440" w:bottom="720" w:left="1440" w:header="720" w:footer="720" w:gutter="0"/>
      <w:pgNumType w:start="1"/>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imes New Roman Bold">
    <w:altName w:val="Times New Roman"/>
    <w:panose1 w:val="02020803070505020304"/>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imesNewRomanPSMT">
    <w:altName w:val="Times New Roman"/>
    <w:panose1 w:val="00000000000000000000"/>
    <w:charset w:val="00"/>
    <w:family w:val="swiss"/>
    <w:notTrueType/>
    <w:pitch w:val="default"/>
    <w:sig w:usb0="00000003" w:usb1="00000000" w:usb2="00000000" w:usb3="00000000" w:csb0="00000001"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368BB" w14:paraId="6859F9AC"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1C47B0" w:rsidRPr="001C47B0" w14:paraId="3E51500F" w14:textId="7777777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1743EF" w:rsidRPr="001C47B0" w:rsidP="001C47B0" w14:paraId="63BD9600" w14:textId="3203832C">
    <w:pPr>
      <w:pStyle w:val="Footer"/>
      <w:jc w:val="center"/>
      <w:rPr>
        <w:caps/>
        <w:noProof/>
      </w:rPr>
    </w:pPr>
    <w:r w:rsidRPr="001C47B0">
      <w:rPr>
        <w:caps/>
      </w:rPr>
      <w:fldChar w:fldCharType="begin"/>
    </w:r>
    <w:r w:rsidRPr="001C47B0">
      <w:rPr>
        <w:caps/>
      </w:rPr>
      <w:instrText xml:space="preserve"> PAGE   \* MERGEFORMAT </w:instrText>
    </w:r>
    <w:r w:rsidRPr="001C47B0">
      <w:rPr>
        <w:caps/>
      </w:rPr>
      <w:fldChar w:fldCharType="separate"/>
    </w:r>
    <w:r w:rsidRPr="001C47B0">
      <w:rPr>
        <w:caps/>
        <w:noProof/>
      </w:rPr>
      <w:t>2</w:t>
    </w:r>
    <w:r w:rsidRPr="001C47B0">
      <w:rPr>
        <w:caps/>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450EEA" w:rsidP="00034878" w14:paraId="67C9548F" w14:textId="77777777">
      <w:r>
        <w:separator/>
      </w:r>
    </w:p>
  </w:footnote>
  <w:footnote w:type="continuationSeparator" w:id="1">
    <w:p w:rsidR="00450EEA" w:rsidP="00034878" w14:paraId="5C78D0F0" w14:textId="77777777">
      <w:r>
        <w:continuationSeparator/>
      </w:r>
    </w:p>
  </w:footnote>
  <w:footnote w:type="continuationNotice" w:id="2">
    <w:p w:rsidR="00450EEA" w14:paraId="3823F0BD" w14:textId="77777777"/>
  </w:footnote>
  <w:footnote w:id="3">
    <w:p w:rsidR="004D7C32" w:rsidRPr="00441CD6" w:rsidP="00441CD6" w14:paraId="68B49E35" w14:textId="28651814">
      <w:pPr>
        <w:pStyle w:val="FootnoteText"/>
      </w:pPr>
      <w:r w:rsidRPr="00441CD6">
        <w:rPr>
          <w:rStyle w:val="FootnoteReference"/>
        </w:rPr>
        <w:footnoteRef/>
      </w:r>
      <w:r w:rsidRPr="00441CD6">
        <w:t xml:space="preserve"> </w:t>
      </w:r>
      <w:r w:rsidRPr="00441CD6">
        <w:rPr>
          <w:i/>
          <w:iCs/>
        </w:rPr>
        <w:t>Protecting Our Communications Networks by Promoting Transparency Regarding Foreign Adversary Control</w:t>
      </w:r>
      <w:r w:rsidRPr="00441CD6">
        <w:t>, GN Docket No. 25-166, Report and Order, FCC 26-2, at 2</w:t>
      </w:r>
      <w:r w:rsidRPr="00441CD6" w:rsidR="0013535E">
        <w:t>, paras. 1-2</w:t>
      </w:r>
      <w:r w:rsidRPr="00441CD6">
        <w:t>, 2026 WL 297882, at *2 (Jan. 30, 2026) (</w:t>
      </w:r>
      <w:r w:rsidRPr="00441CD6">
        <w:rPr>
          <w:i/>
          <w:iCs/>
        </w:rPr>
        <w:t>Foreign Adversary Control Report and Order</w:t>
      </w:r>
      <w:r w:rsidRPr="00441CD6">
        <w:t>).</w:t>
      </w:r>
    </w:p>
  </w:footnote>
  <w:footnote w:id="4">
    <w:p w:rsidR="000567C8" w:rsidRPr="00441CD6" w:rsidP="00441CD6" w14:paraId="4BC5C7D5" w14:textId="3D33D058">
      <w:pPr>
        <w:pStyle w:val="FootnoteText"/>
      </w:pPr>
      <w:r w:rsidRPr="00441CD6">
        <w:rPr>
          <w:rStyle w:val="FootnoteReference"/>
        </w:rPr>
        <w:footnoteRef/>
      </w:r>
      <w:r w:rsidRPr="00441CD6">
        <w:t xml:space="preserve"> In this </w:t>
      </w:r>
      <w:r w:rsidRPr="00441CD6">
        <w:rPr>
          <w:i/>
          <w:iCs/>
        </w:rPr>
        <w:t>Small Entity Compliance Guide</w:t>
      </w:r>
      <w:r w:rsidRPr="00441CD6">
        <w:t xml:space="preserve">, as referred to in the </w:t>
      </w:r>
      <w:r w:rsidRPr="00441CD6">
        <w:rPr>
          <w:i/>
          <w:iCs/>
        </w:rPr>
        <w:t>Foreign Adversary Control Report and Order</w:t>
      </w:r>
      <w:r w:rsidRPr="00441CD6">
        <w:t xml:space="preserve">, we use the term “Foreign Adversary Control” to refer to the term “owned by, controlled by, or subject to the jurisdiction or direction of a foreign adversary” as defined by the Commission. </w:t>
      </w:r>
      <w:r w:rsidRPr="00441CD6">
        <w:rPr>
          <w:i/>
          <w:iCs/>
        </w:rPr>
        <w:t xml:space="preserve"> </w:t>
      </w:r>
      <w:r w:rsidR="000124B8">
        <w:rPr>
          <w:i/>
          <w:iCs/>
        </w:rPr>
        <w:t xml:space="preserve">See </w:t>
      </w:r>
      <w:r w:rsidRPr="00441CD6" w:rsidR="000124B8">
        <w:rPr>
          <w:i/>
          <w:iCs/>
        </w:rPr>
        <w:t>Foreign Adversary Control Report and Order</w:t>
      </w:r>
      <w:r w:rsidR="000124B8">
        <w:rPr>
          <w:i/>
          <w:iCs/>
        </w:rPr>
        <w:t xml:space="preserve"> </w:t>
      </w:r>
      <w:r w:rsidRPr="00441CD6">
        <w:t>at</w:t>
      </w:r>
      <w:r w:rsidRPr="00441CD6" w:rsidR="00E339A7">
        <w:t xml:space="preserve"> 9,</w:t>
      </w:r>
      <w:r w:rsidRPr="00441CD6">
        <w:t xml:space="preserve"> para.</w:t>
      </w:r>
      <w:r w:rsidRPr="00441CD6" w:rsidR="00E339A7">
        <w:t xml:space="preserve"> </w:t>
      </w:r>
      <w:r w:rsidRPr="00441CD6" w:rsidR="006970DF">
        <w:t xml:space="preserve">14, </w:t>
      </w:r>
      <w:r w:rsidRPr="00441CD6">
        <w:t>n.50, 2026 WL 297882, at</w:t>
      </w:r>
      <w:r w:rsidRPr="00441CD6" w:rsidR="006970DF">
        <w:t xml:space="preserve"> *</w:t>
      </w:r>
      <w:r w:rsidRPr="00441CD6" w:rsidR="00057F4D">
        <w:t>5,</w:t>
      </w:r>
      <w:r w:rsidRPr="00441CD6">
        <w:t xml:space="preserve"> n.50; </w:t>
      </w:r>
      <w:r w:rsidRPr="00441CD6">
        <w:rPr>
          <w:i/>
          <w:iCs/>
        </w:rPr>
        <w:t xml:space="preserve">see also </w:t>
      </w:r>
      <w:r w:rsidRPr="00441CD6">
        <w:t>47 CFR § 1.70001(f).</w:t>
      </w:r>
    </w:p>
  </w:footnote>
  <w:footnote w:id="5">
    <w:p w:rsidR="0085581E" w:rsidRPr="00441CD6" w:rsidP="00441CD6" w14:paraId="0EEC099A" w14:textId="184919D5">
      <w:pPr>
        <w:pStyle w:val="FootnoteText"/>
      </w:pPr>
      <w:r w:rsidRPr="00441CD6">
        <w:rPr>
          <w:rStyle w:val="FootnoteReference"/>
        </w:rPr>
        <w:footnoteRef/>
      </w:r>
      <w:r w:rsidRPr="00441CD6">
        <w:t xml:space="preserve"> </w:t>
      </w:r>
      <w:r w:rsidR="002B2E26">
        <w:rPr>
          <w:i/>
          <w:iCs/>
        </w:rPr>
        <w:t>Foreign Adversary Control Report and</w:t>
      </w:r>
      <w:r w:rsidRPr="002B2E26" w:rsidR="002B2E26">
        <w:rPr>
          <w:i/>
          <w:iCs/>
        </w:rPr>
        <w:t xml:space="preserve"> Order</w:t>
      </w:r>
      <w:r w:rsidR="000124B8">
        <w:rPr>
          <w:i/>
          <w:iCs/>
        </w:rPr>
        <w:t xml:space="preserve"> </w:t>
      </w:r>
      <w:r w:rsidR="000124B8">
        <w:t>at</w:t>
      </w:r>
      <w:r w:rsidRPr="00441CD6">
        <w:t xml:space="preserve"> </w:t>
      </w:r>
      <w:r w:rsidRPr="00441CD6" w:rsidR="000A0B24">
        <w:t>48-</w:t>
      </w:r>
      <w:r w:rsidRPr="00441CD6" w:rsidR="0013535E">
        <w:t>56</w:t>
      </w:r>
      <w:r w:rsidRPr="00441CD6" w:rsidR="00365C11">
        <w:t xml:space="preserve">, paras. </w:t>
      </w:r>
      <w:r w:rsidRPr="00441CD6" w:rsidR="000A0B24">
        <w:t>73</w:t>
      </w:r>
      <w:r w:rsidRPr="00441CD6" w:rsidR="00365C11">
        <w:t>-97</w:t>
      </w:r>
      <w:r w:rsidRPr="00441CD6">
        <w:t>, 2026 WL 297882, at *</w:t>
      </w:r>
      <w:r w:rsidRPr="00441CD6" w:rsidR="00CB4050">
        <w:t>33-</w:t>
      </w:r>
      <w:r w:rsidRPr="00441CD6" w:rsidR="00365C11">
        <w:t>40</w:t>
      </w:r>
      <w:r w:rsidRPr="00441CD6">
        <w:t>.</w:t>
      </w:r>
    </w:p>
  </w:footnote>
  <w:footnote w:id="6">
    <w:p w:rsidR="00481419" w:rsidRPr="00441CD6" w:rsidP="00441CD6" w14:paraId="52C091C2" w14:textId="0F5C81AA">
      <w:pPr>
        <w:pStyle w:val="FootnoteText"/>
      </w:pPr>
      <w:r w:rsidRPr="00441CD6">
        <w:rPr>
          <w:rStyle w:val="FootnoteReference"/>
        </w:rPr>
        <w:footnoteRef/>
      </w:r>
      <w:r w:rsidRPr="00441CD6">
        <w:t xml:space="preserve"> </w:t>
      </w:r>
      <w:r w:rsidRPr="00441CD6" w:rsidR="00152366">
        <w:t>47</w:t>
      </w:r>
      <w:r w:rsidRPr="00441CD6" w:rsidR="00152366">
        <w:rPr>
          <w:bCs/>
        </w:rPr>
        <w:t xml:space="preserve"> CFR § 1.70001(e); </w:t>
      </w:r>
      <w:r w:rsidRPr="00441CD6">
        <w:rPr>
          <w:bCs/>
        </w:rPr>
        <w:t>15 CFR § 791.4</w:t>
      </w:r>
      <w:r w:rsidR="00B82D36">
        <w:rPr>
          <w:bCs/>
        </w:rPr>
        <w:t xml:space="preserve">.  The term Foreign Adversary Country means any foreign government that the Secretary of Commerce identifies as a Foreign Adversary.  </w:t>
      </w:r>
      <w:r w:rsidRPr="00441CD6" w:rsidR="00B82D36">
        <w:t>47</w:t>
      </w:r>
      <w:r w:rsidRPr="00441CD6" w:rsidR="00B82D36">
        <w:rPr>
          <w:bCs/>
        </w:rPr>
        <w:t xml:space="preserve"> CFR § 1.70001(f); 15 CFR § 791.4</w:t>
      </w:r>
      <w:r w:rsidR="00B82D36">
        <w:rPr>
          <w:bCs/>
        </w:rPr>
        <w:t>.</w:t>
      </w:r>
    </w:p>
  </w:footnote>
  <w:footnote w:id="7">
    <w:p w:rsidR="001870A7" w:rsidRPr="00441CD6" w:rsidP="00441CD6" w14:paraId="700E14BD" w14:textId="0CD18C88">
      <w:pPr>
        <w:pStyle w:val="FootnoteText"/>
      </w:pPr>
      <w:r w:rsidRPr="00441CD6">
        <w:rPr>
          <w:rStyle w:val="FootnoteReference"/>
        </w:rPr>
        <w:footnoteRef/>
      </w:r>
      <w:r w:rsidRPr="00441CD6">
        <w:t xml:space="preserve"> 47</w:t>
      </w:r>
      <w:r w:rsidRPr="00441CD6">
        <w:rPr>
          <w:bCs/>
        </w:rPr>
        <w:t xml:space="preserve"> CFR § 1.70001(g).</w:t>
      </w:r>
    </w:p>
  </w:footnote>
  <w:footnote w:id="8">
    <w:p w:rsidR="00F8207E" w:rsidRPr="00441CD6" w:rsidP="00F8207E" w14:paraId="15D48B80" w14:textId="77777777">
      <w:pPr>
        <w:pStyle w:val="FootnoteText"/>
      </w:pPr>
      <w:r w:rsidRPr="00441CD6">
        <w:rPr>
          <w:rStyle w:val="FootnoteReference"/>
        </w:rPr>
        <w:footnoteRef/>
      </w:r>
      <w:r w:rsidRPr="00441CD6">
        <w:t xml:space="preserve"> 47 CFR </w:t>
      </w:r>
      <w:r w:rsidRPr="00441CD6">
        <w:rPr>
          <w:bCs/>
        </w:rPr>
        <w:t>§ 1.80002.</w:t>
      </w:r>
      <w:r>
        <w:rPr>
          <w:bCs/>
        </w:rPr>
        <w:t xml:space="preserve">  </w:t>
      </w:r>
    </w:p>
  </w:footnote>
  <w:footnote w:id="9">
    <w:p w:rsidR="007C7250" w:rsidRPr="00441CD6" w:rsidP="007C7250" w14:paraId="46140A2A" w14:textId="77777777">
      <w:pPr>
        <w:pStyle w:val="FootnoteText"/>
      </w:pPr>
      <w:r w:rsidRPr="00441CD6">
        <w:rPr>
          <w:rStyle w:val="FootnoteReference"/>
        </w:rPr>
        <w:footnoteRef/>
      </w:r>
      <w:r w:rsidRPr="00441CD6">
        <w:t xml:space="preserve"> </w:t>
      </w:r>
      <w:r w:rsidRPr="00441CD6">
        <w:rPr>
          <w:i/>
          <w:iCs/>
        </w:rPr>
        <w:t xml:space="preserve">See </w:t>
      </w:r>
      <w:r w:rsidRPr="00441CD6">
        <w:t>5 U.S.C.</w:t>
      </w:r>
      <w:r w:rsidRPr="00441CD6">
        <w:rPr>
          <w:sz w:val="22"/>
          <w:szCs w:val="22"/>
        </w:rPr>
        <w:t xml:space="preserve"> </w:t>
      </w:r>
      <w:r w:rsidRPr="00441CD6">
        <w:t>§ 558(c).</w:t>
      </w:r>
    </w:p>
  </w:footnote>
  <w:footnote w:id="10">
    <w:p w:rsidR="0004607B" w:rsidRPr="00D144FB" w:rsidP="0004607B" w14:paraId="4FF17272" w14:textId="77777777">
      <w:pPr>
        <w:pStyle w:val="FootnoteText"/>
      </w:pPr>
      <w:r w:rsidRPr="00D144FB">
        <w:rPr>
          <w:rStyle w:val="FootnoteReference"/>
        </w:rPr>
        <w:footnoteRef/>
      </w:r>
      <w:r w:rsidRPr="00D144FB">
        <w:t xml:space="preserve"> </w:t>
      </w:r>
      <w:r w:rsidRPr="00D144FB">
        <w:rPr>
          <w:i/>
          <w:iCs/>
        </w:rPr>
        <w:t>Pro forma</w:t>
      </w:r>
      <w:r w:rsidRPr="00D144FB">
        <w:t xml:space="preserve"> transfers of control and assignments are transactions that “do not result in a change in the actual controlling party.”  See 47 CFR § 63.24(d).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121A4A" w:rsidRPr="000D00CF" w:rsidP="00A86909" w14:paraId="12171C3D" w14:textId="6D8E5E3A">
    <w:pPr>
      <w:pStyle w:val="Header"/>
    </w:pPr>
    <w:r>
      <w:rPr>
        <w:noProof/>
      </w:rPr>
      <w:drawing>
        <wp:anchor distT="0" distB="0" distL="114300" distR="114300" simplePos="0" relativeHeight="251658240" behindDoc="1" locked="0" layoutInCell="1" allowOverlap="1">
          <wp:simplePos x="0" y="0"/>
          <wp:positionH relativeFrom="column">
            <wp:posOffset>-107950</wp:posOffset>
          </wp:positionH>
          <wp:positionV relativeFrom="paragraph">
            <wp:posOffset>9525</wp:posOffset>
          </wp:positionV>
          <wp:extent cx="864235" cy="864235"/>
          <wp:effectExtent l="0" t="0" r="0" b="0"/>
          <wp:wrapTight wrapText="bothSides">
            <wp:wrapPolygon>
              <wp:start x="6190" y="0"/>
              <wp:lineTo x="0" y="3809"/>
              <wp:lineTo x="0" y="16188"/>
              <wp:lineTo x="5237" y="20949"/>
              <wp:lineTo x="6190" y="20949"/>
              <wp:lineTo x="14760" y="20949"/>
              <wp:lineTo x="15712" y="20949"/>
              <wp:lineTo x="20949" y="16188"/>
              <wp:lineTo x="20949" y="3809"/>
              <wp:lineTo x="14760" y="0"/>
              <wp:lineTo x="6190" y="0"/>
            </wp:wrapPolygon>
          </wp:wrapTight>
          <wp:docPr id="1977113389" name="Picture 1"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7113389" name="Picture 1" descr="A picture containing text&#10;&#10;Description automatically generated"/>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864235" cy="864235"/>
                  </a:xfrm>
                  <a:prstGeom prst="rect">
                    <a:avLst/>
                  </a:prstGeom>
                  <a:noFill/>
                </pic:spPr>
              </pic:pic>
            </a:graphicData>
          </a:graphic>
          <wp14:sizeRelH relativeFrom="margin">
            <wp14:pctWidth>0</wp14:pctWidth>
          </wp14:sizeRelH>
          <wp14:sizeRelV relativeFrom="margin">
            <wp14:pctHeight>0</wp14:pctHeight>
          </wp14:sizeRelV>
        </wp:anchor>
      </w:drawing>
    </w:r>
  </w:p>
  <w:p w:rsidR="00A86909" w:rsidRPr="00A86909" w:rsidP="001C47B0" w14:paraId="5EA81517" w14:textId="77777777">
    <w:pPr>
      <w:tabs>
        <w:tab w:val="center" w:pos="4680"/>
      </w:tabs>
      <w:rPr>
        <w:b/>
        <w:bCs/>
        <w:sz w:val="28"/>
        <w:szCs w:val="28"/>
      </w:rPr>
    </w:pPr>
    <w:r w:rsidRPr="000D00CF">
      <w:rPr>
        <w:b/>
        <w:bCs/>
        <w:sz w:val="28"/>
      </w:rPr>
      <w:tab/>
    </w:r>
    <w:r w:rsidRPr="00A86909">
      <w:rPr>
        <w:b/>
        <w:bCs/>
        <w:sz w:val="28"/>
        <w:szCs w:val="28"/>
      </w:rPr>
      <w:t>Federal Communications Commission</w:t>
    </w:r>
  </w:p>
  <w:p w:rsidR="00121A4A" w:rsidRPr="000D00CF" w:rsidP="001C47B0" w14:paraId="1BA309EF" w14:textId="714B371E">
    <w:pPr>
      <w:tabs>
        <w:tab w:val="center" w:pos="4680"/>
      </w:tabs>
      <w:rPr>
        <w:b/>
        <w:bCs/>
        <w:sz w:val="28"/>
      </w:rPr>
    </w:pPr>
    <w:r>
      <w:rPr>
        <w:b/>
        <w:bCs/>
        <w:sz w:val="28"/>
      </w:rPr>
      <w:tab/>
    </w:r>
    <w:r w:rsidRPr="000D00CF">
      <w:rPr>
        <w:b/>
        <w:bCs/>
        <w:sz w:val="28"/>
      </w:rPr>
      <w:t>Washington, DC 20</w:t>
    </w:r>
    <w:r w:rsidRPr="000D00CF" w:rsidR="00F654A1">
      <w:rPr>
        <w:b/>
        <w:bCs/>
        <w:sz w:val="28"/>
      </w:rPr>
      <w:t>554</w:t>
    </w:r>
  </w:p>
  <w:p w:rsidR="000D00CF" w:rsidP="001C47B0" w14:paraId="120716DC" w14:textId="77777777">
    <w:pPr>
      <w:tabs>
        <w:tab w:val="left" w:pos="3960"/>
      </w:tabs>
      <w:rPr>
        <w:b/>
        <w:bCs/>
        <w:sz w:val="24"/>
        <w:szCs w:val="24"/>
      </w:rPr>
    </w:pPr>
  </w:p>
  <w:p w:rsidR="00121A4A" w:rsidRPr="007E0103" w:rsidP="001C47B0" w14:paraId="58C0CB06" w14:textId="751A6E51">
    <w:pPr>
      <w:tabs>
        <w:tab w:val="left" w:pos="3960"/>
      </w:tabs>
      <w:rPr>
        <w:sz w:val="24"/>
        <w:szCs w:val="24"/>
      </w:rPr>
    </w:pPr>
    <w:r>
      <w:rPr>
        <w:b/>
        <w:bCs/>
        <w:sz w:val="24"/>
        <w:szCs w:val="24"/>
      </w:rPr>
      <w:tab/>
    </w:r>
    <w:r w:rsidRPr="003354DC" w:rsidR="003354DC">
      <w:rPr>
        <w:b/>
        <w:bCs/>
        <w:sz w:val="24"/>
        <w:szCs w:val="24"/>
      </w:rPr>
      <w:t>June</w:t>
    </w:r>
    <w:r w:rsidRPr="003354DC" w:rsidR="009373C9">
      <w:rPr>
        <w:b/>
        <w:bCs/>
        <w:sz w:val="24"/>
        <w:szCs w:val="24"/>
      </w:rPr>
      <w:t xml:space="preserve"> </w:t>
    </w:r>
    <w:r w:rsidR="009C7B41">
      <w:rPr>
        <w:b/>
        <w:bCs/>
        <w:sz w:val="24"/>
        <w:szCs w:val="24"/>
      </w:rPr>
      <w:t>8</w:t>
    </w:r>
    <w:r w:rsidRPr="003354DC">
      <w:rPr>
        <w:b/>
        <w:bCs/>
        <w:sz w:val="24"/>
        <w:szCs w:val="24"/>
      </w:rPr>
      <w:t>, 20</w:t>
    </w:r>
    <w:r w:rsidRPr="003354DC" w:rsidR="00705AE9">
      <w:rPr>
        <w:b/>
        <w:bCs/>
        <w:sz w:val="24"/>
        <w:szCs w:val="24"/>
      </w:rPr>
      <w:t>26</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5132F" w:rsidP="00A86909" w14:paraId="56FBDB95" w14:textId="77777777">
    <w:pPr>
      <w:pStyle w:val="Header"/>
    </w:pPr>
    <w: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1743EF" w:rsidRPr="000D00CF" w:rsidP="00A86909" w14:paraId="50ED0993"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1F83454"/>
    <w:multiLevelType w:val="hybridMultilevel"/>
    <w:tmpl w:val="EDEACBD6"/>
    <w:lvl w:ilvl="0">
      <w:start w:val="1"/>
      <w:numFmt w:val="upperLetter"/>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
    <w:nsid w:val="084B453C"/>
    <w:multiLevelType w:val="singleLevel"/>
    <w:tmpl w:val="40A8E97A"/>
    <w:lvl w:ilvl="0">
      <w:start w:val="1"/>
      <w:numFmt w:val="decimal"/>
      <w:lvlText w:val="%1."/>
      <w:lvlJc w:val="left"/>
      <w:pPr>
        <w:tabs>
          <w:tab w:val="num" w:pos="1080"/>
        </w:tabs>
        <w:ind w:left="0" w:firstLine="720"/>
      </w:pPr>
    </w:lvl>
  </w:abstractNum>
  <w:abstractNum w:abstractNumId="2">
    <w:nsid w:val="111458D0"/>
    <w:multiLevelType w:val="hybridMultilevel"/>
    <w:tmpl w:val="817C1B26"/>
    <w:lvl w:ilvl="0">
      <w:start w:val="1"/>
      <w:numFmt w:val="upperLetter"/>
      <w:lvlText w:val="%1."/>
      <w:lvlJc w:val="left"/>
      <w:pPr>
        <w:ind w:left="1080" w:hanging="36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3">
    <w:nsid w:val="11A8198E"/>
    <w:multiLevelType w:val="hybridMultilevel"/>
    <w:tmpl w:val="07D837E0"/>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11E54102"/>
    <w:multiLevelType w:val="hybridMultilevel"/>
    <w:tmpl w:val="3CD2B9DA"/>
    <w:lvl w:ilvl="0">
      <w:start w:val="1"/>
      <w:numFmt w:val="upperLetter"/>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
    <w:nsid w:val="14081EF1"/>
    <w:multiLevelType w:val="hybridMultilevel"/>
    <w:tmpl w:val="46B2A538"/>
    <w:lvl w:ilvl="0">
      <w:start w:val="1"/>
      <w:numFmt w:val="decimal"/>
      <w:lvlText w:val="(%1)"/>
      <w:lvlJc w:val="left"/>
      <w:pPr>
        <w:ind w:left="1080" w:hanging="36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6">
    <w:nsid w:val="16A325FB"/>
    <w:multiLevelType w:val="hybridMultilevel"/>
    <w:tmpl w:val="6FD83BA6"/>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7">
    <w:nsid w:val="21E058DA"/>
    <w:multiLevelType w:val="hybridMultilevel"/>
    <w:tmpl w:val="F2DEF5CA"/>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8">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9">
    <w:nsid w:val="248246F3"/>
    <w:multiLevelType w:val="singleLevel"/>
    <w:tmpl w:val="B1F45678"/>
    <w:lvl w:ilvl="0">
      <w:start w:val="1"/>
      <w:numFmt w:val="decimal"/>
      <w:lvlText w:val="%1."/>
      <w:lvlJc w:val="left"/>
      <w:pPr>
        <w:tabs>
          <w:tab w:val="num" w:pos="1080"/>
        </w:tabs>
        <w:ind w:left="0" w:firstLine="720"/>
      </w:pPr>
    </w:lvl>
  </w:abstractNum>
  <w:abstractNum w:abstractNumId="10">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11">
    <w:nsid w:val="28BE37A8"/>
    <w:multiLevelType w:val="hybridMultilevel"/>
    <w:tmpl w:val="8C66C43C"/>
    <w:lvl w:ilvl="0">
      <w:start w:val="1"/>
      <w:numFmt w:val="decimal"/>
      <w:lvlText w:val="(%1)"/>
      <w:lvlJc w:val="left"/>
      <w:pPr>
        <w:ind w:left="1440" w:hanging="360"/>
      </w:pPr>
      <w:rPr>
        <w:rFonts w:hint="default"/>
      </w:rPr>
    </w:lvl>
    <w:lvl w:ilvl="1">
      <w:start w:val="1"/>
      <w:numFmt w:val="lowerLetter"/>
      <w:lvlText w:val="%2."/>
      <w:lvlJc w:val="left"/>
      <w:pPr>
        <w:ind w:left="2160" w:hanging="360"/>
      </w:pPr>
    </w:lvl>
    <w:lvl w:ilvl="2" w:tentative="1">
      <w:start w:val="1"/>
      <w:numFmt w:val="lowerRoman"/>
      <w:lvlText w:val="%3."/>
      <w:lvlJc w:val="right"/>
      <w:pPr>
        <w:ind w:left="2880" w:hanging="180"/>
      </w:pPr>
    </w:lvl>
    <w:lvl w:ilvl="3" w:tentative="1">
      <w:start w:val="1"/>
      <w:numFmt w:val="decimal"/>
      <w:lvlText w:val="%4."/>
      <w:lvlJc w:val="left"/>
      <w:pPr>
        <w:ind w:left="3600" w:hanging="360"/>
      </w:pPr>
    </w:lvl>
    <w:lvl w:ilvl="4" w:tentative="1">
      <w:start w:val="1"/>
      <w:numFmt w:val="lowerLetter"/>
      <w:lvlText w:val="%5."/>
      <w:lvlJc w:val="left"/>
      <w:pPr>
        <w:ind w:left="4320" w:hanging="360"/>
      </w:pPr>
    </w:lvl>
    <w:lvl w:ilvl="5" w:tentative="1">
      <w:start w:val="1"/>
      <w:numFmt w:val="lowerRoman"/>
      <w:lvlText w:val="%6."/>
      <w:lvlJc w:val="right"/>
      <w:pPr>
        <w:ind w:left="5040" w:hanging="180"/>
      </w:pPr>
    </w:lvl>
    <w:lvl w:ilvl="6" w:tentative="1">
      <w:start w:val="1"/>
      <w:numFmt w:val="decimal"/>
      <w:lvlText w:val="%7."/>
      <w:lvlJc w:val="left"/>
      <w:pPr>
        <w:ind w:left="5760" w:hanging="360"/>
      </w:pPr>
    </w:lvl>
    <w:lvl w:ilvl="7" w:tentative="1">
      <w:start w:val="1"/>
      <w:numFmt w:val="lowerLetter"/>
      <w:lvlText w:val="%8."/>
      <w:lvlJc w:val="left"/>
      <w:pPr>
        <w:ind w:left="6480" w:hanging="360"/>
      </w:pPr>
    </w:lvl>
    <w:lvl w:ilvl="8" w:tentative="1">
      <w:start w:val="1"/>
      <w:numFmt w:val="lowerRoman"/>
      <w:lvlText w:val="%9."/>
      <w:lvlJc w:val="right"/>
      <w:pPr>
        <w:ind w:left="7200" w:hanging="180"/>
      </w:pPr>
    </w:lvl>
  </w:abstractNum>
  <w:abstractNum w:abstractNumId="12">
    <w:nsid w:val="2C700723"/>
    <w:multiLevelType w:val="hybridMultilevel"/>
    <w:tmpl w:val="DEDE89C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3">
    <w:nsid w:val="2FA20D93"/>
    <w:multiLevelType w:val="hybridMultilevel"/>
    <w:tmpl w:val="BCBE5C02"/>
    <w:lvl w:ilvl="0">
      <w:start w:val="4"/>
      <w:numFmt w:val="upperRoman"/>
      <w:lvlText w:val="%1."/>
      <w:lvlJc w:val="left"/>
      <w:pPr>
        <w:ind w:left="1080" w:hanging="72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4">
    <w:nsid w:val="30E61378"/>
    <w:multiLevelType w:val="hybridMultilevel"/>
    <w:tmpl w:val="8C04F006"/>
    <w:lvl w:ilvl="0">
      <w:start w:val="1"/>
      <w:numFmt w:val="upperRoman"/>
      <w:lvlText w:val="%1."/>
      <w:lvlJc w:val="left"/>
      <w:pPr>
        <w:ind w:left="1800" w:hanging="720"/>
      </w:pPr>
      <w:rPr>
        <w:rFonts w:hint="default"/>
      </w:rPr>
    </w:lvl>
    <w:lvl w:ilvl="1" w:tentative="1">
      <w:start w:val="1"/>
      <w:numFmt w:val="lowerLetter"/>
      <w:lvlText w:val="%2."/>
      <w:lvlJc w:val="left"/>
      <w:pPr>
        <w:ind w:left="2160" w:hanging="360"/>
      </w:pPr>
    </w:lvl>
    <w:lvl w:ilvl="2" w:tentative="1">
      <w:start w:val="1"/>
      <w:numFmt w:val="lowerRoman"/>
      <w:lvlText w:val="%3."/>
      <w:lvlJc w:val="right"/>
      <w:pPr>
        <w:ind w:left="2880" w:hanging="180"/>
      </w:pPr>
    </w:lvl>
    <w:lvl w:ilvl="3" w:tentative="1">
      <w:start w:val="1"/>
      <w:numFmt w:val="decimal"/>
      <w:lvlText w:val="%4."/>
      <w:lvlJc w:val="left"/>
      <w:pPr>
        <w:ind w:left="3600" w:hanging="360"/>
      </w:pPr>
    </w:lvl>
    <w:lvl w:ilvl="4" w:tentative="1">
      <w:start w:val="1"/>
      <w:numFmt w:val="lowerLetter"/>
      <w:lvlText w:val="%5."/>
      <w:lvlJc w:val="left"/>
      <w:pPr>
        <w:ind w:left="4320" w:hanging="360"/>
      </w:pPr>
    </w:lvl>
    <w:lvl w:ilvl="5" w:tentative="1">
      <w:start w:val="1"/>
      <w:numFmt w:val="lowerRoman"/>
      <w:lvlText w:val="%6."/>
      <w:lvlJc w:val="right"/>
      <w:pPr>
        <w:ind w:left="5040" w:hanging="180"/>
      </w:pPr>
    </w:lvl>
    <w:lvl w:ilvl="6" w:tentative="1">
      <w:start w:val="1"/>
      <w:numFmt w:val="decimal"/>
      <w:lvlText w:val="%7."/>
      <w:lvlJc w:val="left"/>
      <w:pPr>
        <w:ind w:left="5760" w:hanging="360"/>
      </w:pPr>
    </w:lvl>
    <w:lvl w:ilvl="7" w:tentative="1">
      <w:start w:val="1"/>
      <w:numFmt w:val="lowerLetter"/>
      <w:lvlText w:val="%8."/>
      <w:lvlJc w:val="left"/>
      <w:pPr>
        <w:ind w:left="6480" w:hanging="360"/>
      </w:pPr>
    </w:lvl>
    <w:lvl w:ilvl="8" w:tentative="1">
      <w:start w:val="1"/>
      <w:numFmt w:val="lowerRoman"/>
      <w:lvlText w:val="%9."/>
      <w:lvlJc w:val="right"/>
      <w:pPr>
        <w:ind w:left="7200" w:hanging="180"/>
      </w:pPr>
    </w:lvl>
  </w:abstractNum>
  <w:abstractNum w:abstractNumId="15">
    <w:nsid w:val="34D32E41"/>
    <w:multiLevelType w:val="hybridMultilevel"/>
    <w:tmpl w:val="8396B614"/>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16">
    <w:nsid w:val="355536AB"/>
    <w:multiLevelType w:val="hybridMultilevel"/>
    <w:tmpl w:val="4ECA1EB0"/>
    <w:lvl w:ilvl="0">
      <w:start w:val="1"/>
      <w:numFmt w:val="upperRoman"/>
      <w:lvlText w:val="%1."/>
      <w:lvlJc w:val="left"/>
      <w:pPr>
        <w:ind w:left="1155" w:hanging="795"/>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7">
    <w:nsid w:val="3D856841"/>
    <w:multiLevelType w:val="hybridMultilevel"/>
    <w:tmpl w:val="46B2A538"/>
    <w:lvl w:ilvl="0">
      <w:start w:val="1"/>
      <w:numFmt w:val="decimal"/>
      <w:lvlText w:val="(%1)"/>
      <w:lvlJc w:val="left"/>
      <w:pPr>
        <w:ind w:left="1080" w:hanging="36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18">
    <w:nsid w:val="40AF3541"/>
    <w:multiLevelType w:val="hybridMultilevel"/>
    <w:tmpl w:val="E1CA9216"/>
    <w:lvl w:ilvl="0">
      <w:start w:val="1"/>
      <w:numFmt w:val="bullet"/>
      <w:lvlText w:val=""/>
      <w:lvlJc w:val="left"/>
      <w:pPr>
        <w:ind w:left="1080" w:hanging="360"/>
      </w:pPr>
      <w:rPr>
        <w:rFonts w:ascii="Symbol" w:hAnsi="Symbol" w:hint="default"/>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19">
    <w:nsid w:val="41BB6520"/>
    <w:multiLevelType w:val="hybridMultilevel"/>
    <w:tmpl w:val="743EDE6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0">
    <w:nsid w:val="496A3DD8"/>
    <w:multiLevelType w:val="hybridMultilevel"/>
    <w:tmpl w:val="18FA85E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1">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22">
    <w:nsid w:val="4F431406"/>
    <w:multiLevelType w:val="hybridMultilevel"/>
    <w:tmpl w:val="419436F4"/>
    <w:lvl w:ilvl="0">
      <w:start w:val="1"/>
      <w:numFmt w:val="upperLetter"/>
      <w:lvlText w:val="%1."/>
      <w:lvlJc w:val="left"/>
      <w:pPr>
        <w:ind w:left="1080" w:hanging="360"/>
      </w:pPr>
      <w:rPr>
        <w:rFonts w:hint="default"/>
        <w:b/>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23">
    <w:nsid w:val="5068636C"/>
    <w:multiLevelType w:val="hybridMultilevel"/>
    <w:tmpl w:val="F46EBE9E"/>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4">
    <w:nsid w:val="56983BD9"/>
    <w:multiLevelType w:val="hybridMultilevel"/>
    <w:tmpl w:val="FA46E8EC"/>
    <w:lvl w:ilvl="0">
      <w:start w:val="1"/>
      <w:numFmt w:val="decimal"/>
      <w:lvlText w:val="(%1)"/>
      <w:lvlJc w:val="left"/>
      <w:pPr>
        <w:ind w:left="1080" w:hanging="360"/>
      </w:pPr>
      <w:rPr>
        <w:rFonts w:eastAsia="Times New Roman" w:cstheme="minorBidi" w:hint="default"/>
        <w:i w:val="0"/>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25">
    <w:nsid w:val="57691502"/>
    <w:multiLevelType w:val="hybridMultilevel"/>
    <w:tmpl w:val="46B2A538"/>
    <w:lvl w:ilvl="0">
      <w:start w:val="1"/>
      <w:numFmt w:val="decimal"/>
      <w:lvlText w:val="(%1)"/>
      <w:lvlJc w:val="left"/>
      <w:pPr>
        <w:ind w:left="1080" w:hanging="36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26">
    <w:nsid w:val="58016F2D"/>
    <w:multiLevelType w:val="hybridMultilevel"/>
    <w:tmpl w:val="E42293F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7">
    <w:nsid w:val="6013000B"/>
    <w:multiLevelType w:val="hybridMultilevel"/>
    <w:tmpl w:val="BE1E12D6"/>
    <w:lvl w:ilvl="0">
      <w:start w:val="2"/>
      <w:numFmt w:val="upperRoman"/>
      <w:lvlText w:val="%1."/>
      <w:lvlJc w:val="left"/>
      <w:pPr>
        <w:ind w:left="1080" w:hanging="72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8">
    <w:nsid w:val="60195BB7"/>
    <w:multiLevelType w:val="hybridMultilevel"/>
    <w:tmpl w:val="A6186D5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9">
    <w:nsid w:val="61182925"/>
    <w:multiLevelType w:val="singleLevel"/>
    <w:tmpl w:val="A9EE9842"/>
    <w:lvl w:ilvl="0">
      <w:start w:val="1"/>
      <w:numFmt w:val="decimal"/>
      <w:pStyle w:val="ParaNum"/>
      <w:lvlText w:val="%1."/>
      <w:lvlJc w:val="left"/>
      <w:pPr>
        <w:tabs>
          <w:tab w:val="num" w:pos="1080"/>
        </w:tabs>
        <w:ind w:left="0" w:firstLine="720"/>
      </w:pPr>
    </w:lvl>
  </w:abstractNum>
  <w:abstractNum w:abstractNumId="30">
    <w:nsid w:val="611E0E27"/>
    <w:multiLevelType w:val="hybridMultilevel"/>
    <w:tmpl w:val="4D98444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1">
    <w:nsid w:val="69E1289B"/>
    <w:multiLevelType w:val="hybridMultilevel"/>
    <w:tmpl w:val="F82C7362"/>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2">
    <w:nsid w:val="6BAA33D9"/>
    <w:multiLevelType w:val="multilevel"/>
    <w:tmpl w:val="35C8B306"/>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rPr>
        <w:rFonts w:ascii="Times New Roman" w:eastAsia="Calibri" w:hAnsi="Times New Roman" w:cs="Times New Roman"/>
        <w:i w:val="0"/>
        <w:iCs w:val="0"/>
      </w:rPr>
    </w:lvl>
    <w:lvl w:ilvl="2">
      <w:start w:val="1"/>
      <w:numFmt w:val="decimal"/>
      <w:lvlText w:val="%3."/>
      <w:lvlJc w:val="left"/>
      <w:pPr>
        <w:tabs>
          <w:tab w:val="num" w:pos="2160"/>
        </w:tabs>
        <w:ind w:left="2160" w:hanging="720"/>
      </w:pPr>
      <w:rPr>
        <w:b/>
        <w:bCs/>
        <w:i w:val="0"/>
        <w:iCs/>
      </w:r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33">
    <w:nsid w:val="6E5A46BE"/>
    <w:multiLevelType w:val="hybridMultilevel"/>
    <w:tmpl w:val="AC8E4F44"/>
    <w:lvl w:ilvl="0">
      <w:start w:val="1"/>
      <w:numFmt w:val="decimal"/>
      <w:lvlText w:val="(%1)"/>
      <w:lvlJc w:val="left"/>
      <w:pPr>
        <w:ind w:left="1800" w:hanging="360"/>
      </w:pPr>
      <w:rPr>
        <w:rFonts w:hint="default"/>
      </w:rPr>
    </w:lvl>
    <w:lvl w:ilvl="1" w:tentative="1">
      <w:start w:val="1"/>
      <w:numFmt w:val="lowerLetter"/>
      <w:lvlText w:val="%2."/>
      <w:lvlJc w:val="left"/>
      <w:pPr>
        <w:ind w:left="2520" w:hanging="360"/>
      </w:pPr>
    </w:lvl>
    <w:lvl w:ilvl="2" w:tentative="1">
      <w:start w:val="1"/>
      <w:numFmt w:val="lowerRoman"/>
      <w:lvlText w:val="%3."/>
      <w:lvlJc w:val="right"/>
      <w:pPr>
        <w:ind w:left="3240" w:hanging="180"/>
      </w:pPr>
    </w:lvl>
    <w:lvl w:ilvl="3" w:tentative="1">
      <w:start w:val="1"/>
      <w:numFmt w:val="decimal"/>
      <w:lvlText w:val="%4."/>
      <w:lvlJc w:val="left"/>
      <w:pPr>
        <w:ind w:left="3960" w:hanging="360"/>
      </w:pPr>
    </w:lvl>
    <w:lvl w:ilvl="4" w:tentative="1">
      <w:start w:val="1"/>
      <w:numFmt w:val="lowerLetter"/>
      <w:lvlText w:val="%5."/>
      <w:lvlJc w:val="left"/>
      <w:pPr>
        <w:ind w:left="4680" w:hanging="360"/>
      </w:pPr>
    </w:lvl>
    <w:lvl w:ilvl="5" w:tentative="1">
      <w:start w:val="1"/>
      <w:numFmt w:val="lowerRoman"/>
      <w:lvlText w:val="%6."/>
      <w:lvlJc w:val="right"/>
      <w:pPr>
        <w:ind w:left="5400" w:hanging="180"/>
      </w:pPr>
    </w:lvl>
    <w:lvl w:ilvl="6" w:tentative="1">
      <w:start w:val="1"/>
      <w:numFmt w:val="decimal"/>
      <w:lvlText w:val="%7."/>
      <w:lvlJc w:val="left"/>
      <w:pPr>
        <w:ind w:left="6120" w:hanging="360"/>
      </w:pPr>
    </w:lvl>
    <w:lvl w:ilvl="7" w:tentative="1">
      <w:start w:val="1"/>
      <w:numFmt w:val="lowerLetter"/>
      <w:lvlText w:val="%8."/>
      <w:lvlJc w:val="left"/>
      <w:pPr>
        <w:ind w:left="6840" w:hanging="360"/>
      </w:pPr>
    </w:lvl>
    <w:lvl w:ilvl="8" w:tentative="1">
      <w:start w:val="1"/>
      <w:numFmt w:val="lowerRoman"/>
      <w:lvlText w:val="%9."/>
      <w:lvlJc w:val="right"/>
      <w:pPr>
        <w:ind w:left="7560" w:hanging="180"/>
      </w:pPr>
    </w:lvl>
  </w:abstractNum>
  <w:abstractNum w:abstractNumId="34">
    <w:nsid w:val="6E8D57F6"/>
    <w:multiLevelType w:val="hybridMultilevel"/>
    <w:tmpl w:val="A0A09112"/>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35">
    <w:nsid w:val="735377D8"/>
    <w:multiLevelType w:val="hybridMultilevel"/>
    <w:tmpl w:val="CC5A2056"/>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36">
    <w:nsid w:val="77747782"/>
    <w:multiLevelType w:val="hybridMultilevel"/>
    <w:tmpl w:val="33A6CEAC"/>
    <w:lvl w:ilvl="0">
      <w:start w:val="1"/>
      <w:numFmt w:val="lowerLetter"/>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7">
    <w:nsid w:val="7A9164CF"/>
    <w:multiLevelType w:val="hybridMultilevel"/>
    <w:tmpl w:val="3D58E74A"/>
    <w:lvl w:ilvl="0">
      <w:start w:val="1"/>
      <w:numFmt w:val="bullet"/>
      <w:lvlText w:val=""/>
      <w:lvlJc w:val="left"/>
      <w:pPr>
        <w:ind w:left="720" w:hanging="360"/>
      </w:pPr>
      <w:rPr>
        <w:rFonts w:ascii="Wingdings" w:hAnsi="Wingdings" w:eastAsiaTheme="minorHAnsi" w:cs="Times New Roman"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8">
    <w:nsid w:val="7F1B0028"/>
    <w:multiLevelType w:val="hybridMultilevel"/>
    <w:tmpl w:val="4D24E80C"/>
    <w:lvl w:ilvl="0">
      <w:start w:val="1"/>
      <w:numFmt w:val="upperRoman"/>
      <w:lvlText w:val="%1."/>
      <w:lvlJc w:val="left"/>
      <w:pPr>
        <w:ind w:left="1080" w:hanging="72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num w:numId="1" w16cid:durableId="105276491">
    <w:abstractNumId w:val="38"/>
  </w:num>
  <w:num w:numId="2" w16cid:durableId="365301562">
    <w:abstractNumId w:val="14"/>
  </w:num>
  <w:num w:numId="3" w16cid:durableId="954752491">
    <w:abstractNumId w:val="27"/>
  </w:num>
  <w:num w:numId="4" w16cid:durableId="179399671">
    <w:abstractNumId w:val="13"/>
  </w:num>
  <w:num w:numId="5" w16cid:durableId="2114934916">
    <w:abstractNumId w:val="36"/>
  </w:num>
  <w:num w:numId="6" w16cid:durableId="1689407244">
    <w:abstractNumId w:val="19"/>
  </w:num>
  <w:num w:numId="7" w16cid:durableId="1756630761">
    <w:abstractNumId w:val="10"/>
  </w:num>
  <w:num w:numId="8" w16cid:durableId="1406948397">
    <w:abstractNumId w:val="29"/>
  </w:num>
  <w:num w:numId="9" w16cid:durableId="1879931451">
    <w:abstractNumId w:val="23"/>
  </w:num>
  <w:num w:numId="10" w16cid:durableId="894776001">
    <w:abstractNumId w:val="12"/>
  </w:num>
  <w:num w:numId="11" w16cid:durableId="1158115795">
    <w:abstractNumId w:val="20"/>
  </w:num>
  <w:num w:numId="12" w16cid:durableId="1400395650">
    <w:abstractNumId w:val="28"/>
  </w:num>
  <w:num w:numId="13" w16cid:durableId="339283396">
    <w:abstractNumId w:val="10"/>
    <w:lvlOverride w:ilvl="0">
      <w:startOverride w:val="1"/>
    </w:lvlOverride>
    <w:lvlOverride w:ilvl="1">
      <w:startOverride w:val="1"/>
    </w:lvlOverride>
    <w:lvlOverride w:ilvl="2">
      <w:startOverride w:val="1"/>
    </w:lvlOverride>
    <w:lvlOverride w:ilvl="3">
      <w:startOverride w:val="3"/>
    </w:lvlOverride>
  </w:num>
  <w:num w:numId="14" w16cid:durableId="1321541862">
    <w:abstractNumId w:val="37"/>
  </w:num>
  <w:num w:numId="15" w16cid:durableId="1378972483">
    <w:abstractNumId w:val="4"/>
  </w:num>
  <w:num w:numId="16" w16cid:durableId="679697292">
    <w:abstractNumId w:val="2"/>
  </w:num>
  <w:num w:numId="17" w16cid:durableId="2017880269">
    <w:abstractNumId w:val="32"/>
  </w:num>
  <w:num w:numId="18" w16cid:durableId="937785918">
    <w:abstractNumId w:val="22"/>
  </w:num>
  <w:num w:numId="19" w16cid:durableId="153571316">
    <w:abstractNumId w:val="18"/>
  </w:num>
  <w:num w:numId="20" w16cid:durableId="1183669981">
    <w:abstractNumId w:val="16"/>
  </w:num>
  <w:num w:numId="21" w16cid:durableId="1291665481">
    <w:abstractNumId w:val="0"/>
  </w:num>
  <w:num w:numId="22" w16cid:durableId="2095399771">
    <w:abstractNumId w:val="24"/>
  </w:num>
  <w:num w:numId="23" w16cid:durableId="1121076500">
    <w:abstractNumId w:val="33"/>
  </w:num>
  <w:num w:numId="24" w16cid:durableId="2134903387">
    <w:abstractNumId w:val="11"/>
  </w:num>
  <w:num w:numId="25" w16cid:durableId="479615622">
    <w:abstractNumId w:val="25"/>
  </w:num>
  <w:num w:numId="26" w16cid:durableId="839468500">
    <w:abstractNumId w:val="5"/>
  </w:num>
  <w:num w:numId="27" w16cid:durableId="1203708460">
    <w:abstractNumId w:val="17"/>
  </w:num>
  <w:num w:numId="28" w16cid:durableId="1112282645">
    <w:abstractNumId w:val="26"/>
  </w:num>
  <w:num w:numId="29" w16cid:durableId="142743839">
    <w:abstractNumId w:val="31"/>
  </w:num>
  <w:num w:numId="30" w16cid:durableId="1141312464">
    <w:abstractNumId w:val="30"/>
  </w:num>
  <w:num w:numId="31" w16cid:durableId="163397819">
    <w:abstractNumId w:val="3"/>
  </w:num>
  <w:num w:numId="32" w16cid:durableId="714044207">
    <w:abstractNumId w:val="35"/>
  </w:num>
  <w:num w:numId="33" w16cid:durableId="1713535004">
    <w:abstractNumId w:val="15"/>
  </w:num>
  <w:num w:numId="34" w16cid:durableId="1034110536">
    <w:abstractNumId w:val="7"/>
  </w:num>
  <w:num w:numId="35" w16cid:durableId="660156464">
    <w:abstractNumId w:val="6"/>
  </w:num>
  <w:num w:numId="36" w16cid:durableId="1895386758">
    <w:abstractNumId w:val="34"/>
  </w:num>
  <w:num w:numId="37" w16cid:durableId="1974753791">
    <w:abstractNumId w:val="8"/>
  </w:num>
  <w:num w:numId="38" w16cid:durableId="1744837352">
    <w:abstractNumId w:val="21"/>
  </w:num>
  <w:num w:numId="39" w16cid:durableId="1769891243">
    <w:abstractNumId w:val="9"/>
  </w:num>
  <w:num w:numId="40" w16cid:durableId="41027421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attachedTemplate r:id="rId1"/>
  <w:linkStyles/>
  <w:defaultTabStop w:val="720"/>
  <w:characterSpacingControl w:val="doNotCompress"/>
  <w:footnotePr>
    <w:footnote w:id="0"/>
    <w:footnote w:id="1"/>
    <w:footnote w:id="2"/>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F40CC"/>
    <w:rsid w:val="000008ED"/>
    <w:rsid w:val="00002525"/>
    <w:rsid w:val="0000410D"/>
    <w:rsid w:val="00005CF0"/>
    <w:rsid w:val="0000705E"/>
    <w:rsid w:val="0001045C"/>
    <w:rsid w:val="00012466"/>
    <w:rsid w:val="000124B8"/>
    <w:rsid w:val="00013845"/>
    <w:rsid w:val="00013982"/>
    <w:rsid w:val="0001453A"/>
    <w:rsid w:val="0001466E"/>
    <w:rsid w:val="000162AA"/>
    <w:rsid w:val="00017B61"/>
    <w:rsid w:val="00020482"/>
    <w:rsid w:val="00024194"/>
    <w:rsid w:val="00024763"/>
    <w:rsid w:val="0002587E"/>
    <w:rsid w:val="00025AB0"/>
    <w:rsid w:val="000262B2"/>
    <w:rsid w:val="00026FF5"/>
    <w:rsid w:val="00027D75"/>
    <w:rsid w:val="000302D9"/>
    <w:rsid w:val="00030ED3"/>
    <w:rsid w:val="000320CC"/>
    <w:rsid w:val="000326DC"/>
    <w:rsid w:val="00033884"/>
    <w:rsid w:val="00033CC6"/>
    <w:rsid w:val="00034878"/>
    <w:rsid w:val="00040A1F"/>
    <w:rsid w:val="00041B10"/>
    <w:rsid w:val="0004206C"/>
    <w:rsid w:val="00042280"/>
    <w:rsid w:val="000425CA"/>
    <w:rsid w:val="00044111"/>
    <w:rsid w:val="000442B3"/>
    <w:rsid w:val="00044B15"/>
    <w:rsid w:val="0004607B"/>
    <w:rsid w:val="00047AFB"/>
    <w:rsid w:val="00050346"/>
    <w:rsid w:val="00050B69"/>
    <w:rsid w:val="00056299"/>
    <w:rsid w:val="00056376"/>
    <w:rsid w:val="000567C8"/>
    <w:rsid w:val="00056B7D"/>
    <w:rsid w:val="00057F0A"/>
    <w:rsid w:val="00057F4D"/>
    <w:rsid w:val="000601FD"/>
    <w:rsid w:val="000603FB"/>
    <w:rsid w:val="00062074"/>
    <w:rsid w:val="000634D0"/>
    <w:rsid w:val="00066597"/>
    <w:rsid w:val="00066CB4"/>
    <w:rsid w:val="00071863"/>
    <w:rsid w:val="00072EA2"/>
    <w:rsid w:val="00074CA4"/>
    <w:rsid w:val="00074CD6"/>
    <w:rsid w:val="00075F49"/>
    <w:rsid w:val="00075FF6"/>
    <w:rsid w:val="0007699D"/>
    <w:rsid w:val="00080AE8"/>
    <w:rsid w:val="00081E2E"/>
    <w:rsid w:val="00083579"/>
    <w:rsid w:val="00084841"/>
    <w:rsid w:val="00087BBD"/>
    <w:rsid w:val="00090D25"/>
    <w:rsid w:val="00091FE8"/>
    <w:rsid w:val="000928C4"/>
    <w:rsid w:val="00092B2C"/>
    <w:rsid w:val="00093BBA"/>
    <w:rsid w:val="0009430B"/>
    <w:rsid w:val="000A026E"/>
    <w:rsid w:val="000A0B24"/>
    <w:rsid w:val="000A174C"/>
    <w:rsid w:val="000A1EF4"/>
    <w:rsid w:val="000A208A"/>
    <w:rsid w:val="000A286D"/>
    <w:rsid w:val="000A2B27"/>
    <w:rsid w:val="000A4E5A"/>
    <w:rsid w:val="000A5E25"/>
    <w:rsid w:val="000A66E3"/>
    <w:rsid w:val="000A744C"/>
    <w:rsid w:val="000A7B0E"/>
    <w:rsid w:val="000A7F82"/>
    <w:rsid w:val="000B037D"/>
    <w:rsid w:val="000B064B"/>
    <w:rsid w:val="000B1309"/>
    <w:rsid w:val="000B1D77"/>
    <w:rsid w:val="000B3059"/>
    <w:rsid w:val="000B648A"/>
    <w:rsid w:val="000B7260"/>
    <w:rsid w:val="000B7E9D"/>
    <w:rsid w:val="000B7F5F"/>
    <w:rsid w:val="000C0CDE"/>
    <w:rsid w:val="000C0F5A"/>
    <w:rsid w:val="000C101F"/>
    <w:rsid w:val="000C1AB1"/>
    <w:rsid w:val="000C1FA6"/>
    <w:rsid w:val="000C21B9"/>
    <w:rsid w:val="000C2E82"/>
    <w:rsid w:val="000C2F65"/>
    <w:rsid w:val="000C3B8B"/>
    <w:rsid w:val="000C54C6"/>
    <w:rsid w:val="000C66F2"/>
    <w:rsid w:val="000D00B3"/>
    <w:rsid w:val="000D00CF"/>
    <w:rsid w:val="000D09D0"/>
    <w:rsid w:val="000D09F9"/>
    <w:rsid w:val="000D15E3"/>
    <w:rsid w:val="000D1750"/>
    <w:rsid w:val="000D1A88"/>
    <w:rsid w:val="000D2F0F"/>
    <w:rsid w:val="000D2F5C"/>
    <w:rsid w:val="000D2FF1"/>
    <w:rsid w:val="000D3FB8"/>
    <w:rsid w:val="000D450B"/>
    <w:rsid w:val="000D4CF3"/>
    <w:rsid w:val="000D5A92"/>
    <w:rsid w:val="000D65F0"/>
    <w:rsid w:val="000D790A"/>
    <w:rsid w:val="000D7F92"/>
    <w:rsid w:val="000E0C8F"/>
    <w:rsid w:val="000E1216"/>
    <w:rsid w:val="000E2D74"/>
    <w:rsid w:val="000E2F62"/>
    <w:rsid w:val="000E460D"/>
    <w:rsid w:val="000E4A3E"/>
    <w:rsid w:val="000E4E16"/>
    <w:rsid w:val="000E5436"/>
    <w:rsid w:val="000E5FAD"/>
    <w:rsid w:val="000E7F00"/>
    <w:rsid w:val="000F01D1"/>
    <w:rsid w:val="000F0850"/>
    <w:rsid w:val="000F1265"/>
    <w:rsid w:val="000F2186"/>
    <w:rsid w:val="000F24E7"/>
    <w:rsid w:val="000F2839"/>
    <w:rsid w:val="000F2C2C"/>
    <w:rsid w:val="000F2D25"/>
    <w:rsid w:val="000F616D"/>
    <w:rsid w:val="000F6CC2"/>
    <w:rsid w:val="000F7BE7"/>
    <w:rsid w:val="000F7DE8"/>
    <w:rsid w:val="001012BD"/>
    <w:rsid w:val="00102985"/>
    <w:rsid w:val="0010599F"/>
    <w:rsid w:val="001078E2"/>
    <w:rsid w:val="001100D9"/>
    <w:rsid w:val="00110315"/>
    <w:rsid w:val="001110AA"/>
    <w:rsid w:val="001125A3"/>
    <w:rsid w:val="00114621"/>
    <w:rsid w:val="00115515"/>
    <w:rsid w:val="00115521"/>
    <w:rsid w:val="00116311"/>
    <w:rsid w:val="001166BF"/>
    <w:rsid w:val="00120E5C"/>
    <w:rsid w:val="00121A4A"/>
    <w:rsid w:val="00122577"/>
    <w:rsid w:val="001229B5"/>
    <w:rsid w:val="00124DB9"/>
    <w:rsid w:val="001257C4"/>
    <w:rsid w:val="0013162C"/>
    <w:rsid w:val="00131CCC"/>
    <w:rsid w:val="00131DF8"/>
    <w:rsid w:val="0013208A"/>
    <w:rsid w:val="001323CA"/>
    <w:rsid w:val="00132AFD"/>
    <w:rsid w:val="0013326D"/>
    <w:rsid w:val="001338B0"/>
    <w:rsid w:val="00133D08"/>
    <w:rsid w:val="00134531"/>
    <w:rsid w:val="00134F25"/>
    <w:rsid w:val="001351D7"/>
    <w:rsid w:val="0013535E"/>
    <w:rsid w:val="00135D83"/>
    <w:rsid w:val="00136CF4"/>
    <w:rsid w:val="0013764B"/>
    <w:rsid w:val="001410B2"/>
    <w:rsid w:val="0014398E"/>
    <w:rsid w:val="00145445"/>
    <w:rsid w:val="00145DED"/>
    <w:rsid w:val="00146BC0"/>
    <w:rsid w:val="001474DC"/>
    <w:rsid w:val="001508F4"/>
    <w:rsid w:val="0015139D"/>
    <w:rsid w:val="00151921"/>
    <w:rsid w:val="00152366"/>
    <w:rsid w:val="00152909"/>
    <w:rsid w:val="00153498"/>
    <w:rsid w:val="001543B2"/>
    <w:rsid w:val="001544BD"/>
    <w:rsid w:val="00157606"/>
    <w:rsid w:val="001600A4"/>
    <w:rsid w:val="00160DAD"/>
    <w:rsid w:val="0016187C"/>
    <w:rsid w:val="00162D9A"/>
    <w:rsid w:val="00163488"/>
    <w:rsid w:val="001634F2"/>
    <w:rsid w:val="00164A33"/>
    <w:rsid w:val="001660AC"/>
    <w:rsid w:val="001704C1"/>
    <w:rsid w:val="00170DE9"/>
    <w:rsid w:val="001732DC"/>
    <w:rsid w:val="001735C5"/>
    <w:rsid w:val="00173AB8"/>
    <w:rsid w:val="001743EF"/>
    <w:rsid w:val="001763C7"/>
    <w:rsid w:val="00177B1F"/>
    <w:rsid w:val="00180EFF"/>
    <w:rsid w:val="00181F1E"/>
    <w:rsid w:val="00182292"/>
    <w:rsid w:val="0018327F"/>
    <w:rsid w:val="00184C46"/>
    <w:rsid w:val="00184CEF"/>
    <w:rsid w:val="00185036"/>
    <w:rsid w:val="00185515"/>
    <w:rsid w:val="001870A7"/>
    <w:rsid w:val="0019157C"/>
    <w:rsid w:val="001922FE"/>
    <w:rsid w:val="00192563"/>
    <w:rsid w:val="00193BD0"/>
    <w:rsid w:val="0019415C"/>
    <w:rsid w:val="00196003"/>
    <w:rsid w:val="001961AA"/>
    <w:rsid w:val="001965B7"/>
    <w:rsid w:val="0019759D"/>
    <w:rsid w:val="0019761B"/>
    <w:rsid w:val="001977DA"/>
    <w:rsid w:val="00197A14"/>
    <w:rsid w:val="001A04DD"/>
    <w:rsid w:val="001A0594"/>
    <w:rsid w:val="001A1EAC"/>
    <w:rsid w:val="001A3ADE"/>
    <w:rsid w:val="001A40C9"/>
    <w:rsid w:val="001A43E9"/>
    <w:rsid w:val="001A5908"/>
    <w:rsid w:val="001B0076"/>
    <w:rsid w:val="001B0E67"/>
    <w:rsid w:val="001B32BC"/>
    <w:rsid w:val="001B467A"/>
    <w:rsid w:val="001B68CD"/>
    <w:rsid w:val="001C09DE"/>
    <w:rsid w:val="001C12D3"/>
    <w:rsid w:val="001C26D9"/>
    <w:rsid w:val="001C3BD3"/>
    <w:rsid w:val="001C3C3C"/>
    <w:rsid w:val="001C47B0"/>
    <w:rsid w:val="001C51F4"/>
    <w:rsid w:val="001C7E38"/>
    <w:rsid w:val="001D2DD1"/>
    <w:rsid w:val="001D31B1"/>
    <w:rsid w:val="001D5CB0"/>
    <w:rsid w:val="001D5DEA"/>
    <w:rsid w:val="001D6690"/>
    <w:rsid w:val="001E0D7B"/>
    <w:rsid w:val="001E0F34"/>
    <w:rsid w:val="001E168B"/>
    <w:rsid w:val="001E2284"/>
    <w:rsid w:val="001E394B"/>
    <w:rsid w:val="001E536C"/>
    <w:rsid w:val="001F064B"/>
    <w:rsid w:val="001F0C3B"/>
    <w:rsid w:val="001F19DE"/>
    <w:rsid w:val="001F295E"/>
    <w:rsid w:val="001F3FE6"/>
    <w:rsid w:val="001F5962"/>
    <w:rsid w:val="0020189C"/>
    <w:rsid w:val="002038E8"/>
    <w:rsid w:val="00203E4D"/>
    <w:rsid w:val="0020408F"/>
    <w:rsid w:val="00204D2B"/>
    <w:rsid w:val="0020544E"/>
    <w:rsid w:val="00207744"/>
    <w:rsid w:val="00207F91"/>
    <w:rsid w:val="00210EAE"/>
    <w:rsid w:val="00210EC4"/>
    <w:rsid w:val="00213D3A"/>
    <w:rsid w:val="00213DE2"/>
    <w:rsid w:val="0021721E"/>
    <w:rsid w:val="00220B87"/>
    <w:rsid w:val="00221294"/>
    <w:rsid w:val="0022248D"/>
    <w:rsid w:val="0022446D"/>
    <w:rsid w:val="0022577E"/>
    <w:rsid w:val="00226D13"/>
    <w:rsid w:val="002301BF"/>
    <w:rsid w:val="00230205"/>
    <w:rsid w:val="00233B90"/>
    <w:rsid w:val="002340BB"/>
    <w:rsid w:val="00234925"/>
    <w:rsid w:val="002401D8"/>
    <w:rsid w:val="002404CF"/>
    <w:rsid w:val="002409B4"/>
    <w:rsid w:val="0024161E"/>
    <w:rsid w:val="00242BA6"/>
    <w:rsid w:val="00243CE9"/>
    <w:rsid w:val="00243DB9"/>
    <w:rsid w:val="00244CBC"/>
    <w:rsid w:val="00244D51"/>
    <w:rsid w:val="002470E7"/>
    <w:rsid w:val="0024716B"/>
    <w:rsid w:val="00247B54"/>
    <w:rsid w:val="00247E1B"/>
    <w:rsid w:val="00250FC0"/>
    <w:rsid w:val="0025168B"/>
    <w:rsid w:val="0025292C"/>
    <w:rsid w:val="00253C03"/>
    <w:rsid w:val="00254CA9"/>
    <w:rsid w:val="00261667"/>
    <w:rsid w:val="00262A4E"/>
    <w:rsid w:val="002638E6"/>
    <w:rsid w:val="00264EFC"/>
    <w:rsid w:val="0026799D"/>
    <w:rsid w:val="0027185A"/>
    <w:rsid w:val="00271C33"/>
    <w:rsid w:val="0027243F"/>
    <w:rsid w:val="002728CD"/>
    <w:rsid w:val="00273D24"/>
    <w:rsid w:val="00275462"/>
    <w:rsid w:val="00275C8E"/>
    <w:rsid w:val="0027608A"/>
    <w:rsid w:val="00280F0E"/>
    <w:rsid w:val="002813B4"/>
    <w:rsid w:val="00281CB6"/>
    <w:rsid w:val="00282849"/>
    <w:rsid w:val="00284811"/>
    <w:rsid w:val="00284B11"/>
    <w:rsid w:val="002851C1"/>
    <w:rsid w:val="00285EA7"/>
    <w:rsid w:val="00286EA8"/>
    <w:rsid w:val="002905FF"/>
    <w:rsid w:val="00292357"/>
    <w:rsid w:val="00292379"/>
    <w:rsid w:val="002924CA"/>
    <w:rsid w:val="00295B9F"/>
    <w:rsid w:val="00296450"/>
    <w:rsid w:val="002973BD"/>
    <w:rsid w:val="0029752E"/>
    <w:rsid w:val="00297775"/>
    <w:rsid w:val="002A1131"/>
    <w:rsid w:val="002A2798"/>
    <w:rsid w:val="002A2EC1"/>
    <w:rsid w:val="002A3D91"/>
    <w:rsid w:val="002A4CBF"/>
    <w:rsid w:val="002A5058"/>
    <w:rsid w:val="002A57BD"/>
    <w:rsid w:val="002A57F8"/>
    <w:rsid w:val="002A73FE"/>
    <w:rsid w:val="002A76C0"/>
    <w:rsid w:val="002B11B3"/>
    <w:rsid w:val="002B2307"/>
    <w:rsid w:val="002B2E26"/>
    <w:rsid w:val="002B361B"/>
    <w:rsid w:val="002B4341"/>
    <w:rsid w:val="002B4ACB"/>
    <w:rsid w:val="002B5200"/>
    <w:rsid w:val="002B66E3"/>
    <w:rsid w:val="002B6FD0"/>
    <w:rsid w:val="002B7380"/>
    <w:rsid w:val="002B7C26"/>
    <w:rsid w:val="002C087E"/>
    <w:rsid w:val="002C0BE4"/>
    <w:rsid w:val="002C17A4"/>
    <w:rsid w:val="002C1EA9"/>
    <w:rsid w:val="002C59EF"/>
    <w:rsid w:val="002C5C9C"/>
    <w:rsid w:val="002C62FC"/>
    <w:rsid w:val="002C65BF"/>
    <w:rsid w:val="002C6C00"/>
    <w:rsid w:val="002D0A4F"/>
    <w:rsid w:val="002D0DED"/>
    <w:rsid w:val="002D1176"/>
    <w:rsid w:val="002D2018"/>
    <w:rsid w:val="002D286E"/>
    <w:rsid w:val="002D3207"/>
    <w:rsid w:val="002D3A78"/>
    <w:rsid w:val="002D3C48"/>
    <w:rsid w:val="002D540F"/>
    <w:rsid w:val="002E3434"/>
    <w:rsid w:val="002E4107"/>
    <w:rsid w:val="002E47B2"/>
    <w:rsid w:val="002E4F97"/>
    <w:rsid w:val="002E5332"/>
    <w:rsid w:val="002E6CC0"/>
    <w:rsid w:val="002E6E30"/>
    <w:rsid w:val="002F009D"/>
    <w:rsid w:val="002F0EF8"/>
    <w:rsid w:val="002F1AAE"/>
    <w:rsid w:val="002F526B"/>
    <w:rsid w:val="002F5C6F"/>
    <w:rsid w:val="002F5D75"/>
    <w:rsid w:val="002F683E"/>
    <w:rsid w:val="002F6A22"/>
    <w:rsid w:val="002F6EA0"/>
    <w:rsid w:val="002F7376"/>
    <w:rsid w:val="002F7C56"/>
    <w:rsid w:val="002F7D88"/>
    <w:rsid w:val="003017A1"/>
    <w:rsid w:val="003023C2"/>
    <w:rsid w:val="00303FDC"/>
    <w:rsid w:val="00307780"/>
    <w:rsid w:val="00310348"/>
    <w:rsid w:val="00311063"/>
    <w:rsid w:val="003117BE"/>
    <w:rsid w:val="00311EAF"/>
    <w:rsid w:val="0031239A"/>
    <w:rsid w:val="00313848"/>
    <w:rsid w:val="003149AB"/>
    <w:rsid w:val="003153BE"/>
    <w:rsid w:val="003161A2"/>
    <w:rsid w:val="00316286"/>
    <w:rsid w:val="00316DB0"/>
    <w:rsid w:val="003172B5"/>
    <w:rsid w:val="00320249"/>
    <w:rsid w:val="00320D58"/>
    <w:rsid w:val="00323D4E"/>
    <w:rsid w:val="003267A0"/>
    <w:rsid w:val="00330480"/>
    <w:rsid w:val="00331B0E"/>
    <w:rsid w:val="003322AF"/>
    <w:rsid w:val="00332630"/>
    <w:rsid w:val="0033365C"/>
    <w:rsid w:val="00333D51"/>
    <w:rsid w:val="00333EAF"/>
    <w:rsid w:val="00334EB4"/>
    <w:rsid w:val="003354DC"/>
    <w:rsid w:val="00335B2E"/>
    <w:rsid w:val="00335D09"/>
    <w:rsid w:val="0033620E"/>
    <w:rsid w:val="00340DDB"/>
    <w:rsid w:val="00341051"/>
    <w:rsid w:val="003423E5"/>
    <w:rsid w:val="003435F6"/>
    <w:rsid w:val="00345CCA"/>
    <w:rsid w:val="0034659A"/>
    <w:rsid w:val="0034733F"/>
    <w:rsid w:val="00350A36"/>
    <w:rsid w:val="00350C81"/>
    <w:rsid w:val="00350FC6"/>
    <w:rsid w:val="00351208"/>
    <w:rsid w:val="00352672"/>
    <w:rsid w:val="003528B2"/>
    <w:rsid w:val="00353691"/>
    <w:rsid w:val="00353E34"/>
    <w:rsid w:val="00353F2B"/>
    <w:rsid w:val="0035507C"/>
    <w:rsid w:val="00363479"/>
    <w:rsid w:val="00363A61"/>
    <w:rsid w:val="00364D35"/>
    <w:rsid w:val="00365C11"/>
    <w:rsid w:val="00367858"/>
    <w:rsid w:val="00369F8F"/>
    <w:rsid w:val="00370046"/>
    <w:rsid w:val="0037117D"/>
    <w:rsid w:val="003733F4"/>
    <w:rsid w:val="0037481C"/>
    <w:rsid w:val="0037559C"/>
    <w:rsid w:val="003755DE"/>
    <w:rsid w:val="00376803"/>
    <w:rsid w:val="00381C91"/>
    <w:rsid w:val="003827CB"/>
    <w:rsid w:val="00382FED"/>
    <w:rsid w:val="00383140"/>
    <w:rsid w:val="00383326"/>
    <w:rsid w:val="003837F4"/>
    <w:rsid w:val="0038437E"/>
    <w:rsid w:val="0038457E"/>
    <w:rsid w:val="00385F89"/>
    <w:rsid w:val="00387677"/>
    <w:rsid w:val="00391042"/>
    <w:rsid w:val="00391AD2"/>
    <w:rsid w:val="0039395D"/>
    <w:rsid w:val="00393CB4"/>
    <w:rsid w:val="00397271"/>
    <w:rsid w:val="003977DB"/>
    <w:rsid w:val="00397DDF"/>
    <w:rsid w:val="003A5033"/>
    <w:rsid w:val="003A5B81"/>
    <w:rsid w:val="003A6A04"/>
    <w:rsid w:val="003A6CA5"/>
    <w:rsid w:val="003A7DF6"/>
    <w:rsid w:val="003B29AA"/>
    <w:rsid w:val="003B427A"/>
    <w:rsid w:val="003B5785"/>
    <w:rsid w:val="003B7351"/>
    <w:rsid w:val="003C1850"/>
    <w:rsid w:val="003C28D1"/>
    <w:rsid w:val="003C44F3"/>
    <w:rsid w:val="003C5AD3"/>
    <w:rsid w:val="003C6598"/>
    <w:rsid w:val="003D1B5B"/>
    <w:rsid w:val="003D226E"/>
    <w:rsid w:val="003D331D"/>
    <w:rsid w:val="003D39B4"/>
    <w:rsid w:val="003D4370"/>
    <w:rsid w:val="003D4715"/>
    <w:rsid w:val="003D70DB"/>
    <w:rsid w:val="003E04BC"/>
    <w:rsid w:val="003E04CE"/>
    <w:rsid w:val="003E109C"/>
    <w:rsid w:val="003E344A"/>
    <w:rsid w:val="003E391A"/>
    <w:rsid w:val="003E56FE"/>
    <w:rsid w:val="003E6A89"/>
    <w:rsid w:val="003E6DA0"/>
    <w:rsid w:val="003E7EC0"/>
    <w:rsid w:val="003F1DFC"/>
    <w:rsid w:val="003F5CB7"/>
    <w:rsid w:val="003F62FB"/>
    <w:rsid w:val="003F6426"/>
    <w:rsid w:val="003F78FF"/>
    <w:rsid w:val="004008B8"/>
    <w:rsid w:val="00400F8D"/>
    <w:rsid w:val="00401027"/>
    <w:rsid w:val="004012D5"/>
    <w:rsid w:val="00402F06"/>
    <w:rsid w:val="0040311E"/>
    <w:rsid w:val="00404888"/>
    <w:rsid w:val="00405696"/>
    <w:rsid w:val="00407628"/>
    <w:rsid w:val="004105EA"/>
    <w:rsid w:val="00411E6F"/>
    <w:rsid w:val="00412002"/>
    <w:rsid w:val="004126D5"/>
    <w:rsid w:val="00412FC5"/>
    <w:rsid w:val="0041380C"/>
    <w:rsid w:val="00413ACF"/>
    <w:rsid w:val="00417CDA"/>
    <w:rsid w:val="004214A5"/>
    <w:rsid w:val="00421772"/>
    <w:rsid w:val="004219EB"/>
    <w:rsid w:val="004223F4"/>
    <w:rsid w:val="00422C61"/>
    <w:rsid w:val="00422FA5"/>
    <w:rsid w:val="00423D33"/>
    <w:rsid w:val="004245B7"/>
    <w:rsid w:val="0042490B"/>
    <w:rsid w:val="0042549F"/>
    <w:rsid w:val="00431DF8"/>
    <w:rsid w:val="00432EE0"/>
    <w:rsid w:val="00433AA6"/>
    <w:rsid w:val="0043430D"/>
    <w:rsid w:val="00434381"/>
    <w:rsid w:val="00434660"/>
    <w:rsid w:val="0043502E"/>
    <w:rsid w:val="004360A0"/>
    <w:rsid w:val="00437E69"/>
    <w:rsid w:val="00441CD6"/>
    <w:rsid w:val="004422DD"/>
    <w:rsid w:val="00443580"/>
    <w:rsid w:val="00443FCC"/>
    <w:rsid w:val="00444535"/>
    <w:rsid w:val="00446ADD"/>
    <w:rsid w:val="00447902"/>
    <w:rsid w:val="004500E2"/>
    <w:rsid w:val="004507AD"/>
    <w:rsid w:val="00450EEA"/>
    <w:rsid w:val="004544A2"/>
    <w:rsid w:val="00454809"/>
    <w:rsid w:val="00454BA2"/>
    <w:rsid w:val="004567AB"/>
    <w:rsid w:val="004628BE"/>
    <w:rsid w:val="00463A2A"/>
    <w:rsid w:val="00465343"/>
    <w:rsid w:val="004657F9"/>
    <w:rsid w:val="00465840"/>
    <w:rsid w:val="00465EBC"/>
    <w:rsid w:val="00465EDC"/>
    <w:rsid w:val="004674C2"/>
    <w:rsid w:val="00467683"/>
    <w:rsid w:val="0047166E"/>
    <w:rsid w:val="0047232F"/>
    <w:rsid w:val="004740BF"/>
    <w:rsid w:val="004740CC"/>
    <w:rsid w:val="004749A4"/>
    <w:rsid w:val="00477425"/>
    <w:rsid w:val="00477528"/>
    <w:rsid w:val="004809D6"/>
    <w:rsid w:val="00480CD4"/>
    <w:rsid w:val="00481419"/>
    <w:rsid w:val="00482300"/>
    <w:rsid w:val="0048275F"/>
    <w:rsid w:val="004833A5"/>
    <w:rsid w:val="00483DD2"/>
    <w:rsid w:val="0048447C"/>
    <w:rsid w:val="00485B77"/>
    <w:rsid w:val="00485D8C"/>
    <w:rsid w:val="00485F41"/>
    <w:rsid w:val="00490555"/>
    <w:rsid w:val="0049120A"/>
    <w:rsid w:val="00491D54"/>
    <w:rsid w:val="00491F77"/>
    <w:rsid w:val="004922CA"/>
    <w:rsid w:val="0049367F"/>
    <w:rsid w:val="004958E2"/>
    <w:rsid w:val="004A1E36"/>
    <w:rsid w:val="004A355F"/>
    <w:rsid w:val="004A3E0B"/>
    <w:rsid w:val="004A58B8"/>
    <w:rsid w:val="004A5CA1"/>
    <w:rsid w:val="004A6A83"/>
    <w:rsid w:val="004B06C4"/>
    <w:rsid w:val="004B18A4"/>
    <w:rsid w:val="004B4667"/>
    <w:rsid w:val="004B5F7C"/>
    <w:rsid w:val="004B6491"/>
    <w:rsid w:val="004B6897"/>
    <w:rsid w:val="004B7242"/>
    <w:rsid w:val="004C0159"/>
    <w:rsid w:val="004C0A8D"/>
    <w:rsid w:val="004C1DD2"/>
    <w:rsid w:val="004C2A0F"/>
    <w:rsid w:val="004C3608"/>
    <w:rsid w:val="004C5414"/>
    <w:rsid w:val="004D0EA7"/>
    <w:rsid w:val="004D2FFD"/>
    <w:rsid w:val="004D39B0"/>
    <w:rsid w:val="004D4193"/>
    <w:rsid w:val="004D5055"/>
    <w:rsid w:val="004D524B"/>
    <w:rsid w:val="004D7C32"/>
    <w:rsid w:val="004E1457"/>
    <w:rsid w:val="004E2263"/>
    <w:rsid w:val="004E3178"/>
    <w:rsid w:val="004E4868"/>
    <w:rsid w:val="004E53F4"/>
    <w:rsid w:val="004F2706"/>
    <w:rsid w:val="004F3108"/>
    <w:rsid w:val="004F67F9"/>
    <w:rsid w:val="004F68F6"/>
    <w:rsid w:val="004F6F86"/>
    <w:rsid w:val="004F7B22"/>
    <w:rsid w:val="005008FB"/>
    <w:rsid w:val="00500D86"/>
    <w:rsid w:val="005023DC"/>
    <w:rsid w:val="00502C93"/>
    <w:rsid w:val="00502FFD"/>
    <w:rsid w:val="00503597"/>
    <w:rsid w:val="0050544C"/>
    <w:rsid w:val="00511023"/>
    <w:rsid w:val="00513339"/>
    <w:rsid w:val="00513756"/>
    <w:rsid w:val="00514667"/>
    <w:rsid w:val="00515958"/>
    <w:rsid w:val="005161C4"/>
    <w:rsid w:val="00516D5C"/>
    <w:rsid w:val="0052283F"/>
    <w:rsid w:val="00523C44"/>
    <w:rsid w:val="00526343"/>
    <w:rsid w:val="00526E87"/>
    <w:rsid w:val="00527397"/>
    <w:rsid w:val="005275C1"/>
    <w:rsid w:val="00527F85"/>
    <w:rsid w:val="00530EEC"/>
    <w:rsid w:val="00531957"/>
    <w:rsid w:val="00531B6F"/>
    <w:rsid w:val="00532635"/>
    <w:rsid w:val="00532F60"/>
    <w:rsid w:val="005339BE"/>
    <w:rsid w:val="005405DB"/>
    <w:rsid w:val="00540BEE"/>
    <w:rsid w:val="00540E89"/>
    <w:rsid w:val="005436F4"/>
    <w:rsid w:val="005449FD"/>
    <w:rsid w:val="00546A06"/>
    <w:rsid w:val="00547482"/>
    <w:rsid w:val="00553BD3"/>
    <w:rsid w:val="00553DE2"/>
    <w:rsid w:val="00557A3F"/>
    <w:rsid w:val="00557A51"/>
    <w:rsid w:val="00561536"/>
    <w:rsid w:val="00561694"/>
    <w:rsid w:val="00563048"/>
    <w:rsid w:val="00563DC9"/>
    <w:rsid w:val="005655BF"/>
    <w:rsid w:val="00565F9D"/>
    <w:rsid w:val="00566C7A"/>
    <w:rsid w:val="00567F9F"/>
    <w:rsid w:val="005715EB"/>
    <w:rsid w:val="005717FB"/>
    <w:rsid w:val="005720C2"/>
    <w:rsid w:val="0057290C"/>
    <w:rsid w:val="0057433A"/>
    <w:rsid w:val="00576A11"/>
    <w:rsid w:val="00577974"/>
    <w:rsid w:val="00580D04"/>
    <w:rsid w:val="00581D1C"/>
    <w:rsid w:val="00582364"/>
    <w:rsid w:val="00582E3C"/>
    <w:rsid w:val="00583E0B"/>
    <w:rsid w:val="00585C8D"/>
    <w:rsid w:val="00585F5F"/>
    <w:rsid w:val="005869BB"/>
    <w:rsid w:val="00586CC7"/>
    <w:rsid w:val="00590FA0"/>
    <w:rsid w:val="00591F49"/>
    <w:rsid w:val="005927BE"/>
    <w:rsid w:val="00595C1B"/>
    <w:rsid w:val="00595ECC"/>
    <w:rsid w:val="005974ED"/>
    <w:rsid w:val="005A1D27"/>
    <w:rsid w:val="005A2E3E"/>
    <w:rsid w:val="005A4CDC"/>
    <w:rsid w:val="005B1332"/>
    <w:rsid w:val="005B15F3"/>
    <w:rsid w:val="005B3852"/>
    <w:rsid w:val="005B5DD5"/>
    <w:rsid w:val="005B5FE5"/>
    <w:rsid w:val="005B726C"/>
    <w:rsid w:val="005B757C"/>
    <w:rsid w:val="005C1817"/>
    <w:rsid w:val="005C31E7"/>
    <w:rsid w:val="005C39FC"/>
    <w:rsid w:val="005C4130"/>
    <w:rsid w:val="005C4C09"/>
    <w:rsid w:val="005D2F72"/>
    <w:rsid w:val="005D3243"/>
    <w:rsid w:val="005D46C3"/>
    <w:rsid w:val="005E0542"/>
    <w:rsid w:val="005E0D04"/>
    <w:rsid w:val="005E163A"/>
    <w:rsid w:val="005E1C4A"/>
    <w:rsid w:val="005E1D3F"/>
    <w:rsid w:val="005E30AA"/>
    <w:rsid w:val="005E3371"/>
    <w:rsid w:val="005E3FB7"/>
    <w:rsid w:val="005E517E"/>
    <w:rsid w:val="005E5234"/>
    <w:rsid w:val="005E5575"/>
    <w:rsid w:val="005E6847"/>
    <w:rsid w:val="005E70B7"/>
    <w:rsid w:val="005E73BA"/>
    <w:rsid w:val="005E7715"/>
    <w:rsid w:val="005E7DFB"/>
    <w:rsid w:val="005F0240"/>
    <w:rsid w:val="005F0B4A"/>
    <w:rsid w:val="005F21EF"/>
    <w:rsid w:val="005F2F7F"/>
    <w:rsid w:val="005F513B"/>
    <w:rsid w:val="005F6735"/>
    <w:rsid w:val="00601319"/>
    <w:rsid w:val="00601E01"/>
    <w:rsid w:val="00602968"/>
    <w:rsid w:val="006030C5"/>
    <w:rsid w:val="00605788"/>
    <w:rsid w:val="0060581D"/>
    <w:rsid w:val="00610B56"/>
    <w:rsid w:val="00611492"/>
    <w:rsid w:val="00611706"/>
    <w:rsid w:val="006139A5"/>
    <w:rsid w:val="006175DB"/>
    <w:rsid w:val="006204DF"/>
    <w:rsid w:val="00621311"/>
    <w:rsid w:val="0062196A"/>
    <w:rsid w:val="006229E1"/>
    <w:rsid w:val="00623A22"/>
    <w:rsid w:val="0062556B"/>
    <w:rsid w:val="006262FB"/>
    <w:rsid w:val="0063037E"/>
    <w:rsid w:val="006307AC"/>
    <w:rsid w:val="00631A11"/>
    <w:rsid w:val="00632B73"/>
    <w:rsid w:val="006333A6"/>
    <w:rsid w:val="00633E9E"/>
    <w:rsid w:val="00635BC8"/>
    <w:rsid w:val="00636892"/>
    <w:rsid w:val="00637613"/>
    <w:rsid w:val="006413A5"/>
    <w:rsid w:val="00641E5A"/>
    <w:rsid w:val="00643211"/>
    <w:rsid w:val="0064332A"/>
    <w:rsid w:val="006434EF"/>
    <w:rsid w:val="00647B6B"/>
    <w:rsid w:val="00650A53"/>
    <w:rsid w:val="00650B89"/>
    <w:rsid w:val="00652C63"/>
    <w:rsid w:val="00653FE0"/>
    <w:rsid w:val="00654475"/>
    <w:rsid w:val="006554C2"/>
    <w:rsid w:val="0065640B"/>
    <w:rsid w:val="00657EA8"/>
    <w:rsid w:val="00661014"/>
    <w:rsid w:val="00663B00"/>
    <w:rsid w:val="00664D9E"/>
    <w:rsid w:val="00666F01"/>
    <w:rsid w:val="00667453"/>
    <w:rsid w:val="00667784"/>
    <w:rsid w:val="00667A1E"/>
    <w:rsid w:val="00667ED3"/>
    <w:rsid w:val="0067158E"/>
    <w:rsid w:val="006732F4"/>
    <w:rsid w:val="0067518D"/>
    <w:rsid w:val="006753FE"/>
    <w:rsid w:val="006767E5"/>
    <w:rsid w:val="00677244"/>
    <w:rsid w:val="006779DF"/>
    <w:rsid w:val="0068211D"/>
    <w:rsid w:val="00682B98"/>
    <w:rsid w:val="00683C2E"/>
    <w:rsid w:val="006925D8"/>
    <w:rsid w:val="00692FD3"/>
    <w:rsid w:val="00693C1A"/>
    <w:rsid w:val="00693F23"/>
    <w:rsid w:val="006944D9"/>
    <w:rsid w:val="006952ED"/>
    <w:rsid w:val="006958B5"/>
    <w:rsid w:val="00695A5A"/>
    <w:rsid w:val="00696939"/>
    <w:rsid w:val="00696E14"/>
    <w:rsid w:val="006970DF"/>
    <w:rsid w:val="00697D75"/>
    <w:rsid w:val="006A00D6"/>
    <w:rsid w:val="006A0193"/>
    <w:rsid w:val="006A2074"/>
    <w:rsid w:val="006A20B6"/>
    <w:rsid w:val="006A2DBD"/>
    <w:rsid w:val="006A3090"/>
    <w:rsid w:val="006A3564"/>
    <w:rsid w:val="006A3805"/>
    <w:rsid w:val="006A69DC"/>
    <w:rsid w:val="006B2FB7"/>
    <w:rsid w:val="006B3BDC"/>
    <w:rsid w:val="006B43E4"/>
    <w:rsid w:val="006B47C5"/>
    <w:rsid w:val="006B48E1"/>
    <w:rsid w:val="006B4F31"/>
    <w:rsid w:val="006B60D3"/>
    <w:rsid w:val="006B649C"/>
    <w:rsid w:val="006C2C2C"/>
    <w:rsid w:val="006C3111"/>
    <w:rsid w:val="006C3375"/>
    <w:rsid w:val="006C404C"/>
    <w:rsid w:val="006C4BF9"/>
    <w:rsid w:val="006D2311"/>
    <w:rsid w:val="006D3595"/>
    <w:rsid w:val="006D571F"/>
    <w:rsid w:val="006D6103"/>
    <w:rsid w:val="006D61DE"/>
    <w:rsid w:val="006D6249"/>
    <w:rsid w:val="006D6CDD"/>
    <w:rsid w:val="006E2448"/>
    <w:rsid w:val="006E50A3"/>
    <w:rsid w:val="006E542F"/>
    <w:rsid w:val="006E7B80"/>
    <w:rsid w:val="006F100A"/>
    <w:rsid w:val="006F117F"/>
    <w:rsid w:val="006F2901"/>
    <w:rsid w:val="006F3614"/>
    <w:rsid w:val="006F411B"/>
    <w:rsid w:val="006F4162"/>
    <w:rsid w:val="006F472B"/>
    <w:rsid w:val="006F53E1"/>
    <w:rsid w:val="006F6280"/>
    <w:rsid w:val="006F6D25"/>
    <w:rsid w:val="006F7047"/>
    <w:rsid w:val="00701319"/>
    <w:rsid w:val="00702F60"/>
    <w:rsid w:val="0070393E"/>
    <w:rsid w:val="00703B5C"/>
    <w:rsid w:val="00705AE9"/>
    <w:rsid w:val="007120F4"/>
    <w:rsid w:val="007122C4"/>
    <w:rsid w:val="00712799"/>
    <w:rsid w:val="00713A56"/>
    <w:rsid w:val="0071486C"/>
    <w:rsid w:val="0071658A"/>
    <w:rsid w:val="00716656"/>
    <w:rsid w:val="00716724"/>
    <w:rsid w:val="00716905"/>
    <w:rsid w:val="00726706"/>
    <w:rsid w:val="00730642"/>
    <w:rsid w:val="00730A65"/>
    <w:rsid w:val="00731026"/>
    <w:rsid w:val="0073265E"/>
    <w:rsid w:val="00734B5A"/>
    <w:rsid w:val="00735330"/>
    <w:rsid w:val="0073663D"/>
    <w:rsid w:val="007376C2"/>
    <w:rsid w:val="00740C58"/>
    <w:rsid w:val="00740ED6"/>
    <w:rsid w:val="00741934"/>
    <w:rsid w:val="00745CE1"/>
    <w:rsid w:val="00751493"/>
    <w:rsid w:val="00751821"/>
    <w:rsid w:val="0075198F"/>
    <w:rsid w:val="00752C98"/>
    <w:rsid w:val="00752D70"/>
    <w:rsid w:val="00752F6B"/>
    <w:rsid w:val="00753B9D"/>
    <w:rsid w:val="00753DB4"/>
    <w:rsid w:val="0075639E"/>
    <w:rsid w:val="0076022E"/>
    <w:rsid w:val="00760FAD"/>
    <w:rsid w:val="00763A3F"/>
    <w:rsid w:val="00764C60"/>
    <w:rsid w:val="00765836"/>
    <w:rsid w:val="00765ABD"/>
    <w:rsid w:val="00766672"/>
    <w:rsid w:val="007675F9"/>
    <w:rsid w:val="00771471"/>
    <w:rsid w:val="00771864"/>
    <w:rsid w:val="00772019"/>
    <w:rsid w:val="00773509"/>
    <w:rsid w:val="007750F0"/>
    <w:rsid w:val="0077730D"/>
    <w:rsid w:val="00780B5F"/>
    <w:rsid w:val="00782132"/>
    <w:rsid w:val="0078580F"/>
    <w:rsid w:val="00791348"/>
    <w:rsid w:val="00794AA1"/>
    <w:rsid w:val="00794DCA"/>
    <w:rsid w:val="0079520E"/>
    <w:rsid w:val="00795B8E"/>
    <w:rsid w:val="007A0D5E"/>
    <w:rsid w:val="007A2629"/>
    <w:rsid w:val="007A33D6"/>
    <w:rsid w:val="007A33EB"/>
    <w:rsid w:val="007A5242"/>
    <w:rsid w:val="007A66BB"/>
    <w:rsid w:val="007A729D"/>
    <w:rsid w:val="007A732F"/>
    <w:rsid w:val="007B05F9"/>
    <w:rsid w:val="007B119F"/>
    <w:rsid w:val="007B1AF7"/>
    <w:rsid w:val="007B47F3"/>
    <w:rsid w:val="007B4863"/>
    <w:rsid w:val="007B513E"/>
    <w:rsid w:val="007B5F66"/>
    <w:rsid w:val="007C08C1"/>
    <w:rsid w:val="007C2656"/>
    <w:rsid w:val="007C3160"/>
    <w:rsid w:val="007C44A4"/>
    <w:rsid w:val="007C7250"/>
    <w:rsid w:val="007D041B"/>
    <w:rsid w:val="007D0B4E"/>
    <w:rsid w:val="007D0C7C"/>
    <w:rsid w:val="007D0DFC"/>
    <w:rsid w:val="007D0EB8"/>
    <w:rsid w:val="007D158F"/>
    <w:rsid w:val="007D1FE2"/>
    <w:rsid w:val="007D2C40"/>
    <w:rsid w:val="007D2CC8"/>
    <w:rsid w:val="007D5447"/>
    <w:rsid w:val="007E0103"/>
    <w:rsid w:val="007E0E80"/>
    <w:rsid w:val="007E18B7"/>
    <w:rsid w:val="007E2DC0"/>
    <w:rsid w:val="007E30D2"/>
    <w:rsid w:val="007E315E"/>
    <w:rsid w:val="007E316B"/>
    <w:rsid w:val="007E5BF5"/>
    <w:rsid w:val="007E5EBC"/>
    <w:rsid w:val="007E64DB"/>
    <w:rsid w:val="007F0A80"/>
    <w:rsid w:val="007F0A8B"/>
    <w:rsid w:val="007F22FB"/>
    <w:rsid w:val="007F2579"/>
    <w:rsid w:val="007F434D"/>
    <w:rsid w:val="0080218A"/>
    <w:rsid w:val="00803771"/>
    <w:rsid w:val="00804A7A"/>
    <w:rsid w:val="00804FC0"/>
    <w:rsid w:val="008104E2"/>
    <w:rsid w:val="0081087A"/>
    <w:rsid w:val="00810A40"/>
    <w:rsid w:val="0081122B"/>
    <w:rsid w:val="00812635"/>
    <w:rsid w:val="0081361D"/>
    <w:rsid w:val="008160B6"/>
    <w:rsid w:val="008165EC"/>
    <w:rsid w:val="008167AB"/>
    <w:rsid w:val="008178D8"/>
    <w:rsid w:val="00821520"/>
    <w:rsid w:val="008235B1"/>
    <w:rsid w:val="00823BAE"/>
    <w:rsid w:val="008241E8"/>
    <w:rsid w:val="00826D80"/>
    <w:rsid w:val="008278E4"/>
    <w:rsid w:val="00831688"/>
    <w:rsid w:val="00832F3C"/>
    <w:rsid w:val="00833E31"/>
    <w:rsid w:val="0083608B"/>
    <w:rsid w:val="00836141"/>
    <w:rsid w:val="008361C6"/>
    <w:rsid w:val="00840C83"/>
    <w:rsid w:val="008431B2"/>
    <w:rsid w:val="00843DE7"/>
    <w:rsid w:val="00845436"/>
    <w:rsid w:val="008457A0"/>
    <w:rsid w:val="00845D30"/>
    <w:rsid w:val="00846816"/>
    <w:rsid w:val="00850185"/>
    <w:rsid w:val="00851331"/>
    <w:rsid w:val="00853283"/>
    <w:rsid w:val="00854182"/>
    <w:rsid w:val="008544F9"/>
    <w:rsid w:val="0085581E"/>
    <w:rsid w:val="0085589C"/>
    <w:rsid w:val="008561E0"/>
    <w:rsid w:val="00856876"/>
    <w:rsid w:val="0085740C"/>
    <w:rsid w:val="008576AD"/>
    <w:rsid w:val="00857C25"/>
    <w:rsid w:val="00860E71"/>
    <w:rsid w:val="008611DA"/>
    <w:rsid w:val="00862470"/>
    <w:rsid w:val="00862742"/>
    <w:rsid w:val="008630ED"/>
    <w:rsid w:val="008632BB"/>
    <w:rsid w:val="00863888"/>
    <w:rsid w:val="00864203"/>
    <w:rsid w:val="00865186"/>
    <w:rsid w:val="0086548D"/>
    <w:rsid w:val="00865697"/>
    <w:rsid w:val="00866614"/>
    <w:rsid w:val="00866FF4"/>
    <w:rsid w:val="008677B8"/>
    <w:rsid w:val="00870124"/>
    <w:rsid w:val="00872EB2"/>
    <w:rsid w:val="00875D9E"/>
    <w:rsid w:val="00876235"/>
    <w:rsid w:val="00877E39"/>
    <w:rsid w:val="0088096E"/>
    <w:rsid w:val="008812D1"/>
    <w:rsid w:val="00883766"/>
    <w:rsid w:val="00884738"/>
    <w:rsid w:val="00884D7A"/>
    <w:rsid w:val="008854EB"/>
    <w:rsid w:val="00885D42"/>
    <w:rsid w:val="00885E65"/>
    <w:rsid w:val="00886633"/>
    <w:rsid w:val="0088700B"/>
    <w:rsid w:val="0089107F"/>
    <w:rsid w:val="0089395E"/>
    <w:rsid w:val="00895B83"/>
    <w:rsid w:val="00895D55"/>
    <w:rsid w:val="00896489"/>
    <w:rsid w:val="0089689B"/>
    <w:rsid w:val="008969B3"/>
    <w:rsid w:val="008A1F19"/>
    <w:rsid w:val="008A2BCD"/>
    <w:rsid w:val="008A7FB0"/>
    <w:rsid w:val="008B093C"/>
    <w:rsid w:val="008B13EF"/>
    <w:rsid w:val="008B1780"/>
    <w:rsid w:val="008B23D9"/>
    <w:rsid w:val="008B2560"/>
    <w:rsid w:val="008B2C0D"/>
    <w:rsid w:val="008B2E12"/>
    <w:rsid w:val="008B4BB9"/>
    <w:rsid w:val="008B6561"/>
    <w:rsid w:val="008C1150"/>
    <w:rsid w:val="008C26D1"/>
    <w:rsid w:val="008C28AC"/>
    <w:rsid w:val="008C3B06"/>
    <w:rsid w:val="008C3D81"/>
    <w:rsid w:val="008C6477"/>
    <w:rsid w:val="008D014E"/>
    <w:rsid w:val="008D37BD"/>
    <w:rsid w:val="008D4AA5"/>
    <w:rsid w:val="008D5CB4"/>
    <w:rsid w:val="008D77FB"/>
    <w:rsid w:val="008E2841"/>
    <w:rsid w:val="008E2A58"/>
    <w:rsid w:val="008E2FF5"/>
    <w:rsid w:val="008E56A9"/>
    <w:rsid w:val="008E5908"/>
    <w:rsid w:val="008F02BA"/>
    <w:rsid w:val="008F11DB"/>
    <w:rsid w:val="008F1F7A"/>
    <w:rsid w:val="008F3255"/>
    <w:rsid w:val="008F5574"/>
    <w:rsid w:val="008F5B8E"/>
    <w:rsid w:val="008F6090"/>
    <w:rsid w:val="008F6460"/>
    <w:rsid w:val="00900203"/>
    <w:rsid w:val="00903AC0"/>
    <w:rsid w:val="0090549A"/>
    <w:rsid w:val="00906B76"/>
    <w:rsid w:val="00912BB8"/>
    <w:rsid w:val="00914454"/>
    <w:rsid w:val="00922639"/>
    <w:rsid w:val="009228DA"/>
    <w:rsid w:val="009235F0"/>
    <w:rsid w:val="009257AE"/>
    <w:rsid w:val="00926871"/>
    <w:rsid w:val="0092739A"/>
    <w:rsid w:val="00931375"/>
    <w:rsid w:val="0093144C"/>
    <w:rsid w:val="00936349"/>
    <w:rsid w:val="009373C9"/>
    <w:rsid w:val="00937474"/>
    <w:rsid w:val="00937E62"/>
    <w:rsid w:val="0094266F"/>
    <w:rsid w:val="00943B9D"/>
    <w:rsid w:val="00944360"/>
    <w:rsid w:val="00946063"/>
    <w:rsid w:val="009464B8"/>
    <w:rsid w:val="009468BC"/>
    <w:rsid w:val="00946F54"/>
    <w:rsid w:val="0095012E"/>
    <w:rsid w:val="0095028B"/>
    <w:rsid w:val="009511EB"/>
    <w:rsid w:val="00951240"/>
    <w:rsid w:val="0095132F"/>
    <w:rsid w:val="00951522"/>
    <w:rsid w:val="00951C24"/>
    <w:rsid w:val="00952C2E"/>
    <w:rsid w:val="009560E9"/>
    <w:rsid w:val="0095678E"/>
    <w:rsid w:val="00960C2C"/>
    <w:rsid w:val="00960D2F"/>
    <w:rsid w:val="00961D81"/>
    <w:rsid w:val="00963BB8"/>
    <w:rsid w:val="0096478B"/>
    <w:rsid w:val="0096592A"/>
    <w:rsid w:val="00965E9F"/>
    <w:rsid w:val="00967515"/>
    <w:rsid w:val="0097061D"/>
    <w:rsid w:val="00971A56"/>
    <w:rsid w:val="00971C97"/>
    <w:rsid w:val="00972776"/>
    <w:rsid w:val="00972B46"/>
    <w:rsid w:val="00972D02"/>
    <w:rsid w:val="009731A7"/>
    <w:rsid w:val="00974745"/>
    <w:rsid w:val="00974F57"/>
    <w:rsid w:val="00977074"/>
    <w:rsid w:val="009804E1"/>
    <w:rsid w:val="009827ED"/>
    <w:rsid w:val="00982CC0"/>
    <w:rsid w:val="00983711"/>
    <w:rsid w:val="00984DB6"/>
    <w:rsid w:val="00987896"/>
    <w:rsid w:val="0099168A"/>
    <w:rsid w:val="00994EAE"/>
    <w:rsid w:val="009964E0"/>
    <w:rsid w:val="00996590"/>
    <w:rsid w:val="0099743E"/>
    <w:rsid w:val="009A0655"/>
    <w:rsid w:val="009A1AEB"/>
    <w:rsid w:val="009A3F67"/>
    <w:rsid w:val="009A3FC1"/>
    <w:rsid w:val="009A57C2"/>
    <w:rsid w:val="009A61EC"/>
    <w:rsid w:val="009A6DDF"/>
    <w:rsid w:val="009B0DEB"/>
    <w:rsid w:val="009B30BD"/>
    <w:rsid w:val="009B368D"/>
    <w:rsid w:val="009B3815"/>
    <w:rsid w:val="009B3DE7"/>
    <w:rsid w:val="009B41FC"/>
    <w:rsid w:val="009B42B3"/>
    <w:rsid w:val="009B5033"/>
    <w:rsid w:val="009B60BF"/>
    <w:rsid w:val="009B6513"/>
    <w:rsid w:val="009B7CD2"/>
    <w:rsid w:val="009C01CE"/>
    <w:rsid w:val="009C1940"/>
    <w:rsid w:val="009C2298"/>
    <w:rsid w:val="009C5AF7"/>
    <w:rsid w:val="009C7B41"/>
    <w:rsid w:val="009C7F6E"/>
    <w:rsid w:val="009D71B5"/>
    <w:rsid w:val="009E0BE0"/>
    <w:rsid w:val="009E172A"/>
    <w:rsid w:val="009E4385"/>
    <w:rsid w:val="009E48F5"/>
    <w:rsid w:val="009F108F"/>
    <w:rsid w:val="009F1DD1"/>
    <w:rsid w:val="009F1DF0"/>
    <w:rsid w:val="009F1E99"/>
    <w:rsid w:val="009F266F"/>
    <w:rsid w:val="009F39CC"/>
    <w:rsid w:val="009F5D4C"/>
    <w:rsid w:val="009F5FD8"/>
    <w:rsid w:val="009F7814"/>
    <w:rsid w:val="00A019DB"/>
    <w:rsid w:val="00A031A2"/>
    <w:rsid w:val="00A04123"/>
    <w:rsid w:val="00A046E1"/>
    <w:rsid w:val="00A04E43"/>
    <w:rsid w:val="00A0683B"/>
    <w:rsid w:val="00A11E4B"/>
    <w:rsid w:val="00A137B5"/>
    <w:rsid w:val="00A14113"/>
    <w:rsid w:val="00A154AF"/>
    <w:rsid w:val="00A16F1A"/>
    <w:rsid w:val="00A21806"/>
    <w:rsid w:val="00A22CEB"/>
    <w:rsid w:val="00A22EE7"/>
    <w:rsid w:val="00A23046"/>
    <w:rsid w:val="00A2338D"/>
    <w:rsid w:val="00A25F3B"/>
    <w:rsid w:val="00A27BB8"/>
    <w:rsid w:val="00A31176"/>
    <w:rsid w:val="00A31567"/>
    <w:rsid w:val="00A31E33"/>
    <w:rsid w:val="00A33030"/>
    <w:rsid w:val="00A335A1"/>
    <w:rsid w:val="00A3370C"/>
    <w:rsid w:val="00A360FB"/>
    <w:rsid w:val="00A36B88"/>
    <w:rsid w:val="00A37AD2"/>
    <w:rsid w:val="00A422B6"/>
    <w:rsid w:val="00A42468"/>
    <w:rsid w:val="00A43B18"/>
    <w:rsid w:val="00A458AD"/>
    <w:rsid w:val="00A51732"/>
    <w:rsid w:val="00A530D6"/>
    <w:rsid w:val="00A53177"/>
    <w:rsid w:val="00A542FA"/>
    <w:rsid w:val="00A56ADF"/>
    <w:rsid w:val="00A64C40"/>
    <w:rsid w:val="00A6787E"/>
    <w:rsid w:val="00A70904"/>
    <w:rsid w:val="00A71A65"/>
    <w:rsid w:val="00A72BEF"/>
    <w:rsid w:val="00A73AD5"/>
    <w:rsid w:val="00A73CF6"/>
    <w:rsid w:val="00A742A2"/>
    <w:rsid w:val="00A74A15"/>
    <w:rsid w:val="00A760CD"/>
    <w:rsid w:val="00A767A4"/>
    <w:rsid w:val="00A80485"/>
    <w:rsid w:val="00A80C22"/>
    <w:rsid w:val="00A818F7"/>
    <w:rsid w:val="00A8373F"/>
    <w:rsid w:val="00A83D2E"/>
    <w:rsid w:val="00A8503D"/>
    <w:rsid w:val="00A85CCD"/>
    <w:rsid w:val="00A86039"/>
    <w:rsid w:val="00A86909"/>
    <w:rsid w:val="00A90C6D"/>
    <w:rsid w:val="00A90E6E"/>
    <w:rsid w:val="00A935D2"/>
    <w:rsid w:val="00A9413D"/>
    <w:rsid w:val="00A9494D"/>
    <w:rsid w:val="00A9688B"/>
    <w:rsid w:val="00A976C6"/>
    <w:rsid w:val="00A97E64"/>
    <w:rsid w:val="00AA21F8"/>
    <w:rsid w:val="00AA34B7"/>
    <w:rsid w:val="00AA3E11"/>
    <w:rsid w:val="00AA5085"/>
    <w:rsid w:val="00AA5CCB"/>
    <w:rsid w:val="00AA67D5"/>
    <w:rsid w:val="00AA7D23"/>
    <w:rsid w:val="00AB0CCB"/>
    <w:rsid w:val="00AB1876"/>
    <w:rsid w:val="00AB1D1E"/>
    <w:rsid w:val="00AB1E95"/>
    <w:rsid w:val="00AB2971"/>
    <w:rsid w:val="00AB2C33"/>
    <w:rsid w:val="00AB35C3"/>
    <w:rsid w:val="00AB3801"/>
    <w:rsid w:val="00AB4474"/>
    <w:rsid w:val="00AB4861"/>
    <w:rsid w:val="00AB50D5"/>
    <w:rsid w:val="00AB5BEC"/>
    <w:rsid w:val="00AB5F10"/>
    <w:rsid w:val="00AB7B95"/>
    <w:rsid w:val="00AC04CC"/>
    <w:rsid w:val="00AC1A95"/>
    <w:rsid w:val="00AC2390"/>
    <w:rsid w:val="00AC418B"/>
    <w:rsid w:val="00AC5039"/>
    <w:rsid w:val="00AC6478"/>
    <w:rsid w:val="00AC6902"/>
    <w:rsid w:val="00AC69B4"/>
    <w:rsid w:val="00AC6D61"/>
    <w:rsid w:val="00AC7E44"/>
    <w:rsid w:val="00AD078F"/>
    <w:rsid w:val="00AD0BD0"/>
    <w:rsid w:val="00AD0DE4"/>
    <w:rsid w:val="00AD208B"/>
    <w:rsid w:val="00AD3329"/>
    <w:rsid w:val="00AD5A22"/>
    <w:rsid w:val="00AD7A25"/>
    <w:rsid w:val="00AE0261"/>
    <w:rsid w:val="00AE0530"/>
    <w:rsid w:val="00AE254A"/>
    <w:rsid w:val="00AE3157"/>
    <w:rsid w:val="00AE331A"/>
    <w:rsid w:val="00AE34A9"/>
    <w:rsid w:val="00AE37B4"/>
    <w:rsid w:val="00AE6AB1"/>
    <w:rsid w:val="00AE737B"/>
    <w:rsid w:val="00AF6AFF"/>
    <w:rsid w:val="00AF7AB5"/>
    <w:rsid w:val="00B00701"/>
    <w:rsid w:val="00B009A6"/>
    <w:rsid w:val="00B013CD"/>
    <w:rsid w:val="00B0192B"/>
    <w:rsid w:val="00B0215C"/>
    <w:rsid w:val="00B0401E"/>
    <w:rsid w:val="00B044F9"/>
    <w:rsid w:val="00B0585E"/>
    <w:rsid w:val="00B06B5F"/>
    <w:rsid w:val="00B06D94"/>
    <w:rsid w:val="00B0762B"/>
    <w:rsid w:val="00B07999"/>
    <w:rsid w:val="00B100F7"/>
    <w:rsid w:val="00B10246"/>
    <w:rsid w:val="00B10D64"/>
    <w:rsid w:val="00B12336"/>
    <w:rsid w:val="00B126E7"/>
    <w:rsid w:val="00B12AE2"/>
    <w:rsid w:val="00B12C82"/>
    <w:rsid w:val="00B132FD"/>
    <w:rsid w:val="00B134C7"/>
    <w:rsid w:val="00B1360C"/>
    <w:rsid w:val="00B13D9B"/>
    <w:rsid w:val="00B14928"/>
    <w:rsid w:val="00B156B6"/>
    <w:rsid w:val="00B157B4"/>
    <w:rsid w:val="00B157EF"/>
    <w:rsid w:val="00B15A5D"/>
    <w:rsid w:val="00B15ED8"/>
    <w:rsid w:val="00B210B4"/>
    <w:rsid w:val="00B219C6"/>
    <w:rsid w:val="00B228C0"/>
    <w:rsid w:val="00B2353F"/>
    <w:rsid w:val="00B257AE"/>
    <w:rsid w:val="00B32224"/>
    <w:rsid w:val="00B32363"/>
    <w:rsid w:val="00B36F48"/>
    <w:rsid w:val="00B37EE0"/>
    <w:rsid w:val="00B40AFC"/>
    <w:rsid w:val="00B4192A"/>
    <w:rsid w:val="00B41F56"/>
    <w:rsid w:val="00B471C1"/>
    <w:rsid w:val="00B47D0B"/>
    <w:rsid w:val="00B5200B"/>
    <w:rsid w:val="00B54113"/>
    <w:rsid w:val="00B5500C"/>
    <w:rsid w:val="00B57341"/>
    <w:rsid w:val="00B628C7"/>
    <w:rsid w:val="00B629FE"/>
    <w:rsid w:val="00B6469B"/>
    <w:rsid w:val="00B64CCA"/>
    <w:rsid w:val="00B65391"/>
    <w:rsid w:val="00B66D25"/>
    <w:rsid w:val="00B67158"/>
    <w:rsid w:val="00B70AD2"/>
    <w:rsid w:val="00B710AA"/>
    <w:rsid w:val="00B72BAF"/>
    <w:rsid w:val="00B731A8"/>
    <w:rsid w:val="00B7401E"/>
    <w:rsid w:val="00B7535F"/>
    <w:rsid w:val="00B76157"/>
    <w:rsid w:val="00B8024A"/>
    <w:rsid w:val="00B8024D"/>
    <w:rsid w:val="00B8034E"/>
    <w:rsid w:val="00B81BEF"/>
    <w:rsid w:val="00B81F96"/>
    <w:rsid w:val="00B82D36"/>
    <w:rsid w:val="00B82DA9"/>
    <w:rsid w:val="00B835E4"/>
    <w:rsid w:val="00B849A1"/>
    <w:rsid w:val="00B849ED"/>
    <w:rsid w:val="00B853DB"/>
    <w:rsid w:val="00B87EAB"/>
    <w:rsid w:val="00B90006"/>
    <w:rsid w:val="00B90EF9"/>
    <w:rsid w:val="00B9284B"/>
    <w:rsid w:val="00B94BBA"/>
    <w:rsid w:val="00B9562F"/>
    <w:rsid w:val="00B95CBA"/>
    <w:rsid w:val="00BA0161"/>
    <w:rsid w:val="00BA0256"/>
    <w:rsid w:val="00BA1697"/>
    <w:rsid w:val="00BA1A4C"/>
    <w:rsid w:val="00BA1F61"/>
    <w:rsid w:val="00BA23AC"/>
    <w:rsid w:val="00BA267C"/>
    <w:rsid w:val="00BA5533"/>
    <w:rsid w:val="00BA6D3E"/>
    <w:rsid w:val="00BA6DB1"/>
    <w:rsid w:val="00BA74E8"/>
    <w:rsid w:val="00BA7ED5"/>
    <w:rsid w:val="00BB1633"/>
    <w:rsid w:val="00BB1D77"/>
    <w:rsid w:val="00BB4119"/>
    <w:rsid w:val="00BB41EF"/>
    <w:rsid w:val="00BB485D"/>
    <w:rsid w:val="00BB4DC3"/>
    <w:rsid w:val="00BB53BF"/>
    <w:rsid w:val="00BB57B3"/>
    <w:rsid w:val="00BB6B84"/>
    <w:rsid w:val="00BC07D6"/>
    <w:rsid w:val="00BC0A7A"/>
    <w:rsid w:val="00BC219F"/>
    <w:rsid w:val="00BC233C"/>
    <w:rsid w:val="00BC5C11"/>
    <w:rsid w:val="00BD379A"/>
    <w:rsid w:val="00BD42F1"/>
    <w:rsid w:val="00BD5363"/>
    <w:rsid w:val="00BD55BB"/>
    <w:rsid w:val="00BD5711"/>
    <w:rsid w:val="00BD5739"/>
    <w:rsid w:val="00BD683A"/>
    <w:rsid w:val="00BE12FD"/>
    <w:rsid w:val="00BE1656"/>
    <w:rsid w:val="00BE16AE"/>
    <w:rsid w:val="00BE1D2B"/>
    <w:rsid w:val="00BE3F6A"/>
    <w:rsid w:val="00BE6400"/>
    <w:rsid w:val="00BE7DA1"/>
    <w:rsid w:val="00BF083E"/>
    <w:rsid w:val="00BF1D0B"/>
    <w:rsid w:val="00BF3512"/>
    <w:rsid w:val="00BF51F0"/>
    <w:rsid w:val="00BF65DC"/>
    <w:rsid w:val="00BF6FFB"/>
    <w:rsid w:val="00C00E39"/>
    <w:rsid w:val="00C019D9"/>
    <w:rsid w:val="00C01ABF"/>
    <w:rsid w:val="00C02043"/>
    <w:rsid w:val="00C02210"/>
    <w:rsid w:val="00C02D31"/>
    <w:rsid w:val="00C03A1D"/>
    <w:rsid w:val="00C03AAB"/>
    <w:rsid w:val="00C04059"/>
    <w:rsid w:val="00C052E6"/>
    <w:rsid w:val="00C0696A"/>
    <w:rsid w:val="00C07732"/>
    <w:rsid w:val="00C07859"/>
    <w:rsid w:val="00C1149D"/>
    <w:rsid w:val="00C14A94"/>
    <w:rsid w:val="00C16523"/>
    <w:rsid w:val="00C16A92"/>
    <w:rsid w:val="00C16C18"/>
    <w:rsid w:val="00C17202"/>
    <w:rsid w:val="00C17279"/>
    <w:rsid w:val="00C17B9E"/>
    <w:rsid w:val="00C17D26"/>
    <w:rsid w:val="00C2044B"/>
    <w:rsid w:val="00C22497"/>
    <w:rsid w:val="00C23561"/>
    <w:rsid w:val="00C235FA"/>
    <w:rsid w:val="00C27166"/>
    <w:rsid w:val="00C3243B"/>
    <w:rsid w:val="00C35E1B"/>
    <w:rsid w:val="00C36583"/>
    <w:rsid w:val="00C3688D"/>
    <w:rsid w:val="00C37212"/>
    <w:rsid w:val="00C379C8"/>
    <w:rsid w:val="00C37AC8"/>
    <w:rsid w:val="00C406E7"/>
    <w:rsid w:val="00C425CF"/>
    <w:rsid w:val="00C42E6F"/>
    <w:rsid w:val="00C44EA7"/>
    <w:rsid w:val="00C477B4"/>
    <w:rsid w:val="00C47CEF"/>
    <w:rsid w:val="00C5062A"/>
    <w:rsid w:val="00C5173B"/>
    <w:rsid w:val="00C54955"/>
    <w:rsid w:val="00C601B1"/>
    <w:rsid w:val="00C60ABC"/>
    <w:rsid w:val="00C625C9"/>
    <w:rsid w:val="00C627A5"/>
    <w:rsid w:val="00C6296E"/>
    <w:rsid w:val="00C6326F"/>
    <w:rsid w:val="00C64545"/>
    <w:rsid w:val="00C648D8"/>
    <w:rsid w:val="00C654B1"/>
    <w:rsid w:val="00C654DA"/>
    <w:rsid w:val="00C66D6C"/>
    <w:rsid w:val="00C66F12"/>
    <w:rsid w:val="00C67CA7"/>
    <w:rsid w:val="00C70229"/>
    <w:rsid w:val="00C73703"/>
    <w:rsid w:val="00C74B5F"/>
    <w:rsid w:val="00C756DB"/>
    <w:rsid w:val="00C75B0B"/>
    <w:rsid w:val="00C75C82"/>
    <w:rsid w:val="00C8172D"/>
    <w:rsid w:val="00C819B4"/>
    <w:rsid w:val="00C838E2"/>
    <w:rsid w:val="00C83BB8"/>
    <w:rsid w:val="00C84BDB"/>
    <w:rsid w:val="00C85429"/>
    <w:rsid w:val="00C854B1"/>
    <w:rsid w:val="00C85926"/>
    <w:rsid w:val="00C90EEB"/>
    <w:rsid w:val="00C94105"/>
    <w:rsid w:val="00C9507B"/>
    <w:rsid w:val="00C96737"/>
    <w:rsid w:val="00C96846"/>
    <w:rsid w:val="00CA02F6"/>
    <w:rsid w:val="00CA1280"/>
    <w:rsid w:val="00CA253F"/>
    <w:rsid w:val="00CA7E05"/>
    <w:rsid w:val="00CB23E1"/>
    <w:rsid w:val="00CB2767"/>
    <w:rsid w:val="00CB305E"/>
    <w:rsid w:val="00CB4050"/>
    <w:rsid w:val="00CB5228"/>
    <w:rsid w:val="00CB67BD"/>
    <w:rsid w:val="00CC077E"/>
    <w:rsid w:val="00CC1647"/>
    <w:rsid w:val="00CC1EC9"/>
    <w:rsid w:val="00CC3D0A"/>
    <w:rsid w:val="00CC3F7A"/>
    <w:rsid w:val="00CC43B2"/>
    <w:rsid w:val="00CC47C0"/>
    <w:rsid w:val="00CC4F31"/>
    <w:rsid w:val="00CC5967"/>
    <w:rsid w:val="00CC5C7A"/>
    <w:rsid w:val="00CC6034"/>
    <w:rsid w:val="00CC6C1F"/>
    <w:rsid w:val="00CC6CFF"/>
    <w:rsid w:val="00CC7874"/>
    <w:rsid w:val="00CD0816"/>
    <w:rsid w:val="00CD0F67"/>
    <w:rsid w:val="00CD12CD"/>
    <w:rsid w:val="00CD59E5"/>
    <w:rsid w:val="00CD624E"/>
    <w:rsid w:val="00CD71D7"/>
    <w:rsid w:val="00CE02B6"/>
    <w:rsid w:val="00CE0F6D"/>
    <w:rsid w:val="00CE1560"/>
    <w:rsid w:val="00CE3292"/>
    <w:rsid w:val="00CF03F3"/>
    <w:rsid w:val="00CF40CC"/>
    <w:rsid w:val="00CF680A"/>
    <w:rsid w:val="00CF6FF0"/>
    <w:rsid w:val="00CF7FCB"/>
    <w:rsid w:val="00D0007E"/>
    <w:rsid w:val="00D00494"/>
    <w:rsid w:val="00D04141"/>
    <w:rsid w:val="00D04C79"/>
    <w:rsid w:val="00D05AAE"/>
    <w:rsid w:val="00D0666E"/>
    <w:rsid w:val="00D06894"/>
    <w:rsid w:val="00D078F9"/>
    <w:rsid w:val="00D13865"/>
    <w:rsid w:val="00D13D88"/>
    <w:rsid w:val="00D144FB"/>
    <w:rsid w:val="00D153D8"/>
    <w:rsid w:val="00D15556"/>
    <w:rsid w:val="00D16DA2"/>
    <w:rsid w:val="00D2321D"/>
    <w:rsid w:val="00D24D29"/>
    <w:rsid w:val="00D25D73"/>
    <w:rsid w:val="00D26B86"/>
    <w:rsid w:val="00D2729C"/>
    <w:rsid w:val="00D31426"/>
    <w:rsid w:val="00D31811"/>
    <w:rsid w:val="00D3398A"/>
    <w:rsid w:val="00D33C6F"/>
    <w:rsid w:val="00D3573A"/>
    <w:rsid w:val="00D368BB"/>
    <w:rsid w:val="00D3703A"/>
    <w:rsid w:val="00D37C2C"/>
    <w:rsid w:val="00D40676"/>
    <w:rsid w:val="00D407D9"/>
    <w:rsid w:val="00D42A18"/>
    <w:rsid w:val="00D43028"/>
    <w:rsid w:val="00D4387B"/>
    <w:rsid w:val="00D447F6"/>
    <w:rsid w:val="00D4618C"/>
    <w:rsid w:val="00D47DB5"/>
    <w:rsid w:val="00D50636"/>
    <w:rsid w:val="00D5294C"/>
    <w:rsid w:val="00D52F6D"/>
    <w:rsid w:val="00D56B26"/>
    <w:rsid w:val="00D60504"/>
    <w:rsid w:val="00D6134E"/>
    <w:rsid w:val="00D6167F"/>
    <w:rsid w:val="00D623B9"/>
    <w:rsid w:val="00D6469E"/>
    <w:rsid w:val="00D66246"/>
    <w:rsid w:val="00D670BD"/>
    <w:rsid w:val="00D70BF9"/>
    <w:rsid w:val="00D71BAC"/>
    <w:rsid w:val="00D7307F"/>
    <w:rsid w:val="00D7467D"/>
    <w:rsid w:val="00D757EB"/>
    <w:rsid w:val="00D76200"/>
    <w:rsid w:val="00D76230"/>
    <w:rsid w:val="00D81B22"/>
    <w:rsid w:val="00D81E58"/>
    <w:rsid w:val="00D83BB2"/>
    <w:rsid w:val="00D854A1"/>
    <w:rsid w:val="00D868B5"/>
    <w:rsid w:val="00D9058A"/>
    <w:rsid w:val="00D920F5"/>
    <w:rsid w:val="00D9231D"/>
    <w:rsid w:val="00D92F58"/>
    <w:rsid w:val="00D95703"/>
    <w:rsid w:val="00D95B93"/>
    <w:rsid w:val="00D96AC0"/>
    <w:rsid w:val="00DA4749"/>
    <w:rsid w:val="00DA51FF"/>
    <w:rsid w:val="00DA57CD"/>
    <w:rsid w:val="00DA60D0"/>
    <w:rsid w:val="00DA62CF"/>
    <w:rsid w:val="00DA673B"/>
    <w:rsid w:val="00DA69C3"/>
    <w:rsid w:val="00DA6B99"/>
    <w:rsid w:val="00DA7955"/>
    <w:rsid w:val="00DB0A27"/>
    <w:rsid w:val="00DB4D1A"/>
    <w:rsid w:val="00DB5006"/>
    <w:rsid w:val="00DB5AD0"/>
    <w:rsid w:val="00DB6700"/>
    <w:rsid w:val="00DB784D"/>
    <w:rsid w:val="00DC183E"/>
    <w:rsid w:val="00DC3611"/>
    <w:rsid w:val="00DC4750"/>
    <w:rsid w:val="00DC5B9C"/>
    <w:rsid w:val="00DC6B97"/>
    <w:rsid w:val="00DC7E66"/>
    <w:rsid w:val="00DD265F"/>
    <w:rsid w:val="00DD2774"/>
    <w:rsid w:val="00DD3442"/>
    <w:rsid w:val="00DD397D"/>
    <w:rsid w:val="00DD6B5B"/>
    <w:rsid w:val="00DD76E3"/>
    <w:rsid w:val="00DE04B1"/>
    <w:rsid w:val="00DE4DFA"/>
    <w:rsid w:val="00DE4EC4"/>
    <w:rsid w:val="00DE562F"/>
    <w:rsid w:val="00DE567B"/>
    <w:rsid w:val="00DE653F"/>
    <w:rsid w:val="00DE6CE3"/>
    <w:rsid w:val="00DE79A5"/>
    <w:rsid w:val="00DF1B07"/>
    <w:rsid w:val="00DF37F2"/>
    <w:rsid w:val="00DF3954"/>
    <w:rsid w:val="00DF39D4"/>
    <w:rsid w:val="00DF5626"/>
    <w:rsid w:val="00DF5ED3"/>
    <w:rsid w:val="00DF77E0"/>
    <w:rsid w:val="00E00121"/>
    <w:rsid w:val="00E02DF3"/>
    <w:rsid w:val="00E13903"/>
    <w:rsid w:val="00E154FC"/>
    <w:rsid w:val="00E17077"/>
    <w:rsid w:val="00E2023C"/>
    <w:rsid w:val="00E2092F"/>
    <w:rsid w:val="00E21DD0"/>
    <w:rsid w:val="00E229B7"/>
    <w:rsid w:val="00E242F6"/>
    <w:rsid w:val="00E24A52"/>
    <w:rsid w:val="00E26A3A"/>
    <w:rsid w:val="00E26F3D"/>
    <w:rsid w:val="00E32362"/>
    <w:rsid w:val="00E3306F"/>
    <w:rsid w:val="00E339A7"/>
    <w:rsid w:val="00E35739"/>
    <w:rsid w:val="00E35B7A"/>
    <w:rsid w:val="00E364C7"/>
    <w:rsid w:val="00E37902"/>
    <w:rsid w:val="00E37BEA"/>
    <w:rsid w:val="00E41C59"/>
    <w:rsid w:val="00E42042"/>
    <w:rsid w:val="00E4234A"/>
    <w:rsid w:val="00E446F0"/>
    <w:rsid w:val="00E44DD6"/>
    <w:rsid w:val="00E45804"/>
    <w:rsid w:val="00E45B6F"/>
    <w:rsid w:val="00E47D90"/>
    <w:rsid w:val="00E50D44"/>
    <w:rsid w:val="00E50D5F"/>
    <w:rsid w:val="00E53C49"/>
    <w:rsid w:val="00E541A2"/>
    <w:rsid w:val="00E54667"/>
    <w:rsid w:val="00E55BB5"/>
    <w:rsid w:val="00E55BC9"/>
    <w:rsid w:val="00E56A46"/>
    <w:rsid w:val="00E5775A"/>
    <w:rsid w:val="00E60302"/>
    <w:rsid w:val="00E6073F"/>
    <w:rsid w:val="00E6214A"/>
    <w:rsid w:val="00E62A2E"/>
    <w:rsid w:val="00E646F5"/>
    <w:rsid w:val="00E70215"/>
    <w:rsid w:val="00E70662"/>
    <w:rsid w:val="00E707FA"/>
    <w:rsid w:val="00E71CCB"/>
    <w:rsid w:val="00E73C88"/>
    <w:rsid w:val="00E748A7"/>
    <w:rsid w:val="00E7758A"/>
    <w:rsid w:val="00E80127"/>
    <w:rsid w:val="00E822A0"/>
    <w:rsid w:val="00E827A5"/>
    <w:rsid w:val="00E83697"/>
    <w:rsid w:val="00E8391E"/>
    <w:rsid w:val="00E84CBB"/>
    <w:rsid w:val="00E903AB"/>
    <w:rsid w:val="00E91683"/>
    <w:rsid w:val="00E91812"/>
    <w:rsid w:val="00E9195B"/>
    <w:rsid w:val="00E9392B"/>
    <w:rsid w:val="00E93C66"/>
    <w:rsid w:val="00E9540E"/>
    <w:rsid w:val="00E9626C"/>
    <w:rsid w:val="00E97A21"/>
    <w:rsid w:val="00E97CCB"/>
    <w:rsid w:val="00E97DF5"/>
    <w:rsid w:val="00EA0543"/>
    <w:rsid w:val="00EA24DE"/>
    <w:rsid w:val="00EA3267"/>
    <w:rsid w:val="00EA38A7"/>
    <w:rsid w:val="00EA4DD4"/>
    <w:rsid w:val="00EA50C9"/>
    <w:rsid w:val="00EA55C3"/>
    <w:rsid w:val="00EA6FEA"/>
    <w:rsid w:val="00EB21D0"/>
    <w:rsid w:val="00EB3517"/>
    <w:rsid w:val="00EB44C3"/>
    <w:rsid w:val="00EB62BF"/>
    <w:rsid w:val="00EB64E6"/>
    <w:rsid w:val="00EC0372"/>
    <w:rsid w:val="00EC097B"/>
    <w:rsid w:val="00EC172B"/>
    <w:rsid w:val="00EC1EC1"/>
    <w:rsid w:val="00EC30F1"/>
    <w:rsid w:val="00EC39C6"/>
    <w:rsid w:val="00EC3C9A"/>
    <w:rsid w:val="00EC3CAE"/>
    <w:rsid w:val="00EC4068"/>
    <w:rsid w:val="00EC676F"/>
    <w:rsid w:val="00EC723E"/>
    <w:rsid w:val="00EC724A"/>
    <w:rsid w:val="00ED0620"/>
    <w:rsid w:val="00ED137A"/>
    <w:rsid w:val="00ED202C"/>
    <w:rsid w:val="00ED4ACF"/>
    <w:rsid w:val="00ED5EC2"/>
    <w:rsid w:val="00ED68E7"/>
    <w:rsid w:val="00ED741B"/>
    <w:rsid w:val="00ED7745"/>
    <w:rsid w:val="00ED7EA4"/>
    <w:rsid w:val="00EE0212"/>
    <w:rsid w:val="00EE396B"/>
    <w:rsid w:val="00EE3B50"/>
    <w:rsid w:val="00EE3E8D"/>
    <w:rsid w:val="00EE499E"/>
    <w:rsid w:val="00EE4A0F"/>
    <w:rsid w:val="00EE7103"/>
    <w:rsid w:val="00EE7AF9"/>
    <w:rsid w:val="00EF0733"/>
    <w:rsid w:val="00EF38F8"/>
    <w:rsid w:val="00EF3AB3"/>
    <w:rsid w:val="00EF4B82"/>
    <w:rsid w:val="00EF720B"/>
    <w:rsid w:val="00F00959"/>
    <w:rsid w:val="00F01504"/>
    <w:rsid w:val="00F0390F"/>
    <w:rsid w:val="00F0469C"/>
    <w:rsid w:val="00F04A0B"/>
    <w:rsid w:val="00F065C8"/>
    <w:rsid w:val="00F0798D"/>
    <w:rsid w:val="00F07FE4"/>
    <w:rsid w:val="00F11E21"/>
    <w:rsid w:val="00F13660"/>
    <w:rsid w:val="00F13772"/>
    <w:rsid w:val="00F1379B"/>
    <w:rsid w:val="00F1518B"/>
    <w:rsid w:val="00F15A60"/>
    <w:rsid w:val="00F17480"/>
    <w:rsid w:val="00F20768"/>
    <w:rsid w:val="00F25963"/>
    <w:rsid w:val="00F25F48"/>
    <w:rsid w:val="00F26E31"/>
    <w:rsid w:val="00F30290"/>
    <w:rsid w:val="00F30E18"/>
    <w:rsid w:val="00F31515"/>
    <w:rsid w:val="00F3196F"/>
    <w:rsid w:val="00F33E81"/>
    <w:rsid w:val="00F350DD"/>
    <w:rsid w:val="00F41273"/>
    <w:rsid w:val="00F426F6"/>
    <w:rsid w:val="00F4281B"/>
    <w:rsid w:val="00F4285D"/>
    <w:rsid w:val="00F445A1"/>
    <w:rsid w:val="00F4506F"/>
    <w:rsid w:val="00F450AA"/>
    <w:rsid w:val="00F4551F"/>
    <w:rsid w:val="00F507A0"/>
    <w:rsid w:val="00F52087"/>
    <w:rsid w:val="00F539A1"/>
    <w:rsid w:val="00F55417"/>
    <w:rsid w:val="00F56DD8"/>
    <w:rsid w:val="00F605AF"/>
    <w:rsid w:val="00F61495"/>
    <w:rsid w:val="00F654A1"/>
    <w:rsid w:val="00F677DB"/>
    <w:rsid w:val="00F7095B"/>
    <w:rsid w:val="00F70B3F"/>
    <w:rsid w:val="00F7168A"/>
    <w:rsid w:val="00F71C71"/>
    <w:rsid w:val="00F71F33"/>
    <w:rsid w:val="00F7314A"/>
    <w:rsid w:val="00F75BD2"/>
    <w:rsid w:val="00F81676"/>
    <w:rsid w:val="00F8207E"/>
    <w:rsid w:val="00F8503A"/>
    <w:rsid w:val="00F850D1"/>
    <w:rsid w:val="00F866AC"/>
    <w:rsid w:val="00F917B2"/>
    <w:rsid w:val="00F91B18"/>
    <w:rsid w:val="00F9461C"/>
    <w:rsid w:val="00F9474F"/>
    <w:rsid w:val="00F94E4C"/>
    <w:rsid w:val="00F96055"/>
    <w:rsid w:val="00FA3018"/>
    <w:rsid w:val="00FA4BFB"/>
    <w:rsid w:val="00FA5263"/>
    <w:rsid w:val="00FA6EC6"/>
    <w:rsid w:val="00FB4226"/>
    <w:rsid w:val="00FB51A3"/>
    <w:rsid w:val="00FB61F7"/>
    <w:rsid w:val="00FB6766"/>
    <w:rsid w:val="00FB7E02"/>
    <w:rsid w:val="00FC0047"/>
    <w:rsid w:val="00FC20A6"/>
    <w:rsid w:val="00FC293E"/>
    <w:rsid w:val="00FC3A6D"/>
    <w:rsid w:val="00FC6845"/>
    <w:rsid w:val="00FC757A"/>
    <w:rsid w:val="00FD22D2"/>
    <w:rsid w:val="00FD3709"/>
    <w:rsid w:val="00FD3859"/>
    <w:rsid w:val="00FD4221"/>
    <w:rsid w:val="00FD6C5B"/>
    <w:rsid w:val="00FD6E50"/>
    <w:rsid w:val="00FE058A"/>
    <w:rsid w:val="00FE0842"/>
    <w:rsid w:val="00FE0DA4"/>
    <w:rsid w:val="00FE10EF"/>
    <w:rsid w:val="00FE2CC7"/>
    <w:rsid w:val="00FE2E4A"/>
    <w:rsid w:val="00FE30EB"/>
    <w:rsid w:val="00FE346F"/>
    <w:rsid w:val="00FE357B"/>
    <w:rsid w:val="00FE47B7"/>
    <w:rsid w:val="00FE66D5"/>
    <w:rsid w:val="00FE7016"/>
    <w:rsid w:val="00FF2ED8"/>
    <w:rsid w:val="00FF3043"/>
    <w:rsid w:val="00FF3082"/>
    <w:rsid w:val="00FF47F6"/>
    <w:rsid w:val="01767764"/>
    <w:rsid w:val="01B6914D"/>
    <w:rsid w:val="01C5D469"/>
    <w:rsid w:val="03165464"/>
    <w:rsid w:val="05ED6632"/>
    <w:rsid w:val="07824FD3"/>
    <w:rsid w:val="07E5C860"/>
    <w:rsid w:val="0887DDE1"/>
    <w:rsid w:val="0890D6D6"/>
    <w:rsid w:val="0B9884BE"/>
    <w:rsid w:val="0D7A7AFE"/>
    <w:rsid w:val="0E0BBB1B"/>
    <w:rsid w:val="0E4A6CBA"/>
    <w:rsid w:val="0E6378DE"/>
    <w:rsid w:val="0EB09D5A"/>
    <w:rsid w:val="0F457F94"/>
    <w:rsid w:val="10512D66"/>
    <w:rsid w:val="10D8C114"/>
    <w:rsid w:val="1136CB5A"/>
    <w:rsid w:val="11397FAD"/>
    <w:rsid w:val="11508903"/>
    <w:rsid w:val="128EF8CC"/>
    <w:rsid w:val="12A14EF2"/>
    <w:rsid w:val="144D38A3"/>
    <w:rsid w:val="147BDE92"/>
    <w:rsid w:val="148BB1CA"/>
    <w:rsid w:val="16B69F7E"/>
    <w:rsid w:val="1B2137C4"/>
    <w:rsid w:val="1B52C3A1"/>
    <w:rsid w:val="1BE51F84"/>
    <w:rsid w:val="1CD0FE40"/>
    <w:rsid w:val="1EEF82F6"/>
    <w:rsid w:val="23C7515B"/>
    <w:rsid w:val="265A0374"/>
    <w:rsid w:val="26F25849"/>
    <w:rsid w:val="27443805"/>
    <w:rsid w:val="28B2333B"/>
    <w:rsid w:val="29ABAA00"/>
    <w:rsid w:val="2A11FF9E"/>
    <w:rsid w:val="2A6C5F49"/>
    <w:rsid w:val="2AEF90D8"/>
    <w:rsid w:val="2D0C6426"/>
    <w:rsid w:val="2DD0C8CE"/>
    <w:rsid w:val="2E4E265D"/>
    <w:rsid w:val="2EC269D3"/>
    <w:rsid w:val="2F155210"/>
    <w:rsid w:val="2FD681A3"/>
    <w:rsid w:val="3136576D"/>
    <w:rsid w:val="3443ED27"/>
    <w:rsid w:val="345E73D5"/>
    <w:rsid w:val="34C0DEA3"/>
    <w:rsid w:val="34D96F88"/>
    <w:rsid w:val="34F370C0"/>
    <w:rsid w:val="3600B1F0"/>
    <w:rsid w:val="361FEDF5"/>
    <w:rsid w:val="36835392"/>
    <w:rsid w:val="37C19CF0"/>
    <w:rsid w:val="38085976"/>
    <w:rsid w:val="3A2BE9B6"/>
    <w:rsid w:val="3B19ED22"/>
    <w:rsid w:val="3B5019E2"/>
    <w:rsid w:val="3C0E7B24"/>
    <w:rsid w:val="3C8E27BC"/>
    <w:rsid w:val="3CBF9EA6"/>
    <w:rsid w:val="3D09A0BF"/>
    <w:rsid w:val="3E512CA8"/>
    <w:rsid w:val="3EC4224F"/>
    <w:rsid w:val="3F002C02"/>
    <w:rsid w:val="3F771577"/>
    <w:rsid w:val="3F7AB8D5"/>
    <w:rsid w:val="3F9BF2AD"/>
    <w:rsid w:val="417F7E67"/>
    <w:rsid w:val="43BC888B"/>
    <w:rsid w:val="45298BCB"/>
    <w:rsid w:val="45A4B84A"/>
    <w:rsid w:val="45EFEDC1"/>
    <w:rsid w:val="462BA9FB"/>
    <w:rsid w:val="46832B74"/>
    <w:rsid w:val="47A301CA"/>
    <w:rsid w:val="4872B6C8"/>
    <w:rsid w:val="48975A89"/>
    <w:rsid w:val="4ACFC6A8"/>
    <w:rsid w:val="4C78A4DF"/>
    <w:rsid w:val="4EFD7C2F"/>
    <w:rsid w:val="4F5768DB"/>
    <w:rsid w:val="50C9E2D9"/>
    <w:rsid w:val="51BCDB83"/>
    <w:rsid w:val="52CDD042"/>
    <w:rsid w:val="536AFE5F"/>
    <w:rsid w:val="53F7E0D3"/>
    <w:rsid w:val="548BB435"/>
    <w:rsid w:val="55686319"/>
    <w:rsid w:val="566D81D6"/>
    <w:rsid w:val="57B8622E"/>
    <w:rsid w:val="5886A223"/>
    <w:rsid w:val="58D9BAE1"/>
    <w:rsid w:val="595E62C2"/>
    <w:rsid w:val="59D56999"/>
    <w:rsid w:val="5A28139D"/>
    <w:rsid w:val="5A2FDEA0"/>
    <w:rsid w:val="5CAC1EEB"/>
    <w:rsid w:val="5E647B45"/>
    <w:rsid w:val="5F4A2A8F"/>
    <w:rsid w:val="5FECE5C0"/>
    <w:rsid w:val="6072D78F"/>
    <w:rsid w:val="60CB08A0"/>
    <w:rsid w:val="6259F7D3"/>
    <w:rsid w:val="64522118"/>
    <w:rsid w:val="65A7669B"/>
    <w:rsid w:val="664604B5"/>
    <w:rsid w:val="675ADD59"/>
    <w:rsid w:val="69796790"/>
    <w:rsid w:val="6B7944F1"/>
    <w:rsid w:val="6B9B06D8"/>
    <w:rsid w:val="6BC4CCCF"/>
    <w:rsid w:val="6C1E9180"/>
    <w:rsid w:val="6D41B41D"/>
    <w:rsid w:val="6D5131AD"/>
    <w:rsid w:val="6D819D4A"/>
    <w:rsid w:val="6DA86F40"/>
    <w:rsid w:val="6DE2A65A"/>
    <w:rsid w:val="6E30BF60"/>
    <w:rsid w:val="6E8977A0"/>
    <w:rsid w:val="6EDD65BD"/>
    <w:rsid w:val="6F34E5A2"/>
    <w:rsid w:val="6F874756"/>
    <w:rsid w:val="706C274C"/>
    <w:rsid w:val="71F7DD38"/>
    <w:rsid w:val="73DBF556"/>
    <w:rsid w:val="74CEF628"/>
    <w:rsid w:val="750536DC"/>
    <w:rsid w:val="76877A24"/>
    <w:rsid w:val="77565938"/>
    <w:rsid w:val="77B8DD7E"/>
    <w:rsid w:val="78CEDA4E"/>
    <w:rsid w:val="792A485D"/>
    <w:rsid w:val="7999C3E5"/>
    <w:rsid w:val="7AA2213F"/>
    <w:rsid w:val="7AF50F79"/>
    <w:rsid w:val="7B5AEB47"/>
    <w:rsid w:val="7C2BD0E8"/>
    <w:rsid w:val="7DC8DDFC"/>
    <w:rsid w:val="7F3946B9"/>
    <w:rsid w:val="7F3BCC01"/>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14:docId w14:val="4E49EBEF"/>
  <w15:chartTrackingRefBased/>
  <w15:docId w15:val="{D55A2FEC-6A6A-4FC8-AAD5-8426F99633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iPriority="0"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86909"/>
    <w:pPr>
      <w:widowControl w:val="0"/>
      <w:spacing w:after="0" w:line="240" w:lineRule="auto"/>
    </w:pPr>
    <w:rPr>
      <w:rFonts w:ascii="Times New Roman" w:eastAsia="Times New Roman" w:hAnsi="Times New Roman" w:cs="Times New Roman"/>
      <w:snapToGrid w:val="0"/>
      <w:kern w:val="28"/>
      <w:szCs w:val="20"/>
    </w:rPr>
  </w:style>
  <w:style w:type="paragraph" w:styleId="Heading1">
    <w:name w:val="heading 1"/>
    <w:basedOn w:val="Normal"/>
    <w:next w:val="ParaNum"/>
    <w:link w:val="Heading1Char"/>
    <w:qFormat/>
    <w:rsid w:val="00A86909"/>
    <w:pPr>
      <w:keepNext/>
      <w:numPr>
        <w:numId w:val="7"/>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link w:val="Heading2Char"/>
    <w:autoRedefine/>
    <w:qFormat/>
    <w:rsid w:val="00A86909"/>
    <w:pPr>
      <w:keepNext/>
      <w:numPr>
        <w:ilvl w:val="1"/>
        <w:numId w:val="7"/>
      </w:numPr>
      <w:spacing w:after="120"/>
      <w:outlineLvl w:val="1"/>
    </w:pPr>
    <w:rPr>
      <w:b/>
    </w:rPr>
  </w:style>
  <w:style w:type="paragraph" w:styleId="Heading3">
    <w:name w:val="heading 3"/>
    <w:aliases w:val="Heading 3 Char Char"/>
    <w:basedOn w:val="Normal"/>
    <w:next w:val="ParaNum"/>
    <w:link w:val="Heading3Char"/>
    <w:qFormat/>
    <w:rsid w:val="00A86909"/>
    <w:pPr>
      <w:keepNext/>
      <w:numPr>
        <w:ilvl w:val="2"/>
        <w:numId w:val="7"/>
      </w:numPr>
      <w:tabs>
        <w:tab w:val="left" w:pos="2160"/>
      </w:tabs>
      <w:spacing w:after="120"/>
      <w:outlineLvl w:val="2"/>
    </w:pPr>
    <w:rPr>
      <w:b/>
    </w:rPr>
  </w:style>
  <w:style w:type="paragraph" w:styleId="Heading4">
    <w:name w:val="heading 4"/>
    <w:basedOn w:val="Normal"/>
    <w:next w:val="ParaNum"/>
    <w:link w:val="Heading4Char"/>
    <w:qFormat/>
    <w:rsid w:val="00A86909"/>
    <w:pPr>
      <w:keepNext/>
      <w:numPr>
        <w:ilvl w:val="3"/>
        <w:numId w:val="7"/>
      </w:numPr>
      <w:tabs>
        <w:tab w:val="left" w:pos="2880"/>
      </w:tabs>
      <w:spacing w:after="120"/>
      <w:outlineLvl w:val="3"/>
    </w:pPr>
    <w:rPr>
      <w:b/>
    </w:rPr>
  </w:style>
  <w:style w:type="paragraph" w:styleId="Heading5">
    <w:name w:val="heading 5"/>
    <w:aliases w:val="Heading 5 Char2,Heading 5 Char1 Char1,Heading 5 Char Char Char1,Heading 5 Char1 Char Char Char,Heading 5 Char Char Char Char Char,Heading 5 Char Char1 Char,Heading 5 Char Char2,Heading 5 Char1 Char Char1,Heading 5 Char Char Char Char1"/>
    <w:basedOn w:val="Normal"/>
    <w:next w:val="ParaNum"/>
    <w:link w:val="Heading5Char"/>
    <w:qFormat/>
    <w:rsid w:val="00A86909"/>
    <w:pPr>
      <w:keepNext/>
      <w:numPr>
        <w:ilvl w:val="4"/>
        <w:numId w:val="7"/>
      </w:numPr>
      <w:tabs>
        <w:tab w:val="left" w:pos="3600"/>
      </w:tabs>
      <w:suppressAutoHyphens/>
      <w:spacing w:after="120"/>
      <w:outlineLvl w:val="4"/>
    </w:pPr>
    <w:rPr>
      <w:b/>
    </w:rPr>
  </w:style>
  <w:style w:type="paragraph" w:styleId="Heading6">
    <w:name w:val="heading 6"/>
    <w:aliases w:val="h6,Heading 6 Char2,Heading 6 Char1 Char,Heading 6 Char Char Char,Heading 6 Char Char1,Heading 6 Char1,Heading 6 Char Char"/>
    <w:basedOn w:val="Normal"/>
    <w:next w:val="ParaNum"/>
    <w:link w:val="Heading6Char"/>
    <w:qFormat/>
    <w:rsid w:val="00A86909"/>
    <w:pPr>
      <w:numPr>
        <w:ilvl w:val="5"/>
        <w:numId w:val="7"/>
      </w:numPr>
      <w:tabs>
        <w:tab w:val="left" w:pos="4320"/>
      </w:tabs>
      <w:spacing w:after="120"/>
      <w:outlineLvl w:val="5"/>
    </w:pPr>
    <w:rPr>
      <w:b/>
    </w:rPr>
  </w:style>
  <w:style w:type="paragraph" w:styleId="Heading7">
    <w:name w:val="heading 7"/>
    <w:basedOn w:val="Normal"/>
    <w:next w:val="ParaNum"/>
    <w:link w:val="Heading7Char"/>
    <w:qFormat/>
    <w:rsid w:val="00A86909"/>
    <w:pPr>
      <w:numPr>
        <w:ilvl w:val="6"/>
        <w:numId w:val="7"/>
      </w:numPr>
      <w:tabs>
        <w:tab w:val="left" w:pos="5040"/>
      </w:tabs>
      <w:spacing w:after="120"/>
      <w:ind w:left="5040" w:hanging="720"/>
      <w:outlineLvl w:val="6"/>
    </w:pPr>
    <w:rPr>
      <w:b/>
    </w:rPr>
  </w:style>
  <w:style w:type="paragraph" w:styleId="Heading8">
    <w:name w:val="heading 8"/>
    <w:basedOn w:val="Normal"/>
    <w:next w:val="ParaNum"/>
    <w:link w:val="Heading8Char"/>
    <w:qFormat/>
    <w:rsid w:val="00A86909"/>
    <w:pPr>
      <w:numPr>
        <w:ilvl w:val="7"/>
        <w:numId w:val="7"/>
      </w:numPr>
      <w:tabs>
        <w:tab w:val="clear" w:pos="5400"/>
        <w:tab w:val="left" w:pos="5760"/>
      </w:tabs>
      <w:spacing w:after="120"/>
      <w:ind w:left="5760" w:hanging="720"/>
      <w:outlineLvl w:val="7"/>
    </w:pPr>
    <w:rPr>
      <w:b/>
    </w:rPr>
  </w:style>
  <w:style w:type="paragraph" w:styleId="Heading9">
    <w:name w:val="heading 9"/>
    <w:aliases w:val="Topic,table,t,9,Heading 9.table,Titre 9"/>
    <w:basedOn w:val="Normal"/>
    <w:next w:val="ParaNum"/>
    <w:link w:val="Heading9Char"/>
    <w:qFormat/>
    <w:rsid w:val="00A86909"/>
    <w:pPr>
      <w:numPr>
        <w:ilvl w:val="8"/>
        <w:numId w:val="7"/>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rsid w:val="00A86909"/>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A86909"/>
  </w:style>
  <w:style w:type="paragraph" w:styleId="ListParagraph">
    <w:name w:val="List Paragraph"/>
    <w:basedOn w:val="Normal"/>
    <w:link w:val="ListParagraphChar"/>
    <w:uiPriority w:val="34"/>
    <w:qFormat/>
    <w:rsid w:val="002F683E"/>
    <w:pPr>
      <w:ind w:left="720"/>
      <w:contextualSpacing/>
    </w:pPr>
  </w:style>
  <w:style w:type="paragraph" w:styleId="FootnoteText">
    <w:name w:val="footnote text"/>
    <w:aliases w:val="Footnote Text Char1,Footnote Text Char3 Char1,Footnote Text Char Char Char,Footnote Text Char1 Char Char Char1,Footnote Text Char Char Char Char Char2,Footnote Text Char2 Char Char Char Char Char,Footnote Text Char3,Footnote Text Char Char"/>
    <w:link w:val="FootnoteTextChar"/>
    <w:rsid w:val="00A86909"/>
    <w:pPr>
      <w:spacing w:after="120" w:line="240" w:lineRule="auto"/>
    </w:pPr>
    <w:rPr>
      <w:rFonts w:ascii="Times New Roman" w:eastAsia="Times New Roman" w:hAnsi="Times New Roman" w:cs="Times New Roman"/>
      <w:sz w:val="20"/>
      <w:szCs w:val="20"/>
    </w:rPr>
  </w:style>
  <w:style w:type="character" w:customStyle="1" w:styleId="FootnoteTextChar">
    <w:name w:val="Footnote Text Char"/>
    <w:aliases w:val="Footnote Text Char1 Char,Footnote Text Char3 Char1 Char,Footnote Text Char Char Char Char,Footnote Text Char1 Char Char Char1 Char,Footnote Text Char Char Char Char Char2 Char,Footnote Text Char2 Char Char Char Char Char Char"/>
    <w:basedOn w:val="DefaultParagraphFont"/>
    <w:link w:val="FootnoteText"/>
    <w:rsid w:val="00034878"/>
    <w:rPr>
      <w:rFonts w:ascii="Times New Roman" w:eastAsia="Times New Roman" w:hAnsi="Times New Roman" w:cs="Times New Roman"/>
      <w:sz w:val="20"/>
      <w:szCs w:val="20"/>
    </w:rPr>
  </w:style>
  <w:style w:type="character" w:styleId="FootnoteReference">
    <w:name w:val="footnote reference"/>
    <w:aliases w:val="Appel note de bas de p,Style 12,(NECG) Footnote Reference,Style 124,o,fr,Style 3,Style 13,FR,Style 17,Style 6,Footnote Reference/,Style 4,Style 7,Footnote Reference1,Style 34,Style 9,A,-E Funotenzeichen,Ref,Style 1,Style 20,callout"/>
    <w:rsid w:val="00A86909"/>
    <w:rPr>
      <w:rFonts w:ascii="Times New Roman" w:hAnsi="Times New Roman"/>
      <w:dstrike w:val="0"/>
      <w:color w:val="auto"/>
      <w:sz w:val="20"/>
      <w:vertAlign w:val="superscript"/>
    </w:rPr>
  </w:style>
  <w:style w:type="paragraph" w:styleId="BalloonText">
    <w:name w:val="Balloon Text"/>
    <w:basedOn w:val="Normal"/>
    <w:link w:val="BalloonTextChar"/>
    <w:uiPriority w:val="99"/>
    <w:semiHidden/>
    <w:unhideWhenUsed/>
    <w:rsid w:val="00E446F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446F0"/>
    <w:rPr>
      <w:rFonts w:ascii="Segoe UI" w:hAnsi="Segoe UI" w:cs="Segoe UI"/>
      <w:sz w:val="18"/>
      <w:szCs w:val="18"/>
    </w:rPr>
  </w:style>
  <w:style w:type="character" w:styleId="Hyperlink">
    <w:name w:val="Hyperlink"/>
    <w:rsid w:val="00A86909"/>
    <w:rPr>
      <w:color w:val="0000FF"/>
      <w:u w:val="single"/>
    </w:rPr>
  </w:style>
  <w:style w:type="paragraph" w:styleId="Header">
    <w:name w:val="header"/>
    <w:basedOn w:val="Normal"/>
    <w:link w:val="HeaderChar"/>
    <w:autoRedefine/>
    <w:rsid w:val="00A86909"/>
    <w:pPr>
      <w:tabs>
        <w:tab w:val="right" w:pos="9360"/>
      </w:tabs>
    </w:pPr>
    <w:rPr>
      <w:b/>
    </w:rPr>
  </w:style>
  <w:style w:type="character" w:customStyle="1" w:styleId="HeaderChar">
    <w:name w:val="Header Char"/>
    <w:basedOn w:val="DefaultParagraphFont"/>
    <w:link w:val="Header"/>
    <w:rsid w:val="00A86909"/>
    <w:rPr>
      <w:rFonts w:ascii="Times New Roman" w:eastAsia="Times New Roman" w:hAnsi="Times New Roman" w:cs="Times New Roman"/>
      <w:b/>
      <w:snapToGrid w:val="0"/>
      <w:kern w:val="28"/>
      <w:szCs w:val="20"/>
    </w:rPr>
  </w:style>
  <w:style w:type="paragraph" w:styleId="Footer">
    <w:name w:val="footer"/>
    <w:basedOn w:val="Normal"/>
    <w:link w:val="FooterChar"/>
    <w:uiPriority w:val="99"/>
    <w:rsid w:val="00A86909"/>
    <w:pPr>
      <w:tabs>
        <w:tab w:val="center" w:pos="4320"/>
        <w:tab w:val="right" w:pos="8640"/>
      </w:tabs>
    </w:pPr>
  </w:style>
  <w:style w:type="character" w:customStyle="1" w:styleId="FooterChar">
    <w:name w:val="Footer Char"/>
    <w:link w:val="Footer"/>
    <w:uiPriority w:val="99"/>
    <w:rsid w:val="00A86909"/>
    <w:rPr>
      <w:rFonts w:ascii="Times New Roman" w:eastAsia="Times New Roman" w:hAnsi="Times New Roman" w:cs="Times New Roman"/>
      <w:snapToGrid w:val="0"/>
      <w:kern w:val="28"/>
      <w:szCs w:val="20"/>
    </w:rPr>
  </w:style>
  <w:style w:type="character" w:customStyle="1" w:styleId="Heading1Char">
    <w:name w:val="Heading 1 Char"/>
    <w:basedOn w:val="DefaultParagraphFont"/>
    <w:link w:val="Heading1"/>
    <w:rsid w:val="003D226E"/>
    <w:rPr>
      <w:rFonts w:ascii="Times New Roman Bold" w:eastAsia="Times New Roman" w:hAnsi="Times New Roman Bold" w:cs="Times New Roman"/>
      <w:b/>
      <w:caps/>
      <w:snapToGrid w:val="0"/>
      <w:kern w:val="28"/>
      <w:szCs w:val="20"/>
    </w:rPr>
  </w:style>
  <w:style w:type="character" w:customStyle="1" w:styleId="Heading2Char">
    <w:name w:val="Heading 2 Char"/>
    <w:basedOn w:val="DefaultParagraphFont"/>
    <w:link w:val="Heading2"/>
    <w:rsid w:val="003D226E"/>
    <w:rPr>
      <w:rFonts w:ascii="Times New Roman" w:eastAsia="Times New Roman" w:hAnsi="Times New Roman" w:cs="Times New Roman"/>
      <w:b/>
      <w:snapToGrid w:val="0"/>
      <w:kern w:val="28"/>
      <w:szCs w:val="20"/>
    </w:rPr>
  </w:style>
  <w:style w:type="character" w:customStyle="1" w:styleId="Heading3Char">
    <w:name w:val="Heading 3 Char"/>
    <w:aliases w:val="Heading 3 Char Char Char"/>
    <w:basedOn w:val="DefaultParagraphFont"/>
    <w:link w:val="Heading3"/>
    <w:rsid w:val="003D226E"/>
    <w:rPr>
      <w:rFonts w:ascii="Times New Roman" w:eastAsia="Times New Roman" w:hAnsi="Times New Roman" w:cs="Times New Roman"/>
      <w:b/>
      <w:snapToGrid w:val="0"/>
      <w:kern w:val="28"/>
      <w:szCs w:val="20"/>
    </w:rPr>
  </w:style>
  <w:style w:type="character" w:customStyle="1" w:styleId="Heading4Char">
    <w:name w:val="Heading 4 Char"/>
    <w:basedOn w:val="DefaultParagraphFont"/>
    <w:link w:val="Heading4"/>
    <w:rsid w:val="003D226E"/>
    <w:rPr>
      <w:rFonts w:ascii="Times New Roman" w:eastAsia="Times New Roman" w:hAnsi="Times New Roman" w:cs="Times New Roman"/>
      <w:b/>
      <w:snapToGrid w:val="0"/>
      <w:kern w:val="28"/>
      <w:szCs w:val="20"/>
    </w:rPr>
  </w:style>
  <w:style w:type="character" w:customStyle="1" w:styleId="Heading5Char">
    <w:name w:val="Heading 5 Char"/>
    <w:aliases w:val="Heading 5 Char2 Char,Heading 5 Char1 Char1 Char,Heading 5 Char Char Char1 Char,Heading 5 Char1 Char Char Char Char,Heading 5 Char Char Char Char Char Char,Heading 5 Char Char1 Char Char,Heading 5 Char Char2 Char"/>
    <w:basedOn w:val="DefaultParagraphFont"/>
    <w:link w:val="Heading5"/>
    <w:rsid w:val="003D226E"/>
    <w:rPr>
      <w:rFonts w:ascii="Times New Roman" w:eastAsia="Times New Roman" w:hAnsi="Times New Roman" w:cs="Times New Roman"/>
      <w:b/>
      <w:snapToGrid w:val="0"/>
      <w:kern w:val="28"/>
      <w:szCs w:val="20"/>
    </w:rPr>
  </w:style>
  <w:style w:type="character" w:customStyle="1" w:styleId="Heading6Char">
    <w:name w:val="Heading 6 Char"/>
    <w:aliases w:val="h6 Char,Heading 6 Char2 Char,Heading 6 Char1 Char Char,Heading 6 Char Char Char Char,Heading 6 Char Char1 Char,Heading 6 Char1 Char1,Heading 6 Char Char Char1"/>
    <w:basedOn w:val="DefaultParagraphFont"/>
    <w:link w:val="Heading6"/>
    <w:rsid w:val="003D226E"/>
    <w:rPr>
      <w:rFonts w:ascii="Times New Roman" w:eastAsia="Times New Roman" w:hAnsi="Times New Roman" w:cs="Times New Roman"/>
      <w:b/>
      <w:snapToGrid w:val="0"/>
      <w:kern w:val="28"/>
      <w:szCs w:val="20"/>
    </w:rPr>
  </w:style>
  <w:style w:type="character" w:customStyle="1" w:styleId="Heading7Char">
    <w:name w:val="Heading 7 Char"/>
    <w:basedOn w:val="DefaultParagraphFont"/>
    <w:link w:val="Heading7"/>
    <w:rsid w:val="003D226E"/>
    <w:rPr>
      <w:rFonts w:ascii="Times New Roman" w:eastAsia="Times New Roman" w:hAnsi="Times New Roman" w:cs="Times New Roman"/>
      <w:b/>
      <w:snapToGrid w:val="0"/>
      <w:kern w:val="28"/>
      <w:szCs w:val="20"/>
    </w:rPr>
  </w:style>
  <w:style w:type="character" w:customStyle="1" w:styleId="Heading8Char">
    <w:name w:val="Heading 8 Char"/>
    <w:basedOn w:val="DefaultParagraphFont"/>
    <w:link w:val="Heading8"/>
    <w:rsid w:val="003D226E"/>
    <w:rPr>
      <w:rFonts w:ascii="Times New Roman" w:eastAsia="Times New Roman" w:hAnsi="Times New Roman" w:cs="Times New Roman"/>
      <w:b/>
      <w:snapToGrid w:val="0"/>
      <w:kern w:val="28"/>
      <w:szCs w:val="20"/>
    </w:rPr>
  </w:style>
  <w:style w:type="character" w:customStyle="1" w:styleId="Heading9Char">
    <w:name w:val="Heading 9 Char"/>
    <w:aliases w:val="Topic Char,table Char,t Char,9 Char,Heading 9.table Char,Titre 9 Char"/>
    <w:basedOn w:val="DefaultParagraphFont"/>
    <w:link w:val="Heading9"/>
    <w:rsid w:val="003D226E"/>
    <w:rPr>
      <w:rFonts w:ascii="Times New Roman" w:eastAsia="Times New Roman" w:hAnsi="Times New Roman" w:cs="Times New Roman"/>
      <w:b/>
      <w:snapToGrid w:val="0"/>
      <w:kern w:val="28"/>
      <w:szCs w:val="20"/>
    </w:rPr>
  </w:style>
  <w:style w:type="paragraph" w:customStyle="1" w:styleId="ParaNum">
    <w:name w:val="ParaNum"/>
    <w:basedOn w:val="Normal"/>
    <w:link w:val="ParaNumChar"/>
    <w:rsid w:val="00A86909"/>
    <w:pPr>
      <w:numPr>
        <w:numId w:val="8"/>
      </w:numPr>
      <w:tabs>
        <w:tab w:val="clear" w:pos="1080"/>
        <w:tab w:val="num" w:pos="1440"/>
      </w:tabs>
      <w:spacing w:after="120"/>
    </w:pPr>
  </w:style>
  <w:style w:type="character" w:customStyle="1" w:styleId="ParaNumChar">
    <w:name w:val="ParaNum Char"/>
    <w:basedOn w:val="DefaultParagraphFont"/>
    <w:link w:val="ParaNum"/>
    <w:rsid w:val="003D226E"/>
    <w:rPr>
      <w:rFonts w:ascii="Times New Roman" w:eastAsia="Times New Roman" w:hAnsi="Times New Roman" w:cs="Times New Roman"/>
      <w:snapToGrid w:val="0"/>
      <w:kern w:val="28"/>
      <w:szCs w:val="20"/>
    </w:rPr>
  </w:style>
  <w:style w:type="character" w:styleId="CommentReference">
    <w:name w:val="annotation reference"/>
    <w:basedOn w:val="DefaultParagraphFont"/>
    <w:semiHidden/>
    <w:unhideWhenUsed/>
    <w:rsid w:val="003D226E"/>
    <w:rPr>
      <w:sz w:val="16"/>
      <w:szCs w:val="16"/>
    </w:rPr>
  </w:style>
  <w:style w:type="paragraph" w:styleId="CommentText">
    <w:name w:val="annotation text"/>
    <w:basedOn w:val="Normal"/>
    <w:link w:val="CommentTextChar"/>
    <w:unhideWhenUsed/>
    <w:rsid w:val="003D226E"/>
    <w:rPr>
      <w:snapToGrid/>
      <w:sz w:val="20"/>
    </w:rPr>
  </w:style>
  <w:style w:type="character" w:customStyle="1" w:styleId="CommentTextChar">
    <w:name w:val="Comment Text Char"/>
    <w:basedOn w:val="DefaultParagraphFont"/>
    <w:link w:val="CommentText"/>
    <w:rsid w:val="003D226E"/>
    <w:rPr>
      <w:rFonts w:ascii="Times New Roman" w:eastAsia="Times New Roman" w:hAnsi="Times New Roman" w:cs="Times New Roman"/>
      <w:snapToGrid w:val="0"/>
      <w:kern w:val="28"/>
      <w:sz w:val="20"/>
      <w:szCs w:val="20"/>
    </w:rPr>
  </w:style>
  <w:style w:type="paragraph" w:styleId="CommentSubject">
    <w:name w:val="annotation subject"/>
    <w:basedOn w:val="CommentText"/>
    <w:next w:val="CommentText"/>
    <w:link w:val="CommentSubjectChar"/>
    <w:uiPriority w:val="99"/>
    <w:semiHidden/>
    <w:unhideWhenUsed/>
    <w:rsid w:val="00013982"/>
    <w:pPr>
      <w:widowControl/>
      <w:spacing w:after="160"/>
    </w:pPr>
    <w:rPr>
      <w:rFonts w:asciiTheme="minorHAnsi" w:eastAsiaTheme="minorHAnsi" w:hAnsiTheme="minorHAnsi" w:cstheme="minorBidi"/>
      <w:b/>
      <w:bCs/>
      <w:snapToGrid w:val="0"/>
      <w:kern w:val="0"/>
    </w:rPr>
  </w:style>
  <w:style w:type="character" w:customStyle="1" w:styleId="CommentSubjectChar">
    <w:name w:val="Comment Subject Char"/>
    <w:basedOn w:val="CommentTextChar"/>
    <w:link w:val="CommentSubject"/>
    <w:uiPriority w:val="99"/>
    <w:semiHidden/>
    <w:rsid w:val="00013982"/>
    <w:rPr>
      <w:rFonts w:ascii="Times New Roman" w:eastAsia="Times New Roman" w:hAnsi="Times New Roman" w:cs="Times New Roman"/>
      <w:b/>
      <w:bCs/>
      <w:snapToGrid/>
      <w:kern w:val="28"/>
      <w:sz w:val="20"/>
      <w:szCs w:val="20"/>
    </w:rPr>
  </w:style>
  <w:style w:type="paragraph" w:customStyle="1" w:styleId="ParaNumCharChar">
    <w:name w:val="ParaNum Char Char"/>
    <w:basedOn w:val="Normal"/>
    <w:link w:val="ParaNumCharCharChar1"/>
    <w:rsid w:val="00701319"/>
    <w:pPr>
      <w:tabs>
        <w:tab w:val="num" w:pos="1080"/>
        <w:tab w:val="left" w:pos="1440"/>
      </w:tabs>
      <w:spacing w:after="220"/>
      <w:ind w:firstLine="720"/>
      <w:jc w:val="both"/>
    </w:pPr>
    <w:rPr>
      <w:snapToGrid/>
    </w:rPr>
  </w:style>
  <w:style w:type="character" w:customStyle="1" w:styleId="ParaNumCharCharChar1">
    <w:name w:val="ParaNum Char Char Char1"/>
    <w:basedOn w:val="DefaultParagraphFont"/>
    <w:link w:val="ParaNumCharChar"/>
    <w:rsid w:val="00701319"/>
    <w:rPr>
      <w:rFonts w:ascii="Times New Roman" w:eastAsia="Times New Roman" w:hAnsi="Times New Roman" w:cs="Times New Roman"/>
      <w:snapToGrid w:val="0"/>
      <w:kern w:val="28"/>
      <w:szCs w:val="20"/>
    </w:rPr>
  </w:style>
  <w:style w:type="paragraph" w:styleId="TOCHeading">
    <w:name w:val="TOC Heading"/>
    <w:basedOn w:val="Heading1"/>
    <w:next w:val="Normal"/>
    <w:uiPriority w:val="39"/>
    <w:unhideWhenUsed/>
    <w:qFormat/>
    <w:rsid w:val="008D4AA5"/>
    <w:pPr>
      <w:keepLines/>
      <w:widowControl/>
      <w:numPr>
        <w:numId w:val="0"/>
      </w:numPr>
      <w:tabs>
        <w:tab w:val="left" w:pos="720"/>
      </w:tabs>
      <w:suppressAutoHyphens w:val="0"/>
      <w:spacing w:before="240" w:after="0" w:line="259" w:lineRule="auto"/>
      <w:outlineLvl w:val="9"/>
    </w:pPr>
    <w:rPr>
      <w:rFonts w:asciiTheme="majorHAnsi" w:eastAsiaTheme="majorEastAsia" w:hAnsiTheme="majorHAnsi" w:cstheme="majorBidi"/>
      <w:b w:val="0"/>
      <w:caps w:val="0"/>
      <w:snapToGrid/>
      <w:color w:val="2E74B5" w:themeColor="accent1" w:themeShade="BF"/>
      <w:kern w:val="0"/>
      <w:sz w:val="32"/>
      <w:szCs w:val="32"/>
    </w:rPr>
  </w:style>
  <w:style w:type="paragraph" w:styleId="TOC2">
    <w:name w:val="toc 2"/>
    <w:basedOn w:val="Normal"/>
    <w:next w:val="Normal"/>
    <w:rsid w:val="00A86909"/>
    <w:pPr>
      <w:tabs>
        <w:tab w:val="left" w:pos="720"/>
        <w:tab w:val="right" w:leader="dot" w:pos="9360"/>
      </w:tabs>
      <w:suppressAutoHyphens/>
      <w:ind w:left="720" w:right="720" w:hanging="360"/>
    </w:pPr>
    <w:rPr>
      <w:noProof/>
    </w:rPr>
  </w:style>
  <w:style w:type="paragraph" w:styleId="TOC1">
    <w:name w:val="toc 1"/>
    <w:basedOn w:val="Normal"/>
    <w:next w:val="Normal"/>
    <w:rsid w:val="00A86909"/>
    <w:pPr>
      <w:tabs>
        <w:tab w:val="left" w:pos="360"/>
        <w:tab w:val="right" w:leader="dot" w:pos="9360"/>
      </w:tabs>
      <w:suppressAutoHyphens/>
      <w:ind w:left="360" w:right="720" w:hanging="360"/>
    </w:pPr>
    <w:rPr>
      <w:caps/>
      <w:noProof/>
    </w:rPr>
  </w:style>
  <w:style w:type="paragraph" w:styleId="TOC3">
    <w:name w:val="toc 3"/>
    <w:basedOn w:val="Normal"/>
    <w:next w:val="Normal"/>
    <w:rsid w:val="00A86909"/>
    <w:pPr>
      <w:tabs>
        <w:tab w:val="left" w:pos="1080"/>
        <w:tab w:val="right" w:leader="dot" w:pos="9360"/>
      </w:tabs>
      <w:suppressAutoHyphens/>
      <w:ind w:left="1080" w:right="720" w:hanging="360"/>
    </w:pPr>
    <w:rPr>
      <w:noProof/>
    </w:rPr>
  </w:style>
  <w:style w:type="paragraph" w:styleId="Revision">
    <w:name w:val="Revision"/>
    <w:hidden/>
    <w:uiPriority w:val="99"/>
    <w:semiHidden/>
    <w:rsid w:val="00FD6C5B"/>
    <w:pPr>
      <w:spacing w:after="0" w:line="240" w:lineRule="auto"/>
    </w:pPr>
  </w:style>
  <w:style w:type="character" w:styleId="Mention">
    <w:name w:val="Mention"/>
    <w:basedOn w:val="DefaultParagraphFont"/>
    <w:uiPriority w:val="99"/>
    <w:unhideWhenUsed/>
    <w:rsid w:val="00EA50C9"/>
    <w:rPr>
      <w:color w:val="2B579A"/>
      <w:shd w:val="clear" w:color="auto" w:fill="E1DFDD"/>
    </w:rPr>
  </w:style>
  <w:style w:type="character" w:styleId="UnresolvedMention">
    <w:name w:val="Unresolved Mention"/>
    <w:basedOn w:val="DefaultParagraphFont"/>
    <w:uiPriority w:val="99"/>
    <w:semiHidden/>
    <w:unhideWhenUsed/>
    <w:rsid w:val="00FE10EF"/>
    <w:rPr>
      <w:color w:val="605E5C"/>
      <w:shd w:val="clear" w:color="auto" w:fill="E1DFDD"/>
    </w:rPr>
  </w:style>
  <w:style w:type="character" w:customStyle="1" w:styleId="ParaNumChar2">
    <w:name w:val="ParaNum Char2"/>
    <w:rsid w:val="00264EFC"/>
    <w:rPr>
      <w:snapToGrid w:val="0"/>
      <w:kern w:val="28"/>
      <w:sz w:val="22"/>
    </w:rPr>
  </w:style>
  <w:style w:type="character" w:customStyle="1" w:styleId="normaltextrun">
    <w:name w:val="normaltextrun"/>
    <w:basedOn w:val="DefaultParagraphFont"/>
    <w:rsid w:val="00264EFC"/>
  </w:style>
  <w:style w:type="character" w:customStyle="1" w:styleId="ListParagraphChar">
    <w:name w:val="List Paragraph Char"/>
    <w:link w:val="ListParagraph"/>
    <w:uiPriority w:val="34"/>
    <w:rsid w:val="00264EFC"/>
  </w:style>
  <w:style w:type="character" w:styleId="FollowedHyperlink">
    <w:name w:val="FollowedHyperlink"/>
    <w:basedOn w:val="DefaultParagraphFont"/>
    <w:uiPriority w:val="99"/>
    <w:semiHidden/>
    <w:unhideWhenUsed/>
    <w:rsid w:val="00595C1B"/>
    <w:rPr>
      <w:color w:val="954F72" w:themeColor="followedHyperlink"/>
      <w:u w:val="single"/>
    </w:rPr>
  </w:style>
  <w:style w:type="paragraph" w:styleId="EndnoteText">
    <w:name w:val="endnote text"/>
    <w:basedOn w:val="Normal"/>
    <w:link w:val="EndnoteTextChar"/>
    <w:semiHidden/>
    <w:rsid w:val="00A86909"/>
    <w:rPr>
      <w:sz w:val="20"/>
    </w:rPr>
  </w:style>
  <w:style w:type="character" w:customStyle="1" w:styleId="EndnoteTextChar">
    <w:name w:val="Endnote Text Char"/>
    <w:basedOn w:val="DefaultParagraphFont"/>
    <w:link w:val="EndnoteText"/>
    <w:semiHidden/>
    <w:rsid w:val="0025168B"/>
    <w:rPr>
      <w:rFonts w:ascii="Times New Roman" w:eastAsia="Times New Roman" w:hAnsi="Times New Roman" w:cs="Times New Roman"/>
      <w:snapToGrid w:val="0"/>
      <w:kern w:val="28"/>
      <w:sz w:val="20"/>
      <w:szCs w:val="20"/>
    </w:rPr>
  </w:style>
  <w:style w:type="character" w:styleId="EndnoteReference">
    <w:name w:val="endnote reference"/>
    <w:semiHidden/>
    <w:rsid w:val="00A86909"/>
    <w:rPr>
      <w:vertAlign w:val="superscript"/>
    </w:rPr>
  </w:style>
  <w:style w:type="paragraph" w:styleId="TOC4">
    <w:name w:val="toc 4"/>
    <w:basedOn w:val="Normal"/>
    <w:next w:val="Normal"/>
    <w:autoRedefine/>
    <w:semiHidden/>
    <w:rsid w:val="00A86909"/>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rsid w:val="00A86909"/>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rsid w:val="00A86909"/>
    <w:pPr>
      <w:tabs>
        <w:tab w:val="left" w:pos="2160"/>
        <w:tab w:val="right" w:leader="dot" w:pos="9360"/>
      </w:tabs>
      <w:suppressAutoHyphens/>
      <w:ind w:left="2160" w:hanging="360"/>
    </w:pPr>
    <w:rPr>
      <w:noProof/>
    </w:rPr>
  </w:style>
  <w:style w:type="paragraph" w:styleId="TOC7">
    <w:name w:val="toc 7"/>
    <w:basedOn w:val="Normal"/>
    <w:next w:val="Normal"/>
    <w:autoRedefine/>
    <w:semiHidden/>
    <w:rsid w:val="00A86909"/>
    <w:pPr>
      <w:tabs>
        <w:tab w:val="left" w:pos="2520"/>
        <w:tab w:val="right" w:leader="dot" w:pos="9360"/>
      </w:tabs>
      <w:suppressAutoHyphens/>
      <w:ind w:left="2520" w:hanging="360"/>
    </w:pPr>
    <w:rPr>
      <w:noProof/>
    </w:rPr>
  </w:style>
  <w:style w:type="paragraph" w:styleId="TOC8">
    <w:name w:val="toc 8"/>
    <w:basedOn w:val="Normal"/>
    <w:next w:val="Normal"/>
    <w:autoRedefine/>
    <w:semiHidden/>
    <w:rsid w:val="00A86909"/>
    <w:pPr>
      <w:tabs>
        <w:tab w:val="left" w:pos="2880"/>
        <w:tab w:val="right" w:leader="dot" w:pos="9360"/>
      </w:tabs>
      <w:suppressAutoHyphens/>
      <w:ind w:left="2880" w:hanging="360"/>
    </w:pPr>
    <w:rPr>
      <w:noProof/>
    </w:rPr>
  </w:style>
  <w:style w:type="paragraph" w:styleId="TOC9">
    <w:name w:val="toc 9"/>
    <w:basedOn w:val="Normal"/>
    <w:next w:val="Normal"/>
    <w:autoRedefine/>
    <w:semiHidden/>
    <w:rsid w:val="00A86909"/>
    <w:pPr>
      <w:tabs>
        <w:tab w:val="left" w:pos="3240"/>
        <w:tab w:val="right" w:leader="dot" w:pos="9360"/>
      </w:tabs>
      <w:suppressAutoHyphens/>
      <w:ind w:left="3240" w:hanging="360"/>
    </w:pPr>
    <w:rPr>
      <w:noProof/>
    </w:rPr>
  </w:style>
  <w:style w:type="paragraph" w:styleId="TOAHeading">
    <w:name w:val="toa heading"/>
    <w:basedOn w:val="Normal"/>
    <w:next w:val="Normal"/>
    <w:semiHidden/>
    <w:rsid w:val="00A86909"/>
    <w:pPr>
      <w:tabs>
        <w:tab w:val="right" w:pos="9360"/>
      </w:tabs>
      <w:suppressAutoHyphens/>
    </w:pPr>
  </w:style>
  <w:style w:type="character" w:customStyle="1" w:styleId="EquationCaption">
    <w:name w:val="_Equation Caption"/>
    <w:rsid w:val="00A86909"/>
  </w:style>
  <w:style w:type="character" w:styleId="PageNumber">
    <w:name w:val="page number"/>
    <w:basedOn w:val="DefaultParagraphFont"/>
    <w:rsid w:val="00A86909"/>
  </w:style>
  <w:style w:type="paragraph" w:styleId="BlockText">
    <w:name w:val="Block Text"/>
    <w:basedOn w:val="Normal"/>
    <w:rsid w:val="00A86909"/>
    <w:pPr>
      <w:spacing w:after="240"/>
      <w:ind w:left="1440" w:right="1440"/>
    </w:pPr>
  </w:style>
  <w:style w:type="paragraph" w:customStyle="1" w:styleId="Paratitle">
    <w:name w:val="Para title"/>
    <w:basedOn w:val="Normal"/>
    <w:rsid w:val="00A86909"/>
    <w:pPr>
      <w:tabs>
        <w:tab w:val="center" w:pos="9270"/>
      </w:tabs>
      <w:spacing w:after="240"/>
    </w:pPr>
    <w:rPr>
      <w:spacing w:val="-2"/>
    </w:rPr>
  </w:style>
  <w:style w:type="paragraph" w:customStyle="1" w:styleId="Bullet">
    <w:name w:val="Bullet"/>
    <w:basedOn w:val="Normal"/>
    <w:rsid w:val="00A86909"/>
    <w:pPr>
      <w:tabs>
        <w:tab w:val="left" w:pos="2160"/>
      </w:tabs>
      <w:spacing w:after="220"/>
      <w:ind w:left="2160" w:hanging="720"/>
    </w:pPr>
  </w:style>
  <w:style w:type="paragraph" w:customStyle="1" w:styleId="TableFormat">
    <w:name w:val="TableFormat"/>
    <w:basedOn w:val="Bullet"/>
    <w:rsid w:val="00A86909"/>
    <w:pPr>
      <w:tabs>
        <w:tab w:val="clear" w:pos="2160"/>
        <w:tab w:val="left" w:pos="5040"/>
      </w:tabs>
      <w:ind w:left="5040" w:hanging="3600"/>
    </w:pPr>
  </w:style>
  <w:style w:type="paragraph" w:customStyle="1" w:styleId="TOCTitle">
    <w:name w:val="TOC Title"/>
    <w:basedOn w:val="Normal"/>
    <w:rsid w:val="00A86909"/>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A86909"/>
    <w:pPr>
      <w:jc w:val="center"/>
    </w:pPr>
    <w:rPr>
      <w:rFonts w:ascii="Times New Roman Bold" w:hAnsi="Times New Roman Bold"/>
      <w:b/>
      <w:bCs/>
      <w:caps/>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https://www.federalregister.gov/documents/2026/04/10/2026-06992/protecting-our-communications-networks-by-promoting-transparency-regarding-foreign-adversary-control" TargetMode="External" /><Relationship Id="rId11" Type="http://schemas.openxmlformats.org/officeDocument/2006/relationships/hyperlink" Target="https://www.ecfr.gov/current/title-47/chapter-I/subchapter-A/part-1" TargetMode="Externa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theme" Target="theme/theme1.xml" /><Relationship Id="rId15" Type="http://schemas.openxmlformats.org/officeDocument/2006/relationships/numbering" Target="numbering.xml" /><Relationship Id="rId16"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eader" Target="header1.xml" /><Relationship Id="rId6" Type="http://schemas.openxmlformats.org/officeDocument/2006/relationships/footer" Target="footer1.xml" /><Relationship Id="rId7" Type="http://schemas.openxmlformats.org/officeDocument/2006/relationships/header" Target="header2.xml" /><Relationship Id="rId8" Type="http://schemas.openxmlformats.org/officeDocument/2006/relationships/footer" Target="footer2.xml" /><Relationship Id="rId9" Type="http://schemas.openxmlformats.org/officeDocument/2006/relationships/hyperlink" Target="https://docs.fcc.gov/public/attachments/FCC-26-2A1.pdf" TargetMode="External" /></Relationships>
</file>

<file path=word/_rels/header1.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Orders TOC by Paragraph.dot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