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7594D0E4" w14:textId="56938677">
      <w:pPr>
        <w:jc w:val="right"/>
        <w:rPr>
          <w:sz w:val="24"/>
        </w:rPr>
      </w:pPr>
    </w:p>
    <w:p w:rsidR="00BA3BA8" w14:paraId="5AA0D796" w14:textId="24C540F0">
      <w:pPr>
        <w:jc w:val="right"/>
        <w:rPr>
          <w:b/>
          <w:sz w:val="24"/>
        </w:rPr>
      </w:pPr>
      <w:r>
        <w:rPr>
          <w:b/>
          <w:sz w:val="24"/>
        </w:rPr>
        <w:t xml:space="preserve">DA </w:t>
      </w:r>
      <w:r w:rsidRPr="00A71916" w:rsidR="00A71916">
        <w:rPr>
          <w:b/>
          <w:sz w:val="24"/>
        </w:rPr>
        <w:t>26-567</w:t>
      </w:r>
    </w:p>
    <w:p w:rsidR="00BA3BA8" w14:paraId="677B7B8B" w14:textId="5D91A113">
      <w:pPr>
        <w:spacing w:before="60"/>
        <w:jc w:val="right"/>
        <w:rPr>
          <w:b/>
          <w:sz w:val="24"/>
        </w:rPr>
      </w:pPr>
      <w:r>
        <w:rPr>
          <w:b/>
          <w:sz w:val="24"/>
        </w:rPr>
        <w:t xml:space="preserve">Released:  </w:t>
      </w:r>
      <w:r w:rsidR="00A71916">
        <w:rPr>
          <w:b/>
          <w:sz w:val="24"/>
        </w:rPr>
        <w:t>June 8, 2026</w:t>
      </w:r>
    </w:p>
    <w:p w:rsidR="00BA3BA8" w14:paraId="073F6C79" w14:textId="77777777">
      <w:pPr>
        <w:jc w:val="right"/>
        <w:rPr>
          <w:sz w:val="24"/>
        </w:rPr>
      </w:pPr>
    </w:p>
    <w:p w:rsidR="00BD3152" w14:paraId="696E7526" w14:textId="77777777">
      <w:pPr>
        <w:spacing w:after="240"/>
        <w:jc w:val="center"/>
        <w:rPr>
          <w:rFonts w:ascii="Times New Roman Bold" w:hAnsi="Times New Roman Bold"/>
          <w:b/>
          <w:caps/>
          <w:szCs w:val="22"/>
        </w:rPr>
      </w:pPr>
    </w:p>
    <w:p w:rsidR="00BA3BA8" w:rsidRPr="0093386D" w14:paraId="273123CB" w14:textId="599CA4E3">
      <w:pPr>
        <w:spacing w:after="240"/>
        <w:jc w:val="center"/>
        <w:rPr>
          <w:rFonts w:ascii="Times New Roman Bold" w:hAnsi="Times New Roman Bold"/>
          <w:b/>
          <w:caps/>
          <w:szCs w:val="22"/>
        </w:rPr>
      </w:pPr>
      <w:r w:rsidRPr="0093386D">
        <w:rPr>
          <w:rFonts w:ascii="Times New Roman Bold" w:hAnsi="Times New Roman Bold"/>
          <w:b/>
          <w:caps/>
          <w:szCs w:val="22"/>
        </w:rPr>
        <w:t xml:space="preserve">Wireline competition bureau and </w:t>
      </w:r>
      <w:r w:rsidR="004B54A2">
        <w:rPr>
          <w:rFonts w:ascii="Times New Roman Bold" w:hAnsi="Times New Roman Bold"/>
          <w:b/>
          <w:caps/>
          <w:szCs w:val="22"/>
        </w:rPr>
        <w:t>OFFICE</w:t>
      </w:r>
      <w:r w:rsidRPr="0093386D" w:rsidR="004B54A2">
        <w:rPr>
          <w:rFonts w:ascii="Times New Roman Bold" w:hAnsi="Times New Roman Bold"/>
          <w:b/>
          <w:caps/>
          <w:szCs w:val="22"/>
        </w:rPr>
        <w:t xml:space="preserve"> </w:t>
      </w:r>
      <w:r w:rsidRPr="0093386D">
        <w:rPr>
          <w:rFonts w:ascii="Times New Roman Bold" w:hAnsi="Times New Roman Bold"/>
          <w:b/>
          <w:caps/>
          <w:szCs w:val="22"/>
        </w:rPr>
        <w:t>of economics and analytics seek comment on proposed 2026 mandat</w:t>
      </w:r>
      <w:r w:rsidRPr="0093386D" w:rsidR="00CF1566">
        <w:rPr>
          <w:rFonts w:ascii="Times New Roman Bold" w:hAnsi="Times New Roman Bold"/>
          <w:b/>
          <w:caps/>
          <w:szCs w:val="22"/>
        </w:rPr>
        <w:t>o</w:t>
      </w:r>
      <w:r w:rsidRPr="0093386D">
        <w:rPr>
          <w:rFonts w:ascii="Times New Roman Bold" w:hAnsi="Times New Roman Bold"/>
          <w:b/>
          <w:caps/>
          <w:szCs w:val="22"/>
        </w:rPr>
        <w:t>ry data collection for incarcerated people</w:t>
      </w:r>
      <w:r w:rsidRPr="0093386D">
        <w:rPr>
          <w:rFonts w:ascii="Times New Roman Bold" w:hAnsi="Times New Roman Bold" w:hint="eastAsia"/>
          <w:b/>
          <w:caps/>
          <w:szCs w:val="22"/>
        </w:rPr>
        <w:t>’</w:t>
      </w:r>
      <w:r w:rsidRPr="0093386D">
        <w:rPr>
          <w:rFonts w:ascii="Times New Roman Bold" w:hAnsi="Times New Roman Bold"/>
          <w:b/>
          <w:caps/>
          <w:szCs w:val="22"/>
        </w:rPr>
        <w:t>s communications services</w:t>
      </w:r>
    </w:p>
    <w:p w:rsidR="00BA3BA8" w:rsidRPr="0093386D" w14:paraId="0B6E873E" w14:textId="66A205C6">
      <w:pPr>
        <w:jc w:val="center"/>
        <w:rPr>
          <w:b/>
          <w:szCs w:val="22"/>
        </w:rPr>
      </w:pPr>
      <w:r w:rsidRPr="0093386D">
        <w:rPr>
          <w:b/>
          <w:szCs w:val="22"/>
        </w:rPr>
        <w:t>WC Docket Nos. 23-62 and 12-375</w:t>
      </w:r>
    </w:p>
    <w:p w:rsidR="00BA3BA8" w14:paraId="00E6A4D9" w14:textId="77777777">
      <w:bookmarkStart w:id="0" w:name="TOChere"/>
    </w:p>
    <w:bookmarkEnd w:id="0"/>
    <w:p w:rsidR="004E687B" w:rsidRPr="00B510FC" w:rsidP="004E687B" w14:paraId="543B5F61" w14:textId="2390D42C">
      <w:pPr>
        <w:rPr>
          <w:b/>
          <w:szCs w:val="22"/>
        </w:rPr>
      </w:pPr>
      <w:r w:rsidRPr="00631AC0">
        <w:rPr>
          <w:b/>
          <w:bCs/>
          <w:szCs w:val="22"/>
        </w:rPr>
        <w:t xml:space="preserve">Comment Date: </w:t>
      </w:r>
      <w:r w:rsidRPr="001A2270">
        <w:rPr>
          <w:b/>
          <w:szCs w:val="22"/>
        </w:rPr>
        <w:t>30</w:t>
      </w:r>
      <w:r w:rsidRPr="00B510FC">
        <w:rPr>
          <w:b/>
          <w:szCs w:val="22"/>
        </w:rPr>
        <w:t xml:space="preserve"> days after date of publication in the Federal Register</w:t>
      </w:r>
    </w:p>
    <w:p w:rsidR="004E687B" w:rsidP="004E687B" w14:paraId="04C6DFDD" w14:textId="77777777">
      <w:pPr>
        <w:spacing w:after="240"/>
        <w:rPr>
          <w:b/>
          <w:bCs/>
          <w:szCs w:val="22"/>
        </w:rPr>
      </w:pPr>
      <w:r w:rsidRPr="00B510FC">
        <w:rPr>
          <w:b/>
          <w:szCs w:val="22"/>
        </w:rPr>
        <w:t xml:space="preserve">Reply Comment Date: </w:t>
      </w:r>
      <w:r w:rsidRPr="001A2270">
        <w:rPr>
          <w:b/>
          <w:szCs w:val="22"/>
        </w:rPr>
        <w:t>45</w:t>
      </w:r>
      <w:r w:rsidRPr="00B510FC">
        <w:rPr>
          <w:b/>
          <w:szCs w:val="22"/>
        </w:rPr>
        <w:t xml:space="preserve"> days</w:t>
      </w:r>
      <w:r w:rsidRPr="00631AC0">
        <w:rPr>
          <w:b/>
          <w:bCs/>
          <w:szCs w:val="22"/>
        </w:rPr>
        <w:t xml:space="preserve"> after date of publication in the Federal Register</w:t>
      </w:r>
    </w:p>
    <w:p w:rsidR="00702C56" w:rsidRPr="00631AC0" w:rsidP="00702C56" w14:paraId="5C86C9AC" w14:textId="431225FF">
      <w:pPr>
        <w:pStyle w:val="Heading1"/>
      </w:pPr>
      <w:r w:rsidRPr="00631AC0">
        <w:t xml:space="preserve">Introduction </w:t>
      </w:r>
    </w:p>
    <w:p w:rsidR="0082032A" w:rsidP="00E92CBD" w14:paraId="45762CCE" w14:textId="416A4D75">
      <w:pPr>
        <w:pStyle w:val="ParaNum"/>
        <w:widowControl/>
        <w:numPr>
          <w:ilvl w:val="0"/>
          <w:numId w:val="0"/>
        </w:numPr>
        <w:ind w:firstLine="720"/>
      </w:pPr>
      <w:r w:rsidRPr="059989F8">
        <w:t xml:space="preserve">By this Public Notice, the Wireline Competition Bureau (WCB) and the Office of Economics and Analytics (OEA) (collectively, WCB/OEA) seek comment on the contours and specific requirements of the </w:t>
      </w:r>
      <w:r>
        <w:t>proposed 2026</w:t>
      </w:r>
      <w:r w:rsidRPr="059989F8">
        <w:t xml:space="preserve"> Mandatory Data Collection for incarcerated</w:t>
      </w:r>
      <w:r>
        <w:rPr>
          <w:szCs w:val="22"/>
        </w:rPr>
        <w:t xml:space="preserve"> </w:t>
      </w:r>
      <w:r w:rsidRPr="059989F8">
        <w:t xml:space="preserve">people’s communications services (IPCS).  In </w:t>
      </w:r>
      <w:r>
        <w:t xml:space="preserve">the </w:t>
      </w:r>
      <w:r w:rsidRPr="002316F4">
        <w:rPr>
          <w:i/>
          <w:iCs/>
        </w:rPr>
        <w:t>2025 IPCS Order</w:t>
      </w:r>
      <w:r w:rsidR="00136941">
        <w:t xml:space="preserve">, the Commission </w:t>
      </w:r>
      <w:r w:rsidR="0001274C">
        <w:t>reaffirmed the prior delegation of authority</w:t>
      </w:r>
      <w:r w:rsidR="0098176C">
        <w:t xml:space="preserve"> in the </w:t>
      </w:r>
      <w:r w:rsidR="0098176C">
        <w:rPr>
          <w:i/>
          <w:iCs/>
        </w:rPr>
        <w:t>2024 IPCS Order</w:t>
      </w:r>
      <w:r w:rsidR="0001274C">
        <w:t xml:space="preserve"> to WCB</w:t>
      </w:r>
      <w:r w:rsidR="00956D3A">
        <w:t>/</w:t>
      </w:r>
      <w:r w:rsidR="0001274C">
        <w:t xml:space="preserve">OEA to </w:t>
      </w:r>
      <w:r w:rsidR="009669E7">
        <w:t xml:space="preserve">conduct an additional </w:t>
      </w:r>
      <w:r w:rsidR="00017018">
        <w:t xml:space="preserve">IPCS </w:t>
      </w:r>
      <w:r w:rsidR="009669E7">
        <w:t>data collection</w:t>
      </w:r>
      <w:r w:rsidR="00A20DE6">
        <w:t>.</w:t>
      </w:r>
      <w:r>
        <w:rPr>
          <w:rStyle w:val="FootnoteReference"/>
        </w:rPr>
        <w:footnoteReference w:id="3"/>
      </w:r>
      <w:r w:rsidR="00017018">
        <w:t xml:space="preserve">  </w:t>
      </w:r>
      <w:r w:rsidR="00B2705A">
        <w:t xml:space="preserve">In the </w:t>
      </w:r>
      <w:r w:rsidR="00B2705A">
        <w:rPr>
          <w:i/>
          <w:iCs/>
        </w:rPr>
        <w:t xml:space="preserve">2025 IPCS </w:t>
      </w:r>
      <w:r w:rsidRPr="00B2705A" w:rsidR="00B2705A">
        <w:rPr>
          <w:i/>
          <w:iCs/>
        </w:rPr>
        <w:t>Order</w:t>
      </w:r>
      <w:r w:rsidR="00B2705A">
        <w:t>, t</w:t>
      </w:r>
      <w:r w:rsidRPr="00B2705A" w:rsidR="00017018">
        <w:t>he</w:t>
      </w:r>
      <w:r w:rsidR="00017018">
        <w:t xml:space="preserve"> Commission</w:t>
      </w:r>
      <w:r w:rsidR="00674B22">
        <w:t xml:space="preserve"> directed WCB</w:t>
      </w:r>
      <w:r w:rsidR="00956D3A">
        <w:t>/</w:t>
      </w:r>
      <w:r w:rsidR="00674B22">
        <w:t xml:space="preserve">OEA </w:t>
      </w:r>
      <w:r w:rsidR="00682E9E">
        <w:t xml:space="preserve">to “make any appropriate modifications to the structure of the collection and the </w:t>
      </w:r>
      <w:r w:rsidR="00C21535">
        <w:t>template</w:t>
      </w:r>
      <w:r w:rsidR="00682E9E">
        <w:t xml:space="preserve"> and instructions for the collection necessary to provide the Commission an objective basis to establish permanent IPCS rate caps”</w:t>
      </w:r>
      <w:r>
        <w:t xml:space="preserve"> consistent with section 276 of the</w:t>
      </w:r>
      <w:r w:rsidR="002316F4">
        <w:t xml:space="preserve"> </w:t>
      </w:r>
      <w:r w:rsidR="002C18E6">
        <w:t xml:space="preserve">Communications </w:t>
      </w:r>
      <w:r>
        <w:t>Act</w:t>
      </w:r>
      <w:r w:rsidR="002C18E6">
        <w:t xml:space="preserve"> of 1934</w:t>
      </w:r>
      <w:r w:rsidR="00FF4442">
        <w:t>, as amended (the Communications Act)</w:t>
      </w:r>
      <w:r>
        <w:t xml:space="preserve"> and the Martha Wright-Reed Act.</w:t>
      </w:r>
      <w:r>
        <w:rPr>
          <w:rStyle w:val="FootnoteReference"/>
          <w:sz w:val="20"/>
        </w:rPr>
        <w:footnoteReference w:id="4"/>
      </w:r>
      <w:r>
        <w:t xml:space="preserve"> </w:t>
      </w:r>
    </w:p>
    <w:p w:rsidR="00702C56" w:rsidP="00E92CBD" w14:paraId="5C49C82B" w14:textId="050E2E4C">
      <w:pPr>
        <w:pStyle w:val="ParaNum"/>
        <w:widowControl/>
        <w:numPr>
          <w:ilvl w:val="0"/>
          <w:numId w:val="0"/>
        </w:numPr>
        <w:ind w:firstLine="720"/>
      </w:pPr>
      <w:r>
        <w:t xml:space="preserve">Consistent with the Commission’s direction, </w:t>
      </w:r>
      <w:r w:rsidR="00E47A7D">
        <w:t xml:space="preserve">in </w:t>
      </w:r>
      <w:r>
        <w:t>this Public Notice</w:t>
      </w:r>
      <w:r w:rsidR="00E47A7D">
        <w:t xml:space="preserve"> we</w:t>
      </w:r>
      <w:r>
        <w:t xml:space="preserve"> seek</w:t>
      </w:r>
      <w:r w:rsidR="00176249">
        <w:t xml:space="preserve"> comment on proposals</w:t>
      </w:r>
      <w:r>
        <w:t xml:space="preserve"> to </w:t>
      </w:r>
      <w:r w:rsidR="00401E6E">
        <w:t xml:space="preserve">modify the Commission’s previous </w:t>
      </w:r>
      <w:r>
        <w:t xml:space="preserve">data collection </w:t>
      </w:r>
      <w:r w:rsidR="00E31B8D">
        <w:t xml:space="preserve">to obtain </w:t>
      </w:r>
      <w:r w:rsidR="002F2463">
        <w:t xml:space="preserve">data </w:t>
      </w:r>
      <w:r w:rsidR="00902AED">
        <w:t xml:space="preserve">and information </w:t>
      </w:r>
      <w:r>
        <w:t>necessary for the Commission to set permanent</w:t>
      </w:r>
      <w:r w:rsidR="00D30369">
        <w:t xml:space="preserve"> audio and video IPCS</w:t>
      </w:r>
      <w:r>
        <w:t xml:space="preserve"> rate caps and, to the extent practicable, lessen the reporting burdens on </w:t>
      </w:r>
      <w:r w:rsidR="00166863">
        <w:t xml:space="preserve">IPCS </w:t>
      </w:r>
      <w:r>
        <w:t xml:space="preserve">providers. </w:t>
      </w:r>
      <w:r w:rsidR="00166863">
        <w:t xml:space="preserve"> </w:t>
      </w:r>
      <w:r>
        <w:t xml:space="preserve">In particular, we seek comment on ways to streamline reporting requirements, refine data categories, and eliminate unnecessary or duplicative data fields, while preserving the Commission’s ability to obtain sufficiently detailed and reliable information for ratemaking. </w:t>
      </w:r>
    </w:p>
    <w:p w:rsidR="00702C56" w:rsidP="00E92CBD" w14:paraId="1590F03E" w14:textId="29A9A257">
      <w:pPr>
        <w:pStyle w:val="ParaNum"/>
        <w:widowControl/>
        <w:numPr>
          <w:ilvl w:val="0"/>
          <w:numId w:val="0"/>
        </w:numPr>
        <w:ind w:firstLine="720"/>
      </w:pPr>
      <w:r w:rsidRPr="00F108B3">
        <w:t>In</w:t>
      </w:r>
      <w:r>
        <w:t xml:space="preserve"> seeking comment on our proposals for the 2026 Mandatory Data Collection, we do not seek additional comment on the questions and other issues previously raised in the </w:t>
      </w:r>
      <w:r>
        <w:rPr>
          <w:i/>
          <w:iCs/>
        </w:rPr>
        <w:t>2025 IPCS</w:t>
      </w:r>
      <w:r w:rsidR="004900D9">
        <w:rPr>
          <w:i/>
          <w:iCs/>
        </w:rPr>
        <w:t xml:space="preserve"> Notice</w:t>
      </w:r>
      <w:r>
        <w:t>.</w:t>
      </w:r>
      <w:r>
        <w:rPr>
          <w:rStyle w:val="FootnoteReference"/>
          <w:sz w:val="20"/>
        </w:rPr>
        <w:footnoteReference w:id="5"/>
      </w:r>
      <w:r>
        <w:t xml:space="preserve">  Thus, comments in response to this Public Notice need not include advocacy regarding issues raised in th</w:t>
      </w:r>
      <w:r w:rsidR="00247F59">
        <w:t>e</w:t>
      </w:r>
      <w:r>
        <w:t xml:space="preserve"> </w:t>
      </w:r>
      <w:r w:rsidRPr="002316F4">
        <w:rPr>
          <w:i/>
          <w:iCs/>
        </w:rPr>
        <w:t>2025 IPCS Notice</w:t>
      </w:r>
      <w:r w:rsidR="00FE394E">
        <w:rPr>
          <w:i/>
          <w:iCs/>
        </w:rPr>
        <w:t>.</w:t>
      </w:r>
      <w:r>
        <w:t xml:space="preserve"> </w:t>
      </w:r>
    </w:p>
    <w:p w:rsidR="004E687B" w:rsidRPr="00631AC0" w:rsidP="00E92CBD" w14:paraId="617140FB" w14:textId="687ECDE2">
      <w:pPr>
        <w:pStyle w:val="Heading1"/>
        <w:widowControl/>
      </w:pPr>
      <w:r>
        <w:t xml:space="preserve">proposed </w:t>
      </w:r>
      <w:r w:rsidRPr="00631AC0">
        <w:t>Data Collection</w:t>
      </w:r>
      <w:bookmarkStart w:id="1" w:name="_Hlk536799840"/>
    </w:p>
    <w:p w:rsidR="004E687B" w:rsidP="00E92CBD" w14:paraId="50D6C987" w14:textId="0A3AB130">
      <w:pPr>
        <w:pStyle w:val="Heading2"/>
        <w:widowControl/>
      </w:pPr>
      <w:r>
        <w:t xml:space="preserve">Streamlining the </w:t>
      </w:r>
      <w:r w:rsidR="004814D3">
        <w:t xml:space="preserve">Data </w:t>
      </w:r>
      <w:r>
        <w:t>Collection</w:t>
      </w:r>
    </w:p>
    <w:p w:rsidR="00DD0A3D" w:rsidRPr="00E801A8" w:rsidP="00E92CBD" w14:paraId="1C7F0AA5" w14:textId="77A64ACF">
      <w:pPr>
        <w:pStyle w:val="ParaNum"/>
        <w:widowControl/>
        <w:numPr>
          <w:ilvl w:val="0"/>
          <w:numId w:val="0"/>
        </w:numPr>
        <w:ind w:firstLine="720"/>
        <w:rPr>
          <w:iCs/>
          <w:szCs w:val="22"/>
        </w:rPr>
      </w:pPr>
      <w:r w:rsidRPr="00E801A8">
        <w:t>Pursuant to our delegated authority, we propose updated instructions</w:t>
      </w:r>
      <w:r w:rsidRPr="00E801A8">
        <w:rPr>
          <w:szCs w:val="22"/>
        </w:rPr>
        <w:t xml:space="preserve">, </w:t>
      </w:r>
      <w:r w:rsidRPr="00E801A8">
        <w:t>templates, and a certification form for the proposed 202</w:t>
      </w:r>
      <w:r>
        <w:t>6</w:t>
      </w:r>
      <w:r w:rsidRPr="00E801A8">
        <w:t xml:space="preserve"> Mandatory Data Collection</w:t>
      </w:r>
      <w:r w:rsidRPr="00E801A8">
        <w:rPr>
          <w:szCs w:val="22"/>
        </w:rPr>
        <w:t>.</w:t>
      </w:r>
      <w:r>
        <w:rPr>
          <w:rStyle w:val="FootnoteReference"/>
          <w:sz w:val="20"/>
        </w:rPr>
        <w:footnoteReference w:id="6"/>
      </w:r>
      <w:r w:rsidRPr="00E801A8">
        <w:t xml:space="preserve">  We seek comment on all aspects of the proposed </w:t>
      </w:r>
      <w:r w:rsidR="0070334C">
        <w:t>data collection</w:t>
      </w:r>
      <w:r w:rsidRPr="00E801A8">
        <w:rPr>
          <w:szCs w:val="22"/>
        </w:rPr>
        <w:t xml:space="preserve">.  </w:t>
      </w:r>
      <w:r w:rsidRPr="00E801A8">
        <w:t>Do</w:t>
      </w:r>
      <w:r w:rsidR="0070334C">
        <w:t>es</w:t>
      </w:r>
      <w:r w:rsidRPr="00E801A8">
        <w:t xml:space="preserve"> </w:t>
      </w:r>
      <w:r w:rsidR="0070334C">
        <w:t>it</w:t>
      </w:r>
      <w:r w:rsidRPr="00E801A8">
        <w:t xml:space="preserve"> seek all the information the Commission will need to establish a compensation plan ensuring that IPCS rates and charges are just and reasonable and that IPCS providers are fairly compensated</w:t>
      </w:r>
      <w:r w:rsidR="007A06B6">
        <w:t xml:space="preserve"> as required by section 276 of the Communications Act</w:t>
      </w:r>
      <w:r w:rsidR="00213D79">
        <w:t xml:space="preserve"> and the Martha Wright-Reed Act</w:t>
      </w:r>
      <w:r w:rsidR="0057219E">
        <w:t>?</w:t>
      </w:r>
      <w:r>
        <w:rPr>
          <w:rStyle w:val="FootnoteReference"/>
        </w:rPr>
        <w:footnoteReference w:id="7"/>
      </w:r>
      <w:r w:rsidRPr="00E801A8">
        <w:t xml:space="preserve">  If not, what steps should we take to improve the proposed documents</w:t>
      </w:r>
      <w:r w:rsidRPr="00E801A8">
        <w:rPr>
          <w:iCs/>
          <w:szCs w:val="22"/>
        </w:rPr>
        <w:t xml:space="preserve">?  </w:t>
      </w:r>
    </w:p>
    <w:p w:rsidR="001B1CAA" w:rsidP="00E92CBD" w14:paraId="6558645F" w14:textId="2DCDF4CC">
      <w:pPr>
        <w:pStyle w:val="ParaNum"/>
        <w:widowControl/>
        <w:numPr>
          <w:ilvl w:val="0"/>
          <w:numId w:val="0"/>
        </w:numPr>
        <w:ind w:firstLine="720"/>
      </w:pPr>
      <w:r w:rsidRPr="00E801A8">
        <w:t xml:space="preserve">We </w:t>
      </w:r>
      <w:r w:rsidR="002C5E86">
        <w:t>seek comment on</w:t>
      </w:r>
      <w:r w:rsidRPr="00E801A8">
        <w:t xml:space="preserve"> retain</w:t>
      </w:r>
      <w:r w:rsidR="002C5E86">
        <w:t>ing</w:t>
      </w:r>
      <w:r w:rsidRPr="00E801A8">
        <w:t xml:space="preserve"> the overall structure of the </w:t>
      </w:r>
      <w:r w:rsidR="00C150A3">
        <w:t xml:space="preserve">2023 </w:t>
      </w:r>
      <w:r w:rsidRPr="00E801A8">
        <w:t xml:space="preserve">Mandatory Data Collection, </w:t>
      </w:r>
      <w:r>
        <w:t>while streamlining and reducing reporting burdens</w:t>
      </w:r>
      <w:r w:rsidRPr="00E801A8">
        <w:t>.</w:t>
      </w:r>
      <w:r>
        <w:rPr>
          <w:rStyle w:val="FootnoteReference"/>
        </w:rPr>
        <w:footnoteReference w:id="8"/>
      </w:r>
      <w:r w:rsidR="003B65DD">
        <w:t xml:space="preserve">  </w:t>
      </w:r>
      <w:r w:rsidR="00B31FF3">
        <w:t xml:space="preserve">Commenters </w:t>
      </w:r>
      <w:r w:rsidR="003526C4">
        <w:t xml:space="preserve">to the </w:t>
      </w:r>
      <w:r w:rsidR="003526C4">
        <w:rPr>
          <w:i/>
          <w:iCs/>
        </w:rPr>
        <w:t xml:space="preserve">2025 IPCS Notice </w:t>
      </w:r>
      <w:r w:rsidR="00115317">
        <w:t>recommend that the</w:t>
      </w:r>
      <w:r w:rsidR="00312A9B">
        <w:t xml:space="preserve"> Commission </w:t>
      </w:r>
      <w:r w:rsidR="005F19E2">
        <w:t>“simplify cost reporting and reject the view of many advocates that creating ever more disaggregated cost categories will improve data quality</w:t>
      </w:r>
      <w:r w:rsidRPr="007A7CDD" w:rsidR="005F19E2">
        <w:t>.”</w:t>
      </w:r>
      <w:r>
        <w:rPr>
          <w:rStyle w:val="FootnoteReference"/>
        </w:rPr>
        <w:footnoteReference w:id="9"/>
      </w:r>
      <w:r w:rsidRPr="007A7CDD" w:rsidR="00EA21BB">
        <w:t xml:space="preserve">  </w:t>
      </w:r>
      <w:r w:rsidRPr="007A7CDD" w:rsidR="00A61EE3">
        <w:t>Securus</w:t>
      </w:r>
      <w:r w:rsidRPr="007A7CDD" w:rsidR="00EA21BB">
        <w:t xml:space="preserve"> </w:t>
      </w:r>
      <w:r w:rsidRPr="007A7CDD" w:rsidR="00B12A64">
        <w:t>explains</w:t>
      </w:r>
      <w:r w:rsidRPr="007A7CDD" w:rsidR="00EA21BB">
        <w:t xml:space="preserve"> that “[t]he purpose of a mandatory data collection for ratemaking should focus on data that will be used and pertinent to that function, and the Commission should avoid mission creep in the collection to gather extraneous and tangential information.”</w:t>
      </w:r>
      <w:r>
        <w:rPr>
          <w:rStyle w:val="FootnoteReference"/>
        </w:rPr>
        <w:footnoteReference w:id="10"/>
      </w:r>
      <w:r w:rsidRPr="007A7CDD" w:rsidR="00BB4A45">
        <w:t xml:space="preserve">  </w:t>
      </w:r>
      <w:r w:rsidRPr="007A7CDD" w:rsidR="00651B7A">
        <w:t>Securus additionally</w:t>
      </w:r>
      <w:r w:rsidRPr="007A7CDD" w:rsidR="00F92BF6">
        <w:t xml:space="preserve"> </w:t>
      </w:r>
      <w:r w:rsidRPr="007A7CDD" w:rsidR="00BE6CB4">
        <w:t>suggest</w:t>
      </w:r>
      <w:r w:rsidRPr="007A7CDD" w:rsidR="00F92BF6">
        <w:t>s</w:t>
      </w:r>
      <w:r w:rsidRPr="007A7CDD" w:rsidR="00BE6CB4">
        <w:t xml:space="preserve"> that </w:t>
      </w:r>
      <w:r w:rsidRPr="007A7CDD" w:rsidR="00BB4A45">
        <w:t>“the mandatory data collection has been expanded to collect increasingly granular data for the purpose</w:t>
      </w:r>
      <w:r w:rsidR="00BB4A45">
        <w:t xml:space="preserve"> of better ‘understanding’ the IPCS industry, although this information never appears to be used by the Commission.”</w:t>
      </w:r>
      <w:r>
        <w:rPr>
          <w:rStyle w:val="FootnoteReference"/>
        </w:rPr>
        <w:footnoteReference w:id="11"/>
      </w:r>
      <w:r w:rsidR="00BB4A45">
        <w:t xml:space="preserve">  </w:t>
      </w:r>
    </w:p>
    <w:p w:rsidR="00C572DE" w:rsidP="00C70FC0" w14:paraId="756E3C7C" w14:textId="57D1951E">
      <w:pPr>
        <w:pStyle w:val="ParaNum"/>
        <w:widowControl/>
        <w:numPr>
          <w:ilvl w:val="0"/>
          <w:numId w:val="0"/>
        </w:numPr>
        <w:ind w:firstLine="720"/>
      </w:pPr>
      <w:r>
        <w:t>In response to these concerns, we propose to reduce</w:t>
      </w:r>
      <w:r w:rsidR="00884C5B">
        <w:t xml:space="preserve"> </w:t>
      </w:r>
      <w:r w:rsidR="00E27237">
        <w:t>arguably</w:t>
      </w:r>
      <w:r>
        <w:t xml:space="preserve"> unnecessary complexity</w:t>
      </w:r>
      <w:r w:rsidR="004907ED">
        <w:t xml:space="preserve"> in </w:t>
      </w:r>
      <w:r w:rsidR="00880B37">
        <w:t xml:space="preserve">our data collection. </w:t>
      </w:r>
      <w:r w:rsidR="00AF57DD">
        <w:t xml:space="preserve"> </w:t>
      </w:r>
      <w:r w:rsidR="00880B37">
        <w:t>Are there</w:t>
      </w:r>
      <w:r>
        <w:t xml:space="preserve"> </w:t>
      </w:r>
      <w:r w:rsidR="0031447F">
        <w:t xml:space="preserve">aspects of the collection </w:t>
      </w:r>
      <w:r>
        <w:t>that are unlikely to yield meaningful benefits for ratemaking</w:t>
      </w:r>
      <w:r w:rsidR="00880B37">
        <w:t xml:space="preserve">, and should they be eliminated?  </w:t>
      </w:r>
      <w:r w:rsidR="00E33DE1">
        <w:t xml:space="preserve">First, </w:t>
      </w:r>
      <w:r w:rsidR="008D6DBA">
        <w:t xml:space="preserve">given that the Commission no longer allows separate charges for </w:t>
      </w:r>
      <w:r w:rsidR="00552B99">
        <w:t>ancillary services</w:t>
      </w:r>
      <w:r w:rsidR="00E84CE3">
        <w:t>, and has instead included</w:t>
      </w:r>
      <w:r w:rsidR="00A757D9">
        <w:t xml:space="preserve"> </w:t>
      </w:r>
      <w:r w:rsidR="005931E5">
        <w:t>those costs</w:t>
      </w:r>
      <w:r w:rsidR="001C621E">
        <w:t xml:space="preserve"> in </w:t>
      </w:r>
      <w:r w:rsidR="005F53FD">
        <w:t>its rate caps</w:t>
      </w:r>
      <w:r w:rsidR="00B25A46">
        <w:t>,</w:t>
      </w:r>
      <w:r w:rsidR="00503A84">
        <w:t xml:space="preserve"> </w:t>
      </w:r>
      <w:r w:rsidR="001A5AC3">
        <w:t>we propose to</w:t>
      </w:r>
      <w:r w:rsidR="00503A84">
        <w:t xml:space="preserve"> eliminate the separate collection of data on ancillary service costs</w:t>
      </w:r>
      <w:r w:rsidR="00902F4C">
        <w:t>, but to</w:t>
      </w:r>
      <w:r w:rsidR="003D456A">
        <w:t xml:space="preserve"> retain</w:t>
      </w:r>
      <w:r w:rsidR="001C15D0">
        <w:t xml:space="preserve"> and refine</w:t>
      </w:r>
      <w:r w:rsidR="003D456A">
        <w:t xml:space="preserve"> </w:t>
      </w:r>
      <w:r w:rsidR="00A24327">
        <w:t xml:space="preserve">reporting of </w:t>
      </w:r>
      <w:r w:rsidR="00D90705">
        <w:t xml:space="preserve">the costs and demand for </w:t>
      </w:r>
      <w:r w:rsidR="00AE1EF1">
        <w:t xml:space="preserve">IPCS-related </w:t>
      </w:r>
      <w:r w:rsidR="00BB4A12">
        <w:t>payment processing services</w:t>
      </w:r>
      <w:r w:rsidR="00DD66D5">
        <w:t xml:space="preserve"> to enable the Commission to </w:t>
      </w:r>
      <w:r w:rsidR="006C307C">
        <w:t xml:space="preserve">evaluate </w:t>
      </w:r>
      <w:r w:rsidR="006C307C">
        <w:t xml:space="preserve">and address </w:t>
      </w:r>
      <w:r w:rsidR="00C04053">
        <w:t xml:space="preserve">certain </w:t>
      </w:r>
      <w:r w:rsidR="00F26D0E">
        <w:t xml:space="preserve">providers’ </w:t>
      </w:r>
      <w:r w:rsidR="008B6ADA">
        <w:t xml:space="preserve">assertions </w:t>
      </w:r>
      <w:r w:rsidR="003C098C">
        <w:t xml:space="preserve">regarding </w:t>
      </w:r>
      <w:r w:rsidR="008B6ADA">
        <w:t>the appropriate recovery of such costs.</w:t>
      </w:r>
      <w:r>
        <w:rPr>
          <w:rStyle w:val="FootnoteReference"/>
        </w:rPr>
        <w:footnoteReference w:id="12"/>
      </w:r>
      <w:r w:rsidR="008B6ADA">
        <w:t xml:space="preserve">  </w:t>
      </w:r>
      <w:r w:rsidR="00B13B12">
        <w:t xml:space="preserve">We propose to eliminate </w:t>
      </w:r>
      <w:r w:rsidR="00691B42">
        <w:t xml:space="preserve">most site commission </w:t>
      </w:r>
      <w:r w:rsidR="00804E3C">
        <w:t>reporting given the Commission’s prohibition</w:t>
      </w:r>
      <w:r w:rsidR="00DA2C48">
        <w:t xml:space="preserve"> on </w:t>
      </w:r>
      <w:r w:rsidR="00115EF6">
        <w:t>the payment of such commissions</w:t>
      </w:r>
      <w:r w:rsidR="00BE65D8">
        <w:t>.</w:t>
      </w:r>
      <w:r>
        <w:rPr>
          <w:rStyle w:val="FootnoteReference"/>
        </w:rPr>
        <w:footnoteReference w:id="13"/>
      </w:r>
      <w:r w:rsidR="00BE65D8">
        <w:t xml:space="preserve">  </w:t>
      </w:r>
      <w:r w:rsidRPr="00DE614A" w:rsidR="00B3166B">
        <w:t>We</w:t>
      </w:r>
      <w:r w:rsidR="00B3166B">
        <w:t xml:space="preserve"> </w:t>
      </w:r>
      <w:r w:rsidR="005171C5">
        <w:t xml:space="preserve">also </w:t>
      </w:r>
      <w:r w:rsidR="00B3166B">
        <w:t xml:space="preserve">propose to </w:t>
      </w:r>
      <w:r w:rsidR="00E37DAD">
        <w:t xml:space="preserve">simplify </w:t>
      </w:r>
      <w:r w:rsidR="0028237B">
        <w:t xml:space="preserve">the </w:t>
      </w:r>
      <w:r w:rsidR="00E37DAD">
        <w:t>reporting</w:t>
      </w:r>
      <w:r w:rsidR="00E94D65">
        <w:t xml:space="preserve"> </w:t>
      </w:r>
      <w:r w:rsidR="0038349E">
        <w:t>of minutes of use</w:t>
      </w:r>
      <w:r w:rsidR="00397F83">
        <w:t xml:space="preserve"> </w:t>
      </w:r>
      <w:r w:rsidRPr="003E4A93" w:rsidR="003E4A93">
        <w:t xml:space="preserve">and other </w:t>
      </w:r>
      <w:r w:rsidRPr="007A7CDD" w:rsidR="003E4A93">
        <w:t xml:space="preserve">operational data </w:t>
      </w:r>
      <w:r w:rsidRPr="007A7CDD" w:rsidR="00397F83">
        <w:t xml:space="preserve">by eliminating the requirement that </w:t>
      </w:r>
      <w:r w:rsidRPr="007A7CDD" w:rsidR="00957870">
        <w:t>providers</w:t>
      </w:r>
      <w:r w:rsidRPr="007A7CDD" w:rsidR="00397F83">
        <w:t xml:space="preserve"> specify the </w:t>
      </w:r>
      <w:r w:rsidRPr="007A7CDD" w:rsidR="00334263">
        <w:t xml:space="preserve">jurisdictional nature of </w:t>
      </w:r>
      <w:r w:rsidRPr="007A7CDD" w:rsidR="00957870">
        <w:t>the</w:t>
      </w:r>
      <w:r w:rsidRPr="007A7CDD" w:rsidR="006B71C9">
        <w:t>ir</w:t>
      </w:r>
      <w:r w:rsidRPr="007A7CDD" w:rsidR="00957870">
        <w:t xml:space="preserve"> traffic</w:t>
      </w:r>
      <w:r w:rsidRPr="00F14A07" w:rsidR="00F14A07">
        <w:t xml:space="preserve">, and to </w:t>
      </w:r>
      <w:r w:rsidR="00591EA4">
        <w:t>remove</w:t>
      </w:r>
      <w:r w:rsidRPr="00F14A07" w:rsidR="00F14A07">
        <w:t xml:space="preserve"> reporting requirements for </w:t>
      </w:r>
      <w:r w:rsidR="00E50914">
        <w:t xml:space="preserve">non-IPCS </w:t>
      </w:r>
      <w:r w:rsidRPr="00F14A07" w:rsidR="00F14A07">
        <w:t>affiliates</w:t>
      </w:r>
      <w:r w:rsidR="00B20541">
        <w:t xml:space="preserve"> of IPCS providers</w:t>
      </w:r>
      <w:r w:rsidRPr="007A7CDD" w:rsidR="00957870">
        <w:t xml:space="preserve">.  </w:t>
      </w:r>
      <w:r w:rsidRPr="007A7CDD" w:rsidR="00345A52">
        <w:t>Additionally, w</w:t>
      </w:r>
      <w:r w:rsidRPr="007A7CDD" w:rsidR="00407E51">
        <w:t xml:space="preserve">e propose to </w:t>
      </w:r>
      <w:r w:rsidRPr="007A7CDD" w:rsidR="00A676D0">
        <w:t xml:space="preserve">no longer </w:t>
      </w:r>
      <w:r w:rsidRPr="007A7CDD" w:rsidR="00066CCC">
        <w:t>requir</w:t>
      </w:r>
      <w:r w:rsidRPr="007A7CDD" w:rsidR="00A676D0">
        <w:t>e</w:t>
      </w:r>
      <w:r w:rsidRPr="007A7CDD" w:rsidR="00066CCC">
        <w:t xml:space="preserve"> </w:t>
      </w:r>
      <w:r w:rsidRPr="007A7CDD" w:rsidR="00546432">
        <w:t xml:space="preserve">providers to allocate </w:t>
      </w:r>
      <w:r w:rsidRPr="007A7CDD" w:rsidR="00EC4C0E">
        <w:t xml:space="preserve">company-wide costs </w:t>
      </w:r>
      <w:r w:rsidRPr="007A7CDD" w:rsidR="00546432">
        <w:t>to</w:t>
      </w:r>
      <w:r w:rsidRPr="007A7CDD" w:rsidR="00030A2F">
        <w:t xml:space="preserve"> certain</w:t>
      </w:r>
      <w:r w:rsidRPr="007A7CDD" w:rsidR="00546432">
        <w:t xml:space="preserve"> </w:t>
      </w:r>
      <w:r w:rsidRPr="007A7CDD" w:rsidR="00FF5F95">
        <w:t>service categor</w:t>
      </w:r>
      <w:r w:rsidRPr="007A7CDD" w:rsidR="00546432">
        <w:t>ies</w:t>
      </w:r>
      <w:r w:rsidRPr="007A7CDD" w:rsidR="00030A2F">
        <w:t>, including ancillary service</w:t>
      </w:r>
      <w:r w:rsidRPr="007A7CDD" w:rsidR="00372B5B">
        <w:t>s</w:t>
      </w:r>
      <w:r w:rsidRPr="007A7CDD" w:rsidR="00345A52">
        <w:t xml:space="preserve">. </w:t>
      </w:r>
      <w:r w:rsidRPr="007A7CDD" w:rsidR="00FF5F95">
        <w:t xml:space="preserve"> </w:t>
      </w:r>
      <w:r w:rsidRPr="007A7CDD" w:rsidR="00BB6926">
        <w:t>Finally, we propose to</w:t>
      </w:r>
      <w:r w:rsidRPr="007A7CDD" w:rsidR="00C843FA">
        <w:t xml:space="preserve"> no longer </w:t>
      </w:r>
      <w:r w:rsidRPr="007A7CDD" w:rsidR="00786BBA">
        <w:t xml:space="preserve">seek data from providers on </w:t>
      </w:r>
      <w:r w:rsidRPr="007A7CDD" w:rsidR="009A4C5E">
        <w:t xml:space="preserve">the costs </w:t>
      </w:r>
      <w:r w:rsidRPr="007A7CDD" w:rsidR="009A6592">
        <w:t>facilities incur</w:t>
      </w:r>
      <w:r w:rsidRPr="007A7CDD" w:rsidR="00355ED7">
        <w:t xml:space="preserve"> in making IPCS</w:t>
      </w:r>
      <w:r w:rsidR="00355ED7">
        <w:t xml:space="preserve"> available </w:t>
      </w:r>
      <w:r w:rsidR="00267291">
        <w:t>to their populations.</w:t>
      </w:r>
      <w:r w:rsidR="00C12BBC">
        <w:t xml:space="preserve"> </w:t>
      </w:r>
      <w:r w:rsidR="0030149B">
        <w:t xml:space="preserve"> </w:t>
      </w:r>
      <w:r w:rsidR="00A62378">
        <w:t xml:space="preserve">We seek comment on this approach, and whether these </w:t>
      </w:r>
      <w:r w:rsidR="00BB0B90">
        <w:t xml:space="preserve">efforts to streamline the collection </w:t>
      </w:r>
      <w:r w:rsidR="00A62378">
        <w:t xml:space="preserve">will </w:t>
      </w:r>
      <w:r w:rsidR="000A5B2C">
        <w:t xml:space="preserve">strike the right balance between </w:t>
      </w:r>
      <w:r w:rsidR="00320647">
        <w:t xml:space="preserve">appropriately </w:t>
      </w:r>
      <w:r w:rsidR="004F6DD7">
        <w:t xml:space="preserve">simplifying </w:t>
      </w:r>
      <w:r w:rsidR="006046DE">
        <w:t xml:space="preserve">reporting burdens and </w:t>
      </w:r>
      <w:r w:rsidR="00C1740C">
        <w:t xml:space="preserve">ensuring </w:t>
      </w:r>
      <w:r w:rsidR="00275F7F">
        <w:t xml:space="preserve">the Commission </w:t>
      </w:r>
      <w:r w:rsidR="008135EA">
        <w:t xml:space="preserve">continues to have </w:t>
      </w:r>
      <w:r w:rsidR="00C41A23">
        <w:t xml:space="preserve">access to the </w:t>
      </w:r>
      <w:r w:rsidR="00A62378">
        <w:t xml:space="preserve">data </w:t>
      </w:r>
      <w:r w:rsidR="00440E6E">
        <w:t xml:space="preserve">necessary </w:t>
      </w:r>
      <w:r w:rsidR="00A62378">
        <w:t xml:space="preserve">for ratemaking purposes.  </w:t>
      </w:r>
      <w:r w:rsidRPr="00C278AE" w:rsidR="00C278AE">
        <w:t>Are there other reporting requirements remaining in the proposed instructions</w:t>
      </w:r>
      <w:r w:rsidR="002D3BD7">
        <w:t xml:space="preserve"> and template</w:t>
      </w:r>
      <w:r w:rsidR="007D0259">
        <w:t>s</w:t>
      </w:r>
      <w:r w:rsidRPr="00C278AE" w:rsidR="00C278AE">
        <w:t xml:space="preserve"> that we should consider removing?  If so, what are those requirements and why?  </w:t>
      </w:r>
      <w:r w:rsidR="00BE211A">
        <w:t xml:space="preserve">Are there modifications that would facilitate smaller providers’ compliance with the proposed collection that would still allow the Commission to set generally applicable rate caps?  </w:t>
      </w:r>
      <w:r w:rsidRPr="00C278AE" w:rsidR="00C278AE">
        <w:t>Do commenters believe the Commission should retain any of the proposed streamlined data</w:t>
      </w:r>
      <w:r w:rsidR="000D4170">
        <w:t xml:space="preserve"> requests</w:t>
      </w:r>
      <w:r w:rsidRPr="00C278AE" w:rsidR="00C278AE">
        <w:t>?  If so, which ones and why?</w:t>
      </w:r>
    </w:p>
    <w:p w:rsidR="00797F3B" w:rsidRPr="00523493" w:rsidP="00797F3B" w14:paraId="0EE08A7C" w14:textId="77777777">
      <w:pPr>
        <w:pStyle w:val="Heading2"/>
      </w:pPr>
      <w:r>
        <w:t>Targeted Modifications</w:t>
      </w:r>
    </w:p>
    <w:p w:rsidR="00DD0A3D" w:rsidP="00A4158D" w14:paraId="79E39B2D" w14:textId="42AEB18C">
      <w:pPr>
        <w:pStyle w:val="ParaNum"/>
        <w:widowControl/>
        <w:numPr>
          <w:ilvl w:val="0"/>
          <w:numId w:val="0"/>
        </w:numPr>
        <w:ind w:firstLine="720"/>
      </w:pPr>
      <w:r>
        <w:t xml:space="preserve">Beyond </w:t>
      </w:r>
      <w:r w:rsidR="00B24785">
        <w:t>proposing to eliminate</w:t>
      </w:r>
      <w:r w:rsidR="004D4850">
        <w:t xml:space="preserve"> certain</w:t>
      </w:r>
      <w:r w:rsidR="00B24785">
        <w:t xml:space="preserve"> broader reporting categories, we </w:t>
      </w:r>
      <w:r w:rsidR="00C61E86">
        <w:t>seek comment on</w:t>
      </w:r>
      <w:r w:rsidR="00C17782">
        <w:t xml:space="preserve"> eliminat</w:t>
      </w:r>
      <w:r w:rsidR="00C61E86">
        <w:t>ing</w:t>
      </w:r>
      <w:r w:rsidR="00C17782">
        <w:t xml:space="preserve"> or significantly reduc</w:t>
      </w:r>
      <w:r w:rsidR="00C61E86">
        <w:t>ing</w:t>
      </w:r>
      <w:r w:rsidR="00C17782">
        <w:t xml:space="preserve"> </w:t>
      </w:r>
      <w:r w:rsidR="0033242B">
        <w:t xml:space="preserve">other aspects of </w:t>
      </w:r>
      <w:r w:rsidR="004D61D9">
        <w:t>the previous data collection</w:t>
      </w:r>
      <w:r w:rsidR="006D0C47">
        <w:t xml:space="preserve">, particularly </w:t>
      </w:r>
      <w:r w:rsidR="00A93DDA">
        <w:t xml:space="preserve">aspects that </w:t>
      </w:r>
      <w:r w:rsidR="00351BDD">
        <w:t xml:space="preserve">did not yield </w:t>
      </w:r>
      <w:r w:rsidR="006A37D5">
        <w:t xml:space="preserve">significant </w:t>
      </w:r>
      <w:r w:rsidR="00A0493B">
        <w:t>us</w:t>
      </w:r>
      <w:r w:rsidR="00846E09">
        <w:t>able</w:t>
      </w:r>
      <w:r w:rsidR="006A37D5">
        <w:t xml:space="preserve"> data for </w:t>
      </w:r>
      <w:r w:rsidR="006A37D5">
        <w:t>ratesetting</w:t>
      </w:r>
      <w:r w:rsidR="006A37D5">
        <w:t xml:space="preserve"> purposes</w:t>
      </w:r>
      <w:r w:rsidR="004D61D9">
        <w:t xml:space="preserve">.  </w:t>
      </w:r>
      <w:r w:rsidR="00687A14">
        <w:t>For example,</w:t>
      </w:r>
      <w:r w:rsidR="00397660">
        <w:t xml:space="preserve"> </w:t>
      </w:r>
      <w:r w:rsidR="006046DE">
        <w:t>we</w:t>
      </w:r>
      <w:r w:rsidR="00265CBE">
        <w:t xml:space="preserve"> </w:t>
      </w:r>
      <w:r w:rsidR="00C61E86">
        <w:t>seek comment on</w:t>
      </w:r>
      <w:r w:rsidR="00265CBE">
        <w:t xml:space="preserve"> </w:t>
      </w:r>
      <w:r w:rsidR="001E6D5E">
        <w:t>eliminat</w:t>
      </w:r>
      <w:r w:rsidR="00C61E86">
        <w:t>ing</w:t>
      </w:r>
      <w:r w:rsidR="001E6D5E">
        <w:t xml:space="preserve"> a series of </w:t>
      </w:r>
      <w:r w:rsidR="00265CBE">
        <w:t>optional</w:t>
      </w:r>
      <w:r w:rsidR="00A1343E">
        <w:t xml:space="preserve"> </w:t>
      </w:r>
      <w:r w:rsidR="00265CBE">
        <w:t>reporting</w:t>
      </w:r>
      <w:r w:rsidR="001E6D5E">
        <w:t xml:space="preserve"> </w:t>
      </w:r>
      <w:r w:rsidR="00BB0F44">
        <w:t>categories</w:t>
      </w:r>
      <w:r w:rsidR="00534E2A">
        <w:t xml:space="preserve"> for which the Commission received little data in the 2023 Mandatory Data Collection and</w:t>
      </w:r>
      <w:r w:rsidR="00265CBE">
        <w:t xml:space="preserve"> </w:t>
      </w:r>
      <w:r w:rsidR="00A1343E">
        <w:t>that significantly streamline our instructions, including</w:t>
      </w:r>
      <w:r w:rsidR="009A6BC0">
        <w:t>:</w:t>
      </w:r>
      <w:r w:rsidR="00A1343E">
        <w:t xml:space="preserve"> </w:t>
      </w:r>
      <w:r w:rsidR="001E7263">
        <w:t xml:space="preserve">the </w:t>
      </w:r>
      <w:r w:rsidR="00A1343E">
        <w:t>option to report</w:t>
      </w:r>
      <w:r w:rsidR="009A6BC0">
        <w:t xml:space="preserve"> </w:t>
      </w:r>
      <w:r w:rsidR="000A66D8">
        <w:t xml:space="preserve">separate </w:t>
      </w:r>
      <w:r w:rsidR="0011595A">
        <w:t>audio and video ancillary services data</w:t>
      </w:r>
      <w:r w:rsidR="009A6BC0">
        <w:t>; the option to report</w:t>
      </w:r>
      <w:r w:rsidR="00782C96">
        <w:t xml:space="preserve"> separate </w:t>
      </w:r>
      <w:r w:rsidR="00804E69">
        <w:t>interstate/international and intrastate IPCS allocations and adjustments, and</w:t>
      </w:r>
      <w:r w:rsidR="0011595A">
        <w:t xml:space="preserve"> </w:t>
      </w:r>
      <w:r w:rsidR="009A6BC0">
        <w:t xml:space="preserve">the option to report and support </w:t>
      </w:r>
      <w:r w:rsidR="00B826A1">
        <w:t xml:space="preserve">an alternative </w:t>
      </w:r>
      <w:r w:rsidR="005F0F22">
        <w:t>Weighted Average Cost of Capital</w:t>
      </w:r>
      <w:r w:rsidR="00265CBE">
        <w:t xml:space="preserve">.  </w:t>
      </w:r>
      <w:r w:rsidR="00E40152">
        <w:t>Additionally, w</w:t>
      </w:r>
      <w:r w:rsidR="00925FEC">
        <w:t xml:space="preserve">e also </w:t>
      </w:r>
      <w:r w:rsidR="006B4EAC">
        <w:t xml:space="preserve">seek comment on </w:t>
      </w:r>
      <w:r w:rsidR="00925FEC">
        <w:t>remov</w:t>
      </w:r>
      <w:r w:rsidR="00DA6EAA">
        <w:t>ing</w:t>
      </w:r>
      <w:r w:rsidR="00925FEC">
        <w:t xml:space="preserve"> </w:t>
      </w:r>
      <w:r w:rsidR="007A6FB7">
        <w:t>requirements</w:t>
      </w:r>
      <w:r w:rsidR="00925FEC">
        <w:t xml:space="preserve"> to report geographic coordinates for each facility</w:t>
      </w:r>
      <w:r w:rsidR="009F328B">
        <w:t xml:space="preserve">, </w:t>
      </w:r>
      <w:r w:rsidR="000062C3">
        <w:t xml:space="preserve">as </w:t>
      </w:r>
      <w:r w:rsidR="00736145">
        <w:t xml:space="preserve">those requirements </w:t>
      </w:r>
      <w:r w:rsidR="002267F0">
        <w:t xml:space="preserve">were </w:t>
      </w:r>
      <w:r w:rsidR="00914328">
        <w:t>arguably</w:t>
      </w:r>
      <w:r w:rsidR="002267F0">
        <w:t xml:space="preserve"> redundant of</w:t>
      </w:r>
      <w:r w:rsidR="00736145">
        <w:t xml:space="preserve"> </w:t>
      </w:r>
      <w:r w:rsidR="00914328">
        <w:t>facility</w:t>
      </w:r>
      <w:r w:rsidR="002267F0">
        <w:t xml:space="preserve"> </w:t>
      </w:r>
      <w:r w:rsidR="00F6660F">
        <w:t>street address</w:t>
      </w:r>
      <w:r w:rsidR="00914328">
        <w:t>es</w:t>
      </w:r>
      <w:r w:rsidR="002267F0">
        <w:t xml:space="preserve"> and</w:t>
      </w:r>
      <w:r w:rsidR="001E57B0">
        <w:t>, as we have previously noted,</w:t>
      </w:r>
      <w:r w:rsidR="002267F0">
        <w:t xml:space="preserve"> </w:t>
      </w:r>
      <w:r w:rsidR="00914328">
        <w:t>“[c]</w:t>
      </w:r>
      <w:r w:rsidRPr="005559F8" w:rsidR="005559F8">
        <w:t>ollecting</w:t>
      </w:r>
      <w:r w:rsidRPr="005559F8" w:rsidR="005559F8">
        <w:t xml:space="preserve"> this granular information once</w:t>
      </w:r>
      <w:r w:rsidR="00914328">
        <w:t xml:space="preserve"> . . .</w:t>
      </w:r>
      <w:r w:rsidRPr="005559F8" w:rsidR="005559F8">
        <w:t xml:space="preserve"> eliminates the need to repeatedly enter such detailed information</w:t>
      </w:r>
      <w:r w:rsidR="007633FF">
        <w:t xml:space="preserve">” and </w:t>
      </w:r>
      <w:r w:rsidRPr="005559F8" w:rsidR="005559F8">
        <w:t>reduc</w:t>
      </w:r>
      <w:r w:rsidR="007633FF">
        <w:t>es</w:t>
      </w:r>
      <w:r w:rsidRPr="005559F8" w:rsidR="005559F8">
        <w:t xml:space="preserve"> </w:t>
      </w:r>
      <w:r w:rsidR="007633FF">
        <w:t xml:space="preserve">respondents’ </w:t>
      </w:r>
      <w:r w:rsidRPr="005559F8" w:rsidR="005559F8">
        <w:t>burden.</w:t>
      </w:r>
      <w:r>
        <w:rPr>
          <w:rStyle w:val="FootnoteReference"/>
        </w:rPr>
        <w:footnoteReference w:id="14"/>
      </w:r>
      <w:r w:rsidR="007A6FB7">
        <w:t xml:space="preserve">  </w:t>
      </w:r>
      <w:r w:rsidR="00B15748">
        <w:t xml:space="preserve">Similarly, we </w:t>
      </w:r>
      <w:r w:rsidR="001B38E4">
        <w:t xml:space="preserve">propose not </w:t>
      </w:r>
      <w:r w:rsidR="00B15748">
        <w:t xml:space="preserve">to seek </w:t>
      </w:r>
      <w:r w:rsidR="007A6FB7">
        <w:t xml:space="preserve">certain </w:t>
      </w:r>
      <w:r w:rsidR="00EF2591">
        <w:t xml:space="preserve">facility-specific </w:t>
      </w:r>
      <w:r w:rsidR="00D66779">
        <w:t xml:space="preserve">customer </w:t>
      </w:r>
      <w:r w:rsidR="00EF2591">
        <w:t>demand data that the Commission previously sought in the 2023 Mandatory Data Collection</w:t>
      </w:r>
      <w:r w:rsidR="00925FEC">
        <w:t>.</w:t>
      </w:r>
      <w:r>
        <w:rPr>
          <w:rStyle w:val="FootnoteReference"/>
        </w:rPr>
        <w:footnoteReference w:id="15"/>
      </w:r>
      <w:r w:rsidR="00B7350C">
        <w:t xml:space="preserve">  </w:t>
      </w:r>
      <w:r w:rsidR="00EF2591">
        <w:t xml:space="preserve">Are there </w:t>
      </w:r>
      <w:r w:rsidR="00EF2591">
        <w:t xml:space="preserve">other </w:t>
      </w:r>
      <w:r w:rsidR="004F6DD7">
        <w:t xml:space="preserve">targeted </w:t>
      </w:r>
      <w:r w:rsidR="005B1B75">
        <w:t xml:space="preserve">reporting requirements </w:t>
      </w:r>
      <w:r w:rsidR="00F40D78">
        <w:t>remaining in the proposed instructions</w:t>
      </w:r>
      <w:r w:rsidR="002D5FE7">
        <w:t xml:space="preserve"> and templates </w:t>
      </w:r>
      <w:r w:rsidR="005B1B75">
        <w:t>that we should consider removing?  If so, what are those requirements and why?</w:t>
      </w:r>
      <w:r w:rsidR="00A05D05">
        <w:t xml:space="preserve">  </w:t>
      </w:r>
    </w:p>
    <w:p w:rsidR="007106FC" w:rsidRPr="007106FC" w:rsidP="00E92CBD" w14:paraId="74747457" w14:textId="612C85C3">
      <w:pPr>
        <w:pStyle w:val="ParaNum"/>
        <w:widowControl/>
        <w:numPr>
          <w:ilvl w:val="0"/>
          <w:numId w:val="0"/>
        </w:numPr>
        <w:ind w:firstLine="720"/>
      </w:pPr>
      <w:r w:rsidRPr="00905D28">
        <w:rPr>
          <w:i/>
          <w:iCs/>
        </w:rPr>
        <w:t xml:space="preserve">Reporting Period.  </w:t>
      </w:r>
      <w:r>
        <w:t xml:space="preserve">We </w:t>
      </w:r>
      <w:r w:rsidR="000076D1">
        <w:t xml:space="preserve">seek comment on </w:t>
      </w:r>
      <w:r>
        <w:t>limit</w:t>
      </w:r>
      <w:r w:rsidR="000076D1">
        <w:t>ing</w:t>
      </w:r>
      <w:r>
        <w:t xml:space="preserve"> the </w:t>
      </w:r>
      <w:r w:rsidR="00571F0D">
        <w:t xml:space="preserve">reporting period for the </w:t>
      </w:r>
      <w:r>
        <w:t>forthcoming data collection to calendar year 2025</w:t>
      </w:r>
      <w:r w:rsidR="00793142">
        <w:t xml:space="preserve"> data</w:t>
      </w:r>
      <w:r>
        <w:t xml:space="preserve">.  The Commission took a similar approach in the 2023 Mandatory Data Collection, which limited the scope of the data collection to calendar year 2022 </w:t>
      </w:r>
      <w:r w:rsidR="00793142">
        <w:t xml:space="preserve">data </w:t>
      </w:r>
      <w:r>
        <w:t>on the theory that those data would “provide the most pertinent and the best indicator of relevant costs.”</w:t>
      </w:r>
      <w:r>
        <w:rPr>
          <w:rStyle w:val="FootnoteReference"/>
        </w:rPr>
        <w:footnoteReference w:id="16"/>
      </w:r>
      <w:r>
        <w:t xml:space="preserve">  We believe the same to be true here and seek comment on this view.  Does our propos</w:t>
      </w:r>
      <w:r w:rsidR="00EC3D23">
        <w:t>ed approach</w:t>
      </w:r>
      <w:r>
        <w:t xml:space="preserve"> properly balance the need for the Commission to obtain relevant cost data for purposes of setting permanent IPCS rate caps against the burdens providers would encounter in reporting information for year</w:t>
      </w:r>
      <w:r w:rsidR="004976C2">
        <w:t>s</w:t>
      </w:r>
      <w:r>
        <w:t xml:space="preserve"> prior to 2025?  Why or why not?</w:t>
      </w:r>
    </w:p>
    <w:p w:rsidR="00133773" w:rsidRPr="003569F9" w:rsidP="00E92CBD" w14:paraId="0E2F44CD" w14:textId="108D3C2B">
      <w:pPr>
        <w:pStyle w:val="ParaNum"/>
        <w:widowControl/>
        <w:numPr>
          <w:ilvl w:val="0"/>
          <w:numId w:val="0"/>
        </w:numPr>
        <w:ind w:firstLine="720"/>
      </w:pPr>
      <w:r w:rsidRPr="059989F8">
        <w:rPr>
          <w:i/>
        </w:rPr>
        <w:t>Definitions</w:t>
      </w:r>
      <w:r w:rsidRPr="059989F8">
        <w:t xml:space="preserve">.  The proposed instructions </w:t>
      </w:r>
      <w:r w:rsidR="001769ED">
        <w:t xml:space="preserve">omit </w:t>
      </w:r>
      <w:r w:rsidR="00A16CF1">
        <w:t>certain</w:t>
      </w:r>
      <w:r w:rsidR="001769ED">
        <w:t xml:space="preserve"> terms</w:t>
      </w:r>
      <w:r w:rsidR="006B3825">
        <w:t xml:space="preserve"> </w:t>
      </w:r>
      <w:r w:rsidR="00447BDD">
        <w:t>the Commission previously defined in the 2023 Mandatory Data Collection,</w:t>
      </w:r>
      <w:r w:rsidR="001769ED">
        <w:t xml:space="preserve"> </w:t>
      </w:r>
      <w:r w:rsidR="00447BDD">
        <w:t>and</w:t>
      </w:r>
      <w:r w:rsidR="001769ED">
        <w:t xml:space="preserve"> </w:t>
      </w:r>
      <w:r w:rsidRPr="059989F8">
        <w:t xml:space="preserve">contain </w:t>
      </w:r>
      <w:r>
        <w:t>some</w:t>
      </w:r>
      <w:r w:rsidR="001426EA">
        <w:t xml:space="preserve"> proposed</w:t>
      </w:r>
      <w:r>
        <w:t xml:space="preserve"> revised</w:t>
      </w:r>
      <w:r w:rsidRPr="059989F8">
        <w:t xml:space="preserve"> definitions </w:t>
      </w:r>
      <w:r>
        <w:t>reflecting our efforts to streamline the data collection effort.</w:t>
      </w:r>
      <w:r>
        <w:rPr>
          <w:rStyle w:val="FootnoteReference"/>
        </w:rPr>
        <w:footnoteReference w:id="17"/>
      </w:r>
      <w:r>
        <w:t xml:space="preserve">  </w:t>
      </w:r>
      <w:r w:rsidRPr="059989F8">
        <w:t xml:space="preserve">We seek comment on these </w:t>
      </w:r>
      <w:r w:rsidR="00954E10">
        <w:t xml:space="preserve">proposed </w:t>
      </w:r>
      <w:r w:rsidRPr="059989F8">
        <w:t xml:space="preserve">definitions.  Are they </w:t>
      </w:r>
      <w:r>
        <w:t xml:space="preserve">sufficiently </w:t>
      </w:r>
      <w:r w:rsidRPr="059989F8">
        <w:t>clear</w:t>
      </w:r>
      <w:r w:rsidRPr="00631AC0">
        <w:rPr>
          <w:szCs w:val="22"/>
        </w:rPr>
        <w:t xml:space="preserve">?  </w:t>
      </w:r>
      <w:r w:rsidRPr="059989F8">
        <w:t xml:space="preserve">If not, how should </w:t>
      </w:r>
      <w:r>
        <w:t xml:space="preserve">they </w:t>
      </w:r>
      <w:r w:rsidRPr="059989F8">
        <w:t xml:space="preserve">be modified? </w:t>
      </w:r>
      <w:r>
        <w:t xml:space="preserve"> </w:t>
      </w:r>
      <w:r w:rsidRPr="059989F8">
        <w:t>Are there any terms that should be added to the proposed instructions that would assist filers in furnishing the Commission with the relevant data?  If so, what are they and how should they be defined</w:t>
      </w:r>
      <w:r>
        <w:rPr>
          <w:szCs w:val="22"/>
        </w:rPr>
        <w:t xml:space="preserve">?  </w:t>
      </w:r>
      <w:r w:rsidRPr="059989F8">
        <w:t xml:space="preserve">Should any proposed definitions be removed?  </w:t>
      </w:r>
    </w:p>
    <w:p w:rsidR="00E61A6C" w:rsidP="00E92CBD" w14:paraId="57CBB19E" w14:textId="5AC9E254">
      <w:pPr>
        <w:pStyle w:val="ParaNum"/>
        <w:widowControl/>
        <w:numPr>
          <w:ilvl w:val="0"/>
          <w:numId w:val="0"/>
        </w:numPr>
        <w:ind w:firstLine="720"/>
      </w:pPr>
      <w:r w:rsidRPr="00A60893">
        <w:rPr>
          <w:i/>
          <w:iCs/>
        </w:rPr>
        <w:t xml:space="preserve">Cost </w:t>
      </w:r>
      <w:r w:rsidRPr="007B07CC">
        <w:rPr>
          <w:i/>
          <w:iCs/>
        </w:rPr>
        <w:t>Categories</w:t>
      </w:r>
      <w:r>
        <w:rPr>
          <w:i/>
          <w:iCs/>
        </w:rPr>
        <w:t xml:space="preserve"> and Allocation.  </w:t>
      </w:r>
      <w:r w:rsidRPr="00947AB7">
        <w:t xml:space="preserve">Consistent with the approach taken in the 2023 Mandatory Data Collection, we </w:t>
      </w:r>
      <w:r w:rsidR="000076D1">
        <w:t>seek comment on</w:t>
      </w:r>
      <w:r w:rsidRPr="00947AB7">
        <w:t xml:space="preserve"> </w:t>
      </w:r>
      <w:r w:rsidR="00884529">
        <w:t>requir</w:t>
      </w:r>
      <w:r w:rsidR="000076D1">
        <w:t>ing</w:t>
      </w:r>
      <w:r w:rsidR="00884529">
        <w:t xml:space="preserve"> providers</w:t>
      </w:r>
      <w:r w:rsidR="00B81A65">
        <w:t xml:space="preserve"> to report</w:t>
      </w:r>
      <w:r w:rsidR="00D84FB1">
        <w:t xml:space="preserve"> </w:t>
      </w:r>
      <w:r w:rsidR="00CA578E">
        <w:t xml:space="preserve">information at the company-wide and facility levels </w:t>
      </w:r>
      <w:r w:rsidR="007C0F69">
        <w:t>and</w:t>
      </w:r>
      <w:r w:rsidR="00CA578E">
        <w:t xml:space="preserve"> by various categories of investments and expenses.</w:t>
      </w:r>
      <w:r>
        <w:rPr>
          <w:rStyle w:val="FootnoteReference"/>
        </w:rPr>
        <w:footnoteReference w:id="18"/>
      </w:r>
      <w:r w:rsidR="00BE7FCF">
        <w:t xml:space="preserve">  </w:t>
      </w:r>
      <w:r w:rsidR="00731D07">
        <w:t xml:space="preserve">We </w:t>
      </w:r>
      <w:r w:rsidR="00403027">
        <w:t>seek comment on requiring</w:t>
      </w:r>
      <w:r w:rsidR="00731D07">
        <w:t xml:space="preserve"> IPCS providers to report total company investments, capital expenses, operating expenses, and revenues</w:t>
      </w:r>
      <w:r w:rsidR="000E5485">
        <w:t xml:space="preserve">.  We also </w:t>
      </w:r>
      <w:r w:rsidR="00403027">
        <w:t>seek comment on</w:t>
      </w:r>
      <w:r w:rsidR="000E5485">
        <w:t xml:space="preserve"> requir</w:t>
      </w:r>
      <w:r w:rsidR="00403027">
        <w:t>ing</w:t>
      </w:r>
      <w:r w:rsidR="000E5485">
        <w:t xml:space="preserve"> providers to allocate their </w:t>
      </w:r>
      <w:r w:rsidR="00514600">
        <w:t>data</w:t>
      </w:r>
      <w:r w:rsidR="001C36D7">
        <w:t xml:space="preserve"> among certain service categories.  </w:t>
      </w:r>
      <w:r w:rsidR="00BE7FCF">
        <w:t>In particular, we propose</w:t>
      </w:r>
      <w:r w:rsidRPr="00947AB7" w:rsidR="001C36D7">
        <w:t xml:space="preserve"> to require providers to allocate investments and expenses among audio IPCS, video IPCS, </w:t>
      </w:r>
      <w:r w:rsidR="0017345D">
        <w:t>safety and security measures</w:t>
      </w:r>
      <w:r w:rsidR="003C02E0">
        <w:t xml:space="preserve">, </w:t>
      </w:r>
      <w:r w:rsidRPr="00947AB7" w:rsidR="001C36D7">
        <w:t>IPCS-related payment processing services, and other products and services</w:t>
      </w:r>
      <w:r w:rsidR="009E7E46">
        <w:t xml:space="preserve">.  </w:t>
      </w:r>
      <w:r w:rsidR="00BE7FCF">
        <w:t>This</w:t>
      </w:r>
      <w:r w:rsidR="009E7E46">
        <w:t xml:space="preserve"> </w:t>
      </w:r>
      <w:r w:rsidR="00B9365F">
        <w:t xml:space="preserve">would be </w:t>
      </w:r>
      <w:r w:rsidR="009E7E46">
        <w:t xml:space="preserve">a significant reduction in </w:t>
      </w:r>
      <w:r w:rsidR="00FF3C23">
        <w:t>service categories</w:t>
      </w:r>
      <w:r w:rsidR="00CB435B">
        <w:t xml:space="preserve"> from the 2023 Mandatory Data Collection, which required providers to allocate their data across ten categories of service.</w:t>
      </w:r>
      <w:r>
        <w:rPr>
          <w:rStyle w:val="FootnoteReference"/>
        </w:rPr>
        <w:footnoteReference w:id="19"/>
      </w:r>
    </w:p>
    <w:p w:rsidR="00B75D82" w:rsidP="00E92CBD" w14:paraId="6C6C4624" w14:textId="4F7CABB8">
      <w:pPr>
        <w:pStyle w:val="ParaNum"/>
        <w:widowControl/>
        <w:numPr>
          <w:ilvl w:val="0"/>
          <w:numId w:val="0"/>
        </w:numPr>
        <w:ind w:firstLine="720"/>
      </w:pPr>
      <w:r w:rsidRPr="00947AB7">
        <w:rPr>
          <w:szCs w:val="22"/>
        </w:rPr>
        <w:t xml:space="preserve">Our </w:t>
      </w:r>
      <w:r w:rsidRPr="005A46E5">
        <w:rPr>
          <w:szCs w:val="22"/>
        </w:rPr>
        <w:t>proposed cost allocation instructions largely mirror the instructions from the 2023 Mandatory Data Collection.</w:t>
      </w:r>
      <w:r>
        <w:rPr>
          <w:rStyle w:val="FootnoteReference"/>
          <w:szCs w:val="22"/>
        </w:rPr>
        <w:footnoteReference w:id="20"/>
      </w:r>
      <w:r w:rsidR="001F46FE">
        <w:rPr>
          <w:szCs w:val="22"/>
        </w:rPr>
        <w:t xml:space="preserve">  </w:t>
      </w:r>
      <w:r w:rsidRPr="005A46E5" w:rsidR="005A46E5">
        <w:t>What refinements, if any, should</w:t>
      </w:r>
      <w:r w:rsidRPr="005A46E5" w:rsidR="005A46E5">
        <w:rPr>
          <w:szCs w:val="22"/>
        </w:rPr>
        <w:t xml:space="preserve"> </w:t>
      </w:r>
      <w:r w:rsidRPr="005A46E5" w:rsidR="005A46E5">
        <w:t>we make to our proposed cost allocation methodology?  Are the cost allocation procedures set forth in the proposed instructions sufficient to enable IPCS providers to allocate costs down to the facility level and, if not, what additional procedures should we require</w:t>
      </w:r>
      <w:r w:rsidRPr="005A46E5" w:rsidR="005A46E5">
        <w:rPr>
          <w:szCs w:val="22"/>
        </w:rPr>
        <w:t xml:space="preserve">?  </w:t>
      </w:r>
      <w:r w:rsidRPr="005A46E5" w:rsidR="005A46E5">
        <w:t>Is there an alternative methodology that would better</w:t>
      </w:r>
      <w:r w:rsidRPr="005A46E5" w:rsidR="005A46E5">
        <w:rPr>
          <w:szCs w:val="22"/>
        </w:rPr>
        <w:t xml:space="preserve"> </w:t>
      </w:r>
      <w:r w:rsidRPr="005A46E5" w:rsidR="005A46E5">
        <w:t>ensure that providers allocate their costs in a manner consistent with how they are incurred?  If so, what is that methodology and why would</w:t>
      </w:r>
      <w:r w:rsidRPr="005A46E5" w:rsidR="005A46E5">
        <w:rPr>
          <w:szCs w:val="22"/>
        </w:rPr>
        <w:t xml:space="preserve"> </w:t>
      </w:r>
      <w:r w:rsidRPr="005A46E5" w:rsidR="005A46E5">
        <w:t xml:space="preserve">it produce more accurate results than the proposed method?  </w:t>
      </w:r>
      <w:r w:rsidR="00D32C4D">
        <w:t xml:space="preserve">For example, the proposed data collection continues to direct providers to allocate their costs between IPCS and </w:t>
      </w:r>
      <w:r w:rsidR="00710847">
        <w:t xml:space="preserve">other products and services. </w:t>
      </w:r>
      <w:r w:rsidR="00D32C4D">
        <w:t xml:space="preserve"> </w:t>
      </w:r>
      <w:r w:rsidR="005F4285">
        <w:t xml:space="preserve">Would </w:t>
      </w:r>
      <w:r w:rsidR="001A21F1">
        <w:t>seeking more targeted</w:t>
      </w:r>
      <w:r w:rsidR="005F4285">
        <w:t xml:space="preserve"> </w:t>
      </w:r>
      <w:r w:rsidR="00C71133">
        <w:t xml:space="preserve">usage </w:t>
      </w:r>
      <w:r w:rsidR="005F4285">
        <w:t>data</w:t>
      </w:r>
      <w:r w:rsidR="00C71133">
        <w:t xml:space="preserve"> </w:t>
      </w:r>
      <w:r w:rsidR="001A64BE">
        <w:t xml:space="preserve">for tablets </w:t>
      </w:r>
      <w:r w:rsidR="00B91920">
        <w:t xml:space="preserve">simplify </w:t>
      </w:r>
      <w:r w:rsidR="002159DA">
        <w:t>the Commission’s efforts to</w:t>
      </w:r>
      <w:r w:rsidR="00C71133">
        <w:t xml:space="preserve"> </w:t>
      </w:r>
      <w:r w:rsidR="005D77C8">
        <w:t xml:space="preserve">distinguish </w:t>
      </w:r>
      <w:r w:rsidR="00521C37">
        <w:t xml:space="preserve">between IPCS </w:t>
      </w:r>
      <w:r w:rsidR="00D32C4D">
        <w:t>uses and non-IPCS</w:t>
      </w:r>
      <w:r w:rsidR="005F4285">
        <w:t xml:space="preserve"> </w:t>
      </w:r>
      <w:r w:rsidR="002F383B">
        <w:t>uses?</w:t>
      </w:r>
      <w:r>
        <w:rPr>
          <w:rStyle w:val="FootnoteReference"/>
        </w:rPr>
        <w:footnoteReference w:id="21"/>
      </w:r>
      <w:r w:rsidR="00800C38">
        <w:t xml:space="preserve">  </w:t>
      </w:r>
      <w:r w:rsidR="008E0816">
        <w:rPr>
          <w:szCs w:val="22"/>
        </w:rPr>
        <w:t>A</w:t>
      </w:r>
      <w:r w:rsidR="00AA1CDE">
        <w:rPr>
          <w:szCs w:val="22"/>
        </w:rPr>
        <w:t>lso, a</w:t>
      </w:r>
      <w:r w:rsidR="008E0816">
        <w:rPr>
          <w:szCs w:val="22"/>
        </w:rPr>
        <w:t>re</w:t>
      </w:r>
      <w:r w:rsidR="004479E5">
        <w:rPr>
          <w:szCs w:val="22"/>
        </w:rPr>
        <w:t xml:space="preserve"> there alternative cost allocation methodologies that would be more conducive for smaller providers</w:t>
      </w:r>
      <w:r w:rsidR="00D77DCB">
        <w:rPr>
          <w:szCs w:val="22"/>
        </w:rPr>
        <w:t>,</w:t>
      </w:r>
      <w:r w:rsidR="004479E5">
        <w:rPr>
          <w:szCs w:val="22"/>
        </w:rPr>
        <w:t xml:space="preserve"> given their </w:t>
      </w:r>
      <w:r w:rsidR="00A842B8">
        <w:rPr>
          <w:szCs w:val="22"/>
        </w:rPr>
        <w:t>claims of</w:t>
      </w:r>
      <w:r w:rsidR="009863CA">
        <w:rPr>
          <w:szCs w:val="22"/>
        </w:rPr>
        <w:t xml:space="preserve"> </w:t>
      </w:r>
      <w:r w:rsidR="004479E5">
        <w:rPr>
          <w:szCs w:val="22"/>
        </w:rPr>
        <w:t xml:space="preserve">less detailed </w:t>
      </w:r>
      <w:r w:rsidR="0011076F">
        <w:rPr>
          <w:szCs w:val="22"/>
        </w:rPr>
        <w:t xml:space="preserve">internal </w:t>
      </w:r>
      <w:r w:rsidR="004479E5">
        <w:rPr>
          <w:szCs w:val="22"/>
        </w:rPr>
        <w:t xml:space="preserve">accounting </w:t>
      </w:r>
      <w:r w:rsidR="00CC18D1">
        <w:rPr>
          <w:szCs w:val="22"/>
        </w:rPr>
        <w:t>processes</w:t>
      </w:r>
      <w:r w:rsidR="00D77DCB">
        <w:rPr>
          <w:szCs w:val="22"/>
        </w:rPr>
        <w:t>,</w:t>
      </w:r>
      <w:r w:rsidR="00CC18D1">
        <w:rPr>
          <w:szCs w:val="22"/>
        </w:rPr>
        <w:t xml:space="preserve"> </w:t>
      </w:r>
      <w:r w:rsidR="004479E5">
        <w:rPr>
          <w:szCs w:val="22"/>
        </w:rPr>
        <w:t xml:space="preserve">that would still </w:t>
      </w:r>
      <w:r w:rsidR="009876AE">
        <w:rPr>
          <w:szCs w:val="22"/>
        </w:rPr>
        <w:t xml:space="preserve">enable the Commission to </w:t>
      </w:r>
      <w:r w:rsidR="002D06A0">
        <w:rPr>
          <w:szCs w:val="22"/>
        </w:rPr>
        <w:t>c</w:t>
      </w:r>
      <w:r w:rsidR="00260D00">
        <w:rPr>
          <w:szCs w:val="22"/>
        </w:rPr>
        <w:t xml:space="preserve">alculate generally applicable </w:t>
      </w:r>
      <w:r w:rsidR="006546B5">
        <w:rPr>
          <w:szCs w:val="22"/>
        </w:rPr>
        <w:t>cost-based rate caps</w:t>
      </w:r>
      <w:r w:rsidR="004479E5">
        <w:rPr>
          <w:szCs w:val="22"/>
        </w:rPr>
        <w:t xml:space="preserve">?  </w:t>
      </w:r>
      <w:r w:rsidRPr="005A46E5" w:rsidR="005A46E5">
        <w:t>Would the benefits of an alternative methodology justify the costs?</w:t>
      </w:r>
      <w:r>
        <w:rPr>
          <w:szCs w:val="22"/>
        </w:rPr>
        <w:t xml:space="preserve">  </w:t>
      </w:r>
    </w:p>
    <w:p w:rsidR="003569F9" w:rsidRPr="003569F9" w:rsidP="00E92CBD" w14:paraId="64C452A3" w14:textId="5F6367C0">
      <w:pPr>
        <w:pStyle w:val="ParaNum"/>
        <w:widowControl/>
        <w:numPr>
          <w:ilvl w:val="0"/>
          <w:numId w:val="0"/>
        </w:numPr>
        <w:ind w:firstLine="720"/>
      </w:pPr>
      <w:r>
        <w:rPr>
          <w:szCs w:val="22"/>
        </w:rPr>
        <w:t xml:space="preserve">We seek comment on </w:t>
      </w:r>
      <w:r w:rsidR="00B84D6C">
        <w:rPr>
          <w:szCs w:val="22"/>
        </w:rPr>
        <w:t xml:space="preserve">several recommendations </w:t>
      </w:r>
      <w:r w:rsidR="00E91DBB">
        <w:rPr>
          <w:szCs w:val="22"/>
        </w:rPr>
        <w:t xml:space="preserve">Securus makes </w:t>
      </w:r>
      <w:r w:rsidR="004450E2">
        <w:rPr>
          <w:szCs w:val="22"/>
        </w:rPr>
        <w:t xml:space="preserve">regarding </w:t>
      </w:r>
      <w:r w:rsidR="00D32AA3">
        <w:rPr>
          <w:szCs w:val="22"/>
        </w:rPr>
        <w:t>cost reporting and allocation.</w:t>
      </w:r>
      <w:r w:rsidR="00940206">
        <w:rPr>
          <w:szCs w:val="22"/>
        </w:rPr>
        <w:t xml:space="preserve">  Broadly, Securus argues that “the cost categories in previous data collections bear little to no resemblance to how providers account for and track costs in the real world.”</w:t>
      </w:r>
      <w:r>
        <w:rPr>
          <w:rStyle w:val="FootnoteReference"/>
          <w:szCs w:val="22"/>
        </w:rPr>
        <w:footnoteReference w:id="22"/>
      </w:r>
      <w:r w:rsidR="005C2DE0">
        <w:rPr>
          <w:szCs w:val="22"/>
        </w:rPr>
        <w:t xml:space="preserve">  </w:t>
      </w:r>
      <w:r w:rsidR="00423FC2">
        <w:rPr>
          <w:szCs w:val="22"/>
        </w:rPr>
        <w:t xml:space="preserve">In particular, Securus argues that </w:t>
      </w:r>
      <w:r w:rsidR="00AE3CAE">
        <w:rPr>
          <w:szCs w:val="22"/>
        </w:rPr>
        <w:t>the different cost categories the Commission uses “require[] providers to undergo hugely expensive and time-consuming artificial cost allocation exercises” while the Commission “makes no use of the vast majority of those categories when finalizing rate cap calculations.”</w:t>
      </w:r>
      <w:r>
        <w:rPr>
          <w:rStyle w:val="FootnoteReference"/>
          <w:szCs w:val="22"/>
        </w:rPr>
        <w:footnoteReference w:id="23"/>
      </w:r>
      <w:r w:rsidR="007A5A55">
        <w:rPr>
          <w:szCs w:val="22"/>
        </w:rPr>
        <w:t xml:space="preserve">  Securus </w:t>
      </w:r>
      <w:r w:rsidR="00335248">
        <w:rPr>
          <w:szCs w:val="22"/>
        </w:rPr>
        <w:t xml:space="preserve">therefore </w:t>
      </w:r>
      <w:r w:rsidR="007A5A55">
        <w:rPr>
          <w:szCs w:val="22"/>
        </w:rPr>
        <w:t xml:space="preserve">recommends consolidating </w:t>
      </w:r>
      <w:r w:rsidR="00CD18DE">
        <w:rPr>
          <w:szCs w:val="22"/>
        </w:rPr>
        <w:t xml:space="preserve">cost categories </w:t>
      </w:r>
      <w:r w:rsidR="00133F83">
        <w:rPr>
          <w:szCs w:val="22"/>
        </w:rPr>
        <w:t>for capital assets, capital expenses, and operating expenses</w:t>
      </w:r>
      <w:r w:rsidR="007D0625">
        <w:rPr>
          <w:szCs w:val="22"/>
        </w:rPr>
        <w:t>.</w:t>
      </w:r>
      <w:r w:rsidR="00133F83">
        <w:rPr>
          <w:szCs w:val="22"/>
        </w:rPr>
        <w:t xml:space="preserve">  </w:t>
      </w:r>
      <w:r w:rsidR="0014544D">
        <w:rPr>
          <w:szCs w:val="22"/>
        </w:rPr>
        <w:t xml:space="preserve">With regard to capital assets, </w:t>
      </w:r>
      <w:r w:rsidR="00315F3A">
        <w:rPr>
          <w:szCs w:val="22"/>
        </w:rPr>
        <w:t xml:space="preserve">Securus </w:t>
      </w:r>
      <w:r w:rsidR="005C4B50">
        <w:rPr>
          <w:szCs w:val="22"/>
        </w:rPr>
        <w:t>notes that the Commission “requires providers to allocate gross investment and accumulated depreciation/amor</w:t>
      </w:r>
      <w:r w:rsidR="00B90BFB">
        <w:rPr>
          <w:szCs w:val="22"/>
        </w:rPr>
        <w:t xml:space="preserve">tization </w:t>
      </w:r>
      <w:r w:rsidR="00654ACF">
        <w:rPr>
          <w:szCs w:val="22"/>
        </w:rPr>
        <w:t xml:space="preserve">for each facility across seven different </w:t>
      </w:r>
      <w:r w:rsidR="002310EC">
        <w:rPr>
          <w:szCs w:val="22"/>
        </w:rPr>
        <w:t>capital assets.”</w:t>
      </w:r>
      <w:r>
        <w:rPr>
          <w:rStyle w:val="FootnoteReference"/>
          <w:szCs w:val="22"/>
        </w:rPr>
        <w:footnoteReference w:id="24"/>
      </w:r>
      <w:r w:rsidR="00390E29">
        <w:rPr>
          <w:szCs w:val="22"/>
        </w:rPr>
        <w:t xml:space="preserve">  Securus recommend</w:t>
      </w:r>
      <w:r w:rsidR="00EF23EF">
        <w:rPr>
          <w:szCs w:val="22"/>
        </w:rPr>
        <w:t>s</w:t>
      </w:r>
      <w:r w:rsidR="00390E29">
        <w:rPr>
          <w:szCs w:val="22"/>
        </w:rPr>
        <w:t xml:space="preserve"> removal of these capital asset </w:t>
      </w:r>
      <w:r w:rsidR="009501FC">
        <w:rPr>
          <w:szCs w:val="22"/>
        </w:rPr>
        <w:t xml:space="preserve">subcategories and </w:t>
      </w:r>
      <w:r w:rsidR="009F143D">
        <w:rPr>
          <w:szCs w:val="22"/>
        </w:rPr>
        <w:t xml:space="preserve">suggests we </w:t>
      </w:r>
      <w:r w:rsidR="009501FC">
        <w:rPr>
          <w:szCs w:val="22"/>
        </w:rPr>
        <w:t>instead allow providers to “report a single ‘Gross Investment’ and ‘Accumulated Depreciation/Amortization’ total.”</w:t>
      </w:r>
      <w:r>
        <w:rPr>
          <w:rStyle w:val="FootnoteReference"/>
          <w:szCs w:val="22"/>
        </w:rPr>
        <w:footnoteReference w:id="25"/>
      </w:r>
      <w:r w:rsidR="009501FC">
        <w:rPr>
          <w:szCs w:val="22"/>
        </w:rPr>
        <w:t xml:space="preserve">  </w:t>
      </w:r>
      <w:r w:rsidR="00BD4965">
        <w:rPr>
          <w:szCs w:val="22"/>
        </w:rPr>
        <w:t xml:space="preserve">For the same reasons, </w:t>
      </w:r>
      <w:r w:rsidR="00213B54">
        <w:rPr>
          <w:szCs w:val="22"/>
        </w:rPr>
        <w:t xml:space="preserve">Securus also </w:t>
      </w:r>
      <w:r w:rsidR="008D2132">
        <w:rPr>
          <w:szCs w:val="22"/>
        </w:rPr>
        <w:t>recommends consolidating “capital expenses into a single yearly depreciation/amortization expense</w:t>
      </w:r>
      <w:r w:rsidR="00EC5AEC">
        <w:rPr>
          <w:szCs w:val="22"/>
        </w:rPr>
        <w:t>.</w:t>
      </w:r>
      <w:r w:rsidR="008D2132">
        <w:rPr>
          <w:szCs w:val="22"/>
        </w:rPr>
        <w:t>”</w:t>
      </w:r>
      <w:r>
        <w:rPr>
          <w:rStyle w:val="FootnoteReference"/>
          <w:szCs w:val="22"/>
        </w:rPr>
        <w:footnoteReference w:id="26"/>
      </w:r>
      <w:r w:rsidR="007D0625">
        <w:rPr>
          <w:szCs w:val="22"/>
        </w:rPr>
        <w:t xml:space="preserve">  Finally, with regard to operating expenses, Securus again recommends </w:t>
      </w:r>
      <w:r w:rsidR="007704CE">
        <w:rPr>
          <w:szCs w:val="22"/>
        </w:rPr>
        <w:t>allowing providers to “report a single operating expense total” to reduce reporting burdens.</w:t>
      </w:r>
      <w:r>
        <w:rPr>
          <w:rStyle w:val="FootnoteReference"/>
          <w:szCs w:val="22"/>
        </w:rPr>
        <w:footnoteReference w:id="27"/>
      </w:r>
      <w:r w:rsidR="008D2132">
        <w:rPr>
          <w:szCs w:val="22"/>
        </w:rPr>
        <w:t xml:space="preserve"> </w:t>
      </w:r>
      <w:r w:rsidR="00540DA1">
        <w:rPr>
          <w:szCs w:val="22"/>
        </w:rPr>
        <w:t xml:space="preserve"> </w:t>
      </w:r>
      <w:r w:rsidR="009501FC">
        <w:rPr>
          <w:szCs w:val="22"/>
        </w:rPr>
        <w:t>We invite comment on th</w:t>
      </w:r>
      <w:r w:rsidR="0093107D">
        <w:rPr>
          <w:szCs w:val="22"/>
        </w:rPr>
        <w:t>ese</w:t>
      </w:r>
      <w:r w:rsidR="009501FC">
        <w:rPr>
          <w:szCs w:val="22"/>
        </w:rPr>
        <w:t xml:space="preserve"> proposal</w:t>
      </w:r>
      <w:r w:rsidR="0093107D">
        <w:rPr>
          <w:szCs w:val="22"/>
        </w:rPr>
        <w:t>s</w:t>
      </w:r>
      <w:r w:rsidR="009501FC">
        <w:rPr>
          <w:szCs w:val="22"/>
        </w:rPr>
        <w:t>.</w:t>
      </w:r>
      <w:r w:rsidR="007620DB">
        <w:rPr>
          <w:szCs w:val="22"/>
        </w:rPr>
        <w:t xml:space="preserve">  Securus argues that “[n]one of the consolidations proposed diminish the accuracy of reported data” and that by simplifying </w:t>
      </w:r>
      <w:r w:rsidR="00FD7E54">
        <w:rPr>
          <w:szCs w:val="22"/>
        </w:rPr>
        <w:t xml:space="preserve">reporting requirements, “data quality </w:t>
      </w:r>
      <w:r w:rsidR="00843AC1">
        <w:rPr>
          <w:szCs w:val="22"/>
        </w:rPr>
        <w:t xml:space="preserve">likely would </w:t>
      </w:r>
      <w:r w:rsidR="00A15946">
        <w:rPr>
          <w:szCs w:val="22"/>
        </w:rPr>
        <w:t>improve</w:t>
      </w:r>
      <w:r w:rsidR="00843AC1">
        <w:rPr>
          <w:szCs w:val="22"/>
        </w:rPr>
        <w:t xml:space="preserve"> </w:t>
      </w:r>
      <w:r w:rsidR="00A15946">
        <w:rPr>
          <w:szCs w:val="22"/>
        </w:rPr>
        <w:t>as providers need only report asset and expense totals much more readily available from their internal accounting processes and will result in more consistent aggregate totals as the variation between providers in intra-category allocations would no longer be a source of potential reporting differences.”</w:t>
      </w:r>
      <w:r>
        <w:rPr>
          <w:rStyle w:val="FootnoteReference"/>
          <w:szCs w:val="22"/>
        </w:rPr>
        <w:footnoteReference w:id="28"/>
      </w:r>
      <w:r w:rsidR="00A15946">
        <w:rPr>
          <w:szCs w:val="22"/>
        </w:rPr>
        <w:t xml:space="preserve">  Do commenters agree?  Why or why not?</w:t>
      </w:r>
      <w:r w:rsidR="009501FC">
        <w:rPr>
          <w:szCs w:val="22"/>
        </w:rPr>
        <w:t xml:space="preserve"> </w:t>
      </w:r>
      <w:r w:rsidR="008548F3">
        <w:rPr>
          <w:szCs w:val="22"/>
        </w:rPr>
        <w:t xml:space="preserve"> </w:t>
      </w:r>
      <w:r w:rsidR="00721664">
        <w:rPr>
          <w:szCs w:val="22"/>
        </w:rPr>
        <w:t>W</w:t>
      </w:r>
      <w:r w:rsidR="008548F3">
        <w:rPr>
          <w:szCs w:val="22"/>
        </w:rPr>
        <w:t xml:space="preserve">e request that commenters </w:t>
      </w:r>
      <w:r w:rsidR="00A31D0D">
        <w:rPr>
          <w:szCs w:val="22"/>
        </w:rPr>
        <w:t>include</w:t>
      </w:r>
      <w:r w:rsidR="008548F3">
        <w:rPr>
          <w:szCs w:val="22"/>
        </w:rPr>
        <w:t xml:space="preserve"> specific edits to the draft template documents to reflect proposed changes.</w:t>
      </w:r>
    </w:p>
    <w:p w:rsidR="00AF6BD9" w:rsidP="00E92CBD" w14:paraId="1ED33D20" w14:textId="03901BAD">
      <w:pPr>
        <w:pStyle w:val="ParaNum"/>
        <w:widowControl/>
        <w:numPr>
          <w:ilvl w:val="0"/>
          <w:numId w:val="0"/>
        </w:numPr>
        <w:ind w:firstLine="720"/>
      </w:pPr>
      <w:r>
        <w:rPr>
          <w:i/>
          <w:iCs/>
        </w:rPr>
        <w:t>Ancillary Service Charges</w:t>
      </w:r>
      <w:r w:rsidR="00E22C0F">
        <w:rPr>
          <w:i/>
          <w:iCs/>
        </w:rPr>
        <w:t xml:space="preserve"> and IPCS-Related </w:t>
      </w:r>
      <w:r w:rsidR="001C7F9E">
        <w:rPr>
          <w:i/>
          <w:iCs/>
        </w:rPr>
        <w:t>Payment Processing Services</w:t>
      </w:r>
      <w:r>
        <w:rPr>
          <w:i/>
          <w:iCs/>
        </w:rPr>
        <w:t xml:space="preserve">.  </w:t>
      </w:r>
      <w:r w:rsidR="009911D9">
        <w:t>Since</w:t>
      </w:r>
      <w:r>
        <w:t xml:space="preserve"> the Commission</w:t>
      </w:r>
      <w:r w:rsidR="00BF2541">
        <w:t>’s rules</w:t>
      </w:r>
      <w:r>
        <w:t xml:space="preserve"> prohibit ancillary service charges,</w:t>
      </w:r>
      <w:r>
        <w:rPr>
          <w:rStyle w:val="FootnoteReference"/>
        </w:rPr>
        <w:footnoteReference w:id="29"/>
      </w:r>
      <w:r>
        <w:t xml:space="preserve"> we propose to </w:t>
      </w:r>
      <w:r w:rsidR="00A554BF">
        <w:t xml:space="preserve">eliminate reporting for </w:t>
      </w:r>
      <w:r w:rsidR="00463FD5">
        <w:t xml:space="preserve">the categories of ancillary services </w:t>
      </w:r>
      <w:r w:rsidR="00665C03">
        <w:t xml:space="preserve">previously included </w:t>
      </w:r>
      <w:r>
        <w:t>in the 202</w:t>
      </w:r>
      <w:r w:rsidR="00E45DF5">
        <w:t>3</w:t>
      </w:r>
      <w:r>
        <w:t xml:space="preserve"> Mandatory Data Collection</w:t>
      </w:r>
      <w:r>
        <w:rPr>
          <w:rStyle w:val="FootnoteReference"/>
        </w:rPr>
        <w:footnoteReference w:id="30"/>
      </w:r>
      <w:r w:rsidR="00A554BF">
        <w:t xml:space="preserve"> </w:t>
      </w:r>
      <w:r w:rsidR="006B50A5">
        <w:t xml:space="preserve">and </w:t>
      </w:r>
      <w:r>
        <w:t xml:space="preserve">instead </w:t>
      </w:r>
      <w:r w:rsidR="005D0DAF">
        <w:t xml:space="preserve">propose </w:t>
      </w:r>
      <w:r>
        <w:t>to require providers to report company-wide data regarding IPCS</w:t>
      </w:r>
      <w:r w:rsidR="007D15B0">
        <w:t>-</w:t>
      </w:r>
      <w:r>
        <w:t>related payment processing services</w:t>
      </w:r>
      <w:r w:rsidR="008F7BB7">
        <w:t xml:space="preserve">, which we propose to define to mean </w:t>
      </w:r>
      <w:r>
        <w:t>“any service</w:t>
      </w:r>
      <w:r w:rsidR="00BF3B06">
        <w:t>,</w:t>
      </w:r>
      <w:r>
        <w:t xml:space="preserve"> </w:t>
      </w:r>
      <w:r w:rsidR="00BF3B06">
        <w:t>including fraud detection, provided by a Third Party to process a Customer’s financial transaction for which the Provider pays a fee</w:t>
      </w:r>
      <w:r>
        <w:t>.”</w:t>
      </w:r>
      <w:r>
        <w:rPr>
          <w:rStyle w:val="FootnoteReference"/>
        </w:rPr>
        <w:footnoteReference w:id="31"/>
      </w:r>
      <w:r>
        <w:t xml:space="preserve">  </w:t>
      </w:r>
      <w:r w:rsidR="00436063">
        <w:t>We also propose that this term include fees associated with chargeback amounts</w:t>
      </w:r>
      <w:r w:rsidR="00E10F96">
        <w:t xml:space="preserve"> </w:t>
      </w:r>
      <w:r w:rsidR="00436063">
        <w:t>but exclude the chargeback amounts themselves</w:t>
      </w:r>
      <w:r w:rsidR="00C91065">
        <w:t xml:space="preserve"> in order to </w:t>
      </w:r>
      <w:r w:rsidR="00200595">
        <w:t xml:space="preserve">identify </w:t>
      </w:r>
      <w:r w:rsidR="001A5E7A">
        <w:t xml:space="preserve">the </w:t>
      </w:r>
      <w:r w:rsidR="002C59C6">
        <w:t xml:space="preserve">fees providers incur to process </w:t>
      </w:r>
      <w:r w:rsidR="00B60B08">
        <w:t>financial transaction</w:t>
      </w:r>
      <w:r w:rsidR="0091023E">
        <w:t>s</w:t>
      </w:r>
      <w:r w:rsidR="00436063">
        <w:t>.</w:t>
      </w:r>
      <w:r>
        <w:rPr>
          <w:rStyle w:val="FootnoteReference"/>
        </w:rPr>
        <w:footnoteReference w:id="32"/>
      </w:r>
      <w:r w:rsidR="004A0886">
        <w:t xml:space="preserve">  </w:t>
      </w:r>
      <w:r w:rsidR="00845EB5">
        <w:t xml:space="preserve">In addition, the </w:t>
      </w:r>
      <w:r w:rsidR="00EE7D92">
        <w:t xml:space="preserve">draft </w:t>
      </w:r>
      <w:r w:rsidR="004A0886">
        <w:t xml:space="preserve">instructions </w:t>
      </w:r>
      <w:r w:rsidR="00845EB5">
        <w:t xml:space="preserve">propose </w:t>
      </w:r>
      <w:r w:rsidR="00BA198A">
        <w:t xml:space="preserve">steps for providers to follow in allocating IPCS-related payment processing </w:t>
      </w:r>
      <w:r w:rsidR="00BA198A">
        <w:t>services.</w:t>
      </w:r>
      <w:r w:rsidR="00D23C3B">
        <w:t xml:space="preserve">  We seek comment on this approach</w:t>
      </w:r>
      <w:r>
        <w:t xml:space="preserve"> and, in particular, on our proposed definition and the relevant cost allocation instructions.</w:t>
      </w:r>
    </w:p>
    <w:p w:rsidR="00B20C85" w:rsidP="00E92CBD" w14:paraId="6BAD1B72" w14:textId="0E0C32C8">
      <w:pPr>
        <w:pStyle w:val="ParaNum"/>
        <w:widowControl/>
        <w:numPr>
          <w:ilvl w:val="0"/>
          <w:numId w:val="0"/>
        </w:numPr>
        <w:ind w:firstLine="720"/>
      </w:pPr>
      <w:r>
        <w:t>W</w:t>
      </w:r>
      <w:r>
        <w:t xml:space="preserve">e also propose new Word </w:t>
      </w:r>
      <w:r w:rsidR="008A0861">
        <w:t>t</w:t>
      </w:r>
      <w:r>
        <w:t>emplate questions regarding IPCS-related payment processing services</w:t>
      </w:r>
      <w:r w:rsidR="005E5CEC">
        <w:t xml:space="preserve">, including requiring providers to </w:t>
      </w:r>
      <w:r w:rsidRPr="005E5CEC" w:rsidR="005E5CEC">
        <w:t xml:space="preserve">identify the </w:t>
      </w:r>
      <w:r w:rsidR="00F1754B">
        <w:t>t</w:t>
      </w:r>
      <w:r w:rsidRPr="005E5CEC" w:rsidR="005E5CEC">
        <w:t xml:space="preserve">hird </w:t>
      </w:r>
      <w:r w:rsidR="00AD40BD">
        <w:t>p</w:t>
      </w:r>
      <w:r w:rsidRPr="005E5CEC" w:rsidR="005E5CEC">
        <w:t>arty payment processors used and the total amount paid to each</w:t>
      </w:r>
      <w:r>
        <w:t xml:space="preserve">.  We </w:t>
      </w:r>
      <w:r w:rsidR="007B48FA">
        <w:t xml:space="preserve">seek comment on these </w:t>
      </w:r>
      <w:r w:rsidR="001F7E47">
        <w:t xml:space="preserve">proposed </w:t>
      </w:r>
      <w:r w:rsidR="007B48FA">
        <w:t>questions.  Are there other questions we should ask to help the Commission understand how providers incur costs in processing financial transactions</w:t>
      </w:r>
      <w:r w:rsidR="00F1754B">
        <w:t xml:space="preserve"> </w:t>
      </w:r>
      <w:r w:rsidR="00E558A8">
        <w:t>using</w:t>
      </w:r>
      <w:r w:rsidR="007B48FA">
        <w:t xml:space="preserve"> third</w:t>
      </w:r>
      <w:r w:rsidR="006F7294">
        <w:t xml:space="preserve"> </w:t>
      </w:r>
      <w:r w:rsidR="007B48FA">
        <w:t>part</w:t>
      </w:r>
      <w:r w:rsidR="00F1754B">
        <w:t>ies</w:t>
      </w:r>
      <w:r w:rsidR="007B48FA">
        <w:t>?  If so, what questions do commenters suggest</w:t>
      </w:r>
      <w:r w:rsidR="00C0396F">
        <w:t>?</w:t>
      </w:r>
      <w:r w:rsidR="007B48FA">
        <w:t xml:space="preserve">  We note that in proposing revisions to the reporting of ancillary service charges in the 2026 Mandatory Data Collection, we make no findings regarding the broader issue </w:t>
      </w:r>
      <w:r w:rsidR="008A7ED6">
        <w:t xml:space="preserve">on which </w:t>
      </w:r>
      <w:r w:rsidR="007B48FA">
        <w:t xml:space="preserve">the Commission </w:t>
      </w:r>
      <w:r w:rsidR="00283535">
        <w:t xml:space="preserve">sought comment </w:t>
      </w:r>
      <w:r w:rsidR="007B48FA">
        <w:t xml:space="preserve">in the </w:t>
      </w:r>
      <w:r w:rsidR="007B48FA">
        <w:rPr>
          <w:i/>
          <w:iCs/>
        </w:rPr>
        <w:t>2025 IPCS Notice</w:t>
      </w:r>
      <w:r w:rsidR="007B48FA">
        <w:t xml:space="preserve"> as to whether certain ancillary service charges should be reinstated or whether the current prohibition on ancillary service charges should be retained.</w:t>
      </w:r>
      <w:r>
        <w:rPr>
          <w:rStyle w:val="FootnoteReference"/>
        </w:rPr>
        <w:footnoteReference w:id="33"/>
      </w:r>
      <w:r w:rsidR="00B8753B">
        <w:t xml:space="preserve">  </w:t>
      </w:r>
    </w:p>
    <w:p w:rsidR="007A5787" w:rsidP="00E92CBD" w14:paraId="23C4CF15" w14:textId="66CCDD28">
      <w:pPr>
        <w:pStyle w:val="ParaNum"/>
        <w:widowControl/>
        <w:numPr>
          <w:ilvl w:val="0"/>
          <w:numId w:val="0"/>
        </w:numPr>
        <w:ind w:firstLine="720"/>
      </w:pPr>
      <w:r>
        <w:rPr>
          <w:i/>
          <w:iCs/>
        </w:rPr>
        <w:t xml:space="preserve">IPCS </w:t>
      </w:r>
      <w:r w:rsidR="00B8691C">
        <w:rPr>
          <w:i/>
          <w:iCs/>
        </w:rPr>
        <w:t xml:space="preserve">Provider </w:t>
      </w:r>
      <w:r>
        <w:rPr>
          <w:i/>
          <w:iCs/>
        </w:rPr>
        <w:t>Payments to Correctional Facilities for Used and Useful IPCS Costs</w:t>
      </w:r>
      <w:r>
        <w:t>.</w:t>
      </w:r>
      <w:r w:rsidR="00C927AB">
        <w:t xml:space="preserve">  </w:t>
      </w:r>
      <w:r w:rsidR="00390F68">
        <w:t xml:space="preserve">To </w:t>
      </w:r>
      <w:r w:rsidR="00392B08">
        <w:t xml:space="preserve">assist the Commission in </w:t>
      </w:r>
      <w:r w:rsidR="00484C3B">
        <w:t xml:space="preserve">determining how </w:t>
      </w:r>
      <w:r w:rsidR="00460B28">
        <w:t xml:space="preserve">to </w:t>
      </w:r>
      <w:r w:rsidR="00824414">
        <w:t>structur</w:t>
      </w:r>
      <w:r w:rsidR="004C60F8">
        <w:t xml:space="preserve">e </w:t>
      </w:r>
      <w:r w:rsidR="00AB7F94">
        <w:t xml:space="preserve">possible </w:t>
      </w:r>
      <w:r w:rsidR="004C60F8">
        <w:t xml:space="preserve">rate additives to account for used and useful correctional facility costs, we </w:t>
      </w:r>
      <w:r w:rsidR="005E3484">
        <w:t>seek comment on requiring</w:t>
      </w:r>
      <w:r w:rsidR="004C60F8">
        <w:t xml:space="preserve"> IPCS providers to report </w:t>
      </w:r>
      <w:r w:rsidR="007C4CE3">
        <w:t xml:space="preserve">their </w:t>
      </w:r>
      <w:r w:rsidR="00AC79AD">
        <w:t xml:space="preserve">payments to correctional facilities.  </w:t>
      </w:r>
      <w:r w:rsidR="003B7E0F">
        <w:t xml:space="preserve">In the </w:t>
      </w:r>
      <w:r w:rsidRPr="003B2E20" w:rsidR="003B7E0F">
        <w:rPr>
          <w:i/>
          <w:iCs/>
        </w:rPr>
        <w:t>2024 IPCS Order</w:t>
      </w:r>
      <w:r w:rsidR="003B7E0F">
        <w:t>, t</w:t>
      </w:r>
      <w:r w:rsidR="00895932">
        <w:t xml:space="preserve">he Commission </w:t>
      </w:r>
      <w:r w:rsidR="00A44810">
        <w:t xml:space="preserve">permitted </w:t>
      </w:r>
      <w:r w:rsidR="00E657CE">
        <w:t xml:space="preserve">IPCS </w:t>
      </w:r>
      <w:r w:rsidR="00A44810">
        <w:t xml:space="preserve">providers to </w:t>
      </w:r>
      <w:r w:rsidR="00833083">
        <w:t xml:space="preserve">negotiate </w:t>
      </w:r>
      <w:r w:rsidR="00A44810">
        <w:t>reimburse</w:t>
      </w:r>
      <w:r w:rsidR="00C563F4">
        <w:t>ment</w:t>
      </w:r>
      <w:r w:rsidR="00A44810">
        <w:t xml:space="preserve"> </w:t>
      </w:r>
      <w:r w:rsidR="00955DC1">
        <w:t xml:space="preserve">of </w:t>
      </w:r>
      <w:r w:rsidR="00FB300D">
        <w:t>such costs</w:t>
      </w:r>
      <w:r w:rsidR="00955DC1">
        <w:t xml:space="preserve"> with correctional facilities</w:t>
      </w:r>
      <w:r w:rsidR="003B7E0F">
        <w:t>.</w:t>
      </w:r>
      <w:r>
        <w:rPr>
          <w:rStyle w:val="FootnoteReference"/>
        </w:rPr>
        <w:footnoteReference w:id="34"/>
      </w:r>
      <w:r w:rsidR="003B7E0F">
        <w:t xml:space="preserve">  </w:t>
      </w:r>
      <w:r w:rsidR="00F47258">
        <w:t xml:space="preserve">As part of the interim reforms adopted in the </w:t>
      </w:r>
      <w:r w:rsidR="00F47258">
        <w:rPr>
          <w:i/>
          <w:iCs/>
        </w:rPr>
        <w:t>2025 IPCS Order</w:t>
      </w:r>
      <w:r w:rsidR="00F47258">
        <w:t xml:space="preserve">, the Commission adopted an interim facility cost rate additive </w:t>
      </w:r>
      <w:r w:rsidR="00C747FA">
        <w:t>of up to $0.02 per minute</w:t>
      </w:r>
      <w:r w:rsidR="00AC79AD">
        <w:t xml:space="preserve"> </w:t>
      </w:r>
      <w:r w:rsidR="00C747FA">
        <w:t xml:space="preserve">to account for the </w:t>
      </w:r>
      <w:r w:rsidR="007C4CE3">
        <w:t xml:space="preserve">used and useful </w:t>
      </w:r>
      <w:r w:rsidR="00C747FA">
        <w:t>costs correctional facilities incur in allowing access to IPCS.</w:t>
      </w:r>
      <w:r>
        <w:rPr>
          <w:rStyle w:val="FootnoteReference"/>
        </w:rPr>
        <w:footnoteReference w:id="35"/>
      </w:r>
      <w:r w:rsidR="00AC79AD">
        <w:t xml:space="preserve">  This interim additive currently applies to all facility types and size tiers.</w:t>
      </w:r>
      <w:r>
        <w:rPr>
          <w:rStyle w:val="FootnoteReference"/>
        </w:rPr>
        <w:footnoteReference w:id="36"/>
      </w:r>
      <w:r w:rsidR="00AC79AD">
        <w:t xml:space="preserve">  In the </w:t>
      </w:r>
      <w:r w:rsidR="00AC79AD">
        <w:rPr>
          <w:i/>
          <w:iCs/>
        </w:rPr>
        <w:t>2025 IPCS Notice</w:t>
      </w:r>
      <w:r w:rsidR="00AC79AD">
        <w:t xml:space="preserve">, the Commission sought comment on </w:t>
      </w:r>
      <w:r w:rsidR="00D97E51">
        <w:t xml:space="preserve">how </w:t>
      </w:r>
      <w:r w:rsidR="00250B78">
        <w:t>it</w:t>
      </w:r>
      <w:r w:rsidR="00D97E51">
        <w:t xml:space="preserve"> should structure permanent rate additives to account for correctional facility costs</w:t>
      </w:r>
      <w:r w:rsidR="009B6939">
        <w:t xml:space="preserve">, including whether to </w:t>
      </w:r>
      <w:r w:rsidR="00760ADB">
        <w:t>adopt additives that vary by correctional facility size</w:t>
      </w:r>
      <w:r w:rsidR="00D97E51">
        <w:t>.</w:t>
      </w:r>
      <w:r>
        <w:rPr>
          <w:rStyle w:val="FootnoteReference"/>
        </w:rPr>
        <w:footnoteReference w:id="37"/>
      </w:r>
      <w:r w:rsidR="00591AEE">
        <w:t xml:space="preserve">  To assist in the Commission</w:t>
      </w:r>
      <w:r w:rsidR="00760ADB">
        <w:t>’</w:t>
      </w:r>
      <w:r w:rsidR="00591AEE">
        <w:t>s consideration of th</w:t>
      </w:r>
      <w:r w:rsidR="000747B9">
        <w:t>is issue</w:t>
      </w:r>
      <w:r w:rsidR="00591AEE">
        <w:t>, we</w:t>
      </w:r>
      <w:r w:rsidR="0083298E">
        <w:t xml:space="preserve"> seek comment on </w:t>
      </w:r>
      <w:r w:rsidR="00435E5F">
        <w:t>requir</w:t>
      </w:r>
      <w:r w:rsidR="0083298E">
        <w:t>ing</w:t>
      </w:r>
      <w:r w:rsidR="00435E5F">
        <w:t xml:space="preserve"> IPCS providers to report total mon</w:t>
      </w:r>
      <w:r w:rsidR="00B82E33">
        <w:t>etary</w:t>
      </w:r>
      <w:r w:rsidR="00435E5F">
        <w:t xml:space="preserve"> and</w:t>
      </w:r>
      <w:r w:rsidR="00130836">
        <w:t xml:space="preserve"> total</w:t>
      </w:r>
      <w:r w:rsidR="00435E5F">
        <w:t xml:space="preserve"> in-kind payments to correctional facilities for used and useful IPCS costs paid during the reporting period</w:t>
      </w:r>
      <w:r w:rsidR="00236761">
        <w:t xml:space="preserve">.  </w:t>
      </w:r>
      <w:r w:rsidR="005F167E">
        <w:t xml:space="preserve">We seek comment on this </w:t>
      </w:r>
      <w:r w:rsidR="007729E5">
        <w:t>approach</w:t>
      </w:r>
      <w:r w:rsidR="009C529D">
        <w:t xml:space="preserve"> and</w:t>
      </w:r>
      <w:r w:rsidR="000660E8">
        <w:t xml:space="preserve"> whether </w:t>
      </w:r>
      <w:r w:rsidR="00520621">
        <w:t xml:space="preserve">and how the resulting data </w:t>
      </w:r>
      <w:r w:rsidR="008C6449">
        <w:t xml:space="preserve">will assist the Commission in considering </w:t>
      </w:r>
      <w:r w:rsidR="00CD4022">
        <w:t>rate additives to account for use</w:t>
      </w:r>
      <w:r w:rsidR="000747B9">
        <w:t>d</w:t>
      </w:r>
      <w:r w:rsidR="00CD4022">
        <w:t xml:space="preserve"> and useful correctional facility costs.</w:t>
      </w:r>
      <w:r w:rsidR="00760ADB">
        <w:t xml:space="preserve">  </w:t>
      </w:r>
      <w:r w:rsidRPr="007A7CDD" w:rsidR="00654568">
        <w:t xml:space="preserve">In particular, we </w:t>
      </w:r>
      <w:r w:rsidRPr="007A7CDD" w:rsidR="00B44668">
        <w:t xml:space="preserve">seek comment on </w:t>
      </w:r>
      <w:r w:rsidRPr="007A7CDD" w:rsidR="009A382D">
        <w:t>what, if any, additional information the Commission</w:t>
      </w:r>
      <w:r w:rsidRPr="007A7CDD" w:rsidR="00B44668">
        <w:t xml:space="preserve"> </w:t>
      </w:r>
      <w:r w:rsidRPr="007A7CDD" w:rsidR="00DE442F">
        <w:t xml:space="preserve">should collect to </w:t>
      </w:r>
      <w:r w:rsidRPr="007A7CDD" w:rsidR="004C5C06">
        <w:t>verify</w:t>
      </w:r>
      <w:r w:rsidRPr="007A7CDD" w:rsidR="00DE442F">
        <w:t xml:space="preserve"> that the reported costs are </w:t>
      </w:r>
      <w:r w:rsidRPr="007A7CDD" w:rsidR="00360B8A">
        <w:t>for</w:t>
      </w:r>
      <w:r w:rsidRPr="007A7CDD" w:rsidR="00DE442F">
        <w:t xml:space="preserve"> used and useful</w:t>
      </w:r>
      <w:r w:rsidRPr="007A7CDD" w:rsidR="00574374">
        <w:t xml:space="preserve"> costs</w:t>
      </w:r>
      <w:r w:rsidRPr="007A7CDD" w:rsidR="004C5C06">
        <w:t>.</w:t>
      </w:r>
      <w:r w:rsidR="004C5C06">
        <w:t xml:space="preserve">  </w:t>
      </w:r>
      <w:r w:rsidR="00354097">
        <w:t xml:space="preserve">Are there other data the Commission should collect that would assist </w:t>
      </w:r>
      <w:r w:rsidR="002B467A">
        <w:t>it</w:t>
      </w:r>
      <w:r w:rsidR="00354097">
        <w:t xml:space="preserve"> in </w:t>
      </w:r>
      <w:r w:rsidR="00760ED2">
        <w:t>determining</w:t>
      </w:r>
      <w:r w:rsidR="00354097">
        <w:t xml:space="preserve"> how to structure </w:t>
      </w:r>
      <w:r w:rsidR="002B467A">
        <w:t xml:space="preserve">possible, </w:t>
      </w:r>
      <w:r w:rsidR="00354097">
        <w:t>permanent rate additives and that would</w:t>
      </w:r>
      <w:r w:rsidR="000013DE">
        <w:t xml:space="preserve"> reasonably</w:t>
      </w:r>
      <w:r w:rsidR="00354097">
        <w:t xml:space="preserve"> </w:t>
      </w:r>
      <w:r w:rsidR="00760ED2">
        <w:t>be in the possession of IPCS providers?</w:t>
      </w:r>
      <w:r>
        <w:rPr>
          <w:rStyle w:val="FootnoteReference"/>
        </w:rPr>
        <w:footnoteReference w:id="38"/>
      </w:r>
      <w:r w:rsidR="00760ED2">
        <w:t xml:space="preserve">  If so, what are those data and how should the Commission collect them?</w:t>
      </w:r>
      <w:r w:rsidR="006D4E84">
        <w:t xml:space="preserve">  </w:t>
      </w:r>
    </w:p>
    <w:p w:rsidR="00607953" w:rsidP="000776A0" w14:paraId="37239209" w14:textId="4E60F0E0">
      <w:pPr>
        <w:pStyle w:val="ParaNum"/>
        <w:widowControl/>
        <w:numPr>
          <w:ilvl w:val="0"/>
          <w:numId w:val="0"/>
        </w:numPr>
        <w:ind w:firstLine="720"/>
      </w:pPr>
      <w:r>
        <w:rPr>
          <w:i/>
          <w:iCs/>
        </w:rPr>
        <w:t>Safety and Security Measures.</w:t>
      </w:r>
      <w:r w:rsidR="00BC6AA6">
        <w:t xml:space="preserve">  </w:t>
      </w:r>
      <w:r w:rsidR="00627BEB">
        <w:t>We</w:t>
      </w:r>
      <w:r w:rsidR="00210712">
        <w:t xml:space="preserve"> seek comment on </w:t>
      </w:r>
      <w:r w:rsidR="00671B1C">
        <w:t>using a measure-based approach to reporting safety and security measures that allows for</w:t>
      </w:r>
      <w:r w:rsidR="00CB3B21">
        <w:t xml:space="preserve"> the collection of more granular data</w:t>
      </w:r>
      <w:r w:rsidR="00B72104">
        <w:t>,</w:t>
      </w:r>
      <w:r w:rsidR="00CB3B21">
        <w:t xml:space="preserve"> consistent with the </w:t>
      </w:r>
      <w:r w:rsidR="00CB3B21">
        <w:rPr>
          <w:i/>
          <w:iCs/>
        </w:rPr>
        <w:t>2025 IPCS Order</w:t>
      </w:r>
      <w:r w:rsidR="00B72104">
        <w:t>,</w:t>
      </w:r>
      <w:r w:rsidR="00671B1C">
        <w:t xml:space="preserve"> </w:t>
      </w:r>
      <w:r w:rsidR="009A1C34">
        <w:t xml:space="preserve">while giving providers </w:t>
      </w:r>
      <w:r w:rsidR="000E6A7A">
        <w:t>the flexibility to report the</w:t>
      </w:r>
      <w:r w:rsidR="002C2FC7">
        <w:t>ir</w:t>
      </w:r>
      <w:r w:rsidR="000E6A7A">
        <w:t xml:space="preserve"> safety and security measures </w:t>
      </w:r>
      <w:r w:rsidR="00464926">
        <w:t xml:space="preserve">as they offer </w:t>
      </w:r>
      <w:r w:rsidR="002C2FC7">
        <w:t xml:space="preserve">them rather than </w:t>
      </w:r>
      <w:r w:rsidR="00C57470">
        <w:t xml:space="preserve">requiring them </w:t>
      </w:r>
      <w:r w:rsidR="002C2FC7">
        <w:t xml:space="preserve">to </w:t>
      </w:r>
      <w:r w:rsidR="00502881">
        <w:t xml:space="preserve">allocate </w:t>
      </w:r>
      <w:r w:rsidR="00936604">
        <w:t xml:space="preserve">the costs of </w:t>
      </w:r>
      <w:r w:rsidR="00A82F0E">
        <w:t>those measures</w:t>
      </w:r>
      <w:r w:rsidR="0038173B">
        <w:t xml:space="preserve"> to predetermined categories.  </w:t>
      </w:r>
      <w:r w:rsidR="00BF558B">
        <w:t xml:space="preserve">In the 2023 Mandatory Data Collection, </w:t>
      </w:r>
      <w:r w:rsidR="00793782">
        <w:t xml:space="preserve">the Commission </w:t>
      </w:r>
      <w:r w:rsidR="00286799">
        <w:t>collect</w:t>
      </w:r>
      <w:r w:rsidR="00FE1ADE">
        <w:t>ed</w:t>
      </w:r>
      <w:r w:rsidR="00286799">
        <w:t xml:space="preserve"> </w:t>
      </w:r>
      <w:r w:rsidR="005B04C8">
        <w:t xml:space="preserve">category-based </w:t>
      </w:r>
      <w:r w:rsidR="00793782">
        <w:t xml:space="preserve">information concerning safety and security services offered by </w:t>
      </w:r>
      <w:r w:rsidR="00937662">
        <w:t xml:space="preserve">IPCS </w:t>
      </w:r>
      <w:r w:rsidR="00793782">
        <w:t>providers</w:t>
      </w:r>
      <w:r w:rsidR="00230E28">
        <w:t xml:space="preserve"> to facilitate the Commission’s consideration of safety and security measures</w:t>
      </w:r>
      <w:r w:rsidR="00C75F8C">
        <w:t xml:space="preserve">.  The Commission structured reporting of safety and security expenses by requiring </w:t>
      </w:r>
      <w:r w:rsidR="00837071">
        <w:t>providers</w:t>
      </w:r>
      <w:r w:rsidR="00C75F8C">
        <w:t xml:space="preserve"> to allocate their expenses across </w:t>
      </w:r>
      <w:r w:rsidR="00837071">
        <w:t>seven</w:t>
      </w:r>
      <w:r w:rsidR="00C75F8C">
        <w:t xml:space="preserve"> different cost categories.</w:t>
      </w:r>
      <w:r>
        <w:rPr>
          <w:rStyle w:val="FootnoteReference"/>
        </w:rPr>
        <w:footnoteReference w:id="39"/>
      </w:r>
      <w:r w:rsidR="00FE690E">
        <w:t xml:space="preserve">  </w:t>
      </w:r>
      <w:r w:rsidR="00230E28">
        <w:t>Th</w:t>
      </w:r>
      <w:r w:rsidR="00B96ACF">
        <w:t>is approach</w:t>
      </w:r>
      <w:r w:rsidR="002967D4">
        <w:t xml:space="preserve"> produced imperfect data </w:t>
      </w:r>
      <w:r w:rsidR="00B77A22">
        <w:t xml:space="preserve">for purposes of ratemaking </w:t>
      </w:r>
      <w:r w:rsidR="002967D4">
        <w:t xml:space="preserve">for at least two reasons.  </w:t>
      </w:r>
      <w:r w:rsidR="00B96ACF">
        <w:t xml:space="preserve">First, as the Commission acknowledged, </w:t>
      </w:r>
      <w:r w:rsidR="00013D66">
        <w:t>“the categories of safety and security costs in the 2023 Mandatory Data Collection [were] imprecise</w:t>
      </w:r>
      <w:r w:rsidR="002967D4">
        <w:t>.”</w:t>
      </w:r>
      <w:r>
        <w:rPr>
          <w:rStyle w:val="FootnoteReference"/>
        </w:rPr>
        <w:footnoteReference w:id="40"/>
      </w:r>
      <w:r w:rsidR="00BC4B0B">
        <w:t xml:space="preserve">  This </w:t>
      </w:r>
      <w:r w:rsidR="0043002D">
        <w:t>mean</w:t>
      </w:r>
      <w:r w:rsidR="00B77A22">
        <w:t>t</w:t>
      </w:r>
      <w:r w:rsidR="0043002D">
        <w:t xml:space="preserve"> that</w:t>
      </w:r>
      <w:r w:rsidR="00A3760A">
        <w:t xml:space="preserve"> safety and security costs “c</w:t>
      </w:r>
      <w:r w:rsidR="00B77A22">
        <w:t>[</w:t>
      </w:r>
      <w:r w:rsidR="00B77A22">
        <w:t>ould</w:t>
      </w:r>
      <w:r w:rsidR="00B77A22">
        <w:t>]</w:t>
      </w:r>
      <w:r w:rsidR="00A3760A">
        <w:t xml:space="preserve"> be allocated among different security categories or functions in many ways.”</w:t>
      </w:r>
      <w:r>
        <w:rPr>
          <w:rStyle w:val="FootnoteReference"/>
        </w:rPr>
        <w:footnoteReference w:id="41"/>
      </w:r>
      <w:r w:rsidR="005B71FF">
        <w:t xml:space="preserve">  Second, and relatedly, </w:t>
      </w:r>
      <w:r w:rsidR="0065249C">
        <w:t>providers’ allocations of their safety and security costs were “at times inexact among these categories.”</w:t>
      </w:r>
      <w:r>
        <w:rPr>
          <w:rStyle w:val="FootnoteReference"/>
        </w:rPr>
        <w:footnoteReference w:id="42"/>
      </w:r>
      <w:r w:rsidR="00C37A4C">
        <w:t xml:space="preserve">  </w:t>
      </w:r>
    </w:p>
    <w:p w:rsidR="00EB3B48" w:rsidP="004871D3" w14:paraId="54F471B2" w14:textId="0C46DBF2">
      <w:pPr>
        <w:pStyle w:val="ParaNum"/>
        <w:widowControl/>
        <w:numPr>
          <w:ilvl w:val="0"/>
          <w:numId w:val="0"/>
        </w:numPr>
        <w:ind w:firstLine="720"/>
      </w:pPr>
      <w:r>
        <w:t>Notwithstanding</w:t>
      </w:r>
      <w:r w:rsidR="004C0DA5">
        <w:t xml:space="preserve"> these </w:t>
      </w:r>
      <w:r w:rsidR="00344436">
        <w:t>imperfections</w:t>
      </w:r>
      <w:r w:rsidR="004C0DA5">
        <w:t>,</w:t>
      </w:r>
      <w:r w:rsidR="00AC547D">
        <w:t xml:space="preserve"> in the </w:t>
      </w:r>
      <w:r w:rsidR="00AC547D">
        <w:rPr>
          <w:i/>
          <w:iCs/>
        </w:rPr>
        <w:t>2024 IPCS Order</w:t>
      </w:r>
      <w:r w:rsidR="00AC547D">
        <w:t>,</w:t>
      </w:r>
      <w:r w:rsidR="004C0DA5">
        <w:t xml:space="preserve"> the Commission</w:t>
      </w:r>
      <w:r w:rsidR="00C364D9">
        <w:t xml:space="preserve"> </w:t>
      </w:r>
      <w:r>
        <w:t>evaluated</w:t>
      </w:r>
      <w:r w:rsidR="00C364D9">
        <w:t xml:space="preserve"> the seven categories</w:t>
      </w:r>
      <w:r w:rsidR="00A96D85">
        <w:t xml:space="preserve"> “based on the nature of the preponderance of tasks or functions within each category,” and </w:t>
      </w:r>
      <w:r w:rsidR="006708C8">
        <w:t xml:space="preserve">excluded </w:t>
      </w:r>
      <w:r w:rsidR="00356CE7">
        <w:t xml:space="preserve">five of the seven categories of safety and </w:t>
      </w:r>
      <w:r w:rsidR="006708C8">
        <w:t>security</w:t>
      </w:r>
      <w:r w:rsidR="00356CE7">
        <w:t xml:space="preserve"> costs from</w:t>
      </w:r>
      <w:r>
        <w:t xml:space="preserve"> its ratemaking calculations.</w:t>
      </w:r>
      <w:r>
        <w:rPr>
          <w:rStyle w:val="FootnoteReference"/>
        </w:rPr>
        <w:footnoteReference w:id="43"/>
      </w:r>
      <w:r w:rsidR="00F008DD">
        <w:t xml:space="preserve">  </w:t>
      </w:r>
      <w:r w:rsidR="00AC547D">
        <w:t>The record</w:t>
      </w:r>
      <w:r w:rsidR="0023546B">
        <w:t xml:space="preserve"> developed </w:t>
      </w:r>
      <w:r w:rsidR="002F0D2D">
        <w:t xml:space="preserve">following the </w:t>
      </w:r>
      <w:r w:rsidR="002F0D2D">
        <w:rPr>
          <w:i/>
          <w:iCs/>
        </w:rPr>
        <w:t>2024 IPCS Order</w:t>
      </w:r>
      <w:r w:rsidR="00450074">
        <w:t xml:space="preserve"> </w:t>
      </w:r>
      <w:r w:rsidR="005C48D0">
        <w:t xml:space="preserve">showed that the Commission’s treatment of safety and security costs had </w:t>
      </w:r>
      <w:r w:rsidR="006020AE">
        <w:t>“unintended consequences” on “providers, correctional facilities, and ultimately consumers.”</w:t>
      </w:r>
      <w:r>
        <w:rPr>
          <w:rStyle w:val="FootnoteReference"/>
        </w:rPr>
        <w:footnoteReference w:id="44"/>
      </w:r>
      <w:r w:rsidR="006020AE">
        <w:t xml:space="preserve">  </w:t>
      </w:r>
      <w:r w:rsidRPr="00356CE7" w:rsidR="00C83EA1">
        <w:t>Upon</w:t>
      </w:r>
      <w:r w:rsidR="00C83EA1">
        <w:t xml:space="preserve"> reevaluation</w:t>
      </w:r>
      <w:r w:rsidR="00356CE7">
        <w:t xml:space="preserve">, </w:t>
      </w:r>
      <w:r w:rsidR="00C83EA1">
        <w:t>the Commis</w:t>
      </w:r>
      <w:r w:rsidR="008A7446">
        <w:t xml:space="preserve">sion </w:t>
      </w:r>
      <w:r w:rsidR="00765935">
        <w:t>found that “[t]he data collection results fell short of capturing the mann</w:t>
      </w:r>
      <w:r w:rsidR="004C0DA5">
        <w:t>er</w:t>
      </w:r>
      <w:r w:rsidR="00356CE7">
        <w:t xml:space="preserve"> in which </w:t>
      </w:r>
      <w:r w:rsidR="003E7EFC">
        <w:t xml:space="preserve">individual safety and security </w:t>
      </w:r>
      <w:r w:rsidR="00B12993">
        <w:t>measures</w:t>
      </w:r>
      <w:r w:rsidR="003E7EFC">
        <w:t xml:space="preserve"> were used in the provision of IPCS</w:t>
      </w:r>
      <w:r w:rsidR="00B12993">
        <w:t>” and</w:t>
      </w:r>
      <w:r w:rsidR="0050056B">
        <w:t xml:space="preserve"> further explained that “the method of data collection</w:t>
      </w:r>
      <w:r w:rsidR="000D646B">
        <w:t xml:space="preserve"> and</w:t>
      </w:r>
      <w:r w:rsidR="0050056B">
        <w:t xml:space="preserve"> providers’ allocations in response to the collection, together impaired the Commission’s ability to assess the effect of excluding certain safety and </w:t>
      </w:r>
      <w:r w:rsidR="00344195">
        <w:t>security</w:t>
      </w:r>
      <w:r w:rsidR="0050056B">
        <w:t xml:space="preserve"> costs.”</w:t>
      </w:r>
      <w:r>
        <w:rPr>
          <w:rStyle w:val="FootnoteReference"/>
        </w:rPr>
        <w:footnoteReference w:id="45"/>
      </w:r>
      <w:r w:rsidR="00E756CF">
        <w:t xml:space="preserve">  For these reasons, </w:t>
      </w:r>
      <w:r w:rsidR="00F30385">
        <w:t xml:space="preserve">in the </w:t>
      </w:r>
      <w:r w:rsidR="00F30385">
        <w:rPr>
          <w:i/>
          <w:iCs/>
        </w:rPr>
        <w:t xml:space="preserve">2025 IPCS Order </w:t>
      </w:r>
      <w:r w:rsidR="00E756CF">
        <w:t xml:space="preserve">the Commission took the interim step of reincorporating the five excluded cost categories into the lower bounds of the zones of </w:t>
      </w:r>
      <w:r w:rsidR="00AD0A3A">
        <w:t>reasonableness</w:t>
      </w:r>
      <w:r w:rsidR="00E756CF">
        <w:t xml:space="preserve"> </w:t>
      </w:r>
      <w:r w:rsidR="00AD0A3A">
        <w:t>and calculating new interim audio and video IPCS rate caps accordingly.</w:t>
      </w:r>
      <w:r>
        <w:rPr>
          <w:rStyle w:val="FootnoteReference"/>
        </w:rPr>
        <w:footnoteReference w:id="46"/>
      </w:r>
      <w:r w:rsidR="00117830">
        <w:t xml:space="preserve">  </w:t>
      </w:r>
      <w:r w:rsidR="002B7B36">
        <w:t xml:space="preserve">In the </w:t>
      </w:r>
      <w:r w:rsidR="002B7B36">
        <w:rPr>
          <w:i/>
          <w:iCs/>
        </w:rPr>
        <w:t xml:space="preserve">2025 IPCS </w:t>
      </w:r>
      <w:r w:rsidRPr="00616EDE" w:rsidR="002B7B36">
        <w:rPr>
          <w:i/>
          <w:iCs/>
        </w:rPr>
        <w:t>Notice</w:t>
      </w:r>
      <w:r w:rsidR="002B7B36">
        <w:t>, t</w:t>
      </w:r>
      <w:r w:rsidRPr="002B7B36" w:rsidR="00117830">
        <w:t>he</w:t>
      </w:r>
      <w:r w:rsidR="00117830">
        <w:t xml:space="preserve"> Commission </w:t>
      </w:r>
      <w:r w:rsidR="002B7B36">
        <w:t>s</w:t>
      </w:r>
      <w:r w:rsidR="00117830">
        <w:t>ought comment on</w:t>
      </w:r>
      <w:r w:rsidR="00A13041">
        <w:t xml:space="preserve"> “the relevant safety and security data and </w:t>
      </w:r>
      <w:r w:rsidR="002B7B36">
        <w:t>information</w:t>
      </w:r>
      <w:r w:rsidR="00A13041">
        <w:t xml:space="preserve"> necessary to set permanent IPCS audio and video rate caps,</w:t>
      </w:r>
      <w:r w:rsidR="002B7B36">
        <w:t xml:space="preserve">” </w:t>
      </w:r>
      <w:r w:rsidR="00D80112">
        <w:t>and whether the categories used previously should be adjusted.</w:t>
      </w:r>
      <w:r>
        <w:rPr>
          <w:rStyle w:val="FootnoteReference"/>
        </w:rPr>
        <w:footnoteReference w:id="47"/>
      </w:r>
      <w:r w:rsidR="00D80112">
        <w:t xml:space="preserve">  </w:t>
      </w:r>
      <w:r w:rsidR="004871D3">
        <w:t>The Commission noted that “more specific, discrete, and granular cost data and operational information would assist the Commission in more reliably analyzing the costs and uses of reported safety and security measures.”</w:t>
      </w:r>
      <w:r>
        <w:rPr>
          <w:rStyle w:val="FootnoteReference"/>
        </w:rPr>
        <w:footnoteReference w:id="48"/>
      </w:r>
      <w:r w:rsidR="004871D3">
        <w:t xml:space="preserve">  </w:t>
      </w:r>
    </w:p>
    <w:p w:rsidR="00670203" w:rsidP="004871D3" w14:paraId="704B61E2" w14:textId="463B94EA">
      <w:pPr>
        <w:pStyle w:val="ParaNum"/>
        <w:widowControl/>
        <w:numPr>
          <w:ilvl w:val="0"/>
          <w:numId w:val="0"/>
        </w:numPr>
        <w:ind w:firstLine="720"/>
      </w:pPr>
      <w:r>
        <w:t>Considering</w:t>
      </w:r>
      <w:r w:rsidR="00F126DB">
        <w:t xml:space="preserve"> the foregoing</w:t>
      </w:r>
      <w:r w:rsidR="00333F48">
        <w:t xml:space="preserve"> and the language of the Martha Wright-Reed Act</w:t>
      </w:r>
      <w:r w:rsidR="00F126DB">
        <w:t>,</w:t>
      </w:r>
      <w:r>
        <w:rPr>
          <w:rStyle w:val="FootnoteReference"/>
        </w:rPr>
        <w:footnoteReference w:id="49"/>
      </w:r>
      <w:r w:rsidR="00F126DB">
        <w:t xml:space="preserve"> we seek comment on </w:t>
      </w:r>
      <w:r w:rsidR="009256A8">
        <w:t xml:space="preserve">requiring providers to </w:t>
      </w:r>
      <w:r w:rsidR="00806177">
        <w:t xml:space="preserve">take a measure-based approach to reporting their safety and security measures.  Specifically, we seek comment on requiring providers to </w:t>
      </w:r>
      <w:r w:rsidR="00961CE9">
        <w:t>identify</w:t>
      </w:r>
      <w:r w:rsidR="00806177">
        <w:t xml:space="preserve"> each discrete safety and security measure they offer</w:t>
      </w:r>
      <w:r w:rsidR="002B355F">
        <w:t xml:space="preserve">, attribute that measure to one or more of the Commission’s seven safety and security measure categories, and </w:t>
      </w:r>
      <w:r w:rsidR="00961CE9">
        <w:t>to allocate investments and expenses for that measure among audio IPCS, video IPCS, and other products and services</w:t>
      </w:r>
      <w:r w:rsidR="00CE2E48">
        <w:t xml:space="preserve">.  In the Word template, </w:t>
      </w:r>
      <w:r w:rsidR="007841CE">
        <w:t>we seek comment on requiring</w:t>
      </w:r>
      <w:r w:rsidR="00CE2E48">
        <w:t xml:space="preserve"> providers to identify and describe each measure and</w:t>
      </w:r>
      <w:r w:rsidR="002C0565">
        <w:t xml:space="preserve"> </w:t>
      </w:r>
      <w:r w:rsidR="007841CE">
        <w:t>optionally</w:t>
      </w:r>
      <w:r w:rsidR="00780089">
        <w:t xml:space="preserve"> </w:t>
      </w:r>
      <w:r w:rsidR="007841CE">
        <w:t>describe</w:t>
      </w:r>
      <w:r w:rsidR="00780089">
        <w:t xml:space="preserve"> their allocation approach.  </w:t>
      </w:r>
    </w:p>
    <w:p w:rsidR="00F87D63" w:rsidRPr="008734E3" w:rsidP="004871D3" w14:paraId="173D5CEC" w14:textId="4C792399">
      <w:pPr>
        <w:pStyle w:val="ParaNum"/>
        <w:widowControl/>
        <w:numPr>
          <w:ilvl w:val="0"/>
          <w:numId w:val="0"/>
        </w:numPr>
        <w:ind w:firstLine="720"/>
      </w:pPr>
      <w:r>
        <w:t xml:space="preserve">We believe that this approach </w:t>
      </w:r>
      <w:r w:rsidR="00BB7A43">
        <w:t xml:space="preserve">would offer </w:t>
      </w:r>
      <w:r>
        <w:t xml:space="preserve">several benefits over the Commission’s prior approach and seek comment on </w:t>
      </w:r>
      <w:r w:rsidR="00B20455">
        <w:t>these views</w:t>
      </w:r>
      <w:r>
        <w:t xml:space="preserve">.  </w:t>
      </w:r>
      <w:r w:rsidR="00DB28DE">
        <w:t xml:space="preserve">First, we believe this approach </w:t>
      </w:r>
      <w:r w:rsidR="00F90129">
        <w:t xml:space="preserve">would </w:t>
      </w:r>
      <w:r w:rsidR="00DB28DE">
        <w:t>significantly reduce reporting burdens, particularly for smaller providers</w:t>
      </w:r>
      <w:r w:rsidR="00D93B9F">
        <w:t>,</w:t>
      </w:r>
      <w:r w:rsidR="00DB28DE">
        <w:t xml:space="preserve"> because providers would not be required to allocate costs by category or by facility</w:t>
      </w:r>
      <w:r w:rsidR="000279E7">
        <w:t>.</w:t>
      </w:r>
      <w:r w:rsidR="003E3FAC">
        <w:t xml:space="preserve">  Second, </w:t>
      </w:r>
      <w:r w:rsidR="000841F7">
        <w:t xml:space="preserve">we believe this approach </w:t>
      </w:r>
      <w:r w:rsidR="00F63435">
        <w:t xml:space="preserve">would </w:t>
      </w:r>
      <w:r w:rsidR="00BF3B1D">
        <w:t xml:space="preserve">afford IPCS providers greater flexibility in reporting their safety and security </w:t>
      </w:r>
      <w:r w:rsidR="002E7C09">
        <w:t>measures</w:t>
      </w:r>
      <w:r w:rsidR="00BF3B1D">
        <w:t xml:space="preserve"> as they are actually offered rather than forcing providers to </w:t>
      </w:r>
      <w:r w:rsidR="002E7C09">
        <w:t>allocate their costs according to the categories the Commission used previously</w:t>
      </w:r>
      <w:r w:rsidR="00F37BC0">
        <w:t>.  Under this approach, providers</w:t>
      </w:r>
      <w:r w:rsidR="00227D9D">
        <w:t xml:space="preserve"> would</w:t>
      </w:r>
      <w:r w:rsidR="00F37BC0">
        <w:t xml:space="preserve"> need only associate each safety and security measure they offer </w:t>
      </w:r>
      <w:r w:rsidR="00532837">
        <w:t xml:space="preserve">with the </w:t>
      </w:r>
      <w:r w:rsidR="00EC3C2B">
        <w:t xml:space="preserve">relevant </w:t>
      </w:r>
      <w:r w:rsidR="00532837">
        <w:t xml:space="preserve">Commission </w:t>
      </w:r>
      <w:r w:rsidR="000D73E1">
        <w:t xml:space="preserve">category or </w:t>
      </w:r>
      <w:r w:rsidR="00532837">
        <w:t xml:space="preserve">categories, which we believe appropriately recognizes the fact that </w:t>
      </w:r>
      <w:r w:rsidR="00D1584F">
        <w:t xml:space="preserve">certain </w:t>
      </w:r>
      <w:r w:rsidR="00B041E3">
        <w:t>safety and security measures can be attributed to more than one category.</w:t>
      </w:r>
      <w:r>
        <w:rPr>
          <w:rStyle w:val="FootnoteReference"/>
        </w:rPr>
        <w:footnoteReference w:id="50"/>
      </w:r>
      <w:r w:rsidR="00993886">
        <w:t xml:space="preserve">  </w:t>
      </w:r>
      <w:r w:rsidRPr="00A64C74" w:rsidR="00861226">
        <w:t>Therefore</w:t>
      </w:r>
      <w:r w:rsidR="00993886">
        <w:t xml:space="preserve">, </w:t>
      </w:r>
      <w:r w:rsidR="00134D2D">
        <w:t xml:space="preserve">we believe </w:t>
      </w:r>
      <w:r w:rsidR="00993886">
        <w:t>the focus on “specific safety and security functionalities</w:t>
      </w:r>
      <w:r w:rsidR="00214BA3">
        <w:t>” will “better capture provider cost allocation.”</w:t>
      </w:r>
      <w:r>
        <w:rPr>
          <w:rStyle w:val="FootnoteReference"/>
        </w:rPr>
        <w:footnoteReference w:id="51"/>
      </w:r>
      <w:r w:rsidR="009764D4">
        <w:t xml:space="preserve">  And third, we </w:t>
      </w:r>
      <w:r w:rsidR="0028494D">
        <w:t xml:space="preserve">believe, consistent with the </w:t>
      </w:r>
      <w:r w:rsidR="0028494D">
        <w:rPr>
          <w:i/>
          <w:iCs/>
        </w:rPr>
        <w:t>2025 IPCS Order</w:t>
      </w:r>
      <w:r w:rsidR="0028494D">
        <w:t>, that the measure-based approach w</w:t>
      </w:r>
      <w:r w:rsidR="00692400">
        <w:t>ould</w:t>
      </w:r>
      <w:r w:rsidR="0028494D">
        <w:t xml:space="preserve"> provide more </w:t>
      </w:r>
      <w:r w:rsidRPr="007A7CDD" w:rsidR="0028494D">
        <w:t>granular data</w:t>
      </w:r>
      <w:r w:rsidRPr="007A7CDD" w:rsidR="005E0E2D">
        <w:t xml:space="preserve"> </w:t>
      </w:r>
      <w:r w:rsidRPr="007A7CDD" w:rsidR="00B72104">
        <w:t xml:space="preserve">to better inform the </w:t>
      </w:r>
      <w:r w:rsidRPr="007A7CDD" w:rsidR="00562929">
        <w:t>Commission’s determination of rate caps,</w:t>
      </w:r>
      <w:r w:rsidRPr="007A7CDD" w:rsidR="005E0E2D">
        <w:t xml:space="preserve"> </w:t>
      </w:r>
      <w:r w:rsidRPr="007A7CDD" w:rsidR="00562929">
        <w:t>because</w:t>
      </w:r>
      <w:r w:rsidRPr="007A7CDD" w:rsidR="005E0E2D">
        <w:t xml:space="preserve"> providers w</w:t>
      </w:r>
      <w:r w:rsidRPr="007A7CDD" w:rsidR="00562929">
        <w:t>ould</w:t>
      </w:r>
      <w:r w:rsidRPr="007A7CDD" w:rsidR="005E0E2D">
        <w:t xml:space="preserve"> be</w:t>
      </w:r>
      <w:r w:rsidR="005E0E2D">
        <w:t xml:space="preserve"> reporting on each safety and security measure they offer, rather than</w:t>
      </w:r>
      <w:r w:rsidR="009A69C7">
        <w:t xml:space="preserve"> </w:t>
      </w:r>
      <w:r w:rsidR="00B66626">
        <w:t xml:space="preserve">subsuming </w:t>
      </w:r>
      <w:r w:rsidR="00D76EDD">
        <w:t>their measure-based data</w:t>
      </w:r>
      <w:r w:rsidR="00DD186E">
        <w:t xml:space="preserve"> under </w:t>
      </w:r>
      <w:r w:rsidR="007E1E0B">
        <w:t xml:space="preserve">the Commission’s </w:t>
      </w:r>
      <w:r w:rsidR="005E0E2D">
        <w:t>categor</w:t>
      </w:r>
      <w:r w:rsidR="007E1E0B">
        <w:t>ies</w:t>
      </w:r>
      <w:r w:rsidR="005E0E2D">
        <w:t xml:space="preserve"> as was done in the 2023 Mandatory Data Collection.  We </w:t>
      </w:r>
      <w:r w:rsidR="008061FD">
        <w:t>invite</w:t>
      </w:r>
      <w:r w:rsidR="005E0E2D">
        <w:t xml:space="preserve"> comment on these views</w:t>
      </w:r>
      <w:r w:rsidR="002B1C5C">
        <w:t>.  Would a measure-based approach produce sufficient data to enable the Commission to establish permanent audio and video IPCS rates?  Why or why not?</w:t>
      </w:r>
      <w:r w:rsidR="008734E3">
        <w:t xml:space="preserve">  Is there an alternative approach we should consider that would yield the granular data the Commission indicated was necessary in the </w:t>
      </w:r>
      <w:r w:rsidR="008734E3">
        <w:rPr>
          <w:i/>
          <w:iCs/>
        </w:rPr>
        <w:t>2025 IPCS Order</w:t>
      </w:r>
      <w:r w:rsidR="008734E3">
        <w:t>?  If so, what is that approach?</w:t>
      </w:r>
    </w:p>
    <w:p w:rsidR="0005786C" w:rsidRPr="004A28DB" w:rsidP="00604165" w14:paraId="62C74F7E" w14:textId="7067503D">
      <w:pPr>
        <w:pStyle w:val="ParaNum"/>
        <w:widowControl/>
        <w:numPr>
          <w:ilvl w:val="0"/>
          <w:numId w:val="0"/>
        </w:numPr>
        <w:ind w:firstLine="720"/>
      </w:pPr>
      <w:r>
        <w:t>Some commenters ask the Commission to revise its approach to collecting safety and security cost data by eliminating the categories the Commission previously established</w:t>
      </w:r>
      <w:r w:rsidR="008061FD">
        <w:t xml:space="preserve"> altogether</w:t>
      </w:r>
      <w:r>
        <w:t>.</w:t>
      </w:r>
      <w:r>
        <w:rPr>
          <w:rStyle w:val="FootnoteReference"/>
        </w:rPr>
        <w:footnoteReference w:id="52"/>
      </w:r>
      <w:r w:rsidR="0025079E">
        <w:t xml:space="preserve">  The measure-based approach we seek comment on above </w:t>
      </w:r>
      <w:r w:rsidR="00226323">
        <w:t xml:space="preserve">maintains </w:t>
      </w:r>
      <w:r w:rsidR="0025079E">
        <w:t xml:space="preserve">the categories the Commission used previously but </w:t>
      </w:r>
      <w:r w:rsidR="00841C2E">
        <w:t>repurposes and deemphasizes them</w:t>
      </w:r>
      <w:r w:rsidR="00226323">
        <w:t xml:space="preserve">.  The categories no longer </w:t>
      </w:r>
      <w:r w:rsidR="00235ED7">
        <w:t xml:space="preserve">form the basis of the cost allocation </w:t>
      </w:r>
      <w:r w:rsidR="00841C2E">
        <w:t xml:space="preserve">for safety and security measures.  </w:t>
      </w:r>
      <w:r w:rsidR="003B4EFA">
        <w:t>Providers</w:t>
      </w:r>
      <w:r w:rsidR="00841C2E">
        <w:t xml:space="preserve"> need not allocate their costs according to the categories, which commenters have criticized</w:t>
      </w:r>
      <w:r w:rsidR="00940663">
        <w:t>.</w:t>
      </w:r>
      <w:r>
        <w:rPr>
          <w:rStyle w:val="FootnoteReference"/>
        </w:rPr>
        <w:footnoteReference w:id="53"/>
      </w:r>
      <w:r w:rsidR="0055578F">
        <w:t xml:space="preserve">  </w:t>
      </w:r>
      <w:r w:rsidR="003B4EFA">
        <w:t>Instead, providers would</w:t>
      </w:r>
      <w:r w:rsidR="0015564B">
        <w:t xml:space="preserve"> allocate investments and expenses for each </w:t>
      </w:r>
      <w:r w:rsidR="0055578F">
        <w:t>safety</w:t>
      </w:r>
      <w:r w:rsidR="0015564B">
        <w:t xml:space="preserve"> and security measure they offer to audio IPCS, video IPCS, and other products and services.</w:t>
      </w:r>
      <w:r w:rsidR="00AB3CA2">
        <w:t xml:space="preserve">  </w:t>
      </w:r>
      <w:r w:rsidR="003C435A">
        <w:t xml:space="preserve">We believe </w:t>
      </w:r>
      <w:r w:rsidR="007F6DA9">
        <w:t xml:space="preserve">that the use of the Commission’s categories in this way </w:t>
      </w:r>
      <w:r w:rsidR="0076088A">
        <w:t>alleviates</w:t>
      </w:r>
      <w:r w:rsidR="00653D78">
        <w:t>,</w:t>
      </w:r>
      <w:r w:rsidR="0076088A">
        <w:t xml:space="preserve"> to a large extent</w:t>
      </w:r>
      <w:r w:rsidR="00653D78">
        <w:t>,</w:t>
      </w:r>
      <w:r w:rsidR="0076088A">
        <w:t xml:space="preserve"> commenter concerns about </w:t>
      </w:r>
      <w:r w:rsidR="002B1C5C">
        <w:t>the viability of the Commission’s previous categorical approach</w:t>
      </w:r>
      <w:r w:rsidR="0032756D">
        <w:t xml:space="preserve"> while still providing the Commission</w:t>
      </w:r>
      <w:r w:rsidR="007318A4">
        <w:t xml:space="preserve"> with less burdensome </w:t>
      </w:r>
      <w:r w:rsidR="000773F3">
        <w:t>category</w:t>
      </w:r>
      <w:r w:rsidR="00276B58">
        <w:t xml:space="preserve">-based data </w:t>
      </w:r>
      <w:r w:rsidR="000773F3">
        <w:t>to consider safety and security costs</w:t>
      </w:r>
      <w:r w:rsidR="00B9145B">
        <w:t xml:space="preserve"> to enable comparisons to previously collected data</w:t>
      </w:r>
      <w:r w:rsidR="002B1C5C">
        <w:t>.  We seek comment on this view.</w:t>
      </w:r>
      <w:r w:rsidR="00393890">
        <w:t xml:space="preserve">  </w:t>
      </w:r>
      <w:r w:rsidRPr="00A64C74" w:rsidR="008F0ED7">
        <w:t>Worth Rises suggests that discarding the Commission’s prior approach to the collection of safety and security costs is “flatly contrary to the Martha Wright-Reed Act.”</w:t>
      </w:r>
      <w:r>
        <w:rPr>
          <w:rStyle w:val="FootnoteReference"/>
        </w:rPr>
        <w:footnoteReference w:id="54"/>
      </w:r>
      <w:r w:rsidRPr="00A64C74" w:rsidR="008F0ED7">
        <w:t xml:space="preserve">  They suggest that “[a]s a matter of law, the Martha Wright-Reed Act </w:t>
      </w:r>
      <w:r w:rsidRPr="00A64C74" w:rsidR="008F0ED7">
        <w:rPr>
          <w:i/>
          <w:iCs/>
        </w:rPr>
        <w:t>requires</w:t>
      </w:r>
      <w:r w:rsidRPr="00A64C74" w:rsidR="008F0ED7">
        <w:t xml:space="preserve"> separate consideration of safety and security costs.”</w:t>
      </w:r>
      <w:r>
        <w:rPr>
          <w:rStyle w:val="FootnoteReference"/>
        </w:rPr>
        <w:footnoteReference w:id="55"/>
      </w:r>
      <w:r w:rsidRPr="00A64C74" w:rsidR="008F0ED7">
        <w:t xml:space="preserve">  </w:t>
      </w:r>
      <w:r w:rsidRPr="00604165" w:rsidR="008F0ED7">
        <w:t>We seek comment on this argument</w:t>
      </w:r>
      <w:r w:rsidRPr="00604165" w:rsidR="00CB0F13">
        <w:t xml:space="preserve">, including </w:t>
      </w:r>
      <w:r w:rsidRPr="00604165" w:rsidR="00571B96">
        <w:t xml:space="preserve">whether </w:t>
      </w:r>
      <w:r w:rsidRPr="00604165" w:rsidR="000A1757">
        <w:t xml:space="preserve">collecting measure-based </w:t>
      </w:r>
      <w:r w:rsidRPr="00604165" w:rsidR="008E681C">
        <w:t>safety and security cost</w:t>
      </w:r>
      <w:r w:rsidRPr="00604165" w:rsidR="000A1757">
        <w:t xml:space="preserve"> data </w:t>
      </w:r>
      <w:r w:rsidRPr="00604165" w:rsidR="00F85169">
        <w:t xml:space="preserve">satisfies the </w:t>
      </w:r>
      <w:r w:rsidRPr="00604165" w:rsidR="00961A30">
        <w:t>Martha Wright-Reed Act</w:t>
      </w:r>
      <w:r w:rsidRPr="00604165" w:rsidR="008F0ED7">
        <w:t>.</w:t>
      </w:r>
    </w:p>
    <w:p w:rsidR="004E687B" w:rsidP="00E92CBD" w14:paraId="778B6F21" w14:textId="186F7635">
      <w:pPr>
        <w:pStyle w:val="ParaNum"/>
        <w:widowControl/>
        <w:numPr>
          <w:ilvl w:val="0"/>
          <w:numId w:val="0"/>
        </w:numPr>
      </w:pPr>
      <w:r>
        <w:tab/>
      </w:r>
      <w:r w:rsidR="0059329D">
        <w:t>Finally</w:t>
      </w:r>
      <w:r w:rsidR="00B84AEE">
        <w:t xml:space="preserve">, we seek comment on </w:t>
      </w:r>
      <w:r w:rsidR="00560235">
        <w:t xml:space="preserve">alternative </w:t>
      </w:r>
      <w:r w:rsidR="00A70D6C">
        <w:t xml:space="preserve">recommendations </w:t>
      </w:r>
      <w:r w:rsidR="00560235">
        <w:t xml:space="preserve">for the collection of </w:t>
      </w:r>
      <w:r w:rsidR="008403DC">
        <w:t xml:space="preserve">even </w:t>
      </w:r>
      <w:r w:rsidR="00A70D6C">
        <w:t>more granular data on safety and security costs</w:t>
      </w:r>
      <w:r w:rsidR="00DC0575">
        <w:t xml:space="preserve"> than we propose above</w:t>
      </w:r>
      <w:r w:rsidR="008E0BBD">
        <w:t>.</w:t>
      </w:r>
      <w:r>
        <w:rPr>
          <w:rStyle w:val="FootnoteReference"/>
        </w:rPr>
        <w:footnoteReference w:id="56"/>
      </w:r>
      <w:r w:rsidR="004C3153">
        <w:t xml:space="preserve">  Worth Rises </w:t>
      </w:r>
      <w:r w:rsidR="001D1733">
        <w:t>argues that “the Commission should continue to use the top-level framework embodied in the seven categories used in the 2023 mandatory data collection, with the addition of more granular sub-categories that will allow the Commission to distinguish among various security and surveillance services for purposes of rate-</w:t>
      </w:r>
      <w:r w:rsidR="001D1733">
        <w:t>setting.”</w:t>
      </w:r>
      <w:r>
        <w:rPr>
          <w:rStyle w:val="FootnoteReference"/>
        </w:rPr>
        <w:footnoteReference w:id="57"/>
      </w:r>
      <w:r w:rsidR="00CC1641">
        <w:t xml:space="preserve">  And the Wright Petitioners</w:t>
      </w:r>
      <w:r w:rsidR="00BF1FE4">
        <w:t xml:space="preserve"> </w:t>
      </w:r>
      <w:r w:rsidR="00EE1BCF">
        <w:t xml:space="preserve">make various recommendations </w:t>
      </w:r>
      <w:r w:rsidR="00DF290B">
        <w:t>regarding</w:t>
      </w:r>
      <w:r w:rsidR="007E4A2C">
        <w:t xml:space="preserve"> the collection of safety and security cost data.</w:t>
      </w:r>
      <w:r>
        <w:rPr>
          <w:rStyle w:val="FootnoteReference"/>
        </w:rPr>
        <w:footnoteReference w:id="58"/>
      </w:r>
      <w:r w:rsidR="00F66998">
        <w:t xml:space="preserve">  For example, they </w:t>
      </w:r>
      <w:r w:rsidR="00BF1FE4">
        <w:t>recommend that the Commission standardize the allocation of safety and security costs across services, including by requiring providers to identify, for each category, “the underlying activities supported and the percentage of those costs attributable to audio IPCS, video IPCS, and non-IPCS services, and law enforcement.”</w:t>
      </w:r>
      <w:r>
        <w:rPr>
          <w:rStyle w:val="FootnoteReference"/>
        </w:rPr>
        <w:footnoteReference w:id="59"/>
      </w:r>
      <w:r w:rsidR="003A590C">
        <w:t xml:space="preserve">  They als</w:t>
      </w:r>
      <w:r w:rsidR="006D4C17">
        <w:t>o recommend supplementing narrative reporting “with targeted documentation and verification requirements.”</w:t>
      </w:r>
      <w:r>
        <w:rPr>
          <w:rStyle w:val="FootnoteReference"/>
        </w:rPr>
        <w:footnoteReference w:id="60"/>
      </w:r>
      <w:r w:rsidR="006D4C17">
        <w:t xml:space="preserve">  We seek comment on these </w:t>
      </w:r>
      <w:r w:rsidR="00593021">
        <w:t>proposals</w:t>
      </w:r>
      <w:r w:rsidR="00E9676A">
        <w:t>.</w:t>
      </w:r>
    </w:p>
    <w:p w:rsidR="00B20C85" w:rsidP="00E92CBD" w14:paraId="2F5E63D6" w14:textId="6785B7A6">
      <w:pPr>
        <w:pStyle w:val="ParaNum"/>
        <w:widowControl/>
        <w:numPr>
          <w:ilvl w:val="0"/>
          <w:numId w:val="0"/>
        </w:numPr>
        <w:ind w:firstLine="720"/>
      </w:pPr>
      <w:r w:rsidRPr="059989F8">
        <w:rPr>
          <w:i/>
        </w:rPr>
        <w:t>Site Commissions</w:t>
      </w:r>
      <w:r>
        <w:t xml:space="preserve">.  We propose to significantly reduce reporting of site commission data </w:t>
      </w:r>
      <w:r w:rsidR="00C17AEF">
        <w:t xml:space="preserve">given </w:t>
      </w:r>
      <w:r>
        <w:t xml:space="preserve">the </w:t>
      </w:r>
      <w:r w:rsidR="00C17AEF">
        <w:t>Commission’s</w:t>
      </w:r>
      <w:r>
        <w:t xml:space="preserve"> prohibition on the payment of site commission</w:t>
      </w:r>
      <w:r w:rsidR="00F53AB2">
        <w:t>s</w:t>
      </w:r>
      <w:r>
        <w:t xml:space="preserve"> associated with IPCS</w:t>
      </w:r>
      <w:r w:rsidR="002D5F80">
        <w:t>, which became effective</w:t>
      </w:r>
      <w:r w:rsidR="003F07BB">
        <w:t xml:space="preserve"> industry-wide</w:t>
      </w:r>
      <w:r w:rsidR="002D5F80">
        <w:t xml:space="preserve"> pursuant to the </w:t>
      </w:r>
      <w:r w:rsidR="002D5F80">
        <w:rPr>
          <w:i/>
        </w:rPr>
        <w:t>2025 IPCS Order</w:t>
      </w:r>
      <w:r w:rsidR="008E19A7">
        <w:t xml:space="preserve"> as of April 6, 2026</w:t>
      </w:r>
      <w:r>
        <w:t>.</w:t>
      </w:r>
      <w:r>
        <w:rPr>
          <w:rStyle w:val="FootnoteReference"/>
        </w:rPr>
        <w:footnoteReference w:id="61"/>
      </w:r>
      <w:r>
        <w:t xml:space="preserve">  Specifically, we </w:t>
      </w:r>
      <w:r w:rsidR="003B6E1A">
        <w:t xml:space="preserve">propose to </w:t>
      </w:r>
      <w:r>
        <w:t>eliminate separate reporting for</w:t>
      </w:r>
      <w:r w:rsidR="00856335">
        <w:t xml:space="preserve"> most</w:t>
      </w:r>
      <w:r>
        <w:t xml:space="preserve"> </w:t>
      </w:r>
      <w:r w:rsidR="008E19A7">
        <w:t xml:space="preserve">2025 </w:t>
      </w:r>
      <w:r>
        <w:t>site commissions at the company-wide level and the facility-specific level</w:t>
      </w:r>
      <w:r w:rsidR="006424BB">
        <w:t xml:space="preserve"> and </w:t>
      </w:r>
      <w:r w:rsidR="00C02BC8">
        <w:t>to</w:t>
      </w:r>
      <w:r w:rsidR="00B035F9">
        <w:t xml:space="preserve"> eliminate the need to distinguish between fixed and variable site commissions.</w:t>
      </w:r>
      <w:r>
        <w:t xml:space="preserve">  As Securus notes, </w:t>
      </w:r>
      <w:r w:rsidR="00B96708">
        <w:t>“</w:t>
      </w:r>
      <w:r>
        <w:t>[t]here is no longer a need to list site commission payments as those are now prohibited.”</w:t>
      </w:r>
      <w:r>
        <w:rPr>
          <w:rStyle w:val="FootnoteReference"/>
        </w:rPr>
        <w:footnoteReference w:id="62"/>
      </w:r>
      <w:r>
        <w:t xml:space="preserve">  We</w:t>
      </w:r>
      <w:r w:rsidR="00783F13">
        <w:t xml:space="preserve"> tentatively</w:t>
      </w:r>
      <w:r>
        <w:t xml:space="preserve"> agree</w:t>
      </w:r>
      <w:r w:rsidR="00FE74A7">
        <w:t xml:space="preserve"> and seek comment on this belief</w:t>
      </w:r>
      <w:r>
        <w:t xml:space="preserve">.  However, we propose to </w:t>
      </w:r>
      <w:r w:rsidR="003C5B1D">
        <w:t xml:space="preserve">require reporting of certain </w:t>
      </w:r>
      <w:r w:rsidR="00D52BE9">
        <w:t xml:space="preserve">2025 </w:t>
      </w:r>
      <w:r w:rsidR="003C5B1D">
        <w:t xml:space="preserve">site commission information </w:t>
      </w:r>
      <w:r>
        <w:t>to ensure</w:t>
      </w:r>
      <w:r w:rsidR="00D52BE9">
        <w:t xml:space="preserve"> that</w:t>
      </w:r>
      <w:r>
        <w:t xml:space="preserve"> the Commission can properly isolate those costs in its ratemaking calculations given the</w:t>
      </w:r>
      <w:r w:rsidR="0071043C">
        <w:t xml:space="preserve"> recently</w:t>
      </w:r>
      <w:r w:rsidR="00D33BA3">
        <w:t xml:space="preserve"> </w:t>
      </w:r>
      <w:r w:rsidR="0071043C">
        <w:t>effective</w:t>
      </w:r>
      <w:r>
        <w:t xml:space="preserve"> prohibition on the payment of site commissions associated with IPCS.  </w:t>
      </w:r>
      <w:r w:rsidR="00B96708">
        <w:t>Thus</w:t>
      </w:r>
      <w:r>
        <w:t>, we propose to require provide</w:t>
      </w:r>
      <w:r w:rsidR="00A75D2C">
        <w:t>rs to report total IPCS- and non-IPCS-related site commissions, including total IPCS-related monetary site commissions and total IPCS-related in-kind site commissions</w:t>
      </w:r>
      <w:r>
        <w:t>.  We seek comment on this approach.  Are there specific changes we should consider for site commission data that would further reduce reporting burdens for providers while at the same time ensuring that these costs can be properly excluded from the Commission’s ratemaking calculations going forward?  If so, what changes do commenters suggest</w:t>
      </w:r>
      <w:r w:rsidR="003D3CB5">
        <w:t xml:space="preserve"> and why</w:t>
      </w:r>
      <w:r>
        <w:t>?</w:t>
      </w:r>
    </w:p>
    <w:p w:rsidR="004D4850" w:rsidP="00E92CBD" w14:paraId="332B329C" w14:textId="07169A90">
      <w:pPr>
        <w:pStyle w:val="ParaNum"/>
        <w:widowControl/>
        <w:numPr>
          <w:ilvl w:val="0"/>
          <w:numId w:val="0"/>
        </w:numPr>
        <w:ind w:firstLine="720"/>
      </w:pPr>
      <w:r>
        <w:t xml:space="preserve">We seek comment on </w:t>
      </w:r>
      <w:r w:rsidR="004E4999">
        <w:t>other</w:t>
      </w:r>
      <w:r>
        <w:t xml:space="preserve"> aspects of the proposed 2026 Mandatory Data Collection.  Beyond the proposed modifications</w:t>
      </w:r>
      <w:r w:rsidR="002A421C">
        <w:t xml:space="preserve"> previously </w:t>
      </w:r>
      <w:r w:rsidR="00415EF1">
        <w:t>discussed</w:t>
      </w:r>
      <w:r>
        <w:t>, t</w:t>
      </w:r>
      <w:r w:rsidRPr="00E801A8">
        <w:t xml:space="preserve">he </w:t>
      </w:r>
      <w:r>
        <w:t xml:space="preserve">attached </w:t>
      </w:r>
      <w:r w:rsidRPr="00E801A8">
        <w:t>instructions</w:t>
      </w:r>
      <w:r>
        <w:t xml:space="preserve"> and reporting templates</w:t>
      </w:r>
      <w:r w:rsidRPr="00E801A8">
        <w:t xml:space="preserve"> </w:t>
      </w:r>
      <w:r>
        <w:t xml:space="preserve">propose other modifications of the </w:t>
      </w:r>
      <w:r w:rsidRPr="00E801A8">
        <w:t xml:space="preserve">data </w:t>
      </w:r>
      <w:r>
        <w:t xml:space="preserve">collection </w:t>
      </w:r>
      <w:r w:rsidRPr="00E801A8">
        <w:t xml:space="preserve">that are not specifically </w:t>
      </w:r>
      <w:r>
        <w:t xml:space="preserve">addressed </w:t>
      </w:r>
      <w:r w:rsidRPr="00E801A8">
        <w:t>below.  We seek comment on all aspects of the proposed instructions</w:t>
      </w:r>
      <w:r>
        <w:t xml:space="preserve"> and reporting templates</w:t>
      </w:r>
      <w:r w:rsidRPr="00E801A8">
        <w:t xml:space="preserve">, including </w:t>
      </w:r>
      <w:r>
        <w:t xml:space="preserve">proposals </w:t>
      </w:r>
      <w:r w:rsidRPr="00E801A8">
        <w:t xml:space="preserve">that we do not specifically </w:t>
      </w:r>
      <w:r w:rsidR="00574511">
        <w:t>identify</w:t>
      </w:r>
      <w:r w:rsidRPr="00E801A8">
        <w:t xml:space="preserve"> in this Public Notice</w:t>
      </w:r>
      <w:r w:rsidR="002F51C3">
        <w:t>,</w:t>
      </w:r>
      <w:r w:rsidR="0009236D">
        <w:t xml:space="preserve"> and the benefits and burdens </w:t>
      </w:r>
      <w:r w:rsidR="002F51C3">
        <w:t>there</w:t>
      </w:r>
      <w:r w:rsidR="0009236D">
        <w:t>of</w:t>
      </w:r>
      <w:r>
        <w:t>.</w:t>
      </w:r>
      <w:r w:rsidR="00E71306">
        <w:t xml:space="preserve"> </w:t>
      </w:r>
      <w:r>
        <w:t xml:space="preserve">  </w:t>
      </w:r>
    </w:p>
    <w:bookmarkEnd w:id="1"/>
    <w:p w:rsidR="00300706" w:rsidRPr="00631AC0" w:rsidP="00E92CBD" w14:paraId="08112083" w14:textId="5B9238F0">
      <w:pPr>
        <w:pStyle w:val="Heading2"/>
        <w:widowControl/>
      </w:pPr>
      <w:r>
        <w:t xml:space="preserve">Reporting Template </w:t>
      </w:r>
    </w:p>
    <w:p w:rsidR="00300706" w:rsidRPr="00631AC0" w:rsidP="00E92CBD" w14:paraId="1418E5C9" w14:textId="184ECAA7">
      <w:pPr>
        <w:pStyle w:val="ParaNum"/>
        <w:widowControl/>
        <w:numPr>
          <w:ilvl w:val="0"/>
          <w:numId w:val="0"/>
        </w:numPr>
        <w:ind w:firstLine="720"/>
      </w:pPr>
      <w:r>
        <w:t>As with the 2023 Mandatory Data Collection, w</w:t>
      </w:r>
      <w:r w:rsidRPr="059989F8">
        <w:t>e propose to require providers to submit the requisite data using reporting template</w:t>
      </w:r>
      <w:r w:rsidR="003318F9">
        <w:t>s</w:t>
      </w:r>
      <w:r w:rsidRPr="059989F8">
        <w:t xml:space="preserve">, to be filed through the Commission’s </w:t>
      </w:r>
      <w:r>
        <w:t>E</w:t>
      </w:r>
      <w:r w:rsidRPr="059989F8">
        <w:t xml:space="preserve">lectronic </w:t>
      </w:r>
      <w:r>
        <w:t>C</w:t>
      </w:r>
      <w:r w:rsidRPr="059989F8">
        <w:t xml:space="preserve">omment </w:t>
      </w:r>
      <w:r>
        <w:t>F</w:t>
      </w:r>
      <w:r w:rsidRPr="059989F8">
        <w:t xml:space="preserve">iling </w:t>
      </w:r>
      <w:r>
        <w:t>S</w:t>
      </w:r>
      <w:r w:rsidRPr="059989F8">
        <w:t>ystem (ECFS).</w:t>
      </w:r>
      <w:r>
        <w:rPr>
          <w:rStyle w:val="FootnoteReference"/>
          <w:sz w:val="20"/>
        </w:rPr>
        <w:footnoteReference w:id="63"/>
      </w:r>
      <w:r>
        <w:rPr>
          <w:szCs w:val="22"/>
        </w:rPr>
        <w:t xml:space="preserve">  </w:t>
      </w:r>
      <w:r w:rsidR="00517327">
        <w:rPr>
          <w:szCs w:val="22"/>
        </w:rPr>
        <w:t xml:space="preserve">Do commenters suggest alternative </w:t>
      </w:r>
      <w:r w:rsidR="002836C0">
        <w:rPr>
          <w:szCs w:val="22"/>
        </w:rPr>
        <w:t xml:space="preserve">reporting </w:t>
      </w:r>
      <w:r w:rsidR="00BF511C">
        <w:rPr>
          <w:szCs w:val="22"/>
        </w:rPr>
        <w:t xml:space="preserve">or </w:t>
      </w:r>
      <w:r w:rsidR="002836C0">
        <w:rPr>
          <w:szCs w:val="22"/>
        </w:rPr>
        <w:t>submission</w:t>
      </w:r>
      <w:r w:rsidR="00517327">
        <w:rPr>
          <w:szCs w:val="22"/>
        </w:rPr>
        <w:t xml:space="preserve"> methods?  </w:t>
      </w:r>
      <w:r w:rsidRPr="059989F8">
        <w:t>The proposed template</w:t>
      </w:r>
      <w:r w:rsidR="004219DD">
        <w:t>s</w:t>
      </w:r>
      <w:r w:rsidRPr="059989F8">
        <w:t xml:space="preserve"> consist of a Word document (Appendix A to the instructions) for responses requiring narrative information and Excel spreadsheets (Appendix B to the instructions) for responses that require numer</w:t>
      </w:r>
      <w:r>
        <w:t>ic</w:t>
      </w:r>
      <w:r w:rsidRPr="059989F8">
        <w:t xml:space="preserve"> or </w:t>
      </w:r>
      <w:r>
        <w:t xml:space="preserve">other </w:t>
      </w:r>
      <w:r w:rsidRPr="059989F8">
        <w:t xml:space="preserve">information. </w:t>
      </w:r>
      <w:r w:rsidRPr="00631AC0">
        <w:rPr>
          <w:szCs w:val="22"/>
        </w:rPr>
        <w:t xml:space="preserve"> </w:t>
      </w:r>
      <w:r w:rsidRPr="059989F8">
        <w:t>We seek suggestions for improvements we can make to the template</w:t>
      </w:r>
      <w:r w:rsidR="006042F3">
        <w:t>s</w:t>
      </w:r>
      <w:r w:rsidR="00CE74A8">
        <w:t xml:space="preserve"> beyond those previously discussed</w:t>
      </w:r>
      <w:r w:rsidRPr="059989F8">
        <w:t xml:space="preserve">.  Is there an alternative </w:t>
      </w:r>
      <w:r w:rsidR="00CE74A8">
        <w:t xml:space="preserve">template </w:t>
      </w:r>
      <w:r w:rsidRPr="059989F8">
        <w:t>organization that would reduce any perceived burdens</w:t>
      </w:r>
      <w:r>
        <w:t>, without compromising the reliability and accuracy of the data we are able to collect</w:t>
      </w:r>
      <w:r w:rsidRPr="00631AC0">
        <w:rPr>
          <w:szCs w:val="22"/>
        </w:rPr>
        <w:t xml:space="preserve">?  </w:t>
      </w:r>
      <w:r w:rsidRPr="059989F8">
        <w:t xml:space="preserve">Are there </w:t>
      </w:r>
      <w:r w:rsidRPr="059989F8">
        <w:t xml:space="preserve">other organizational or substantive improvements we can make to the reporting </w:t>
      </w:r>
      <w:r>
        <w:t>template</w:t>
      </w:r>
      <w:r w:rsidR="003318F9">
        <w:t>s</w:t>
      </w:r>
      <w:r>
        <w:rPr>
          <w:szCs w:val="22"/>
        </w:rPr>
        <w:t xml:space="preserve">?  </w:t>
      </w:r>
      <w:r w:rsidRPr="059989F8">
        <w:t>Do any questions require clarification?</w:t>
      </w:r>
    </w:p>
    <w:p w:rsidR="00300706" w:rsidP="00E92CBD" w14:paraId="1A33F93C" w14:textId="589786C4">
      <w:pPr>
        <w:pStyle w:val="Heading2"/>
        <w:widowControl/>
      </w:pPr>
      <w:r>
        <w:t xml:space="preserve">Timeframe for Provider Responses to the Data Collection </w:t>
      </w:r>
    </w:p>
    <w:p w:rsidR="00300706" w:rsidP="00E92CBD" w14:paraId="56ED2286" w14:textId="032AC8C0">
      <w:pPr>
        <w:pStyle w:val="ParaNum"/>
        <w:widowControl/>
        <w:numPr>
          <w:ilvl w:val="0"/>
          <w:numId w:val="0"/>
        </w:numPr>
        <w:ind w:firstLine="720"/>
      </w:pPr>
      <w:r>
        <w:t>We</w:t>
      </w:r>
      <w:r w:rsidR="00E07178">
        <w:t xml:space="preserve"> </w:t>
      </w:r>
      <w:r w:rsidR="00FE4426">
        <w:t xml:space="preserve">propose </w:t>
      </w:r>
      <w:r w:rsidR="00607BA6">
        <w:t xml:space="preserve">to require </w:t>
      </w:r>
      <w:r w:rsidR="00CF593D">
        <w:t xml:space="preserve">providers to submit data collection responses within 90 days of </w:t>
      </w:r>
      <w:r w:rsidR="00BA0F96">
        <w:t xml:space="preserve">the release of </w:t>
      </w:r>
      <w:r w:rsidR="007D6112">
        <w:t>a</w:t>
      </w:r>
      <w:r w:rsidR="005A36BA">
        <w:t>n</w:t>
      </w:r>
      <w:r w:rsidR="00CF593D">
        <w:t xml:space="preserve"> order </w:t>
      </w:r>
      <w:r w:rsidR="00C150BA">
        <w:t xml:space="preserve">on delegated authority </w:t>
      </w:r>
      <w:r w:rsidR="00CF593D">
        <w:t>a</w:t>
      </w:r>
      <w:r w:rsidR="00DC4D28">
        <w:t>dopting</w:t>
      </w:r>
      <w:r w:rsidR="00CF593D">
        <w:t xml:space="preserve"> the</w:t>
      </w:r>
      <w:r w:rsidR="00B65C14">
        <w:t xml:space="preserve"> </w:t>
      </w:r>
      <w:r w:rsidR="00CF593D">
        <w:t>collection</w:t>
      </w:r>
      <w:r w:rsidR="00B65C14">
        <w:t xml:space="preserve">.  </w:t>
      </w:r>
      <w:r w:rsidR="006F421F">
        <w:t xml:space="preserve">The delegation of authority in the </w:t>
      </w:r>
      <w:r w:rsidR="006F421F">
        <w:rPr>
          <w:i/>
          <w:iCs/>
        </w:rPr>
        <w:t xml:space="preserve">2024 IPCS </w:t>
      </w:r>
      <w:r w:rsidRPr="007A65A1" w:rsidR="006F421F">
        <w:rPr>
          <w:i/>
          <w:iCs/>
        </w:rPr>
        <w:t>Order</w:t>
      </w:r>
      <w:r w:rsidR="002B59AE">
        <w:t>,</w:t>
      </w:r>
      <w:r w:rsidR="0038234E">
        <w:t xml:space="preserve"> reaffirmed by the Commission </w:t>
      </w:r>
      <w:r w:rsidR="002B59AE">
        <w:t xml:space="preserve">in the </w:t>
      </w:r>
      <w:r w:rsidR="002B59AE">
        <w:rPr>
          <w:i/>
          <w:iCs/>
        </w:rPr>
        <w:t xml:space="preserve">2025 IPCS </w:t>
      </w:r>
      <w:r w:rsidRPr="007317F7" w:rsidR="002B59AE">
        <w:rPr>
          <w:i/>
          <w:iCs/>
        </w:rPr>
        <w:t>Order</w:t>
      </w:r>
      <w:r w:rsidR="002B59AE">
        <w:t>,</w:t>
      </w:r>
      <w:r w:rsidR="007317F7">
        <w:t xml:space="preserve"> </w:t>
      </w:r>
      <w:r w:rsidR="00A16EC4">
        <w:t>directed WCB</w:t>
      </w:r>
      <w:r w:rsidR="00575BD2">
        <w:t>/</w:t>
      </w:r>
      <w:r w:rsidR="00A16EC4">
        <w:t>OEA to determine the timing of the data collection, “provided that such collection shall be conducted as soon as practicable.”</w:t>
      </w:r>
      <w:r>
        <w:rPr>
          <w:rStyle w:val="FootnoteReference"/>
        </w:rPr>
        <w:footnoteReference w:id="64"/>
      </w:r>
      <w:r w:rsidR="00135767">
        <w:t xml:space="preserve">  </w:t>
      </w:r>
      <w:r w:rsidR="00BB4A13">
        <w:t>As the Commission said</w:t>
      </w:r>
      <w:r w:rsidR="00BC44C9">
        <w:t xml:space="preserve">, </w:t>
      </w:r>
      <w:r w:rsidR="00135767">
        <w:t>“</w:t>
      </w:r>
      <w:r w:rsidR="00BC44C9">
        <w:t>[g]</w:t>
      </w:r>
      <w:r w:rsidR="00135767">
        <w:t>iven</w:t>
      </w:r>
      <w:r w:rsidR="00135767">
        <w:t xml:space="preserve"> the time that has elapsed since the most recent mandatory data collection</w:t>
      </w:r>
      <w:r w:rsidR="008B3903">
        <w:t>, the evolution of the market in the interim, and the importance of establishing permanent IPCS rate caps</w:t>
      </w:r>
      <w:r w:rsidR="00264AA9">
        <w:t>,</w:t>
      </w:r>
      <w:r w:rsidR="008B3903">
        <w:t xml:space="preserve">” we </w:t>
      </w:r>
      <w:r w:rsidR="0053593E">
        <w:t xml:space="preserve">find that </w:t>
      </w:r>
      <w:r w:rsidR="00D57C64">
        <w:t>requiring IPCS providers to submit data collection responses within 90 days of</w:t>
      </w:r>
      <w:r w:rsidR="004A7392">
        <w:t xml:space="preserve"> the release of</w:t>
      </w:r>
      <w:r w:rsidR="00D57C64">
        <w:t xml:space="preserve"> an order approving the collection would not be unduly burdensome, </w:t>
      </w:r>
      <w:r w:rsidR="003E38AE">
        <w:t>particularly</w:t>
      </w:r>
      <w:r w:rsidR="00D57C64">
        <w:t xml:space="preserve"> considering our proposals to streamline</w:t>
      </w:r>
      <w:r w:rsidR="003E38AE">
        <w:t xml:space="preserve"> and simplify certain reporting requirements</w:t>
      </w:r>
      <w:r w:rsidR="00481593">
        <w:t>.</w:t>
      </w:r>
      <w:r>
        <w:rPr>
          <w:rStyle w:val="FootnoteReference"/>
        </w:rPr>
        <w:footnoteReference w:id="65"/>
      </w:r>
      <w:r w:rsidR="00A26D95">
        <w:t xml:space="preserve">  </w:t>
      </w:r>
      <w:r w:rsidR="001D314A">
        <w:t xml:space="preserve">Additionally, </w:t>
      </w:r>
      <w:r w:rsidR="00003EBB">
        <w:t>providers</w:t>
      </w:r>
      <w:r w:rsidR="001D314A">
        <w:t xml:space="preserve"> have been</w:t>
      </w:r>
      <w:r w:rsidR="00003EBB">
        <w:t xml:space="preserve"> on notice</w:t>
      </w:r>
      <w:r w:rsidR="00C964A9">
        <w:t xml:space="preserve"> since the adoption of the </w:t>
      </w:r>
      <w:r w:rsidR="00C964A9">
        <w:rPr>
          <w:i/>
          <w:iCs/>
        </w:rPr>
        <w:t>2025 IPCS Order</w:t>
      </w:r>
      <w:r w:rsidR="00003EBB">
        <w:t xml:space="preserve"> that </w:t>
      </w:r>
      <w:r w:rsidR="00A909C9">
        <w:t>there would be</w:t>
      </w:r>
      <w:r w:rsidR="00003EBB">
        <w:t xml:space="preserve"> another mandatory data collection and should be </w:t>
      </w:r>
      <w:r w:rsidR="00553B5E">
        <w:t xml:space="preserve">generally </w:t>
      </w:r>
      <w:r w:rsidR="00003EBB">
        <w:t xml:space="preserve">familiar with </w:t>
      </w:r>
      <w:r w:rsidR="00E0737E">
        <w:t>what that entails</w:t>
      </w:r>
      <w:r w:rsidR="00DA217E">
        <w:t xml:space="preserve">, particularly given </w:t>
      </w:r>
      <w:r w:rsidR="006961BA">
        <w:t>our use of the 2023 Mandatory Data Collection structure as the basis for this collection</w:t>
      </w:r>
      <w:r w:rsidR="00A909C9">
        <w:t xml:space="preserve">. </w:t>
      </w:r>
      <w:r w:rsidR="001D314A">
        <w:t xml:space="preserve"> </w:t>
      </w:r>
      <w:r>
        <w:t xml:space="preserve">Do commenters agree with this timeframe?  Would it afford providers sufficient time to prepare and submit their responses while also allowing the Commission to timely analyze the data and inform its ratemaking and policy decisions within </w:t>
      </w:r>
      <w:r w:rsidR="004063F1">
        <w:t xml:space="preserve">a reasonable </w:t>
      </w:r>
      <w:r>
        <w:t xml:space="preserve">timeframe?  Why or why not?  Should we instead consider a shorter, or longer, timeframe for providers to respond to the data collection?  If so, what timeframe do commenters propose and why? </w:t>
      </w:r>
    </w:p>
    <w:p w:rsidR="00300706" w:rsidRPr="00631AC0" w:rsidP="00E92CBD" w14:paraId="62526391" w14:textId="48B9C829">
      <w:pPr>
        <w:pStyle w:val="Heading1"/>
        <w:widowControl/>
      </w:pPr>
      <w:bookmarkStart w:id="3" w:name="_Hlk74049368"/>
      <w:r w:rsidRPr="00631AC0">
        <w:t>Procedural Matters</w:t>
      </w:r>
      <w:r>
        <w:t xml:space="preserve"> </w:t>
      </w:r>
    </w:p>
    <w:p w:rsidR="00D937C6" w:rsidRPr="00CB00EF" w:rsidP="00E92CBD" w14:paraId="52FD5FEC" w14:textId="157059D8">
      <w:pPr>
        <w:pStyle w:val="ParaNum"/>
        <w:widowControl/>
        <w:numPr>
          <w:ilvl w:val="0"/>
          <w:numId w:val="0"/>
        </w:numPr>
        <w:ind w:firstLine="720"/>
      </w:pPr>
      <w:bookmarkStart w:id="4" w:name="_Toc204245192"/>
      <w:bookmarkStart w:id="5" w:name="_Toc204245245"/>
      <w:bookmarkStart w:id="6" w:name="_Toc204245365"/>
      <w:bookmarkStart w:id="7" w:name="_Toc205547085"/>
      <w:bookmarkStart w:id="8" w:name="_Toc206489973"/>
      <w:bookmarkStart w:id="9" w:name="_Toc208387735"/>
      <w:bookmarkStart w:id="10" w:name="_Toc208494872"/>
      <w:bookmarkStart w:id="11" w:name="_Toc209087900"/>
      <w:bookmarkStart w:id="12" w:name="_Toc209786530"/>
      <w:bookmarkStart w:id="13" w:name="_Toc214108154"/>
      <w:bookmarkStart w:id="14" w:name="_Toc214108342"/>
      <w:bookmarkStart w:id="15" w:name="_Toc214110092"/>
      <w:bookmarkStart w:id="16" w:name="_Toc214710480"/>
      <w:bookmarkStart w:id="17" w:name="_Toc214710861"/>
      <w:bookmarkStart w:id="18" w:name="_Toc214711337"/>
      <w:r w:rsidRPr="004B1059">
        <w:rPr>
          <w:i/>
        </w:rPr>
        <w:t>Filing of Comments and Reply Comments</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r>
        <w:t xml:space="preserve">.  Pursuant to sections 1.415 and 1.419 of the Commission’s rules, 47 CFR §§ 1.415, 1.419, interested parties may file </w:t>
      </w:r>
      <w:r w:rsidRPr="00555A76">
        <w:t>comments</w:t>
      </w:r>
      <w:r>
        <w:t xml:space="preserve"> and reply comments on or before the dates indicated on the first page of this document.  All filings must refer to WC Docket Nos. 2</w:t>
      </w:r>
      <w:r w:rsidR="00186EBE">
        <w:t>3</w:t>
      </w:r>
      <w:r>
        <w:t>-</w:t>
      </w:r>
      <w:r w:rsidR="00186EBE">
        <w:t>62</w:t>
      </w:r>
      <w:r>
        <w:t xml:space="preserve"> and </w:t>
      </w:r>
      <w:r w:rsidR="00186EBE">
        <w:t>1</w:t>
      </w:r>
      <w:r>
        <w:t>2-</w:t>
      </w:r>
      <w:r w:rsidR="00186EBE">
        <w:t>375</w:t>
      </w:r>
      <w:r>
        <w:t xml:space="preserve">.  Comments may be filed using the Commission’s Electronic Comment Filing System (ECFS).  </w:t>
      </w:r>
    </w:p>
    <w:p w:rsidR="00D937C6" w:rsidRPr="00CB00EF" w:rsidP="00E92CBD" w14:paraId="5D55C630" w14:textId="77777777">
      <w:pPr>
        <w:widowControl/>
        <w:numPr>
          <w:ilvl w:val="0"/>
          <w:numId w:val="20"/>
        </w:numPr>
        <w:tabs>
          <w:tab w:val="left" w:pos="720"/>
        </w:tabs>
        <w:spacing w:after="120"/>
        <w:rPr>
          <w:szCs w:val="22"/>
        </w:rPr>
      </w:pPr>
      <w:r w:rsidRPr="242C1B02">
        <w:rPr>
          <w:i/>
          <w:szCs w:val="22"/>
        </w:rPr>
        <w:t>Electronic Filers</w:t>
      </w:r>
      <w:r w:rsidRPr="00767BF8">
        <w:rPr>
          <w:szCs w:val="22"/>
        </w:rPr>
        <w:t xml:space="preserve">:  Comments may be filed electronically using the Internet by accessing the ECFS:  </w:t>
      </w:r>
      <w:hyperlink r:id="rId6" w:history="1">
        <w:r w:rsidRPr="00767BF8">
          <w:rPr>
            <w:color w:val="0000FF"/>
            <w:szCs w:val="22"/>
            <w:u w:val="single"/>
          </w:rPr>
          <w:t>https://www.fcc.gov/ecfs</w:t>
        </w:r>
      </w:hyperlink>
      <w:r w:rsidRPr="00767BF8">
        <w:rPr>
          <w:szCs w:val="22"/>
        </w:rPr>
        <w:t xml:space="preserve">.  </w:t>
      </w:r>
      <w:r>
        <w:rPr>
          <w:i/>
          <w:iCs/>
          <w:szCs w:val="22"/>
        </w:rPr>
        <w:t>See Electronic Filing of Documents in Rulemaking Proceedings</w:t>
      </w:r>
      <w:r>
        <w:rPr>
          <w:szCs w:val="22"/>
        </w:rPr>
        <w:t>, 63 FR 24121 (1998).</w:t>
      </w:r>
    </w:p>
    <w:p w:rsidR="00D937C6" w:rsidRPr="00CB00EF" w:rsidP="00E92CBD" w14:paraId="3EA0F707" w14:textId="77777777">
      <w:pPr>
        <w:widowControl/>
        <w:numPr>
          <w:ilvl w:val="0"/>
          <w:numId w:val="20"/>
        </w:numPr>
        <w:tabs>
          <w:tab w:val="left" w:pos="720"/>
        </w:tabs>
        <w:spacing w:after="120"/>
        <w:rPr>
          <w:szCs w:val="22"/>
        </w:rPr>
      </w:pPr>
      <w:r w:rsidRPr="242C1B02">
        <w:rPr>
          <w:i/>
          <w:szCs w:val="22"/>
        </w:rPr>
        <w:t>Paper Filers</w:t>
      </w:r>
      <w:r w:rsidRPr="00767BF8">
        <w:rPr>
          <w:szCs w:val="22"/>
        </w:rPr>
        <w:t xml:space="preserve">:  Parties who choose to file by paper must file an original and one copy of each filing.  </w:t>
      </w:r>
    </w:p>
    <w:p w:rsidR="00D937C6" w:rsidRPr="00CB00EF" w:rsidP="00E92CBD" w14:paraId="4031AE58" w14:textId="77777777">
      <w:pPr>
        <w:widowControl/>
        <w:numPr>
          <w:ilvl w:val="1"/>
          <w:numId w:val="20"/>
        </w:numPr>
        <w:tabs>
          <w:tab w:val="left" w:pos="720"/>
        </w:tabs>
        <w:spacing w:after="120"/>
        <w:rPr>
          <w:szCs w:val="22"/>
        </w:rPr>
      </w:pPr>
      <w:r w:rsidRPr="00767BF8">
        <w:rPr>
          <w:szCs w:val="22"/>
        </w:rPr>
        <w:t xml:space="preserve">Filings can be sent by hand or messenger delivery, by commercial courier, or by the U.S. Postal Service.  </w:t>
      </w:r>
      <w:r w:rsidRPr="00767BF8">
        <w:rPr>
          <w:b/>
          <w:szCs w:val="22"/>
        </w:rPr>
        <w:t>All filings must be addressed to the Secretary, Federal Communications Commission.</w:t>
      </w:r>
    </w:p>
    <w:p w:rsidR="00D937C6" w:rsidRPr="00CB00EF" w:rsidP="00E92CBD" w14:paraId="4CFA47E6" w14:textId="77777777">
      <w:pPr>
        <w:widowControl/>
        <w:numPr>
          <w:ilvl w:val="1"/>
          <w:numId w:val="20"/>
        </w:numPr>
        <w:tabs>
          <w:tab w:val="left" w:pos="720"/>
        </w:tabs>
        <w:spacing w:after="120"/>
        <w:rPr>
          <w:szCs w:val="22"/>
        </w:rPr>
      </w:pPr>
      <w:r w:rsidRPr="00767BF8">
        <w:rPr>
          <w:szCs w:val="22"/>
        </w:rPr>
        <w:t>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w:t>
      </w:r>
    </w:p>
    <w:p w:rsidR="00D937C6" w:rsidRPr="00CB00EF" w:rsidP="00E92CBD" w14:paraId="38A52BE8" w14:textId="77777777">
      <w:pPr>
        <w:widowControl/>
        <w:numPr>
          <w:ilvl w:val="1"/>
          <w:numId w:val="20"/>
        </w:numPr>
        <w:tabs>
          <w:tab w:val="left" w:pos="720"/>
        </w:tabs>
        <w:spacing w:after="120"/>
        <w:rPr>
          <w:szCs w:val="22"/>
        </w:rPr>
      </w:pPr>
      <w:r w:rsidRPr="00767BF8">
        <w:rPr>
          <w:szCs w:val="22"/>
        </w:rPr>
        <w:t>Commercial courier deliveries (any deliveries not by the U.S. Postal Service) must be sent to 9050 Junction Drive, Annapolis Junction, MD 20701.</w:t>
      </w:r>
    </w:p>
    <w:p w:rsidR="00D937C6" w:rsidRPr="00CB00EF" w:rsidP="00E92CBD" w14:paraId="33922598" w14:textId="77777777">
      <w:pPr>
        <w:widowControl/>
        <w:numPr>
          <w:ilvl w:val="1"/>
          <w:numId w:val="20"/>
        </w:numPr>
        <w:tabs>
          <w:tab w:val="left" w:pos="720"/>
        </w:tabs>
        <w:spacing w:after="120"/>
        <w:rPr>
          <w:szCs w:val="22"/>
        </w:rPr>
      </w:pPr>
      <w:r w:rsidRPr="00767BF8">
        <w:rPr>
          <w:szCs w:val="22"/>
        </w:rPr>
        <w:t>Filings sent by U.S. Postal Service First-Class Mail, Priority Mail, and Priority Mail Express must be sent to 45 L Street NE, Washington, DC 20554.</w:t>
      </w:r>
    </w:p>
    <w:p w:rsidR="00D937C6" w:rsidRPr="004B1059" w:rsidP="00E92CBD" w14:paraId="08B9088C" w14:textId="16CD9297">
      <w:pPr>
        <w:pStyle w:val="ParaNum"/>
        <w:widowControl/>
        <w:numPr>
          <w:ilvl w:val="0"/>
          <w:numId w:val="0"/>
        </w:numPr>
      </w:pPr>
      <w:r w:rsidRPr="00663C1A">
        <w:t xml:space="preserve">Comments and reply comments must include a short and concise summary of the substantive arguments raised in the pleading.  Comments and reply comments must also comply with </w:t>
      </w:r>
      <w:r w:rsidRPr="000428C1">
        <w:t xml:space="preserve">section 1.49 and all other applicable sections of the Commission’s rules. </w:t>
      </w:r>
      <w:r>
        <w:t xml:space="preserve"> </w:t>
      </w:r>
      <w:r w:rsidRPr="000428C1">
        <w:t xml:space="preserve">We direct all interested parties to include the name of the filing party and the date of the filing on each page of their comments and reply comments. </w:t>
      </w:r>
      <w:r>
        <w:t xml:space="preserve"> </w:t>
      </w:r>
      <w:r w:rsidRPr="000428C1">
        <w:t xml:space="preserve">All parties are encouraged to use a table of contents, regardless of the length of their submission. </w:t>
      </w:r>
      <w:r>
        <w:t xml:space="preserve"> </w:t>
      </w:r>
      <w:r w:rsidRPr="000428C1">
        <w:t xml:space="preserve">We also strongly encourage parties to track the organization set forth in </w:t>
      </w:r>
      <w:r>
        <w:t>this</w:t>
      </w:r>
      <w:r w:rsidRPr="000428C1">
        <w:t xml:space="preserve"> </w:t>
      </w:r>
      <w:r w:rsidRPr="0093386D" w:rsidR="00396B66">
        <w:rPr>
          <w:iCs/>
        </w:rPr>
        <w:t>Public Notice</w:t>
      </w:r>
      <w:r w:rsidRPr="000428C1">
        <w:t xml:space="preserve"> to facilitate our internal review process.</w:t>
      </w:r>
    </w:p>
    <w:p w:rsidR="00D937C6" w:rsidP="00E92CBD" w14:paraId="68AC1EC2" w14:textId="433EB672">
      <w:pPr>
        <w:pStyle w:val="ParaNum"/>
        <w:widowControl/>
        <w:numPr>
          <w:ilvl w:val="0"/>
          <w:numId w:val="0"/>
        </w:numPr>
        <w:ind w:firstLine="720"/>
        <w:rPr>
          <w:i/>
          <w:iCs/>
        </w:rPr>
      </w:pPr>
      <w:r w:rsidRPr="78A8201C">
        <w:rPr>
          <w:i/>
        </w:rPr>
        <w:t>People with Disabilities</w:t>
      </w:r>
      <w:r w:rsidR="00BA6E28">
        <w:rPr>
          <w:i/>
        </w:rPr>
        <w:t>.</w:t>
      </w:r>
      <w:r>
        <w:t xml:space="preserve">  To request materials in accessible formats for people with disabilities (braille, large print, electronic files, audio format), send an e-mail to </w:t>
      </w:r>
      <w:hyperlink r:id="rId7">
        <w:r w:rsidRPr="78A8201C">
          <w:rPr>
            <w:color w:val="0000FF"/>
            <w:u w:val="single"/>
          </w:rPr>
          <w:t>fcc504@fcc.gov</w:t>
        </w:r>
      </w:hyperlink>
      <w:r>
        <w:t xml:space="preserve"> or call the Consumer &amp; Governmental Affairs Bureau at 202-418-0530.</w:t>
      </w:r>
    </w:p>
    <w:p w:rsidR="00300706" w:rsidRPr="00631AC0" w:rsidP="00E92CBD" w14:paraId="63DB5C53" w14:textId="77777777">
      <w:pPr>
        <w:pStyle w:val="ParaNum"/>
        <w:widowControl/>
        <w:numPr>
          <w:ilvl w:val="0"/>
          <w:numId w:val="0"/>
        </w:numPr>
        <w:ind w:firstLine="720"/>
      </w:pPr>
      <w:r w:rsidRPr="00631AC0">
        <w:rPr>
          <w:i/>
          <w:iCs/>
        </w:rPr>
        <w:t>People with Disabilities</w:t>
      </w:r>
      <w:r w:rsidRPr="00631AC0">
        <w:t xml:space="preserve">.  We ask that requests for accommodations be made as soon as possible in order to allow the agency to satisfy such requests whenever possible.  Send an email to </w:t>
      </w:r>
      <w:hyperlink r:id="rId7" w:history="1">
        <w:r w:rsidRPr="00631AC0">
          <w:rPr>
            <w:rStyle w:val="Hyperlink"/>
            <w:szCs w:val="22"/>
          </w:rPr>
          <w:t>fcc504@fcc.gov</w:t>
        </w:r>
      </w:hyperlink>
      <w:r w:rsidRPr="00631AC0">
        <w:t xml:space="preserve"> or call the Consumer and Governmental Affairs Bureau at (202) 418-0530.</w:t>
      </w:r>
    </w:p>
    <w:p w:rsidR="00300706" w:rsidP="00E92CBD" w14:paraId="7171BA09" w14:textId="77777777">
      <w:pPr>
        <w:pStyle w:val="ParaNum"/>
        <w:widowControl/>
        <w:numPr>
          <w:ilvl w:val="0"/>
          <w:numId w:val="0"/>
        </w:numPr>
        <w:ind w:firstLine="720"/>
      </w:pPr>
      <w:r w:rsidRPr="00631AC0">
        <w:rPr>
          <w:i/>
          <w:iCs/>
        </w:rPr>
        <w:t xml:space="preserve">Ex Parte Presentations.  </w:t>
      </w:r>
      <w:r w:rsidRPr="00631AC0">
        <w:t xml:space="preserve">This proceeding shall be treated as a “permit-but-disclose” proceeding in accordance with the Commission’s </w:t>
      </w:r>
      <w:r w:rsidRPr="00631AC0">
        <w:rPr>
          <w:i/>
          <w:iCs/>
        </w:rPr>
        <w:t xml:space="preserve">ex parte </w:t>
      </w:r>
      <w:r w:rsidRPr="00631AC0">
        <w:t>rules.</w:t>
      </w:r>
      <w:r>
        <w:rPr>
          <w:sz w:val="20"/>
          <w:vertAlign w:val="superscript"/>
        </w:rPr>
        <w:footnoteReference w:id="66"/>
      </w:r>
      <w:r w:rsidRPr="00631AC0">
        <w:t xml:space="preserve">  Persons making </w:t>
      </w:r>
      <w:r w:rsidRPr="00631AC0">
        <w:rPr>
          <w:i/>
          <w:iCs/>
        </w:rPr>
        <w:t xml:space="preserve">ex parte </w:t>
      </w:r>
      <w:r w:rsidRPr="00631AC0">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631AC0">
        <w:rPr>
          <w:i/>
          <w:iCs/>
        </w:rPr>
        <w:t xml:space="preserve">ex parte </w:t>
      </w:r>
      <w:r w:rsidRPr="00631AC0">
        <w:t xml:space="preserve">presentations are reminded that memoranda summarizing the presentation must (1) list all persons attending or otherwise participating in the meeting at which the </w:t>
      </w:r>
      <w:r w:rsidRPr="00631AC0">
        <w:rPr>
          <w:i/>
          <w:iCs/>
        </w:rPr>
        <w:t xml:space="preserve">ex parte </w:t>
      </w:r>
      <w:r w:rsidRPr="00631AC0">
        <w:t>presentation was made</w:t>
      </w:r>
      <w:r>
        <w:t>,</w:t>
      </w:r>
      <w:r w:rsidRPr="00631AC0">
        <w:t xml:space="preserv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the prior comments, memoranda, or other filings (specifying the relevant page and/or paragraph numbers where such data or arguments can be found) in lieu of summarizing them in the memorandum.  Documents shown or given to Commission staff during </w:t>
      </w:r>
      <w:r w:rsidRPr="00631AC0">
        <w:rPr>
          <w:i/>
          <w:iCs/>
        </w:rPr>
        <w:t xml:space="preserve">ex parte </w:t>
      </w:r>
      <w:r w:rsidRPr="00631AC0">
        <w:t xml:space="preserve">meetings are deemed to be written </w:t>
      </w:r>
      <w:r w:rsidRPr="00631AC0">
        <w:rPr>
          <w:i/>
          <w:iCs/>
        </w:rPr>
        <w:t>ex parte</w:t>
      </w:r>
      <w:r w:rsidRPr="00631AC0">
        <w:t xml:space="preserve"> presentations and must be filed consistent with section 1.1206(b) of the Commission’s rules.</w:t>
      </w:r>
      <w:r>
        <w:rPr>
          <w:rStyle w:val="FootnoteReference"/>
          <w:sz w:val="20"/>
          <w:szCs w:val="22"/>
        </w:rPr>
        <w:footnoteReference w:id="67"/>
      </w:r>
      <w:r w:rsidRPr="00631AC0">
        <w:t xml:space="preserve">  Participants in this proceeding should familiarize themselves with the Commission’s </w:t>
      </w:r>
      <w:r w:rsidRPr="00631AC0">
        <w:rPr>
          <w:i/>
          <w:iCs/>
        </w:rPr>
        <w:t xml:space="preserve">ex parte </w:t>
      </w:r>
      <w:r w:rsidRPr="00631AC0">
        <w:t>rules.</w:t>
      </w:r>
    </w:p>
    <w:p w:rsidR="00300706" w:rsidRPr="001B6E2D" w:rsidP="00E92CBD" w14:paraId="32FADBF6" w14:textId="78F9710A">
      <w:pPr>
        <w:pStyle w:val="ParaNum"/>
        <w:widowControl/>
        <w:numPr>
          <w:ilvl w:val="0"/>
          <w:numId w:val="0"/>
        </w:numPr>
        <w:ind w:firstLine="720"/>
      </w:pPr>
      <w:r>
        <w:rPr>
          <w:i/>
          <w:iCs/>
        </w:rPr>
        <w:t xml:space="preserve">Supplemental </w:t>
      </w:r>
      <w:r w:rsidRPr="00917CE6">
        <w:rPr>
          <w:i/>
          <w:iCs/>
        </w:rPr>
        <w:t>Initial Regulatory Flexibility Analysis</w:t>
      </w:r>
      <w:r w:rsidRPr="00917CE6">
        <w:t>.</w:t>
      </w:r>
      <w:r w:rsidRPr="00917CE6">
        <w:rPr>
          <w:i/>
          <w:iCs/>
        </w:rPr>
        <w:t xml:space="preserve">  </w:t>
      </w:r>
      <w:r w:rsidRPr="00917CE6">
        <w:t>As required by the R</w:t>
      </w:r>
      <w:r>
        <w:t xml:space="preserve">egulatory Flexibility </w:t>
      </w:r>
      <w:r w:rsidRPr="00917CE6">
        <w:t>A</w:t>
      </w:r>
      <w:r>
        <w:t>ct</w:t>
      </w:r>
      <w:r w:rsidRPr="00917CE6">
        <w:t>,</w:t>
      </w:r>
      <w:r>
        <w:rPr>
          <w:rStyle w:val="FootnoteReference"/>
          <w:sz w:val="20"/>
        </w:rPr>
        <w:footnoteReference w:id="68"/>
      </w:r>
      <w:r w:rsidRPr="00917CE6">
        <w:t xml:space="preserve"> </w:t>
      </w:r>
      <w:r w:rsidR="00A34318">
        <w:t>we have</w:t>
      </w:r>
      <w:r w:rsidRPr="00917CE6">
        <w:t xml:space="preserve"> prepared a</w:t>
      </w:r>
      <w:r>
        <w:t xml:space="preserve"> Supplemental</w:t>
      </w:r>
      <w:r w:rsidRPr="00917CE6">
        <w:t xml:space="preserve"> Initial Regulatory Flexibility Analysis (</w:t>
      </w:r>
      <w:r>
        <w:t xml:space="preserve">Supplemental </w:t>
      </w:r>
      <w:r w:rsidRPr="00917CE6">
        <w:t>IRFA) of the possible significant economic impact on small entities by the policies and rules proposed in the</w:t>
      </w:r>
      <w:r w:rsidRPr="00917CE6">
        <w:rPr>
          <w:iCs/>
        </w:rPr>
        <w:t xml:space="preserve"> </w:t>
      </w:r>
      <w:r>
        <w:rPr>
          <w:iCs/>
        </w:rPr>
        <w:t>Public Notice</w:t>
      </w:r>
      <w:r w:rsidRPr="00917CE6">
        <w:t xml:space="preserve">.  The </w:t>
      </w:r>
      <w:r>
        <w:t xml:space="preserve">Supplemental </w:t>
      </w:r>
      <w:r w:rsidRPr="00917CE6">
        <w:t xml:space="preserve">IRFA is set forth in </w:t>
      </w:r>
      <w:r w:rsidRPr="00EE69A2">
        <w:t>Appendix B</w:t>
      </w:r>
      <w:r w:rsidRPr="00917CE6">
        <w:t xml:space="preserve">.  The Commission requests written public comments on the </w:t>
      </w:r>
      <w:r>
        <w:t xml:space="preserve">Supplemental </w:t>
      </w:r>
      <w:r w:rsidRPr="00917CE6">
        <w:t xml:space="preserve">IRFA.  Comments must be identified as responses to the </w:t>
      </w:r>
      <w:r>
        <w:t xml:space="preserve">Supplemental </w:t>
      </w:r>
      <w:r w:rsidRPr="00917CE6">
        <w:t>IRFA and must be filed by the deadlines for comments provided in th</w:t>
      </w:r>
      <w:r>
        <w:t>is</w:t>
      </w:r>
      <w:r w:rsidRPr="00917CE6">
        <w:rPr>
          <w:iCs/>
        </w:rPr>
        <w:t xml:space="preserve"> </w:t>
      </w:r>
      <w:r>
        <w:rPr>
          <w:iCs/>
        </w:rPr>
        <w:t>Public Notice</w:t>
      </w:r>
      <w:r w:rsidRPr="00917CE6">
        <w:rPr>
          <w:iCs/>
        </w:rPr>
        <w:t>.  The Commission will send a copy of th</w:t>
      </w:r>
      <w:r>
        <w:rPr>
          <w:iCs/>
        </w:rPr>
        <w:t>is</w:t>
      </w:r>
      <w:r w:rsidRPr="00917CE6">
        <w:rPr>
          <w:iCs/>
        </w:rPr>
        <w:t xml:space="preserve"> </w:t>
      </w:r>
      <w:r>
        <w:rPr>
          <w:iCs/>
        </w:rPr>
        <w:t>Public Notice</w:t>
      </w:r>
      <w:r w:rsidRPr="00917CE6">
        <w:rPr>
          <w:iCs/>
        </w:rPr>
        <w:t>, including th</w:t>
      </w:r>
      <w:r>
        <w:rPr>
          <w:iCs/>
        </w:rPr>
        <w:t>e</w:t>
      </w:r>
      <w:r w:rsidRPr="00917CE6">
        <w:rPr>
          <w:iCs/>
        </w:rPr>
        <w:t xml:space="preserve"> </w:t>
      </w:r>
      <w:r>
        <w:rPr>
          <w:iCs/>
        </w:rPr>
        <w:t xml:space="preserve">Supplemental </w:t>
      </w:r>
      <w:r w:rsidRPr="00917CE6">
        <w:rPr>
          <w:iCs/>
        </w:rPr>
        <w:t>IRFA, to the Chief Counsel for Advocacy of the Small Business Administration.</w:t>
      </w:r>
      <w:r>
        <w:rPr>
          <w:iCs/>
          <w:sz w:val="20"/>
          <w:vertAlign w:val="superscript"/>
        </w:rPr>
        <w:footnoteReference w:id="69"/>
      </w:r>
      <w:r w:rsidRPr="00917CE6">
        <w:rPr>
          <w:iCs/>
        </w:rPr>
        <w:t xml:space="preserve">  In addition, </w:t>
      </w:r>
      <w:r>
        <w:rPr>
          <w:iCs/>
        </w:rPr>
        <w:t xml:space="preserve">summaries of </w:t>
      </w:r>
      <w:r w:rsidRPr="00917CE6">
        <w:rPr>
          <w:iCs/>
        </w:rPr>
        <w:t>th</w:t>
      </w:r>
      <w:r>
        <w:rPr>
          <w:iCs/>
        </w:rPr>
        <w:t>is</w:t>
      </w:r>
      <w:r w:rsidRPr="00917CE6">
        <w:rPr>
          <w:iCs/>
        </w:rPr>
        <w:t xml:space="preserve"> </w:t>
      </w:r>
      <w:r>
        <w:rPr>
          <w:iCs/>
        </w:rPr>
        <w:t>Public Notice</w:t>
      </w:r>
      <w:r w:rsidRPr="00917CE6">
        <w:rPr>
          <w:iCs/>
        </w:rPr>
        <w:t xml:space="preserve"> </w:t>
      </w:r>
      <w:r w:rsidRPr="00917CE6">
        <w:t xml:space="preserve">and the </w:t>
      </w:r>
      <w:r>
        <w:t xml:space="preserve">Supplemental </w:t>
      </w:r>
      <w:r w:rsidRPr="00917CE6">
        <w:t>IRFA will be published in the Federal Register.</w:t>
      </w:r>
      <w:r>
        <w:rPr>
          <w:sz w:val="20"/>
          <w:vertAlign w:val="superscript"/>
        </w:rPr>
        <w:footnoteReference w:id="70"/>
      </w:r>
      <w:r>
        <w:t xml:space="preserve"> </w:t>
      </w:r>
    </w:p>
    <w:p w:rsidR="00300706" w:rsidP="00E92CBD" w14:paraId="5CD54D66" w14:textId="6683C216">
      <w:pPr>
        <w:pStyle w:val="ParaNum"/>
        <w:widowControl/>
        <w:numPr>
          <w:ilvl w:val="0"/>
          <w:numId w:val="0"/>
        </w:numPr>
        <w:ind w:firstLine="720"/>
      </w:pPr>
      <w:r>
        <w:rPr>
          <w:i/>
          <w:iCs/>
        </w:rPr>
        <w:t xml:space="preserve">Initial </w:t>
      </w:r>
      <w:r w:rsidRPr="00917CE6">
        <w:rPr>
          <w:i/>
          <w:iCs/>
        </w:rPr>
        <w:t xml:space="preserve">Paperwork Reduction Act Analysis.  </w:t>
      </w:r>
      <w:r w:rsidRPr="00917CE6">
        <w:t>The</w:t>
      </w:r>
      <w:r w:rsidRPr="00917CE6">
        <w:rPr>
          <w:i/>
          <w:iCs/>
        </w:rPr>
        <w:t xml:space="preserve"> </w:t>
      </w:r>
      <w:r>
        <w:t>Public Notice, and the attached instructions and templates,</w:t>
      </w:r>
      <w:r w:rsidRPr="00917CE6">
        <w:t xml:space="preserve"> contain new or modified information collection requirements subject to the Paperwork Reduction Act of 1995 (PRA), Public Law 104-13.  It will be submitted to</w:t>
      </w:r>
      <w:r>
        <w:t xml:space="preserve"> the </w:t>
      </w:r>
      <w:r w:rsidRPr="00917CE6">
        <w:t xml:space="preserve">OMB for review under section 3507(d) of the PRA.  </w:t>
      </w:r>
      <w:r w:rsidR="005D45F8">
        <w:t xml:space="preserve">The </w:t>
      </w:r>
      <w:r w:rsidRPr="00917CE6">
        <w:t xml:space="preserve">OMB, the general public, and other </w:t>
      </w:r>
      <w:r>
        <w:t>f</w:t>
      </w:r>
      <w:r w:rsidRPr="00917CE6">
        <w:t xml:space="preserve">ederal agencies are invited to </w:t>
      </w:r>
      <w:r w:rsidRPr="00917CE6">
        <w:t>comment on the new or modified information collection requirements contained in this proceeding.</w:t>
      </w:r>
      <w:r>
        <w:rPr>
          <w:rStyle w:val="FootnoteReference"/>
          <w:sz w:val="20"/>
        </w:rPr>
        <w:footnoteReference w:id="71"/>
      </w:r>
      <w:r w:rsidRPr="00917CE6">
        <w:t xml:space="preserve">  In addition, we note that pursuant to the Small Business Paperwork Relief Act of 2002, Public Law 107-198; </w:t>
      </w:r>
      <w:r w:rsidRPr="00917CE6">
        <w:rPr>
          <w:i/>
          <w:iCs/>
        </w:rPr>
        <w:t>see</w:t>
      </w:r>
      <w:r w:rsidRPr="00917CE6">
        <w:t xml:space="preserve"> 44 U.S.C. § 3506(4), we </w:t>
      </w:r>
      <w:r>
        <w:t>seek</w:t>
      </w:r>
      <w:r w:rsidRPr="00917CE6">
        <w:t xml:space="preserve"> comment on how the Commission will further reduce the information collection burden for small business concerns with fewer than 25 employees.</w:t>
      </w:r>
    </w:p>
    <w:p w:rsidR="00932DFC" w:rsidRPr="000F57A8" w:rsidP="00E92CBD" w14:paraId="0CA48874" w14:textId="244C30CA">
      <w:pPr>
        <w:pStyle w:val="ParaNum"/>
        <w:widowControl/>
        <w:numPr>
          <w:ilvl w:val="0"/>
          <w:numId w:val="0"/>
        </w:numPr>
        <w:ind w:firstLine="720"/>
        <w:rPr>
          <w:szCs w:val="22"/>
        </w:rPr>
      </w:pPr>
      <w:r>
        <w:rPr>
          <w:i/>
          <w:iCs/>
        </w:rPr>
        <w:t>Providing Accountability Through Transparency Act</w:t>
      </w:r>
      <w:r>
        <w:t xml:space="preserve">.  Consistent with the Providing Accountability Through Transparency Act, Public Law 118-9, a summary of this Public Notice </w:t>
      </w:r>
      <w:r w:rsidR="0094428A">
        <w:t xml:space="preserve">will be available on </w:t>
      </w:r>
      <w:hyperlink r:id="rId8" w:history="1">
        <w:r w:rsidRPr="00CA13C0" w:rsidR="0094428A">
          <w:rPr>
            <w:rStyle w:val="Hyperlink"/>
          </w:rPr>
          <w:t>https://www.fcc.gov/proposed-rulemakings</w:t>
        </w:r>
      </w:hyperlink>
      <w:r w:rsidR="0094428A">
        <w:t xml:space="preserve">.  </w:t>
      </w:r>
    </w:p>
    <w:p w:rsidR="00300706" w:rsidP="000B1398" w14:paraId="7E072482" w14:textId="2CAC81BC">
      <w:pPr>
        <w:pStyle w:val="ParaNum"/>
        <w:widowControl/>
        <w:numPr>
          <w:ilvl w:val="0"/>
          <w:numId w:val="0"/>
        </w:numPr>
        <w:ind w:firstLine="720"/>
      </w:pPr>
      <w:r w:rsidRPr="000B1398">
        <w:rPr>
          <w:i/>
          <w:iCs/>
        </w:rPr>
        <w:t xml:space="preserve">Additional Information.  </w:t>
      </w:r>
      <w:bookmarkEnd w:id="3"/>
      <w:r w:rsidRPr="00631AC0">
        <w:t xml:space="preserve">For further information, please contact </w:t>
      </w:r>
      <w:r w:rsidRPr="002316F4">
        <w:t xml:space="preserve">the Wireline Competition Bureau, Pricing Policy Division, at </w:t>
      </w:r>
      <w:hyperlink r:id="rId9" w:history="1">
        <w:r w:rsidRPr="000B1398" w:rsidR="0009236D">
          <w:rPr>
            <w:rStyle w:val="Hyperlink"/>
            <w:szCs w:val="22"/>
          </w:rPr>
          <w:t>IPCS@fcc.gov</w:t>
        </w:r>
      </w:hyperlink>
      <w:r>
        <w:t>.</w:t>
      </w:r>
    </w:p>
    <w:p w:rsidR="004E687B" w:rsidRPr="00631AC0" w:rsidP="001F42B1" w14:paraId="492D4E29" w14:textId="54E866BA">
      <w:pPr>
        <w:tabs>
          <w:tab w:val="left" w:pos="7950"/>
        </w:tabs>
        <w:spacing w:after="120"/>
        <w:ind w:firstLine="720"/>
        <w:rPr>
          <w:szCs w:val="22"/>
        </w:rPr>
      </w:pPr>
      <w:r>
        <w:rPr>
          <w:szCs w:val="22"/>
        </w:rPr>
        <w:tab/>
      </w:r>
    </w:p>
    <w:p w:rsidR="004E687B" w:rsidP="004E687B" w14:paraId="6A1C5F4C" w14:textId="77777777">
      <w:pPr>
        <w:spacing w:before="120" w:after="240"/>
        <w:jc w:val="center"/>
        <w:rPr>
          <w:szCs w:val="22"/>
        </w:rPr>
      </w:pPr>
      <w:r w:rsidRPr="00191A93">
        <w:rPr>
          <w:b/>
          <w:szCs w:val="22"/>
        </w:rPr>
        <w:t>-FCC-</w:t>
      </w:r>
      <w:bookmarkStart w:id="19" w:name="_Hlk72934521"/>
    </w:p>
    <w:p w:rsidR="004E687B" w:rsidRPr="00631AC0" w:rsidP="004E687B" w14:paraId="5D80CFBB" w14:textId="77777777">
      <w:pPr>
        <w:tabs>
          <w:tab w:val="num" w:pos="1440"/>
        </w:tabs>
        <w:spacing w:after="120"/>
        <w:rPr>
          <w:szCs w:val="22"/>
        </w:rPr>
      </w:pPr>
    </w:p>
    <w:bookmarkEnd w:id="19"/>
    <w:p w:rsidR="00A47F1A" w:rsidP="004E687B" w14:paraId="5A418FD5" w14:textId="77777777">
      <w:pPr>
        <w:rPr>
          <w:szCs w:val="22"/>
        </w:rPr>
        <w:sectPr>
          <w:headerReference w:type="default" r:id="rId10"/>
          <w:footerReference w:type="even" r:id="rId11"/>
          <w:footerReference w:type="default" r:id="rId12"/>
          <w:headerReference w:type="first" r:id="rId13"/>
          <w:footerReference w:type="first" r:id="rId14"/>
          <w:endnotePr>
            <w:numFmt w:val="decimal"/>
          </w:endnotePr>
          <w:pgSz w:w="12240" w:h="15840"/>
          <w:pgMar w:top="1440" w:right="1440" w:bottom="720" w:left="1440" w:header="630" w:footer="720" w:gutter="0"/>
          <w:pgNumType w:start="1"/>
          <w:cols w:space="720"/>
          <w:noEndnote/>
          <w:titlePg/>
        </w:sectPr>
      </w:pPr>
      <w:r>
        <w:rPr>
          <w:szCs w:val="22"/>
        </w:rPr>
        <w:br w:type="page"/>
      </w:r>
    </w:p>
    <w:p w:rsidR="00BA3BA8" w:rsidP="00A47F1A" w14:paraId="2B4ED1EE" w14:textId="3C51411F">
      <w:pPr>
        <w:jc w:val="center"/>
        <w:rPr>
          <w:b/>
          <w:bCs/>
        </w:rPr>
      </w:pPr>
      <w:r>
        <w:rPr>
          <w:b/>
          <w:bCs/>
        </w:rPr>
        <w:t>APPENDIX A</w:t>
      </w:r>
    </w:p>
    <w:p w:rsidR="004E687B" w:rsidP="004E687B" w14:paraId="5EA1FF0D" w14:textId="77777777">
      <w:pPr>
        <w:jc w:val="center"/>
        <w:rPr>
          <w:b/>
          <w:bCs/>
        </w:rPr>
      </w:pPr>
    </w:p>
    <w:p w:rsidR="004E687B" w:rsidP="004E687B" w14:paraId="14B6A48F" w14:textId="77777777">
      <w:pPr>
        <w:jc w:val="center"/>
        <w:rPr>
          <w:b/>
          <w:bCs/>
        </w:rPr>
      </w:pPr>
      <w:r>
        <w:rPr>
          <w:b/>
          <w:bCs/>
        </w:rPr>
        <w:t xml:space="preserve">Proposed 2026 Mandatory Data Collection Instructions, </w:t>
      </w:r>
    </w:p>
    <w:p w:rsidR="004E687B" w:rsidP="004E687B" w14:paraId="4A586C4F" w14:textId="10FB5348">
      <w:pPr>
        <w:jc w:val="center"/>
        <w:rPr>
          <w:b/>
          <w:bCs/>
        </w:rPr>
      </w:pPr>
      <w:r>
        <w:rPr>
          <w:b/>
          <w:bCs/>
        </w:rPr>
        <w:t>Templates, and Certification Form</w:t>
      </w:r>
    </w:p>
    <w:p w:rsidR="004E687B" w:rsidP="004E687B" w14:paraId="542D571E" w14:textId="77777777">
      <w:pPr>
        <w:jc w:val="center"/>
        <w:rPr>
          <w:b/>
          <w:bCs/>
        </w:rPr>
      </w:pPr>
    </w:p>
    <w:p w:rsidR="004E687B" w:rsidP="004E687B" w14:paraId="00EF6215" w14:textId="482A8DDB">
      <w:r>
        <w:t xml:space="preserve">The instructions, template, and certification form for the proposed 2026 Mandatory Data Collection are available through this link:  </w:t>
      </w:r>
      <w:hyperlink r:id="rId15" w:history="1">
        <w:r w:rsidRPr="00E82670" w:rsidR="00E82670">
          <w:rPr>
            <w:rStyle w:val="Hyperlink"/>
          </w:rPr>
          <w:t>https://www.fcc.gov/sites/default/files/2026%20IPCS%20MDC%20proposed%20Instructions.docx</w:t>
        </w:r>
      </w:hyperlink>
      <w:r>
        <w:t xml:space="preserve">.  </w:t>
      </w:r>
    </w:p>
    <w:p w:rsidR="004E687B" w:rsidP="004E687B" w14:paraId="015F002F" w14:textId="61A63C2D">
      <w:pPr>
        <w:jc w:val="center"/>
        <w:rPr>
          <w:b/>
        </w:rPr>
      </w:pPr>
      <w:r>
        <w:br w:type="page"/>
      </w:r>
      <w:r w:rsidR="003D3B65">
        <w:rPr>
          <w:b/>
        </w:rPr>
        <w:t xml:space="preserve">APPENDIX </w:t>
      </w:r>
      <w:r>
        <w:rPr>
          <w:b/>
        </w:rPr>
        <w:t xml:space="preserve">B </w:t>
      </w:r>
    </w:p>
    <w:p w:rsidR="004E687B" w:rsidP="004E687B" w14:paraId="61D50CF4" w14:textId="77777777">
      <w:pPr>
        <w:jc w:val="center"/>
        <w:rPr>
          <w:b/>
        </w:rPr>
      </w:pPr>
    </w:p>
    <w:p w:rsidR="007342C9" w:rsidP="004E1367" w14:paraId="645312AF" w14:textId="550319AD">
      <w:pPr>
        <w:jc w:val="center"/>
        <w:rPr>
          <w:b/>
        </w:rPr>
      </w:pPr>
      <w:r>
        <w:rPr>
          <w:b/>
        </w:rPr>
        <w:t>Supplemental Initial Regulatory Flexibility Analysis</w:t>
      </w:r>
    </w:p>
    <w:p w:rsidR="0032770E" w:rsidRPr="00831132" w:rsidP="0032770E" w14:paraId="02FF4F6F" w14:textId="1C89B608">
      <w:pPr>
        <w:jc w:val="center"/>
      </w:pPr>
    </w:p>
    <w:p w:rsidR="0032770E" w:rsidP="00DA1950" w14:paraId="17970D99" w14:textId="7DE07708">
      <w:pPr>
        <w:pStyle w:val="ParaNum"/>
        <w:numPr>
          <w:ilvl w:val="0"/>
          <w:numId w:val="18"/>
        </w:numPr>
        <w:tabs>
          <w:tab w:val="clear" w:pos="1080"/>
        </w:tabs>
      </w:pPr>
      <w:r>
        <w:t>As required by the Regulatory Flexibility Act of 1980, as amended (RFA),</w:t>
      </w:r>
      <w:r>
        <w:rPr>
          <w:rStyle w:val="FootnoteReference"/>
        </w:rPr>
        <w:footnoteReference w:id="72"/>
      </w:r>
      <w:r>
        <w:t xml:space="preserve"> the</w:t>
      </w:r>
      <w:r w:rsidR="00096FAA">
        <w:t xml:space="preserve"> Wireline Competition Bureau (WCB) and the Office of Economics and Analytics (OEA) (collectively, WCB/OEA)</w:t>
      </w:r>
      <w:r>
        <w:t xml:space="preserve"> ha</w:t>
      </w:r>
      <w:r w:rsidR="00096FAA">
        <w:t>ve</w:t>
      </w:r>
      <w:r>
        <w:t xml:space="preserve"> prepared this </w:t>
      </w:r>
      <w:r w:rsidR="00096FAA">
        <w:t xml:space="preserve">Supplemental </w:t>
      </w:r>
      <w:r>
        <w:t xml:space="preserve">Initial </w:t>
      </w:r>
      <w:r w:rsidRPr="00342088">
        <w:t>Regulatory Flexibility Analysis (</w:t>
      </w:r>
      <w:r w:rsidR="0014103B">
        <w:t xml:space="preserve">Supplemental </w:t>
      </w:r>
      <w:r w:rsidRPr="00342088">
        <w:t xml:space="preserve">IRFA) of the policies and rules proposed in the </w:t>
      </w:r>
      <w:r w:rsidRPr="0093386D" w:rsidR="004B2A07">
        <w:t>Public Notice</w:t>
      </w:r>
      <w:r w:rsidRPr="00342088">
        <w:t xml:space="preserve"> assessing the possible significant economic impact on a substantial number of small entities.  </w:t>
      </w:r>
      <w:r w:rsidR="0014103B">
        <w:t>We</w:t>
      </w:r>
      <w:r w:rsidRPr="00342088">
        <w:t xml:space="preserve"> request written public comments on this </w:t>
      </w:r>
      <w:r w:rsidR="0014103B">
        <w:t xml:space="preserve">Supplemental </w:t>
      </w:r>
      <w:r w:rsidRPr="00342088">
        <w:t xml:space="preserve">IRFA.  Comments must be identified as responses to the </w:t>
      </w:r>
      <w:r w:rsidR="0014103B">
        <w:t xml:space="preserve">Supplemental </w:t>
      </w:r>
      <w:r w:rsidRPr="00342088">
        <w:t xml:space="preserve">IRFA and must be filed by the deadlines for comments specified on the first page of the </w:t>
      </w:r>
      <w:r w:rsidRPr="0093386D" w:rsidR="00E9323C">
        <w:t xml:space="preserve">Public </w:t>
      </w:r>
      <w:r w:rsidRPr="0093386D" w:rsidR="002856E0">
        <w:t>Notice</w:t>
      </w:r>
      <w:r w:rsidRPr="00342088">
        <w:t>.  The Commission will send a copy of the</w:t>
      </w:r>
      <w:r w:rsidR="002856E0">
        <w:t xml:space="preserve"> </w:t>
      </w:r>
      <w:r w:rsidR="00E9323C">
        <w:t xml:space="preserve">Public </w:t>
      </w:r>
      <w:r w:rsidRPr="0093386D" w:rsidR="002856E0">
        <w:t>Notice</w:t>
      </w:r>
      <w:r w:rsidRPr="00342088">
        <w:t>, including this</w:t>
      </w:r>
      <w:r w:rsidR="00E604CE">
        <w:t xml:space="preserve"> Supplemental IRFA</w:t>
      </w:r>
      <w:r w:rsidRPr="00342088">
        <w:t>, to the Chief Counsel for the Small Business Administration (SBA)</w:t>
      </w:r>
      <w:r>
        <w:t xml:space="preserve"> Office of Advocacy</w:t>
      </w:r>
      <w:r w:rsidRPr="00342088">
        <w:t>.</w:t>
      </w:r>
      <w:r>
        <w:rPr>
          <w:rStyle w:val="FootnoteReference"/>
        </w:rPr>
        <w:footnoteReference w:id="73"/>
      </w:r>
      <w:r w:rsidRPr="00342088">
        <w:t xml:space="preserve">  In addition, the </w:t>
      </w:r>
      <w:r w:rsidRPr="0093386D" w:rsidR="00E9323C">
        <w:t xml:space="preserve">Public </w:t>
      </w:r>
      <w:r w:rsidRPr="0093386D" w:rsidR="002856E0">
        <w:t>Notice</w:t>
      </w:r>
      <w:r w:rsidRPr="00342088">
        <w:t xml:space="preserve"> and</w:t>
      </w:r>
      <w:r w:rsidR="00E604CE">
        <w:t xml:space="preserve"> Supplemental</w:t>
      </w:r>
      <w:r w:rsidRPr="00342088">
        <w:t xml:space="preserve"> IRFA </w:t>
      </w:r>
      <w:bookmarkStart w:id="20" w:name="_Hlk94175636"/>
      <w:r w:rsidRPr="00342088">
        <w:t>(or summaries</w:t>
      </w:r>
      <w:r w:rsidRPr="00070093">
        <w:t xml:space="preserve"> thereof) will be published in </w:t>
      </w:r>
      <w:r w:rsidRPr="0025419C">
        <w:t>the Federal Register</w:t>
      </w:r>
      <w:r w:rsidRPr="00070093">
        <w:t>.</w:t>
      </w:r>
      <w:r>
        <w:rPr>
          <w:rStyle w:val="FootnoteReference"/>
        </w:rPr>
        <w:footnoteReference w:id="74"/>
      </w:r>
      <w:r>
        <w:t xml:space="preserve">  </w:t>
      </w:r>
    </w:p>
    <w:p w:rsidR="0032770E" w:rsidP="0032770E" w14:paraId="18F169DF" w14:textId="77777777">
      <w:pPr>
        <w:pStyle w:val="Heading2"/>
      </w:pPr>
      <w:bookmarkStart w:id="21" w:name="_Toc474532761"/>
      <w:bookmarkStart w:id="22" w:name="_Toc474534427"/>
      <w:bookmarkStart w:id="23" w:name="_Toc474752054"/>
      <w:bookmarkStart w:id="24" w:name="_Toc474947294"/>
      <w:bookmarkStart w:id="25" w:name="_Toc475028094"/>
      <w:bookmarkStart w:id="26" w:name="_Toc475537257"/>
      <w:bookmarkStart w:id="27" w:name="_Toc475899457"/>
      <w:bookmarkStart w:id="28" w:name="_Toc477805789"/>
      <w:bookmarkStart w:id="29" w:name="_Toc477954223"/>
      <w:bookmarkEnd w:id="20"/>
      <w:r w:rsidRPr="00DD0E0C">
        <w:t>Need for, and Objectives of, the Proposed Rules</w:t>
      </w:r>
      <w:bookmarkEnd w:id="21"/>
      <w:bookmarkEnd w:id="22"/>
      <w:bookmarkEnd w:id="23"/>
      <w:bookmarkEnd w:id="24"/>
      <w:bookmarkEnd w:id="25"/>
      <w:bookmarkEnd w:id="26"/>
      <w:bookmarkEnd w:id="27"/>
      <w:bookmarkEnd w:id="28"/>
      <w:bookmarkEnd w:id="29"/>
    </w:p>
    <w:p w:rsidR="0032770E" w:rsidP="0032770E" w14:paraId="7E7E14E0" w14:textId="27436D83">
      <w:pPr>
        <w:pStyle w:val="ParaNum"/>
        <w:numPr>
          <w:ilvl w:val="0"/>
          <w:numId w:val="18"/>
        </w:numPr>
        <w:tabs>
          <w:tab w:val="clear" w:pos="1080"/>
        </w:tabs>
      </w:pPr>
      <w:r w:rsidRPr="002316F4">
        <w:t xml:space="preserve">In this </w:t>
      </w:r>
      <w:r w:rsidRPr="0093386D">
        <w:t>Public Notice</w:t>
      </w:r>
      <w:r w:rsidRPr="002316F4">
        <w:t xml:space="preserve">, WCB/OEA seek comment on the contours and specific requirements of the proposed 2026 Mandatory Data Collection for incarcerated </w:t>
      </w:r>
      <w:r w:rsidRPr="002316F4" w:rsidR="00094E5E">
        <w:t>people’s</w:t>
      </w:r>
      <w:r w:rsidRPr="002316F4">
        <w:t xml:space="preserve"> communications services (IPCS).  In issuing this </w:t>
      </w:r>
      <w:r w:rsidRPr="0093386D">
        <w:t>Public Notice</w:t>
      </w:r>
      <w:r w:rsidRPr="002316F4">
        <w:t xml:space="preserve">, we act </w:t>
      </w:r>
      <w:r w:rsidRPr="002316F4" w:rsidR="00094E5E">
        <w:t>pursuant to the Commission’s</w:t>
      </w:r>
      <w:r w:rsidR="008259E6">
        <w:t xml:space="preserve"> delegation of authority in the </w:t>
      </w:r>
      <w:r w:rsidR="008259E6">
        <w:rPr>
          <w:i/>
          <w:iCs/>
        </w:rPr>
        <w:t>2024 IPCS Order</w:t>
      </w:r>
      <w:r w:rsidR="00263E8A">
        <w:t>,</w:t>
      </w:r>
      <w:r>
        <w:rPr>
          <w:rStyle w:val="FootnoteReference"/>
        </w:rPr>
        <w:footnoteReference w:id="75"/>
      </w:r>
      <w:r w:rsidR="00263E8A">
        <w:t xml:space="preserve"> which the Commission reaffirmed in the </w:t>
      </w:r>
      <w:r w:rsidR="00263E8A">
        <w:rPr>
          <w:i/>
          <w:iCs/>
        </w:rPr>
        <w:t>2025 IPCS Order</w:t>
      </w:r>
      <w:r w:rsidR="00263E8A">
        <w:t xml:space="preserve">, </w:t>
      </w:r>
      <w:r w:rsidR="00F43B8D">
        <w:t>to conduct an additional IPCS data collection.</w:t>
      </w:r>
      <w:r>
        <w:rPr>
          <w:rStyle w:val="FootnoteReference"/>
        </w:rPr>
        <w:footnoteReference w:id="76"/>
      </w:r>
      <w:r w:rsidR="00FA1B00">
        <w:t xml:space="preserve">  In the </w:t>
      </w:r>
      <w:r w:rsidR="00FA1B00">
        <w:rPr>
          <w:i/>
          <w:iCs/>
        </w:rPr>
        <w:t>2025 IPCS Order</w:t>
      </w:r>
      <w:r w:rsidR="00FA1B00">
        <w:t xml:space="preserve">, </w:t>
      </w:r>
      <w:r w:rsidRPr="0089155F" w:rsidR="005C0FE0">
        <w:t>the Commission directed WCB</w:t>
      </w:r>
      <w:r w:rsidR="005F0F91">
        <w:t>/</w:t>
      </w:r>
      <w:r w:rsidRPr="0089155F" w:rsidR="005C0FE0">
        <w:t>OEA to “make any appropriate modifications to the structure of the collection and the template and instructions for the collection necessary to provide the Commission an objective basis to establish permanent IPCS rate caps” consistent with section 276 of the Communications Act of 1934, as amended (the Communications Act) and the Martha Wright-Reed Act.</w:t>
      </w:r>
      <w:r>
        <w:rPr>
          <w:sz w:val="20"/>
          <w:vertAlign w:val="superscript"/>
        </w:rPr>
        <w:footnoteReference w:id="77"/>
      </w:r>
      <w:r w:rsidRPr="0089155F" w:rsidR="005C0FE0">
        <w:t xml:space="preserve">  </w:t>
      </w:r>
    </w:p>
    <w:p w:rsidR="00C52068" w:rsidRPr="002316F4" w:rsidP="00813354" w14:paraId="0BA4FED6" w14:textId="60CD11E1">
      <w:pPr>
        <w:pStyle w:val="ParaNum"/>
        <w:numPr>
          <w:ilvl w:val="0"/>
          <w:numId w:val="18"/>
        </w:numPr>
        <w:tabs>
          <w:tab w:val="clear" w:pos="1080"/>
        </w:tabs>
      </w:pPr>
      <w:r>
        <w:t xml:space="preserve">Pursuant to </w:t>
      </w:r>
      <w:r w:rsidR="00E9323C">
        <w:t>our</w:t>
      </w:r>
      <w:r>
        <w:t xml:space="preserve"> delegated authority, WCB/OEA have drafted instructions, template</w:t>
      </w:r>
      <w:r w:rsidR="009965A5">
        <w:t>s</w:t>
      </w:r>
      <w:r>
        <w:t>, and a certificat</w:t>
      </w:r>
      <w:r w:rsidR="00E9323C">
        <w:t>ion</w:t>
      </w:r>
      <w:r>
        <w:t xml:space="preserve"> form for the proposed 2026 Mandatory Data Collection</w:t>
      </w:r>
      <w:r>
        <w:rPr>
          <w:rStyle w:val="FootnoteReference"/>
        </w:rPr>
        <w:footnoteReference w:id="78"/>
      </w:r>
      <w:r w:rsidR="009676DF">
        <w:t xml:space="preserve"> and are issuing this </w:t>
      </w:r>
      <w:r w:rsidRPr="0093386D" w:rsidR="009676DF">
        <w:t>Public Notice</w:t>
      </w:r>
      <w:r w:rsidR="009676DF">
        <w:t xml:space="preserve"> to seek comment on all aspects of these proposed documents. </w:t>
      </w:r>
    </w:p>
    <w:p w:rsidR="0032770E" w:rsidRPr="00D52BAF" w:rsidP="0032770E" w14:paraId="45F3CD1D" w14:textId="77777777">
      <w:pPr>
        <w:pStyle w:val="Heading2"/>
      </w:pPr>
      <w:bookmarkStart w:id="30" w:name="_Toc474532762"/>
      <w:bookmarkStart w:id="31" w:name="_Toc474534428"/>
      <w:bookmarkStart w:id="32" w:name="_Toc474752055"/>
      <w:bookmarkStart w:id="33" w:name="_Toc474947295"/>
      <w:bookmarkStart w:id="34" w:name="_Toc475028095"/>
      <w:bookmarkStart w:id="35" w:name="_Toc475537258"/>
      <w:bookmarkStart w:id="36" w:name="_Toc475899458"/>
      <w:bookmarkStart w:id="37" w:name="_Toc477805790"/>
      <w:bookmarkStart w:id="38" w:name="_Toc477954224"/>
      <w:r w:rsidRPr="00D52BAF">
        <w:t>Legal Basis</w:t>
      </w:r>
      <w:bookmarkEnd w:id="30"/>
      <w:bookmarkEnd w:id="31"/>
      <w:bookmarkEnd w:id="32"/>
      <w:bookmarkEnd w:id="33"/>
      <w:bookmarkEnd w:id="34"/>
      <w:bookmarkEnd w:id="35"/>
      <w:bookmarkEnd w:id="36"/>
      <w:bookmarkEnd w:id="37"/>
      <w:bookmarkEnd w:id="38"/>
    </w:p>
    <w:p w:rsidR="0074550D" w:rsidRPr="00DA1950" w:rsidP="00DA1950" w14:paraId="63985E65" w14:textId="13407093">
      <w:pPr>
        <w:pStyle w:val="ParaNum"/>
        <w:numPr>
          <w:ilvl w:val="0"/>
          <w:numId w:val="18"/>
        </w:numPr>
        <w:tabs>
          <w:tab w:val="clear" w:pos="1080"/>
        </w:tabs>
        <w:rPr>
          <w:rFonts w:ascii="TimesNewRomanPSMT" w:hAnsi="TimesNewRomanPSMT" w:cs="TimesNewRomanPSMT"/>
          <w:snapToGrid/>
          <w:kern w:val="0"/>
          <w:szCs w:val="22"/>
        </w:rPr>
      </w:pPr>
      <w:r w:rsidRPr="00DD0E0C">
        <w:t xml:space="preserve">The proposed action is authorized pursuant to </w:t>
      </w:r>
      <w:r>
        <w:t>s</w:t>
      </w:r>
      <w:r w:rsidRPr="00DD0E0C">
        <w:t xml:space="preserve">ections </w:t>
      </w:r>
      <w:r w:rsidR="00433FAD">
        <w:t>1, 2, 4(</w:t>
      </w:r>
      <w:r w:rsidR="00433FAD">
        <w:t>i</w:t>
      </w:r>
      <w:r w:rsidR="00433FAD">
        <w:t xml:space="preserve">)-(j), 5(c), 201(b), 218, 220, 225, 255, </w:t>
      </w:r>
      <w:r w:rsidR="007867EA">
        <w:rPr>
          <w:rFonts w:ascii="TimesNewRomanPSMT" w:hAnsi="TimesNewRomanPSMT" w:cs="TimesNewRomanPSMT"/>
          <w:snapToGrid/>
          <w:kern w:val="0"/>
          <w:szCs w:val="22"/>
        </w:rPr>
        <w:t>276, 403, and 716 of the Communications Act of 1934, as amended, 47 U.S.C. §§ 151, 152, 154(</w:t>
      </w:r>
      <w:r w:rsidR="007867EA">
        <w:rPr>
          <w:rFonts w:ascii="TimesNewRomanPSMT" w:hAnsi="TimesNewRomanPSMT" w:cs="TimesNewRomanPSMT"/>
          <w:snapToGrid/>
          <w:kern w:val="0"/>
          <w:szCs w:val="22"/>
        </w:rPr>
        <w:t>i</w:t>
      </w:r>
      <w:r w:rsidR="007867EA">
        <w:rPr>
          <w:rFonts w:ascii="TimesNewRomanPSMT" w:hAnsi="TimesNewRomanPSMT" w:cs="TimesNewRomanPSMT"/>
          <w:snapToGrid/>
          <w:kern w:val="0"/>
          <w:szCs w:val="22"/>
        </w:rPr>
        <w:t>)-(j),</w:t>
      </w:r>
      <w:r>
        <w:rPr>
          <w:rFonts w:ascii="TimesNewRomanPSMT" w:hAnsi="TimesNewRomanPSMT" w:cs="TimesNewRomanPSMT"/>
          <w:snapToGrid/>
          <w:kern w:val="0"/>
          <w:szCs w:val="22"/>
        </w:rPr>
        <w:t xml:space="preserve"> </w:t>
      </w:r>
      <w:r w:rsidRPr="002316F4" w:rsidR="007867EA">
        <w:rPr>
          <w:rFonts w:ascii="TimesNewRomanPSMT" w:hAnsi="TimesNewRomanPSMT" w:cs="TimesNewRomanPSMT"/>
          <w:snapToGrid/>
          <w:kern w:val="0"/>
          <w:szCs w:val="22"/>
        </w:rPr>
        <w:t>155(c</w:t>
      </w:r>
      <w:r w:rsidRPr="002316F4">
        <w:rPr>
          <w:rFonts w:ascii="TimesNewRomanPSMT" w:hAnsi="TimesNewRomanPSMT" w:cs="TimesNewRomanPSMT"/>
          <w:snapToGrid/>
          <w:kern w:val="0"/>
          <w:szCs w:val="22"/>
        </w:rPr>
        <w:t>)</w:t>
      </w:r>
      <w:r w:rsidRPr="002316F4" w:rsidR="007867EA">
        <w:rPr>
          <w:rFonts w:ascii="TimesNewRomanPSMT" w:hAnsi="TimesNewRomanPSMT" w:cs="TimesNewRomanPSMT"/>
          <w:snapToGrid/>
          <w:kern w:val="0"/>
          <w:szCs w:val="22"/>
        </w:rPr>
        <w:t xml:space="preserve">, 201(b), 218, 220, 225, 255, 276, 403, and 617, and the Martha Wright-Reed Act, </w:t>
      </w:r>
      <w:r w:rsidRPr="002316F4" w:rsidR="007867EA">
        <w:rPr>
          <w:rFonts w:ascii="TimesNewRomanPSMT" w:hAnsi="TimesNewRomanPSMT" w:cs="TimesNewRomanPSMT"/>
          <w:snapToGrid/>
          <w:kern w:val="0"/>
          <w:szCs w:val="22"/>
        </w:rPr>
        <w:t>Pub. L. No. 117-338, 136 Stat. 6156 (2022).</w:t>
      </w:r>
      <w:r w:rsidRPr="00DD0E0C">
        <w:t xml:space="preserve"> </w:t>
      </w:r>
    </w:p>
    <w:p w:rsidR="0032770E" w:rsidP="0032770E" w14:paraId="0D7453BE" w14:textId="77777777">
      <w:pPr>
        <w:pStyle w:val="Heading2"/>
      </w:pPr>
      <w:bookmarkStart w:id="39" w:name="_Toc474532763"/>
      <w:bookmarkStart w:id="40" w:name="_Toc474534429"/>
      <w:bookmarkStart w:id="41" w:name="_Toc474752056"/>
      <w:bookmarkStart w:id="42" w:name="_Toc474947296"/>
      <w:bookmarkStart w:id="43" w:name="_Toc475028096"/>
      <w:bookmarkStart w:id="44" w:name="_Toc475537259"/>
      <w:bookmarkStart w:id="45" w:name="_Toc475899459"/>
      <w:bookmarkStart w:id="46" w:name="_Toc477805791"/>
      <w:bookmarkStart w:id="47" w:name="_Toc477954225"/>
      <w:r>
        <w:t>Description and Estimate of the Number of Small Entities to Which the Proposed Rules Will Apply</w:t>
      </w:r>
      <w:bookmarkEnd w:id="39"/>
      <w:bookmarkEnd w:id="40"/>
      <w:bookmarkEnd w:id="41"/>
      <w:bookmarkEnd w:id="42"/>
      <w:bookmarkEnd w:id="43"/>
      <w:bookmarkEnd w:id="44"/>
      <w:bookmarkEnd w:id="45"/>
      <w:bookmarkEnd w:id="46"/>
      <w:bookmarkEnd w:id="47"/>
    </w:p>
    <w:p w:rsidR="0032770E" w:rsidP="0093386D" w14:paraId="3D6A91D6" w14:textId="77777777">
      <w:pPr>
        <w:pStyle w:val="ParaNum"/>
        <w:numPr>
          <w:ilvl w:val="0"/>
          <w:numId w:val="18"/>
        </w:numPr>
        <w:tabs>
          <w:tab w:val="clear" w:pos="1080"/>
        </w:tabs>
      </w:pPr>
      <w:r w:rsidRPr="0038789F">
        <w:t>The RFA directs agencies to provide a description of and, where feasible, an estimate of the number of small entities that may be affected by the proposed rules, if adopted.</w:t>
      </w:r>
      <w:r>
        <w:rPr>
          <w:vertAlign w:val="superscript"/>
        </w:rPr>
        <w:footnoteReference w:id="79"/>
      </w:r>
      <w:r w:rsidRPr="0038789F">
        <w:t xml:space="preserve">  The RFA generally defines the term “small entity” as having the same meaning as the terms “small business,” “small organization,” and “small governmental jurisdiction.”</w:t>
      </w:r>
      <w:r>
        <w:rPr>
          <w:vertAlign w:val="superscript"/>
        </w:rPr>
        <w:footnoteReference w:id="80"/>
      </w:r>
      <w:r w:rsidRPr="0038789F">
        <w:t xml:space="preserve">  </w:t>
      </w:r>
      <w:r w:rsidRPr="008E14AE">
        <w:t>In addition, the term “small business” has the same meaning as the term “small business concern” under the Small Business Act.</w:t>
      </w:r>
      <w:r>
        <w:rPr>
          <w:vertAlign w:val="superscript"/>
        </w:rPr>
        <w:footnoteReference w:id="81"/>
      </w:r>
      <w:r w:rsidRPr="008E14AE">
        <w:t xml:space="preserve">  A “small business concern” is one which: (1) is independently owned and operated; (2) is not dominant in its field of operation; and (3) satisfies any additional criteria established by the SBA.</w:t>
      </w:r>
      <w:r>
        <w:rPr>
          <w:vertAlign w:val="superscript"/>
        </w:rPr>
        <w:footnoteReference w:id="82"/>
      </w:r>
      <w:r w:rsidRPr="008E14AE">
        <w:t xml:space="preserve">  </w:t>
      </w:r>
      <w:r w:rsidRPr="0038789F">
        <w:t>The SBA establishes small business size standards that agencies are required to use when promulgating regulations relating to small businesses; agencies may establish alternative size standards for use in such programs, but must consult and obtain approval from SBA before doing so.</w:t>
      </w:r>
      <w:r>
        <w:rPr>
          <w:vertAlign w:val="superscript"/>
        </w:rPr>
        <w:footnoteReference w:id="83"/>
      </w:r>
      <w:r w:rsidRPr="0038789F">
        <w:t xml:space="preserve">  </w:t>
      </w:r>
    </w:p>
    <w:p w:rsidR="0032770E" w:rsidP="0093386D" w14:paraId="3C69A22C" w14:textId="2E1AE0BE">
      <w:pPr>
        <w:pStyle w:val="ParaNum"/>
        <w:numPr>
          <w:ilvl w:val="0"/>
          <w:numId w:val="18"/>
        </w:numPr>
        <w:tabs>
          <w:tab w:val="clear" w:pos="1080"/>
        </w:tabs>
      </w:pPr>
      <w:r w:rsidRPr="0038789F">
        <w:t xml:space="preserve">Our actions, over time, may affect small entities that are not easily categorized at present. </w:t>
      </w:r>
      <w:r>
        <w:t xml:space="preserve"> </w:t>
      </w:r>
      <w:r w:rsidRPr="0038789F">
        <w:t>We therefore describe three broad groups of small entities that could be directly</w:t>
      </w:r>
      <w:r>
        <w:t xml:space="preserve"> </w:t>
      </w:r>
      <w:r w:rsidRPr="0038789F">
        <w:t>affected by our actions.</w:t>
      </w:r>
      <w:r>
        <w:rPr>
          <w:vertAlign w:val="superscript"/>
        </w:rPr>
        <w:footnoteReference w:id="84"/>
      </w:r>
      <w:r w:rsidRPr="0038789F">
        <w:t xml:space="preserve">  In general, a small business is an independent business having fewer than 500 employees.</w:t>
      </w:r>
      <w:r>
        <w:rPr>
          <w:vertAlign w:val="superscript"/>
        </w:rPr>
        <w:footnoteReference w:id="85"/>
      </w:r>
      <w:r w:rsidRPr="0038789F">
        <w:t xml:space="preserve">  These types of small businesses represent 99.9% of all businesses in the United States, which translates to 34.75 million businesses.</w:t>
      </w:r>
      <w:r>
        <w:rPr>
          <w:vertAlign w:val="superscript"/>
        </w:rPr>
        <w:footnoteReference w:id="86"/>
      </w:r>
      <w:r w:rsidRPr="0038789F">
        <w:t xml:space="preserve">  Next, “small organizations” are not-for-profit enterprises that are independently owned and operated and not dominant </w:t>
      </w:r>
      <w:r>
        <w:t xml:space="preserve">in </w:t>
      </w:r>
      <w:r w:rsidRPr="0038789F">
        <w:t>their field.</w:t>
      </w:r>
      <w:r>
        <w:rPr>
          <w:vertAlign w:val="superscript"/>
        </w:rPr>
        <w:footnoteReference w:id="87"/>
      </w:r>
      <w:r w:rsidRPr="0038789F">
        <w:t xml:space="preserve">  While we do not have data regarding the number of non-profits that meet that criteria, over 99 percent of nonprofits have fewer than 500 employees.</w:t>
      </w:r>
      <w:r>
        <w:rPr>
          <w:vertAlign w:val="superscript"/>
        </w:rPr>
        <w:footnoteReference w:id="88"/>
      </w:r>
      <w:r w:rsidRPr="0038789F">
        <w:t xml:space="preserve"> </w:t>
      </w:r>
      <w:r>
        <w:t xml:space="preserve"> </w:t>
      </w:r>
      <w:r w:rsidRPr="0038789F">
        <w:t>Finally, “small governmental jurisdictions” are defined as cities, counties, towns, townships, villages, school districts, or special districts with populations of less than fifty thousand.</w:t>
      </w:r>
      <w:r>
        <w:rPr>
          <w:vertAlign w:val="superscript"/>
        </w:rPr>
        <w:footnoteReference w:id="89"/>
      </w:r>
      <w:r w:rsidRPr="0038789F">
        <w:t xml:space="preserve">  Based on the 2022 U.S. Census of Governments data, we estimate that at least 48,724 out of 90,835 local government jurisdictions have a population of less than 50,000.</w:t>
      </w:r>
      <w:r>
        <w:rPr>
          <w:vertAlign w:val="superscript"/>
        </w:rPr>
        <w:footnoteReference w:id="90"/>
      </w:r>
      <w:r>
        <w:t xml:space="preserve">  </w:t>
      </w:r>
    </w:p>
    <w:p w:rsidR="0032770E" w:rsidP="0093386D" w14:paraId="3B7F4D3F" w14:textId="1AB1D90D">
      <w:pPr>
        <w:pStyle w:val="ParaNum"/>
        <w:numPr>
          <w:ilvl w:val="0"/>
          <w:numId w:val="18"/>
        </w:numPr>
        <w:tabs>
          <w:tab w:val="clear" w:pos="1080"/>
        </w:tabs>
        <w:spacing w:after="240"/>
      </w:pPr>
      <w:r>
        <w:t>T</w:t>
      </w:r>
      <w:r w:rsidRPr="0038789F">
        <w:t>h</w:t>
      </w:r>
      <w:r w:rsidR="00486CF0">
        <w:t xml:space="preserve">is </w:t>
      </w:r>
      <w:r w:rsidRPr="005D104D" w:rsidR="00486CF0">
        <w:t>Public Notice</w:t>
      </w:r>
      <w:r w:rsidR="00486CF0">
        <w:rPr>
          <w:i/>
          <w:iCs/>
        </w:rPr>
        <w:t xml:space="preserve"> </w:t>
      </w:r>
      <w:r w:rsidRPr="0038789F">
        <w:t xml:space="preserve">will apply to small entities in the industries identified in the chart </w:t>
      </w:r>
      <w:r w:rsidRPr="0038789F">
        <w:t>below by their six-digit North American Industry Classification System</w:t>
      </w:r>
      <w:r>
        <w:t xml:space="preserve"> (NAICS)</w:t>
      </w:r>
      <w:r>
        <w:rPr>
          <w:vertAlign w:val="superscript"/>
        </w:rPr>
        <w:footnoteReference w:id="91"/>
      </w:r>
      <w:r w:rsidRPr="0038789F">
        <w:t xml:space="preserve"> codes and</w:t>
      </w:r>
      <w:r>
        <w:t xml:space="preserve"> </w:t>
      </w:r>
      <w:r w:rsidRPr="0038789F">
        <w:t>corresponding SBA size standard.</w:t>
      </w:r>
      <w:r>
        <w:rPr>
          <w:vertAlign w:val="superscript"/>
        </w:rPr>
        <w:footnoteReference w:id="92"/>
      </w:r>
      <w:r w:rsidRPr="0038789F">
        <w:t xml:space="preserve">  </w:t>
      </w:r>
      <w:bookmarkStart w:id="48" w:name="_Hlk94177975"/>
      <w:r>
        <w:t>Where available, we also provide additional information regarding the number of potentially affected entities in the industries identified below.</w:t>
      </w:r>
    </w:p>
    <w:p w:rsidR="009B0C91" w:rsidRPr="009B0C91" w:rsidP="009B0C91" w14:paraId="32C0E15C" w14:textId="52AC5E11">
      <w:pPr>
        <w:pStyle w:val="ParaNum"/>
        <w:numPr>
          <w:ilvl w:val="0"/>
          <w:numId w:val="0"/>
        </w:numPr>
        <w:spacing w:after="240"/>
        <w:ind w:right="720"/>
        <w:rPr>
          <w:b/>
          <w:bCs/>
          <w:highlight w:val="yellow"/>
        </w:rPr>
      </w:pPr>
      <w:r w:rsidRPr="009B0C91">
        <w:rPr>
          <w:b/>
          <w:bCs/>
        </w:rPr>
        <w:t>Table 1.  2022 U.S. Census Bureau Data by NAICS Code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2712"/>
        <w:gridCol w:w="1328"/>
        <w:gridCol w:w="1328"/>
        <w:gridCol w:w="1328"/>
        <w:gridCol w:w="1328"/>
        <w:gridCol w:w="1326"/>
      </w:tblGrid>
      <w:tr w14:paraId="5EF1A7A8" w14:textId="77777777">
        <w:tblPrEx>
          <w:tblW w:w="5000" w:type="pct"/>
          <w:jc w:val="center"/>
          <w:tblLook w:val="0100"/>
        </w:tblPrEx>
        <w:trPr>
          <w:cantSplit/>
          <w:tblHeader/>
          <w:jc w:val="center"/>
        </w:trPr>
        <w:tc>
          <w:tcPr>
            <w:tcW w:w="1450" w:type="pct"/>
            <w:tcBorders>
              <w:top w:val="single" w:sz="4" w:space="0" w:color="auto"/>
              <w:left w:val="single" w:sz="4" w:space="0" w:color="auto"/>
              <w:bottom w:val="single" w:sz="4" w:space="0" w:color="auto"/>
              <w:right w:val="single" w:sz="4" w:space="0" w:color="auto"/>
            </w:tcBorders>
            <w:shd w:val="pct5" w:color="auto" w:fill="auto"/>
            <w:hideMark/>
          </w:tcPr>
          <w:p w:rsidR="009B0C91" w14:paraId="2C925CF7" w14:textId="77777777">
            <w:pPr>
              <w:rPr>
                <w:b/>
                <w:bCs/>
                <w:sz w:val="20"/>
              </w:rPr>
            </w:pPr>
            <w:r>
              <w:rPr>
                <w:b/>
                <w:bCs/>
                <w:sz w:val="20"/>
              </w:rPr>
              <w:t>Regulated Industry (Footnotes specify potentially affected entities within a regulated industry where applicable)</w:t>
            </w:r>
          </w:p>
        </w:tc>
        <w:tc>
          <w:tcPr>
            <w:tcW w:w="710" w:type="pct"/>
            <w:tcBorders>
              <w:top w:val="single" w:sz="4" w:space="0" w:color="auto"/>
              <w:left w:val="single" w:sz="4" w:space="0" w:color="auto"/>
              <w:bottom w:val="single" w:sz="4" w:space="0" w:color="auto"/>
              <w:right w:val="single" w:sz="4" w:space="0" w:color="auto"/>
            </w:tcBorders>
            <w:shd w:val="pct5" w:color="auto" w:fill="auto"/>
            <w:vAlign w:val="center"/>
            <w:hideMark/>
          </w:tcPr>
          <w:p w:rsidR="009B0C91" w14:paraId="060541B5" w14:textId="77777777">
            <w:pPr>
              <w:jc w:val="center"/>
              <w:rPr>
                <w:b/>
                <w:bCs/>
                <w:sz w:val="20"/>
              </w:rPr>
            </w:pPr>
            <w:r>
              <w:rPr>
                <w:b/>
                <w:bCs/>
                <w:sz w:val="20"/>
              </w:rPr>
              <w:t>NAICS Code</w:t>
            </w:r>
          </w:p>
        </w:tc>
        <w:tc>
          <w:tcPr>
            <w:tcW w:w="710" w:type="pct"/>
            <w:tcBorders>
              <w:top w:val="single" w:sz="4" w:space="0" w:color="auto"/>
              <w:left w:val="single" w:sz="4" w:space="0" w:color="auto"/>
              <w:bottom w:val="single" w:sz="4" w:space="0" w:color="auto"/>
              <w:right w:val="single" w:sz="4" w:space="0" w:color="auto"/>
            </w:tcBorders>
            <w:shd w:val="pct5" w:color="auto" w:fill="auto"/>
            <w:vAlign w:val="center"/>
          </w:tcPr>
          <w:p w:rsidR="009B0C91" w14:paraId="12B6654B" w14:textId="77777777">
            <w:pPr>
              <w:jc w:val="center"/>
              <w:rPr>
                <w:b/>
                <w:bCs/>
                <w:sz w:val="20"/>
              </w:rPr>
            </w:pPr>
          </w:p>
          <w:p w:rsidR="009B0C91" w14:paraId="7A58ABFC" w14:textId="77777777">
            <w:pPr>
              <w:jc w:val="center"/>
              <w:rPr>
                <w:b/>
                <w:bCs/>
                <w:sz w:val="20"/>
              </w:rPr>
            </w:pPr>
            <w:r>
              <w:rPr>
                <w:b/>
                <w:bCs/>
                <w:sz w:val="20"/>
              </w:rPr>
              <w:t>SBA Size Standard</w:t>
            </w:r>
          </w:p>
          <w:p w:rsidR="009B0C91" w14:paraId="36CAD62A" w14:textId="77777777">
            <w:pPr>
              <w:jc w:val="center"/>
              <w:rPr>
                <w:b/>
                <w:bCs/>
                <w:sz w:val="20"/>
              </w:rPr>
            </w:pPr>
          </w:p>
        </w:tc>
        <w:tc>
          <w:tcPr>
            <w:tcW w:w="710" w:type="pct"/>
            <w:tcBorders>
              <w:top w:val="single" w:sz="4" w:space="0" w:color="auto"/>
              <w:left w:val="single" w:sz="4" w:space="0" w:color="auto"/>
              <w:bottom w:val="single" w:sz="4" w:space="0" w:color="auto"/>
              <w:right w:val="single" w:sz="4" w:space="0" w:color="auto"/>
            </w:tcBorders>
            <w:shd w:val="pct5" w:color="auto" w:fill="auto"/>
            <w:vAlign w:val="center"/>
            <w:hideMark/>
          </w:tcPr>
          <w:p w:rsidR="009B0C91" w14:paraId="1E86C73A" w14:textId="77777777">
            <w:pPr>
              <w:jc w:val="center"/>
              <w:rPr>
                <w:b/>
                <w:bCs/>
                <w:sz w:val="20"/>
              </w:rPr>
            </w:pPr>
            <w:r>
              <w:rPr>
                <w:b/>
                <w:bCs/>
                <w:sz w:val="20"/>
              </w:rPr>
              <w:t>Total Firms</w:t>
            </w:r>
            <w:r>
              <w:rPr>
                <w:bCs/>
                <w:vertAlign w:val="superscript"/>
              </w:rPr>
              <w:footnoteReference w:id="93"/>
            </w:r>
          </w:p>
        </w:tc>
        <w:tc>
          <w:tcPr>
            <w:tcW w:w="710" w:type="pct"/>
            <w:tcBorders>
              <w:top w:val="single" w:sz="4" w:space="0" w:color="auto"/>
              <w:left w:val="single" w:sz="4" w:space="0" w:color="auto"/>
              <w:bottom w:val="single" w:sz="4" w:space="0" w:color="auto"/>
              <w:right w:val="single" w:sz="4" w:space="0" w:color="auto"/>
            </w:tcBorders>
            <w:shd w:val="pct5" w:color="auto" w:fill="auto"/>
            <w:vAlign w:val="center"/>
            <w:hideMark/>
          </w:tcPr>
          <w:p w:rsidR="009B0C91" w14:paraId="3395B7DD" w14:textId="77777777">
            <w:pPr>
              <w:jc w:val="center"/>
              <w:rPr>
                <w:b/>
                <w:bCs/>
                <w:sz w:val="20"/>
              </w:rPr>
            </w:pPr>
            <w:r>
              <w:rPr>
                <w:b/>
                <w:bCs/>
                <w:sz w:val="20"/>
              </w:rPr>
              <w:t>Total Small Firms</w:t>
            </w:r>
            <w:r>
              <w:rPr>
                <w:bCs/>
                <w:vertAlign w:val="superscript"/>
              </w:rPr>
              <w:footnoteReference w:id="94"/>
            </w:r>
          </w:p>
        </w:tc>
        <w:tc>
          <w:tcPr>
            <w:tcW w:w="709" w:type="pct"/>
            <w:tcBorders>
              <w:top w:val="single" w:sz="4" w:space="0" w:color="auto"/>
              <w:left w:val="single" w:sz="4" w:space="0" w:color="auto"/>
              <w:bottom w:val="single" w:sz="4" w:space="0" w:color="auto"/>
              <w:right w:val="single" w:sz="4" w:space="0" w:color="auto"/>
            </w:tcBorders>
            <w:shd w:val="pct5" w:color="auto" w:fill="auto"/>
            <w:vAlign w:val="center"/>
            <w:hideMark/>
          </w:tcPr>
          <w:p w:rsidR="009B0C91" w14:paraId="11BB712E" w14:textId="77777777">
            <w:pPr>
              <w:jc w:val="center"/>
              <w:rPr>
                <w:b/>
                <w:bCs/>
                <w:sz w:val="20"/>
              </w:rPr>
            </w:pPr>
            <w:r>
              <w:rPr>
                <w:b/>
                <w:bCs/>
                <w:sz w:val="20"/>
              </w:rPr>
              <w:t>% Small Firms</w:t>
            </w:r>
          </w:p>
        </w:tc>
      </w:tr>
      <w:tr w14:paraId="3806636A" w14:textId="77777777">
        <w:tblPrEx>
          <w:tblW w:w="5000" w:type="pct"/>
          <w:jc w:val="center"/>
          <w:tblLook w:val="0100"/>
        </w:tblPrEx>
        <w:trPr>
          <w:cantSplit/>
          <w:jc w:val="center"/>
        </w:trPr>
        <w:tc>
          <w:tcPr>
            <w:tcW w:w="1450" w:type="pct"/>
            <w:tcBorders>
              <w:top w:val="single" w:sz="4" w:space="0" w:color="auto"/>
              <w:left w:val="single" w:sz="4" w:space="0" w:color="auto"/>
              <w:bottom w:val="single" w:sz="4" w:space="0" w:color="auto"/>
              <w:right w:val="single" w:sz="4" w:space="0" w:color="auto"/>
            </w:tcBorders>
            <w:hideMark/>
          </w:tcPr>
          <w:p w:rsidR="009B0C91" w14:paraId="77B9CFD7" w14:textId="77777777">
            <w:pPr>
              <w:rPr>
                <w:sz w:val="20"/>
              </w:rPr>
            </w:pPr>
            <w:r>
              <w:rPr>
                <w:sz w:val="20"/>
              </w:rPr>
              <w:t>Wired Telecommunications Carriers</w:t>
            </w:r>
            <w:r>
              <w:rPr>
                <w:sz w:val="20"/>
                <w:vertAlign w:val="superscript"/>
              </w:rPr>
              <w:footnoteReference w:id="95"/>
            </w:r>
          </w:p>
        </w:tc>
        <w:tc>
          <w:tcPr>
            <w:tcW w:w="710" w:type="pct"/>
            <w:tcBorders>
              <w:top w:val="single" w:sz="4" w:space="0" w:color="auto"/>
              <w:left w:val="single" w:sz="4" w:space="0" w:color="auto"/>
              <w:bottom w:val="single" w:sz="4" w:space="0" w:color="auto"/>
              <w:right w:val="single" w:sz="4" w:space="0" w:color="auto"/>
            </w:tcBorders>
            <w:vAlign w:val="bottom"/>
            <w:hideMark/>
          </w:tcPr>
          <w:p w:rsidR="009B0C91" w14:paraId="2E6755F4" w14:textId="77777777">
            <w:pPr>
              <w:rPr>
                <w:sz w:val="20"/>
              </w:rPr>
            </w:pPr>
            <w:r>
              <w:rPr>
                <w:sz w:val="20"/>
              </w:rPr>
              <w:t>517111</w:t>
            </w:r>
          </w:p>
        </w:tc>
        <w:tc>
          <w:tcPr>
            <w:tcW w:w="710" w:type="pct"/>
            <w:tcBorders>
              <w:top w:val="single" w:sz="4" w:space="0" w:color="auto"/>
              <w:left w:val="single" w:sz="4" w:space="0" w:color="auto"/>
              <w:bottom w:val="single" w:sz="4" w:space="0" w:color="auto"/>
              <w:right w:val="single" w:sz="4" w:space="0" w:color="auto"/>
            </w:tcBorders>
            <w:vAlign w:val="bottom"/>
            <w:hideMark/>
          </w:tcPr>
          <w:p w:rsidR="009B0C91" w14:paraId="4D594C61" w14:textId="77777777">
            <w:pPr>
              <w:rPr>
                <w:sz w:val="20"/>
              </w:rPr>
            </w:pPr>
            <w:r>
              <w:rPr>
                <w:sz w:val="20"/>
              </w:rPr>
              <w:t>1,500 employees</w:t>
            </w:r>
          </w:p>
        </w:tc>
        <w:tc>
          <w:tcPr>
            <w:tcW w:w="710" w:type="pct"/>
            <w:tcBorders>
              <w:top w:val="single" w:sz="4" w:space="0" w:color="auto"/>
              <w:left w:val="single" w:sz="4" w:space="0" w:color="auto"/>
              <w:bottom w:val="single" w:sz="4" w:space="0" w:color="auto"/>
              <w:right w:val="single" w:sz="4" w:space="0" w:color="auto"/>
            </w:tcBorders>
            <w:vAlign w:val="bottom"/>
            <w:hideMark/>
          </w:tcPr>
          <w:p w:rsidR="009B0C91" w14:paraId="75D3FDCD" w14:textId="77777777">
            <w:pPr>
              <w:jc w:val="center"/>
              <w:rPr>
                <w:sz w:val="20"/>
              </w:rPr>
            </w:pPr>
            <w:r>
              <w:rPr>
                <w:sz w:val="20"/>
              </w:rPr>
              <w:t>3,403</w:t>
            </w:r>
          </w:p>
        </w:tc>
        <w:tc>
          <w:tcPr>
            <w:tcW w:w="710" w:type="pct"/>
            <w:tcBorders>
              <w:top w:val="single" w:sz="4" w:space="0" w:color="auto"/>
              <w:left w:val="single" w:sz="4" w:space="0" w:color="auto"/>
              <w:bottom w:val="single" w:sz="4" w:space="0" w:color="auto"/>
              <w:right w:val="single" w:sz="4" w:space="0" w:color="auto"/>
            </w:tcBorders>
            <w:vAlign w:val="bottom"/>
            <w:hideMark/>
          </w:tcPr>
          <w:p w:rsidR="009B0C91" w14:paraId="60BC9622" w14:textId="77777777">
            <w:pPr>
              <w:jc w:val="center"/>
              <w:rPr>
                <w:sz w:val="20"/>
              </w:rPr>
            </w:pPr>
            <w:r>
              <w:rPr>
                <w:sz w:val="20"/>
              </w:rPr>
              <w:t>3,027</w:t>
            </w:r>
          </w:p>
        </w:tc>
        <w:tc>
          <w:tcPr>
            <w:tcW w:w="709" w:type="pct"/>
            <w:tcBorders>
              <w:top w:val="single" w:sz="4" w:space="0" w:color="auto"/>
              <w:left w:val="single" w:sz="4" w:space="0" w:color="auto"/>
              <w:bottom w:val="single" w:sz="4" w:space="0" w:color="auto"/>
              <w:right w:val="single" w:sz="4" w:space="0" w:color="auto"/>
            </w:tcBorders>
            <w:vAlign w:val="bottom"/>
            <w:hideMark/>
          </w:tcPr>
          <w:p w:rsidR="009B0C91" w14:paraId="3DD88F83" w14:textId="77777777">
            <w:pPr>
              <w:jc w:val="center"/>
              <w:rPr>
                <w:sz w:val="20"/>
              </w:rPr>
            </w:pPr>
            <w:r>
              <w:rPr>
                <w:color w:val="000000"/>
                <w:sz w:val="20"/>
              </w:rPr>
              <w:t>88.95%</w:t>
            </w:r>
          </w:p>
        </w:tc>
      </w:tr>
      <w:tr w14:paraId="298DC29B" w14:textId="77777777">
        <w:tblPrEx>
          <w:tblW w:w="5000" w:type="pct"/>
          <w:jc w:val="center"/>
          <w:tblLook w:val="0100"/>
        </w:tblPrEx>
        <w:trPr>
          <w:cantSplit/>
          <w:jc w:val="center"/>
        </w:trPr>
        <w:tc>
          <w:tcPr>
            <w:tcW w:w="1450" w:type="pct"/>
            <w:tcBorders>
              <w:top w:val="single" w:sz="4" w:space="0" w:color="auto"/>
              <w:left w:val="single" w:sz="4" w:space="0" w:color="auto"/>
              <w:bottom w:val="single" w:sz="4" w:space="0" w:color="auto"/>
              <w:right w:val="single" w:sz="4" w:space="0" w:color="auto"/>
            </w:tcBorders>
            <w:hideMark/>
          </w:tcPr>
          <w:p w:rsidR="009B0C91" w14:paraId="6820B6A4" w14:textId="77777777">
            <w:pPr>
              <w:rPr>
                <w:sz w:val="20"/>
              </w:rPr>
            </w:pPr>
            <w:bookmarkStart w:id="49" w:name="_Hlk218764090"/>
            <w:r>
              <w:rPr>
                <w:sz w:val="20"/>
              </w:rPr>
              <w:t xml:space="preserve">Wireless Telecommunications Carriers (except Satellite) </w:t>
            </w:r>
            <w:bookmarkEnd w:id="49"/>
          </w:p>
        </w:tc>
        <w:tc>
          <w:tcPr>
            <w:tcW w:w="710" w:type="pct"/>
            <w:tcBorders>
              <w:top w:val="single" w:sz="4" w:space="0" w:color="auto"/>
              <w:left w:val="single" w:sz="4" w:space="0" w:color="auto"/>
              <w:bottom w:val="single" w:sz="4" w:space="0" w:color="auto"/>
              <w:right w:val="single" w:sz="4" w:space="0" w:color="auto"/>
            </w:tcBorders>
            <w:vAlign w:val="bottom"/>
            <w:hideMark/>
          </w:tcPr>
          <w:p w:rsidR="009B0C91" w14:paraId="4A0BA950" w14:textId="77777777">
            <w:pPr>
              <w:rPr>
                <w:sz w:val="20"/>
              </w:rPr>
            </w:pPr>
            <w:r>
              <w:rPr>
                <w:sz w:val="20"/>
              </w:rPr>
              <w:t>517112</w:t>
            </w:r>
          </w:p>
        </w:tc>
        <w:tc>
          <w:tcPr>
            <w:tcW w:w="710" w:type="pct"/>
            <w:tcBorders>
              <w:top w:val="single" w:sz="4" w:space="0" w:color="auto"/>
              <w:left w:val="single" w:sz="4" w:space="0" w:color="auto"/>
              <w:bottom w:val="single" w:sz="4" w:space="0" w:color="auto"/>
              <w:right w:val="single" w:sz="4" w:space="0" w:color="auto"/>
            </w:tcBorders>
            <w:vAlign w:val="bottom"/>
            <w:hideMark/>
          </w:tcPr>
          <w:p w:rsidR="009B0C91" w14:paraId="3C6B45F1" w14:textId="77777777">
            <w:pPr>
              <w:rPr>
                <w:sz w:val="20"/>
              </w:rPr>
            </w:pPr>
            <w:r>
              <w:rPr>
                <w:sz w:val="20"/>
              </w:rPr>
              <w:t>1,500 employees</w:t>
            </w:r>
          </w:p>
        </w:tc>
        <w:tc>
          <w:tcPr>
            <w:tcW w:w="710" w:type="pct"/>
            <w:tcBorders>
              <w:top w:val="single" w:sz="4" w:space="0" w:color="auto"/>
              <w:left w:val="single" w:sz="4" w:space="0" w:color="auto"/>
              <w:bottom w:val="single" w:sz="4" w:space="0" w:color="auto"/>
              <w:right w:val="single" w:sz="4" w:space="0" w:color="auto"/>
            </w:tcBorders>
            <w:vAlign w:val="bottom"/>
            <w:hideMark/>
          </w:tcPr>
          <w:p w:rsidR="009B0C91" w14:paraId="7A670D42" w14:textId="77777777">
            <w:pPr>
              <w:jc w:val="center"/>
              <w:rPr>
                <w:sz w:val="20"/>
              </w:rPr>
            </w:pPr>
            <w:r>
              <w:rPr>
                <w:sz w:val="20"/>
              </w:rPr>
              <w:t>1,184</w:t>
            </w:r>
          </w:p>
        </w:tc>
        <w:tc>
          <w:tcPr>
            <w:tcW w:w="710" w:type="pct"/>
            <w:tcBorders>
              <w:top w:val="single" w:sz="4" w:space="0" w:color="auto"/>
              <w:left w:val="single" w:sz="4" w:space="0" w:color="auto"/>
              <w:bottom w:val="single" w:sz="4" w:space="0" w:color="auto"/>
              <w:right w:val="single" w:sz="4" w:space="0" w:color="auto"/>
            </w:tcBorders>
            <w:vAlign w:val="bottom"/>
            <w:hideMark/>
          </w:tcPr>
          <w:p w:rsidR="009B0C91" w14:paraId="5E748D98" w14:textId="77777777">
            <w:pPr>
              <w:jc w:val="center"/>
              <w:rPr>
                <w:sz w:val="20"/>
              </w:rPr>
            </w:pPr>
            <w:r>
              <w:rPr>
                <w:sz w:val="20"/>
              </w:rPr>
              <w:t>1,081</w:t>
            </w:r>
          </w:p>
        </w:tc>
        <w:tc>
          <w:tcPr>
            <w:tcW w:w="709" w:type="pct"/>
            <w:tcBorders>
              <w:top w:val="single" w:sz="4" w:space="0" w:color="auto"/>
              <w:left w:val="single" w:sz="4" w:space="0" w:color="auto"/>
              <w:bottom w:val="single" w:sz="4" w:space="0" w:color="auto"/>
              <w:right w:val="single" w:sz="4" w:space="0" w:color="auto"/>
            </w:tcBorders>
            <w:vAlign w:val="bottom"/>
            <w:hideMark/>
          </w:tcPr>
          <w:p w:rsidR="009B0C91" w14:paraId="3868DA5C" w14:textId="77777777">
            <w:pPr>
              <w:jc w:val="center"/>
              <w:rPr>
                <w:color w:val="000000"/>
                <w:sz w:val="20"/>
              </w:rPr>
            </w:pPr>
            <w:r>
              <w:rPr>
                <w:color w:val="000000"/>
                <w:sz w:val="20"/>
              </w:rPr>
              <w:t>91.30%</w:t>
            </w:r>
          </w:p>
        </w:tc>
      </w:tr>
      <w:tr w14:paraId="61A3270C" w14:textId="77777777">
        <w:tblPrEx>
          <w:tblW w:w="5000" w:type="pct"/>
          <w:jc w:val="center"/>
          <w:tblLook w:val="0100"/>
        </w:tblPrEx>
        <w:trPr>
          <w:cantSplit/>
          <w:jc w:val="center"/>
        </w:trPr>
        <w:tc>
          <w:tcPr>
            <w:tcW w:w="1450" w:type="pct"/>
            <w:tcBorders>
              <w:top w:val="single" w:sz="4" w:space="0" w:color="auto"/>
              <w:left w:val="single" w:sz="4" w:space="0" w:color="auto"/>
              <w:bottom w:val="single" w:sz="4" w:space="0" w:color="auto"/>
              <w:right w:val="single" w:sz="4" w:space="0" w:color="auto"/>
            </w:tcBorders>
            <w:hideMark/>
          </w:tcPr>
          <w:p w:rsidR="009B0C91" w14:paraId="3E6F7D37" w14:textId="77777777">
            <w:pPr>
              <w:rPr>
                <w:sz w:val="20"/>
              </w:rPr>
            </w:pPr>
            <w:r>
              <w:rPr>
                <w:sz w:val="20"/>
              </w:rPr>
              <w:t>Telecommunications Resellers</w:t>
            </w:r>
            <w:r>
              <w:rPr>
                <w:sz w:val="20"/>
                <w:vertAlign w:val="superscript"/>
              </w:rPr>
              <w:footnoteReference w:id="96"/>
            </w:r>
          </w:p>
        </w:tc>
        <w:tc>
          <w:tcPr>
            <w:tcW w:w="710" w:type="pct"/>
            <w:tcBorders>
              <w:top w:val="single" w:sz="4" w:space="0" w:color="auto"/>
              <w:left w:val="single" w:sz="4" w:space="0" w:color="auto"/>
              <w:bottom w:val="single" w:sz="4" w:space="0" w:color="auto"/>
              <w:right w:val="single" w:sz="4" w:space="0" w:color="auto"/>
            </w:tcBorders>
            <w:vAlign w:val="bottom"/>
            <w:hideMark/>
          </w:tcPr>
          <w:p w:rsidR="009B0C91" w14:paraId="562376B4" w14:textId="77777777">
            <w:pPr>
              <w:rPr>
                <w:sz w:val="20"/>
              </w:rPr>
            </w:pPr>
            <w:r>
              <w:rPr>
                <w:sz w:val="20"/>
              </w:rPr>
              <w:t>517121</w:t>
            </w:r>
          </w:p>
        </w:tc>
        <w:tc>
          <w:tcPr>
            <w:tcW w:w="710" w:type="pct"/>
            <w:tcBorders>
              <w:top w:val="single" w:sz="4" w:space="0" w:color="auto"/>
              <w:left w:val="single" w:sz="4" w:space="0" w:color="auto"/>
              <w:bottom w:val="single" w:sz="4" w:space="0" w:color="auto"/>
              <w:right w:val="single" w:sz="4" w:space="0" w:color="auto"/>
            </w:tcBorders>
            <w:vAlign w:val="bottom"/>
            <w:hideMark/>
          </w:tcPr>
          <w:p w:rsidR="009B0C91" w14:paraId="298DBB6C" w14:textId="77777777">
            <w:pPr>
              <w:rPr>
                <w:sz w:val="20"/>
              </w:rPr>
            </w:pPr>
            <w:r>
              <w:rPr>
                <w:sz w:val="20"/>
              </w:rPr>
              <w:t>1,500 employees</w:t>
            </w:r>
          </w:p>
        </w:tc>
        <w:tc>
          <w:tcPr>
            <w:tcW w:w="710" w:type="pct"/>
            <w:tcBorders>
              <w:top w:val="single" w:sz="4" w:space="0" w:color="auto"/>
              <w:left w:val="single" w:sz="4" w:space="0" w:color="auto"/>
              <w:bottom w:val="single" w:sz="4" w:space="0" w:color="auto"/>
              <w:right w:val="single" w:sz="4" w:space="0" w:color="auto"/>
            </w:tcBorders>
            <w:vAlign w:val="bottom"/>
            <w:hideMark/>
          </w:tcPr>
          <w:p w:rsidR="009B0C91" w14:paraId="3D5BE485" w14:textId="77777777">
            <w:pPr>
              <w:jc w:val="center"/>
              <w:rPr>
                <w:sz w:val="20"/>
              </w:rPr>
            </w:pPr>
            <w:r>
              <w:rPr>
                <w:sz w:val="20"/>
              </w:rPr>
              <w:t>955</w:t>
            </w:r>
          </w:p>
        </w:tc>
        <w:tc>
          <w:tcPr>
            <w:tcW w:w="710" w:type="pct"/>
            <w:tcBorders>
              <w:top w:val="single" w:sz="4" w:space="0" w:color="auto"/>
              <w:left w:val="single" w:sz="4" w:space="0" w:color="auto"/>
              <w:bottom w:val="single" w:sz="4" w:space="0" w:color="auto"/>
              <w:right w:val="single" w:sz="4" w:space="0" w:color="auto"/>
            </w:tcBorders>
            <w:vAlign w:val="bottom"/>
            <w:hideMark/>
          </w:tcPr>
          <w:p w:rsidR="009B0C91" w14:paraId="095A8455" w14:textId="77777777">
            <w:pPr>
              <w:jc w:val="center"/>
              <w:rPr>
                <w:sz w:val="20"/>
              </w:rPr>
            </w:pPr>
            <w:r>
              <w:rPr>
                <w:sz w:val="20"/>
              </w:rPr>
              <w:t>847</w:t>
            </w:r>
          </w:p>
        </w:tc>
        <w:tc>
          <w:tcPr>
            <w:tcW w:w="709" w:type="pct"/>
            <w:tcBorders>
              <w:top w:val="single" w:sz="4" w:space="0" w:color="auto"/>
              <w:left w:val="single" w:sz="4" w:space="0" w:color="auto"/>
              <w:bottom w:val="single" w:sz="4" w:space="0" w:color="auto"/>
              <w:right w:val="single" w:sz="4" w:space="0" w:color="auto"/>
            </w:tcBorders>
            <w:vAlign w:val="bottom"/>
            <w:hideMark/>
          </w:tcPr>
          <w:p w:rsidR="009B0C91" w14:paraId="70936553" w14:textId="77777777">
            <w:pPr>
              <w:jc w:val="center"/>
              <w:rPr>
                <w:color w:val="000000"/>
                <w:sz w:val="20"/>
              </w:rPr>
            </w:pPr>
            <w:r>
              <w:rPr>
                <w:color w:val="000000"/>
                <w:sz w:val="20"/>
              </w:rPr>
              <w:t>88.69%</w:t>
            </w:r>
          </w:p>
        </w:tc>
      </w:tr>
      <w:tr w14:paraId="37D9152F" w14:textId="77777777">
        <w:tblPrEx>
          <w:tblW w:w="5000" w:type="pct"/>
          <w:jc w:val="center"/>
          <w:tblLook w:val="0100"/>
        </w:tblPrEx>
        <w:trPr>
          <w:cantSplit/>
          <w:jc w:val="center"/>
        </w:trPr>
        <w:tc>
          <w:tcPr>
            <w:tcW w:w="1450" w:type="pct"/>
            <w:tcBorders>
              <w:top w:val="single" w:sz="4" w:space="0" w:color="auto"/>
              <w:left w:val="single" w:sz="4" w:space="0" w:color="auto"/>
              <w:bottom w:val="single" w:sz="4" w:space="0" w:color="auto"/>
              <w:right w:val="single" w:sz="4" w:space="0" w:color="auto"/>
            </w:tcBorders>
            <w:hideMark/>
          </w:tcPr>
          <w:p w:rsidR="009B0C91" w14:paraId="4B1DE7FA" w14:textId="77777777">
            <w:pPr>
              <w:rPr>
                <w:sz w:val="20"/>
              </w:rPr>
            </w:pPr>
            <w:r>
              <w:rPr>
                <w:sz w:val="20"/>
              </w:rPr>
              <w:t>All Other Telecommunications</w:t>
            </w:r>
            <w:r>
              <w:rPr>
                <w:sz w:val="20"/>
                <w:vertAlign w:val="superscript"/>
              </w:rPr>
              <w:footnoteReference w:id="97"/>
            </w:r>
          </w:p>
        </w:tc>
        <w:tc>
          <w:tcPr>
            <w:tcW w:w="710" w:type="pct"/>
            <w:tcBorders>
              <w:top w:val="single" w:sz="4" w:space="0" w:color="auto"/>
              <w:left w:val="single" w:sz="4" w:space="0" w:color="auto"/>
              <w:bottom w:val="single" w:sz="4" w:space="0" w:color="auto"/>
              <w:right w:val="single" w:sz="4" w:space="0" w:color="auto"/>
            </w:tcBorders>
            <w:vAlign w:val="bottom"/>
            <w:hideMark/>
          </w:tcPr>
          <w:p w:rsidR="009B0C91" w14:paraId="55593BE2" w14:textId="77777777">
            <w:pPr>
              <w:rPr>
                <w:sz w:val="20"/>
              </w:rPr>
            </w:pPr>
            <w:r>
              <w:rPr>
                <w:sz w:val="20"/>
              </w:rPr>
              <w:t>517810</w:t>
            </w:r>
          </w:p>
        </w:tc>
        <w:tc>
          <w:tcPr>
            <w:tcW w:w="710" w:type="pct"/>
            <w:tcBorders>
              <w:top w:val="single" w:sz="4" w:space="0" w:color="auto"/>
              <w:left w:val="single" w:sz="4" w:space="0" w:color="auto"/>
              <w:bottom w:val="single" w:sz="4" w:space="0" w:color="auto"/>
              <w:right w:val="single" w:sz="4" w:space="0" w:color="auto"/>
            </w:tcBorders>
            <w:vAlign w:val="bottom"/>
            <w:hideMark/>
          </w:tcPr>
          <w:p w:rsidR="009B0C91" w14:paraId="5B5B33AD" w14:textId="77777777">
            <w:pPr>
              <w:rPr>
                <w:sz w:val="20"/>
              </w:rPr>
            </w:pPr>
            <w:r>
              <w:rPr>
                <w:sz w:val="20"/>
              </w:rPr>
              <w:t>$40 million</w:t>
            </w:r>
          </w:p>
        </w:tc>
        <w:tc>
          <w:tcPr>
            <w:tcW w:w="710" w:type="pct"/>
            <w:tcBorders>
              <w:top w:val="single" w:sz="4" w:space="0" w:color="auto"/>
              <w:left w:val="single" w:sz="4" w:space="0" w:color="auto"/>
              <w:bottom w:val="single" w:sz="4" w:space="0" w:color="auto"/>
              <w:right w:val="single" w:sz="4" w:space="0" w:color="auto"/>
            </w:tcBorders>
            <w:vAlign w:val="bottom"/>
            <w:hideMark/>
          </w:tcPr>
          <w:p w:rsidR="009B0C91" w14:paraId="54DA673C" w14:textId="77777777">
            <w:pPr>
              <w:jc w:val="center"/>
              <w:rPr>
                <w:sz w:val="20"/>
              </w:rPr>
            </w:pPr>
            <w:r>
              <w:rPr>
                <w:sz w:val="20"/>
              </w:rPr>
              <w:t>1,673</w:t>
            </w:r>
          </w:p>
        </w:tc>
        <w:tc>
          <w:tcPr>
            <w:tcW w:w="710" w:type="pct"/>
            <w:tcBorders>
              <w:top w:val="single" w:sz="4" w:space="0" w:color="auto"/>
              <w:left w:val="single" w:sz="4" w:space="0" w:color="auto"/>
              <w:bottom w:val="single" w:sz="4" w:space="0" w:color="auto"/>
              <w:right w:val="single" w:sz="4" w:space="0" w:color="auto"/>
            </w:tcBorders>
            <w:vAlign w:val="bottom"/>
            <w:hideMark/>
          </w:tcPr>
          <w:p w:rsidR="009B0C91" w14:paraId="59B75E82" w14:textId="77777777">
            <w:pPr>
              <w:jc w:val="center"/>
              <w:rPr>
                <w:sz w:val="20"/>
              </w:rPr>
            </w:pPr>
            <w:r>
              <w:rPr>
                <w:sz w:val="20"/>
              </w:rPr>
              <w:t>1,007</w:t>
            </w:r>
          </w:p>
        </w:tc>
        <w:tc>
          <w:tcPr>
            <w:tcW w:w="709" w:type="pct"/>
            <w:tcBorders>
              <w:top w:val="single" w:sz="4" w:space="0" w:color="auto"/>
              <w:left w:val="single" w:sz="4" w:space="0" w:color="auto"/>
              <w:bottom w:val="single" w:sz="4" w:space="0" w:color="auto"/>
              <w:right w:val="single" w:sz="4" w:space="0" w:color="auto"/>
            </w:tcBorders>
            <w:vAlign w:val="bottom"/>
            <w:hideMark/>
          </w:tcPr>
          <w:p w:rsidR="009B0C91" w14:paraId="6AB188C6" w14:textId="77777777">
            <w:pPr>
              <w:jc w:val="center"/>
              <w:rPr>
                <w:color w:val="000000"/>
                <w:sz w:val="20"/>
              </w:rPr>
            </w:pPr>
            <w:r>
              <w:rPr>
                <w:color w:val="000000"/>
                <w:sz w:val="20"/>
              </w:rPr>
              <w:t>60.19%</w:t>
            </w:r>
          </w:p>
        </w:tc>
      </w:tr>
    </w:tbl>
    <w:p w:rsidR="0032770E" w:rsidP="009B0C91" w14:paraId="1E0E6C37" w14:textId="77777777">
      <w:pPr>
        <w:pStyle w:val="ParaNum"/>
        <w:numPr>
          <w:ilvl w:val="0"/>
          <w:numId w:val="0"/>
        </w:numPr>
      </w:pPr>
    </w:p>
    <w:p w:rsidR="009B0C91" w:rsidP="009B0C91" w14:paraId="4DC76922" w14:textId="77777777">
      <w:pPr>
        <w:pStyle w:val="ParaNum"/>
        <w:numPr>
          <w:ilvl w:val="0"/>
          <w:numId w:val="0"/>
        </w:numPr>
      </w:pPr>
    </w:p>
    <w:p w:rsidR="009B0C91" w:rsidP="009B0C91" w14:paraId="348530C2" w14:textId="77777777">
      <w:pPr>
        <w:pStyle w:val="ParaNum"/>
        <w:numPr>
          <w:ilvl w:val="0"/>
          <w:numId w:val="0"/>
        </w:numPr>
      </w:pPr>
    </w:p>
    <w:p w:rsidR="00941002" w:rsidP="009B0C91" w14:paraId="73122EE7" w14:textId="77777777">
      <w:pPr>
        <w:pStyle w:val="ParaNum"/>
        <w:numPr>
          <w:ilvl w:val="0"/>
          <w:numId w:val="0"/>
        </w:numPr>
      </w:pPr>
    </w:p>
    <w:p w:rsidR="00941002" w:rsidP="009B0C91" w14:paraId="2CCBC56F" w14:textId="77777777">
      <w:pPr>
        <w:pStyle w:val="ParaNum"/>
        <w:numPr>
          <w:ilvl w:val="0"/>
          <w:numId w:val="0"/>
        </w:numPr>
      </w:pPr>
    </w:p>
    <w:p w:rsidR="005E6814" w:rsidP="009B0C91" w14:paraId="40FA69C5" w14:textId="77777777">
      <w:pPr>
        <w:pStyle w:val="ParaNum"/>
        <w:numPr>
          <w:ilvl w:val="0"/>
          <w:numId w:val="0"/>
        </w:numPr>
      </w:pPr>
    </w:p>
    <w:p w:rsidR="005E6814" w:rsidP="009B0C91" w14:paraId="5A4F495E" w14:textId="77777777">
      <w:pPr>
        <w:pStyle w:val="ParaNum"/>
        <w:numPr>
          <w:ilvl w:val="0"/>
          <w:numId w:val="0"/>
        </w:numPr>
      </w:pPr>
    </w:p>
    <w:p w:rsidR="005E6814" w:rsidP="009B0C91" w14:paraId="5CF0ED51" w14:textId="77777777">
      <w:pPr>
        <w:pStyle w:val="ParaNum"/>
        <w:numPr>
          <w:ilvl w:val="0"/>
          <w:numId w:val="0"/>
        </w:numPr>
      </w:pPr>
    </w:p>
    <w:p w:rsidR="009B0C91" w:rsidRPr="009B0C91" w:rsidP="009B0C91" w14:paraId="5AE981E3" w14:textId="77777777">
      <w:pPr>
        <w:pStyle w:val="ParaNum"/>
        <w:numPr>
          <w:ilvl w:val="0"/>
          <w:numId w:val="0"/>
        </w:numPr>
      </w:pPr>
    </w:p>
    <w:p w:rsidR="009B0C91" w:rsidRPr="009B0C91" w:rsidP="009B0C91" w14:paraId="2A5A400A" w14:textId="77777777">
      <w:pPr>
        <w:pStyle w:val="ParaNum"/>
        <w:numPr>
          <w:ilvl w:val="0"/>
          <w:numId w:val="0"/>
        </w:numPr>
        <w:rPr>
          <w:b/>
          <w:bCs/>
        </w:rPr>
      </w:pPr>
      <w:r w:rsidRPr="009B0C91">
        <w:rPr>
          <w:b/>
          <w:bCs/>
        </w:rPr>
        <w:t xml:space="preserve">Table 2.  Telecommunications Service Provider Data  </w:t>
      </w:r>
    </w:p>
    <w:tbl>
      <w:tblPr>
        <w:tblW w:w="76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27"/>
        <w:gridCol w:w="1801"/>
        <w:gridCol w:w="991"/>
        <w:gridCol w:w="1531"/>
      </w:tblGrid>
      <w:tr w14:paraId="09D0C71F" w14:textId="77777777">
        <w:tblPrEx>
          <w:tblW w:w="7650" w:type="dxa"/>
          <w:jc w:val="center"/>
          <w:tblLayout w:type="fixed"/>
          <w:tblLook w:val="04A0"/>
        </w:tblPrEx>
        <w:trPr>
          <w:trHeight w:val="300"/>
          <w:tblHeader/>
          <w:jc w:val="center"/>
        </w:trPr>
        <w:tc>
          <w:tcPr>
            <w:tcW w:w="3325" w:type="dxa"/>
            <w:tcBorders>
              <w:top w:val="single" w:sz="4" w:space="0" w:color="auto"/>
              <w:left w:val="single" w:sz="4" w:space="0" w:color="auto"/>
              <w:bottom w:val="single" w:sz="4" w:space="0" w:color="auto"/>
              <w:right w:val="single" w:sz="4" w:space="0" w:color="auto"/>
            </w:tcBorders>
            <w:shd w:val="pct5" w:color="auto" w:fill="auto"/>
            <w:noWrap/>
            <w:hideMark/>
          </w:tcPr>
          <w:p w:rsidR="009B0C91" w14:paraId="6357931A" w14:textId="77777777">
            <w:pPr>
              <w:spacing w:after="120"/>
              <w:rPr>
                <w:b/>
                <w:bCs/>
                <w:iCs/>
                <w:kern w:val="0"/>
                <w:sz w:val="20"/>
              </w:rPr>
            </w:pPr>
            <w:bookmarkStart w:id="50" w:name="_Hlk201909059"/>
            <w:r>
              <w:rPr>
                <w:b/>
                <w:bCs/>
                <w:iCs/>
                <w:sz w:val="20"/>
              </w:rPr>
              <w:t>2024 Universal Service Monitoring Report</w:t>
            </w:r>
            <w:r>
              <w:rPr>
                <w:b/>
                <w:bCs/>
                <w:iCs/>
                <w:kern w:val="0"/>
                <w:sz w:val="20"/>
              </w:rPr>
              <w:t xml:space="preserve"> Telecommunications Service Provider Data</w:t>
            </w:r>
            <w:r>
              <w:rPr>
                <w:iCs/>
                <w:sz w:val="20"/>
              </w:rPr>
              <w:t xml:space="preserve"> </w:t>
            </w:r>
            <w:r>
              <w:rPr>
                <w:rStyle w:val="FootnoteReference"/>
                <w:iCs/>
              </w:rPr>
              <w:footnoteReference w:id="98"/>
            </w:r>
          </w:p>
          <w:p w:rsidR="009B0C91" w14:paraId="31B3339F" w14:textId="77777777">
            <w:pPr>
              <w:spacing w:after="120"/>
              <w:rPr>
                <w:b/>
                <w:bCs/>
                <w:kern w:val="0"/>
                <w:sz w:val="20"/>
              </w:rPr>
            </w:pPr>
            <w:r>
              <w:rPr>
                <w:b/>
                <w:bCs/>
                <w:kern w:val="0"/>
                <w:sz w:val="20"/>
              </w:rPr>
              <w:t>(Data as of December 2023)</w:t>
            </w:r>
          </w:p>
        </w:tc>
        <w:tc>
          <w:tcPr>
            <w:tcW w:w="4320" w:type="dxa"/>
            <w:gridSpan w:val="3"/>
            <w:tcBorders>
              <w:top w:val="single" w:sz="4" w:space="0" w:color="auto"/>
              <w:left w:val="single" w:sz="4" w:space="0" w:color="auto"/>
              <w:bottom w:val="single" w:sz="4" w:space="0" w:color="auto"/>
              <w:right w:val="single" w:sz="4" w:space="0" w:color="auto"/>
            </w:tcBorders>
            <w:shd w:val="pct5" w:color="auto" w:fill="auto"/>
            <w:noWrap/>
            <w:vAlign w:val="center"/>
            <w:hideMark/>
          </w:tcPr>
          <w:p w:rsidR="009B0C91" w14:paraId="42D0392C" w14:textId="77777777">
            <w:pPr>
              <w:jc w:val="center"/>
              <w:rPr>
                <w:b/>
                <w:bCs/>
                <w:kern w:val="0"/>
                <w:sz w:val="20"/>
              </w:rPr>
            </w:pPr>
            <w:r>
              <w:rPr>
                <w:b/>
                <w:bCs/>
                <w:kern w:val="0"/>
                <w:sz w:val="20"/>
              </w:rPr>
              <w:t>SBA Size Standard</w:t>
            </w:r>
          </w:p>
          <w:p w:rsidR="009B0C91" w14:paraId="492E21BA" w14:textId="77777777">
            <w:pPr>
              <w:jc w:val="center"/>
              <w:rPr>
                <w:kern w:val="0"/>
                <w:sz w:val="20"/>
              </w:rPr>
            </w:pPr>
            <w:r>
              <w:rPr>
                <w:b/>
                <w:bCs/>
                <w:kern w:val="0"/>
                <w:sz w:val="20"/>
              </w:rPr>
              <w:t>(1500 Employees)</w:t>
            </w:r>
          </w:p>
        </w:tc>
      </w:tr>
      <w:tr w14:paraId="5D0A8AF1" w14:textId="77777777">
        <w:tblPrEx>
          <w:tblW w:w="7650" w:type="dxa"/>
          <w:jc w:val="center"/>
          <w:tblLayout w:type="fixed"/>
          <w:tblLook w:val="04A0"/>
        </w:tblPrEx>
        <w:trPr>
          <w:trHeight w:val="300"/>
          <w:tblHeader/>
          <w:jc w:val="center"/>
        </w:trPr>
        <w:tc>
          <w:tcPr>
            <w:tcW w:w="3325" w:type="dxa"/>
            <w:tcBorders>
              <w:top w:val="single" w:sz="4" w:space="0" w:color="auto"/>
              <w:left w:val="single" w:sz="4" w:space="0" w:color="auto"/>
              <w:bottom w:val="single" w:sz="4" w:space="0" w:color="auto"/>
              <w:right w:val="single" w:sz="4" w:space="0" w:color="auto"/>
            </w:tcBorders>
            <w:noWrap/>
          </w:tcPr>
          <w:p w:rsidR="009B0C91" w14:paraId="2973AEFA" w14:textId="77777777">
            <w:pPr>
              <w:spacing w:after="120"/>
              <w:rPr>
                <w:b/>
                <w:bCs/>
                <w:kern w:val="0"/>
                <w:sz w:val="20"/>
              </w:rPr>
            </w:pPr>
          </w:p>
          <w:p w:rsidR="009B0C91" w14:paraId="560C87EF" w14:textId="77777777">
            <w:pPr>
              <w:spacing w:after="120"/>
              <w:rPr>
                <w:iCs/>
                <w:kern w:val="2"/>
                <w:sz w:val="20"/>
              </w:rPr>
            </w:pPr>
            <w:r>
              <w:rPr>
                <w:b/>
                <w:bCs/>
                <w:kern w:val="0"/>
                <w:sz w:val="20"/>
              </w:rPr>
              <w:t>Affected Entity</w:t>
            </w:r>
          </w:p>
        </w:tc>
        <w:tc>
          <w:tcPr>
            <w:tcW w:w="1800" w:type="dxa"/>
            <w:tcBorders>
              <w:top w:val="single" w:sz="4" w:space="0" w:color="auto"/>
              <w:left w:val="single" w:sz="4" w:space="0" w:color="auto"/>
              <w:bottom w:val="single" w:sz="4" w:space="0" w:color="auto"/>
              <w:right w:val="single" w:sz="4" w:space="0" w:color="auto"/>
            </w:tcBorders>
            <w:noWrap/>
            <w:hideMark/>
          </w:tcPr>
          <w:p w:rsidR="009B0C91" w14:paraId="39C7B0DE" w14:textId="77777777">
            <w:pPr>
              <w:spacing w:after="120"/>
              <w:rPr>
                <w:kern w:val="0"/>
                <w:sz w:val="20"/>
              </w:rPr>
            </w:pPr>
            <w:r>
              <w:rPr>
                <w:b/>
                <w:bCs/>
                <w:kern w:val="0"/>
                <w:sz w:val="20"/>
              </w:rPr>
              <w:t>Total # FCC Form 499A Filers</w:t>
            </w:r>
          </w:p>
        </w:tc>
        <w:tc>
          <w:tcPr>
            <w:tcW w:w="990" w:type="dxa"/>
            <w:tcBorders>
              <w:top w:val="single" w:sz="4" w:space="0" w:color="auto"/>
              <w:left w:val="single" w:sz="4" w:space="0" w:color="auto"/>
              <w:bottom w:val="single" w:sz="4" w:space="0" w:color="auto"/>
              <w:right w:val="single" w:sz="4" w:space="0" w:color="auto"/>
            </w:tcBorders>
            <w:hideMark/>
          </w:tcPr>
          <w:p w:rsidR="009B0C91" w14:paraId="3CD914B5" w14:textId="77777777">
            <w:pPr>
              <w:spacing w:after="120"/>
              <w:rPr>
                <w:kern w:val="0"/>
                <w:sz w:val="20"/>
              </w:rPr>
            </w:pPr>
            <w:r>
              <w:rPr>
                <w:b/>
                <w:bCs/>
                <w:kern w:val="0"/>
                <w:sz w:val="20"/>
              </w:rPr>
              <w:t>Small Firms</w:t>
            </w:r>
          </w:p>
        </w:tc>
        <w:tc>
          <w:tcPr>
            <w:tcW w:w="1530" w:type="dxa"/>
            <w:tcBorders>
              <w:top w:val="single" w:sz="4" w:space="0" w:color="auto"/>
              <w:left w:val="single" w:sz="4" w:space="0" w:color="auto"/>
              <w:bottom w:val="single" w:sz="4" w:space="0" w:color="auto"/>
              <w:right w:val="single" w:sz="4" w:space="0" w:color="auto"/>
            </w:tcBorders>
            <w:noWrap/>
            <w:hideMark/>
          </w:tcPr>
          <w:p w:rsidR="009B0C91" w14:paraId="6EFC3858" w14:textId="77777777">
            <w:pPr>
              <w:spacing w:after="120"/>
              <w:rPr>
                <w:kern w:val="0"/>
                <w:sz w:val="20"/>
              </w:rPr>
            </w:pPr>
            <w:r>
              <w:rPr>
                <w:b/>
                <w:bCs/>
                <w:kern w:val="0"/>
                <w:sz w:val="20"/>
              </w:rPr>
              <w:t>% Small Entities</w:t>
            </w:r>
          </w:p>
        </w:tc>
      </w:tr>
      <w:tr w14:paraId="4958D50F" w14:textId="77777777">
        <w:tblPrEx>
          <w:tblW w:w="7650" w:type="dxa"/>
          <w:jc w:val="center"/>
          <w:tblLayout w:type="fixed"/>
          <w:tblLook w:val="04A0"/>
        </w:tblPrEx>
        <w:trPr>
          <w:trHeight w:val="300"/>
          <w:jc w:val="center"/>
        </w:trPr>
        <w:tc>
          <w:tcPr>
            <w:tcW w:w="3325" w:type="dxa"/>
            <w:tcBorders>
              <w:top w:val="single" w:sz="4" w:space="0" w:color="auto"/>
              <w:left w:val="single" w:sz="4" w:space="0" w:color="auto"/>
              <w:bottom w:val="single" w:sz="4" w:space="0" w:color="auto"/>
              <w:right w:val="single" w:sz="4" w:space="0" w:color="auto"/>
            </w:tcBorders>
            <w:noWrap/>
            <w:hideMark/>
          </w:tcPr>
          <w:p w:rsidR="009B0C91" w14:paraId="78812CDE" w14:textId="77777777">
            <w:pPr>
              <w:spacing w:after="120"/>
              <w:rPr>
                <w:iCs/>
                <w:kern w:val="0"/>
                <w:sz w:val="20"/>
              </w:rPr>
            </w:pPr>
            <w:r>
              <w:rPr>
                <w:iCs/>
                <w:sz w:val="20"/>
              </w:rPr>
              <w:t>Competitive Local Exchange Carriers (CLECs)</w:t>
            </w:r>
            <w:r>
              <w:rPr>
                <w:rStyle w:val="FootnoteReference"/>
                <w:iCs/>
              </w:rPr>
              <w:footnoteReference w:id="99"/>
            </w:r>
          </w:p>
        </w:tc>
        <w:tc>
          <w:tcPr>
            <w:tcW w:w="1800" w:type="dxa"/>
            <w:tcBorders>
              <w:top w:val="single" w:sz="4" w:space="0" w:color="auto"/>
              <w:left w:val="single" w:sz="4" w:space="0" w:color="auto"/>
              <w:bottom w:val="single" w:sz="4" w:space="0" w:color="auto"/>
              <w:right w:val="single" w:sz="4" w:space="0" w:color="auto"/>
            </w:tcBorders>
            <w:noWrap/>
            <w:hideMark/>
          </w:tcPr>
          <w:p w:rsidR="009B0C91" w14:paraId="0EA34161" w14:textId="77777777">
            <w:pPr>
              <w:spacing w:after="120"/>
              <w:jc w:val="center"/>
              <w:rPr>
                <w:iCs/>
                <w:kern w:val="0"/>
                <w:sz w:val="20"/>
              </w:rPr>
            </w:pPr>
            <w:r>
              <w:rPr>
                <w:iCs/>
                <w:kern w:val="0"/>
                <w:sz w:val="20"/>
              </w:rPr>
              <w:t>3,729</w:t>
            </w:r>
          </w:p>
        </w:tc>
        <w:tc>
          <w:tcPr>
            <w:tcW w:w="990" w:type="dxa"/>
            <w:tcBorders>
              <w:top w:val="single" w:sz="4" w:space="0" w:color="auto"/>
              <w:left w:val="single" w:sz="4" w:space="0" w:color="auto"/>
              <w:bottom w:val="single" w:sz="4" w:space="0" w:color="auto"/>
              <w:right w:val="single" w:sz="4" w:space="0" w:color="auto"/>
            </w:tcBorders>
            <w:hideMark/>
          </w:tcPr>
          <w:p w:rsidR="009B0C91" w14:paraId="280FDC1D" w14:textId="77777777">
            <w:pPr>
              <w:spacing w:after="120"/>
              <w:jc w:val="center"/>
              <w:rPr>
                <w:iCs/>
                <w:kern w:val="0"/>
                <w:sz w:val="20"/>
              </w:rPr>
            </w:pPr>
            <w:r>
              <w:rPr>
                <w:iCs/>
                <w:kern w:val="0"/>
                <w:sz w:val="20"/>
              </w:rPr>
              <w:t>3,576</w:t>
            </w:r>
          </w:p>
        </w:tc>
        <w:tc>
          <w:tcPr>
            <w:tcW w:w="1530" w:type="dxa"/>
            <w:tcBorders>
              <w:top w:val="single" w:sz="4" w:space="0" w:color="auto"/>
              <w:left w:val="single" w:sz="4" w:space="0" w:color="auto"/>
              <w:bottom w:val="single" w:sz="4" w:space="0" w:color="auto"/>
              <w:right w:val="single" w:sz="4" w:space="0" w:color="auto"/>
            </w:tcBorders>
            <w:noWrap/>
            <w:hideMark/>
          </w:tcPr>
          <w:p w:rsidR="009B0C91" w14:paraId="037C0F05" w14:textId="77777777">
            <w:pPr>
              <w:spacing w:after="120"/>
              <w:jc w:val="center"/>
              <w:rPr>
                <w:iCs/>
                <w:kern w:val="0"/>
                <w:sz w:val="20"/>
              </w:rPr>
            </w:pPr>
            <w:r>
              <w:rPr>
                <w:iCs/>
                <w:kern w:val="0"/>
                <w:sz w:val="20"/>
              </w:rPr>
              <w:t>95.90</w:t>
            </w:r>
          </w:p>
        </w:tc>
      </w:tr>
      <w:tr w14:paraId="022889DA" w14:textId="77777777">
        <w:tblPrEx>
          <w:tblW w:w="7650" w:type="dxa"/>
          <w:jc w:val="center"/>
          <w:tblLayout w:type="fixed"/>
          <w:tblLook w:val="04A0"/>
        </w:tblPrEx>
        <w:trPr>
          <w:trHeight w:val="255"/>
          <w:jc w:val="center"/>
        </w:trPr>
        <w:tc>
          <w:tcPr>
            <w:tcW w:w="3325" w:type="dxa"/>
            <w:tcBorders>
              <w:top w:val="single" w:sz="4" w:space="0" w:color="auto"/>
              <w:left w:val="single" w:sz="4" w:space="0" w:color="auto"/>
              <w:bottom w:val="single" w:sz="4" w:space="0" w:color="auto"/>
              <w:right w:val="single" w:sz="4" w:space="0" w:color="auto"/>
            </w:tcBorders>
            <w:noWrap/>
            <w:hideMark/>
          </w:tcPr>
          <w:p w:rsidR="009B0C91" w14:paraId="6FF27AA9" w14:textId="77777777">
            <w:pPr>
              <w:spacing w:after="120"/>
              <w:rPr>
                <w:iCs/>
                <w:kern w:val="0"/>
                <w:sz w:val="20"/>
              </w:rPr>
            </w:pPr>
            <w:r>
              <w:rPr>
                <w:iCs/>
                <w:sz w:val="20"/>
              </w:rPr>
              <w:t>Incumbent Local Exchange Carriers (Incumbent LECs)</w:t>
            </w:r>
          </w:p>
        </w:tc>
        <w:tc>
          <w:tcPr>
            <w:tcW w:w="1800" w:type="dxa"/>
            <w:tcBorders>
              <w:top w:val="single" w:sz="4" w:space="0" w:color="auto"/>
              <w:left w:val="single" w:sz="4" w:space="0" w:color="auto"/>
              <w:bottom w:val="single" w:sz="4" w:space="0" w:color="auto"/>
              <w:right w:val="single" w:sz="4" w:space="0" w:color="auto"/>
            </w:tcBorders>
            <w:noWrap/>
            <w:hideMark/>
          </w:tcPr>
          <w:p w:rsidR="009B0C91" w14:paraId="445899E8" w14:textId="77777777">
            <w:pPr>
              <w:spacing w:after="120"/>
              <w:jc w:val="center"/>
              <w:rPr>
                <w:iCs/>
                <w:kern w:val="0"/>
                <w:sz w:val="20"/>
              </w:rPr>
            </w:pPr>
            <w:r>
              <w:rPr>
                <w:iCs/>
                <w:kern w:val="0"/>
                <w:sz w:val="20"/>
              </w:rPr>
              <w:t>1,175</w:t>
            </w:r>
          </w:p>
        </w:tc>
        <w:tc>
          <w:tcPr>
            <w:tcW w:w="990" w:type="dxa"/>
            <w:tcBorders>
              <w:top w:val="single" w:sz="4" w:space="0" w:color="auto"/>
              <w:left w:val="single" w:sz="4" w:space="0" w:color="auto"/>
              <w:bottom w:val="single" w:sz="4" w:space="0" w:color="auto"/>
              <w:right w:val="single" w:sz="4" w:space="0" w:color="auto"/>
            </w:tcBorders>
            <w:hideMark/>
          </w:tcPr>
          <w:p w:rsidR="009B0C91" w14:paraId="16154482" w14:textId="77777777">
            <w:pPr>
              <w:spacing w:after="120"/>
              <w:jc w:val="center"/>
              <w:rPr>
                <w:iCs/>
                <w:kern w:val="0"/>
                <w:sz w:val="20"/>
              </w:rPr>
            </w:pPr>
            <w:r>
              <w:rPr>
                <w:iCs/>
                <w:kern w:val="0"/>
                <w:sz w:val="20"/>
              </w:rPr>
              <w:t>917</w:t>
            </w:r>
          </w:p>
        </w:tc>
        <w:tc>
          <w:tcPr>
            <w:tcW w:w="1530" w:type="dxa"/>
            <w:tcBorders>
              <w:top w:val="single" w:sz="4" w:space="0" w:color="auto"/>
              <w:left w:val="single" w:sz="4" w:space="0" w:color="auto"/>
              <w:bottom w:val="single" w:sz="4" w:space="0" w:color="auto"/>
              <w:right w:val="single" w:sz="4" w:space="0" w:color="auto"/>
            </w:tcBorders>
            <w:noWrap/>
            <w:hideMark/>
          </w:tcPr>
          <w:p w:rsidR="009B0C91" w14:paraId="48F1DFEE" w14:textId="77777777">
            <w:pPr>
              <w:spacing w:after="120"/>
              <w:jc w:val="center"/>
              <w:rPr>
                <w:iCs/>
                <w:kern w:val="0"/>
                <w:sz w:val="20"/>
              </w:rPr>
            </w:pPr>
            <w:r>
              <w:rPr>
                <w:iCs/>
                <w:kern w:val="0"/>
                <w:sz w:val="20"/>
              </w:rPr>
              <w:t>78.04</w:t>
            </w:r>
          </w:p>
        </w:tc>
      </w:tr>
      <w:tr w14:paraId="7F99A28A" w14:textId="77777777">
        <w:tblPrEx>
          <w:tblW w:w="7650" w:type="dxa"/>
          <w:jc w:val="center"/>
          <w:tblLayout w:type="fixed"/>
          <w:tblLook w:val="04A0"/>
        </w:tblPrEx>
        <w:trPr>
          <w:trHeight w:val="255"/>
          <w:jc w:val="center"/>
        </w:trPr>
        <w:tc>
          <w:tcPr>
            <w:tcW w:w="3325" w:type="dxa"/>
            <w:tcBorders>
              <w:top w:val="single" w:sz="4" w:space="0" w:color="auto"/>
              <w:left w:val="single" w:sz="4" w:space="0" w:color="auto"/>
              <w:bottom w:val="single" w:sz="4" w:space="0" w:color="auto"/>
              <w:right w:val="single" w:sz="4" w:space="0" w:color="auto"/>
            </w:tcBorders>
            <w:noWrap/>
            <w:hideMark/>
          </w:tcPr>
          <w:p w:rsidR="009B0C91" w14:paraId="683D223F" w14:textId="77777777">
            <w:pPr>
              <w:spacing w:after="120"/>
              <w:rPr>
                <w:iCs/>
                <w:kern w:val="0"/>
                <w:sz w:val="20"/>
              </w:rPr>
            </w:pPr>
            <w:r>
              <w:rPr>
                <w:iCs/>
                <w:sz w:val="20"/>
              </w:rPr>
              <w:t>Interexchange Carriers (IXCs)</w:t>
            </w:r>
          </w:p>
        </w:tc>
        <w:tc>
          <w:tcPr>
            <w:tcW w:w="1800" w:type="dxa"/>
            <w:tcBorders>
              <w:top w:val="single" w:sz="4" w:space="0" w:color="auto"/>
              <w:left w:val="single" w:sz="4" w:space="0" w:color="auto"/>
              <w:bottom w:val="single" w:sz="4" w:space="0" w:color="auto"/>
              <w:right w:val="single" w:sz="4" w:space="0" w:color="auto"/>
            </w:tcBorders>
            <w:noWrap/>
            <w:hideMark/>
          </w:tcPr>
          <w:p w:rsidR="009B0C91" w14:paraId="0C57B19F" w14:textId="77777777">
            <w:pPr>
              <w:spacing w:after="120"/>
              <w:jc w:val="center"/>
              <w:rPr>
                <w:iCs/>
                <w:kern w:val="0"/>
                <w:sz w:val="20"/>
              </w:rPr>
            </w:pPr>
            <w:r>
              <w:rPr>
                <w:iCs/>
                <w:kern w:val="0"/>
                <w:sz w:val="20"/>
              </w:rPr>
              <w:t>113</w:t>
            </w:r>
          </w:p>
        </w:tc>
        <w:tc>
          <w:tcPr>
            <w:tcW w:w="990" w:type="dxa"/>
            <w:tcBorders>
              <w:top w:val="single" w:sz="4" w:space="0" w:color="auto"/>
              <w:left w:val="single" w:sz="4" w:space="0" w:color="auto"/>
              <w:bottom w:val="single" w:sz="4" w:space="0" w:color="auto"/>
              <w:right w:val="single" w:sz="4" w:space="0" w:color="auto"/>
            </w:tcBorders>
            <w:hideMark/>
          </w:tcPr>
          <w:p w:rsidR="009B0C91" w14:paraId="1B45C601" w14:textId="77777777">
            <w:pPr>
              <w:spacing w:after="120"/>
              <w:jc w:val="center"/>
              <w:rPr>
                <w:iCs/>
                <w:kern w:val="0"/>
                <w:sz w:val="20"/>
              </w:rPr>
            </w:pPr>
            <w:r>
              <w:rPr>
                <w:iCs/>
                <w:kern w:val="0"/>
                <w:sz w:val="20"/>
              </w:rPr>
              <w:t>95</w:t>
            </w:r>
          </w:p>
        </w:tc>
        <w:tc>
          <w:tcPr>
            <w:tcW w:w="1530" w:type="dxa"/>
            <w:tcBorders>
              <w:top w:val="single" w:sz="4" w:space="0" w:color="auto"/>
              <w:left w:val="single" w:sz="4" w:space="0" w:color="auto"/>
              <w:bottom w:val="single" w:sz="4" w:space="0" w:color="auto"/>
              <w:right w:val="single" w:sz="4" w:space="0" w:color="auto"/>
            </w:tcBorders>
            <w:noWrap/>
            <w:hideMark/>
          </w:tcPr>
          <w:p w:rsidR="009B0C91" w14:paraId="5EC9D267" w14:textId="77777777">
            <w:pPr>
              <w:spacing w:after="120"/>
              <w:jc w:val="center"/>
              <w:rPr>
                <w:iCs/>
                <w:kern w:val="0"/>
                <w:sz w:val="20"/>
              </w:rPr>
            </w:pPr>
            <w:r>
              <w:rPr>
                <w:iCs/>
                <w:kern w:val="0"/>
                <w:sz w:val="20"/>
              </w:rPr>
              <w:t>84.07</w:t>
            </w:r>
          </w:p>
        </w:tc>
      </w:tr>
      <w:tr w14:paraId="57A5722A" w14:textId="77777777">
        <w:tblPrEx>
          <w:tblW w:w="7650" w:type="dxa"/>
          <w:jc w:val="center"/>
          <w:tblLayout w:type="fixed"/>
          <w:tblLook w:val="04A0"/>
        </w:tblPrEx>
        <w:trPr>
          <w:trHeight w:val="80"/>
          <w:jc w:val="center"/>
        </w:trPr>
        <w:tc>
          <w:tcPr>
            <w:tcW w:w="3325" w:type="dxa"/>
            <w:tcBorders>
              <w:top w:val="single" w:sz="4" w:space="0" w:color="auto"/>
              <w:left w:val="single" w:sz="4" w:space="0" w:color="auto"/>
              <w:bottom w:val="single" w:sz="4" w:space="0" w:color="auto"/>
              <w:right w:val="single" w:sz="4" w:space="0" w:color="auto"/>
            </w:tcBorders>
            <w:noWrap/>
            <w:hideMark/>
          </w:tcPr>
          <w:p w:rsidR="009B0C91" w14:paraId="43FD8244" w14:textId="77777777">
            <w:pPr>
              <w:spacing w:after="120"/>
              <w:rPr>
                <w:iCs/>
                <w:kern w:val="2"/>
                <w:sz w:val="20"/>
              </w:rPr>
            </w:pPr>
            <w:r>
              <w:rPr>
                <w:iCs/>
                <w:sz w:val="20"/>
              </w:rPr>
              <w:t>Local Exchange Carriers (LECs)</w:t>
            </w:r>
            <w:r>
              <w:rPr>
                <w:rStyle w:val="FootnoteReference"/>
                <w:iCs/>
              </w:rPr>
              <w:footnoteReference w:id="100"/>
            </w:r>
            <w:r>
              <w:rPr>
                <w:iCs/>
                <w:sz w:val="20"/>
              </w:rPr>
              <w:t xml:space="preserve">  </w:t>
            </w:r>
          </w:p>
        </w:tc>
        <w:tc>
          <w:tcPr>
            <w:tcW w:w="1800" w:type="dxa"/>
            <w:tcBorders>
              <w:top w:val="single" w:sz="4" w:space="0" w:color="auto"/>
              <w:left w:val="single" w:sz="4" w:space="0" w:color="auto"/>
              <w:bottom w:val="single" w:sz="4" w:space="0" w:color="auto"/>
              <w:right w:val="single" w:sz="4" w:space="0" w:color="auto"/>
            </w:tcBorders>
            <w:noWrap/>
            <w:hideMark/>
          </w:tcPr>
          <w:p w:rsidR="009B0C91" w14:paraId="6F7B4789" w14:textId="77777777">
            <w:pPr>
              <w:spacing w:after="120"/>
              <w:jc w:val="center"/>
              <w:rPr>
                <w:iCs/>
                <w:kern w:val="0"/>
                <w:sz w:val="20"/>
              </w:rPr>
            </w:pPr>
            <w:r>
              <w:rPr>
                <w:iCs/>
                <w:kern w:val="0"/>
                <w:sz w:val="20"/>
              </w:rPr>
              <w:t>4,904</w:t>
            </w:r>
          </w:p>
        </w:tc>
        <w:tc>
          <w:tcPr>
            <w:tcW w:w="990" w:type="dxa"/>
            <w:tcBorders>
              <w:top w:val="single" w:sz="4" w:space="0" w:color="auto"/>
              <w:left w:val="single" w:sz="4" w:space="0" w:color="auto"/>
              <w:bottom w:val="single" w:sz="4" w:space="0" w:color="auto"/>
              <w:right w:val="single" w:sz="4" w:space="0" w:color="auto"/>
            </w:tcBorders>
            <w:hideMark/>
          </w:tcPr>
          <w:p w:rsidR="009B0C91" w14:paraId="677454FE" w14:textId="77777777">
            <w:pPr>
              <w:spacing w:after="120"/>
              <w:jc w:val="center"/>
              <w:rPr>
                <w:iCs/>
                <w:kern w:val="0"/>
                <w:sz w:val="20"/>
              </w:rPr>
            </w:pPr>
            <w:r>
              <w:rPr>
                <w:iCs/>
                <w:kern w:val="0"/>
                <w:sz w:val="20"/>
              </w:rPr>
              <w:t>4,493</w:t>
            </w:r>
          </w:p>
        </w:tc>
        <w:tc>
          <w:tcPr>
            <w:tcW w:w="1530" w:type="dxa"/>
            <w:tcBorders>
              <w:top w:val="single" w:sz="4" w:space="0" w:color="auto"/>
              <w:left w:val="single" w:sz="4" w:space="0" w:color="auto"/>
              <w:bottom w:val="single" w:sz="4" w:space="0" w:color="auto"/>
              <w:right w:val="single" w:sz="4" w:space="0" w:color="auto"/>
            </w:tcBorders>
            <w:noWrap/>
            <w:hideMark/>
          </w:tcPr>
          <w:p w:rsidR="009B0C91" w14:paraId="74ED88C9" w14:textId="77777777">
            <w:pPr>
              <w:spacing w:after="120"/>
              <w:jc w:val="center"/>
              <w:rPr>
                <w:iCs/>
                <w:kern w:val="0"/>
                <w:sz w:val="20"/>
              </w:rPr>
            </w:pPr>
            <w:r>
              <w:rPr>
                <w:iCs/>
                <w:kern w:val="0"/>
                <w:sz w:val="20"/>
              </w:rPr>
              <w:t>91.62</w:t>
            </w:r>
          </w:p>
        </w:tc>
      </w:tr>
      <w:tr w14:paraId="09600B05" w14:textId="77777777">
        <w:tblPrEx>
          <w:tblW w:w="7650" w:type="dxa"/>
          <w:jc w:val="center"/>
          <w:tblLayout w:type="fixed"/>
          <w:tblLook w:val="04A0"/>
        </w:tblPrEx>
        <w:trPr>
          <w:trHeight w:val="80"/>
          <w:jc w:val="center"/>
        </w:trPr>
        <w:tc>
          <w:tcPr>
            <w:tcW w:w="3325" w:type="dxa"/>
            <w:tcBorders>
              <w:top w:val="single" w:sz="4" w:space="0" w:color="auto"/>
              <w:left w:val="single" w:sz="4" w:space="0" w:color="auto"/>
              <w:bottom w:val="single" w:sz="4" w:space="0" w:color="auto"/>
              <w:right w:val="single" w:sz="4" w:space="0" w:color="auto"/>
            </w:tcBorders>
            <w:noWrap/>
            <w:hideMark/>
          </w:tcPr>
          <w:p w:rsidR="009B0C91" w14:paraId="0119ABE0" w14:textId="77777777">
            <w:pPr>
              <w:spacing w:after="120"/>
              <w:rPr>
                <w:iCs/>
                <w:kern w:val="0"/>
                <w:sz w:val="20"/>
              </w:rPr>
            </w:pPr>
            <w:r>
              <w:rPr>
                <w:iCs/>
                <w:sz w:val="20"/>
              </w:rPr>
              <w:t>Local Resellers</w:t>
            </w:r>
          </w:p>
        </w:tc>
        <w:tc>
          <w:tcPr>
            <w:tcW w:w="1800" w:type="dxa"/>
            <w:tcBorders>
              <w:top w:val="single" w:sz="4" w:space="0" w:color="auto"/>
              <w:left w:val="single" w:sz="4" w:space="0" w:color="auto"/>
              <w:bottom w:val="single" w:sz="4" w:space="0" w:color="auto"/>
              <w:right w:val="single" w:sz="4" w:space="0" w:color="auto"/>
            </w:tcBorders>
            <w:noWrap/>
            <w:hideMark/>
          </w:tcPr>
          <w:p w:rsidR="009B0C91" w14:paraId="50E35218" w14:textId="77777777">
            <w:pPr>
              <w:spacing w:after="120"/>
              <w:jc w:val="center"/>
              <w:rPr>
                <w:iCs/>
                <w:kern w:val="0"/>
                <w:sz w:val="20"/>
              </w:rPr>
            </w:pPr>
            <w:r>
              <w:rPr>
                <w:iCs/>
                <w:kern w:val="0"/>
                <w:sz w:val="20"/>
              </w:rPr>
              <w:t>222</w:t>
            </w:r>
          </w:p>
        </w:tc>
        <w:tc>
          <w:tcPr>
            <w:tcW w:w="990" w:type="dxa"/>
            <w:tcBorders>
              <w:top w:val="single" w:sz="4" w:space="0" w:color="auto"/>
              <w:left w:val="single" w:sz="4" w:space="0" w:color="auto"/>
              <w:bottom w:val="single" w:sz="4" w:space="0" w:color="auto"/>
              <w:right w:val="single" w:sz="4" w:space="0" w:color="auto"/>
            </w:tcBorders>
            <w:hideMark/>
          </w:tcPr>
          <w:p w:rsidR="009B0C91" w14:paraId="3BD13285" w14:textId="77777777">
            <w:pPr>
              <w:spacing w:after="120"/>
              <w:jc w:val="center"/>
              <w:rPr>
                <w:iCs/>
                <w:kern w:val="0"/>
                <w:sz w:val="20"/>
              </w:rPr>
            </w:pPr>
            <w:r>
              <w:rPr>
                <w:iCs/>
                <w:kern w:val="0"/>
                <w:sz w:val="20"/>
              </w:rPr>
              <w:t>217</w:t>
            </w:r>
          </w:p>
        </w:tc>
        <w:tc>
          <w:tcPr>
            <w:tcW w:w="1530" w:type="dxa"/>
            <w:tcBorders>
              <w:top w:val="single" w:sz="4" w:space="0" w:color="auto"/>
              <w:left w:val="single" w:sz="4" w:space="0" w:color="auto"/>
              <w:bottom w:val="single" w:sz="4" w:space="0" w:color="auto"/>
              <w:right w:val="single" w:sz="4" w:space="0" w:color="auto"/>
            </w:tcBorders>
            <w:noWrap/>
            <w:hideMark/>
          </w:tcPr>
          <w:p w:rsidR="009B0C91" w14:paraId="638BE86A" w14:textId="77777777">
            <w:pPr>
              <w:spacing w:after="120"/>
              <w:jc w:val="center"/>
              <w:rPr>
                <w:iCs/>
                <w:kern w:val="0"/>
                <w:sz w:val="20"/>
              </w:rPr>
            </w:pPr>
            <w:r>
              <w:rPr>
                <w:iCs/>
                <w:kern w:val="0"/>
                <w:sz w:val="20"/>
              </w:rPr>
              <w:t>97.75</w:t>
            </w:r>
          </w:p>
        </w:tc>
      </w:tr>
      <w:tr w14:paraId="477C9A12" w14:textId="77777777">
        <w:tblPrEx>
          <w:tblW w:w="7650" w:type="dxa"/>
          <w:jc w:val="center"/>
          <w:tblLayout w:type="fixed"/>
          <w:tblLook w:val="04A0"/>
        </w:tblPrEx>
        <w:trPr>
          <w:trHeight w:val="255"/>
          <w:jc w:val="center"/>
        </w:trPr>
        <w:tc>
          <w:tcPr>
            <w:tcW w:w="3325" w:type="dxa"/>
            <w:tcBorders>
              <w:top w:val="single" w:sz="4" w:space="0" w:color="auto"/>
              <w:left w:val="single" w:sz="4" w:space="0" w:color="auto"/>
              <w:bottom w:val="single" w:sz="4" w:space="0" w:color="auto"/>
              <w:right w:val="single" w:sz="4" w:space="0" w:color="auto"/>
            </w:tcBorders>
            <w:noWrap/>
            <w:hideMark/>
          </w:tcPr>
          <w:p w:rsidR="009B0C91" w14:paraId="4493707E" w14:textId="77777777">
            <w:pPr>
              <w:spacing w:after="120"/>
              <w:rPr>
                <w:iCs/>
                <w:kern w:val="2"/>
                <w:sz w:val="20"/>
              </w:rPr>
            </w:pPr>
            <w:r>
              <w:rPr>
                <w:iCs/>
                <w:sz w:val="20"/>
              </w:rPr>
              <w:t>Other Toll Carriers</w:t>
            </w:r>
          </w:p>
        </w:tc>
        <w:tc>
          <w:tcPr>
            <w:tcW w:w="1800" w:type="dxa"/>
            <w:tcBorders>
              <w:top w:val="single" w:sz="4" w:space="0" w:color="auto"/>
              <w:left w:val="single" w:sz="4" w:space="0" w:color="auto"/>
              <w:bottom w:val="single" w:sz="4" w:space="0" w:color="auto"/>
              <w:right w:val="single" w:sz="4" w:space="0" w:color="auto"/>
            </w:tcBorders>
            <w:noWrap/>
            <w:hideMark/>
          </w:tcPr>
          <w:p w:rsidR="009B0C91" w14:paraId="674F7C05" w14:textId="77777777">
            <w:pPr>
              <w:spacing w:after="120"/>
              <w:jc w:val="center"/>
              <w:rPr>
                <w:iCs/>
                <w:kern w:val="0"/>
                <w:sz w:val="20"/>
              </w:rPr>
            </w:pPr>
            <w:r>
              <w:rPr>
                <w:iCs/>
                <w:kern w:val="0"/>
                <w:sz w:val="20"/>
              </w:rPr>
              <w:t>74</w:t>
            </w:r>
          </w:p>
        </w:tc>
        <w:tc>
          <w:tcPr>
            <w:tcW w:w="990" w:type="dxa"/>
            <w:tcBorders>
              <w:top w:val="single" w:sz="4" w:space="0" w:color="auto"/>
              <w:left w:val="single" w:sz="4" w:space="0" w:color="auto"/>
              <w:bottom w:val="single" w:sz="4" w:space="0" w:color="auto"/>
              <w:right w:val="single" w:sz="4" w:space="0" w:color="auto"/>
            </w:tcBorders>
            <w:hideMark/>
          </w:tcPr>
          <w:p w:rsidR="009B0C91" w14:paraId="6F55BB62" w14:textId="77777777">
            <w:pPr>
              <w:spacing w:after="120"/>
              <w:jc w:val="center"/>
              <w:rPr>
                <w:iCs/>
                <w:kern w:val="0"/>
                <w:sz w:val="20"/>
              </w:rPr>
            </w:pPr>
            <w:r>
              <w:rPr>
                <w:iCs/>
                <w:kern w:val="0"/>
                <w:sz w:val="20"/>
              </w:rPr>
              <w:t>71</w:t>
            </w:r>
          </w:p>
        </w:tc>
        <w:tc>
          <w:tcPr>
            <w:tcW w:w="1530" w:type="dxa"/>
            <w:tcBorders>
              <w:top w:val="single" w:sz="4" w:space="0" w:color="auto"/>
              <w:left w:val="single" w:sz="4" w:space="0" w:color="auto"/>
              <w:bottom w:val="single" w:sz="4" w:space="0" w:color="auto"/>
              <w:right w:val="single" w:sz="4" w:space="0" w:color="auto"/>
            </w:tcBorders>
            <w:noWrap/>
            <w:hideMark/>
          </w:tcPr>
          <w:p w:rsidR="009B0C91" w14:paraId="47028A33" w14:textId="77777777">
            <w:pPr>
              <w:spacing w:after="120"/>
              <w:jc w:val="center"/>
              <w:rPr>
                <w:iCs/>
                <w:kern w:val="0"/>
                <w:sz w:val="20"/>
              </w:rPr>
            </w:pPr>
            <w:r>
              <w:rPr>
                <w:iCs/>
                <w:kern w:val="0"/>
                <w:sz w:val="20"/>
              </w:rPr>
              <w:t>95.95</w:t>
            </w:r>
          </w:p>
        </w:tc>
      </w:tr>
      <w:tr w14:paraId="2DD77FE3" w14:textId="77777777">
        <w:tblPrEx>
          <w:tblW w:w="7650" w:type="dxa"/>
          <w:jc w:val="center"/>
          <w:tblLayout w:type="fixed"/>
          <w:tblLook w:val="04A0"/>
        </w:tblPrEx>
        <w:trPr>
          <w:trHeight w:val="255"/>
          <w:jc w:val="center"/>
        </w:trPr>
        <w:tc>
          <w:tcPr>
            <w:tcW w:w="3325" w:type="dxa"/>
            <w:tcBorders>
              <w:top w:val="single" w:sz="4" w:space="0" w:color="auto"/>
              <w:left w:val="single" w:sz="4" w:space="0" w:color="auto"/>
              <w:bottom w:val="single" w:sz="4" w:space="0" w:color="auto"/>
              <w:right w:val="single" w:sz="4" w:space="0" w:color="auto"/>
            </w:tcBorders>
            <w:noWrap/>
            <w:hideMark/>
          </w:tcPr>
          <w:p w:rsidR="009B0C91" w14:paraId="122F92B0" w14:textId="77777777">
            <w:pPr>
              <w:spacing w:after="120"/>
              <w:rPr>
                <w:iCs/>
                <w:kern w:val="2"/>
                <w:sz w:val="20"/>
              </w:rPr>
            </w:pPr>
            <w:r>
              <w:rPr>
                <w:iCs/>
                <w:sz w:val="20"/>
              </w:rPr>
              <w:t>Payphone Service Providers</w:t>
            </w:r>
          </w:p>
        </w:tc>
        <w:tc>
          <w:tcPr>
            <w:tcW w:w="1800" w:type="dxa"/>
            <w:tcBorders>
              <w:top w:val="single" w:sz="4" w:space="0" w:color="auto"/>
              <w:left w:val="single" w:sz="4" w:space="0" w:color="auto"/>
              <w:bottom w:val="single" w:sz="4" w:space="0" w:color="auto"/>
              <w:right w:val="single" w:sz="4" w:space="0" w:color="auto"/>
            </w:tcBorders>
            <w:noWrap/>
            <w:hideMark/>
          </w:tcPr>
          <w:p w:rsidR="009B0C91" w14:paraId="461B1DDD" w14:textId="77777777">
            <w:pPr>
              <w:spacing w:after="120"/>
              <w:jc w:val="center"/>
              <w:rPr>
                <w:iCs/>
                <w:kern w:val="0"/>
                <w:sz w:val="20"/>
              </w:rPr>
            </w:pPr>
            <w:r>
              <w:rPr>
                <w:iCs/>
                <w:kern w:val="0"/>
                <w:sz w:val="20"/>
              </w:rPr>
              <w:t>28</w:t>
            </w:r>
          </w:p>
        </w:tc>
        <w:tc>
          <w:tcPr>
            <w:tcW w:w="990" w:type="dxa"/>
            <w:tcBorders>
              <w:top w:val="single" w:sz="4" w:space="0" w:color="auto"/>
              <w:left w:val="single" w:sz="4" w:space="0" w:color="auto"/>
              <w:bottom w:val="single" w:sz="4" w:space="0" w:color="auto"/>
              <w:right w:val="single" w:sz="4" w:space="0" w:color="auto"/>
            </w:tcBorders>
            <w:hideMark/>
          </w:tcPr>
          <w:p w:rsidR="009B0C91" w14:paraId="19557C68" w14:textId="77777777">
            <w:pPr>
              <w:spacing w:after="120"/>
              <w:jc w:val="center"/>
              <w:rPr>
                <w:iCs/>
                <w:kern w:val="0"/>
                <w:sz w:val="20"/>
              </w:rPr>
            </w:pPr>
            <w:r>
              <w:rPr>
                <w:iCs/>
                <w:kern w:val="0"/>
                <w:sz w:val="20"/>
              </w:rPr>
              <w:t>24</w:t>
            </w:r>
          </w:p>
        </w:tc>
        <w:tc>
          <w:tcPr>
            <w:tcW w:w="1530" w:type="dxa"/>
            <w:tcBorders>
              <w:top w:val="single" w:sz="4" w:space="0" w:color="auto"/>
              <w:left w:val="single" w:sz="4" w:space="0" w:color="auto"/>
              <w:bottom w:val="single" w:sz="4" w:space="0" w:color="auto"/>
              <w:right w:val="single" w:sz="4" w:space="0" w:color="auto"/>
            </w:tcBorders>
            <w:noWrap/>
            <w:hideMark/>
          </w:tcPr>
          <w:p w:rsidR="009B0C91" w14:paraId="7F926271" w14:textId="77777777">
            <w:pPr>
              <w:spacing w:after="120"/>
              <w:jc w:val="center"/>
              <w:rPr>
                <w:iCs/>
                <w:kern w:val="0"/>
                <w:sz w:val="20"/>
              </w:rPr>
            </w:pPr>
            <w:r>
              <w:rPr>
                <w:iCs/>
                <w:kern w:val="0"/>
                <w:sz w:val="20"/>
              </w:rPr>
              <w:t>85.71</w:t>
            </w:r>
          </w:p>
        </w:tc>
      </w:tr>
      <w:tr w14:paraId="1532C59E" w14:textId="77777777">
        <w:tblPrEx>
          <w:tblW w:w="7650" w:type="dxa"/>
          <w:jc w:val="center"/>
          <w:tblLayout w:type="fixed"/>
          <w:tblLook w:val="04A0"/>
        </w:tblPrEx>
        <w:trPr>
          <w:trHeight w:val="255"/>
          <w:jc w:val="center"/>
        </w:trPr>
        <w:tc>
          <w:tcPr>
            <w:tcW w:w="3325" w:type="dxa"/>
            <w:tcBorders>
              <w:top w:val="single" w:sz="4" w:space="0" w:color="auto"/>
              <w:left w:val="single" w:sz="4" w:space="0" w:color="auto"/>
              <w:bottom w:val="single" w:sz="4" w:space="0" w:color="auto"/>
              <w:right w:val="single" w:sz="4" w:space="0" w:color="auto"/>
            </w:tcBorders>
            <w:noWrap/>
            <w:hideMark/>
          </w:tcPr>
          <w:p w:rsidR="009B0C91" w14:paraId="3F52049A" w14:textId="77777777">
            <w:pPr>
              <w:spacing w:after="120"/>
              <w:rPr>
                <w:iCs/>
                <w:kern w:val="0"/>
                <w:sz w:val="20"/>
              </w:rPr>
            </w:pPr>
            <w:r>
              <w:rPr>
                <w:iCs/>
                <w:sz w:val="20"/>
              </w:rPr>
              <w:t>Toll Resellers</w:t>
            </w:r>
          </w:p>
        </w:tc>
        <w:tc>
          <w:tcPr>
            <w:tcW w:w="1800" w:type="dxa"/>
            <w:tcBorders>
              <w:top w:val="single" w:sz="4" w:space="0" w:color="auto"/>
              <w:left w:val="single" w:sz="4" w:space="0" w:color="auto"/>
              <w:bottom w:val="single" w:sz="4" w:space="0" w:color="auto"/>
              <w:right w:val="single" w:sz="4" w:space="0" w:color="auto"/>
            </w:tcBorders>
            <w:noWrap/>
            <w:hideMark/>
          </w:tcPr>
          <w:p w:rsidR="009B0C91" w14:paraId="48875951" w14:textId="77777777">
            <w:pPr>
              <w:spacing w:after="120"/>
              <w:jc w:val="center"/>
              <w:rPr>
                <w:iCs/>
                <w:kern w:val="0"/>
                <w:sz w:val="20"/>
              </w:rPr>
            </w:pPr>
            <w:r>
              <w:rPr>
                <w:iCs/>
                <w:kern w:val="0"/>
                <w:sz w:val="20"/>
              </w:rPr>
              <w:t>411</w:t>
            </w:r>
          </w:p>
        </w:tc>
        <w:tc>
          <w:tcPr>
            <w:tcW w:w="990" w:type="dxa"/>
            <w:tcBorders>
              <w:top w:val="single" w:sz="4" w:space="0" w:color="auto"/>
              <w:left w:val="single" w:sz="4" w:space="0" w:color="auto"/>
              <w:bottom w:val="single" w:sz="4" w:space="0" w:color="auto"/>
              <w:right w:val="single" w:sz="4" w:space="0" w:color="auto"/>
            </w:tcBorders>
            <w:hideMark/>
          </w:tcPr>
          <w:p w:rsidR="009B0C91" w14:paraId="0B7A5C4F" w14:textId="77777777">
            <w:pPr>
              <w:spacing w:after="120"/>
              <w:jc w:val="center"/>
              <w:rPr>
                <w:iCs/>
                <w:kern w:val="0"/>
                <w:sz w:val="20"/>
              </w:rPr>
            </w:pPr>
            <w:r>
              <w:rPr>
                <w:iCs/>
                <w:kern w:val="0"/>
                <w:sz w:val="20"/>
              </w:rPr>
              <w:t>398</w:t>
            </w:r>
          </w:p>
        </w:tc>
        <w:tc>
          <w:tcPr>
            <w:tcW w:w="1530" w:type="dxa"/>
            <w:tcBorders>
              <w:top w:val="single" w:sz="4" w:space="0" w:color="auto"/>
              <w:left w:val="single" w:sz="4" w:space="0" w:color="auto"/>
              <w:bottom w:val="single" w:sz="4" w:space="0" w:color="auto"/>
              <w:right w:val="single" w:sz="4" w:space="0" w:color="auto"/>
            </w:tcBorders>
            <w:noWrap/>
            <w:hideMark/>
          </w:tcPr>
          <w:p w:rsidR="009B0C91" w14:paraId="7033FB0B" w14:textId="77777777">
            <w:pPr>
              <w:spacing w:after="120"/>
              <w:jc w:val="center"/>
              <w:rPr>
                <w:iCs/>
                <w:kern w:val="0"/>
                <w:sz w:val="20"/>
              </w:rPr>
            </w:pPr>
            <w:r>
              <w:rPr>
                <w:iCs/>
                <w:kern w:val="0"/>
                <w:sz w:val="20"/>
              </w:rPr>
              <w:t>96.84</w:t>
            </w:r>
          </w:p>
        </w:tc>
      </w:tr>
      <w:tr w14:paraId="613423EB" w14:textId="77777777">
        <w:tblPrEx>
          <w:tblW w:w="7650" w:type="dxa"/>
          <w:jc w:val="center"/>
          <w:tblLayout w:type="fixed"/>
          <w:tblLook w:val="04A0"/>
        </w:tblPrEx>
        <w:trPr>
          <w:trHeight w:val="255"/>
          <w:jc w:val="center"/>
        </w:trPr>
        <w:tc>
          <w:tcPr>
            <w:tcW w:w="3325" w:type="dxa"/>
            <w:tcBorders>
              <w:top w:val="single" w:sz="4" w:space="0" w:color="auto"/>
              <w:left w:val="single" w:sz="4" w:space="0" w:color="auto"/>
              <w:bottom w:val="single" w:sz="4" w:space="0" w:color="auto"/>
              <w:right w:val="single" w:sz="4" w:space="0" w:color="auto"/>
            </w:tcBorders>
            <w:noWrap/>
            <w:hideMark/>
          </w:tcPr>
          <w:p w:rsidR="009B0C91" w14:paraId="57D3F22C" w14:textId="77777777">
            <w:pPr>
              <w:spacing w:after="120"/>
              <w:rPr>
                <w:iCs/>
                <w:kern w:val="0"/>
                <w:sz w:val="20"/>
              </w:rPr>
            </w:pPr>
            <w:r>
              <w:rPr>
                <w:rFonts w:eastAsia="Calibri"/>
                <w:iCs/>
                <w:sz w:val="20"/>
              </w:rPr>
              <w:t>Telecommunications Resellers</w:t>
            </w:r>
          </w:p>
        </w:tc>
        <w:tc>
          <w:tcPr>
            <w:tcW w:w="1800" w:type="dxa"/>
            <w:tcBorders>
              <w:top w:val="single" w:sz="4" w:space="0" w:color="auto"/>
              <w:left w:val="single" w:sz="4" w:space="0" w:color="auto"/>
              <w:bottom w:val="single" w:sz="4" w:space="0" w:color="auto"/>
              <w:right w:val="single" w:sz="4" w:space="0" w:color="auto"/>
            </w:tcBorders>
            <w:noWrap/>
            <w:hideMark/>
          </w:tcPr>
          <w:p w:rsidR="009B0C91" w14:paraId="78FE6F87" w14:textId="77777777">
            <w:pPr>
              <w:spacing w:after="120"/>
              <w:jc w:val="center"/>
              <w:rPr>
                <w:iCs/>
                <w:kern w:val="0"/>
                <w:sz w:val="20"/>
              </w:rPr>
            </w:pPr>
            <w:r>
              <w:rPr>
                <w:iCs/>
                <w:kern w:val="0"/>
                <w:sz w:val="20"/>
              </w:rPr>
              <w:t>633</w:t>
            </w:r>
          </w:p>
        </w:tc>
        <w:tc>
          <w:tcPr>
            <w:tcW w:w="990" w:type="dxa"/>
            <w:tcBorders>
              <w:top w:val="single" w:sz="4" w:space="0" w:color="auto"/>
              <w:left w:val="single" w:sz="4" w:space="0" w:color="auto"/>
              <w:bottom w:val="single" w:sz="4" w:space="0" w:color="auto"/>
              <w:right w:val="single" w:sz="4" w:space="0" w:color="auto"/>
            </w:tcBorders>
            <w:hideMark/>
          </w:tcPr>
          <w:p w:rsidR="009B0C91" w14:paraId="54097D50" w14:textId="77777777">
            <w:pPr>
              <w:spacing w:after="120"/>
              <w:jc w:val="center"/>
              <w:rPr>
                <w:iCs/>
                <w:kern w:val="0"/>
                <w:sz w:val="20"/>
              </w:rPr>
            </w:pPr>
            <w:r>
              <w:rPr>
                <w:iCs/>
                <w:kern w:val="0"/>
                <w:sz w:val="20"/>
              </w:rPr>
              <w:t>615</w:t>
            </w:r>
          </w:p>
        </w:tc>
        <w:tc>
          <w:tcPr>
            <w:tcW w:w="1530" w:type="dxa"/>
            <w:tcBorders>
              <w:top w:val="single" w:sz="4" w:space="0" w:color="auto"/>
              <w:left w:val="single" w:sz="4" w:space="0" w:color="auto"/>
              <w:bottom w:val="single" w:sz="4" w:space="0" w:color="auto"/>
              <w:right w:val="single" w:sz="4" w:space="0" w:color="auto"/>
            </w:tcBorders>
            <w:noWrap/>
            <w:hideMark/>
          </w:tcPr>
          <w:p w:rsidR="009B0C91" w14:paraId="0B1935DD" w14:textId="77777777">
            <w:pPr>
              <w:spacing w:after="120"/>
              <w:jc w:val="center"/>
              <w:rPr>
                <w:iCs/>
                <w:kern w:val="0"/>
                <w:sz w:val="20"/>
              </w:rPr>
            </w:pPr>
            <w:r>
              <w:rPr>
                <w:iCs/>
                <w:kern w:val="0"/>
                <w:sz w:val="20"/>
              </w:rPr>
              <w:t>97.16</w:t>
            </w:r>
          </w:p>
        </w:tc>
      </w:tr>
      <w:tr w14:paraId="1F5C611C" w14:textId="77777777">
        <w:tblPrEx>
          <w:tblW w:w="7650" w:type="dxa"/>
          <w:jc w:val="center"/>
          <w:tblLayout w:type="fixed"/>
          <w:tblLook w:val="04A0"/>
        </w:tblPrEx>
        <w:trPr>
          <w:trHeight w:val="255"/>
          <w:jc w:val="center"/>
        </w:trPr>
        <w:tc>
          <w:tcPr>
            <w:tcW w:w="3325" w:type="dxa"/>
            <w:tcBorders>
              <w:top w:val="single" w:sz="4" w:space="0" w:color="auto"/>
              <w:left w:val="single" w:sz="4" w:space="0" w:color="auto"/>
              <w:bottom w:val="single" w:sz="4" w:space="0" w:color="auto"/>
              <w:right w:val="single" w:sz="4" w:space="0" w:color="auto"/>
            </w:tcBorders>
            <w:noWrap/>
            <w:hideMark/>
          </w:tcPr>
          <w:p w:rsidR="009B0C91" w14:paraId="2852D6E6" w14:textId="77777777">
            <w:pPr>
              <w:spacing w:after="120"/>
              <w:rPr>
                <w:iCs/>
                <w:kern w:val="2"/>
                <w:sz w:val="20"/>
              </w:rPr>
            </w:pPr>
            <w:r>
              <w:rPr>
                <w:iCs/>
                <w:sz w:val="20"/>
              </w:rPr>
              <w:t>Wired Telecommunications Carriers</w:t>
            </w:r>
            <w:r>
              <w:rPr>
                <w:rStyle w:val="FootnoteReference"/>
                <w:iCs/>
              </w:rPr>
              <w:footnoteReference w:id="101"/>
            </w:r>
            <w:r>
              <w:rPr>
                <w:iCs/>
                <w:sz w:val="20"/>
              </w:rPr>
              <w:t xml:space="preserve"> </w:t>
            </w:r>
          </w:p>
        </w:tc>
        <w:tc>
          <w:tcPr>
            <w:tcW w:w="1800" w:type="dxa"/>
            <w:tcBorders>
              <w:top w:val="single" w:sz="4" w:space="0" w:color="auto"/>
              <w:left w:val="single" w:sz="4" w:space="0" w:color="auto"/>
              <w:bottom w:val="single" w:sz="4" w:space="0" w:color="auto"/>
              <w:right w:val="single" w:sz="4" w:space="0" w:color="auto"/>
            </w:tcBorders>
            <w:noWrap/>
            <w:hideMark/>
          </w:tcPr>
          <w:p w:rsidR="009B0C91" w14:paraId="0D0AF7F2" w14:textId="77777777">
            <w:pPr>
              <w:spacing w:after="120"/>
              <w:jc w:val="center"/>
              <w:rPr>
                <w:iCs/>
                <w:kern w:val="0"/>
                <w:sz w:val="20"/>
              </w:rPr>
            </w:pPr>
            <w:r>
              <w:rPr>
                <w:iCs/>
                <w:kern w:val="0"/>
                <w:sz w:val="20"/>
              </w:rPr>
              <w:t>4,682</w:t>
            </w:r>
          </w:p>
        </w:tc>
        <w:tc>
          <w:tcPr>
            <w:tcW w:w="990" w:type="dxa"/>
            <w:tcBorders>
              <w:top w:val="single" w:sz="4" w:space="0" w:color="auto"/>
              <w:left w:val="single" w:sz="4" w:space="0" w:color="auto"/>
              <w:bottom w:val="single" w:sz="4" w:space="0" w:color="auto"/>
              <w:right w:val="single" w:sz="4" w:space="0" w:color="auto"/>
            </w:tcBorders>
            <w:hideMark/>
          </w:tcPr>
          <w:p w:rsidR="009B0C91" w14:paraId="78D6AFD7" w14:textId="77777777">
            <w:pPr>
              <w:spacing w:after="120"/>
              <w:jc w:val="center"/>
              <w:rPr>
                <w:iCs/>
                <w:kern w:val="0"/>
                <w:sz w:val="20"/>
              </w:rPr>
            </w:pPr>
            <w:r>
              <w:rPr>
                <w:iCs/>
                <w:kern w:val="0"/>
                <w:sz w:val="20"/>
              </w:rPr>
              <w:t>4,276</w:t>
            </w:r>
          </w:p>
        </w:tc>
        <w:tc>
          <w:tcPr>
            <w:tcW w:w="1530" w:type="dxa"/>
            <w:tcBorders>
              <w:top w:val="single" w:sz="4" w:space="0" w:color="auto"/>
              <w:left w:val="single" w:sz="4" w:space="0" w:color="auto"/>
              <w:bottom w:val="single" w:sz="4" w:space="0" w:color="auto"/>
              <w:right w:val="single" w:sz="4" w:space="0" w:color="auto"/>
            </w:tcBorders>
            <w:noWrap/>
            <w:hideMark/>
          </w:tcPr>
          <w:p w:rsidR="009B0C91" w14:paraId="5F24BC65" w14:textId="77777777">
            <w:pPr>
              <w:spacing w:after="120"/>
              <w:jc w:val="center"/>
              <w:rPr>
                <w:iCs/>
                <w:kern w:val="0"/>
                <w:sz w:val="20"/>
              </w:rPr>
            </w:pPr>
            <w:r>
              <w:rPr>
                <w:iCs/>
                <w:kern w:val="0"/>
                <w:sz w:val="20"/>
              </w:rPr>
              <w:t>91.33</w:t>
            </w:r>
          </w:p>
        </w:tc>
      </w:tr>
      <w:tr w14:paraId="4284B44C" w14:textId="77777777">
        <w:tblPrEx>
          <w:tblW w:w="7650" w:type="dxa"/>
          <w:jc w:val="center"/>
          <w:tblLayout w:type="fixed"/>
          <w:tblLook w:val="04A0"/>
        </w:tblPrEx>
        <w:trPr>
          <w:trHeight w:val="255"/>
          <w:jc w:val="center"/>
        </w:trPr>
        <w:tc>
          <w:tcPr>
            <w:tcW w:w="3325" w:type="dxa"/>
            <w:tcBorders>
              <w:top w:val="single" w:sz="4" w:space="0" w:color="auto"/>
              <w:left w:val="single" w:sz="4" w:space="0" w:color="auto"/>
              <w:bottom w:val="single" w:sz="4" w:space="0" w:color="auto"/>
              <w:right w:val="single" w:sz="4" w:space="0" w:color="auto"/>
            </w:tcBorders>
            <w:noWrap/>
            <w:hideMark/>
          </w:tcPr>
          <w:p w:rsidR="009B0C91" w14:paraId="360630A9" w14:textId="77777777">
            <w:pPr>
              <w:spacing w:after="120"/>
              <w:rPr>
                <w:iCs/>
                <w:kern w:val="0"/>
                <w:sz w:val="20"/>
              </w:rPr>
            </w:pPr>
            <w:r>
              <w:rPr>
                <w:iCs/>
                <w:sz w:val="20"/>
              </w:rPr>
              <w:t>Wireless Telecommunications Carriers (except Satellite)</w:t>
            </w:r>
            <w:r>
              <w:rPr>
                <w:rStyle w:val="FootnoteReference"/>
                <w:iCs/>
              </w:rPr>
              <w:footnoteReference w:id="102"/>
            </w:r>
            <w:r>
              <w:rPr>
                <w:iCs/>
                <w:sz w:val="20"/>
              </w:rPr>
              <w:t xml:space="preserve"> </w:t>
            </w:r>
          </w:p>
        </w:tc>
        <w:tc>
          <w:tcPr>
            <w:tcW w:w="1800" w:type="dxa"/>
            <w:tcBorders>
              <w:top w:val="single" w:sz="4" w:space="0" w:color="auto"/>
              <w:left w:val="single" w:sz="4" w:space="0" w:color="auto"/>
              <w:bottom w:val="single" w:sz="4" w:space="0" w:color="auto"/>
              <w:right w:val="single" w:sz="4" w:space="0" w:color="auto"/>
            </w:tcBorders>
            <w:noWrap/>
            <w:hideMark/>
          </w:tcPr>
          <w:p w:rsidR="009B0C91" w14:paraId="268593CB" w14:textId="77777777">
            <w:pPr>
              <w:spacing w:after="120"/>
              <w:jc w:val="center"/>
              <w:rPr>
                <w:iCs/>
                <w:kern w:val="0"/>
                <w:sz w:val="20"/>
              </w:rPr>
            </w:pPr>
            <w:r>
              <w:rPr>
                <w:iCs/>
                <w:kern w:val="0"/>
                <w:sz w:val="20"/>
              </w:rPr>
              <w:t>585</w:t>
            </w:r>
          </w:p>
        </w:tc>
        <w:tc>
          <w:tcPr>
            <w:tcW w:w="990" w:type="dxa"/>
            <w:tcBorders>
              <w:top w:val="single" w:sz="4" w:space="0" w:color="auto"/>
              <w:left w:val="single" w:sz="4" w:space="0" w:color="auto"/>
              <w:bottom w:val="single" w:sz="4" w:space="0" w:color="auto"/>
              <w:right w:val="single" w:sz="4" w:space="0" w:color="auto"/>
            </w:tcBorders>
            <w:hideMark/>
          </w:tcPr>
          <w:p w:rsidR="009B0C91" w14:paraId="6D83A8C3" w14:textId="77777777">
            <w:pPr>
              <w:spacing w:after="120"/>
              <w:jc w:val="center"/>
              <w:rPr>
                <w:iCs/>
                <w:kern w:val="0"/>
                <w:sz w:val="20"/>
              </w:rPr>
            </w:pPr>
            <w:r>
              <w:rPr>
                <w:iCs/>
                <w:kern w:val="0"/>
                <w:sz w:val="20"/>
              </w:rPr>
              <w:t>498</w:t>
            </w:r>
          </w:p>
        </w:tc>
        <w:tc>
          <w:tcPr>
            <w:tcW w:w="1530" w:type="dxa"/>
            <w:tcBorders>
              <w:top w:val="single" w:sz="4" w:space="0" w:color="auto"/>
              <w:left w:val="single" w:sz="4" w:space="0" w:color="auto"/>
              <w:bottom w:val="single" w:sz="4" w:space="0" w:color="auto"/>
              <w:right w:val="single" w:sz="4" w:space="0" w:color="auto"/>
            </w:tcBorders>
            <w:noWrap/>
            <w:hideMark/>
          </w:tcPr>
          <w:p w:rsidR="009B0C91" w14:paraId="6EEE2EC2" w14:textId="77777777">
            <w:pPr>
              <w:spacing w:after="120"/>
              <w:jc w:val="center"/>
              <w:rPr>
                <w:iCs/>
                <w:kern w:val="0"/>
                <w:sz w:val="20"/>
              </w:rPr>
            </w:pPr>
            <w:r>
              <w:rPr>
                <w:iCs/>
                <w:kern w:val="0"/>
                <w:sz w:val="20"/>
              </w:rPr>
              <w:t>85.13</w:t>
            </w:r>
          </w:p>
        </w:tc>
      </w:tr>
      <w:bookmarkEnd w:id="50"/>
    </w:tbl>
    <w:p w:rsidR="00AE76C0" w:rsidRPr="003065CA" w:rsidP="009B0C91" w14:paraId="59180993" w14:textId="77777777">
      <w:pPr>
        <w:pStyle w:val="ParaNum"/>
        <w:numPr>
          <w:ilvl w:val="0"/>
          <w:numId w:val="0"/>
        </w:numPr>
        <w:spacing w:after="240"/>
        <w:ind w:right="720"/>
        <w:rPr>
          <w:rFonts w:ascii="Times New Roman Bold" w:hAnsi="Times New Roman Bold"/>
          <w:b/>
          <w:bCs/>
        </w:rPr>
      </w:pPr>
    </w:p>
    <w:p w:rsidR="0032770E" w:rsidRPr="00D52BAF" w:rsidP="002316F4" w14:paraId="4233D485" w14:textId="777ABB09">
      <w:pPr>
        <w:pStyle w:val="Heading2"/>
      </w:pPr>
      <w:bookmarkStart w:id="51" w:name="_Toc474532764"/>
      <w:bookmarkStart w:id="52" w:name="_Toc474534430"/>
      <w:bookmarkStart w:id="53" w:name="_Toc474752057"/>
      <w:bookmarkStart w:id="54" w:name="_Toc474947297"/>
      <w:bookmarkStart w:id="55" w:name="_Toc475028097"/>
      <w:bookmarkStart w:id="56" w:name="_Toc475537260"/>
      <w:bookmarkStart w:id="57" w:name="_Toc475899460"/>
      <w:bookmarkStart w:id="58" w:name="_Toc477805792"/>
      <w:bookmarkStart w:id="59" w:name="_Toc477954226"/>
      <w:bookmarkEnd w:id="48"/>
      <w:r w:rsidRPr="00DD0E0C">
        <w:t xml:space="preserve">Description of </w:t>
      </w:r>
      <w:r>
        <w:t xml:space="preserve">Economic Impact and </w:t>
      </w:r>
      <w:r w:rsidRPr="00DD0E0C">
        <w:t xml:space="preserve">Projected Reporting, Recordkeeping, and Other Compliance Requirements </w:t>
      </w:r>
      <w:bookmarkStart w:id="60" w:name="_Hlk60678243"/>
      <w:r w:rsidRPr="00DD0E0C">
        <w:t>for Small Entities</w:t>
      </w:r>
      <w:bookmarkEnd w:id="51"/>
      <w:bookmarkEnd w:id="52"/>
      <w:bookmarkEnd w:id="53"/>
      <w:bookmarkEnd w:id="54"/>
      <w:bookmarkEnd w:id="55"/>
      <w:bookmarkEnd w:id="56"/>
      <w:bookmarkEnd w:id="57"/>
      <w:bookmarkEnd w:id="58"/>
      <w:bookmarkEnd w:id="59"/>
      <w:r w:rsidRPr="00DD0E0C">
        <w:t xml:space="preserve"> </w:t>
      </w:r>
      <w:bookmarkEnd w:id="60"/>
    </w:p>
    <w:p w:rsidR="00FF2D7E" w:rsidRPr="003B2E20" w:rsidP="005D104D" w14:paraId="49668A36" w14:textId="77777777">
      <w:pPr>
        <w:pStyle w:val="ParaNum"/>
        <w:numPr>
          <w:ilvl w:val="0"/>
          <w:numId w:val="18"/>
        </w:numPr>
        <w:tabs>
          <w:tab w:val="clear" w:pos="1080"/>
        </w:tabs>
        <w:spacing w:after="240"/>
        <w:rPr>
          <w:caps/>
        </w:rPr>
      </w:pPr>
      <w:r w:rsidRPr="00BF5381">
        <w:rPr>
          <w:szCs w:val="22"/>
        </w:rPr>
        <w:t>The RFA directs agencies to describe the economic impact of proposed rules on small entities, as well as projected reporting, recordkeeping and other compliance requirements, including an estimate of the classes of small entities which will be subject to the requirements and the type of professional skills necessary for preparation of the report or record.</w:t>
      </w:r>
      <w:r>
        <w:rPr>
          <w:rStyle w:val="FootnoteReference"/>
          <w:szCs w:val="22"/>
        </w:rPr>
        <w:footnoteReference w:id="103"/>
      </w:r>
      <w:r w:rsidRPr="00BF5381">
        <w:rPr>
          <w:szCs w:val="22"/>
        </w:rPr>
        <w:t xml:space="preserve"> </w:t>
      </w:r>
      <w:r>
        <w:rPr>
          <w:szCs w:val="22"/>
        </w:rPr>
        <w:t xml:space="preserve"> </w:t>
      </w:r>
      <w:r w:rsidRPr="0087264C">
        <w:rPr>
          <w:szCs w:val="22"/>
        </w:rPr>
        <w:t xml:space="preserve"> </w:t>
      </w:r>
    </w:p>
    <w:p w:rsidR="0032770E" w:rsidRPr="000D586B" w:rsidP="005D104D" w14:paraId="3C8DBB77" w14:textId="5BC671B9">
      <w:pPr>
        <w:pStyle w:val="ParaNum"/>
        <w:numPr>
          <w:ilvl w:val="0"/>
          <w:numId w:val="18"/>
        </w:numPr>
        <w:tabs>
          <w:tab w:val="clear" w:pos="1080"/>
        </w:tabs>
        <w:spacing w:after="240"/>
        <w:rPr>
          <w:caps/>
        </w:rPr>
      </w:pPr>
      <w:r>
        <w:t xml:space="preserve">The </w:t>
      </w:r>
      <w:r w:rsidRPr="005D104D">
        <w:t>Public Notice</w:t>
      </w:r>
      <w:r>
        <w:t xml:space="preserve"> seeks comment on the specifics of the proposed 2026 Mandatory Data Collection to ensure that the Commission receives the data it needs to</w:t>
      </w:r>
      <w:r w:rsidR="00F47444">
        <w:t xml:space="preserve"> set permanent IPCS audio and video rate caps.</w:t>
      </w:r>
      <w:r>
        <w:t xml:space="preserve"> </w:t>
      </w:r>
      <w:r w:rsidR="00615C28">
        <w:t xml:space="preserve"> </w:t>
      </w:r>
      <w:r w:rsidR="00C82C8F">
        <w:t xml:space="preserve">The proposed 2026 Mandatory Data Collection would require IPCS providers to submit, among other things, data and other information on operations, company and contract information, </w:t>
      </w:r>
      <w:r w:rsidR="00C82C8F">
        <w:t xml:space="preserve">information about facilities served, revenues, </w:t>
      </w:r>
      <w:r w:rsidR="002B67AE">
        <w:t>cost allocations, IPCS-related payment processing</w:t>
      </w:r>
      <w:r w:rsidR="00C651EF">
        <w:t xml:space="preserve"> services, and other information required by the proposed instructions, templates, and certificat</w:t>
      </w:r>
      <w:r w:rsidR="0081415B">
        <w:t>ion</w:t>
      </w:r>
      <w:r w:rsidR="00C651EF">
        <w:t xml:space="preserve">.  </w:t>
      </w:r>
      <w:r w:rsidR="00F02F8D">
        <w:t xml:space="preserve">The proposed 2026 Mandatory Data Collection may require entities, including small entities and IPCS providers of all sizes, currently subject to our </w:t>
      </w:r>
      <w:r w:rsidR="0081415B">
        <w:t xml:space="preserve">IPCS </w:t>
      </w:r>
      <w:r w:rsidR="00F02F8D">
        <w:t xml:space="preserve">rules to be subject to modified or new </w:t>
      </w:r>
      <w:r w:rsidR="000F5EEE">
        <w:t xml:space="preserve">reporting or other compliance obligations.  </w:t>
      </w:r>
      <w:r w:rsidR="00671E11">
        <w:t xml:space="preserve">In assessing the cost of compliance for small entities and for </w:t>
      </w:r>
      <w:r w:rsidR="00B533AE">
        <w:t xml:space="preserve">IPCS providers of all sizes, WCB/OEA are not in a position at this time to determine whether the proposed 2026 Mandatory Data </w:t>
      </w:r>
      <w:r w:rsidR="00D53F37">
        <w:t xml:space="preserve">Collection will impose any </w:t>
      </w:r>
      <w:r w:rsidR="00BA46AD">
        <w:t>significant costs for compliance in general, or to quantify those costs.  We anticipate that the information we receive in comments</w:t>
      </w:r>
      <w:r w:rsidR="005E4DDD">
        <w:t xml:space="preserve"> </w:t>
      </w:r>
      <w:r w:rsidR="00BA46AD">
        <w:t xml:space="preserve">will help the Commission identify and evaluate relevant compliance matters for small entities, including </w:t>
      </w:r>
      <w:r w:rsidR="002E24F9">
        <w:t>compliance costs</w:t>
      </w:r>
      <w:r w:rsidR="00BD40C0">
        <w:t xml:space="preserve"> and other burdens that may result from the proposals and inquiries we make in the Public Notice.  </w:t>
      </w:r>
    </w:p>
    <w:p w:rsidR="0032770E" w:rsidP="0032770E" w14:paraId="245D912F" w14:textId="77777777">
      <w:pPr>
        <w:pStyle w:val="Heading2"/>
      </w:pPr>
      <w:bookmarkStart w:id="61" w:name="_Toc474532765"/>
      <w:bookmarkStart w:id="62" w:name="_Toc474534431"/>
      <w:bookmarkStart w:id="63" w:name="_Toc474752058"/>
      <w:bookmarkStart w:id="64" w:name="_Toc474947298"/>
      <w:bookmarkStart w:id="65" w:name="_Toc475028098"/>
      <w:bookmarkStart w:id="66" w:name="_Toc475537261"/>
      <w:bookmarkStart w:id="67" w:name="_Toc475899461"/>
      <w:bookmarkStart w:id="68" w:name="_Toc477805793"/>
      <w:bookmarkStart w:id="69" w:name="_Toc477954227"/>
      <w:r>
        <w:t xml:space="preserve">Discussion of </w:t>
      </w:r>
      <w:r w:rsidRPr="00DD0E0C">
        <w:t xml:space="preserve">Significant Alternatives Considered </w:t>
      </w:r>
      <w:r>
        <w:t xml:space="preserve">That </w:t>
      </w:r>
      <w:r w:rsidRPr="00DD0E0C">
        <w:t xml:space="preserve">Minimize the Significant Economic Impact on Small Entities </w:t>
      </w:r>
      <w:bookmarkEnd w:id="61"/>
      <w:bookmarkEnd w:id="62"/>
      <w:bookmarkEnd w:id="63"/>
      <w:bookmarkEnd w:id="64"/>
      <w:bookmarkEnd w:id="65"/>
      <w:bookmarkEnd w:id="66"/>
      <w:bookmarkEnd w:id="67"/>
      <w:bookmarkEnd w:id="68"/>
      <w:bookmarkEnd w:id="69"/>
    </w:p>
    <w:p w:rsidR="00FF2D7E" w:rsidRPr="00FF2D7E" w:rsidP="005D104D" w14:paraId="09594710" w14:textId="77777777">
      <w:pPr>
        <w:pStyle w:val="ParaNum"/>
        <w:numPr>
          <w:ilvl w:val="0"/>
          <w:numId w:val="18"/>
        </w:numPr>
        <w:tabs>
          <w:tab w:val="clear" w:pos="1080"/>
        </w:tabs>
        <w:rPr>
          <w:caps/>
        </w:rPr>
      </w:pPr>
      <w:r>
        <w:t>The</w:t>
      </w:r>
      <w:r w:rsidRPr="0097190A">
        <w:t xml:space="preserve"> RFA </w:t>
      </w:r>
      <w:r w:rsidRPr="00DD0E0C">
        <w:t xml:space="preserve">directs agencies </w:t>
      </w:r>
      <w:r w:rsidRPr="00733EAE">
        <w:rPr>
          <w:szCs w:val="22"/>
        </w:rPr>
        <w:t xml:space="preserve">to provide a description of </w:t>
      </w:r>
      <w:r w:rsidRPr="00DD0E0C">
        <w:t>any significant</w:t>
      </w:r>
      <w:r>
        <w:t xml:space="preserve"> </w:t>
      </w:r>
      <w:r w:rsidRPr="00DD0E0C">
        <w:t xml:space="preserve">alternatives </w:t>
      </w:r>
      <w:r>
        <w:t xml:space="preserve">to the </w:t>
      </w:r>
      <w:r w:rsidRPr="00DD0E0C">
        <w:t>proposed</w:t>
      </w:r>
      <w:r>
        <w:t xml:space="preserve"> rules that would accomplish the stated objectives of applicable statutes, and minimize any significant economic impact on small entities.</w:t>
      </w:r>
      <w:r>
        <w:rPr>
          <w:rStyle w:val="FootnoteReference"/>
        </w:rPr>
        <w:footnoteReference w:id="104"/>
      </w:r>
      <w:r>
        <w:t xml:space="preserve">  The discussion is required to </w:t>
      </w:r>
      <w:r w:rsidRPr="00DD0E0C">
        <w:t>include</w:t>
      </w:r>
      <w:r>
        <w:t xml:space="preserve"> </w:t>
      </w:r>
      <w:r w:rsidRPr="00DD0E0C">
        <w:t>alternatives</w:t>
      </w:r>
      <w:r>
        <w:t xml:space="preserve"> such as</w:t>
      </w:r>
      <w:r w:rsidRPr="00DD0E0C">
        <w:t>: “(1) the establishment of differing compliance or reporting requirements or timetables that take into account the resources available to small entities; (2) the clarification, consolidation, or simplification of compliance and reporting requirements under the rule for such small entities; (3) the use of performance rather than design standards; and (4) an exemption from coverage of the rule, or any part thereof, for such small entities</w:t>
      </w:r>
      <w:r>
        <w:t>.</w:t>
      </w:r>
      <w:r w:rsidRPr="00DD0E0C">
        <w:t>”</w:t>
      </w:r>
      <w:r>
        <w:rPr>
          <w:rStyle w:val="FootnoteReference"/>
          <w:szCs w:val="22"/>
        </w:rPr>
        <w:footnoteReference w:id="105"/>
      </w:r>
      <w:r>
        <w:t xml:space="preserve"> </w:t>
      </w:r>
      <w:bookmarkStart w:id="71" w:name="_Hlk94108817"/>
    </w:p>
    <w:p w:rsidR="00E87E92" w:rsidRPr="002316F4" w:rsidP="005D104D" w14:paraId="52E4C33B" w14:textId="72AAFADD">
      <w:pPr>
        <w:pStyle w:val="ParaNum"/>
        <w:numPr>
          <w:ilvl w:val="0"/>
          <w:numId w:val="18"/>
        </w:numPr>
        <w:tabs>
          <w:tab w:val="clear" w:pos="1080"/>
        </w:tabs>
        <w:rPr>
          <w:caps/>
        </w:rPr>
      </w:pPr>
      <w:r w:rsidRPr="002316F4">
        <w:t xml:space="preserve">The proposed 2026 Mandatory Data Collection is a one-time request and does not impose a recurring obligation on providers.  Because the Commission’s </w:t>
      </w:r>
      <w:r w:rsidRPr="002316F4" w:rsidR="00312593">
        <w:rPr>
          <w:i/>
          <w:iCs/>
        </w:rPr>
        <w:t>2025 IPCS Order</w:t>
      </w:r>
      <w:r w:rsidRPr="002316F4" w:rsidR="00312593">
        <w:t xml:space="preserve"> requires all IPCS providers to comply with the 202</w:t>
      </w:r>
      <w:r w:rsidR="00312593">
        <w:t>6 Mandatory Dat</w:t>
      </w:r>
      <w:r w:rsidR="007A1214">
        <w:t xml:space="preserve">a </w:t>
      </w:r>
      <w:r w:rsidR="00312593">
        <w:t>Collection,</w:t>
      </w:r>
      <w:r>
        <w:rPr>
          <w:rStyle w:val="FootnoteReference"/>
        </w:rPr>
        <w:footnoteReference w:id="106"/>
      </w:r>
      <w:r w:rsidR="007A1214">
        <w:t xml:space="preserve"> </w:t>
      </w:r>
      <w:r w:rsidR="00C7655A">
        <w:t xml:space="preserve">the collection will affect smaller as well as larger IPCS providers.  WCB/OEA have taken steps to ensure that the data collection template is competitively neutral and not unduly burdensome for any set of providers.  For example, </w:t>
      </w:r>
      <w:r w:rsidR="000D1467">
        <w:t xml:space="preserve">in </w:t>
      </w:r>
      <w:r w:rsidR="00C7655A">
        <w:t xml:space="preserve">the </w:t>
      </w:r>
      <w:r w:rsidRPr="0093386D" w:rsidR="00C7655A">
        <w:t>Public Notice</w:t>
      </w:r>
      <w:r w:rsidR="00F93222">
        <w:t>,</w:t>
      </w:r>
      <w:r w:rsidRPr="00CD329F" w:rsidR="00C7655A">
        <w:t xml:space="preserve"> </w:t>
      </w:r>
      <w:r w:rsidR="000D1467">
        <w:t xml:space="preserve">WCB/OEA </w:t>
      </w:r>
      <w:r w:rsidR="00C7655A">
        <w:t xml:space="preserve">propose to </w:t>
      </w:r>
      <w:r w:rsidR="00747808">
        <w:t xml:space="preserve">collect data for a single calendar year instead of multiple years.  </w:t>
      </w:r>
      <w:r w:rsidR="00D07B89">
        <w:t xml:space="preserve">WCB/OEA </w:t>
      </w:r>
      <w:r w:rsidR="00747808">
        <w:t>also propose to</w:t>
      </w:r>
      <w:r w:rsidR="00836037">
        <w:t xml:space="preserve"> eliminate </w:t>
      </w:r>
      <w:r w:rsidR="004638D0">
        <w:t xml:space="preserve">or streamline various reporting requirements </w:t>
      </w:r>
      <w:r w:rsidR="00614BB7">
        <w:t>that had been required in previous data collections.</w:t>
      </w:r>
      <w:r w:rsidR="00747808">
        <w:t xml:space="preserve"> </w:t>
      </w:r>
      <w:r w:rsidR="00D07B89">
        <w:t xml:space="preserve"> </w:t>
      </w:r>
      <w:r w:rsidR="00033232">
        <w:t>Additionally</w:t>
      </w:r>
      <w:r w:rsidR="00D07B89">
        <w:t>, WCB/OEA</w:t>
      </w:r>
      <w:r w:rsidR="005E4DDD">
        <w:t xml:space="preserve"> </w:t>
      </w:r>
      <w:r w:rsidR="00A375ED">
        <w:t>seek comment on whether there are additional ways to minimize the burden</w:t>
      </w:r>
      <w:r w:rsidR="00F13CD5">
        <w:t>s</w:t>
      </w:r>
      <w:r w:rsidR="00A375ED">
        <w:t xml:space="preserve"> of the data collection</w:t>
      </w:r>
      <w:r w:rsidR="00B9577F">
        <w:t xml:space="preserve"> on providers</w:t>
      </w:r>
      <w:r w:rsidR="00A375ED">
        <w:t xml:space="preserve"> while ensuring that the Commission obtains the </w:t>
      </w:r>
      <w:r w:rsidR="00B9577F">
        <w:t>data</w:t>
      </w:r>
      <w:r w:rsidR="00BF7101">
        <w:t xml:space="preserve"> needed to meet its goals</w:t>
      </w:r>
      <w:r w:rsidR="00F13CD5">
        <w:t>.</w:t>
      </w:r>
    </w:p>
    <w:p w:rsidR="0032770E" w:rsidRPr="002316F4" w:rsidP="005D104D" w14:paraId="190F7F14" w14:textId="41C9D764">
      <w:pPr>
        <w:pStyle w:val="ParaNum"/>
        <w:numPr>
          <w:ilvl w:val="0"/>
          <w:numId w:val="18"/>
        </w:numPr>
        <w:tabs>
          <w:tab w:val="clear" w:pos="1080"/>
        </w:tabs>
        <w:rPr>
          <w:caps/>
        </w:rPr>
      </w:pPr>
      <w:r>
        <w:t>WCB/OEA will consider the economic impact on small entities, as identified in comments file</w:t>
      </w:r>
      <w:r w:rsidR="003417FD">
        <w:t>d</w:t>
      </w:r>
      <w:r>
        <w:t xml:space="preserve"> in response to the </w:t>
      </w:r>
      <w:r w:rsidRPr="0093386D">
        <w:t>Public Notice</w:t>
      </w:r>
      <w:r>
        <w:t xml:space="preserve"> and this Supplemental IRFA, in reaching final conclusions</w:t>
      </w:r>
      <w:r w:rsidR="00D64A62">
        <w:t xml:space="preserve"> and finalizing </w:t>
      </w:r>
      <w:r w:rsidR="00737626">
        <w:t xml:space="preserve">the </w:t>
      </w:r>
      <w:r w:rsidR="00D64A62">
        <w:t>instructions, templates, and certification form for the proposed 2026 Mandatory Data Collection.</w:t>
      </w:r>
      <w:r w:rsidR="00747808">
        <w:t xml:space="preserve"> </w:t>
      </w:r>
      <w:bookmarkEnd w:id="71"/>
    </w:p>
    <w:p w:rsidR="0032770E" w:rsidRPr="00DD0E0C" w:rsidP="0032770E" w14:paraId="028AE5EE" w14:textId="77777777">
      <w:pPr>
        <w:pStyle w:val="Heading2"/>
      </w:pPr>
      <w:bookmarkStart w:id="72" w:name="_Toc474532766"/>
      <w:bookmarkStart w:id="73" w:name="_Toc474534432"/>
      <w:bookmarkStart w:id="74" w:name="_Toc474752059"/>
      <w:bookmarkStart w:id="75" w:name="_Toc474947299"/>
      <w:bookmarkStart w:id="76" w:name="_Toc475028099"/>
      <w:bookmarkStart w:id="77" w:name="_Toc475537262"/>
      <w:bookmarkStart w:id="78" w:name="_Toc475899462"/>
      <w:bookmarkStart w:id="79" w:name="_Toc477805794"/>
      <w:bookmarkStart w:id="80" w:name="_Toc477954228"/>
      <w:r w:rsidRPr="00DD0E0C">
        <w:t>Federal Rules that May Duplicate, Overlap, or Conflict with the Proposed Rules</w:t>
      </w:r>
      <w:bookmarkEnd w:id="72"/>
      <w:bookmarkEnd w:id="73"/>
      <w:bookmarkEnd w:id="74"/>
      <w:bookmarkEnd w:id="75"/>
      <w:bookmarkEnd w:id="76"/>
      <w:bookmarkEnd w:id="77"/>
      <w:bookmarkEnd w:id="78"/>
      <w:bookmarkEnd w:id="79"/>
      <w:bookmarkEnd w:id="80"/>
    </w:p>
    <w:p w:rsidR="0032770E" w:rsidRPr="002316F4" w:rsidP="0093386D" w14:paraId="25A38FC3" w14:textId="72FD1153">
      <w:pPr>
        <w:pStyle w:val="ParaNum"/>
        <w:keepNext/>
        <w:widowControl/>
        <w:numPr>
          <w:ilvl w:val="0"/>
          <w:numId w:val="18"/>
        </w:numPr>
        <w:tabs>
          <w:tab w:val="clear" w:pos="1080"/>
        </w:tabs>
        <w:spacing w:before="120" w:after="200" w:line="276" w:lineRule="auto"/>
        <w:rPr>
          <w:szCs w:val="22"/>
        </w:rPr>
      </w:pPr>
      <w:bookmarkStart w:id="81" w:name="_Toc351749808"/>
      <w:bookmarkStart w:id="82" w:name="_Toc351753292"/>
      <w:bookmarkStart w:id="83" w:name="_Toc351754328"/>
      <w:bookmarkStart w:id="84" w:name="_Toc353553271"/>
      <w:bookmarkStart w:id="85" w:name="_Toc353563296"/>
      <w:bookmarkStart w:id="86" w:name="_Toc354162303"/>
      <w:bookmarkStart w:id="87" w:name="_Toc354162363"/>
      <w:bookmarkStart w:id="88" w:name="_Toc354166964"/>
      <w:bookmarkStart w:id="89" w:name="_Toc354168165"/>
      <w:bookmarkStart w:id="90" w:name="_Toc355287724"/>
      <w:bookmarkStart w:id="91" w:name="_Toc355297657"/>
      <w:bookmarkStart w:id="92" w:name="_Toc356229306"/>
      <w:bookmarkStart w:id="93" w:name="_Toc356229790"/>
      <w:bookmarkStart w:id="94" w:name="_Toc356234210"/>
      <w:bookmarkStart w:id="95" w:name="_Toc356234742"/>
      <w:bookmarkStart w:id="96" w:name="_Toc356234927"/>
      <w:bookmarkStart w:id="97" w:name="_Toc356235136"/>
      <w:bookmarkStart w:id="98" w:name="_Toc356235262"/>
      <w:bookmarkStart w:id="99" w:name="_Toc356235338"/>
      <w:bookmarkStart w:id="100" w:name="_Toc356235415"/>
      <w:bookmarkStart w:id="101" w:name="_Toc356235505"/>
      <w:bookmarkStart w:id="102" w:name="_Toc356235586"/>
      <w:bookmarkStart w:id="103" w:name="_Toc356235638"/>
      <w:bookmarkStart w:id="104" w:name="_Toc356235714"/>
      <w:bookmarkStart w:id="105" w:name="_Toc356296775"/>
      <w:bookmarkStart w:id="106" w:name="_Toc356296906"/>
      <w:bookmarkStart w:id="107" w:name="_Toc356297013"/>
      <w:bookmarkStart w:id="108" w:name="_Toc356297072"/>
      <w:bookmarkStart w:id="109" w:name="_Toc356297190"/>
      <w:bookmarkStart w:id="110" w:name="_Toc356297242"/>
      <w:bookmarkStart w:id="111" w:name="_Toc356297327"/>
      <w:bookmarkStart w:id="112" w:name="_Toc356297951"/>
      <w:bookmarkStart w:id="113" w:name="_Toc356298110"/>
      <w:bookmarkStart w:id="114" w:name="_Toc356298375"/>
      <w:bookmarkStart w:id="115" w:name="_Toc356298548"/>
      <w:bookmarkStart w:id="116" w:name="_Toc356414489"/>
      <w:bookmarkStart w:id="117" w:name="_Toc358018571"/>
      <w:bookmarkStart w:id="118" w:name="_Toc359408111"/>
      <w:bookmarkStart w:id="119" w:name="_Toc359412281"/>
      <w:bookmarkStart w:id="120" w:name="_Toc359510829"/>
      <w:bookmarkStart w:id="121" w:name="_Toc359859162"/>
      <w:bookmarkStart w:id="122" w:name="_Toc359867643"/>
      <w:bookmarkStart w:id="123" w:name="_Toc359867715"/>
      <w:bookmarkStart w:id="124" w:name="_Toc359927960"/>
      <w:bookmarkStart w:id="125" w:name="_Toc359928916"/>
      <w:bookmarkStart w:id="126" w:name="_Toc360003277"/>
      <w:bookmarkStart w:id="127" w:name="_Toc360030545"/>
      <w:bookmarkStart w:id="128" w:name="_Toc360043884"/>
      <w:bookmarkStart w:id="129" w:name="_Toc360099357"/>
      <w:bookmarkStart w:id="130" w:name="_Toc360125738"/>
      <w:bookmarkStart w:id="131" w:name="_Toc360199877"/>
      <w:bookmarkStart w:id="132" w:name="_Toc362002200"/>
      <w:bookmarkStart w:id="133" w:name="_Toc362030719"/>
      <w:bookmarkStart w:id="134" w:name="_Toc362271743"/>
      <w:bookmarkStart w:id="135" w:name="_Toc362281508"/>
      <w:bookmarkStart w:id="136" w:name="_Toc362350630"/>
      <w:bookmarkStart w:id="137" w:name="_Toc362350944"/>
      <w:bookmarkStart w:id="138" w:name="_Toc362356407"/>
      <w:bookmarkStart w:id="139" w:name="_Toc467489475"/>
      <w:bookmarkStart w:id="140" w:name="_Toc467497781"/>
      <w:bookmarkStart w:id="141" w:name="_Toc467498423"/>
      <w:bookmarkStart w:id="142" w:name="_Toc467508750"/>
      <w:bookmarkStart w:id="143" w:name="_Toc467584160"/>
      <w:bookmarkStart w:id="144" w:name="_Toc467672076"/>
      <w:bookmarkStart w:id="145" w:name="_Toc468089579"/>
      <w:bookmarkStart w:id="146" w:name="_Toc468089963"/>
      <w:bookmarkStart w:id="147" w:name="_Toc469075365"/>
      <w:bookmarkStart w:id="148" w:name="_Toc469075940"/>
      <w:bookmarkStart w:id="149" w:name="_Toc469296268"/>
      <w:bookmarkStart w:id="150" w:name="_Toc469299344"/>
      <w:bookmarkStart w:id="151" w:name="_Toc469299871"/>
      <w:bookmarkStart w:id="152" w:name="_Toc501524501"/>
      <w:bookmarkStart w:id="153" w:name="_Toc503878845"/>
      <w:bookmarkStart w:id="154" w:name="_Toc506220566"/>
      <w:bookmarkStart w:id="155" w:name="_Toc512006180"/>
      <w:bookmarkStart w:id="156" w:name="_Toc514677042"/>
      <w:bookmarkStart w:id="157" w:name="_Toc514942402"/>
      <w:bookmarkStart w:id="158" w:name="start_from_here"/>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r w:rsidRPr="002316F4">
        <w:t>None.</w:t>
      </w:r>
    </w:p>
    <w:p w:rsidR="0032770E" w:rsidRPr="004E687B" w:rsidP="004E687B" w14:paraId="4626E144" w14:textId="77777777">
      <w:pPr>
        <w:rPr>
          <w:b/>
        </w:rPr>
      </w:pPr>
    </w:p>
    <w:sectPr w:rsidSect="006B4D9C">
      <w:headerReference w:type="first" r:id="rId16"/>
      <w:footnotePr>
        <w:numRestart w:val="eachSect"/>
      </w:footnotePr>
      <w:endnotePr>
        <w:numFmt w:val="decimal"/>
      </w:endnotePr>
      <w:type w:val="continuous"/>
      <w:pgSz w:w="12240" w:h="15840"/>
      <w:pgMar w:top="1440" w:right="1440" w:bottom="720" w:left="1440" w:header="63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6E7282" w14:paraId="6DEE101F" w14:textId="77777777">
      <w:pPr>
        <w:spacing w:line="20" w:lineRule="exact"/>
      </w:pPr>
    </w:p>
  </w:endnote>
  <w:endnote w:type="continuationSeparator" w:id="1">
    <w:p w:rsidR="006E7282" w14:paraId="0CA1375E" w14:textId="77777777">
      <w:r>
        <w:t xml:space="preserve"> </w:t>
      </w:r>
    </w:p>
  </w:endnote>
  <w:endnote w:type="continuationNotice" w:id="2">
    <w:p w:rsidR="006E7282" w14:paraId="69438482"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F5ED323"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53D6CB8B"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1D0F7DF"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22977" w14:paraId="01CF9D1B" w14:textId="0A3EB20E">
    <w:pPr>
      <w:pStyle w:val="Footer"/>
      <w:jc w:val="center"/>
    </w:pPr>
  </w:p>
  <w:p w:rsidR="00BA3BA8" w14:paraId="74798607"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6E7282" w14:paraId="36730D1F" w14:textId="77777777">
      <w:r>
        <w:separator/>
      </w:r>
    </w:p>
  </w:footnote>
  <w:footnote w:type="continuationSeparator" w:id="1">
    <w:p w:rsidR="006E7282" w14:paraId="6B626411" w14:textId="77777777">
      <w:pPr>
        <w:rPr>
          <w:sz w:val="20"/>
        </w:rPr>
      </w:pPr>
      <w:r>
        <w:rPr>
          <w:sz w:val="20"/>
        </w:rPr>
        <w:t xml:space="preserve">(Continued from previous page)  </w:t>
      </w:r>
      <w:r>
        <w:rPr>
          <w:sz w:val="20"/>
        </w:rPr>
        <w:separator/>
      </w:r>
    </w:p>
  </w:footnote>
  <w:footnote w:type="continuationNotice" w:id="2">
    <w:p w:rsidR="006E7282" w14:paraId="4B1CE356" w14:textId="77777777">
      <w:pPr>
        <w:jc w:val="right"/>
        <w:rPr>
          <w:sz w:val="20"/>
        </w:rPr>
      </w:pPr>
      <w:r>
        <w:rPr>
          <w:sz w:val="20"/>
        </w:rPr>
        <w:t>(continued….)</w:t>
      </w:r>
    </w:p>
  </w:footnote>
  <w:footnote w:id="3">
    <w:p w:rsidR="00C21535" w14:paraId="408CDC82" w14:textId="0E50F834">
      <w:pPr>
        <w:pStyle w:val="FootnoteText"/>
      </w:pPr>
      <w:r>
        <w:rPr>
          <w:rStyle w:val="FootnoteReference"/>
        </w:rPr>
        <w:footnoteRef/>
      </w:r>
      <w:r>
        <w:t xml:space="preserve"> </w:t>
      </w:r>
      <w:r w:rsidRPr="0005535D">
        <w:rPr>
          <w:i/>
          <w:iCs/>
        </w:rPr>
        <w:t>Incarcerated People’s Communications Services</w:t>
      </w:r>
      <w:r w:rsidRPr="0049397B">
        <w:t>;</w:t>
      </w:r>
      <w:r w:rsidRPr="0005535D">
        <w:rPr>
          <w:i/>
          <w:iCs/>
        </w:rPr>
        <w:t xml:space="preserve"> Implementation of the Martha Wright-Reed Act</w:t>
      </w:r>
      <w:r w:rsidRPr="0049397B">
        <w:t>;</w:t>
      </w:r>
      <w:r>
        <w:rPr>
          <w:i/>
          <w:iCs/>
        </w:rPr>
        <w:t xml:space="preserve"> Rates for Interstate Inmate Calling Services</w:t>
      </w:r>
      <w:r>
        <w:t>, WC Docket Nos. 23-62 and</w:t>
      </w:r>
      <w:r w:rsidR="002F1A9E">
        <w:t xml:space="preserve"> </w:t>
      </w:r>
      <w:r>
        <w:t>12-375, Report and Order, Order on Reconsideration, and Further Notice of Proposed Rulemaking, FCC 25-75 at 40, para. 81 (2025) (</w:t>
      </w:r>
      <w:r>
        <w:rPr>
          <w:i/>
          <w:iCs/>
        </w:rPr>
        <w:t xml:space="preserve">2025 IPCS </w:t>
      </w:r>
      <w:r w:rsidRPr="004F0EED">
        <w:rPr>
          <w:i/>
          <w:iCs/>
        </w:rPr>
        <w:t>Order</w:t>
      </w:r>
      <w:r>
        <w:rPr>
          <w:i/>
          <w:iCs/>
        </w:rPr>
        <w:t xml:space="preserve"> </w:t>
      </w:r>
      <w:r>
        <w:t xml:space="preserve">or </w:t>
      </w:r>
      <w:r>
        <w:rPr>
          <w:i/>
          <w:iCs/>
        </w:rPr>
        <w:t xml:space="preserve">2025 IPCS </w:t>
      </w:r>
      <w:r w:rsidRPr="005F5A73">
        <w:rPr>
          <w:i/>
          <w:iCs/>
        </w:rPr>
        <w:t>Notice</w:t>
      </w:r>
      <w:r>
        <w:t xml:space="preserve">); </w:t>
      </w:r>
      <w:r w:rsidRPr="0005535D">
        <w:rPr>
          <w:i/>
          <w:iCs/>
        </w:rPr>
        <w:t>Incarcerated People’s Communications Services</w:t>
      </w:r>
      <w:r w:rsidRPr="0049397B">
        <w:t>;</w:t>
      </w:r>
      <w:r w:rsidRPr="0005535D">
        <w:rPr>
          <w:i/>
          <w:iCs/>
        </w:rPr>
        <w:t xml:space="preserve"> Implementation of the Martha Wright-Reed Act</w:t>
      </w:r>
      <w:r w:rsidRPr="0049397B">
        <w:t>;</w:t>
      </w:r>
      <w:r>
        <w:rPr>
          <w:i/>
          <w:iCs/>
        </w:rPr>
        <w:t xml:space="preserve"> Rates for Interstate Inmate Calling Services</w:t>
      </w:r>
      <w:r>
        <w:t>, WC Docket Nos. 23-62 and</w:t>
      </w:r>
      <w:r w:rsidR="00B2705A">
        <w:t xml:space="preserve"> </w:t>
      </w:r>
      <w:r>
        <w:t xml:space="preserve">12-375, Report and Order, Order on Reconsideration, Clarification and Waiver, and Further Notice of Proposed Rulemaking, 39 FCC Rcd 7647, 7944-45, para. 573 </w:t>
      </w:r>
      <w:r w:rsidR="00BC6E37">
        <w:t xml:space="preserve">(2024) </w:t>
      </w:r>
      <w:r>
        <w:t>(</w:t>
      </w:r>
      <w:r>
        <w:rPr>
          <w:i/>
          <w:iCs/>
        </w:rPr>
        <w:t xml:space="preserve">2024 IPCS </w:t>
      </w:r>
      <w:r w:rsidRPr="00A16503">
        <w:rPr>
          <w:i/>
          <w:iCs/>
        </w:rPr>
        <w:t>Order</w:t>
      </w:r>
      <w:r>
        <w:t>).</w:t>
      </w:r>
    </w:p>
  </w:footnote>
  <w:footnote w:id="4">
    <w:p w:rsidR="00702C56" w:rsidRPr="0005535D" w:rsidP="00702C56" w14:paraId="745D2D19" w14:textId="656F7E0A">
      <w:pPr>
        <w:pStyle w:val="FootnoteText"/>
        <w:rPr>
          <w:highlight w:val="yellow"/>
        </w:rPr>
      </w:pPr>
      <w:r w:rsidRPr="00AF713C">
        <w:rPr>
          <w:rStyle w:val="FootnoteReference"/>
          <w:sz w:val="20"/>
        </w:rPr>
        <w:footnoteRef/>
      </w:r>
      <w:r>
        <w:t xml:space="preserve"> </w:t>
      </w:r>
      <w:r w:rsidR="00391875">
        <w:rPr>
          <w:i/>
          <w:iCs/>
        </w:rPr>
        <w:t>2025 IPCS Order</w:t>
      </w:r>
      <w:r w:rsidR="00E00D47">
        <w:t xml:space="preserve"> at </w:t>
      </w:r>
      <w:r w:rsidR="004F0EED">
        <w:t>40, para. 81</w:t>
      </w:r>
      <w:r w:rsidR="00FF4442">
        <w:t xml:space="preserve">; 47 U.S.C. § 276(b)(1)(A); </w:t>
      </w:r>
      <w:r w:rsidRPr="00620A54">
        <w:t>Martha Wright-Reed Just and Reasonable Communications Act of 2022, Pub. L. No. 117-338, 136 Stat. 6156 (Martha Wright-Reed Act)</w:t>
      </w:r>
      <w:r>
        <w:t xml:space="preserve">.  </w:t>
      </w:r>
    </w:p>
  </w:footnote>
  <w:footnote w:id="5">
    <w:p w:rsidR="00702C56" w:rsidP="00702C56" w14:paraId="2A611EE9" w14:textId="12E56898">
      <w:pPr>
        <w:pStyle w:val="FootnoteText"/>
      </w:pPr>
      <w:r w:rsidRPr="0049397B">
        <w:rPr>
          <w:rStyle w:val="FootnoteReference"/>
          <w:sz w:val="20"/>
        </w:rPr>
        <w:footnoteRef/>
      </w:r>
      <w:r>
        <w:t xml:space="preserve"> </w:t>
      </w:r>
      <w:r w:rsidR="00F756EE">
        <w:rPr>
          <w:i/>
          <w:iCs/>
        </w:rPr>
        <w:t>2025 IPCS Notice</w:t>
      </w:r>
      <w:r w:rsidR="00F756EE">
        <w:t xml:space="preserve"> at 44</w:t>
      </w:r>
      <w:r w:rsidR="006042C4">
        <w:t>-54</w:t>
      </w:r>
      <w:r w:rsidR="00F756EE">
        <w:t>, paras. 9</w:t>
      </w:r>
      <w:r w:rsidR="006042C4">
        <w:t>0</w:t>
      </w:r>
      <w:r w:rsidR="00F756EE">
        <w:t xml:space="preserve">-117.  </w:t>
      </w:r>
      <w:r>
        <w:t xml:space="preserve">As explained in the </w:t>
      </w:r>
      <w:r w:rsidRPr="00C61BB4">
        <w:rPr>
          <w:i/>
          <w:iCs/>
        </w:rPr>
        <w:t>2021 ICS Order</w:t>
      </w:r>
      <w:r>
        <w:t>, the purpose of a data collection is to provide the Commission with sufficient information to resolve various issues it is considering as part of a rulemaking.</w:t>
      </w:r>
      <w:r w:rsidR="00493DC8">
        <w:t xml:space="preserve"> </w:t>
      </w:r>
      <w:r w:rsidR="00493DC8">
        <w:rPr>
          <w:i/>
          <w:iCs/>
        </w:rPr>
        <w:t xml:space="preserve"> Rate</w:t>
      </w:r>
      <w:r w:rsidR="00F756EE">
        <w:rPr>
          <w:i/>
          <w:iCs/>
        </w:rPr>
        <w:t>s</w:t>
      </w:r>
      <w:r w:rsidR="00493DC8">
        <w:rPr>
          <w:i/>
          <w:iCs/>
        </w:rPr>
        <w:t xml:space="preserve"> for Interstate Inmate Calling Services</w:t>
      </w:r>
      <w:r w:rsidR="00493DC8">
        <w:t>, WC Docket No. 12-375, Third Report and Order, Order on Reconsideration</w:t>
      </w:r>
      <w:r w:rsidR="00A703DC">
        <w:t xml:space="preserve">, and Fifth Further Notice of Proposed Rulemaking, 36 FCC Rcd </w:t>
      </w:r>
      <w:r w:rsidR="00E97FC5">
        <w:t>9519,</w:t>
      </w:r>
      <w:r>
        <w:t xml:space="preserve"> 9618-19, paras. 218, 221</w:t>
      </w:r>
      <w:r w:rsidR="00375ADB">
        <w:t xml:space="preserve"> (2021)</w:t>
      </w:r>
      <w:r w:rsidR="005C5849">
        <w:t xml:space="preserve"> (</w:t>
      </w:r>
      <w:r w:rsidR="005C5849">
        <w:rPr>
          <w:i/>
          <w:iCs/>
        </w:rPr>
        <w:t>2021 ICS Order</w:t>
      </w:r>
      <w:r w:rsidR="005C5849">
        <w:t>)</w:t>
      </w:r>
      <w:r w:rsidR="00F756EE">
        <w:t>.</w:t>
      </w:r>
      <w:r w:rsidR="00E97FC5">
        <w:t xml:space="preserve"> </w:t>
      </w:r>
    </w:p>
  </w:footnote>
  <w:footnote w:id="6">
    <w:p w:rsidR="00DD0A3D" w:rsidP="00DD0A3D" w14:paraId="3EF0EB36" w14:textId="74812D37">
      <w:pPr>
        <w:pStyle w:val="FootnoteText"/>
      </w:pPr>
      <w:r w:rsidRPr="00AF713C">
        <w:rPr>
          <w:rStyle w:val="FootnoteReference"/>
          <w:sz w:val="20"/>
        </w:rPr>
        <w:footnoteRef/>
      </w:r>
      <w:r>
        <w:t xml:space="preserve"> </w:t>
      </w:r>
      <w:r w:rsidRPr="0049397B" w:rsidR="00F11001">
        <w:rPr>
          <w:i/>
        </w:rPr>
        <w:t>See</w:t>
      </w:r>
      <w:r w:rsidR="00853BD7">
        <w:rPr>
          <w:i/>
        </w:rPr>
        <w:t xml:space="preserve"> infra</w:t>
      </w:r>
      <w:r w:rsidRPr="0049397B" w:rsidR="00F11001">
        <w:rPr>
          <w:i/>
        </w:rPr>
        <w:t xml:space="preserve"> </w:t>
      </w:r>
      <w:r w:rsidR="00F11001">
        <w:t>App</w:t>
      </w:r>
      <w:r w:rsidR="005C170A">
        <w:t>endi</w:t>
      </w:r>
      <w:r w:rsidR="00F11001">
        <w:t xml:space="preserve">x A.  </w:t>
      </w:r>
      <w:r w:rsidRPr="006F5386">
        <w:t xml:space="preserve">The </w:t>
      </w:r>
      <w:r w:rsidR="0054200C">
        <w:t>proposed</w:t>
      </w:r>
      <w:r w:rsidRPr="006F5386">
        <w:t xml:space="preserve"> instructions and </w:t>
      </w:r>
      <w:r w:rsidRPr="00EE69A2">
        <w:t>template</w:t>
      </w:r>
      <w:r w:rsidR="00127F83">
        <w:t>s</w:t>
      </w:r>
      <w:r w:rsidRPr="00EE69A2">
        <w:t xml:space="preserve"> are </w:t>
      </w:r>
      <w:r>
        <w:t>posted on the Commission’s website.  The template</w:t>
      </w:r>
      <w:r w:rsidR="00127F83">
        <w:t>s</w:t>
      </w:r>
      <w:r>
        <w:t xml:space="preserve"> consist of a Word document and Excel spreadsheets.  </w:t>
      </w:r>
      <w:r w:rsidR="00EE49A1">
        <w:t>We</w:t>
      </w:r>
      <w:r>
        <w:t xml:space="preserve"> refer to these respective template</w:t>
      </w:r>
      <w:r w:rsidR="00EE49A1">
        <w:t>s</w:t>
      </w:r>
      <w:r>
        <w:t xml:space="preserve"> as the Word template and the Excel template.</w:t>
      </w:r>
    </w:p>
  </w:footnote>
  <w:footnote w:id="7">
    <w:p w:rsidR="008C384F" w14:paraId="0D315B05" w14:textId="3646D2FC">
      <w:pPr>
        <w:pStyle w:val="FootnoteText"/>
      </w:pPr>
      <w:r>
        <w:rPr>
          <w:rStyle w:val="FootnoteReference"/>
        </w:rPr>
        <w:footnoteRef/>
      </w:r>
      <w:r>
        <w:t xml:space="preserve"> 47 U.S.C. § 276(b)(1)(A). </w:t>
      </w:r>
    </w:p>
  </w:footnote>
  <w:footnote w:id="8">
    <w:p w:rsidR="00404DE5" w14:paraId="473AFA49" w14:textId="36C7E3ED">
      <w:pPr>
        <w:pStyle w:val="FootnoteText"/>
      </w:pPr>
      <w:r>
        <w:rPr>
          <w:rStyle w:val="FootnoteReference"/>
        </w:rPr>
        <w:footnoteRef/>
      </w:r>
      <w:r>
        <w:t xml:space="preserve"> </w:t>
      </w:r>
      <w:r w:rsidRPr="003B2E20" w:rsidR="005F5EE8">
        <w:rPr>
          <w:i/>
          <w:iCs/>
        </w:rPr>
        <w:t>See</w:t>
      </w:r>
      <w:r w:rsidR="005F5EE8">
        <w:t xml:space="preserve"> </w:t>
      </w:r>
      <w:r w:rsidRPr="00BA1177" w:rsidR="00BA1177">
        <w:rPr>
          <w:i/>
          <w:iCs/>
        </w:rPr>
        <w:t>Incarcerated People’s Communications Services</w:t>
      </w:r>
      <w:r w:rsidRPr="00BA1177" w:rsidR="00BA1177">
        <w:t>;</w:t>
      </w:r>
      <w:r w:rsidRPr="00BA1177" w:rsidR="00BA1177">
        <w:rPr>
          <w:i/>
          <w:iCs/>
        </w:rPr>
        <w:t xml:space="preserve"> Implementation of the Martha Wright-Reed Act</w:t>
      </w:r>
      <w:r w:rsidRPr="00BA1177" w:rsidR="00BA1177">
        <w:t>;</w:t>
      </w:r>
      <w:r w:rsidRPr="00BA1177" w:rsidR="00BA1177">
        <w:rPr>
          <w:i/>
          <w:iCs/>
        </w:rPr>
        <w:t xml:space="preserve"> Rates for Interstate Inmate Calling Services</w:t>
      </w:r>
      <w:r w:rsidRPr="00BA1177" w:rsidR="00BA1177">
        <w:t>, WC Docket Nos. 23-62 and 12-375, Order, 3</w:t>
      </w:r>
      <w:r w:rsidR="00C35B2D">
        <w:t>8</w:t>
      </w:r>
      <w:r w:rsidRPr="00BA1177" w:rsidR="00BA1177">
        <w:t xml:space="preserve"> FCC Rcd </w:t>
      </w:r>
      <w:r w:rsidR="00C35B2D">
        <w:t>6625 (</w:t>
      </w:r>
      <w:r w:rsidR="000C6255">
        <w:t xml:space="preserve">WCB/OEA </w:t>
      </w:r>
      <w:r w:rsidR="00C35B2D">
        <w:t>2023)</w:t>
      </w:r>
      <w:r w:rsidR="000C6255">
        <w:t xml:space="preserve"> (</w:t>
      </w:r>
      <w:r w:rsidRPr="003B2E20" w:rsidR="000C6255">
        <w:rPr>
          <w:i/>
          <w:iCs/>
        </w:rPr>
        <w:t>2023 Mandatory Data Collection Order</w:t>
      </w:r>
      <w:r w:rsidR="000C6255">
        <w:t>)</w:t>
      </w:r>
      <w:r w:rsidR="00C35B2D">
        <w:t>.</w:t>
      </w:r>
    </w:p>
  </w:footnote>
  <w:footnote w:id="9">
    <w:p w:rsidR="005F19E2" w14:paraId="2506922B" w14:textId="186D374F">
      <w:pPr>
        <w:pStyle w:val="FootnoteText"/>
      </w:pPr>
      <w:r>
        <w:rPr>
          <w:rStyle w:val="FootnoteReference"/>
        </w:rPr>
        <w:footnoteRef/>
      </w:r>
      <w:r>
        <w:t xml:space="preserve"> Securus Technologies, LLC Comments, WC Docket Nos. 23-62 and 12-375, at 25-26 (filed </w:t>
      </w:r>
      <w:r w:rsidR="008E3AD6">
        <w:t>Feb. 3, 2026)</w:t>
      </w:r>
      <w:r w:rsidR="00C91F09">
        <w:t xml:space="preserve"> (Securus Feb. 3, 2026 Comments)</w:t>
      </w:r>
      <w:r w:rsidR="008E3AD6">
        <w:t>; Global Tel*Link Corporation d/b/a ViaPath Technologies Reply, WC Docket Nos. 23-62 and 12-375, at 10</w:t>
      </w:r>
      <w:r w:rsidR="00C91F09">
        <w:t xml:space="preserve"> (filed Mar. 5, 2026) (ViaPath Mar. 5, 2026 Reply)</w:t>
      </w:r>
      <w:r w:rsidR="003E3582">
        <w:t xml:space="preserve"> (arguing that the Commission should “reject calls to expand the data collection beyond” what is appropriate in light of the Martha Wright-Reed Act and should work to simplify the cost reporting process)</w:t>
      </w:r>
      <w:r w:rsidR="00C91F09">
        <w:t xml:space="preserve">.  </w:t>
      </w:r>
    </w:p>
  </w:footnote>
  <w:footnote w:id="10">
    <w:p w:rsidR="00EA21BB" w14:paraId="69E08A79" w14:textId="23685093">
      <w:pPr>
        <w:pStyle w:val="FootnoteText"/>
      </w:pPr>
      <w:r>
        <w:rPr>
          <w:rStyle w:val="FootnoteReference"/>
        </w:rPr>
        <w:footnoteRef/>
      </w:r>
      <w:r>
        <w:t xml:space="preserve"> Securus </w:t>
      </w:r>
      <w:r w:rsidR="009633BB">
        <w:t>Feb. 3, 2026 Comme</w:t>
      </w:r>
      <w:r w:rsidR="00BB4A45">
        <w:t>n</w:t>
      </w:r>
      <w:r w:rsidR="009633BB">
        <w:t xml:space="preserve">ts at 26.  </w:t>
      </w:r>
    </w:p>
  </w:footnote>
  <w:footnote w:id="11">
    <w:p w:rsidR="00BB4A45" w14:paraId="41201290" w14:textId="75367717">
      <w:pPr>
        <w:pStyle w:val="FootnoteText"/>
      </w:pPr>
      <w:r>
        <w:rPr>
          <w:rStyle w:val="FootnoteReference"/>
        </w:rPr>
        <w:footnoteRef/>
      </w:r>
      <w:r>
        <w:t xml:space="preserve"> </w:t>
      </w:r>
      <w:r w:rsidRPr="004D649D" w:rsidR="001E57B0">
        <w:rPr>
          <w:i/>
          <w:iCs/>
        </w:rPr>
        <w:t>Id</w:t>
      </w:r>
      <w:r w:rsidR="001E57B0">
        <w:t>.</w:t>
      </w:r>
      <w:r>
        <w:t xml:space="preserve">  </w:t>
      </w:r>
    </w:p>
  </w:footnote>
  <w:footnote w:id="12">
    <w:p w:rsidR="008B6ADA" w14:paraId="33B5F212" w14:textId="25AD4A70">
      <w:pPr>
        <w:pStyle w:val="FootnoteText"/>
      </w:pPr>
      <w:r>
        <w:rPr>
          <w:rStyle w:val="FootnoteReference"/>
        </w:rPr>
        <w:footnoteRef/>
      </w:r>
      <w:r>
        <w:t xml:space="preserve"> </w:t>
      </w:r>
      <w:r w:rsidR="00344F8C">
        <w:t>Global Tel*Link Corporation d/b/a ViaPath Technologies Comments, WC Docket Nos. 23-62 and 12-375, at 3-</w:t>
      </w:r>
      <w:r w:rsidR="00AC0A9B">
        <w:t xml:space="preserve">4 (filed Feb. 3, 2026) (ViaPath Feb. 3, 2026 Comments); ViaPath </w:t>
      </w:r>
      <w:r w:rsidR="00641240">
        <w:t xml:space="preserve">Mar. 5, 2026 </w:t>
      </w:r>
      <w:r w:rsidR="00AC0A9B">
        <w:t xml:space="preserve">Reply at </w:t>
      </w:r>
      <w:r w:rsidR="00343C27">
        <w:t xml:space="preserve">3-5; </w:t>
      </w:r>
      <w:r w:rsidR="001C6F9F">
        <w:t>Securus Feb. 3, 2026 Comments at 32;</w:t>
      </w:r>
      <w:r w:rsidR="004932BA">
        <w:t xml:space="preserve"> Securus Technologies, LLC Reply, WC Docket Nos. 23-62 and 12-375, at </w:t>
      </w:r>
      <w:r w:rsidR="006A6528">
        <w:t xml:space="preserve">16-20 (filed </w:t>
      </w:r>
      <w:r w:rsidR="003E14B3">
        <w:t>Mar. 5, 2026) (Securus Mar. 5, 2026 Reply);</w:t>
      </w:r>
      <w:r w:rsidR="00AC51C9">
        <w:t xml:space="preserve"> </w:t>
      </w:r>
      <w:r w:rsidR="00E21F65">
        <w:t>HomeWAV</w:t>
      </w:r>
      <w:r w:rsidR="00AC51C9">
        <w:t>, LLC Comments, WC Docket Nos. 23-62 and 12-375, at</w:t>
      </w:r>
      <w:r w:rsidR="00AF33D8">
        <w:t xml:space="preserve"> 2 (filed </w:t>
      </w:r>
      <w:r w:rsidR="002338E0">
        <w:t>Dec. 30, 2025);</w:t>
      </w:r>
      <w:r w:rsidRPr="00C92BA5" w:rsidR="00C92BA5">
        <w:t xml:space="preserve"> </w:t>
      </w:r>
      <w:r w:rsidR="00C92BA5">
        <w:t>Letter from Angela F. Collins, Counsel to Global Tel*Link Corporation d/b/a ViaPath Technologies, to Marlene H. Dortch, Secretary, FCC, WC Docket Nos. 23-62 and 12-375, at 1 (filed Feb. 13, 2026)</w:t>
      </w:r>
      <w:r w:rsidR="00E101A2">
        <w:t xml:space="preserve"> (recommending that the Commission consider allowing “IPCS providers to impose a specific percentage for payment card processing, such as 3% or 4% of the payment amount”)</w:t>
      </w:r>
      <w:r w:rsidR="003E14B3">
        <w:t>.</w:t>
      </w:r>
    </w:p>
  </w:footnote>
  <w:footnote w:id="13">
    <w:p w:rsidR="001F5C1A" w14:paraId="68ED1A7B" w14:textId="7A2B6D9F">
      <w:pPr>
        <w:pStyle w:val="FootnoteText"/>
      </w:pPr>
      <w:r>
        <w:rPr>
          <w:rStyle w:val="FootnoteReference"/>
        </w:rPr>
        <w:footnoteRef/>
      </w:r>
      <w:r>
        <w:t xml:space="preserve"> </w:t>
      </w:r>
      <w:r w:rsidR="003029C1">
        <w:t xml:space="preserve">47 CFR </w:t>
      </w:r>
      <w:r w:rsidRPr="00C2748F" w:rsidR="00C2748F">
        <w:t>§</w:t>
      </w:r>
      <w:r w:rsidR="00033DA8">
        <w:t xml:space="preserve"> </w:t>
      </w:r>
      <w:r w:rsidR="00A75F28">
        <w:t xml:space="preserve">64.6015.  </w:t>
      </w:r>
      <w:r w:rsidRPr="001F5C1A">
        <w:rPr>
          <w:i/>
          <w:iCs/>
        </w:rPr>
        <w:t>See Wireline Competition Bureau Announces Effective Dates of 2025 Incarcerated People’s Communications Services Rules and Comment Dates for 2025 Incarcerated People’s Communications Services Further Notice of Proposed Rulemaking</w:t>
      </w:r>
      <w:r w:rsidRPr="001F5C1A">
        <w:t xml:space="preserve">, WC Docket Nos. 23-62 and 12-375, Public Notice, DA 25-1040 (WCB Dec. 9, 2025); </w:t>
      </w:r>
      <w:r w:rsidRPr="001F5C1A">
        <w:rPr>
          <w:i/>
          <w:iCs/>
        </w:rPr>
        <w:t>2025 IPCS Order</w:t>
      </w:r>
      <w:r w:rsidRPr="001F5C1A">
        <w:t xml:space="preserve"> at 43, para. 89.  </w:t>
      </w:r>
    </w:p>
  </w:footnote>
  <w:footnote w:id="14">
    <w:p w:rsidR="003D4F02" w:rsidRPr="00F70433" w14:paraId="08A93E00" w14:textId="6211551A">
      <w:pPr>
        <w:pStyle w:val="FootnoteText"/>
      </w:pPr>
      <w:r>
        <w:rPr>
          <w:rStyle w:val="FootnoteReference"/>
        </w:rPr>
        <w:footnoteRef/>
      </w:r>
      <w:r>
        <w:t xml:space="preserve"> </w:t>
      </w:r>
      <w:r w:rsidR="008F2882">
        <w:rPr>
          <w:i/>
          <w:iCs/>
        </w:rPr>
        <w:t>Incarcerated People’s Communications Services; Implementation of the Martha Wright-Reed Act; Rates for Interstate Inmate Calling Services</w:t>
      </w:r>
      <w:r w:rsidR="00F70433">
        <w:t xml:space="preserve">, WC Docket Nos. 23-62 </w:t>
      </w:r>
      <w:r w:rsidR="00584A89">
        <w:t>and 12-375</w:t>
      </w:r>
      <w:r w:rsidR="00F97875">
        <w:t>,</w:t>
      </w:r>
      <w:r w:rsidR="00A4158D">
        <w:t xml:space="preserve"> Order,</w:t>
      </w:r>
      <w:r w:rsidR="00F97875">
        <w:t xml:space="preserve"> 40 FCC Rcd 149, </w:t>
      </w:r>
      <w:r w:rsidR="00343105">
        <w:t xml:space="preserve">156, para. 20 (WCB/OEA 2025).  </w:t>
      </w:r>
    </w:p>
  </w:footnote>
  <w:footnote w:id="15">
    <w:p w:rsidR="00DE2AFD" w14:paraId="5E7BAA6D" w14:textId="38DE1249">
      <w:pPr>
        <w:pStyle w:val="FootnoteText"/>
      </w:pPr>
      <w:r>
        <w:rPr>
          <w:rStyle w:val="FootnoteReference"/>
        </w:rPr>
        <w:footnoteRef/>
      </w:r>
      <w:r w:rsidR="002734C8">
        <w:t xml:space="preserve"> This includes declining</w:t>
      </w:r>
      <w:r w:rsidR="00FF00DD">
        <w:t xml:space="preserve"> to </w:t>
      </w:r>
      <w:r w:rsidR="002734C8">
        <w:t>require reporting concerning</w:t>
      </w:r>
      <w:r w:rsidR="00FF00DD">
        <w:t xml:space="preserve"> the </w:t>
      </w:r>
      <w:r w:rsidR="00195D71">
        <w:t>total number of IPCS accounts opened,</w:t>
      </w:r>
      <w:r w:rsidR="00FF00DD">
        <w:t xml:space="preserve"> the </w:t>
      </w:r>
      <w:r w:rsidR="00195D71">
        <w:t xml:space="preserve">total number of IPCS accounts closed, the optional reporting of total admissions, </w:t>
      </w:r>
      <w:r w:rsidR="00D033B0">
        <w:t>and the optional reporting of weekly turnover rate</w:t>
      </w:r>
      <w:r w:rsidR="002015E5">
        <w:t xml:space="preserve">, </w:t>
      </w:r>
      <w:r w:rsidR="006C42D0">
        <w:t xml:space="preserve">in addition to streamlined </w:t>
      </w:r>
      <w:r w:rsidR="00AC4F37">
        <w:t xml:space="preserve">requests for IPCS-related </w:t>
      </w:r>
      <w:r w:rsidR="00A96E89">
        <w:t>P</w:t>
      </w:r>
      <w:r w:rsidR="00AC4F37">
        <w:t xml:space="preserve">ayment </w:t>
      </w:r>
      <w:r w:rsidR="00A96E89">
        <w:t>P</w:t>
      </w:r>
      <w:r w:rsidR="00AC4F37">
        <w:t xml:space="preserve">rocessing data and </w:t>
      </w:r>
      <w:r w:rsidR="004A75F7">
        <w:t xml:space="preserve">IPCS </w:t>
      </w:r>
      <w:r w:rsidR="00A96E89">
        <w:t>B</w:t>
      </w:r>
      <w:r w:rsidR="008E6AEF">
        <w:t xml:space="preserve">illed </w:t>
      </w:r>
      <w:r w:rsidR="00A96E89">
        <w:t>R</w:t>
      </w:r>
      <w:r w:rsidR="008E6AEF">
        <w:t>evenues data.</w:t>
      </w:r>
      <w:r w:rsidR="00ED5540">
        <w:t xml:space="preserve"> </w:t>
      </w:r>
      <w:r w:rsidRPr="00866E81" w:rsidR="00866E81">
        <w:rPr>
          <w:i/>
          <w:iCs/>
        </w:rPr>
        <w:t>See</w:t>
      </w:r>
      <w:r w:rsidRPr="00866E81" w:rsidR="00866E81">
        <w:t xml:space="preserve"> Incarcerated People’s Communications Services 2023 Mandatory Data Collection Instructions, WC Docket Nos. 23-62 and 12-375, at </w:t>
      </w:r>
      <w:r w:rsidR="00866E81">
        <w:t>50-51</w:t>
      </w:r>
      <w:r w:rsidR="009258D9">
        <w:t>,</w:t>
      </w:r>
      <w:r w:rsidRPr="00866E81" w:rsidR="00866E81">
        <w:t xml:space="preserve"> </w:t>
      </w:r>
      <w:hyperlink r:id="rId1" w:history="1">
        <w:r w:rsidRPr="00866E81" w:rsidR="00866E81">
          <w:rPr>
            <w:rStyle w:val="Hyperlink"/>
          </w:rPr>
          <w:t>https://www.fcc.gov/files/2023-ipcs-mandatory-data-collection-instructions</w:t>
        </w:r>
      </w:hyperlink>
      <w:r w:rsidRPr="00866E81" w:rsidR="00866E81">
        <w:t xml:space="preserve"> (WCB/OEA 2023) (2023 Mandatory Data Collection Instructions)</w:t>
      </w:r>
      <w:r w:rsidR="009258D9">
        <w:t xml:space="preserve">. </w:t>
      </w:r>
    </w:p>
  </w:footnote>
  <w:footnote w:id="16">
    <w:p w:rsidR="007106FC" w:rsidRPr="0068068C" w:rsidP="007106FC" w14:paraId="420ADDFC" w14:textId="4E8705F9">
      <w:pPr>
        <w:pStyle w:val="FootnoteText"/>
      </w:pPr>
      <w:r>
        <w:rPr>
          <w:rStyle w:val="FootnoteReference"/>
        </w:rPr>
        <w:footnoteRef/>
      </w:r>
      <w:r>
        <w:t xml:space="preserve"> </w:t>
      </w:r>
      <w:r w:rsidR="006828A5">
        <w:rPr>
          <w:i/>
          <w:iCs/>
        </w:rPr>
        <w:t xml:space="preserve">2023 Mandatory Data Collection </w:t>
      </w:r>
      <w:r w:rsidRPr="00D524E2" w:rsidR="006828A5">
        <w:rPr>
          <w:i/>
          <w:iCs/>
        </w:rPr>
        <w:t>Order</w:t>
      </w:r>
      <w:r w:rsidR="00D524E2">
        <w:t xml:space="preserve">, 38 FCC Rcd </w:t>
      </w:r>
      <w:r w:rsidR="006828A5">
        <w:t xml:space="preserve">at </w:t>
      </w:r>
      <w:r w:rsidR="00D524E2">
        <w:t>6628, para. 11</w:t>
      </w:r>
      <w:r w:rsidR="000C6255">
        <w:t>.</w:t>
      </w:r>
      <w:r w:rsidR="00D524E2">
        <w:t xml:space="preserve">   </w:t>
      </w:r>
    </w:p>
  </w:footnote>
  <w:footnote w:id="17">
    <w:p w:rsidR="00465AA9" w14:paraId="4A4AEB98" w14:textId="4583A65D">
      <w:pPr>
        <w:pStyle w:val="FootnoteText"/>
      </w:pPr>
      <w:r>
        <w:rPr>
          <w:rStyle w:val="FootnoteReference"/>
        </w:rPr>
        <w:footnoteRef/>
      </w:r>
      <w:r>
        <w:t xml:space="preserve"> For example, </w:t>
      </w:r>
      <w:r w:rsidR="00F5634A">
        <w:t>we have removed twenty definitions</w:t>
      </w:r>
      <w:r w:rsidR="00FD58F9">
        <w:t xml:space="preserve"> that</w:t>
      </w:r>
      <w:r w:rsidR="00233298">
        <w:t xml:space="preserve"> were </w:t>
      </w:r>
      <w:r w:rsidR="001E57B0">
        <w:t xml:space="preserve">included </w:t>
      </w:r>
      <w:r w:rsidR="00233298">
        <w:t>in the 2023 Mandatory Data Collection</w:t>
      </w:r>
      <w:r w:rsidR="001E57B0">
        <w:t xml:space="preserve"> instructions</w:t>
      </w:r>
      <w:r w:rsidR="00F65305">
        <w:t xml:space="preserve">.  </w:t>
      </w:r>
      <w:r w:rsidR="00F65305">
        <w:rPr>
          <w:i/>
          <w:iCs/>
        </w:rPr>
        <w:t>See</w:t>
      </w:r>
      <w:r w:rsidR="00F65305">
        <w:t xml:space="preserve"> </w:t>
      </w:r>
      <w:r w:rsidRPr="00EF2548" w:rsidR="00EF2548">
        <w:t xml:space="preserve">2023 Mandatory Data Collection Instructions </w:t>
      </w:r>
      <w:r w:rsidR="00EF2548">
        <w:t>at 7-14</w:t>
      </w:r>
      <w:r w:rsidR="00FC4E4E">
        <w:t xml:space="preserve">.  </w:t>
      </w:r>
    </w:p>
  </w:footnote>
  <w:footnote w:id="18">
    <w:p w:rsidR="00CA578E" w:rsidRPr="00CA578E" w14:paraId="1D012EB1" w14:textId="3D4189A0">
      <w:pPr>
        <w:pStyle w:val="FootnoteText"/>
      </w:pPr>
      <w:r>
        <w:rPr>
          <w:rStyle w:val="FootnoteReference"/>
        </w:rPr>
        <w:footnoteRef/>
      </w:r>
      <w:r>
        <w:t xml:space="preserve"> </w:t>
      </w:r>
      <w:r>
        <w:rPr>
          <w:i/>
          <w:iCs/>
        </w:rPr>
        <w:t xml:space="preserve">See generally </w:t>
      </w:r>
      <w:r>
        <w:t>2023 Mandatory Data Collection Instructions.</w:t>
      </w:r>
    </w:p>
  </w:footnote>
  <w:footnote w:id="19">
    <w:p w:rsidR="00CB435B" w14:paraId="65D19B4D" w14:textId="0FA68F85">
      <w:pPr>
        <w:pStyle w:val="FootnoteText"/>
      </w:pPr>
      <w:r>
        <w:rPr>
          <w:rStyle w:val="FootnoteReference"/>
        </w:rPr>
        <w:footnoteRef/>
      </w:r>
      <w:r>
        <w:t xml:space="preserve"> </w:t>
      </w:r>
      <w:r>
        <w:rPr>
          <w:i/>
          <w:iCs/>
        </w:rPr>
        <w:t>See</w:t>
      </w:r>
      <w:r w:rsidR="001E57B0">
        <w:rPr>
          <w:i/>
          <w:iCs/>
        </w:rPr>
        <w:t xml:space="preserve"> id</w:t>
      </w:r>
      <w:r w:rsidRPr="004D649D" w:rsidR="001E57B0">
        <w:t>.</w:t>
      </w:r>
      <w:r w:rsidR="001E57B0">
        <w:rPr>
          <w:i/>
          <w:iCs/>
        </w:rPr>
        <w:t xml:space="preserve"> </w:t>
      </w:r>
      <w:r w:rsidR="00DF7FE0">
        <w:t xml:space="preserve">at </w:t>
      </w:r>
      <w:r>
        <w:t>20-28, 45-49</w:t>
      </w:r>
      <w:r w:rsidR="00BE7FCF">
        <w:t xml:space="preserve">; </w:t>
      </w:r>
      <w:r w:rsidR="00BE7FCF">
        <w:rPr>
          <w:i/>
          <w:iCs/>
        </w:rPr>
        <w:t>2024 IPCS Order</w:t>
      </w:r>
      <w:r w:rsidR="00BE7FCF">
        <w:t xml:space="preserve">, </w:t>
      </w:r>
      <w:r w:rsidR="00CD091F">
        <w:t>39 FCC Rcd at 8016, Appx. H, para. 4</w:t>
      </w:r>
      <w:r>
        <w:t>.</w:t>
      </w:r>
    </w:p>
  </w:footnote>
  <w:footnote w:id="20">
    <w:p w:rsidR="00B41BA6" w:rsidP="00B41BA6" w14:paraId="63049E20" w14:textId="77777777">
      <w:pPr>
        <w:pStyle w:val="FootnoteText"/>
      </w:pPr>
      <w:r>
        <w:rPr>
          <w:rStyle w:val="FootnoteReference"/>
        </w:rPr>
        <w:footnoteRef/>
      </w:r>
      <w:r>
        <w:t xml:space="preserve"> 2023 Mandatory Data Collection Instructions at 24-27, 45-47.</w:t>
      </w:r>
    </w:p>
  </w:footnote>
  <w:footnote w:id="21">
    <w:p w:rsidR="003279F4" w14:paraId="47DEC3E7" w14:textId="6338B116">
      <w:pPr>
        <w:pStyle w:val="FootnoteText"/>
      </w:pPr>
      <w:r>
        <w:rPr>
          <w:rStyle w:val="FootnoteReference"/>
        </w:rPr>
        <w:footnoteRef/>
      </w:r>
      <w:r>
        <w:t xml:space="preserve"> For example, one provider has encouraged us to collect “total minutes [of use] on tablets” including minutes used for “unregulated services (paid content, messaging, etc.)” as a method to allocate tablet costs between regulated and non-regulated uses.</w:t>
      </w:r>
      <w:r w:rsidRPr="003279F4">
        <w:t xml:space="preserve"> </w:t>
      </w:r>
      <w:r>
        <w:t xml:space="preserve"> </w:t>
      </w:r>
      <w:r>
        <w:rPr>
          <w:i/>
          <w:iCs/>
        </w:rPr>
        <w:t xml:space="preserve">See </w:t>
      </w:r>
      <w:r>
        <w:t xml:space="preserve">Letter from Tim McAteer, President, </w:t>
      </w:r>
      <w:r w:rsidRPr="00A32352">
        <w:t xml:space="preserve">Inmate Calling Solutions, LLC, d/b/a </w:t>
      </w:r>
      <w:r>
        <w:t xml:space="preserve">ICSolutions, to Marlene H. Dortch, Secretary, FCC, WC Docket Nos. 23-62 and 12-375, at </w:t>
      </w:r>
      <w:r w:rsidR="00E968E9">
        <w:t>2</w:t>
      </w:r>
      <w:r>
        <w:t xml:space="preserve"> (filed Mar. 27, 2026)</w:t>
      </w:r>
      <w:r w:rsidR="00170D41">
        <w:t>.</w:t>
      </w:r>
    </w:p>
  </w:footnote>
  <w:footnote w:id="22">
    <w:p w:rsidR="00940206" w14:paraId="33889862" w14:textId="4239B3BF">
      <w:pPr>
        <w:pStyle w:val="FootnoteText"/>
      </w:pPr>
      <w:r>
        <w:rPr>
          <w:rStyle w:val="FootnoteReference"/>
        </w:rPr>
        <w:footnoteRef/>
      </w:r>
      <w:r>
        <w:t xml:space="preserve"> Securus </w:t>
      </w:r>
      <w:r w:rsidR="00EB06F9">
        <w:t xml:space="preserve">Feb. 3, 2026 Comments at 26.  </w:t>
      </w:r>
    </w:p>
  </w:footnote>
  <w:footnote w:id="23">
    <w:p w:rsidR="00AE3CAE" w14:paraId="33F0B26D" w14:textId="03DCADD2">
      <w:pPr>
        <w:pStyle w:val="FootnoteText"/>
      </w:pPr>
      <w:r>
        <w:rPr>
          <w:rStyle w:val="FootnoteReference"/>
        </w:rPr>
        <w:footnoteRef/>
      </w:r>
      <w:r>
        <w:t xml:space="preserve"> </w:t>
      </w:r>
      <w:r w:rsidRPr="004D649D" w:rsidR="001E57B0">
        <w:rPr>
          <w:i/>
          <w:iCs/>
        </w:rPr>
        <w:t>Id</w:t>
      </w:r>
      <w:r w:rsidR="001E57B0">
        <w:t>.</w:t>
      </w:r>
      <w:r>
        <w:t xml:space="preserve"> </w:t>
      </w:r>
    </w:p>
  </w:footnote>
  <w:footnote w:id="24">
    <w:p w:rsidR="002310EC" w14:paraId="23C8237C" w14:textId="1631C9D9">
      <w:pPr>
        <w:pStyle w:val="FootnoteText"/>
      </w:pPr>
      <w:r>
        <w:rPr>
          <w:rStyle w:val="FootnoteReference"/>
        </w:rPr>
        <w:footnoteRef/>
      </w:r>
      <w:r>
        <w:t xml:space="preserve"> </w:t>
      </w:r>
      <w:r w:rsidRPr="001E57B0" w:rsidR="001E57B0">
        <w:rPr>
          <w:i/>
          <w:iCs/>
        </w:rPr>
        <w:t>Id</w:t>
      </w:r>
      <w:r w:rsidR="004D649D">
        <w:t>.</w:t>
      </w:r>
      <w:r>
        <w:t xml:space="preserve"> at 28.</w:t>
      </w:r>
    </w:p>
  </w:footnote>
  <w:footnote w:id="25">
    <w:p w:rsidR="009501FC" w14:paraId="56904695" w14:textId="089B2C51">
      <w:pPr>
        <w:pStyle w:val="FootnoteText"/>
      </w:pPr>
      <w:r>
        <w:rPr>
          <w:rStyle w:val="FootnoteReference"/>
        </w:rPr>
        <w:footnoteRef/>
      </w:r>
      <w:r>
        <w:t xml:space="preserve"> </w:t>
      </w:r>
      <w:r w:rsidRPr="001E57B0" w:rsidR="001E57B0">
        <w:rPr>
          <w:i/>
          <w:iCs/>
        </w:rPr>
        <w:t>Id</w:t>
      </w:r>
      <w:r w:rsidR="004D649D">
        <w:t>.</w:t>
      </w:r>
      <w:r>
        <w:t xml:space="preserve"> at 28-29.  </w:t>
      </w:r>
    </w:p>
  </w:footnote>
  <w:footnote w:id="26">
    <w:p w:rsidR="00EC5AEC" w14:paraId="46938758" w14:textId="1A19EE5D">
      <w:pPr>
        <w:pStyle w:val="FootnoteText"/>
      </w:pPr>
      <w:r>
        <w:rPr>
          <w:rStyle w:val="FootnoteReference"/>
        </w:rPr>
        <w:footnoteRef/>
      </w:r>
      <w:r>
        <w:t xml:space="preserve"> </w:t>
      </w:r>
      <w:r w:rsidRPr="001E57B0" w:rsidR="001E57B0">
        <w:rPr>
          <w:i/>
          <w:iCs/>
        </w:rPr>
        <w:t>Id</w:t>
      </w:r>
      <w:r w:rsidR="004D649D">
        <w:t>.</w:t>
      </w:r>
      <w:r w:rsidRPr="001E57B0" w:rsidR="001E57B0">
        <w:t xml:space="preserve"> </w:t>
      </w:r>
      <w:r w:rsidR="00BD4965">
        <w:t xml:space="preserve">at 29.  </w:t>
      </w:r>
    </w:p>
  </w:footnote>
  <w:footnote w:id="27">
    <w:p w:rsidR="007620DB" w14:paraId="50EF6A53" w14:textId="340072AD">
      <w:pPr>
        <w:pStyle w:val="FootnoteText"/>
      </w:pPr>
      <w:r>
        <w:rPr>
          <w:rStyle w:val="FootnoteReference"/>
        </w:rPr>
        <w:footnoteRef/>
      </w:r>
      <w:r>
        <w:t xml:space="preserve"> </w:t>
      </w:r>
      <w:r w:rsidRPr="001E57B0" w:rsidR="001E57B0">
        <w:rPr>
          <w:i/>
          <w:iCs/>
        </w:rPr>
        <w:t>Id</w:t>
      </w:r>
      <w:r>
        <w:t xml:space="preserve">.  </w:t>
      </w:r>
    </w:p>
  </w:footnote>
  <w:footnote w:id="28">
    <w:p w:rsidR="00A15946" w14:paraId="1525F7C5" w14:textId="335F80C8">
      <w:pPr>
        <w:pStyle w:val="FootnoteText"/>
      </w:pPr>
      <w:r>
        <w:rPr>
          <w:rStyle w:val="FootnoteReference"/>
        </w:rPr>
        <w:footnoteRef/>
      </w:r>
      <w:r>
        <w:t xml:space="preserve"> </w:t>
      </w:r>
      <w:r w:rsidRPr="001E57B0" w:rsidR="001E57B0">
        <w:rPr>
          <w:i/>
          <w:iCs/>
        </w:rPr>
        <w:t>Id</w:t>
      </w:r>
      <w:r w:rsidR="004D649D">
        <w:t>.</w:t>
      </w:r>
      <w:r w:rsidRPr="001E57B0" w:rsidR="001E57B0">
        <w:t xml:space="preserve"> </w:t>
      </w:r>
      <w:r>
        <w:t xml:space="preserve">at 29-30.  </w:t>
      </w:r>
    </w:p>
  </w:footnote>
  <w:footnote w:id="29">
    <w:p w:rsidR="000F752A" w14:paraId="77FB0A26" w14:textId="4B9FA1D1">
      <w:pPr>
        <w:pStyle w:val="FootnoteText"/>
      </w:pPr>
      <w:r>
        <w:rPr>
          <w:rStyle w:val="FootnoteReference"/>
        </w:rPr>
        <w:footnoteRef/>
      </w:r>
      <w:r>
        <w:t xml:space="preserve"> 47 CFR § 64.6020; </w:t>
      </w:r>
      <w:r>
        <w:rPr>
          <w:i/>
          <w:iCs/>
        </w:rPr>
        <w:t>2024 IPCS Order</w:t>
      </w:r>
      <w:r>
        <w:t xml:space="preserve">, 39 FCC Rcd at 7866-67, para. 408.  </w:t>
      </w:r>
    </w:p>
  </w:footnote>
  <w:footnote w:id="30">
    <w:p w:rsidR="00B20C85" w:rsidRPr="000E096B" w:rsidP="00B20C85" w14:paraId="4BEB73E2" w14:textId="0FF83EFD">
      <w:pPr>
        <w:pStyle w:val="FootnoteText"/>
      </w:pPr>
      <w:r>
        <w:rPr>
          <w:rStyle w:val="FootnoteReference"/>
        </w:rPr>
        <w:footnoteRef/>
      </w:r>
      <w:r>
        <w:t xml:space="preserve"> </w:t>
      </w:r>
      <w:r w:rsidRPr="003B2E20" w:rsidR="00B17E25">
        <w:rPr>
          <w:i/>
          <w:iCs/>
        </w:rPr>
        <w:t>2023 Mandatory Data Collection Order</w:t>
      </w:r>
      <w:r w:rsidR="00B17E25">
        <w:t xml:space="preserve">, 38 FCC Rcd at </w:t>
      </w:r>
      <w:r w:rsidR="00C72382">
        <w:t>66</w:t>
      </w:r>
      <w:r w:rsidR="009937E5">
        <w:t>32</w:t>
      </w:r>
      <w:r w:rsidR="00A60575">
        <w:t xml:space="preserve">, para. </w:t>
      </w:r>
      <w:r w:rsidR="003B2464">
        <w:t>17</w:t>
      </w:r>
      <w:r w:rsidR="00215DC3">
        <w:t>.</w:t>
      </w:r>
      <w:r w:rsidR="00A60575">
        <w:t xml:space="preserve"> </w:t>
      </w:r>
    </w:p>
  </w:footnote>
  <w:footnote w:id="31">
    <w:p w:rsidR="00B20C85" w:rsidRPr="0098149E" w:rsidP="00B20C85" w14:paraId="2A4250C1" w14:textId="4C505F1F">
      <w:pPr>
        <w:pStyle w:val="FootnoteText"/>
      </w:pPr>
      <w:r>
        <w:rPr>
          <w:rStyle w:val="FootnoteReference"/>
        </w:rPr>
        <w:footnoteRef/>
      </w:r>
      <w:r>
        <w:t xml:space="preserve"> </w:t>
      </w:r>
      <w:r>
        <w:rPr>
          <w:i/>
          <w:iCs/>
        </w:rPr>
        <w:t xml:space="preserve">See infra </w:t>
      </w:r>
      <w:r>
        <w:t>Appx. A, Proposed Instructions at</w:t>
      </w:r>
      <w:r w:rsidR="009819E7">
        <w:t xml:space="preserve"> </w:t>
      </w:r>
      <w:r w:rsidR="004D2ABE">
        <w:t>9</w:t>
      </w:r>
      <w:r w:rsidR="00D95701">
        <w:t xml:space="preserve"> (proposed definition of </w:t>
      </w:r>
      <w:r w:rsidR="00E432F9">
        <w:t xml:space="preserve">the term </w:t>
      </w:r>
      <w:r w:rsidR="00D95701">
        <w:t>“</w:t>
      </w:r>
      <w:r w:rsidRPr="0038328F" w:rsidR="00E432F9">
        <w:t>IPCS-Related Payment Processing Services”)</w:t>
      </w:r>
      <w:r w:rsidRPr="00E432F9" w:rsidR="00957247">
        <w:t>.</w:t>
      </w:r>
      <w:r w:rsidRPr="00E432F9" w:rsidR="00B8753B">
        <w:t xml:space="preserve"> </w:t>
      </w:r>
    </w:p>
  </w:footnote>
  <w:footnote w:id="32">
    <w:p w:rsidR="00436063" w14:paraId="6D5FC3CC" w14:textId="121670B8">
      <w:pPr>
        <w:pStyle w:val="FootnoteText"/>
      </w:pPr>
      <w:r>
        <w:rPr>
          <w:rStyle w:val="FootnoteReference"/>
        </w:rPr>
        <w:footnoteRef/>
      </w:r>
      <w:r>
        <w:t xml:space="preserve"> </w:t>
      </w:r>
      <w:r w:rsidRPr="001E57B0" w:rsidR="001E57B0">
        <w:rPr>
          <w:i/>
          <w:iCs/>
        </w:rPr>
        <w:t>Id</w:t>
      </w:r>
      <w:r>
        <w:t xml:space="preserve">.  </w:t>
      </w:r>
    </w:p>
  </w:footnote>
  <w:footnote w:id="33">
    <w:p w:rsidR="007B48FA" w:rsidRPr="007413C8" w:rsidP="007B48FA" w14:paraId="4A2DA259" w14:textId="77777777">
      <w:pPr>
        <w:pStyle w:val="FootnoteText"/>
      </w:pPr>
      <w:r>
        <w:rPr>
          <w:rStyle w:val="FootnoteReference"/>
        </w:rPr>
        <w:footnoteRef/>
      </w:r>
      <w:r>
        <w:t xml:space="preserve"> </w:t>
      </w:r>
      <w:r>
        <w:rPr>
          <w:i/>
          <w:iCs/>
        </w:rPr>
        <w:t>See 2025 IPCS Order</w:t>
      </w:r>
      <w:r>
        <w:t xml:space="preserve"> at 51, paras. 109-10.  </w:t>
      </w:r>
    </w:p>
  </w:footnote>
  <w:footnote w:id="34">
    <w:p w:rsidR="003B7E0F" w14:paraId="44A3F319" w14:textId="2B46E817">
      <w:pPr>
        <w:pStyle w:val="FootnoteText"/>
      </w:pPr>
      <w:r>
        <w:rPr>
          <w:rStyle w:val="FootnoteReference"/>
        </w:rPr>
        <w:footnoteRef/>
      </w:r>
      <w:r>
        <w:t xml:space="preserve"> </w:t>
      </w:r>
      <w:r w:rsidRPr="003B7E0F">
        <w:rPr>
          <w:i/>
          <w:iCs/>
        </w:rPr>
        <w:t>2024 IPCS Order</w:t>
      </w:r>
      <w:r w:rsidRPr="003B7E0F">
        <w:t>, 39 FCC Rcd at 7</w:t>
      </w:r>
      <w:r>
        <w:t>746-47</w:t>
      </w:r>
      <w:r w:rsidRPr="003B7E0F">
        <w:t>, para</w:t>
      </w:r>
      <w:r>
        <w:t>s</w:t>
      </w:r>
      <w:r w:rsidRPr="003B7E0F">
        <w:t xml:space="preserve">. </w:t>
      </w:r>
      <w:r>
        <w:t>181-82</w:t>
      </w:r>
      <w:r w:rsidRPr="003B7E0F">
        <w:t xml:space="preserve">.  </w:t>
      </w:r>
    </w:p>
  </w:footnote>
  <w:footnote w:id="35">
    <w:p w:rsidR="00C747FA" w:rsidRPr="00C747FA" w14:paraId="70B295F0" w14:textId="659BEFBD">
      <w:pPr>
        <w:pStyle w:val="FootnoteText"/>
      </w:pPr>
      <w:r>
        <w:rPr>
          <w:rStyle w:val="FootnoteReference"/>
        </w:rPr>
        <w:footnoteRef/>
      </w:r>
      <w:r>
        <w:t xml:space="preserve"> </w:t>
      </w:r>
      <w:r>
        <w:rPr>
          <w:i/>
          <w:iCs/>
        </w:rPr>
        <w:t>2025 IPCS Order</w:t>
      </w:r>
      <w:r>
        <w:t xml:space="preserve"> at 20, para. 37.  </w:t>
      </w:r>
    </w:p>
  </w:footnote>
  <w:footnote w:id="36">
    <w:p w:rsidR="00AC79AD" w:rsidRPr="00AC79AD" w14:paraId="39B322C7" w14:textId="69F97D76">
      <w:pPr>
        <w:pStyle w:val="FootnoteText"/>
      </w:pPr>
      <w:r>
        <w:rPr>
          <w:rStyle w:val="FootnoteReference"/>
        </w:rPr>
        <w:footnoteRef/>
      </w:r>
      <w:r>
        <w:t xml:space="preserve"> </w:t>
      </w:r>
      <w:r w:rsidRPr="004D649D" w:rsidR="004D649D">
        <w:rPr>
          <w:i/>
          <w:iCs/>
        </w:rPr>
        <w:t>Id</w:t>
      </w:r>
      <w:r>
        <w:t xml:space="preserve">.  </w:t>
      </w:r>
    </w:p>
  </w:footnote>
  <w:footnote w:id="37">
    <w:p w:rsidR="00D97E51" w:rsidRPr="00D97E51" w14:paraId="45B8F43E" w14:textId="16E52D70">
      <w:pPr>
        <w:pStyle w:val="FootnoteText"/>
      </w:pPr>
      <w:r>
        <w:rPr>
          <w:rStyle w:val="FootnoteReference"/>
        </w:rPr>
        <w:footnoteRef/>
      </w:r>
      <w:r>
        <w:t xml:space="preserve"> </w:t>
      </w:r>
      <w:r>
        <w:rPr>
          <w:i/>
          <w:iCs/>
        </w:rPr>
        <w:t>2025 IPCS Notice</w:t>
      </w:r>
      <w:r>
        <w:t xml:space="preserve"> at 48-</w:t>
      </w:r>
      <w:r w:rsidR="00591AEE">
        <w:t xml:space="preserve">50, paras. 103-07.  </w:t>
      </w:r>
    </w:p>
  </w:footnote>
  <w:footnote w:id="38">
    <w:p w:rsidR="00D47121" w14:paraId="38C112BF" w14:textId="66C42589">
      <w:pPr>
        <w:pStyle w:val="FootnoteText"/>
      </w:pPr>
      <w:r>
        <w:rPr>
          <w:rStyle w:val="FootnoteReference"/>
        </w:rPr>
        <w:footnoteRef/>
      </w:r>
      <w:r>
        <w:t xml:space="preserve"> </w:t>
      </w:r>
      <w:r w:rsidR="00FD5E9C">
        <w:t xml:space="preserve">ViaPath Mar. 5, 2026 Reply at 6 </w:t>
      </w:r>
      <w:r w:rsidR="002B48F0">
        <w:t xml:space="preserve">(noting that correctional facilities rather than IPCS providers “are in the best position to address </w:t>
      </w:r>
      <w:r w:rsidR="007F18D3">
        <w:t>[correctional facility</w:t>
      </w:r>
      <w:r w:rsidR="00D37332">
        <w:t xml:space="preserve"> costs</w:t>
      </w:r>
      <w:r w:rsidR="007F18D3">
        <w:t xml:space="preserve">] and provide such information to the Commission”). </w:t>
      </w:r>
    </w:p>
  </w:footnote>
  <w:footnote w:id="39">
    <w:p w:rsidR="00C75F8C" w:rsidRPr="00EA47DA" w14:paraId="6C91FA57" w14:textId="122276FB">
      <w:pPr>
        <w:pStyle w:val="FootnoteText"/>
      </w:pPr>
      <w:r>
        <w:rPr>
          <w:rStyle w:val="FootnoteReference"/>
        </w:rPr>
        <w:footnoteRef/>
      </w:r>
      <w:r>
        <w:t xml:space="preserve"> </w:t>
      </w:r>
      <w:r w:rsidR="00937662">
        <w:rPr>
          <w:i/>
          <w:iCs/>
        </w:rPr>
        <w:t>See, e.g.</w:t>
      </w:r>
      <w:r w:rsidR="00937662">
        <w:t>,</w:t>
      </w:r>
      <w:r w:rsidR="00937662">
        <w:rPr>
          <w:i/>
          <w:iCs/>
        </w:rPr>
        <w:t xml:space="preserve"> </w:t>
      </w:r>
      <w:r w:rsidR="009F5134">
        <w:rPr>
          <w:i/>
          <w:iCs/>
        </w:rPr>
        <w:t xml:space="preserve">2023 Mandatory Data Collection </w:t>
      </w:r>
      <w:r w:rsidRPr="009F5134" w:rsidR="009F5134">
        <w:rPr>
          <w:i/>
          <w:iCs/>
        </w:rPr>
        <w:t>Order</w:t>
      </w:r>
      <w:r w:rsidR="009F5134">
        <w:t xml:space="preserve">, 38 FCC Rcd at 6631, para. 20.  </w:t>
      </w:r>
    </w:p>
  </w:footnote>
  <w:footnote w:id="40">
    <w:p w:rsidR="009C546B" w:rsidRPr="009C546B" w14:paraId="228B7BCA" w14:textId="2E7DC1A4">
      <w:pPr>
        <w:pStyle w:val="FootnoteText"/>
      </w:pPr>
      <w:r>
        <w:rPr>
          <w:rStyle w:val="FootnoteReference"/>
        </w:rPr>
        <w:footnoteRef/>
      </w:r>
      <w:r>
        <w:t xml:space="preserve"> </w:t>
      </w:r>
      <w:r>
        <w:rPr>
          <w:i/>
          <w:iCs/>
        </w:rPr>
        <w:t>2024 IPCS Order</w:t>
      </w:r>
      <w:r>
        <w:t xml:space="preserve">, </w:t>
      </w:r>
      <w:r w:rsidR="00BC4B0B">
        <w:t xml:space="preserve">39 FCC Rcd at 7851, para. 385.  </w:t>
      </w:r>
    </w:p>
  </w:footnote>
  <w:footnote w:id="41">
    <w:p w:rsidR="00A3760A" w:rsidRPr="00F70B68" w:rsidP="00A3760A" w14:paraId="50F84D63" w14:textId="77777777">
      <w:pPr>
        <w:pStyle w:val="FootnoteText"/>
      </w:pPr>
      <w:r>
        <w:rPr>
          <w:rStyle w:val="FootnoteReference"/>
        </w:rPr>
        <w:footnoteRef/>
      </w:r>
      <w:r>
        <w:t xml:space="preserve"> </w:t>
      </w:r>
      <w:r>
        <w:rPr>
          <w:i/>
          <w:iCs/>
        </w:rPr>
        <w:t>2025 IPCS Order</w:t>
      </w:r>
      <w:r>
        <w:t xml:space="preserve"> at 16, para. 32.  </w:t>
      </w:r>
    </w:p>
  </w:footnote>
  <w:footnote w:id="42">
    <w:p w:rsidR="0065249C" w:rsidRPr="0065249C" w14:paraId="08EEDD91" w14:textId="22FEEC6A">
      <w:pPr>
        <w:pStyle w:val="FootnoteText"/>
      </w:pPr>
      <w:r>
        <w:rPr>
          <w:rStyle w:val="FootnoteReference"/>
        </w:rPr>
        <w:footnoteRef/>
      </w:r>
      <w:r>
        <w:t xml:space="preserve"> </w:t>
      </w:r>
      <w:r>
        <w:rPr>
          <w:i/>
          <w:iCs/>
        </w:rPr>
        <w:t>2024 IPCS Order</w:t>
      </w:r>
      <w:r>
        <w:t xml:space="preserve">, 39 FCC </w:t>
      </w:r>
      <w:r w:rsidR="008C587C">
        <w:t>R</w:t>
      </w:r>
      <w:r>
        <w:t xml:space="preserve">cd at 7851, para. 385.  </w:t>
      </w:r>
    </w:p>
  </w:footnote>
  <w:footnote w:id="43">
    <w:p w:rsidR="007C686A" w:rsidRPr="00522C92" w14:paraId="561D07FF" w14:textId="0EF80C4F">
      <w:pPr>
        <w:pStyle w:val="FootnoteText"/>
      </w:pPr>
      <w:r>
        <w:rPr>
          <w:rStyle w:val="FootnoteReference"/>
        </w:rPr>
        <w:footnoteRef/>
      </w:r>
      <w:r>
        <w:t xml:space="preserve"> </w:t>
      </w:r>
      <w:r w:rsidRPr="004D649D" w:rsidR="004D649D">
        <w:rPr>
          <w:i/>
          <w:iCs/>
        </w:rPr>
        <w:t>Id</w:t>
      </w:r>
      <w:r w:rsidR="004D649D">
        <w:t>.</w:t>
      </w:r>
      <w:r w:rsidRPr="004D649D" w:rsidR="004D649D">
        <w:rPr>
          <w:i/>
          <w:iCs/>
        </w:rPr>
        <w:t xml:space="preserve"> </w:t>
      </w:r>
      <w:r w:rsidR="00522C92">
        <w:t>at 785</w:t>
      </w:r>
      <w:r w:rsidR="00F008DD">
        <w:t>1-5</w:t>
      </w:r>
      <w:r w:rsidR="00522C92">
        <w:t>2, para</w:t>
      </w:r>
      <w:r w:rsidR="00F008DD">
        <w:t>s</w:t>
      </w:r>
      <w:r w:rsidR="00522C92">
        <w:t xml:space="preserve">. </w:t>
      </w:r>
      <w:r w:rsidR="00F008DD">
        <w:t>385-86</w:t>
      </w:r>
      <w:r w:rsidR="00522C92">
        <w:t xml:space="preserve">; </w:t>
      </w:r>
      <w:r w:rsidR="00522C92">
        <w:rPr>
          <w:i/>
          <w:iCs/>
        </w:rPr>
        <w:t>2025 IPCS Order</w:t>
      </w:r>
      <w:r w:rsidR="00522C92">
        <w:t xml:space="preserve"> at </w:t>
      </w:r>
      <w:r w:rsidR="00343AFC">
        <w:t xml:space="preserve">13, para. 28.  </w:t>
      </w:r>
    </w:p>
  </w:footnote>
  <w:footnote w:id="44">
    <w:p w:rsidR="006020AE" w:rsidRPr="006020AE" w14:paraId="3E4AFF0E" w14:textId="69F217A2">
      <w:pPr>
        <w:pStyle w:val="FootnoteText"/>
      </w:pPr>
      <w:r>
        <w:rPr>
          <w:rStyle w:val="FootnoteReference"/>
        </w:rPr>
        <w:footnoteRef/>
      </w:r>
      <w:r>
        <w:t xml:space="preserve"> </w:t>
      </w:r>
      <w:r>
        <w:rPr>
          <w:i/>
          <w:iCs/>
        </w:rPr>
        <w:t>2025 IPCS Order</w:t>
      </w:r>
      <w:r>
        <w:t xml:space="preserve"> at 18, para. 35.  </w:t>
      </w:r>
    </w:p>
  </w:footnote>
  <w:footnote w:id="45">
    <w:p w:rsidR="0050056B" w:rsidRPr="0050056B" w14:paraId="412C30FC" w14:textId="1130C64C">
      <w:pPr>
        <w:pStyle w:val="FootnoteText"/>
      </w:pPr>
      <w:r>
        <w:rPr>
          <w:rStyle w:val="FootnoteReference"/>
        </w:rPr>
        <w:footnoteRef/>
      </w:r>
      <w:r>
        <w:t xml:space="preserve"> </w:t>
      </w:r>
      <w:r w:rsidRPr="004D649D" w:rsidR="004D649D">
        <w:rPr>
          <w:i/>
          <w:iCs/>
        </w:rPr>
        <w:t>Id</w:t>
      </w:r>
      <w:r w:rsidR="004D649D">
        <w:t>.</w:t>
      </w:r>
      <w:r w:rsidRPr="004D649D" w:rsidR="004D649D">
        <w:rPr>
          <w:i/>
          <w:iCs/>
        </w:rPr>
        <w:t xml:space="preserve"> </w:t>
      </w:r>
      <w:r>
        <w:t xml:space="preserve">at 18, para. </w:t>
      </w:r>
      <w:r w:rsidR="00344195">
        <w:t xml:space="preserve">34.  </w:t>
      </w:r>
    </w:p>
  </w:footnote>
  <w:footnote w:id="46">
    <w:p w:rsidR="00AD0A3A" w:rsidRPr="00AD0A3A" w14:paraId="77DB3EA0" w14:textId="40805C81">
      <w:pPr>
        <w:pStyle w:val="FootnoteText"/>
      </w:pPr>
      <w:r>
        <w:rPr>
          <w:rStyle w:val="FootnoteReference"/>
        </w:rPr>
        <w:footnoteRef/>
      </w:r>
      <w:r>
        <w:t xml:space="preserve"> </w:t>
      </w:r>
      <w:r w:rsidRPr="004D649D" w:rsidR="004D649D">
        <w:rPr>
          <w:i/>
          <w:iCs/>
        </w:rPr>
        <w:t>Id</w:t>
      </w:r>
      <w:r w:rsidR="004D649D">
        <w:t>.</w:t>
      </w:r>
      <w:r w:rsidRPr="004D649D" w:rsidR="004D649D">
        <w:rPr>
          <w:i/>
          <w:iCs/>
        </w:rPr>
        <w:t xml:space="preserve"> </w:t>
      </w:r>
      <w:r>
        <w:t xml:space="preserve">at 19, para. 36.  </w:t>
      </w:r>
    </w:p>
  </w:footnote>
  <w:footnote w:id="47">
    <w:p w:rsidR="00D80112" w:rsidRPr="00D80112" w14:paraId="0726ACFD" w14:textId="1358DF64">
      <w:pPr>
        <w:pStyle w:val="FootnoteText"/>
      </w:pPr>
      <w:r>
        <w:rPr>
          <w:rStyle w:val="FootnoteReference"/>
        </w:rPr>
        <w:footnoteRef/>
      </w:r>
      <w:r>
        <w:t xml:space="preserve"> </w:t>
      </w:r>
      <w:r>
        <w:rPr>
          <w:i/>
          <w:iCs/>
        </w:rPr>
        <w:t>2025 IPCS Notice</w:t>
      </w:r>
      <w:r>
        <w:t xml:space="preserve"> at 47, para. 100.  </w:t>
      </w:r>
    </w:p>
  </w:footnote>
  <w:footnote w:id="48">
    <w:p w:rsidR="004871D3" w:rsidRPr="0038173B" w:rsidP="004871D3" w14:paraId="52EE3512" w14:textId="47353E7E">
      <w:pPr>
        <w:pStyle w:val="FootnoteText"/>
      </w:pPr>
      <w:r>
        <w:rPr>
          <w:rStyle w:val="FootnoteReference"/>
        </w:rPr>
        <w:footnoteRef/>
      </w:r>
      <w:r>
        <w:t xml:space="preserve"> </w:t>
      </w:r>
      <w:r>
        <w:rPr>
          <w:i/>
          <w:iCs/>
        </w:rPr>
        <w:t>2025 IPCS Order</w:t>
      </w:r>
      <w:r>
        <w:t xml:space="preserve"> at </w:t>
      </w:r>
      <w:r w:rsidR="00F642DE">
        <w:t>17-</w:t>
      </w:r>
      <w:r>
        <w:t xml:space="preserve">18, para. 34.  </w:t>
      </w:r>
    </w:p>
  </w:footnote>
  <w:footnote w:id="49">
    <w:p w:rsidR="003B266D" w14:paraId="54C8174D" w14:textId="568DD6E8">
      <w:pPr>
        <w:pStyle w:val="FootnoteText"/>
      </w:pPr>
      <w:r>
        <w:rPr>
          <w:rStyle w:val="FootnoteReference"/>
        </w:rPr>
        <w:footnoteRef/>
      </w:r>
      <w:r>
        <w:t xml:space="preserve"> </w:t>
      </w:r>
      <w:r w:rsidRPr="003B266D">
        <w:t xml:space="preserve">Martha Wright-Reed Act § 3(b)(2).   </w:t>
      </w:r>
    </w:p>
  </w:footnote>
  <w:footnote w:id="50">
    <w:p w:rsidR="00C66027" w:rsidRPr="00B81D19" w14:paraId="3A89C1A1" w14:textId="33E1DA43">
      <w:pPr>
        <w:pStyle w:val="FootnoteText"/>
      </w:pPr>
      <w:r>
        <w:rPr>
          <w:rStyle w:val="FootnoteReference"/>
        </w:rPr>
        <w:footnoteRef/>
      </w:r>
      <w:r>
        <w:t xml:space="preserve"> </w:t>
      </w:r>
      <w:r w:rsidR="00F41E99">
        <w:rPr>
          <w:i/>
          <w:iCs/>
        </w:rPr>
        <w:t>See, e.g.</w:t>
      </w:r>
      <w:r w:rsidR="00F41E99">
        <w:t>, Pay Tel Communications, Inc. Comments, WC Docket Nos. 23-62 and 12-375, at 8 (</w:t>
      </w:r>
      <w:r w:rsidRPr="00A64C74" w:rsidR="00E5019C">
        <w:t>filed</w:t>
      </w:r>
      <w:r w:rsidR="00E5019C">
        <w:t xml:space="preserve"> </w:t>
      </w:r>
      <w:r w:rsidR="00F41E99">
        <w:t>Feb. 3, 2026) (</w:t>
      </w:r>
      <w:r w:rsidR="00C50681">
        <w:t xml:space="preserve">arguing that the exclusion of certain safety and security costs in the </w:t>
      </w:r>
      <w:r w:rsidR="00C50681">
        <w:rPr>
          <w:i/>
          <w:iCs/>
        </w:rPr>
        <w:t>2024 IPCS Order</w:t>
      </w:r>
      <w:r w:rsidR="00C50681">
        <w:t xml:space="preserve"> </w:t>
      </w:r>
      <w:r w:rsidR="00470B26">
        <w:t xml:space="preserve">made little sense because the disallowed costs were </w:t>
      </w:r>
      <w:r w:rsidR="00B81D19">
        <w:t xml:space="preserve">“second or third generation versions of features” that were recoverable under the </w:t>
      </w:r>
      <w:r w:rsidR="00B81D19">
        <w:rPr>
          <w:i/>
          <w:iCs/>
        </w:rPr>
        <w:t>2024 IPCS Order</w:t>
      </w:r>
      <w:r w:rsidR="00B81D19">
        <w:t xml:space="preserve">).  </w:t>
      </w:r>
    </w:p>
  </w:footnote>
  <w:footnote w:id="51">
    <w:p w:rsidR="00134D2D" w14:paraId="0E14F66E" w14:textId="63AE0E66">
      <w:pPr>
        <w:pStyle w:val="FootnoteText"/>
      </w:pPr>
      <w:r>
        <w:rPr>
          <w:rStyle w:val="FootnoteReference"/>
        </w:rPr>
        <w:footnoteRef/>
      </w:r>
      <w:r>
        <w:t xml:space="preserve"> </w:t>
      </w:r>
      <w:r w:rsidR="00BC5D90">
        <w:t>Pay Tel Communications, Inc. Reply, WC Docket Nos. 23-62 and 12-375 at 16 (</w:t>
      </w:r>
      <w:r w:rsidR="0058466D">
        <w:t xml:space="preserve">Mar. 5, 2026).  </w:t>
      </w:r>
    </w:p>
  </w:footnote>
  <w:footnote w:id="52">
    <w:p w:rsidR="00607592" w:rsidP="00607592" w14:paraId="14F51C4F" w14:textId="32AA136A">
      <w:pPr>
        <w:pStyle w:val="FootnoteText"/>
      </w:pPr>
      <w:r>
        <w:rPr>
          <w:rStyle w:val="FootnoteReference"/>
        </w:rPr>
        <w:footnoteRef/>
      </w:r>
      <w:r>
        <w:t xml:space="preserve"> Securus Feb. 3, 2026 Comments at 22; ViaPath </w:t>
      </w:r>
      <w:r w:rsidR="00A82C74">
        <w:t xml:space="preserve">Mar. 5, 2026 </w:t>
      </w:r>
      <w:r>
        <w:t xml:space="preserve">Reply at 11. </w:t>
      </w:r>
    </w:p>
  </w:footnote>
  <w:footnote w:id="53">
    <w:p w:rsidR="00940663" w14:paraId="7D6984A2" w14:textId="0D3CABBF">
      <w:pPr>
        <w:pStyle w:val="FootnoteText"/>
      </w:pPr>
      <w:r>
        <w:rPr>
          <w:rStyle w:val="FootnoteReference"/>
        </w:rPr>
        <w:footnoteRef/>
      </w:r>
      <w:r>
        <w:t xml:space="preserve"> Securus Feb. 3, 2026 Comments at 22-23 (“As was evidenced in the previous record, no provider tracks costs according to the categories developed by the Commission.”);</w:t>
      </w:r>
      <w:r w:rsidR="00421092">
        <w:t xml:space="preserve"> ViaPath Mar. 5, 2026 Reply at 10-11 (“Forcing providers to use artificial cost allocation methods will result in fundamentally flawed data.”).  </w:t>
      </w:r>
    </w:p>
  </w:footnote>
  <w:footnote w:id="54">
    <w:p w:rsidR="008F0ED7" w:rsidP="008F0ED7" w14:paraId="3D20CCB6" w14:textId="77777777">
      <w:pPr>
        <w:pStyle w:val="FootnoteText"/>
      </w:pPr>
      <w:r>
        <w:rPr>
          <w:rStyle w:val="FootnoteReference"/>
        </w:rPr>
        <w:footnoteRef/>
      </w:r>
      <w:r>
        <w:t xml:space="preserve"> Worth Rises Reply, WC Docket Nos. 23-62 and 12-375, at 4 (Mar. 5, 2026) (Worth Rises Mar. 5, 2026 Reply).  </w:t>
      </w:r>
    </w:p>
  </w:footnote>
  <w:footnote w:id="55">
    <w:p w:rsidR="008F0ED7" w:rsidP="008F0ED7" w14:paraId="2E5A3E35" w14:textId="77777777">
      <w:pPr>
        <w:pStyle w:val="FootnoteText"/>
      </w:pPr>
      <w:r>
        <w:rPr>
          <w:rStyle w:val="FootnoteReference"/>
        </w:rPr>
        <w:footnoteRef/>
      </w:r>
      <w:r>
        <w:t xml:space="preserve"> </w:t>
      </w:r>
      <w:r w:rsidRPr="004D649D">
        <w:rPr>
          <w:i/>
          <w:iCs/>
        </w:rPr>
        <w:t>Id</w:t>
      </w:r>
      <w:r>
        <w:t>.</w:t>
      </w:r>
      <w:r w:rsidRPr="004D649D">
        <w:t xml:space="preserve"> </w:t>
      </w:r>
      <w:r>
        <w:t xml:space="preserve">at 6 (emphasis in original).  </w:t>
      </w:r>
    </w:p>
  </w:footnote>
  <w:footnote w:id="56">
    <w:p w:rsidR="008E0BBD" w14:paraId="30B5019E" w14:textId="76E428B2">
      <w:pPr>
        <w:pStyle w:val="FootnoteText"/>
      </w:pPr>
      <w:r>
        <w:rPr>
          <w:rStyle w:val="FootnoteReference"/>
        </w:rPr>
        <w:footnoteRef/>
      </w:r>
      <w:r>
        <w:t xml:space="preserve"> </w:t>
      </w:r>
      <w:r w:rsidR="00A01DC7">
        <w:t xml:space="preserve">Worth Rises Comments, WC Docket Nos. 23-62 and 12-375, at </w:t>
      </w:r>
      <w:r w:rsidR="005103E3">
        <w:t>14-17 (</w:t>
      </w:r>
      <w:r w:rsidRPr="0091736A" w:rsidR="002C1036">
        <w:t>filed</w:t>
      </w:r>
      <w:r w:rsidR="002C1036">
        <w:t xml:space="preserve"> </w:t>
      </w:r>
      <w:r w:rsidR="00CC698B">
        <w:t xml:space="preserve">Feb. </w:t>
      </w:r>
      <w:r w:rsidR="004C3153">
        <w:t>3</w:t>
      </w:r>
      <w:r w:rsidR="00CC698B">
        <w:t xml:space="preserve">, 2026) (Worth Rises </w:t>
      </w:r>
      <w:r w:rsidR="00555486">
        <w:t xml:space="preserve">Feb. 3, 2026 </w:t>
      </w:r>
      <w:r w:rsidR="00CC698B">
        <w:t xml:space="preserve">Comments); </w:t>
      </w:r>
      <w:r w:rsidR="00077FD7">
        <w:t>Wright Petitioners Comments, WC Docket Nos. 23-62 and 12-375, at 16-17 (</w:t>
      </w:r>
      <w:r w:rsidRPr="0091736A" w:rsidR="002C1036">
        <w:t>filed</w:t>
      </w:r>
      <w:r w:rsidR="002C1036">
        <w:t xml:space="preserve"> </w:t>
      </w:r>
      <w:r w:rsidR="00077FD7">
        <w:t>Feb</w:t>
      </w:r>
      <w:r w:rsidR="004C3153">
        <w:t xml:space="preserve">. 3, 2026) (Wright Petitioners </w:t>
      </w:r>
      <w:r w:rsidR="00555486">
        <w:t xml:space="preserve">Feb. 3, 2026 </w:t>
      </w:r>
      <w:r w:rsidR="004C3153">
        <w:t xml:space="preserve">Comments).  </w:t>
      </w:r>
    </w:p>
  </w:footnote>
  <w:footnote w:id="57">
    <w:p w:rsidR="001D1733" w14:paraId="10169EB4" w14:textId="3AE9E6A8">
      <w:pPr>
        <w:pStyle w:val="FootnoteText"/>
      </w:pPr>
      <w:r>
        <w:rPr>
          <w:rStyle w:val="FootnoteReference"/>
        </w:rPr>
        <w:footnoteRef/>
      </w:r>
      <w:r>
        <w:t xml:space="preserve"> Worth Rises </w:t>
      </w:r>
      <w:r w:rsidR="00555486">
        <w:t xml:space="preserve">Feb. 3, 2026 </w:t>
      </w:r>
      <w:r>
        <w:t xml:space="preserve">Comments at 16.  </w:t>
      </w:r>
    </w:p>
  </w:footnote>
  <w:footnote w:id="58">
    <w:p w:rsidR="007E4A2C" w14:paraId="1784DDEF" w14:textId="1AE38A86">
      <w:pPr>
        <w:pStyle w:val="FootnoteText"/>
      </w:pPr>
      <w:r>
        <w:rPr>
          <w:rStyle w:val="FootnoteReference"/>
        </w:rPr>
        <w:footnoteRef/>
      </w:r>
      <w:r>
        <w:t xml:space="preserve"> Wright Petitioners </w:t>
      </w:r>
      <w:r w:rsidR="00555486">
        <w:t xml:space="preserve">Feb. 3, 2026 </w:t>
      </w:r>
      <w:r>
        <w:t>Comments Attach. A, paras. 26-</w:t>
      </w:r>
      <w:r w:rsidR="00F66998">
        <w:t xml:space="preserve">30.  </w:t>
      </w:r>
    </w:p>
  </w:footnote>
  <w:footnote w:id="59">
    <w:p w:rsidR="00BF1FE4" w14:paraId="6D5A01D3" w14:textId="003BFB50">
      <w:pPr>
        <w:pStyle w:val="FootnoteText"/>
      </w:pPr>
      <w:r>
        <w:rPr>
          <w:rStyle w:val="FootnoteReference"/>
        </w:rPr>
        <w:footnoteRef/>
      </w:r>
      <w:r>
        <w:t xml:space="preserve"> </w:t>
      </w:r>
      <w:r w:rsidRPr="004D649D" w:rsidR="004D649D">
        <w:rPr>
          <w:i/>
          <w:iCs/>
        </w:rPr>
        <w:t>Id</w:t>
      </w:r>
      <w:r w:rsidR="004D649D">
        <w:t>.</w:t>
      </w:r>
      <w:r w:rsidRPr="004D649D" w:rsidR="004D649D">
        <w:t xml:space="preserve"> </w:t>
      </w:r>
      <w:r>
        <w:t xml:space="preserve">Attach. </w:t>
      </w:r>
      <w:r w:rsidR="003A590C">
        <w:t xml:space="preserve">A para. 30.  </w:t>
      </w:r>
    </w:p>
  </w:footnote>
  <w:footnote w:id="60">
    <w:p w:rsidR="006D4C17" w14:paraId="77F4679A" w14:textId="491A6F6F">
      <w:pPr>
        <w:pStyle w:val="FootnoteText"/>
      </w:pPr>
      <w:r>
        <w:rPr>
          <w:rStyle w:val="FootnoteReference"/>
        </w:rPr>
        <w:footnoteRef/>
      </w:r>
      <w:r>
        <w:t xml:space="preserve"> </w:t>
      </w:r>
      <w:r w:rsidRPr="004D649D" w:rsidR="004D649D">
        <w:rPr>
          <w:i/>
          <w:iCs/>
        </w:rPr>
        <w:t>Id</w:t>
      </w:r>
      <w:r w:rsidR="004D649D">
        <w:t>.</w:t>
      </w:r>
      <w:r w:rsidRPr="004D649D" w:rsidR="004D649D">
        <w:t xml:space="preserve"> </w:t>
      </w:r>
      <w:r>
        <w:t xml:space="preserve">Attach. A, para. 37.  </w:t>
      </w:r>
    </w:p>
  </w:footnote>
  <w:footnote w:id="61">
    <w:p w:rsidR="00B20C85" w:rsidP="00B20C85" w14:paraId="5617EF06" w14:textId="4787E2C3">
      <w:pPr>
        <w:pStyle w:val="FootnoteText"/>
      </w:pPr>
      <w:r>
        <w:rPr>
          <w:rStyle w:val="FootnoteReference"/>
        </w:rPr>
        <w:footnoteRef/>
      </w:r>
      <w:r>
        <w:t xml:space="preserve"> </w:t>
      </w:r>
      <w:r w:rsidR="009F1CF2">
        <w:t xml:space="preserve">47 CFR § 64.6015.  </w:t>
      </w:r>
      <w:r w:rsidR="003A3023">
        <w:t>The Commission</w:t>
      </w:r>
      <w:r w:rsidR="00DB4875">
        <w:t xml:space="preserve">’s </w:t>
      </w:r>
      <w:r w:rsidR="00853A7B">
        <w:t>prohibition on the payment of</w:t>
      </w:r>
      <w:r w:rsidR="00DB4875">
        <w:t xml:space="preserve"> </w:t>
      </w:r>
      <w:r w:rsidR="00113D8B">
        <w:t xml:space="preserve">IPCS-related site commissions became effective </w:t>
      </w:r>
      <w:r w:rsidR="00A708E5">
        <w:t xml:space="preserve">industry-wide on April 6, 2026. </w:t>
      </w:r>
      <w:r>
        <w:t xml:space="preserve"> </w:t>
      </w:r>
      <w:r w:rsidRPr="003B2E20" w:rsidR="00B64BAA">
        <w:rPr>
          <w:i/>
        </w:rPr>
        <w:t>See</w:t>
      </w:r>
      <w:r>
        <w:t xml:space="preserve"> Federal Communications Commission, Incarcerated People’s Communication Services; Implementation of the Martha Wright-Reed Act; Rates for Interstate Inmate Calling Services, 90 Fed. Reg. 56013 (Dec. 5, 2025); </w:t>
      </w:r>
      <w:r>
        <w:rPr>
          <w:i/>
          <w:iCs/>
        </w:rPr>
        <w:t>2025 IPCS Order</w:t>
      </w:r>
      <w:r>
        <w:t xml:space="preserve"> at 43, para. 89.    </w:t>
      </w:r>
    </w:p>
  </w:footnote>
  <w:footnote w:id="62">
    <w:p w:rsidR="00B20C85" w:rsidP="00B20C85" w14:paraId="6F398A66" w14:textId="1DBC3C26">
      <w:pPr>
        <w:pStyle w:val="FootnoteText"/>
      </w:pPr>
      <w:r>
        <w:rPr>
          <w:rStyle w:val="FootnoteReference"/>
        </w:rPr>
        <w:footnoteRef/>
      </w:r>
      <w:r>
        <w:t xml:space="preserve"> Securus </w:t>
      </w:r>
      <w:r w:rsidR="00F93EDE">
        <w:t xml:space="preserve">Feb. 3, 2026 </w:t>
      </w:r>
      <w:r>
        <w:t xml:space="preserve">Comments at 27.  </w:t>
      </w:r>
    </w:p>
  </w:footnote>
  <w:footnote w:id="63">
    <w:p w:rsidR="00300706" w:rsidRPr="004D0B15" w:rsidP="00300706" w14:paraId="5B7E162D" w14:textId="41752858">
      <w:pPr>
        <w:pStyle w:val="FootnoteText"/>
      </w:pPr>
      <w:r w:rsidRPr="00AF713C">
        <w:rPr>
          <w:rStyle w:val="FootnoteReference"/>
          <w:sz w:val="20"/>
        </w:rPr>
        <w:footnoteRef/>
      </w:r>
      <w:r>
        <w:t xml:space="preserve"> </w:t>
      </w:r>
      <w:bookmarkStart w:id="2" w:name="_Hlk80879257"/>
      <w:r w:rsidRPr="003712D5" w:rsidR="004D6B93">
        <w:rPr>
          <w:i/>
          <w:iCs/>
        </w:rPr>
        <w:t>See infra</w:t>
      </w:r>
      <w:r w:rsidR="004D6B93">
        <w:t xml:space="preserve"> </w:t>
      </w:r>
      <w:r w:rsidRPr="00EE1F6B" w:rsidR="00EE1F6B">
        <w:t xml:space="preserve">Appx. A, Proposed Instructions at </w:t>
      </w:r>
      <w:r w:rsidRPr="003712D5" w:rsidR="009272B7">
        <w:t>6</w:t>
      </w:r>
      <w:r w:rsidR="00F90A3C">
        <w:t>.</w:t>
      </w:r>
      <w:r w:rsidR="00734668">
        <w:t xml:space="preserve"> </w:t>
      </w:r>
      <w:bookmarkEnd w:id="2"/>
    </w:p>
  </w:footnote>
  <w:footnote w:id="64">
    <w:p w:rsidR="00A16EC4" w:rsidRPr="00A16EC4" w14:paraId="527EF80F" w14:textId="76174F7F">
      <w:pPr>
        <w:pStyle w:val="FootnoteText"/>
      </w:pPr>
      <w:r>
        <w:rPr>
          <w:rStyle w:val="FootnoteReference"/>
        </w:rPr>
        <w:footnoteRef/>
      </w:r>
      <w:r>
        <w:t xml:space="preserve"> </w:t>
      </w:r>
      <w:r>
        <w:rPr>
          <w:i/>
          <w:iCs/>
        </w:rPr>
        <w:t>2024 IPCS Order</w:t>
      </w:r>
      <w:r>
        <w:t xml:space="preserve">, </w:t>
      </w:r>
      <w:r w:rsidR="007904FF">
        <w:t>39 FCC Rcd at 7945, para</w:t>
      </w:r>
      <w:r w:rsidR="004B6EBA">
        <w:t xml:space="preserve">. 575.  </w:t>
      </w:r>
    </w:p>
  </w:footnote>
  <w:footnote w:id="65">
    <w:p w:rsidR="00481593" w:rsidRPr="00481593" w14:paraId="7758CFD9" w14:textId="67050AF4">
      <w:pPr>
        <w:pStyle w:val="FootnoteText"/>
      </w:pPr>
      <w:r>
        <w:rPr>
          <w:rStyle w:val="FootnoteReference"/>
        </w:rPr>
        <w:footnoteRef/>
      </w:r>
      <w:r>
        <w:t xml:space="preserve"> </w:t>
      </w:r>
      <w:r>
        <w:rPr>
          <w:i/>
          <w:iCs/>
        </w:rPr>
        <w:t xml:space="preserve">2025 IPCS Order </w:t>
      </w:r>
      <w:r>
        <w:t xml:space="preserve">at </w:t>
      </w:r>
      <w:r w:rsidR="001845A4">
        <w:t xml:space="preserve">40, para. 81.  </w:t>
      </w:r>
    </w:p>
  </w:footnote>
  <w:footnote w:id="66">
    <w:p w:rsidR="00300706" w:rsidRPr="00917CE6" w:rsidP="00300706" w14:paraId="08B2EAA1" w14:textId="77777777">
      <w:pPr>
        <w:pStyle w:val="FootnoteText"/>
      </w:pPr>
      <w:r w:rsidRPr="00AF713C">
        <w:rPr>
          <w:rStyle w:val="FootnoteReference"/>
          <w:sz w:val="20"/>
        </w:rPr>
        <w:footnoteRef/>
      </w:r>
      <w:r w:rsidRPr="00917CE6">
        <w:t xml:space="preserve"> 47 CFR § 1.1200 </w:t>
      </w:r>
      <w:r w:rsidRPr="00917CE6">
        <w:rPr>
          <w:i/>
          <w:iCs/>
        </w:rPr>
        <w:t>et seq.</w:t>
      </w:r>
    </w:p>
  </w:footnote>
  <w:footnote w:id="67">
    <w:p w:rsidR="00300706" w:rsidRPr="00917CE6" w:rsidP="00300706" w14:paraId="52DFC541" w14:textId="77777777">
      <w:pPr>
        <w:pStyle w:val="FootnoteText"/>
      </w:pPr>
      <w:r w:rsidRPr="00AF713C">
        <w:rPr>
          <w:rStyle w:val="FootnoteReference"/>
          <w:sz w:val="20"/>
        </w:rPr>
        <w:footnoteRef/>
      </w:r>
      <w:r w:rsidRPr="00917CE6">
        <w:t xml:space="preserve"> 47 CFR § 1.1206(b).</w:t>
      </w:r>
    </w:p>
  </w:footnote>
  <w:footnote w:id="68">
    <w:p w:rsidR="00300706" w:rsidRPr="00917CE6" w:rsidP="00300706" w14:paraId="6D9F333D" w14:textId="77777777">
      <w:pPr>
        <w:pStyle w:val="FootnoteText"/>
      </w:pPr>
      <w:r w:rsidRPr="00E7521C">
        <w:rPr>
          <w:rStyle w:val="FootnoteReference"/>
          <w:sz w:val="20"/>
        </w:rPr>
        <w:footnoteRef/>
      </w:r>
      <w:r w:rsidRPr="00917CE6">
        <w:t xml:space="preserve"> </w:t>
      </w:r>
      <w:r w:rsidRPr="00917CE6">
        <w:rPr>
          <w:i/>
        </w:rPr>
        <w:t>See</w:t>
      </w:r>
      <w:r w:rsidRPr="00917CE6">
        <w:t xml:space="preserve"> 5 U.S.C. § 603.</w:t>
      </w:r>
    </w:p>
  </w:footnote>
  <w:footnote w:id="69">
    <w:p w:rsidR="00300706" w:rsidRPr="00917CE6" w:rsidP="00300706" w14:paraId="0F7DA931" w14:textId="77777777">
      <w:pPr>
        <w:pStyle w:val="FootnoteText"/>
      </w:pPr>
      <w:r w:rsidRPr="00E7521C">
        <w:rPr>
          <w:rStyle w:val="FootnoteReference"/>
          <w:sz w:val="20"/>
        </w:rPr>
        <w:footnoteRef/>
      </w:r>
      <w:r w:rsidRPr="00917CE6">
        <w:t xml:space="preserve"> </w:t>
      </w:r>
      <w:r w:rsidRPr="00917CE6">
        <w:rPr>
          <w:i/>
        </w:rPr>
        <w:t>See</w:t>
      </w:r>
      <w:r w:rsidRPr="00917CE6">
        <w:t xml:space="preserve"> </w:t>
      </w:r>
      <w:r>
        <w:rPr>
          <w:i/>
          <w:iCs/>
        </w:rPr>
        <w:t>id.</w:t>
      </w:r>
      <w:r w:rsidRPr="00917CE6">
        <w:t xml:space="preserve"> § 603(a).</w:t>
      </w:r>
    </w:p>
  </w:footnote>
  <w:footnote w:id="70">
    <w:p w:rsidR="00300706" w:rsidRPr="00917CE6" w:rsidP="00300706" w14:paraId="62D0845B" w14:textId="77777777">
      <w:pPr>
        <w:pStyle w:val="FootnoteText"/>
        <w:tabs>
          <w:tab w:val="left" w:pos="3123"/>
        </w:tabs>
      </w:pPr>
      <w:r w:rsidRPr="00E7521C">
        <w:rPr>
          <w:rStyle w:val="FootnoteReference"/>
          <w:sz w:val="20"/>
        </w:rPr>
        <w:footnoteRef/>
      </w:r>
      <w:r w:rsidRPr="00917CE6">
        <w:t xml:space="preserve"> </w:t>
      </w:r>
      <w:r w:rsidRPr="00917CE6">
        <w:rPr>
          <w:i/>
        </w:rPr>
        <w:t>Id.</w:t>
      </w:r>
    </w:p>
  </w:footnote>
  <w:footnote w:id="71">
    <w:p w:rsidR="00300706" w:rsidP="00300706" w14:paraId="747282CD" w14:textId="294B75A1">
      <w:pPr>
        <w:pStyle w:val="FootnoteText"/>
      </w:pPr>
      <w:r w:rsidRPr="003731E4">
        <w:rPr>
          <w:rStyle w:val="FootnoteReference"/>
          <w:sz w:val="20"/>
        </w:rPr>
        <w:footnoteRef/>
      </w:r>
      <w:r>
        <w:t xml:space="preserve"> Contemporaneously with the publication of this Public Notice in the Federal Register, we will publish a notice in the </w:t>
      </w:r>
      <w:r w:rsidRPr="001B7BF6">
        <w:t>Federal Register</w:t>
      </w:r>
      <w:r>
        <w:rPr>
          <w:i/>
          <w:iCs/>
        </w:rPr>
        <w:t xml:space="preserve"> </w:t>
      </w:r>
      <w:r>
        <w:t>seeking comment pursuant to the PRA on the information collection requirements for the proposed 202</w:t>
      </w:r>
      <w:r w:rsidR="00347938">
        <w:t>6</w:t>
      </w:r>
      <w:r>
        <w:t xml:space="preserve"> Mandatory Data Collection.  We will consider comments submitted in response to both Federal Register notices in finalizing this information collection for submission to OMB.</w:t>
      </w:r>
    </w:p>
  </w:footnote>
  <w:footnote w:id="72">
    <w:p w:rsidR="0032770E" w:rsidRPr="00F17E24" w:rsidP="0032770E" w14:paraId="35DD9B1D" w14:textId="77777777">
      <w:pPr>
        <w:pStyle w:val="FootnoteText"/>
      </w:pPr>
      <w:r>
        <w:rPr>
          <w:rStyle w:val="FootnoteReference"/>
        </w:rPr>
        <w:footnoteRef/>
      </w:r>
      <w:r>
        <w:rPr>
          <w:i/>
          <w:szCs w:val="22"/>
        </w:rPr>
        <w:t xml:space="preserve"> </w:t>
      </w:r>
      <w:r w:rsidRPr="00761377">
        <w:rPr>
          <w:szCs w:val="22"/>
        </w:rPr>
        <w:t xml:space="preserve">5 U.S.C. §§ 601 </w:t>
      </w:r>
      <w:r w:rsidRPr="00761377">
        <w:rPr>
          <w:i/>
          <w:szCs w:val="22"/>
        </w:rPr>
        <w:t>et seq</w:t>
      </w:r>
      <w:r w:rsidRPr="00761377">
        <w:rPr>
          <w:szCs w:val="22"/>
        </w:rPr>
        <w:t>., as amended by the Small Business Regulatory Enforcement and Fairness Act (SBREFA), Pub. L. No. 104-121, 110 Stat. 847 (199</w:t>
      </w:r>
      <w:r>
        <w:rPr>
          <w:szCs w:val="22"/>
        </w:rPr>
        <w:t>6)</w:t>
      </w:r>
      <w:r w:rsidRPr="00F17E24">
        <w:t>.</w:t>
      </w:r>
    </w:p>
  </w:footnote>
  <w:footnote w:id="73">
    <w:p w:rsidR="0032770E" w:rsidRPr="00F17E24" w:rsidP="0032770E" w14:paraId="119470D1" w14:textId="77777777">
      <w:pPr>
        <w:pStyle w:val="FootnoteText"/>
      </w:pPr>
      <w:r w:rsidRPr="00F17E24">
        <w:rPr>
          <w:rStyle w:val="FootnoteReference"/>
        </w:rPr>
        <w:footnoteRef/>
      </w:r>
      <w:r w:rsidRPr="00F17E24">
        <w:t xml:space="preserve"> </w:t>
      </w:r>
      <w:r>
        <w:rPr>
          <w:i/>
          <w:iCs/>
        </w:rPr>
        <w:t xml:space="preserve">Id. </w:t>
      </w:r>
      <w:r w:rsidRPr="00F17E24">
        <w:t>§ 603(a).</w:t>
      </w:r>
    </w:p>
  </w:footnote>
  <w:footnote w:id="74">
    <w:p w:rsidR="0032770E" w:rsidRPr="00F17E24" w:rsidP="0032770E" w14:paraId="06B8CE22" w14:textId="77777777">
      <w:pPr>
        <w:pStyle w:val="FootnoteText"/>
      </w:pPr>
      <w:r w:rsidRPr="00F17E24">
        <w:rPr>
          <w:rStyle w:val="FootnoteReference"/>
        </w:rPr>
        <w:footnoteRef/>
      </w:r>
      <w:r w:rsidRPr="00F17E24">
        <w:t xml:space="preserve"> </w:t>
      </w:r>
      <w:r>
        <w:rPr>
          <w:i/>
        </w:rPr>
        <w:t>I</w:t>
      </w:r>
      <w:r w:rsidRPr="00F17E24">
        <w:rPr>
          <w:i/>
        </w:rPr>
        <w:t>d</w:t>
      </w:r>
      <w:r w:rsidRPr="00F17E24">
        <w:t>.</w:t>
      </w:r>
    </w:p>
  </w:footnote>
  <w:footnote w:id="75">
    <w:p w:rsidR="00AE66B4" w14:paraId="75A3B671" w14:textId="6A3D584B">
      <w:pPr>
        <w:pStyle w:val="FootnoteText"/>
      </w:pPr>
      <w:r>
        <w:rPr>
          <w:rStyle w:val="FootnoteReference"/>
        </w:rPr>
        <w:footnoteRef/>
      </w:r>
      <w:r>
        <w:t xml:space="preserve"> </w:t>
      </w:r>
      <w:r w:rsidRPr="0005535D">
        <w:rPr>
          <w:i/>
          <w:iCs/>
        </w:rPr>
        <w:t>Incarcerated People’s Communications Services</w:t>
      </w:r>
      <w:r w:rsidRPr="0049397B">
        <w:t>;</w:t>
      </w:r>
      <w:r w:rsidRPr="0005535D">
        <w:rPr>
          <w:i/>
          <w:iCs/>
        </w:rPr>
        <w:t xml:space="preserve"> Implementation of the Martha Wright-Reed Act</w:t>
      </w:r>
      <w:r w:rsidRPr="0049397B">
        <w:t>;</w:t>
      </w:r>
      <w:r>
        <w:rPr>
          <w:i/>
          <w:iCs/>
        </w:rPr>
        <w:t xml:space="preserve"> Rates for Interstate Inmate Calling Services</w:t>
      </w:r>
      <w:r>
        <w:t>, WC Docket Nos. 23-62 and 12-375, Report and Order, Order on Reconsideration, Clarification and Waiver, and Further Notice of Proposed Rulemaking, 39 FCC Rcd 7647, 7944-45, para. 573 (</w:t>
      </w:r>
      <w:r>
        <w:rPr>
          <w:i/>
          <w:iCs/>
        </w:rPr>
        <w:t xml:space="preserve">2024 IPCS </w:t>
      </w:r>
      <w:r w:rsidRPr="00A16503">
        <w:rPr>
          <w:i/>
          <w:iCs/>
        </w:rPr>
        <w:t>Order</w:t>
      </w:r>
      <w:r>
        <w:t>).</w:t>
      </w:r>
    </w:p>
  </w:footnote>
  <w:footnote w:id="76">
    <w:p w:rsidR="00F43B8D" w14:paraId="7CF3726B" w14:textId="177951E1">
      <w:pPr>
        <w:pStyle w:val="FootnoteText"/>
      </w:pPr>
      <w:r>
        <w:rPr>
          <w:rStyle w:val="FootnoteReference"/>
        </w:rPr>
        <w:footnoteRef/>
      </w:r>
      <w:r>
        <w:t xml:space="preserve"> </w:t>
      </w:r>
      <w:r w:rsidRPr="0005535D" w:rsidR="00FA1B00">
        <w:rPr>
          <w:i/>
          <w:iCs/>
        </w:rPr>
        <w:t>Incarcerated People’s Communications Services</w:t>
      </w:r>
      <w:r w:rsidRPr="0049397B" w:rsidR="00FA1B00">
        <w:t>;</w:t>
      </w:r>
      <w:r w:rsidRPr="0005535D" w:rsidR="00FA1B00">
        <w:rPr>
          <w:i/>
          <w:iCs/>
        </w:rPr>
        <w:t xml:space="preserve"> Implementation of the Martha Wright-Reed Act</w:t>
      </w:r>
      <w:r w:rsidRPr="0049397B" w:rsidR="00FA1B00">
        <w:t>;</w:t>
      </w:r>
      <w:r w:rsidR="00FA1B00">
        <w:rPr>
          <w:i/>
          <w:iCs/>
        </w:rPr>
        <w:t xml:space="preserve"> Rates for Interstate Inmate Calling Services</w:t>
      </w:r>
      <w:r w:rsidR="00FA1B00">
        <w:t>, WC Docket Nos. 23-62 and12-375, Report and Order, Order on Reconsideration, and Further Notice of Proposed Rulemaking, FCC 25-75 at 40, para. 81 (2025) (</w:t>
      </w:r>
      <w:r w:rsidR="00FA1B00">
        <w:rPr>
          <w:i/>
          <w:iCs/>
        </w:rPr>
        <w:t xml:space="preserve">2025 IPCS </w:t>
      </w:r>
      <w:r w:rsidRPr="004F0EED" w:rsidR="00FA1B00">
        <w:rPr>
          <w:i/>
          <w:iCs/>
        </w:rPr>
        <w:t>Order</w:t>
      </w:r>
      <w:r w:rsidR="00FA1B00">
        <w:rPr>
          <w:i/>
          <w:iCs/>
        </w:rPr>
        <w:t xml:space="preserve"> </w:t>
      </w:r>
      <w:r w:rsidR="00FA1B00">
        <w:t xml:space="preserve">or </w:t>
      </w:r>
      <w:r w:rsidR="00FA1B00">
        <w:rPr>
          <w:i/>
          <w:iCs/>
        </w:rPr>
        <w:t xml:space="preserve">2025 IPCS </w:t>
      </w:r>
      <w:r w:rsidRPr="005F5A73" w:rsidR="00FA1B00">
        <w:rPr>
          <w:i/>
          <w:iCs/>
        </w:rPr>
        <w:t>Notice</w:t>
      </w:r>
      <w:r w:rsidR="00FA1B00">
        <w:t>).</w:t>
      </w:r>
    </w:p>
  </w:footnote>
  <w:footnote w:id="77">
    <w:p w:rsidR="005C0FE0" w:rsidRPr="0005535D" w:rsidP="005C0FE0" w14:paraId="76647AAB" w14:textId="7807FC83">
      <w:pPr>
        <w:pStyle w:val="FootnoteText"/>
        <w:rPr>
          <w:highlight w:val="yellow"/>
        </w:rPr>
      </w:pPr>
      <w:r w:rsidRPr="00AF713C">
        <w:rPr>
          <w:rStyle w:val="FootnoteReference"/>
          <w:sz w:val="20"/>
        </w:rPr>
        <w:footnoteRef/>
      </w:r>
      <w:r>
        <w:t xml:space="preserve"> </w:t>
      </w:r>
      <w:r>
        <w:rPr>
          <w:i/>
          <w:iCs/>
        </w:rPr>
        <w:t>2025 IPCS Order</w:t>
      </w:r>
      <w:r>
        <w:t xml:space="preserve"> at </w:t>
      </w:r>
      <w:r w:rsidR="001044B5">
        <w:t xml:space="preserve">40, para. 81; </w:t>
      </w:r>
      <w:r>
        <w:t xml:space="preserve">47 U.S.C. § 276(b)(1)(A); </w:t>
      </w:r>
      <w:r w:rsidRPr="00620A54">
        <w:t>Martha Wright-Reed Just and Reasonable Communications Act of 2022, Pub. L. No. 117-338, 136 Stat. 6156</w:t>
      </w:r>
      <w:r>
        <w:t xml:space="preserve">.  </w:t>
      </w:r>
    </w:p>
  </w:footnote>
  <w:footnote w:id="78">
    <w:p w:rsidR="00657E8E" w:rsidRPr="0040594B" w14:paraId="18678F8E" w14:textId="765EE95A">
      <w:pPr>
        <w:pStyle w:val="FootnoteText"/>
      </w:pPr>
      <w:r>
        <w:rPr>
          <w:rStyle w:val="FootnoteReference"/>
        </w:rPr>
        <w:footnoteRef/>
      </w:r>
      <w:r>
        <w:t xml:space="preserve"> </w:t>
      </w:r>
      <w:r w:rsidR="0040594B">
        <w:rPr>
          <w:i/>
          <w:iCs/>
        </w:rPr>
        <w:t xml:space="preserve">See </w:t>
      </w:r>
      <w:r w:rsidR="00874163">
        <w:rPr>
          <w:i/>
          <w:iCs/>
        </w:rPr>
        <w:t>supra</w:t>
      </w:r>
      <w:r w:rsidR="00874163">
        <w:t xml:space="preserve"> </w:t>
      </w:r>
      <w:r w:rsidR="0040594B">
        <w:t xml:space="preserve">Appx. A. </w:t>
      </w:r>
    </w:p>
  </w:footnote>
  <w:footnote w:id="79">
    <w:p w:rsidR="0032770E" w:rsidRPr="0010278D" w:rsidP="0032770E" w14:paraId="7AC89769" w14:textId="77777777">
      <w:pPr>
        <w:pStyle w:val="FootnoteText"/>
      </w:pPr>
      <w:r w:rsidRPr="0032770E">
        <w:rPr>
          <w:rStyle w:val="FootnoteReference"/>
        </w:rPr>
        <w:footnoteRef/>
      </w:r>
      <w:r w:rsidRPr="0010278D">
        <w:t xml:space="preserve"> 5 U.S.C. §</w:t>
      </w:r>
      <w:r>
        <w:t> </w:t>
      </w:r>
      <w:r w:rsidRPr="0010278D">
        <w:t xml:space="preserve">603(b)(3).  </w:t>
      </w:r>
    </w:p>
  </w:footnote>
  <w:footnote w:id="80">
    <w:p w:rsidR="0032770E" w:rsidRPr="0010278D" w:rsidP="0032770E" w14:paraId="7C6585A9" w14:textId="77777777">
      <w:pPr>
        <w:pStyle w:val="FootnoteText"/>
      </w:pPr>
      <w:r w:rsidRPr="0032770E">
        <w:rPr>
          <w:rStyle w:val="FootnoteReference"/>
        </w:rPr>
        <w:footnoteRef/>
      </w:r>
      <w:r w:rsidRPr="0010278D">
        <w:t xml:space="preserve"> </w:t>
      </w:r>
      <w:r>
        <w:rPr>
          <w:i/>
        </w:rPr>
        <w:t>I</w:t>
      </w:r>
      <w:r w:rsidRPr="00F17E24">
        <w:rPr>
          <w:i/>
        </w:rPr>
        <w:t>d</w:t>
      </w:r>
      <w:r w:rsidRPr="00F17E24">
        <w:t>.</w:t>
      </w:r>
      <w:r>
        <w:t xml:space="preserve"> </w:t>
      </w:r>
      <w:r w:rsidRPr="0010278D">
        <w:t>§</w:t>
      </w:r>
      <w:r>
        <w:t> </w:t>
      </w:r>
      <w:r w:rsidRPr="0010278D">
        <w:t xml:space="preserve">601(6).  </w:t>
      </w:r>
    </w:p>
  </w:footnote>
  <w:footnote w:id="81">
    <w:p w:rsidR="0032770E" w:rsidRPr="00D96898" w:rsidP="0032770E" w14:paraId="5DC5A199" w14:textId="77777777">
      <w:pPr>
        <w:pStyle w:val="FootnoteText"/>
      </w:pPr>
      <w:r w:rsidRPr="00D96898">
        <w:rPr>
          <w:rStyle w:val="FootnoteReference"/>
        </w:rPr>
        <w:footnoteRef/>
      </w:r>
      <w:r w:rsidRPr="00D96898">
        <w:t xml:space="preserve"> </w:t>
      </w:r>
      <w:r w:rsidRPr="00D96898">
        <w:rPr>
          <w:i/>
          <w:iCs/>
        </w:rPr>
        <w:t>Id</w:t>
      </w:r>
      <w:r w:rsidRPr="00D96898">
        <w:t>.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82">
    <w:p w:rsidR="0032770E" w:rsidRPr="00D96898" w:rsidP="0032770E" w14:paraId="01D55882" w14:textId="77777777">
      <w:pPr>
        <w:pStyle w:val="FootnoteText"/>
      </w:pPr>
      <w:r w:rsidRPr="00D96898">
        <w:rPr>
          <w:rStyle w:val="FootnoteReference"/>
        </w:rPr>
        <w:footnoteRef/>
      </w:r>
      <w:r w:rsidRPr="00D96898">
        <w:t xml:space="preserve"> 15 U.S.C. § 632.</w:t>
      </w:r>
    </w:p>
  </w:footnote>
  <w:footnote w:id="83">
    <w:p w:rsidR="0032770E" w:rsidP="0032770E" w14:paraId="70B1123F" w14:textId="77777777">
      <w:pPr>
        <w:pStyle w:val="FootnoteText"/>
      </w:pPr>
      <w:r w:rsidRPr="0032770E">
        <w:rPr>
          <w:rStyle w:val="FootnoteReference"/>
        </w:rPr>
        <w:footnoteRef/>
      </w:r>
      <w:r>
        <w:t xml:space="preserve"> </w:t>
      </w:r>
      <w:r w:rsidRPr="009A145B">
        <w:t>13 CFR</w:t>
      </w:r>
      <w:r>
        <w:t xml:space="preserve"> </w:t>
      </w:r>
      <w:r w:rsidRPr="009A145B">
        <w:t>121.903</w:t>
      </w:r>
      <w:r>
        <w:t>.</w:t>
      </w:r>
    </w:p>
  </w:footnote>
  <w:footnote w:id="84">
    <w:p w:rsidR="0032770E" w:rsidP="0032770E" w14:paraId="5415DC5F" w14:textId="77777777">
      <w:pPr>
        <w:pStyle w:val="FootnoteText"/>
      </w:pPr>
      <w:r w:rsidRPr="00363480">
        <w:rPr>
          <w:rStyle w:val="FootnoteReference"/>
          <w:rFonts w:eastAsia="Calibri"/>
        </w:rPr>
        <w:footnoteRef/>
      </w:r>
      <w:r>
        <w:t xml:space="preserve"> 5 U.S.C. </w:t>
      </w:r>
      <w:r w:rsidRPr="006B076E">
        <w:t>§</w:t>
      </w:r>
      <w:r>
        <w:t xml:space="preserve"> 601(3)-(6).</w:t>
      </w:r>
    </w:p>
  </w:footnote>
  <w:footnote w:id="85">
    <w:p w:rsidR="0032770E" w:rsidP="0032770E" w14:paraId="65B3FF0D" w14:textId="77777777">
      <w:pPr>
        <w:pStyle w:val="FootnoteText"/>
      </w:pPr>
      <w:r w:rsidRPr="00363480">
        <w:rPr>
          <w:rStyle w:val="FootnoteReference"/>
          <w:rFonts w:eastAsia="Calibri"/>
        </w:rPr>
        <w:footnoteRef/>
      </w:r>
      <w:r>
        <w:t xml:space="preserve"> </w:t>
      </w:r>
      <w:r w:rsidRPr="00231BAF">
        <w:rPr>
          <w:i/>
          <w:iCs/>
        </w:rPr>
        <w:t>See</w:t>
      </w:r>
      <w:r w:rsidRPr="00231BAF">
        <w:t xml:space="preserve"> SBA, Office of Advocacy, </w:t>
      </w:r>
      <w:r w:rsidRPr="00231BAF">
        <w:rPr>
          <w:i/>
          <w:iCs/>
        </w:rPr>
        <w:t xml:space="preserve">Frequently Asked Questions About Small Business </w:t>
      </w:r>
      <w:r w:rsidRPr="00231BAF">
        <w:t>(July</w:t>
      </w:r>
      <w:r>
        <w:t xml:space="preserve"> 23,</w:t>
      </w:r>
      <w:r w:rsidRPr="00231BAF">
        <w:t xml:space="preserve"> 2024), </w:t>
      </w:r>
      <w:hyperlink r:id="rId2" w:history="1">
        <w:r w:rsidRPr="00231BAF">
          <w:rPr>
            <w:rStyle w:val="Hyperlink"/>
          </w:rPr>
          <w:t>https://advocacy.sba.gov/wp-content/uploads/2024/12/Frequently-Asked-Questions-About-Small-Business_2024-508.pdf</w:t>
        </w:r>
      </w:hyperlink>
      <w:r w:rsidRPr="00231BAF">
        <w:t>.</w:t>
      </w:r>
    </w:p>
  </w:footnote>
  <w:footnote w:id="86">
    <w:p w:rsidR="0032770E" w:rsidP="0032770E" w14:paraId="454C8E0F" w14:textId="77777777">
      <w:pPr>
        <w:pStyle w:val="FootnoteText"/>
      </w:pPr>
      <w:r w:rsidRPr="0032770E">
        <w:rPr>
          <w:rStyle w:val="FootnoteReference"/>
        </w:rPr>
        <w:footnoteRef/>
      </w:r>
      <w:r>
        <w:t xml:space="preserve"> </w:t>
      </w:r>
      <w:r w:rsidRPr="0011527D">
        <w:rPr>
          <w:i/>
          <w:iCs/>
        </w:rPr>
        <w:t>Id</w:t>
      </w:r>
      <w:r>
        <w:t>.</w:t>
      </w:r>
    </w:p>
  </w:footnote>
  <w:footnote w:id="87">
    <w:p w:rsidR="0032770E" w:rsidRPr="00A053B8" w:rsidP="0032770E" w14:paraId="24F2A45A" w14:textId="77777777">
      <w:pPr>
        <w:pStyle w:val="FootnoteText"/>
      </w:pPr>
      <w:r w:rsidRPr="00A053B8">
        <w:rPr>
          <w:rStyle w:val="FootnoteReference"/>
          <w:rFonts w:eastAsia="Calibri"/>
        </w:rPr>
        <w:footnoteRef/>
      </w:r>
      <w:r w:rsidRPr="00A053B8">
        <w:t xml:space="preserve"> </w:t>
      </w:r>
      <w:r w:rsidRPr="00A053B8">
        <w:rPr>
          <w:spacing w:val="-2"/>
        </w:rPr>
        <w:t>5 U.S.C.</w:t>
      </w:r>
      <w:r w:rsidRPr="00A053B8">
        <w:t xml:space="preserve"> § 601(4).</w:t>
      </w:r>
    </w:p>
  </w:footnote>
  <w:footnote w:id="88">
    <w:p w:rsidR="0032770E" w:rsidP="0032770E" w14:paraId="0B97CE71" w14:textId="77777777">
      <w:pPr>
        <w:pStyle w:val="FootnoteText"/>
      </w:pPr>
      <w:r w:rsidRPr="0032770E">
        <w:rPr>
          <w:rStyle w:val="FootnoteReference"/>
        </w:rPr>
        <w:footnoteRef/>
      </w:r>
      <w:r w:rsidRPr="00B31687">
        <w:t xml:space="preserve"> </w:t>
      </w:r>
      <w:r w:rsidRPr="00B31687">
        <w:rPr>
          <w:i/>
          <w:iCs/>
        </w:rPr>
        <w:t xml:space="preserve">See </w:t>
      </w:r>
      <w:r w:rsidRPr="00B31687">
        <w:t xml:space="preserve">SBA, Office of Advocacy, </w:t>
      </w:r>
      <w:r w:rsidRPr="00B31687">
        <w:rPr>
          <w:i/>
          <w:iCs/>
        </w:rPr>
        <w:t>Small Business Facts, Spotlight on Nonprofits</w:t>
      </w:r>
      <w:r w:rsidRPr="00B31687">
        <w:t xml:space="preserve"> (July 2019), </w:t>
      </w:r>
      <w:hyperlink r:id="rId3" w:history="1">
        <w:r w:rsidRPr="00B31687">
          <w:rPr>
            <w:rStyle w:val="Hyperlink"/>
          </w:rPr>
          <w:t>https://advocacy.sba.gov/2019/07/25/small-business-facts-spotlight-on-nonprofits/</w:t>
        </w:r>
      </w:hyperlink>
      <w:r w:rsidRPr="00B31687">
        <w:t>.</w:t>
      </w:r>
      <w:r>
        <w:t xml:space="preserve">  </w:t>
      </w:r>
    </w:p>
  </w:footnote>
  <w:footnote w:id="89">
    <w:p w:rsidR="0032770E" w:rsidRPr="00A053B8" w:rsidP="0032770E" w14:paraId="59D76BF0" w14:textId="77777777">
      <w:pPr>
        <w:pStyle w:val="FootnoteText"/>
      </w:pPr>
      <w:r w:rsidRPr="00A053B8">
        <w:rPr>
          <w:rStyle w:val="FootnoteReference"/>
          <w:rFonts w:eastAsia="Calibri"/>
          <w:spacing w:val="-2"/>
        </w:rPr>
        <w:footnoteRef/>
      </w:r>
      <w:r w:rsidRPr="00A053B8">
        <w:t xml:space="preserve"> 5 U.S.C. § 601(5).</w:t>
      </w:r>
    </w:p>
  </w:footnote>
  <w:footnote w:id="90">
    <w:p w:rsidR="0032770E" w:rsidP="0032770E" w14:paraId="3854BA71" w14:textId="77777777">
      <w:pPr>
        <w:pStyle w:val="FootnoteText"/>
      </w:pPr>
      <w:r w:rsidRPr="0032770E">
        <w:rPr>
          <w:rStyle w:val="FootnoteReference"/>
        </w:rPr>
        <w:footnoteRef/>
      </w:r>
      <w:r>
        <w:t xml:space="preserve"> </w:t>
      </w:r>
      <w:r w:rsidRPr="00A053B8">
        <w:rPr>
          <w:i/>
        </w:rPr>
        <w:t>See</w:t>
      </w:r>
      <w:r w:rsidRPr="00A053B8">
        <w:t xml:space="preserve"> U.S. Census Bureau, 2022 Census of Governments –</w:t>
      </w:r>
      <w:r>
        <w:t xml:space="preserve">Organization, </w:t>
      </w:r>
      <w:hyperlink r:id="rId4" w:history="1">
        <w:r w:rsidRPr="00A053B8">
          <w:rPr>
            <w:rStyle w:val="Hyperlink"/>
          </w:rPr>
          <w:t>https://www.census.gov/data/tables/2022/econ/gus/2022-governments.html</w:t>
        </w:r>
      </w:hyperlink>
      <w:r>
        <w:t>, tables 1-11</w:t>
      </w:r>
      <w:r w:rsidRPr="00A053B8">
        <w:t xml:space="preserve">.  </w:t>
      </w:r>
    </w:p>
  </w:footnote>
  <w:footnote w:id="91">
    <w:p w:rsidR="0032770E" w:rsidRPr="001362BE" w:rsidP="0032770E" w14:paraId="25815C3E" w14:textId="77777777">
      <w:pPr>
        <w:pStyle w:val="FootnoteText"/>
      </w:pPr>
      <w:r w:rsidRPr="0032770E">
        <w:rPr>
          <w:rStyle w:val="FootnoteReference"/>
        </w:rPr>
        <w:footnoteRef/>
      </w:r>
      <w:r>
        <w:t xml:space="preserve"> </w:t>
      </w:r>
      <w:r w:rsidRPr="001362BE">
        <w:t>The North American Industry Classification System (NAICS) is the standard used by Federal statistical agencies in classifying business establishments for the purpose of collecting, analyzing, and publishing statistical data related to the U.S. business economy.</w:t>
      </w:r>
      <w:r>
        <w:t xml:space="preserve">  </w:t>
      </w:r>
      <w:r>
        <w:rPr>
          <w:i/>
          <w:iCs/>
        </w:rPr>
        <w:t xml:space="preserve">See </w:t>
      </w:r>
      <w:hyperlink r:id="rId5" w:history="1">
        <w:r w:rsidRPr="00686F6D">
          <w:rPr>
            <w:rStyle w:val="Hyperlink"/>
          </w:rPr>
          <w:t>www.census.gov/NAICS</w:t>
        </w:r>
      </w:hyperlink>
      <w:r>
        <w:t xml:space="preserve"> for further details regarding the NAICS codes identified in this chart.</w:t>
      </w:r>
    </w:p>
  </w:footnote>
  <w:footnote w:id="92">
    <w:p w:rsidR="0032770E" w:rsidP="0032770E" w14:paraId="6EBC6C2B" w14:textId="77777777">
      <w:pPr>
        <w:pStyle w:val="FootnoteText"/>
      </w:pPr>
      <w:r w:rsidRPr="0032770E">
        <w:rPr>
          <w:rStyle w:val="FootnoteReference"/>
        </w:rPr>
        <w:footnoteRef/>
      </w:r>
      <w:r>
        <w:t xml:space="preserve"> The size standards in this chart are set forth in </w:t>
      </w:r>
      <w:r w:rsidRPr="001E35D8">
        <w:t>13 CFR 121</w:t>
      </w:r>
      <w:r>
        <w:t>.201, by six digit North American Industrial Classification System (NAICS) code.</w:t>
      </w:r>
    </w:p>
  </w:footnote>
  <w:footnote w:id="93">
    <w:p w:rsidR="009B0C91" w:rsidP="009B0C91" w14:paraId="0D42F11B" w14:textId="77777777">
      <w:pPr>
        <w:pStyle w:val="FootnoteText"/>
        <w:spacing w:before="120"/>
      </w:pPr>
      <w:r w:rsidRPr="009B0C91">
        <w:rPr>
          <w:rStyle w:val="FootnoteReference"/>
        </w:rPr>
        <w:footnoteRef/>
      </w:r>
      <w:r>
        <w:t xml:space="preserve"> </w:t>
      </w:r>
      <w:r>
        <w:rPr>
          <w:i/>
          <w:iCs/>
        </w:rPr>
        <w:t>U.S. Census Bureau</w:t>
      </w:r>
      <w:r>
        <w:t>, “</w:t>
      </w:r>
      <w:r>
        <w:rPr>
          <w:i/>
          <w:iCs/>
        </w:rPr>
        <w:t>Selected Sectors: Employment Size of Firms for the U.S.: 2022</w:t>
      </w:r>
      <w:r>
        <w:t xml:space="preserve">.” Economic Census, ECN Core Statistics Economic Census: Establishment and Firm Size Statistics for the U.S., Table EC2200SIZEEMPFIRM, 2025, </w:t>
      </w:r>
      <w:r>
        <w:rPr>
          <w:i/>
          <w:iCs/>
        </w:rPr>
        <w:t>and</w:t>
      </w:r>
      <w:r>
        <w:t xml:space="preserve"> “</w:t>
      </w:r>
      <w:r>
        <w:rPr>
          <w:i/>
          <w:iCs/>
        </w:rPr>
        <w:t>Selected Sectors: Sales, Value of Shipments, or Revenue Size of Firms for the U.S.: 2022</w:t>
      </w:r>
      <w:r>
        <w:t xml:space="preserve">.” Economic Census, ECN Core Statistics Economic Census: Establishment and Firm Size Statistics for the U.S., Table EC2200SIZEREVFIRM, 2025. </w:t>
      </w:r>
    </w:p>
  </w:footnote>
  <w:footnote w:id="94">
    <w:p w:rsidR="009B0C91" w:rsidP="009B0C91" w14:paraId="5C2849E3" w14:textId="77777777">
      <w:pPr>
        <w:pStyle w:val="FootnoteText"/>
        <w:spacing w:before="120"/>
      </w:pPr>
      <w:r w:rsidRPr="009B0C91">
        <w:rPr>
          <w:rStyle w:val="FootnoteReference"/>
        </w:rPr>
        <w:footnoteRef/>
      </w:r>
      <w:r>
        <w:t xml:space="preserve"> </w:t>
      </w:r>
      <w:r>
        <w:rPr>
          <w:i/>
          <w:iCs/>
        </w:rPr>
        <w:t xml:space="preserve">Id. </w:t>
      </w:r>
    </w:p>
  </w:footnote>
  <w:footnote w:id="95">
    <w:p w:rsidR="009B0C91" w:rsidP="009B0C91" w14:paraId="10A76255" w14:textId="77777777">
      <w:pPr>
        <w:pStyle w:val="FootnoteText"/>
        <w:spacing w:before="120"/>
      </w:pPr>
      <w:r>
        <w:rPr>
          <w:rStyle w:val="FootnoteReference"/>
        </w:rPr>
        <w:footnoteRef/>
      </w:r>
      <w:r>
        <w:t xml:space="preserve"> Affected Entities in this industry include Competitive Local Exchange Carriers (CLECs), Incumbent Local Exchange Carriers (Incumbent LECs), Interexchange Carriers (IXCs), Local Exchange Carriers (LECs), and Other Toll Carriers.</w:t>
      </w:r>
    </w:p>
  </w:footnote>
  <w:footnote w:id="96">
    <w:p w:rsidR="009B0C91" w:rsidP="009B0C91" w14:paraId="00741AB1" w14:textId="77777777">
      <w:pPr>
        <w:pStyle w:val="FootnoteText"/>
        <w:spacing w:before="120"/>
      </w:pPr>
      <w:r>
        <w:rPr>
          <w:rStyle w:val="FootnoteReference"/>
        </w:rPr>
        <w:footnoteRef/>
      </w:r>
      <w:r>
        <w:t xml:space="preserve"> Affected Entities in this industry include Local Resellers, Payphone Service Providers, and Toll Resellers. </w:t>
      </w:r>
    </w:p>
  </w:footnote>
  <w:footnote w:id="97">
    <w:p w:rsidR="009B0C91" w:rsidP="009B0C91" w14:paraId="0130BA8B" w14:textId="77777777">
      <w:pPr>
        <w:pStyle w:val="FootnoteText"/>
        <w:spacing w:before="120"/>
      </w:pPr>
      <w:r>
        <w:rPr>
          <w:rStyle w:val="FootnoteReference"/>
        </w:rPr>
        <w:footnoteRef/>
      </w:r>
      <w:r>
        <w:t xml:space="preserve"> Affected Entities in this industry include Telecommunications Relay Service (TRS) Providers. </w:t>
      </w:r>
    </w:p>
  </w:footnote>
  <w:footnote w:id="98">
    <w:p w:rsidR="009B0C91" w:rsidP="009B0C91" w14:paraId="4571097D" w14:textId="77777777">
      <w:pPr>
        <w:pStyle w:val="FootnoteText"/>
      </w:pPr>
      <w:r w:rsidRPr="009B0C91">
        <w:rPr>
          <w:rStyle w:val="FootnoteReference"/>
        </w:rPr>
        <w:footnoteRef/>
      </w:r>
      <w:r>
        <w:t xml:space="preserve"> </w:t>
      </w:r>
      <w:r>
        <w:rPr>
          <w:iCs/>
        </w:rPr>
        <w:t xml:space="preserve">Federal-State Joint Board on Universal Service, Universal Service Monitoring Report at 26, Table 1.12 (2024), </w:t>
      </w:r>
      <w:hyperlink r:id="rId6" w:history="1">
        <w:r>
          <w:rPr>
            <w:rStyle w:val="Hyperlink"/>
          </w:rPr>
          <w:t>https://docs.fcc.gov/public/attachments/DOC-408848A1.pdf</w:t>
        </w:r>
      </w:hyperlink>
      <w:r>
        <w:t>.</w:t>
      </w:r>
    </w:p>
  </w:footnote>
  <w:footnote w:id="99">
    <w:p w:rsidR="009B0C91" w:rsidP="009B0C91" w14:paraId="1C85DF15" w14:textId="77777777">
      <w:pPr>
        <w:pStyle w:val="FootnoteText"/>
      </w:pPr>
      <w:r w:rsidRPr="009B0C91">
        <w:rPr>
          <w:rStyle w:val="FootnoteReference"/>
        </w:rPr>
        <w:footnoteRef/>
      </w:r>
      <w:r>
        <w:t xml:space="preserve"> Affected Entities in this industry include all reporting local competitive service providers.</w:t>
      </w:r>
    </w:p>
  </w:footnote>
  <w:footnote w:id="100">
    <w:p w:rsidR="009B0C91" w:rsidP="009B0C91" w14:paraId="56CBEB9D" w14:textId="77777777">
      <w:pPr>
        <w:pStyle w:val="FootnoteText"/>
      </w:pPr>
      <w:r w:rsidRPr="009B0C91">
        <w:rPr>
          <w:rStyle w:val="FootnoteReference"/>
        </w:rPr>
        <w:footnoteRef/>
      </w:r>
      <w:r>
        <w:t xml:space="preserve"> Affected Entities in this industry include all reporting fixed local service providers (CLECs &amp; ILECs).</w:t>
      </w:r>
    </w:p>
  </w:footnote>
  <w:footnote w:id="101">
    <w:p w:rsidR="009B0C91" w:rsidP="009B0C91" w14:paraId="681ACEB5" w14:textId="77777777">
      <w:pPr>
        <w:pStyle w:val="FootnoteText"/>
        <w:rPr>
          <w:b/>
          <w:bCs/>
        </w:rPr>
      </w:pPr>
      <w:r w:rsidRPr="009B0C91">
        <w:rPr>
          <w:rStyle w:val="FootnoteReference"/>
        </w:rPr>
        <w:footnoteRef/>
      </w:r>
      <w:r>
        <w:t xml:space="preserve"> Local Resellers fall into another U.S. Census Bureau industry (Telecommunications Resellers) and therefore data for these providers is not included in this industry.  </w:t>
      </w:r>
    </w:p>
  </w:footnote>
  <w:footnote w:id="102">
    <w:p w:rsidR="009B0C91" w:rsidP="009B0C91" w14:paraId="6778EC70" w14:textId="77777777">
      <w:pPr>
        <w:pStyle w:val="FootnoteText"/>
      </w:pPr>
      <w:r w:rsidRPr="009B0C91">
        <w:rPr>
          <w:rStyle w:val="FootnoteReference"/>
        </w:rPr>
        <w:footnoteRef/>
      </w:r>
      <w:r>
        <w:t xml:space="preserve"> Affected Entities in this industry include all reporting wireless carriers and service providers.</w:t>
      </w:r>
    </w:p>
  </w:footnote>
  <w:footnote w:id="103">
    <w:p w:rsidR="0032770E" w:rsidP="0032770E" w14:paraId="454BA870" w14:textId="77777777">
      <w:pPr>
        <w:pStyle w:val="FootnoteText"/>
      </w:pPr>
      <w:r>
        <w:rPr>
          <w:rStyle w:val="FootnoteReference"/>
        </w:rPr>
        <w:footnoteRef/>
      </w:r>
      <w:r>
        <w:t xml:space="preserve"> </w:t>
      </w:r>
      <w:r w:rsidRPr="00590DB1">
        <w:rPr>
          <w:iCs/>
        </w:rPr>
        <w:t>5 U.S.C.</w:t>
      </w:r>
      <w:r>
        <w:rPr>
          <w:i/>
        </w:rPr>
        <w:t xml:space="preserve"> </w:t>
      </w:r>
      <w:r w:rsidRPr="00F17E24">
        <w:t>§ 603(b)(</w:t>
      </w:r>
      <w:r>
        <w:t>4</w:t>
      </w:r>
      <w:r w:rsidRPr="00F17E24">
        <w:t>)</w:t>
      </w:r>
      <w:r>
        <w:t xml:space="preserve">. </w:t>
      </w:r>
    </w:p>
  </w:footnote>
  <w:footnote w:id="104">
    <w:p w:rsidR="0032770E" w:rsidP="0032770E" w14:paraId="0289BB51" w14:textId="77777777">
      <w:pPr>
        <w:pStyle w:val="FootnoteText"/>
      </w:pPr>
      <w:r>
        <w:rPr>
          <w:rStyle w:val="FootnoteReference"/>
        </w:rPr>
        <w:footnoteRef/>
      </w:r>
      <w:r>
        <w:t xml:space="preserve"> </w:t>
      </w:r>
      <w:bookmarkStart w:id="70" w:name="_Hlk206507688"/>
      <w:r>
        <w:rPr>
          <w:iCs/>
        </w:rPr>
        <w:t>5 U.S.C</w:t>
      </w:r>
      <w:r>
        <w:rPr>
          <w:i/>
        </w:rPr>
        <w:t xml:space="preserve">. </w:t>
      </w:r>
      <w:r w:rsidRPr="00F17E24">
        <w:t>§ 603(</w:t>
      </w:r>
      <w:r>
        <w:t>c</w:t>
      </w:r>
      <w:r w:rsidRPr="00F17E24">
        <w:t>)</w:t>
      </w:r>
      <w:r>
        <w:t>.</w:t>
      </w:r>
      <w:bookmarkEnd w:id="70"/>
    </w:p>
  </w:footnote>
  <w:footnote w:id="105">
    <w:p w:rsidR="0032770E" w:rsidP="0032770E" w14:paraId="78E3B1BE" w14:textId="77777777">
      <w:pPr>
        <w:pStyle w:val="FootnoteText"/>
      </w:pPr>
      <w:r>
        <w:rPr>
          <w:rStyle w:val="FootnoteReference"/>
        </w:rPr>
        <w:footnoteRef/>
      </w:r>
      <w:r>
        <w:t xml:space="preserve"> </w:t>
      </w:r>
      <w:r>
        <w:rPr>
          <w:i/>
          <w:iCs/>
        </w:rPr>
        <w:t>Id.</w:t>
      </w:r>
      <w:r>
        <w:t xml:space="preserve"> § 603(c)(1)-</w:t>
      </w:r>
      <w:r w:rsidRPr="00884C40">
        <w:t>(4).</w:t>
      </w:r>
    </w:p>
  </w:footnote>
  <w:footnote w:id="106">
    <w:p w:rsidR="00312593" w14:paraId="20ACF2E0" w14:textId="29F3999B">
      <w:pPr>
        <w:pStyle w:val="FootnoteText"/>
      </w:pPr>
      <w:r>
        <w:rPr>
          <w:rStyle w:val="FootnoteReference"/>
        </w:rPr>
        <w:footnoteRef/>
      </w:r>
      <w:r>
        <w:t xml:space="preserve"> </w:t>
      </w:r>
      <w:r w:rsidRPr="002316F4" w:rsidR="007A1214">
        <w:rPr>
          <w:i/>
          <w:iCs/>
        </w:rPr>
        <w:t>2025 IPCS Order</w:t>
      </w:r>
      <w:r w:rsidR="007A1214">
        <w:t xml:space="preserve"> at </w:t>
      </w:r>
      <w:r w:rsidR="00EC09D1">
        <w:t>40</w:t>
      </w:r>
      <w:r w:rsidR="007A1214">
        <w:t xml:space="preserve">, </w:t>
      </w:r>
      <w:r w:rsidRPr="00813354" w:rsidR="007A1214">
        <w:t xml:space="preserve">para. </w:t>
      </w:r>
      <w:r w:rsidRPr="00813354" w:rsidR="00EC09D1">
        <w:t>81</w:t>
      </w:r>
      <w:r w:rsidRPr="00813354" w:rsidR="007A1214">
        <w:t>.</w:t>
      </w:r>
      <w:r w:rsidR="007A1214">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B6985A6" w14:textId="39F41D01">
    <w:pPr>
      <w:tabs>
        <w:tab w:val="center" w:pos="4680"/>
        <w:tab w:val="right" w:pos="9360"/>
      </w:tabs>
    </w:pPr>
    <w:r>
      <w:rPr>
        <w:b/>
      </w:rPr>
      <w:tab/>
      <w:t>Federal Communications Commission</w:t>
    </w:r>
    <w:r>
      <w:rPr>
        <w:b/>
      </w:rPr>
      <w:tab/>
    </w:r>
    <w:r w:rsidR="00C012E8">
      <w:rPr>
        <w:b/>
      </w:rPr>
      <w:t>DA</w:t>
    </w:r>
    <w:r w:rsidRPr="00A71916" w:rsidR="00A71916">
      <w:t xml:space="preserve"> </w:t>
    </w:r>
    <w:r w:rsidRPr="00A71916" w:rsidR="00A71916">
      <w:rPr>
        <w:b/>
      </w:rPr>
      <w:t>26-567</w:t>
    </w:r>
  </w:p>
  <w:p w:rsidR="00BA3BA8" w14:paraId="3A38F078" w14:textId="59A9543F">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356E0A27" w14:textId="77777777">
    <w:pPr>
      <w:spacing w:before="40"/>
      <w:rPr>
        <w:rFonts w:ascii="Arial" w:hAnsi="Arial" w:cs="Arial"/>
        <w:b/>
        <w:sz w:val="20"/>
      </w:rPr>
    </w:pPr>
  </w:p>
  <w:p w:rsidR="00A47F1A" w14:paraId="2CB3D077" w14:textId="7777777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27024E8A" w14:textId="57BECDAC">
    <w:pPr>
      <w:pStyle w:val="Header"/>
    </w:pPr>
    <w:r>
      <w:rPr>
        <w:noProof/>
      </w:rPr>
      <w:drawing>
        <wp:inline distT="0" distB="0" distL="0" distR="0">
          <wp:extent cx="5952490" cy="14319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2490" cy="143192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47F1A" w:rsidP="00A47F1A" w14:paraId="2BFD59AE" w14:textId="77777777">
    <w:pPr>
      <w:tabs>
        <w:tab w:val="center" w:pos="4680"/>
        <w:tab w:val="right" w:pos="9360"/>
      </w:tabs>
    </w:pPr>
    <w:r>
      <w:rPr>
        <w:b/>
      </w:rPr>
      <w:tab/>
      <w:t>Federal Communications Commission</w:t>
    </w:r>
    <w:r>
      <w:rPr>
        <w:b/>
      </w:rPr>
      <w:tab/>
      <w:t>DA-XXXX</w:t>
    </w:r>
  </w:p>
  <w:p w:rsidR="00A47F1A" w:rsidRPr="00A47F1A" w:rsidP="00A47F1A" w14:paraId="4677BCB7" w14:textId="563580CC">
    <w:pPr>
      <w:tabs>
        <w:tab w:val="left" w:pos="-720"/>
      </w:tabs>
      <w:suppressAutoHyphens/>
      <w:spacing w:line="19" w:lineRule="exact"/>
      <w:rPr>
        <w:spacing w:val="-2"/>
      </w:rPr>
    </w:pP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1377538477"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3D52A25"/>
    <w:multiLevelType w:val="hybridMultilevel"/>
    <w:tmpl w:val="FCC018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0AB866E4"/>
    <w:multiLevelType w:val="hybridMultilevel"/>
    <w:tmpl w:val="1AAA373C"/>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0CB81A82"/>
    <w:multiLevelType w:val="hybridMultilevel"/>
    <w:tmpl w:val="4CB2994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0FB849C0"/>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6">
    <w:nsid w:val="248246F3"/>
    <w:multiLevelType w:val="singleLevel"/>
    <w:tmpl w:val="B1F45678"/>
    <w:lvl w:ilvl="0">
      <w:start w:val="1"/>
      <w:numFmt w:val="decimal"/>
      <w:lvlText w:val="%1."/>
      <w:lvlJc w:val="left"/>
      <w:pPr>
        <w:tabs>
          <w:tab w:val="num" w:pos="1080"/>
        </w:tabs>
        <w:ind w:left="0" w:firstLine="720"/>
      </w:pPr>
    </w:lvl>
  </w:abstractNum>
  <w:abstractNum w:abstractNumId="7">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8">
    <w:nsid w:val="2BD94FC4"/>
    <w:multiLevelType w:val="singleLevel"/>
    <w:tmpl w:val="B99655D6"/>
    <w:lvl w:ilvl="0">
      <w:start w:val="1"/>
      <w:numFmt w:val="decimal"/>
      <w:lvlText w:val="%1."/>
      <w:lvlJc w:val="left"/>
      <w:pPr>
        <w:tabs>
          <w:tab w:val="num" w:pos="1080"/>
        </w:tabs>
        <w:ind w:left="0" w:firstLine="720"/>
      </w:pPr>
      <w:rPr>
        <w:rFonts w:hint="default"/>
        <w:b w:val="0"/>
        <w:bCs w:val="0"/>
      </w:rPr>
    </w:lvl>
  </w:abstractNum>
  <w:abstractNum w:abstractNumId="9">
    <w:nsid w:val="3BA44D27"/>
    <w:multiLevelType w:val="hybridMultilevel"/>
    <w:tmpl w:val="D6785E2E"/>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0">
    <w:nsid w:val="3C000E44"/>
    <w:multiLevelType w:val="singleLevel"/>
    <w:tmpl w:val="B99655D6"/>
    <w:lvl w:ilvl="0">
      <w:start w:val="1"/>
      <w:numFmt w:val="decimal"/>
      <w:lvlText w:val="%1."/>
      <w:lvlJc w:val="left"/>
      <w:pPr>
        <w:tabs>
          <w:tab w:val="num" w:pos="1080"/>
        </w:tabs>
        <w:ind w:left="0" w:firstLine="720"/>
      </w:pPr>
      <w:rPr>
        <w:rFonts w:hint="default"/>
        <w:b w:val="0"/>
        <w:bCs w:val="0"/>
      </w:rPr>
    </w:lvl>
  </w:abstractNum>
  <w:abstractNum w:abstractNumId="11">
    <w:nsid w:val="4BDE401D"/>
    <w:multiLevelType w:val="hybridMultilevel"/>
    <w:tmpl w:val="91F4C03C"/>
    <w:lvl w:ilvl="0">
      <w:start w:val="1"/>
      <w:numFmt w:val="decimal"/>
      <w:lvlText w:val="%1."/>
      <w:lvlJc w:val="left"/>
      <w:pPr>
        <w:tabs>
          <w:tab w:val="num" w:pos="1080"/>
        </w:tabs>
        <w:ind w:left="0" w:firstLine="720"/>
      </w:pPr>
      <w:rPr>
        <w:rFonts w:hint="default"/>
      </w:rPr>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2">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3">
    <w:nsid w:val="562B71F3"/>
    <w:multiLevelType w:val="hybridMultilevel"/>
    <w:tmpl w:val="A6A8F882"/>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14">
    <w:nsid w:val="5DBB0BDE"/>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16">
    <w:nsid w:val="747B6253"/>
    <w:multiLevelType w:val="hybridMultilevel"/>
    <w:tmpl w:val="B5900848"/>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17">
    <w:nsid w:val="78605ED7"/>
    <w:multiLevelType w:val="hybridMultilevel"/>
    <w:tmpl w:val="FFFFFFFF"/>
    <w:lvl w:ilvl="0">
      <w:start w:val="1"/>
      <w:numFmt w:val="decimal"/>
      <w:lvlText w:val="%1."/>
      <w:lvlJc w:val="left"/>
      <w:pPr>
        <w:ind w:left="720" w:hanging="360"/>
      </w:pPr>
    </w:lvl>
    <w:lvl w:ilvl="1">
      <w:start w:val="1"/>
      <w:numFmt w:val="upperRoman"/>
      <w:lvlText w:val="%2."/>
      <w:lvlJc w:val="righ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7F1F23A4"/>
    <w:multiLevelType w:val="hybridMultilevel"/>
    <w:tmpl w:val="B2420A54"/>
    <w:lvl w:ilvl="0">
      <w:start w:val="1"/>
      <w:numFmt w:val="decimal"/>
      <w:lvlText w:val="(%1)"/>
      <w:lvlJc w:val="right"/>
      <w:pPr>
        <w:ind w:left="720" w:hanging="360"/>
      </w:pPr>
      <w:rPr>
        <w:rFonts w:hint="default"/>
        <w:b w:val="0"/>
        <w:bCs/>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num w:numId="1" w16cid:durableId="1047484746">
    <w:abstractNumId w:val="5"/>
  </w:num>
  <w:num w:numId="2" w16cid:durableId="1173959642">
    <w:abstractNumId w:val="15"/>
  </w:num>
  <w:num w:numId="3" w16cid:durableId="2026662805">
    <w:abstractNumId w:val="7"/>
  </w:num>
  <w:num w:numId="4" w16cid:durableId="217865478">
    <w:abstractNumId w:val="12"/>
  </w:num>
  <w:num w:numId="5" w16cid:durableId="1896314027">
    <w:abstractNumId w:val="6"/>
  </w:num>
  <w:num w:numId="6" w16cid:durableId="588004713">
    <w:abstractNumId w:val="1"/>
  </w:num>
  <w:num w:numId="7" w16cid:durableId="454911452">
    <w:abstractNumId w:val="4"/>
  </w:num>
  <w:num w:numId="8" w16cid:durableId="962079876">
    <w:abstractNumId w:val="17"/>
  </w:num>
  <w:num w:numId="9" w16cid:durableId="1072240301">
    <w:abstractNumId w:val="14"/>
  </w:num>
  <w:num w:numId="10" w16cid:durableId="20706143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34005881">
    <w:abstractNumId w:val="13"/>
  </w:num>
  <w:num w:numId="12" w16cid:durableId="971323652">
    <w:abstractNumId w:val="0"/>
  </w:num>
  <w:num w:numId="13" w16cid:durableId="1316105658">
    <w:abstractNumId w:val="16"/>
  </w:num>
  <w:num w:numId="14" w16cid:durableId="1361128993">
    <w:abstractNumId w:val="2"/>
  </w:num>
  <w:num w:numId="15" w16cid:durableId="1832676480">
    <w:abstractNumId w:val="3"/>
  </w:num>
  <w:num w:numId="16" w16cid:durableId="1071580505">
    <w:abstractNumId w:val="18"/>
  </w:num>
  <w:num w:numId="17" w16cid:durableId="1765031216">
    <w:abstractNumId w:val="11"/>
    <w:lvlOverride w:ilvl="0">
      <w:startOverride w:val="1"/>
    </w:lvlOverride>
  </w:num>
  <w:num w:numId="18" w16cid:durableId="2035885278">
    <w:abstractNumId w:val="8"/>
  </w:num>
  <w:num w:numId="19" w16cid:durableId="1719015064">
    <w:abstractNumId w:val="10"/>
  </w:num>
  <w:num w:numId="20" w16cid:durableId="1012758269">
    <w:abstractNumId w:val="9"/>
  </w:num>
  <w:num w:numId="21" w16cid:durableId="63290670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687B"/>
    <w:rsid w:val="000000FF"/>
    <w:rsid w:val="00000479"/>
    <w:rsid w:val="000005FF"/>
    <w:rsid w:val="0000063B"/>
    <w:rsid w:val="00000C6E"/>
    <w:rsid w:val="00000EE6"/>
    <w:rsid w:val="000013DE"/>
    <w:rsid w:val="00001C05"/>
    <w:rsid w:val="000032B5"/>
    <w:rsid w:val="00003EBB"/>
    <w:rsid w:val="00004E76"/>
    <w:rsid w:val="00005013"/>
    <w:rsid w:val="0000590B"/>
    <w:rsid w:val="00005FE1"/>
    <w:rsid w:val="000062C3"/>
    <w:rsid w:val="000076D1"/>
    <w:rsid w:val="00007A90"/>
    <w:rsid w:val="00007FBF"/>
    <w:rsid w:val="000110A3"/>
    <w:rsid w:val="000110D3"/>
    <w:rsid w:val="00011D9F"/>
    <w:rsid w:val="0001274C"/>
    <w:rsid w:val="000128C0"/>
    <w:rsid w:val="00012991"/>
    <w:rsid w:val="00012A42"/>
    <w:rsid w:val="00013199"/>
    <w:rsid w:val="00013425"/>
    <w:rsid w:val="00013B70"/>
    <w:rsid w:val="00013D66"/>
    <w:rsid w:val="00014339"/>
    <w:rsid w:val="000155D1"/>
    <w:rsid w:val="000166E9"/>
    <w:rsid w:val="00016D30"/>
    <w:rsid w:val="00017018"/>
    <w:rsid w:val="00017582"/>
    <w:rsid w:val="00017588"/>
    <w:rsid w:val="0001762A"/>
    <w:rsid w:val="00017D25"/>
    <w:rsid w:val="00021455"/>
    <w:rsid w:val="00022977"/>
    <w:rsid w:val="00022F8C"/>
    <w:rsid w:val="0002306E"/>
    <w:rsid w:val="00025DA4"/>
    <w:rsid w:val="00026768"/>
    <w:rsid w:val="000279E7"/>
    <w:rsid w:val="00027C1D"/>
    <w:rsid w:val="00027DE7"/>
    <w:rsid w:val="000308A0"/>
    <w:rsid w:val="00030A2F"/>
    <w:rsid w:val="00031BF6"/>
    <w:rsid w:val="00032059"/>
    <w:rsid w:val="000321C7"/>
    <w:rsid w:val="000327EB"/>
    <w:rsid w:val="00033232"/>
    <w:rsid w:val="00033A7E"/>
    <w:rsid w:val="00033DA8"/>
    <w:rsid w:val="000348C9"/>
    <w:rsid w:val="00036AD2"/>
    <w:rsid w:val="000419B4"/>
    <w:rsid w:val="000428C1"/>
    <w:rsid w:val="000430F9"/>
    <w:rsid w:val="00044878"/>
    <w:rsid w:val="00044DBB"/>
    <w:rsid w:val="00044F6D"/>
    <w:rsid w:val="00044F77"/>
    <w:rsid w:val="000454A0"/>
    <w:rsid w:val="00045C61"/>
    <w:rsid w:val="00046069"/>
    <w:rsid w:val="0004613B"/>
    <w:rsid w:val="00046505"/>
    <w:rsid w:val="00047EAE"/>
    <w:rsid w:val="0005023F"/>
    <w:rsid w:val="00050C75"/>
    <w:rsid w:val="00051282"/>
    <w:rsid w:val="000517C5"/>
    <w:rsid w:val="00051B47"/>
    <w:rsid w:val="0005236F"/>
    <w:rsid w:val="00052A96"/>
    <w:rsid w:val="00053292"/>
    <w:rsid w:val="0005535D"/>
    <w:rsid w:val="00055C6A"/>
    <w:rsid w:val="000566AE"/>
    <w:rsid w:val="000568A0"/>
    <w:rsid w:val="000572FA"/>
    <w:rsid w:val="0005786C"/>
    <w:rsid w:val="00060353"/>
    <w:rsid w:val="00060363"/>
    <w:rsid w:val="00060EC0"/>
    <w:rsid w:val="0006102C"/>
    <w:rsid w:val="0006109D"/>
    <w:rsid w:val="00061BCC"/>
    <w:rsid w:val="00062182"/>
    <w:rsid w:val="000621EB"/>
    <w:rsid w:val="00062489"/>
    <w:rsid w:val="00063F1C"/>
    <w:rsid w:val="00064181"/>
    <w:rsid w:val="00064894"/>
    <w:rsid w:val="00065CD6"/>
    <w:rsid w:val="000660E8"/>
    <w:rsid w:val="00066CCC"/>
    <w:rsid w:val="00067347"/>
    <w:rsid w:val="00067A7F"/>
    <w:rsid w:val="00070093"/>
    <w:rsid w:val="00070577"/>
    <w:rsid w:val="0007193E"/>
    <w:rsid w:val="0007319C"/>
    <w:rsid w:val="00073B7B"/>
    <w:rsid w:val="00073D9A"/>
    <w:rsid w:val="00074450"/>
    <w:rsid w:val="000747B9"/>
    <w:rsid w:val="000748D5"/>
    <w:rsid w:val="000759CC"/>
    <w:rsid w:val="000773F3"/>
    <w:rsid w:val="000776A0"/>
    <w:rsid w:val="000779E7"/>
    <w:rsid w:val="00077FD7"/>
    <w:rsid w:val="000801F1"/>
    <w:rsid w:val="00082728"/>
    <w:rsid w:val="00082DD4"/>
    <w:rsid w:val="000841F7"/>
    <w:rsid w:val="000847A9"/>
    <w:rsid w:val="00084ECD"/>
    <w:rsid w:val="0008554F"/>
    <w:rsid w:val="00085A35"/>
    <w:rsid w:val="00086F78"/>
    <w:rsid w:val="00086F79"/>
    <w:rsid w:val="000873BE"/>
    <w:rsid w:val="00087F42"/>
    <w:rsid w:val="0009023F"/>
    <w:rsid w:val="00090812"/>
    <w:rsid w:val="00090E29"/>
    <w:rsid w:val="00090F54"/>
    <w:rsid w:val="000913E2"/>
    <w:rsid w:val="0009236D"/>
    <w:rsid w:val="0009285C"/>
    <w:rsid w:val="00093652"/>
    <w:rsid w:val="00093BEA"/>
    <w:rsid w:val="00094518"/>
    <w:rsid w:val="0009468C"/>
    <w:rsid w:val="00094E5E"/>
    <w:rsid w:val="00095C3E"/>
    <w:rsid w:val="00096FAA"/>
    <w:rsid w:val="00097243"/>
    <w:rsid w:val="000A0B35"/>
    <w:rsid w:val="000A13C3"/>
    <w:rsid w:val="000A1757"/>
    <w:rsid w:val="000A1D47"/>
    <w:rsid w:val="000A2CEA"/>
    <w:rsid w:val="000A3235"/>
    <w:rsid w:val="000A451C"/>
    <w:rsid w:val="000A47F3"/>
    <w:rsid w:val="000A49B2"/>
    <w:rsid w:val="000A5669"/>
    <w:rsid w:val="000A5B2C"/>
    <w:rsid w:val="000A60A3"/>
    <w:rsid w:val="000A66D8"/>
    <w:rsid w:val="000A7388"/>
    <w:rsid w:val="000B0B72"/>
    <w:rsid w:val="000B1398"/>
    <w:rsid w:val="000B1519"/>
    <w:rsid w:val="000B39D1"/>
    <w:rsid w:val="000B4CF1"/>
    <w:rsid w:val="000B5633"/>
    <w:rsid w:val="000B59E5"/>
    <w:rsid w:val="000B5B02"/>
    <w:rsid w:val="000B6AEE"/>
    <w:rsid w:val="000B7B1F"/>
    <w:rsid w:val="000C0283"/>
    <w:rsid w:val="000C0C56"/>
    <w:rsid w:val="000C118F"/>
    <w:rsid w:val="000C1AF9"/>
    <w:rsid w:val="000C2275"/>
    <w:rsid w:val="000C29F7"/>
    <w:rsid w:val="000C3698"/>
    <w:rsid w:val="000C4DAB"/>
    <w:rsid w:val="000C539F"/>
    <w:rsid w:val="000C5E0B"/>
    <w:rsid w:val="000C6255"/>
    <w:rsid w:val="000C6DF4"/>
    <w:rsid w:val="000C716B"/>
    <w:rsid w:val="000C74B3"/>
    <w:rsid w:val="000C7D44"/>
    <w:rsid w:val="000D0D14"/>
    <w:rsid w:val="000D1467"/>
    <w:rsid w:val="000D22E2"/>
    <w:rsid w:val="000D25D1"/>
    <w:rsid w:val="000D2E80"/>
    <w:rsid w:val="000D3BE5"/>
    <w:rsid w:val="000D4170"/>
    <w:rsid w:val="000D586B"/>
    <w:rsid w:val="000D5DBD"/>
    <w:rsid w:val="000D646B"/>
    <w:rsid w:val="000D6A6D"/>
    <w:rsid w:val="000D73E1"/>
    <w:rsid w:val="000D7D7E"/>
    <w:rsid w:val="000E019D"/>
    <w:rsid w:val="000E096B"/>
    <w:rsid w:val="000E1174"/>
    <w:rsid w:val="000E2336"/>
    <w:rsid w:val="000E29F6"/>
    <w:rsid w:val="000E2AC2"/>
    <w:rsid w:val="000E3BE0"/>
    <w:rsid w:val="000E4298"/>
    <w:rsid w:val="000E48DF"/>
    <w:rsid w:val="000E5342"/>
    <w:rsid w:val="000E5485"/>
    <w:rsid w:val="000E6A7A"/>
    <w:rsid w:val="000E6F86"/>
    <w:rsid w:val="000F0943"/>
    <w:rsid w:val="000F0CFC"/>
    <w:rsid w:val="000F10A1"/>
    <w:rsid w:val="000F2037"/>
    <w:rsid w:val="000F28B0"/>
    <w:rsid w:val="000F2D1E"/>
    <w:rsid w:val="000F305C"/>
    <w:rsid w:val="000F383E"/>
    <w:rsid w:val="000F540C"/>
    <w:rsid w:val="000F5444"/>
    <w:rsid w:val="000F57A8"/>
    <w:rsid w:val="000F58C1"/>
    <w:rsid w:val="000F5C89"/>
    <w:rsid w:val="000F5EEE"/>
    <w:rsid w:val="000F6057"/>
    <w:rsid w:val="000F6CF3"/>
    <w:rsid w:val="000F752A"/>
    <w:rsid w:val="000F7FC6"/>
    <w:rsid w:val="001013CD"/>
    <w:rsid w:val="001014AE"/>
    <w:rsid w:val="001015BC"/>
    <w:rsid w:val="00101F58"/>
    <w:rsid w:val="001023F1"/>
    <w:rsid w:val="0010278D"/>
    <w:rsid w:val="00102C3A"/>
    <w:rsid w:val="001038A4"/>
    <w:rsid w:val="00103AC2"/>
    <w:rsid w:val="00104058"/>
    <w:rsid w:val="001041CC"/>
    <w:rsid w:val="001044B5"/>
    <w:rsid w:val="00104609"/>
    <w:rsid w:val="00104AF4"/>
    <w:rsid w:val="00106A4F"/>
    <w:rsid w:val="001079EE"/>
    <w:rsid w:val="00107AEA"/>
    <w:rsid w:val="0011076F"/>
    <w:rsid w:val="00110DD5"/>
    <w:rsid w:val="00111277"/>
    <w:rsid w:val="00111888"/>
    <w:rsid w:val="001126B6"/>
    <w:rsid w:val="00112EDB"/>
    <w:rsid w:val="00113114"/>
    <w:rsid w:val="00113D8B"/>
    <w:rsid w:val="001147F5"/>
    <w:rsid w:val="001151D7"/>
    <w:rsid w:val="0011527D"/>
    <w:rsid w:val="00115317"/>
    <w:rsid w:val="00115780"/>
    <w:rsid w:val="0011595A"/>
    <w:rsid w:val="00115DF0"/>
    <w:rsid w:val="00115EF6"/>
    <w:rsid w:val="0011630E"/>
    <w:rsid w:val="00116C9B"/>
    <w:rsid w:val="00117830"/>
    <w:rsid w:val="001201AD"/>
    <w:rsid w:val="001204B9"/>
    <w:rsid w:val="00120D47"/>
    <w:rsid w:val="001212A3"/>
    <w:rsid w:val="00121EF5"/>
    <w:rsid w:val="00121F97"/>
    <w:rsid w:val="00122062"/>
    <w:rsid w:val="001221BE"/>
    <w:rsid w:val="00122A62"/>
    <w:rsid w:val="00123180"/>
    <w:rsid w:val="0012379A"/>
    <w:rsid w:val="00123899"/>
    <w:rsid w:val="00124316"/>
    <w:rsid w:val="00124A8F"/>
    <w:rsid w:val="00125DCB"/>
    <w:rsid w:val="00125E9E"/>
    <w:rsid w:val="00126854"/>
    <w:rsid w:val="001270C4"/>
    <w:rsid w:val="00127254"/>
    <w:rsid w:val="001279DC"/>
    <w:rsid w:val="00127F83"/>
    <w:rsid w:val="00130020"/>
    <w:rsid w:val="00130836"/>
    <w:rsid w:val="00131114"/>
    <w:rsid w:val="00131BBA"/>
    <w:rsid w:val="00131EFB"/>
    <w:rsid w:val="001322C0"/>
    <w:rsid w:val="001326AF"/>
    <w:rsid w:val="001326CE"/>
    <w:rsid w:val="00133773"/>
    <w:rsid w:val="00133F83"/>
    <w:rsid w:val="00134605"/>
    <w:rsid w:val="00134D2D"/>
    <w:rsid w:val="001351DC"/>
    <w:rsid w:val="00135767"/>
    <w:rsid w:val="00135980"/>
    <w:rsid w:val="001362BE"/>
    <w:rsid w:val="00136716"/>
    <w:rsid w:val="00136941"/>
    <w:rsid w:val="00136A95"/>
    <w:rsid w:val="0013701E"/>
    <w:rsid w:val="00140EDD"/>
    <w:rsid w:val="0014103B"/>
    <w:rsid w:val="00141908"/>
    <w:rsid w:val="001426EA"/>
    <w:rsid w:val="00142A9B"/>
    <w:rsid w:val="00144398"/>
    <w:rsid w:val="0014544D"/>
    <w:rsid w:val="00146485"/>
    <w:rsid w:val="00146627"/>
    <w:rsid w:val="0014776E"/>
    <w:rsid w:val="001477F7"/>
    <w:rsid w:val="00147988"/>
    <w:rsid w:val="00147D0F"/>
    <w:rsid w:val="00147DB0"/>
    <w:rsid w:val="00150C39"/>
    <w:rsid w:val="00150F05"/>
    <w:rsid w:val="00151175"/>
    <w:rsid w:val="00151778"/>
    <w:rsid w:val="00151F47"/>
    <w:rsid w:val="0015330C"/>
    <w:rsid w:val="00153451"/>
    <w:rsid w:val="00153AFE"/>
    <w:rsid w:val="001550BF"/>
    <w:rsid w:val="0015564B"/>
    <w:rsid w:val="00156C51"/>
    <w:rsid w:val="00157CF3"/>
    <w:rsid w:val="00157DD8"/>
    <w:rsid w:val="00160E36"/>
    <w:rsid w:val="00160F8F"/>
    <w:rsid w:val="00161329"/>
    <w:rsid w:val="00161DE1"/>
    <w:rsid w:val="00162968"/>
    <w:rsid w:val="001635A5"/>
    <w:rsid w:val="00163731"/>
    <w:rsid w:val="00164173"/>
    <w:rsid w:val="0016536C"/>
    <w:rsid w:val="001653C0"/>
    <w:rsid w:val="00165942"/>
    <w:rsid w:val="00166863"/>
    <w:rsid w:val="001700FA"/>
    <w:rsid w:val="00170D41"/>
    <w:rsid w:val="00170E28"/>
    <w:rsid w:val="001714DF"/>
    <w:rsid w:val="00171A80"/>
    <w:rsid w:val="001720BD"/>
    <w:rsid w:val="00172DC3"/>
    <w:rsid w:val="001732BF"/>
    <w:rsid w:val="0017330B"/>
    <w:rsid w:val="0017345D"/>
    <w:rsid w:val="001734D5"/>
    <w:rsid w:val="001734DC"/>
    <w:rsid w:val="00173A11"/>
    <w:rsid w:val="00173CF6"/>
    <w:rsid w:val="00174825"/>
    <w:rsid w:val="00176061"/>
    <w:rsid w:val="00176249"/>
    <w:rsid w:val="001769ED"/>
    <w:rsid w:val="00176B4A"/>
    <w:rsid w:val="00176BD7"/>
    <w:rsid w:val="00177103"/>
    <w:rsid w:val="0017762C"/>
    <w:rsid w:val="001778A1"/>
    <w:rsid w:val="00177ECB"/>
    <w:rsid w:val="0018147B"/>
    <w:rsid w:val="001818FA"/>
    <w:rsid w:val="001828CB"/>
    <w:rsid w:val="00183225"/>
    <w:rsid w:val="00183EAA"/>
    <w:rsid w:val="00184329"/>
    <w:rsid w:val="001845A4"/>
    <w:rsid w:val="00184619"/>
    <w:rsid w:val="001847FC"/>
    <w:rsid w:val="001856B1"/>
    <w:rsid w:val="001862F3"/>
    <w:rsid w:val="00186AE7"/>
    <w:rsid w:val="00186EBE"/>
    <w:rsid w:val="00187279"/>
    <w:rsid w:val="00190BB9"/>
    <w:rsid w:val="00191A93"/>
    <w:rsid w:val="00192BB3"/>
    <w:rsid w:val="00192CAC"/>
    <w:rsid w:val="00193069"/>
    <w:rsid w:val="001936C6"/>
    <w:rsid w:val="00193A5B"/>
    <w:rsid w:val="00193EE2"/>
    <w:rsid w:val="0019438F"/>
    <w:rsid w:val="001958A9"/>
    <w:rsid w:val="00195D71"/>
    <w:rsid w:val="00197B6A"/>
    <w:rsid w:val="001A005E"/>
    <w:rsid w:val="001A03F0"/>
    <w:rsid w:val="001A21F1"/>
    <w:rsid w:val="001A2270"/>
    <w:rsid w:val="001A24DB"/>
    <w:rsid w:val="001A265B"/>
    <w:rsid w:val="001A2672"/>
    <w:rsid w:val="001A2AC8"/>
    <w:rsid w:val="001A3768"/>
    <w:rsid w:val="001A4937"/>
    <w:rsid w:val="001A4F49"/>
    <w:rsid w:val="001A5305"/>
    <w:rsid w:val="001A5AC3"/>
    <w:rsid w:val="001A5AC5"/>
    <w:rsid w:val="001A5E7A"/>
    <w:rsid w:val="001A5F49"/>
    <w:rsid w:val="001A620B"/>
    <w:rsid w:val="001A64BE"/>
    <w:rsid w:val="001A6AFD"/>
    <w:rsid w:val="001A6DCA"/>
    <w:rsid w:val="001A6FFC"/>
    <w:rsid w:val="001B0E3D"/>
    <w:rsid w:val="001B1808"/>
    <w:rsid w:val="001B1B88"/>
    <w:rsid w:val="001B1BF6"/>
    <w:rsid w:val="001B1CAA"/>
    <w:rsid w:val="001B284F"/>
    <w:rsid w:val="001B38E4"/>
    <w:rsid w:val="001B3D4F"/>
    <w:rsid w:val="001B4393"/>
    <w:rsid w:val="001B4E39"/>
    <w:rsid w:val="001B4F73"/>
    <w:rsid w:val="001B612A"/>
    <w:rsid w:val="001B628D"/>
    <w:rsid w:val="001B6E2D"/>
    <w:rsid w:val="001B7932"/>
    <w:rsid w:val="001B7BF6"/>
    <w:rsid w:val="001B7D1F"/>
    <w:rsid w:val="001B7EAE"/>
    <w:rsid w:val="001C0B3B"/>
    <w:rsid w:val="001C0DB9"/>
    <w:rsid w:val="001C1264"/>
    <w:rsid w:val="001C15D0"/>
    <w:rsid w:val="001C1DF7"/>
    <w:rsid w:val="001C1F70"/>
    <w:rsid w:val="001C22B7"/>
    <w:rsid w:val="001C2D2B"/>
    <w:rsid w:val="001C36D7"/>
    <w:rsid w:val="001C473D"/>
    <w:rsid w:val="001C4D3D"/>
    <w:rsid w:val="001C50F5"/>
    <w:rsid w:val="001C5850"/>
    <w:rsid w:val="001C5D2D"/>
    <w:rsid w:val="001C5EB8"/>
    <w:rsid w:val="001C621E"/>
    <w:rsid w:val="001C6254"/>
    <w:rsid w:val="001C665E"/>
    <w:rsid w:val="001C6E46"/>
    <w:rsid w:val="001C6F19"/>
    <w:rsid w:val="001C6F9F"/>
    <w:rsid w:val="001C6FE9"/>
    <w:rsid w:val="001C7C4E"/>
    <w:rsid w:val="001C7F9E"/>
    <w:rsid w:val="001D0089"/>
    <w:rsid w:val="001D0CF5"/>
    <w:rsid w:val="001D1318"/>
    <w:rsid w:val="001D13CF"/>
    <w:rsid w:val="001D1733"/>
    <w:rsid w:val="001D1E03"/>
    <w:rsid w:val="001D1F5A"/>
    <w:rsid w:val="001D2852"/>
    <w:rsid w:val="001D2E4F"/>
    <w:rsid w:val="001D314A"/>
    <w:rsid w:val="001D46BC"/>
    <w:rsid w:val="001D6B62"/>
    <w:rsid w:val="001D6E01"/>
    <w:rsid w:val="001E02C4"/>
    <w:rsid w:val="001E12F2"/>
    <w:rsid w:val="001E1CCD"/>
    <w:rsid w:val="001E1F4A"/>
    <w:rsid w:val="001E2735"/>
    <w:rsid w:val="001E2D9C"/>
    <w:rsid w:val="001E35D8"/>
    <w:rsid w:val="001E3BAF"/>
    <w:rsid w:val="001E42E0"/>
    <w:rsid w:val="001E575E"/>
    <w:rsid w:val="001E57B0"/>
    <w:rsid w:val="001E5D28"/>
    <w:rsid w:val="001E6D5E"/>
    <w:rsid w:val="001E7263"/>
    <w:rsid w:val="001F1419"/>
    <w:rsid w:val="001F2139"/>
    <w:rsid w:val="001F3C3F"/>
    <w:rsid w:val="001F3D7A"/>
    <w:rsid w:val="001F3EF4"/>
    <w:rsid w:val="001F42B1"/>
    <w:rsid w:val="001F46FE"/>
    <w:rsid w:val="001F5C1A"/>
    <w:rsid w:val="001F6925"/>
    <w:rsid w:val="001F6F05"/>
    <w:rsid w:val="001F73A0"/>
    <w:rsid w:val="001F7E47"/>
    <w:rsid w:val="00200106"/>
    <w:rsid w:val="00200590"/>
    <w:rsid w:val="00200595"/>
    <w:rsid w:val="002015E5"/>
    <w:rsid w:val="0020240F"/>
    <w:rsid w:val="0020258D"/>
    <w:rsid w:val="00203172"/>
    <w:rsid w:val="00203974"/>
    <w:rsid w:val="002039B6"/>
    <w:rsid w:val="00203DAC"/>
    <w:rsid w:val="002051A1"/>
    <w:rsid w:val="002058A1"/>
    <w:rsid w:val="00206E6E"/>
    <w:rsid w:val="00210111"/>
    <w:rsid w:val="0021046F"/>
    <w:rsid w:val="00210712"/>
    <w:rsid w:val="00210C9E"/>
    <w:rsid w:val="00210CA1"/>
    <w:rsid w:val="002110C9"/>
    <w:rsid w:val="002116DA"/>
    <w:rsid w:val="00211F8D"/>
    <w:rsid w:val="002120E6"/>
    <w:rsid w:val="002126AD"/>
    <w:rsid w:val="00212E29"/>
    <w:rsid w:val="00213443"/>
    <w:rsid w:val="00213895"/>
    <w:rsid w:val="00213B54"/>
    <w:rsid w:val="00213D79"/>
    <w:rsid w:val="00214BA3"/>
    <w:rsid w:val="00214DD7"/>
    <w:rsid w:val="00215786"/>
    <w:rsid w:val="002159DA"/>
    <w:rsid w:val="00215DC3"/>
    <w:rsid w:val="00216064"/>
    <w:rsid w:val="0021646F"/>
    <w:rsid w:val="00216B99"/>
    <w:rsid w:val="00216C57"/>
    <w:rsid w:val="002174E4"/>
    <w:rsid w:val="00217BAA"/>
    <w:rsid w:val="00217C98"/>
    <w:rsid w:val="00217E7D"/>
    <w:rsid w:val="0022025A"/>
    <w:rsid w:val="00221477"/>
    <w:rsid w:val="00221D7A"/>
    <w:rsid w:val="00222826"/>
    <w:rsid w:val="0022297A"/>
    <w:rsid w:val="00223205"/>
    <w:rsid w:val="00223BBD"/>
    <w:rsid w:val="00224FE8"/>
    <w:rsid w:val="0022577C"/>
    <w:rsid w:val="00226323"/>
    <w:rsid w:val="002267F0"/>
    <w:rsid w:val="00226E73"/>
    <w:rsid w:val="00227AD3"/>
    <w:rsid w:val="00227D9D"/>
    <w:rsid w:val="00227E27"/>
    <w:rsid w:val="00230490"/>
    <w:rsid w:val="00230E28"/>
    <w:rsid w:val="00230FA6"/>
    <w:rsid w:val="00231025"/>
    <w:rsid w:val="002310EC"/>
    <w:rsid w:val="002314D9"/>
    <w:rsid w:val="002316F4"/>
    <w:rsid w:val="00231BAF"/>
    <w:rsid w:val="00232576"/>
    <w:rsid w:val="0023273C"/>
    <w:rsid w:val="00232924"/>
    <w:rsid w:val="00233298"/>
    <w:rsid w:val="002335D6"/>
    <w:rsid w:val="002338E0"/>
    <w:rsid w:val="0023504F"/>
    <w:rsid w:val="002350B5"/>
    <w:rsid w:val="0023526B"/>
    <w:rsid w:val="0023546B"/>
    <w:rsid w:val="0023547D"/>
    <w:rsid w:val="00235ED7"/>
    <w:rsid w:val="00236270"/>
    <w:rsid w:val="00236761"/>
    <w:rsid w:val="002371A5"/>
    <w:rsid w:val="0023737F"/>
    <w:rsid w:val="0024087A"/>
    <w:rsid w:val="002419DA"/>
    <w:rsid w:val="00241CF0"/>
    <w:rsid w:val="0024284A"/>
    <w:rsid w:val="00242B2D"/>
    <w:rsid w:val="002431F8"/>
    <w:rsid w:val="00244837"/>
    <w:rsid w:val="00244954"/>
    <w:rsid w:val="00245E6B"/>
    <w:rsid w:val="00245FAA"/>
    <w:rsid w:val="00246033"/>
    <w:rsid w:val="00246AC8"/>
    <w:rsid w:val="00247324"/>
    <w:rsid w:val="0024754E"/>
    <w:rsid w:val="0024787C"/>
    <w:rsid w:val="00247F59"/>
    <w:rsid w:val="0025002B"/>
    <w:rsid w:val="0025079E"/>
    <w:rsid w:val="00250B78"/>
    <w:rsid w:val="00250C0F"/>
    <w:rsid w:val="0025122D"/>
    <w:rsid w:val="00251B63"/>
    <w:rsid w:val="00251F5C"/>
    <w:rsid w:val="00252243"/>
    <w:rsid w:val="00252CC0"/>
    <w:rsid w:val="002537BA"/>
    <w:rsid w:val="0025419C"/>
    <w:rsid w:val="00255C03"/>
    <w:rsid w:val="00255EF3"/>
    <w:rsid w:val="00256136"/>
    <w:rsid w:val="00256B95"/>
    <w:rsid w:val="00256EE4"/>
    <w:rsid w:val="00257BF3"/>
    <w:rsid w:val="00260533"/>
    <w:rsid w:val="002607A1"/>
    <w:rsid w:val="00260D00"/>
    <w:rsid w:val="00260FAA"/>
    <w:rsid w:val="002614CB"/>
    <w:rsid w:val="002619A5"/>
    <w:rsid w:val="00261FBF"/>
    <w:rsid w:val="00261FDF"/>
    <w:rsid w:val="0026245B"/>
    <w:rsid w:val="00262A52"/>
    <w:rsid w:val="002639C3"/>
    <w:rsid w:val="00263E8A"/>
    <w:rsid w:val="00264AA9"/>
    <w:rsid w:val="00264CC3"/>
    <w:rsid w:val="00264DE9"/>
    <w:rsid w:val="00264F33"/>
    <w:rsid w:val="002653FA"/>
    <w:rsid w:val="00265CBE"/>
    <w:rsid w:val="00267290"/>
    <w:rsid w:val="00267291"/>
    <w:rsid w:val="00267D73"/>
    <w:rsid w:val="002703DE"/>
    <w:rsid w:val="00270A4A"/>
    <w:rsid w:val="00270B2D"/>
    <w:rsid w:val="00271846"/>
    <w:rsid w:val="00272506"/>
    <w:rsid w:val="002726C7"/>
    <w:rsid w:val="002734C8"/>
    <w:rsid w:val="00274224"/>
    <w:rsid w:val="00275F7F"/>
    <w:rsid w:val="00276146"/>
    <w:rsid w:val="00276637"/>
    <w:rsid w:val="00276B58"/>
    <w:rsid w:val="00277084"/>
    <w:rsid w:val="002775F4"/>
    <w:rsid w:val="00280185"/>
    <w:rsid w:val="0028149B"/>
    <w:rsid w:val="00281FE3"/>
    <w:rsid w:val="0028237B"/>
    <w:rsid w:val="00282411"/>
    <w:rsid w:val="00283535"/>
    <w:rsid w:val="002836C0"/>
    <w:rsid w:val="00283953"/>
    <w:rsid w:val="002843BC"/>
    <w:rsid w:val="0028494D"/>
    <w:rsid w:val="00284C88"/>
    <w:rsid w:val="00284F33"/>
    <w:rsid w:val="002856E0"/>
    <w:rsid w:val="0028576A"/>
    <w:rsid w:val="00286799"/>
    <w:rsid w:val="00286CD5"/>
    <w:rsid w:val="00287268"/>
    <w:rsid w:val="00287832"/>
    <w:rsid w:val="002878A5"/>
    <w:rsid w:val="00290203"/>
    <w:rsid w:val="00290CBB"/>
    <w:rsid w:val="002910B1"/>
    <w:rsid w:val="00291774"/>
    <w:rsid w:val="0029228E"/>
    <w:rsid w:val="002925BA"/>
    <w:rsid w:val="00294831"/>
    <w:rsid w:val="002965AE"/>
    <w:rsid w:val="002967D4"/>
    <w:rsid w:val="0029745C"/>
    <w:rsid w:val="002A01C8"/>
    <w:rsid w:val="002A0275"/>
    <w:rsid w:val="002A0574"/>
    <w:rsid w:val="002A125B"/>
    <w:rsid w:val="002A153A"/>
    <w:rsid w:val="002A2D92"/>
    <w:rsid w:val="002A3212"/>
    <w:rsid w:val="002A38AA"/>
    <w:rsid w:val="002A421C"/>
    <w:rsid w:val="002A4354"/>
    <w:rsid w:val="002A458F"/>
    <w:rsid w:val="002A4FE7"/>
    <w:rsid w:val="002A586C"/>
    <w:rsid w:val="002A5B9F"/>
    <w:rsid w:val="002A5E35"/>
    <w:rsid w:val="002A61E8"/>
    <w:rsid w:val="002A66BA"/>
    <w:rsid w:val="002A766B"/>
    <w:rsid w:val="002A7B92"/>
    <w:rsid w:val="002B012E"/>
    <w:rsid w:val="002B0752"/>
    <w:rsid w:val="002B07C3"/>
    <w:rsid w:val="002B0ACB"/>
    <w:rsid w:val="002B18BF"/>
    <w:rsid w:val="002B1C5C"/>
    <w:rsid w:val="002B1EA1"/>
    <w:rsid w:val="002B21DB"/>
    <w:rsid w:val="002B2E29"/>
    <w:rsid w:val="002B355F"/>
    <w:rsid w:val="002B3716"/>
    <w:rsid w:val="002B3765"/>
    <w:rsid w:val="002B467A"/>
    <w:rsid w:val="002B48F0"/>
    <w:rsid w:val="002B59AE"/>
    <w:rsid w:val="002B661F"/>
    <w:rsid w:val="002B677D"/>
    <w:rsid w:val="002B67AE"/>
    <w:rsid w:val="002B67AF"/>
    <w:rsid w:val="002B6FAB"/>
    <w:rsid w:val="002B7766"/>
    <w:rsid w:val="002B7B36"/>
    <w:rsid w:val="002B7DC1"/>
    <w:rsid w:val="002C0565"/>
    <w:rsid w:val="002C0918"/>
    <w:rsid w:val="002C1036"/>
    <w:rsid w:val="002C16D9"/>
    <w:rsid w:val="002C18E6"/>
    <w:rsid w:val="002C1A79"/>
    <w:rsid w:val="002C2FC7"/>
    <w:rsid w:val="002C3D2C"/>
    <w:rsid w:val="002C3F0A"/>
    <w:rsid w:val="002C4283"/>
    <w:rsid w:val="002C4499"/>
    <w:rsid w:val="002C534C"/>
    <w:rsid w:val="002C582E"/>
    <w:rsid w:val="002C59C6"/>
    <w:rsid w:val="002C5E86"/>
    <w:rsid w:val="002C6E63"/>
    <w:rsid w:val="002C77EB"/>
    <w:rsid w:val="002C7CEA"/>
    <w:rsid w:val="002D06A0"/>
    <w:rsid w:val="002D0747"/>
    <w:rsid w:val="002D097B"/>
    <w:rsid w:val="002D2244"/>
    <w:rsid w:val="002D28F3"/>
    <w:rsid w:val="002D2BC4"/>
    <w:rsid w:val="002D2F84"/>
    <w:rsid w:val="002D32DF"/>
    <w:rsid w:val="002D34F7"/>
    <w:rsid w:val="002D3509"/>
    <w:rsid w:val="002D3AB7"/>
    <w:rsid w:val="002D3BD7"/>
    <w:rsid w:val="002D412B"/>
    <w:rsid w:val="002D428E"/>
    <w:rsid w:val="002D5F80"/>
    <w:rsid w:val="002D5FE7"/>
    <w:rsid w:val="002D6263"/>
    <w:rsid w:val="002D73CB"/>
    <w:rsid w:val="002D7615"/>
    <w:rsid w:val="002D7AB5"/>
    <w:rsid w:val="002D7F4F"/>
    <w:rsid w:val="002E0ED3"/>
    <w:rsid w:val="002E12CE"/>
    <w:rsid w:val="002E138F"/>
    <w:rsid w:val="002E24F9"/>
    <w:rsid w:val="002E253C"/>
    <w:rsid w:val="002E2920"/>
    <w:rsid w:val="002E5B83"/>
    <w:rsid w:val="002E5DA5"/>
    <w:rsid w:val="002E6435"/>
    <w:rsid w:val="002E661B"/>
    <w:rsid w:val="002E69FD"/>
    <w:rsid w:val="002E7C09"/>
    <w:rsid w:val="002F0231"/>
    <w:rsid w:val="002F0D2D"/>
    <w:rsid w:val="002F1059"/>
    <w:rsid w:val="002F191C"/>
    <w:rsid w:val="002F1A9E"/>
    <w:rsid w:val="002F2017"/>
    <w:rsid w:val="002F2463"/>
    <w:rsid w:val="002F32E5"/>
    <w:rsid w:val="002F383B"/>
    <w:rsid w:val="002F3A0D"/>
    <w:rsid w:val="002F51C3"/>
    <w:rsid w:val="002F5F0E"/>
    <w:rsid w:val="002F6988"/>
    <w:rsid w:val="002F709F"/>
    <w:rsid w:val="00300706"/>
    <w:rsid w:val="0030117A"/>
    <w:rsid w:val="0030149B"/>
    <w:rsid w:val="00301544"/>
    <w:rsid w:val="0030181E"/>
    <w:rsid w:val="003029C1"/>
    <w:rsid w:val="00302BC3"/>
    <w:rsid w:val="003051B8"/>
    <w:rsid w:val="003059D8"/>
    <w:rsid w:val="00305E9E"/>
    <w:rsid w:val="00305EF2"/>
    <w:rsid w:val="003065CA"/>
    <w:rsid w:val="0030668C"/>
    <w:rsid w:val="00307190"/>
    <w:rsid w:val="00307530"/>
    <w:rsid w:val="00307569"/>
    <w:rsid w:val="00307DA3"/>
    <w:rsid w:val="00310186"/>
    <w:rsid w:val="00311AB1"/>
    <w:rsid w:val="00311FE8"/>
    <w:rsid w:val="0031236B"/>
    <w:rsid w:val="00312593"/>
    <w:rsid w:val="00312A9B"/>
    <w:rsid w:val="00313678"/>
    <w:rsid w:val="0031447F"/>
    <w:rsid w:val="00314936"/>
    <w:rsid w:val="003149D9"/>
    <w:rsid w:val="003158F1"/>
    <w:rsid w:val="00315DE0"/>
    <w:rsid w:val="00315F3A"/>
    <w:rsid w:val="00320043"/>
    <w:rsid w:val="00320647"/>
    <w:rsid w:val="003206A1"/>
    <w:rsid w:val="00320E5D"/>
    <w:rsid w:val="00321C22"/>
    <w:rsid w:val="00322247"/>
    <w:rsid w:val="00322360"/>
    <w:rsid w:val="00322739"/>
    <w:rsid w:val="00323E32"/>
    <w:rsid w:val="00325024"/>
    <w:rsid w:val="003250D5"/>
    <w:rsid w:val="00325947"/>
    <w:rsid w:val="00325D65"/>
    <w:rsid w:val="00326643"/>
    <w:rsid w:val="0032709B"/>
    <w:rsid w:val="003271B8"/>
    <w:rsid w:val="0032756D"/>
    <w:rsid w:val="003276C8"/>
    <w:rsid w:val="0032770E"/>
    <w:rsid w:val="003279F4"/>
    <w:rsid w:val="003304BA"/>
    <w:rsid w:val="003306DE"/>
    <w:rsid w:val="003318F9"/>
    <w:rsid w:val="0033192F"/>
    <w:rsid w:val="00331EEE"/>
    <w:rsid w:val="0033242B"/>
    <w:rsid w:val="00332F7E"/>
    <w:rsid w:val="003334C5"/>
    <w:rsid w:val="00333C1C"/>
    <w:rsid w:val="00333F48"/>
    <w:rsid w:val="00334263"/>
    <w:rsid w:val="0033482D"/>
    <w:rsid w:val="00335158"/>
    <w:rsid w:val="00335248"/>
    <w:rsid w:val="003354A8"/>
    <w:rsid w:val="00335884"/>
    <w:rsid w:val="0033593C"/>
    <w:rsid w:val="00336333"/>
    <w:rsid w:val="0033659A"/>
    <w:rsid w:val="00336A43"/>
    <w:rsid w:val="0033730E"/>
    <w:rsid w:val="003373D1"/>
    <w:rsid w:val="00337C83"/>
    <w:rsid w:val="00337D52"/>
    <w:rsid w:val="00340053"/>
    <w:rsid w:val="00340576"/>
    <w:rsid w:val="00340DB0"/>
    <w:rsid w:val="00341655"/>
    <w:rsid w:val="003417F3"/>
    <w:rsid w:val="003417FD"/>
    <w:rsid w:val="00342088"/>
    <w:rsid w:val="00342982"/>
    <w:rsid w:val="00343105"/>
    <w:rsid w:val="003437C1"/>
    <w:rsid w:val="00343AFC"/>
    <w:rsid w:val="00343C27"/>
    <w:rsid w:val="003440E9"/>
    <w:rsid w:val="00344195"/>
    <w:rsid w:val="00344436"/>
    <w:rsid w:val="00344954"/>
    <w:rsid w:val="00344F8C"/>
    <w:rsid w:val="003454FB"/>
    <w:rsid w:val="00345A52"/>
    <w:rsid w:val="00345C19"/>
    <w:rsid w:val="0034660B"/>
    <w:rsid w:val="00346678"/>
    <w:rsid w:val="0034714B"/>
    <w:rsid w:val="003471B5"/>
    <w:rsid w:val="003471F2"/>
    <w:rsid w:val="00347938"/>
    <w:rsid w:val="003507CC"/>
    <w:rsid w:val="00350A01"/>
    <w:rsid w:val="003514BB"/>
    <w:rsid w:val="00351BDD"/>
    <w:rsid w:val="00351F30"/>
    <w:rsid w:val="003520BB"/>
    <w:rsid w:val="003526C4"/>
    <w:rsid w:val="00352796"/>
    <w:rsid w:val="00352CAD"/>
    <w:rsid w:val="00353223"/>
    <w:rsid w:val="00354097"/>
    <w:rsid w:val="00354EBA"/>
    <w:rsid w:val="0035541A"/>
    <w:rsid w:val="00355ED7"/>
    <w:rsid w:val="00355EFD"/>
    <w:rsid w:val="003563CF"/>
    <w:rsid w:val="003569F9"/>
    <w:rsid w:val="00356CE7"/>
    <w:rsid w:val="00357EE3"/>
    <w:rsid w:val="00360B8A"/>
    <w:rsid w:val="003614FE"/>
    <w:rsid w:val="00361EAF"/>
    <w:rsid w:val="00362678"/>
    <w:rsid w:val="00362877"/>
    <w:rsid w:val="00363857"/>
    <w:rsid w:val="00363B16"/>
    <w:rsid w:val="00364424"/>
    <w:rsid w:val="003644C7"/>
    <w:rsid w:val="003675B2"/>
    <w:rsid w:val="00367E2B"/>
    <w:rsid w:val="00367FCC"/>
    <w:rsid w:val="0037003B"/>
    <w:rsid w:val="003712D5"/>
    <w:rsid w:val="0037295C"/>
    <w:rsid w:val="00372B5B"/>
    <w:rsid w:val="0037571B"/>
    <w:rsid w:val="00375864"/>
    <w:rsid w:val="00375ADB"/>
    <w:rsid w:val="00376A89"/>
    <w:rsid w:val="00376ACA"/>
    <w:rsid w:val="00376F41"/>
    <w:rsid w:val="003770FF"/>
    <w:rsid w:val="003774AC"/>
    <w:rsid w:val="0038173B"/>
    <w:rsid w:val="0038193F"/>
    <w:rsid w:val="0038234E"/>
    <w:rsid w:val="003824B2"/>
    <w:rsid w:val="0038293C"/>
    <w:rsid w:val="0038328F"/>
    <w:rsid w:val="0038349E"/>
    <w:rsid w:val="0038424D"/>
    <w:rsid w:val="00384C64"/>
    <w:rsid w:val="00384D98"/>
    <w:rsid w:val="003867DA"/>
    <w:rsid w:val="00386836"/>
    <w:rsid w:val="0038789F"/>
    <w:rsid w:val="00387A7D"/>
    <w:rsid w:val="00387CB3"/>
    <w:rsid w:val="00387EE7"/>
    <w:rsid w:val="00390841"/>
    <w:rsid w:val="00390D32"/>
    <w:rsid w:val="00390E29"/>
    <w:rsid w:val="00390F68"/>
    <w:rsid w:val="00391144"/>
    <w:rsid w:val="00391875"/>
    <w:rsid w:val="00391DB5"/>
    <w:rsid w:val="00391FD1"/>
    <w:rsid w:val="00392B08"/>
    <w:rsid w:val="0039336C"/>
    <w:rsid w:val="00393890"/>
    <w:rsid w:val="00393BD4"/>
    <w:rsid w:val="00395F2C"/>
    <w:rsid w:val="00396438"/>
    <w:rsid w:val="00396B66"/>
    <w:rsid w:val="00396CB8"/>
    <w:rsid w:val="00397660"/>
    <w:rsid w:val="00397F83"/>
    <w:rsid w:val="003A077C"/>
    <w:rsid w:val="003A1412"/>
    <w:rsid w:val="003A182C"/>
    <w:rsid w:val="003A1E71"/>
    <w:rsid w:val="003A26A1"/>
    <w:rsid w:val="003A3023"/>
    <w:rsid w:val="003A3C7A"/>
    <w:rsid w:val="003A4577"/>
    <w:rsid w:val="003A4A2F"/>
    <w:rsid w:val="003A590C"/>
    <w:rsid w:val="003A5E6C"/>
    <w:rsid w:val="003B00A5"/>
    <w:rsid w:val="003B09D6"/>
    <w:rsid w:val="003B0A30"/>
    <w:rsid w:val="003B0DDC"/>
    <w:rsid w:val="003B0F11"/>
    <w:rsid w:val="003B103B"/>
    <w:rsid w:val="003B1044"/>
    <w:rsid w:val="003B1538"/>
    <w:rsid w:val="003B1548"/>
    <w:rsid w:val="003B2464"/>
    <w:rsid w:val="003B266D"/>
    <w:rsid w:val="003B2D94"/>
    <w:rsid w:val="003B2E20"/>
    <w:rsid w:val="003B31A4"/>
    <w:rsid w:val="003B320F"/>
    <w:rsid w:val="003B41EF"/>
    <w:rsid w:val="003B48D0"/>
    <w:rsid w:val="003B4B1D"/>
    <w:rsid w:val="003B4EFA"/>
    <w:rsid w:val="003B5070"/>
    <w:rsid w:val="003B51E0"/>
    <w:rsid w:val="003B5DB0"/>
    <w:rsid w:val="003B64E5"/>
    <w:rsid w:val="003B65DD"/>
    <w:rsid w:val="003B6847"/>
    <w:rsid w:val="003B6E1A"/>
    <w:rsid w:val="003B793C"/>
    <w:rsid w:val="003B7E0F"/>
    <w:rsid w:val="003C02E0"/>
    <w:rsid w:val="003C098C"/>
    <w:rsid w:val="003C1871"/>
    <w:rsid w:val="003C2BFA"/>
    <w:rsid w:val="003C3BFC"/>
    <w:rsid w:val="003C435A"/>
    <w:rsid w:val="003C48CC"/>
    <w:rsid w:val="003C5B1D"/>
    <w:rsid w:val="003C6B2C"/>
    <w:rsid w:val="003C7844"/>
    <w:rsid w:val="003D0241"/>
    <w:rsid w:val="003D16AD"/>
    <w:rsid w:val="003D1CBC"/>
    <w:rsid w:val="003D1E63"/>
    <w:rsid w:val="003D3367"/>
    <w:rsid w:val="003D3687"/>
    <w:rsid w:val="003D3970"/>
    <w:rsid w:val="003D3B65"/>
    <w:rsid w:val="003D3CB5"/>
    <w:rsid w:val="003D4530"/>
    <w:rsid w:val="003D456A"/>
    <w:rsid w:val="003D4578"/>
    <w:rsid w:val="003D4F02"/>
    <w:rsid w:val="003D532D"/>
    <w:rsid w:val="003D5D77"/>
    <w:rsid w:val="003D6164"/>
    <w:rsid w:val="003D64A4"/>
    <w:rsid w:val="003D6A67"/>
    <w:rsid w:val="003D6AC4"/>
    <w:rsid w:val="003D7533"/>
    <w:rsid w:val="003E07DE"/>
    <w:rsid w:val="003E14B3"/>
    <w:rsid w:val="003E1642"/>
    <w:rsid w:val="003E1867"/>
    <w:rsid w:val="003E3582"/>
    <w:rsid w:val="003E361E"/>
    <w:rsid w:val="003E383B"/>
    <w:rsid w:val="003E38AE"/>
    <w:rsid w:val="003E3FAC"/>
    <w:rsid w:val="003E44EB"/>
    <w:rsid w:val="003E4A24"/>
    <w:rsid w:val="003E4A93"/>
    <w:rsid w:val="003E519D"/>
    <w:rsid w:val="003E548A"/>
    <w:rsid w:val="003E5C82"/>
    <w:rsid w:val="003E6514"/>
    <w:rsid w:val="003E71C6"/>
    <w:rsid w:val="003E71D1"/>
    <w:rsid w:val="003E72BA"/>
    <w:rsid w:val="003E7CBF"/>
    <w:rsid w:val="003E7EFC"/>
    <w:rsid w:val="003F04AB"/>
    <w:rsid w:val="003F07BB"/>
    <w:rsid w:val="003F09D4"/>
    <w:rsid w:val="003F1ACA"/>
    <w:rsid w:val="003F227F"/>
    <w:rsid w:val="003F22EA"/>
    <w:rsid w:val="003F2E62"/>
    <w:rsid w:val="003F3A63"/>
    <w:rsid w:val="003F4838"/>
    <w:rsid w:val="003F50EF"/>
    <w:rsid w:val="003F51EB"/>
    <w:rsid w:val="003F5E0C"/>
    <w:rsid w:val="003F7026"/>
    <w:rsid w:val="00400259"/>
    <w:rsid w:val="0040032D"/>
    <w:rsid w:val="00400358"/>
    <w:rsid w:val="00400804"/>
    <w:rsid w:val="00400D62"/>
    <w:rsid w:val="004011B6"/>
    <w:rsid w:val="00401633"/>
    <w:rsid w:val="00401E45"/>
    <w:rsid w:val="00401E6E"/>
    <w:rsid w:val="00402622"/>
    <w:rsid w:val="00403027"/>
    <w:rsid w:val="0040335C"/>
    <w:rsid w:val="00403C67"/>
    <w:rsid w:val="004041DA"/>
    <w:rsid w:val="00404329"/>
    <w:rsid w:val="00404373"/>
    <w:rsid w:val="00404645"/>
    <w:rsid w:val="00404DE5"/>
    <w:rsid w:val="0040549C"/>
    <w:rsid w:val="00405549"/>
    <w:rsid w:val="0040594B"/>
    <w:rsid w:val="00406276"/>
    <w:rsid w:val="004063F1"/>
    <w:rsid w:val="00406B65"/>
    <w:rsid w:val="00406B72"/>
    <w:rsid w:val="00406DB6"/>
    <w:rsid w:val="00407957"/>
    <w:rsid w:val="00407E51"/>
    <w:rsid w:val="0041018F"/>
    <w:rsid w:val="0041051B"/>
    <w:rsid w:val="00411082"/>
    <w:rsid w:val="00411226"/>
    <w:rsid w:val="00412102"/>
    <w:rsid w:val="004129AC"/>
    <w:rsid w:val="00414166"/>
    <w:rsid w:val="00414CFC"/>
    <w:rsid w:val="00415EF1"/>
    <w:rsid w:val="0041602B"/>
    <w:rsid w:val="004160AD"/>
    <w:rsid w:val="0041632A"/>
    <w:rsid w:val="00416CA7"/>
    <w:rsid w:val="004170F8"/>
    <w:rsid w:val="004174F4"/>
    <w:rsid w:val="00417E19"/>
    <w:rsid w:val="00420249"/>
    <w:rsid w:val="0042047B"/>
    <w:rsid w:val="00421092"/>
    <w:rsid w:val="00421892"/>
    <w:rsid w:val="004219DD"/>
    <w:rsid w:val="0042205A"/>
    <w:rsid w:val="00422DF8"/>
    <w:rsid w:val="0042317F"/>
    <w:rsid w:val="00423D9D"/>
    <w:rsid w:val="00423FC2"/>
    <w:rsid w:val="00425302"/>
    <w:rsid w:val="00425806"/>
    <w:rsid w:val="004266B4"/>
    <w:rsid w:val="0042701B"/>
    <w:rsid w:val="00427B64"/>
    <w:rsid w:val="00427FAC"/>
    <w:rsid w:val="0043002D"/>
    <w:rsid w:val="00430183"/>
    <w:rsid w:val="00430268"/>
    <w:rsid w:val="00430AD2"/>
    <w:rsid w:val="00430AED"/>
    <w:rsid w:val="0043107F"/>
    <w:rsid w:val="0043184C"/>
    <w:rsid w:val="00431885"/>
    <w:rsid w:val="00431A40"/>
    <w:rsid w:val="00431EE7"/>
    <w:rsid w:val="00431EF3"/>
    <w:rsid w:val="004330BF"/>
    <w:rsid w:val="00433FAD"/>
    <w:rsid w:val="0043415B"/>
    <w:rsid w:val="004342B9"/>
    <w:rsid w:val="0043443F"/>
    <w:rsid w:val="00434777"/>
    <w:rsid w:val="00434A73"/>
    <w:rsid w:val="0043540F"/>
    <w:rsid w:val="00435E5F"/>
    <w:rsid w:val="00435EE0"/>
    <w:rsid w:val="00436063"/>
    <w:rsid w:val="00436296"/>
    <w:rsid w:val="004364EA"/>
    <w:rsid w:val="0043706C"/>
    <w:rsid w:val="004370CB"/>
    <w:rsid w:val="004370D8"/>
    <w:rsid w:val="004379B9"/>
    <w:rsid w:val="00440CEC"/>
    <w:rsid w:val="00440E6E"/>
    <w:rsid w:val="00442029"/>
    <w:rsid w:val="00442641"/>
    <w:rsid w:val="004429C8"/>
    <w:rsid w:val="00444952"/>
    <w:rsid w:val="00444B2A"/>
    <w:rsid w:val="004450E2"/>
    <w:rsid w:val="00445DB8"/>
    <w:rsid w:val="004479E5"/>
    <w:rsid w:val="00447B32"/>
    <w:rsid w:val="00447BDD"/>
    <w:rsid w:val="00447C65"/>
    <w:rsid w:val="00450074"/>
    <w:rsid w:val="004504FA"/>
    <w:rsid w:val="00451047"/>
    <w:rsid w:val="00451E8F"/>
    <w:rsid w:val="00451EAB"/>
    <w:rsid w:val="00453385"/>
    <w:rsid w:val="00453D4F"/>
    <w:rsid w:val="00453F53"/>
    <w:rsid w:val="0045534C"/>
    <w:rsid w:val="00455CD1"/>
    <w:rsid w:val="004600E0"/>
    <w:rsid w:val="0046048C"/>
    <w:rsid w:val="004605D4"/>
    <w:rsid w:val="00460B28"/>
    <w:rsid w:val="0046169C"/>
    <w:rsid w:val="00461961"/>
    <w:rsid w:val="00461C85"/>
    <w:rsid w:val="004627AE"/>
    <w:rsid w:val="004627BD"/>
    <w:rsid w:val="00463238"/>
    <w:rsid w:val="0046388E"/>
    <w:rsid w:val="004638D0"/>
    <w:rsid w:val="00463FD5"/>
    <w:rsid w:val="00464926"/>
    <w:rsid w:val="00464DF6"/>
    <w:rsid w:val="00464E31"/>
    <w:rsid w:val="00465AA9"/>
    <w:rsid w:val="0046675E"/>
    <w:rsid w:val="00466829"/>
    <w:rsid w:val="0046769E"/>
    <w:rsid w:val="004707C7"/>
    <w:rsid w:val="00470A19"/>
    <w:rsid w:val="00470B26"/>
    <w:rsid w:val="00470D3E"/>
    <w:rsid w:val="00470ED1"/>
    <w:rsid w:val="00471374"/>
    <w:rsid w:val="00471DB7"/>
    <w:rsid w:val="0047236C"/>
    <w:rsid w:val="0047302D"/>
    <w:rsid w:val="0047361E"/>
    <w:rsid w:val="00473F4A"/>
    <w:rsid w:val="0047581F"/>
    <w:rsid w:val="0047587F"/>
    <w:rsid w:val="00476893"/>
    <w:rsid w:val="00477416"/>
    <w:rsid w:val="00477B57"/>
    <w:rsid w:val="00477CFA"/>
    <w:rsid w:val="00477E2D"/>
    <w:rsid w:val="0048046F"/>
    <w:rsid w:val="004814D3"/>
    <w:rsid w:val="00481593"/>
    <w:rsid w:val="00481777"/>
    <w:rsid w:val="00481942"/>
    <w:rsid w:val="00482902"/>
    <w:rsid w:val="00483EA1"/>
    <w:rsid w:val="0048463C"/>
    <w:rsid w:val="00484C3B"/>
    <w:rsid w:val="00485525"/>
    <w:rsid w:val="004857A8"/>
    <w:rsid w:val="00485CC1"/>
    <w:rsid w:val="0048628A"/>
    <w:rsid w:val="00486CF0"/>
    <w:rsid w:val="00486FBA"/>
    <w:rsid w:val="004871D3"/>
    <w:rsid w:val="00487523"/>
    <w:rsid w:val="00487D18"/>
    <w:rsid w:val="004900D9"/>
    <w:rsid w:val="004904CA"/>
    <w:rsid w:val="004907ED"/>
    <w:rsid w:val="004909B1"/>
    <w:rsid w:val="00490E17"/>
    <w:rsid w:val="00493095"/>
    <w:rsid w:val="004932BA"/>
    <w:rsid w:val="0049378F"/>
    <w:rsid w:val="0049397B"/>
    <w:rsid w:val="00493DC8"/>
    <w:rsid w:val="00493EFB"/>
    <w:rsid w:val="0049454B"/>
    <w:rsid w:val="004963B3"/>
    <w:rsid w:val="0049665E"/>
    <w:rsid w:val="00496D84"/>
    <w:rsid w:val="00496DEC"/>
    <w:rsid w:val="0049720B"/>
    <w:rsid w:val="00497592"/>
    <w:rsid w:val="004976C2"/>
    <w:rsid w:val="004A0065"/>
    <w:rsid w:val="004A0886"/>
    <w:rsid w:val="004A08FC"/>
    <w:rsid w:val="004A1EA6"/>
    <w:rsid w:val="004A28DB"/>
    <w:rsid w:val="004A2E36"/>
    <w:rsid w:val="004A42B7"/>
    <w:rsid w:val="004A48DD"/>
    <w:rsid w:val="004A493B"/>
    <w:rsid w:val="004A6069"/>
    <w:rsid w:val="004A7392"/>
    <w:rsid w:val="004A75F7"/>
    <w:rsid w:val="004A777D"/>
    <w:rsid w:val="004B0E8E"/>
    <w:rsid w:val="004B1059"/>
    <w:rsid w:val="004B1121"/>
    <w:rsid w:val="004B15BB"/>
    <w:rsid w:val="004B2188"/>
    <w:rsid w:val="004B28F7"/>
    <w:rsid w:val="004B2A07"/>
    <w:rsid w:val="004B2A0E"/>
    <w:rsid w:val="004B3115"/>
    <w:rsid w:val="004B3E13"/>
    <w:rsid w:val="004B4E28"/>
    <w:rsid w:val="004B54A2"/>
    <w:rsid w:val="004B65CC"/>
    <w:rsid w:val="004B6EBA"/>
    <w:rsid w:val="004B7FD7"/>
    <w:rsid w:val="004C0157"/>
    <w:rsid w:val="004C0348"/>
    <w:rsid w:val="004C065A"/>
    <w:rsid w:val="004C0CEF"/>
    <w:rsid w:val="004C0DA5"/>
    <w:rsid w:val="004C193D"/>
    <w:rsid w:val="004C1D5C"/>
    <w:rsid w:val="004C1E6A"/>
    <w:rsid w:val="004C2939"/>
    <w:rsid w:val="004C2B6D"/>
    <w:rsid w:val="004C3153"/>
    <w:rsid w:val="004C34BA"/>
    <w:rsid w:val="004C3500"/>
    <w:rsid w:val="004C4AA9"/>
    <w:rsid w:val="004C4CD5"/>
    <w:rsid w:val="004C5C06"/>
    <w:rsid w:val="004C60F8"/>
    <w:rsid w:val="004C6486"/>
    <w:rsid w:val="004C6874"/>
    <w:rsid w:val="004C6FD5"/>
    <w:rsid w:val="004D0B15"/>
    <w:rsid w:val="004D0B4C"/>
    <w:rsid w:val="004D1073"/>
    <w:rsid w:val="004D1505"/>
    <w:rsid w:val="004D1645"/>
    <w:rsid w:val="004D1ACA"/>
    <w:rsid w:val="004D2ABE"/>
    <w:rsid w:val="004D3653"/>
    <w:rsid w:val="004D4010"/>
    <w:rsid w:val="004D454F"/>
    <w:rsid w:val="004D463C"/>
    <w:rsid w:val="004D4850"/>
    <w:rsid w:val="004D4BF1"/>
    <w:rsid w:val="004D4D98"/>
    <w:rsid w:val="004D5D0D"/>
    <w:rsid w:val="004D6058"/>
    <w:rsid w:val="004D61D9"/>
    <w:rsid w:val="004D649D"/>
    <w:rsid w:val="004D6B93"/>
    <w:rsid w:val="004D6EF2"/>
    <w:rsid w:val="004D7683"/>
    <w:rsid w:val="004D7BC7"/>
    <w:rsid w:val="004E0335"/>
    <w:rsid w:val="004E0ED2"/>
    <w:rsid w:val="004E1367"/>
    <w:rsid w:val="004E1735"/>
    <w:rsid w:val="004E3F47"/>
    <w:rsid w:val="004E45AF"/>
    <w:rsid w:val="004E4999"/>
    <w:rsid w:val="004E4AE2"/>
    <w:rsid w:val="004E4D39"/>
    <w:rsid w:val="004E665B"/>
    <w:rsid w:val="004E687B"/>
    <w:rsid w:val="004E7DDD"/>
    <w:rsid w:val="004F0A43"/>
    <w:rsid w:val="004F0C2D"/>
    <w:rsid w:val="004F0DA0"/>
    <w:rsid w:val="004F0EED"/>
    <w:rsid w:val="004F18EF"/>
    <w:rsid w:val="004F1C55"/>
    <w:rsid w:val="004F647C"/>
    <w:rsid w:val="004F66A2"/>
    <w:rsid w:val="004F6DD7"/>
    <w:rsid w:val="004F6DF2"/>
    <w:rsid w:val="0050023E"/>
    <w:rsid w:val="0050056B"/>
    <w:rsid w:val="00501A60"/>
    <w:rsid w:val="00501B06"/>
    <w:rsid w:val="00501D66"/>
    <w:rsid w:val="00502659"/>
    <w:rsid w:val="00502881"/>
    <w:rsid w:val="005029D9"/>
    <w:rsid w:val="00502EE1"/>
    <w:rsid w:val="00503086"/>
    <w:rsid w:val="00503A84"/>
    <w:rsid w:val="00503F63"/>
    <w:rsid w:val="00504F0D"/>
    <w:rsid w:val="00505099"/>
    <w:rsid w:val="0050578E"/>
    <w:rsid w:val="00505B01"/>
    <w:rsid w:val="005074B0"/>
    <w:rsid w:val="005076F6"/>
    <w:rsid w:val="00507CCD"/>
    <w:rsid w:val="00507FAC"/>
    <w:rsid w:val="005103E3"/>
    <w:rsid w:val="00510DED"/>
    <w:rsid w:val="005118FD"/>
    <w:rsid w:val="0051223C"/>
    <w:rsid w:val="005123BB"/>
    <w:rsid w:val="005127E7"/>
    <w:rsid w:val="00512BD8"/>
    <w:rsid w:val="0051360A"/>
    <w:rsid w:val="00513690"/>
    <w:rsid w:val="00513D2D"/>
    <w:rsid w:val="005143AF"/>
    <w:rsid w:val="0051452F"/>
    <w:rsid w:val="00514600"/>
    <w:rsid w:val="005158B3"/>
    <w:rsid w:val="005160C1"/>
    <w:rsid w:val="005160FC"/>
    <w:rsid w:val="00516564"/>
    <w:rsid w:val="00516885"/>
    <w:rsid w:val="00516A3F"/>
    <w:rsid w:val="00517113"/>
    <w:rsid w:val="005171C5"/>
    <w:rsid w:val="00517327"/>
    <w:rsid w:val="0052061A"/>
    <w:rsid w:val="00520621"/>
    <w:rsid w:val="00521C37"/>
    <w:rsid w:val="00522A23"/>
    <w:rsid w:val="00522C92"/>
    <w:rsid w:val="00523493"/>
    <w:rsid w:val="0052397D"/>
    <w:rsid w:val="00523E37"/>
    <w:rsid w:val="00523E8E"/>
    <w:rsid w:val="00525DFC"/>
    <w:rsid w:val="00525EFD"/>
    <w:rsid w:val="005260FF"/>
    <w:rsid w:val="00526B64"/>
    <w:rsid w:val="00526BC2"/>
    <w:rsid w:val="00526D65"/>
    <w:rsid w:val="005271AD"/>
    <w:rsid w:val="005273C9"/>
    <w:rsid w:val="00527A1B"/>
    <w:rsid w:val="00527FF3"/>
    <w:rsid w:val="005301AA"/>
    <w:rsid w:val="00532837"/>
    <w:rsid w:val="00532838"/>
    <w:rsid w:val="00533387"/>
    <w:rsid w:val="005342EA"/>
    <w:rsid w:val="00534E2A"/>
    <w:rsid w:val="0053593E"/>
    <w:rsid w:val="00535C42"/>
    <w:rsid w:val="00535D7A"/>
    <w:rsid w:val="0053608D"/>
    <w:rsid w:val="00536645"/>
    <w:rsid w:val="005367BD"/>
    <w:rsid w:val="00536C13"/>
    <w:rsid w:val="00536CE5"/>
    <w:rsid w:val="005376C9"/>
    <w:rsid w:val="0053774A"/>
    <w:rsid w:val="00537D0B"/>
    <w:rsid w:val="0054068F"/>
    <w:rsid w:val="0054093D"/>
    <w:rsid w:val="00540DA1"/>
    <w:rsid w:val="0054200C"/>
    <w:rsid w:val="00542112"/>
    <w:rsid w:val="005426BE"/>
    <w:rsid w:val="00543629"/>
    <w:rsid w:val="005437EA"/>
    <w:rsid w:val="005438B6"/>
    <w:rsid w:val="00543962"/>
    <w:rsid w:val="005441F1"/>
    <w:rsid w:val="005441FD"/>
    <w:rsid w:val="00544251"/>
    <w:rsid w:val="00544919"/>
    <w:rsid w:val="00544D56"/>
    <w:rsid w:val="005454AC"/>
    <w:rsid w:val="005455EC"/>
    <w:rsid w:val="005458A9"/>
    <w:rsid w:val="0054620A"/>
    <w:rsid w:val="00546432"/>
    <w:rsid w:val="005464A2"/>
    <w:rsid w:val="005470CB"/>
    <w:rsid w:val="005478CC"/>
    <w:rsid w:val="00547C7C"/>
    <w:rsid w:val="00550217"/>
    <w:rsid w:val="00551448"/>
    <w:rsid w:val="00552B99"/>
    <w:rsid w:val="00553B5E"/>
    <w:rsid w:val="00553D97"/>
    <w:rsid w:val="0055461F"/>
    <w:rsid w:val="005546D6"/>
    <w:rsid w:val="00554794"/>
    <w:rsid w:val="00555486"/>
    <w:rsid w:val="00555487"/>
    <w:rsid w:val="0055578F"/>
    <w:rsid w:val="005558B2"/>
    <w:rsid w:val="005558FD"/>
    <w:rsid w:val="005559F8"/>
    <w:rsid w:val="00555A76"/>
    <w:rsid w:val="0055644A"/>
    <w:rsid w:val="005566FA"/>
    <w:rsid w:val="00556903"/>
    <w:rsid w:val="00556A2A"/>
    <w:rsid w:val="005572FA"/>
    <w:rsid w:val="0055763C"/>
    <w:rsid w:val="00557F2B"/>
    <w:rsid w:val="00560235"/>
    <w:rsid w:val="005605C9"/>
    <w:rsid w:val="00560C6B"/>
    <w:rsid w:val="00560D36"/>
    <w:rsid w:val="00562929"/>
    <w:rsid w:val="005629B2"/>
    <w:rsid w:val="00562D82"/>
    <w:rsid w:val="00563383"/>
    <w:rsid w:val="00564BE6"/>
    <w:rsid w:val="00564DCC"/>
    <w:rsid w:val="005657B1"/>
    <w:rsid w:val="005659DB"/>
    <w:rsid w:val="00565AFD"/>
    <w:rsid w:val="005664C3"/>
    <w:rsid w:val="005667DE"/>
    <w:rsid w:val="00566AC3"/>
    <w:rsid w:val="00566FBF"/>
    <w:rsid w:val="00566FCE"/>
    <w:rsid w:val="00567170"/>
    <w:rsid w:val="00570501"/>
    <w:rsid w:val="00571B96"/>
    <w:rsid w:val="00571F0D"/>
    <w:rsid w:val="005720FD"/>
    <w:rsid w:val="0057219E"/>
    <w:rsid w:val="00572A8E"/>
    <w:rsid w:val="00573443"/>
    <w:rsid w:val="005740AB"/>
    <w:rsid w:val="00574374"/>
    <w:rsid w:val="00574511"/>
    <w:rsid w:val="00574FC1"/>
    <w:rsid w:val="005752B0"/>
    <w:rsid w:val="005757AF"/>
    <w:rsid w:val="00575BD2"/>
    <w:rsid w:val="00575FE7"/>
    <w:rsid w:val="00576123"/>
    <w:rsid w:val="00576898"/>
    <w:rsid w:val="00577A6C"/>
    <w:rsid w:val="00580193"/>
    <w:rsid w:val="00581447"/>
    <w:rsid w:val="00582A27"/>
    <w:rsid w:val="005836AF"/>
    <w:rsid w:val="0058466D"/>
    <w:rsid w:val="00584A89"/>
    <w:rsid w:val="005861EE"/>
    <w:rsid w:val="00590DB1"/>
    <w:rsid w:val="00591AEE"/>
    <w:rsid w:val="00591DCA"/>
    <w:rsid w:val="00591EA4"/>
    <w:rsid w:val="0059210A"/>
    <w:rsid w:val="00592181"/>
    <w:rsid w:val="00592FF6"/>
    <w:rsid w:val="00593021"/>
    <w:rsid w:val="0059306B"/>
    <w:rsid w:val="005931E5"/>
    <w:rsid w:val="0059329D"/>
    <w:rsid w:val="005934A7"/>
    <w:rsid w:val="005938C7"/>
    <w:rsid w:val="00593BAF"/>
    <w:rsid w:val="00593FC1"/>
    <w:rsid w:val="005941E9"/>
    <w:rsid w:val="00594B67"/>
    <w:rsid w:val="00595780"/>
    <w:rsid w:val="00596713"/>
    <w:rsid w:val="00596CDB"/>
    <w:rsid w:val="005A01DE"/>
    <w:rsid w:val="005A0B11"/>
    <w:rsid w:val="005A1FAF"/>
    <w:rsid w:val="005A2CB3"/>
    <w:rsid w:val="005A2DFB"/>
    <w:rsid w:val="005A36BA"/>
    <w:rsid w:val="005A393A"/>
    <w:rsid w:val="005A46E5"/>
    <w:rsid w:val="005A4C83"/>
    <w:rsid w:val="005A649A"/>
    <w:rsid w:val="005A6D66"/>
    <w:rsid w:val="005A74F2"/>
    <w:rsid w:val="005A7BDA"/>
    <w:rsid w:val="005B04C8"/>
    <w:rsid w:val="005B1B75"/>
    <w:rsid w:val="005B1F49"/>
    <w:rsid w:val="005B24DD"/>
    <w:rsid w:val="005B27F0"/>
    <w:rsid w:val="005B34C4"/>
    <w:rsid w:val="005B40B6"/>
    <w:rsid w:val="005B41C0"/>
    <w:rsid w:val="005B425A"/>
    <w:rsid w:val="005B4605"/>
    <w:rsid w:val="005B4B68"/>
    <w:rsid w:val="005B58C5"/>
    <w:rsid w:val="005B5FD5"/>
    <w:rsid w:val="005B6723"/>
    <w:rsid w:val="005B71FF"/>
    <w:rsid w:val="005B74C4"/>
    <w:rsid w:val="005C0FE0"/>
    <w:rsid w:val="005C170A"/>
    <w:rsid w:val="005C1F02"/>
    <w:rsid w:val="005C2ABD"/>
    <w:rsid w:val="005C2DE0"/>
    <w:rsid w:val="005C3AC5"/>
    <w:rsid w:val="005C4602"/>
    <w:rsid w:val="005C460D"/>
    <w:rsid w:val="005C48D0"/>
    <w:rsid w:val="005C4B50"/>
    <w:rsid w:val="005C5849"/>
    <w:rsid w:val="005C61EC"/>
    <w:rsid w:val="005C789C"/>
    <w:rsid w:val="005D0424"/>
    <w:rsid w:val="005D0513"/>
    <w:rsid w:val="005D0907"/>
    <w:rsid w:val="005D0DAF"/>
    <w:rsid w:val="005D104D"/>
    <w:rsid w:val="005D29E7"/>
    <w:rsid w:val="005D2E9F"/>
    <w:rsid w:val="005D3A92"/>
    <w:rsid w:val="005D3FB8"/>
    <w:rsid w:val="005D4526"/>
    <w:rsid w:val="005D45F8"/>
    <w:rsid w:val="005D52C2"/>
    <w:rsid w:val="005D6B3C"/>
    <w:rsid w:val="005D77C8"/>
    <w:rsid w:val="005E03D5"/>
    <w:rsid w:val="005E0BBB"/>
    <w:rsid w:val="005E0D4C"/>
    <w:rsid w:val="005E0E1A"/>
    <w:rsid w:val="005E0E2D"/>
    <w:rsid w:val="005E11C2"/>
    <w:rsid w:val="005E1C17"/>
    <w:rsid w:val="005E1CB7"/>
    <w:rsid w:val="005E307F"/>
    <w:rsid w:val="005E3484"/>
    <w:rsid w:val="005E34C0"/>
    <w:rsid w:val="005E3728"/>
    <w:rsid w:val="005E3793"/>
    <w:rsid w:val="005E4DDD"/>
    <w:rsid w:val="005E4F2D"/>
    <w:rsid w:val="005E530A"/>
    <w:rsid w:val="005E5CEC"/>
    <w:rsid w:val="005E6269"/>
    <w:rsid w:val="005E6814"/>
    <w:rsid w:val="005E68A8"/>
    <w:rsid w:val="005E6A57"/>
    <w:rsid w:val="005F0F22"/>
    <w:rsid w:val="005F0F91"/>
    <w:rsid w:val="005F167E"/>
    <w:rsid w:val="005F19E2"/>
    <w:rsid w:val="005F1FEE"/>
    <w:rsid w:val="005F4285"/>
    <w:rsid w:val="005F5205"/>
    <w:rsid w:val="005F53FD"/>
    <w:rsid w:val="005F5420"/>
    <w:rsid w:val="005F5A73"/>
    <w:rsid w:val="005F5EE8"/>
    <w:rsid w:val="005F5FC9"/>
    <w:rsid w:val="005F67F4"/>
    <w:rsid w:val="005F6DEB"/>
    <w:rsid w:val="005F6EB9"/>
    <w:rsid w:val="005F7463"/>
    <w:rsid w:val="005F754C"/>
    <w:rsid w:val="00600149"/>
    <w:rsid w:val="00600A7E"/>
    <w:rsid w:val="00600DE5"/>
    <w:rsid w:val="00600FC7"/>
    <w:rsid w:val="00601723"/>
    <w:rsid w:val="006020AE"/>
    <w:rsid w:val="00602ABE"/>
    <w:rsid w:val="006030BE"/>
    <w:rsid w:val="00604165"/>
    <w:rsid w:val="006042C4"/>
    <w:rsid w:val="006042E7"/>
    <w:rsid w:val="006042F3"/>
    <w:rsid w:val="006046DE"/>
    <w:rsid w:val="00605A67"/>
    <w:rsid w:val="00605E15"/>
    <w:rsid w:val="006063F4"/>
    <w:rsid w:val="0060677F"/>
    <w:rsid w:val="00606A5D"/>
    <w:rsid w:val="00607592"/>
    <w:rsid w:val="00607953"/>
    <w:rsid w:val="00607BA6"/>
    <w:rsid w:val="0061016A"/>
    <w:rsid w:val="00610AE1"/>
    <w:rsid w:val="00610D94"/>
    <w:rsid w:val="00611251"/>
    <w:rsid w:val="0061307E"/>
    <w:rsid w:val="00613935"/>
    <w:rsid w:val="00613C48"/>
    <w:rsid w:val="00614672"/>
    <w:rsid w:val="00614881"/>
    <w:rsid w:val="00614BB7"/>
    <w:rsid w:val="00614F9B"/>
    <w:rsid w:val="00615276"/>
    <w:rsid w:val="00615566"/>
    <w:rsid w:val="00615934"/>
    <w:rsid w:val="00615950"/>
    <w:rsid w:val="00615C28"/>
    <w:rsid w:val="00615DB2"/>
    <w:rsid w:val="00615EC9"/>
    <w:rsid w:val="0061652F"/>
    <w:rsid w:val="00616EDE"/>
    <w:rsid w:val="0061750A"/>
    <w:rsid w:val="00617839"/>
    <w:rsid w:val="00617996"/>
    <w:rsid w:val="00620203"/>
    <w:rsid w:val="00620A54"/>
    <w:rsid w:val="00620B97"/>
    <w:rsid w:val="00620CA0"/>
    <w:rsid w:val="00620CC3"/>
    <w:rsid w:val="0062105F"/>
    <w:rsid w:val="00621DFB"/>
    <w:rsid w:val="006225D9"/>
    <w:rsid w:val="00622E53"/>
    <w:rsid w:val="0062331D"/>
    <w:rsid w:val="00624E70"/>
    <w:rsid w:val="00624EC1"/>
    <w:rsid w:val="00624F76"/>
    <w:rsid w:val="00625DA9"/>
    <w:rsid w:val="00626575"/>
    <w:rsid w:val="006267F1"/>
    <w:rsid w:val="00627BEB"/>
    <w:rsid w:val="00630372"/>
    <w:rsid w:val="00630A1F"/>
    <w:rsid w:val="00631AC0"/>
    <w:rsid w:val="00632267"/>
    <w:rsid w:val="00632EEC"/>
    <w:rsid w:val="0063368E"/>
    <w:rsid w:val="00634AFA"/>
    <w:rsid w:val="00635C87"/>
    <w:rsid w:val="00635F7A"/>
    <w:rsid w:val="006362ED"/>
    <w:rsid w:val="006366DA"/>
    <w:rsid w:val="00636FF2"/>
    <w:rsid w:val="00637B4B"/>
    <w:rsid w:val="006403B4"/>
    <w:rsid w:val="00641240"/>
    <w:rsid w:val="006421C0"/>
    <w:rsid w:val="006424BB"/>
    <w:rsid w:val="006424DC"/>
    <w:rsid w:val="006432B0"/>
    <w:rsid w:val="0064409E"/>
    <w:rsid w:val="00644977"/>
    <w:rsid w:val="00644A72"/>
    <w:rsid w:val="006460F5"/>
    <w:rsid w:val="00646C05"/>
    <w:rsid w:val="006478E9"/>
    <w:rsid w:val="00647B2C"/>
    <w:rsid w:val="00647CE2"/>
    <w:rsid w:val="00650F4E"/>
    <w:rsid w:val="0065126C"/>
    <w:rsid w:val="00651B7A"/>
    <w:rsid w:val="0065249C"/>
    <w:rsid w:val="00652573"/>
    <w:rsid w:val="00652678"/>
    <w:rsid w:val="00653D78"/>
    <w:rsid w:val="00654568"/>
    <w:rsid w:val="006546B5"/>
    <w:rsid w:val="00654ACF"/>
    <w:rsid w:val="0065596E"/>
    <w:rsid w:val="00656811"/>
    <w:rsid w:val="006569C5"/>
    <w:rsid w:val="00657597"/>
    <w:rsid w:val="00657E8E"/>
    <w:rsid w:val="006600EB"/>
    <w:rsid w:val="00661C3E"/>
    <w:rsid w:val="00661E40"/>
    <w:rsid w:val="00663247"/>
    <w:rsid w:val="00663824"/>
    <w:rsid w:val="00663C1A"/>
    <w:rsid w:val="006647A2"/>
    <w:rsid w:val="006653FB"/>
    <w:rsid w:val="006656CF"/>
    <w:rsid w:val="00665BFA"/>
    <w:rsid w:val="00665C03"/>
    <w:rsid w:val="00666C39"/>
    <w:rsid w:val="00666C4F"/>
    <w:rsid w:val="00666D7A"/>
    <w:rsid w:val="00666E39"/>
    <w:rsid w:val="006670E1"/>
    <w:rsid w:val="0066711E"/>
    <w:rsid w:val="0066775C"/>
    <w:rsid w:val="006678E0"/>
    <w:rsid w:val="00667BC8"/>
    <w:rsid w:val="00670203"/>
    <w:rsid w:val="00670397"/>
    <w:rsid w:val="006705F2"/>
    <w:rsid w:val="006708C8"/>
    <w:rsid w:val="00671B1C"/>
    <w:rsid w:val="00671E11"/>
    <w:rsid w:val="00673EFC"/>
    <w:rsid w:val="0067423D"/>
    <w:rsid w:val="00674B22"/>
    <w:rsid w:val="00675ADA"/>
    <w:rsid w:val="006769FD"/>
    <w:rsid w:val="00676C1A"/>
    <w:rsid w:val="00676D05"/>
    <w:rsid w:val="00677DC0"/>
    <w:rsid w:val="0068068C"/>
    <w:rsid w:val="00680AB0"/>
    <w:rsid w:val="006817DF"/>
    <w:rsid w:val="006828A5"/>
    <w:rsid w:val="00682E9E"/>
    <w:rsid w:val="00683B28"/>
    <w:rsid w:val="00684297"/>
    <w:rsid w:val="00684A36"/>
    <w:rsid w:val="00684D18"/>
    <w:rsid w:val="00684D2F"/>
    <w:rsid w:val="00686D24"/>
    <w:rsid w:val="00686F6D"/>
    <w:rsid w:val="006876A5"/>
    <w:rsid w:val="00687A14"/>
    <w:rsid w:val="00687BD3"/>
    <w:rsid w:val="00690FE5"/>
    <w:rsid w:val="006913DF"/>
    <w:rsid w:val="006918CA"/>
    <w:rsid w:val="006918F0"/>
    <w:rsid w:val="00691B42"/>
    <w:rsid w:val="00691E0F"/>
    <w:rsid w:val="00692400"/>
    <w:rsid w:val="00692C92"/>
    <w:rsid w:val="006952FC"/>
    <w:rsid w:val="00695CDB"/>
    <w:rsid w:val="006961BA"/>
    <w:rsid w:val="00696DE2"/>
    <w:rsid w:val="006972B9"/>
    <w:rsid w:val="00697E6C"/>
    <w:rsid w:val="006A0252"/>
    <w:rsid w:val="006A349D"/>
    <w:rsid w:val="006A37D5"/>
    <w:rsid w:val="006A402D"/>
    <w:rsid w:val="006A466C"/>
    <w:rsid w:val="006A580E"/>
    <w:rsid w:val="006A6528"/>
    <w:rsid w:val="006A68F2"/>
    <w:rsid w:val="006A6924"/>
    <w:rsid w:val="006A72F9"/>
    <w:rsid w:val="006A75F2"/>
    <w:rsid w:val="006B076E"/>
    <w:rsid w:val="006B0781"/>
    <w:rsid w:val="006B1451"/>
    <w:rsid w:val="006B24D2"/>
    <w:rsid w:val="006B282C"/>
    <w:rsid w:val="006B3825"/>
    <w:rsid w:val="006B3932"/>
    <w:rsid w:val="006B4767"/>
    <w:rsid w:val="006B4D9C"/>
    <w:rsid w:val="006B4EAC"/>
    <w:rsid w:val="006B50A5"/>
    <w:rsid w:val="006B5F90"/>
    <w:rsid w:val="006B5FC6"/>
    <w:rsid w:val="006B6129"/>
    <w:rsid w:val="006B7123"/>
    <w:rsid w:val="006B71C9"/>
    <w:rsid w:val="006B7238"/>
    <w:rsid w:val="006C05EE"/>
    <w:rsid w:val="006C1099"/>
    <w:rsid w:val="006C1D13"/>
    <w:rsid w:val="006C234E"/>
    <w:rsid w:val="006C25FA"/>
    <w:rsid w:val="006C2718"/>
    <w:rsid w:val="006C302D"/>
    <w:rsid w:val="006C307C"/>
    <w:rsid w:val="006C42D0"/>
    <w:rsid w:val="006C45DC"/>
    <w:rsid w:val="006C49A1"/>
    <w:rsid w:val="006C5C36"/>
    <w:rsid w:val="006C63CC"/>
    <w:rsid w:val="006C6F23"/>
    <w:rsid w:val="006C7CDD"/>
    <w:rsid w:val="006D01C0"/>
    <w:rsid w:val="006D0C47"/>
    <w:rsid w:val="006D1E63"/>
    <w:rsid w:val="006D221B"/>
    <w:rsid w:val="006D3247"/>
    <w:rsid w:val="006D36B4"/>
    <w:rsid w:val="006D3D3F"/>
    <w:rsid w:val="006D45BB"/>
    <w:rsid w:val="006D48BE"/>
    <w:rsid w:val="006D4C17"/>
    <w:rsid w:val="006D4E84"/>
    <w:rsid w:val="006D5A2F"/>
    <w:rsid w:val="006E08A2"/>
    <w:rsid w:val="006E0919"/>
    <w:rsid w:val="006E14C1"/>
    <w:rsid w:val="006E1FE9"/>
    <w:rsid w:val="006E23EE"/>
    <w:rsid w:val="006E2CA2"/>
    <w:rsid w:val="006E3658"/>
    <w:rsid w:val="006E3D75"/>
    <w:rsid w:val="006E4908"/>
    <w:rsid w:val="006E4E8D"/>
    <w:rsid w:val="006E5B55"/>
    <w:rsid w:val="006E6F97"/>
    <w:rsid w:val="006E7282"/>
    <w:rsid w:val="006E7879"/>
    <w:rsid w:val="006F03DA"/>
    <w:rsid w:val="006F13BD"/>
    <w:rsid w:val="006F31A9"/>
    <w:rsid w:val="006F32A2"/>
    <w:rsid w:val="006F421F"/>
    <w:rsid w:val="006F4882"/>
    <w:rsid w:val="006F4B8A"/>
    <w:rsid w:val="006F5386"/>
    <w:rsid w:val="006F598D"/>
    <w:rsid w:val="006F7294"/>
    <w:rsid w:val="006F7485"/>
    <w:rsid w:val="006F799F"/>
    <w:rsid w:val="006F7C9D"/>
    <w:rsid w:val="006F7F4D"/>
    <w:rsid w:val="00700211"/>
    <w:rsid w:val="0070084B"/>
    <w:rsid w:val="00701A48"/>
    <w:rsid w:val="007022E2"/>
    <w:rsid w:val="00702AB1"/>
    <w:rsid w:val="00702C56"/>
    <w:rsid w:val="0070334C"/>
    <w:rsid w:val="00703394"/>
    <w:rsid w:val="007035DE"/>
    <w:rsid w:val="00703E6E"/>
    <w:rsid w:val="00703ED0"/>
    <w:rsid w:val="00704575"/>
    <w:rsid w:val="00705AA4"/>
    <w:rsid w:val="00706DB7"/>
    <w:rsid w:val="00707713"/>
    <w:rsid w:val="0071043C"/>
    <w:rsid w:val="007106FC"/>
    <w:rsid w:val="00710847"/>
    <w:rsid w:val="00710CAF"/>
    <w:rsid w:val="00711AE8"/>
    <w:rsid w:val="00712038"/>
    <w:rsid w:val="00713C38"/>
    <w:rsid w:val="00714125"/>
    <w:rsid w:val="00714C24"/>
    <w:rsid w:val="007156D5"/>
    <w:rsid w:val="00716C5B"/>
    <w:rsid w:val="0071744A"/>
    <w:rsid w:val="00717948"/>
    <w:rsid w:val="00717E92"/>
    <w:rsid w:val="00717F3E"/>
    <w:rsid w:val="007201B4"/>
    <w:rsid w:val="007206B4"/>
    <w:rsid w:val="007208A3"/>
    <w:rsid w:val="00720E42"/>
    <w:rsid w:val="00721664"/>
    <w:rsid w:val="00722A1F"/>
    <w:rsid w:val="007239EE"/>
    <w:rsid w:val="00723B9C"/>
    <w:rsid w:val="00723F29"/>
    <w:rsid w:val="00724106"/>
    <w:rsid w:val="00725297"/>
    <w:rsid w:val="0072697E"/>
    <w:rsid w:val="00726B5E"/>
    <w:rsid w:val="00726CBB"/>
    <w:rsid w:val="0073069F"/>
    <w:rsid w:val="007317F7"/>
    <w:rsid w:val="007318A4"/>
    <w:rsid w:val="00731D07"/>
    <w:rsid w:val="0073207F"/>
    <w:rsid w:val="007334EE"/>
    <w:rsid w:val="00733C01"/>
    <w:rsid w:val="00733EAE"/>
    <w:rsid w:val="007340C0"/>
    <w:rsid w:val="00734218"/>
    <w:rsid w:val="007342C9"/>
    <w:rsid w:val="00734668"/>
    <w:rsid w:val="00734690"/>
    <w:rsid w:val="0073487D"/>
    <w:rsid w:val="00734ACE"/>
    <w:rsid w:val="00734DFC"/>
    <w:rsid w:val="00735A0C"/>
    <w:rsid w:val="00736145"/>
    <w:rsid w:val="007365A6"/>
    <w:rsid w:val="007365AD"/>
    <w:rsid w:val="00736952"/>
    <w:rsid w:val="00736DC2"/>
    <w:rsid w:val="0073727A"/>
    <w:rsid w:val="00737626"/>
    <w:rsid w:val="007376B2"/>
    <w:rsid w:val="00737AF3"/>
    <w:rsid w:val="007413C8"/>
    <w:rsid w:val="00742284"/>
    <w:rsid w:val="00742CAC"/>
    <w:rsid w:val="00742E40"/>
    <w:rsid w:val="00742E4B"/>
    <w:rsid w:val="00744201"/>
    <w:rsid w:val="007443EC"/>
    <w:rsid w:val="0074449E"/>
    <w:rsid w:val="00744BEA"/>
    <w:rsid w:val="0074550D"/>
    <w:rsid w:val="00745A6F"/>
    <w:rsid w:val="00746DA5"/>
    <w:rsid w:val="00747090"/>
    <w:rsid w:val="007473F9"/>
    <w:rsid w:val="00747808"/>
    <w:rsid w:val="00750F46"/>
    <w:rsid w:val="00751C5D"/>
    <w:rsid w:val="00751EF2"/>
    <w:rsid w:val="00752DE2"/>
    <w:rsid w:val="00753141"/>
    <w:rsid w:val="0075352D"/>
    <w:rsid w:val="00753535"/>
    <w:rsid w:val="00753795"/>
    <w:rsid w:val="00753DD0"/>
    <w:rsid w:val="0075472F"/>
    <w:rsid w:val="007549C3"/>
    <w:rsid w:val="00755222"/>
    <w:rsid w:val="007557B1"/>
    <w:rsid w:val="007562C1"/>
    <w:rsid w:val="0075746B"/>
    <w:rsid w:val="0076088A"/>
    <w:rsid w:val="00760ADB"/>
    <w:rsid w:val="00760ED2"/>
    <w:rsid w:val="00761377"/>
    <w:rsid w:val="007620DB"/>
    <w:rsid w:val="0076211B"/>
    <w:rsid w:val="007633FF"/>
    <w:rsid w:val="00763554"/>
    <w:rsid w:val="00764A22"/>
    <w:rsid w:val="00765935"/>
    <w:rsid w:val="0076686B"/>
    <w:rsid w:val="00767BF8"/>
    <w:rsid w:val="007704B9"/>
    <w:rsid w:val="007704CE"/>
    <w:rsid w:val="00770996"/>
    <w:rsid w:val="007711DE"/>
    <w:rsid w:val="00771A57"/>
    <w:rsid w:val="00771DF5"/>
    <w:rsid w:val="00771E23"/>
    <w:rsid w:val="007721B6"/>
    <w:rsid w:val="00772603"/>
    <w:rsid w:val="007729E5"/>
    <w:rsid w:val="00772A55"/>
    <w:rsid w:val="00772E20"/>
    <w:rsid w:val="007730A5"/>
    <w:rsid w:val="00773148"/>
    <w:rsid w:val="00774440"/>
    <w:rsid w:val="007746D2"/>
    <w:rsid w:val="00774FA5"/>
    <w:rsid w:val="00775E42"/>
    <w:rsid w:val="0077621B"/>
    <w:rsid w:val="00780089"/>
    <w:rsid w:val="00781914"/>
    <w:rsid w:val="00782072"/>
    <w:rsid w:val="007827F2"/>
    <w:rsid w:val="00782C96"/>
    <w:rsid w:val="00783C92"/>
    <w:rsid w:val="00783D52"/>
    <w:rsid w:val="00783F13"/>
    <w:rsid w:val="007841CE"/>
    <w:rsid w:val="007848A7"/>
    <w:rsid w:val="00784B16"/>
    <w:rsid w:val="00786387"/>
    <w:rsid w:val="007867EA"/>
    <w:rsid w:val="0078689B"/>
    <w:rsid w:val="00786BBA"/>
    <w:rsid w:val="00786CAF"/>
    <w:rsid w:val="007904FF"/>
    <w:rsid w:val="00790882"/>
    <w:rsid w:val="00791179"/>
    <w:rsid w:val="007917C5"/>
    <w:rsid w:val="007924DE"/>
    <w:rsid w:val="00793142"/>
    <w:rsid w:val="00793782"/>
    <w:rsid w:val="00793882"/>
    <w:rsid w:val="00793968"/>
    <w:rsid w:val="00793D02"/>
    <w:rsid w:val="0079450C"/>
    <w:rsid w:val="00794570"/>
    <w:rsid w:val="007950B3"/>
    <w:rsid w:val="00797249"/>
    <w:rsid w:val="00797C64"/>
    <w:rsid w:val="00797F3B"/>
    <w:rsid w:val="00797F77"/>
    <w:rsid w:val="007A06B6"/>
    <w:rsid w:val="007A0FEC"/>
    <w:rsid w:val="007A1214"/>
    <w:rsid w:val="007A1537"/>
    <w:rsid w:val="007A1FB5"/>
    <w:rsid w:val="007A2985"/>
    <w:rsid w:val="007A3AD9"/>
    <w:rsid w:val="007A5777"/>
    <w:rsid w:val="007A5787"/>
    <w:rsid w:val="007A5A55"/>
    <w:rsid w:val="007A60FD"/>
    <w:rsid w:val="007A65A1"/>
    <w:rsid w:val="007A6698"/>
    <w:rsid w:val="007A6FB7"/>
    <w:rsid w:val="007A7597"/>
    <w:rsid w:val="007A7CDD"/>
    <w:rsid w:val="007A7E7D"/>
    <w:rsid w:val="007B0050"/>
    <w:rsid w:val="007B0486"/>
    <w:rsid w:val="007B07CC"/>
    <w:rsid w:val="007B103D"/>
    <w:rsid w:val="007B1576"/>
    <w:rsid w:val="007B27C2"/>
    <w:rsid w:val="007B3074"/>
    <w:rsid w:val="007B384F"/>
    <w:rsid w:val="007B43A4"/>
    <w:rsid w:val="007B48FA"/>
    <w:rsid w:val="007B5474"/>
    <w:rsid w:val="007B5906"/>
    <w:rsid w:val="007B5E9D"/>
    <w:rsid w:val="007B7089"/>
    <w:rsid w:val="007C0A42"/>
    <w:rsid w:val="007C0F69"/>
    <w:rsid w:val="007C13CF"/>
    <w:rsid w:val="007C1915"/>
    <w:rsid w:val="007C1958"/>
    <w:rsid w:val="007C1D79"/>
    <w:rsid w:val="007C2F9A"/>
    <w:rsid w:val="007C389B"/>
    <w:rsid w:val="007C38A0"/>
    <w:rsid w:val="007C38B6"/>
    <w:rsid w:val="007C48D5"/>
    <w:rsid w:val="007C4AA6"/>
    <w:rsid w:val="007C4C5F"/>
    <w:rsid w:val="007C4CE3"/>
    <w:rsid w:val="007C613E"/>
    <w:rsid w:val="007C6448"/>
    <w:rsid w:val="007C64BC"/>
    <w:rsid w:val="007C686A"/>
    <w:rsid w:val="007C72B2"/>
    <w:rsid w:val="007C78A4"/>
    <w:rsid w:val="007C7A8B"/>
    <w:rsid w:val="007D0259"/>
    <w:rsid w:val="007D02CC"/>
    <w:rsid w:val="007D0625"/>
    <w:rsid w:val="007D15B0"/>
    <w:rsid w:val="007D1CFC"/>
    <w:rsid w:val="007D1EF2"/>
    <w:rsid w:val="007D2289"/>
    <w:rsid w:val="007D276A"/>
    <w:rsid w:val="007D2F42"/>
    <w:rsid w:val="007D329B"/>
    <w:rsid w:val="007D3459"/>
    <w:rsid w:val="007D3E74"/>
    <w:rsid w:val="007D44D7"/>
    <w:rsid w:val="007D4972"/>
    <w:rsid w:val="007D4977"/>
    <w:rsid w:val="007D6112"/>
    <w:rsid w:val="007D6D1A"/>
    <w:rsid w:val="007D6FEE"/>
    <w:rsid w:val="007D7133"/>
    <w:rsid w:val="007D727E"/>
    <w:rsid w:val="007D766B"/>
    <w:rsid w:val="007D76D9"/>
    <w:rsid w:val="007E101C"/>
    <w:rsid w:val="007E1725"/>
    <w:rsid w:val="007E1E0B"/>
    <w:rsid w:val="007E4A29"/>
    <w:rsid w:val="007E4A2C"/>
    <w:rsid w:val="007E514F"/>
    <w:rsid w:val="007E5CD3"/>
    <w:rsid w:val="007E72B0"/>
    <w:rsid w:val="007E7572"/>
    <w:rsid w:val="007E7643"/>
    <w:rsid w:val="007F11EB"/>
    <w:rsid w:val="007F18D3"/>
    <w:rsid w:val="007F1E43"/>
    <w:rsid w:val="007F222F"/>
    <w:rsid w:val="007F2ACB"/>
    <w:rsid w:val="007F31BB"/>
    <w:rsid w:val="007F32A2"/>
    <w:rsid w:val="007F434F"/>
    <w:rsid w:val="007F4CCD"/>
    <w:rsid w:val="007F587B"/>
    <w:rsid w:val="007F69D0"/>
    <w:rsid w:val="007F6B11"/>
    <w:rsid w:val="007F6DA9"/>
    <w:rsid w:val="007F78C1"/>
    <w:rsid w:val="007F7CDC"/>
    <w:rsid w:val="007F7D86"/>
    <w:rsid w:val="00800142"/>
    <w:rsid w:val="00800350"/>
    <w:rsid w:val="00800832"/>
    <w:rsid w:val="00800C38"/>
    <w:rsid w:val="0080141F"/>
    <w:rsid w:val="00801534"/>
    <w:rsid w:val="00801720"/>
    <w:rsid w:val="00801A24"/>
    <w:rsid w:val="00801C9D"/>
    <w:rsid w:val="00801E6C"/>
    <w:rsid w:val="00802C12"/>
    <w:rsid w:val="00804071"/>
    <w:rsid w:val="00804A07"/>
    <w:rsid w:val="00804E3C"/>
    <w:rsid w:val="00804E69"/>
    <w:rsid w:val="008055BF"/>
    <w:rsid w:val="00806177"/>
    <w:rsid w:val="008061FD"/>
    <w:rsid w:val="0080665E"/>
    <w:rsid w:val="008071DA"/>
    <w:rsid w:val="00810221"/>
    <w:rsid w:val="00810D75"/>
    <w:rsid w:val="00811122"/>
    <w:rsid w:val="00811A24"/>
    <w:rsid w:val="00811A85"/>
    <w:rsid w:val="00811BCB"/>
    <w:rsid w:val="00811ECA"/>
    <w:rsid w:val="008122AC"/>
    <w:rsid w:val="00812B47"/>
    <w:rsid w:val="00812E68"/>
    <w:rsid w:val="00813354"/>
    <w:rsid w:val="008134A5"/>
    <w:rsid w:val="008135EA"/>
    <w:rsid w:val="00813F7B"/>
    <w:rsid w:val="0081415B"/>
    <w:rsid w:val="0081425D"/>
    <w:rsid w:val="0081653B"/>
    <w:rsid w:val="00816AE8"/>
    <w:rsid w:val="00816BEC"/>
    <w:rsid w:val="00817F29"/>
    <w:rsid w:val="008200B6"/>
    <w:rsid w:val="0082032A"/>
    <w:rsid w:val="008204D3"/>
    <w:rsid w:val="00821AE1"/>
    <w:rsid w:val="00821FBF"/>
    <w:rsid w:val="00822219"/>
    <w:rsid w:val="00822F80"/>
    <w:rsid w:val="00822FD0"/>
    <w:rsid w:val="00823281"/>
    <w:rsid w:val="008234D4"/>
    <w:rsid w:val="00823B87"/>
    <w:rsid w:val="00823D42"/>
    <w:rsid w:val="00824414"/>
    <w:rsid w:val="008244BD"/>
    <w:rsid w:val="00824D36"/>
    <w:rsid w:val="00824F42"/>
    <w:rsid w:val="008259E6"/>
    <w:rsid w:val="00825B6A"/>
    <w:rsid w:val="00827288"/>
    <w:rsid w:val="00827F12"/>
    <w:rsid w:val="00831077"/>
    <w:rsid w:val="00831132"/>
    <w:rsid w:val="00831C5D"/>
    <w:rsid w:val="0083298E"/>
    <w:rsid w:val="00832CDF"/>
    <w:rsid w:val="00833083"/>
    <w:rsid w:val="00833158"/>
    <w:rsid w:val="00833A78"/>
    <w:rsid w:val="00833D44"/>
    <w:rsid w:val="0083446E"/>
    <w:rsid w:val="00834FD3"/>
    <w:rsid w:val="00835077"/>
    <w:rsid w:val="008358B1"/>
    <w:rsid w:val="00835FDA"/>
    <w:rsid w:val="00836037"/>
    <w:rsid w:val="00836162"/>
    <w:rsid w:val="00837071"/>
    <w:rsid w:val="00837357"/>
    <w:rsid w:val="00837B50"/>
    <w:rsid w:val="008403DC"/>
    <w:rsid w:val="00841BA9"/>
    <w:rsid w:val="00841C2E"/>
    <w:rsid w:val="008421C6"/>
    <w:rsid w:val="008427FF"/>
    <w:rsid w:val="00843901"/>
    <w:rsid w:val="00843A28"/>
    <w:rsid w:val="00843AC1"/>
    <w:rsid w:val="00843C3C"/>
    <w:rsid w:val="0084448D"/>
    <w:rsid w:val="00844CC6"/>
    <w:rsid w:val="00844E39"/>
    <w:rsid w:val="00845493"/>
    <w:rsid w:val="00845572"/>
    <w:rsid w:val="00845640"/>
    <w:rsid w:val="00845980"/>
    <w:rsid w:val="00845EB5"/>
    <w:rsid w:val="00846573"/>
    <w:rsid w:val="00846982"/>
    <w:rsid w:val="00846E09"/>
    <w:rsid w:val="00846E8C"/>
    <w:rsid w:val="00850253"/>
    <w:rsid w:val="00850325"/>
    <w:rsid w:val="00850F1A"/>
    <w:rsid w:val="008515F3"/>
    <w:rsid w:val="0085187B"/>
    <w:rsid w:val="00851B2B"/>
    <w:rsid w:val="00851EEA"/>
    <w:rsid w:val="0085221B"/>
    <w:rsid w:val="00853A7B"/>
    <w:rsid w:val="00853BD7"/>
    <w:rsid w:val="008540AD"/>
    <w:rsid w:val="008548F3"/>
    <w:rsid w:val="00854B53"/>
    <w:rsid w:val="00855E1E"/>
    <w:rsid w:val="00856335"/>
    <w:rsid w:val="00856A32"/>
    <w:rsid w:val="00856C1F"/>
    <w:rsid w:val="00857B07"/>
    <w:rsid w:val="00860DD6"/>
    <w:rsid w:val="008610C1"/>
    <w:rsid w:val="00861226"/>
    <w:rsid w:val="00861353"/>
    <w:rsid w:val="008619AF"/>
    <w:rsid w:val="008625EC"/>
    <w:rsid w:val="00862C0A"/>
    <w:rsid w:val="008638A7"/>
    <w:rsid w:val="00865EE0"/>
    <w:rsid w:val="00866217"/>
    <w:rsid w:val="00866546"/>
    <w:rsid w:val="00866E57"/>
    <w:rsid w:val="00866E81"/>
    <w:rsid w:val="00867A28"/>
    <w:rsid w:val="00867EF7"/>
    <w:rsid w:val="008704C5"/>
    <w:rsid w:val="00871485"/>
    <w:rsid w:val="00871ABE"/>
    <w:rsid w:val="00871D3B"/>
    <w:rsid w:val="0087235B"/>
    <w:rsid w:val="008725D8"/>
    <w:rsid w:val="0087264C"/>
    <w:rsid w:val="008734E3"/>
    <w:rsid w:val="00873757"/>
    <w:rsid w:val="00874163"/>
    <w:rsid w:val="00874E65"/>
    <w:rsid w:val="00875532"/>
    <w:rsid w:val="00875A34"/>
    <w:rsid w:val="00875DE4"/>
    <w:rsid w:val="00876472"/>
    <w:rsid w:val="00876C15"/>
    <w:rsid w:val="00877449"/>
    <w:rsid w:val="00880B37"/>
    <w:rsid w:val="00882292"/>
    <w:rsid w:val="00882555"/>
    <w:rsid w:val="0088284C"/>
    <w:rsid w:val="00882A60"/>
    <w:rsid w:val="00882FB4"/>
    <w:rsid w:val="00883445"/>
    <w:rsid w:val="008834C3"/>
    <w:rsid w:val="00883BD9"/>
    <w:rsid w:val="00884529"/>
    <w:rsid w:val="00884C40"/>
    <w:rsid w:val="00884C5B"/>
    <w:rsid w:val="00885B05"/>
    <w:rsid w:val="00885BD7"/>
    <w:rsid w:val="00886E4E"/>
    <w:rsid w:val="00886EDF"/>
    <w:rsid w:val="00887D16"/>
    <w:rsid w:val="0089007C"/>
    <w:rsid w:val="00890CED"/>
    <w:rsid w:val="0089155F"/>
    <w:rsid w:val="00891CB7"/>
    <w:rsid w:val="00892B27"/>
    <w:rsid w:val="00892C14"/>
    <w:rsid w:val="00892CFB"/>
    <w:rsid w:val="00893DE9"/>
    <w:rsid w:val="008940A2"/>
    <w:rsid w:val="008947A2"/>
    <w:rsid w:val="00894CCA"/>
    <w:rsid w:val="008957CF"/>
    <w:rsid w:val="00895932"/>
    <w:rsid w:val="00895EDC"/>
    <w:rsid w:val="0089611F"/>
    <w:rsid w:val="00896A3B"/>
    <w:rsid w:val="008A0861"/>
    <w:rsid w:val="008A0CBF"/>
    <w:rsid w:val="008A129F"/>
    <w:rsid w:val="008A2A96"/>
    <w:rsid w:val="008A2E62"/>
    <w:rsid w:val="008A360F"/>
    <w:rsid w:val="008A3B52"/>
    <w:rsid w:val="008A4C69"/>
    <w:rsid w:val="008A4C93"/>
    <w:rsid w:val="008A50FA"/>
    <w:rsid w:val="008A5138"/>
    <w:rsid w:val="008A536E"/>
    <w:rsid w:val="008A5406"/>
    <w:rsid w:val="008A5513"/>
    <w:rsid w:val="008A5EB0"/>
    <w:rsid w:val="008A60C2"/>
    <w:rsid w:val="008A60DF"/>
    <w:rsid w:val="008A6A53"/>
    <w:rsid w:val="008A6CF5"/>
    <w:rsid w:val="008A736E"/>
    <w:rsid w:val="008A7446"/>
    <w:rsid w:val="008A7ED6"/>
    <w:rsid w:val="008B0594"/>
    <w:rsid w:val="008B1108"/>
    <w:rsid w:val="008B2753"/>
    <w:rsid w:val="008B3394"/>
    <w:rsid w:val="008B3903"/>
    <w:rsid w:val="008B4E13"/>
    <w:rsid w:val="008B5086"/>
    <w:rsid w:val="008B52F4"/>
    <w:rsid w:val="008B53E4"/>
    <w:rsid w:val="008B5C2A"/>
    <w:rsid w:val="008B5F11"/>
    <w:rsid w:val="008B66FD"/>
    <w:rsid w:val="008B6ADA"/>
    <w:rsid w:val="008B7580"/>
    <w:rsid w:val="008C085B"/>
    <w:rsid w:val="008C20B3"/>
    <w:rsid w:val="008C384F"/>
    <w:rsid w:val="008C47DC"/>
    <w:rsid w:val="008C4C3B"/>
    <w:rsid w:val="008C52D8"/>
    <w:rsid w:val="008C5563"/>
    <w:rsid w:val="008C587C"/>
    <w:rsid w:val="008C6449"/>
    <w:rsid w:val="008C6B29"/>
    <w:rsid w:val="008C6C75"/>
    <w:rsid w:val="008C6E51"/>
    <w:rsid w:val="008C780B"/>
    <w:rsid w:val="008D0558"/>
    <w:rsid w:val="008D0627"/>
    <w:rsid w:val="008D19D2"/>
    <w:rsid w:val="008D1AB0"/>
    <w:rsid w:val="008D1F37"/>
    <w:rsid w:val="008D20D1"/>
    <w:rsid w:val="008D2132"/>
    <w:rsid w:val="008D2575"/>
    <w:rsid w:val="008D2E6A"/>
    <w:rsid w:val="008D2E9D"/>
    <w:rsid w:val="008D3352"/>
    <w:rsid w:val="008D3E64"/>
    <w:rsid w:val="008D43F0"/>
    <w:rsid w:val="008D6DBA"/>
    <w:rsid w:val="008D6F21"/>
    <w:rsid w:val="008D7C78"/>
    <w:rsid w:val="008D7F68"/>
    <w:rsid w:val="008E0209"/>
    <w:rsid w:val="008E0816"/>
    <w:rsid w:val="008E0BBD"/>
    <w:rsid w:val="008E0EB0"/>
    <w:rsid w:val="008E14AE"/>
    <w:rsid w:val="008E1724"/>
    <w:rsid w:val="008E19A7"/>
    <w:rsid w:val="008E27D1"/>
    <w:rsid w:val="008E3794"/>
    <w:rsid w:val="008E3AD6"/>
    <w:rsid w:val="008E503A"/>
    <w:rsid w:val="008E5545"/>
    <w:rsid w:val="008E59AA"/>
    <w:rsid w:val="008E5D5B"/>
    <w:rsid w:val="008E665D"/>
    <w:rsid w:val="008E681C"/>
    <w:rsid w:val="008E6AEF"/>
    <w:rsid w:val="008E6E7E"/>
    <w:rsid w:val="008E6F79"/>
    <w:rsid w:val="008E7404"/>
    <w:rsid w:val="008E794A"/>
    <w:rsid w:val="008E7E4F"/>
    <w:rsid w:val="008F02D4"/>
    <w:rsid w:val="008F0ED7"/>
    <w:rsid w:val="008F0F11"/>
    <w:rsid w:val="008F17F6"/>
    <w:rsid w:val="008F1E20"/>
    <w:rsid w:val="008F2882"/>
    <w:rsid w:val="008F2F79"/>
    <w:rsid w:val="008F32CE"/>
    <w:rsid w:val="008F3B31"/>
    <w:rsid w:val="008F4113"/>
    <w:rsid w:val="008F4A32"/>
    <w:rsid w:val="008F52AA"/>
    <w:rsid w:val="008F553C"/>
    <w:rsid w:val="008F6B2A"/>
    <w:rsid w:val="008F6B75"/>
    <w:rsid w:val="008F7BB7"/>
    <w:rsid w:val="00900018"/>
    <w:rsid w:val="00900A8F"/>
    <w:rsid w:val="00900DB1"/>
    <w:rsid w:val="00901008"/>
    <w:rsid w:val="00901A7F"/>
    <w:rsid w:val="009022B6"/>
    <w:rsid w:val="00902AED"/>
    <w:rsid w:val="00902F4C"/>
    <w:rsid w:val="00903826"/>
    <w:rsid w:val="00903B62"/>
    <w:rsid w:val="00905AEA"/>
    <w:rsid w:val="00905D28"/>
    <w:rsid w:val="00906298"/>
    <w:rsid w:val="00907A9C"/>
    <w:rsid w:val="00907AC9"/>
    <w:rsid w:val="00907E1B"/>
    <w:rsid w:val="0091023E"/>
    <w:rsid w:val="0091093D"/>
    <w:rsid w:val="00910945"/>
    <w:rsid w:val="0091125D"/>
    <w:rsid w:val="0091152A"/>
    <w:rsid w:val="00911EE8"/>
    <w:rsid w:val="00913468"/>
    <w:rsid w:val="00914328"/>
    <w:rsid w:val="00914413"/>
    <w:rsid w:val="0091544E"/>
    <w:rsid w:val="0091548E"/>
    <w:rsid w:val="00916B4F"/>
    <w:rsid w:val="0091736A"/>
    <w:rsid w:val="00917554"/>
    <w:rsid w:val="009176ED"/>
    <w:rsid w:val="00917902"/>
    <w:rsid w:val="00917CE6"/>
    <w:rsid w:val="009204DD"/>
    <w:rsid w:val="00921EB0"/>
    <w:rsid w:val="00924B30"/>
    <w:rsid w:val="00925071"/>
    <w:rsid w:val="009256A8"/>
    <w:rsid w:val="009258D9"/>
    <w:rsid w:val="00925FEC"/>
    <w:rsid w:val="0092625D"/>
    <w:rsid w:val="00926A6B"/>
    <w:rsid w:val="009272B7"/>
    <w:rsid w:val="00927421"/>
    <w:rsid w:val="00927973"/>
    <w:rsid w:val="00927A88"/>
    <w:rsid w:val="00927AD0"/>
    <w:rsid w:val="00930732"/>
    <w:rsid w:val="0093107D"/>
    <w:rsid w:val="00931A14"/>
    <w:rsid w:val="00931CD2"/>
    <w:rsid w:val="00932380"/>
    <w:rsid w:val="00932ABF"/>
    <w:rsid w:val="00932DFC"/>
    <w:rsid w:val="0093337A"/>
    <w:rsid w:val="009336CA"/>
    <w:rsid w:val="0093386D"/>
    <w:rsid w:val="00933DA4"/>
    <w:rsid w:val="00934142"/>
    <w:rsid w:val="00934281"/>
    <w:rsid w:val="00935CE5"/>
    <w:rsid w:val="00935DA5"/>
    <w:rsid w:val="00936604"/>
    <w:rsid w:val="00936C69"/>
    <w:rsid w:val="00936E8C"/>
    <w:rsid w:val="00937530"/>
    <w:rsid w:val="00937662"/>
    <w:rsid w:val="00937BEF"/>
    <w:rsid w:val="00937CE9"/>
    <w:rsid w:val="00940206"/>
    <w:rsid w:val="00940663"/>
    <w:rsid w:val="00940F84"/>
    <w:rsid w:val="00941002"/>
    <w:rsid w:val="00941315"/>
    <w:rsid w:val="00941531"/>
    <w:rsid w:val="00941BDA"/>
    <w:rsid w:val="0094235E"/>
    <w:rsid w:val="00942FA6"/>
    <w:rsid w:val="009437FF"/>
    <w:rsid w:val="0094428A"/>
    <w:rsid w:val="00944FFE"/>
    <w:rsid w:val="00945114"/>
    <w:rsid w:val="00945DA9"/>
    <w:rsid w:val="009469CE"/>
    <w:rsid w:val="0094729C"/>
    <w:rsid w:val="009479FB"/>
    <w:rsid w:val="00947AB7"/>
    <w:rsid w:val="009501FC"/>
    <w:rsid w:val="00950510"/>
    <w:rsid w:val="009506D0"/>
    <w:rsid w:val="009509D5"/>
    <w:rsid w:val="009534F8"/>
    <w:rsid w:val="00953B5E"/>
    <w:rsid w:val="00954E10"/>
    <w:rsid w:val="009555A1"/>
    <w:rsid w:val="00955DC1"/>
    <w:rsid w:val="00956267"/>
    <w:rsid w:val="0095658F"/>
    <w:rsid w:val="00956D3A"/>
    <w:rsid w:val="00957247"/>
    <w:rsid w:val="00957589"/>
    <w:rsid w:val="00957870"/>
    <w:rsid w:val="00957DE6"/>
    <w:rsid w:val="009602A7"/>
    <w:rsid w:val="0096052D"/>
    <w:rsid w:val="0096061C"/>
    <w:rsid w:val="00961120"/>
    <w:rsid w:val="00961A30"/>
    <w:rsid w:val="00961CE9"/>
    <w:rsid w:val="00961E49"/>
    <w:rsid w:val="00962006"/>
    <w:rsid w:val="00962092"/>
    <w:rsid w:val="0096253D"/>
    <w:rsid w:val="009626EE"/>
    <w:rsid w:val="00962866"/>
    <w:rsid w:val="00962D9F"/>
    <w:rsid w:val="00962DDD"/>
    <w:rsid w:val="009633BB"/>
    <w:rsid w:val="00963506"/>
    <w:rsid w:val="00964ACA"/>
    <w:rsid w:val="0096517C"/>
    <w:rsid w:val="0096673E"/>
    <w:rsid w:val="009669E7"/>
    <w:rsid w:val="00966EC2"/>
    <w:rsid w:val="009676DF"/>
    <w:rsid w:val="00967A9C"/>
    <w:rsid w:val="00967C82"/>
    <w:rsid w:val="0097008F"/>
    <w:rsid w:val="009702A6"/>
    <w:rsid w:val="00970892"/>
    <w:rsid w:val="009710B8"/>
    <w:rsid w:val="0097190A"/>
    <w:rsid w:val="00971F00"/>
    <w:rsid w:val="009727A7"/>
    <w:rsid w:val="009727D2"/>
    <w:rsid w:val="00972FA8"/>
    <w:rsid w:val="009730F5"/>
    <w:rsid w:val="009747AE"/>
    <w:rsid w:val="00974A51"/>
    <w:rsid w:val="00974FDD"/>
    <w:rsid w:val="00975808"/>
    <w:rsid w:val="009764D4"/>
    <w:rsid w:val="00976C6C"/>
    <w:rsid w:val="00976DF1"/>
    <w:rsid w:val="00980886"/>
    <w:rsid w:val="009812D8"/>
    <w:rsid w:val="0098149E"/>
    <w:rsid w:val="0098176C"/>
    <w:rsid w:val="009819E7"/>
    <w:rsid w:val="009820F6"/>
    <w:rsid w:val="00982954"/>
    <w:rsid w:val="00982B69"/>
    <w:rsid w:val="00983EEA"/>
    <w:rsid w:val="009841A3"/>
    <w:rsid w:val="009847F9"/>
    <w:rsid w:val="00984F33"/>
    <w:rsid w:val="009851CF"/>
    <w:rsid w:val="009856F2"/>
    <w:rsid w:val="009857B8"/>
    <w:rsid w:val="00986319"/>
    <w:rsid w:val="009863CA"/>
    <w:rsid w:val="00986B27"/>
    <w:rsid w:val="00986B9A"/>
    <w:rsid w:val="00986F45"/>
    <w:rsid w:val="009876AE"/>
    <w:rsid w:val="00987809"/>
    <w:rsid w:val="00990486"/>
    <w:rsid w:val="00990CFB"/>
    <w:rsid w:val="009911D9"/>
    <w:rsid w:val="00992635"/>
    <w:rsid w:val="009932B0"/>
    <w:rsid w:val="00993436"/>
    <w:rsid w:val="0099370E"/>
    <w:rsid w:val="009937E5"/>
    <w:rsid w:val="00993886"/>
    <w:rsid w:val="0099591D"/>
    <w:rsid w:val="00995B2E"/>
    <w:rsid w:val="00995EBF"/>
    <w:rsid w:val="009962CA"/>
    <w:rsid w:val="009965A5"/>
    <w:rsid w:val="009965E1"/>
    <w:rsid w:val="00996AD8"/>
    <w:rsid w:val="0099791F"/>
    <w:rsid w:val="009A09DE"/>
    <w:rsid w:val="009A0E33"/>
    <w:rsid w:val="009A0EB3"/>
    <w:rsid w:val="009A145B"/>
    <w:rsid w:val="009A1A52"/>
    <w:rsid w:val="009A1C34"/>
    <w:rsid w:val="009A259E"/>
    <w:rsid w:val="009A2F61"/>
    <w:rsid w:val="009A382D"/>
    <w:rsid w:val="009A3B44"/>
    <w:rsid w:val="009A439D"/>
    <w:rsid w:val="009A44EC"/>
    <w:rsid w:val="009A47FA"/>
    <w:rsid w:val="009A4C5E"/>
    <w:rsid w:val="009A503C"/>
    <w:rsid w:val="009A6592"/>
    <w:rsid w:val="009A67E6"/>
    <w:rsid w:val="009A69C7"/>
    <w:rsid w:val="009A6BC0"/>
    <w:rsid w:val="009A6D4D"/>
    <w:rsid w:val="009A731C"/>
    <w:rsid w:val="009A7D3F"/>
    <w:rsid w:val="009A7DED"/>
    <w:rsid w:val="009B0C91"/>
    <w:rsid w:val="009B19FD"/>
    <w:rsid w:val="009B337C"/>
    <w:rsid w:val="009B3467"/>
    <w:rsid w:val="009B4598"/>
    <w:rsid w:val="009B485E"/>
    <w:rsid w:val="009B4E16"/>
    <w:rsid w:val="009B6939"/>
    <w:rsid w:val="009B6CD5"/>
    <w:rsid w:val="009B722F"/>
    <w:rsid w:val="009B753E"/>
    <w:rsid w:val="009C0D14"/>
    <w:rsid w:val="009C196C"/>
    <w:rsid w:val="009C2275"/>
    <w:rsid w:val="009C22B2"/>
    <w:rsid w:val="009C2C61"/>
    <w:rsid w:val="009C3B1B"/>
    <w:rsid w:val="009C4857"/>
    <w:rsid w:val="009C5248"/>
    <w:rsid w:val="009C529D"/>
    <w:rsid w:val="009C546B"/>
    <w:rsid w:val="009C5723"/>
    <w:rsid w:val="009C5739"/>
    <w:rsid w:val="009C5AA2"/>
    <w:rsid w:val="009C5E77"/>
    <w:rsid w:val="009C604E"/>
    <w:rsid w:val="009C6C5F"/>
    <w:rsid w:val="009C71F7"/>
    <w:rsid w:val="009C72CF"/>
    <w:rsid w:val="009C7F01"/>
    <w:rsid w:val="009D01A0"/>
    <w:rsid w:val="009D0797"/>
    <w:rsid w:val="009D0DA1"/>
    <w:rsid w:val="009D15F5"/>
    <w:rsid w:val="009D18E8"/>
    <w:rsid w:val="009D1EB2"/>
    <w:rsid w:val="009D286B"/>
    <w:rsid w:val="009D38FE"/>
    <w:rsid w:val="009D3BDF"/>
    <w:rsid w:val="009D3F41"/>
    <w:rsid w:val="009D40E2"/>
    <w:rsid w:val="009D43A0"/>
    <w:rsid w:val="009D6106"/>
    <w:rsid w:val="009D626F"/>
    <w:rsid w:val="009D67D5"/>
    <w:rsid w:val="009D6DDF"/>
    <w:rsid w:val="009E00EA"/>
    <w:rsid w:val="009E1F69"/>
    <w:rsid w:val="009E2424"/>
    <w:rsid w:val="009E46E5"/>
    <w:rsid w:val="009E61D4"/>
    <w:rsid w:val="009E6B91"/>
    <w:rsid w:val="009E6D81"/>
    <w:rsid w:val="009E75C6"/>
    <w:rsid w:val="009E76EA"/>
    <w:rsid w:val="009E7E46"/>
    <w:rsid w:val="009E7F12"/>
    <w:rsid w:val="009F0A47"/>
    <w:rsid w:val="009F0D1C"/>
    <w:rsid w:val="009F143D"/>
    <w:rsid w:val="009F1CF2"/>
    <w:rsid w:val="009F3068"/>
    <w:rsid w:val="009F328B"/>
    <w:rsid w:val="009F32B3"/>
    <w:rsid w:val="009F37AC"/>
    <w:rsid w:val="009F49D0"/>
    <w:rsid w:val="009F5134"/>
    <w:rsid w:val="009F51F6"/>
    <w:rsid w:val="009F555B"/>
    <w:rsid w:val="009F5E17"/>
    <w:rsid w:val="009F66E0"/>
    <w:rsid w:val="009F6EA9"/>
    <w:rsid w:val="009F74B5"/>
    <w:rsid w:val="009F7978"/>
    <w:rsid w:val="009F79BA"/>
    <w:rsid w:val="00A0009D"/>
    <w:rsid w:val="00A00BC9"/>
    <w:rsid w:val="00A011D1"/>
    <w:rsid w:val="00A01DC7"/>
    <w:rsid w:val="00A0319F"/>
    <w:rsid w:val="00A03A38"/>
    <w:rsid w:val="00A0406D"/>
    <w:rsid w:val="00A0433D"/>
    <w:rsid w:val="00A0493B"/>
    <w:rsid w:val="00A053B8"/>
    <w:rsid w:val="00A05A39"/>
    <w:rsid w:val="00A05D05"/>
    <w:rsid w:val="00A07FAA"/>
    <w:rsid w:val="00A100FD"/>
    <w:rsid w:val="00A101E7"/>
    <w:rsid w:val="00A10D56"/>
    <w:rsid w:val="00A10E23"/>
    <w:rsid w:val="00A11059"/>
    <w:rsid w:val="00A12047"/>
    <w:rsid w:val="00A12312"/>
    <w:rsid w:val="00A12662"/>
    <w:rsid w:val="00A13041"/>
    <w:rsid w:val="00A1343E"/>
    <w:rsid w:val="00A13B0E"/>
    <w:rsid w:val="00A140E7"/>
    <w:rsid w:val="00A14401"/>
    <w:rsid w:val="00A15946"/>
    <w:rsid w:val="00A159A7"/>
    <w:rsid w:val="00A16503"/>
    <w:rsid w:val="00A16CF1"/>
    <w:rsid w:val="00A16EC4"/>
    <w:rsid w:val="00A17250"/>
    <w:rsid w:val="00A17423"/>
    <w:rsid w:val="00A17939"/>
    <w:rsid w:val="00A201F1"/>
    <w:rsid w:val="00A20679"/>
    <w:rsid w:val="00A20BE1"/>
    <w:rsid w:val="00A20DE6"/>
    <w:rsid w:val="00A21289"/>
    <w:rsid w:val="00A212AB"/>
    <w:rsid w:val="00A21319"/>
    <w:rsid w:val="00A227EB"/>
    <w:rsid w:val="00A22CA8"/>
    <w:rsid w:val="00A2306F"/>
    <w:rsid w:val="00A236D3"/>
    <w:rsid w:val="00A23B0B"/>
    <w:rsid w:val="00A24327"/>
    <w:rsid w:val="00A24372"/>
    <w:rsid w:val="00A24A61"/>
    <w:rsid w:val="00A24C31"/>
    <w:rsid w:val="00A24FD7"/>
    <w:rsid w:val="00A25021"/>
    <w:rsid w:val="00A25E5A"/>
    <w:rsid w:val="00A26B61"/>
    <w:rsid w:val="00A26D3C"/>
    <w:rsid w:val="00A26D6E"/>
    <w:rsid w:val="00A26D95"/>
    <w:rsid w:val="00A277CA"/>
    <w:rsid w:val="00A27BE3"/>
    <w:rsid w:val="00A301D0"/>
    <w:rsid w:val="00A318B0"/>
    <w:rsid w:val="00A31D0D"/>
    <w:rsid w:val="00A32352"/>
    <w:rsid w:val="00A323D1"/>
    <w:rsid w:val="00A329F5"/>
    <w:rsid w:val="00A32EDD"/>
    <w:rsid w:val="00A340ED"/>
    <w:rsid w:val="00A34254"/>
    <w:rsid w:val="00A34318"/>
    <w:rsid w:val="00A352AB"/>
    <w:rsid w:val="00A356A7"/>
    <w:rsid w:val="00A35EC4"/>
    <w:rsid w:val="00A375ED"/>
    <w:rsid w:val="00A3760A"/>
    <w:rsid w:val="00A378C7"/>
    <w:rsid w:val="00A40602"/>
    <w:rsid w:val="00A41396"/>
    <w:rsid w:val="00A413F6"/>
    <w:rsid w:val="00A4158D"/>
    <w:rsid w:val="00A42404"/>
    <w:rsid w:val="00A424D6"/>
    <w:rsid w:val="00A42513"/>
    <w:rsid w:val="00A428D4"/>
    <w:rsid w:val="00A42FD1"/>
    <w:rsid w:val="00A441DE"/>
    <w:rsid w:val="00A445C4"/>
    <w:rsid w:val="00A445E2"/>
    <w:rsid w:val="00A44810"/>
    <w:rsid w:val="00A44E9E"/>
    <w:rsid w:val="00A455E7"/>
    <w:rsid w:val="00A46192"/>
    <w:rsid w:val="00A46B73"/>
    <w:rsid w:val="00A47299"/>
    <w:rsid w:val="00A4739E"/>
    <w:rsid w:val="00A47F1A"/>
    <w:rsid w:val="00A502DA"/>
    <w:rsid w:val="00A5087C"/>
    <w:rsid w:val="00A50E14"/>
    <w:rsid w:val="00A51EA0"/>
    <w:rsid w:val="00A5213A"/>
    <w:rsid w:val="00A544E9"/>
    <w:rsid w:val="00A54C3B"/>
    <w:rsid w:val="00A554BF"/>
    <w:rsid w:val="00A55E0D"/>
    <w:rsid w:val="00A55E5F"/>
    <w:rsid w:val="00A56A97"/>
    <w:rsid w:val="00A56C0E"/>
    <w:rsid w:val="00A57526"/>
    <w:rsid w:val="00A576FC"/>
    <w:rsid w:val="00A578FE"/>
    <w:rsid w:val="00A57F6C"/>
    <w:rsid w:val="00A60575"/>
    <w:rsid w:val="00A60893"/>
    <w:rsid w:val="00A610E2"/>
    <w:rsid w:val="00A61B20"/>
    <w:rsid w:val="00A61EE3"/>
    <w:rsid w:val="00A62293"/>
    <w:rsid w:val="00A62378"/>
    <w:rsid w:val="00A62CC1"/>
    <w:rsid w:val="00A6337C"/>
    <w:rsid w:val="00A633D4"/>
    <w:rsid w:val="00A63BED"/>
    <w:rsid w:val="00A64C74"/>
    <w:rsid w:val="00A65433"/>
    <w:rsid w:val="00A65797"/>
    <w:rsid w:val="00A65D7F"/>
    <w:rsid w:val="00A661E3"/>
    <w:rsid w:val="00A66D52"/>
    <w:rsid w:val="00A676D0"/>
    <w:rsid w:val="00A67ED9"/>
    <w:rsid w:val="00A703DC"/>
    <w:rsid w:val="00A703E4"/>
    <w:rsid w:val="00A7042E"/>
    <w:rsid w:val="00A708E5"/>
    <w:rsid w:val="00A7097E"/>
    <w:rsid w:val="00A70A04"/>
    <w:rsid w:val="00A70D6C"/>
    <w:rsid w:val="00A71916"/>
    <w:rsid w:val="00A734BF"/>
    <w:rsid w:val="00A73538"/>
    <w:rsid w:val="00A736E5"/>
    <w:rsid w:val="00A741E5"/>
    <w:rsid w:val="00A7424A"/>
    <w:rsid w:val="00A74512"/>
    <w:rsid w:val="00A74613"/>
    <w:rsid w:val="00A74D5D"/>
    <w:rsid w:val="00A752A5"/>
    <w:rsid w:val="00A756CF"/>
    <w:rsid w:val="00A757D9"/>
    <w:rsid w:val="00A75960"/>
    <w:rsid w:val="00A75D2C"/>
    <w:rsid w:val="00A75F28"/>
    <w:rsid w:val="00A77177"/>
    <w:rsid w:val="00A775BC"/>
    <w:rsid w:val="00A779D6"/>
    <w:rsid w:val="00A81D3F"/>
    <w:rsid w:val="00A821F8"/>
    <w:rsid w:val="00A82C74"/>
    <w:rsid w:val="00A82F0E"/>
    <w:rsid w:val="00A82F91"/>
    <w:rsid w:val="00A842B8"/>
    <w:rsid w:val="00A84D07"/>
    <w:rsid w:val="00A859C5"/>
    <w:rsid w:val="00A869EE"/>
    <w:rsid w:val="00A86D1F"/>
    <w:rsid w:val="00A86EBF"/>
    <w:rsid w:val="00A909C9"/>
    <w:rsid w:val="00A90DBA"/>
    <w:rsid w:val="00A91A4F"/>
    <w:rsid w:val="00A92C02"/>
    <w:rsid w:val="00A9322B"/>
    <w:rsid w:val="00A93DDA"/>
    <w:rsid w:val="00A94D72"/>
    <w:rsid w:val="00A95238"/>
    <w:rsid w:val="00A96175"/>
    <w:rsid w:val="00A96B08"/>
    <w:rsid w:val="00A96C4B"/>
    <w:rsid w:val="00A96D85"/>
    <w:rsid w:val="00A96E89"/>
    <w:rsid w:val="00A96F6E"/>
    <w:rsid w:val="00A97EA6"/>
    <w:rsid w:val="00AA0149"/>
    <w:rsid w:val="00AA06BF"/>
    <w:rsid w:val="00AA144D"/>
    <w:rsid w:val="00AA1CDE"/>
    <w:rsid w:val="00AA27D7"/>
    <w:rsid w:val="00AA2966"/>
    <w:rsid w:val="00AA2A1D"/>
    <w:rsid w:val="00AA3611"/>
    <w:rsid w:val="00AA405A"/>
    <w:rsid w:val="00AA51CC"/>
    <w:rsid w:val="00AA5C42"/>
    <w:rsid w:val="00AA5E85"/>
    <w:rsid w:val="00AA6928"/>
    <w:rsid w:val="00AA7215"/>
    <w:rsid w:val="00AA7487"/>
    <w:rsid w:val="00AB0158"/>
    <w:rsid w:val="00AB05CB"/>
    <w:rsid w:val="00AB0FD9"/>
    <w:rsid w:val="00AB1029"/>
    <w:rsid w:val="00AB1714"/>
    <w:rsid w:val="00AB1A29"/>
    <w:rsid w:val="00AB2A88"/>
    <w:rsid w:val="00AB2F3F"/>
    <w:rsid w:val="00AB3423"/>
    <w:rsid w:val="00AB3CA2"/>
    <w:rsid w:val="00AB4735"/>
    <w:rsid w:val="00AB4D59"/>
    <w:rsid w:val="00AB5054"/>
    <w:rsid w:val="00AB52B8"/>
    <w:rsid w:val="00AB5621"/>
    <w:rsid w:val="00AB5C38"/>
    <w:rsid w:val="00AB7F94"/>
    <w:rsid w:val="00AC027C"/>
    <w:rsid w:val="00AC0A9B"/>
    <w:rsid w:val="00AC0CE9"/>
    <w:rsid w:val="00AC1615"/>
    <w:rsid w:val="00AC1D40"/>
    <w:rsid w:val="00AC216C"/>
    <w:rsid w:val="00AC2453"/>
    <w:rsid w:val="00AC2908"/>
    <w:rsid w:val="00AC297E"/>
    <w:rsid w:val="00AC3633"/>
    <w:rsid w:val="00AC4361"/>
    <w:rsid w:val="00AC49FE"/>
    <w:rsid w:val="00AC4F37"/>
    <w:rsid w:val="00AC51C9"/>
    <w:rsid w:val="00AC53EA"/>
    <w:rsid w:val="00AC547D"/>
    <w:rsid w:val="00AC6B83"/>
    <w:rsid w:val="00AC78DD"/>
    <w:rsid w:val="00AC79AD"/>
    <w:rsid w:val="00AD044A"/>
    <w:rsid w:val="00AD04EE"/>
    <w:rsid w:val="00AD0614"/>
    <w:rsid w:val="00AD0A3A"/>
    <w:rsid w:val="00AD2BA6"/>
    <w:rsid w:val="00AD2BF7"/>
    <w:rsid w:val="00AD344F"/>
    <w:rsid w:val="00AD3A8F"/>
    <w:rsid w:val="00AD3FDC"/>
    <w:rsid w:val="00AD40BD"/>
    <w:rsid w:val="00AD542B"/>
    <w:rsid w:val="00AE0E51"/>
    <w:rsid w:val="00AE184E"/>
    <w:rsid w:val="00AE1EF1"/>
    <w:rsid w:val="00AE32DC"/>
    <w:rsid w:val="00AE38BA"/>
    <w:rsid w:val="00AE3923"/>
    <w:rsid w:val="00AE3CAE"/>
    <w:rsid w:val="00AE3E7D"/>
    <w:rsid w:val="00AE4996"/>
    <w:rsid w:val="00AE4B4F"/>
    <w:rsid w:val="00AE4F97"/>
    <w:rsid w:val="00AE5516"/>
    <w:rsid w:val="00AE635A"/>
    <w:rsid w:val="00AE66B4"/>
    <w:rsid w:val="00AE6BAE"/>
    <w:rsid w:val="00AE7543"/>
    <w:rsid w:val="00AE76C0"/>
    <w:rsid w:val="00AE76EC"/>
    <w:rsid w:val="00AE7C24"/>
    <w:rsid w:val="00AE7E58"/>
    <w:rsid w:val="00AF067F"/>
    <w:rsid w:val="00AF252E"/>
    <w:rsid w:val="00AF33D8"/>
    <w:rsid w:val="00AF36C3"/>
    <w:rsid w:val="00AF3758"/>
    <w:rsid w:val="00AF3E5A"/>
    <w:rsid w:val="00AF3FC2"/>
    <w:rsid w:val="00AF4805"/>
    <w:rsid w:val="00AF480E"/>
    <w:rsid w:val="00AF5214"/>
    <w:rsid w:val="00AF56AA"/>
    <w:rsid w:val="00AF57DD"/>
    <w:rsid w:val="00AF5C97"/>
    <w:rsid w:val="00AF6909"/>
    <w:rsid w:val="00AF6BD9"/>
    <w:rsid w:val="00AF6CB2"/>
    <w:rsid w:val="00AF6F95"/>
    <w:rsid w:val="00AF7402"/>
    <w:rsid w:val="00AF76CD"/>
    <w:rsid w:val="00B00363"/>
    <w:rsid w:val="00B00DA9"/>
    <w:rsid w:val="00B00E28"/>
    <w:rsid w:val="00B02532"/>
    <w:rsid w:val="00B035F9"/>
    <w:rsid w:val="00B041E3"/>
    <w:rsid w:val="00B0476D"/>
    <w:rsid w:val="00B054A3"/>
    <w:rsid w:val="00B05796"/>
    <w:rsid w:val="00B05C3A"/>
    <w:rsid w:val="00B05F7B"/>
    <w:rsid w:val="00B062A9"/>
    <w:rsid w:val="00B06504"/>
    <w:rsid w:val="00B066DE"/>
    <w:rsid w:val="00B06762"/>
    <w:rsid w:val="00B069BF"/>
    <w:rsid w:val="00B07472"/>
    <w:rsid w:val="00B102B1"/>
    <w:rsid w:val="00B10FBE"/>
    <w:rsid w:val="00B117E0"/>
    <w:rsid w:val="00B12993"/>
    <w:rsid w:val="00B12A64"/>
    <w:rsid w:val="00B12ADD"/>
    <w:rsid w:val="00B13B12"/>
    <w:rsid w:val="00B13D87"/>
    <w:rsid w:val="00B140AE"/>
    <w:rsid w:val="00B15748"/>
    <w:rsid w:val="00B15EF0"/>
    <w:rsid w:val="00B167B3"/>
    <w:rsid w:val="00B16CA3"/>
    <w:rsid w:val="00B16FE6"/>
    <w:rsid w:val="00B171A1"/>
    <w:rsid w:val="00B179C4"/>
    <w:rsid w:val="00B17E25"/>
    <w:rsid w:val="00B2040D"/>
    <w:rsid w:val="00B20455"/>
    <w:rsid w:val="00B20541"/>
    <w:rsid w:val="00B20C85"/>
    <w:rsid w:val="00B218F2"/>
    <w:rsid w:val="00B21E92"/>
    <w:rsid w:val="00B22389"/>
    <w:rsid w:val="00B23766"/>
    <w:rsid w:val="00B23BAD"/>
    <w:rsid w:val="00B24785"/>
    <w:rsid w:val="00B25A46"/>
    <w:rsid w:val="00B25DBE"/>
    <w:rsid w:val="00B26461"/>
    <w:rsid w:val="00B26B91"/>
    <w:rsid w:val="00B2705A"/>
    <w:rsid w:val="00B27864"/>
    <w:rsid w:val="00B27A60"/>
    <w:rsid w:val="00B27B12"/>
    <w:rsid w:val="00B27C1A"/>
    <w:rsid w:val="00B27FAA"/>
    <w:rsid w:val="00B307E3"/>
    <w:rsid w:val="00B31141"/>
    <w:rsid w:val="00B31531"/>
    <w:rsid w:val="00B3166B"/>
    <w:rsid w:val="00B31687"/>
    <w:rsid w:val="00B31A05"/>
    <w:rsid w:val="00B31FF3"/>
    <w:rsid w:val="00B3215E"/>
    <w:rsid w:val="00B33DC7"/>
    <w:rsid w:val="00B34785"/>
    <w:rsid w:val="00B34A0F"/>
    <w:rsid w:val="00B34B3E"/>
    <w:rsid w:val="00B3537F"/>
    <w:rsid w:val="00B35E66"/>
    <w:rsid w:val="00B35E6E"/>
    <w:rsid w:val="00B3796B"/>
    <w:rsid w:val="00B37ADC"/>
    <w:rsid w:val="00B37B8C"/>
    <w:rsid w:val="00B4020F"/>
    <w:rsid w:val="00B40D00"/>
    <w:rsid w:val="00B40F3B"/>
    <w:rsid w:val="00B41BA6"/>
    <w:rsid w:val="00B41E04"/>
    <w:rsid w:val="00B42188"/>
    <w:rsid w:val="00B42B61"/>
    <w:rsid w:val="00B43381"/>
    <w:rsid w:val="00B44668"/>
    <w:rsid w:val="00B44C6B"/>
    <w:rsid w:val="00B4587E"/>
    <w:rsid w:val="00B4588B"/>
    <w:rsid w:val="00B458B8"/>
    <w:rsid w:val="00B465D8"/>
    <w:rsid w:val="00B46AF4"/>
    <w:rsid w:val="00B47E26"/>
    <w:rsid w:val="00B47E51"/>
    <w:rsid w:val="00B5018A"/>
    <w:rsid w:val="00B5079E"/>
    <w:rsid w:val="00B508AE"/>
    <w:rsid w:val="00B50B89"/>
    <w:rsid w:val="00B510FC"/>
    <w:rsid w:val="00B51576"/>
    <w:rsid w:val="00B51ABA"/>
    <w:rsid w:val="00B51B51"/>
    <w:rsid w:val="00B522A8"/>
    <w:rsid w:val="00B530F8"/>
    <w:rsid w:val="00B53154"/>
    <w:rsid w:val="00B533AE"/>
    <w:rsid w:val="00B54466"/>
    <w:rsid w:val="00B547BB"/>
    <w:rsid w:val="00B548A3"/>
    <w:rsid w:val="00B551A1"/>
    <w:rsid w:val="00B551D7"/>
    <w:rsid w:val="00B557E4"/>
    <w:rsid w:val="00B564F5"/>
    <w:rsid w:val="00B56E4A"/>
    <w:rsid w:val="00B573E9"/>
    <w:rsid w:val="00B57AE5"/>
    <w:rsid w:val="00B60B08"/>
    <w:rsid w:val="00B60E0F"/>
    <w:rsid w:val="00B611DD"/>
    <w:rsid w:val="00B625D7"/>
    <w:rsid w:val="00B62698"/>
    <w:rsid w:val="00B64220"/>
    <w:rsid w:val="00B64B3A"/>
    <w:rsid w:val="00B64BAA"/>
    <w:rsid w:val="00B6510B"/>
    <w:rsid w:val="00B65831"/>
    <w:rsid w:val="00B6595A"/>
    <w:rsid w:val="00B65C14"/>
    <w:rsid w:val="00B66042"/>
    <w:rsid w:val="00B66626"/>
    <w:rsid w:val="00B70152"/>
    <w:rsid w:val="00B708A2"/>
    <w:rsid w:val="00B71A5D"/>
    <w:rsid w:val="00B72104"/>
    <w:rsid w:val="00B72AF2"/>
    <w:rsid w:val="00B7350C"/>
    <w:rsid w:val="00B73C74"/>
    <w:rsid w:val="00B73EC1"/>
    <w:rsid w:val="00B74D13"/>
    <w:rsid w:val="00B757A6"/>
    <w:rsid w:val="00B75930"/>
    <w:rsid w:val="00B75D82"/>
    <w:rsid w:val="00B764C3"/>
    <w:rsid w:val="00B76923"/>
    <w:rsid w:val="00B76F7A"/>
    <w:rsid w:val="00B77041"/>
    <w:rsid w:val="00B77A22"/>
    <w:rsid w:val="00B80FCB"/>
    <w:rsid w:val="00B8116B"/>
    <w:rsid w:val="00B81A65"/>
    <w:rsid w:val="00B81D19"/>
    <w:rsid w:val="00B81F04"/>
    <w:rsid w:val="00B826A1"/>
    <w:rsid w:val="00B82DC3"/>
    <w:rsid w:val="00B82E33"/>
    <w:rsid w:val="00B83254"/>
    <w:rsid w:val="00B8376B"/>
    <w:rsid w:val="00B83A7C"/>
    <w:rsid w:val="00B84AEE"/>
    <w:rsid w:val="00B84D6C"/>
    <w:rsid w:val="00B85D93"/>
    <w:rsid w:val="00B8691C"/>
    <w:rsid w:val="00B8753B"/>
    <w:rsid w:val="00B877FB"/>
    <w:rsid w:val="00B87995"/>
    <w:rsid w:val="00B90BFB"/>
    <w:rsid w:val="00B90C45"/>
    <w:rsid w:val="00B912D0"/>
    <w:rsid w:val="00B9145B"/>
    <w:rsid w:val="00B91920"/>
    <w:rsid w:val="00B91D1E"/>
    <w:rsid w:val="00B9365F"/>
    <w:rsid w:val="00B9497A"/>
    <w:rsid w:val="00B954D9"/>
    <w:rsid w:val="00B955A9"/>
    <w:rsid w:val="00B9577F"/>
    <w:rsid w:val="00B95854"/>
    <w:rsid w:val="00B95E03"/>
    <w:rsid w:val="00B96708"/>
    <w:rsid w:val="00B968E9"/>
    <w:rsid w:val="00B96ACF"/>
    <w:rsid w:val="00B96CEC"/>
    <w:rsid w:val="00B97183"/>
    <w:rsid w:val="00BA015C"/>
    <w:rsid w:val="00BA0F96"/>
    <w:rsid w:val="00BA1177"/>
    <w:rsid w:val="00BA198A"/>
    <w:rsid w:val="00BA2BF1"/>
    <w:rsid w:val="00BA3BA8"/>
    <w:rsid w:val="00BA45BF"/>
    <w:rsid w:val="00BA46AD"/>
    <w:rsid w:val="00BA5196"/>
    <w:rsid w:val="00BA6244"/>
    <w:rsid w:val="00BA6274"/>
    <w:rsid w:val="00BA6E28"/>
    <w:rsid w:val="00BA7830"/>
    <w:rsid w:val="00BB0B90"/>
    <w:rsid w:val="00BB0F44"/>
    <w:rsid w:val="00BB1840"/>
    <w:rsid w:val="00BB233F"/>
    <w:rsid w:val="00BB3B17"/>
    <w:rsid w:val="00BB4935"/>
    <w:rsid w:val="00BB4A12"/>
    <w:rsid w:val="00BB4A13"/>
    <w:rsid w:val="00BB4A45"/>
    <w:rsid w:val="00BB51DD"/>
    <w:rsid w:val="00BB6926"/>
    <w:rsid w:val="00BB6DA9"/>
    <w:rsid w:val="00BB6E1E"/>
    <w:rsid w:val="00BB7739"/>
    <w:rsid w:val="00BB774C"/>
    <w:rsid w:val="00BB778D"/>
    <w:rsid w:val="00BB7A43"/>
    <w:rsid w:val="00BC0597"/>
    <w:rsid w:val="00BC0AD7"/>
    <w:rsid w:val="00BC18DD"/>
    <w:rsid w:val="00BC1965"/>
    <w:rsid w:val="00BC2B16"/>
    <w:rsid w:val="00BC44C9"/>
    <w:rsid w:val="00BC4640"/>
    <w:rsid w:val="00BC4A71"/>
    <w:rsid w:val="00BC4ACD"/>
    <w:rsid w:val="00BC4AE5"/>
    <w:rsid w:val="00BC4B0B"/>
    <w:rsid w:val="00BC5D89"/>
    <w:rsid w:val="00BC5D90"/>
    <w:rsid w:val="00BC62FD"/>
    <w:rsid w:val="00BC6AA6"/>
    <w:rsid w:val="00BC6E37"/>
    <w:rsid w:val="00BC6F7B"/>
    <w:rsid w:val="00BC7C4A"/>
    <w:rsid w:val="00BD1717"/>
    <w:rsid w:val="00BD1929"/>
    <w:rsid w:val="00BD3152"/>
    <w:rsid w:val="00BD40C0"/>
    <w:rsid w:val="00BD4965"/>
    <w:rsid w:val="00BD50C1"/>
    <w:rsid w:val="00BD6924"/>
    <w:rsid w:val="00BD7104"/>
    <w:rsid w:val="00BD7679"/>
    <w:rsid w:val="00BD79E5"/>
    <w:rsid w:val="00BD7CFF"/>
    <w:rsid w:val="00BE0746"/>
    <w:rsid w:val="00BE10CC"/>
    <w:rsid w:val="00BE211A"/>
    <w:rsid w:val="00BE2607"/>
    <w:rsid w:val="00BE26B9"/>
    <w:rsid w:val="00BE304C"/>
    <w:rsid w:val="00BE3483"/>
    <w:rsid w:val="00BE3944"/>
    <w:rsid w:val="00BE3F94"/>
    <w:rsid w:val="00BE424F"/>
    <w:rsid w:val="00BE45CC"/>
    <w:rsid w:val="00BE4A27"/>
    <w:rsid w:val="00BE5673"/>
    <w:rsid w:val="00BE57A5"/>
    <w:rsid w:val="00BE6315"/>
    <w:rsid w:val="00BE65D8"/>
    <w:rsid w:val="00BE697B"/>
    <w:rsid w:val="00BE6CB4"/>
    <w:rsid w:val="00BE6F94"/>
    <w:rsid w:val="00BE6FB2"/>
    <w:rsid w:val="00BE746C"/>
    <w:rsid w:val="00BE775E"/>
    <w:rsid w:val="00BE7FCF"/>
    <w:rsid w:val="00BF0A10"/>
    <w:rsid w:val="00BF0C60"/>
    <w:rsid w:val="00BF0F50"/>
    <w:rsid w:val="00BF1867"/>
    <w:rsid w:val="00BF1FE4"/>
    <w:rsid w:val="00BF23C4"/>
    <w:rsid w:val="00BF2421"/>
    <w:rsid w:val="00BF2541"/>
    <w:rsid w:val="00BF2BD8"/>
    <w:rsid w:val="00BF2C9B"/>
    <w:rsid w:val="00BF3144"/>
    <w:rsid w:val="00BF353E"/>
    <w:rsid w:val="00BF3778"/>
    <w:rsid w:val="00BF3B06"/>
    <w:rsid w:val="00BF3B1D"/>
    <w:rsid w:val="00BF3B7D"/>
    <w:rsid w:val="00BF4644"/>
    <w:rsid w:val="00BF46DB"/>
    <w:rsid w:val="00BF511C"/>
    <w:rsid w:val="00BF5381"/>
    <w:rsid w:val="00BF558B"/>
    <w:rsid w:val="00BF563F"/>
    <w:rsid w:val="00BF5C39"/>
    <w:rsid w:val="00BF62C7"/>
    <w:rsid w:val="00BF7101"/>
    <w:rsid w:val="00C00AD6"/>
    <w:rsid w:val="00C00BCD"/>
    <w:rsid w:val="00C012E8"/>
    <w:rsid w:val="00C029F3"/>
    <w:rsid w:val="00C02A76"/>
    <w:rsid w:val="00C02BC8"/>
    <w:rsid w:val="00C03729"/>
    <w:rsid w:val="00C0396F"/>
    <w:rsid w:val="00C04053"/>
    <w:rsid w:val="00C0439B"/>
    <w:rsid w:val="00C04789"/>
    <w:rsid w:val="00C054DD"/>
    <w:rsid w:val="00C05760"/>
    <w:rsid w:val="00C05F4D"/>
    <w:rsid w:val="00C066ED"/>
    <w:rsid w:val="00C0680C"/>
    <w:rsid w:val="00C10BA1"/>
    <w:rsid w:val="00C10E4A"/>
    <w:rsid w:val="00C12613"/>
    <w:rsid w:val="00C12BBC"/>
    <w:rsid w:val="00C1308F"/>
    <w:rsid w:val="00C1374A"/>
    <w:rsid w:val="00C138FC"/>
    <w:rsid w:val="00C13F0E"/>
    <w:rsid w:val="00C14975"/>
    <w:rsid w:val="00C150A3"/>
    <w:rsid w:val="00C150BA"/>
    <w:rsid w:val="00C154EB"/>
    <w:rsid w:val="00C154EF"/>
    <w:rsid w:val="00C16DF8"/>
    <w:rsid w:val="00C1740C"/>
    <w:rsid w:val="00C17782"/>
    <w:rsid w:val="00C178F5"/>
    <w:rsid w:val="00C17AEF"/>
    <w:rsid w:val="00C2039A"/>
    <w:rsid w:val="00C20801"/>
    <w:rsid w:val="00C211EE"/>
    <w:rsid w:val="00C21535"/>
    <w:rsid w:val="00C221D9"/>
    <w:rsid w:val="00C22B1F"/>
    <w:rsid w:val="00C22BA6"/>
    <w:rsid w:val="00C22BD4"/>
    <w:rsid w:val="00C2418F"/>
    <w:rsid w:val="00C24754"/>
    <w:rsid w:val="00C24F45"/>
    <w:rsid w:val="00C25174"/>
    <w:rsid w:val="00C262C6"/>
    <w:rsid w:val="00C27158"/>
    <w:rsid w:val="00C2748F"/>
    <w:rsid w:val="00C278AE"/>
    <w:rsid w:val="00C27BA1"/>
    <w:rsid w:val="00C27E2E"/>
    <w:rsid w:val="00C3008E"/>
    <w:rsid w:val="00C30839"/>
    <w:rsid w:val="00C30A7D"/>
    <w:rsid w:val="00C30D8F"/>
    <w:rsid w:val="00C30E5A"/>
    <w:rsid w:val="00C3223B"/>
    <w:rsid w:val="00C34065"/>
    <w:rsid w:val="00C345AF"/>
    <w:rsid w:val="00C345C1"/>
    <w:rsid w:val="00C34713"/>
    <w:rsid w:val="00C34A8C"/>
    <w:rsid w:val="00C35B2D"/>
    <w:rsid w:val="00C35DDB"/>
    <w:rsid w:val="00C361D5"/>
    <w:rsid w:val="00C364D9"/>
    <w:rsid w:val="00C36EFA"/>
    <w:rsid w:val="00C37A4C"/>
    <w:rsid w:val="00C40110"/>
    <w:rsid w:val="00C409B0"/>
    <w:rsid w:val="00C40F56"/>
    <w:rsid w:val="00C41411"/>
    <w:rsid w:val="00C41833"/>
    <w:rsid w:val="00C41A23"/>
    <w:rsid w:val="00C41B47"/>
    <w:rsid w:val="00C41D77"/>
    <w:rsid w:val="00C42972"/>
    <w:rsid w:val="00C42FF0"/>
    <w:rsid w:val="00C43A13"/>
    <w:rsid w:val="00C43EF4"/>
    <w:rsid w:val="00C43FFA"/>
    <w:rsid w:val="00C44D27"/>
    <w:rsid w:val="00C44E88"/>
    <w:rsid w:val="00C44FE5"/>
    <w:rsid w:val="00C45295"/>
    <w:rsid w:val="00C46126"/>
    <w:rsid w:val="00C4728A"/>
    <w:rsid w:val="00C50681"/>
    <w:rsid w:val="00C50B60"/>
    <w:rsid w:val="00C5116F"/>
    <w:rsid w:val="00C52068"/>
    <w:rsid w:val="00C5240C"/>
    <w:rsid w:val="00C52B61"/>
    <w:rsid w:val="00C52D7B"/>
    <w:rsid w:val="00C53E6A"/>
    <w:rsid w:val="00C543F7"/>
    <w:rsid w:val="00C544BA"/>
    <w:rsid w:val="00C544F1"/>
    <w:rsid w:val="00C546C9"/>
    <w:rsid w:val="00C563D6"/>
    <w:rsid w:val="00C563F4"/>
    <w:rsid w:val="00C56563"/>
    <w:rsid w:val="00C572DE"/>
    <w:rsid w:val="00C57470"/>
    <w:rsid w:val="00C5780C"/>
    <w:rsid w:val="00C578C5"/>
    <w:rsid w:val="00C57925"/>
    <w:rsid w:val="00C60374"/>
    <w:rsid w:val="00C60AE8"/>
    <w:rsid w:val="00C61747"/>
    <w:rsid w:val="00C61869"/>
    <w:rsid w:val="00C61B75"/>
    <w:rsid w:val="00C61BB4"/>
    <w:rsid w:val="00C61E86"/>
    <w:rsid w:val="00C62131"/>
    <w:rsid w:val="00C6231E"/>
    <w:rsid w:val="00C63CA8"/>
    <w:rsid w:val="00C64E0E"/>
    <w:rsid w:val="00C64E10"/>
    <w:rsid w:val="00C64E6A"/>
    <w:rsid w:val="00C651C1"/>
    <w:rsid w:val="00C651EF"/>
    <w:rsid w:val="00C659C1"/>
    <w:rsid w:val="00C65E48"/>
    <w:rsid w:val="00C6600F"/>
    <w:rsid w:val="00C66027"/>
    <w:rsid w:val="00C67361"/>
    <w:rsid w:val="00C675E0"/>
    <w:rsid w:val="00C7017A"/>
    <w:rsid w:val="00C702E1"/>
    <w:rsid w:val="00C705BF"/>
    <w:rsid w:val="00C7074F"/>
    <w:rsid w:val="00C70B56"/>
    <w:rsid w:val="00C70C3C"/>
    <w:rsid w:val="00C70FC0"/>
    <w:rsid w:val="00C71133"/>
    <w:rsid w:val="00C716C4"/>
    <w:rsid w:val="00C71D22"/>
    <w:rsid w:val="00C71D24"/>
    <w:rsid w:val="00C71F04"/>
    <w:rsid w:val="00C72382"/>
    <w:rsid w:val="00C73592"/>
    <w:rsid w:val="00C73761"/>
    <w:rsid w:val="00C747FA"/>
    <w:rsid w:val="00C756A5"/>
    <w:rsid w:val="00C75F8C"/>
    <w:rsid w:val="00C7655A"/>
    <w:rsid w:val="00C76666"/>
    <w:rsid w:val="00C768BF"/>
    <w:rsid w:val="00C769E3"/>
    <w:rsid w:val="00C804E4"/>
    <w:rsid w:val="00C81955"/>
    <w:rsid w:val="00C81E86"/>
    <w:rsid w:val="00C82AA8"/>
    <w:rsid w:val="00C82C8F"/>
    <w:rsid w:val="00C83116"/>
    <w:rsid w:val="00C83EA1"/>
    <w:rsid w:val="00C83FD0"/>
    <w:rsid w:val="00C843FA"/>
    <w:rsid w:val="00C84636"/>
    <w:rsid w:val="00C84ACF"/>
    <w:rsid w:val="00C8528F"/>
    <w:rsid w:val="00C854C4"/>
    <w:rsid w:val="00C855A3"/>
    <w:rsid w:val="00C85C00"/>
    <w:rsid w:val="00C8682B"/>
    <w:rsid w:val="00C86E90"/>
    <w:rsid w:val="00C87C8C"/>
    <w:rsid w:val="00C91065"/>
    <w:rsid w:val="00C91F09"/>
    <w:rsid w:val="00C927AB"/>
    <w:rsid w:val="00C92BA5"/>
    <w:rsid w:val="00C92C61"/>
    <w:rsid w:val="00C92F0D"/>
    <w:rsid w:val="00C93AC3"/>
    <w:rsid w:val="00C9447D"/>
    <w:rsid w:val="00C95246"/>
    <w:rsid w:val="00C95CFB"/>
    <w:rsid w:val="00C9604F"/>
    <w:rsid w:val="00C964A9"/>
    <w:rsid w:val="00C966F9"/>
    <w:rsid w:val="00C96770"/>
    <w:rsid w:val="00C97528"/>
    <w:rsid w:val="00C97D89"/>
    <w:rsid w:val="00CA0A08"/>
    <w:rsid w:val="00CA13C0"/>
    <w:rsid w:val="00CA2127"/>
    <w:rsid w:val="00CA2471"/>
    <w:rsid w:val="00CA39E2"/>
    <w:rsid w:val="00CA4095"/>
    <w:rsid w:val="00CA4C19"/>
    <w:rsid w:val="00CA4EE2"/>
    <w:rsid w:val="00CA5067"/>
    <w:rsid w:val="00CA5114"/>
    <w:rsid w:val="00CA562C"/>
    <w:rsid w:val="00CA5656"/>
    <w:rsid w:val="00CA578E"/>
    <w:rsid w:val="00CA7EB5"/>
    <w:rsid w:val="00CB00EF"/>
    <w:rsid w:val="00CB0F13"/>
    <w:rsid w:val="00CB1409"/>
    <w:rsid w:val="00CB1C2D"/>
    <w:rsid w:val="00CB339E"/>
    <w:rsid w:val="00CB369E"/>
    <w:rsid w:val="00CB3B21"/>
    <w:rsid w:val="00CB435B"/>
    <w:rsid w:val="00CB5398"/>
    <w:rsid w:val="00CB558F"/>
    <w:rsid w:val="00CB6117"/>
    <w:rsid w:val="00CB6176"/>
    <w:rsid w:val="00CB6F37"/>
    <w:rsid w:val="00CC04B7"/>
    <w:rsid w:val="00CC07EC"/>
    <w:rsid w:val="00CC0A63"/>
    <w:rsid w:val="00CC0D69"/>
    <w:rsid w:val="00CC0FBF"/>
    <w:rsid w:val="00CC1641"/>
    <w:rsid w:val="00CC18D1"/>
    <w:rsid w:val="00CC1EBC"/>
    <w:rsid w:val="00CC2745"/>
    <w:rsid w:val="00CC2905"/>
    <w:rsid w:val="00CC3C10"/>
    <w:rsid w:val="00CC436D"/>
    <w:rsid w:val="00CC4B73"/>
    <w:rsid w:val="00CC5923"/>
    <w:rsid w:val="00CC5F0D"/>
    <w:rsid w:val="00CC67DD"/>
    <w:rsid w:val="00CC698B"/>
    <w:rsid w:val="00CD091F"/>
    <w:rsid w:val="00CD0EFD"/>
    <w:rsid w:val="00CD10BB"/>
    <w:rsid w:val="00CD18DE"/>
    <w:rsid w:val="00CD31FA"/>
    <w:rsid w:val="00CD329F"/>
    <w:rsid w:val="00CD3A4B"/>
    <w:rsid w:val="00CD3B1C"/>
    <w:rsid w:val="00CD3CCF"/>
    <w:rsid w:val="00CD3D9F"/>
    <w:rsid w:val="00CD4022"/>
    <w:rsid w:val="00CD4C28"/>
    <w:rsid w:val="00CD583E"/>
    <w:rsid w:val="00CD5F44"/>
    <w:rsid w:val="00CD7E0F"/>
    <w:rsid w:val="00CE008E"/>
    <w:rsid w:val="00CE1D25"/>
    <w:rsid w:val="00CE1EB6"/>
    <w:rsid w:val="00CE28E5"/>
    <w:rsid w:val="00CE2C20"/>
    <w:rsid w:val="00CE2E48"/>
    <w:rsid w:val="00CE35D4"/>
    <w:rsid w:val="00CE4354"/>
    <w:rsid w:val="00CE4402"/>
    <w:rsid w:val="00CE4526"/>
    <w:rsid w:val="00CE6C6E"/>
    <w:rsid w:val="00CE74A8"/>
    <w:rsid w:val="00CE768E"/>
    <w:rsid w:val="00CE77C2"/>
    <w:rsid w:val="00CE7831"/>
    <w:rsid w:val="00CE78EE"/>
    <w:rsid w:val="00CF008A"/>
    <w:rsid w:val="00CF062F"/>
    <w:rsid w:val="00CF1566"/>
    <w:rsid w:val="00CF196E"/>
    <w:rsid w:val="00CF2595"/>
    <w:rsid w:val="00CF2A15"/>
    <w:rsid w:val="00CF3115"/>
    <w:rsid w:val="00CF3D80"/>
    <w:rsid w:val="00CF4297"/>
    <w:rsid w:val="00CF4ADF"/>
    <w:rsid w:val="00CF4B15"/>
    <w:rsid w:val="00CF5676"/>
    <w:rsid w:val="00CF593D"/>
    <w:rsid w:val="00CF787C"/>
    <w:rsid w:val="00CF791F"/>
    <w:rsid w:val="00D00F5A"/>
    <w:rsid w:val="00D01796"/>
    <w:rsid w:val="00D01995"/>
    <w:rsid w:val="00D0311D"/>
    <w:rsid w:val="00D0330C"/>
    <w:rsid w:val="00D03348"/>
    <w:rsid w:val="00D033B0"/>
    <w:rsid w:val="00D03A0D"/>
    <w:rsid w:val="00D04567"/>
    <w:rsid w:val="00D047EF"/>
    <w:rsid w:val="00D05204"/>
    <w:rsid w:val="00D06B08"/>
    <w:rsid w:val="00D07774"/>
    <w:rsid w:val="00D07B89"/>
    <w:rsid w:val="00D10D11"/>
    <w:rsid w:val="00D12026"/>
    <w:rsid w:val="00D125E8"/>
    <w:rsid w:val="00D12E86"/>
    <w:rsid w:val="00D137AE"/>
    <w:rsid w:val="00D13921"/>
    <w:rsid w:val="00D13D21"/>
    <w:rsid w:val="00D14274"/>
    <w:rsid w:val="00D14694"/>
    <w:rsid w:val="00D1584F"/>
    <w:rsid w:val="00D15D99"/>
    <w:rsid w:val="00D15F5A"/>
    <w:rsid w:val="00D17F19"/>
    <w:rsid w:val="00D20169"/>
    <w:rsid w:val="00D20D1E"/>
    <w:rsid w:val="00D2143C"/>
    <w:rsid w:val="00D21737"/>
    <w:rsid w:val="00D21E75"/>
    <w:rsid w:val="00D21EF2"/>
    <w:rsid w:val="00D228A9"/>
    <w:rsid w:val="00D23C3B"/>
    <w:rsid w:val="00D25BB0"/>
    <w:rsid w:val="00D261E9"/>
    <w:rsid w:val="00D266A7"/>
    <w:rsid w:val="00D266D3"/>
    <w:rsid w:val="00D2746A"/>
    <w:rsid w:val="00D278BC"/>
    <w:rsid w:val="00D27C3A"/>
    <w:rsid w:val="00D30369"/>
    <w:rsid w:val="00D31144"/>
    <w:rsid w:val="00D31208"/>
    <w:rsid w:val="00D326C2"/>
    <w:rsid w:val="00D32AA3"/>
    <w:rsid w:val="00D32C4D"/>
    <w:rsid w:val="00D33898"/>
    <w:rsid w:val="00D33BA3"/>
    <w:rsid w:val="00D34CE0"/>
    <w:rsid w:val="00D355CB"/>
    <w:rsid w:val="00D35CC7"/>
    <w:rsid w:val="00D3642D"/>
    <w:rsid w:val="00D36C60"/>
    <w:rsid w:val="00D37332"/>
    <w:rsid w:val="00D37675"/>
    <w:rsid w:val="00D37DF0"/>
    <w:rsid w:val="00D403D2"/>
    <w:rsid w:val="00D408CD"/>
    <w:rsid w:val="00D41628"/>
    <w:rsid w:val="00D42462"/>
    <w:rsid w:val="00D42582"/>
    <w:rsid w:val="00D43966"/>
    <w:rsid w:val="00D43CE9"/>
    <w:rsid w:val="00D43D6C"/>
    <w:rsid w:val="00D44674"/>
    <w:rsid w:val="00D449F6"/>
    <w:rsid w:val="00D468EF"/>
    <w:rsid w:val="00D47121"/>
    <w:rsid w:val="00D47D7E"/>
    <w:rsid w:val="00D50708"/>
    <w:rsid w:val="00D50A97"/>
    <w:rsid w:val="00D50B76"/>
    <w:rsid w:val="00D51036"/>
    <w:rsid w:val="00D51135"/>
    <w:rsid w:val="00D51308"/>
    <w:rsid w:val="00D5206B"/>
    <w:rsid w:val="00D524E2"/>
    <w:rsid w:val="00D525E9"/>
    <w:rsid w:val="00D525F5"/>
    <w:rsid w:val="00D5269E"/>
    <w:rsid w:val="00D5296E"/>
    <w:rsid w:val="00D52B77"/>
    <w:rsid w:val="00D52BAF"/>
    <w:rsid w:val="00D52BE9"/>
    <w:rsid w:val="00D52DB0"/>
    <w:rsid w:val="00D53873"/>
    <w:rsid w:val="00D53AEE"/>
    <w:rsid w:val="00D53DCA"/>
    <w:rsid w:val="00D53F37"/>
    <w:rsid w:val="00D545C1"/>
    <w:rsid w:val="00D55C4A"/>
    <w:rsid w:val="00D55E8B"/>
    <w:rsid w:val="00D56FAD"/>
    <w:rsid w:val="00D57C64"/>
    <w:rsid w:val="00D60531"/>
    <w:rsid w:val="00D61811"/>
    <w:rsid w:val="00D6188B"/>
    <w:rsid w:val="00D624DA"/>
    <w:rsid w:val="00D62F88"/>
    <w:rsid w:val="00D63415"/>
    <w:rsid w:val="00D63522"/>
    <w:rsid w:val="00D6444C"/>
    <w:rsid w:val="00D64A62"/>
    <w:rsid w:val="00D65D7A"/>
    <w:rsid w:val="00D661AD"/>
    <w:rsid w:val="00D66779"/>
    <w:rsid w:val="00D67114"/>
    <w:rsid w:val="00D67451"/>
    <w:rsid w:val="00D67D02"/>
    <w:rsid w:val="00D70129"/>
    <w:rsid w:val="00D70451"/>
    <w:rsid w:val="00D707E9"/>
    <w:rsid w:val="00D72245"/>
    <w:rsid w:val="00D722D5"/>
    <w:rsid w:val="00D73297"/>
    <w:rsid w:val="00D73D41"/>
    <w:rsid w:val="00D7453B"/>
    <w:rsid w:val="00D74DC2"/>
    <w:rsid w:val="00D75F5A"/>
    <w:rsid w:val="00D76ABD"/>
    <w:rsid w:val="00D76EDD"/>
    <w:rsid w:val="00D7741C"/>
    <w:rsid w:val="00D77DCB"/>
    <w:rsid w:val="00D80112"/>
    <w:rsid w:val="00D80A07"/>
    <w:rsid w:val="00D80F26"/>
    <w:rsid w:val="00D810D3"/>
    <w:rsid w:val="00D8161C"/>
    <w:rsid w:val="00D8194F"/>
    <w:rsid w:val="00D82A31"/>
    <w:rsid w:val="00D82BD3"/>
    <w:rsid w:val="00D836A5"/>
    <w:rsid w:val="00D83CAF"/>
    <w:rsid w:val="00D8493B"/>
    <w:rsid w:val="00D84AF7"/>
    <w:rsid w:val="00D84C93"/>
    <w:rsid w:val="00D84FB1"/>
    <w:rsid w:val="00D86FBB"/>
    <w:rsid w:val="00D87526"/>
    <w:rsid w:val="00D8794E"/>
    <w:rsid w:val="00D90705"/>
    <w:rsid w:val="00D90722"/>
    <w:rsid w:val="00D90B91"/>
    <w:rsid w:val="00D910FC"/>
    <w:rsid w:val="00D92AE7"/>
    <w:rsid w:val="00D93621"/>
    <w:rsid w:val="00D937C6"/>
    <w:rsid w:val="00D93877"/>
    <w:rsid w:val="00D93963"/>
    <w:rsid w:val="00D93B9F"/>
    <w:rsid w:val="00D94076"/>
    <w:rsid w:val="00D9495D"/>
    <w:rsid w:val="00D94EE7"/>
    <w:rsid w:val="00D95701"/>
    <w:rsid w:val="00D96898"/>
    <w:rsid w:val="00D96A44"/>
    <w:rsid w:val="00D96D47"/>
    <w:rsid w:val="00D9704F"/>
    <w:rsid w:val="00D9706A"/>
    <w:rsid w:val="00D97731"/>
    <w:rsid w:val="00D97E51"/>
    <w:rsid w:val="00DA024A"/>
    <w:rsid w:val="00DA088C"/>
    <w:rsid w:val="00DA0D1F"/>
    <w:rsid w:val="00DA0F73"/>
    <w:rsid w:val="00DA1950"/>
    <w:rsid w:val="00DA217E"/>
    <w:rsid w:val="00DA21D8"/>
    <w:rsid w:val="00DA2B71"/>
    <w:rsid w:val="00DA2C48"/>
    <w:rsid w:val="00DA39DB"/>
    <w:rsid w:val="00DA4070"/>
    <w:rsid w:val="00DA4396"/>
    <w:rsid w:val="00DA465A"/>
    <w:rsid w:val="00DA4CA7"/>
    <w:rsid w:val="00DA58ED"/>
    <w:rsid w:val="00DA5C42"/>
    <w:rsid w:val="00DA5E01"/>
    <w:rsid w:val="00DA604A"/>
    <w:rsid w:val="00DA6EAA"/>
    <w:rsid w:val="00DA701C"/>
    <w:rsid w:val="00DA72BC"/>
    <w:rsid w:val="00DA77E6"/>
    <w:rsid w:val="00DB154D"/>
    <w:rsid w:val="00DB178A"/>
    <w:rsid w:val="00DB200B"/>
    <w:rsid w:val="00DB2024"/>
    <w:rsid w:val="00DB28DE"/>
    <w:rsid w:val="00DB360E"/>
    <w:rsid w:val="00DB3FEC"/>
    <w:rsid w:val="00DB4875"/>
    <w:rsid w:val="00DB5349"/>
    <w:rsid w:val="00DB58EE"/>
    <w:rsid w:val="00DB5FE0"/>
    <w:rsid w:val="00DB7258"/>
    <w:rsid w:val="00DB799F"/>
    <w:rsid w:val="00DC0575"/>
    <w:rsid w:val="00DC076F"/>
    <w:rsid w:val="00DC0FD5"/>
    <w:rsid w:val="00DC3CE4"/>
    <w:rsid w:val="00DC47A3"/>
    <w:rsid w:val="00DC4943"/>
    <w:rsid w:val="00DC4D28"/>
    <w:rsid w:val="00DC5203"/>
    <w:rsid w:val="00DC5BA2"/>
    <w:rsid w:val="00DC5F7E"/>
    <w:rsid w:val="00DC64F0"/>
    <w:rsid w:val="00DC6F66"/>
    <w:rsid w:val="00DC7320"/>
    <w:rsid w:val="00DC7893"/>
    <w:rsid w:val="00DD0064"/>
    <w:rsid w:val="00DD00B4"/>
    <w:rsid w:val="00DD0A3D"/>
    <w:rsid w:val="00DD0E0C"/>
    <w:rsid w:val="00DD186E"/>
    <w:rsid w:val="00DD1E24"/>
    <w:rsid w:val="00DD238C"/>
    <w:rsid w:val="00DD404F"/>
    <w:rsid w:val="00DD42A6"/>
    <w:rsid w:val="00DD491D"/>
    <w:rsid w:val="00DD4E88"/>
    <w:rsid w:val="00DD5C39"/>
    <w:rsid w:val="00DD5CA9"/>
    <w:rsid w:val="00DD66D5"/>
    <w:rsid w:val="00DD6E60"/>
    <w:rsid w:val="00DD72DF"/>
    <w:rsid w:val="00DD7528"/>
    <w:rsid w:val="00DD7549"/>
    <w:rsid w:val="00DE050F"/>
    <w:rsid w:val="00DE05C2"/>
    <w:rsid w:val="00DE1078"/>
    <w:rsid w:val="00DE11BE"/>
    <w:rsid w:val="00DE1A95"/>
    <w:rsid w:val="00DE1EBA"/>
    <w:rsid w:val="00DE2AFD"/>
    <w:rsid w:val="00DE3F02"/>
    <w:rsid w:val="00DE4104"/>
    <w:rsid w:val="00DE442F"/>
    <w:rsid w:val="00DE491D"/>
    <w:rsid w:val="00DE5682"/>
    <w:rsid w:val="00DE5CFD"/>
    <w:rsid w:val="00DE5D01"/>
    <w:rsid w:val="00DE5D73"/>
    <w:rsid w:val="00DE5F19"/>
    <w:rsid w:val="00DE614A"/>
    <w:rsid w:val="00DE6496"/>
    <w:rsid w:val="00DF0458"/>
    <w:rsid w:val="00DF0509"/>
    <w:rsid w:val="00DF166F"/>
    <w:rsid w:val="00DF22D3"/>
    <w:rsid w:val="00DF290B"/>
    <w:rsid w:val="00DF3489"/>
    <w:rsid w:val="00DF44D6"/>
    <w:rsid w:val="00DF561E"/>
    <w:rsid w:val="00DF58C7"/>
    <w:rsid w:val="00DF7A8C"/>
    <w:rsid w:val="00DF7FE0"/>
    <w:rsid w:val="00E00D47"/>
    <w:rsid w:val="00E0149F"/>
    <w:rsid w:val="00E0223A"/>
    <w:rsid w:val="00E02A18"/>
    <w:rsid w:val="00E03FDC"/>
    <w:rsid w:val="00E048FA"/>
    <w:rsid w:val="00E0520A"/>
    <w:rsid w:val="00E05589"/>
    <w:rsid w:val="00E06AF9"/>
    <w:rsid w:val="00E06F6D"/>
    <w:rsid w:val="00E07114"/>
    <w:rsid w:val="00E07178"/>
    <w:rsid w:val="00E0737E"/>
    <w:rsid w:val="00E101A2"/>
    <w:rsid w:val="00E10F96"/>
    <w:rsid w:val="00E11481"/>
    <w:rsid w:val="00E120B3"/>
    <w:rsid w:val="00E123E8"/>
    <w:rsid w:val="00E12890"/>
    <w:rsid w:val="00E13331"/>
    <w:rsid w:val="00E14375"/>
    <w:rsid w:val="00E150AC"/>
    <w:rsid w:val="00E162D4"/>
    <w:rsid w:val="00E17098"/>
    <w:rsid w:val="00E17B16"/>
    <w:rsid w:val="00E206B4"/>
    <w:rsid w:val="00E20935"/>
    <w:rsid w:val="00E20B5E"/>
    <w:rsid w:val="00E218AB"/>
    <w:rsid w:val="00E21C89"/>
    <w:rsid w:val="00E21F65"/>
    <w:rsid w:val="00E2242E"/>
    <w:rsid w:val="00E22C0F"/>
    <w:rsid w:val="00E22C6E"/>
    <w:rsid w:val="00E23E35"/>
    <w:rsid w:val="00E253BF"/>
    <w:rsid w:val="00E253DB"/>
    <w:rsid w:val="00E25B9A"/>
    <w:rsid w:val="00E25C8A"/>
    <w:rsid w:val="00E269A7"/>
    <w:rsid w:val="00E27237"/>
    <w:rsid w:val="00E3013E"/>
    <w:rsid w:val="00E30641"/>
    <w:rsid w:val="00E30B5C"/>
    <w:rsid w:val="00E31237"/>
    <w:rsid w:val="00E31398"/>
    <w:rsid w:val="00E3141E"/>
    <w:rsid w:val="00E31B8D"/>
    <w:rsid w:val="00E31D92"/>
    <w:rsid w:val="00E32100"/>
    <w:rsid w:val="00E32481"/>
    <w:rsid w:val="00E327BA"/>
    <w:rsid w:val="00E32DE1"/>
    <w:rsid w:val="00E333AB"/>
    <w:rsid w:val="00E33DE1"/>
    <w:rsid w:val="00E343BF"/>
    <w:rsid w:val="00E345D7"/>
    <w:rsid w:val="00E35F4F"/>
    <w:rsid w:val="00E36462"/>
    <w:rsid w:val="00E37DAD"/>
    <w:rsid w:val="00E40152"/>
    <w:rsid w:val="00E40932"/>
    <w:rsid w:val="00E40E6E"/>
    <w:rsid w:val="00E41A93"/>
    <w:rsid w:val="00E42B48"/>
    <w:rsid w:val="00E432F9"/>
    <w:rsid w:val="00E44EF2"/>
    <w:rsid w:val="00E45034"/>
    <w:rsid w:val="00E45601"/>
    <w:rsid w:val="00E45849"/>
    <w:rsid w:val="00E45DF5"/>
    <w:rsid w:val="00E461B9"/>
    <w:rsid w:val="00E46D3C"/>
    <w:rsid w:val="00E46DC2"/>
    <w:rsid w:val="00E47004"/>
    <w:rsid w:val="00E47A7D"/>
    <w:rsid w:val="00E47ADD"/>
    <w:rsid w:val="00E47F20"/>
    <w:rsid w:val="00E5019C"/>
    <w:rsid w:val="00E50914"/>
    <w:rsid w:val="00E50AE7"/>
    <w:rsid w:val="00E50B05"/>
    <w:rsid w:val="00E522E2"/>
    <w:rsid w:val="00E529FD"/>
    <w:rsid w:val="00E536C6"/>
    <w:rsid w:val="00E54C0E"/>
    <w:rsid w:val="00E5538D"/>
    <w:rsid w:val="00E558A8"/>
    <w:rsid w:val="00E55F53"/>
    <w:rsid w:val="00E604CE"/>
    <w:rsid w:val="00E61286"/>
    <w:rsid w:val="00E61A6C"/>
    <w:rsid w:val="00E61FA5"/>
    <w:rsid w:val="00E62982"/>
    <w:rsid w:val="00E636EA"/>
    <w:rsid w:val="00E637A4"/>
    <w:rsid w:val="00E64CFF"/>
    <w:rsid w:val="00E65697"/>
    <w:rsid w:val="00E657CE"/>
    <w:rsid w:val="00E6608B"/>
    <w:rsid w:val="00E66F5C"/>
    <w:rsid w:val="00E6766B"/>
    <w:rsid w:val="00E67980"/>
    <w:rsid w:val="00E67D64"/>
    <w:rsid w:val="00E704FC"/>
    <w:rsid w:val="00E71306"/>
    <w:rsid w:val="00E7153E"/>
    <w:rsid w:val="00E7363B"/>
    <w:rsid w:val="00E741EA"/>
    <w:rsid w:val="00E74878"/>
    <w:rsid w:val="00E756CF"/>
    <w:rsid w:val="00E75E0A"/>
    <w:rsid w:val="00E76ACC"/>
    <w:rsid w:val="00E77741"/>
    <w:rsid w:val="00E801A8"/>
    <w:rsid w:val="00E81300"/>
    <w:rsid w:val="00E82670"/>
    <w:rsid w:val="00E82807"/>
    <w:rsid w:val="00E84096"/>
    <w:rsid w:val="00E84556"/>
    <w:rsid w:val="00E84C0B"/>
    <w:rsid w:val="00E84CE3"/>
    <w:rsid w:val="00E85661"/>
    <w:rsid w:val="00E86E9D"/>
    <w:rsid w:val="00E87A9D"/>
    <w:rsid w:val="00E87E92"/>
    <w:rsid w:val="00E87FCA"/>
    <w:rsid w:val="00E91938"/>
    <w:rsid w:val="00E91C14"/>
    <w:rsid w:val="00E91C62"/>
    <w:rsid w:val="00E91DBB"/>
    <w:rsid w:val="00E9298B"/>
    <w:rsid w:val="00E92CBD"/>
    <w:rsid w:val="00E9323C"/>
    <w:rsid w:val="00E93715"/>
    <w:rsid w:val="00E94216"/>
    <w:rsid w:val="00E94631"/>
    <w:rsid w:val="00E948C2"/>
    <w:rsid w:val="00E94D65"/>
    <w:rsid w:val="00E9641D"/>
    <w:rsid w:val="00E9676A"/>
    <w:rsid w:val="00E96782"/>
    <w:rsid w:val="00E968E9"/>
    <w:rsid w:val="00E970BB"/>
    <w:rsid w:val="00E97FC5"/>
    <w:rsid w:val="00E97FE4"/>
    <w:rsid w:val="00EA03BE"/>
    <w:rsid w:val="00EA0DCA"/>
    <w:rsid w:val="00EA0E99"/>
    <w:rsid w:val="00EA1955"/>
    <w:rsid w:val="00EA1C56"/>
    <w:rsid w:val="00EA1EB9"/>
    <w:rsid w:val="00EA21BB"/>
    <w:rsid w:val="00EA232D"/>
    <w:rsid w:val="00EA2383"/>
    <w:rsid w:val="00EA270C"/>
    <w:rsid w:val="00EA289B"/>
    <w:rsid w:val="00EA3F97"/>
    <w:rsid w:val="00EA413E"/>
    <w:rsid w:val="00EA47DA"/>
    <w:rsid w:val="00EA5227"/>
    <w:rsid w:val="00EA6351"/>
    <w:rsid w:val="00EA6827"/>
    <w:rsid w:val="00EA68EB"/>
    <w:rsid w:val="00EA728C"/>
    <w:rsid w:val="00EA7621"/>
    <w:rsid w:val="00EA7702"/>
    <w:rsid w:val="00EB05C3"/>
    <w:rsid w:val="00EB06F9"/>
    <w:rsid w:val="00EB0A2F"/>
    <w:rsid w:val="00EB0B4B"/>
    <w:rsid w:val="00EB1462"/>
    <w:rsid w:val="00EB17E8"/>
    <w:rsid w:val="00EB1A2B"/>
    <w:rsid w:val="00EB20E8"/>
    <w:rsid w:val="00EB2119"/>
    <w:rsid w:val="00EB3871"/>
    <w:rsid w:val="00EB3A3E"/>
    <w:rsid w:val="00EB3B48"/>
    <w:rsid w:val="00EB3C18"/>
    <w:rsid w:val="00EB3CCD"/>
    <w:rsid w:val="00EB62B5"/>
    <w:rsid w:val="00EB6ABB"/>
    <w:rsid w:val="00EB6AD8"/>
    <w:rsid w:val="00EC09C6"/>
    <w:rsid w:val="00EC09D1"/>
    <w:rsid w:val="00EC1044"/>
    <w:rsid w:val="00EC128C"/>
    <w:rsid w:val="00EC17BB"/>
    <w:rsid w:val="00EC1861"/>
    <w:rsid w:val="00EC1A86"/>
    <w:rsid w:val="00EC34A9"/>
    <w:rsid w:val="00EC3B11"/>
    <w:rsid w:val="00EC3C2B"/>
    <w:rsid w:val="00EC3D23"/>
    <w:rsid w:val="00EC4B0B"/>
    <w:rsid w:val="00EC4C0E"/>
    <w:rsid w:val="00EC516E"/>
    <w:rsid w:val="00EC52AD"/>
    <w:rsid w:val="00EC5926"/>
    <w:rsid w:val="00EC5A53"/>
    <w:rsid w:val="00EC5AEC"/>
    <w:rsid w:val="00EC5BC2"/>
    <w:rsid w:val="00EC643F"/>
    <w:rsid w:val="00EC682D"/>
    <w:rsid w:val="00EC7070"/>
    <w:rsid w:val="00ED0073"/>
    <w:rsid w:val="00ED11B5"/>
    <w:rsid w:val="00ED1F4D"/>
    <w:rsid w:val="00ED20E6"/>
    <w:rsid w:val="00ED22CE"/>
    <w:rsid w:val="00ED2DA8"/>
    <w:rsid w:val="00ED32F8"/>
    <w:rsid w:val="00ED346E"/>
    <w:rsid w:val="00ED3AA9"/>
    <w:rsid w:val="00ED3C9D"/>
    <w:rsid w:val="00ED3E9D"/>
    <w:rsid w:val="00ED3F16"/>
    <w:rsid w:val="00ED45C6"/>
    <w:rsid w:val="00ED54A8"/>
    <w:rsid w:val="00ED5540"/>
    <w:rsid w:val="00ED6D24"/>
    <w:rsid w:val="00ED72FF"/>
    <w:rsid w:val="00ED7FF8"/>
    <w:rsid w:val="00EE0194"/>
    <w:rsid w:val="00EE0983"/>
    <w:rsid w:val="00EE0F92"/>
    <w:rsid w:val="00EE1BCF"/>
    <w:rsid w:val="00EE1F6B"/>
    <w:rsid w:val="00EE22BD"/>
    <w:rsid w:val="00EE3134"/>
    <w:rsid w:val="00EE3608"/>
    <w:rsid w:val="00EE49A1"/>
    <w:rsid w:val="00EE50DC"/>
    <w:rsid w:val="00EE5225"/>
    <w:rsid w:val="00EE6267"/>
    <w:rsid w:val="00EE69A2"/>
    <w:rsid w:val="00EE6BA9"/>
    <w:rsid w:val="00EE7D52"/>
    <w:rsid w:val="00EE7D92"/>
    <w:rsid w:val="00EF0809"/>
    <w:rsid w:val="00EF1153"/>
    <w:rsid w:val="00EF11A1"/>
    <w:rsid w:val="00EF23EF"/>
    <w:rsid w:val="00EF2548"/>
    <w:rsid w:val="00EF2591"/>
    <w:rsid w:val="00EF36FE"/>
    <w:rsid w:val="00EF3BAB"/>
    <w:rsid w:val="00EF3CB4"/>
    <w:rsid w:val="00EF466B"/>
    <w:rsid w:val="00EF4760"/>
    <w:rsid w:val="00EF4965"/>
    <w:rsid w:val="00EF4A77"/>
    <w:rsid w:val="00EF5137"/>
    <w:rsid w:val="00EF54CB"/>
    <w:rsid w:val="00EF7892"/>
    <w:rsid w:val="00EF7D69"/>
    <w:rsid w:val="00F00703"/>
    <w:rsid w:val="00F008DD"/>
    <w:rsid w:val="00F011F8"/>
    <w:rsid w:val="00F0193F"/>
    <w:rsid w:val="00F019D0"/>
    <w:rsid w:val="00F0247B"/>
    <w:rsid w:val="00F025F1"/>
    <w:rsid w:val="00F02DEC"/>
    <w:rsid w:val="00F02F8D"/>
    <w:rsid w:val="00F03A8F"/>
    <w:rsid w:val="00F03AA5"/>
    <w:rsid w:val="00F03C81"/>
    <w:rsid w:val="00F03EA1"/>
    <w:rsid w:val="00F04C18"/>
    <w:rsid w:val="00F04C6A"/>
    <w:rsid w:val="00F05D3A"/>
    <w:rsid w:val="00F06732"/>
    <w:rsid w:val="00F07319"/>
    <w:rsid w:val="00F07F93"/>
    <w:rsid w:val="00F108B3"/>
    <w:rsid w:val="00F11001"/>
    <w:rsid w:val="00F1103C"/>
    <w:rsid w:val="00F114EB"/>
    <w:rsid w:val="00F11750"/>
    <w:rsid w:val="00F117FC"/>
    <w:rsid w:val="00F1207B"/>
    <w:rsid w:val="00F126CE"/>
    <w:rsid w:val="00F126DB"/>
    <w:rsid w:val="00F12E7E"/>
    <w:rsid w:val="00F1337A"/>
    <w:rsid w:val="00F13CD5"/>
    <w:rsid w:val="00F13FCB"/>
    <w:rsid w:val="00F14A07"/>
    <w:rsid w:val="00F156F9"/>
    <w:rsid w:val="00F1587F"/>
    <w:rsid w:val="00F15A34"/>
    <w:rsid w:val="00F16449"/>
    <w:rsid w:val="00F1754B"/>
    <w:rsid w:val="00F17655"/>
    <w:rsid w:val="00F177D6"/>
    <w:rsid w:val="00F17A47"/>
    <w:rsid w:val="00F17E24"/>
    <w:rsid w:val="00F20C20"/>
    <w:rsid w:val="00F21741"/>
    <w:rsid w:val="00F223A5"/>
    <w:rsid w:val="00F2298F"/>
    <w:rsid w:val="00F22C1B"/>
    <w:rsid w:val="00F244FE"/>
    <w:rsid w:val="00F2507E"/>
    <w:rsid w:val="00F2563C"/>
    <w:rsid w:val="00F25A6A"/>
    <w:rsid w:val="00F26D0E"/>
    <w:rsid w:val="00F2718C"/>
    <w:rsid w:val="00F30385"/>
    <w:rsid w:val="00F3062A"/>
    <w:rsid w:val="00F312B5"/>
    <w:rsid w:val="00F33C98"/>
    <w:rsid w:val="00F3484D"/>
    <w:rsid w:val="00F35647"/>
    <w:rsid w:val="00F3782D"/>
    <w:rsid w:val="00F37907"/>
    <w:rsid w:val="00F37A5B"/>
    <w:rsid w:val="00F37BC0"/>
    <w:rsid w:val="00F40496"/>
    <w:rsid w:val="00F4081B"/>
    <w:rsid w:val="00F40927"/>
    <w:rsid w:val="00F409DE"/>
    <w:rsid w:val="00F40D78"/>
    <w:rsid w:val="00F41928"/>
    <w:rsid w:val="00F41DF8"/>
    <w:rsid w:val="00F41E99"/>
    <w:rsid w:val="00F42398"/>
    <w:rsid w:val="00F4299F"/>
    <w:rsid w:val="00F42BC2"/>
    <w:rsid w:val="00F43B15"/>
    <w:rsid w:val="00F43B8D"/>
    <w:rsid w:val="00F446D0"/>
    <w:rsid w:val="00F44F7C"/>
    <w:rsid w:val="00F450D0"/>
    <w:rsid w:val="00F45712"/>
    <w:rsid w:val="00F46562"/>
    <w:rsid w:val="00F46DD3"/>
    <w:rsid w:val="00F4708D"/>
    <w:rsid w:val="00F470B4"/>
    <w:rsid w:val="00F47258"/>
    <w:rsid w:val="00F472DE"/>
    <w:rsid w:val="00F47444"/>
    <w:rsid w:val="00F50075"/>
    <w:rsid w:val="00F503BA"/>
    <w:rsid w:val="00F517C5"/>
    <w:rsid w:val="00F51E1E"/>
    <w:rsid w:val="00F5213B"/>
    <w:rsid w:val="00F52141"/>
    <w:rsid w:val="00F52997"/>
    <w:rsid w:val="00F53AB2"/>
    <w:rsid w:val="00F54464"/>
    <w:rsid w:val="00F55ABA"/>
    <w:rsid w:val="00F55D69"/>
    <w:rsid w:val="00F5634A"/>
    <w:rsid w:val="00F56F20"/>
    <w:rsid w:val="00F60E18"/>
    <w:rsid w:val="00F6113E"/>
    <w:rsid w:val="00F61424"/>
    <w:rsid w:val="00F6177A"/>
    <w:rsid w:val="00F619CE"/>
    <w:rsid w:val="00F61A7C"/>
    <w:rsid w:val="00F61BC1"/>
    <w:rsid w:val="00F6203E"/>
    <w:rsid w:val="00F62EC6"/>
    <w:rsid w:val="00F62F85"/>
    <w:rsid w:val="00F630B1"/>
    <w:rsid w:val="00F63253"/>
    <w:rsid w:val="00F632B3"/>
    <w:rsid w:val="00F63435"/>
    <w:rsid w:val="00F6366C"/>
    <w:rsid w:val="00F642DE"/>
    <w:rsid w:val="00F64762"/>
    <w:rsid w:val="00F649B3"/>
    <w:rsid w:val="00F65305"/>
    <w:rsid w:val="00F6660F"/>
    <w:rsid w:val="00F66998"/>
    <w:rsid w:val="00F66E94"/>
    <w:rsid w:val="00F67154"/>
    <w:rsid w:val="00F67338"/>
    <w:rsid w:val="00F70433"/>
    <w:rsid w:val="00F70732"/>
    <w:rsid w:val="00F707FE"/>
    <w:rsid w:val="00F70978"/>
    <w:rsid w:val="00F70B68"/>
    <w:rsid w:val="00F70C11"/>
    <w:rsid w:val="00F711AB"/>
    <w:rsid w:val="00F7173D"/>
    <w:rsid w:val="00F723B6"/>
    <w:rsid w:val="00F727AE"/>
    <w:rsid w:val="00F72A0E"/>
    <w:rsid w:val="00F72D0A"/>
    <w:rsid w:val="00F73A9E"/>
    <w:rsid w:val="00F746ED"/>
    <w:rsid w:val="00F74C15"/>
    <w:rsid w:val="00F756EE"/>
    <w:rsid w:val="00F75788"/>
    <w:rsid w:val="00F75C33"/>
    <w:rsid w:val="00F75DCA"/>
    <w:rsid w:val="00F76486"/>
    <w:rsid w:val="00F77308"/>
    <w:rsid w:val="00F77A09"/>
    <w:rsid w:val="00F8006D"/>
    <w:rsid w:val="00F804BE"/>
    <w:rsid w:val="00F80569"/>
    <w:rsid w:val="00F80695"/>
    <w:rsid w:val="00F81C70"/>
    <w:rsid w:val="00F822E8"/>
    <w:rsid w:val="00F82F66"/>
    <w:rsid w:val="00F82FD4"/>
    <w:rsid w:val="00F840F6"/>
    <w:rsid w:val="00F8440A"/>
    <w:rsid w:val="00F84489"/>
    <w:rsid w:val="00F85169"/>
    <w:rsid w:val="00F854CB"/>
    <w:rsid w:val="00F859D2"/>
    <w:rsid w:val="00F86361"/>
    <w:rsid w:val="00F86AD8"/>
    <w:rsid w:val="00F86FD1"/>
    <w:rsid w:val="00F879B5"/>
    <w:rsid w:val="00F87D63"/>
    <w:rsid w:val="00F87DEB"/>
    <w:rsid w:val="00F87EA2"/>
    <w:rsid w:val="00F90129"/>
    <w:rsid w:val="00F90404"/>
    <w:rsid w:val="00F90A3C"/>
    <w:rsid w:val="00F91103"/>
    <w:rsid w:val="00F91E01"/>
    <w:rsid w:val="00F924B1"/>
    <w:rsid w:val="00F9267E"/>
    <w:rsid w:val="00F92A78"/>
    <w:rsid w:val="00F92BF6"/>
    <w:rsid w:val="00F92E19"/>
    <w:rsid w:val="00F93222"/>
    <w:rsid w:val="00F93B8E"/>
    <w:rsid w:val="00F93C9E"/>
    <w:rsid w:val="00F93EDE"/>
    <w:rsid w:val="00F94592"/>
    <w:rsid w:val="00F94D87"/>
    <w:rsid w:val="00F95198"/>
    <w:rsid w:val="00F95973"/>
    <w:rsid w:val="00F95CF8"/>
    <w:rsid w:val="00F96675"/>
    <w:rsid w:val="00F969C4"/>
    <w:rsid w:val="00F96AD3"/>
    <w:rsid w:val="00F96BD4"/>
    <w:rsid w:val="00F97302"/>
    <w:rsid w:val="00F97875"/>
    <w:rsid w:val="00FA019D"/>
    <w:rsid w:val="00FA0824"/>
    <w:rsid w:val="00FA0D3F"/>
    <w:rsid w:val="00FA19D9"/>
    <w:rsid w:val="00FA1B00"/>
    <w:rsid w:val="00FA1B66"/>
    <w:rsid w:val="00FA22B4"/>
    <w:rsid w:val="00FA39F8"/>
    <w:rsid w:val="00FA3AC1"/>
    <w:rsid w:val="00FA3C18"/>
    <w:rsid w:val="00FA3CE1"/>
    <w:rsid w:val="00FA552C"/>
    <w:rsid w:val="00FA5826"/>
    <w:rsid w:val="00FA5DAD"/>
    <w:rsid w:val="00FA636E"/>
    <w:rsid w:val="00FA71B4"/>
    <w:rsid w:val="00FA79FE"/>
    <w:rsid w:val="00FA7A2A"/>
    <w:rsid w:val="00FA7F1A"/>
    <w:rsid w:val="00FB01CF"/>
    <w:rsid w:val="00FB0AE2"/>
    <w:rsid w:val="00FB28D2"/>
    <w:rsid w:val="00FB2C3C"/>
    <w:rsid w:val="00FB300D"/>
    <w:rsid w:val="00FB3471"/>
    <w:rsid w:val="00FB389A"/>
    <w:rsid w:val="00FB4140"/>
    <w:rsid w:val="00FB46F5"/>
    <w:rsid w:val="00FB4D59"/>
    <w:rsid w:val="00FB4DF1"/>
    <w:rsid w:val="00FB514F"/>
    <w:rsid w:val="00FB67FC"/>
    <w:rsid w:val="00FB7885"/>
    <w:rsid w:val="00FB7C61"/>
    <w:rsid w:val="00FB7F88"/>
    <w:rsid w:val="00FC0558"/>
    <w:rsid w:val="00FC2A68"/>
    <w:rsid w:val="00FC2C0C"/>
    <w:rsid w:val="00FC3ED7"/>
    <w:rsid w:val="00FC41F2"/>
    <w:rsid w:val="00FC4E4E"/>
    <w:rsid w:val="00FC6018"/>
    <w:rsid w:val="00FC6754"/>
    <w:rsid w:val="00FC686C"/>
    <w:rsid w:val="00FC6E8A"/>
    <w:rsid w:val="00FC7386"/>
    <w:rsid w:val="00FD0168"/>
    <w:rsid w:val="00FD0A11"/>
    <w:rsid w:val="00FD0F53"/>
    <w:rsid w:val="00FD1054"/>
    <w:rsid w:val="00FD126A"/>
    <w:rsid w:val="00FD3E85"/>
    <w:rsid w:val="00FD4303"/>
    <w:rsid w:val="00FD4B7F"/>
    <w:rsid w:val="00FD4DA4"/>
    <w:rsid w:val="00FD55F9"/>
    <w:rsid w:val="00FD58EB"/>
    <w:rsid w:val="00FD58F9"/>
    <w:rsid w:val="00FD5942"/>
    <w:rsid w:val="00FD5B3F"/>
    <w:rsid w:val="00FD5E9C"/>
    <w:rsid w:val="00FD7669"/>
    <w:rsid w:val="00FD7E54"/>
    <w:rsid w:val="00FE013A"/>
    <w:rsid w:val="00FE0B4F"/>
    <w:rsid w:val="00FE0EBB"/>
    <w:rsid w:val="00FE0F8B"/>
    <w:rsid w:val="00FE1189"/>
    <w:rsid w:val="00FE1ADE"/>
    <w:rsid w:val="00FE1C1E"/>
    <w:rsid w:val="00FE30B8"/>
    <w:rsid w:val="00FE375B"/>
    <w:rsid w:val="00FE394E"/>
    <w:rsid w:val="00FE395E"/>
    <w:rsid w:val="00FE4426"/>
    <w:rsid w:val="00FE54E0"/>
    <w:rsid w:val="00FE5D3B"/>
    <w:rsid w:val="00FE690E"/>
    <w:rsid w:val="00FE6AA5"/>
    <w:rsid w:val="00FE74A7"/>
    <w:rsid w:val="00FE7C6C"/>
    <w:rsid w:val="00FF00DD"/>
    <w:rsid w:val="00FF0C6A"/>
    <w:rsid w:val="00FF12EE"/>
    <w:rsid w:val="00FF19FC"/>
    <w:rsid w:val="00FF1C7C"/>
    <w:rsid w:val="00FF2170"/>
    <w:rsid w:val="00FF276D"/>
    <w:rsid w:val="00FF2D7E"/>
    <w:rsid w:val="00FF3519"/>
    <w:rsid w:val="00FF3C23"/>
    <w:rsid w:val="00FF4035"/>
    <w:rsid w:val="00FF4185"/>
    <w:rsid w:val="00FF4279"/>
    <w:rsid w:val="00FF4442"/>
    <w:rsid w:val="00FF4B6A"/>
    <w:rsid w:val="00FF4D9A"/>
    <w:rsid w:val="00FF5F95"/>
    <w:rsid w:val="00FF676D"/>
    <w:rsid w:val="00FF6A6F"/>
    <w:rsid w:val="00FF6E08"/>
    <w:rsid w:val="00FF7067"/>
    <w:rsid w:val="059989F8"/>
    <w:rsid w:val="242C1B02"/>
    <w:rsid w:val="78A8201C"/>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6F99E165"/>
  <w15:chartTrackingRefBased/>
  <w15:docId w15:val="{EC3A4348-7861-4B38-A8E9-4C15FE3535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outlineLvl w:val="6"/>
    </w:pPr>
    <w:rPr>
      <w:b/>
    </w:rPr>
  </w:style>
  <w:style w:type="paragraph" w:styleId="Heading8">
    <w:name w:val="heading 8"/>
    <w:basedOn w:val="Normal"/>
    <w:next w:val="ParaNum"/>
    <w:qFormat/>
    <w:pPr>
      <w:numPr>
        <w:ilvl w:val="7"/>
        <w:numId w:val="3"/>
      </w:numPr>
      <w:tabs>
        <w:tab w:val="left" w:pos="5760"/>
      </w:tabs>
      <w:spacing w:after="120"/>
      <w:outlineLvl w:val="7"/>
    </w:pPr>
    <w:rPr>
      <w:b/>
    </w:rPr>
  </w:style>
  <w:style w:type="paragraph" w:styleId="Heading9">
    <w:name w:val="heading 9"/>
    <w:basedOn w:val="Normal"/>
    <w:next w:val="ParaNum"/>
    <w:qFormat/>
    <w:pPr>
      <w:numPr>
        <w:ilvl w:val="8"/>
        <w:numId w:val="3"/>
      </w:numPr>
      <w:tabs>
        <w:tab w:val="left" w:pos="6480"/>
      </w:tabs>
      <w:spacing w:after="1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Char1"/>
    <w:qFormat/>
    <w:pPr>
      <w:numPr>
        <w:numId w:val="2"/>
      </w:numPr>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2,Footnote Text Char2 Char1 Char1 Char,Footnote Text Char2 Char1 Char1 Char Char Char,Footnote Text Char2 Char4 Char,Footnote Text Char3 Char1 Char2,Footnote Text Char3 Char1 Char2 Char Char,Footnote Text Char5 Char,f,fn"/>
    <w:link w:val="FootnoteTextChar"/>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unhideWhenUsed/>
    <w:rPr>
      <w:color w:val="605E5C"/>
      <w:shd w:val="clear" w:color="auto" w:fill="E1DFDD"/>
    </w:rPr>
  </w:style>
  <w:style w:type="character" w:customStyle="1" w:styleId="UnresolvedMention1">
    <w:name w:val="Unresolved Mention1"/>
    <w:uiPriority w:val="99"/>
    <w:semiHidden/>
    <w:unhideWhenUsed/>
    <w:rsid w:val="004E687B"/>
    <w:rPr>
      <w:color w:val="605E5C"/>
      <w:shd w:val="clear" w:color="auto" w:fill="E1DFDD"/>
    </w:rPr>
  </w:style>
  <w:style w:type="character" w:styleId="CommentReference">
    <w:name w:val="annotation reference"/>
    <w:uiPriority w:val="99"/>
    <w:unhideWhenUsed/>
    <w:rsid w:val="004E687B"/>
    <w:rPr>
      <w:sz w:val="16"/>
      <w:szCs w:val="16"/>
    </w:rPr>
  </w:style>
  <w:style w:type="paragraph" w:styleId="CommentText">
    <w:name w:val="annotation text"/>
    <w:basedOn w:val="Normal"/>
    <w:link w:val="CommentTextChar"/>
    <w:uiPriority w:val="99"/>
    <w:unhideWhenUsed/>
    <w:rsid w:val="004E687B"/>
    <w:pPr>
      <w:widowControl/>
    </w:pPr>
    <w:rPr>
      <w:snapToGrid/>
      <w:kern w:val="0"/>
      <w:sz w:val="20"/>
    </w:rPr>
  </w:style>
  <w:style w:type="character" w:customStyle="1" w:styleId="CommentTextChar">
    <w:name w:val="Comment Text Char"/>
    <w:basedOn w:val="DefaultParagraphFont"/>
    <w:link w:val="CommentText"/>
    <w:uiPriority w:val="99"/>
    <w:rsid w:val="004E687B"/>
  </w:style>
  <w:style w:type="character" w:customStyle="1" w:styleId="FootnoteTextChar">
    <w:name w:val="Footnote Text Char"/>
    <w:aliases w:val="Footnote Text Char2 Char,Footnote Text Char2 Char1 Char1 Char Char,Footnote Text Char2 Char1 Char1 Char Char Char Char,Footnote Text Char2 Char4 Char Char,Footnote Text Char3 Char1 Char2 Char,Footnote Text Char5 Char Char,f Char"/>
    <w:link w:val="FootnoteText"/>
    <w:rsid w:val="004E687B"/>
  </w:style>
  <w:style w:type="character" w:customStyle="1" w:styleId="ParaNumCharChar1">
    <w:name w:val="ParaNum Char Char1"/>
    <w:link w:val="ParaNum"/>
    <w:locked/>
    <w:rsid w:val="004E687B"/>
    <w:rPr>
      <w:snapToGrid w:val="0"/>
      <w:kern w:val="28"/>
      <w:sz w:val="22"/>
    </w:rPr>
  </w:style>
  <w:style w:type="paragraph" w:styleId="ListParagraph">
    <w:name w:val="List Paragraph"/>
    <w:basedOn w:val="Normal"/>
    <w:uiPriority w:val="34"/>
    <w:qFormat/>
    <w:rsid w:val="004E687B"/>
    <w:pPr>
      <w:widowControl/>
      <w:ind w:left="720"/>
    </w:pPr>
    <w:rPr>
      <w:rFonts w:ascii="Calibri" w:eastAsia="Calibri" w:hAnsi="Calibri"/>
      <w:snapToGrid/>
      <w:kern w:val="0"/>
      <w:szCs w:val="22"/>
    </w:rPr>
  </w:style>
  <w:style w:type="paragraph" w:styleId="BalloonText">
    <w:name w:val="Balloon Text"/>
    <w:basedOn w:val="Normal"/>
    <w:link w:val="BalloonTextChar"/>
    <w:uiPriority w:val="99"/>
    <w:semiHidden/>
    <w:unhideWhenUsed/>
    <w:rsid w:val="004E687B"/>
    <w:pPr>
      <w:widowControl/>
    </w:pPr>
    <w:rPr>
      <w:rFonts w:ascii="Segoe UI" w:hAnsi="Segoe UI" w:cs="Segoe UI"/>
      <w:snapToGrid/>
      <w:kern w:val="0"/>
      <w:sz w:val="18"/>
      <w:szCs w:val="18"/>
    </w:rPr>
  </w:style>
  <w:style w:type="character" w:customStyle="1" w:styleId="BalloonTextChar">
    <w:name w:val="Balloon Text Char"/>
    <w:link w:val="BalloonText"/>
    <w:uiPriority w:val="99"/>
    <w:semiHidden/>
    <w:rsid w:val="004E687B"/>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4E687B"/>
    <w:rPr>
      <w:b/>
      <w:bCs/>
    </w:rPr>
  </w:style>
  <w:style w:type="character" w:customStyle="1" w:styleId="CommentSubjectChar">
    <w:name w:val="Comment Subject Char"/>
    <w:link w:val="CommentSubject"/>
    <w:uiPriority w:val="99"/>
    <w:semiHidden/>
    <w:rsid w:val="004E687B"/>
    <w:rPr>
      <w:b/>
      <w:bCs/>
    </w:rPr>
  </w:style>
  <w:style w:type="character" w:styleId="FollowedHyperlink">
    <w:name w:val="FollowedHyperlink"/>
    <w:uiPriority w:val="99"/>
    <w:semiHidden/>
    <w:unhideWhenUsed/>
    <w:rsid w:val="004E687B"/>
    <w:rPr>
      <w:color w:val="954F72"/>
      <w:u w:val="single"/>
    </w:rPr>
  </w:style>
  <w:style w:type="paragraph" w:styleId="Revision">
    <w:name w:val="Revision"/>
    <w:hidden/>
    <w:uiPriority w:val="99"/>
    <w:semiHidden/>
    <w:rsid w:val="004E687B"/>
    <w:rPr>
      <w:sz w:val="22"/>
    </w:rPr>
  </w:style>
  <w:style w:type="character" w:customStyle="1" w:styleId="cf01">
    <w:name w:val="cf01"/>
    <w:rsid w:val="004E687B"/>
    <w:rPr>
      <w:rFonts w:ascii="Segoe UI" w:hAnsi="Segoe UI" w:cs="Segoe UI" w:hint="default"/>
      <w:sz w:val="18"/>
      <w:szCs w:val="18"/>
    </w:rPr>
  </w:style>
  <w:style w:type="character" w:styleId="Mention">
    <w:name w:val="Mention"/>
    <w:uiPriority w:val="99"/>
    <w:rsid w:val="004E687B"/>
    <w:rPr>
      <w:color w:val="2B579A"/>
      <w:shd w:val="clear" w:color="auto" w:fill="E1DFDD"/>
    </w:rPr>
  </w:style>
  <w:style w:type="character" w:customStyle="1" w:styleId="normaltextrun">
    <w:name w:val="normaltextrun"/>
    <w:basedOn w:val="DefaultParagraphFont"/>
    <w:rsid w:val="004E687B"/>
  </w:style>
  <w:style w:type="character" w:customStyle="1" w:styleId="ParaNumChar">
    <w:name w:val="ParaNum Char"/>
    <w:locked/>
    <w:rsid w:val="0032770E"/>
    <w:rPr>
      <w:rFonts w:eastAsia="Times New Roman" w:cs="Times New Roman"/>
      <w:snapToGrid w:val="0"/>
      <w:kern w:val="28"/>
      <w:sz w:val="22"/>
      <w:szCs w:val="20"/>
    </w:rPr>
  </w:style>
  <w:style w:type="table" w:styleId="TableGrid">
    <w:name w:val="Table Grid"/>
    <w:basedOn w:val="TableNormal"/>
    <w:uiPriority w:val="59"/>
    <w:rsid w:val="00701A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2.xml" /><Relationship Id="rId14" Type="http://schemas.openxmlformats.org/officeDocument/2006/relationships/footer" Target="footer3.xml" /><Relationship Id="rId15" Type="http://schemas.openxmlformats.org/officeDocument/2006/relationships/hyperlink" Target="https://gcc02.safelinks.protection.outlook.com/?url=https%3A%2F%2Fwww.fcc.gov%2Fsites%2Fdefault%2Ffiles%2F2026%2520IPCS%2520MDC%2520proposed%2520Instructions.docx&amp;data=05%7C02%7CSimon.Solemani%40fcc.gov%7Ca0614a0d681a4e8b5cdd08dec57eb4c3%7C72970aed36694ca8b960dd016bc72973%7C0%7C0%7C639165345142372349%7CUnknown%7CTWFpbGZsb3d8eyJFbXB0eU1hcGkiOnRydWUsIlYiOiIwLjAuMDAwMCIsIlAiOiJXaW4zMiIsIkFOIjoiTWFpbCIsIldUIjoyfQ%3D%3D%7C0%7C%7C%7C&amp;sdata=gqSMA%2BwCFSjWjkPy27Rr5M7jNQ%2Fx%2FnGJD%2B4yHchjluE%3D&amp;reserved=0" TargetMode="External" /><Relationship Id="rId16" Type="http://schemas.openxmlformats.org/officeDocument/2006/relationships/header" Target="header3.xml" /><Relationship Id="rId17" Type="http://schemas.openxmlformats.org/officeDocument/2006/relationships/theme" Target="theme/theme1.xml" /><Relationship Id="rId18" Type="http://schemas.openxmlformats.org/officeDocument/2006/relationships/numbering" Target="numbering.xml" /><Relationship Id="rId19"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fcc504@fcc.gov" TargetMode="External" /><Relationship Id="rId8" Type="http://schemas.openxmlformats.org/officeDocument/2006/relationships/hyperlink" Target="https://www.fcc.gov/proposed-rulemakings" TargetMode="External" /><Relationship Id="rId9" Type="http://schemas.openxmlformats.org/officeDocument/2006/relationships/hyperlink" Target="mailto:mandatorydatacollection@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files/2023-ipcs-mandatory-data-collection-instructions" TargetMode="External" /><Relationship Id="rId2" Type="http://schemas.openxmlformats.org/officeDocument/2006/relationships/hyperlink" Target="https://advocacy.sba.gov/wp-content/uploads/2024/12/Frequently-Asked-Questions-About-Small-Business_2024-508.pdf" TargetMode="External" /><Relationship Id="rId3" Type="http://schemas.openxmlformats.org/officeDocument/2006/relationships/hyperlink" Target="https://advocacy.sba.gov/2019/07/25/small-business-facts-spotlight-on-nonprofits/" TargetMode="External" /><Relationship Id="rId4" Type="http://schemas.openxmlformats.org/officeDocument/2006/relationships/hyperlink" Target="https://www.census.gov/data/tables/2022/econ/gus/2022-governments.html" TargetMode="External" /><Relationship Id="rId5" Type="http://schemas.openxmlformats.org/officeDocument/2006/relationships/hyperlink" Target="http://www.census.gov/NAICS" TargetMode="External" /><Relationship Id="rId6" Type="http://schemas.openxmlformats.org/officeDocument/2006/relationships/hyperlink" Target="https://docs.fcc.gov/public/attachments/DOC-408848A1.pdf"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