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RPr="00FD7D36" w14:paraId="2ABE09FA" w14:textId="77777777">
      <w:pPr>
        <w:jc w:val="center"/>
        <w:rPr>
          <w:b/>
          <w:szCs w:val="22"/>
        </w:rPr>
      </w:pPr>
      <w:r w:rsidRPr="00FD7D36">
        <w:rPr>
          <w:b/>
          <w:kern w:val="0"/>
          <w:szCs w:val="22"/>
        </w:rPr>
        <w:t>Before</w:t>
      </w:r>
      <w:r w:rsidRPr="00FD7D36">
        <w:rPr>
          <w:b/>
          <w:szCs w:val="22"/>
        </w:rPr>
        <w:t xml:space="preserve"> the</w:t>
      </w:r>
    </w:p>
    <w:p w:rsidR="00921803" w:rsidRPr="00FD7D36" w:rsidP="00921803" w14:paraId="57918746" w14:textId="77777777">
      <w:pPr>
        <w:pStyle w:val="StyleBoldCentered"/>
        <w:rPr>
          <w:rFonts w:ascii="Times New Roman" w:hAnsi="Times New Roman"/>
        </w:rPr>
      </w:pPr>
      <w:r w:rsidRPr="00FD7D36">
        <w:rPr>
          <w:rFonts w:ascii="Times New Roman" w:hAnsi="Times New Roman"/>
        </w:rPr>
        <w:t>F</w:t>
      </w:r>
      <w:r w:rsidRPr="00FD7D36">
        <w:rPr>
          <w:rFonts w:ascii="Times New Roman" w:hAnsi="Times New Roman"/>
          <w:caps w:val="0"/>
        </w:rPr>
        <w:t>ederal Communications Commission</w:t>
      </w:r>
    </w:p>
    <w:p w:rsidR="004C2EE3" w:rsidRPr="00FD7D36" w:rsidP="00096D8C" w14:paraId="04FF5EE7" w14:textId="121BDABF">
      <w:pPr>
        <w:pStyle w:val="StyleBoldCentered"/>
        <w:rPr>
          <w:rFonts w:ascii="Times New Roman" w:hAnsi="Times New Roman"/>
        </w:rPr>
      </w:pPr>
      <w:r w:rsidRPr="00FD7D36">
        <w:rPr>
          <w:rFonts w:ascii="Times New Roman" w:hAnsi="Times New Roman"/>
          <w:caps w:val="0"/>
        </w:rPr>
        <w:t>Washington, D.C</w:t>
      </w:r>
      <w:r w:rsidRPr="00FD7D36" w:rsidR="00BF643F">
        <w:rPr>
          <w:rFonts w:ascii="Times New Roman" w:hAnsi="Times New Roman"/>
          <w:caps w:val="0"/>
        </w:rPr>
        <w:t xml:space="preserve">.  </w:t>
      </w:r>
      <w:r w:rsidRPr="00FD7D36">
        <w:rPr>
          <w:rFonts w:ascii="Times New Roman" w:hAnsi="Times New Roman"/>
          <w:caps w:val="0"/>
        </w:rPr>
        <w:t>20554</w:t>
      </w:r>
    </w:p>
    <w:p w:rsidR="004C2EE3" w:rsidRPr="00FD7D36" w:rsidP="0070224F" w14:paraId="53E8688F" w14:textId="77777777">
      <w:pPr>
        <w:rPr>
          <w:szCs w:val="22"/>
        </w:rPr>
      </w:pPr>
    </w:p>
    <w:p w:rsidR="004C2EE3" w:rsidRPr="00FD7D36" w:rsidP="0070224F" w14:paraId="160008F9" w14:textId="77777777">
      <w:pPr>
        <w:rPr>
          <w:szCs w:val="22"/>
        </w:rPr>
      </w:pPr>
    </w:p>
    <w:tbl>
      <w:tblPr>
        <w:tblW w:w="0" w:type="auto"/>
        <w:tblLayout w:type="fixed"/>
        <w:tblLook w:val="0000"/>
      </w:tblPr>
      <w:tblGrid>
        <w:gridCol w:w="4698"/>
        <w:gridCol w:w="630"/>
        <w:gridCol w:w="4248"/>
      </w:tblGrid>
      <w:tr w14:paraId="4C5E0DB7" w14:textId="77777777">
        <w:tblPrEx>
          <w:tblW w:w="0" w:type="auto"/>
          <w:tblLayout w:type="fixed"/>
          <w:tblLook w:val="0000"/>
        </w:tblPrEx>
        <w:tc>
          <w:tcPr>
            <w:tcW w:w="4698" w:type="dxa"/>
          </w:tcPr>
          <w:p w:rsidR="004C2EE3" w:rsidRPr="00FD7D36" w14:paraId="1A64F5D3" w14:textId="77777777">
            <w:pPr>
              <w:tabs>
                <w:tab w:val="center" w:pos="4680"/>
              </w:tabs>
              <w:suppressAutoHyphens/>
              <w:rPr>
                <w:spacing w:val="-2"/>
                <w:szCs w:val="22"/>
              </w:rPr>
            </w:pPr>
            <w:r w:rsidRPr="00FD7D36">
              <w:rPr>
                <w:spacing w:val="-2"/>
                <w:szCs w:val="22"/>
              </w:rPr>
              <w:t>In the Matter of</w:t>
            </w:r>
          </w:p>
          <w:p w:rsidR="004C2EE3" w:rsidRPr="00FD7D36" w14:paraId="2E37706D" w14:textId="77777777">
            <w:pPr>
              <w:tabs>
                <w:tab w:val="center" w:pos="4680"/>
              </w:tabs>
              <w:suppressAutoHyphens/>
              <w:rPr>
                <w:spacing w:val="-2"/>
                <w:szCs w:val="22"/>
              </w:rPr>
            </w:pPr>
          </w:p>
          <w:p w:rsidR="004C2EE3" w:rsidRPr="00FD7D36" w:rsidP="007115F7" w14:paraId="1FE0D819" w14:textId="675E1BC9">
            <w:pPr>
              <w:tabs>
                <w:tab w:val="center" w:pos="4680"/>
              </w:tabs>
              <w:suppressAutoHyphens/>
              <w:rPr>
                <w:spacing w:val="-2"/>
                <w:szCs w:val="22"/>
              </w:rPr>
            </w:pPr>
            <w:r w:rsidRPr="00FD7D36">
              <w:rPr>
                <w:spacing w:val="-2"/>
                <w:szCs w:val="22"/>
              </w:rPr>
              <w:t>SLG-CPC Test Laboratory Co., Ltd</w:t>
            </w:r>
          </w:p>
        </w:tc>
        <w:tc>
          <w:tcPr>
            <w:tcW w:w="630" w:type="dxa"/>
          </w:tcPr>
          <w:p w:rsidR="004C2EE3" w:rsidRPr="00FD7D36" w14:paraId="0FCEEA09" w14:textId="77777777">
            <w:pPr>
              <w:tabs>
                <w:tab w:val="center" w:pos="4680"/>
              </w:tabs>
              <w:suppressAutoHyphens/>
              <w:rPr>
                <w:b/>
                <w:spacing w:val="-2"/>
                <w:szCs w:val="22"/>
              </w:rPr>
            </w:pPr>
            <w:r w:rsidRPr="00FD7D36">
              <w:rPr>
                <w:b/>
                <w:spacing w:val="-2"/>
                <w:szCs w:val="22"/>
              </w:rPr>
              <w:t>)</w:t>
            </w:r>
          </w:p>
          <w:p w:rsidR="004C2EE3" w:rsidRPr="00FD7D36" w14:paraId="0FF52288" w14:textId="77777777">
            <w:pPr>
              <w:tabs>
                <w:tab w:val="center" w:pos="4680"/>
              </w:tabs>
              <w:suppressAutoHyphens/>
              <w:rPr>
                <w:b/>
                <w:spacing w:val="-2"/>
                <w:szCs w:val="22"/>
              </w:rPr>
            </w:pPr>
            <w:r w:rsidRPr="00FD7D36">
              <w:rPr>
                <w:b/>
                <w:spacing w:val="-2"/>
                <w:szCs w:val="22"/>
              </w:rPr>
              <w:t>)</w:t>
            </w:r>
          </w:p>
          <w:p w:rsidR="004C2EE3" w:rsidRPr="00FD7D36" w14:paraId="1B9B72DD" w14:textId="5DD4A356">
            <w:pPr>
              <w:tabs>
                <w:tab w:val="center" w:pos="4680"/>
              </w:tabs>
              <w:suppressAutoHyphens/>
              <w:rPr>
                <w:b/>
                <w:spacing w:val="-2"/>
                <w:szCs w:val="22"/>
              </w:rPr>
            </w:pPr>
            <w:r w:rsidRPr="00FD7D36">
              <w:rPr>
                <w:b/>
                <w:spacing w:val="-2"/>
                <w:szCs w:val="22"/>
              </w:rPr>
              <w:t>)</w:t>
            </w:r>
          </w:p>
          <w:p w:rsidR="004C2EE3" w:rsidRPr="00FD7D36" w14:paraId="2741A7C6" w14:textId="2FF55C31">
            <w:pPr>
              <w:tabs>
                <w:tab w:val="center" w:pos="4680"/>
              </w:tabs>
              <w:suppressAutoHyphens/>
              <w:rPr>
                <w:spacing w:val="-2"/>
                <w:szCs w:val="22"/>
              </w:rPr>
            </w:pPr>
          </w:p>
        </w:tc>
        <w:tc>
          <w:tcPr>
            <w:tcW w:w="4248" w:type="dxa"/>
          </w:tcPr>
          <w:p w:rsidR="004C2EE3" w:rsidRPr="00FD7D36" w14:paraId="1CCE2D2D" w14:textId="77777777">
            <w:pPr>
              <w:tabs>
                <w:tab w:val="center" w:pos="4680"/>
              </w:tabs>
              <w:suppressAutoHyphens/>
              <w:rPr>
                <w:spacing w:val="-2"/>
                <w:szCs w:val="22"/>
              </w:rPr>
            </w:pPr>
          </w:p>
          <w:p w:rsidR="004C2EE3" w:rsidRPr="00FD7D36" w14:paraId="2CA7CD73" w14:textId="77777777">
            <w:pPr>
              <w:pStyle w:val="TOAHeading"/>
              <w:tabs>
                <w:tab w:val="center" w:pos="4680"/>
                <w:tab w:val="clear" w:pos="9360"/>
              </w:tabs>
              <w:rPr>
                <w:spacing w:val="-2"/>
                <w:szCs w:val="22"/>
              </w:rPr>
            </w:pPr>
          </w:p>
          <w:p w:rsidR="004C2EE3" w:rsidRPr="00FD7D36" w14:paraId="3C816DCC" w14:textId="4F242720">
            <w:pPr>
              <w:tabs>
                <w:tab w:val="center" w:pos="4680"/>
              </w:tabs>
              <w:suppressAutoHyphens/>
              <w:rPr>
                <w:spacing w:val="-2"/>
                <w:szCs w:val="22"/>
              </w:rPr>
            </w:pPr>
            <w:r w:rsidRPr="00FD7D36">
              <w:rPr>
                <w:spacing w:val="-2"/>
                <w:szCs w:val="22"/>
              </w:rPr>
              <w:t>ET Docket No</w:t>
            </w:r>
            <w:r w:rsidRPr="00FD7D36" w:rsidR="00BF643F">
              <w:rPr>
                <w:spacing w:val="-2"/>
                <w:szCs w:val="22"/>
              </w:rPr>
              <w:t xml:space="preserve">.  </w:t>
            </w:r>
            <w:r w:rsidRPr="00FD7D36">
              <w:rPr>
                <w:spacing w:val="-2"/>
                <w:szCs w:val="22"/>
              </w:rPr>
              <w:t>26-</w:t>
            </w:r>
            <w:r w:rsidR="000744ED">
              <w:rPr>
                <w:spacing w:val="-2"/>
                <w:szCs w:val="22"/>
              </w:rPr>
              <w:t>140</w:t>
            </w:r>
          </w:p>
        </w:tc>
      </w:tr>
    </w:tbl>
    <w:p w:rsidR="004C2EE3" w:rsidRPr="00FD7D36" w:rsidP="0070224F" w14:paraId="4F4100D1" w14:textId="77777777">
      <w:pPr>
        <w:rPr>
          <w:szCs w:val="22"/>
        </w:rPr>
      </w:pPr>
    </w:p>
    <w:p w:rsidR="00841AB1" w:rsidRPr="00FD7D36" w:rsidP="00F021FA" w14:paraId="0BC93BE1" w14:textId="2F3D9F4F">
      <w:pPr>
        <w:pStyle w:val="StyleBoldCentered"/>
        <w:rPr>
          <w:rFonts w:ascii="Times New Roman" w:hAnsi="Times New Roman"/>
        </w:rPr>
      </w:pPr>
      <w:r w:rsidRPr="00FD7D36">
        <w:rPr>
          <w:rFonts w:ascii="Times New Roman" w:hAnsi="Times New Roman"/>
        </w:rPr>
        <w:t xml:space="preserve">ORDER </w:t>
      </w:r>
      <w:r w:rsidRPr="00FD7D36" w:rsidR="00AA0D40">
        <w:rPr>
          <w:rFonts w:ascii="Times New Roman" w:hAnsi="Times New Roman"/>
        </w:rPr>
        <w:t xml:space="preserve">INSTITUTING PROCEEDING TO WITHDRAW RECOGNITION </w:t>
      </w:r>
    </w:p>
    <w:p w:rsidR="00316A79" w:rsidRPr="00FD7D36" w:rsidP="00F021FA" w14:paraId="4870D7C0" w14:textId="4A94CAAD">
      <w:pPr>
        <w:pStyle w:val="StyleBoldCentered"/>
        <w:rPr>
          <w:rFonts w:ascii="Times New Roman" w:hAnsi="Times New Roman"/>
        </w:rPr>
      </w:pPr>
      <w:r w:rsidRPr="00FD7D36">
        <w:rPr>
          <w:rFonts w:ascii="Times New Roman" w:hAnsi="Times New Roman"/>
        </w:rPr>
        <w:t>AS AN ACCREDITED TEST LABORATORY</w:t>
      </w:r>
    </w:p>
    <w:p w:rsidR="004C2EE3" w:rsidRPr="00FD7D36" w14:paraId="420AD412" w14:textId="77777777">
      <w:pPr>
        <w:tabs>
          <w:tab w:val="left" w:pos="-720"/>
        </w:tabs>
        <w:suppressAutoHyphens/>
        <w:spacing w:line="227" w:lineRule="auto"/>
        <w:rPr>
          <w:spacing w:val="-2"/>
          <w:szCs w:val="22"/>
        </w:rPr>
      </w:pPr>
    </w:p>
    <w:p w:rsidR="004C2EE3" w:rsidRPr="00FD7D36" w:rsidP="00133F79" w14:paraId="34768C42" w14:textId="27112426">
      <w:pPr>
        <w:tabs>
          <w:tab w:val="left" w:pos="720"/>
          <w:tab w:val="right" w:pos="9360"/>
        </w:tabs>
        <w:suppressAutoHyphens/>
        <w:spacing w:line="227" w:lineRule="auto"/>
        <w:rPr>
          <w:spacing w:val="-2"/>
          <w:szCs w:val="22"/>
        </w:rPr>
      </w:pPr>
      <w:r w:rsidRPr="00FD7D36">
        <w:rPr>
          <w:b/>
          <w:spacing w:val="-2"/>
          <w:szCs w:val="22"/>
        </w:rPr>
        <w:t xml:space="preserve">Adopted:  </w:t>
      </w:r>
      <w:r w:rsidR="00674259">
        <w:rPr>
          <w:b/>
          <w:spacing w:val="-2"/>
          <w:szCs w:val="22"/>
        </w:rPr>
        <w:t xml:space="preserve">June 9, 2026 </w:t>
      </w:r>
      <w:r w:rsidR="00674259">
        <w:rPr>
          <w:b/>
          <w:spacing w:val="-2"/>
          <w:szCs w:val="22"/>
        </w:rPr>
        <w:tab/>
        <w:t>Released: June 9, 2026</w:t>
      </w:r>
    </w:p>
    <w:p w:rsidR="00822CE0" w:rsidRPr="00FD7D36" w14:paraId="42EF9206" w14:textId="77777777">
      <w:pPr>
        <w:rPr>
          <w:szCs w:val="22"/>
        </w:rPr>
      </w:pPr>
    </w:p>
    <w:p w:rsidR="004C2EE3" w:rsidRPr="00FD7D36" w14:paraId="7BC1C60B" w14:textId="7CE0098F">
      <w:pPr>
        <w:rPr>
          <w:spacing w:val="-2"/>
          <w:szCs w:val="22"/>
        </w:rPr>
      </w:pPr>
      <w:r w:rsidRPr="00FD7D36">
        <w:rPr>
          <w:szCs w:val="22"/>
        </w:rPr>
        <w:t xml:space="preserve">By </w:t>
      </w:r>
      <w:r w:rsidRPr="00FD7D36" w:rsidR="004E4A22">
        <w:rPr>
          <w:szCs w:val="22"/>
        </w:rPr>
        <w:t>the</w:t>
      </w:r>
      <w:r w:rsidRPr="00FD7D36" w:rsidR="002A2D2E">
        <w:rPr>
          <w:szCs w:val="22"/>
        </w:rPr>
        <w:t xml:space="preserve"> </w:t>
      </w:r>
      <w:r w:rsidRPr="00FD7D36" w:rsidR="0018042E">
        <w:rPr>
          <w:spacing w:val="-2"/>
          <w:szCs w:val="22"/>
        </w:rPr>
        <w:t>Chief, Office of Engineering and Technology</w:t>
      </w:r>
      <w:r w:rsidRPr="00FD7D36">
        <w:rPr>
          <w:spacing w:val="-2"/>
          <w:szCs w:val="22"/>
        </w:rPr>
        <w:t>:</w:t>
      </w:r>
    </w:p>
    <w:p w:rsidR="00822CE0" w:rsidRPr="00FD7D36" w14:paraId="53D79A57" w14:textId="77777777">
      <w:pPr>
        <w:rPr>
          <w:spacing w:val="-2"/>
          <w:szCs w:val="22"/>
        </w:rPr>
      </w:pPr>
    </w:p>
    <w:p w:rsidR="00412FC5" w:rsidRPr="00FD7D36" w:rsidP="006A0188" w14:paraId="1148EFAC" w14:textId="145542F6">
      <w:pPr>
        <w:pStyle w:val="Heading1"/>
        <w:rPr>
          <w:rFonts w:ascii="Times New Roman" w:hAnsi="Times New Roman"/>
          <w:szCs w:val="22"/>
        </w:rPr>
      </w:pPr>
      <w:r w:rsidRPr="00FD7D36">
        <w:rPr>
          <w:rFonts w:ascii="Times New Roman" w:hAnsi="Times New Roman"/>
          <w:szCs w:val="22"/>
        </w:rPr>
        <w:t>INTRODUCTION</w:t>
      </w:r>
    </w:p>
    <w:p w:rsidR="0018042E" w:rsidRPr="00FD7D36" w:rsidP="006A0188" w14:paraId="0135EFBE" w14:textId="5AC88569">
      <w:pPr>
        <w:pStyle w:val="ParaNum"/>
        <w:rPr>
          <w:szCs w:val="22"/>
        </w:rPr>
      </w:pPr>
      <w:r w:rsidRPr="00FD7D36">
        <w:rPr>
          <w:szCs w:val="22"/>
        </w:rPr>
        <w:t xml:space="preserve">By this Order, </w:t>
      </w:r>
      <w:r w:rsidRPr="00FD7D36" w:rsidR="00E76237">
        <w:rPr>
          <w:szCs w:val="22"/>
        </w:rPr>
        <w:t>the</w:t>
      </w:r>
      <w:r w:rsidRPr="00FD7D36" w:rsidR="00EA216C">
        <w:rPr>
          <w:szCs w:val="22"/>
        </w:rPr>
        <w:t xml:space="preserve"> </w:t>
      </w:r>
      <w:r w:rsidRPr="00FD7D36" w:rsidR="00E76237">
        <w:rPr>
          <w:szCs w:val="22"/>
        </w:rPr>
        <w:t xml:space="preserve">Office of Engineering and Technology (OET) </w:t>
      </w:r>
      <w:r w:rsidRPr="00FD7D36" w:rsidR="00CD5360">
        <w:rPr>
          <w:szCs w:val="22"/>
        </w:rPr>
        <w:t xml:space="preserve">institutes a proceeding to withdraw recognition </w:t>
      </w:r>
      <w:r w:rsidRPr="00FD7D36" w:rsidR="00B32AAB">
        <w:rPr>
          <w:szCs w:val="22"/>
        </w:rPr>
        <w:t xml:space="preserve">of </w:t>
      </w:r>
      <w:r w:rsidRPr="00FD7D36">
        <w:rPr>
          <w:spacing w:val="-2"/>
          <w:szCs w:val="22"/>
        </w:rPr>
        <w:t>SLG-CPC Test Laboratory Co., Ltd</w:t>
      </w:r>
      <w:r w:rsidRPr="00FD7D36">
        <w:rPr>
          <w:szCs w:val="22"/>
        </w:rPr>
        <w:t xml:space="preserve"> (SLG</w:t>
      </w:r>
      <w:r w:rsidRPr="00FD7D36" w:rsidR="00CD73FC">
        <w:rPr>
          <w:szCs w:val="22"/>
        </w:rPr>
        <w:t>-CPC</w:t>
      </w:r>
      <w:r w:rsidRPr="00FD7D36">
        <w:rPr>
          <w:szCs w:val="22"/>
        </w:rPr>
        <w:t xml:space="preserve">) </w:t>
      </w:r>
      <w:r w:rsidRPr="00FD7D36" w:rsidR="008D2D7A">
        <w:rPr>
          <w:szCs w:val="22"/>
        </w:rPr>
        <w:t xml:space="preserve">as an accredited test laboratory pursuant to </w:t>
      </w:r>
      <w:r w:rsidRPr="00FD7D36" w:rsidR="00D05BF3">
        <w:rPr>
          <w:szCs w:val="22"/>
        </w:rPr>
        <w:t xml:space="preserve">Section </w:t>
      </w:r>
      <w:r w:rsidRPr="00FD7D36" w:rsidR="008D2D7A">
        <w:rPr>
          <w:szCs w:val="22"/>
        </w:rPr>
        <w:t>302</w:t>
      </w:r>
      <w:r w:rsidRPr="00FD7D36" w:rsidR="003E2EAE">
        <w:rPr>
          <w:szCs w:val="22"/>
        </w:rPr>
        <w:t>(e)</w:t>
      </w:r>
      <w:r w:rsidRPr="00FD7D36" w:rsidR="008D2D7A">
        <w:rPr>
          <w:szCs w:val="22"/>
        </w:rPr>
        <w:t xml:space="preserve"> of the Communications Act of 1934, </w:t>
      </w:r>
      <w:r w:rsidRPr="00FD7D36" w:rsidR="006E2F4C">
        <w:rPr>
          <w:szCs w:val="22"/>
        </w:rPr>
        <w:t>as amended (the Act)</w:t>
      </w:r>
      <w:r w:rsidRPr="00FD7D36" w:rsidR="00767C1E">
        <w:rPr>
          <w:szCs w:val="22"/>
        </w:rPr>
        <w:t xml:space="preserve"> </w:t>
      </w:r>
      <w:r w:rsidRPr="00FD7D36" w:rsidR="00CC5398">
        <w:rPr>
          <w:szCs w:val="22"/>
        </w:rPr>
        <w:t>for willfully providing false equipment test results in connection with applications for equipment authorization</w:t>
      </w:r>
      <w:r w:rsidRPr="00FD7D36" w:rsidR="002B3F95">
        <w:rPr>
          <w:szCs w:val="22"/>
        </w:rPr>
        <w:t>.</w:t>
      </w:r>
      <w:r>
        <w:rPr>
          <w:rStyle w:val="FootnoteReference"/>
          <w:sz w:val="22"/>
          <w:szCs w:val="22"/>
        </w:rPr>
        <w:footnoteReference w:id="3"/>
      </w:r>
      <w:r w:rsidRPr="00FD7D36" w:rsidR="00FD2895">
        <w:rPr>
          <w:szCs w:val="22"/>
        </w:rPr>
        <w:t xml:space="preserve"> </w:t>
      </w:r>
      <w:r w:rsidRPr="00FD7D36" w:rsidR="00BF643F">
        <w:rPr>
          <w:szCs w:val="22"/>
        </w:rPr>
        <w:t xml:space="preserve">  </w:t>
      </w:r>
    </w:p>
    <w:p w:rsidR="008536E8" w:rsidRPr="00FD7D36" w:rsidP="006A0188" w14:paraId="01D87F7E" w14:textId="244A25C4">
      <w:pPr>
        <w:pStyle w:val="Heading1"/>
        <w:ind w:left="0" w:firstLine="0"/>
        <w:rPr>
          <w:rFonts w:ascii="Times New Roman" w:hAnsi="Times New Roman"/>
          <w:szCs w:val="22"/>
        </w:rPr>
      </w:pPr>
      <w:r w:rsidRPr="00FD7D36">
        <w:rPr>
          <w:rFonts w:ascii="Times New Roman" w:hAnsi="Times New Roman"/>
          <w:szCs w:val="22"/>
        </w:rPr>
        <w:t>BACKGROUND</w:t>
      </w:r>
    </w:p>
    <w:p w:rsidR="007C19CC" w:rsidRPr="00FD7D36" w:rsidP="006A0188" w14:paraId="70815721" w14:textId="59B2EB07">
      <w:pPr>
        <w:pStyle w:val="ParaNum"/>
        <w:rPr>
          <w:szCs w:val="22"/>
        </w:rPr>
      </w:pPr>
      <w:r w:rsidRPr="00FD7D36">
        <w:rPr>
          <w:i/>
          <w:iCs/>
          <w:szCs w:val="22"/>
        </w:rPr>
        <w:t xml:space="preserve">Legal Framework. </w:t>
      </w:r>
      <w:r w:rsidRPr="00FD7D36">
        <w:rPr>
          <w:szCs w:val="22"/>
        </w:rPr>
        <w:t>Section 302 of the Act authorizes the Federal Communications Commission (Commission or FCC) to adopt rules, consistent with the public interest, governing the interference potential of equipment capable of emitting radio frequency (RF) energy.</w:t>
      </w:r>
      <w:r>
        <w:rPr>
          <w:rStyle w:val="FootnoteReference"/>
          <w:sz w:val="22"/>
          <w:szCs w:val="22"/>
        </w:rPr>
        <w:footnoteReference w:id="4"/>
      </w:r>
      <w:r w:rsidRPr="00FD7D36">
        <w:rPr>
          <w:szCs w:val="22"/>
        </w:rPr>
        <w:t xml:space="preserve"> </w:t>
      </w:r>
      <w:r w:rsidRPr="00FD7D36" w:rsidR="00CC37E0">
        <w:rPr>
          <w:szCs w:val="22"/>
        </w:rPr>
        <w:t xml:space="preserve"> </w:t>
      </w:r>
      <w:r w:rsidRPr="00FD7D36">
        <w:rPr>
          <w:szCs w:val="22"/>
        </w:rPr>
        <w:t>The Act also allows the Commission to authorize the use of private organizations (test labs) to test for compliance with those rules and to establish appropriate qualifications and standards for such test labs.</w:t>
      </w:r>
      <w:r>
        <w:rPr>
          <w:rStyle w:val="FootnoteReference"/>
          <w:sz w:val="22"/>
          <w:szCs w:val="22"/>
        </w:rPr>
        <w:footnoteReference w:id="5"/>
      </w:r>
      <w:r w:rsidRPr="00FD7D36" w:rsidR="008D7B46">
        <w:rPr>
          <w:szCs w:val="22"/>
        </w:rPr>
        <w:t xml:space="preserve">  </w:t>
      </w:r>
      <w:r w:rsidRPr="00FD7D36" w:rsidR="00007F9B">
        <w:rPr>
          <w:szCs w:val="22"/>
        </w:rPr>
        <w:t>To be</w:t>
      </w:r>
      <w:r w:rsidRPr="00FD7D36" w:rsidR="00CD59DF">
        <w:rPr>
          <w:szCs w:val="22"/>
        </w:rPr>
        <w:t xml:space="preserve"> considered for</w:t>
      </w:r>
      <w:r w:rsidRPr="00FD7D36" w:rsidR="00625633">
        <w:rPr>
          <w:szCs w:val="22"/>
        </w:rPr>
        <w:t xml:space="preserve"> FCC</w:t>
      </w:r>
      <w:r w:rsidRPr="00FD7D36" w:rsidR="00007F9B">
        <w:rPr>
          <w:szCs w:val="22"/>
        </w:rPr>
        <w:t xml:space="preserve"> recogni</w:t>
      </w:r>
      <w:r w:rsidRPr="00FD7D36" w:rsidR="00CD59DF">
        <w:rPr>
          <w:szCs w:val="22"/>
        </w:rPr>
        <w:t>tion</w:t>
      </w:r>
      <w:r w:rsidRPr="00FD7D36" w:rsidR="00007F9B">
        <w:rPr>
          <w:szCs w:val="22"/>
        </w:rPr>
        <w:t>, t</w:t>
      </w:r>
      <w:r w:rsidRPr="00FD7D36" w:rsidR="001948F8">
        <w:rPr>
          <w:szCs w:val="22"/>
        </w:rPr>
        <w:t>est labs</w:t>
      </w:r>
      <w:r w:rsidRPr="00FD7D36" w:rsidR="00D1002D">
        <w:rPr>
          <w:szCs w:val="22"/>
        </w:rPr>
        <w:t xml:space="preserve"> </w:t>
      </w:r>
      <w:r w:rsidRPr="00FD7D36" w:rsidR="00007F9B">
        <w:rPr>
          <w:szCs w:val="22"/>
        </w:rPr>
        <w:t>submit</w:t>
      </w:r>
      <w:r w:rsidRPr="00FD7D36" w:rsidR="00D1002D">
        <w:rPr>
          <w:szCs w:val="22"/>
        </w:rPr>
        <w:t xml:space="preserve"> information </w:t>
      </w:r>
      <w:r w:rsidRPr="00FD7D36" w:rsidR="00007F9B">
        <w:rPr>
          <w:szCs w:val="22"/>
        </w:rPr>
        <w:t xml:space="preserve">about their </w:t>
      </w:r>
      <w:r w:rsidRPr="00FD7D36" w:rsidR="00650D79">
        <w:rPr>
          <w:szCs w:val="22"/>
        </w:rPr>
        <w:t>ISO/IEC 17025</w:t>
      </w:r>
      <w:r w:rsidRPr="00FD7D36" w:rsidR="00554F0C">
        <w:rPr>
          <w:szCs w:val="22"/>
        </w:rPr>
        <w:t xml:space="preserve"> accreditation –</w:t>
      </w:r>
      <w:r w:rsidRPr="00FD7D36" w:rsidR="00CD59DF">
        <w:rPr>
          <w:szCs w:val="22"/>
        </w:rPr>
        <w:t xml:space="preserve"> </w:t>
      </w:r>
      <w:r w:rsidRPr="00FD7D36" w:rsidR="00554F0C">
        <w:rPr>
          <w:szCs w:val="22"/>
        </w:rPr>
        <w:t>a global benchmark that sets the bar for a test lab’s competence, impartiality, and ability to produce accurate and reliable test results.</w:t>
      </w:r>
      <w:r>
        <w:rPr>
          <w:rStyle w:val="FootnoteReference"/>
          <w:sz w:val="22"/>
          <w:szCs w:val="22"/>
        </w:rPr>
        <w:footnoteReference w:id="6"/>
      </w:r>
      <w:r w:rsidRPr="00FD7D36">
        <w:rPr>
          <w:szCs w:val="22"/>
        </w:rPr>
        <w:t xml:space="preserve"> </w:t>
      </w:r>
      <w:r w:rsidRPr="00FD7D36" w:rsidR="00CC37E0">
        <w:rPr>
          <w:szCs w:val="22"/>
        </w:rPr>
        <w:t xml:space="preserve"> </w:t>
      </w:r>
      <w:r w:rsidRPr="00FD7D36">
        <w:rPr>
          <w:szCs w:val="22"/>
        </w:rPr>
        <w:t xml:space="preserve">The Commission will not recognize any test lab that fails to meet all of the appropriate standards, including standards that concern the </w:t>
      </w:r>
      <w:r w:rsidRPr="00FD7D36" w:rsidR="00B555CC">
        <w:rPr>
          <w:szCs w:val="22"/>
        </w:rPr>
        <w:t xml:space="preserve">competence, </w:t>
      </w:r>
      <w:r w:rsidRPr="00FD7D36">
        <w:rPr>
          <w:szCs w:val="22"/>
        </w:rPr>
        <w:t>integrity</w:t>
      </w:r>
      <w:r w:rsidRPr="00FD7D36" w:rsidR="00054ECB">
        <w:rPr>
          <w:szCs w:val="22"/>
        </w:rPr>
        <w:t>,</w:t>
      </w:r>
      <w:r w:rsidRPr="00FD7D36">
        <w:rPr>
          <w:szCs w:val="22"/>
        </w:rPr>
        <w:t xml:space="preserve"> and trustworthiness of the test lab</w:t>
      </w:r>
      <w:r w:rsidRPr="00FD7D36" w:rsidR="005776D3">
        <w:rPr>
          <w:szCs w:val="22"/>
        </w:rPr>
        <w:t>.</w:t>
      </w:r>
      <w:r w:rsidRPr="00FD7D36" w:rsidR="008D7B46">
        <w:rPr>
          <w:szCs w:val="22"/>
        </w:rPr>
        <w:t xml:space="preserve">  </w:t>
      </w:r>
    </w:p>
    <w:p w:rsidR="009316E2" w:rsidRPr="00FD7D36" w:rsidP="004C59BC" w14:paraId="09E88F55" w14:textId="70716D80">
      <w:pPr>
        <w:pStyle w:val="ParaNum"/>
        <w:rPr>
          <w:szCs w:val="22"/>
        </w:rPr>
      </w:pPr>
      <w:r w:rsidRPr="00FD7D36">
        <w:rPr>
          <w:szCs w:val="22"/>
        </w:rPr>
        <w:t>S</w:t>
      </w:r>
      <w:r w:rsidRPr="00FD7D36" w:rsidR="002C11CF">
        <w:rPr>
          <w:szCs w:val="22"/>
        </w:rPr>
        <w:t>ection 2.911(e)</w:t>
      </w:r>
      <w:r w:rsidRPr="00FD7D36" w:rsidR="00673378">
        <w:rPr>
          <w:szCs w:val="22"/>
        </w:rPr>
        <w:t xml:space="preserve"> of the Commission’s rules</w:t>
      </w:r>
      <w:r w:rsidRPr="00FD7D36" w:rsidR="002C11CF">
        <w:rPr>
          <w:szCs w:val="22"/>
        </w:rPr>
        <w:t xml:space="preserve"> requires technical test data submitted </w:t>
      </w:r>
      <w:r w:rsidRPr="00FD7D36" w:rsidR="00853FFA">
        <w:rPr>
          <w:szCs w:val="22"/>
        </w:rPr>
        <w:t xml:space="preserve">as part of the equipment authorization process </w:t>
      </w:r>
      <w:r w:rsidRPr="00FD7D36" w:rsidR="002C11CF">
        <w:rPr>
          <w:szCs w:val="22"/>
        </w:rPr>
        <w:t>to be signed by the person who performed or authorized the tests</w:t>
      </w:r>
      <w:r w:rsidRPr="00FD7D36" w:rsidR="00B4391B">
        <w:rPr>
          <w:szCs w:val="22"/>
        </w:rPr>
        <w:t>,</w:t>
      </w:r>
      <w:r w:rsidRPr="00FD7D36" w:rsidR="00853FFA">
        <w:rPr>
          <w:szCs w:val="22"/>
        </w:rPr>
        <w:t xml:space="preserve"> </w:t>
      </w:r>
      <w:r w:rsidRPr="00FD7D36" w:rsidR="00B4391B">
        <w:rPr>
          <w:szCs w:val="22"/>
        </w:rPr>
        <w:t xml:space="preserve">who is </w:t>
      </w:r>
      <w:r w:rsidRPr="00FD7D36" w:rsidR="005C4B56">
        <w:rPr>
          <w:szCs w:val="22"/>
        </w:rPr>
        <w:t xml:space="preserve">also </w:t>
      </w:r>
      <w:r w:rsidRPr="00FD7D36" w:rsidR="00B4391B">
        <w:rPr>
          <w:szCs w:val="22"/>
        </w:rPr>
        <w:t>required to</w:t>
      </w:r>
      <w:r w:rsidRPr="00FD7D36" w:rsidR="002C11CF">
        <w:rPr>
          <w:szCs w:val="22"/>
        </w:rPr>
        <w:t xml:space="preserve"> attest to the accuracy of the test data.</w:t>
      </w:r>
      <w:r>
        <w:rPr>
          <w:rStyle w:val="FootnoteReference"/>
          <w:sz w:val="22"/>
          <w:szCs w:val="22"/>
        </w:rPr>
        <w:footnoteReference w:id="7"/>
      </w:r>
      <w:r w:rsidRPr="00FD7D36" w:rsidR="002C11CF">
        <w:rPr>
          <w:szCs w:val="22"/>
        </w:rPr>
        <w:t xml:space="preserve">  </w:t>
      </w:r>
      <w:r w:rsidRPr="00FD7D36" w:rsidR="00F5379B">
        <w:rPr>
          <w:szCs w:val="22"/>
        </w:rPr>
        <w:t>Section 1.17 of the Commission’s rules provides that holders of any Commission authorization shall not in any written or oral statement of fact</w:t>
      </w:r>
      <w:r w:rsidRPr="00FD7D36" w:rsidR="00653198">
        <w:rPr>
          <w:szCs w:val="22"/>
        </w:rPr>
        <w:t xml:space="preserve"> </w:t>
      </w:r>
      <w:r w:rsidRPr="00FD7D36" w:rsidR="0088224E">
        <w:rPr>
          <w:szCs w:val="22"/>
        </w:rPr>
        <w:t>“</w:t>
      </w:r>
      <w:r w:rsidRPr="00FD7D36" w:rsidR="00F5379B">
        <w:rPr>
          <w:szCs w:val="22"/>
        </w:rPr>
        <w:t>intentionally provide material factual information that is incorrect or intentionally omit material information that is necessary to prevent any material factual statement that is made from being incorrect or misleading</w:t>
      </w:r>
      <w:r w:rsidRPr="00FD7D36" w:rsidR="00653198">
        <w:rPr>
          <w:szCs w:val="22"/>
        </w:rPr>
        <w:t>,</w:t>
      </w:r>
      <w:r w:rsidRPr="00FD7D36" w:rsidR="0088224E">
        <w:rPr>
          <w:szCs w:val="22"/>
        </w:rPr>
        <w:t>”</w:t>
      </w:r>
      <w:r w:rsidRPr="00FD7D36" w:rsidR="00F5379B">
        <w:rPr>
          <w:szCs w:val="22"/>
        </w:rPr>
        <w:t xml:space="preserve"> or  </w:t>
      </w:r>
      <w:r w:rsidRPr="00FD7D36" w:rsidR="0088224E">
        <w:rPr>
          <w:szCs w:val="22"/>
        </w:rPr>
        <w:t>“</w:t>
      </w:r>
      <w:r w:rsidRPr="00FD7D36" w:rsidR="00F5379B">
        <w:rPr>
          <w:szCs w:val="22"/>
        </w:rPr>
        <w:t xml:space="preserve">provide material factual information that is incorrect or omit material information </w:t>
      </w:r>
      <w:r w:rsidRPr="00FD7D36" w:rsidR="00F5379B">
        <w:rPr>
          <w:szCs w:val="22"/>
        </w:rPr>
        <w:t>that is necessary to prevent any material factual statement that is made from being incorrect or misleading without a reasonable basis for believing that any such material factual statement is correct and not misleading.</w:t>
      </w:r>
      <w:r w:rsidRPr="00FD7D36" w:rsidR="008C5ED1">
        <w:rPr>
          <w:szCs w:val="22"/>
        </w:rPr>
        <w:t>”</w:t>
      </w:r>
      <w:r>
        <w:rPr>
          <w:rStyle w:val="FootnoteReference"/>
          <w:sz w:val="22"/>
          <w:szCs w:val="22"/>
        </w:rPr>
        <w:footnoteReference w:id="8"/>
      </w:r>
      <w:r w:rsidRPr="00FD7D36" w:rsidR="004C59BC">
        <w:rPr>
          <w:szCs w:val="22"/>
        </w:rPr>
        <w:t xml:space="preserve">  </w:t>
      </w:r>
    </w:p>
    <w:p w:rsidR="00A22118" w:rsidRPr="00FD7D36" w:rsidP="006A0188" w14:paraId="38CF98DC" w14:textId="4A82C89A">
      <w:pPr>
        <w:pStyle w:val="ParaNum"/>
        <w:rPr>
          <w:szCs w:val="22"/>
        </w:rPr>
      </w:pPr>
      <w:r w:rsidRPr="00FD7D36">
        <w:rPr>
          <w:i/>
          <w:iCs/>
          <w:szCs w:val="22"/>
        </w:rPr>
        <w:t>Factual Background</w:t>
      </w:r>
      <w:r w:rsidRPr="00FD7D36" w:rsidR="00195073">
        <w:rPr>
          <w:i/>
          <w:iCs/>
          <w:szCs w:val="22"/>
        </w:rPr>
        <w:t>.</w:t>
      </w:r>
      <w:r w:rsidRPr="00FD7D36" w:rsidR="005E68AD">
        <w:rPr>
          <w:i/>
          <w:iCs/>
          <w:szCs w:val="22"/>
        </w:rPr>
        <w:t xml:space="preserve"> </w:t>
      </w:r>
      <w:r w:rsidRPr="00FD7D36" w:rsidR="00753744">
        <w:rPr>
          <w:szCs w:val="22"/>
        </w:rPr>
        <w:t>SLG</w:t>
      </w:r>
      <w:r w:rsidRPr="00FD7D36" w:rsidR="008D4EB5">
        <w:rPr>
          <w:szCs w:val="22"/>
        </w:rPr>
        <w:t>-CPC</w:t>
      </w:r>
      <w:r w:rsidRPr="00FD7D36" w:rsidR="00753744">
        <w:rPr>
          <w:szCs w:val="22"/>
        </w:rPr>
        <w:t xml:space="preserve"> is a testing laboratory </w:t>
      </w:r>
      <w:r w:rsidRPr="00FD7D36" w:rsidR="008D4EB5">
        <w:rPr>
          <w:szCs w:val="22"/>
        </w:rPr>
        <w:t xml:space="preserve">located </w:t>
      </w:r>
      <w:r w:rsidRPr="00FD7D36" w:rsidR="00753744">
        <w:rPr>
          <w:szCs w:val="22"/>
        </w:rPr>
        <w:t>in Dongguan, Guangdong Province, China</w:t>
      </w:r>
      <w:r w:rsidRPr="00FD7D36" w:rsidR="001A140A">
        <w:rPr>
          <w:szCs w:val="22"/>
        </w:rPr>
        <w:t xml:space="preserve"> that is accredited </w:t>
      </w:r>
      <w:r w:rsidRPr="00FD7D36" w:rsidR="004661FF">
        <w:rPr>
          <w:szCs w:val="22"/>
        </w:rPr>
        <w:t xml:space="preserve">by </w:t>
      </w:r>
      <w:r w:rsidRPr="00FD7D36" w:rsidR="002A2233">
        <w:rPr>
          <w:szCs w:val="22"/>
        </w:rPr>
        <w:t>the American Association for Laboratory Accreditation (</w:t>
      </w:r>
      <w:r w:rsidRPr="00FD7D36" w:rsidR="001A140A">
        <w:rPr>
          <w:szCs w:val="22"/>
        </w:rPr>
        <w:t>A2LA</w:t>
      </w:r>
      <w:r w:rsidRPr="00FD7D36" w:rsidR="002A2233">
        <w:rPr>
          <w:szCs w:val="22"/>
        </w:rPr>
        <w:t>)</w:t>
      </w:r>
      <w:r w:rsidRPr="00FD7D36" w:rsidR="008D4EB5">
        <w:rPr>
          <w:szCs w:val="22"/>
        </w:rPr>
        <w:t xml:space="preserve">.  SLG-CPC </w:t>
      </w:r>
      <w:r w:rsidRPr="00FD7D36" w:rsidR="0052768F">
        <w:rPr>
          <w:szCs w:val="22"/>
        </w:rPr>
        <w:t xml:space="preserve">was </w:t>
      </w:r>
      <w:r w:rsidRPr="00FD7D36" w:rsidR="000B4678">
        <w:rPr>
          <w:szCs w:val="22"/>
        </w:rPr>
        <w:t xml:space="preserve">recognized by </w:t>
      </w:r>
      <w:r w:rsidRPr="00FD7D36" w:rsidR="00BC125D">
        <w:rPr>
          <w:szCs w:val="22"/>
        </w:rPr>
        <w:t>t</w:t>
      </w:r>
      <w:r w:rsidRPr="00FD7D36" w:rsidR="000B4678">
        <w:rPr>
          <w:szCs w:val="22"/>
        </w:rPr>
        <w:t>he Commission in 2021.</w:t>
      </w:r>
      <w:r>
        <w:rPr>
          <w:rStyle w:val="FootnoteReference"/>
          <w:sz w:val="22"/>
          <w:szCs w:val="22"/>
        </w:rPr>
        <w:footnoteReference w:id="9"/>
      </w:r>
      <w:r w:rsidRPr="00FD7D36" w:rsidR="00AD53C0">
        <w:rPr>
          <w:szCs w:val="22"/>
        </w:rPr>
        <w:t xml:space="preserve">  </w:t>
      </w:r>
      <w:r w:rsidRPr="00FD7D36" w:rsidR="008D4EB5">
        <w:rPr>
          <w:szCs w:val="22"/>
        </w:rPr>
        <w:t>SLG-CPC</w:t>
      </w:r>
      <w:r w:rsidRPr="00FD7D36" w:rsidR="00AD53C0">
        <w:rPr>
          <w:szCs w:val="22"/>
        </w:rPr>
        <w:t xml:space="preserve"> has submitted test reports in support of </w:t>
      </w:r>
      <w:r w:rsidRPr="00FD7D36" w:rsidR="006459B1">
        <w:rPr>
          <w:szCs w:val="22"/>
        </w:rPr>
        <w:t>approximately 300</w:t>
      </w:r>
      <w:r w:rsidRPr="00FD7D36" w:rsidR="00AD53C0">
        <w:rPr>
          <w:szCs w:val="22"/>
        </w:rPr>
        <w:t xml:space="preserve"> equipment authorization applications</w:t>
      </w:r>
      <w:r w:rsidRPr="00FD7D36" w:rsidR="006459B1">
        <w:rPr>
          <w:szCs w:val="22"/>
        </w:rPr>
        <w:t xml:space="preserve"> </w:t>
      </w:r>
      <w:r w:rsidRPr="00FD7D36" w:rsidR="00C41AC7">
        <w:rPr>
          <w:szCs w:val="22"/>
        </w:rPr>
        <w:t>to</w:t>
      </w:r>
      <w:r w:rsidRPr="00FD7D36" w:rsidR="006459B1">
        <w:rPr>
          <w:szCs w:val="22"/>
        </w:rPr>
        <w:t xml:space="preserve"> date</w:t>
      </w:r>
      <w:r w:rsidRPr="00FD7D36" w:rsidR="00AD53C0">
        <w:rPr>
          <w:szCs w:val="22"/>
        </w:rPr>
        <w:t>.</w:t>
      </w:r>
      <w:r>
        <w:rPr>
          <w:rStyle w:val="FootnoteReference"/>
          <w:sz w:val="22"/>
          <w:szCs w:val="22"/>
        </w:rPr>
        <w:footnoteReference w:id="10"/>
      </w:r>
      <w:r w:rsidRPr="00FD7D36" w:rsidR="008D4EB5">
        <w:rPr>
          <w:szCs w:val="22"/>
        </w:rPr>
        <w:t xml:space="preserve">  </w:t>
      </w:r>
      <w:r w:rsidRPr="00FD7D36" w:rsidR="00D751AD">
        <w:rPr>
          <w:szCs w:val="22"/>
        </w:rPr>
        <w:t xml:space="preserve">For each </w:t>
      </w:r>
      <w:r w:rsidRPr="00FD7D36" w:rsidR="006619F9">
        <w:rPr>
          <w:szCs w:val="22"/>
        </w:rPr>
        <w:t xml:space="preserve">test report submitted as part of an </w:t>
      </w:r>
      <w:r w:rsidRPr="00FD7D36" w:rsidR="00D751AD">
        <w:rPr>
          <w:szCs w:val="22"/>
        </w:rPr>
        <w:t xml:space="preserve">equipment authorization application, </w:t>
      </w:r>
      <w:r w:rsidRPr="00FD7D36" w:rsidR="009101CC">
        <w:rPr>
          <w:szCs w:val="22"/>
        </w:rPr>
        <w:t>SLG-CPC submitted certification</w:t>
      </w:r>
      <w:r w:rsidRPr="00FD7D36" w:rsidR="00272D9E">
        <w:rPr>
          <w:szCs w:val="22"/>
        </w:rPr>
        <w:t>s in accordance with Section 2.911</w:t>
      </w:r>
      <w:r w:rsidRPr="00FD7D36" w:rsidR="00715367">
        <w:rPr>
          <w:szCs w:val="22"/>
        </w:rPr>
        <w:t>(e) of the Commission’s rules.</w:t>
      </w:r>
      <w:r>
        <w:rPr>
          <w:rStyle w:val="FootnoteReference"/>
          <w:sz w:val="22"/>
          <w:szCs w:val="22"/>
        </w:rPr>
        <w:footnoteReference w:id="11"/>
      </w:r>
      <w:r w:rsidRPr="00FD7D36" w:rsidR="00746047">
        <w:rPr>
          <w:szCs w:val="22"/>
        </w:rPr>
        <w:t xml:space="preserve"> </w:t>
      </w:r>
    </w:p>
    <w:p w:rsidR="00497374" w:rsidRPr="00FD7D36" w:rsidP="00497374" w14:paraId="59CF1BEB" w14:textId="128F13C4">
      <w:pPr>
        <w:pStyle w:val="ParaNum"/>
        <w:rPr>
          <w:szCs w:val="22"/>
        </w:rPr>
      </w:pPr>
      <w:r w:rsidRPr="00FD7D36">
        <w:rPr>
          <w:szCs w:val="22"/>
        </w:rPr>
        <w:t xml:space="preserve">On March 27, 2026, </w:t>
      </w:r>
      <w:r w:rsidRPr="00FD7D36" w:rsidR="00A46B63">
        <w:rPr>
          <w:szCs w:val="22"/>
        </w:rPr>
        <w:t>OET</w:t>
      </w:r>
      <w:r w:rsidRPr="00FD7D36" w:rsidR="002D5CF2">
        <w:rPr>
          <w:szCs w:val="22"/>
        </w:rPr>
        <w:t xml:space="preserve"> requested SLG-CPC to explain</w:t>
      </w:r>
      <w:r w:rsidRPr="00FD7D36" w:rsidR="00143332">
        <w:rPr>
          <w:szCs w:val="22"/>
        </w:rPr>
        <w:t xml:space="preserve"> a series of </w:t>
      </w:r>
      <w:r w:rsidRPr="00FD7D36" w:rsidR="00A742A3">
        <w:rPr>
          <w:szCs w:val="22"/>
        </w:rPr>
        <w:t xml:space="preserve">apparently </w:t>
      </w:r>
      <w:r w:rsidRPr="00FD7D36" w:rsidR="008D79DE">
        <w:rPr>
          <w:szCs w:val="22"/>
        </w:rPr>
        <w:t xml:space="preserve">incorrect or </w:t>
      </w:r>
      <w:r w:rsidRPr="00FD7D36" w:rsidR="00143332">
        <w:rPr>
          <w:szCs w:val="22"/>
        </w:rPr>
        <w:t>falsified test reports which used the same test data for different products.</w:t>
      </w:r>
      <w:r w:rsidRPr="00FD7D36" w:rsidR="000939B6">
        <w:rPr>
          <w:rStyle w:val="FootnoteReference"/>
          <w:sz w:val="22"/>
          <w:szCs w:val="22"/>
        </w:rPr>
        <w:t xml:space="preserve"> </w:t>
      </w:r>
      <w:r>
        <w:rPr>
          <w:rStyle w:val="FootnoteReference"/>
          <w:sz w:val="22"/>
          <w:szCs w:val="22"/>
        </w:rPr>
        <w:footnoteReference w:id="12"/>
      </w:r>
      <w:r w:rsidRPr="00FD7D36" w:rsidR="00A46B63">
        <w:rPr>
          <w:szCs w:val="22"/>
        </w:rPr>
        <w:t xml:space="preserve"> Specifically, </w:t>
      </w:r>
      <w:r w:rsidRPr="00FD7D36" w:rsidR="002C70FB">
        <w:rPr>
          <w:szCs w:val="22"/>
        </w:rPr>
        <w:t xml:space="preserve">OET </w:t>
      </w:r>
      <w:r w:rsidRPr="00FD7D36" w:rsidR="00421A99">
        <w:rPr>
          <w:szCs w:val="22"/>
        </w:rPr>
        <w:t xml:space="preserve">identified </w:t>
      </w:r>
      <w:r w:rsidRPr="00FD7D36" w:rsidR="00F15E96">
        <w:rPr>
          <w:szCs w:val="22"/>
        </w:rPr>
        <w:t xml:space="preserve">the following groupings of FCC IDs </w:t>
      </w:r>
      <w:r w:rsidRPr="00FD7D36" w:rsidR="00421A99">
        <w:rPr>
          <w:szCs w:val="22"/>
        </w:rPr>
        <w:t xml:space="preserve">containing </w:t>
      </w:r>
      <w:r w:rsidRPr="00FD7D36" w:rsidR="00F15E96">
        <w:rPr>
          <w:szCs w:val="22"/>
        </w:rPr>
        <w:t>identical information in their test reports</w:t>
      </w:r>
      <w:r w:rsidRPr="00FD7D36" w:rsidR="00E15560">
        <w:rPr>
          <w:szCs w:val="22"/>
        </w:rPr>
        <w:t xml:space="preserve"> for different products</w:t>
      </w:r>
      <w:r w:rsidRPr="00FD7D36" w:rsidR="00F15E96">
        <w:rPr>
          <w:szCs w:val="22"/>
        </w:rPr>
        <w:t xml:space="preserve">: </w:t>
      </w:r>
      <w:r w:rsidRPr="00FD7D36" w:rsidR="0014575A">
        <w:rPr>
          <w:szCs w:val="22"/>
        </w:rPr>
        <w:t xml:space="preserve">(i) </w:t>
      </w:r>
      <w:r w:rsidRPr="00FD7D36" w:rsidR="00CC56C7">
        <w:rPr>
          <w:szCs w:val="22"/>
        </w:rPr>
        <w:t xml:space="preserve">FCC ID 2AZDD-AIRFIT and 2BRYI-NLT-30; </w:t>
      </w:r>
      <w:r w:rsidRPr="00FD7D36" w:rsidR="0014575A">
        <w:rPr>
          <w:szCs w:val="22"/>
        </w:rPr>
        <w:t xml:space="preserve">(ii) FCC ID </w:t>
      </w:r>
      <w:r w:rsidRPr="00FD7D36">
        <w:rPr>
          <w:szCs w:val="22"/>
        </w:rPr>
        <w:t xml:space="preserve">2A7J2HKTWS, 2BDLPR1002TOF, 2A6QO-XP-G480B, 2A692-T205, </w:t>
      </w:r>
      <w:r w:rsidRPr="00FD7D36" w:rsidR="0014575A">
        <w:rPr>
          <w:szCs w:val="22"/>
        </w:rPr>
        <w:t>and</w:t>
      </w:r>
      <w:r w:rsidRPr="00FD7D36">
        <w:rPr>
          <w:szCs w:val="22"/>
        </w:rPr>
        <w:t xml:space="preserve"> 2BRYI-TAG</w:t>
      </w:r>
      <w:r w:rsidRPr="00FD7D36" w:rsidR="002355F0">
        <w:rPr>
          <w:szCs w:val="22"/>
        </w:rPr>
        <w:t>; (iii) FCC ID 2A692-S001, 2BDWD-G58, and 2A6QO-XP-G480B</w:t>
      </w:r>
      <w:r w:rsidRPr="00FD7D36" w:rsidR="00346990">
        <w:rPr>
          <w:szCs w:val="22"/>
        </w:rPr>
        <w:t>; and (iv) FCC ID 2A9LY-BT-M1 and 2AO94-MKGW4.</w:t>
      </w:r>
      <w:r>
        <w:rPr>
          <w:rStyle w:val="FootnoteReference"/>
          <w:sz w:val="22"/>
          <w:szCs w:val="22"/>
        </w:rPr>
        <w:footnoteReference w:id="13"/>
      </w:r>
    </w:p>
    <w:p w:rsidR="00A6673B" w:rsidRPr="00FD7D36" w:rsidP="006A0188" w14:paraId="76CE018F" w14:textId="5126E941">
      <w:pPr>
        <w:pStyle w:val="ParaNum"/>
        <w:rPr>
          <w:szCs w:val="22"/>
        </w:rPr>
      </w:pPr>
      <w:r w:rsidRPr="00FD7D36">
        <w:rPr>
          <w:szCs w:val="22"/>
        </w:rPr>
        <w:t xml:space="preserve"> </w:t>
      </w:r>
      <w:r w:rsidRPr="00FD7D36" w:rsidR="006C2516">
        <w:rPr>
          <w:szCs w:val="22"/>
        </w:rPr>
        <w:t xml:space="preserve">On April 15, 2026, SLG-CPC </w:t>
      </w:r>
      <w:r w:rsidRPr="00FD7D36" w:rsidR="0017054F">
        <w:rPr>
          <w:szCs w:val="22"/>
        </w:rPr>
        <w:t xml:space="preserve">responded and did not </w:t>
      </w:r>
      <w:r w:rsidRPr="00FD7D36" w:rsidR="00566C7A">
        <w:rPr>
          <w:szCs w:val="22"/>
        </w:rPr>
        <w:t>dispute OET’s findings.</w:t>
      </w:r>
      <w:r>
        <w:rPr>
          <w:rStyle w:val="FootnoteReference"/>
          <w:sz w:val="22"/>
          <w:szCs w:val="22"/>
        </w:rPr>
        <w:footnoteReference w:id="14"/>
      </w:r>
      <w:r w:rsidRPr="00FD7D36" w:rsidR="00566C7A">
        <w:rPr>
          <w:szCs w:val="22"/>
        </w:rPr>
        <w:t xml:space="preserve">  It </w:t>
      </w:r>
      <w:r w:rsidRPr="00FD7D36" w:rsidR="006C74CF">
        <w:rPr>
          <w:szCs w:val="22"/>
        </w:rPr>
        <w:t xml:space="preserve"> also </w:t>
      </w:r>
      <w:r w:rsidRPr="00FD7D36" w:rsidR="00FA6459">
        <w:rPr>
          <w:szCs w:val="22"/>
        </w:rPr>
        <w:t>identified other affected FCC IDs with</w:t>
      </w:r>
      <w:r w:rsidRPr="00FD7D36" w:rsidR="006C74CF">
        <w:rPr>
          <w:szCs w:val="22"/>
        </w:rPr>
        <w:t xml:space="preserve"> </w:t>
      </w:r>
      <w:r w:rsidRPr="00FD7D36" w:rsidR="00FA133A">
        <w:rPr>
          <w:szCs w:val="22"/>
        </w:rPr>
        <w:t>“improperly reused test data</w:t>
      </w:r>
      <w:r w:rsidRPr="00FD7D36" w:rsidR="00FA6459">
        <w:rPr>
          <w:szCs w:val="22"/>
        </w:rPr>
        <w:t>,</w:t>
      </w:r>
      <w:r w:rsidRPr="00FD7D36" w:rsidR="00FA133A">
        <w:rPr>
          <w:szCs w:val="22"/>
        </w:rPr>
        <w:t>”</w:t>
      </w:r>
      <w:r w:rsidRPr="00FD7D36" w:rsidR="00772E7F">
        <w:rPr>
          <w:szCs w:val="22"/>
        </w:rPr>
        <w:t xml:space="preserve"> </w:t>
      </w:r>
      <w:r w:rsidRPr="00FD7D36" w:rsidR="006C74CF">
        <w:rPr>
          <w:szCs w:val="22"/>
        </w:rPr>
        <w:t>and</w:t>
      </w:r>
      <w:r w:rsidRPr="00FD7D36" w:rsidR="001916E6">
        <w:rPr>
          <w:szCs w:val="22"/>
        </w:rPr>
        <w:t xml:space="preserve"> </w:t>
      </w:r>
      <w:r w:rsidRPr="00FD7D36" w:rsidR="00885D8D">
        <w:rPr>
          <w:szCs w:val="22"/>
        </w:rPr>
        <w:t xml:space="preserve">identified </w:t>
      </w:r>
      <w:r w:rsidRPr="00FD7D36" w:rsidR="00FA6459">
        <w:rPr>
          <w:szCs w:val="22"/>
        </w:rPr>
        <w:t xml:space="preserve">21 additional FCC IDs for which it had </w:t>
      </w:r>
      <w:r w:rsidRPr="00FD7D36" w:rsidR="006F7CDA">
        <w:rPr>
          <w:szCs w:val="22"/>
        </w:rPr>
        <w:t>submitted</w:t>
      </w:r>
      <w:r w:rsidRPr="00FD7D36" w:rsidR="00FA6459">
        <w:rPr>
          <w:szCs w:val="22"/>
        </w:rPr>
        <w:t xml:space="preserve"> “</w:t>
      </w:r>
      <w:r w:rsidRPr="00FD7D36" w:rsidR="009F6F1A">
        <w:rPr>
          <w:szCs w:val="22"/>
        </w:rPr>
        <w:t>identical reports</w:t>
      </w:r>
      <w:r w:rsidRPr="00FD7D36" w:rsidR="00B01F33">
        <w:rPr>
          <w:szCs w:val="22"/>
        </w:rPr>
        <w:t>.</w:t>
      </w:r>
      <w:r w:rsidRPr="00FD7D36" w:rsidR="00FA6459">
        <w:rPr>
          <w:szCs w:val="22"/>
        </w:rPr>
        <w:t>”</w:t>
      </w:r>
      <w:r>
        <w:rPr>
          <w:rStyle w:val="FootnoteReference"/>
          <w:sz w:val="22"/>
          <w:szCs w:val="22"/>
        </w:rPr>
        <w:footnoteReference w:id="15"/>
      </w:r>
      <w:r w:rsidRPr="00FD7D36" w:rsidR="009F6F1A">
        <w:rPr>
          <w:szCs w:val="22"/>
        </w:rPr>
        <w:t xml:space="preserve"> </w:t>
      </w:r>
      <w:r w:rsidRPr="00FD7D36" w:rsidR="00772E7F">
        <w:rPr>
          <w:szCs w:val="22"/>
        </w:rPr>
        <w:t xml:space="preserve"> </w:t>
      </w:r>
      <w:r w:rsidRPr="00FD7D36" w:rsidR="00AC540A">
        <w:rPr>
          <w:szCs w:val="22"/>
        </w:rPr>
        <w:t xml:space="preserve">SLG-CPC </w:t>
      </w:r>
      <w:r w:rsidRPr="00FD7D36" w:rsidR="002915A7">
        <w:rPr>
          <w:szCs w:val="22"/>
        </w:rPr>
        <w:t xml:space="preserve">identified the “root cause” as </w:t>
      </w:r>
      <w:r w:rsidRPr="00FD7D36" w:rsidR="00C82BE4">
        <w:rPr>
          <w:szCs w:val="22"/>
        </w:rPr>
        <w:t>“inadequate, non-systematic review procedures carried out by review staff.”</w:t>
      </w:r>
      <w:r>
        <w:rPr>
          <w:rStyle w:val="FootnoteReference"/>
          <w:sz w:val="22"/>
          <w:szCs w:val="22"/>
        </w:rPr>
        <w:footnoteReference w:id="16"/>
      </w:r>
      <w:r w:rsidRPr="00FD7D36" w:rsidR="00FC6568">
        <w:rPr>
          <w:szCs w:val="22"/>
        </w:rPr>
        <w:t xml:space="preserve"> </w:t>
      </w:r>
    </w:p>
    <w:p w:rsidR="001D6205" w:rsidRPr="00FD7D36" w:rsidP="006A0188" w14:paraId="2E4801BC" w14:textId="6A5D3373">
      <w:pPr>
        <w:pStyle w:val="Heading1"/>
        <w:ind w:left="0" w:firstLine="0"/>
        <w:rPr>
          <w:rFonts w:ascii="Times New Roman" w:hAnsi="Times New Roman"/>
          <w:szCs w:val="22"/>
        </w:rPr>
      </w:pPr>
      <w:r w:rsidRPr="00FD7D36">
        <w:rPr>
          <w:rFonts w:ascii="Times New Roman" w:hAnsi="Times New Roman"/>
          <w:szCs w:val="22"/>
        </w:rPr>
        <w:t>DISCUSSION</w:t>
      </w:r>
    </w:p>
    <w:p w:rsidR="00BE1C8A" w:rsidRPr="00FD7D36" w:rsidP="0017663B" w14:paraId="4A3AD28B" w14:textId="77777777">
      <w:pPr>
        <w:pStyle w:val="ParaNum"/>
        <w:rPr>
          <w:szCs w:val="22"/>
        </w:rPr>
      </w:pPr>
      <w:r w:rsidRPr="00FD7D36">
        <w:rPr>
          <w:szCs w:val="22"/>
        </w:rPr>
        <w:t xml:space="preserve">Based on the information provided by SLG-CPC, </w:t>
      </w:r>
      <w:r w:rsidRPr="00FD7D36" w:rsidR="00F3729C">
        <w:rPr>
          <w:szCs w:val="22"/>
        </w:rPr>
        <w:t xml:space="preserve">OET </w:t>
      </w:r>
      <w:r w:rsidRPr="00FD7D36" w:rsidR="0017663B">
        <w:rPr>
          <w:szCs w:val="22"/>
        </w:rPr>
        <w:t xml:space="preserve">tentatively </w:t>
      </w:r>
      <w:r w:rsidRPr="00FD7D36" w:rsidR="00F3729C">
        <w:rPr>
          <w:szCs w:val="22"/>
        </w:rPr>
        <w:t>determine</w:t>
      </w:r>
      <w:r w:rsidRPr="00FD7D36" w:rsidR="0017663B">
        <w:rPr>
          <w:szCs w:val="22"/>
        </w:rPr>
        <w:t>s</w:t>
      </w:r>
      <w:r w:rsidRPr="00FD7D36" w:rsidR="003F3438">
        <w:rPr>
          <w:szCs w:val="22"/>
        </w:rPr>
        <w:t xml:space="preserve"> SLG-CPC </w:t>
      </w:r>
      <w:r w:rsidRPr="00FD7D36">
        <w:rPr>
          <w:szCs w:val="22"/>
        </w:rPr>
        <w:t>willfully provided false test results in connection with applications for equipment authorization</w:t>
      </w:r>
      <w:r w:rsidRPr="00FD7D36" w:rsidR="002F3FA6">
        <w:rPr>
          <w:szCs w:val="22"/>
        </w:rPr>
        <w:t xml:space="preserve">.  OET tentatively determines </w:t>
      </w:r>
      <w:r w:rsidRPr="00FD7D36" w:rsidR="00F3729C">
        <w:rPr>
          <w:szCs w:val="22"/>
        </w:rPr>
        <w:t xml:space="preserve">the following </w:t>
      </w:r>
      <w:r w:rsidRPr="00FD7D36" w:rsidR="002F3FA6">
        <w:rPr>
          <w:szCs w:val="22"/>
        </w:rPr>
        <w:t xml:space="preserve">groupings of </w:t>
      </w:r>
      <w:r w:rsidRPr="00FD7D36" w:rsidR="00F3729C">
        <w:rPr>
          <w:szCs w:val="22"/>
        </w:rPr>
        <w:t>FCC IDs</w:t>
      </w:r>
      <w:r w:rsidRPr="00FD7D36" w:rsidR="002F3FA6">
        <w:rPr>
          <w:szCs w:val="22"/>
        </w:rPr>
        <w:t xml:space="preserve"> relied on</w:t>
      </w:r>
      <w:r w:rsidRPr="00FD7D36" w:rsidR="00F3729C">
        <w:rPr>
          <w:szCs w:val="22"/>
        </w:rPr>
        <w:t xml:space="preserve"> identical test reports </w:t>
      </w:r>
      <w:r w:rsidRPr="00FD7D36" w:rsidR="0054717E">
        <w:rPr>
          <w:szCs w:val="22"/>
        </w:rPr>
        <w:t>prepared</w:t>
      </w:r>
      <w:r w:rsidRPr="00FD7D36">
        <w:rPr>
          <w:szCs w:val="22"/>
        </w:rPr>
        <w:t xml:space="preserve"> by SLG-CPC </w:t>
      </w:r>
      <w:r w:rsidRPr="00FD7D36" w:rsidR="00F3729C">
        <w:rPr>
          <w:szCs w:val="22"/>
        </w:rPr>
        <w:t>for</w:t>
      </w:r>
      <w:r w:rsidRPr="00FD7D36" w:rsidR="002F3FA6">
        <w:rPr>
          <w:szCs w:val="22"/>
        </w:rPr>
        <w:t xml:space="preserve"> wholly</w:t>
      </w:r>
      <w:r w:rsidRPr="00FD7D36" w:rsidR="00F3729C">
        <w:rPr>
          <w:szCs w:val="22"/>
        </w:rPr>
        <w:t xml:space="preserve"> different products: </w:t>
      </w:r>
    </w:p>
    <w:p w:rsidR="00BE1C8A" w:rsidRPr="00FD7D36" w:rsidP="00BE1C8A" w14:paraId="4732A9A9" w14:textId="4B90729B">
      <w:pPr>
        <w:pStyle w:val="Heading5"/>
        <w:numPr>
          <w:ilvl w:val="2"/>
          <w:numId w:val="11"/>
        </w:numPr>
        <w:rPr>
          <w:b w:val="0"/>
          <w:bCs/>
          <w:szCs w:val="22"/>
        </w:rPr>
      </w:pPr>
      <w:r w:rsidRPr="00FD7D36">
        <w:rPr>
          <w:b w:val="0"/>
          <w:bCs/>
          <w:szCs w:val="22"/>
        </w:rPr>
        <w:t xml:space="preserve">FCC ID 2AZDD-AIRFIT and 2BRYI-NLT-30; </w:t>
      </w:r>
    </w:p>
    <w:p w:rsidR="00BE1C8A" w:rsidRPr="00FD7D36" w:rsidP="008C2821" w14:paraId="483D4FEB" w14:textId="77777777">
      <w:pPr>
        <w:pStyle w:val="Heading5"/>
        <w:widowControl/>
        <w:numPr>
          <w:ilvl w:val="2"/>
          <w:numId w:val="11"/>
        </w:numPr>
        <w:ind w:left="2174" w:hanging="187"/>
        <w:rPr>
          <w:b w:val="0"/>
          <w:bCs/>
          <w:szCs w:val="22"/>
        </w:rPr>
      </w:pPr>
      <w:r w:rsidRPr="00FD7D36">
        <w:rPr>
          <w:b w:val="0"/>
          <w:bCs/>
          <w:szCs w:val="22"/>
        </w:rPr>
        <w:t xml:space="preserve">FCC ID 2A7J2HKTWS, 2BDLPR1002TOF, 2A6QO-XP-G480B, 2A692-T205, and 2BRYI-TAG; </w:t>
      </w:r>
    </w:p>
    <w:p w:rsidR="00BE1C8A" w:rsidRPr="00FD7D36" w:rsidP="00BE1C8A" w14:paraId="780B9763" w14:textId="77777777">
      <w:pPr>
        <w:pStyle w:val="Heading5"/>
        <w:numPr>
          <w:ilvl w:val="2"/>
          <w:numId w:val="11"/>
        </w:numPr>
        <w:rPr>
          <w:b w:val="0"/>
          <w:bCs/>
          <w:szCs w:val="22"/>
        </w:rPr>
      </w:pPr>
      <w:r w:rsidRPr="00FD7D36">
        <w:rPr>
          <w:b w:val="0"/>
          <w:bCs/>
          <w:szCs w:val="22"/>
        </w:rPr>
        <w:t>FCC ID 2A692-S001, 2BDWD-G58, and 2A6QO-XP-G480B;</w:t>
      </w:r>
    </w:p>
    <w:p w:rsidR="00BE1C8A" w:rsidRPr="00FD7D36" w:rsidP="00BE1C8A" w14:paraId="30CBB4C1" w14:textId="77777777">
      <w:pPr>
        <w:pStyle w:val="Heading5"/>
        <w:numPr>
          <w:ilvl w:val="2"/>
          <w:numId w:val="11"/>
        </w:numPr>
        <w:rPr>
          <w:b w:val="0"/>
          <w:bCs/>
          <w:szCs w:val="22"/>
        </w:rPr>
      </w:pPr>
      <w:r w:rsidRPr="00FD7D36">
        <w:rPr>
          <w:b w:val="0"/>
          <w:bCs/>
          <w:szCs w:val="22"/>
        </w:rPr>
        <w:t xml:space="preserve">FCC ID 2A9LY-BT-M1 and 2AO94-MKGW4; </w:t>
      </w:r>
    </w:p>
    <w:p w:rsidR="00446DEF" w:rsidRPr="00FD7D36" w:rsidP="00BE1C8A" w14:paraId="6B938254" w14:textId="14FBB8D2">
      <w:pPr>
        <w:pStyle w:val="Heading5"/>
        <w:numPr>
          <w:ilvl w:val="2"/>
          <w:numId w:val="11"/>
        </w:numPr>
        <w:rPr>
          <w:b w:val="0"/>
          <w:bCs/>
          <w:szCs w:val="22"/>
        </w:rPr>
      </w:pPr>
      <w:r w:rsidRPr="00FD7D36">
        <w:rPr>
          <w:b w:val="0"/>
          <w:bCs/>
          <w:szCs w:val="22"/>
        </w:rPr>
        <w:t xml:space="preserve">FCC ID </w:t>
      </w:r>
      <w:r w:rsidRPr="00FD7D36" w:rsidR="00F3729C">
        <w:rPr>
          <w:b w:val="0"/>
          <w:bCs/>
          <w:szCs w:val="22"/>
        </w:rPr>
        <w:t xml:space="preserve">2A692-T205 and 2A7J2HKTWS; </w:t>
      </w:r>
    </w:p>
    <w:p w:rsidR="00446DEF" w:rsidRPr="00FD7D36" w:rsidP="00BE1C8A" w14:paraId="1565F032" w14:textId="719B0E2B">
      <w:pPr>
        <w:pStyle w:val="Heading5"/>
        <w:numPr>
          <w:ilvl w:val="2"/>
          <w:numId w:val="11"/>
        </w:numPr>
        <w:rPr>
          <w:b w:val="0"/>
          <w:bCs/>
          <w:szCs w:val="22"/>
        </w:rPr>
      </w:pPr>
      <w:r w:rsidRPr="00FD7D36">
        <w:rPr>
          <w:b w:val="0"/>
          <w:bCs/>
          <w:szCs w:val="22"/>
        </w:rPr>
        <w:t xml:space="preserve">FCC ID </w:t>
      </w:r>
      <w:r w:rsidRPr="00FD7D36" w:rsidR="00F3729C">
        <w:rPr>
          <w:b w:val="0"/>
          <w:bCs/>
          <w:szCs w:val="22"/>
        </w:rPr>
        <w:t xml:space="preserve">2A7KW-HS12 and 2A9HV-AUT213; </w:t>
      </w:r>
    </w:p>
    <w:p w:rsidR="00446DEF" w:rsidRPr="00FD7D36" w:rsidP="00BE1C8A" w14:paraId="72BD8AED" w14:textId="77777777">
      <w:pPr>
        <w:pStyle w:val="Heading5"/>
        <w:numPr>
          <w:ilvl w:val="2"/>
          <w:numId w:val="11"/>
        </w:numPr>
        <w:rPr>
          <w:b w:val="0"/>
          <w:bCs/>
          <w:szCs w:val="22"/>
        </w:rPr>
      </w:pPr>
      <w:r w:rsidRPr="00FD7D36">
        <w:rPr>
          <w:b w:val="0"/>
          <w:bCs/>
          <w:szCs w:val="22"/>
        </w:rPr>
        <w:t xml:space="preserve">FCC ID </w:t>
      </w:r>
      <w:r w:rsidRPr="00FD7D36" w:rsidR="00F3729C">
        <w:rPr>
          <w:b w:val="0"/>
          <w:bCs/>
          <w:szCs w:val="22"/>
        </w:rPr>
        <w:t xml:space="preserve">2AO94-MKL110BC and 2A3ZU-SPNYH02; </w:t>
      </w:r>
    </w:p>
    <w:p w:rsidR="00446DEF" w:rsidRPr="00FD7D36" w:rsidP="00BE1C8A" w14:paraId="17F72258" w14:textId="77777777">
      <w:pPr>
        <w:pStyle w:val="Heading5"/>
        <w:numPr>
          <w:ilvl w:val="2"/>
          <w:numId w:val="11"/>
        </w:numPr>
        <w:rPr>
          <w:b w:val="0"/>
          <w:bCs/>
          <w:szCs w:val="22"/>
        </w:rPr>
      </w:pPr>
      <w:r w:rsidRPr="00FD7D36">
        <w:rPr>
          <w:b w:val="0"/>
          <w:bCs/>
          <w:szCs w:val="22"/>
        </w:rPr>
        <w:t xml:space="preserve">FCC ID </w:t>
      </w:r>
      <w:r w:rsidRPr="00FD7D36" w:rsidR="00F3729C">
        <w:rPr>
          <w:b w:val="0"/>
          <w:bCs/>
          <w:szCs w:val="22"/>
        </w:rPr>
        <w:t xml:space="preserve">2A6X7-CVS03 and 2BBOI-CO708; </w:t>
      </w:r>
    </w:p>
    <w:p w:rsidR="00446DEF" w:rsidRPr="00FD7D36" w:rsidP="00BE1C8A" w14:paraId="4764B8B5" w14:textId="77777777">
      <w:pPr>
        <w:pStyle w:val="Heading5"/>
        <w:numPr>
          <w:ilvl w:val="2"/>
          <w:numId w:val="11"/>
        </w:numPr>
        <w:rPr>
          <w:b w:val="0"/>
          <w:bCs/>
          <w:szCs w:val="22"/>
        </w:rPr>
      </w:pPr>
      <w:r w:rsidRPr="00FD7D36">
        <w:rPr>
          <w:b w:val="0"/>
          <w:bCs/>
          <w:szCs w:val="22"/>
        </w:rPr>
        <w:t xml:space="preserve">FCC ID </w:t>
      </w:r>
      <w:r w:rsidRPr="00FD7D36" w:rsidR="00F3729C">
        <w:rPr>
          <w:b w:val="0"/>
          <w:bCs/>
          <w:szCs w:val="22"/>
        </w:rPr>
        <w:t xml:space="preserve">2BAJS-AMLSPKR and 2BBOI-ST200; </w:t>
      </w:r>
    </w:p>
    <w:p w:rsidR="00446DEF" w:rsidRPr="00FD7D36" w:rsidP="00BE1C8A" w14:paraId="21667923" w14:textId="77777777">
      <w:pPr>
        <w:pStyle w:val="Heading5"/>
        <w:numPr>
          <w:ilvl w:val="2"/>
          <w:numId w:val="11"/>
        </w:numPr>
        <w:rPr>
          <w:b w:val="0"/>
          <w:bCs/>
          <w:szCs w:val="22"/>
        </w:rPr>
      </w:pPr>
      <w:r w:rsidRPr="00FD7D36">
        <w:rPr>
          <w:b w:val="0"/>
          <w:bCs/>
          <w:szCs w:val="22"/>
        </w:rPr>
        <w:t xml:space="preserve">FCC ID </w:t>
      </w:r>
      <w:r w:rsidRPr="00FD7D36" w:rsidR="00F3729C">
        <w:rPr>
          <w:b w:val="0"/>
          <w:bCs/>
          <w:szCs w:val="22"/>
        </w:rPr>
        <w:t xml:space="preserve">2AO94-LW003 and 2AO94-S05T; </w:t>
      </w:r>
    </w:p>
    <w:p w:rsidR="00446DEF" w:rsidRPr="00FD7D36" w:rsidP="00BE1C8A" w14:paraId="01D62824" w14:textId="77777777">
      <w:pPr>
        <w:pStyle w:val="Heading5"/>
        <w:numPr>
          <w:ilvl w:val="2"/>
          <w:numId w:val="11"/>
        </w:numPr>
        <w:rPr>
          <w:b w:val="0"/>
          <w:bCs/>
          <w:szCs w:val="22"/>
        </w:rPr>
      </w:pPr>
      <w:r w:rsidRPr="00FD7D36">
        <w:rPr>
          <w:b w:val="0"/>
          <w:bCs/>
          <w:szCs w:val="22"/>
        </w:rPr>
        <w:t xml:space="preserve">FCC ID </w:t>
      </w:r>
      <w:r w:rsidRPr="00FD7D36" w:rsidR="00F3729C">
        <w:rPr>
          <w:b w:val="0"/>
          <w:bCs/>
          <w:szCs w:val="22"/>
        </w:rPr>
        <w:t xml:space="preserve">2AHP7-T21BEACON and 2BACY-THSB1; </w:t>
      </w:r>
    </w:p>
    <w:p w:rsidR="00446DEF" w:rsidRPr="00FD7D36" w:rsidP="00BE1C8A" w14:paraId="737908FD" w14:textId="77777777">
      <w:pPr>
        <w:pStyle w:val="Heading5"/>
        <w:numPr>
          <w:ilvl w:val="2"/>
          <w:numId w:val="11"/>
        </w:numPr>
        <w:rPr>
          <w:b w:val="0"/>
          <w:bCs/>
          <w:szCs w:val="22"/>
        </w:rPr>
      </w:pPr>
      <w:r w:rsidRPr="00FD7D36">
        <w:rPr>
          <w:b w:val="0"/>
          <w:bCs/>
          <w:szCs w:val="22"/>
        </w:rPr>
        <w:t xml:space="preserve">FCC ID </w:t>
      </w:r>
      <w:r w:rsidRPr="00FD7D36" w:rsidR="00F3729C">
        <w:rPr>
          <w:b w:val="0"/>
          <w:bCs/>
          <w:szCs w:val="22"/>
        </w:rPr>
        <w:t xml:space="preserve">2A9RHS4T01, 2A95WK3Q-01, and 2A95YX3B-01; </w:t>
      </w:r>
    </w:p>
    <w:p w:rsidR="00446DEF" w:rsidRPr="00FD7D36" w:rsidP="00BE1C8A" w14:paraId="154EE124" w14:textId="7659C6BA">
      <w:pPr>
        <w:pStyle w:val="Heading5"/>
        <w:numPr>
          <w:ilvl w:val="2"/>
          <w:numId w:val="11"/>
        </w:numPr>
        <w:rPr>
          <w:b w:val="0"/>
          <w:bCs/>
          <w:szCs w:val="22"/>
        </w:rPr>
      </w:pPr>
      <w:r w:rsidRPr="00FD7D36">
        <w:rPr>
          <w:b w:val="0"/>
          <w:bCs/>
          <w:szCs w:val="22"/>
        </w:rPr>
        <w:t xml:space="preserve">FCC ID </w:t>
      </w:r>
      <w:r w:rsidRPr="00FD7D36" w:rsidR="00F3729C">
        <w:rPr>
          <w:b w:val="0"/>
          <w:bCs/>
          <w:szCs w:val="22"/>
        </w:rPr>
        <w:t xml:space="preserve">2A9YZMXLC and 2A9YXTFLC; and </w:t>
      </w:r>
    </w:p>
    <w:p w:rsidR="00446DEF" w:rsidRPr="00FD7D36" w:rsidP="00BE1C8A" w14:paraId="30AB67F9" w14:textId="77777777">
      <w:pPr>
        <w:pStyle w:val="Heading5"/>
        <w:numPr>
          <w:ilvl w:val="2"/>
          <w:numId w:val="11"/>
        </w:numPr>
        <w:rPr>
          <w:b w:val="0"/>
          <w:bCs/>
          <w:szCs w:val="22"/>
        </w:rPr>
      </w:pPr>
      <w:r w:rsidRPr="00FD7D36">
        <w:rPr>
          <w:b w:val="0"/>
          <w:bCs/>
          <w:szCs w:val="22"/>
        </w:rPr>
        <w:t xml:space="preserve">FCC ID </w:t>
      </w:r>
      <w:r w:rsidRPr="00FD7D36" w:rsidR="00F3729C">
        <w:rPr>
          <w:b w:val="0"/>
          <w:bCs/>
          <w:szCs w:val="22"/>
        </w:rPr>
        <w:t xml:space="preserve">2A5TW-T86 and 2A7IE-YL761. </w:t>
      </w:r>
    </w:p>
    <w:p w:rsidR="00F3729C" w:rsidRPr="00FD7D36" w:rsidP="00446DEF" w14:paraId="0D694FF0" w14:textId="12F734A5">
      <w:pPr>
        <w:pStyle w:val="Heading5"/>
        <w:numPr>
          <w:ilvl w:val="0"/>
          <w:numId w:val="0"/>
        </w:numPr>
        <w:ind w:left="3600" w:hanging="3600"/>
        <w:rPr>
          <w:b w:val="0"/>
          <w:bCs/>
          <w:szCs w:val="22"/>
        </w:rPr>
      </w:pPr>
      <w:r w:rsidRPr="00FD7D36">
        <w:rPr>
          <w:b w:val="0"/>
          <w:bCs/>
          <w:szCs w:val="22"/>
        </w:rPr>
        <w:t>In total, OET</w:t>
      </w:r>
      <w:r w:rsidRPr="00FD7D36" w:rsidR="002558B2">
        <w:rPr>
          <w:b w:val="0"/>
          <w:bCs/>
          <w:szCs w:val="22"/>
        </w:rPr>
        <w:t xml:space="preserve"> tentatively</w:t>
      </w:r>
      <w:r w:rsidRPr="00FD7D36">
        <w:rPr>
          <w:b w:val="0"/>
          <w:bCs/>
          <w:szCs w:val="22"/>
        </w:rPr>
        <w:t xml:space="preserve"> identifie</w:t>
      </w:r>
      <w:r w:rsidRPr="00FD7D36" w:rsidR="002558B2">
        <w:rPr>
          <w:b w:val="0"/>
          <w:bCs/>
          <w:szCs w:val="22"/>
        </w:rPr>
        <w:t>s</w:t>
      </w:r>
      <w:r w:rsidRPr="00FD7D36">
        <w:rPr>
          <w:b w:val="0"/>
          <w:bCs/>
          <w:szCs w:val="22"/>
        </w:rPr>
        <w:t xml:space="preserve"> 33 incorrect or falsified test reports submitted by SLG-CPC.</w:t>
      </w:r>
    </w:p>
    <w:p w:rsidR="00786C51" w:rsidRPr="00FD7D36" w:rsidP="00786C51" w14:paraId="5BDCE29D" w14:textId="1A62844E">
      <w:pPr>
        <w:pStyle w:val="ParaNum"/>
        <w:rPr>
          <w:szCs w:val="22"/>
        </w:rPr>
      </w:pPr>
      <w:r w:rsidRPr="00FD7D36">
        <w:rPr>
          <w:szCs w:val="22"/>
        </w:rPr>
        <w:t xml:space="preserve">OET tentatively determines that SLG-CPC provided false or inaccurate information in violation of Section 2.911(e) of the Commission’s rules requiring the person performing or supervising tests to attest to the accuracy of technical test data submitted in the equipment authorization process.  </w:t>
      </w:r>
    </w:p>
    <w:p w:rsidR="00F941EC" w:rsidRPr="00FD7D36" w:rsidP="006A0188" w14:paraId="7D989342" w14:textId="016150E7">
      <w:pPr>
        <w:pStyle w:val="ParaNum"/>
        <w:rPr>
          <w:szCs w:val="22"/>
        </w:rPr>
      </w:pPr>
      <w:r w:rsidRPr="00FD7D36">
        <w:rPr>
          <w:szCs w:val="22"/>
        </w:rPr>
        <w:t xml:space="preserve">OET tentatively determines that </w:t>
      </w:r>
      <w:r w:rsidRPr="00FD7D36" w:rsidR="00704D3F">
        <w:rPr>
          <w:szCs w:val="22"/>
        </w:rPr>
        <w:t xml:space="preserve">SLG-CPC </w:t>
      </w:r>
      <w:r w:rsidRPr="00FD7D36" w:rsidR="00AF1D23">
        <w:rPr>
          <w:szCs w:val="22"/>
        </w:rPr>
        <w:t>willfully and intentionally provided material factual information that was incorrect or intentionally omitted material information that was necessary to prevent material factual statements that were made from being incorrect or misleading</w:t>
      </w:r>
      <w:r w:rsidRPr="00FD7D36" w:rsidR="00173833">
        <w:rPr>
          <w:szCs w:val="22"/>
        </w:rPr>
        <w:t>,</w:t>
      </w:r>
      <w:r w:rsidRPr="00FD7D36" w:rsidR="00AF1D23">
        <w:rPr>
          <w:szCs w:val="22"/>
        </w:rPr>
        <w:t xml:space="preserve"> in violation of </w:t>
      </w:r>
      <w:r w:rsidRPr="00FD7D36" w:rsidR="00147EFC">
        <w:rPr>
          <w:szCs w:val="22"/>
        </w:rPr>
        <w:t>Section 1.17(a) of the Commission’s rules.</w:t>
      </w:r>
      <w:r>
        <w:rPr>
          <w:rStyle w:val="FootnoteReference"/>
          <w:sz w:val="22"/>
          <w:szCs w:val="22"/>
        </w:rPr>
        <w:footnoteReference w:id="17"/>
      </w:r>
      <w:r w:rsidRPr="00FD7D36" w:rsidR="00147EFC">
        <w:rPr>
          <w:szCs w:val="22"/>
        </w:rPr>
        <w:t xml:space="preserve"> </w:t>
      </w:r>
      <w:r w:rsidRPr="00FD7D36" w:rsidR="00B87F13">
        <w:rPr>
          <w:szCs w:val="22"/>
        </w:rPr>
        <w:t xml:space="preserve"> </w:t>
      </w:r>
      <w:r w:rsidRPr="00FD7D36" w:rsidR="00E36B34">
        <w:rPr>
          <w:szCs w:val="22"/>
        </w:rPr>
        <w:t>Further</w:t>
      </w:r>
      <w:r w:rsidRPr="00FD7D36" w:rsidR="00147EFC">
        <w:rPr>
          <w:szCs w:val="22"/>
        </w:rPr>
        <w:t>, OET tentatively determines that SLG-CPC willfully provided material factual information that was incorrect or omitted material information that was necessary to prevent material factual statements that were made from being incorrect or misleading, without a reasonable basis for believing that such material factual statement</w:t>
      </w:r>
      <w:r w:rsidRPr="00FD7D36" w:rsidR="00F37DA9">
        <w:rPr>
          <w:szCs w:val="22"/>
        </w:rPr>
        <w:t>s</w:t>
      </w:r>
      <w:r w:rsidRPr="00FD7D36" w:rsidR="00147EFC">
        <w:rPr>
          <w:szCs w:val="22"/>
        </w:rPr>
        <w:t xml:space="preserve"> </w:t>
      </w:r>
      <w:r w:rsidRPr="00FD7D36" w:rsidR="00F37DA9">
        <w:rPr>
          <w:szCs w:val="22"/>
        </w:rPr>
        <w:t>were</w:t>
      </w:r>
      <w:r w:rsidRPr="00FD7D36" w:rsidR="00147EFC">
        <w:rPr>
          <w:szCs w:val="22"/>
        </w:rPr>
        <w:t xml:space="preserve"> correct and not misleading</w:t>
      </w:r>
      <w:r w:rsidRPr="00FD7D36" w:rsidR="00D31F3B">
        <w:rPr>
          <w:szCs w:val="22"/>
        </w:rPr>
        <w:t xml:space="preserve"> in violation of Section 1.17(a) of the Commission’s rules</w:t>
      </w:r>
      <w:r w:rsidRPr="00FD7D36" w:rsidR="00147EFC">
        <w:rPr>
          <w:szCs w:val="22"/>
        </w:rPr>
        <w:t>.</w:t>
      </w:r>
      <w:r>
        <w:rPr>
          <w:rStyle w:val="FootnoteReference"/>
          <w:sz w:val="22"/>
          <w:szCs w:val="22"/>
        </w:rPr>
        <w:footnoteReference w:id="18"/>
      </w:r>
    </w:p>
    <w:p w:rsidR="007D78BA" w:rsidRPr="00FD7D36" w:rsidP="006A0188" w14:paraId="3ABA1A55" w14:textId="0BF3C188">
      <w:pPr>
        <w:pStyle w:val="ParaNum"/>
        <w:rPr>
          <w:szCs w:val="22"/>
        </w:rPr>
      </w:pPr>
      <w:r w:rsidRPr="00FD7D36">
        <w:rPr>
          <w:szCs w:val="22"/>
        </w:rPr>
        <w:t>OET</w:t>
      </w:r>
      <w:r w:rsidRPr="00FD7D36" w:rsidR="00E0613D">
        <w:rPr>
          <w:szCs w:val="22"/>
        </w:rPr>
        <w:t xml:space="preserve"> </w:t>
      </w:r>
      <w:r w:rsidRPr="00FD7D36" w:rsidR="008C1587">
        <w:rPr>
          <w:szCs w:val="22"/>
        </w:rPr>
        <w:t xml:space="preserve">tentatively determines </w:t>
      </w:r>
      <w:r w:rsidRPr="00FD7D36" w:rsidR="00E0613D">
        <w:rPr>
          <w:szCs w:val="22"/>
        </w:rPr>
        <w:t>that SLG</w:t>
      </w:r>
      <w:r w:rsidRPr="00FD7D36" w:rsidR="00F136A9">
        <w:rPr>
          <w:szCs w:val="22"/>
        </w:rPr>
        <w:t>-CPC</w:t>
      </w:r>
      <w:r w:rsidRPr="00FD7D36" w:rsidR="00E0613D">
        <w:rPr>
          <w:szCs w:val="22"/>
        </w:rPr>
        <w:t xml:space="preserve">’s </w:t>
      </w:r>
      <w:r w:rsidRPr="00FD7D36" w:rsidR="004124DC">
        <w:rPr>
          <w:szCs w:val="22"/>
        </w:rPr>
        <w:t>act</w:t>
      </w:r>
      <w:r w:rsidRPr="00FD7D36">
        <w:rPr>
          <w:szCs w:val="22"/>
        </w:rPr>
        <w:t>ions</w:t>
      </w:r>
      <w:r w:rsidRPr="00FD7D36" w:rsidR="004124DC">
        <w:rPr>
          <w:szCs w:val="22"/>
        </w:rPr>
        <w:t xml:space="preserve"> were willful </w:t>
      </w:r>
      <w:r w:rsidRPr="00FD7D36" w:rsidR="00820A52">
        <w:rPr>
          <w:szCs w:val="22"/>
        </w:rPr>
        <w:t>under 5 U</w:t>
      </w:r>
      <w:r w:rsidRPr="00FD7D36" w:rsidR="00DE48B1">
        <w:rPr>
          <w:szCs w:val="22"/>
        </w:rPr>
        <w:t>.</w:t>
      </w:r>
      <w:r w:rsidRPr="00FD7D36" w:rsidR="00820A52">
        <w:rPr>
          <w:szCs w:val="22"/>
        </w:rPr>
        <w:t>S</w:t>
      </w:r>
      <w:r w:rsidRPr="00FD7D36" w:rsidR="00DE48B1">
        <w:rPr>
          <w:szCs w:val="22"/>
        </w:rPr>
        <w:t>.</w:t>
      </w:r>
      <w:r w:rsidRPr="00FD7D36" w:rsidR="00820A52">
        <w:rPr>
          <w:szCs w:val="22"/>
        </w:rPr>
        <w:t>C</w:t>
      </w:r>
      <w:r w:rsidRPr="00FD7D36" w:rsidR="00DE48B1">
        <w:rPr>
          <w:szCs w:val="22"/>
        </w:rPr>
        <w:t>.</w:t>
      </w:r>
      <w:r w:rsidRPr="00FD7D36" w:rsidR="00820A52">
        <w:rPr>
          <w:szCs w:val="22"/>
        </w:rPr>
        <w:t xml:space="preserve"> § 558(c) </w:t>
      </w:r>
      <w:r w:rsidRPr="00FD7D36" w:rsidR="004124DC">
        <w:rPr>
          <w:szCs w:val="22"/>
        </w:rPr>
        <w:t xml:space="preserve">because </w:t>
      </w:r>
      <w:r w:rsidRPr="00FD7D36">
        <w:rPr>
          <w:szCs w:val="22"/>
        </w:rPr>
        <w:t>they were “done intentionally, irrespective of evil intent, or done with careless disregard of statutory requirements.”</w:t>
      </w:r>
      <w:r>
        <w:rPr>
          <w:rStyle w:val="FootnoteReference"/>
          <w:sz w:val="22"/>
          <w:szCs w:val="22"/>
        </w:rPr>
        <w:footnoteReference w:id="19"/>
      </w:r>
      <w:r w:rsidRPr="00FD7D36" w:rsidR="00F8092D">
        <w:rPr>
          <w:szCs w:val="22"/>
        </w:rPr>
        <w:t xml:space="preserve">  OET </w:t>
      </w:r>
      <w:r w:rsidRPr="00FD7D36" w:rsidR="008C1587">
        <w:rPr>
          <w:szCs w:val="22"/>
        </w:rPr>
        <w:t>tentatively</w:t>
      </w:r>
      <w:r w:rsidRPr="00FD7D36" w:rsidR="00EA3319">
        <w:rPr>
          <w:szCs w:val="22"/>
        </w:rPr>
        <w:t xml:space="preserve"> determines</w:t>
      </w:r>
      <w:r w:rsidRPr="00FD7D36" w:rsidR="008C1587">
        <w:rPr>
          <w:szCs w:val="22"/>
        </w:rPr>
        <w:t xml:space="preserve"> </w:t>
      </w:r>
      <w:r w:rsidRPr="00FD7D36" w:rsidR="00F8092D">
        <w:rPr>
          <w:szCs w:val="22"/>
        </w:rPr>
        <w:t xml:space="preserve">that </w:t>
      </w:r>
      <w:r w:rsidRPr="00FD7D36" w:rsidR="008303BE">
        <w:rPr>
          <w:szCs w:val="22"/>
        </w:rPr>
        <w:t xml:space="preserve">submitting </w:t>
      </w:r>
      <w:r w:rsidRPr="00FD7D36" w:rsidR="00525062">
        <w:rPr>
          <w:szCs w:val="22"/>
        </w:rPr>
        <w:t>numerous</w:t>
      </w:r>
      <w:r w:rsidRPr="00FD7D36" w:rsidR="00B7358F">
        <w:rPr>
          <w:szCs w:val="22"/>
        </w:rPr>
        <w:t xml:space="preserve"> </w:t>
      </w:r>
      <w:r w:rsidRPr="00FD7D36" w:rsidR="005F3A46">
        <w:rPr>
          <w:szCs w:val="22"/>
        </w:rPr>
        <w:t xml:space="preserve">falsified test reports </w:t>
      </w:r>
      <w:r w:rsidRPr="00FD7D36" w:rsidR="00605171">
        <w:rPr>
          <w:szCs w:val="22"/>
        </w:rPr>
        <w:t>was either intentional or, at the very least, “done with careless disregard of statutory requirements.”</w:t>
      </w:r>
      <w:r>
        <w:rPr>
          <w:rStyle w:val="FootnoteReference"/>
          <w:sz w:val="22"/>
          <w:szCs w:val="22"/>
        </w:rPr>
        <w:footnoteReference w:id="20"/>
      </w:r>
    </w:p>
    <w:p w:rsidR="002012DD" w:rsidRPr="00FD7D36" w:rsidP="00DE48B1" w14:paraId="0B2419A8" w14:textId="6FDE4BE7">
      <w:pPr>
        <w:pStyle w:val="ParaNum"/>
        <w:rPr>
          <w:szCs w:val="22"/>
        </w:rPr>
      </w:pPr>
      <w:r w:rsidRPr="00FD7D36">
        <w:rPr>
          <w:szCs w:val="22"/>
        </w:rPr>
        <w:t xml:space="preserve">Accordingly, </w:t>
      </w:r>
      <w:r w:rsidRPr="00FD7D36" w:rsidR="00FA12F8">
        <w:rPr>
          <w:szCs w:val="22"/>
        </w:rPr>
        <w:t>we direct SLG</w:t>
      </w:r>
      <w:r w:rsidRPr="00FD7D36" w:rsidR="00903480">
        <w:rPr>
          <w:szCs w:val="22"/>
        </w:rPr>
        <w:t>-CPC</w:t>
      </w:r>
      <w:r w:rsidRPr="00FD7D36" w:rsidR="00FA12F8">
        <w:rPr>
          <w:szCs w:val="22"/>
        </w:rPr>
        <w:t xml:space="preserve"> to explain why the Commission should not withdraw its recognition of SLG</w:t>
      </w:r>
      <w:r w:rsidRPr="00FD7D36" w:rsidR="008D41E8">
        <w:rPr>
          <w:szCs w:val="22"/>
        </w:rPr>
        <w:t>-CPC</w:t>
      </w:r>
      <w:r w:rsidRPr="00FD7D36" w:rsidR="00FA12F8">
        <w:rPr>
          <w:szCs w:val="22"/>
        </w:rPr>
        <w:t xml:space="preserve"> as a test lab.  </w:t>
      </w:r>
      <w:r w:rsidRPr="00FD7D36" w:rsidR="00FB44C6">
        <w:rPr>
          <w:szCs w:val="22"/>
        </w:rPr>
        <w:t xml:space="preserve">SLG-CPC must file a response within thirty-five (35) days after the release of this Order demonstrating why the Commission should not withdraw its recognition. </w:t>
      </w:r>
      <w:r w:rsidRPr="00FD7D36" w:rsidR="0045773F">
        <w:rPr>
          <w:szCs w:val="22"/>
        </w:rPr>
        <w:t xml:space="preserve"> </w:t>
      </w:r>
      <w:r w:rsidRPr="00FD7D36" w:rsidR="00FB44C6">
        <w:rPr>
          <w:szCs w:val="22"/>
        </w:rPr>
        <w:t xml:space="preserve">Failure to timely respond or submit a response may result in withdrawal of recognition. </w:t>
      </w:r>
    </w:p>
    <w:p w:rsidR="006A0188" w:rsidRPr="00FD7D36" w:rsidP="006A0188" w14:paraId="5DEE1E0F" w14:textId="21E4BD28">
      <w:pPr>
        <w:pStyle w:val="ParaNum"/>
        <w:rPr>
          <w:szCs w:val="22"/>
        </w:rPr>
      </w:pPr>
      <w:r w:rsidRPr="00FD7D36">
        <w:rPr>
          <w:szCs w:val="22"/>
        </w:rPr>
        <w:t xml:space="preserve">Any response must be provided in English and must be accompanied by official business </w:t>
      </w:r>
      <w:r w:rsidRPr="00FD7D36">
        <w:rPr>
          <w:szCs w:val="22"/>
        </w:rPr>
        <w:t>documents, including an English-language translation, that support the SLG-CPC’s position and by supporting sworn declarations of individuals with personal knowledge that are signed in accordance with Section 1.16 of the Commission’s rules.</w:t>
      </w:r>
      <w:r>
        <w:rPr>
          <w:rStyle w:val="FootnoteReference"/>
          <w:sz w:val="22"/>
          <w:szCs w:val="22"/>
        </w:rPr>
        <w:footnoteReference w:id="21"/>
      </w:r>
      <w:r w:rsidRPr="00FD7D36">
        <w:rPr>
          <w:szCs w:val="22"/>
        </w:rPr>
        <w:t xml:space="preserve"> </w:t>
      </w:r>
      <w:r w:rsidRPr="00FD7D36" w:rsidR="00A23D04">
        <w:rPr>
          <w:szCs w:val="22"/>
        </w:rPr>
        <w:t xml:space="preserve"> </w:t>
      </w:r>
      <w:r w:rsidRPr="00FD7D36">
        <w:rPr>
          <w:szCs w:val="22"/>
        </w:rPr>
        <w:t>All documents must include the FCC docket number and lab</w:t>
      </w:r>
      <w:r w:rsidRPr="00FD7D36" w:rsidR="004C3399">
        <w:rPr>
          <w:szCs w:val="22"/>
        </w:rPr>
        <w:t xml:space="preserve"> </w:t>
      </w:r>
      <w:r w:rsidRPr="00FD7D36">
        <w:rPr>
          <w:szCs w:val="22"/>
        </w:rPr>
        <w:t xml:space="preserve">designation number(s) referenced in the caption and be e-mailed to </w:t>
      </w:r>
      <w:hyperlink r:id="rId6" w:history="1">
        <w:r w:rsidRPr="00FD7D36" w:rsidR="00A23D04">
          <w:rPr>
            <w:rStyle w:val="Hyperlink"/>
            <w:szCs w:val="22"/>
          </w:rPr>
          <w:t>SLG-CPCproceeding@fcc.gov</w:t>
        </w:r>
      </w:hyperlink>
      <w:r w:rsidRPr="00FD7D36">
        <w:rPr>
          <w:szCs w:val="22"/>
        </w:rPr>
        <w:t>.</w:t>
      </w:r>
      <w:r w:rsidRPr="00FD7D36" w:rsidR="00A23D04">
        <w:rPr>
          <w:szCs w:val="22"/>
        </w:rPr>
        <w:t xml:space="preserve"> </w:t>
      </w:r>
      <w:r w:rsidRPr="00FD7D36">
        <w:rPr>
          <w:szCs w:val="22"/>
        </w:rPr>
        <w:t xml:space="preserve"> All submitted documents must be in English or include an English</w:t>
      </w:r>
      <w:r w:rsidRPr="00FD7D36" w:rsidR="004C3399">
        <w:rPr>
          <w:szCs w:val="22"/>
        </w:rPr>
        <w:t xml:space="preserve"> </w:t>
      </w:r>
      <w:r w:rsidRPr="00FD7D36">
        <w:rPr>
          <w:szCs w:val="22"/>
        </w:rPr>
        <w:t xml:space="preserve">translation. </w:t>
      </w:r>
      <w:r w:rsidRPr="00FD7D36" w:rsidR="00293EF4">
        <w:rPr>
          <w:szCs w:val="22"/>
        </w:rPr>
        <w:t xml:space="preserve"> </w:t>
      </w:r>
      <w:r w:rsidRPr="00FD7D36">
        <w:rPr>
          <w:szCs w:val="22"/>
        </w:rPr>
        <w:t>The written statement must also be filed electronically in the docket referenced in the caption</w:t>
      </w:r>
      <w:r w:rsidRPr="00FD7D36" w:rsidR="004C3399">
        <w:rPr>
          <w:szCs w:val="22"/>
        </w:rPr>
        <w:t xml:space="preserve"> </w:t>
      </w:r>
      <w:r w:rsidRPr="00FD7D36">
        <w:rPr>
          <w:szCs w:val="22"/>
        </w:rPr>
        <w:t xml:space="preserve">of this document using the Electronic Comment Filing System at https://www.fcc.gov/ecfs. </w:t>
      </w:r>
      <w:r w:rsidRPr="00FD7D36" w:rsidR="00DC6583">
        <w:rPr>
          <w:szCs w:val="22"/>
        </w:rPr>
        <w:t xml:space="preserve"> </w:t>
      </w:r>
      <w:r w:rsidRPr="00FD7D36">
        <w:rPr>
          <w:szCs w:val="22"/>
        </w:rPr>
        <w:t>Any request</w:t>
      </w:r>
      <w:r w:rsidRPr="00FD7D36" w:rsidR="004C3399">
        <w:rPr>
          <w:szCs w:val="22"/>
        </w:rPr>
        <w:t xml:space="preserve"> </w:t>
      </w:r>
      <w:r w:rsidRPr="00FD7D36">
        <w:rPr>
          <w:szCs w:val="22"/>
        </w:rPr>
        <w:t>that material submitted not be made public may be submitted pursuant to 47 CFR § 0.459.</w:t>
      </w:r>
    </w:p>
    <w:p w:rsidR="006A0188" w:rsidRPr="00FD7D36" w:rsidP="006A0188" w14:paraId="64157150" w14:textId="4235A5DA">
      <w:pPr>
        <w:pStyle w:val="Heading1"/>
        <w:ind w:left="0" w:firstLine="0"/>
        <w:rPr>
          <w:rFonts w:ascii="Times New Roman" w:hAnsi="Times New Roman"/>
          <w:szCs w:val="22"/>
        </w:rPr>
      </w:pPr>
      <w:r w:rsidRPr="00FD7D36">
        <w:rPr>
          <w:rFonts w:ascii="Times New Roman" w:hAnsi="Times New Roman"/>
          <w:szCs w:val="22"/>
        </w:rPr>
        <w:t>ORDERING CLAUSES</w:t>
      </w:r>
    </w:p>
    <w:p w:rsidR="006A0188" w:rsidRPr="00FD7D36" w:rsidP="006A0188" w14:paraId="603F229C" w14:textId="750A3C62">
      <w:pPr>
        <w:pStyle w:val="ParaNum"/>
        <w:rPr>
          <w:szCs w:val="22"/>
        </w:rPr>
      </w:pPr>
      <w:r w:rsidRPr="00FD7D36">
        <w:rPr>
          <w:szCs w:val="22"/>
        </w:rPr>
        <w:t>Accordingly,</w:t>
      </w:r>
      <w:r w:rsidRPr="00FD7D36">
        <w:rPr>
          <w:b/>
          <w:bCs/>
          <w:szCs w:val="22"/>
        </w:rPr>
        <w:t xml:space="preserve"> IT IS ORDERED</w:t>
      </w:r>
      <w:r w:rsidRPr="00FD7D36">
        <w:rPr>
          <w:szCs w:val="22"/>
        </w:rPr>
        <w:t xml:space="preserve"> that, pursuant to </w:t>
      </w:r>
      <w:r w:rsidRPr="00FD7D36" w:rsidR="00680991">
        <w:rPr>
          <w:szCs w:val="22"/>
        </w:rPr>
        <w:t>Sections 4(i) and 302(e) of the Act</w:t>
      </w:r>
      <w:r w:rsidRPr="00FD7D36" w:rsidR="00CA5DF4">
        <w:rPr>
          <w:szCs w:val="22"/>
        </w:rPr>
        <w:t xml:space="preserve"> (</w:t>
      </w:r>
      <w:r w:rsidRPr="00FD7D36" w:rsidR="00A54E24">
        <w:rPr>
          <w:szCs w:val="22"/>
        </w:rPr>
        <w:t>47 U.S.C. §</w:t>
      </w:r>
      <w:r w:rsidRPr="00FD7D36" w:rsidR="00586919">
        <w:rPr>
          <w:szCs w:val="22"/>
        </w:rPr>
        <w:t>§ 154(i)</w:t>
      </w:r>
      <w:r w:rsidRPr="00FD7D36" w:rsidR="00CA5DF4">
        <w:rPr>
          <w:szCs w:val="22"/>
        </w:rPr>
        <w:t xml:space="preserve"> and</w:t>
      </w:r>
      <w:r w:rsidRPr="00FD7D36" w:rsidR="00A54E24">
        <w:rPr>
          <w:szCs w:val="22"/>
        </w:rPr>
        <w:t xml:space="preserve"> 302a(e)</w:t>
      </w:r>
      <w:r w:rsidRPr="00FD7D36" w:rsidR="00CA5DF4">
        <w:rPr>
          <w:szCs w:val="22"/>
        </w:rPr>
        <w:t>)</w:t>
      </w:r>
      <w:r w:rsidRPr="00FD7D36" w:rsidR="00586919">
        <w:rPr>
          <w:szCs w:val="22"/>
        </w:rPr>
        <w:t xml:space="preserve"> and </w:t>
      </w:r>
      <w:r w:rsidRPr="00FD7D36" w:rsidR="00680991">
        <w:rPr>
          <w:szCs w:val="22"/>
        </w:rPr>
        <w:t xml:space="preserve">Sections </w:t>
      </w:r>
      <w:r w:rsidRPr="00FD7D36" w:rsidR="00291A40">
        <w:rPr>
          <w:szCs w:val="22"/>
        </w:rPr>
        <w:t xml:space="preserve">0.31, 0.241, </w:t>
      </w:r>
      <w:r w:rsidRPr="00FD7D36" w:rsidR="00680991">
        <w:rPr>
          <w:szCs w:val="22"/>
        </w:rPr>
        <w:t>1.17, 2.91</w:t>
      </w:r>
      <w:r w:rsidRPr="00FD7D36" w:rsidR="00CA5DF4">
        <w:rPr>
          <w:szCs w:val="22"/>
        </w:rPr>
        <w:t>1</w:t>
      </w:r>
      <w:r w:rsidRPr="00FD7D36" w:rsidR="00680991">
        <w:rPr>
          <w:szCs w:val="22"/>
        </w:rPr>
        <w:t xml:space="preserve">, </w:t>
      </w:r>
      <w:r w:rsidRPr="00FD7D36" w:rsidR="00291A40">
        <w:rPr>
          <w:szCs w:val="22"/>
        </w:rPr>
        <w:t>2.947</w:t>
      </w:r>
      <w:r w:rsidRPr="00FD7D36" w:rsidR="00B578B5">
        <w:rPr>
          <w:szCs w:val="22"/>
        </w:rPr>
        <w:t xml:space="preserve">, 2.948, </w:t>
      </w:r>
      <w:r w:rsidRPr="00FD7D36" w:rsidR="00680991">
        <w:rPr>
          <w:szCs w:val="22"/>
        </w:rPr>
        <w:t>and 2.951</w:t>
      </w:r>
      <w:r w:rsidRPr="00FD7D36" w:rsidR="00B578B5">
        <w:rPr>
          <w:szCs w:val="22"/>
        </w:rPr>
        <w:t xml:space="preserve"> </w:t>
      </w:r>
      <w:r w:rsidRPr="00FD7D36" w:rsidR="00680991">
        <w:rPr>
          <w:szCs w:val="22"/>
        </w:rPr>
        <w:t>of the Commission’s rules</w:t>
      </w:r>
      <w:r w:rsidRPr="00FD7D36" w:rsidR="00CA5DF4">
        <w:rPr>
          <w:szCs w:val="22"/>
        </w:rPr>
        <w:t xml:space="preserve"> (</w:t>
      </w:r>
      <w:r w:rsidRPr="00FD7D36">
        <w:rPr>
          <w:szCs w:val="22"/>
        </w:rPr>
        <w:t xml:space="preserve">47 CFR </w:t>
      </w:r>
      <w:r w:rsidRPr="00FD7D36" w:rsidR="008324D1">
        <w:rPr>
          <w:szCs w:val="22"/>
        </w:rPr>
        <w:t>§</w:t>
      </w:r>
      <w:r w:rsidRPr="00FD7D36">
        <w:rPr>
          <w:szCs w:val="22"/>
        </w:rPr>
        <w:t>§</w:t>
      </w:r>
      <w:r w:rsidRPr="00FD7D36" w:rsidR="008324D1">
        <w:rPr>
          <w:szCs w:val="22"/>
        </w:rPr>
        <w:t xml:space="preserve"> 0.31, 0.241, 1.17, 2.911, 2.947, 2.948, and</w:t>
      </w:r>
      <w:r w:rsidRPr="00FD7D36">
        <w:rPr>
          <w:szCs w:val="22"/>
        </w:rPr>
        <w:t xml:space="preserve"> 2.951</w:t>
      </w:r>
      <w:r w:rsidRPr="00FD7D36" w:rsidR="00CA5DF4">
        <w:rPr>
          <w:szCs w:val="22"/>
        </w:rPr>
        <w:t>)</w:t>
      </w:r>
      <w:r w:rsidRPr="00FD7D36">
        <w:rPr>
          <w:szCs w:val="22"/>
        </w:rPr>
        <w:t>,</w:t>
      </w:r>
      <w:r w:rsidRPr="00FD7D36" w:rsidR="0056241C">
        <w:rPr>
          <w:szCs w:val="22"/>
        </w:rPr>
        <w:t xml:space="preserve"> </w:t>
      </w:r>
      <w:r w:rsidRPr="00FD7D36" w:rsidR="00D501DB">
        <w:rPr>
          <w:szCs w:val="22"/>
        </w:rPr>
        <w:t>SLG-CPC</w:t>
      </w:r>
      <w:r w:rsidRPr="00FD7D36">
        <w:rPr>
          <w:szCs w:val="22"/>
        </w:rPr>
        <w:t xml:space="preserve"> </w:t>
      </w:r>
      <w:r w:rsidRPr="00FD7D36">
        <w:rPr>
          <w:b/>
          <w:bCs/>
          <w:szCs w:val="22"/>
        </w:rPr>
        <w:t>MUST FILE</w:t>
      </w:r>
      <w:r w:rsidRPr="00FD7D36">
        <w:rPr>
          <w:szCs w:val="22"/>
        </w:rPr>
        <w:t xml:space="preserve"> a written response to this Order within thirty-five (35) calendar days from the release date of this Order</w:t>
      </w:r>
      <w:r w:rsidRPr="00FD7D36" w:rsidR="00D501DB">
        <w:rPr>
          <w:szCs w:val="22"/>
        </w:rPr>
        <w:t>.</w:t>
      </w:r>
    </w:p>
    <w:p w:rsidR="008D0FDF" w:rsidRPr="00FD7D36" w:rsidP="006A0188" w14:paraId="53CAE28B" w14:textId="706DC376">
      <w:pPr>
        <w:pStyle w:val="ParaNum"/>
        <w:rPr>
          <w:szCs w:val="22"/>
        </w:rPr>
      </w:pPr>
      <w:r w:rsidRPr="00FD7D36">
        <w:rPr>
          <w:b/>
          <w:szCs w:val="22"/>
        </w:rPr>
        <w:t xml:space="preserve">IT IS FURTHER ORDERED </w:t>
      </w:r>
      <w:r w:rsidRPr="00FD7D36">
        <w:rPr>
          <w:szCs w:val="22"/>
        </w:rPr>
        <w:t xml:space="preserve">that </w:t>
      </w:r>
      <w:r w:rsidRPr="00FD7D36" w:rsidR="00E93974">
        <w:rPr>
          <w:szCs w:val="22"/>
        </w:rPr>
        <w:t xml:space="preserve">a </w:t>
      </w:r>
      <w:r w:rsidRPr="00FD7D36" w:rsidR="00B26773">
        <w:rPr>
          <w:szCs w:val="22"/>
        </w:rPr>
        <w:t>cop</w:t>
      </w:r>
      <w:r w:rsidRPr="00FD7D36" w:rsidR="002C39CB">
        <w:rPr>
          <w:szCs w:val="22"/>
        </w:rPr>
        <w:t>y</w:t>
      </w:r>
      <w:r w:rsidRPr="00FD7D36" w:rsidR="00B26773">
        <w:rPr>
          <w:szCs w:val="22"/>
        </w:rPr>
        <w:t xml:space="preserve"> </w:t>
      </w:r>
      <w:r w:rsidRPr="00FD7D36">
        <w:rPr>
          <w:szCs w:val="22"/>
        </w:rPr>
        <w:t xml:space="preserve">of the Order shall be </w:t>
      </w:r>
      <w:r w:rsidRPr="00FD7D36" w:rsidR="002B1820">
        <w:rPr>
          <w:szCs w:val="22"/>
        </w:rPr>
        <w:t xml:space="preserve">sent </w:t>
      </w:r>
      <w:r w:rsidRPr="00FD7D36">
        <w:rPr>
          <w:szCs w:val="22"/>
        </w:rPr>
        <w:t xml:space="preserve">by email to </w:t>
      </w:r>
      <w:r w:rsidRPr="00FD7D36" w:rsidR="00E80DFD">
        <w:rPr>
          <w:szCs w:val="22"/>
        </w:rPr>
        <w:t>jason</w:t>
      </w:r>
      <w:r w:rsidRPr="00FD7D36" w:rsidR="00DE2038">
        <w:rPr>
          <w:szCs w:val="22"/>
        </w:rPr>
        <w:t xml:space="preserve">.gao@cpcteam.com </w:t>
      </w:r>
      <w:r w:rsidRPr="00FD7D36">
        <w:rPr>
          <w:szCs w:val="22"/>
        </w:rPr>
        <w:t xml:space="preserve">on the release date of this Order and also that a copy shall be sent by first class mail and certified mail, return receipt requested, to </w:t>
      </w:r>
      <w:r w:rsidRPr="00FD7D36" w:rsidR="00DE2038">
        <w:rPr>
          <w:szCs w:val="22"/>
        </w:rPr>
        <w:t>Jason Gao</w:t>
      </w:r>
      <w:r w:rsidRPr="00FD7D36">
        <w:rPr>
          <w:szCs w:val="22"/>
        </w:rPr>
        <w:t xml:space="preserve">, </w:t>
      </w:r>
      <w:r w:rsidRPr="00FD7D36" w:rsidR="00DF2764">
        <w:rPr>
          <w:szCs w:val="22"/>
        </w:rPr>
        <w:t>Lab Manager</w:t>
      </w:r>
      <w:r w:rsidRPr="00FD7D36">
        <w:rPr>
          <w:szCs w:val="22"/>
        </w:rPr>
        <w:t xml:space="preserve">, </w:t>
      </w:r>
      <w:r w:rsidRPr="00FD7D36" w:rsidR="00DF2764">
        <w:rPr>
          <w:szCs w:val="22"/>
        </w:rPr>
        <w:t>SLG</w:t>
      </w:r>
      <w:r w:rsidRPr="00FD7D36" w:rsidR="00504D96">
        <w:rPr>
          <w:szCs w:val="22"/>
        </w:rPr>
        <w:t>-CPC</w:t>
      </w:r>
      <w:r w:rsidRPr="00FD7D36">
        <w:rPr>
          <w:szCs w:val="22"/>
        </w:rPr>
        <w:t xml:space="preserve">, </w:t>
      </w:r>
      <w:r w:rsidRPr="00FD7D36" w:rsidR="00FA63AF">
        <w:rPr>
          <w:szCs w:val="22"/>
        </w:rPr>
        <w:t>No</w:t>
      </w:r>
      <w:r w:rsidRPr="00FD7D36" w:rsidR="00BF643F">
        <w:rPr>
          <w:szCs w:val="22"/>
        </w:rPr>
        <w:t xml:space="preserve">. </w:t>
      </w:r>
      <w:r w:rsidRPr="00FD7D36" w:rsidR="00FA63AF">
        <w:rPr>
          <w:szCs w:val="22"/>
        </w:rPr>
        <w:t xml:space="preserve">11, Wu Song Road, </w:t>
      </w:r>
      <w:r w:rsidRPr="00FD7D36" w:rsidR="00FA63AF">
        <w:rPr>
          <w:szCs w:val="22"/>
        </w:rPr>
        <w:t>Dongcheng</w:t>
      </w:r>
      <w:r w:rsidRPr="00FD7D36" w:rsidR="00FA63AF">
        <w:rPr>
          <w:szCs w:val="22"/>
        </w:rPr>
        <w:t xml:space="preserve"> District, Dongguan, Guangdong Province, China</w:t>
      </w:r>
      <w:r w:rsidRPr="00FD7D36">
        <w:rPr>
          <w:szCs w:val="22"/>
        </w:rPr>
        <w:t>.</w:t>
      </w:r>
    </w:p>
    <w:p w:rsidR="00A93E0B" w:rsidRPr="00FD7D36" w:rsidP="00A93E0B" w14:paraId="31E40751" w14:textId="58445F9F">
      <w:pPr>
        <w:pStyle w:val="ParaNum"/>
        <w:numPr>
          <w:ilvl w:val="0"/>
          <w:numId w:val="0"/>
        </w:numPr>
        <w:rPr>
          <w:szCs w:val="22"/>
        </w:rPr>
      </w:pPr>
    </w:p>
    <w:p w:rsidR="000C32B9" w:rsidRPr="00FD7D36" w:rsidP="000C32B9" w14:paraId="0863B97C" w14:textId="77777777">
      <w:pPr>
        <w:pStyle w:val="ParaNum"/>
        <w:numPr>
          <w:ilvl w:val="0"/>
          <w:numId w:val="0"/>
        </w:numPr>
        <w:spacing w:after="0"/>
        <w:ind w:left="3600" w:firstLine="720"/>
        <w:rPr>
          <w:szCs w:val="22"/>
        </w:rPr>
      </w:pPr>
      <w:r w:rsidRPr="00FD7D36">
        <w:rPr>
          <w:szCs w:val="22"/>
        </w:rPr>
        <w:t xml:space="preserve">FEDERAL COMMUNICATIONS COMMISSION </w:t>
      </w:r>
    </w:p>
    <w:p w:rsidR="000C32B9" w:rsidP="000C32B9" w14:paraId="1C4C169E" w14:textId="77777777">
      <w:pPr>
        <w:pStyle w:val="ParaNum"/>
        <w:numPr>
          <w:ilvl w:val="0"/>
          <w:numId w:val="0"/>
        </w:numPr>
        <w:spacing w:after="0"/>
        <w:ind w:left="3600" w:firstLine="720"/>
        <w:rPr>
          <w:szCs w:val="22"/>
        </w:rPr>
      </w:pPr>
    </w:p>
    <w:p w:rsidR="00645A84" w:rsidRPr="00FD7D36" w:rsidP="000C32B9" w14:paraId="4D772FB3" w14:textId="77777777">
      <w:pPr>
        <w:pStyle w:val="ParaNum"/>
        <w:numPr>
          <w:ilvl w:val="0"/>
          <w:numId w:val="0"/>
        </w:numPr>
        <w:spacing w:after="0"/>
        <w:ind w:left="3600" w:firstLine="720"/>
        <w:rPr>
          <w:szCs w:val="22"/>
        </w:rPr>
      </w:pPr>
    </w:p>
    <w:p w:rsidR="000C32B9" w:rsidRPr="00FD7D36" w:rsidP="000C32B9" w14:paraId="2BCE86FB" w14:textId="77777777">
      <w:pPr>
        <w:pStyle w:val="ParaNum"/>
        <w:numPr>
          <w:ilvl w:val="0"/>
          <w:numId w:val="0"/>
        </w:numPr>
        <w:spacing w:after="0"/>
        <w:ind w:left="3600" w:firstLine="720"/>
        <w:rPr>
          <w:szCs w:val="22"/>
        </w:rPr>
      </w:pPr>
    </w:p>
    <w:p w:rsidR="000C32B9" w:rsidRPr="00FD7D36" w:rsidP="000C32B9" w14:paraId="7335E49F" w14:textId="77777777">
      <w:pPr>
        <w:pStyle w:val="ParaNum"/>
        <w:numPr>
          <w:ilvl w:val="0"/>
          <w:numId w:val="0"/>
        </w:numPr>
        <w:spacing w:after="0"/>
        <w:ind w:left="3600" w:firstLine="720"/>
        <w:rPr>
          <w:szCs w:val="22"/>
        </w:rPr>
      </w:pPr>
    </w:p>
    <w:p w:rsidR="000C32B9" w:rsidRPr="00FD7D36" w:rsidP="000C32B9" w14:paraId="41DB06B0" w14:textId="33CA4E98">
      <w:pPr>
        <w:pStyle w:val="ParaNum"/>
        <w:numPr>
          <w:ilvl w:val="0"/>
          <w:numId w:val="0"/>
        </w:numPr>
        <w:spacing w:after="0"/>
        <w:ind w:left="3600" w:firstLine="720"/>
        <w:rPr>
          <w:szCs w:val="22"/>
        </w:rPr>
      </w:pPr>
      <w:r w:rsidRPr="00FD7D36">
        <w:rPr>
          <w:szCs w:val="22"/>
        </w:rPr>
        <w:t xml:space="preserve">Andrew C. Hendrickson </w:t>
      </w:r>
    </w:p>
    <w:p w:rsidR="000C32B9" w:rsidRPr="00FD7D36" w:rsidP="000C32B9" w14:paraId="2FA493AE" w14:textId="77777777">
      <w:pPr>
        <w:pStyle w:val="ParaNum"/>
        <w:numPr>
          <w:ilvl w:val="0"/>
          <w:numId w:val="0"/>
        </w:numPr>
        <w:spacing w:after="0"/>
        <w:ind w:left="3600" w:firstLine="720"/>
        <w:rPr>
          <w:szCs w:val="22"/>
        </w:rPr>
      </w:pPr>
      <w:r w:rsidRPr="00FD7D36">
        <w:rPr>
          <w:szCs w:val="22"/>
        </w:rPr>
        <w:t xml:space="preserve">Chief </w:t>
      </w:r>
    </w:p>
    <w:p w:rsidR="001D6205" w:rsidRPr="00FD7D36" w:rsidP="000C32B9" w14:paraId="4E8222D9" w14:textId="0A9C7797">
      <w:pPr>
        <w:pStyle w:val="ParaNum"/>
        <w:numPr>
          <w:ilvl w:val="0"/>
          <w:numId w:val="0"/>
        </w:numPr>
        <w:spacing w:after="0"/>
        <w:ind w:left="3600" w:firstLine="720"/>
        <w:rPr>
          <w:szCs w:val="22"/>
        </w:rPr>
      </w:pPr>
      <w:r w:rsidRPr="00FD7D36">
        <w:rPr>
          <w:szCs w:val="22"/>
        </w:rPr>
        <w:t>Office of Engineering and Technology</w:t>
      </w:r>
    </w:p>
    <w:sectPr w:rsidSect="0055614C">
      <w:headerReference w:type="default" r:id="rId7"/>
      <w:headerReference w:type="first" r:id="rId8"/>
      <w:footerReference w:type="first" r:id="rId9"/>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C030DB" w14:paraId="2A65D8C6" w14:textId="77777777">
      <w:pPr>
        <w:spacing w:line="20" w:lineRule="exact"/>
      </w:pPr>
    </w:p>
  </w:endnote>
  <w:endnote w:type="continuationSeparator" w:id="1">
    <w:p w:rsidR="00C030DB" w14:paraId="6AFD296B" w14:textId="77777777">
      <w:r>
        <w:t xml:space="preserve"> </w:t>
      </w:r>
    </w:p>
  </w:endnote>
  <w:endnote w:type="continuationNotice" w:id="2">
    <w:p w:rsidR="00C030DB" w14:paraId="40C5DA34"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C7713" w14:paraId="59233457" w14:textId="2FC10799">
    <w:pPr>
      <w:pStyle w:val="Footer"/>
      <w:jc w:val="center"/>
    </w:pPr>
  </w:p>
  <w:p w:rsidR="00D25FB5" w14:paraId="1A12DA34"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030DB" w14:paraId="7A1F48AF" w14:textId="77777777">
      <w:r>
        <w:separator/>
      </w:r>
    </w:p>
  </w:footnote>
  <w:footnote w:type="continuationSeparator" w:id="1">
    <w:p w:rsidR="00C030DB" w:rsidP="00C721AC" w14:paraId="7C7E2DB6" w14:textId="77777777">
      <w:pPr>
        <w:spacing w:before="120"/>
        <w:rPr>
          <w:sz w:val="20"/>
        </w:rPr>
      </w:pPr>
      <w:r>
        <w:rPr>
          <w:sz w:val="20"/>
        </w:rPr>
        <w:t xml:space="preserve">(Continued from previous page)  </w:t>
      </w:r>
      <w:r>
        <w:rPr>
          <w:sz w:val="20"/>
        </w:rPr>
        <w:separator/>
      </w:r>
    </w:p>
  </w:footnote>
  <w:footnote w:type="continuationNotice" w:id="2">
    <w:p w:rsidR="00C030DB" w:rsidP="00C721AC" w14:paraId="6AAB5281" w14:textId="77777777">
      <w:pPr>
        <w:jc w:val="right"/>
        <w:rPr>
          <w:sz w:val="20"/>
        </w:rPr>
      </w:pPr>
      <w:r>
        <w:rPr>
          <w:sz w:val="20"/>
        </w:rPr>
        <w:t>(continued….)</w:t>
      </w:r>
    </w:p>
  </w:footnote>
  <w:footnote w:id="3">
    <w:p w:rsidR="005D6BD2" w:rsidRPr="00645A84" w14:paraId="73327EFC" w14:textId="4512C1D0">
      <w:pPr>
        <w:pStyle w:val="FootnoteText"/>
      </w:pPr>
      <w:r>
        <w:rPr>
          <w:rStyle w:val="FootnoteReference"/>
        </w:rPr>
        <w:footnoteRef/>
      </w:r>
      <w:r w:rsidRPr="00645A84">
        <w:t xml:space="preserve"> 47 U.S.C. </w:t>
      </w:r>
      <w:r w:rsidRPr="00645A84" w:rsidR="004D3A68">
        <w:t xml:space="preserve">§ </w:t>
      </w:r>
      <w:r w:rsidRPr="00645A84">
        <w:t>302a(e)</w:t>
      </w:r>
      <w:r w:rsidRPr="00645A84" w:rsidR="00413058">
        <w:t>; 47 CFR § 2.951(e)</w:t>
      </w:r>
      <w:r w:rsidRPr="00645A84" w:rsidR="008E3296">
        <w:t>.</w:t>
      </w:r>
      <w:r w:rsidRPr="00645A84">
        <w:t xml:space="preserve"> </w:t>
      </w:r>
    </w:p>
  </w:footnote>
  <w:footnote w:id="4">
    <w:p w:rsidR="00217CD4" w:rsidP="00217CD4" w14:paraId="099C7F96" w14:textId="75707B18">
      <w:pPr>
        <w:pStyle w:val="FootnoteText"/>
      </w:pPr>
      <w:r>
        <w:rPr>
          <w:rStyle w:val="FootnoteReference"/>
        </w:rPr>
        <w:footnoteRef/>
      </w:r>
      <w:r>
        <w:t xml:space="preserve"> 47 U.S.C. § 302a(a); </w:t>
      </w:r>
      <w:r w:rsidRPr="00E64BFF">
        <w:rPr>
          <w:i/>
          <w:iCs/>
        </w:rPr>
        <w:t>see generally</w:t>
      </w:r>
      <w:r>
        <w:t xml:space="preserve"> 47 CFR pt. 2</w:t>
      </w:r>
      <w:r w:rsidR="008E3296">
        <w:t>,</w:t>
      </w:r>
      <w:r>
        <w:t xml:space="preserve"> </w:t>
      </w:r>
      <w:r>
        <w:t>subpt</w:t>
      </w:r>
      <w:r>
        <w:t>. J (equipment authorization procedures).</w:t>
      </w:r>
    </w:p>
  </w:footnote>
  <w:footnote w:id="5">
    <w:p w:rsidR="00253B12" w14:paraId="6DDEC933" w14:textId="422CD619">
      <w:pPr>
        <w:pStyle w:val="FootnoteText"/>
      </w:pPr>
      <w:r>
        <w:rPr>
          <w:rStyle w:val="FootnoteReference"/>
        </w:rPr>
        <w:footnoteRef/>
      </w:r>
      <w:r>
        <w:t xml:space="preserve"> </w:t>
      </w:r>
      <w:r w:rsidRPr="0035495C" w:rsidR="0035495C">
        <w:t xml:space="preserve">47 U.S.C. § 302a(e); </w:t>
      </w:r>
      <w:r w:rsidRPr="00E64BFF" w:rsidR="0035495C">
        <w:rPr>
          <w:i/>
          <w:iCs/>
        </w:rPr>
        <w:t>see</w:t>
      </w:r>
      <w:r w:rsidRPr="0035495C" w:rsidR="0035495C">
        <w:t xml:space="preserve"> 47 CFR §§ 2.948</w:t>
      </w:r>
      <w:r w:rsidR="00AF4C1E">
        <w:t>,</w:t>
      </w:r>
      <w:r w:rsidRPr="0035495C" w:rsidR="00101A3F">
        <w:t xml:space="preserve"> </w:t>
      </w:r>
      <w:r w:rsidRPr="0035495C" w:rsidR="0035495C">
        <w:t>2.951</w:t>
      </w:r>
      <w:r w:rsidR="0035495C">
        <w:t>.</w:t>
      </w:r>
    </w:p>
  </w:footnote>
  <w:footnote w:id="6">
    <w:p w:rsidR="00757271" w14:paraId="0E65877E" w14:textId="1BCC41B6">
      <w:pPr>
        <w:pStyle w:val="FootnoteText"/>
      </w:pPr>
      <w:r>
        <w:rPr>
          <w:rStyle w:val="FootnoteReference"/>
        </w:rPr>
        <w:footnoteRef/>
      </w:r>
      <w:r>
        <w:t xml:space="preserve"> </w:t>
      </w:r>
      <w:r w:rsidR="006D12AB">
        <w:rPr>
          <w:i/>
          <w:iCs/>
        </w:rPr>
        <w:t>Id.</w:t>
      </w:r>
      <w:r>
        <w:t>;</w:t>
      </w:r>
      <w:r w:rsidR="006D12AB">
        <w:t xml:space="preserve"> </w:t>
      </w:r>
      <w:r w:rsidR="006D12AB">
        <w:rPr>
          <w:i/>
          <w:iCs/>
        </w:rPr>
        <w:t xml:space="preserve">see also </w:t>
      </w:r>
      <w:r w:rsidR="00C27CBE">
        <w:t>General requirements for the competence of testing and calibration laboratories, ISO/IEC 17025:2017 (</w:t>
      </w:r>
      <w:r w:rsidR="00036F2E">
        <w:t>2017)</w:t>
      </w:r>
      <w:r w:rsidR="00C27CBE">
        <w:t>,</w:t>
      </w:r>
      <w:r>
        <w:t xml:space="preserve"> </w:t>
      </w:r>
      <w:hyperlink r:id="rId1" w:history="1">
        <w:r w:rsidRPr="00257317" w:rsidR="00F02BD3">
          <w:rPr>
            <w:rStyle w:val="Hyperlink"/>
          </w:rPr>
          <w:t>https://www.iso.org/standard/66912.html</w:t>
        </w:r>
      </w:hyperlink>
      <w:r w:rsidR="00F02BD3">
        <w:t xml:space="preserve">. </w:t>
      </w:r>
    </w:p>
  </w:footnote>
  <w:footnote w:id="7">
    <w:p w:rsidR="002C11CF" w:rsidRPr="00645A84" w:rsidP="002C11CF" w14:paraId="407BB132" w14:textId="77777777">
      <w:pPr>
        <w:pStyle w:val="FootnoteText"/>
      </w:pPr>
      <w:r>
        <w:rPr>
          <w:rStyle w:val="FootnoteReference"/>
        </w:rPr>
        <w:footnoteRef/>
      </w:r>
      <w:r w:rsidRPr="00645A84">
        <w:t xml:space="preserve"> 47 CFR § 2.911(e).</w:t>
      </w:r>
    </w:p>
  </w:footnote>
  <w:footnote w:id="8">
    <w:p w:rsidR="00F5379B" w:rsidRPr="00645A84" w:rsidP="00F5379B" w14:paraId="3987E4B1" w14:textId="4D1E5D97">
      <w:pPr>
        <w:pStyle w:val="FootnoteText"/>
      </w:pPr>
      <w:r>
        <w:rPr>
          <w:rStyle w:val="FootnoteReference"/>
        </w:rPr>
        <w:footnoteRef/>
      </w:r>
      <w:r w:rsidRPr="00645A84">
        <w:t xml:space="preserve"> 47 CFR § 1.17.</w:t>
      </w:r>
    </w:p>
  </w:footnote>
  <w:footnote w:id="9">
    <w:p w:rsidR="00D94D44" w14:paraId="6ED64A3F" w14:textId="20F941E6">
      <w:pPr>
        <w:pStyle w:val="FootnoteText"/>
      </w:pPr>
      <w:r>
        <w:rPr>
          <w:rStyle w:val="FootnoteReference"/>
        </w:rPr>
        <w:footnoteRef/>
      </w:r>
      <w:r>
        <w:t xml:space="preserve"> </w:t>
      </w:r>
      <w:r w:rsidR="00177486">
        <w:t>Letter from</w:t>
      </w:r>
      <w:r w:rsidR="006044BF">
        <w:t xml:space="preserve"> Jihad Hermes, </w:t>
      </w:r>
      <w:r w:rsidR="000566E5">
        <w:t xml:space="preserve">Electronics Engineer, </w:t>
      </w:r>
      <w:r w:rsidR="006044BF">
        <w:t>FCC OET</w:t>
      </w:r>
      <w:r w:rsidR="000566E5">
        <w:t xml:space="preserve"> to Jason</w:t>
      </w:r>
      <w:r w:rsidR="00213D28">
        <w:t xml:space="preserve"> Gao, Lab Manager, SLG-CPC</w:t>
      </w:r>
      <w:r w:rsidR="000566E5">
        <w:t xml:space="preserve"> (</w:t>
      </w:r>
      <w:r w:rsidR="00213D28">
        <w:t>Oct. 12, 2021)</w:t>
      </w:r>
      <w:r w:rsidR="00C21C62">
        <w:t xml:space="preserve"> (copying Megan McConnell, A2LA)</w:t>
      </w:r>
      <w:r w:rsidR="00177510">
        <w:t xml:space="preserve"> (Exhibit A).</w:t>
      </w:r>
    </w:p>
  </w:footnote>
  <w:footnote w:id="10">
    <w:p w:rsidR="0012646C" w14:paraId="0B3B2EE7" w14:textId="29028FB9">
      <w:pPr>
        <w:pStyle w:val="FootnoteText"/>
      </w:pPr>
      <w:r>
        <w:rPr>
          <w:rStyle w:val="FootnoteReference"/>
        </w:rPr>
        <w:footnoteRef/>
      </w:r>
      <w:r>
        <w:t xml:space="preserve"> </w:t>
      </w:r>
      <w:r w:rsidRPr="00741D0B" w:rsidR="00602831">
        <w:t>FCC OET Authorization Search</w:t>
      </w:r>
      <w:r w:rsidR="00602831">
        <w:t xml:space="preserve">, </w:t>
      </w:r>
      <w:hyperlink r:id="rId2" w:history="1">
        <w:r w:rsidRPr="004F27D6" w:rsidR="00602831">
          <w:rPr>
            <w:rStyle w:val="Hyperlink"/>
          </w:rPr>
          <w:t>https://apps.fcc.gov/oetcf/eas/reports/GenericSearch.cfm</w:t>
        </w:r>
      </w:hyperlink>
      <w:r w:rsidR="00602831">
        <w:t xml:space="preserve"> (</w:t>
      </w:r>
      <w:r w:rsidR="004827A2">
        <w:t xml:space="preserve">a </w:t>
      </w:r>
      <w:r w:rsidR="007144A1">
        <w:t xml:space="preserve">search for “SLG-CPC” in the Test Firm field returns 349 </w:t>
      </w:r>
      <w:r w:rsidR="00D54C74">
        <w:t xml:space="preserve">results). </w:t>
      </w:r>
      <w:r w:rsidR="007144A1">
        <w:t xml:space="preserve"> </w:t>
      </w:r>
    </w:p>
  </w:footnote>
  <w:footnote w:id="11">
    <w:p w:rsidR="00715367" w14:paraId="578B6786" w14:textId="7267013B">
      <w:pPr>
        <w:pStyle w:val="FootnoteText"/>
      </w:pPr>
      <w:r>
        <w:rPr>
          <w:rStyle w:val="FootnoteReference"/>
        </w:rPr>
        <w:footnoteRef/>
      </w:r>
      <w:r>
        <w:t xml:space="preserve"> </w:t>
      </w:r>
      <w:r w:rsidR="00214F39">
        <w:rPr>
          <w:i/>
          <w:iCs/>
        </w:rPr>
        <w:t xml:space="preserve">See </w:t>
      </w:r>
      <w:r w:rsidRPr="00645A84">
        <w:t>47 CFR §§ 2.911(e).</w:t>
      </w:r>
    </w:p>
  </w:footnote>
  <w:footnote w:id="12">
    <w:p w:rsidR="000939B6" w:rsidP="000939B6" w14:paraId="1BAC9227" w14:textId="77777777">
      <w:pPr>
        <w:pStyle w:val="FootnoteText"/>
      </w:pPr>
      <w:r>
        <w:rPr>
          <w:rStyle w:val="FootnoteReference"/>
        </w:rPr>
        <w:footnoteRef/>
      </w:r>
      <w:r>
        <w:t xml:space="preserve"> Email from Corey Cahill, Electronics Engineer, FCC OET to Jason Gao, Lab Manager, SLG-CPC (Mar. 27, 2026) (Exhibit B).</w:t>
      </w:r>
    </w:p>
  </w:footnote>
  <w:footnote w:id="13">
    <w:p w:rsidR="00346990" w14:paraId="2E5E4802" w14:textId="31454C0C">
      <w:pPr>
        <w:pStyle w:val="FootnoteText"/>
      </w:pPr>
      <w:r>
        <w:rPr>
          <w:rStyle w:val="FootnoteReference"/>
        </w:rPr>
        <w:footnoteRef/>
      </w:r>
      <w:r w:rsidR="00D22A60">
        <w:rPr>
          <w:i/>
          <w:iCs/>
        </w:rPr>
        <w:t>Id</w:t>
      </w:r>
      <w:r w:rsidR="00F56C07">
        <w:t>.</w:t>
      </w:r>
    </w:p>
  </w:footnote>
  <w:footnote w:id="14">
    <w:p w:rsidR="00526906" w14:paraId="7960B9F9" w14:textId="1A717BFC">
      <w:pPr>
        <w:pStyle w:val="FootnoteText"/>
      </w:pPr>
      <w:r>
        <w:rPr>
          <w:rStyle w:val="FootnoteReference"/>
        </w:rPr>
        <w:footnoteRef/>
      </w:r>
      <w:r>
        <w:t xml:space="preserve"> Email from Nancy Pan, General Manager, SLG-CPC to Corey Cahill, Electronics Engineer, FCC OET (Apr. 17, 2026) (Pan Email) (Exhibit C).</w:t>
      </w:r>
    </w:p>
  </w:footnote>
  <w:footnote w:id="15">
    <w:p w:rsidR="005A28DE" w14:paraId="77203826" w14:textId="44176506">
      <w:pPr>
        <w:pStyle w:val="FootnoteText"/>
      </w:pPr>
      <w:r>
        <w:rPr>
          <w:rStyle w:val="FootnoteReference"/>
        </w:rPr>
        <w:footnoteRef/>
      </w:r>
      <w:r>
        <w:t xml:space="preserve"> </w:t>
      </w:r>
      <w:r w:rsidR="00526906">
        <w:rPr>
          <w:i/>
          <w:iCs/>
        </w:rPr>
        <w:t>Id</w:t>
      </w:r>
      <w:r>
        <w:t>.</w:t>
      </w:r>
    </w:p>
  </w:footnote>
  <w:footnote w:id="16">
    <w:p w:rsidR="002915A7" w14:paraId="09774CD4" w14:textId="0C97A7C7">
      <w:pPr>
        <w:pStyle w:val="FootnoteText"/>
      </w:pPr>
      <w:r>
        <w:rPr>
          <w:rStyle w:val="FootnoteReference"/>
        </w:rPr>
        <w:footnoteRef/>
      </w:r>
      <w:r>
        <w:t xml:space="preserve"> </w:t>
      </w:r>
      <w:r w:rsidR="006D38C1">
        <w:rPr>
          <w:i/>
          <w:iCs/>
        </w:rPr>
        <w:t>Id</w:t>
      </w:r>
      <w:r w:rsidR="005134F3">
        <w:rPr>
          <w:i/>
          <w:iCs/>
        </w:rPr>
        <w:t xml:space="preserve">. </w:t>
      </w:r>
    </w:p>
  </w:footnote>
  <w:footnote w:id="17">
    <w:p w:rsidR="00F37DA9" w:rsidRPr="00645A84" w14:paraId="6CE42B4F" w14:textId="02557EA1">
      <w:pPr>
        <w:pStyle w:val="FootnoteText"/>
      </w:pPr>
      <w:r>
        <w:rPr>
          <w:rStyle w:val="FootnoteReference"/>
        </w:rPr>
        <w:footnoteRef/>
      </w:r>
      <w:r w:rsidRPr="00645A84">
        <w:t xml:space="preserve"> 47 CFR § 1.17(a)</w:t>
      </w:r>
      <w:r w:rsidRPr="00645A84" w:rsidR="00FF0F9C">
        <w:t>(1)</w:t>
      </w:r>
      <w:r w:rsidRPr="00645A84">
        <w:t>; 5 U</w:t>
      </w:r>
      <w:r w:rsidRPr="00645A84" w:rsidR="00076EDC">
        <w:t>.</w:t>
      </w:r>
      <w:r w:rsidRPr="00645A84">
        <w:t>S</w:t>
      </w:r>
      <w:r w:rsidRPr="00645A84" w:rsidR="00076EDC">
        <w:t>.</w:t>
      </w:r>
      <w:r w:rsidRPr="00645A84">
        <w:t>C</w:t>
      </w:r>
      <w:r w:rsidRPr="00645A84" w:rsidR="00076EDC">
        <w:t>.</w:t>
      </w:r>
      <w:r w:rsidRPr="00645A84">
        <w:t xml:space="preserve"> § 558(c).</w:t>
      </w:r>
    </w:p>
  </w:footnote>
  <w:footnote w:id="18">
    <w:p w:rsidR="00147EFC" w:rsidRPr="00645A84" w:rsidP="00147EFC" w14:paraId="002C48E2" w14:textId="09E0AA38">
      <w:pPr>
        <w:pStyle w:val="FootnoteText"/>
      </w:pPr>
      <w:r>
        <w:rPr>
          <w:rStyle w:val="FootnoteReference"/>
        </w:rPr>
        <w:footnoteRef/>
      </w:r>
      <w:r w:rsidRPr="00645A84">
        <w:t xml:space="preserve"> 47 CFR § 1.17(a)</w:t>
      </w:r>
      <w:r w:rsidRPr="00645A84" w:rsidR="00FF0F9C">
        <w:t>(2)</w:t>
      </w:r>
      <w:r w:rsidRPr="00645A84" w:rsidR="00F37DA9">
        <w:t>; 5 U</w:t>
      </w:r>
      <w:r w:rsidRPr="00645A84" w:rsidR="001F6810">
        <w:t>.</w:t>
      </w:r>
      <w:r w:rsidRPr="00645A84" w:rsidR="00F37DA9">
        <w:t>S</w:t>
      </w:r>
      <w:r w:rsidRPr="00645A84" w:rsidR="001F6810">
        <w:t>.</w:t>
      </w:r>
      <w:r w:rsidRPr="00645A84" w:rsidR="00F37DA9">
        <w:t>C</w:t>
      </w:r>
      <w:r w:rsidRPr="00645A84" w:rsidR="001F6810">
        <w:t>.</w:t>
      </w:r>
      <w:r w:rsidRPr="00645A84" w:rsidR="00F37DA9">
        <w:t xml:space="preserve"> § 558(c).</w:t>
      </w:r>
    </w:p>
  </w:footnote>
  <w:footnote w:id="19">
    <w:p w:rsidR="007D78BA" w14:paraId="67686BF4" w14:textId="3240EF24">
      <w:pPr>
        <w:pStyle w:val="FootnoteText"/>
      </w:pPr>
      <w:r>
        <w:rPr>
          <w:rStyle w:val="FootnoteReference"/>
        </w:rPr>
        <w:footnoteRef/>
      </w:r>
      <w:r>
        <w:t xml:space="preserve"> </w:t>
      </w:r>
      <w:r w:rsidR="00FB34A3">
        <w:rPr>
          <w:i/>
          <w:iCs/>
        </w:rPr>
        <w:t>Coosemans</w:t>
      </w:r>
      <w:r w:rsidR="00FB34A3">
        <w:rPr>
          <w:i/>
          <w:iCs/>
        </w:rPr>
        <w:t xml:space="preserve"> Specialties, Inc. v. </w:t>
      </w:r>
      <w:r w:rsidR="00FB34A3">
        <w:rPr>
          <w:i/>
          <w:iCs/>
        </w:rPr>
        <w:t>Dep’t</w:t>
      </w:r>
      <w:r w:rsidR="00FB34A3">
        <w:rPr>
          <w:i/>
          <w:iCs/>
        </w:rPr>
        <w:t xml:space="preserve"> of Agric.</w:t>
      </w:r>
      <w:r w:rsidR="00FB34A3">
        <w:t xml:space="preserve">, 482 F.3d 560, 567 (D.C. Cir. 2007) (quoting </w:t>
      </w:r>
      <w:r w:rsidR="00FB34A3">
        <w:rPr>
          <w:i/>
          <w:iCs/>
        </w:rPr>
        <w:t>Finer Foods Sales Co. v. Block</w:t>
      </w:r>
      <w:r w:rsidR="00FB34A3">
        <w:t xml:space="preserve">, 708 F.3d 774, 778 (D.C. Cir. 1983)).   </w:t>
      </w:r>
    </w:p>
  </w:footnote>
  <w:footnote w:id="20">
    <w:p w:rsidR="00D46C37" w:rsidRPr="00D46C37" w14:paraId="2AAF5B4D" w14:textId="363D002A">
      <w:pPr>
        <w:pStyle w:val="FootnoteText"/>
      </w:pPr>
      <w:r>
        <w:rPr>
          <w:rStyle w:val="FootnoteReference"/>
        </w:rPr>
        <w:footnoteRef/>
      </w:r>
      <w:r>
        <w:t xml:space="preserve"> </w:t>
      </w:r>
      <w:r>
        <w:rPr>
          <w:i/>
          <w:iCs/>
        </w:rPr>
        <w:t>Id</w:t>
      </w:r>
      <w:r>
        <w:t xml:space="preserve">.; </w:t>
      </w:r>
      <w:r w:rsidRPr="00E64BFF">
        <w:rPr>
          <w:i/>
          <w:iCs/>
        </w:rPr>
        <w:t>see also</w:t>
      </w:r>
      <w:r>
        <w:t xml:space="preserve"> </w:t>
      </w:r>
      <w:r w:rsidR="00797CE1">
        <w:t>Pan Email</w:t>
      </w:r>
      <w:r w:rsidR="00E3358B">
        <w:t xml:space="preserve"> (Exhibit </w:t>
      </w:r>
      <w:r w:rsidR="00177510">
        <w:t>C</w:t>
      </w:r>
      <w:r w:rsidR="00E3358B">
        <w:t>).</w:t>
      </w:r>
    </w:p>
  </w:footnote>
  <w:footnote w:id="21">
    <w:p w:rsidR="005324C2" w14:paraId="55135789" w14:textId="1AC47B65">
      <w:pPr>
        <w:pStyle w:val="FootnoteText"/>
      </w:pPr>
      <w:r>
        <w:rPr>
          <w:rStyle w:val="FootnoteReference"/>
        </w:rPr>
        <w:footnoteRef/>
      </w:r>
      <w:r>
        <w:t xml:space="preserve"> </w:t>
      </w:r>
      <w:r w:rsidRPr="005324C2">
        <w:t>47 CFR § 1.16.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74259" w14:paraId="23E71D4F" w14:textId="5F58A67C">
    <w:pPr>
      <w:pStyle w:val="Header"/>
    </w:pPr>
    <w:r>
      <w:tab/>
      <w:t>Federal Communications Commission</w:t>
    </w:r>
    <w:r>
      <w:tab/>
    </w:r>
    <w:r w:rsidR="00645A84">
      <w:t>DA</w:t>
    </w:r>
    <w:r>
      <w:t xml:space="preserve"> 26-569</w:t>
    </w:r>
  </w:p>
  <w:p w:rsidR="00674259" w14:paraId="44C4A842" w14:textId="4777B94D">
    <w:pPr>
      <w:pStyle w:val="Heade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-635</wp:posOffset>
              </wp:positionV>
              <wp:extent cx="5943600" cy="12065"/>
              <wp:effectExtent l="0" t="0" r="19050" b="26035"/>
              <wp:wrapNone/>
              <wp:docPr id="1112173564"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w="635">
                        <a:solidFill>
                          <a:srgbClr val="000000"/>
                        </a:solidFill>
                        <a:miter lim="800000"/>
                        <a:headEnd/>
                        <a:tailEnd/>
                      </a:ln>
                      <a:effectLst/>
                      <a:extLs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05pt;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F073A" w:rsidP="005F073A" w14:paraId="036C8398" w14:textId="0C35D7AC">
    <w:pPr>
      <w:pStyle w:val="Header"/>
    </w:pPr>
    <w:r>
      <w:tab/>
      <w:t>Federal Communications Commission</w:t>
    </w:r>
    <w:r>
      <w:tab/>
    </w:r>
    <w:r w:rsidR="00645A84">
      <w:t>DA</w:t>
    </w:r>
    <w:r>
      <w:t xml:space="preserve"> 26-</w:t>
    </w:r>
    <w:r w:rsidR="00FD7D36">
      <w:t>569</w:t>
    </w:r>
  </w:p>
  <w:p w:rsidR="005F073A" w:rsidP="005F073A" w14:paraId="750103FB"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19050" b="26035"/>
              <wp:wrapNone/>
              <wp:docPr id="7"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w="635">
                        <a:solidFill>
                          <a:srgbClr val="000000"/>
                        </a:solidFill>
                        <a:miter lim="800000"/>
                        <a:headEnd/>
                        <a:tailEnd/>
                      </a:ln>
                      <a:effectLst/>
                      <a:extLs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weight="0.05pt">
              <w10:wrap anchorx="margin"/>
            </v:rect>
          </w:pict>
        </mc:Fallback>
      </mc:AlternateContent>
    </w:r>
  </w:p>
  <w:p w:rsidR="005F073A" w:rsidP="005F073A" w14:paraId="17441568"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D00E4AF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F4E65EB"/>
    <w:multiLevelType w:val="hybridMultilevel"/>
    <w:tmpl w:val="60E49858"/>
    <w:lvl w:ilvl="0">
      <w:start w:val="1"/>
      <w:numFmt w:val="lowerRoman"/>
      <w:lvlText w:val="%1."/>
      <w:lvlJc w:val="right"/>
      <w:pPr>
        <w:ind w:left="720" w:hanging="360"/>
      </w:p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21E13E23"/>
    <w:multiLevelType w:val="hybridMultilevel"/>
    <w:tmpl w:val="FFFFFFFF"/>
    <w:lvl w:ilvl="0">
      <w:start w:val="1"/>
      <w:numFmt w:val="decimal"/>
      <w:pStyle w:val="Paranum0"/>
      <w:lvlText w:val="%1."/>
      <w:lvlJc w:val="left"/>
      <w:pPr>
        <w:ind w:left="117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8">
    <w:nsid w:val="3E742BD9"/>
    <w:multiLevelType w:val="hybridMultilevel"/>
    <w:tmpl w:val="E0F2472C"/>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404B3E25"/>
    <w:multiLevelType w:val="multilevel"/>
    <w:tmpl w:val="A2587362"/>
    <w:lvl w:ilvl="0">
      <w:start w:val="1"/>
      <w:numFmt w:val="decimal"/>
      <w:pStyle w:val="StyleParaNumItali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nsid w:val="472C284F"/>
    <w:multiLevelType w:val="hybridMultilevel"/>
    <w:tmpl w:val="5224BC7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1">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
    <w:nsid w:val="56C34600"/>
    <w:multiLevelType w:val="hybridMultilevel"/>
    <w:tmpl w:val="01544026"/>
    <w:lvl w:ilvl="0">
      <w:start w:val="1"/>
      <w:numFmt w:val="upperLetter"/>
      <w:lvlText w:val="%1."/>
      <w:lvlJc w:val="left"/>
      <w:pPr>
        <w:ind w:left="1080" w:hanging="360"/>
      </w:pPr>
      <w:rPr>
        <w:b/>
        <w:bCs/>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3">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4">
    <w:nsid w:val="63B6130F"/>
    <w:multiLevelType w:val="hybridMultilevel"/>
    <w:tmpl w:val="F5682E1C"/>
    <w:lvl w:ilvl="0">
      <w:start w:val="1"/>
      <w:numFmt w:val="decimal"/>
      <w:lvlText w:val="%1."/>
      <w:lvlJc w:val="left"/>
      <w:pPr>
        <w:tabs>
          <w:tab w:val="num" w:pos="1080"/>
        </w:tabs>
        <w:ind w:left="0" w:firstLine="720"/>
      </w:pPr>
      <w:rPr>
        <w:rFonts w:hint="default"/>
        <w:b w:val="0"/>
      </w:rPr>
    </w:lvl>
    <w:lvl w:ilvl="1">
      <w:start w:val="1"/>
      <w:numFmt w:val="upperLetter"/>
      <w:lvlText w:val="%2."/>
      <w:lvlJc w:val="left"/>
      <w:pPr>
        <w:ind w:left="72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72E351FF"/>
    <w:multiLevelType w:val="hybridMultilevel"/>
    <w:tmpl w:val="82B4932A"/>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1800" w:hanging="360"/>
      </w:pPr>
    </w:lvl>
    <w:lvl w:ilvl="3">
      <w:start w:val="1"/>
      <w:numFmt w:val="decimal"/>
      <w:lvlText w:val="%4."/>
      <w:lvlJc w:val="left"/>
      <w:pPr>
        <w:ind w:left="1800" w:hanging="360"/>
      </w:pPr>
    </w:lvl>
    <w:lvl w:ilvl="4">
      <w:start w:val="1"/>
      <w:numFmt w:val="decimal"/>
      <w:lvlText w:val="%5."/>
      <w:lvlJc w:val="left"/>
      <w:pPr>
        <w:ind w:left="1800" w:hanging="360"/>
      </w:pPr>
    </w:lvl>
    <w:lvl w:ilvl="5">
      <w:start w:val="1"/>
      <w:numFmt w:val="decimal"/>
      <w:lvlText w:val="%6."/>
      <w:lvlJc w:val="left"/>
      <w:pPr>
        <w:ind w:left="1800" w:hanging="360"/>
      </w:pPr>
    </w:lvl>
    <w:lvl w:ilvl="6">
      <w:start w:val="1"/>
      <w:numFmt w:val="decimal"/>
      <w:lvlText w:val="%7."/>
      <w:lvlJc w:val="left"/>
      <w:pPr>
        <w:ind w:left="1800" w:hanging="360"/>
      </w:pPr>
    </w:lvl>
    <w:lvl w:ilvl="7">
      <w:start w:val="1"/>
      <w:numFmt w:val="decimal"/>
      <w:lvlText w:val="%8."/>
      <w:lvlJc w:val="left"/>
      <w:pPr>
        <w:ind w:left="1800" w:hanging="360"/>
      </w:pPr>
    </w:lvl>
    <w:lvl w:ilvl="8">
      <w:start w:val="1"/>
      <w:numFmt w:val="decimal"/>
      <w:lvlText w:val="%9."/>
      <w:lvlJc w:val="left"/>
      <w:pPr>
        <w:ind w:left="1800" w:hanging="360"/>
      </w:pPr>
    </w:lvl>
  </w:abstractNum>
  <w:abstractNum w:abstractNumId="16">
    <w:nsid w:val="748322E7"/>
    <w:multiLevelType w:val="hybridMultilevel"/>
    <w:tmpl w:val="01544026"/>
    <w:lvl w:ilvl="0">
      <w:start w:val="1"/>
      <w:numFmt w:val="upperLetter"/>
      <w:lvlText w:val="%1."/>
      <w:lvlJc w:val="left"/>
      <w:pPr>
        <w:ind w:left="720" w:hanging="360"/>
      </w:pPr>
      <w:rPr>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2008360635">
    <w:abstractNumId w:val="4"/>
  </w:num>
  <w:num w:numId="2" w16cid:durableId="213585309">
    <w:abstractNumId w:val="13"/>
  </w:num>
  <w:num w:numId="3" w16cid:durableId="1631322605">
    <w:abstractNumId w:val="6"/>
  </w:num>
  <w:num w:numId="4" w16cid:durableId="201215132">
    <w:abstractNumId w:val="11"/>
  </w:num>
  <w:num w:numId="5" w16cid:durableId="837699026">
    <w:abstractNumId w:val="5"/>
  </w:num>
  <w:num w:numId="6" w16cid:durableId="1167793341">
    <w:abstractNumId w:val="1"/>
  </w:num>
  <w:num w:numId="7" w16cid:durableId="2061467102">
    <w:abstractNumId w:val="13"/>
    <w:lvlOverride w:ilvl="0">
      <w:startOverride w:val="1"/>
    </w:lvlOverride>
  </w:num>
  <w:num w:numId="8" w16cid:durableId="972295883">
    <w:abstractNumId w:val="13"/>
    <w:lvlOverride w:ilvl="0">
      <w:startOverride w:val="1"/>
    </w:lvlOverride>
  </w:num>
  <w:num w:numId="9" w16cid:durableId="1100762888">
    <w:abstractNumId w:val="13"/>
    <w:lvlOverride w:ilvl="0">
      <w:startOverride w:val="1"/>
    </w:lvlOverride>
  </w:num>
  <w:num w:numId="10" w16cid:durableId="867791870">
    <w:abstractNumId w:val="13"/>
    <w:lvlOverride w:ilvl="0">
      <w:startOverride w:val="1"/>
    </w:lvlOverride>
  </w:num>
  <w:num w:numId="11" w16cid:durableId="1457987325">
    <w:abstractNumId w:val="2"/>
  </w:num>
  <w:num w:numId="12" w16cid:durableId="1831604237">
    <w:abstractNumId w:val="3"/>
  </w:num>
  <w:num w:numId="13" w16cid:durableId="1968855020">
    <w:abstractNumId w:val="9"/>
  </w:num>
  <w:num w:numId="14" w16cid:durableId="1401976535">
    <w:abstractNumId w:val="0"/>
  </w:num>
  <w:num w:numId="15" w16cid:durableId="1678076246">
    <w:abstractNumId w:val="7"/>
  </w:num>
  <w:num w:numId="16" w16cid:durableId="137179990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5664701">
    <w:abstractNumId w:val="14"/>
  </w:num>
  <w:num w:numId="18" w16cid:durableId="1207913522">
    <w:abstractNumId w:val="16"/>
  </w:num>
  <w:num w:numId="19" w16cid:durableId="1631210094">
    <w:abstractNumId w:val="8"/>
  </w:num>
  <w:num w:numId="20" w16cid:durableId="291600055">
    <w:abstractNumId w:val="12"/>
  </w:num>
  <w:num w:numId="21" w16cid:durableId="630750527">
    <w:abstractNumId w:val="15"/>
  </w:num>
  <w:num w:numId="22" w16cid:durableId="877086707">
    <w:abstractNumId w:val="10"/>
  </w:num>
  <w:num w:numId="23" w16cid:durableId="3959775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972024">
    <w:abstractNumId w:val="13"/>
    <w:lvlOverride w:ilvl="0">
      <w:startOverride w:val="1"/>
    </w:lvlOverride>
  </w:num>
  <w:num w:numId="25" w16cid:durableId="69154591">
    <w:abstractNumId w:val="1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42E"/>
    <w:rsid w:val="000004EA"/>
    <w:rsid w:val="00002D88"/>
    <w:rsid w:val="000052E4"/>
    <w:rsid w:val="00006CCC"/>
    <w:rsid w:val="00007F9B"/>
    <w:rsid w:val="000131B8"/>
    <w:rsid w:val="00013406"/>
    <w:rsid w:val="000144C8"/>
    <w:rsid w:val="00015D8A"/>
    <w:rsid w:val="000200FD"/>
    <w:rsid w:val="00026A94"/>
    <w:rsid w:val="0003392E"/>
    <w:rsid w:val="00036039"/>
    <w:rsid w:val="0003668B"/>
    <w:rsid w:val="00036F2E"/>
    <w:rsid w:val="00037F90"/>
    <w:rsid w:val="000419FA"/>
    <w:rsid w:val="00042CDF"/>
    <w:rsid w:val="0004592D"/>
    <w:rsid w:val="00045986"/>
    <w:rsid w:val="00045CED"/>
    <w:rsid w:val="00050BA2"/>
    <w:rsid w:val="00054ECB"/>
    <w:rsid w:val="000566E5"/>
    <w:rsid w:val="00064228"/>
    <w:rsid w:val="000643E4"/>
    <w:rsid w:val="00064510"/>
    <w:rsid w:val="000656E8"/>
    <w:rsid w:val="000744ED"/>
    <w:rsid w:val="00076EDC"/>
    <w:rsid w:val="00083A24"/>
    <w:rsid w:val="00085A70"/>
    <w:rsid w:val="000875BF"/>
    <w:rsid w:val="000905BF"/>
    <w:rsid w:val="00090BD2"/>
    <w:rsid w:val="000910FF"/>
    <w:rsid w:val="000939B6"/>
    <w:rsid w:val="000969D2"/>
    <w:rsid w:val="00096D8C"/>
    <w:rsid w:val="000A0BDC"/>
    <w:rsid w:val="000A23E3"/>
    <w:rsid w:val="000A70DE"/>
    <w:rsid w:val="000B18A6"/>
    <w:rsid w:val="000B20E4"/>
    <w:rsid w:val="000B4678"/>
    <w:rsid w:val="000B501A"/>
    <w:rsid w:val="000B7524"/>
    <w:rsid w:val="000C01DC"/>
    <w:rsid w:val="000C0317"/>
    <w:rsid w:val="000C0B65"/>
    <w:rsid w:val="000C138A"/>
    <w:rsid w:val="000C32B9"/>
    <w:rsid w:val="000C3538"/>
    <w:rsid w:val="000C41EE"/>
    <w:rsid w:val="000C7360"/>
    <w:rsid w:val="000C7EE5"/>
    <w:rsid w:val="000D0A59"/>
    <w:rsid w:val="000D3F09"/>
    <w:rsid w:val="000E05FE"/>
    <w:rsid w:val="000E3D42"/>
    <w:rsid w:val="000E4CD2"/>
    <w:rsid w:val="000E5574"/>
    <w:rsid w:val="000E7109"/>
    <w:rsid w:val="000F2292"/>
    <w:rsid w:val="000F4BEF"/>
    <w:rsid w:val="000F6693"/>
    <w:rsid w:val="000F6CEE"/>
    <w:rsid w:val="00101A3F"/>
    <w:rsid w:val="0010262F"/>
    <w:rsid w:val="001032AC"/>
    <w:rsid w:val="00103A80"/>
    <w:rsid w:val="00105990"/>
    <w:rsid w:val="00112E25"/>
    <w:rsid w:val="00120118"/>
    <w:rsid w:val="00121B52"/>
    <w:rsid w:val="00122BD5"/>
    <w:rsid w:val="0012326C"/>
    <w:rsid w:val="00124807"/>
    <w:rsid w:val="0012646C"/>
    <w:rsid w:val="00131D16"/>
    <w:rsid w:val="0013304C"/>
    <w:rsid w:val="00133F79"/>
    <w:rsid w:val="00137241"/>
    <w:rsid w:val="00137EAA"/>
    <w:rsid w:val="00143332"/>
    <w:rsid w:val="001433F0"/>
    <w:rsid w:val="001434BC"/>
    <w:rsid w:val="00144CF7"/>
    <w:rsid w:val="0014575A"/>
    <w:rsid w:val="00147116"/>
    <w:rsid w:val="00147711"/>
    <w:rsid w:val="00147EFC"/>
    <w:rsid w:val="0015202C"/>
    <w:rsid w:val="001579F4"/>
    <w:rsid w:val="0016118E"/>
    <w:rsid w:val="001636A0"/>
    <w:rsid w:val="001642D5"/>
    <w:rsid w:val="0016553D"/>
    <w:rsid w:val="0016702C"/>
    <w:rsid w:val="0017054F"/>
    <w:rsid w:val="001707EA"/>
    <w:rsid w:val="00170DC1"/>
    <w:rsid w:val="0017351B"/>
    <w:rsid w:val="00173833"/>
    <w:rsid w:val="001741C1"/>
    <w:rsid w:val="0017663B"/>
    <w:rsid w:val="00177486"/>
    <w:rsid w:val="00177510"/>
    <w:rsid w:val="0018042E"/>
    <w:rsid w:val="001809E3"/>
    <w:rsid w:val="00180CAD"/>
    <w:rsid w:val="00180F88"/>
    <w:rsid w:val="00181983"/>
    <w:rsid w:val="001916E6"/>
    <w:rsid w:val="00191D70"/>
    <w:rsid w:val="001929E5"/>
    <w:rsid w:val="001942E6"/>
    <w:rsid w:val="00194736"/>
    <w:rsid w:val="001948F8"/>
    <w:rsid w:val="0019498A"/>
    <w:rsid w:val="00194A66"/>
    <w:rsid w:val="00195073"/>
    <w:rsid w:val="001977DA"/>
    <w:rsid w:val="001A0608"/>
    <w:rsid w:val="001A140A"/>
    <w:rsid w:val="001A567C"/>
    <w:rsid w:val="001B15AF"/>
    <w:rsid w:val="001B1735"/>
    <w:rsid w:val="001B700C"/>
    <w:rsid w:val="001C0211"/>
    <w:rsid w:val="001C50AE"/>
    <w:rsid w:val="001C5355"/>
    <w:rsid w:val="001C5F67"/>
    <w:rsid w:val="001C6040"/>
    <w:rsid w:val="001D05DE"/>
    <w:rsid w:val="001D2285"/>
    <w:rsid w:val="001D26C6"/>
    <w:rsid w:val="001D2B76"/>
    <w:rsid w:val="001D2BD4"/>
    <w:rsid w:val="001D3BF5"/>
    <w:rsid w:val="001D51D2"/>
    <w:rsid w:val="001D6205"/>
    <w:rsid w:val="001D6BCF"/>
    <w:rsid w:val="001E01CA"/>
    <w:rsid w:val="001E0F4B"/>
    <w:rsid w:val="001E213C"/>
    <w:rsid w:val="001E40B2"/>
    <w:rsid w:val="001E556B"/>
    <w:rsid w:val="001E6307"/>
    <w:rsid w:val="001E7D92"/>
    <w:rsid w:val="001E7D93"/>
    <w:rsid w:val="001F14A9"/>
    <w:rsid w:val="001F14F6"/>
    <w:rsid w:val="001F2004"/>
    <w:rsid w:val="001F2D6C"/>
    <w:rsid w:val="001F3053"/>
    <w:rsid w:val="001F5707"/>
    <w:rsid w:val="001F6810"/>
    <w:rsid w:val="001F6AD3"/>
    <w:rsid w:val="001F6C8A"/>
    <w:rsid w:val="001F754F"/>
    <w:rsid w:val="0020002B"/>
    <w:rsid w:val="002012DD"/>
    <w:rsid w:val="002055E5"/>
    <w:rsid w:val="00205AC7"/>
    <w:rsid w:val="00206126"/>
    <w:rsid w:val="00211389"/>
    <w:rsid w:val="002115C0"/>
    <w:rsid w:val="0021186E"/>
    <w:rsid w:val="00213D28"/>
    <w:rsid w:val="00214F39"/>
    <w:rsid w:val="002158E7"/>
    <w:rsid w:val="00215B95"/>
    <w:rsid w:val="00217CD4"/>
    <w:rsid w:val="002212BA"/>
    <w:rsid w:val="00224457"/>
    <w:rsid w:val="00225344"/>
    <w:rsid w:val="00232D21"/>
    <w:rsid w:val="00232FEA"/>
    <w:rsid w:val="002355F0"/>
    <w:rsid w:val="00235616"/>
    <w:rsid w:val="0023647A"/>
    <w:rsid w:val="00237E73"/>
    <w:rsid w:val="00242273"/>
    <w:rsid w:val="00243743"/>
    <w:rsid w:val="00244B26"/>
    <w:rsid w:val="002461AE"/>
    <w:rsid w:val="00246309"/>
    <w:rsid w:val="00246E25"/>
    <w:rsid w:val="00246F48"/>
    <w:rsid w:val="00247954"/>
    <w:rsid w:val="00250D31"/>
    <w:rsid w:val="002522CC"/>
    <w:rsid w:val="00253B12"/>
    <w:rsid w:val="002558B2"/>
    <w:rsid w:val="00257317"/>
    <w:rsid w:val="00260149"/>
    <w:rsid w:val="0026309D"/>
    <w:rsid w:val="0026410F"/>
    <w:rsid w:val="00270D07"/>
    <w:rsid w:val="002711E2"/>
    <w:rsid w:val="00272D9E"/>
    <w:rsid w:val="00275CF5"/>
    <w:rsid w:val="00277114"/>
    <w:rsid w:val="0028301F"/>
    <w:rsid w:val="002832B6"/>
    <w:rsid w:val="00283A60"/>
    <w:rsid w:val="00285017"/>
    <w:rsid w:val="00285DF1"/>
    <w:rsid w:val="0028647F"/>
    <w:rsid w:val="00287357"/>
    <w:rsid w:val="002915A7"/>
    <w:rsid w:val="00291A40"/>
    <w:rsid w:val="002921D3"/>
    <w:rsid w:val="00293ECD"/>
    <w:rsid w:val="00293EF4"/>
    <w:rsid w:val="00294365"/>
    <w:rsid w:val="002973D9"/>
    <w:rsid w:val="002A0429"/>
    <w:rsid w:val="002A0A7E"/>
    <w:rsid w:val="002A2233"/>
    <w:rsid w:val="002A22C3"/>
    <w:rsid w:val="002A2C9E"/>
    <w:rsid w:val="002A2D2E"/>
    <w:rsid w:val="002A64F8"/>
    <w:rsid w:val="002B1820"/>
    <w:rsid w:val="002B2561"/>
    <w:rsid w:val="002B3F95"/>
    <w:rsid w:val="002B4E40"/>
    <w:rsid w:val="002B635D"/>
    <w:rsid w:val="002B6AA2"/>
    <w:rsid w:val="002B72BB"/>
    <w:rsid w:val="002B73D3"/>
    <w:rsid w:val="002C00E8"/>
    <w:rsid w:val="002C11CF"/>
    <w:rsid w:val="002C191E"/>
    <w:rsid w:val="002C39CB"/>
    <w:rsid w:val="002C6613"/>
    <w:rsid w:val="002C7029"/>
    <w:rsid w:val="002C70FB"/>
    <w:rsid w:val="002D172D"/>
    <w:rsid w:val="002D5CF2"/>
    <w:rsid w:val="002D71C3"/>
    <w:rsid w:val="002E08AC"/>
    <w:rsid w:val="002E21DE"/>
    <w:rsid w:val="002E2DEB"/>
    <w:rsid w:val="002E4180"/>
    <w:rsid w:val="002F3FA6"/>
    <w:rsid w:val="002F4F42"/>
    <w:rsid w:val="002F598B"/>
    <w:rsid w:val="002F76F7"/>
    <w:rsid w:val="002F7D87"/>
    <w:rsid w:val="00300963"/>
    <w:rsid w:val="00300E80"/>
    <w:rsid w:val="00303049"/>
    <w:rsid w:val="003037EE"/>
    <w:rsid w:val="00303B7C"/>
    <w:rsid w:val="00304C61"/>
    <w:rsid w:val="003067CB"/>
    <w:rsid w:val="003067ED"/>
    <w:rsid w:val="00306B99"/>
    <w:rsid w:val="003131E5"/>
    <w:rsid w:val="00316A79"/>
    <w:rsid w:val="0031775B"/>
    <w:rsid w:val="00317C2E"/>
    <w:rsid w:val="0032344F"/>
    <w:rsid w:val="0032577E"/>
    <w:rsid w:val="00326123"/>
    <w:rsid w:val="003272B8"/>
    <w:rsid w:val="00333960"/>
    <w:rsid w:val="00333B72"/>
    <w:rsid w:val="003371FC"/>
    <w:rsid w:val="00342807"/>
    <w:rsid w:val="00343749"/>
    <w:rsid w:val="00346990"/>
    <w:rsid w:val="0035459F"/>
    <w:rsid w:val="0035495C"/>
    <w:rsid w:val="003613C1"/>
    <w:rsid w:val="003647D9"/>
    <w:rsid w:val="003655D3"/>
    <w:rsid w:val="003660ED"/>
    <w:rsid w:val="00371997"/>
    <w:rsid w:val="00373609"/>
    <w:rsid w:val="003764B4"/>
    <w:rsid w:val="003764DE"/>
    <w:rsid w:val="00380564"/>
    <w:rsid w:val="00383ED7"/>
    <w:rsid w:val="0038476A"/>
    <w:rsid w:val="0039015A"/>
    <w:rsid w:val="00391E79"/>
    <w:rsid w:val="003923B5"/>
    <w:rsid w:val="00392A0D"/>
    <w:rsid w:val="003975D4"/>
    <w:rsid w:val="003A172F"/>
    <w:rsid w:val="003A299E"/>
    <w:rsid w:val="003A610F"/>
    <w:rsid w:val="003A72A4"/>
    <w:rsid w:val="003B04E0"/>
    <w:rsid w:val="003B0550"/>
    <w:rsid w:val="003B0F24"/>
    <w:rsid w:val="003B2C58"/>
    <w:rsid w:val="003B30DD"/>
    <w:rsid w:val="003B3E63"/>
    <w:rsid w:val="003B5F94"/>
    <w:rsid w:val="003B694F"/>
    <w:rsid w:val="003B76EA"/>
    <w:rsid w:val="003B79AC"/>
    <w:rsid w:val="003C7B8D"/>
    <w:rsid w:val="003D055B"/>
    <w:rsid w:val="003D05E1"/>
    <w:rsid w:val="003D103F"/>
    <w:rsid w:val="003D2375"/>
    <w:rsid w:val="003D4292"/>
    <w:rsid w:val="003E2EAE"/>
    <w:rsid w:val="003E38CC"/>
    <w:rsid w:val="003F0571"/>
    <w:rsid w:val="003F171C"/>
    <w:rsid w:val="003F183B"/>
    <w:rsid w:val="003F3438"/>
    <w:rsid w:val="003F3FC5"/>
    <w:rsid w:val="003F4D32"/>
    <w:rsid w:val="003F6D35"/>
    <w:rsid w:val="003F6F7D"/>
    <w:rsid w:val="003F7E4F"/>
    <w:rsid w:val="00403F45"/>
    <w:rsid w:val="00404B09"/>
    <w:rsid w:val="00406361"/>
    <w:rsid w:val="00406CAD"/>
    <w:rsid w:val="00406DDB"/>
    <w:rsid w:val="00406F74"/>
    <w:rsid w:val="004101B7"/>
    <w:rsid w:val="004124DC"/>
    <w:rsid w:val="00412FC5"/>
    <w:rsid w:val="00413058"/>
    <w:rsid w:val="00415751"/>
    <w:rsid w:val="0041583A"/>
    <w:rsid w:val="00420E0E"/>
    <w:rsid w:val="00421A99"/>
    <w:rsid w:val="00422276"/>
    <w:rsid w:val="00422427"/>
    <w:rsid w:val="00423A0B"/>
    <w:rsid w:val="004242F1"/>
    <w:rsid w:val="00425AE8"/>
    <w:rsid w:val="00430EB8"/>
    <w:rsid w:val="004334A4"/>
    <w:rsid w:val="004341FA"/>
    <w:rsid w:val="0044324C"/>
    <w:rsid w:val="00443D91"/>
    <w:rsid w:val="0044428E"/>
    <w:rsid w:val="00445A00"/>
    <w:rsid w:val="00446DEF"/>
    <w:rsid w:val="00450109"/>
    <w:rsid w:val="00451B0F"/>
    <w:rsid w:val="00451DDD"/>
    <w:rsid w:val="00453F3A"/>
    <w:rsid w:val="00454722"/>
    <w:rsid w:val="00454D03"/>
    <w:rsid w:val="0045617E"/>
    <w:rsid w:val="0045773F"/>
    <w:rsid w:val="00461747"/>
    <w:rsid w:val="004618FB"/>
    <w:rsid w:val="00464998"/>
    <w:rsid w:val="004661FF"/>
    <w:rsid w:val="0046782C"/>
    <w:rsid w:val="0047252F"/>
    <w:rsid w:val="00473598"/>
    <w:rsid w:val="00481CF1"/>
    <w:rsid w:val="004827A2"/>
    <w:rsid w:val="00484140"/>
    <w:rsid w:val="00485B95"/>
    <w:rsid w:val="00487519"/>
    <w:rsid w:val="00490144"/>
    <w:rsid w:val="00493ABB"/>
    <w:rsid w:val="00493AC4"/>
    <w:rsid w:val="004949FE"/>
    <w:rsid w:val="00497374"/>
    <w:rsid w:val="00497CC1"/>
    <w:rsid w:val="004A1324"/>
    <w:rsid w:val="004A3932"/>
    <w:rsid w:val="004A5DD4"/>
    <w:rsid w:val="004A768B"/>
    <w:rsid w:val="004B0395"/>
    <w:rsid w:val="004B0491"/>
    <w:rsid w:val="004B0731"/>
    <w:rsid w:val="004B726B"/>
    <w:rsid w:val="004B74CD"/>
    <w:rsid w:val="004C1241"/>
    <w:rsid w:val="004C17E0"/>
    <w:rsid w:val="004C2EE3"/>
    <w:rsid w:val="004C3399"/>
    <w:rsid w:val="004C59BC"/>
    <w:rsid w:val="004C6453"/>
    <w:rsid w:val="004D1E33"/>
    <w:rsid w:val="004D3A68"/>
    <w:rsid w:val="004D5914"/>
    <w:rsid w:val="004D6616"/>
    <w:rsid w:val="004D705C"/>
    <w:rsid w:val="004E19C9"/>
    <w:rsid w:val="004E4A22"/>
    <w:rsid w:val="004F27D6"/>
    <w:rsid w:val="004F552A"/>
    <w:rsid w:val="004F5E27"/>
    <w:rsid w:val="005011A5"/>
    <w:rsid w:val="005034C7"/>
    <w:rsid w:val="00504D96"/>
    <w:rsid w:val="0050687F"/>
    <w:rsid w:val="00506DE7"/>
    <w:rsid w:val="00507F52"/>
    <w:rsid w:val="0051090C"/>
    <w:rsid w:val="00511968"/>
    <w:rsid w:val="005134F3"/>
    <w:rsid w:val="00514482"/>
    <w:rsid w:val="00514C8B"/>
    <w:rsid w:val="00514EF1"/>
    <w:rsid w:val="00515D65"/>
    <w:rsid w:val="0051670B"/>
    <w:rsid w:val="0052262C"/>
    <w:rsid w:val="00524D58"/>
    <w:rsid w:val="00525062"/>
    <w:rsid w:val="0052655A"/>
    <w:rsid w:val="00526906"/>
    <w:rsid w:val="0052768F"/>
    <w:rsid w:val="00527A59"/>
    <w:rsid w:val="00531473"/>
    <w:rsid w:val="005314D2"/>
    <w:rsid w:val="005324C2"/>
    <w:rsid w:val="00532E6C"/>
    <w:rsid w:val="00532F62"/>
    <w:rsid w:val="005349FE"/>
    <w:rsid w:val="0053662B"/>
    <w:rsid w:val="005369AF"/>
    <w:rsid w:val="0054176E"/>
    <w:rsid w:val="00544400"/>
    <w:rsid w:val="0054544A"/>
    <w:rsid w:val="0054717E"/>
    <w:rsid w:val="00547733"/>
    <w:rsid w:val="0055020F"/>
    <w:rsid w:val="00551216"/>
    <w:rsid w:val="00553A6B"/>
    <w:rsid w:val="00554F0C"/>
    <w:rsid w:val="0055614C"/>
    <w:rsid w:val="005574EC"/>
    <w:rsid w:val="005602FF"/>
    <w:rsid w:val="0056241C"/>
    <w:rsid w:val="00566C7A"/>
    <w:rsid w:val="00566D06"/>
    <w:rsid w:val="00575D4A"/>
    <w:rsid w:val="00576025"/>
    <w:rsid w:val="005776D3"/>
    <w:rsid w:val="00584708"/>
    <w:rsid w:val="00586919"/>
    <w:rsid w:val="00590220"/>
    <w:rsid w:val="00594061"/>
    <w:rsid w:val="005A246D"/>
    <w:rsid w:val="005A28DE"/>
    <w:rsid w:val="005A587A"/>
    <w:rsid w:val="005A69A2"/>
    <w:rsid w:val="005A7B51"/>
    <w:rsid w:val="005B0A61"/>
    <w:rsid w:val="005B2817"/>
    <w:rsid w:val="005B2EC6"/>
    <w:rsid w:val="005B4F47"/>
    <w:rsid w:val="005B66B7"/>
    <w:rsid w:val="005B7F05"/>
    <w:rsid w:val="005C2321"/>
    <w:rsid w:val="005C2CD9"/>
    <w:rsid w:val="005C3D14"/>
    <w:rsid w:val="005C4B56"/>
    <w:rsid w:val="005D0937"/>
    <w:rsid w:val="005D2391"/>
    <w:rsid w:val="005D6127"/>
    <w:rsid w:val="005D6BD2"/>
    <w:rsid w:val="005E1490"/>
    <w:rsid w:val="005E14C2"/>
    <w:rsid w:val="005E68AD"/>
    <w:rsid w:val="005F073A"/>
    <w:rsid w:val="005F1102"/>
    <w:rsid w:val="005F1E83"/>
    <w:rsid w:val="005F29C1"/>
    <w:rsid w:val="005F3A46"/>
    <w:rsid w:val="005F6FB9"/>
    <w:rsid w:val="00601D13"/>
    <w:rsid w:val="00602831"/>
    <w:rsid w:val="00603F34"/>
    <w:rsid w:val="00603F48"/>
    <w:rsid w:val="006044BF"/>
    <w:rsid w:val="00605171"/>
    <w:rsid w:val="006060E1"/>
    <w:rsid w:val="0060754F"/>
    <w:rsid w:val="00607BA5"/>
    <w:rsid w:val="0061180A"/>
    <w:rsid w:val="00612A19"/>
    <w:rsid w:val="00616CBB"/>
    <w:rsid w:val="006176ED"/>
    <w:rsid w:val="0062129C"/>
    <w:rsid w:val="00625633"/>
    <w:rsid w:val="00626EB6"/>
    <w:rsid w:val="00632703"/>
    <w:rsid w:val="00632FBD"/>
    <w:rsid w:val="006333C2"/>
    <w:rsid w:val="006341FE"/>
    <w:rsid w:val="006417BB"/>
    <w:rsid w:val="00642C4F"/>
    <w:rsid w:val="00643DFD"/>
    <w:rsid w:val="0064521F"/>
    <w:rsid w:val="006459B1"/>
    <w:rsid w:val="00645A84"/>
    <w:rsid w:val="00647032"/>
    <w:rsid w:val="00647441"/>
    <w:rsid w:val="00650D79"/>
    <w:rsid w:val="00652190"/>
    <w:rsid w:val="00652F04"/>
    <w:rsid w:val="00653198"/>
    <w:rsid w:val="00655D03"/>
    <w:rsid w:val="00656EBE"/>
    <w:rsid w:val="006570E6"/>
    <w:rsid w:val="006619F9"/>
    <w:rsid w:val="00667FAF"/>
    <w:rsid w:val="00670079"/>
    <w:rsid w:val="00671C68"/>
    <w:rsid w:val="00672915"/>
    <w:rsid w:val="00673378"/>
    <w:rsid w:val="00674259"/>
    <w:rsid w:val="00677D2E"/>
    <w:rsid w:val="00680004"/>
    <w:rsid w:val="00680991"/>
    <w:rsid w:val="00680E0F"/>
    <w:rsid w:val="00683388"/>
    <w:rsid w:val="00683CAA"/>
    <w:rsid w:val="00683F84"/>
    <w:rsid w:val="006859F0"/>
    <w:rsid w:val="00686897"/>
    <w:rsid w:val="00690E81"/>
    <w:rsid w:val="00696A0A"/>
    <w:rsid w:val="00697068"/>
    <w:rsid w:val="006A0188"/>
    <w:rsid w:val="006A2DD5"/>
    <w:rsid w:val="006A35E1"/>
    <w:rsid w:val="006A509A"/>
    <w:rsid w:val="006A5984"/>
    <w:rsid w:val="006A5AC7"/>
    <w:rsid w:val="006A6A81"/>
    <w:rsid w:val="006B331F"/>
    <w:rsid w:val="006B39C5"/>
    <w:rsid w:val="006B4BFB"/>
    <w:rsid w:val="006B6AEE"/>
    <w:rsid w:val="006B6B0F"/>
    <w:rsid w:val="006B7DD7"/>
    <w:rsid w:val="006C0F57"/>
    <w:rsid w:val="006C10B1"/>
    <w:rsid w:val="006C17BD"/>
    <w:rsid w:val="006C2516"/>
    <w:rsid w:val="006C4C2E"/>
    <w:rsid w:val="006C74CF"/>
    <w:rsid w:val="006C7713"/>
    <w:rsid w:val="006C79A0"/>
    <w:rsid w:val="006D120B"/>
    <w:rsid w:val="006D12AB"/>
    <w:rsid w:val="006D1A52"/>
    <w:rsid w:val="006D1CC9"/>
    <w:rsid w:val="006D38C1"/>
    <w:rsid w:val="006D3E1A"/>
    <w:rsid w:val="006D688D"/>
    <w:rsid w:val="006E21F9"/>
    <w:rsid w:val="006E2E83"/>
    <w:rsid w:val="006E2F4C"/>
    <w:rsid w:val="006E51ED"/>
    <w:rsid w:val="006E76AE"/>
    <w:rsid w:val="006E7995"/>
    <w:rsid w:val="006E7CE8"/>
    <w:rsid w:val="006F1628"/>
    <w:rsid w:val="006F3317"/>
    <w:rsid w:val="006F7393"/>
    <w:rsid w:val="006F7CDA"/>
    <w:rsid w:val="0070180B"/>
    <w:rsid w:val="0070224F"/>
    <w:rsid w:val="00702EAF"/>
    <w:rsid w:val="0070305E"/>
    <w:rsid w:val="007037EA"/>
    <w:rsid w:val="00703B09"/>
    <w:rsid w:val="00704D3F"/>
    <w:rsid w:val="00704DFF"/>
    <w:rsid w:val="0070586B"/>
    <w:rsid w:val="00706532"/>
    <w:rsid w:val="00706707"/>
    <w:rsid w:val="0071158F"/>
    <w:rsid w:val="007115F7"/>
    <w:rsid w:val="00712A0C"/>
    <w:rsid w:val="007144A1"/>
    <w:rsid w:val="00714CF4"/>
    <w:rsid w:val="00715367"/>
    <w:rsid w:val="0071567D"/>
    <w:rsid w:val="00721632"/>
    <w:rsid w:val="007227DD"/>
    <w:rsid w:val="00732561"/>
    <w:rsid w:val="007335D4"/>
    <w:rsid w:val="00733F08"/>
    <w:rsid w:val="0073519C"/>
    <w:rsid w:val="007353EB"/>
    <w:rsid w:val="0074029F"/>
    <w:rsid w:val="00741507"/>
    <w:rsid w:val="00741D0B"/>
    <w:rsid w:val="00744B66"/>
    <w:rsid w:val="007457A6"/>
    <w:rsid w:val="00746047"/>
    <w:rsid w:val="007469A0"/>
    <w:rsid w:val="00747904"/>
    <w:rsid w:val="00750159"/>
    <w:rsid w:val="007504DE"/>
    <w:rsid w:val="0075069D"/>
    <w:rsid w:val="00751B1C"/>
    <w:rsid w:val="00753038"/>
    <w:rsid w:val="00753493"/>
    <w:rsid w:val="00753744"/>
    <w:rsid w:val="00754E45"/>
    <w:rsid w:val="00757271"/>
    <w:rsid w:val="00761EB0"/>
    <w:rsid w:val="00761F40"/>
    <w:rsid w:val="00763419"/>
    <w:rsid w:val="00764D81"/>
    <w:rsid w:val="00767C1E"/>
    <w:rsid w:val="00772E7F"/>
    <w:rsid w:val="0077589C"/>
    <w:rsid w:val="007836F7"/>
    <w:rsid w:val="00785689"/>
    <w:rsid w:val="00786117"/>
    <w:rsid w:val="00786C51"/>
    <w:rsid w:val="0078702C"/>
    <w:rsid w:val="00787D59"/>
    <w:rsid w:val="00794292"/>
    <w:rsid w:val="0079515C"/>
    <w:rsid w:val="007953CF"/>
    <w:rsid w:val="00796411"/>
    <w:rsid w:val="007973A0"/>
    <w:rsid w:val="0079754B"/>
    <w:rsid w:val="00797CE1"/>
    <w:rsid w:val="007A168A"/>
    <w:rsid w:val="007A1E6D"/>
    <w:rsid w:val="007A58BC"/>
    <w:rsid w:val="007A77C0"/>
    <w:rsid w:val="007B033D"/>
    <w:rsid w:val="007B0EB2"/>
    <w:rsid w:val="007B3CAD"/>
    <w:rsid w:val="007B4035"/>
    <w:rsid w:val="007B5669"/>
    <w:rsid w:val="007C19CC"/>
    <w:rsid w:val="007C2D77"/>
    <w:rsid w:val="007C7356"/>
    <w:rsid w:val="007D251D"/>
    <w:rsid w:val="007D49C7"/>
    <w:rsid w:val="007D78BA"/>
    <w:rsid w:val="007E5464"/>
    <w:rsid w:val="007E5CA1"/>
    <w:rsid w:val="007E6300"/>
    <w:rsid w:val="007E6911"/>
    <w:rsid w:val="007F186F"/>
    <w:rsid w:val="007F1C03"/>
    <w:rsid w:val="007F471D"/>
    <w:rsid w:val="007F50FD"/>
    <w:rsid w:val="007F5B5D"/>
    <w:rsid w:val="007F6E57"/>
    <w:rsid w:val="00800C82"/>
    <w:rsid w:val="00805AD2"/>
    <w:rsid w:val="00805AE7"/>
    <w:rsid w:val="00806A26"/>
    <w:rsid w:val="00810B6F"/>
    <w:rsid w:val="00811BD3"/>
    <w:rsid w:val="008149E8"/>
    <w:rsid w:val="00815A8A"/>
    <w:rsid w:val="0081688B"/>
    <w:rsid w:val="00816ABB"/>
    <w:rsid w:val="00817ACB"/>
    <w:rsid w:val="00820A52"/>
    <w:rsid w:val="0082102E"/>
    <w:rsid w:val="0082137A"/>
    <w:rsid w:val="0082252D"/>
    <w:rsid w:val="00822CE0"/>
    <w:rsid w:val="008230E0"/>
    <w:rsid w:val="00824523"/>
    <w:rsid w:val="008303BE"/>
    <w:rsid w:val="00830401"/>
    <w:rsid w:val="0083068D"/>
    <w:rsid w:val="00832196"/>
    <w:rsid w:val="008324D1"/>
    <w:rsid w:val="00832994"/>
    <w:rsid w:val="00833EBC"/>
    <w:rsid w:val="00835AFF"/>
    <w:rsid w:val="008366C8"/>
    <w:rsid w:val="00837FD4"/>
    <w:rsid w:val="00840267"/>
    <w:rsid w:val="00841AB1"/>
    <w:rsid w:val="00842E62"/>
    <w:rsid w:val="00844EAA"/>
    <w:rsid w:val="00847058"/>
    <w:rsid w:val="008536E8"/>
    <w:rsid w:val="00853ED9"/>
    <w:rsid w:val="00853FFA"/>
    <w:rsid w:val="008564F0"/>
    <w:rsid w:val="00857ED1"/>
    <w:rsid w:val="008623BF"/>
    <w:rsid w:val="00864F60"/>
    <w:rsid w:val="008716BE"/>
    <w:rsid w:val="00871E76"/>
    <w:rsid w:val="00873616"/>
    <w:rsid w:val="00873BA9"/>
    <w:rsid w:val="008741AB"/>
    <w:rsid w:val="008746FC"/>
    <w:rsid w:val="00877824"/>
    <w:rsid w:val="00881FEE"/>
    <w:rsid w:val="0088224E"/>
    <w:rsid w:val="00882263"/>
    <w:rsid w:val="008859C0"/>
    <w:rsid w:val="00885D8D"/>
    <w:rsid w:val="00886F6F"/>
    <w:rsid w:val="00890EE6"/>
    <w:rsid w:val="008969A6"/>
    <w:rsid w:val="008973F6"/>
    <w:rsid w:val="008A00C6"/>
    <w:rsid w:val="008A0D60"/>
    <w:rsid w:val="008A1EA9"/>
    <w:rsid w:val="008A2108"/>
    <w:rsid w:val="008A3A45"/>
    <w:rsid w:val="008A43C1"/>
    <w:rsid w:val="008A4DE1"/>
    <w:rsid w:val="008B074E"/>
    <w:rsid w:val="008B26A7"/>
    <w:rsid w:val="008B2A69"/>
    <w:rsid w:val="008B314D"/>
    <w:rsid w:val="008B5214"/>
    <w:rsid w:val="008B5452"/>
    <w:rsid w:val="008B693F"/>
    <w:rsid w:val="008B74EB"/>
    <w:rsid w:val="008B7584"/>
    <w:rsid w:val="008C1587"/>
    <w:rsid w:val="008C1691"/>
    <w:rsid w:val="008C2821"/>
    <w:rsid w:val="008C36E3"/>
    <w:rsid w:val="008C4192"/>
    <w:rsid w:val="008C5CDA"/>
    <w:rsid w:val="008C5ED1"/>
    <w:rsid w:val="008C68F1"/>
    <w:rsid w:val="008C6D12"/>
    <w:rsid w:val="008C7954"/>
    <w:rsid w:val="008D0FDF"/>
    <w:rsid w:val="008D2D7A"/>
    <w:rsid w:val="008D31B8"/>
    <w:rsid w:val="008D41E8"/>
    <w:rsid w:val="008D4EB5"/>
    <w:rsid w:val="008D51B1"/>
    <w:rsid w:val="008D79DE"/>
    <w:rsid w:val="008D7B46"/>
    <w:rsid w:val="008E04E3"/>
    <w:rsid w:val="008E2AD3"/>
    <w:rsid w:val="008E3296"/>
    <w:rsid w:val="008E439A"/>
    <w:rsid w:val="008E5235"/>
    <w:rsid w:val="008F293E"/>
    <w:rsid w:val="008F2D12"/>
    <w:rsid w:val="008F3AE6"/>
    <w:rsid w:val="008F45DC"/>
    <w:rsid w:val="008F54D6"/>
    <w:rsid w:val="008F589B"/>
    <w:rsid w:val="00900A5C"/>
    <w:rsid w:val="00903480"/>
    <w:rsid w:val="009034C7"/>
    <w:rsid w:val="00905FD0"/>
    <w:rsid w:val="00906291"/>
    <w:rsid w:val="00906C5B"/>
    <w:rsid w:val="009077C1"/>
    <w:rsid w:val="009101CC"/>
    <w:rsid w:val="0091091A"/>
    <w:rsid w:val="009137D6"/>
    <w:rsid w:val="00916354"/>
    <w:rsid w:val="0091642F"/>
    <w:rsid w:val="00916677"/>
    <w:rsid w:val="0091790E"/>
    <w:rsid w:val="00921803"/>
    <w:rsid w:val="009224F5"/>
    <w:rsid w:val="009228A8"/>
    <w:rsid w:val="009251BF"/>
    <w:rsid w:val="0092631E"/>
    <w:rsid w:val="00926503"/>
    <w:rsid w:val="00926D2C"/>
    <w:rsid w:val="00927253"/>
    <w:rsid w:val="009316E2"/>
    <w:rsid w:val="00931E02"/>
    <w:rsid w:val="0093214F"/>
    <w:rsid w:val="00936387"/>
    <w:rsid w:val="009420C0"/>
    <w:rsid w:val="0094233F"/>
    <w:rsid w:val="009426F6"/>
    <w:rsid w:val="0094319F"/>
    <w:rsid w:val="009432C4"/>
    <w:rsid w:val="009437B3"/>
    <w:rsid w:val="00944B10"/>
    <w:rsid w:val="00945853"/>
    <w:rsid w:val="0094693B"/>
    <w:rsid w:val="00946D00"/>
    <w:rsid w:val="00946EFC"/>
    <w:rsid w:val="0095284E"/>
    <w:rsid w:val="009529F9"/>
    <w:rsid w:val="00954564"/>
    <w:rsid w:val="00954B6B"/>
    <w:rsid w:val="00954E14"/>
    <w:rsid w:val="0095690B"/>
    <w:rsid w:val="009573BA"/>
    <w:rsid w:val="00957D11"/>
    <w:rsid w:val="0096140B"/>
    <w:rsid w:val="009634B5"/>
    <w:rsid w:val="0096395B"/>
    <w:rsid w:val="009661C2"/>
    <w:rsid w:val="00970943"/>
    <w:rsid w:val="009726D8"/>
    <w:rsid w:val="00976812"/>
    <w:rsid w:val="00976E10"/>
    <w:rsid w:val="00980A71"/>
    <w:rsid w:val="00982F6C"/>
    <w:rsid w:val="00983F8F"/>
    <w:rsid w:val="009853D8"/>
    <w:rsid w:val="00986B00"/>
    <w:rsid w:val="00987FCE"/>
    <w:rsid w:val="00991D7B"/>
    <w:rsid w:val="0099302D"/>
    <w:rsid w:val="00993833"/>
    <w:rsid w:val="00994FD9"/>
    <w:rsid w:val="00995BB8"/>
    <w:rsid w:val="00996B76"/>
    <w:rsid w:val="00996C85"/>
    <w:rsid w:val="009A5ED4"/>
    <w:rsid w:val="009A656E"/>
    <w:rsid w:val="009B1851"/>
    <w:rsid w:val="009B2F0F"/>
    <w:rsid w:val="009B623F"/>
    <w:rsid w:val="009B710E"/>
    <w:rsid w:val="009C3EFD"/>
    <w:rsid w:val="009D05B6"/>
    <w:rsid w:val="009D08F1"/>
    <w:rsid w:val="009D3CBF"/>
    <w:rsid w:val="009D5E81"/>
    <w:rsid w:val="009D62EC"/>
    <w:rsid w:val="009D7308"/>
    <w:rsid w:val="009D75B4"/>
    <w:rsid w:val="009E0811"/>
    <w:rsid w:val="009E1E56"/>
    <w:rsid w:val="009E24C5"/>
    <w:rsid w:val="009E4728"/>
    <w:rsid w:val="009E6234"/>
    <w:rsid w:val="009E67A4"/>
    <w:rsid w:val="009F01BE"/>
    <w:rsid w:val="009F23E5"/>
    <w:rsid w:val="009F2925"/>
    <w:rsid w:val="009F298D"/>
    <w:rsid w:val="009F374E"/>
    <w:rsid w:val="009F62AD"/>
    <w:rsid w:val="009F6F1A"/>
    <w:rsid w:val="009F721A"/>
    <w:rsid w:val="009F76DB"/>
    <w:rsid w:val="009F7747"/>
    <w:rsid w:val="00A04CEC"/>
    <w:rsid w:val="00A07F5C"/>
    <w:rsid w:val="00A10D92"/>
    <w:rsid w:val="00A10FA3"/>
    <w:rsid w:val="00A14870"/>
    <w:rsid w:val="00A17DEA"/>
    <w:rsid w:val="00A20CAA"/>
    <w:rsid w:val="00A21B89"/>
    <w:rsid w:val="00A22118"/>
    <w:rsid w:val="00A22BC7"/>
    <w:rsid w:val="00A230B0"/>
    <w:rsid w:val="00A233CC"/>
    <w:rsid w:val="00A23D04"/>
    <w:rsid w:val="00A24075"/>
    <w:rsid w:val="00A266F0"/>
    <w:rsid w:val="00A311A8"/>
    <w:rsid w:val="00A31483"/>
    <w:rsid w:val="00A3231A"/>
    <w:rsid w:val="00A32738"/>
    <w:rsid w:val="00A32C3B"/>
    <w:rsid w:val="00A3303F"/>
    <w:rsid w:val="00A44042"/>
    <w:rsid w:val="00A45F4F"/>
    <w:rsid w:val="00A46747"/>
    <w:rsid w:val="00A46B63"/>
    <w:rsid w:val="00A46BBF"/>
    <w:rsid w:val="00A471E2"/>
    <w:rsid w:val="00A50910"/>
    <w:rsid w:val="00A5491C"/>
    <w:rsid w:val="00A54E24"/>
    <w:rsid w:val="00A55E0E"/>
    <w:rsid w:val="00A57942"/>
    <w:rsid w:val="00A600A9"/>
    <w:rsid w:val="00A63BE6"/>
    <w:rsid w:val="00A6673B"/>
    <w:rsid w:val="00A674C9"/>
    <w:rsid w:val="00A7355B"/>
    <w:rsid w:val="00A742A3"/>
    <w:rsid w:val="00A74B05"/>
    <w:rsid w:val="00A7609D"/>
    <w:rsid w:val="00A770A2"/>
    <w:rsid w:val="00A77942"/>
    <w:rsid w:val="00A77F6D"/>
    <w:rsid w:val="00A818B3"/>
    <w:rsid w:val="00A81E06"/>
    <w:rsid w:val="00A824AF"/>
    <w:rsid w:val="00A82818"/>
    <w:rsid w:val="00A83641"/>
    <w:rsid w:val="00A870C4"/>
    <w:rsid w:val="00A87C23"/>
    <w:rsid w:val="00A925BC"/>
    <w:rsid w:val="00A93E0B"/>
    <w:rsid w:val="00A96FE2"/>
    <w:rsid w:val="00AA0D40"/>
    <w:rsid w:val="00AA2E4F"/>
    <w:rsid w:val="00AA2F76"/>
    <w:rsid w:val="00AA415C"/>
    <w:rsid w:val="00AA4666"/>
    <w:rsid w:val="00AA55B7"/>
    <w:rsid w:val="00AA5B9E"/>
    <w:rsid w:val="00AA6054"/>
    <w:rsid w:val="00AB2407"/>
    <w:rsid w:val="00AB4D91"/>
    <w:rsid w:val="00AB53DF"/>
    <w:rsid w:val="00AB5933"/>
    <w:rsid w:val="00AB5BB6"/>
    <w:rsid w:val="00AC39D8"/>
    <w:rsid w:val="00AC3E4D"/>
    <w:rsid w:val="00AC540A"/>
    <w:rsid w:val="00AC7705"/>
    <w:rsid w:val="00AD0EC7"/>
    <w:rsid w:val="00AD22D6"/>
    <w:rsid w:val="00AD3265"/>
    <w:rsid w:val="00AD53C0"/>
    <w:rsid w:val="00AE02D9"/>
    <w:rsid w:val="00AE1769"/>
    <w:rsid w:val="00AE361B"/>
    <w:rsid w:val="00AE43D6"/>
    <w:rsid w:val="00AE6758"/>
    <w:rsid w:val="00AE72C3"/>
    <w:rsid w:val="00AE768D"/>
    <w:rsid w:val="00AE7B8A"/>
    <w:rsid w:val="00AF1D23"/>
    <w:rsid w:val="00AF4C1E"/>
    <w:rsid w:val="00B01F33"/>
    <w:rsid w:val="00B0220E"/>
    <w:rsid w:val="00B0316F"/>
    <w:rsid w:val="00B07034"/>
    <w:rsid w:val="00B07E5C"/>
    <w:rsid w:val="00B11429"/>
    <w:rsid w:val="00B12561"/>
    <w:rsid w:val="00B15123"/>
    <w:rsid w:val="00B21094"/>
    <w:rsid w:val="00B234B0"/>
    <w:rsid w:val="00B2535B"/>
    <w:rsid w:val="00B26773"/>
    <w:rsid w:val="00B27BC8"/>
    <w:rsid w:val="00B32AAB"/>
    <w:rsid w:val="00B41202"/>
    <w:rsid w:val="00B4131C"/>
    <w:rsid w:val="00B419DA"/>
    <w:rsid w:val="00B4391B"/>
    <w:rsid w:val="00B443B2"/>
    <w:rsid w:val="00B45407"/>
    <w:rsid w:val="00B544A3"/>
    <w:rsid w:val="00B549EA"/>
    <w:rsid w:val="00B55361"/>
    <w:rsid w:val="00B555CC"/>
    <w:rsid w:val="00B578B5"/>
    <w:rsid w:val="00B604F1"/>
    <w:rsid w:val="00B63C78"/>
    <w:rsid w:val="00B64298"/>
    <w:rsid w:val="00B656A9"/>
    <w:rsid w:val="00B674E4"/>
    <w:rsid w:val="00B731D2"/>
    <w:rsid w:val="00B7358F"/>
    <w:rsid w:val="00B74CCB"/>
    <w:rsid w:val="00B80030"/>
    <w:rsid w:val="00B800E9"/>
    <w:rsid w:val="00B811F7"/>
    <w:rsid w:val="00B8308D"/>
    <w:rsid w:val="00B84D73"/>
    <w:rsid w:val="00B86AFF"/>
    <w:rsid w:val="00B87C8A"/>
    <w:rsid w:val="00B87F13"/>
    <w:rsid w:val="00B92EB7"/>
    <w:rsid w:val="00B9568E"/>
    <w:rsid w:val="00B968F0"/>
    <w:rsid w:val="00BA040B"/>
    <w:rsid w:val="00BA0C58"/>
    <w:rsid w:val="00BA14B0"/>
    <w:rsid w:val="00BA2F51"/>
    <w:rsid w:val="00BA5DC6"/>
    <w:rsid w:val="00BA6196"/>
    <w:rsid w:val="00BB2149"/>
    <w:rsid w:val="00BB21D5"/>
    <w:rsid w:val="00BB3510"/>
    <w:rsid w:val="00BB590D"/>
    <w:rsid w:val="00BC125D"/>
    <w:rsid w:val="00BC21C8"/>
    <w:rsid w:val="00BC3077"/>
    <w:rsid w:val="00BC34D8"/>
    <w:rsid w:val="00BC372A"/>
    <w:rsid w:val="00BC3856"/>
    <w:rsid w:val="00BC3FD5"/>
    <w:rsid w:val="00BC4247"/>
    <w:rsid w:val="00BC5E85"/>
    <w:rsid w:val="00BC6D8C"/>
    <w:rsid w:val="00BC71BE"/>
    <w:rsid w:val="00BD1B0C"/>
    <w:rsid w:val="00BD1C43"/>
    <w:rsid w:val="00BD4124"/>
    <w:rsid w:val="00BD4B08"/>
    <w:rsid w:val="00BD5191"/>
    <w:rsid w:val="00BD55C9"/>
    <w:rsid w:val="00BD5B00"/>
    <w:rsid w:val="00BE1C8A"/>
    <w:rsid w:val="00BF022B"/>
    <w:rsid w:val="00BF643F"/>
    <w:rsid w:val="00C030DB"/>
    <w:rsid w:val="00C10726"/>
    <w:rsid w:val="00C11017"/>
    <w:rsid w:val="00C15129"/>
    <w:rsid w:val="00C16719"/>
    <w:rsid w:val="00C17CB3"/>
    <w:rsid w:val="00C20DC5"/>
    <w:rsid w:val="00C21C62"/>
    <w:rsid w:val="00C2223A"/>
    <w:rsid w:val="00C27CBE"/>
    <w:rsid w:val="00C34006"/>
    <w:rsid w:val="00C35620"/>
    <w:rsid w:val="00C36332"/>
    <w:rsid w:val="00C36B4C"/>
    <w:rsid w:val="00C377A8"/>
    <w:rsid w:val="00C41AC7"/>
    <w:rsid w:val="00C426B1"/>
    <w:rsid w:val="00C460E3"/>
    <w:rsid w:val="00C47BD1"/>
    <w:rsid w:val="00C50064"/>
    <w:rsid w:val="00C54897"/>
    <w:rsid w:val="00C57535"/>
    <w:rsid w:val="00C60ECE"/>
    <w:rsid w:val="00C61C77"/>
    <w:rsid w:val="00C61DE6"/>
    <w:rsid w:val="00C637A7"/>
    <w:rsid w:val="00C63C75"/>
    <w:rsid w:val="00C65595"/>
    <w:rsid w:val="00C65E87"/>
    <w:rsid w:val="00C66160"/>
    <w:rsid w:val="00C66CF5"/>
    <w:rsid w:val="00C70229"/>
    <w:rsid w:val="00C7151F"/>
    <w:rsid w:val="00C721AC"/>
    <w:rsid w:val="00C729A1"/>
    <w:rsid w:val="00C755FD"/>
    <w:rsid w:val="00C76032"/>
    <w:rsid w:val="00C76582"/>
    <w:rsid w:val="00C76F69"/>
    <w:rsid w:val="00C82BE4"/>
    <w:rsid w:val="00C836C2"/>
    <w:rsid w:val="00C847DA"/>
    <w:rsid w:val="00C90D6A"/>
    <w:rsid w:val="00C917F9"/>
    <w:rsid w:val="00C934E5"/>
    <w:rsid w:val="00C948E9"/>
    <w:rsid w:val="00C97634"/>
    <w:rsid w:val="00CA247E"/>
    <w:rsid w:val="00CA5DF4"/>
    <w:rsid w:val="00CA6D21"/>
    <w:rsid w:val="00CB0DE8"/>
    <w:rsid w:val="00CB403B"/>
    <w:rsid w:val="00CB6F1B"/>
    <w:rsid w:val="00CC211C"/>
    <w:rsid w:val="00CC37E0"/>
    <w:rsid w:val="00CC3B1E"/>
    <w:rsid w:val="00CC5398"/>
    <w:rsid w:val="00CC56C7"/>
    <w:rsid w:val="00CC6986"/>
    <w:rsid w:val="00CC72B6"/>
    <w:rsid w:val="00CD11D8"/>
    <w:rsid w:val="00CD1580"/>
    <w:rsid w:val="00CD1FE0"/>
    <w:rsid w:val="00CD5360"/>
    <w:rsid w:val="00CD5817"/>
    <w:rsid w:val="00CD59DF"/>
    <w:rsid w:val="00CD723C"/>
    <w:rsid w:val="00CD73FC"/>
    <w:rsid w:val="00CE4F09"/>
    <w:rsid w:val="00CE609A"/>
    <w:rsid w:val="00CF0734"/>
    <w:rsid w:val="00CF23F6"/>
    <w:rsid w:val="00CF324B"/>
    <w:rsid w:val="00CF7194"/>
    <w:rsid w:val="00CF7519"/>
    <w:rsid w:val="00D0218D"/>
    <w:rsid w:val="00D02271"/>
    <w:rsid w:val="00D05BF3"/>
    <w:rsid w:val="00D06EE3"/>
    <w:rsid w:val="00D1002D"/>
    <w:rsid w:val="00D122E9"/>
    <w:rsid w:val="00D137E0"/>
    <w:rsid w:val="00D1615E"/>
    <w:rsid w:val="00D16349"/>
    <w:rsid w:val="00D16B6C"/>
    <w:rsid w:val="00D17990"/>
    <w:rsid w:val="00D22A60"/>
    <w:rsid w:val="00D238B7"/>
    <w:rsid w:val="00D25426"/>
    <w:rsid w:val="00D25FB5"/>
    <w:rsid w:val="00D26665"/>
    <w:rsid w:val="00D26EEB"/>
    <w:rsid w:val="00D27FBD"/>
    <w:rsid w:val="00D30117"/>
    <w:rsid w:val="00D30A93"/>
    <w:rsid w:val="00D319E4"/>
    <w:rsid w:val="00D31D9F"/>
    <w:rsid w:val="00D31F3B"/>
    <w:rsid w:val="00D32BEA"/>
    <w:rsid w:val="00D420A5"/>
    <w:rsid w:val="00D43B6C"/>
    <w:rsid w:val="00D44223"/>
    <w:rsid w:val="00D46189"/>
    <w:rsid w:val="00D46C37"/>
    <w:rsid w:val="00D501DB"/>
    <w:rsid w:val="00D537F5"/>
    <w:rsid w:val="00D54C74"/>
    <w:rsid w:val="00D55D6A"/>
    <w:rsid w:val="00D56794"/>
    <w:rsid w:val="00D56CF9"/>
    <w:rsid w:val="00D574AB"/>
    <w:rsid w:val="00D57994"/>
    <w:rsid w:val="00D6244E"/>
    <w:rsid w:val="00D64E4E"/>
    <w:rsid w:val="00D652C1"/>
    <w:rsid w:val="00D65530"/>
    <w:rsid w:val="00D65F90"/>
    <w:rsid w:val="00D701B4"/>
    <w:rsid w:val="00D72A89"/>
    <w:rsid w:val="00D72FBA"/>
    <w:rsid w:val="00D735F5"/>
    <w:rsid w:val="00D751AD"/>
    <w:rsid w:val="00D75678"/>
    <w:rsid w:val="00D82154"/>
    <w:rsid w:val="00D86670"/>
    <w:rsid w:val="00D87483"/>
    <w:rsid w:val="00D91902"/>
    <w:rsid w:val="00D91E9C"/>
    <w:rsid w:val="00D946C8"/>
    <w:rsid w:val="00D94A7E"/>
    <w:rsid w:val="00D94D44"/>
    <w:rsid w:val="00D95F26"/>
    <w:rsid w:val="00D9610F"/>
    <w:rsid w:val="00D96294"/>
    <w:rsid w:val="00DA0D27"/>
    <w:rsid w:val="00DA141A"/>
    <w:rsid w:val="00DA1810"/>
    <w:rsid w:val="00DA200A"/>
    <w:rsid w:val="00DA2529"/>
    <w:rsid w:val="00DA2575"/>
    <w:rsid w:val="00DA3E58"/>
    <w:rsid w:val="00DA49A3"/>
    <w:rsid w:val="00DA5057"/>
    <w:rsid w:val="00DB130A"/>
    <w:rsid w:val="00DB2EBB"/>
    <w:rsid w:val="00DB3C9C"/>
    <w:rsid w:val="00DC04A5"/>
    <w:rsid w:val="00DC0905"/>
    <w:rsid w:val="00DC10A1"/>
    <w:rsid w:val="00DC2AB9"/>
    <w:rsid w:val="00DC34AE"/>
    <w:rsid w:val="00DC5128"/>
    <w:rsid w:val="00DC5B54"/>
    <w:rsid w:val="00DC655F"/>
    <w:rsid w:val="00DC6583"/>
    <w:rsid w:val="00DC6C42"/>
    <w:rsid w:val="00DD0B59"/>
    <w:rsid w:val="00DD35CC"/>
    <w:rsid w:val="00DD3E31"/>
    <w:rsid w:val="00DD4E76"/>
    <w:rsid w:val="00DD5077"/>
    <w:rsid w:val="00DD7EBD"/>
    <w:rsid w:val="00DE0C3B"/>
    <w:rsid w:val="00DE2038"/>
    <w:rsid w:val="00DE2859"/>
    <w:rsid w:val="00DE3ED4"/>
    <w:rsid w:val="00DE48B1"/>
    <w:rsid w:val="00DE5989"/>
    <w:rsid w:val="00DE6E6A"/>
    <w:rsid w:val="00DF0D50"/>
    <w:rsid w:val="00DF14B9"/>
    <w:rsid w:val="00DF269C"/>
    <w:rsid w:val="00DF2764"/>
    <w:rsid w:val="00DF62B6"/>
    <w:rsid w:val="00DF696F"/>
    <w:rsid w:val="00DF7AE0"/>
    <w:rsid w:val="00E0277A"/>
    <w:rsid w:val="00E03B9E"/>
    <w:rsid w:val="00E0613D"/>
    <w:rsid w:val="00E0659D"/>
    <w:rsid w:val="00E07225"/>
    <w:rsid w:val="00E126F6"/>
    <w:rsid w:val="00E1271E"/>
    <w:rsid w:val="00E15560"/>
    <w:rsid w:val="00E15F6F"/>
    <w:rsid w:val="00E17295"/>
    <w:rsid w:val="00E17712"/>
    <w:rsid w:val="00E20A26"/>
    <w:rsid w:val="00E2402E"/>
    <w:rsid w:val="00E306BA"/>
    <w:rsid w:val="00E318F1"/>
    <w:rsid w:val="00E3358B"/>
    <w:rsid w:val="00E338F6"/>
    <w:rsid w:val="00E36B34"/>
    <w:rsid w:val="00E377BC"/>
    <w:rsid w:val="00E43580"/>
    <w:rsid w:val="00E44A5A"/>
    <w:rsid w:val="00E452F3"/>
    <w:rsid w:val="00E45560"/>
    <w:rsid w:val="00E46FB8"/>
    <w:rsid w:val="00E50E5E"/>
    <w:rsid w:val="00E51714"/>
    <w:rsid w:val="00E53407"/>
    <w:rsid w:val="00E5409F"/>
    <w:rsid w:val="00E54C55"/>
    <w:rsid w:val="00E54DA5"/>
    <w:rsid w:val="00E563F2"/>
    <w:rsid w:val="00E568E9"/>
    <w:rsid w:val="00E62526"/>
    <w:rsid w:val="00E637CD"/>
    <w:rsid w:val="00E64BFF"/>
    <w:rsid w:val="00E67079"/>
    <w:rsid w:val="00E67600"/>
    <w:rsid w:val="00E67D50"/>
    <w:rsid w:val="00E750AB"/>
    <w:rsid w:val="00E76237"/>
    <w:rsid w:val="00E80378"/>
    <w:rsid w:val="00E807EE"/>
    <w:rsid w:val="00E80DFD"/>
    <w:rsid w:val="00E816AA"/>
    <w:rsid w:val="00E8170F"/>
    <w:rsid w:val="00E8174E"/>
    <w:rsid w:val="00E8192D"/>
    <w:rsid w:val="00E85EFB"/>
    <w:rsid w:val="00E86BD0"/>
    <w:rsid w:val="00E87B59"/>
    <w:rsid w:val="00E903FB"/>
    <w:rsid w:val="00E93974"/>
    <w:rsid w:val="00E9421C"/>
    <w:rsid w:val="00E943FE"/>
    <w:rsid w:val="00E944C8"/>
    <w:rsid w:val="00E97C2F"/>
    <w:rsid w:val="00EA216C"/>
    <w:rsid w:val="00EA3319"/>
    <w:rsid w:val="00EA4882"/>
    <w:rsid w:val="00EA5B60"/>
    <w:rsid w:val="00EB12AE"/>
    <w:rsid w:val="00EB1A55"/>
    <w:rsid w:val="00EB1CE8"/>
    <w:rsid w:val="00EB30C8"/>
    <w:rsid w:val="00EB378C"/>
    <w:rsid w:val="00EB3DD7"/>
    <w:rsid w:val="00EB3FAF"/>
    <w:rsid w:val="00EB7D23"/>
    <w:rsid w:val="00EC11A6"/>
    <w:rsid w:val="00EC1E4F"/>
    <w:rsid w:val="00EC2602"/>
    <w:rsid w:val="00EC2C5D"/>
    <w:rsid w:val="00EC34E4"/>
    <w:rsid w:val="00EC4D49"/>
    <w:rsid w:val="00EC4E6A"/>
    <w:rsid w:val="00EC5C39"/>
    <w:rsid w:val="00ED1619"/>
    <w:rsid w:val="00ED2597"/>
    <w:rsid w:val="00ED27C3"/>
    <w:rsid w:val="00ED310A"/>
    <w:rsid w:val="00ED3957"/>
    <w:rsid w:val="00EE221F"/>
    <w:rsid w:val="00EE2D94"/>
    <w:rsid w:val="00EE337D"/>
    <w:rsid w:val="00EE40F2"/>
    <w:rsid w:val="00EE5564"/>
    <w:rsid w:val="00EE6488"/>
    <w:rsid w:val="00EF3A19"/>
    <w:rsid w:val="00EF799B"/>
    <w:rsid w:val="00EF7D86"/>
    <w:rsid w:val="00F021FA"/>
    <w:rsid w:val="00F02BD3"/>
    <w:rsid w:val="00F03141"/>
    <w:rsid w:val="00F031BD"/>
    <w:rsid w:val="00F04964"/>
    <w:rsid w:val="00F11F24"/>
    <w:rsid w:val="00F1270C"/>
    <w:rsid w:val="00F13001"/>
    <w:rsid w:val="00F136A9"/>
    <w:rsid w:val="00F158A4"/>
    <w:rsid w:val="00F15E96"/>
    <w:rsid w:val="00F1709E"/>
    <w:rsid w:val="00F176D1"/>
    <w:rsid w:val="00F24EAB"/>
    <w:rsid w:val="00F30BCE"/>
    <w:rsid w:val="00F31EB7"/>
    <w:rsid w:val="00F31FF7"/>
    <w:rsid w:val="00F359E8"/>
    <w:rsid w:val="00F368FF"/>
    <w:rsid w:val="00F36C4C"/>
    <w:rsid w:val="00F37019"/>
    <w:rsid w:val="00F370B9"/>
    <w:rsid w:val="00F3729C"/>
    <w:rsid w:val="00F37DA9"/>
    <w:rsid w:val="00F37EFA"/>
    <w:rsid w:val="00F4112F"/>
    <w:rsid w:val="00F41B2B"/>
    <w:rsid w:val="00F42E58"/>
    <w:rsid w:val="00F461AE"/>
    <w:rsid w:val="00F51912"/>
    <w:rsid w:val="00F52527"/>
    <w:rsid w:val="00F535FE"/>
    <w:rsid w:val="00F5379B"/>
    <w:rsid w:val="00F54C0C"/>
    <w:rsid w:val="00F563EF"/>
    <w:rsid w:val="00F56C07"/>
    <w:rsid w:val="00F57A8E"/>
    <w:rsid w:val="00F62E97"/>
    <w:rsid w:val="00F64209"/>
    <w:rsid w:val="00F65A41"/>
    <w:rsid w:val="00F7049A"/>
    <w:rsid w:val="00F722EA"/>
    <w:rsid w:val="00F73365"/>
    <w:rsid w:val="00F75275"/>
    <w:rsid w:val="00F75C09"/>
    <w:rsid w:val="00F77360"/>
    <w:rsid w:val="00F8092D"/>
    <w:rsid w:val="00F80C5C"/>
    <w:rsid w:val="00F81F9B"/>
    <w:rsid w:val="00F87793"/>
    <w:rsid w:val="00F93BF5"/>
    <w:rsid w:val="00F941EC"/>
    <w:rsid w:val="00F94378"/>
    <w:rsid w:val="00F95973"/>
    <w:rsid w:val="00FA06BF"/>
    <w:rsid w:val="00FA12F8"/>
    <w:rsid w:val="00FA133A"/>
    <w:rsid w:val="00FA1B6F"/>
    <w:rsid w:val="00FA2F3B"/>
    <w:rsid w:val="00FA43E1"/>
    <w:rsid w:val="00FA5FF0"/>
    <w:rsid w:val="00FA63AF"/>
    <w:rsid w:val="00FA6459"/>
    <w:rsid w:val="00FA6A51"/>
    <w:rsid w:val="00FA6B9B"/>
    <w:rsid w:val="00FB0A6A"/>
    <w:rsid w:val="00FB34A3"/>
    <w:rsid w:val="00FB44C6"/>
    <w:rsid w:val="00FC575D"/>
    <w:rsid w:val="00FC6568"/>
    <w:rsid w:val="00FC7BF4"/>
    <w:rsid w:val="00FD19DF"/>
    <w:rsid w:val="00FD2895"/>
    <w:rsid w:val="00FD2CAB"/>
    <w:rsid w:val="00FD46F9"/>
    <w:rsid w:val="00FD5866"/>
    <w:rsid w:val="00FD65DD"/>
    <w:rsid w:val="00FD71F4"/>
    <w:rsid w:val="00FD7CB8"/>
    <w:rsid w:val="00FD7D36"/>
    <w:rsid w:val="00FE6A4F"/>
    <w:rsid w:val="00FE742B"/>
    <w:rsid w:val="00FF049C"/>
    <w:rsid w:val="00FF0F9C"/>
    <w:rsid w:val="00FF24B8"/>
    <w:rsid w:val="00FF396A"/>
    <w:rsid w:val="00FF403D"/>
    <w:rsid w:val="00FF4326"/>
    <w:rsid w:val="00FF6263"/>
    <w:rsid w:val="00FF748A"/>
    <w:rsid w:val="00FF7F64"/>
  </w:rsids>
  <m:mathPr>
    <m:mathFont m:val="Cambria Math"/>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14:docId w14:val="1CE71510"/>
  <w15:chartTrackingRefBased/>
  <w15:docId w15:val="{0F5F02F4-A388-4E7A-8427-6BC047316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ko-K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uiPriority="10" w:qFormat="1"/>
    <w:lsdException w:name="Subtitle" w:uiPriority="11" w:qFormat="1"/>
    <w:lsdException w:name="Strong" w:uiPriority="22"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45A84"/>
    <w:pPr>
      <w:widowControl w:val="0"/>
    </w:pPr>
    <w:rPr>
      <w:snapToGrid w:val="0"/>
      <w:kern w:val="28"/>
      <w:sz w:val="22"/>
      <w:lang w:eastAsia="en-US"/>
    </w:rPr>
  </w:style>
  <w:style w:type="paragraph" w:styleId="Heading1">
    <w:name w:val="heading 1"/>
    <w:basedOn w:val="Normal"/>
    <w:next w:val="ParaNum"/>
    <w:link w:val="Heading1Char"/>
    <w:qFormat/>
    <w:rsid w:val="00645A84"/>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645A84"/>
    <w:pPr>
      <w:keepNext/>
      <w:numPr>
        <w:ilvl w:val="1"/>
        <w:numId w:val="3"/>
      </w:numPr>
      <w:spacing w:after="120"/>
      <w:outlineLvl w:val="1"/>
    </w:pPr>
    <w:rPr>
      <w:b/>
    </w:rPr>
  </w:style>
  <w:style w:type="paragraph" w:styleId="Heading3">
    <w:name w:val="heading 3"/>
    <w:basedOn w:val="Normal"/>
    <w:next w:val="ParaNum"/>
    <w:link w:val="Heading3Char"/>
    <w:qFormat/>
    <w:rsid w:val="00645A84"/>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645A84"/>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645A84"/>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645A84"/>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645A84"/>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645A84"/>
    <w:pPr>
      <w:numPr>
        <w:ilvl w:val="7"/>
        <w:numId w:val="3"/>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link w:val="Heading9Char"/>
    <w:qFormat/>
    <w:rsid w:val="00645A84"/>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645A84"/>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645A84"/>
  </w:style>
  <w:style w:type="paragraph" w:customStyle="1" w:styleId="ParaNum">
    <w:name w:val="ParaNum"/>
    <w:basedOn w:val="Normal"/>
    <w:link w:val="ParaNumChar"/>
    <w:rsid w:val="00645A84"/>
    <w:pPr>
      <w:numPr>
        <w:numId w:val="2"/>
      </w:numPr>
      <w:tabs>
        <w:tab w:val="clear" w:pos="1080"/>
        <w:tab w:val="num" w:pos="1440"/>
      </w:tabs>
      <w:spacing w:after="120"/>
    </w:pPr>
  </w:style>
  <w:style w:type="paragraph" w:styleId="EndnoteText">
    <w:name w:val="endnote text"/>
    <w:basedOn w:val="Normal"/>
    <w:semiHidden/>
    <w:rsid w:val="00645A84"/>
    <w:rPr>
      <w:sz w:val="20"/>
    </w:rPr>
  </w:style>
  <w:style w:type="character" w:styleId="EndnoteReference">
    <w:name w:val="endnote reference"/>
    <w:semiHidden/>
    <w:rsid w:val="00645A84"/>
    <w:rPr>
      <w:vertAlign w:val="superscript"/>
    </w:rPr>
  </w:style>
  <w:style w:type="paragraph" w:styleId="FootnoteText">
    <w:name w:val="footnote text"/>
    <w:aliases w:val="Footnote Text Char,Footnote Text Char1 Char,rrfootnote Char Char,Style 5 Char Char,Footnote Text Char Char Char,Footnote Text Char1 Char Char Char,Footnote Text Char Char Char Char Char,Footnote Text Char1 Char Char Char Char Char,fn,Styl"/>
    <w:link w:val="FootnoteTextChar1"/>
    <w:rsid w:val="00645A84"/>
    <w:pPr>
      <w:spacing w:after="120"/>
    </w:pPr>
    <w:rPr>
      <w:lang w:eastAsia="en-US"/>
    </w:rPr>
  </w:style>
  <w:style w:type="character" w:styleId="FootnoteReference">
    <w:name w:val="footnote reference"/>
    <w:aliases w:val="Style 4,Appel note de bas de p,Style 12,(NECG) Footnote Reference,Style 124,Style 13,o,fr,Style 3,Footnote Reference1,FR,Style 17,Style 6,Footnote Reference/,-E Funotenzeichen,A,Ref,Style 1,Style 20,Style 34,Style 7,Style 9,callout,R"/>
    <w:rsid w:val="00645A84"/>
    <w:rPr>
      <w:rFonts w:ascii="Times New Roman" w:hAnsi="Times New Roman"/>
      <w:dstrike w:val="0"/>
      <w:color w:val="auto"/>
      <w:sz w:val="20"/>
      <w:vertAlign w:val="superscript"/>
    </w:rPr>
  </w:style>
  <w:style w:type="paragraph" w:styleId="TOC1">
    <w:name w:val="toc 1"/>
    <w:basedOn w:val="Normal"/>
    <w:next w:val="Normal"/>
    <w:rsid w:val="00645A84"/>
    <w:pPr>
      <w:tabs>
        <w:tab w:val="left" w:pos="360"/>
        <w:tab w:val="right" w:leader="dot" w:pos="9360"/>
      </w:tabs>
      <w:suppressAutoHyphens/>
      <w:ind w:left="360" w:right="720" w:hanging="360"/>
    </w:pPr>
    <w:rPr>
      <w:caps/>
      <w:noProof/>
    </w:rPr>
  </w:style>
  <w:style w:type="paragraph" w:styleId="TOC2">
    <w:name w:val="toc 2"/>
    <w:basedOn w:val="Normal"/>
    <w:next w:val="Normal"/>
    <w:rsid w:val="00645A84"/>
    <w:pPr>
      <w:tabs>
        <w:tab w:val="left" w:pos="720"/>
        <w:tab w:val="right" w:leader="dot" w:pos="9360"/>
      </w:tabs>
      <w:suppressAutoHyphens/>
      <w:ind w:left="720" w:right="720" w:hanging="360"/>
    </w:pPr>
    <w:rPr>
      <w:noProof/>
    </w:rPr>
  </w:style>
  <w:style w:type="paragraph" w:styleId="TOC3">
    <w:name w:val="toc 3"/>
    <w:basedOn w:val="Normal"/>
    <w:next w:val="Normal"/>
    <w:rsid w:val="00645A84"/>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645A84"/>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645A84"/>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645A84"/>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645A84"/>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645A84"/>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645A84"/>
    <w:pPr>
      <w:tabs>
        <w:tab w:val="left" w:pos="3240"/>
        <w:tab w:val="right" w:leader="dot" w:pos="9360"/>
      </w:tabs>
      <w:suppressAutoHyphens/>
      <w:ind w:left="3240" w:hanging="360"/>
    </w:pPr>
    <w:rPr>
      <w:noProof/>
    </w:rPr>
  </w:style>
  <w:style w:type="paragraph" w:styleId="TOAHeading">
    <w:name w:val="toa heading"/>
    <w:basedOn w:val="Normal"/>
    <w:next w:val="Normal"/>
    <w:semiHidden/>
    <w:rsid w:val="00645A84"/>
    <w:pPr>
      <w:tabs>
        <w:tab w:val="right" w:pos="9360"/>
      </w:tabs>
      <w:suppressAutoHyphens/>
    </w:pPr>
  </w:style>
  <w:style w:type="character" w:customStyle="1" w:styleId="EquationCaption">
    <w:name w:val="_Equation Caption"/>
    <w:rsid w:val="00645A84"/>
  </w:style>
  <w:style w:type="paragraph" w:styleId="Header">
    <w:name w:val="header"/>
    <w:basedOn w:val="Normal"/>
    <w:link w:val="HeaderChar"/>
    <w:autoRedefine/>
    <w:rsid w:val="00645A84"/>
    <w:pPr>
      <w:tabs>
        <w:tab w:val="center" w:pos="4680"/>
        <w:tab w:val="right" w:pos="9360"/>
      </w:tabs>
    </w:pPr>
    <w:rPr>
      <w:b/>
    </w:rPr>
  </w:style>
  <w:style w:type="paragraph" w:styleId="Footer">
    <w:name w:val="footer"/>
    <w:basedOn w:val="Normal"/>
    <w:link w:val="FooterChar"/>
    <w:uiPriority w:val="99"/>
    <w:rsid w:val="00645A84"/>
    <w:pPr>
      <w:tabs>
        <w:tab w:val="center" w:pos="4320"/>
        <w:tab w:val="right" w:pos="8640"/>
      </w:tabs>
    </w:pPr>
  </w:style>
  <w:style w:type="character" w:styleId="PageNumber">
    <w:name w:val="page number"/>
    <w:basedOn w:val="DefaultParagraphFont"/>
    <w:rsid w:val="00645A84"/>
  </w:style>
  <w:style w:type="paragraph" w:styleId="BlockText">
    <w:name w:val="Block Text"/>
    <w:basedOn w:val="Normal"/>
    <w:rsid w:val="00645A84"/>
    <w:pPr>
      <w:spacing w:after="240"/>
      <w:ind w:left="1440" w:right="1440"/>
    </w:pPr>
  </w:style>
  <w:style w:type="paragraph" w:customStyle="1" w:styleId="Paratitle">
    <w:name w:val="Para title"/>
    <w:basedOn w:val="Normal"/>
    <w:rsid w:val="00645A84"/>
    <w:pPr>
      <w:tabs>
        <w:tab w:val="center" w:pos="9270"/>
      </w:tabs>
      <w:spacing w:after="240"/>
    </w:pPr>
    <w:rPr>
      <w:spacing w:val="-2"/>
    </w:rPr>
  </w:style>
  <w:style w:type="paragraph" w:customStyle="1" w:styleId="Bullet">
    <w:name w:val="Bullet"/>
    <w:basedOn w:val="Normal"/>
    <w:rsid w:val="00645A84"/>
    <w:pPr>
      <w:tabs>
        <w:tab w:val="left" w:pos="2160"/>
      </w:tabs>
      <w:spacing w:after="220"/>
      <w:ind w:left="2160" w:hanging="720"/>
    </w:pPr>
  </w:style>
  <w:style w:type="paragraph" w:customStyle="1" w:styleId="TableFormat">
    <w:name w:val="TableFormat"/>
    <w:basedOn w:val="Bullet"/>
    <w:rsid w:val="00645A84"/>
    <w:pPr>
      <w:tabs>
        <w:tab w:val="clear" w:pos="2160"/>
        <w:tab w:val="left" w:pos="5040"/>
      </w:tabs>
      <w:ind w:left="5040" w:hanging="3600"/>
    </w:pPr>
  </w:style>
  <w:style w:type="paragraph" w:customStyle="1" w:styleId="TOCTitle">
    <w:name w:val="TOC Title"/>
    <w:basedOn w:val="Normal"/>
    <w:rsid w:val="00645A84"/>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645A84"/>
    <w:pPr>
      <w:jc w:val="center"/>
    </w:pPr>
    <w:rPr>
      <w:rFonts w:ascii="Times New Roman Bold" w:hAnsi="Times New Roman Bold"/>
      <w:b/>
      <w:bCs/>
      <w:caps/>
      <w:szCs w:val="22"/>
    </w:rPr>
  </w:style>
  <w:style w:type="character" w:styleId="Hyperlink">
    <w:name w:val="Hyperlink"/>
    <w:rsid w:val="00645A84"/>
    <w:rPr>
      <w:color w:val="0000FF"/>
      <w:u w:val="single"/>
    </w:rPr>
  </w:style>
  <w:style w:type="character" w:customStyle="1" w:styleId="FooterChar">
    <w:name w:val="Footer Char"/>
    <w:link w:val="Footer"/>
    <w:uiPriority w:val="99"/>
    <w:rsid w:val="00645A84"/>
    <w:rPr>
      <w:snapToGrid w:val="0"/>
      <w:kern w:val="28"/>
      <w:sz w:val="22"/>
      <w:lang w:eastAsia="en-US"/>
    </w:rPr>
  </w:style>
  <w:style w:type="character" w:styleId="UnresolvedMention">
    <w:name w:val="Unresolved Mention"/>
    <w:uiPriority w:val="99"/>
    <w:unhideWhenUsed/>
    <w:rsid w:val="000744ED"/>
    <w:rPr>
      <w:color w:val="605E5C"/>
      <w:shd w:val="clear" w:color="auto" w:fill="E1DFDD"/>
    </w:rPr>
  </w:style>
  <w:style w:type="character" w:styleId="CommentReference">
    <w:name w:val="annotation reference"/>
    <w:uiPriority w:val="99"/>
    <w:rsid w:val="000744ED"/>
    <w:rPr>
      <w:sz w:val="16"/>
      <w:szCs w:val="16"/>
    </w:rPr>
  </w:style>
  <w:style w:type="paragraph" w:styleId="CommentText">
    <w:name w:val="annotation text"/>
    <w:basedOn w:val="Normal"/>
    <w:link w:val="CommentTextChar"/>
    <w:uiPriority w:val="99"/>
    <w:rsid w:val="000744ED"/>
    <w:pPr>
      <w:widowControl/>
      <w:spacing w:after="160" w:line="278" w:lineRule="auto"/>
    </w:pPr>
    <w:rPr>
      <w:rFonts w:ascii="Aptos" w:eastAsia="Aptos" w:hAnsi="Aptos"/>
      <w:snapToGrid/>
      <w:kern w:val="2"/>
      <w:sz w:val="20"/>
      <w:szCs w:val="24"/>
    </w:rPr>
  </w:style>
  <w:style w:type="character" w:customStyle="1" w:styleId="CommentTextChar">
    <w:name w:val="Comment Text Char"/>
    <w:link w:val="CommentText"/>
    <w:uiPriority w:val="99"/>
    <w:rsid w:val="000744ED"/>
    <w:rPr>
      <w:rFonts w:ascii="Aptos" w:eastAsia="Aptos" w:hAnsi="Aptos"/>
      <w:kern w:val="2"/>
      <w:szCs w:val="24"/>
      <w:lang w:eastAsia="en-US"/>
    </w:rPr>
  </w:style>
  <w:style w:type="paragraph" w:styleId="CommentSubject">
    <w:name w:val="annotation subject"/>
    <w:basedOn w:val="CommentText"/>
    <w:next w:val="CommentText"/>
    <w:link w:val="CommentSubjectChar"/>
    <w:uiPriority w:val="99"/>
    <w:rsid w:val="000744ED"/>
    <w:rPr>
      <w:b/>
      <w:bCs/>
    </w:rPr>
  </w:style>
  <w:style w:type="character" w:customStyle="1" w:styleId="CommentSubjectChar">
    <w:name w:val="Comment Subject Char"/>
    <w:link w:val="CommentSubject"/>
    <w:uiPriority w:val="99"/>
    <w:rsid w:val="000744ED"/>
    <w:rPr>
      <w:rFonts w:ascii="Aptos" w:eastAsia="Aptos" w:hAnsi="Aptos"/>
      <w:b/>
      <w:bCs/>
      <w:kern w:val="2"/>
      <w:szCs w:val="24"/>
      <w:lang w:eastAsia="en-US"/>
    </w:rPr>
  </w:style>
  <w:style w:type="character" w:customStyle="1" w:styleId="Heading1Char">
    <w:name w:val="Heading 1 Char"/>
    <w:link w:val="Heading1"/>
    <w:locked/>
    <w:rsid w:val="000744ED"/>
    <w:rPr>
      <w:rFonts w:ascii="Times New Roman Bold" w:hAnsi="Times New Roman Bold"/>
      <w:b/>
      <w:caps/>
      <w:snapToGrid w:val="0"/>
      <w:kern w:val="28"/>
      <w:sz w:val="22"/>
      <w:lang w:eastAsia="en-US"/>
    </w:rPr>
  </w:style>
  <w:style w:type="character" w:customStyle="1" w:styleId="FootnoteTextChar1">
    <w:name w:val="Footnote Text Char1"/>
    <w:aliases w:val="Footnote Text Char Char,Footnote Text Char1 Char Char,rrfootnote Char Char Char,Style 5 Char Char Char,Footnote Text Char Char Char Char,Footnote Text Char1 Char Char Char Char,Footnote Text Char Char Char Char Char Char,fn Char"/>
    <w:link w:val="FootnoteText"/>
    <w:locked/>
    <w:rsid w:val="008D0FDF"/>
    <w:rPr>
      <w:lang w:eastAsia="en-US"/>
    </w:rPr>
  </w:style>
  <w:style w:type="character" w:customStyle="1" w:styleId="ParaNumChar">
    <w:name w:val="ParaNum Char"/>
    <w:link w:val="ParaNum"/>
    <w:locked/>
    <w:rsid w:val="000744ED"/>
    <w:rPr>
      <w:snapToGrid w:val="0"/>
      <w:kern w:val="28"/>
      <w:sz w:val="22"/>
      <w:lang w:eastAsia="en-US"/>
    </w:rPr>
  </w:style>
  <w:style w:type="character" w:styleId="FollowedHyperlink">
    <w:name w:val="FollowedHyperlink"/>
    <w:rsid w:val="000744ED"/>
    <w:rPr>
      <w:color w:val="96607D"/>
      <w:u w:val="single"/>
    </w:rPr>
  </w:style>
  <w:style w:type="paragraph" w:styleId="Revision">
    <w:name w:val="Revision"/>
    <w:hidden/>
    <w:uiPriority w:val="99"/>
    <w:semiHidden/>
    <w:rsid w:val="000744ED"/>
    <w:rPr>
      <w:snapToGrid w:val="0"/>
      <w:kern w:val="28"/>
      <w:sz w:val="22"/>
      <w:lang w:eastAsia="en-US"/>
    </w:rPr>
  </w:style>
  <w:style w:type="character" w:customStyle="1" w:styleId="documentbody">
    <w:name w:val="documentbody"/>
    <w:rsid w:val="00D26EEB"/>
  </w:style>
  <w:style w:type="character" w:customStyle="1" w:styleId="searchterm">
    <w:name w:val="searchterm"/>
    <w:rsid w:val="00D26EEB"/>
  </w:style>
  <w:style w:type="paragraph" w:styleId="ListParagraph">
    <w:name w:val="List Paragraph"/>
    <w:basedOn w:val="Normal"/>
    <w:uiPriority w:val="34"/>
    <w:qFormat/>
    <w:rsid w:val="000744ED"/>
    <w:pPr>
      <w:widowControl/>
      <w:spacing w:after="160" w:line="278" w:lineRule="auto"/>
      <w:ind w:left="720"/>
      <w:contextualSpacing/>
    </w:pPr>
    <w:rPr>
      <w:rFonts w:ascii="Calibri" w:eastAsia="Calibri" w:hAnsi="Calibri"/>
      <w:kern w:val="2"/>
      <w:sz w:val="24"/>
      <w:szCs w:val="24"/>
    </w:rPr>
  </w:style>
  <w:style w:type="character" w:customStyle="1" w:styleId="cf01">
    <w:name w:val="cf01"/>
    <w:rsid w:val="000744ED"/>
    <w:rPr>
      <w:rFonts w:ascii="Segoe UI" w:hAnsi="Segoe UI" w:cs="Segoe UI" w:hint="default"/>
      <w:sz w:val="18"/>
      <w:szCs w:val="18"/>
    </w:rPr>
  </w:style>
  <w:style w:type="character" w:customStyle="1" w:styleId="animating">
    <w:name w:val="animating"/>
    <w:basedOn w:val="DefaultParagraphFont"/>
    <w:rsid w:val="000744ED"/>
  </w:style>
  <w:style w:type="character" w:styleId="Strong">
    <w:name w:val="Strong"/>
    <w:uiPriority w:val="22"/>
    <w:qFormat/>
    <w:rsid w:val="000744ED"/>
    <w:rPr>
      <w:b/>
      <w:bCs/>
    </w:rPr>
  </w:style>
  <w:style w:type="character" w:customStyle="1" w:styleId="Heading3Char">
    <w:name w:val="Heading 3 Char"/>
    <w:link w:val="Heading3"/>
    <w:rsid w:val="000744ED"/>
    <w:rPr>
      <w:b/>
      <w:snapToGrid w:val="0"/>
      <w:kern w:val="28"/>
      <w:sz w:val="22"/>
      <w:lang w:eastAsia="en-US"/>
    </w:rPr>
  </w:style>
  <w:style w:type="character" w:customStyle="1" w:styleId="Heading4Char">
    <w:name w:val="Heading 4 Char"/>
    <w:link w:val="Heading4"/>
    <w:rsid w:val="000744ED"/>
    <w:rPr>
      <w:b/>
      <w:snapToGrid w:val="0"/>
      <w:kern w:val="28"/>
      <w:sz w:val="22"/>
      <w:lang w:eastAsia="en-US"/>
    </w:rPr>
  </w:style>
  <w:style w:type="character" w:customStyle="1" w:styleId="contentpasted0">
    <w:name w:val="contentpasted0"/>
    <w:basedOn w:val="DefaultParagraphFont"/>
    <w:rsid w:val="000744ED"/>
  </w:style>
  <w:style w:type="character" w:styleId="Mention">
    <w:name w:val="Mention"/>
    <w:uiPriority w:val="99"/>
    <w:unhideWhenUsed/>
    <w:rsid w:val="000744ED"/>
    <w:rPr>
      <w:color w:val="2B579A"/>
      <w:shd w:val="clear" w:color="auto" w:fill="E1DFDD"/>
    </w:rPr>
  </w:style>
  <w:style w:type="character" w:customStyle="1" w:styleId="cf11">
    <w:name w:val="cf11"/>
    <w:rsid w:val="000744ED"/>
    <w:rPr>
      <w:rFonts w:ascii="Segoe UI" w:hAnsi="Segoe UI" w:cs="Segoe UI" w:hint="default"/>
      <w:i/>
      <w:iCs/>
      <w:sz w:val="18"/>
      <w:szCs w:val="18"/>
    </w:rPr>
  </w:style>
  <w:style w:type="character" w:customStyle="1" w:styleId="documentbody1">
    <w:name w:val="documentbody1"/>
    <w:rsid w:val="000744ED"/>
    <w:rPr>
      <w:rFonts w:ascii="Verdana" w:hAnsi="Verdana" w:hint="default"/>
      <w:sz w:val="19"/>
      <w:szCs w:val="19"/>
      <w:shd w:val="clear" w:color="auto" w:fill="FFFFFF"/>
    </w:rPr>
  </w:style>
  <w:style w:type="character" w:customStyle="1" w:styleId="Footnote">
    <w:name w:val="Footnote"/>
    <w:rsid w:val="000744ED"/>
  </w:style>
  <w:style w:type="paragraph" w:customStyle="1" w:styleId="StyleParaNumItalic1">
    <w:name w:val="Style ParaNum + Italic1"/>
    <w:basedOn w:val="ParaNum"/>
    <w:link w:val="StyleParaNumItalic1Char"/>
    <w:uiPriority w:val="99"/>
    <w:rsid w:val="000744ED"/>
    <w:pPr>
      <w:widowControl/>
      <w:numPr>
        <w:numId w:val="13"/>
      </w:numPr>
      <w:tabs>
        <w:tab w:val="clear" w:pos="720"/>
        <w:tab w:val="left" w:pos="1440"/>
      </w:tabs>
      <w:spacing w:line="278" w:lineRule="auto"/>
      <w:ind w:left="0" w:firstLine="0"/>
    </w:pPr>
    <w:rPr>
      <w:rFonts w:ascii="Aptos" w:eastAsia="Aptos" w:hAnsi="Aptos"/>
      <w:i/>
      <w:kern w:val="2"/>
      <w:sz w:val="20"/>
      <w:szCs w:val="24"/>
    </w:rPr>
  </w:style>
  <w:style w:type="character" w:customStyle="1" w:styleId="StyleParaNumItalic1Char">
    <w:name w:val="Style ParaNum + Italic1 Char"/>
    <w:link w:val="StyleParaNumItalic1"/>
    <w:uiPriority w:val="99"/>
    <w:locked/>
    <w:rsid w:val="000744ED"/>
    <w:rPr>
      <w:rFonts w:ascii="Aptos" w:eastAsia="Aptos" w:hAnsi="Aptos"/>
      <w:i/>
      <w:snapToGrid w:val="0"/>
      <w:kern w:val="2"/>
      <w:szCs w:val="24"/>
      <w:lang w:eastAsia="en-US"/>
    </w:rPr>
  </w:style>
  <w:style w:type="character" w:customStyle="1" w:styleId="ParaNumChar1">
    <w:name w:val="ParaNum Char1"/>
    <w:locked/>
    <w:rsid w:val="000744ED"/>
    <w:rPr>
      <w:rFonts w:ascii="Times New Roman" w:eastAsia="Times New Roman" w:hAnsi="Times New Roman" w:cs="Times New Roman"/>
      <w:snapToGrid w:val="0"/>
      <w:kern w:val="28"/>
      <w:sz w:val="22"/>
      <w:szCs w:val="20"/>
    </w:rPr>
  </w:style>
  <w:style w:type="character" w:styleId="PlaceholderText">
    <w:name w:val="Placeholder Text"/>
    <w:uiPriority w:val="99"/>
    <w:semiHidden/>
    <w:rsid w:val="000744ED"/>
    <w:rPr>
      <w:color w:val="666666"/>
    </w:rPr>
  </w:style>
  <w:style w:type="character" w:customStyle="1" w:styleId="normaltextrun">
    <w:name w:val="normaltextrun"/>
    <w:basedOn w:val="DefaultParagraphFont"/>
    <w:rsid w:val="000744ED"/>
  </w:style>
  <w:style w:type="character" w:customStyle="1" w:styleId="Heading2Char">
    <w:name w:val="Heading 2 Char"/>
    <w:link w:val="Heading2"/>
    <w:rsid w:val="000744ED"/>
    <w:rPr>
      <w:b/>
      <w:snapToGrid w:val="0"/>
      <w:kern w:val="28"/>
      <w:sz w:val="22"/>
      <w:lang w:eastAsia="en-US"/>
    </w:rPr>
  </w:style>
  <w:style w:type="paragraph" w:customStyle="1" w:styleId="Paranum0">
    <w:name w:val="Paranum"/>
    <w:basedOn w:val="ParaNum"/>
    <w:link w:val="ParanumChar0"/>
    <w:qFormat/>
    <w:rsid w:val="000744ED"/>
    <w:pPr>
      <w:widowControl/>
      <w:numPr>
        <w:numId w:val="12"/>
      </w:numPr>
      <w:spacing w:line="278" w:lineRule="auto"/>
      <w:ind w:left="0" w:firstLine="0"/>
    </w:pPr>
    <w:rPr>
      <w:rFonts w:ascii="Aptos" w:eastAsia="Aptos" w:hAnsi="Aptos"/>
      <w:snapToGrid/>
      <w:kern w:val="2"/>
      <w:sz w:val="24"/>
      <w:szCs w:val="24"/>
    </w:rPr>
  </w:style>
  <w:style w:type="character" w:customStyle="1" w:styleId="ParanumChar0">
    <w:name w:val="Paranum Char"/>
    <w:link w:val="Paranum0"/>
    <w:rsid w:val="000744ED"/>
    <w:rPr>
      <w:rFonts w:ascii="Aptos" w:eastAsia="Aptos" w:hAnsi="Aptos"/>
      <w:kern w:val="2"/>
      <w:sz w:val="24"/>
      <w:szCs w:val="24"/>
      <w:lang w:eastAsia="en-US"/>
    </w:rPr>
  </w:style>
  <w:style w:type="character" w:customStyle="1" w:styleId="uv3um">
    <w:name w:val="uv3um"/>
    <w:basedOn w:val="DefaultParagraphFont"/>
    <w:rsid w:val="000744ED"/>
  </w:style>
  <w:style w:type="paragraph" w:styleId="NormalWeb">
    <w:name w:val="Normal (Web)"/>
    <w:basedOn w:val="Normal"/>
    <w:rsid w:val="000744ED"/>
    <w:pPr>
      <w:widowControl/>
      <w:spacing w:after="160" w:line="278" w:lineRule="auto"/>
    </w:pPr>
    <w:rPr>
      <w:rFonts w:ascii="Aptos" w:eastAsia="Aptos" w:hAnsi="Aptos"/>
      <w:snapToGrid/>
      <w:kern w:val="2"/>
      <w:sz w:val="24"/>
      <w:szCs w:val="24"/>
    </w:rPr>
  </w:style>
  <w:style w:type="numbering" w:customStyle="1" w:styleId="NoList1">
    <w:name w:val="No List1"/>
    <w:next w:val="NoList"/>
    <w:uiPriority w:val="99"/>
    <w:semiHidden/>
    <w:unhideWhenUsed/>
    <w:rsid w:val="000744ED"/>
  </w:style>
  <w:style w:type="character" w:customStyle="1" w:styleId="Heading5Char">
    <w:name w:val="Heading 5 Char"/>
    <w:link w:val="Heading5"/>
    <w:rsid w:val="000744ED"/>
    <w:rPr>
      <w:b/>
      <w:snapToGrid w:val="0"/>
      <w:kern w:val="28"/>
      <w:sz w:val="22"/>
      <w:lang w:eastAsia="en-US"/>
    </w:rPr>
  </w:style>
  <w:style w:type="character" w:customStyle="1" w:styleId="Heading6Char">
    <w:name w:val="Heading 6 Char"/>
    <w:link w:val="Heading6"/>
    <w:rsid w:val="000744ED"/>
    <w:rPr>
      <w:b/>
      <w:snapToGrid w:val="0"/>
      <w:kern w:val="28"/>
      <w:sz w:val="22"/>
      <w:lang w:eastAsia="en-US"/>
    </w:rPr>
  </w:style>
  <w:style w:type="character" w:customStyle="1" w:styleId="Heading7Char">
    <w:name w:val="Heading 7 Char"/>
    <w:link w:val="Heading7"/>
    <w:rsid w:val="000744ED"/>
    <w:rPr>
      <w:b/>
      <w:snapToGrid w:val="0"/>
      <w:kern w:val="28"/>
      <w:sz w:val="22"/>
      <w:lang w:eastAsia="en-US"/>
    </w:rPr>
  </w:style>
  <w:style w:type="character" w:customStyle="1" w:styleId="Heading8Char">
    <w:name w:val="Heading 8 Char"/>
    <w:link w:val="Heading8"/>
    <w:rsid w:val="000744ED"/>
    <w:rPr>
      <w:b/>
      <w:snapToGrid w:val="0"/>
      <w:kern w:val="28"/>
      <w:sz w:val="22"/>
      <w:lang w:eastAsia="en-US"/>
    </w:rPr>
  </w:style>
  <w:style w:type="character" w:customStyle="1" w:styleId="Heading9Char">
    <w:name w:val="Heading 9 Char"/>
    <w:aliases w:val="9 Char,Heading 9.table Char,Titre 9 Char,Topic Char,t Char,table Char"/>
    <w:link w:val="Heading9"/>
    <w:rsid w:val="000744ED"/>
    <w:rPr>
      <w:b/>
      <w:snapToGrid w:val="0"/>
      <w:kern w:val="28"/>
      <w:sz w:val="22"/>
      <w:lang w:eastAsia="en-US"/>
    </w:rPr>
  </w:style>
  <w:style w:type="paragraph" w:customStyle="1" w:styleId="Title1">
    <w:name w:val="Title1"/>
    <w:basedOn w:val="Normal"/>
    <w:next w:val="Normal"/>
    <w:uiPriority w:val="10"/>
    <w:qFormat/>
    <w:rsid w:val="000744ED"/>
    <w:pPr>
      <w:widowControl/>
      <w:spacing w:after="80" w:line="278" w:lineRule="auto"/>
      <w:contextualSpacing/>
    </w:pPr>
    <w:rPr>
      <w:rFonts w:ascii="Aptos Display" w:eastAsia="Yu Gothic Light" w:hAnsi="Aptos Display"/>
      <w:spacing w:val="-10"/>
      <w:kern w:val="2"/>
      <w:sz w:val="56"/>
      <w:szCs w:val="56"/>
    </w:rPr>
  </w:style>
  <w:style w:type="character" w:customStyle="1" w:styleId="TitleChar">
    <w:name w:val="Title Char"/>
    <w:link w:val="Title"/>
    <w:uiPriority w:val="10"/>
    <w:rsid w:val="000744ED"/>
    <w:rPr>
      <w:rFonts w:ascii="Aptos Display" w:eastAsia="Yu Gothic Light" w:hAnsi="Aptos Display"/>
      <w:spacing w:val="-10"/>
      <w:kern w:val="28"/>
      <w:sz w:val="56"/>
      <w:szCs w:val="56"/>
    </w:rPr>
  </w:style>
  <w:style w:type="paragraph" w:customStyle="1" w:styleId="Subtitle1">
    <w:name w:val="Subtitle1"/>
    <w:basedOn w:val="Normal"/>
    <w:next w:val="Normal"/>
    <w:uiPriority w:val="11"/>
    <w:qFormat/>
    <w:rsid w:val="000744ED"/>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
    <w:name w:val="Subtitle Char"/>
    <w:link w:val="Subtitle"/>
    <w:uiPriority w:val="11"/>
    <w:rsid w:val="000744ED"/>
    <w:rPr>
      <w:rFonts w:ascii="Aptos" w:eastAsia="Yu Gothic Light" w:hAnsi="Aptos"/>
      <w:snapToGrid w:val="0"/>
      <w:color w:val="595959"/>
      <w:spacing w:val="15"/>
      <w:kern w:val="2"/>
      <w:sz w:val="28"/>
      <w:szCs w:val="28"/>
    </w:rPr>
  </w:style>
  <w:style w:type="paragraph" w:customStyle="1" w:styleId="Quote1">
    <w:name w:val="Quote1"/>
    <w:basedOn w:val="Normal"/>
    <w:next w:val="Normal"/>
    <w:uiPriority w:val="29"/>
    <w:qFormat/>
    <w:rsid w:val="000744ED"/>
    <w:pPr>
      <w:widowControl/>
      <w:spacing w:before="160" w:after="160" w:line="278" w:lineRule="auto"/>
      <w:jc w:val="center"/>
    </w:pPr>
    <w:rPr>
      <w:rFonts w:ascii="Aptos" w:eastAsia="Aptos" w:hAnsi="Aptos" w:cs="Arial"/>
      <w:i/>
      <w:iCs/>
      <w:color w:val="404040"/>
      <w:kern w:val="2"/>
      <w:sz w:val="24"/>
      <w:szCs w:val="24"/>
    </w:rPr>
  </w:style>
  <w:style w:type="character" w:customStyle="1" w:styleId="QuoteChar">
    <w:name w:val="Quote Char"/>
    <w:link w:val="Quote"/>
    <w:uiPriority w:val="29"/>
    <w:rsid w:val="000744ED"/>
    <w:rPr>
      <w:rFonts w:ascii="Aptos" w:eastAsia="Aptos" w:hAnsi="Aptos"/>
      <w:i/>
      <w:iCs/>
      <w:snapToGrid w:val="0"/>
      <w:color w:val="404040"/>
      <w:kern w:val="2"/>
      <w:szCs w:val="24"/>
    </w:rPr>
  </w:style>
  <w:style w:type="character" w:customStyle="1" w:styleId="IntenseEmphasis1">
    <w:name w:val="Intense Emphasis1"/>
    <w:uiPriority w:val="21"/>
    <w:qFormat/>
    <w:rsid w:val="000744ED"/>
    <w:rPr>
      <w:i/>
      <w:iCs/>
      <w:color w:val="0F4761"/>
    </w:rPr>
  </w:style>
  <w:style w:type="paragraph" w:customStyle="1" w:styleId="IntenseQuote1">
    <w:name w:val="Intense Quote1"/>
    <w:basedOn w:val="Normal"/>
    <w:next w:val="Normal"/>
    <w:uiPriority w:val="30"/>
    <w:qFormat/>
    <w:rsid w:val="000744ED"/>
    <w:pPr>
      <w:widowControl/>
      <w:pBdr>
        <w:top w:val="single" w:sz="4" w:space="10" w:color="0F4761"/>
        <w:bottom w:val="single" w:sz="4" w:space="10" w:color="0F4761"/>
      </w:pBdr>
      <w:spacing w:before="360" w:after="360" w:line="278" w:lineRule="auto"/>
      <w:ind w:left="864" w:right="864"/>
      <w:jc w:val="center"/>
    </w:pPr>
    <w:rPr>
      <w:rFonts w:ascii="Aptos" w:eastAsia="Aptos" w:hAnsi="Aptos" w:cs="Arial"/>
      <w:i/>
      <w:iCs/>
      <w:color w:val="0F4761"/>
      <w:kern w:val="2"/>
      <w:sz w:val="24"/>
      <w:szCs w:val="24"/>
    </w:rPr>
  </w:style>
  <w:style w:type="character" w:customStyle="1" w:styleId="IntenseQuoteChar">
    <w:name w:val="Intense Quote Char"/>
    <w:link w:val="IntenseQuote"/>
    <w:uiPriority w:val="30"/>
    <w:rsid w:val="000744ED"/>
    <w:rPr>
      <w:rFonts w:ascii="Aptos" w:eastAsia="Aptos" w:hAnsi="Aptos"/>
      <w:i/>
      <w:iCs/>
      <w:snapToGrid w:val="0"/>
      <w:color w:val="0F4761"/>
      <w:kern w:val="2"/>
      <w:szCs w:val="24"/>
    </w:rPr>
  </w:style>
  <w:style w:type="character" w:customStyle="1" w:styleId="IntenseReference1">
    <w:name w:val="Intense Reference1"/>
    <w:uiPriority w:val="32"/>
    <w:qFormat/>
    <w:rsid w:val="000744ED"/>
    <w:rPr>
      <w:b/>
      <w:bCs/>
      <w:smallCaps/>
      <w:color w:val="0F4761"/>
      <w:spacing w:val="5"/>
    </w:rPr>
  </w:style>
  <w:style w:type="character" w:customStyle="1" w:styleId="HeaderChar">
    <w:name w:val="Header Char"/>
    <w:link w:val="Header"/>
    <w:rsid w:val="000744ED"/>
    <w:rPr>
      <w:b/>
      <w:snapToGrid w:val="0"/>
      <w:kern w:val="28"/>
      <w:sz w:val="22"/>
      <w:lang w:eastAsia="en-US"/>
    </w:rPr>
  </w:style>
  <w:style w:type="paragraph" w:styleId="Title">
    <w:name w:val="Title"/>
    <w:basedOn w:val="Normal"/>
    <w:next w:val="Normal"/>
    <w:link w:val="TitleChar"/>
    <w:uiPriority w:val="10"/>
    <w:qFormat/>
    <w:rsid w:val="000744ED"/>
    <w:pPr>
      <w:widowControl/>
      <w:spacing w:after="160" w:line="278" w:lineRule="auto"/>
      <w:contextualSpacing/>
    </w:pPr>
    <w:rPr>
      <w:rFonts w:ascii="Aptos Display" w:eastAsia="Yu Gothic Light" w:hAnsi="Aptos Display"/>
      <w:snapToGrid/>
      <w:spacing w:val="-10"/>
      <w:sz w:val="56"/>
      <w:szCs w:val="56"/>
      <w:lang w:eastAsia="ko-KR"/>
    </w:rPr>
  </w:style>
  <w:style w:type="character" w:customStyle="1" w:styleId="TitleChar1">
    <w:name w:val="Title Char1"/>
    <w:rsid w:val="000744ED"/>
    <w:rPr>
      <w:rFonts w:ascii="Aptos Display" w:eastAsia="Times New Roman" w:hAnsi="Aptos Display" w:cs="Times New Roman"/>
      <w:b/>
      <w:bCs/>
      <w:snapToGrid w:val="0"/>
      <w:kern w:val="28"/>
      <w:sz w:val="32"/>
      <w:szCs w:val="32"/>
    </w:rPr>
  </w:style>
  <w:style w:type="paragraph" w:styleId="Subtitle">
    <w:name w:val="Subtitle"/>
    <w:basedOn w:val="Normal"/>
    <w:next w:val="Normal"/>
    <w:link w:val="SubtitleChar"/>
    <w:uiPriority w:val="11"/>
    <w:qFormat/>
    <w:rsid w:val="000744ED"/>
    <w:pPr>
      <w:widowControl/>
      <w:numPr>
        <w:ilvl w:val="1"/>
      </w:numPr>
      <w:spacing w:after="160" w:line="278" w:lineRule="auto"/>
    </w:pPr>
    <w:rPr>
      <w:rFonts w:ascii="Aptos" w:eastAsia="Yu Gothic Light" w:hAnsi="Aptos"/>
      <w:color w:val="595959"/>
      <w:spacing w:val="15"/>
      <w:kern w:val="2"/>
      <w:sz w:val="28"/>
      <w:szCs w:val="28"/>
      <w:lang w:eastAsia="ko-KR"/>
    </w:rPr>
  </w:style>
  <w:style w:type="character" w:customStyle="1" w:styleId="SubtitleChar1">
    <w:name w:val="Subtitle Char1"/>
    <w:rsid w:val="000744ED"/>
    <w:rPr>
      <w:rFonts w:ascii="Aptos Display" w:eastAsia="Times New Roman" w:hAnsi="Aptos Display" w:cs="Times New Roman"/>
      <w:snapToGrid w:val="0"/>
      <w:kern w:val="28"/>
      <w:sz w:val="24"/>
      <w:szCs w:val="24"/>
    </w:rPr>
  </w:style>
  <w:style w:type="paragraph" w:styleId="Quote">
    <w:name w:val="Quote"/>
    <w:basedOn w:val="Normal"/>
    <w:next w:val="Normal"/>
    <w:link w:val="QuoteChar"/>
    <w:uiPriority w:val="29"/>
    <w:qFormat/>
    <w:rsid w:val="000744ED"/>
    <w:pPr>
      <w:widowControl/>
      <w:spacing w:before="200" w:after="160" w:line="278" w:lineRule="auto"/>
      <w:ind w:left="864" w:right="864"/>
      <w:jc w:val="center"/>
    </w:pPr>
    <w:rPr>
      <w:rFonts w:ascii="Aptos" w:eastAsia="Aptos" w:hAnsi="Aptos"/>
      <w:i/>
      <w:iCs/>
      <w:color w:val="404040"/>
      <w:kern w:val="2"/>
      <w:sz w:val="20"/>
      <w:szCs w:val="24"/>
      <w:lang w:eastAsia="ko-KR"/>
    </w:rPr>
  </w:style>
  <w:style w:type="character" w:customStyle="1" w:styleId="QuoteChar1">
    <w:name w:val="Quote Char1"/>
    <w:uiPriority w:val="29"/>
    <w:rsid w:val="000744ED"/>
    <w:rPr>
      <w:i/>
      <w:iCs/>
      <w:snapToGrid w:val="0"/>
      <w:color w:val="404040"/>
      <w:kern w:val="28"/>
      <w:sz w:val="22"/>
    </w:rPr>
  </w:style>
  <w:style w:type="character" w:styleId="IntenseEmphasis">
    <w:name w:val="Intense Emphasis"/>
    <w:uiPriority w:val="21"/>
    <w:qFormat/>
    <w:rsid w:val="000744ED"/>
    <w:rPr>
      <w:i/>
      <w:iCs/>
      <w:color w:val="156082"/>
    </w:rPr>
  </w:style>
  <w:style w:type="paragraph" w:styleId="IntenseQuote">
    <w:name w:val="Intense Quote"/>
    <w:basedOn w:val="Normal"/>
    <w:next w:val="Normal"/>
    <w:link w:val="IntenseQuoteChar"/>
    <w:uiPriority w:val="30"/>
    <w:qFormat/>
    <w:rsid w:val="000744ED"/>
    <w:pPr>
      <w:widowControl/>
      <w:pBdr>
        <w:top w:val="single" w:sz="4" w:space="10" w:color="156082"/>
        <w:bottom w:val="single" w:sz="4" w:space="10" w:color="156082"/>
      </w:pBdr>
      <w:spacing w:before="360" w:after="360" w:line="278" w:lineRule="auto"/>
      <w:ind w:left="864" w:right="864"/>
      <w:jc w:val="center"/>
    </w:pPr>
    <w:rPr>
      <w:rFonts w:ascii="Aptos" w:eastAsia="Aptos" w:hAnsi="Aptos"/>
      <w:i/>
      <w:iCs/>
      <w:color w:val="0F4761"/>
      <w:kern w:val="2"/>
      <w:sz w:val="20"/>
      <w:szCs w:val="24"/>
      <w:lang w:eastAsia="ko-KR"/>
    </w:rPr>
  </w:style>
  <w:style w:type="character" w:customStyle="1" w:styleId="IntenseQuoteChar1">
    <w:name w:val="Intense Quote Char1"/>
    <w:uiPriority w:val="30"/>
    <w:rsid w:val="000744ED"/>
    <w:rPr>
      <w:i/>
      <w:iCs/>
      <w:snapToGrid w:val="0"/>
      <w:color w:val="156082"/>
      <w:kern w:val="28"/>
      <w:sz w:val="22"/>
    </w:rPr>
  </w:style>
  <w:style w:type="character" w:styleId="IntenseReference">
    <w:name w:val="Intense Reference"/>
    <w:uiPriority w:val="32"/>
    <w:qFormat/>
    <w:rsid w:val="000744ED"/>
    <w:rPr>
      <w:b/>
      <w:bCs/>
      <w:smallCaps/>
      <w:color w:val="156082"/>
      <w:spacing w:val="5"/>
    </w:rPr>
  </w:style>
  <w:style w:type="paragraph" w:customStyle="1" w:styleId="Style">
    <w:name w:val="Style"/>
    <w:basedOn w:val="Normal"/>
    <w:rsid w:val="000744ED"/>
    <w:pPr>
      <w:widowControl/>
      <w:spacing w:after="160" w:line="278" w:lineRule="auto"/>
    </w:pPr>
    <w:rPr>
      <w:rFonts w:ascii="Aptos" w:eastAsia="Aptos" w:hAnsi="Aptos"/>
      <w:b/>
      <w:bCs/>
      <w:kern w:val="2"/>
      <w:sz w:val="24"/>
      <w:szCs w:val="24"/>
    </w:rPr>
  </w:style>
  <w:style w:type="paragraph" w:customStyle="1" w:styleId="StyleTimesNewRoman11ptAfter0ptLinespacingDouble">
    <w:name w:val="Style Times New Roman 11 pt After:  0 pt Line spacing:  Double"/>
    <w:basedOn w:val="Normal"/>
    <w:next w:val="Normal"/>
    <w:rsid w:val="000744ED"/>
    <w:pPr>
      <w:widowControl/>
      <w:spacing w:after="160" w:line="278" w:lineRule="auto"/>
    </w:pPr>
    <w:rPr>
      <w:rFonts w:ascii="Aptos" w:eastAsia="Aptos" w:hAnsi="Aptos"/>
      <w:kern w:val="2"/>
      <w:sz w:val="24"/>
      <w:szCs w:val="24"/>
    </w:rPr>
  </w:style>
  <w:style w:type="paragraph" w:styleId="ListBullet">
    <w:name w:val="List Bullet"/>
    <w:basedOn w:val="Normal"/>
    <w:rsid w:val="000744ED"/>
    <w:pPr>
      <w:widowControl/>
      <w:numPr>
        <w:numId w:val="14"/>
      </w:numPr>
      <w:tabs>
        <w:tab w:val="clear" w:pos="360"/>
      </w:tabs>
      <w:spacing w:after="160" w:line="278" w:lineRule="auto"/>
      <w:ind w:left="0" w:firstLine="0"/>
      <w:contextualSpacing/>
    </w:pPr>
    <w:rPr>
      <w:rFonts w:ascii="Aptos" w:eastAsia="Aptos" w:hAnsi="Aptos"/>
      <w:snapToGrid/>
      <w:kern w:val="2"/>
      <w:sz w:val="24"/>
      <w:szCs w:val="24"/>
    </w:rPr>
  </w:style>
  <w:style w:type="paragraph" w:customStyle="1" w:styleId="pf0">
    <w:name w:val="pf0"/>
    <w:basedOn w:val="Normal"/>
    <w:rsid w:val="000744ED"/>
    <w:pPr>
      <w:widowControl/>
      <w:spacing w:before="100" w:beforeAutospacing="1" w:after="100" w:afterAutospacing="1" w:line="278" w:lineRule="auto"/>
    </w:pPr>
    <w:rPr>
      <w:rFonts w:ascii="Aptos" w:eastAsia="Aptos" w:hAnsi="Aptos"/>
      <w:kern w:val="2"/>
      <w:sz w:val="24"/>
      <w:szCs w:val="24"/>
    </w:rPr>
  </w:style>
  <w:style w:type="paragraph" w:styleId="NoSpacing">
    <w:name w:val="No Spacing"/>
    <w:uiPriority w:val="1"/>
    <w:qFormat/>
    <w:rsid w:val="000744ED"/>
    <w:pPr>
      <w:widowControl w:val="0"/>
    </w:pPr>
    <w:rPr>
      <w:snapToGrid w:val="0"/>
      <w:kern w:val="28"/>
      <w:sz w:val="22"/>
      <w:lang w:eastAsia="en-US"/>
    </w:rPr>
  </w:style>
  <w:style w:type="paragraph" w:customStyle="1" w:styleId="StyleAfter6ptLinespacingMultiple116li">
    <w:name w:val="Style After:   6 pt Line spacing:  Multiple 1.16 li"/>
    <w:basedOn w:val="Normal"/>
    <w:rsid w:val="000744ED"/>
    <w:pPr>
      <w:widowControl/>
      <w:spacing w:after="160" w:line="278" w:lineRule="auto"/>
    </w:pPr>
    <w:rPr>
      <w:rFonts w:ascii="Aptos" w:eastAsia="Aptos" w:hAnsi="Aptos"/>
      <w:snapToGrid/>
      <w:kern w:val="2"/>
      <w:sz w:val="24"/>
      <w:szCs w:val="24"/>
    </w:rPr>
  </w:style>
  <w:style w:type="paragraph" w:customStyle="1" w:styleId="StyleAfter6ptLinespacingMultiple116li0">
    <w:name w:val="Style After:  6 pt Line spacing:  Multiple 1.16 li"/>
    <w:basedOn w:val="Normal"/>
    <w:rsid w:val="000744ED"/>
    <w:pPr>
      <w:widowControl/>
      <w:spacing w:after="160" w:line="278" w:lineRule="auto"/>
    </w:pPr>
    <w:rPr>
      <w:rFonts w:ascii="Aptos" w:eastAsia="Aptos" w:hAnsi="Aptos"/>
      <w:snapToGrid/>
      <w:kern w:val="2"/>
      <w:sz w:val="24"/>
      <w:szCs w:val="24"/>
    </w:rPr>
  </w:style>
  <w:style w:type="paragraph" w:customStyle="1" w:styleId="StyleStyleAfter6ptLinespacing">
    <w:name w:val="Style Style After:   6 pt Line spacing:"/>
    <w:basedOn w:val="StyleAfter6ptLinespacingMultiple116li"/>
    <w:rsid w:val="000744ED"/>
    <w:pPr>
      <w:spacing w:after="120"/>
    </w:pPr>
  </w:style>
  <w:style w:type="paragraph" w:customStyle="1" w:styleId="StyleParaNum">
    <w:name w:val="Style ParaNum"/>
    <w:basedOn w:val="ParaNum"/>
    <w:rsid w:val="000744ED"/>
    <w:pPr>
      <w:widowControl/>
      <w:numPr>
        <w:numId w:val="0"/>
      </w:numPr>
      <w:tabs>
        <w:tab w:val="num" w:pos="1440"/>
      </w:tabs>
      <w:spacing w:line="278" w:lineRule="auto"/>
    </w:pPr>
    <w:rPr>
      <w:rFonts w:ascii="Aptos" w:eastAsia="Aptos" w:hAnsi="Aptos"/>
      <w:snapToGrid/>
      <w:spacing w:val="-2"/>
      <w:kern w:val="2"/>
      <w:sz w:val="24"/>
      <w:szCs w:val="24"/>
    </w:rPr>
  </w:style>
  <w:style w:type="table" w:styleId="TableGrid">
    <w:name w:val="Table Grid"/>
    <w:basedOn w:val="TableNormal"/>
    <w:rsid w:val="000744ED"/>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FootnoteReferenceNECGFootnoteReference-EFunotenzeiche">
    <w:name w:val="Style Footnote Reference(NECG) Footnote Reference-E Funotenzeiche..."/>
    <w:rsid w:val="000744ED"/>
    <w:rPr>
      <w:sz w:val="22"/>
    </w:rPr>
  </w:style>
  <w:style w:type="character" w:customStyle="1" w:styleId="StyleFootnoteReferenceNECGFootnoteReference-EFunotenzeiche1">
    <w:name w:val="Style Footnote Reference(NECG) Footnote Reference-E Funotenzeiche...1"/>
    <w:rsid w:val="000744ED"/>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SLG-CPCproceeding@fcc.gov" TargetMode="Externa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iso.org/standard/66912.html" TargetMode="External" /><Relationship Id="rId2" Type="http://schemas.openxmlformats.org/officeDocument/2006/relationships/hyperlink" Target="https://apps.fcc.gov/oetcf/eas/reports/GenericSearch.cfm"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