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50C6D" w:rsidRPr="00F211DE" w:rsidP="00F211DE" w14:paraId="501A2674" w14:textId="61F0BFCB">
      <w:pPr>
        <w:spacing w:line="360" w:lineRule="auto"/>
        <w:jc w:val="right"/>
        <w:rPr>
          <w:b/>
          <w:szCs w:val="22"/>
        </w:rPr>
      </w:pPr>
      <w:r w:rsidRPr="00F211DE">
        <w:rPr>
          <w:b/>
          <w:szCs w:val="22"/>
        </w:rPr>
        <w:t>DA 2</w:t>
      </w:r>
      <w:r w:rsidRPr="00F211DE" w:rsidR="007F5DC8">
        <w:rPr>
          <w:b/>
          <w:szCs w:val="22"/>
        </w:rPr>
        <w:t>6</w:t>
      </w:r>
      <w:r w:rsidRPr="00F211DE">
        <w:rPr>
          <w:b/>
          <w:szCs w:val="22"/>
        </w:rPr>
        <w:t>-</w:t>
      </w:r>
      <w:r w:rsidRPr="00030C5A" w:rsidR="00030C5A">
        <w:rPr>
          <w:b/>
          <w:szCs w:val="22"/>
        </w:rPr>
        <w:t>581</w:t>
      </w:r>
    </w:p>
    <w:p w:rsidR="00050C6D" w:rsidRPr="00F211DE" w:rsidP="00F211DE" w14:paraId="16421DB0" w14:textId="26A6F610">
      <w:pPr>
        <w:spacing w:line="360" w:lineRule="auto"/>
        <w:jc w:val="right"/>
        <w:rPr>
          <w:b/>
          <w:szCs w:val="22"/>
        </w:rPr>
      </w:pPr>
      <w:r w:rsidRPr="00F211DE">
        <w:rPr>
          <w:b/>
          <w:szCs w:val="22"/>
        </w:rPr>
        <w:t xml:space="preserve">Released:  </w:t>
      </w:r>
      <w:r w:rsidRPr="00F211DE" w:rsidR="007F5DC8">
        <w:rPr>
          <w:b/>
          <w:szCs w:val="22"/>
        </w:rPr>
        <w:t xml:space="preserve">June </w:t>
      </w:r>
      <w:r w:rsidR="00030C5A">
        <w:rPr>
          <w:b/>
          <w:szCs w:val="22"/>
        </w:rPr>
        <w:t>15</w:t>
      </w:r>
      <w:r w:rsidRPr="00F211DE" w:rsidR="007F5DC8">
        <w:rPr>
          <w:b/>
          <w:szCs w:val="22"/>
        </w:rPr>
        <w:t xml:space="preserve">, </w:t>
      </w:r>
      <w:r w:rsidRPr="00F211DE">
        <w:rPr>
          <w:b/>
          <w:szCs w:val="22"/>
        </w:rPr>
        <w:t>202</w:t>
      </w:r>
      <w:r w:rsidRPr="00F211DE" w:rsidR="007F5DC8">
        <w:rPr>
          <w:b/>
          <w:szCs w:val="22"/>
        </w:rPr>
        <w:t>6</w:t>
      </w:r>
    </w:p>
    <w:p w:rsidR="00F0774A" w:rsidRPr="00B00F18" w:rsidP="00050C6D" w14:paraId="78F1C5E9" w14:textId="77777777">
      <w:pPr>
        <w:jc w:val="right"/>
        <w:rPr>
          <w:b/>
          <w:sz w:val="24"/>
          <w:szCs w:val="24"/>
        </w:rPr>
      </w:pPr>
    </w:p>
    <w:p w:rsidR="009D58BE" w:rsidP="00F0774A" w14:paraId="4D9FBCBD" w14:textId="77777777">
      <w:pPr>
        <w:jc w:val="center"/>
        <w:rPr>
          <w:b/>
          <w:szCs w:val="22"/>
        </w:rPr>
      </w:pPr>
      <w:r>
        <w:rPr>
          <w:b/>
          <w:szCs w:val="22"/>
        </w:rPr>
        <w:t>WIRELINE COMPETITION BUREAU FINDS NO SIGNIFICANT ADVERSE COMMENTS</w:t>
      </w:r>
    </w:p>
    <w:p w:rsidR="007F5DC8" w:rsidRPr="00F211DE" w:rsidP="00F0774A" w14:paraId="111FB112" w14:textId="1CAEA713">
      <w:pPr>
        <w:jc w:val="center"/>
        <w:rPr>
          <w:b/>
          <w:szCs w:val="22"/>
        </w:rPr>
      </w:pPr>
      <w:r>
        <w:rPr>
          <w:b/>
          <w:szCs w:val="22"/>
        </w:rPr>
        <w:t>ON DIRECT FINAL RULE</w:t>
      </w:r>
      <w:r w:rsidR="004F2123">
        <w:rPr>
          <w:b/>
          <w:szCs w:val="22"/>
        </w:rPr>
        <w:t xml:space="preserve">  </w:t>
      </w:r>
    </w:p>
    <w:p w:rsidR="00050C6D" w:rsidRPr="00B00F18" w:rsidP="00050C6D" w14:paraId="34A87B32" w14:textId="054C692B">
      <w:pPr>
        <w:spacing w:before="100" w:beforeAutospacing="1" w:after="120"/>
        <w:jc w:val="center"/>
        <w:rPr>
          <w:b/>
          <w:szCs w:val="22"/>
        </w:rPr>
      </w:pPr>
      <w:r>
        <w:rPr>
          <w:b/>
          <w:szCs w:val="22"/>
        </w:rPr>
        <w:t>GN</w:t>
      </w:r>
      <w:r w:rsidR="00070A66">
        <w:rPr>
          <w:b/>
          <w:szCs w:val="22"/>
        </w:rPr>
        <w:t xml:space="preserve"> Docket No. </w:t>
      </w:r>
      <w:r>
        <w:rPr>
          <w:b/>
          <w:szCs w:val="22"/>
        </w:rPr>
        <w:t>25-133</w:t>
      </w:r>
    </w:p>
    <w:p w:rsidR="00050C6D" w:rsidRPr="00B00F18" w:rsidP="00050C6D" w14:paraId="5E357EE1" w14:textId="77777777">
      <w:pPr>
        <w:outlineLvl w:val="0"/>
        <w:rPr>
          <w:b/>
          <w:szCs w:val="22"/>
        </w:rPr>
      </w:pPr>
    </w:p>
    <w:p w:rsidR="00830BC1" w:rsidP="00F969AA" w14:paraId="500CE55F" w14:textId="233EB7CC">
      <w:pPr>
        <w:spacing w:after="120"/>
        <w:ind w:firstLine="720"/>
        <w:rPr>
          <w:iCs/>
          <w:szCs w:val="22"/>
        </w:rPr>
      </w:pPr>
      <w:r w:rsidRPr="00F969AA">
        <w:rPr>
          <w:szCs w:val="22"/>
        </w:rPr>
        <w:t xml:space="preserve">By this Public Notice, the Wireline Competition Bureau </w:t>
      </w:r>
      <w:r w:rsidR="00C913C0">
        <w:rPr>
          <w:szCs w:val="22"/>
        </w:rPr>
        <w:t xml:space="preserve">(Bureau) </w:t>
      </w:r>
      <w:r w:rsidRPr="000A4505" w:rsidR="000A4505">
        <w:rPr>
          <w:szCs w:val="22"/>
        </w:rPr>
        <w:t xml:space="preserve">confirms that no “significant adverse” comments were filed in response to the </w:t>
      </w:r>
      <w:r w:rsidRPr="000A4505" w:rsidR="000A4505">
        <w:rPr>
          <w:i/>
          <w:iCs/>
          <w:szCs w:val="22"/>
        </w:rPr>
        <w:t xml:space="preserve">Direct Final Rule </w:t>
      </w:r>
      <w:r w:rsidRPr="000A4505" w:rsidR="000A4505">
        <w:rPr>
          <w:szCs w:val="22"/>
        </w:rPr>
        <w:t>released by the Commission on September 30, 2025</w:t>
      </w:r>
      <w:r w:rsidR="000A4505">
        <w:rPr>
          <w:szCs w:val="22"/>
        </w:rPr>
        <w:t>.</w:t>
      </w:r>
      <w:r>
        <w:rPr>
          <w:sz w:val="20"/>
          <w:szCs w:val="22"/>
          <w:vertAlign w:val="superscript"/>
        </w:rPr>
        <w:footnoteReference w:id="3"/>
      </w:r>
      <w:r w:rsidR="0045225F">
        <w:rPr>
          <w:szCs w:val="22"/>
        </w:rPr>
        <w:t xml:space="preserve"> </w:t>
      </w:r>
      <w:r w:rsidR="00707E0B">
        <w:rPr>
          <w:szCs w:val="22"/>
        </w:rPr>
        <w:t xml:space="preserve"> </w:t>
      </w:r>
      <w:r w:rsidR="00DC3C2B">
        <w:rPr>
          <w:szCs w:val="22"/>
        </w:rPr>
        <w:t xml:space="preserve">In the </w:t>
      </w:r>
      <w:r w:rsidR="00DC3C2B">
        <w:rPr>
          <w:i/>
          <w:iCs/>
          <w:szCs w:val="22"/>
        </w:rPr>
        <w:t xml:space="preserve">Direct Final </w:t>
      </w:r>
      <w:r w:rsidRPr="00E31FC7" w:rsidR="00DC3C2B">
        <w:rPr>
          <w:i/>
          <w:iCs/>
          <w:szCs w:val="22"/>
        </w:rPr>
        <w:t>Rule</w:t>
      </w:r>
      <w:r w:rsidR="00DC3C2B">
        <w:rPr>
          <w:szCs w:val="22"/>
        </w:rPr>
        <w:t>, the Commission identified and repealed rules that regulate</w:t>
      </w:r>
      <w:r w:rsidR="00F67F28">
        <w:rPr>
          <w:szCs w:val="22"/>
        </w:rPr>
        <w:t xml:space="preserve"> </w:t>
      </w:r>
      <w:r w:rsidR="00707E0B">
        <w:rPr>
          <w:szCs w:val="22"/>
        </w:rPr>
        <w:t>o</w:t>
      </w:r>
      <w:r w:rsidRPr="00565687" w:rsidR="00565687">
        <w:rPr>
          <w:szCs w:val="22"/>
        </w:rPr>
        <w:t>bsolete</w:t>
      </w:r>
      <w:r w:rsidR="00DC3C2B">
        <w:rPr>
          <w:szCs w:val="22"/>
        </w:rPr>
        <w:t xml:space="preserve"> technology</w:t>
      </w:r>
      <w:r w:rsidRPr="00565687" w:rsidR="00565687">
        <w:rPr>
          <w:szCs w:val="22"/>
        </w:rPr>
        <w:t xml:space="preserve">, </w:t>
      </w:r>
      <w:r w:rsidR="00DC3C2B">
        <w:rPr>
          <w:szCs w:val="22"/>
        </w:rPr>
        <w:t xml:space="preserve">are no longer used in practice by the Commission or carriers, </w:t>
      </w:r>
      <w:r w:rsidR="00F67F28">
        <w:rPr>
          <w:szCs w:val="22"/>
        </w:rPr>
        <w:t xml:space="preserve">or </w:t>
      </w:r>
      <w:r w:rsidR="00DC3C2B">
        <w:rPr>
          <w:szCs w:val="22"/>
        </w:rPr>
        <w:t xml:space="preserve">are </w:t>
      </w:r>
      <w:r w:rsidR="00F67F28">
        <w:rPr>
          <w:szCs w:val="22"/>
        </w:rPr>
        <w:t xml:space="preserve">otherwise </w:t>
      </w:r>
      <w:r w:rsidR="00DC3C2B">
        <w:rPr>
          <w:szCs w:val="22"/>
        </w:rPr>
        <w:t>outdated or unnecessary</w:t>
      </w:r>
      <w:r w:rsidR="00F67F28">
        <w:rPr>
          <w:szCs w:val="22"/>
        </w:rPr>
        <w:t>.</w:t>
      </w:r>
      <w:r>
        <w:rPr>
          <w:rStyle w:val="FootnoteReference"/>
          <w:sz w:val="20"/>
          <w:szCs w:val="22"/>
        </w:rPr>
        <w:footnoteReference w:id="4"/>
      </w:r>
      <w:r w:rsidRPr="00502528" w:rsidR="00502528">
        <w:rPr>
          <w:szCs w:val="22"/>
        </w:rPr>
        <w:t xml:space="preserve">  </w:t>
      </w:r>
      <w:r w:rsidR="00342875">
        <w:rPr>
          <w:szCs w:val="22"/>
        </w:rPr>
        <w:t>A</w:t>
      </w:r>
      <w:r w:rsidR="00F247C1">
        <w:rPr>
          <w:szCs w:val="22"/>
        </w:rPr>
        <w:t xml:space="preserve">lthough public notice and comment were </w:t>
      </w:r>
      <w:r w:rsidR="005879AF">
        <w:rPr>
          <w:szCs w:val="22"/>
        </w:rPr>
        <w:t xml:space="preserve">not required </w:t>
      </w:r>
      <w:r w:rsidR="00015FA3">
        <w:rPr>
          <w:szCs w:val="22"/>
        </w:rPr>
        <w:t>under the Administrative Procedure Act</w:t>
      </w:r>
      <w:r w:rsidR="006F7E70">
        <w:rPr>
          <w:szCs w:val="22"/>
        </w:rPr>
        <w:t xml:space="preserve"> (APA)</w:t>
      </w:r>
      <w:r w:rsidR="00015FA3">
        <w:rPr>
          <w:szCs w:val="22"/>
        </w:rPr>
        <w:t xml:space="preserve"> </w:t>
      </w:r>
      <w:r w:rsidR="00F247C1">
        <w:rPr>
          <w:szCs w:val="22"/>
        </w:rPr>
        <w:t xml:space="preserve">to repeal such rules, </w:t>
      </w:r>
      <w:r w:rsidR="00F67F28">
        <w:rPr>
          <w:szCs w:val="22"/>
        </w:rPr>
        <w:t>the Commission</w:t>
      </w:r>
      <w:r w:rsidR="00F247C1">
        <w:rPr>
          <w:szCs w:val="22"/>
        </w:rPr>
        <w:t xml:space="preserve"> </w:t>
      </w:r>
      <w:r w:rsidR="0025131E">
        <w:rPr>
          <w:szCs w:val="22"/>
        </w:rPr>
        <w:t xml:space="preserve">elected to </w:t>
      </w:r>
      <w:r w:rsidR="00F247C1">
        <w:rPr>
          <w:szCs w:val="22"/>
        </w:rPr>
        <w:t>provide an opportunity for input</w:t>
      </w:r>
      <w:r w:rsidR="00F56929">
        <w:rPr>
          <w:szCs w:val="22"/>
        </w:rPr>
        <w:t>.</w:t>
      </w:r>
      <w:r>
        <w:rPr>
          <w:rStyle w:val="FootnoteReference"/>
          <w:sz w:val="20"/>
          <w:szCs w:val="22"/>
        </w:rPr>
        <w:footnoteReference w:id="5"/>
      </w:r>
      <w:r w:rsidR="008C7CFD">
        <w:rPr>
          <w:szCs w:val="22"/>
        </w:rPr>
        <w:t xml:space="preserve"> </w:t>
      </w:r>
      <w:r w:rsidR="00F56929">
        <w:rPr>
          <w:szCs w:val="22"/>
        </w:rPr>
        <w:t xml:space="preserve"> The Commission </w:t>
      </w:r>
      <w:r w:rsidR="00342875">
        <w:rPr>
          <w:szCs w:val="22"/>
        </w:rPr>
        <w:t xml:space="preserve">explained </w:t>
      </w:r>
      <w:r w:rsidR="008C7CFD">
        <w:rPr>
          <w:szCs w:val="22"/>
        </w:rPr>
        <w:t>th</w:t>
      </w:r>
      <w:r w:rsidR="0025131E">
        <w:rPr>
          <w:szCs w:val="22"/>
        </w:rPr>
        <w:t xml:space="preserve">at </w:t>
      </w:r>
      <w:r w:rsidR="00F56929">
        <w:rPr>
          <w:szCs w:val="22"/>
        </w:rPr>
        <w:t xml:space="preserve">a </w:t>
      </w:r>
      <w:r w:rsidRPr="0025131E" w:rsidR="00342875">
        <w:rPr>
          <w:iCs/>
          <w:szCs w:val="22"/>
        </w:rPr>
        <w:t>rule would be repealed</w:t>
      </w:r>
      <w:r w:rsidRPr="008C7CFD" w:rsidR="00342875">
        <w:rPr>
          <w:szCs w:val="22"/>
        </w:rPr>
        <w:t xml:space="preserve"> </w:t>
      </w:r>
      <w:r w:rsidR="00DC20B9">
        <w:rPr>
          <w:szCs w:val="22"/>
        </w:rPr>
        <w:t>only if</w:t>
      </w:r>
      <w:r w:rsidR="00FB01FA">
        <w:rPr>
          <w:szCs w:val="22"/>
        </w:rPr>
        <w:t xml:space="preserve"> no</w:t>
      </w:r>
      <w:r w:rsidR="00DC20B9">
        <w:rPr>
          <w:szCs w:val="22"/>
        </w:rPr>
        <w:t xml:space="preserve"> </w:t>
      </w:r>
      <w:r w:rsidRPr="008C7CFD" w:rsidR="008C7CFD">
        <w:rPr>
          <w:szCs w:val="22"/>
        </w:rPr>
        <w:t>“significant adverse comments</w:t>
      </w:r>
      <w:r w:rsidR="008C7CFD">
        <w:rPr>
          <w:iCs/>
          <w:szCs w:val="22"/>
        </w:rPr>
        <w:t>”</w:t>
      </w:r>
      <w:r w:rsidR="00DC20B9">
        <w:rPr>
          <w:iCs/>
          <w:szCs w:val="22"/>
        </w:rPr>
        <w:t xml:space="preserve"> </w:t>
      </w:r>
      <w:r w:rsidR="00A803A2">
        <w:rPr>
          <w:iCs/>
          <w:szCs w:val="22"/>
        </w:rPr>
        <w:t>we</w:t>
      </w:r>
      <w:r w:rsidR="00DC20B9">
        <w:rPr>
          <w:iCs/>
          <w:szCs w:val="22"/>
        </w:rPr>
        <w:t>re filed.</w:t>
      </w:r>
      <w:r>
        <w:rPr>
          <w:rStyle w:val="FootnoteReference"/>
          <w:iCs/>
          <w:sz w:val="20"/>
          <w:szCs w:val="22"/>
        </w:rPr>
        <w:footnoteReference w:id="6"/>
      </w:r>
      <w:r w:rsidR="008C7CFD">
        <w:rPr>
          <w:iCs/>
          <w:szCs w:val="22"/>
        </w:rPr>
        <w:t xml:space="preserve"> </w:t>
      </w:r>
      <w:r w:rsidR="008C7CFD">
        <w:rPr>
          <w:i/>
          <w:szCs w:val="22"/>
        </w:rPr>
        <w:t xml:space="preserve"> </w:t>
      </w:r>
      <w:r w:rsidRPr="009D5190" w:rsidR="00E328EB">
        <w:rPr>
          <w:szCs w:val="22"/>
        </w:rPr>
        <w:t>The Commission further explained that “where warranted by the record,” the Bureau will issue a Public Notice “briefly explain[</w:t>
      </w:r>
      <w:r w:rsidRPr="009D5190" w:rsidR="00E328EB">
        <w:rPr>
          <w:szCs w:val="22"/>
        </w:rPr>
        <w:t>ing</w:t>
      </w:r>
      <w:r w:rsidRPr="009D5190" w:rsidR="00E328EB">
        <w:rPr>
          <w:szCs w:val="22"/>
        </w:rPr>
        <w:t>] why any comments filed were not determined to be significant adverse comments.”</w:t>
      </w:r>
      <w:r>
        <w:rPr>
          <w:sz w:val="20"/>
          <w:szCs w:val="22"/>
          <w:vertAlign w:val="superscript"/>
        </w:rPr>
        <w:footnoteReference w:id="7"/>
      </w:r>
      <w:r w:rsidRPr="009D5190" w:rsidR="00E328EB">
        <w:rPr>
          <w:szCs w:val="22"/>
        </w:rPr>
        <w:t xml:space="preserve">  For the reasons discussed below,</w:t>
      </w:r>
      <w:r w:rsidR="00E328EB">
        <w:rPr>
          <w:szCs w:val="22"/>
        </w:rPr>
        <w:t xml:space="preserve"> </w:t>
      </w:r>
      <w:r w:rsidR="00E328EB">
        <w:rPr>
          <w:iCs/>
          <w:szCs w:val="22"/>
        </w:rPr>
        <w:t>t</w:t>
      </w:r>
      <w:r w:rsidR="00C913C0">
        <w:rPr>
          <w:iCs/>
          <w:szCs w:val="22"/>
        </w:rPr>
        <w:t xml:space="preserve">he Bureau </w:t>
      </w:r>
      <w:r w:rsidR="00E328EB">
        <w:rPr>
          <w:iCs/>
          <w:szCs w:val="22"/>
        </w:rPr>
        <w:t>confirms</w:t>
      </w:r>
      <w:r w:rsidR="00342875">
        <w:rPr>
          <w:iCs/>
          <w:szCs w:val="22"/>
        </w:rPr>
        <w:t xml:space="preserve"> </w:t>
      </w:r>
      <w:r w:rsidR="008C7CFD">
        <w:rPr>
          <w:iCs/>
          <w:szCs w:val="22"/>
        </w:rPr>
        <w:t xml:space="preserve">that </w:t>
      </w:r>
      <w:r w:rsidRPr="00E328EB" w:rsidR="00E328EB">
        <w:rPr>
          <w:iCs/>
          <w:szCs w:val="22"/>
        </w:rPr>
        <w:t xml:space="preserve">none of the comments filed in response to the </w:t>
      </w:r>
      <w:r w:rsidRPr="00E328EB" w:rsidR="00E328EB">
        <w:rPr>
          <w:i/>
          <w:iCs/>
          <w:szCs w:val="22"/>
        </w:rPr>
        <w:t xml:space="preserve">Direct Final Rule </w:t>
      </w:r>
      <w:r w:rsidRPr="00E328EB" w:rsidR="00E328EB">
        <w:rPr>
          <w:iCs/>
          <w:szCs w:val="22"/>
        </w:rPr>
        <w:t>qualify as “significant adverse” comments.</w:t>
      </w:r>
    </w:p>
    <w:p w:rsidR="009F30AD" w:rsidP="006F7E70" w14:paraId="1DB89A16" w14:textId="0766D215">
      <w:pPr>
        <w:spacing w:after="120"/>
        <w:ind w:firstLine="720"/>
        <w:rPr>
          <w:iCs/>
          <w:szCs w:val="22"/>
        </w:rPr>
      </w:pPr>
      <w:r>
        <w:rPr>
          <w:i/>
          <w:szCs w:val="22"/>
        </w:rPr>
        <w:t xml:space="preserve">Background.  </w:t>
      </w:r>
      <w:r w:rsidRPr="00B348B4" w:rsidR="00B348B4">
        <w:rPr>
          <w:iCs/>
          <w:szCs w:val="22"/>
        </w:rPr>
        <w:t>Under the APA, agenc</w:t>
      </w:r>
      <w:r w:rsidR="006F7E70">
        <w:rPr>
          <w:iCs/>
          <w:szCs w:val="22"/>
        </w:rPr>
        <w:t>ies</w:t>
      </w:r>
      <w:r w:rsidRPr="00B348B4" w:rsidR="00B348B4">
        <w:rPr>
          <w:iCs/>
          <w:szCs w:val="22"/>
        </w:rPr>
        <w:t xml:space="preserve"> </w:t>
      </w:r>
      <w:r w:rsidR="006F7E70">
        <w:rPr>
          <w:iCs/>
          <w:szCs w:val="22"/>
        </w:rPr>
        <w:t>may forgo</w:t>
      </w:r>
      <w:r w:rsidRPr="00B348B4" w:rsidR="00B348B4">
        <w:rPr>
          <w:iCs/>
          <w:szCs w:val="22"/>
        </w:rPr>
        <w:t xml:space="preserve"> notice and public comment</w:t>
      </w:r>
      <w:r w:rsidR="006F7E70">
        <w:rPr>
          <w:iCs/>
          <w:szCs w:val="22"/>
        </w:rPr>
        <w:t xml:space="preserve"> for good cause when such procedures</w:t>
      </w:r>
      <w:r w:rsidRPr="00B348B4" w:rsidR="00B348B4">
        <w:rPr>
          <w:iCs/>
          <w:szCs w:val="22"/>
        </w:rPr>
        <w:t xml:space="preserve"> “are impracticable, unnecessary, or contrary to the public interest</w:t>
      </w:r>
      <w:r w:rsidR="006F7E70">
        <w:rPr>
          <w:iCs/>
          <w:szCs w:val="22"/>
        </w:rPr>
        <w:t>.</w:t>
      </w:r>
      <w:r w:rsidRPr="00B348B4" w:rsidR="00B348B4">
        <w:rPr>
          <w:iCs/>
          <w:szCs w:val="22"/>
        </w:rPr>
        <w:t>”</w:t>
      </w:r>
      <w:r>
        <w:rPr>
          <w:iCs/>
          <w:sz w:val="20"/>
          <w:szCs w:val="22"/>
          <w:vertAlign w:val="superscript"/>
        </w:rPr>
        <w:footnoteReference w:id="8"/>
      </w:r>
      <w:r w:rsidRPr="00B348B4" w:rsidR="00B348B4">
        <w:rPr>
          <w:iCs/>
          <w:szCs w:val="22"/>
        </w:rPr>
        <w:t xml:space="preserve">  </w:t>
      </w:r>
      <w:r w:rsidR="006F7E70">
        <w:rPr>
          <w:iCs/>
          <w:szCs w:val="22"/>
        </w:rPr>
        <w:t xml:space="preserve">The Commission relied on this authority </w:t>
      </w:r>
      <w:r w:rsidR="008E0182">
        <w:rPr>
          <w:iCs/>
          <w:szCs w:val="22"/>
        </w:rPr>
        <w:t xml:space="preserve">in the </w:t>
      </w:r>
      <w:r w:rsidR="008E0182">
        <w:rPr>
          <w:i/>
          <w:szCs w:val="22"/>
        </w:rPr>
        <w:t xml:space="preserve">Direct Final Rule </w:t>
      </w:r>
      <w:r w:rsidR="006F7E70">
        <w:rPr>
          <w:iCs/>
          <w:szCs w:val="22"/>
        </w:rPr>
        <w:t xml:space="preserve">when it </w:t>
      </w:r>
      <w:r w:rsidR="00823F7B">
        <w:rPr>
          <w:iCs/>
          <w:szCs w:val="22"/>
        </w:rPr>
        <w:t xml:space="preserve">repealed </w:t>
      </w:r>
      <w:r w:rsidRPr="00823F7B" w:rsidR="00823F7B">
        <w:rPr>
          <w:iCs/>
          <w:szCs w:val="22"/>
        </w:rPr>
        <w:t>386 rules</w:t>
      </w:r>
      <w:r w:rsidR="00293008">
        <w:rPr>
          <w:iCs/>
          <w:szCs w:val="22"/>
        </w:rPr>
        <w:t>—including</w:t>
      </w:r>
      <w:r w:rsidRPr="00293008" w:rsidR="00293008">
        <w:rPr>
          <w:iCs/>
          <w:szCs w:val="22"/>
        </w:rPr>
        <w:t xml:space="preserve"> </w:t>
      </w:r>
      <w:r w:rsidR="00293008">
        <w:rPr>
          <w:iCs/>
          <w:szCs w:val="22"/>
        </w:rPr>
        <w:t>s</w:t>
      </w:r>
      <w:r w:rsidRPr="00293008" w:rsidR="00293008">
        <w:rPr>
          <w:iCs/>
          <w:szCs w:val="22"/>
        </w:rPr>
        <w:t>ections 43.21(d)</w:t>
      </w:r>
      <w:r w:rsidR="00293008">
        <w:rPr>
          <w:iCs/>
          <w:szCs w:val="22"/>
        </w:rPr>
        <w:t xml:space="preserve"> and (</w:t>
      </w:r>
      <w:r w:rsidRPr="00293008" w:rsidR="00293008">
        <w:rPr>
          <w:iCs/>
          <w:szCs w:val="22"/>
        </w:rPr>
        <w:t>f)</w:t>
      </w:r>
      <w:r w:rsidR="00FB01FA">
        <w:rPr>
          <w:iCs/>
          <w:szCs w:val="22"/>
        </w:rPr>
        <w:t>.</w:t>
      </w:r>
      <w:r>
        <w:rPr>
          <w:rStyle w:val="FootnoteReference"/>
          <w:iCs/>
          <w:sz w:val="20"/>
          <w:szCs w:val="22"/>
        </w:rPr>
        <w:footnoteReference w:id="9"/>
      </w:r>
      <w:r w:rsidR="00CC1EAE">
        <w:rPr>
          <w:iCs/>
          <w:szCs w:val="22"/>
        </w:rPr>
        <w:t xml:space="preserve">  </w:t>
      </w:r>
    </w:p>
    <w:p w:rsidR="007C7CDB" w:rsidRPr="009F30AD" w:rsidP="006F7E70" w14:paraId="1909B459" w14:textId="3D5B7DBB">
      <w:pPr>
        <w:spacing w:after="120"/>
        <w:ind w:firstLine="720"/>
        <w:rPr>
          <w:szCs w:val="22"/>
        </w:rPr>
      </w:pPr>
      <w:r>
        <w:rPr>
          <w:iCs/>
          <w:szCs w:val="22"/>
        </w:rPr>
        <w:t xml:space="preserve">The </w:t>
      </w:r>
      <w:r w:rsidRPr="00F67F28">
        <w:rPr>
          <w:i/>
          <w:iCs/>
          <w:szCs w:val="22"/>
        </w:rPr>
        <w:t>Direct Final Rule</w:t>
      </w:r>
      <w:r>
        <w:rPr>
          <w:szCs w:val="22"/>
        </w:rPr>
        <w:t xml:space="preserve"> was published in the Federal Register with a 20</w:t>
      </w:r>
      <w:r w:rsidR="008C46AF">
        <w:rPr>
          <w:szCs w:val="22"/>
        </w:rPr>
        <w:t>-</w:t>
      </w:r>
      <w:r>
        <w:rPr>
          <w:szCs w:val="22"/>
        </w:rPr>
        <w:t>day comment period and a 60-day effective date.</w:t>
      </w:r>
      <w:r>
        <w:rPr>
          <w:rStyle w:val="FootnoteReference"/>
          <w:sz w:val="20"/>
          <w:szCs w:val="22"/>
        </w:rPr>
        <w:footnoteReference w:id="10"/>
      </w:r>
      <w:r>
        <w:rPr>
          <w:szCs w:val="22"/>
        </w:rPr>
        <w:t xml:space="preserve">  </w:t>
      </w:r>
      <w:r w:rsidR="008C46AF">
        <w:rPr>
          <w:iCs/>
          <w:szCs w:val="22"/>
        </w:rPr>
        <w:t xml:space="preserve">Two parties filed comments in the record of the </w:t>
      </w:r>
      <w:r w:rsidR="008C46AF">
        <w:rPr>
          <w:i/>
          <w:szCs w:val="22"/>
        </w:rPr>
        <w:t xml:space="preserve">Direct Final Rule </w:t>
      </w:r>
      <w:r w:rsidR="008C46AF">
        <w:rPr>
          <w:iCs/>
          <w:szCs w:val="22"/>
        </w:rPr>
        <w:t xml:space="preserve">proceeding.  The </w:t>
      </w:r>
      <w:r w:rsidR="00A803A2">
        <w:rPr>
          <w:iCs/>
          <w:szCs w:val="22"/>
        </w:rPr>
        <w:t>C</w:t>
      </w:r>
      <w:r w:rsidR="008E0182">
        <w:rPr>
          <w:iCs/>
          <w:szCs w:val="22"/>
        </w:rPr>
        <w:t>alifornia Public Utilities Commission (C</w:t>
      </w:r>
      <w:r w:rsidR="00A803A2">
        <w:rPr>
          <w:iCs/>
          <w:szCs w:val="22"/>
        </w:rPr>
        <w:t>PUC</w:t>
      </w:r>
      <w:r w:rsidR="009D5190">
        <w:rPr>
          <w:iCs/>
          <w:szCs w:val="22"/>
        </w:rPr>
        <w:t>)</w:t>
      </w:r>
      <w:r w:rsidR="00A803A2">
        <w:rPr>
          <w:iCs/>
          <w:szCs w:val="22"/>
        </w:rPr>
        <w:t xml:space="preserve"> </w:t>
      </w:r>
      <w:r w:rsidR="008C46AF">
        <w:rPr>
          <w:iCs/>
          <w:szCs w:val="22"/>
        </w:rPr>
        <w:t xml:space="preserve">recommends that the </w:t>
      </w:r>
      <w:r w:rsidR="008E0182">
        <w:rPr>
          <w:iCs/>
          <w:szCs w:val="22"/>
        </w:rPr>
        <w:t>Commission</w:t>
      </w:r>
      <w:r w:rsidR="008C46AF">
        <w:rPr>
          <w:iCs/>
          <w:szCs w:val="22"/>
        </w:rPr>
        <w:t xml:space="preserve"> retain sections 43.21(d) and (f) of its rules</w:t>
      </w:r>
      <w:r w:rsidR="009906BC">
        <w:rPr>
          <w:iCs/>
          <w:szCs w:val="22"/>
        </w:rPr>
        <w:t xml:space="preserve">, stating that “[t]he reports enable the </w:t>
      </w:r>
      <w:r w:rsidR="00A803A2">
        <w:rPr>
          <w:iCs/>
          <w:szCs w:val="22"/>
        </w:rPr>
        <w:t>CPUC</w:t>
      </w:r>
      <w:r w:rsidR="009906BC">
        <w:rPr>
          <w:iCs/>
          <w:szCs w:val="22"/>
        </w:rPr>
        <w:t xml:space="preserve"> to evaluate the allocation of costs and revenues between a carrier’s regulated and nonregulated operations</w:t>
      </w:r>
      <w:r w:rsidR="008C46AF">
        <w:rPr>
          <w:iCs/>
          <w:szCs w:val="22"/>
        </w:rPr>
        <w:t>.</w:t>
      </w:r>
      <w:r w:rsidR="009906BC">
        <w:rPr>
          <w:iCs/>
          <w:szCs w:val="22"/>
        </w:rPr>
        <w:t>”</w:t>
      </w:r>
      <w:r>
        <w:rPr>
          <w:rStyle w:val="FootnoteReference"/>
          <w:iCs/>
          <w:sz w:val="20"/>
          <w:szCs w:val="22"/>
        </w:rPr>
        <w:footnoteReference w:id="11"/>
      </w:r>
      <w:r w:rsidR="008C46AF">
        <w:rPr>
          <w:iCs/>
          <w:szCs w:val="22"/>
        </w:rPr>
        <w:t xml:space="preserve">  </w:t>
      </w:r>
      <w:r w:rsidRPr="00F7170F" w:rsidR="008C46AF">
        <w:rPr>
          <w:iCs/>
          <w:szCs w:val="22"/>
        </w:rPr>
        <w:t>One other party</w:t>
      </w:r>
      <w:r w:rsidR="008C46AF">
        <w:rPr>
          <w:iCs/>
          <w:szCs w:val="22"/>
        </w:rPr>
        <w:t xml:space="preserve">, </w:t>
      </w:r>
      <w:r w:rsidRPr="00791864" w:rsidR="008C46AF">
        <w:rPr>
          <w:iCs/>
          <w:szCs w:val="22"/>
        </w:rPr>
        <w:t>the Center for Regulatory Analysis and Engagement</w:t>
      </w:r>
      <w:r w:rsidR="008C46AF">
        <w:rPr>
          <w:iCs/>
          <w:szCs w:val="22"/>
        </w:rPr>
        <w:t>,</w:t>
      </w:r>
      <w:r w:rsidRPr="00F7170F" w:rsidR="008C46AF">
        <w:rPr>
          <w:iCs/>
          <w:szCs w:val="22"/>
        </w:rPr>
        <w:t xml:space="preserve"> </w:t>
      </w:r>
      <w:r w:rsidR="008C46AF">
        <w:rPr>
          <w:iCs/>
          <w:szCs w:val="22"/>
        </w:rPr>
        <w:t xml:space="preserve">filed comments that </w:t>
      </w:r>
      <w:r w:rsidRPr="00F7170F" w:rsidR="008C46AF">
        <w:rPr>
          <w:iCs/>
          <w:szCs w:val="22"/>
        </w:rPr>
        <w:t>“support</w:t>
      </w:r>
      <w:r w:rsidR="008C46AF">
        <w:rPr>
          <w:iCs/>
          <w:szCs w:val="22"/>
        </w:rPr>
        <w:t xml:space="preserve">[] </w:t>
      </w:r>
      <w:r w:rsidRPr="00F7170F" w:rsidR="008C46AF">
        <w:rPr>
          <w:iCs/>
          <w:szCs w:val="22"/>
        </w:rPr>
        <w:t xml:space="preserve">the Commission’s effort to </w:t>
      </w:r>
      <w:r w:rsidR="008C46AF">
        <w:rPr>
          <w:iCs/>
          <w:szCs w:val="22"/>
        </w:rPr>
        <w:t>remove outdated, dormant, and duplicative provisions that no longer appear to serve meaningful operational or public-interest functions.”</w:t>
      </w:r>
      <w:r>
        <w:rPr>
          <w:rStyle w:val="FootnoteReference"/>
          <w:iCs/>
          <w:sz w:val="20"/>
          <w:szCs w:val="22"/>
        </w:rPr>
        <w:footnoteReference w:id="12"/>
      </w:r>
      <w:r w:rsidR="008C46AF">
        <w:rPr>
          <w:iCs/>
          <w:szCs w:val="22"/>
        </w:rPr>
        <w:t xml:space="preserve"> </w:t>
      </w:r>
    </w:p>
    <w:p w:rsidR="007C7CDB" w:rsidP="00F317D0" w14:paraId="68ED8990" w14:textId="7FE552EB">
      <w:pPr>
        <w:tabs>
          <w:tab w:val="num" w:pos="1440"/>
        </w:tabs>
        <w:spacing w:after="120"/>
        <w:ind w:firstLine="720"/>
        <w:rPr>
          <w:iCs/>
          <w:szCs w:val="22"/>
        </w:rPr>
      </w:pPr>
      <w:r w:rsidRPr="007C7CDB">
        <w:rPr>
          <w:i/>
          <w:szCs w:val="22"/>
        </w:rPr>
        <w:t>Discussion</w:t>
      </w:r>
      <w:r>
        <w:rPr>
          <w:iCs/>
          <w:szCs w:val="22"/>
        </w:rPr>
        <w:t xml:space="preserve">.  </w:t>
      </w:r>
      <w:r w:rsidR="00F20261">
        <w:rPr>
          <w:iCs/>
          <w:szCs w:val="22"/>
        </w:rPr>
        <w:t xml:space="preserve">As the Commission explained in the </w:t>
      </w:r>
      <w:r w:rsidR="00F20261">
        <w:rPr>
          <w:i/>
          <w:szCs w:val="22"/>
        </w:rPr>
        <w:t>Direct Final Rule</w:t>
      </w:r>
      <w:r w:rsidR="00F20261">
        <w:rPr>
          <w:iCs/>
          <w:szCs w:val="22"/>
        </w:rPr>
        <w:t>, t</w:t>
      </w:r>
      <w:r w:rsidR="002D6B14">
        <w:rPr>
          <w:iCs/>
          <w:szCs w:val="22"/>
        </w:rPr>
        <w:t xml:space="preserve">o qualify as a </w:t>
      </w:r>
      <w:r>
        <w:rPr>
          <w:iCs/>
          <w:szCs w:val="22"/>
        </w:rPr>
        <w:t>“</w:t>
      </w:r>
      <w:r>
        <w:rPr>
          <w:iCs/>
          <w:szCs w:val="22"/>
        </w:rPr>
        <w:t>significant adverse</w:t>
      </w:r>
      <w:r w:rsidR="00B31EF5">
        <w:rPr>
          <w:iCs/>
          <w:szCs w:val="22"/>
        </w:rPr>
        <w:t xml:space="preserve"> comment</w:t>
      </w:r>
      <w:r w:rsidR="00AB1AF9">
        <w:rPr>
          <w:iCs/>
          <w:szCs w:val="22"/>
        </w:rPr>
        <w:t>,</w:t>
      </w:r>
      <w:r>
        <w:rPr>
          <w:iCs/>
          <w:szCs w:val="22"/>
        </w:rPr>
        <w:t>”</w:t>
      </w:r>
      <w:r w:rsidR="00DB56A7">
        <w:rPr>
          <w:iCs/>
          <w:szCs w:val="22"/>
        </w:rPr>
        <w:t xml:space="preserve"> </w:t>
      </w:r>
      <w:r w:rsidR="00426EA3">
        <w:rPr>
          <w:iCs/>
          <w:szCs w:val="22"/>
        </w:rPr>
        <w:t>the comment</w:t>
      </w:r>
      <w:r w:rsidRPr="000C3117">
        <w:rPr>
          <w:iCs/>
          <w:szCs w:val="22"/>
        </w:rPr>
        <w:t xml:space="preserve"> </w:t>
      </w:r>
      <w:r w:rsidR="00DB56A7">
        <w:rPr>
          <w:iCs/>
          <w:szCs w:val="22"/>
        </w:rPr>
        <w:t xml:space="preserve">must </w:t>
      </w:r>
      <w:r w:rsidRPr="000C3117">
        <w:rPr>
          <w:iCs/>
          <w:szCs w:val="22"/>
        </w:rPr>
        <w:t>explain why</w:t>
      </w:r>
      <w:r>
        <w:rPr>
          <w:iCs/>
          <w:szCs w:val="22"/>
        </w:rPr>
        <w:t xml:space="preserve"> the </w:t>
      </w:r>
      <w:r w:rsidRPr="000C3117">
        <w:rPr>
          <w:iCs/>
          <w:szCs w:val="22"/>
        </w:rPr>
        <w:t xml:space="preserve">direct final rule </w:t>
      </w:r>
      <w:r w:rsidR="000D7EFD">
        <w:rPr>
          <w:iCs/>
          <w:szCs w:val="22"/>
        </w:rPr>
        <w:t>is</w:t>
      </w:r>
      <w:r w:rsidRPr="000C3117">
        <w:rPr>
          <w:iCs/>
          <w:szCs w:val="22"/>
        </w:rPr>
        <w:t xml:space="preserve"> </w:t>
      </w:r>
      <w:r w:rsidR="000D7EFD">
        <w:rPr>
          <w:iCs/>
          <w:szCs w:val="22"/>
        </w:rPr>
        <w:t>“</w:t>
      </w:r>
      <w:r w:rsidRPr="000C3117">
        <w:rPr>
          <w:iCs/>
          <w:szCs w:val="22"/>
        </w:rPr>
        <w:t>inappropriate, including challenges to the rule’s underlying premise or approach</w:t>
      </w:r>
      <w:r w:rsidR="000D7EFD">
        <w:rPr>
          <w:iCs/>
          <w:szCs w:val="22"/>
        </w:rPr>
        <w:t>”</w:t>
      </w:r>
      <w:r w:rsidRPr="000C3117">
        <w:rPr>
          <w:iCs/>
          <w:szCs w:val="22"/>
        </w:rPr>
        <w:t xml:space="preserve"> or </w:t>
      </w:r>
      <w:r w:rsidR="000D7EFD">
        <w:rPr>
          <w:iCs/>
          <w:szCs w:val="22"/>
        </w:rPr>
        <w:t>“</w:t>
      </w:r>
      <w:r w:rsidRPr="000C3117">
        <w:rPr>
          <w:iCs/>
          <w:szCs w:val="22"/>
        </w:rPr>
        <w:t>would be ineffective or unacceptable without a change.”</w:t>
      </w:r>
      <w:r>
        <w:rPr>
          <w:iCs/>
          <w:sz w:val="20"/>
          <w:szCs w:val="22"/>
          <w:vertAlign w:val="superscript"/>
        </w:rPr>
        <w:footnoteReference w:id="13"/>
      </w:r>
      <w:r>
        <w:rPr>
          <w:iCs/>
          <w:szCs w:val="22"/>
        </w:rPr>
        <w:t xml:space="preserve">  </w:t>
      </w:r>
      <w:r w:rsidRPr="008D7C3F">
        <w:rPr>
          <w:iCs/>
          <w:szCs w:val="22"/>
        </w:rPr>
        <w:t>The “touchstone for analysis is whether a comment materially calls into question the conclusion that prior notice and comment is unnecessary under the APA.”</w:t>
      </w:r>
      <w:r>
        <w:rPr>
          <w:rStyle w:val="FootnoteReference"/>
          <w:iCs/>
          <w:sz w:val="20"/>
          <w:szCs w:val="22"/>
        </w:rPr>
        <w:footnoteReference w:id="14"/>
      </w:r>
      <w:r w:rsidR="00A803A2">
        <w:rPr>
          <w:iCs/>
          <w:szCs w:val="22"/>
        </w:rPr>
        <w:t xml:space="preserve"> </w:t>
      </w:r>
      <w:r w:rsidRPr="008D7C3F">
        <w:rPr>
          <w:iCs/>
          <w:szCs w:val="22"/>
        </w:rPr>
        <w:t xml:space="preserve"> </w:t>
      </w:r>
      <w:r w:rsidR="000D7EFD">
        <w:rPr>
          <w:iCs/>
          <w:szCs w:val="22"/>
        </w:rPr>
        <w:t>T</w:t>
      </w:r>
      <w:r>
        <w:rPr>
          <w:iCs/>
          <w:szCs w:val="22"/>
        </w:rPr>
        <w:t xml:space="preserve">he Commission directed the Bureau to withdraw any part of the </w:t>
      </w:r>
      <w:r w:rsidRPr="00233CF9">
        <w:rPr>
          <w:i/>
          <w:szCs w:val="22"/>
        </w:rPr>
        <w:t>Direct Final Rule</w:t>
      </w:r>
      <w:r>
        <w:rPr>
          <w:iCs/>
          <w:szCs w:val="22"/>
        </w:rPr>
        <w:t xml:space="preserve"> found to be subject to significant adverse comments</w:t>
      </w:r>
      <w:r w:rsidR="00F20261">
        <w:rPr>
          <w:iCs/>
          <w:szCs w:val="22"/>
        </w:rPr>
        <w:t>.</w:t>
      </w:r>
      <w:r>
        <w:rPr>
          <w:rStyle w:val="FootnoteReference"/>
          <w:iCs/>
          <w:sz w:val="20"/>
          <w:szCs w:val="22"/>
        </w:rPr>
        <w:footnoteReference w:id="15"/>
      </w:r>
    </w:p>
    <w:p w:rsidR="007C7CDB" w:rsidP="007C7CDB" w14:paraId="0BA81C8B" w14:textId="1BAAF4FD">
      <w:pPr>
        <w:spacing w:after="120"/>
        <w:ind w:firstLine="720"/>
        <w:rPr>
          <w:iCs/>
          <w:szCs w:val="22"/>
        </w:rPr>
      </w:pPr>
      <w:r w:rsidRPr="007C7CDB">
        <w:rPr>
          <w:iCs/>
          <w:szCs w:val="22"/>
        </w:rPr>
        <w:t>Section</w:t>
      </w:r>
      <w:r>
        <w:rPr>
          <w:iCs/>
          <w:szCs w:val="22"/>
        </w:rPr>
        <w:t xml:space="preserve"> 43.21(d)</w:t>
      </w:r>
      <w:r w:rsidR="00631BE6">
        <w:rPr>
          <w:iCs/>
          <w:szCs w:val="22"/>
        </w:rPr>
        <w:t xml:space="preserve"> of the Commission’s rules</w:t>
      </w:r>
      <w:r>
        <w:rPr>
          <w:iCs/>
          <w:szCs w:val="22"/>
        </w:rPr>
        <w:t xml:space="preserve"> required financial data reports of network plant investment from “[e]</w:t>
      </w:r>
      <w:r w:rsidRPr="00A16DF3">
        <w:rPr>
          <w:iCs/>
          <w:szCs w:val="22"/>
        </w:rPr>
        <w:t>ach communications common carrier required by order to file a manual allocating its costs between regulated and nonregulated operations</w:t>
      </w:r>
      <w:r w:rsidR="00F20261">
        <w:rPr>
          <w:iCs/>
          <w:szCs w:val="22"/>
        </w:rPr>
        <w:t>.</w:t>
      </w:r>
      <w:r>
        <w:rPr>
          <w:iCs/>
          <w:szCs w:val="22"/>
        </w:rPr>
        <w:t>”</w:t>
      </w:r>
      <w:r>
        <w:rPr>
          <w:rStyle w:val="FootnoteReference"/>
          <w:iCs/>
          <w:sz w:val="20"/>
          <w:szCs w:val="22"/>
        </w:rPr>
        <w:footnoteReference w:id="16"/>
      </w:r>
      <w:r w:rsidR="00F20261">
        <w:rPr>
          <w:iCs/>
          <w:szCs w:val="22"/>
        </w:rPr>
        <w:t xml:space="preserve">  This rule </w:t>
      </w:r>
      <w:r>
        <w:rPr>
          <w:iCs/>
          <w:szCs w:val="22"/>
        </w:rPr>
        <w:t xml:space="preserve">applied </w:t>
      </w:r>
      <w:r w:rsidR="00F20261">
        <w:rPr>
          <w:iCs/>
          <w:szCs w:val="22"/>
        </w:rPr>
        <w:t xml:space="preserve">only </w:t>
      </w:r>
      <w:r>
        <w:rPr>
          <w:iCs/>
          <w:szCs w:val="22"/>
        </w:rPr>
        <w:t>to a carrier that met a $100 million revenue threshold adjusted for inflation.</w:t>
      </w:r>
      <w:r>
        <w:rPr>
          <w:rStyle w:val="FootnoteReference"/>
          <w:iCs/>
          <w:sz w:val="20"/>
          <w:szCs w:val="22"/>
        </w:rPr>
        <w:footnoteReference w:id="17"/>
      </w:r>
      <w:r>
        <w:rPr>
          <w:iCs/>
          <w:szCs w:val="22"/>
        </w:rPr>
        <w:t xml:space="preserve">  Section 43.21(f) also required “[e]ach </w:t>
      </w:r>
      <w:r w:rsidRPr="007047EE">
        <w:rPr>
          <w:iCs/>
          <w:szCs w:val="22"/>
        </w:rPr>
        <w:t xml:space="preserve">incumbent local exchange carrier with operating revenues </w:t>
      </w:r>
      <w:r>
        <w:rPr>
          <w:iCs/>
          <w:szCs w:val="22"/>
        </w:rPr>
        <w:t xml:space="preserve">. . . </w:t>
      </w:r>
      <w:r w:rsidRPr="007047EE">
        <w:rPr>
          <w:iCs/>
          <w:szCs w:val="22"/>
        </w:rPr>
        <w:t xml:space="preserve">that equal or exceed </w:t>
      </w:r>
      <w:r>
        <w:rPr>
          <w:iCs/>
          <w:szCs w:val="22"/>
        </w:rPr>
        <w:t xml:space="preserve">the </w:t>
      </w:r>
      <w:r w:rsidRPr="007047EE">
        <w:rPr>
          <w:iCs/>
          <w:szCs w:val="22"/>
        </w:rPr>
        <w:t>indexed revenue threshold</w:t>
      </w:r>
      <w:r>
        <w:rPr>
          <w:iCs/>
          <w:szCs w:val="22"/>
        </w:rPr>
        <w:t>” of $100 million adjusted for inflation to file an annual “</w:t>
      </w:r>
      <w:r w:rsidRPr="007047EE">
        <w:rPr>
          <w:iCs/>
          <w:szCs w:val="22"/>
        </w:rPr>
        <w:t xml:space="preserve">report showing </w:t>
      </w:r>
      <w:r>
        <w:rPr>
          <w:iCs/>
          <w:szCs w:val="22"/>
        </w:rPr>
        <w:t xml:space="preserve">. . . </w:t>
      </w:r>
      <w:r w:rsidRPr="007047EE">
        <w:rPr>
          <w:iCs/>
          <w:szCs w:val="22"/>
        </w:rPr>
        <w:t>its revenues, expenses, taxes, plant in service, other investment and depreciation reserves, and other such data as are required by the Commission</w:t>
      </w:r>
      <w:r>
        <w:rPr>
          <w:iCs/>
          <w:szCs w:val="22"/>
        </w:rPr>
        <w:t>.”</w:t>
      </w:r>
      <w:r>
        <w:rPr>
          <w:rStyle w:val="FootnoteReference"/>
          <w:iCs/>
          <w:sz w:val="20"/>
          <w:szCs w:val="22"/>
        </w:rPr>
        <w:footnoteReference w:id="18"/>
      </w:r>
      <w:r>
        <w:rPr>
          <w:iCs/>
          <w:szCs w:val="22"/>
        </w:rPr>
        <w:t xml:space="preserve">  </w:t>
      </w:r>
    </w:p>
    <w:p w:rsidR="000D7EFD" w:rsidP="00972010" w14:paraId="7583B12B" w14:textId="1BA1EA01">
      <w:pPr>
        <w:spacing w:after="120"/>
        <w:ind w:firstLine="720"/>
        <w:rPr>
          <w:iCs/>
          <w:szCs w:val="22"/>
        </w:rPr>
      </w:pPr>
      <w:r>
        <w:rPr>
          <w:iCs/>
          <w:szCs w:val="22"/>
        </w:rPr>
        <w:t xml:space="preserve">These reports have not been filed with the Commission in nearly two decades.  </w:t>
      </w:r>
      <w:r w:rsidR="00E64170">
        <w:rPr>
          <w:iCs/>
          <w:szCs w:val="22"/>
        </w:rPr>
        <w:t xml:space="preserve">As the </w:t>
      </w:r>
      <w:r w:rsidR="00E64170">
        <w:rPr>
          <w:i/>
          <w:szCs w:val="22"/>
        </w:rPr>
        <w:t xml:space="preserve">Direct Final Rule </w:t>
      </w:r>
      <w:r w:rsidR="00E64170">
        <w:rPr>
          <w:iCs/>
          <w:szCs w:val="22"/>
        </w:rPr>
        <w:t>explained, t</w:t>
      </w:r>
      <w:r>
        <w:rPr>
          <w:iCs/>
          <w:szCs w:val="22"/>
        </w:rPr>
        <w:t>he Commission previously granted forbearance from cost-assignment and related reporting requirements</w:t>
      </w:r>
      <w:r w:rsidR="00E64170">
        <w:rPr>
          <w:iCs/>
          <w:szCs w:val="22"/>
        </w:rPr>
        <w:t>, including sections 43.21(d) and (f)</w:t>
      </w:r>
      <w:r>
        <w:rPr>
          <w:iCs/>
          <w:szCs w:val="22"/>
        </w:rPr>
        <w:t xml:space="preserve"> for price cap carriers, </w:t>
      </w:r>
      <w:r w:rsidR="00EE1C53">
        <w:rPr>
          <w:iCs/>
          <w:szCs w:val="22"/>
        </w:rPr>
        <w:t xml:space="preserve">and thus </w:t>
      </w:r>
      <w:r>
        <w:rPr>
          <w:iCs/>
          <w:szCs w:val="22"/>
        </w:rPr>
        <w:t>determin</w:t>
      </w:r>
      <w:r w:rsidR="00EE1C53">
        <w:rPr>
          <w:iCs/>
          <w:szCs w:val="22"/>
        </w:rPr>
        <w:t>ed</w:t>
      </w:r>
      <w:r>
        <w:rPr>
          <w:iCs/>
          <w:szCs w:val="22"/>
        </w:rPr>
        <w:t xml:space="preserve"> </w:t>
      </w:r>
      <w:r w:rsidR="00BD6AB1">
        <w:rPr>
          <w:iCs/>
          <w:szCs w:val="22"/>
        </w:rPr>
        <w:t xml:space="preserve">that </w:t>
      </w:r>
      <w:r w:rsidR="00F80FE0">
        <w:rPr>
          <w:iCs/>
          <w:szCs w:val="22"/>
        </w:rPr>
        <w:t xml:space="preserve">the rules </w:t>
      </w:r>
      <w:r w:rsidR="00BD6AB1">
        <w:rPr>
          <w:iCs/>
          <w:szCs w:val="22"/>
        </w:rPr>
        <w:t xml:space="preserve">were </w:t>
      </w:r>
      <w:r w:rsidR="00D9058E">
        <w:rPr>
          <w:iCs/>
          <w:szCs w:val="22"/>
        </w:rPr>
        <w:t>n</w:t>
      </w:r>
      <w:r w:rsidRPr="000E4F27" w:rsidR="000E4F27">
        <w:rPr>
          <w:iCs/>
          <w:szCs w:val="22"/>
        </w:rPr>
        <w:t>o longer necessary to ensur</w:t>
      </w:r>
      <w:r w:rsidR="00D9058E">
        <w:rPr>
          <w:iCs/>
          <w:szCs w:val="22"/>
        </w:rPr>
        <w:t xml:space="preserve">e </w:t>
      </w:r>
      <w:r w:rsidRPr="000E4F27" w:rsidR="000E4F27">
        <w:rPr>
          <w:iCs/>
          <w:szCs w:val="22"/>
        </w:rPr>
        <w:t xml:space="preserve">reasonable rates, protect consumers, or </w:t>
      </w:r>
      <w:r w:rsidR="00BD6AB1">
        <w:rPr>
          <w:iCs/>
          <w:szCs w:val="22"/>
        </w:rPr>
        <w:t xml:space="preserve">further </w:t>
      </w:r>
      <w:r w:rsidRPr="000E4F27" w:rsidR="000E4F27">
        <w:rPr>
          <w:iCs/>
          <w:szCs w:val="22"/>
        </w:rPr>
        <w:t>the public interest</w:t>
      </w:r>
      <w:r w:rsidR="0006208B">
        <w:rPr>
          <w:iCs/>
          <w:szCs w:val="22"/>
        </w:rPr>
        <w:t xml:space="preserve"> in 2008</w:t>
      </w:r>
      <w:r w:rsidRPr="000E4F27" w:rsidR="000E4F27">
        <w:rPr>
          <w:iCs/>
          <w:szCs w:val="22"/>
        </w:rPr>
        <w:t>.</w:t>
      </w:r>
      <w:r>
        <w:rPr>
          <w:rStyle w:val="FootnoteReference"/>
          <w:iCs/>
          <w:sz w:val="20"/>
          <w:szCs w:val="22"/>
        </w:rPr>
        <w:footnoteReference w:id="19"/>
      </w:r>
      <w:r>
        <w:rPr>
          <w:iCs/>
          <w:szCs w:val="22"/>
        </w:rPr>
        <w:t xml:space="preserve">  </w:t>
      </w:r>
      <w:r w:rsidR="00B93241">
        <w:rPr>
          <w:iCs/>
          <w:szCs w:val="22"/>
        </w:rPr>
        <w:t xml:space="preserve">Nothing in the </w:t>
      </w:r>
      <w:r w:rsidR="00B075BC">
        <w:rPr>
          <w:iCs/>
          <w:szCs w:val="22"/>
        </w:rPr>
        <w:t xml:space="preserve">CPUC’s </w:t>
      </w:r>
      <w:r w:rsidR="00B93241">
        <w:rPr>
          <w:iCs/>
          <w:szCs w:val="22"/>
        </w:rPr>
        <w:t xml:space="preserve">comments undermines </w:t>
      </w:r>
      <w:r w:rsidR="00AD144A">
        <w:rPr>
          <w:iCs/>
          <w:szCs w:val="22"/>
        </w:rPr>
        <w:t xml:space="preserve">or addresses </w:t>
      </w:r>
      <w:r w:rsidR="00B93241">
        <w:rPr>
          <w:iCs/>
          <w:szCs w:val="22"/>
        </w:rPr>
        <w:t xml:space="preserve">this rationale.  </w:t>
      </w:r>
    </w:p>
    <w:p w:rsidR="0016697A" w:rsidRPr="0016697A" w:rsidP="0016697A" w14:paraId="648172B6" w14:textId="78307747">
      <w:pPr>
        <w:spacing w:after="120"/>
        <w:ind w:firstLine="720"/>
        <w:rPr>
          <w:iCs/>
          <w:szCs w:val="22"/>
        </w:rPr>
      </w:pPr>
      <w:r w:rsidRPr="00E64170">
        <w:rPr>
          <w:iCs/>
          <w:szCs w:val="22"/>
        </w:rPr>
        <w:t>The C</w:t>
      </w:r>
      <w:r>
        <w:rPr>
          <w:iCs/>
          <w:szCs w:val="22"/>
        </w:rPr>
        <w:t xml:space="preserve">PUC’s </w:t>
      </w:r>
      <w:r w:rsidRPr="00E64170">
        <w:rPr>
          <w:iCs/>
          <w:szCs w:val="22"/>
        </w:rPr>
        <w:t>comments do not qualify as “significant adverse” because they do not explain why the direct final rule would be inappropriate, ineffective, or unacceptable</w:t>
      </w:r>
      <w:r>
        <w:rPr>
          <w:iCs/>
          <w:szCs w:val="22"/>
        </w:rPr>
        <w:t>,</w:t>
      </w:r>
      <w:r w:rsidRPr="00E64170">
        <w:rPr>
          <w:iCs/>
          <w:szCs w:val="22"/>
        </w:rPr>
        <w:t xml:space="preserve"> nor do they materially call into question the conclusion that prior notice and comment is unnecessary under the APA.  </w:t>
      </w:r>
      <w:r w:rsidR="000D7EFD">
        <w:rPr>
          <w:iCs/>
          <w:szCs w:val="22"/>
        </w:rPr>
        <w:t>T</w:t>
      </w:r>
      <w:r w:rsidR="00B93241">
        <w:rPr>
          <w:iCs/>
          <w:szCs w:val="22"/>
        </w:rPr>
        <w:t xml:space="preserve">he </w:t>
      </w:r>
      <w:r w:rsidR="002A5C52">
        <w:rPr>
          <w:iCs/>
          <w:szCs w:val="22"/>
        </w:rPr>
        <w:t xml:space="preserve">CPUC’s </w:t>
      </w:r>
      <w:r w:rsidR="001F0734">
        <w:rPr>
          <w:iCs/>
          <w:szCs w:val="22"/>
        </w:rPr>
        <w:t>assertion</w:t>
      </w:r>
      <w:r w:rsidR="006372EB">
        <w:rPr>
          <w:iCs/>
          <w:szCs w:val="22"/>
        </w:rPr>
        <w:t xml:space="preserve"> </w:t>
      </w:r>
      <w:r w:rsidR="001969FA">
        <w:rPr>
          <w:iCs/>
          <w:szCs w:val="22"/>
        </w:rPr>
        <w:t xml:space="preserve">that </w:t>
      </w:r>
      <w:r w:rsidR="00FC5825">
        <w:rPr>
          <w:iCs/>
          <w:szCs w:val="22"/>
        </w:rPr>
        <w:t xml:space="preserve">it relies on </w:t>
      </w:r>
      <w:r w:rsidRPr="001F0734" w:rsidR="001F0734">
        <w:rPr>
          <w:iCs/>
          <w:szCs w:val="22"/>
        </w:rPr>
        <w:t>sections 43.21(d) and (f)</w:t>
      </w:r>
      <w:r w:rsidR="00B93241">
        <w:rPr>
          <w:iCs/>
          <w:szCs w:val="22"/>
        </w:rPr>
        <w:t xml:space="preserve"> </w:t>
      </w:r>
      <w:r w:rsidR="00FC5825">
        <w:rPr>
          <w:iCs/>
          <w:szCs w:val="22"/>
        </w:rPr>
        <w:t>and that the</w:t>
      </w:r>
      <w:r w:rsidR="001F0734">
        <w:rPr>
          <w:iCs/>
          <w:szCs w:val="22"/>
        </w:rPr>
        <w:t>se rules</w:t>
      </w:r>
      <w:r w:rsidR="00FC5825">
        <w:rPr>
          <w:iCs/>
          <w:szCs w:val="22"/>
        </w:rPr>
        <w:t xml:space="preserve"> </w:t>
      </w:r>
      <w:r w:rsidR="00F51D0C">
        <w:rPr>
          <w:iCs/>
          <w:szCs w:val="22"/>
        </w:rPr>
        <w:t xml:space="preserve">are essential </w:t>
      </w:r>
      <w:r w:rsidR="00734416">
        <w:rPr>
          <w:iCs/>
          <w:szCs w:val="22"/>
        </w:rPr>
        <w:t xml:space="preserve">for </w:t>
      </w:r>
      <w:r w:rsidR="00E60FF3">
        <w:rPr>
          <w:iCs/>
          <w:szCs w:val="22"/>
        </w:rPr>
        <w:t xml:space="preserve">the </w:t>
      </w:r>
      <w:r w:rsidR="00C67300">
        <w:rPr>
          <w:iCs/>
          <w:szCs w:val="22"/>
        </w:rPr>
        <w:t>intra</w:t>
      </w:r>
      <w:r w:rsidR="002B4563">
        <w:rPr>
          <w:iCs/>
          <w:szCs w:val="22"/>
        </w:rPr>
        <w:t>state</w:t>
      </w:r>
      <w:r w:rsidR="00C67300">
        <w:rPr>
          <w:iCs/>
          <w:szCs w:val="22"/>
        </w:rPr>
        <w:t xml:space="preserve"> rate</w:t>
      </w:r>
      <w:r w:rsidR="002B4563">
        <w:rPr>
          <w:iCs/>
          <w:szCs w:val="22"/>
        </w:rPr>
        <w:t xml:space="preserve"> regulat</w:t>
      </w:r>
      <w:r w:rsidR="00E60FF3">
        <w:rPr>
          <w:iCs/>
          <w:szCs w:val="22"/>
        </w:rPr>
        <w:t>ion of</w:t>
      </w:r>
      <w:r w:rsidR="00734416">
        <w:rPr>
          <w:iCs/>
          <w:szCs w:val="22"/>
        </w:rPr>
        <w:t xml:space="preserve"> </w:t>
      </w:r>
      <w:r w:rsidR="00B93241">
        <w:rPr>
          <w:iCs/>
          <w:szCs w:val="22"/>
        </w:rPr>
        <w:t>small incumbent local exchange carriers</w:t>
      </w:r>
      <w:r w:rsidR="000133F4">
        <w:rPr>
          <w:iCs/>
          <w:szCs w:val="22"/>
        </w:rPr>
        <w:t xml:space="preserve"> </w:t>
      </w:r>
      <w:r w:rsidR="001F0734">
        <w:rPr>
          <w:iCs/>
          <w:szCs w:val="22"/>
        </w:rPr>
        <w:t>is</w:t>
      </w:r>
      <w:r w:rsidR="000133F4">
        <w:rPr>
          <w:iCs/>
          <w:szCs w:val="22"/>
        </w:rPr>
        <w:t xml:space="preserve"> </w:t>
      </w:r>
      <w:r w:rsidR="001F0734">
        <w:rPr>
          <w:iCs/>
          <w:szCs w:val="22"/>
        </w:rPr>
        <w:t>baseless</w:t>
      </w:r>
      <w:r w:rsidR="005A6BBD">
        <w:rPr>
          <w:iCs/>
          <w:szCs w:val="22"/>
        </w:rPr>
        <w:t>.</w:t>
      </w:r>
      <w:r>
        <w:rPr>
          <w:iCs/>
          <w:sz w:val="20"/>
          <w:szCs w:val="22"/>
          <w:vertAlign w:val="superscript"/>
        </w:rPr>
        <w:footnoteReference w:id="20"/>
      </w:r>
      <w:r w:rsidR="005A6BBD">
        <w:rPr>
          <w:iCs/>
          <w:szCs w:val="22"/>
        </w:rPr>
        <w:t xml:space="preserve">  </w:t>
      </w:r>
      <w:r w:rsidR="000133F4">
        <w:rPr>
          <w:iCs/>
          <w:szCs w:val="22"/>
        </w:rPr>
        <w:t>First, s</w:t>
      </w:r>
      <w:r w:rsidR="00B93241">
        <w:rPr>
          <w:iCs/>
          <w:szCs w:val="22"/>
        </w:rPr>
        <w:t>mall carriers</w:t>
      </w:r>
      <w:r w:rsidR="000133F4">
        <w:rPr>
          <w:iCs/>
          <w:szCs w:val="22"/>
        </w:rPr>
        <w:t xml:space="preserve"> </w:t>
      </w:r>
      <w:r w:rsidR="00B93241">
        <w:rPr>
          <w:iCs/>
          <w:szCs w:val="22"/>
        </w:rPr>
        <w:t>have never been subject to the</w:t>
      </w:r>
      <w:r w:rsidR="00574BA6">
        <w:rPr>
          <w:iCs/>
          <w:szCs w:val="22"/>
        </w:rPr>
        <w:t>se</w:t>
      </w:r>
      <w:r w:rsidR="00B93241">
        <w:rPr>
          <w:iCs/>
          <w:szCs w:val="22"/>
        </w:rPr>
        <w:t xml:space="preserve"> rules</w:t>
      </w:r>
      <w:r w:rsidR="00480E6E">
        <w:rPr>
          <w:iCs/>
          <w:szCs w:val="22"/>
        </w:rPr>
        <w:t>,</w:t>
      </w:r>
      <w:r w:rsidR="00613BFA">
        <w:rPr>
          <w:iCs/>
          <w:szCs w:val="22"/>
        </w:rPr>
        <w:t xml:space="preserve"> and </w:t>
      </w:r>
      <w:r>
        <w:rPr>
          <w:iCs/>
          <w:szCs w:val="22"/>
        </w:rPr>
        <w:t>even carriers that meet the revenue threshold</w:t>
      </w:r>
      <w:r w:rsidR="00334EE2">
        <w:rPr>
          <w:iCs/>
          <w:szCs w:val="22"/>
        </w:rPr>
        <w:t xml:space="preserve"> have not filed</w:t>
      </w:r>
      <w:r>
        <w:rPr>
          <w:iCs/>
          <w:szCs w:val="22"/>
        </w:rPr>
        <w:t xml:space="preserve"> these reports</w:t>
      </w:r>
      <w:r w:rsidR="00334EE2">
        <w:rPr>
          <w:iCs/>
          <w:szCs w:val="22"/>
        </w:rPr>
        <w:t xml:space="preserve"> with the </w:t>
      </w:r>
      <w:r w:rsidR="00480E6E">
        <w:rPr>
          <w:iCs/>
          <w:szCs w:val="22"/>
        </w:rPr>
        <w:t xml:space="preserve">FCC </w:t>
      </w:r>
      <w:r w:rsidR="00334EE2">
        <w:rPr>
          <w:iCs/>
          <w:szCs w:val="22"/>
        </w:rPr>
        <w:t>in nearly</w:t>
      </w:r>
      <w:r w:rsidR="000B478B">
        <w:rPr>
          <w:iCs/>
          <w:szCs w:val="22"/>
        </w:rPr>
        <w:t xml:space="preserve"> </w:t>
      </w:r>
      <w:r w:rsidR="00613BFA">
        <w:rPr>
          <w:iCs/>
          <w:szCs w:val="22"/>
        </w:rPr>
        <w:t>two decades.</w:t>
      </w:r>
      <w:r>
        <w:rPr>
          <w:rStyle w:val="FootnoteReference"/>
          <w:iCs/>
          <w:sz w:val="20"/>
          <w:szCs w:val="22"/>
        </w:rPr>
        <w:footnoteReference w:id="21"/>
      </w:r>
      <w:r>
        <w:rPr>
          <w:iCs/>
          <w:szCs w:val="22"/>
        </w:rPr>
        <w:t xml:space="preserve">  </w:t>
      </w:r>
      <w:r w:rsidR="00A623F3">
        <w:rPr>
          <w:iCs/>
          <w:szCs w:val="22"/>
        </w:rPr>
        <w:t xml:space="preserve">Second, </w:t>
      </w:r>
      <w:r w:rsidR="00496C85">
        <w:rPr>
          <w:iCs/>
          <w:szCs w:val="22"/>
        </w:rPr>
        <w:t xml:space="preserve">the Commission </w:t>
      </w:r>
      <w:r w:rsidR="0015076D">
        <w:rPr>
          <w:iCs/>
          <w:szCs w:val="22"/>
        </w:rPr>
        <w:t xml:space="preserve">has previously </w:t>
      </w:r>
      <w:r w:rsidR="00496C85">
        <w:rPr>
          <w:iCs/>
          <w:szCs w:val="22"/>
        </w:rPr>
        <w:t xml:space="preserve">rejected this </w:t>
      </w:r>
      <w:r w:rsidR="004F190A">
        <w:rPr>
          <w:iCs/>
          <w:szCs w:val="22"/>
        </w:rPr>
        <w:t>argument.</w:t>
      </w:r>
      <w:r>
        <w:rPr>
          <w:rStyle w:val="FootnoteReference"/>
          <w:iCs/>
          <w:sz w:val="20"/>
          <w:szCs w:val="22"/>
        </w:rPr>
        <w:footnoteReference w:id="22"/>
      </w:r>
      <w:r w:rsidR="004F190A">
        <w:rPr>
          <w:iCs/>
          <w:szCs w:val="22"/>
        </w:rPr>
        <w:t xml:space="preserve">  </w:t>
      </w:r>
      <w:r w:rsidR="006A5504">
        <w:rPr>
          <w:iCs/>
          <w:szCs w:val="22"/>
        </w:rPr>
        <w:t xml:space="preserve">In </w:t>
      </w:r>
      <w:r w:rsidRPr="00982647" w:rsidR="00982647">
        <w:rPr>
          <w:iCs/>
          <w:szCs w:val="22"/>
        </w:rPr>
        <w:t>grant</w:t>
      </w:r>
      <w:r w:rsidR="006A5504">
        <w:rPr>
          <w:iCs/>
          <w:szCs w:val="22"/>
        </w:rPr>
        <w:t xml:space="preserve">ing </w:t>
      </w:r>
      <w:r w:rsidRPr="00982647" w:rsidR="00982647">
        <w:rPr>
          <w:iCs/>
          <w:szCs w:val="22"/>
        </w:rPr>
        <w:t>AT&amp;T forbearance from the cost assignment rules in 2008</w:t>
      </w:r>
      <w:r w:rsidR="00982647">
        <w:rPr>
          <w:iCs/>
          <w:szCs w:val="22"/>
        </w:rPr>
        <w:t xml:space="preserve">, </w:t>
      </w:r>
      <w:r w:rsidR="009B24D0">
        <w:rPr>
          <w:iCs/>
          <w:szCs w:val="22"/>
        </w:rPr>
        <w:t>the Commission</w:t>
      </w:r>
      <w:r w:rsidR="00982647">
        <w:rPr>
          <w:iCs/>
          <w:szCs w:val="22"/>
        </w:rPr>
        <w:t xml:space="preserve"> </w:t>
      </w:r>
      <w:r w:rsidRPr="00982647" w:rsidR="00982647">
        <w:rPr>
          <w:iCs/>
          <w:szCs w:val="22"/>
        </w:rPr>
        <w:t xml:space="preserve">explained that </w:t>
      </w:r>
      <w:r w:rsidRPr="00982647" w:rsidR="007F4D48">
        <w:rPr>
          <w:iCs/>
          <w:szCs w:val="22"/>
        </w:rPr>
        <w:t>the</w:t>
      </w:r>
      <w:r w:rsidR="007F4D48">
        <w:rPr>
          <w:iCs/>
          <w:szCs w:val="22"/>
        </w:rPr>
        <w:t xml:space="preserve"> cost assignment </w:t>
      </w:r>
      <w:r w:rsidRPr="00982647" w:rsidR="00982647">
        <w:rPr>
          <w:iCs/>
          <w:szCs w:val="22"/>
        </w:rPr>
        <w:t>rules, which include sections 43.21(d) and (f), could not be justified for federal ratemaking purposes and were not necessary for intrastate ratemaking because states may act under their own authority to obtain data they need.</w:t>
      </w:r>
      <w:r>
        <w:rPr>
          <w:iCs/>
          <w:sz w:val="20"/>
          <w:szCs w:val="22"/>
          <w:vertAlign w:val="superscript"/>
        </w:rPr>
        <w:footnoteReference w:id="23"/>
      </w:r>
      <w:r w:rsidRPr="00982647" w:rsidR="00982647">
        <w:rPr>
          <w:iCs/>
          <w:szCs w:val="22"/>
        </w:rPr>
        <w:t xml:space="preserve"> </w:t>
      </w:r>
      <w:r w:rsidR="00982647">
        <w:rPr>
          <w:iCs/>
          <w:szCs w:val="22"/>
        </w:rPr>
        <w:t xml:space="preserve"> </w:t>
      </w:r>
    </w:p>
    <w:p w:rsidR="00485791" w:rsidP="00972010" w14:paraId="159C5CDD" w14:textId="7C419E8B">
      <w:pPr>
        <w:spacing w:after="120"/>
        <w:ind w:firstLine="720"/>
        <w:rPr>
          <w:iCs/>
          <w:szCs w:val="22"/>
        </w:rPr>
      </w:pPr>
      <w:r>
        <w:rPr>
          <w:iCs/>
          <w:szCs w:val="22"/>
        </w:rPr>
        <w:t>For these reasons</w:t>
      </w:r>
      <w:r w:rsidR="004D5C5D">
        <w:rPr>
          <w:iCs/>
          <w:szCs w:val="22"/>
        </w:rPr>
        <w:t xml:space="preserve">, </w:t>
      </w:r>
      <w:r>
        <w:rPr>
          <w:iCs/>
          <w:szCs w:val="22"/>
        </w:rPr>
        <w:t xml:space="preserve">the </w:t>
      </w:r>
      <w:r w:rsidR="002A5C52">
        <w:rPr>
          <w:iCs/>
          <w:szCs w:val="22"/>
        </w:rPr>
        <w:t>CPUC</w:t>
      </w:r>
      <w:r w:rsidR="0044000F">
        <w:rPr>
          <w:iCs/>
          <w:szCs w:val="22"/>
        </w:rPr>
        <w:t xml:space="preserve">’s comments do not qualify as </w:t>
      </w:r>
      <w:r w:rsidR="00132F8A">
        <w:rPr>
          <w:iCs/>
          <w:szCs w:val="22"/>
        </w:rPr>
        <w:t>“</w:t>
      </w:r>
      <w:r w:rsidR="00736E3B">
        <w:rPr>
          <w:iCs/>
          <w:szCs w:val="22"/>
        </w:rPr>
        <w:t>significant adverse</w:t>
      </w:r>
      <w:r w:rsidR="0044000F">
        <w:rPr>
          <w:iCs/>
          <w:szCs w:val="22"/>
        </w:rPr>
        <w:t>.</w:t>
      </w:r>
      <w:r w:rsidR="00132F8A">
        <w:rPr>
          <w:iCs/>
          <w:szCs w:val="22"/>
        </w:rPr>
        <w:t>”</w:t>
      </w:r>
      <w:r w:rsidR="001B3C0B">
        <w:rPr>
          <w:iCs/>
          <w:szCs w:val="22"/>
        </w:rPr>
        <w:t xml:space="preserve">  Accordingly, </w:t>
      </w:r>
      <w:r>
        <w:rPr>
          <w:iCs/>
          <w:szCs w:val="22"/>
        </w:rPr>
        <w:t xml:space="preserve">the repeal of these sections </w:t>
      </w:r>
      <w:r w:rsidR="00376F6E">
        <w:rPr>
          <w:iCs/>
          <w:szCs w:val="22"/>
        </w:rPr>
        <w:t xml:space="preserve">as set forth in the amendments </w:t>
      </w:r>
      <w:r w:rsidR="0023755C">
        <w:rPr>
          <w:iCs/>
          <w:szCs w:val="22"/>
        </w:rPr>
        <w:t>to</w:t>
      </w:r>
      <w:r w:rsidR="00376F6E">
        <w:rPr>
          <w:iCs/>
          <w:szCs w:val="22"/>
        </w:rPr>
        <w:t xml:space="preserve"> the FCC’s rules in the Appendix of the </w:t>
      </w:r>
      <w:r w:rsidRPr="00376F6E" w:rsidR="00376F6E">
        <w:rPr>
          <w:i/>
          <w:iCs/>
          <w:szCs w:val="22"/>
        </w:rPr>
        <w:t xml:space="preserve">Direct Final Rule </w:t>
      </w:r>
      <w:r w:rsidRPr="00376F6E" w:rsidR="00376F6E">
        <w:rPr>
          <w:iCs/>
          <w:szCs w:val="22"/>
        </w:rPr>
        <w:t xml:space="preserve">item </w:t>
      </w:r>
      <w:r w:rsidR="0044000F">
        <w:rPr>
          <w:iCs/>
          <w:szCs w:val="22"/>
        </w:rPr>
        <w:t>is</w:t>
      </w:r>
      <w:r w:rsidR="008B7D3C">
        <w:rPr>
          <w:iCs/>
          <w:szCs w:val="22"/>
        </w:rPr>
        <w:t xml:space="preserve"> </w:t>
      </w:r>
      <w:r w:rsidR="006C6982">
        <w:rPr>
          <w:iCs/>
          <w:szCs w:val="22"/>
        </w:rPr>
        <w:t>effect</w:t>
      </w:r>
      <w:r w:rsidR="0044000F">
        <w:rPr>
          <w:iCs/>
          <w:szCs w:val="22"/>
        </w:rPr>
        <w:t>ive on June 15, 2026</w:t>
      </w:r>
      <w:r w:rsidR="006C6982">
        <w:rPr>
          <w:iCs/>
          <w:szCs w:val="22"/>
        </w:rPr>
        <w:t xml:space="preserve"> as ordered</w:t>
      </w:r>
      <w:r w:rsidR="00376F6E">
        <w:rPr>
          <w:iCs/>
          <w:szCs w:val="22"/>
        </w:rPr>
        <w:t>.</w:t>
      </w:r>
      <w:r>
        <w:rPr>
          <w:rStyle w:val="FootnoteReference"/>
          <w:iCs/>
          <w:sz w:val="20"/>
          <w:szCs w:val="22"/>
        </w:rPr>
        <w:footnoteReference w:id="24"/>
      </w:r>
    </w:p>
    <w:p w:rsidR="000301C2" w:rsidRPr="00DB7CDC" w:rsidP="001B3C0B" w14:paraId="2CA25668" w14:textId="0D50C2FA">
      <w:pPr>
        <w:spacing w:after="120"/>
        <w:ind w:firstLine="720"/>
        <w:rPr>
          <w:b/>
          <w:bCs/>
          <w:iCs/>
          <w:szCs w:val="22"/>
        </w:rPr>
      </w:pPr>
      <w:r w:rsidRPr="001B3C0B">
        <w:rPr>
          <w:iCs/>
          <w:szCs w:val="22"/>
        </w:rPr>
        <w:t xml:space="preserve">For further information, please contact </w:t>
      </w:r>
      <w:r w:rsidR="00912746">
        <w:rPr>
          <w:iCs/>
          <w:szCs w:val="22"/>
        </w:rPr>
        <w:t xml:space="preserve">Marv Sacks </w:t>
      </w:r>
      <w:r>
        <w:rPr>
          <w:iCs/>
          <w:szCs w:val="22"/>
        </w:rPr>
        <w:t>of the Pricing Policy Division, W</w:t>
      </w:r>
      <w:r w:rsidRPr="001B3C0B">
        <w:rPr>
          <w:iCs/>
          <w:szCs w:val="22"/>
        </w:rPr>
        <w:t>ireline</w:t>
      </w:r>
      <w:r>
        <w:rPr>
          <w:iCs/>
          <w:szCs w:val="22"/>
        </w:rPr>
        <w:t xml:space="preserve"> </w:t>
      </w:r>
      <w:r w:rsidRPr="001B3C0B">
        <w:rPr>
          <w:iCs/>
          <w:szCs w:val="22"/>
        </w:rPr>
        <w:t>Competition Bureau</w:t>
      </w:r>
      <w:r w:rsidRPr="00BB319B" w:rsidR="00BB319B">
        <w:rPr>
          <w:iCs/>
          <w:szCs w:val="22"/>
        </w:rPr>
        <w:t xml:space="preserve"> </w:t>
      </w:r>
      <w:r w:rsidR="00BB319B">
        <w:rPr>
          <w:iCs/>
          <w:szCs w:val="22"/>
        </w:rPr>
        <w:t>at marvin.sacks</w:t>
      </w:r>
      <w:r w:rsidRPr="001B3C0B" w:rsidR="00BB319B">
        <w:rPr>
          <w:iCs/>
          <w:szCs w:val="22"/>
        </w:rPr>
        <w:t>@fcc.gov</w:t>
      </w:r>
      <w:r>
        <w:rPr>
          <w:iCs/>
          <w:szCs w:val="22"/>
        </w:rPr>
        <w:t xml:space="preserve">.  </w:t>
      </w:r>
    </w:p>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A3E60" w14:paraId="79156710" w14:textId="77777777">
      <w:pPr>
        <w:spacing w:line="20" w:lineRule="exact"/>
      </w:pPr>
    </w:p>
  </w:endnote>
  <w:endnote w:type="continuationSeparator" w:id="1">
    <w:p w:rsidR="008A3E60" w14:paraId="7109D38B" w14:textId="77777777">
      <w:r>
        <w:t xml:space="preserve"> </w:t>
      </w:r>
    </w:p>
  </w:endnote>
  <w:endnote w:type="continuationNotice" w:id="2">
    <w:p w:rsidR="008A3E60" w14:paraId="6665220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1D46092"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B89A27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0DE0B7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A7531B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A3E60" w14:paraId="25D3230F" w14:textId="77777777">
      <w:r>
        <w:separator/>
      </w:r>
    </w:p>
  </w:footnote>
  <w:footnote w:type="continuationSeparator" w:id="1">
    <w:p w:rsidR="008A3E60" w14:paraId="5DED384B" w14:textId="77777777">
      <w:pPr>
        <w:rPr>
          <w:sz w:val="20"/>
        </w:rPr>
      </w:pPr>
      <w:r>
        <w:rPr>
          <w:sz w:val="20"/>
        </w:rPr>
        <w:t xml:space="preserve">(Continued from previous page)  </w:t>
      </w:r>
      <w:r>
        <w:rPr>
          <w:sz w:val="20"/>
        </w:rPr>
        <w:separator/>
      </w:r>
    </w:p>
  </w:footnote>
  <w:footnote w:type="continuationNotice" w:id="2">
    <w:p w:rsidR="008A3E60" w14:paraId="3445BD74" w14:textId="77777777">
      <w:pPr>
        <w:jc w:val="right"/>
        <w:rPr>
          <w:sz w:val="20"/>
        </w:rPr>
      </w:pPr>
      <w:r>
        <w:rPr>
          <w:sz w:val="20"/>
        </w:rPr>
        <w:t>(continued….)</w:t>
      </w:r>
    </w:p>
  </w:footnote>
  <w:footnote w:id="3">
    <w:p w:rsidR="0091176D" w:rsidP="0091176D" w14:paraId="03E83BD3" w14:textId="2184DF54">
      <w:pPr>
        <w:pStyle w:val="FootnoteText"/>
      </w:pPr>
      <w:r w:rsidRPr="008A380F">
        <w:rPr>
          <w:rStyle w:val="FootnoteReference"/>
          <w:sz w:val="20"/>
        </w:rPr>
        <w:footnoteRef/>
      </w:r>
      <w:r>
        <w:t xml:space="preserve"> </w:t>
      </w:r>
      <w:r w:rsidRPr="00DC3C2B" w:rsidR="00DC3C2B">
        <w:rPr>
          <w:i/>
          <w:iCs/>
        </w:rPr>
        <w:t>Delete, Delete, Delete</w:t>
      </w:r>
      <w:r w:rsidRPr="00DC3C2B" w:rsidR="00DC3C2B">
        <w:t xml:space="preserve">, GN Docket No. 25-133, Direct Final Rule, 40 FCC </w:t>
      </w:r>
      <w:r w:rsidRPr="00DC3C2B" w:rsidR="00DC3C2B">
        <w:t>Rcd</w:t>
      </w:r>
      <w:r w:rsidRPr="00DC3C2B" w:rsidR="00DC3C2B">
        <w:t xml:space="preserve"> 8166 (2025) (</w:t>
      </w:r>
      <w:r w:rsidRPr="00DC3C2B" w:rsidR="00DC3C2B">
        <w:rPr>
          <w:i/>
          <w:iCs/>
        </w:rPr>
        <w:t>Direct Final Rule</w:t>
      </w:r>
      <w:r w:rsidRPr="00DC3C2B" w:rsidR="00DC3C2B">
        <w:t xml:space="preserve">).  </w:t>
      </w:r>
      <w:r w:rsidRPr="00DC3C2B" w:rsidR="00DC3C2B">
        <w:rPr>
          <w:iCs/>
        </w:rPr>
        <w:t xml:space="preserve">The </w:t>
      </w:r>
      <w:r w:rsidRPr="00DC3C2B" w:rsidR="00DC3C2B">
        <w:rPr>
          <w:i/>
        </w:rPr>
        <w:t xml:space="preserve">Direct Final Rule </w:t>
      </w:r>
      <w:r w:rsidRPr="00DC3C2B" w:rsidR="00DC3C2B">
        <w:rPr>
          <w:iCs/>
        </w:rPr>
        <w:t xml:space="preserve">was published in the Federal Register on April 16, 2026 and provided notice of the June 15, 2026 effective date.  </w:t>
      </w:r>
      <w:r w:rsidR="00EC480C">
        <w:t xml:space="preserve">Deleting Obsolete and Duplicative Wireline Rules, </w:t>
      </w:r>
      <w:r w:rsidRPr="00AE236D" w:rsidR="00EC480C">
        <w:rPr>
          <w:iCs/>
        </w:rPr>
        <w:t>91 Fed. Reg. 20372</w:t>
      </w:r>
      <w:r w:rsidR="00EC480C">
        <w:rPr>
          <w:iCs/>
        </w:rPr>
        <w:t xml:space="preserve"> (Apr. 16, 2026)</w:t>
      </w:r>
      <w:r w:rsidR="00C86F82">
        <w:rPr>
          <w:iCs/>
        </w:rPr>
        <w:t xml:space="preserve"> (Direct Final Rule</w:t>
      </w:r>
      <w:r w:rsidR="00951EF1">
        <w:rPr>
          <w:iCs/>
        </w:rPr>
        <w:t xml:space="preserve"> FR Summary</w:t>
      </w:r>
      <w:r w:rsidR="00C86F82">
        <w:rPr>
          <w:iCs/>
        </w:rPr>
        <w:t>)</w:t>
      </w:r>
      <w:r w:rsidRPr="00AE236D" w:rsidR="00EC480C">
        <w:rPr>
          <w:iCs/>
        </w:rPr>
        <w:t>.</w:t>
      </w:r>
    </w:p>
  </w:footnote>
  <w:footnote w:id="4">
    <w:p w:rsidR="00EA1476" w14:paraId="11A16FF9" w14:textId="061492DF">
      <w:pPr>
        <w:pStyle w:val="FootnoteText"/>
      </w:pPr>
      <w:r w:rsidRPr="008A380F">
        <w:rPr>
          <w:rStyle w:val="FootnoteReference"/>
          <w:sz w:val="20"/>
        </w:rPr>
        <w:footnoteRef/>
      </w:r>
      <w:r>
        <w:t xml:space="preserve"> </w:t>
      </w:r>
      <w:r w:rsidR="00DC3C2B">
        <w:rPr>
          <w:i/>
          <w:iCs/>
        </w:rPr>
        <w:t>Direct Final Rule</w:t>
      </w:r>
      <w:r w:rsidR="00DC3C2B">
        <w:t xml:space="preserve">, 40 FCC </w:t>
      </w:r>
      <w:r w:rsidR="00DC3C2B">
        <w:t>Rcd</w:t>
      </w:r>
      <w:r w:rsidR="00F56929">
        <w:t xml:space="preserve"> at 8166-67, para. 4.</w:t>
      </w:r>
    </w:p>
  </w:footnote>
  <w:footnote w:id="5">
    <w:p w:rsidR="00F56929" w:rsidRPr="00F56929" w14:paraId="6B16D70A" w14:textId="33611A00">
      <w:pPr>
        <w:pStyle w:val="FootnoteText"/>
      </w:pPr>
      <w:r w:rsidRPr="0061325A">
        <w:rPr>
          <w:rStyle w:val="FootnoteReference"/>
          <w:sz w:val="20"/>
        </w:rPr>
        <w:footnoteRef/>
      </w:r>
      <w:r>
        <w:t xml:space="preserve"> </w:t>
      </w:r>
      <w:r>
        <w:rPr>
          <w:i/>
          <w:iCs/>
        </w:rPr>
        <w:t xml:space="preserve">Id. </w:t>
      </w:r>
      <w:r>
        <w:t>at 8166, para. 2.</w:t>
      </w:r>
    </w:p>
  </w:footnote>
  <w:footnote w:id="6">
    <w:p w:rsidR="00015FA3" w14:paraId="00E24AB5" w14:textId="3E561131">
      <w:pPr>
        <w:pStyle w:val="FootnoteText"/>
      </w:pPr>
      <w:r w:rsidRPr="008A380F">
        <w:rPr>
          <w:rStyle w:val="FootnoteReference"/>
          <w:sz w:val="20"/>
        </w:rPr>
        <w:footnoteRef/>
      </w:r>
      <w:r>
        <w:t xml:space="preserve"> </w:t>
      </w:r>
      <w:r w:rsidR="00F56929">
        <w:rPr>
          <w:i/>
          <w:iCs/>
        </w:rPr>
        <w:t xml:space="preserve">Id. </w:t>
      </w:r>
    </w:p>
  </w:footnote>
  <w:footnote w:id="7">
    <w:p w:rsidR="00E328EB" w:rsidP="00E328EB" w14:paraId="347512E8" w14:textId="77777777">
      <w:pPr>
        <w:pStyle w:val="FootnoteText"/>
      </w:pPr>
      <w:r w:rsidRPr="008A380F">
        <w:rPr>
          <w:rStyle w:val="FootnoteReference"/>
          <w:sz w:val="20"/>
        </w:rPr>
        <w:footnoteRef/>
      </w:r>
      <w:r>
        <w:t xml:space="preserve"> </w:t>
      </w:r>
      <w:r w:rsidRPr="00DF5759">
        <w:rPr>
          <w:i/>
          <w:iCs/>
        </w:rPr>
        <w:t>Id</w:t>
      </w:r>
      <w:r>
        <w:t xml:space="preserve">. </w:t>
      </w:r>
      <w:r w:rsidRPr="003F74FE">
        <w:t>at 816</w:t>
      </w:r>
      <w:r>
        <w:t>9</w:t>
      </w:r>
      <w:r w:rsidRPr="003F74FE">
        <w:t>, para</w:t>
      </w:r>
      <w:r>
        <w:t>s</w:t>
      </w:r>
      <w:r w:rsidRPr="003F74FE">
        <w:t xml:space="preserve">. </w:t>
      </w:r>
      <w:r>
        <w:t>8-9</w:t>
      </w:r>
      <w:r w:rsidRPr="003F74FE">
        <w:t>.</w:t>
      </w:r>
    </w:p>
  </w:footnote>
  <w:footnote w:id="8">
    <w:p w:rsidR="00B348B4" w:rsidP="00B348B4" w14:paraId="14EA3D5A" w14:textId="6041B772">
      <w:pPr>
        <w:pStyle w:val="FootnoteText"/>
      </w:pPr>
      <w:r w:rsidRPr="008A380F">
        <w:rPr>
          <w:rStyle w:val="FootnoteReference"/>
          <w:sz w:val="20"/>
        </w:rPr>
        <w:footnoteRef/>
      </w:r>
      <w:r>
        <w:t xml:space="preserve"> </w:t>
      </w:r>
      <w:r w:rsidRPr="002A38F4">
        <w:t>5 U.S.C. §</w:t>
      </w:r>
      <w:r>
        <w:t> </w:t>
      </w:r>
      <w:r w:rsidRPr="002A38F4">
        <w:t>553(b)(B)</w:t>
      </w:r>
      <w:r>
        <w:t>.</w:t>
      </w:r>
      <w:r w:rsidR="006F7E70">
        <w:t xml:space="preserve">  </w:t>
      </w:r>
      <w:r w:rsidRPr="00B348B4" w:rsidR="006F7E70">
        <w:rPr>
          <w:iCs/>
          <w:szCs w:val="22"/>
        </w:rPr>
        <w:t>Prior notice and comment are “unnecessary” when “‘the administrative rule is a routine determination, insignificant in nature and impact, and inconsequential to the industry and to the public.’”</w:t>
      </w:r>
      <w:r w:rsidR="006F7E70">
        <w:rPr>
          <w:iCs/>
          <w:szCs w:val="22"/>
        </w:rPr>
        <w:t xml:space="preserve">  </w:t>
      </w:r>
      <w:r w:rsidRPr="002A38F4" w:rsidR="006F7E70">
        <w:rPr>
          <w:i/>
          <w:iCs/>
        </w:rPr>
        <w:t>Util. Solid Waste Activities Grp. v. EPA</w:t>
      </w:r>
      <w:r w:rsidRPr="002A38F4" w:rsidR="006F7E70">
        <w:t>, 236 F.3d 749, 755 (D.C. Cir. 2001)</w:t>
      </w:r>
      <w:r w:rsidR="006F7E70">
        <w:t xml:space="preserve"> (quoting </w:t>
      </w:r>
      <w:r w:rsidRPr="00AE3731" w:rsidR="006F7E70">
        <w:rPr>
          <w:i/>
          <w:iCs/>
        </w:rPr>
        <w:t>South Carolina v. Block</w:t>
      </w:r>
      <w:r w:rsidR="006F7E70">
        <w:t>, 558 F. Supp. 1004, 1016 (D.S.C. 1983)).</w:t>
      </w:r>
    </w:p>
  </w:footnote>
  <w:footnote w:id="9">
    <w:p w:rsidR="00627675" w14:paraId="2D6B2C8F" w14:textId="06DE62B1">
      <w:pPr>
        <w:pStyle w:val="FootnoteText"/>
      </w:pPr>
      <w:r w:rsidRPr="008A380F">
        <w:rPr>
          <w:rStyle w:val="FootnoteReference"/>
          <w:sz w:val="20"/>
        </w:rPr>
        <w:footnoteRef/>
      </w:r>
      <w:r>
        <w:t xml:space="preserve"> </w:t>
      </w:r>
      <w:r w:rsidRPr="00627675">
        <w:rPr>
          <w:i/>
          <w:iCs/>
        </w:rPr>
        <w:t>D</w:t>
      </w:r>
      <w:r w:rsidR="00552773">
        <w:rPr>
          <w:i/>
          <w:iCs/>
        </w:rPr>
        <w:t xml:space="preserve">irect </w:t>
      </w:r>
      <w:r w:rsidRPr="00627675">
        <w:rPr>
          <w:i/>
          <w:iCs/>
        </w:rPr>
        <w:t>Final Rule</w:t>
      </w:r>
      <w:r w:rsidRPr="00627675">
        <w:t xml:space="preserve">, 40 FCC </w:t>
      </w:r>
      <w:r w:rsidRPr="00627675">
        <w:t>Rcd</w:t>
      </w:r>
      <w:r w:rsidRPr="00627675">
        <w:t xml:space="preserve"> at 8166-68, para. 4</w:t>
      </w:r>
      <w:r w:rsidR="00A16DF3">
        <w:t xml:space="preserve"> &amp; n.6</w:t>
      </w:r>
      <w:r w:rsidRPr="00627675">
        <w:t>.</w:t>
      </w:r>
    </w:p>
  </w:footnote>
  <w:footnote w:id="10">
    <w:p w:rsidR="008C46AF" w14:paraId="2200B1C8" w14:textId="713688D2">
      <w:pPr>
        <w:pStyle w:val="FootnoteText"/>
      </w:pPr>
      <w:r w:rsidRPr="008A380F">
        <w:rPr>
          <w:rStyle w:val="FootnoteReference"/>
          <w:sz w:val="20"/>
        </w:rPr>
        <w:footnoteRef/>
      </w:r>
      <w:r>
        <w:t xml:space="preserve"> </w:t>
      </w:r>
      <w:r w:rsidR="00951EF1">
        <w:t>Direct Final Rule FR Summary</w:t>
      </w:r>
      <w:r w:rsidR="007E108E">
        <w:t xml:space="preserve">, </w:t>
      </w:r>
      <w:r w:rsidRPr="00AE236D" w:rsidR="00AE236D">
        <w:rPr>
          <w:iCs/>
        </w:rPr>
        <w:t>91 Fed. Reg. 20372.</w:t>
      </w:r>
      <w:r w:rsidRPr="00AE236D" w:rsidR="00AE236D">
        <w:t xml:space="preserve"> </w:t>
      </w:r>
    </w:p>
  </w:footnote>
  <w:footnote w:id="11">
    <w:p w:rsidR="008C46AF" w:rsidP="008C46AF" w14:paraId="3E710DBB" w14:textId="2060FCAB">
      <w:pPr>
        <w:pStyle w:val="FootnoteText"/>
      </w:pPr>
      <w:r w:rsidRPr="008A380F">
        <w:rPr>
          <w:rStyle w:val="FootnoteReference"/>
          <w:sz w:val="20"/>
        </w:rPr>
        <w:footnoteRef/>
      </w:r>
      <w:r>
        <w:t xml:space="preserve"> </w:t>
      </w:r>
      <w:r w:rsidR="00F20261">
        <w:rPr>
          <w:i/>
          <w:iCs/>
        </w:rPr>
        <w:t xml:space="preserve">See </w:t>
      </w:r>
      <w:r w:rsidRPr="00F20261" w:rsidR="00F20261">
        <w:t>Comments of the People of the State of California and the California Public Utilities Commission, GN Docket 25-133</w:t>
      </w:r>
      <w:r w:rsidR="00F20261">
        <w:t>, at 1</w:t>
      </w:r>
      <w:r w:rsidRPr="00F20261" w:rsidR="00F20261">
        <w:t xml:space="preserve"> (filed May 6, 2026) (collectively, CPUC Comments).  </w:t>
      </w:r>
      <w:r w:rsidRPr="00791864">
        <w:t xml:space="preserve">47 CFR § 43.21(d), (f).  </w:t>
      </w:r>
    </w:p>
  </w:footnote>
  <w:footnote w:id="12">
    <w:p w:rsidR="008C46AF" w:rsidRPr="000164B4" w:rsidP="008C46AF" w14:paraId="1228A24B" w14:textId="29BF1077">
      <w:pPr>
        <w:pStyle w:val="FootnoteText"/>
        <w:rPr>
          <w:iCs/>
        </w:rPr>
      </w:pPr>
      <w:r w:rsidRPr="008A380F">
        <w:rPr>
          <w:rStyle w:val="FootnoteReference"/>
          <w:sz w:val="20"/>
        </w:rPr>
        <w:footnoteRef/>
      </w:r>
      <w:r>
        <w:t xml:space="preserve"> </w:t>
      </w:r>
      <w:r w:rsidRPr="00F04C45">
        <w:rPr>
          <w:iCs/>
        </w:rPr>
        <w:t>Comments by the Center for Regulatory Analysis and Engagement, GN Docket No. 25-133</w:t>
      </w:r>
      <w:r>
        <w:rPr>
          <w:iCs/>
        </w:rPr>
        <w:t>, at 2, 5</w:t>
      </w:r>
      <w:r w:rsidRPr="00F04C45">
        <w:rPr>
          <w:iCs/>
        </w:rPr>
        <w:t xml:space="preserve"> (filed May 5, 2026)</w:t>
      </w:r>
      <w:r>
        <w:rPr>
          <w:iCs/>
        </w:rPr>
        <w:t xml:space="preserve"> (“CRAE supports the Commission’s effort to modernize and simplify obsolete portions of the wireline regulatory framework</w:t>
      </w:r>
      <w:r w:rsidRPr="00F04C45">
        <w:rPr>
          <w:iCs/>
        </w:rPr>
        <w:t>.</w:t>
      </w:r>
      <w:r>
        <w:rPr>
          <w:iCs/>
        </w:rPr>
        <w:t xml:space="preserve">  Many of the provisions identified in this proceeding appear tied to outdated technologies, expired transition systems, legacy tariff structures, or regulatory arrangements that no longer correspond to present communications markets.”).</w:t>
      </w:r>
      <w:r w:rsidR="001D29A7">
        <w:rPr>
          <w:iCs/>
        </w:rPr>
        <w:t xml:space="preserve">  </w:t>
      </w:r>
      <w:r w:rsidR="00073340">
        <w:rPr>
          <w:iCs/>
        </w:rPr>
        <w:t xml:space="preserve">We </w:t>
      </w:r>
      <w:r w:rsidR="00AA4A34">
        <w:rPr>
          <w:iCs/>
        </w:rPr>
        <w:t>reference</w:t>
      </w:r>
      <w:r w:rsidR="00073340">
        <w:rPr>
          <w:iCs/>
        </w:rPr>
        <w:t xml:space="preserve"> these comments for the sake of completeness but </w:t>
      </w:r>
      <w:r w:rsidR="00B13F04">
        <w:rPr>
          <w:iCs/>
        </w:rPr>
        <w:t xml:space="preserve">do not </w:t>
      </w:r>
      <w:r w:rsidR="001A586B">
        <w:rPr>
          <w:iCs/>
        </w:rPr>
        <w:t xml:space="preserve">provide </w:t>
      </w:r>
      <w:r w:rsidR="00B13F04">
        <w:rPr>
          <w:iCs/>
        </w:rPr>
        <w:t xml:space="preserve">further </w:t>
      </w:r>
      <w:r w:rsidR="001A586B">
        <w:rPr>
          <w:iCs/>
        </w:rPr>
        <w:t xml:space="preserve">analysis </w:t>
      </w:r>
      <w:r w:rsidR="00073340">
        <w:rPr>
          <w:iCs/>
        </w:rPr>
        <w:t xml:space="preserve">because they support the actions taken in the </w:t>
      </w:r>
      <w:r w:rsidR="00073340">
        <w:rPr>
          <w:i/>
        </w:rPr>
        <w:t>Direct Final Rule</w:t>
      </w:r>
      <w:r w:rsidR="00B13F04">
        <w:rPr>
          <w:iCs/>
        </w:rPr>
        <w:t xml:space="preserve"> and thus are not </w:t>
      </w:r>
      <w:r w:rsidR="00E91F34">
        <w:rPr>
          <w:iCs/>
        </w:rPr>
        <w:t xml:space="preserve">“significant </w:t>
      </w:r>
      <w:r w:rsidR="00B13F04">
        <w:rPr>
          <w:iCs/>
        </w:rPr>
        <w:t>adverse</w:t>
      </w:r>
      <w:r w:rsidR="002D6C37">
        <w:rPr>
          <w:iCs/>
        </w:rPr>
        <w:t>.</w:t>
      </w:r>
      <w:r w:rsidR="00E91F34">
        <w:rPr>
          <w:iCs/>
        </w:rPr>
        <w:t>”</w:t>
      </w:r>
      <w:r w:rsidR="002D6C37">
        <w:rPr>
          <w:iCs/>
        </w:rPr>
        <w:t xml:space="preserve"> </w:t>
      </w:r>
      <w:r w:rsidR="000164B4">
        <w:rPr>
          <w:iCs/>
        </w:rPr>
        <w:t xml:space="preserve"> </w:t>
      </w:r>
      <w:r w:rsidR="000164B4">
        <w:rPr>
          <w:i/>
        </w:rPr>
        <w:t>Direct Final Rule</w:t>
      </w:r>
      <w:r w:rsidR="000164B4">
        <w:rPr>
          <w:iCs/>
        </w:rPr>
        <w:t xml:space="preserve">, 40 FCC </w:t>
      </w:r>
      <w:r w:rsidR="000164B4">
        <w:rPr>
          <w:iCs/>
        </w:rPr>
        <w:t>Rcd</w:t>
      </w:r>
      <w:r w:rsidR="000164B4">
        <w:rPr>
          <w:iCs/>
        </w:rPr>
        <w:t xml:space="preserve"> at </w:t>
      </w:r>
      <w:r w:rsidR="002D6912">
        <w:rPr>
          <w:iCs/>
        </w:rPr>
        <w:t>8169, para. 9.</w:t>
      </w:r>
    </w:p>
  </w:footnote>
  <w:footnote w:id="13">
    <w:p w:rsidR="007C7CDB" w:rsidP="007C7CDB" w14:paraId="2E8800B6" w14:textId="2C25E734">
      <w:pPr>
        <w:pStyle w:val="FootnoteText"/>
      </w:pPr>
      <w:r w:rsidRPr="008A380F">
        <w:rPr>
          <w:rStyle w:val="FootnoteReference"/>
          <w:sz w:val="20"/>
        </w:rPr>
        <w:footnoteRef/>
      </w:r>
      <w:r>
        <w:t xml:space="preserve"> </w:t>
      </w:r>
      <w:r w:rsidRPr="00662FE6">
        <w:rPr>
          <w:i/>
          <w:iCs/>
        </w:rPr>
        <w:t>Direct Final Rule</w:t>
      </w:r>
      <w:r w:rsidRPr="00662FE6">
        <w:t xml:space="preserve">, 40 FCC </w:t>
      </w:r>
      <w:r w:rsidRPr="00662FE6">
        <w:t>Rcd</w:t>
      </w:r>
      <w:r w:rsidRPr="00662FE6">
        <w:t xml:space="preserve"> at 8169</w:t>
      </w:r>
      <w:r w:rsidR="00F37436">
        <w:t>, para. 7</w:t>
      </w:r>
      <w:r w:rsidRPr="00662FE6">
        <w:t xml:space="preserve"> </w:t>
      </w:r>
      <w:r>
        <w:t xml:space="preserve">(citing </w:t>
      </w:r>
      <w:r w:rsidRPr="00C73CB7" w:rsidR="00C73CB7">
        <w:t xml:space="preserve">Administrative Conference of the United States, Recommendation 2024–6, Public Engagement in Agency Rulemaking Under the Good Cause Exemption, 89 Fed. Reg. 106406, 106409, para. </w:t>
      </w:r>
      <w:r w:rsidR="0018427C">
        <w:t>4</w:t>
      </w:r>
      <w:r w:rsidRPr="00C73CB7" w:rsidR="00C73CB7">
        <w:t xml:space="preserve"> (Dec. 30, 2024) (</w:t>
      </w:r>
      <w:r w:rsidRPr="00C73CB7" w:rsidR="00C73CB7">
        <w:rPr>
          <w:i/>
        </w:rPr>
        <w:t>ACUS Public Engagement and Good Cause Recommendation</w:t>
      </w:r>
      <w:r w:rsidRPr="00C73CB7" w:rsidR="00C73CB7">
        <w:t>)</w:t>
      </w:r>
      <w:r w:rsidR="00BF6109">
        <w:t>)</w:t>
      </w:r>
      <w:r w:rsidR="00DC6119">
        <w:t>.</w:t>
      </w:r>
      <w:r>
        <w:t xml:space="preserve"> </w:t>
      </w:r>
      <w:r w:rsidR="00723878">
        <w:t xml:space="preserve"> </w:t>
      </w:r>
    </w:p>
  </w:footnote>
  <w:footnote w:id="14">
    <w:p w:rsidR="007C7CDB" w:rsidRPr="002C76D0" w:rsidP="007C7CDB" w14:paraId="32900189" w14:textId="7B6E42BB">
      <w:pPr>
        <w:pStyle w:val="FootnoteText"/>
      </w:pPr>
      <w:r w:rsidRPr="008A380F">
        <w:rPr>
          <w:rStyle w:val="FootnoteReference"/>
          <w:sz w:val="20"/>
        </w:rPr>
        <w:footnoteRef/>
      </w:r>
      <w:r>
        <w:t xml:space="preserve"> </w:t>
      </w:r>
      <w:r w:rsidRPr="002C76D0" w:rsidR="002C76D0">
        <w:rPr>
          <w:i/>
          <w:iCs/>
        </w:rPr>
        <w:t xml:space="preserve">Direct Final Rule, </w:t>
      </w:r>
      <w:r w:rsidRPr="00AB490C" w:rsidR="002C76D0">
        <w:t xml:space="preserve">40 FCC </w:t>
      </w:r>
      <w:r w:rsidRPr="00AB490C" w:rsidR="002C76D0">
        <w:t>Rcd</w:t>
      </w:r>
      <w:r w:rsidRPr="00AB490C" w:rsidR="002C76D0">
        <w:t xml:space="preserve"> at 8169</w:t>
      </w:r>
      <w:r w:rsidR="00AB490C">
        <w:t xml:space="preserve"> n.15</w:t>
      </w:r>
      <w:r w:rsidR="0018059B">
        <w:t xml:space="preserve"> (</w:t>
      </w:r>
      <w:r w:rsidRPr="0018059B" w:rsidR="0018059B">
        <w:t>explaining “our statutory determination of ‘good cause’ to forgo notice and comment ultimately represents the critical issue, rather than the particular language used by ACUS”).</w:t>
      </w:r>
    </w:p>
  </w:footnote>
  <w:footnote w:id="15">
    <w:p w:rsidR="007C7CDB" w:rsidP="007C7CDB" w14:paraId="5997C02E" w14:textId="15C366F4">
      <w:pPr>
        <w:pStyle w:val="FootnoteText"/>
      </w:pPr>
      <w:r w:rsidRPr="008A380F">
        <w:rPr>
          <w:rStyle w:val="FootnoteReference"/>
          <w:sz w:val="20"/>
        </w:rPr>
        <w:footnoteRef/>
      </w:r>
      <w:r>
        <w:t xml:space="preserve"> </w:t>
      </w:r>
      <w:r w:rsidR="00834D94">
        <w:rPr>
          <w:i/>
          <w:iCs/>
        </w:rPr>
        <w:t>Id.</w:t>
      </w:r>
      <w:r w:rsidR="00FC3CCD">
        <w:rPr>
          <w:i/>
          <w:iCs/>
        </w:rPr>
        <w:t xml:space="preserve"> </w:t>
      </w:r>
      <w:r w:rsidRPr="003F74FE">
        <w:t>at 816</w:t>
      </w:r>
      <w:r>
        <w:t>9</w:t>
      </w:r>
      <w:r w:rsidRPr="003F74FE">
        <w:t>, para</w:t>
      </w:r>
      <w:r w:rsidR="003A4744">
        <w:t>s</w:t>
      </w:r>
      <w:r w:rsidRPr="003F74FE">
        <w:t xml:space="preserve">. </w:t>
      </w:r>
      <w:r>
        <w:t>8-9</w:t>
      </w:r>
      <w:r w:rsidRPr="003F74FE">
        <w:t>.</w:t>
      </w:r>
    </w:p>
  </w:footnote>
  <w:footnote w:id="16">
    <w:p w:rsidR="00F20261" w14:paraId="51A322D0" w14:textId="3C87502A">
      <w:pPr>
        <w:pStyle w:val="FootnoteText"/>
      </w:pPr>
      <w:r w:rsidRPr="0061325A">
        <w:rPr>
          <w:rStyle w:val="FootnoteReference"/>
          <w:sz w:val="20"/>
        </w:rPr>
        <w:footnoteRef/>
      </w:r>
      <w:r>
        <w:t xml:space="preserve"> </w:t>
      </w:r>
      <w:r w:rsidRPr="00E64170" w:rsidR="00E64170">
        <w:t>47 CFR § 43.21(d)</w:t>
      </w:r>
      <w:r w:rsidR="00FB01FA">
        <w:t>.</w:t>
      </w:r>
    </w:p>
  </w:footnote>
  <w:footnote w:id="17">
    <w:p w:rsidR="007C7CDB" w:rsidP="007C7CDB" w14:paraId="4B5BC654" w14:textId="77777777">
      <w:pPr>
        <w:pStyle w:val="FootnoteText"/>
      </w:pPr>
      <w:r w:rsidRPr="008A380F">
        <w:rPr>
          <w:rStyle w:val="FootnoteReference"/>
          <w:sz w:val="20"/>
        </w:rPr>
        <w:footnoteRef/>
      </w:r>
      <w:r>
        <w:t xml:space="preserve"> </w:t>
      </w:r>
      <w:r>
        <w:rPr>
          <w:i/>
          <w:iCs/>
        </w:rPr>
        <w:t xml:space="preserve">See </w:t>
      </w:r>
      <w:r>
        <w:t xml:space="preserve">47 CFR </w:t>
      </w:r>
      <w:r w:rsidRPr="00A16DF3">
        <w:t>§§ 43.21(d)</w:t>
      </w:r>
      <w:r>
        <w:t>, 64.903 (requiring that cost allocation manuals be filed by “[e]</w:t>
      </w:r>
      <w:r w:rsidRPr="006337A5">
        <w:t>ach incumbent local exchange carrier having annual revenues from regulated telecommunications operations that are equal to or above the indexed revenue threshold (as defined in § 32.9000</w:t>
      </w:r>
      <w:r>
        <w:t>)”</w:t>
      </w:r>
      <w:r w:rsidRPr="006337A5">
        <w:t>)</w:t>
      </w:r>
      <w:r>
        <w:t>.  “</w:t>
      </w:r>
      <w:r w:rsidRPr="006337A5">
        <w:rPr>
          <w:i/>
          <w:iCs/>
        </w:rPr>
        <w:t>Indexed revenue threshold for a given year</w:t>
      </w:r>
      <w:r>
        <w:t xml:space="preserve"> </w:t>
      </w:r>
      <w:r w:rsidRPr="006337A5">
        <w:t>means $100 million, adjusted for inflation</w:t>
      </w:r>
      <w:r>
        <w:t xml:space="preserve">.”  47 CFR </w:t>
      </w:r>
      <w:r w:rsidRPr="002E59B8">
        <w:t>§ 32.9000</w:t>
      </w:r>
      <w:r>
        <w:t xml:space="preserve"> (italics in original).</w:t>
      </w:r>
    </w:p>
  </w:footnote>
  <w:footnote w:id="18">
    <w:p w:rsidR="007C7CDB" w:rsidP="007C7CDB" w14:paraId="1AD46972" w14:textId="77777777">
      <w:pPr>
        <w:pStyle w:val="FootnoteText"/>
      </w:pPr>
      <w:r w:rsidRPr="008A380F">
        <w:rPr>
          <w:rStyle w:val="FootnoteReference"/>
          <w:sz w:val="20"/>
        </w:rPr>
        <w:footnoteRef/>
      </w:r>
      <w:r>
        <w:t xml:space="preserve"> </w:t>
      </w:r>
      <w:r w:rsidRPr="000104F3">
        <w:rPr>
          <w:i/>
          <w:iCs/>
        </w:rPr>
        <w:t xml:space="preserve">See </w:t>
      </w:r>
      <w:r w:rsidRPr="000104F3">
        <w:t>47 CFR §§ 43.21(</w:t>
      </w:r>
      <w:r>
        <w:t>f</w:t>
      </w:r>
      <w:r w:rsidRPr="000104F3">
        <w:t>),</w:t>
      </w:r>
      <w:r>
        <w:t xml:space="preserve"> </w:t>
      </w:r>
      <w:r w:rsidRPr="000104F3">
        <w:t>32.9000</w:t>
      </w:r>
      <w:r>
        <w:t>.</w:t>
      </w:r>
    </w:p>
  </w:footnote>
  <w:footnote w:id="19">
    <w:p w:rsidR="00D9058E" w14:paraId="170A809C" w14:textId="7B49A71C">
      <w:pPr>
        <w:pStyle w:val="FootnoteText"/>
      </w:pPr>
      <w:r w:rsidRPr="008A380F">
        <w:rPr>
          <w:rStyle w:val="FootnoteReference"/>
          <w:sz w:val="20"/>
        </w:rPr>
        <w:footnoteRef/>
      </w:r>
      <w:r>
        <w:t xml:space="preserve"> </w:t>
      </w:r>
      <w:r w:rsidRPr="00433642" w:rsidR="00433642">
        <w:rPr>
          <w:i/>
          <w:iCs/>
        </w:rPr>
        <w:t>Direct Final Rule</w:t>
      </w:r>
      <w:r w:rsidRPr="00433642" w:rsidR="00433642">
        <w:t xml:space="preserve">, 40 FCC </w:t>
      </w:r>
      <w:r w:rsidRPr="00433642" w:rsidR="00433642">
        <w:t>Rcd</w:t>
      </w:r>
      <w:r w:rsidRPr="00433642" w:rsidR="00433642">
        <w:t xml:space="preserve"> at 816</w:t>
      </w:r>
      <w:r w:rsidR="00433642">
        <w:t>7 n.6</w:t>
      </w:r>
      <w:r w:rsidR="00697AFC">
        <w:t xml:space="preserve"> (citing </w:t>
      </w:r>
      <w:r w:rsidRPr="001C1035" w:rsidR="001C1035">
        <w:rPr>
          <w:i/>
          <w:iCs/>
        </w:rPr>
        <w:t xml:space="preserve">Service Quality Customer Satisfaction, Infrastructure and Operating Data Gathering, Petition of AT&amp;T Inc. for Forbearance Under 47 U.S.C. § 160(c) from Enforcement of Certain of the Commission’s ARMIS Reporting Requirements et. al., </w:t>
      </w:r>
      <w:r w:rsidRPr="001C1035" w:rsidR="001C1035">
        <w:t>WC Docket Nos. 08-190</w:t>
      </w:r>
      <w:r w:rsidR="009053EF">
        <w:t xml:space="preserve"> et al.</w:t>
      </w:r>
      <w:r w:rsidRPr="001C1035" w:rsidR="001C1035">
        <w:t xml:space="preserve">, Memorandum Opinion and Order and Notice of Proposed Rulemaking, 23 FCC </w:t>
      </w:r>
      <w:r w:rsidRPr="001C1035" w:rsidR="001C1035">
        <w:t>Rcd</w:t>
      </w:r>
      <w:r w:rsidRPr="001C1035" w:rsidR="001C1035">
        <w:t xml:space="preserve"> 13647, 13660-61, paras. 23</w:t>
      </w:r>
      <w:r w:rsidR="0003477F">
        <w:t>,</w:t>
      </w:r>
      <w:r w:rsidRPr="001C1035" w:rsidR="001C1035">
        <w:t xml:space="preserve"> 26 (2008)</w:t>
      </w:r>
      <w:r w:rsidR="007F4D48">
        <w:t xml:space="preserve"> (</w:t>
      </w:r>
      <w:r w:rsidR="00A504D0">
        <w:rPr>
          <w:i/>
          <w:iCs/>
        </w:rPr>
        <w:t xml:space="preserve">ARMIS </w:t>
      </w:r>
      <w:r w:rsidR="00143DBF">
        <w:rPr>
          <w:i/>
          <w:iCs/>
        </w:rPr>
        <w:t xml:space="preserve">Forbearance </w:t>
      </w:r>
      <w:r w:rsidR="007F4D48">
        <w:rPr>
          <w:i/>
          <w:iCs/>
        </w:rPr>
        <w:t>Order</w:t>
      </w:r>
      <w:r w:rsidR="007F4D48">
        <w:t>)</w:t>
      </w:r>
      <w:r w:rsidRPr="001C1035" w:rsidR="001C1035">
        <w:t xml:space="preserve">.  In </w:t>
      </w:r>
      <w:r w:rsidRPr="001C1035" w:rsidR="007F4D48">
        <w:t>th</w:t>
      </w:r>
      <w:r w:rsidR="007F4D48">
        <w:t>e</w:t>
      </w:r>
      <w:r w:rsidRPr="001C1035" w:rsidR="007F4D48">
        <w:t xml:space="preserve"> </w:t>
      </w:r>
      <w:r w:rsidR="00495157">
        <w:rPr>
          <w:i/>
          <w:iCs/>
        </w:rPr>
        <w:t xml:space="preserve">ARMIS Forbearance </w:t>
      </w:r>
      <w:r w:rsidRPr="00EA20B6" w:rsidR="001C1035">
        <w:rPr>
          <w:i/>
          <w:iCs/>
        </w:rPr>
        <w:t>Order</w:t>
      </w:r>
      <w:r w:rsidRPr="001C1035" w:rsidR="001C1035">
        <w:t xml:space="preserve">, the Commission granted Qwest and Verizon the same conditional forbearance from the Cost Assignment Rules it granted to AT&amp;T in the </w:t>
      </w:r>
      <w:r w:rsidRPr="001C1035" w:rsidR="001C1035">
        <w:rPr>
          <w:i/>
          <w:iCs/>
        </w:rPr>
        <w:t xml:space="preserve">AT&amp;T Cost Assignment </w:t>
      </w:r>
      <w:r w:rsidR="002A5B36">
        <w:rPr>
          <w:i/>
          <w:iCs/>
        </w:rPr>
        <w:t xml:space="preserve">Rules </w:t>
      </w:r>
      <w:r w:rsidRPr="001C1035" w:rsidR="001C1035">
        <w:rPr>
          <w:i/>
          <w:iCs/>
        </w:rPr>
        <w:t>Forbearance Order</w:t>
      </w:r>
      <w:r w:rsidR="009F64EA">
        <w:t xml:space="preserve">.  </w:t>
      </w:r>
      <w:r w:rsidRPr="00DC2AAE" w:rsidR="00DC2AAE">
        <w:rPr>
          <w:i/>
        </w:rPr>
        <w:t xml:space="preserve">Petition of AT&amp;T Inc. for Forbearance </w:t>
      </w:r>
      <w:r w:rsidR="001F7F12">
        <w:rPr>
          <w:i/>
        </w:rPr>
        <w:t>U</w:t>
      </w:r>
      <w:r w:rsidRPr="00DC2AAE" w:rsidR="00DC2AAE">
        <w:rPr>
          <w:i/>
        </w:rPr>
        <w:t>nder 47 U.S.C. § 160 from Enforcement of Certain of the Commission’s Cost Assignment Rules</w:t>
      </w:r>
      <w:r w:rsidRPr="00DC2AAE" w:rsidR="00DC2AAE">
        <w:t xml:space="preserve">, WC Docket No. 07-21 et al., Memorandum Opinion and Order, 23 FCC </w:t>
      </w:r>
      <w:r w:rsidRPr="00DC2AAE" w:rsidR="00DC2AAE">
        <w:t>Rcd</w:t>
      </w:r>
      <w:r w:rsidRPr="00DC2AAE" w:rsidR="00DC2AAE">
        <w:t xml:space="preserve"> 7302 (2008)</w:t>
      </w:r>
      <w:r w:rsidR="002A5B36">
        <w:t xml:space="preserve"> (</w:t>
      </w:r>
      <w:r w:rsidRPr="002A5B36" w:rsidR="002A5B36">
        <w:rPr>
          <w:i/>
          <w:iCs/>
        </w:rPr>
        <w:t xml:space="preserve">AT&amp;T Cost Assignment </w:t>
      </w:r>
      <w:r w:rsidR="00C03B03">
        <w:rPr>
          <w:i/>
          <w:iCs/>
        </w:rPr>
        <w:t xml:space="preserve">Rules </w:t>
      </w:r>
      <w:r w:rsidRPr="002A5B36" w:rsidR="002A5B36">
        <w:rPr>
          <w:i/>
          <w:iCs/>
        </w:rPr>
        <w:t>Forbearance Order</w:t>
      </w:r>
      <w:r w:rsidRPr="001C1035" w:rsidR="001C1035">
        <w:t>)</w:t>
      </w:r>
      <w:r w:rsidR="004B1513">
        <w:t>)</w:t>
      </w:r>
      <w:r w:rsidRPr="001C1035" w:rsidR="001C1035">
        <w:t>.</w:t>
      </w:r>
    </w:p>
  </w:footnote>
  <w:footnote w:id="20">
    <w:p w:rsidR="005A6BBD" w:rsidRPr="00E23889" w:rsidP="005A6BBD" w14:paraId="32625B3F" w14:textId="48B626F1">
      <w:pPr>
        <w:pStyle w:val="FootnoteText"/>
      </w:pPr>
      <w:r w:rsidRPr="008A380F">
        <w:rPr>
          <w:rStyle w:val="FootnoteReference"/>
          <w:sz w:val="20"/>
        </w:rPr>
        <w:footnoteRef/>
      </w:r>
      <w:r>
        <w:t xml:space="preserve"> </w:t>
      </w:r>
      <w:r>
        <w:rPr>
          <w:i/>
          <w:iCs/>
        </w:rPr>
        <w:t xml:space="preserve">See </w:t>
      </w:r>
      <w:r w:rsidR="00945B86">
        <w:t xml:space="preserve">CPUC </w:t>
      </w:r>
      <w:r w:rsidRPr="00290660" w:rsidR="00290660">
        <w:rPr>
          <w:iCs/>
        </w:rPr>
        <w:t>Comments</w:t>
      </w:r>
      <w:r w:rsidRPr="005A6BBD">
        <w:rPr>
          <w:i/>
          <w:sz w:val="24"/>
          <w:szCs w:val="24"/>
        </w:rPr>
        <w:t xml:space="preserve"> </w:t>
      </w:r>
      <w:r w:rsidR="00E26E6D">
        <w:rPr>
          <w:iCs/>
        </w:rPr>
        <w:t xml:space="preserve">at </w:t>
      </w:r>
      <w:r w:rsidR="000E3338">
        <w:rPr>
          <w:iCs/>
        </w:rPr>
        <w:t xml:space="preserve">2, </w:t>
      </w:r>
      <w:r w:rsidR="00765ABB">
        <w:rPr>
          <w:iCs/>
        </w:rPr>
        <w:t>4</w:t>
      </w:r>
      <w:r>
        <w:t xml:space="preserve">.  </w:t>
      </w:r>
    </w:p>
  </w:footnote>
  <w:footnote w:id="21">
    <w:p w:rsidR="00765C3C" w:rsidRPr="005867D7" w14:paraId="3B7E243F" w14:textId="539CD163">
      <w:pPr>
        <w:pStyle w:val="FootnoteText"/>
      </w:pPr>
      <w:r w:rsidRPr="008A380F">
        <w:rPr>
          <w:rStyle w:val="FootnoteReference"/>
          <w:sz w:val="20"/>
        </w:rPr>
        <w:footnoteRef/>
      </w:r>
      <w:r>
        <w:t xml:space="preserve"> </w:t>
      </w:r>
      <w:r>
        <w:rPr>
          <w:i/>
          <w:iCs/>
        </w:rPr>
        <w:t>See</w:t>
      </w:r>
      <w:r w:rsidR="008879C8">
        <w:rPr>
          <w:i/>
          <w:iCs/>
        </w:rPr>
        <w:t xml:space="preserve"> </w:t>
      </w:r>
      <w:r w:rsidR="00492291">
        <w:rPr>
          <w:i/>
          <w:iCs/>
        </w:rPr>
        <w:t>supr</w:t>
      </w:r>
      <w:r w:rsidR="00E56D13">
        <w:rPr>
          <w:i/>
          <w:iCs/>
        </w:rPr>
        <w:t xml:space="preserve">a </w:t>
      </w:r>
      <w:r w:rsidRPr="00EA20B6" w:rsidR="005867D7">
        <w:t xml:space="preserve">note </w:t>
      </w:r>
      <w:r w:rsidRPr="00EA20B6" w:rsidR="0091385D">
        <w:t>1</w:t>
      </w:r>
      <w:r w:rsidR="001F0734">
        <w:t>7</w:t>
      </w:r>
      <w:r w:rsidRPr="00EA20B6" w:rsidR="0046757F">
        <w:t>.</w:t>
      </w:r>
      <w:r w:rsidR="00563935">
        <w:t xml:space="preserve">  </w:t>
      </w:r>
      <w:r w:rsidR="00563935">
        <w:rPr>
          <w:iCs/>
        </w:rPr>
        <w:t>A</w:t>
      </w:r>
      <w:r w:rsidRPr="00563935" w:rsidR="00563935">
        <w:rPr>
          <w:iCs/>
        </w:rPr>
        <w:t>ll carriers that meet a $100 million revenue threshold are also price cap carriers, such that granting forbearance from this rule for “price cap carriers” means that no carrier is subject to this rule today</w:t>
      </w:r>
      <w:r w:rsidR="00563935">
        <w:rPr>
          <w:iCs/>
        </w:rPr>
        <w:t>.</w:t>
      </w:r>
    </w:p>
  </w:footnote>
  <w:footnote w:id="22">
    <w:p w:rsidR="00C5578F" w:rsidP="00C5578F" w14:paraId="6F1A29D2" w14:textId="4A3B1C4F">
      <w:pPr>
        <w:pStyle w:val="FootnoteText"/>
      </w:pPr>
      <w:r w:rsidRPr="008A380F">
        <w:rPr>
          <w:rStyle w:val="FootnoteReference"/>
          <w:sz w:val="20"/>
        </w:rPr>
        <w:footnoteRef/>
      </w:r>
      <w:r>
        <w:t xml:space="preserve"> The Commission rejected a related argument made by the </w:t>
      </w:r>
      <w:r w:rsidR="00945B86">
        <w:t xml:space="preserve">CPUC </w:t>
      </w:r>
      <w:r>
        <w:t xml:space="preserve">when it filed comments in the 2008 cost assignment rule forbearance proceeding.  </w:t>
      </w:r>
      <w:r w:rsidRPr="008C40B1">
        <w:rPr>
          <w:iCs/>
        </w:rPr>
        <w:t xml:space="preserve">At that time, the </w:t>
      </w:r>
      <w:r w:rsidR="00945B86">
        <w:rPr>
          <w:iCs/>
        </w:rPr>
        <w:t>CPUC</w:t>
      </w:r>
      <w:r w:rsidRPr="008C40B1">
        <w:rPr>
          <w:iCs/>
        </w:rPr>
        <w:t xml:space="preserve"> </w:t>
      </w:r>
      <w:r>
        <w:rPr>
          <w:iCs/>
        </w:rPr>
        <w:t xml:space="preserve">opposed </w:t>
      </w:r>
      <w:r w:rsidRPr="008C40B1">
        <w:rPr>
          <w:iCs/>
        </w:rPr>
        <w:t>AT&amp;T’s forbearance petition, arguing “any changes to the FCC’s cost assignment rules should be closely coordinated with state commissions.”</w:t>
      </w:r>
      <w:r>
        <w:rPr>
          <w:iCs/>
        </w:rPr>
        <w:t xml:space="preserve">  </w:t>
      </w:r>
      <w:r w:rsidRPr="00EA0C24">
        <w:rPr>
          <w:iCs/>
        </w:rPr>
        <w:t>Reply Comments of the California Public Utilities Commission and of the People of the State of California on AT&amp;T’s Petition for Forbearance, WC Docket No. 07-21, at 2 (filed Apr</w:t>
      </w:r>
      <w:r w:rsidR="00B36668">
        <w:rPr>
          <w:iCs/>
        </w:rPr>
        <w:t>.</w:t>
      </w:r>
      <w:r w:rsidRPr="00EA0C24">
        <w:rPr>
          <w:iCs/>
        </w:rPr>
        <w:t xml:space="preserve"> 13, 2007).</w:t>
      </w:r>
      <w:r>
        <w:rPr>
          <w:iCs/>
        </w:rPr>
        <w:t xml:space="preserve"> </w:t>
      </w:r>
    </w:p>
  </w:footnote>
  <w:footnote w:id="23">
    <w:p w:rsidR="00982647" w:rsidP="00982647" w14:paraId="05BB79AA" w14:textId="2D396F45">
      <w:pPr>
        <w:pStyle w:val="FootnoteText"/>
      </w:pPr>
      <w:r w:rsidRPr="008A380F">
        <w:rPr>
          <w:rStyle w:val="FootnoteReference"/>
          <w:sz w:val="20"/>
        </w:rPr>
        <w:footnoteRef/>
      </w:r>
      <w:r>
        <w:t xml:space="preserve"> </w:t>
      </w:r>
      <w:r w:rsidRPr="00133357">
        <w:rPr>
          <w:i/>
          <w:iCs/>
        </w:rPr>
        <w:t xml:space="preserve">AT&amp;T Cost Assignment </w:t>
      </w:r>
      <w:r w:rsidR="00BC6378">
        <w:rPr>
          <w:i/>
          <w:iCs/>
        </w:rPr>
        <w:t xml:space="preserve">Rules </w:t>
      </w:r>
      <w:r w:rsidRPr="00133357">
        <w:rPr>
          <w:i/>
          <w:iCs/>
        </w:rPr>
        <w:t>Forbearance Order</w:t>
      </w:r>
      <w:r w:rsidRPr="00BC6378">
        <w:t>,</w:t>
      </w:r>
      <w:r w:rsidRPr="00133357">
        <w:rPr>
          <w:i/>
          <w:iCs/>
        </w:rPr>
        <w:t xml:space="preserve"> </w:t>
      </w:r>
      <w:r w:rsidRPr="00133357">
        <w:rPr>
          <w:iCs/>
        </w:rPr>
        <w:t xml:space="preserve">23 FCC </w:t>
      </w:r>
      <w:r w:rsidRPr="00133357">
        <w:rPr>
          <w:iCs/>
        </w:rPr>
        <w:t>Rcd</w:t>
      </w:r>
      <w:r w:rsidRPr="00133357">
        <w:rPr>
          <w:iCs/>
        </w:rPr>
        <w:t xml:space="preserve"> </w:t>
      </w:r>
      <w:r>
        <w:rPr>
          <w:iCs/>
        </w:rPr>
        <w:t xml:space="preserve">at </w:t>
      </w:r>
      <w:r w:rsidRPr="00133357">
        <w:rPr>
          <w:iCs/>
        </w:rPr>
        <w:t>7320-22, paras. 32-34</w:t>
      </w:r>
      <w:r>
        <w:rPr>
          <w:iCs/>
        </w:rPr>
        <w:t xml:space="preserve"> </w:t>
      </w:r>
      <w:r w:rsidRPr="00DA5065">
        <w:rPr>
          <w:iCs/>
        </w:rPr>
        <w:t>(“We conclude that we do not have authority . . . to maintain federal regulatory requirements that meet the three-prong forbearance test with regard to interstate services in order to maintain regulatory burdens that may produce information helpful to state commissions for intrastate regulatory purposes solely. . . . [W]e would expect that any states that may rely on the Cost Assignment Rules and resulting data for state regulatory purposes would assert their jurisdiction to obtain the needed information . . . .”)</w:t>
      </w:r>
      <w:r>
        <w:rPr>
          <w:iCs/>
        </w:rPr>
        <w:t xml:space="preserve">; </w:t>
      </w:r>
      <w:r>
        <w:rPr>
          <w:i/>
        </w:rPr>
        <w:t xml:space="preserve">see also </w:t>
      </w:r>
      <w:r w:rsidRPr="005D0CE4">
        <w:rPr>
          <w:i/>
        </w:rPr>
        <w:t xml:space="preserve">Petition of </w:t>
      </w:r>
      <w:r w:rsidRPr="005D0CE4">
        <w:rPr>
          <w:i/>
        </w:rPr>
        <w:t>USTelecom</w:t>
      </w:r>
      <w:r w:rsidRPr="005D0CE4">
        <w:rPr>
          <w:i/>
        </w:rPr>
        <w:t xml:space="preserve"> for Forbearance Under 47 U.S.C. § 160(c) from Enforcement of Certain Legacy Telecommunications Regulations et al.</w:t>
      </w:r>
      <w:r w:rsidRPr="00B50B0E">
        <w:rPr>
          <w:iCs/>
        </w:rPr>
        <w:t>,</w:t>
      </w:r>
      <w:r w:rsidRPr="005D0CE4">
        <w:rPr>
          <w:i/>
        </w:rPr>
        <w:t xml:space="preserve"> </w:t>
      </w:r>
      <w:r w:rsidRPr="00EA26F9">
        <w:rPr>
          <w:iCs/>
        </w:rPr>
        <w:t xml:space="preserve">WC Docket No. 12-61 et al., Memorandum Opinion and Order and Report and Order and Further Notice of Proposed Rulemaking and Second Further Notice of Proposed Rulemaking, 28 FCC </w:t>
      </w:r>
      <w:r w:rsidRPr="00EA26F9">
        <w:rPr>
          <w:iCs/>
        </w:rPr>
        <w:t>Rcd</w:t>
      </w:r>
      <w:r w:rsidRPr="00EA26F9">
        <w:rPr>
          <w:iCs/>
        </w:rPr>
        <w:t xml:space="preserve"> 7627</w:t>
      </w:r>
      <w:r>
        <w:rPr>
          <w:iCs/>
        </w:rPr>
        <w:t>, 7654, para. 50</w:t>
      </w:r>
      <w:r w:rsidRPr="00EA26F9">
        <w:rPr>
          <w:iCs/>
        </w:rPr>
        <w:t xml:space="preserve"> (2013)</w:t>
      </w:r>
      <w:r>
        <w:rPr>
          <w:iCs/>
        </w:rPr>
        <w:t>.</w:t>
      </w:r>
    </w:p>
  </w:footnote>
  <w:footnote w:id="24">
    <w:p w:rsidR="00F37704" w14:paraId="560584F7" w14:textId="42199250">
      <w:pPr>
        <w:pStyle w:val="FootnoteText"/>
      </w:pPr>
      <w:r w:rsidRPr="008A380F">
        <w:rPr>
          <w:rStyle w:val="FootnoteReference"/>
          <w:sz w:val="20"/>
        </w:rPr>
        <w:footnoteRef/>
      </w:r>
      <w:r>
        <w:t xml:space="preserve"> </w:t>
      </w:r>
      <w:r w:rsidR="00BD3613">
        <w:rPr>
          <w:i/>
          <w:iCs/>
        </w:rPr>
        <w:t xml:space="preserve">See </w:t>
      </w:r>
      <w:r w:rsidRPr="00BD3613" w:rsidR="00BD3613">
        <w:rPr>
          <w:i/>
        </w:rPr>
        <w:t>D</w:t>
      </w:r>
      <w:r w:rsidR="00552773">
        <w:rPr>
          <w:i/>
        </w:rPr>
        <w:t xml:space="preserve">irect </w:t>
      </w:r>
      <w:r w:rsidRPr="00BD3613" w:rsidR="00BD3613">
        <w:rPr>
          <w:i/>
        </w:rPr>
        <w:t>Final Rule</w:t>
      </w:r>
      <w:r w:rsidRPr="00BD3613" w:rsidR="00BD3613">
        <w:rPr>
          <w:iCs/>
        </w:rPr>
        <w:t xml:space="preserve">, 40 FCC </w:t>
      </w:r>
      <w:r w:rsidRPr="00BD3613" w:rsidR="00BD3613">
        <w:rPr>
          <w:iCs/>
        </w:rPr>
        <w:t>Rcd</w:t>
      </w:r>
      <w:r w:rsidRPr="00BD3613" w:rsidR="00BD3613">
        <w:rPr>
          <w:iCs/>
        </w:rPr>
        <w:t xml:space="preserve"> at 81</w:t>
      </w:r>
      <w:r w:rsidR="0004157F">
        <w:rPr>
          <w:iCs/>
        </w:rPr>
        <w:t>70-71</w:t>
      </w:r>
      <w:r w:rsidRPr="00BD3613" w:rsidR="00BD3613">
        <w:rPr>
          <w:iCs/>
        </w:rPr>
        <w:t>, para</w:t>
      </w:r>
      <w:r w:rsidR="00956F73">
        <w:rPr>
          <w:iCs/>
        </w:rPr>
        <w:t>s</w:t>
      </w:r>
      <w:r w:rsidRPr="00BD3613" w:rsidR="00BD3613">
        <w:rPr>
          <w:iCs/>
        </w:rPr>
        <w:t xml:space="preserve">. </w:t>
      </w:r>
      <w:r w:rsidR="00956F73">
        <w:rPr>
          <w:iCs/>
        </w:rPr>
        <w:t>14-16</w:t>
      </w:r>
      <w:r w:rsidR="00E124B8">
        <w:rPr>
          <w:iCs/>
        </w:rPr>
        <w:t xml:space="preserve">; </w:t>
      </w:r>
      <w:r w:rsidR="00E124B8">
        <w:rPr>
          <w:i/>
        </w:rPr>
        <w:t xml:space="preserve">see also </w:t>
      </w:r>
      <w:r w:rsidR="00E124B8">
        <w:rPr>
          <w:iCs/>
        </w:rPr>
        <w:t xml:space="preserve">Appendix, </w:t>
      </w:r>
      <w:r w:rsidR="00206A51">
        <w:rPr>
          <w:i/>
        </w:rPr>
        <w:t xml:space="preserve">id. </w:t>
      </w:r>
      <w:r w:rsidR="00376F6E">
        <w:rPr>
          <w:iCs/>
        </w:rPr>
        <w:t>at 8173</w:t>
      </w:r>
      <w:r w:rsidR="00E124B8">
        <w:rPr>
          <w:iCs/>
        </w:rPr>
        <w:t xml:space="preserve"> (</w:t>
      </w:r>
      <w:r w:rsidR="00376F6E">
        <w:rPr>
          <w:iCs/>
        </w:rPr>
        <w:t xml:space="preserve">amending 47 CFR </w:t>
      </w:r>
      <w:r w:rsidRPr="00376F6E" w:rsidR="00376F6E">
        <w:t>§</w:t>
      </w:r>
      <w:r w:rsidR="00891580">
        <w:t xml:space="preserve"> </w:t>
      </w:r>
      <w:r w:rsidR="00376F6E">
        <w:t xml:space="preserve">43.21 by </w:t>
      </w:r>
      <w:r w:rsidR="00376F6E">
        <w:rPr>
          <w:iCs/>
        </w:rPr>
        <w:t>removing and reserving paragraphs that include (d) and (f)).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B58D509" w14:textId="22CB5ACE">
    <w:pPr>
      <w:tabs>
        <w:tab w:val="center" w:pos="4680"/>
        <w:tab w:val="right" w:pos="9360"/>
      </w:tabs>
    </w:pPr>
    <w:r>
      <w:rPr>
        <w:b/>
      </w:rPr>
      <w:tab/>
      <w:t>Federal Communications Commission</w:t>
    </w:r>
    <w:r>
      <w:rPr>
        <w:b/>
      </w:rPr>
      <w:tab/>
    </w:r>
    <w:r w:rsidR="00D75E16">
      <w:rPr>
        <w:b/>
      </w:rPr>
      <w:t>DA 2</w:t>
    </w:r>
    <w:r w:rsidR="00985EA4">
      <w:rPr>
        <w:b/>
      </w:rPr>
      <w:t>6</w:t>
    </w:r>
    <w:r w:rsidR="00D75E16">
      <w:rPr>
        <w:b/>
      </w:rPr>
      <w:t>-</w:t>
    </w:r>
    <w:r w:rsidR="00C55A36">
      <w:rPr>
        <w:b/>
      </w:rPr>
      <w:t>581</w:t>
    </w:r>
  </w:p>
  <w:p w:rsidR="00BA3BA8" w14:paraId="59F19A2D" w14:textId="149E2D7F">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268847820"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24B49D5F"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B113FBB" w14:textId="6DA700AA">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E5299C"/>
    <w:multiLevelType w:val="hybridMultilevel"/>
    <w:tmpl w:val="2FAE93F2"/>
    <w:lvl w:ilvl="0">
      <w:start w:val="1"/>
      <w:numFmt w:val="bullet"/>
      <w:lvlText w:val=""/>
      <w:lvlJc w:val="left"/>
      <w:pPr>
        <w:ind w:left="72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55BE20C7"/>
    <w:multiLevelType w:val="hybridMultilevel"/>
    <w:tmpl w:val="E1FC3AB2"/>
    <w:lvl w:ilvl="0">
      <w:start w:val="1"/>
      <w:numFmt w:val="bullet"/>
      <w:lvlText w:val="o"/>
      <w:lvlJc w:val="left"/>
      <w:pPr>
        <w:ind w:left="1440" w:hanging="360"/>
      </w:pPr>
      <w:rPr>
        <w:rFonts w:ascii="Courier New" w:hAnsi="Courier New" w:hint="default"/>
      </w:rPr>
    </w:lvl>
    <w:lvl w:ilvl="1" w:tentative="1">
      <w:start w:val="1"/>
      <w:numFmt w:val="bullet"/>
      <w:lvlText w:val="o"/>
      <w:lvlJc w:val="left"/>
      <w:pPr>
        <w:ind w:left="2880" w:hanging="360"/>
      </w:pPr>
      <w:rPr>
        <w:rFonts w:ascii="Courier New" w:hAnsi="Courier New" w:cs="Courier New" w:hint="default"/>
      </w:rPr>
    </w:lvl>
    <w:lvl w:ilvl="2" w:tentative="1">
      <w:start w:val="1"/>
      <w:numFmt w:val="bullet"/>
      <w:lvlText w:val=""/>
      <w:lvlJc w:val="left"/>
      <w:pPr>
        <w:ind w:left="3600" w:hanging="360"/>
      </w:pPr>
      <w:rPr>
        <w:rFonts w:ascii="Wingdings" w:hAnsi="Wingdings" w:hint="default"/>
      </w:rPr>
    </w:lvl>
    <w:lvl w:ilvl="3" w:tentative="1">
      <w:start w:val="1"/>
      <w:numFmt w:val="bullet"/>
      <w:lvlText w:val=""/>
      <w:lvlJc w:val="left"/>
      <w:pPr>
        <w:ind w:left="4320" w:hanging="360"/>
      </w:pPr>
      <w:rPr>
        <w:rFonts w:ascii="Symbol" w:hAnsi="Symbol" w:hint="default"/>
      </w:rPr>
    </w:lvl>
    <w:lvl w:ilvl="4" w:tentative="1">
      <w:start w:val="1"/>
      <w:numFmt w:val="bullet"/>
      <w:lvlText w:val="o"/>
      <w:lvlJc w:val="left"/>
      <w:pPr>
        <w:ind w:left="5040" w:hanging="360"/>
      </w:pPr>
      <w:rPr>
        <w:rFonts w:ascii="Courier New" w:hAnsi="Courier New" w:cs="Courier New" w:hint="default"/>
      </w:rPr>
    </w:lvl>
    <w:lvl w:ilvl="5" w:tentative="1">
      <w:start w:val="1"/>
      <w:numFmt w:val="bullet"/>
      <w:lvlText w:val=""/>
      <w:lvlJc w:val="left"/>
      <w:pPr>
        <w:ind w:left="5760" w:hanging="360"/>
      </w:pPr>
      <w:rPr>
        <w:rFonts w:ascii="Wingdings" w:hAnsi="Wingdings" w:hint="default"/>
      </w:rPr>
    </w:lvl>
    <w:lvl w:ilvl="6" w:tentative="1">
      <w:start w:val="1"/>
      <w:numFmt w:val="bullet"/>
      <w:lvlText w:val=""/>
      <w:lvlJc w:val="left"/>
      <w:pPr>
        <w:ind w:left="6480" w:hanging="360"/>
      </w:pPr>
      <w:rPr>
        <w:rFonts w:ascii="Symbol" w:hAnsi="Symbol" w:hint="default"/>
      </w:rPr>
    </w:lvl>
    <w:lvl w:ilvl="7" w:tentative="1">
      <w:start w:val="1"/>
      <w:numFmt w:val="bullet"/>
      <w:lvlText w:val="o"/>
      <w:lvlJc w:val="left"/>
      <w:pPr>
        <w:ind w:left="7200" w:hanging="360"/>
      </w:pPr>
      <w:rPr>
        <w:rFonts w:ascii="Courier New" w:hAnsi="Courier New" w:cs="Courier New" w:hint="default"/>
      </w:rPr>
    </w:lvl>
    <w:lvl w:ilvl="8" w:tentative="1">
      <w:start w:val="1"/>
      <w:numFmt w:val="bullet"/>
      <w:lvlText w:val=""/>
      <w:lvlJc w:val="left"/>
      <w:pPr>
        <w:ind w:left="7920" w:hanging="360"/>
      </w:pPr>
      <w:rPr>
        <w:rFonts w:ascii="Wingdings" w:hAnsi="Wingdings" w:hint="default"/>
      </w:r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812017398">
    <w:abstractNumId w:val="2"/>
  </w:num>
  <w:num w:numId="2" w16cid:durableId="679351834">
    <w:abstractNumId w:val="7"/>
  </w:num>
  <w:num w:numId="3" w16cid:durableId="202209817">
    <w:abstractNumId w:val="4"/>
  </w:num>
  <w:num w:numId="4" w16cid:durableId="1898474625">
    <w:abstractNumId w:val="5"/>
  </w:num>
  <w:num w:numId="5" w16cid:durableId="1383292105">
    <w:abstractNumId w:val="3"/>
  </w:num>
  <w:num w:numId="6" w16cid:durableId="1585869643">
    <w:abstractNumId w:val="1"/>
  </w:num>
  <w:num w:numId="7" w16cid:durableId="1159929628">
    <w:abstractNumId w:val="0"/>
  </w:num>
  <w:num w:numId="8" w16cid:durableId="11068493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C6D"/>
    <w:rsid w:val="0000143F"/>
    <w:rsid w:val="00005D13"/>
    <w:rsid w:val="000104F3"/>
    <w:rsid w:val="0001273F"/>
    <w:rsid w:val="000133F4"/>
    <w:rsid w:val="00015FA3"/>
    <w:rsid w:val="000164B4"/>
    <w:rsid w:val="00023FE1"/>
    <w:rsid w:val="000301C2"/>
    <w:rsid w:val="000309ED"/>
    <w:rsid w:val="00030C5A"/>
    <w:rsid w:val="0003477F"/>
    <w:rsid w:val="00035B68"/>
    <w:rsid w:val="0004157F"/>
    <w:rsid w:val="00050C6D"/>
    <w:rsid w:val="000527B0"/>
    <w:rsid w:val="0005405D"/>
    <w:rsid w:val="0006208B"/>
    <w:rsid w:val="000672EB"/>
    <w:rsid w:val="00070A66"/>
    <w:rsid w:val="0007194B"/>
    <w:rsid w:val="00073340"/>
    <w:rsid w:val="00075038"/>
    <w:rsid w:val="00076A00"/>
    <w:rsid w:val="00083F2F"/>
    <w:rsid w:val="00084557"/>
    <w:rsid w:val="00087BBC"/>
    <w:rsid w:val="000A4505"/>
    <w:rsid w:val="000B478B"/>
    <w:rsid w:val="000B72DB"/>
    <w:rsid w:val="000C122F"/>
    <w:rsid w:val="000C3070"/>
    <w:rsid w:val="000C3117"/>
    <w:rsid w:val="000C7CB4"/>
    <w:rsid w:val="000D0465"/>
    <w:rsid w:val="000D11B4"/>
    <w:rsid w:val="000D7EFD"/>
    <w:rsid w:val="000E3338"/>
    <w:rsid w:val="000E4F27"/>
    <w:rsid w:val="000E6086"/>
    <w:rsid w:val="000F0E07"/>
    <w:rsid w:val="00103A5A"/>
    <w:rsid w:val="00103EB8"/>
    <w:rsid w:val="001053E5"/>
    <w:rsid w:val="00106F6B"/>
    <w:rsid w:val="001109BA"/>
    <w:rsid w:val="00112BEF"/>
    <w:rsid w:val="0011580D"/>
    <w:rsid w:val="00120113"/>
    <w:rsid w:val="00120408"/>
    <w:rsid w:val="00132F8A"/>
    <w:rsid w:val="00133357"/>
    <w:rsid w:val="00133C8B"/>
    <w:rsid w:val="001368B7"/>
    <w:rsid w:val="00143DBF"/>
    <w:rsid w:val="001470D7"/>
    <w:rsid w:val="001477FA"/>
    <w:rsid w:val="0015076D"/>
    <w:rsid w:val="00154582"/>
    <w:rsid w:val="001618D1"/>
    <w:rsid w:val="0016697A"/>
    <w:rsid w:val="001724D4"/>
    <w:rsid w:val="00172D14"/>
    <w:rsid w:val="001754CD"/>
    <w:rsid w:val="001770DC"/>
    <w:rsid w:val="0017715B"/>
    <w:rsid w:val="0018059B"/>
    <w:rsid w:val="00181F1B"/>
    <w:rsid w:val="0018308D"/>
    <w:rsid w:val="00184034"/>
    <w:rsid w:val="0018427C"/>
    <w:rsid w:val="00184408"/>
    <w:rsid w:val="00187746"/>
    <w:rsid w:val="0019484C"/>
    <w:rsid w:val="001969FA"/>
    <w:rsid w:val="00196DB9"/>
    <w:rsid w:val="001A1608"/>
    <w:rsid w:val="001A1B25"/>
    <w:rsid w:val="001A586B"/>
    <w:rsid w:val="001A7325"/>
    <w:rsid w:val="001B0E5E"/>
    <w:rsid w:val="001B2677"/>
    <w:rsid w:val="001B3C0B"/>
    <w:rsid w:val="001B6881"/>
    <w:rsid w:val="001B7900"/>
    <w:rsid w:val="001C1035"/>
    <w:rsid w:val="001D29A7"/>
    <w:rsid w:val="001D76E6"/>
    <w:rsid w:val="001E15EB"/>
    <w:rsid w:val="001E17CB"/>
    <w:rsid w:val="001E7DA6"/>
    <w:rsid w:val="001F0734"/>
    <w:rsid w:val="001F7F12"/>
    <w:rsid w:val="002039A5"/>
    <w:rsid w:val="0020506D"/>
    <w:rsid w:val="00206A51"/>
    <w:rsid w:val="00214A4B"/>
    <w:rsid w:val="00225DEA"/>
    <w:rsid w:val="00233CF9"/>
    <w:rsid w:val="0023755C"/>
    <w:rsid w:val="0024229A"/>
    <w:rsid w:val="0025131E"/>
    <w:rsid w:val="00255C53"/>
    <w:rsid w:val="0026662D"/>
    <w:rsid w:val="00270B1C"/>
    <w:rsid w:val="00274501"/>
    <w:rsid w:val="002776BC"/>
    <w:rsid w:val="002779BB"/>
    <w:rsid w:val="00282DBE"/>
    <w:rsid w:val="00287385"/>
    <w:rsid w:val="00290660"/>
    <w:rsid w:val="0029285E"/>
    <w:rsid w:val="00293008"/>
    <w:rsid w:val="00293C90"/>
    <w:rsid w:val="00294872"/>
    <w:rsid w:val="002958C5"/>
    <w:rsid w:val="002A38F4"/>
    <w:rsid w:val="002A4F0B"/>
    <w:rsid w:val="002A5B36"/>
    <w:rsid w:val="002A5C52"/>
    <w:rsid w:val="002B0310"/>
    <w:rsid w:val="002B24F2"/>
    <w:rsid w:val="002B4563"/>
    <w:rsid w:val="002C0B7C"/>
    <w:rsid w:val="002C76D0"/>
    <w:rsid w:val="002D6912"/>
    <w:rsid w:val="002D6B14"/>
    <w:rsid w:val="002D6C37"/>
    <w:rsid w:val="002E2A4C"/>
    <w:rsid w:val="002E4153"/>
    <w:rsid w:val="002E578C"/>
    <w:rsid w:val="002E59B8"/>
    <w:rsid w:val="002E7B48"/>
    <w:rsid w:val="002E7F10"/>
    <w:rsid w:val="002F14FA"/>
    <w:rsid w:val="002F2824"/>
    <w:rsid w:val="00305890"/>
    <w:rsid w:val="003117A6"/>
    <w:rsid w:val="00315A12"/>
    <w:rsid w:val="00315D46"/>
    <w:rsid w:val="00331E54"/>
    <w:rsid w:val="00334EE2"/>
    <w:rsid w:val="0033542B"/>
    <w:rsid w:val="003357D9"/>
    <w:rsid w:val="00342875"/>
    <w:rsid w:val="003441D3"/>
    <w:rsid w:val="00345C2B"/>
    <w:rsid w:val="00351598"/>
    <w:rsid w:val="00353CD6"/>
    <w:rsid w:val="00363772"/>
    <w:rsid w:val="0037261A"/>
    <w:rsid w:val="003760D6"/>
    <w:rsid w:val="00376F6E"/>
    <w:rsid w:val="00385657"/>
    <w:rsid w:val="00393A70"/>
    <w:rsid w:val="003968B1"/>
    <w:rsid w:val="003A1713"/>
    <w:rsid w:val="003A1BFF"/>
    <w:rsid w:val="003A30E6"/>
    <w:rsid w:val="003A4744"/>
    <w:rsid w:val="003A4E70"/>
    <w:rsid w:val="003A51F8"/>
    <w:rsid w:val="003A71D9"/>
    <w:rsid w:val="003A7733"/>
    <w:rsid w:val="003D4969"/>
    <w:rsid w:val="003D58A8"/>
    <w:rsid w:val="003D679C"/>
    <w:rsid w:val="003D6E3A"/>
    <w:rsid w:val="003F6E68"/>
    <w:rsid w:val="003F74FE"/>
    <w:rsid w:val="004022C7"/>
    <w:rsid w:val="00414023"/>
    <w:rsid w:val="00426EA3"/>
    <w:rsid w:val="00430183"/>
    <w:rsid w:val="00433642"/>
    <w:rsid w:val="00435F59"/>
    <w:rsid w:val="0044000F"/>
    <w:rsid w:val="00440124"/>
    <w:rsid w:val="00446235"/>
    <w:rsid w:val="004521D1"/>
    <w:rsid w:val="0045225F"/>
    <w:rsid w:val="004540F2"/>
    <w:rsid w:val="00456E32"/>
    <w:rsid w:val="00462563"/>
    <w:rsid w:val="004625B7"/>
    <w:rsid w:val="0046757F"/>
    <w:rsid w:val="00471A2A"/>
    <w:rsid w:val="00480E6E"/>
    <w:rsid w:val="00485791"/>
    <w:rsid w:val="00492291"/>
    <w:rsid w:val="00493D12"/>
    <w:rsid w:val="00495157"/>
    <w:rsid w:val="00496C85"/>
    <w:rsid w:val="004A0316"/>
    <w:rsid w:val="004A1EA2"/>
    <w:rsid w:val="004B1513"/>
    <w:rsid w:val="004B47D1"/>
    <w:rsid w:val="004D00D0"/>
    <w:rsid w:val="004D3471"/>
    <w:rsid w:val="004D5C5D"/>
    <w:rsid w:val="004D7EF2"/>
    <w:rsid w:val="004E0179"/>
    <w:rsid w:val="004E3F69"/>
    <w:rsid w:val="004F190A"/>
    <w:rsid w:val="004F2123"/>
    <w:rsid w:val="004F6862"/>
    <w:rsid w:val="00501E8C"/>
    <w:rsid w:val="00502528"/>
    <w:rsid w:val="0050373A"/>
    <w:rsid w:val="00513F42"/>
    <w:rsid w:val="005144E4"/>
    <w:rsid w:val="00520C4A"/>
    <w:rsid w:val="00524D48"/>
    <w:rsid w:val="0052735E"/>
    <w:rsid w:val="00531AE8"/>
    <w:rsid w:val="005470D6"/>
    <w:rsid w:val="00552773"/>
    <w:rsid w:val="00553C4C"/>
    <w:rsid w:val="00562825"/>
    <w:rsid w:val="00563935"/>
    <w:rsid w:val="00565687"/>
    <w:rsid w:val="00574BA6"/>
    <w:rsid w:val="005867D7"/>
    <w:rsid w:val="005879AF"/>
    <w:rsid w:val="00587BC4"/>
    <w:rsid w:val="005A0BBE"/>
    <w:rsid w:val="005A4C3F"/>
    <w:rsid w:val="005A4ED8"/>
    <w:rsid w:val="005A6877"/>
    <w:rsid w:val="005A6BBD"/>
    <w:rsid w:val="005B1B2C"/>
    <w:rsid w:val="005C4919"/>
    <w:rsid w:val="005D0CE4"/>
    <w:rsid w:val="005D6D82"/>
    <w:rsid w:val="005F01F1"/>
    <w:rsid w:val="005F0D5E"/>
    <w:rsid w:val="005F424C"/>
    <w:rsid w:val="005F5704"/>
    <w:rsid w:val="005F7F37"/>
    <w:rsid w:val="00604098"/>
    <w:rsid w:val="006042AE"/>
    <w:rsid w:val="006047B1"/>
    <w:rsid w:val="00606AA1"/>
    <w:rsid w:val="0061000D"/>
    <w:rsid w:val="0061200F"/>
    <w:rsid w:val="0061325A"/>
    <w:rsid w:val="00613677"/>
    <w:rsid w:val="00613BFA"/>
    <w:rsid w:val="00624677"/>
    <w:rsid w:val="006262BE"/>
    <w:rsid w:val="00627675"/>
    <w:rsid w:val="00631BE6"/>
    <w:rsid w:val="006337A5"/>
    <w:rsid w:val="00636315"/>
    <w:rsid w:val="006372EB"/>
    <w:rsid w:val="006411A3"/>
    <w:rsid w:val="006412F7"/>
    <w:rsid w:val="00641455"/>
    <w:rsid w:val="00644598"/>
    <w:rsid w:val="00644D1D"/>
    <w:rsid w:val="00647703"/>
    <w:rsid w:val="00651636"/>
    <w:rsid w:val="00662021"/>
    <w:rsid w:val="00662845"/>
    <w:rsid w:val="00662FE6"/>
    <w:rsid w:val="006650D3"/>
    <w:rsid w:val="00673E32"/>
    <w:rsid w:val="00675535"/>
    <w:rsid w:val="006832C9"/>
    <w:rsid w:val="00685FF1"/>
    <w:rsid w:val="0069116E"/>
    <w:rsid w:val="006934FA"/>
    <w:rsid w:val="00697AFC"/>
    <w:rsid w:val="006A0386"/>
    <w:rsid w:val="006A4A7E"/>
    <w:rsid w:val="006A4B68"/>
    <w:rsid w:val="006A5504"/>
    <w:rsid w:val="006A7185"/>
    <w:rsid w:val="006B26CE"/>
    <w:rsid w:val="006C13AA"/>
    <w:rsid w:val="006C1ECE"/>
    <w:rsid w:val="006C2224"/>
    <w:rsid w:val="006C6982"/>
    <w:rsid w:val="006D204F"/>
    <w:rsid w:val="006D2CDF"/>
    <w:rsid w:val="006D58F8"/>
    <w:rsid w:val="006D6ADD"/>
    <w:rsid w:val="006D6C6B"/>
    <w:rsid w:val="006E40C9"/>
    <w:rsid w:val="006E612B"/>
    <w:rsid w:val="006F12DF"/>
    <w:rsid w:val="006F793A"/>
    <w:rsid w:val="006F7E70"/>
    <w:rsid w:val="00701237"/>
    <w:rsid w:val="00702303"/>
    <w:rsid w:val="00703316"/>
    <w:rsid w:val="007047EE"/>
    <w:rsid w:val="00705090"/>
    <w:rsid w:val="00707E0B"/>
    <w:rsid w:val="00712E7B"/>
    <w:rsid w:val="007136FF"/>
    <w:rsid w:val="00713792"/>
    <w:rsid w:val="0071657F"/>
    <w:rsid w:val="00717C34"/>
    <w:rsid w:val="00723878"/>
    <w:rsid w:val="00725A16"/>
    <w:rsid w:val="00727137"/>
    <w:rsid w:val="007301BF"/>
    <w:rsid w:val="00734416"/>
    <w:rsid w:val="00736E3B"/>
    <w:rsid w:val="00736ECB"/>
    <w:rsid w:val="00741C5F"/>
    <w:rsid w:val="0074464F"/>
    <w:rsid w:val="0075220E"/>
    <w:rsid w:val="00752BD4"/>
    <w:rsid w:val="0076205D"/>
    <w:rsid w:val="00765ABB"/>
    <w:rsid w:val="00765C3C"/>
    <w:rsid w:val="00765D0A"/>
    <w:rsid w:val="00770A4D"/>
    <w:rsid w:val="00773F20"/>
    <w:rsid w:val="007760C4"/>
    <w:rsid w:val="007901CA"/>
    <w:rsid w:val="00791864"/>
    <w:rsid w:val="00792122"/>
    <w:rsid w:val="00793D9E"/>
    <w:rsid w:val="007970E6"/>
    <w:rsid w:val="007A135B"/>
    <w:rsid w:val="007A246C"/>
    <w:rsid w:val="007A7BDB"/>
    <w:rsid w:val="007B3012"/>
    <w:rsid w:val="007B4435"/>
    <w:rsid w:val="007C048D"/>
    <w:rsid w:val="007C0A33"/>
    <w:rsid w:val="007C2499"/>
    <w:rsid w:val="007C4D0A"/>
    <w:rsid w:val="007C4ED9"/>
    <w:rsid w:val="007C501A"/>
    <w:rsid w:val="007C5ED1"/>
    <w:rsid w:val="007C7CDB"/>
    <w:rsid w:val="007D13C4"/>
    <w:rsid w:val="007D4121"/>
    <w:rsid w:val="007D439C"/>
    <w:rsid w:val="007D4A18"/>
    <w:rsid w:val="007D5D3D"/>
    <w:rsid w:val="007D610B"/>
    <w:rsid w:val="007E108E"/>
    <w:rsid w:val="007E5B14"/>
    <w:rsid w:val="007E72C8"/>
    <w:rsid w:val="007F12B0"/>
    <w:rsid w:val="007F3617"/>
    <w:rsid w:val="007F4D48"/>
    <w:rsid w:val="007F5DC8"/>
    <w:rsid w:val="007F5EA4"/>
    <w:rsid w:val="007F7AFA"/>
    <w:rsid w:val="00802C9A"/>
    <w:rsid w:val="00804233"/>
    <w:rsid w:val="008146FE"/>
    <w:rsid w:val="00816FE0"/>
    <w:rsid w:val="00820E8B"/>
    <w:rsid w:val="008216A5"/>
    <w:rsid w:val="00823F7B"/>
    <w:rsid w:val="008278F1"/>
    <w:rsid w:val="00830BC1"/>
    <w:rsid w:val="00831671"/>
    <w:rsid w:val="00831F03"/>
    <w:rsid w:val="00834D94"/>
    <w:rsid w:val="008422D1"/>
    <w:rsid w:val="00845665"/>
    <w:rsid w:val="00847233"/>
    <w:rsid w:val="00855CFC"/>
    <w:rsid w:val="00861F0C"/>
    <w:rsid w:val="00865317"/>
    <w:rsid w:val="0086544B"/>
    <w:rsid w:val="00867EA0"/>
    <w:rsid w:val="0087411E"/>
    <w:rsid w:val="00884842"/>
    <w:rsid w:val="008851F5"/>
    <w:rsid w:val="008862B8"/>
    <w:rsid w:val="00886C51"/>
    <w:rsid w:val="00886F1C"/>
    <w:rsid w:val="008879C8"/>
    <w:rsid w:val="00891580"/>
    <w:rsid w:val="008963AE"/>
    <w:rsid w:val="008A380F"/>
    <w:rsid w:val="008A3E60"/>
    <w:rsid w:val="008A525A"/>
    <w:rsid w:val="008A6D9D"/>
    <w:rsid w:val="008B03B6"/>
    <w:rsid w:val="008B62F0"/>
    <w:rsid w:val="008B7BF5"/>
    <w:rsid w:val="008B7D3C"/>
    <w:rsid w:val="008C40B1"/>
    <w:rsid w:val="008C46AF"/>
    <w:rsid w:val="008C7CFD"/>
    <w:rsid w:val="008D7C3F"/>
    <w:rsid w:val="008E0182"/>
    <w:rsid w:val="008E57EA"/>
    <w:rsid w:val="008F3B5F"/>
    <w:rsid w:val="009053EF"/>
    <w:rsid w:val="0091176D"/>
    <w:rsid w:val="00912746"/>
    <w:rsid w:val="0091385D"/>
    <w:rsid w:val="00923EAC"/>
    <w:rsid w:val="00932FED"/>
    <w:rsid w:val="00934C02"/>
    <w:rsid w:val="00936876"/>
    <w:rsid w:val="009374F0"/>
    <w:rsid w:val="0093759E"/>
    <w:rsid w:val="009376DF"/>
    <w:rsid w:val="00943C94"/>
    <w:rsid w:val="00945A05"/>
    <w:rsid w:val="00945B86"/>
    <w:rsid w:val="00945F0F"/>
    <w:rsid w:val="00950D76"/>
    <w:rsid w:val="00951EF1"/>
    <w:rsid w:val="00953FCA"/>
    <w:rsid w:val="00956F73"/>
    <w:rsid w:val="009605B6"/>
    <w:rsid w:val="009702D0"/>
    <w:rsid w:val="009709DC"/>
    <w:rsid w:val="00972010"/>
    <w:rsid w:val="0097265D"/>
    <w:rsid w:val="00972B97"/>
    <w:rsid w:val="0097317E"/>
    <w:rsid w:val="00974321"/>
    <w:rsid w:val="00980D20"/>
    <w:rsid w:val="00982647"/>
    <w:rsid w:val="00984B98"/>
    <w:rsid w:val="00985A15"/>
    <w:rsid w:val="00985C72"/>
    <w:rsid w:val="00985EA4"/>
    <w:rsid w:val="00986E46"/>
    <w:rsid w:val="009906BC"/>
    <w:rsid w:val="00997395"/>
    <w:rsid w:val="009A0C7D"/>
    <w:rsid w:val="009A213C"/>
    <w:rsid w:val="009A2BA3"/>
    <w:rsid w:val="009A33C9"/>
    <w:rsid w:val="009A3645"/>
    <w:rsid w:val="009A5843"/>
    <w:rsid w:val="009A5AD0"/>
    <w:rsid w:val="009A6084"/>
    <w:rsid w:val="009B1CCF"/>
    <w:rsid w:val="009B24D0"/>
    <w:rsid w:val="009B3534"/>
    <w:rsid w:val="009B6A59"/>
    <w:rsid w:val="009C3275"/>
    <w:rsid w:val="009C5103"/>
    <w:rsid w:val="009C6FA0"/>
    <w:rsid w:val="009D1F4E"/>
    <w:rsid w:val="009D5190"/>
    <w:rsid w:val="009D58BE"/>
    <w:rsid w:val="009D6271"/>
    <w:rsid w:val="009E02CC"/>
    <w:rsid w:val="009E17B1"/>
    <w:rsid w:val="009F30AD"/>
    <w:rsid w:val="009F3558"/>
    <w:rsid w:val="009F64EA"/>
    <w:rsid w:val="00A11172"/>
    <w:rsid w:val="00A112EC"/>
    <w:rsid w:val="00A13F7C"/>
    <w:rsid w:val="00A157EF"/>
    <w:rsid w:val="00A16DF3"/>
    <w:rsid w:val="00A20679"/>
    <w:rsid w:val="00A2430E"/>
    <w:rsid w:val="00A25AB6"/>
    <w:rsid w:val="00A25D48"/>
    <w:rsid w:val="00A3206C"/>
    <w:rsid w:val="00A35489"/>
    <w:rsid w:val="00A3690E"/>
    <w:rsid w:val="00A405EC"/>
    <w:rsid w:val="00A42611"/>
    <w:rsid w:val="00A435FA"/>
    <w:rsid w:val="00A43A36"/>
    <w:rsid w:val="00A43D0D"/>
    <w:rsid w:val="00A45FCE"/>
    <w:rsid w:val="00A50085"/>
    <w:rsid w:val="00A504D0"/>
    <w:rsid w:val="00A623F3"/>
    <w:rsid w:val="00A62C0D"/>
    <w:rsid w:val="00A704C2"/>
    <w:rsid w:val="00A803A2"/>
    <w:rsid w:val="00A862D9"/>
    <w:rsid w:val="00A919AB"/>
    <w:rsid w:val="00A91FF1"/>
    <w:rsid w:val="00A942B1"/>
    <w:rsid w:val="00A95292"/>
    <w:rsid w:val="00A95567"/>
    <w:rsid w:val="00A97DF3"/>
    <w:rsid w:val="00AA4A34"/>
    <w:rsid w:val="00AB0DA8"/>
    <w:rsid w:val="00AB1AF9"/>
    <w:rsid w:val="00AB2D44"/>
    <w:rsid w:val="00AB490C"/>
    <w:rsid w:val="00AC239A"/>
    <w:rsid w:val="00AD144A"/>
    <w:rsid w:val="00AD3610"/>
    <w:rsid w:val="00AD585A"/>
    <w:rsid w:val="00AE236D"/>
    <w:rsid w:val="00AE3731"/>
    <w:rsid w:val="00AE4E72"/>
    <w:rsid w:val="00AF0CCD"/>
    <w:rsid w:val="00B00F18"/>
    <w:rsid w:val="00B011A5"/>
    <w:rsid w:val="00B0334A"/>
    <w:rsid w:val="00B075BC"/>
    <w:rsid w:val="00B101E2"/>
    <w:rsid w:val="00B13F04"/>
    <w:rsid w:val="00B15AE6"/>
    <w:rsid w:val="00B2018B"/>
    <w:rsid w:val="00B25B38"/>
    <w:rsid w:val="00B31EF5"/>
    <w:rsid w:val="00B348B4"/>
    <w:rsid w:val="00B348F5"/>
    <w:rsid w:val="00B36668"/>
    <w:rsid w:val="00B41329"/>
    <w:rsid w:val="00B42240"/>
    <w:rsid w:val="00B5001E"/>
    <w:rsid w:val="00B50B0E"/>
    <w:rsid w:val="00B51B7B"/>
    <w:rsid w:val="00B54987"/>
    <w:rsid w:val="00B61E69"/>
    <w:rsid w:val="00B6705E"/>
    <w:rsid w:val="00B81497"/>
    <w:rsid w:val="00B9257A"/>
    <w:rsid w:val="00B93241"/>
    <w:rsid w:val="00BA1C58"/>
    <w:rsid w:val="00BA2B84"/>
    <w:rsid w:val="00BA3BA8"/>
    <w:rsid w:val="00BA4B9C"/>
    <w:rsid w:val="00BA68B0"/>
    <w:rsid w:val="00BA6A3D"/>
    <w:rsid w:val="00BB319B"/>
    <w:rsid w:val="00BB4E0E"/>
    <w:rsid w:val="00BB7087"/>
    <w:rsid w:val="00BC2F2B"/>
    <w:rsid w:val="00BC6378"/>
    <w:rsid w:val="00BD23C5"/>
    <w:rsid w:val="00BD35C7"/>
    <w:rsid w:val="00BD3613"/>
    <w:rsid w:val="00BD6AB1"/>
    <w:rsid w:val="00BD73DE"/>
    <w:rsid w:val="00BE5079"/>
    <w:rsid w:val="00BF26A0"/>
    <w:rsid w:val="00BF6109"/>
    <w:rsid w:val="00C00FCD"/>
    <w:rsid w:val="00C03B03"/>
    <w:rsid w:val="00C178E5"/>
    <w:rsid w:val="00C21C89"/>
    <w:rsid w:val="00C26980"/>
    <w:rsid w:val="00C26DFC"/>
    <w:rsid w:val="00C2776C"/>
    <w:rsid w:val="00C30069"/>
    <w:rsid w:val="00C30774"/>
    <w:rsid w:val="00C32A90"/>
    <w:rsid w:val="00C32EE2"/>
    <w:rsid w:val="00C3386C"/>
    <w:rsid w:val="00C33EB4"/>
    <w:rsid w:val="00C375FF"/>
    <w:rsid w:val="00C4070D"/>
    <w:rsid w:val="00C41852"/>
    <w:rsid w:val="00C42250"/>
    <w:rsid w:val="00C47CA6"/>
    <w:rsid w:val="00C50887"/>
    <w:rsid w:val="00C51042"/>
    <w:rsid w:val="00C510F0"/>
    <w:rsid w:val="00C5578F"/>
    <w:rsid w:val="00C55A36"/>
    <w:rsid w:val="00C67300"/>
    <w:rsid w:val="00C67804"/>
    <w:rsid w:val="00C73CB7"/>
    <w:rsid w:val="00C757A1"/>
    <w:rsid w:val="00C800DC"/>
    <w:rsid w:val="00C86F82"/>
    <w:rsid w:val="00C913C0"/>
    <w:rsid w:val="00C92A29"/>
    <w:rsid w:val="00C94DB1"/>
    <w:rsid w:val="00C96AE1"/>
    <w:rsid w:val="00C976A3"/>
    <w:rsid w:val="00CA3816"/>
    <w:rsid w:val="00CB0A30"/>
    <w:rsid w:val="00CB39FC"/>
    <w:rsid w:val="00CB5A8C"/>
    <w:rsid w:val="00CC1EAE"/>
    <w:rsid w:val="00CC2D97"/>
    <w:rsid w:val="00CD28A8"/>
    <w:rsid w:val="00CE2BF4"/>
    <w:rsid w:val="00CE7AC8"/>
    <w:rsid w:val="00CF018A"/>
    <w:rsid w:val="00CF3080"/>
    <w:rsid w:val="00CF7843"/>
    <w:rsid w:val="00D015EE"/>
    <w:rsid w:val="00D02FC7"/>
    <w:rsid w:val="00D07757"/>
    <w:rsid w:val="00D13D1D"/>
    <w:rsid w:val="00D14A84"/>
    <w:rsid w:val="00D2223C"/>
    <w:rsid w:val="00D31A62"/>
    <w:rsid w:val="00D37C29"/>
    <w:rsid w:val="00D42CB9"/>
    <w:rsid w:val="00D44096"/>
    <w:rsid w:val="00D50720"/>
    <w:rsid w:val="00D52F49"/>
    <w:rsid w:val="00D62D76"/>
    <w:rsid w:val="00D63522"/>
    <w:rsid w:val="00D63FAD"/>
    <w:rsid w:val="00D652B2"/>
    <w:rsid w:val="00D66523"/>
    <w:rsid w:val="00D75E16"/>
    <w:rsid w:val="00D82B54"/>
    <w:rsid w:val="00D8592A"/>
    <w:rsid w:val="00D87AE2"/>
    <w:rsid w:val="00D9058E"/>
    <w:rsid w:val="00D93644"/>
    <w:rsid w:val="00D93A00"/>
    <w:rsid w:val="00D94994"/>
    <w:rsid w:val="00D957E3"/>
    <w:rsid w:val="00D95845"/>
    <w:rsid w:val="00DA0AB5"/>
    <w:rsid w:val="00DA1AD0"/>
    <w:rsid w:val="00DA5065"/>
    <w:rsid w:val="00DB2F88"/>
    <w:rsid w:val="00DB56A7"/>
    <w:rsid w:val="00DB7CDC"/>
    <w:rsid w:val="00DC20B9"/>
    <w:rsid w:val="00DC2AAE"/>
    <w:rsid w:val="00DC3C2B"/>
    <w:rsid w:val="00DC6119"/>
    <w:rsid w:val="00DC7EBF"/>
    <w:rsid w:val="00DD0574"/>
    <w:rsid w:val="00DD5E90"/>
    <w:rsid w:val="00DE6DC5"/>
    <w:rsid w:val="00DF258D"/>
    <w:rsid w:val="00DF4200"/>
    <w:rsid w:val="00DF5759"/>
    <w:rsid w:val="00DF6E3C"/>
    <w:rsid w:val="00E10532"/>
    <w:rsid w:val="00E124B8"/>
    <w:rsid w:val="00E23889"/>
    <w:rsid w:val="00E26E6D"/>
    <w:rsid w:val="00E301AB"/>
    <w:rsid w:val="00E31FC7"/>
    <w:rsid w:val="00E328EB"/>
    <w:rsid w:val="00E433A6"/>
    <w:rsid w:val="00E52449"/>
    <w:rsid w:val="00E56D13"/>
    <w:rsid w:val="00E60FF3"/>
    <w:rsid w:val="00E64170"/>
    <w:rsid w:val="00E644E4"/>
    <w:rsid w:val="00E6463B"/>
    <w:rsid w:val="00E71775"/>
    <w:rsid w:val="00E729C2"/>
    <w:rsid w:val="00E85618"/>
    <w:rsid w:val="00E9074A"/>
    <w:rsid w:val="00E91F34"/>
    <w:rsid w:val="00E949BA"/>
    <w:rsid w:val="00E949F6"/>
    <w:rsid w:val="00E94E24"/>
    <w:rsid w:val="00E97650"/>
    <w:rsid w:val="00EA0C24"/>
    <w:rsid w:val="00EA1476"/>
    <w:rsid w:val="00EA20B6"/>
    <w:rsid w:val="00EA26F9"/>
    <w:rsid w:val="00EA50E1"/>
    <w:rsid w:val="00EA5446"/>
    <w:rsid w:val="00EA5D48"/>
    <w:rsid w:val="00EB0CA2"/>
    <w:rsid w:val="00EB3F31"/>
    <w:rsid w:val="00EC480C"/>
    <w:rsid w:val="00ED42E5"/>
    <w:rsid w:val="00EE1C53"/>
    <w:rsid w:val="00EE2EE1"/>
    <w:rsid w:val="00EE487B"/>
    <w:rsid w:val="00EE5E01"/>
    <w:rsid w:val="00EF26C0"/>
    <w:rsid w:val="00EF466B"/>
    <w:rsid w:val="00EF6539"/>
    <w:rsid w:val="00EF71DF"/>
    <w:rsid w:val="00F01196"/>
    <w:rsid w:val="00F03EA1"/>
    <w:rsid w:val="00F04C45"/>
    <w:rsid w:val="00F05FE8"/>
    <w:rsid w:val="00F0774A"/>
    <w:rsid w:val="00F17A50"/>
    <w:rsid w:val="00F20261"/>
    <w:rsid w:val="00F211DE"/>
    <w:rsid w:val="00F22723"/>
    <w:rsid w:val="00F247C1"/>
    <w:rsid w:val="00F317D0"/>
    <w:rsid w:val="00F37436"/>
    <w:rsid w:val="00F37704"/>
    <w:rsid w:val="00F4457B"/>
    <w:rsid w:val="00F469CA"/>
    <w:rsid w:val="00F475DA"/>
    <w:rsid w:val="00F51D0C"/>
    <w:rsid w:val="00F56929"/>
    <w:rsid w:val="00F62E68"/>
    <w:rsid w:val="00F67F28"/>
    <w:rsid w:val="00F7170F"/>
    <w:rsid w:val="00F80FE0"/>
    <w:rsid w:val="00F87480"/>
    <w:rsid w:val="00F95A7D"/>
    <w:rsid w:val="00F95C6B"/>
    <w:rsid w:val="00F969AA"/>
    <w:rsid w:val="00FA03A0"/>
    <w:rsid w:val="00FA4D54"/>
    <w:rsid w:val="00FB01FA"/>
    <w:rsid w:val="00FB5889"/>
    <w:rsid w:val="00FB5FE8"/>
    <w:rsid w:val="00FB6962"/>
    <w:rsid w:val="00FB73EE"/>
    <w:rsid w:val="00FC2127"/>
    <w:rsid w:val="00FC23C8"/>
    <w:rsid w:val="00FC3BF1"/>
    <w:rsid w:val="00FC3CCD"/>
    <w:rsid w:val="00FC52EB"/>
    <w:rsid w:val="00FC5825"/>
    <w:rsid w:val="00FD03DA"/>
    <w:rsid w:val="00FE0713"/>
    <w:rsid w:val="00FE79C3"/>
    <w:rsid w:val="00FF077E"/>
    <w:rsid w:val="00FF3F88"/>
    <w:rsid w:val="00FF61C1"/>
    <w:rsid w:val="00FF6F3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D4A2C44"/>
  <w15:chartTrackingRefBased/>
  <w15:docId w15:val="{48016D13-4D11-4050-AE51-7CE1B8258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0C6D"/>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1,Footnote Text Char Char1 Char Char Char Char,Footnote Text Char1,Footnote Text Char1 Char Char1 Char Char,Footnote Text Char2 Char1 Char,Footnote Text Char3 Char,Footnote Text Char5,fn,ALTS FOOTNOTE,f,fn "/>
    <w:link w:val="FootnoteTextChar"/>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ListParagraph">
    <w:name w:val="List Paragraph"/>
    <w:basedOn w:val="Normal"/>
    <w:uiPriority w:val="34"/>
    <w:qFormat/>
    <w:rsid w:val="00050C6D"/>
    <w:pPr>
      <w:ind w:left="720"/>
    </w:pPr>
  </w:style>
  <w:style w:type="character" w:customStyle="1" w:styleId="FootnoteTextChar">
    <w:name w:val="Footnote Text Char"/>
    <w:aliases w:val="Footnote Text Char Char Char Char1 Char,Footnote Text Char Char1 Char Char Char Char Char,Footnote Text Char1 Char,Footnote Text Char1 Char Char1 Char Char Char,Footnote Text Char2 Char1 Char Char,Footnote Text Char3 Char Char,fn Char"/>
    <w:link w:val="FootnoteText"/>
    <w:rsid w:val="00050C6D"/>
  </w:style>
  <w:style w:type="paragraph" w:styleId="Revision">
    <w:name w:val="Revision"/>
    <w:hidden/>
    <w:uiPriority w:val="99"/>
    <w:semiHidden/>
    <w:rsid w:val="00565687"/>
    <w:rPr>
      <w:snapToGrid w:val="0"/>
      <w:kern w:val="28"/>
      <w:sz w:val="22"/>
    </w:rPr>
  </w:style>
  <w:style w:type="character" w:styleId="CommentReference">
    <w:name w:val="annotation reference"/>
    <w:basedOn w:val="DefaultParagraphFont"/>
    <w:uiPriority w:val="99"/>
    <w:semiHidden/>
    <w:unhideWhenUsed/>
    <w:rsid w:val="004D7EF2"/>
    <w:rPr>
      <w:sz w:val="16"/>
      <w:szCs w:val="16"/>
    </w:rPr>
  </w:style>
  <w:style w:type="paragraph" w:styleId="CommentText">
    <w:name w:val="annotation text"/>
    <w:basedOn w:val="Normal"/>
    <w:link w:val="CommentTextChar"/>
    <w:uiPriority w:val="99"/>
    <w:unhideWhenUsed/>
    <w:rsid w:val="004D7EF2"/>
    <w:rPr>
      <w:sz w:val="20"/>
    </w:rPr>
  </w:style>
  <w:style w:type="character" w:customStyle="1" w:styleId="CommentTextChar">
    <w:name w:val="Comment Text Char"/>
    <w:basedOn w:val="DefaultParagraphFont"/>
    <w:link w:val="CommentText"/>
    <w:uiPriority w:val="99"/>
    <w:rsid w:val="004D7EF2"/>
    <w:rPr>
      <w:snapToGrid w:val="0"/>
      <w:kern w:val="28"/>
    </w:rPr>
  </w:style>
  <w:style w:type="paragraph" w:styleId="CommentSubject">
    <w:name w:val="annotation subject"/>
    <w:basedOn w:val="CommentText"/>
    <w:next w:val="CommentText"/>
    <w:link w:val="CommentSubjectChar"/>
    <w:uiPriority w:val="99"/>
    <w:semiHidden/>
    <w:unhideWhenUsed/>
    <w:rsid w:val="004D7EF2"/>
    <w:rPr>
      <w:b/>
      <w:bCs/>
    </w:rPr>
  </w:style>
  <w:style w:type="character" w:customStyle="1" w:styleId="CommentSubjectChar">
    <w:name w:val="Comment Subject Char"/>
    <w:basedOn w:val="CommentTextChar"/>
    <w:link w:val="CommentSubject"/>
    <w:uiPriority w:val="99"/>
    <w:semiHidden/>
    <w:rsid w:val="004D7EF2"/>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