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F7B63" w:rsidP="000F7B63" w14:paraId="6975026C" w14:textId="77777777">
      <w:pPr>
        <w:jc w:val="center"/>
        <w:rPr>
          <w:b/>
        </w:rPr>
      </w:pPr>
      <w:r w:rsidRPr="0070224F">
        <w:rPr>
          <w:rFonts w:ascii="Times New Roman Bold" w:hAnsi="Times New Roman Bold"/>
          <w:b/>
          <w:kern w:val="0"/>
          <w:szCs w:val="22"/>
        </w:rPr>
        <w:t>Before</w:t>
      </w:r>
      <w:r>
        <w:rPr>
          <w:b/>
        </w:rPr>
        <w:t xml:space="preserve"> the</w:t>
      </w:r>
    </w:p>
    <w:p w:rsidR="000F7B63" w:rsidP="000F7B63" w14:paraId="48EAE0F8" w14:textId="77777777">
      <w:pPr>
        <w:pStyle w:val="StyleBoldCentered"/>
      </w:pPr>
      <w:r>
        <w:t>F</w:t>
      </w:r>
      <w:r>
        <w:rPr>
          <w:caps w:val="0"/>
        </w:rPr>
        <w:t>ederal Communications Commission</w:t>
      </w:r>
    </w:p>
    <w:p w:rsidR="000F7B63" w:rsidP="000F7B63" w14:paraId="75C56DF8" w14:textId="77777777">
      <w:pPr>
        <w:pStyle w:val="StyleBoldCentered"/>
      </w:pPr>
      <w:r>
        <w:rPr>
          <w:caps w:val="0"/>
        </w:rPr>
        <w:t>Washington, D.C. 20554</w:t>
      </w:r>
    </w:p>
    <w:p w:rsidR="000F7B63" w:rsidP="000F7B63" w14:paraId="3218C82B" w14:textId="77777777"/>
    <w:p w:rsidR="000F7B63" w:rsidP="000F7B63" w14:paraId="7BC3E3DF" w14:textId="77777777"/>
    <w:tbl>
      <w:tblPr>
        <w:tblW w:w="0" w:type="auto"/>
        <w:tblLayout w:type="fixed"/>
        <w:tblLook w:val="0000"/>
      </w:tblPr>
      <w:tblGrid>
        <w:gridCol w:w="4698"/>
        <w:gridCol w:w="630"/>
        <w:gridCol w:w="4248"/>
      </w:tblGrid>
      <w:tr w14:paraId="5451D638" w14:textId="77777777" w:rsidTr="00D0231A">
        <w:tblPrEx>
          <w:tblW w:w="0" w:type="auto"/>
          <w:tblLayout w:type="fixed"/>
          <w:tblLook w:val="0000"/>
        </w:tblPrEx>
        <w:tc>
          <w:tcPr>
            <w:tcW w:w="4698" w:type="dxa"/>
          </w:tcPr>
          <w:p w:rsidR="000F7B63" w:rsidP="00D0231A" w14:paraId="2509E271" w14:textId="77777777">
            <w:pPr>
              <w:tabs>
                <w:tab w:val="center" w:pos="4680"/>
              </w:tabs>
              <w:suppressAutoHyphens/>
              <w:rPr>
                <w:spacing w:val="-2"/>
              </w:rPr>
            </w:pPr>
            <w:r>
              <w:rPr>
                <w:spacing w:val="-2"/>
              </w:rPr>
              <w:t>In the Matter of</w:t>
            </w:r>
          </w:p>
          <w:p w:rsidR="000F7B63" w:rsidP="00D0231A" w14:paraId="0740C96B" w14:textId="77777777">
            <w:pPr>
              <w:tabs>
                <w:tab w:val="center" w:pos="4680"/>
              </w:tabs>
              <w:suppressAutoHyphens/>
              <w:rPr>
                <w:spacing w:val="-2"/>
              </w:rPr>
            </w:pPr>
          </w:p>
          <w:p w:rsidR="000F7B63" w:rsidP="00D0231A" w14:paraId="5B7BC278" w14:textId="77777777">
            <w:pPr>
              <w:tabs>
                <w:tab w:val="center" w:pos="4680"/>
              </w:tabs>
              <w:suppressAutoHyphens/>
              <w:rPr>
                <w:spacing w:val="-2"/>
              </w:rPr>
            </w:pPr>
            <w:r>
              <w:rPr>
                <w:spacing w:val="-2"/>
              </w:rPr>
              <w:t>Connect America Fund</w:t>
            </w:r>
          </w:p>
          <w:p w:rsidR="000F7B63" w:rsidP="00D0231A" w14:paraId="35E06311" w14:textId="77777777">
            <w:pPr>
              <w:tabs>
                <w:tab w:val="center" w:pos="4680"/>
              </w:tabs>
              <w:suppressAutoHyphens/>
              <w:rPr>
                <w:spacing w:val="-2"/>
              </w:rPr>
            </w:pPr>
          </w:p>
          <w:p w:rsidR="000F7B63" w:rsidP="00D0231A" w14:paraId="7C45451C" w14:textId="77777777">
            <w:pPr>
              <w:tabs>
                <w:tab w:val="center" w:pos="4680"/>
              </w:tabs>
              <w:suppressAutoHyphens/>
              <w:rPr>
                <w:spacing w:val="-2"/>
              </w:rPr>
            </w:pPr>
            <w:r>
              <w:rPr>
                <w:spacing w:val="-2"/>
              </w:rPr>
              <w:t>The Rural Digital Opportunity Fund Auction (Auction 904)</w:t>
            </w:r>
          </w:p>
          <w:p w:rsidR="000F7B63" w:rsidP="00D0231A" w14:paraId="08793D62" w14:textId="77777777">
            <w:pPr>
              <w:tabs>
                <w:tab w:val="center" w:pos="4680"/>
              </w:tabs>
              <w:suppressAutoHyphens/>
              <w:rPr>
                <w:spacing w:val="-2"/>
              </w:rPr>
            </w:pPr>
          </w:p>
          <w:p w:rsidR="000F7B63" w:rsidP="00D0231A" w14:paraId="2E3495F8" w14:textId="77777777">
            <w:pPr>
              <w:tabs>
                <w:tab w:val="center" w:pos="4680"/>
              </w:tabs>
              <w:suppressAutoHyphens/>
              <w:rPr>
                <w:spacing w:val="-2"/>
              </w:rPr>
            </w:pPr>
            <w:r>
              <w:rPr>
                <w:spacing w:val="-2"/>
              </w:rPr>
              <w:t>Rural Digital Opportunity Fund</w:t>
            </w:r>
          </w:p>
          <w:p w:rsidR="000F7B63" w:rsidP="00D0231A" w14:paraId="326A1BDE" w14:textId="77777777">
            <w:pPr>
              <w:tabs>
                <w:tab w:val="center" w:pos="4680"/>
              </w:tabs>
              <w:suppressAutoHyphens/>
              <w:rPr>
                <w:spacing w:val="-2"/>
              </w:rPr>
            </w:pPr>
          </w:p>
          <w:p w:rsidR="000F7B63" w:rsidRPr="007115F7" w:rsidP="00D0231A" w14:paraId="6278F2C1" w14:textId="77777777">
            <w:pPr>
              <w:tabs>
                <w:tab w:val="center" w:pos="4680"/>
              </w:tabs>
              <w:suppressAutoHyphens/>
              <w:rPr>
                <w:spacing w:val="-2"/>
              </w:rPr>
            </w:pPr>
          </w:p>
        </w:tc>
        <w:tc>
          <w:tcPr>
            <w:tcW w:w="630" w:type="dxa"/>
          </w:tcPr>
          <w:p w:rsidR="000F7B63" w:rsidP="00D0231A" w14:paraId="5505C3BB" w14:textId="77777777">
            <w:pPr>
              <w:tabs>
                <w:tab w:val="center" w:pos="4680"/>
              </w:tabs>
              <w:suppressAutoHyphens/>
              <w:rPr>
                <w:b/>
                <w:spacing w:val="-2"/>
              </w:rPr>
            </w:pPr>
            <w:r>
              <w:rPr>
                <w:b/>
                <w:spacing w:val="-2"/>
              </w:rPr>
              <w:t>)</w:t>
            </w:r>
          </w:p>
          <w:p w:rsidR="000F7B63" w:rsidP="00D0231A" w14:paraId="5932D32B" w14:textId="77777777">
            <w:pPr>
              <w:tabs>
                <w:tab w:val="center" w:pos="4680"/>
              </w:tabs>
              <w:suppressAutoHyphens/>
              <w:rPr>
                <w:b/>
                <w:spacing w:val="-2"/>
              </w:rPr>
            </w:pPr>
            <w:r>
              <w:rPr>
                <w:b/>
                <w:spacing w:val="-2"/>
              </w:rPr>
              <w:t>)</w:t>
            </w:r>
          </w:p>
          <w:p w:rsidR="000F7B63" w:rsidP="00D0231A" w14:paraId="0DDC0A97" w14:textId="77777777">
            <w:pPr>
              <w:tabs>
                <w:tab w:val="center" w:pos="4680"/>
              </w:tabs>
              <w:suppressAutoHyphens/>
              <w:rPr>
                <w:b/>
                <w:spacing w:val="-2"/>
              </w:rPr>
            </w:pPr>
            <w:r>
              <w:rPr>
                <w:b/>
                <w:spacing w:val="-2"/>
              </w:rPr>
              <w:t>)</w:t>
            </w:r>
          </w:p>
          <w:p w:rsidR="000F7B63" w:rsidP="00D0231A" w14:paraId="4D8F00E5" w14:textId="77777777">
            <w:pPr>
              <w:tabs>
                <w:tab w:val="center" w:pos="4680"/>
              </w:tabs>
              <w:suppressAutoHyphens/>
              <w:rPr>
                <w:b/>
                <w:spacing w:val="-2"/>
              </w:rPr>
            </w:pPr>
            <w:r>
              <w:rPr>
                <w:b/>
                <w:spacing w:val="-2"/>
              </w:rPr>
              <w:t>)</w:t>
            </w:r>
          </w:p>
          <w:p w:rsidR="000F7B63" w:rsidP="00D0231A" w14:paraId="02223A52" w14:textId="77777777">
            <w:pPr>
              <w:tabs>
                <w:tab w:val="center" w:pos="4680"/>
              </w:tabs>
              <w:suppressAutoHyphens/>
              <w:rPr>
                <w:b/>
                <w:spacing w:val="-2"/>
              </w:rPr>
            </w:pPr>
            <w:r>
              <w:rPr>
                <w:b/>
                <w:spacing w:val="-2"/>
              </w:rPr>
              <w:t>)</w:t>
            </w:r>
          </w:p>
          <w:p w:rsidR="000F7B63" w:rsidP="00D0231A" w14:paraId="76240931" w14:textId="77777777">
            <w:pPr>
              <w:tabs>
                <w:tab w:val="center" w:pos="4680"/>
              </w:tabs>
              <w:suppressAutoHyphens/>
              <w:rPr>
                <w:b/>
                <w:spacing w:val="-2"/>
              </w:rPr>
            </w:pPr>
            <w:r>
              <w:rPr>
                <w:b/>
                <w:spacing w:val="-2"/>
              </w:rPr>
              <w:t>)</w:t>
            </w:r>
          </w:p>
          <w:p w:rsidR="000F7B63" w:rsidP="00D0231A" w14:paraId="5F819FDA" w14:textId="77777777">
            <w:pPr>
              <w:tabs>
                <w:tab w:val="center" w:pos="4680"/>
              </w:tabs>
              <w:suppressAutoHyphens/>
              <w:rPr>
                <w:b/>
                <w:spacing w:val="-2"/>
              </w:rPr>
            </w:pPr>
            <w:r>
              <w:rPr>
                <w:b/>
                <w:spacing w:val="-2"/>
              </w:rPr>
              <w:t>)</w:t>
            </w:r>
          </w:p>
          <w:p w:rsidR="000F7B63" w:rsidP="00D0231A" w14:paraId="0ADE5321" w14:textId="77777777">
            <w:pPr>
              <w:tabs>
                <w:tab w:val="center" w:pos="4680"/>
              </w:tabs>
              <w:suppressAutoHyphens/>
              <w:rPr>
                <w:b/>
                <w:spacing w:val="-2"/>
              </w:rPr>
            </w:pPr>
            <w:r>
              <w:rPr>
                <w:b/>
                <w:spacing w:val="-2"/>
              </w:rPr>
              <w:t>)</w:t>
            </w:r>
          </w:p>
          <w:p w:rsidR="000F7B63" w:rsidP="00D0231A" w14:paraId="0E27BFCE" w14:textId="77777777">
            <w:pPr>
              <w:tabs>
                <w:tab w:val="center" w:pos="4680"/>
              </w:tabs>
              <w:suppressAutoHyphens/>
              <w:rPr>
                <w:b/>
                <w:spacing w:val="-2"/>
              </w:rPr>
            </w:pPr>
            <w:r>
              <w:rPr>
                <w:b/>
                <w:spacing w:val="-2"/>
              </w:rPr>
              <w:t>)</w:t>
            </w:r>
          </w:p>
          <w:p w:rsidR="000F7B63" w:rsidP="00D0231A" w14:paraId="25F5F8C3" w14:textId="77777777">
            <w:pPr>
              <w:tabs>
                <w:tab w:val="center" w:pos="4680"/>
              </w:tabs>
              <w:suppressAutoHyphens/>
              <w:rPr>
                <w:b/>
                <w:spacing w:val="-2"/>
              </w:rPr>
            </w:pPr>
          </w:p>
          <w:p w:rsidR="000F7B63" w:rsidP="00D0231A" w14:paraId="685509C9" w14:textId="77777777">
            <w:pPr>
              <w:tabs>
                <w:tab w:val="center" w:pos="4680"/>
              </w:tabs>
              <w:suppressAutoHyphens/>
              <w:rPr>
                <w:spacing w:val="-2"/>
              </w:rPr>
            </w:pPr>
          </w:p>
        </w:tc>
        <w:tc>
          <w:tcPr>
            <w:tcW w:w="4248" w:type="dxa"/>
          </w:tcPr>
          <w:p w:rsidR="000F7B63" w:rsidP="00D0231A" w14:paraId="21653FA9" w14:textId="77777777">
            <w:pPr>
              <w:tabs>
                <w:tab w:val="center" w:pos="4680"/>
              </w:tabs>
              <w:suppressAutoHyphens/>
              <w:rPr>
                <w:spacing w:val="-2"/>
              </w:rPr>
            </w:pPr>
          </w:p>
          <w:p w:rsidR="000F7B63" w:rsidP="00D0231A" w14:paraId="4447EF7D" w14:textId="77777777">
            <w:pPr>
              <w:pStyle w:val="TOAHeading"/>
              <w:tabs>
                <w:tab w:val="center" w:pos="4680"/>
                <w:tab w:val="clear" w:pos="9360"/>
              </w:tabs>
              <w:rPr>
                <w:spacing w:val="-2"/>
              </w:rPr>
            </w:pPr>
          </w:p>
          <w:p w:rsidR="000F7B63" w:rsidP="00D0231A" w14:paraId="16BB77FD" w14:textId="77777777">
            <w:pPr>
              <w:tabs>
                <w:tab w:val="center" w:pos="4680"/>
              </w:tabs>
              <w:suppressAutoHyphens/>
              <w:rPr>
                <w:spacing w:val="-2"/>
              </w:rPr>
            </w:pPr>
            <w:r>
              <w:rPr>
                <w:spacing w:val="-2"/>
              </w:rPr>
              <w:t>WC Docket No. 10-90</w:t>
            </w:r>
          </w:p>
          <w:p w:rsidR="000F7B63" w:rsidP="00D0231A" w14:paraId="30F6D5C4" w14:textId="77777777">
            <w:pPr>
              <w:tabs>
                <w:tab w:val="center" w:pos="4680"/>
              </w:tabs>
              <w:suppressAutoHyphens/>
              <w:rPr>
                <w:spacing w:val="-2"/>
              </w:rPr>
            </w:pPr>
          </w:p>
          <w:p w:rsidR="000F7B63" w:rsidP="00D0231A" w14:paraId="0873842B" w14:textId="77777777">
            <w:pPr>
              <w:tabs>
                <w:tab w:val="center" w:pos="4680"/>
              </w:tabs>
              <w:suppressAutoHyphens/>
              <w:rPr>
                <w:spacing w:val="-2"/>
              </w:rPr>
            </w:pPr>
            <w:r>
              <w:rPr>
                <w:spacing w:val="-2"/>
              </w:rPr>
              <w:t>AU Docket No. 20-34</w:t>
            </w:r>
          </w:p>
          <w:p w:rsidR="000F7B63" w:rsidP="00D0231A" w14:paraId="52A20F6E" w14:textId="77777777">
            <w:pPr>
              <w:tabs>
                <w:tab w:val="center" w:pos="4680"/>
              </w:tabs>
              <w:suppressAutoHyphens/>
              <w:rPr>
                <w:spacing w:val="-2"/>
              </w:rPr>
            </w:pPr>
          </w:p>
          <w:p w:rsidR="000F7B63" w:rsidP="00D0231A" w14:paraId="2E36D670" w14:textId="77777777">
            <w:pPr>
              <w:tabs>
                <w:tab w:val="center" w:pos="4680"/>
              </w:tabs>
              <w:suppressAutoHyphens/>
              <w:rPr>
                <w:spacing w:val="-2"/>
              </w:rPr>
            </w:pPr>
          </w:p>
          <w:p w:rsidR="000F7B63" w:rsidP="00D0231A" w14:paraId="08CD5A9C" w14:textId="77777777">
            <w:pPr>
              <w:tabs>
                <w:tab w:val="center" w:pos="4680"/>
              </w:tabs>
              <w:suppressAutoHyphens/>
              <w:rPr>
                <w:spacing w:val="-2"/>
              </w:rPr>
            </w:pPr>
            <w:r>
              <w:rPr>
                <w:spacing w:val="-2"/>
              </w:rPr>
              <w:t>WC Docket No. 19-126</w:t>
            </w:r>
          </w:p>
          <w:p w:rsidR="000F7B63" w:rsidP="00D0231A" w14:paraId="4919D6EE" w14:textId="77777777">
            <w:pPr>
              <w:tabs>
                <w:tab w:val="center" w:pos="4680"/>
              </w:tabs>
              <w:suppressAutoHyphens/>
              <w:rPr>
                <w:spacing w:val="-2"/>
              </w:rPr>
            </w:pPr>
          </w:p>
          <w:p w:rsidR="000F7B63" w:rsidP="00D0231A" w14:paraId="7F575481" w14:textId="77777777">
            <w:pPr>
              <w:tabs>
                <w:tab w:val="center" w:pos="4680"/>
              </w:tabs>
              <w:suppressAutoHyphens/>
              <w:rPr>
                <w:spacing w:val="-2"/>
              </w:rPr>
            </w:pPr>
          </w:p>
        </w:tc>
      </w:tr>
    </w:tbl>
    <w:p w:rsidR="001F5B80" w:rsidRPr="00E77C4E" w:rsidP="00E77C4E" w14:paraId="1FE53C88" w14:textId="77777777">
      <w:pPr>
        <w:pStyle w:val="StyleBoldCentered"/>
        <w:jc w:val="left"/>
        <w:rPr>
          <w:b w:val="0"/>
          <w:bCs w:val="0"/>
        </w:rPr>
      </w:pPr>
    </w:p>
    <w:p w:rsidR="000F7B63" w:rsidP="000F7B63" w14:paraId="6197B03F" w14:textId="199FBB68">
      <w:pPr>
        <w:pStyle w:val="StyleBoldCentered"/>
      </w:pPr>
      <w:r>
        <w:t>Order</w:t>
      </w:r>
    </w:p>
    <w:p w:rsidR="000F7B63" w:rsidP="000F7B63" w14:paraId="1351431F" w14:textId="77777777">
      <w:pPr>
        <w:tabs>
          <w:tab w:val="left" w:pos="-720"/>
        </w:tabs>
        <w:suppressAutoHyphens/>
        <w:spacing w:line="227" w:lineRule="auto"/>
        <w:rPr>
          <w:spacing w:val="-2"/>
        </w:rPr>
      </w:pPr>
    </w:p>
    <w:p w:rsidR="000F7B63" w:rsidP="000F7B63" w14:paraId="2F88B4C2" w14:textId="4E5D5D04">
      <w:pPr>
        <w:tabs>
          <w:tab w:val="left" w:pos="720"/>
          <w:tab w:val="right" w:pos="9360"/>
        </w:tabs>
        <w:suppressAutoHyphens/>
        <w:spacing w:line="227" w:lineRule="auto"/>
        <w:rPr>
          <w:spacing w:val="-2"/>
        </w:rPr>
      </w:pPr>
      <w:r>
        <w:rPr>
          <w:b/>
          <w:spacing w:val="-2"/>
        </w:rPr>
        <w:t>Adopted:</w:t>
      </w:r>
      <w:r w:rsidR="00603492">
        <w:rPr>
          <w:b/>
          <w:spacing w:val="-2"/>
        </w:rPr>
        <w:t xml:space="preserve">  June 15, 2026</w:t>
      </w:r>
      <w:r>
        <w:rPr>
          <w:b/>
          <w:spacing w:val="-2"/>
        </w:rPr>
        <w:t xml:space="preserve">  </w:t>
      </w:r>
      <w:r>
        <w:rPr>
          <w:b/>
          <w:spacing w:val="-2"/>
        </w:rPr>
        <w:tab/>
        <w:t>Released:</w:t>
      </w:r>
      <w:r w:rsidR="00603492">
        <w:rPr>
          <w:b/>
          <w:spacing w:val="-2"/>
        </w:rPr>
        <w:t xml:space="preserve">  June 15, 2026</w:t>
      </w:r>
      <w:r>
        <w:rPr>
          <w:b/>
          <w:spacing w:val="-2"/>
        </w:rPr>
        <w:t xml:space="preserve">  </w:t>
      </w:r>
    </w:p>
    <w:p w:rsidR="000F7B63" w:rsidP="000F7B63" w14:paraId="2A8B4EAB" w14:textId="77777777"/>
    <w:p w:rsidR="000F7B63" w:rsidP="000F7B63" w14:paraId="3D55C7F1" w14:textId="77777777">
      <w:pPr>
        <w:rPr>
          <w:spacing w:val="-2"/>
        </w:rPr>
      </w:pPr>
      <w:r w:rsidRPr="004D309C">
        <w:rPr>
          <w:szCs w:val="22"/>
        </w:rPr>
        <w:t>By the Chief, Wireline Competition Bureau</w:t>
      </w:r>
      <w:r>
        <w:rPr>
          <w:spacing w:val="-2"/>
        </w:rPr>
        <w:t>:</w:t>
      </w:r>
    </w:p>
    <w:p w:rsidR="000F7B63" w:rsidP="000F7B63" w14:paraId="1EE44FE1" w14:textId="77777777">
      <w:pPr>
        <w:rPr>
          <w:spacing w:val="-2"/>
        </w:rPr>
      </w:pPr>
    </w:p>
    <w:p w:rsidR="000F7B63" w:rsidRPr="005B5210" w:rsidP="00FB2763" w14:paraId="222EF5B6" w14:textId="70ED904D">
      <w:pPr>
        <w:pStyle w:val="ParaNum"/>
        <w:widowControl/>
        <w:tabs>
          <w:tab w:val="clear" w:pos="1080"/>
          <w:tab w:val="num" w:pos="1440"/>
        </w:tabs>
      </w:pPr>
      <w:r w:rsidRPr="004D309C">
        <w:t>In this Order, the Wireline Competition Bureau</w:t>
      </w:r>
      <w:r>
        <w:t xml:space="preserve"> (Bureau)</w:t>
      </w:r>
      <w:r w:rsidRPr="004D309C">
        <w:t xml:space="preserve"> </w:t>
      </w:r>
      <w:r w:rsidR="00E834BB">
        <w:t xml:space="preserve">grants </w:t>
      </w:r>
      <w:r w:rsidR="0080599D">
        <w:t>Wisper ISP, LLC (Wisper)</w:t>
      </w:r>
      <w:r>
        <w:t xml:space="preserve"> a limited waiver of the Commission’s Rural Digital Opportunity Fund (RDOF) service milestone and non-compliance rules.</w:t>
      </w:r>
      <w:r>
        <w:rPr>
          <w:rStyle w:val="FootnoteReference"/>
        </w:rPr>
        <w:footnoteReference w:id="3"/>
      </w:r>
      <w:r>
        <w:t xml:space="preserve">  </w:t>
      </w:r>
      <w:r w:rsidR="00734610">
        <w:t xml:space="preserve">If Wisper timely repays the RDOF support it has received </w:t>
      </w:r>
      <w:r w:rsidR="009D36FE">
        <w:t xml:space="preserve">for </w:t>
      </w:r>
      <w:r w:rsidR="00262775">
        <w:t xml:space="preserve">all the eligible census blocks within the census block groups (CBGs) </w:t>
      </w:r>
      <w:r w:rsidR="008E3B53">
        <w:t xml:space="preserve">covered by its </w:t>
      </w:r>
      <w:r w:rsidR="00262775">
        <w:t>authorized Arkansas winning bids</w:t>
      </w:r>
      <w:r w:rsidR="008645A1">
        <w:t>, w</w:t>
      </w:r>
      <w:r>
        <w:t xml:space="preserve">e will relieve </w:t>
      </w:r>
      <w:r w:rsidR="0054201D">
        <w:t xml:space="preserve">Wisper </w:t>
      </w:r>
      <w:r>
        <w:t xml:space="preserve">of RDOF obligations to serve </w:t>
      </w:r>
      <w:r w:rsidR="008E3B53">
        <w:t xml:space="preserve">these </w:t>
      </w:r>
      <w:r w:rsidR="003A2761">
        <w:t>CBGs</w:t>
      </w:r>
      <w:r w:rsidR="0054201D">
        <w:t>.</w:t>
      </w:r>
      <w:r>
        <w:rPr>
          <w:bCs/>
          <w:szCs w:val="22"/>
        </w:rPr>
        <w:t xml:space="preserve">  This </w:t>
      </w:r>
      <w:r w:rsidRPr="00FB2763">
        <w:t>relief</w:t>
      </w:r>
      <w:r>
        <w:rPr>
          <w:bCs/>
          <w:szCs w:val="22"/>
        </w:rPr>
        <w:t xml:space="preserve"> will </w:t>
      </w:r>
      <w:r w:rsidR="00887546">
        <w:rPr>
          <w:bCs/>
          <w:szCs w:val="22"/>
        </w:rPr>
        <w:t xml:space="preserve">maximize high-cost Universal </w:t>
      </w:r>
      <w:r w:rsidR="00EE12BF">
        <w:rPr>
          <w:bCs/>
          <w:szCs w:val="22"/>
        </w:rPr>
        <w:t xml:space="preserve">Service </w:t>
      </w:r>
      <w:r w:rsidR="00887546">
        <w:rPr>
          <w:bCs/>
          <w:szCs w:val="22"/>
        </w:rPr>
        <w:t xml:space="preserve">Fund Support </w:t>
      </w:r>
      <w:r w:rsidR="005C176E">
        <w:rPr>
          <w:bCs/>
          <w:szCs w:val="22"/>
        </w:rPr>
        <w:t>while also ensuring that no consumers are stranded</w:t>
      </w:r>
      <w:r w:rsidR="00B12312">
        <w:rPr>
          <w:bCs/>
          <w:szCs w:val="22"/>
        </w:rPr>
        <w:t xml:space="preserve"> without service</w:t>
      </w:r>
      <w:r w:rsidR="005C176E">
        <w:rPr>
          <w:bCs/>
          <w:szCs w:val="22"/>
        </w:rPr>
        <w:t xml:space="preserve"> </w:t>
      </w:r>
      <w:r w:rsidR="005046BD">
        <w:rPr>
          <w:bCs/>
          <w:szCs w:val="22"/>
        </w:rPr>
        <w:t>because</w:t>
      </w:r>
      <w:r w:rsidR="005C176E">
        <w:rPr>
          <w:bCs/>
          <w:szCs w:val="22"/>
        </w:rPr>
        <w:t xml:space="preserve"> </w:t>
      </w:r>
      <w:r w:rsidR="005046BD">
        <w:rPr>
          <w:bCs/>
          <w:szCs w:val="22"/>
        </w:rPr>
        <w:t xml:space="preserve">every location in the </w:t>
      </w:r>
      <w:r w:rsidR="009A6DA5">
        <w:rPr>
          <w:bCs/>
          <w:szCs w:val="22"/>
        </w:rPr>
        <w:t xml:space="preserve">authorized census blocks in these CBGs </w:t>
      </w:r>
      <w:r w:rsidR="007B5375">
        <w:rPr>
          <w:bCs/>
          <w:szCs w:val="22"/>
        </w:rPr>
        <w:t>is</w:t>
      </w:r>
      <w:r w:rsidR="00F75E64">
        <w:rPr>
          <w:bCs/>
          <w:szCs w:val="22"/>
        </w:rPr>
        <w:t xml:space="preserve"> able to access broadband offered by</w:t>
      </w:r>
      <w:r w:rsidR="005C176E">
        <w:rPr>
          <w:bCs/>
          <w:szCs w:val="22"/>
        </w:rPr>
        <w:t xml:space="preserve"> another </w:t>
      </w:r>
      <w:r w:rsidR="00A23384">
        <w:rPr>
          <w:bCs/>
          <w:szCs w:val="22"/>
        </w:rPr>
        <w:t xml:space="preserve">service </w:t>
      </w:r>
      <w:r w:rsidR="005C176E">
        <w:rPr>
          <w:bCs/>
          <w:szCs w:val="22"/>
        </w:rPr>
        <w:t xml:space="preserve">provider at speeds that </w:t>
      </w:r>
      <w:r w:rsidR="00AF651E">
        <w:rPr>
          <w:bCs/>
          <w:szCs w:val="22"/>
        </w:rPr>
        <w:t xml:space="preserve">meet or </w:t>
      </w:r>
      <w:r w:rsidR="005C176E">
        <w:rPr>
          <w:bCs/>
          <w:szCs w:val="22"/>
        </w:rPr>
        <w:t xml:space="preserve">exceed RDOF speeds. </w:t>
      </w:r>
      <w:r>
        <w:rPr>
          <w:bCs/>
          <w:szCs w:val="22"/>
        </w:rPr>
        <w:t xml:space="preserve"> </w:t>
      </w:r>
    </w:p>
    <w:p w:rsidR="000F7B63" w:rsidP="000F7B63" w14:paraId="7E950C0C" w14:textId="77777777">
      <w:pPr>
        <w:pStyle w:val="Heading1"/>
      </w:pPr>
      <w:r>
        <w:t>background</w:t>
      </w:r>
    </w:p>
    <w:p w:rsidR="000F7B63" w:rsidP="00FB2763" w14:paraId="36FC2CC2" w14:textId="4350C126">
      <w:pPr>
        <w:pStyle w:val="ParaNum"/>
        <w:widowControl/>
        <w:tabs>
          <w:tab w:val="clear" w:pos="1080"/>
          <w:tab w:val="num" w:pos="1440"/>
        </w:tabs>
      </w:pPr>
      <w:r>
        <w:t>RDOF support recipients must offer voice and broadband service meeting the relevant performance requirements to all of the locations in their service areas subject to very limited exceptions.</w:t>
      </w:r>
      <w:r>
        <w:rPr>
          <w:rStyle w:val="FootnoteReference"/>
        </w:rPr>
        <w:footnoteReference w:id="4"/>
      </w:r>
      <w:r>
        <w:t xml:space="preserve">  Relevant here, an RDOF recipient authorized in 2022 must offer the required services to 40% of the required number of locations by December 31, 2025, and an additional 20% of the required number of locations each year until the RDOF recipient serve</w:t>
      </w:r>
      <w:r w:rsidR="00B532E2">
        <w:t>s</w:t>
      </w:r>
      <w:r>
        <w:t xml:space="preserve"> 100% of the estimated location total by December 31, 2028.</w:t>
      </w:r>
      <w:r>
        <w:rPr>
          <w:rStyle w:val="FootnoteReference"/>
        </w:rPr>
        <w:footnoteReference w:id="5"/>
      </w:r>
      <w:r>
        <w:t xml:space="preserve">  The initial required location totals are based on Connect America Cost Model (CAM) estimates.</w:t>
      </w:r>
      <w:r>
        <w:rPr>
          <w:rStyle w:val="FootnoteReference"/>
        </w:rPr>
        <w:footnoteReference w:id="6"/>
      </w:r>
      <w:r>
        <w:t xml:space="preserve">  The Commission directed the Bureau to use an updated data source to determine the actual number of locations on the ground and publish revised location counts prior to the sixth year service milestone.</w:t>
      </w:r>
      <w:r>
        <w:rPr>
          <w:rStyle w:val="FootnoteReference"/>
        </w:rPr>
        <w:footnoteReference w:id="7"/>
      </w:r>
      <w:r>
        <w:t xml:space="preserve">  If </w:t>
      </w:r>
      <w:r>
        <w:t>more locations than the original estimated total are identified during the support term, RDOF support recipients will have two more years to serve the additional locations subject to limited exceptions.</w:t>
      </w:r>
      <w:r>
        <w:rPr>
          <w:rStyle w:val="FootnoteReference"/>
        </w:rPr>
        <w:footnoteReference w:id="8"/>
      </w:r>
      <w:r>
        <w:t xml:space="preserve">  The Commission imposes non-compliance measures if the requirements are not met, which includes reporting, support withholding, and support recovery that scales with the extent of non-compliance.</w:t>
      </w:r>
      <w:r>
        <w:rPr>
          <w:rStyle w:val="FootnoteReference"/>
        </w:rPr>
        <w:footnoteReference w:id="9"/>
      </w:r>
    </w:p>
    <w:p w:rsidR="000F7B63" w:rsidP="00FB2763" w14:paraId="034DE6D2" w14:textId="1388CDCE">
      <w:pPr>
        <w:pStyle w:val="ParaNum"/>
        <w:widowControl/>
        <w:tabs>
          <w:tab w:val="clear" w:pos="1080"/>
          <w:tab w:val="num" w:pos="1440"/>
        </w:tabs>
      </w:pPr>
      <w:r>
        <w:t xml:space="preserve">On December 7, 2020, </w:t>
      </w:r>
      <w:r w:rsidR="00696352">
        <w:t>the Wisper-CABO 904 Consorti</w:t>
      </w:r>
      <w:r w:rsidR="00461B09">
        <w:t>um</w:t>
      </w:r>
      <w:r>
        <w:t xml:space="preserve"> was announced as an RDOF winning bidder and assigned its winning bids in </w:t>
      </w:r>
      <w:r w:rsidR="00461B09">
        <w:t xml:space="preserve">Arkansas </w:t>
      </w:r>
      <w:r>
        <w:t xml:space="preserve">to </w:t>
      </w:r>
      <w:r w:rsidR="00461B09">
        <w:t>consortium member Wisper</w:t>
      </w:r>
      <w:r>
        <w:t>.</w:t>
      </w:r>
      <w:r>
        <w:rPr>
          <w:rStyle w:val="FootnoteReference"/>
        </w:rPr>
        <w:footnoteReference w:id="10"/>
      </w:r>
      <w:r>
        <w:t xml:space="preserve">  </w:t>
      </w:r>
      <w:r w:rsidR="00461B09">
        <w:t xml:space="preserve">Wisper </w:t>
      </w:r>
      <w:r>
        <w:t xml:space="preserve">was authorized in </w:t>
      </w:r>
      <w:r w:rsidR="003338B9">
        <w:t xml:space="preserve">June </w:t>
      </w:r>
      <w:r>
        <w:t xml:space="preserve">2022 to receive </w:t>
      </w:r>
      <w:r w:rsidRPr="00726EFE">
        <w:t>$</w:t>
      </w:r>
      <w:r w:rsidR="003338B9">
        <w:t>68,032.50</w:t>
      </w:r>
      <w:r>
        <w:t xml:space="preserve"> in RDOF support over 10 years to offer voice and broadband service at a minimum of </w:t>
      </w:r>
      <w:r w:rsidR="003338B9">
        <w:t>100/20 Mbps</w:t>
      </w:r>
      <w:r>
        <w:t xml:space="preserve"> speeds to </w:t>
      </w:r>
      <w:r w:rsidR="00D20162">
        <w:t>564 model-estimated</w:t>
      </w:r>
      <w:r>
        <w:t xml:space="preserve"> locations in </w:t>
      </w:r>
      <w:r w:rsidR="00D20162">
        <w:t>Arkansas</w:t>
      </w:r>
      <w:r>
        <w:t>.</w:t>
      </w:r>
      <w:r>
        <w:rPr>
          <w:rStyle w:val="FootnoteReference"/>
        </w:rPr>
        <w:footnoteReference w:id="11"/>
      </w:r>
      <w:r>
        <w:t xml:space="preserve">  </w:t>
      </w:r>
    </w:p>
    <w:p w:rsidR="00F149BD" w:rsidP="00FB2763" w14:paraId="4D34F83B" w14:textId="4F6618D3">
      <w:pPr>
        <w:pStyle w:val="ParaNum"/>
        <w:widowControl/>
        <w:tabs>
          <w:tab w:val="clear" w:pos="1080"/>
          <w:tab w:val="num" w:pos="1440"/>
        </w:tabs>
      </w:pPr>
      <w:r w:rsidRPr="00601388">
        <w:rPr>
          <w:i/>
          <w:iCs/>
        </w:rPr>
        <w:t>Wisper Petition for Waiver.</w:t>
      </w:r>
      <w:r>
        <w:t xml:space="preserve">  On </w:t>
      </w:r>
      <w:r w:rsidR="00B151FD">
        <w:t>March 25, 2026</w:t>
      </w:r>
      <w:r>
        <w:t>, Wisper submitted a pet</w:t>
      </w:r>
      <w:r w:rsidR="00D41DE2">
        <w:t>iti</w:t>
      </w:r>
      <w:r>
        <w:t xml:space="preserve">on </w:t>
      </w:r>
      <w:r w:rsidR="00466E23">
        <w:t xml:space="preserve">for waiver </w:t>
      </w:r>
      <w:r>
        <w:t>seeking to be relieved of its</w:t>
      </w:r>
      <w:r w:rsidR="00D41DE2">
        <w:t xml:space="preserve"> </w:t>
      </w:r>
      <w:r w:rsidR="00466E23">
        <w:t xml:space="preserve">RDOF </w:t>
      </w:r>
      <w:r w:rsidR="00D41DE2">
        <w:t xml:space="preserve">obligation </w:t>
      </w:r>
      <w:r w:rsidR="00601388">
        <w:t xml:space="preserve">to offer voice and broadband services </w:t>
      </w:r>
      <w:r w:rsidR="00B151FD">
        <w:t>in all</w:t>
      </w:r>
      <w:r w:rsidR="008237C8">
        <w:t xml:space="preserve"> of the eligible census blocks within the</w:t>
      </w:r>
      <w:r w:rsidR="00B151FD">
        <w:t xml:space="preserve"> </w:t>
      </w:r>
      <w:r w:rsidR="008237C8">
        <w:t>CBGs</w:t>
      </w:r>
      <w:r w:rsidR="00B151FD">
        <w:t xml:space="preserve"> </w:t>
      </w:r>
      <w:r w:rsidR="00641480">
        <w:t>covered by its Arkansas authorized winning bids</w:t>
      </w:r>
      <w:r w:rsidR="00601388">
        <w:t>.</w:t>
      </w:r>
      <w:r>
        <w:rPr>
          <w:rStyle w:val="FootnoteReference"/>
        </w:rPr>
        <w:footnoteReference w:id="12"/>
      </w:r>
      <w:r w:rsidR="00601388">
        <w:t xml:space="preserve">  Wisper </w:t>
      </w:r>
      <w:r w:rsidR="00C22FA1">
        <w:t>references the Commission’s National Broadband Map data to demonstrate that all but two locations</w:t>
      </w:r>
      <w:r w:rsidR="000C6859">
        <w:t xml:space="preserve"> in Wisper’s Arkansas RDOF service area</w:t>
      </w:r>
      <w:r w:rsidR="00C22FA1">
        <w:t xml:space="preserve"> are depicted as </w:t>
      </w:r>
      <w:r w:rsidR="00F42A0B">
        <w:t>served with broadband at speeds of at least 100/20 Mbps</w:t>
      </w:r>
      <w:r w:rsidR="00E030A1">
        <w:t>,</w:t>
      </w:r>
      <w:r w:rsidR="000E1D9E">
        <w:t xml:space="preserve"> </w:t>
      </w:r>
      <w:r w:rsidR="00E030A1">
        <w:t xml:space="preserve">and submits a letter from a service provider that </w:t>
      </w:r>
      <w:r w:rsidR="00226DB0">
        <w:t xml:space="preserve">serves nearby locations and </w:t>
      </w:r>
      <w:r w:rsidR="00E030A1">
        <w:t xml:space="preserve">claims </w:t>
      </w:r>
      <w:r w:rsidR="00FE485E">
        <w:t>it</w:t>
      </w:r>
      <w:r w:rsidR="001F1AFE">
        <w:t xml:space="preserve"> can offer broadband at speeds of 300/300 Mbps to the remaining two locations</w:t>
      </w:r>
      <w:r w:rsidR="00226DB0">
        <w:t xml:space="preserve"> using its fiber network</w:t>
      </w:r>
      <w:r w:rsidR="001F1AFE">
        <w:t>.</w:t>
      </w:r>
      <w:r>
        <w:rPr>
          <w:rStyle w:val="FootnoteReference"/>
        </w:rPr>
        <w:footnoteReference w:id="13"/>
      </w:r>
      <w:r w:rsidR="001F1AFE">
        <w:t xml:space="preserve">  </w:t>
      </w:r>
      <w:r w:rsidR="00DA0FB2">
        <w:t xml:space="preserve">Moreover, Wisper </w:t>
      </w:r>
      <w:r w:rsidR="005B5231">
        <w:t>includes a</w:t>
      </w:r>
      <w:r w:rsidR="00DA0FB2">
        <w:t xml:space="preserve"> letter from the Arkansas State Broadband Office</w:t>
      </w:r>
      <w:r w:rsidR="001D2D64">
        <w:t xml:space="preserve"> (ARConnect)</w:t>
      </w:r>
      <w:r w:rsidR="00DA0FB2">
        <w:t xml:space="preserve"> </w:t>
      </w:r>
      <w:r w:rsidR="001C6CD9">
        <w:t xml:space="preserve">acknowledging and </w:t>
      </w:r>
      <w:r w:rsidR="001716BC">
        <w:t>stating that it</w:t>
      </w:r>
      <w:r w:rsidR="00C96ABA">
        <w:t xml:space="preserve"> </w:t>
      </w:r>
      <w:r w:rsidR="00F3426D">
        <w:t>“</w:t>
      </w:r>
      <w:r w:rsidR="00C96ABA">
        <w:t>does not</w:t>
      </w:r>
      <w:r w:rsidR="00F3426D">
        <w:t xml:space="preserve"> intend to</w:t>
      </w:r>
      <w:r w:rsidR="00C96ABA">
        <w:t xml:space="preserve"> formally challenge</w:t>
      </w:r>
      <w:r w:rsidR="00F3426D">
        <w:t>”</w:t>
      </w:r>
      <w:r w:rsidR="00C96ABA">
        <w:t xml:space="preserve"> Wisper’s </w:t>
      </w:r>
      <w:r>
        <w:t>request for relief.</w:t>
      </w:r>
      <w:r>
        <w:rPr>
          <w:rStyle w:val="FootnoteReference"/>
        </w:rPr>
        <w:footnoteReference w:id="14"/>
      </w:r>
      <w:r>
        <w:t xml:space="preserve">  </w:t>
      </w:r>
    </w:p>
    <w:p w:rsidR="000F7B63" w:rsidP="00C336D1" w14:paraId="3E727BA9" w14:textId="74E2FD16">
      <w:pPr>
        <w:pStyle w:val="ParaNum"/>
        <w:widowControl/>
        <w:tabs>
          <w:tab w:val="clear" w:pos="1080"/>
          <w:tab w:val="num" w:pos="1440"/>
        </w:tabs>
      </w:pPr>
      <w:r>
        <w:t xml:space="preserve">Wisper claims that </w:t>
      </w:r>
      <w:r w:rsidR="00BE1657">
        <w:t>there is good cause to grant its requested relief “because unique and changed circumstances render strict application of the Commission’s buildout requirements inconsistent with the underlying purposes of the RDOF program.”</w:t>
      </w:r>
      <w:r>
        <w:rPr>
          <w:rStyle w:val="FootnoteReference"/>
        </w:rPr>
        <w:footnoteReference w:id="15"/>
      </w:r>
      <w:r w:rsidR="00BE1657">
        <w:t xml:space="preserve">  </w:t>
      </w:r>
      <w:r w:rsidR="00550D75">
        <w:t xml:space="preserve">Wisper </w:t>
      </w:r>
      <w:r w:rsidR="00D26912">
        <w:t>explains</w:t>
      </w:r>
      <w:r w:rsidR="00550D75">
        <w:t xml:space="preserve"> that the “deployment by other broadband providers of service to every location” in Wisper’s Arkansas service area </w:t>
      </w:r>
      <w:r w:rsidR="002B2B49">
        <w:t>“eliminat[es] the need for RDOF support.”</w:t>
      </w:r>
      <w:r>
        <w:rPr>
          <w:rStyle w:val="FootnoteReference"/>
        </w:rPr>
        <w:footnoteReference w:id="16"/>
      </w:r>
      <w:r w:rsidR="002B2B49">
        <w:t xml:space="preserve">  </w:t>
      </w:r>
      <w:r w:rsidR="008B7596">
        <w:t xml:space="preserve">Wisper </w:t>
      </w:r>
      <w:r w:rsidR="00D26912">
        <w:t xml:space="preserve">also </w:t>
      </w:r>
      <w:r w:rsidR="008B7596">
        <w:t>clarifies tha</w:t>
      </w:r>
      <w:r w:rsidR="009E2272">
        <w:t>t “</w:t>
      </w:r>
      <w:r w:rsidR="00173D53">
        <w:t>[</w:t>
      </w:r>
      <w:r w:rsidR="009E2272">
        <w:t>b</w:t>
      </w:r>
      <w:r w:rsidR="00173D53">
        <w:t>]</w:t>
      </w:r>
      <w:r w:rsidR="009E2272">
        <w:t>ut for the presence of broadband at 100/20 Mbps or better, Wisper would have continued with its deployment</w:t>
      </w:r>
      <w:r w:rsidR="009A50D6">
        <w:t>” and that its request “constitutes a good-faith effort to honor the Commission’s program goals and to ensure that federal support is not used where it is unnecessary.”</w:t>
      </w:r>
      <w:r>
        <w:rPr>
          <w:rStyle w:val="FootnoteReference"/>
        </w:rPr>
        <w:footnoteReference w:id="17"/>
      </w:r>
      <w:r w:rsidR="009A50D6">
        <w:t xml:space="preserve">  </w:t>
      </w:r>
      <w:r w:rsidR="00CE56DE">
        <w:t>If the Bureau were to grant Wisper’s requested relief, Wisper explains that it would return all RDOF support it has received within six months</w:t>
      </w:r>
      <w:r w:rsidR="00236CC0">
        <w:t xml:space="preserve"> and “forego any remaining support it would have received.”</w:t>
      </w:r>
      <w:r>
        <w:rPr>
          <w:rStyle w:val="FootnoteReference"/>
        </w:rPr>
        <w:footnoteReference w:id="18"/>
      </w:r>
      <w:r w:rsidR="00236CC0">
        <w:t xml:space="preserve"> </w:t>
      </w:r>
      <w:r w:rsidR="00265D05">
        <w:t xml:space="preserve"> </w:t>
      </w:r>
      <w:r w:rsidR="003E2FD6">
        <w:t>Wisper also seeks to cl</w:t>
      </w:r>
      <w:r w:rsidR="002F6A9F">
        <w:t>ose out its letter of credit once the relevant support has been repaid.</w:t>
      </w:r>
      <w:r>
        <w:rPr>
          <w:rStyle w:val="FootnoteReference"/>
        </w:rPr>
        <w:footnoteReference w:id="19"/>
      </w:r>
      <w:r w:rsidR="002F6A9F">
        <w:t xml:space="preserve"> </w:t>
      </w:r>
      <w:r w:rsidR="00FE178C">
        <w:t xml:space="preserve"> </w:t>
      </w:r>
    </w:p>
    <w:p w:rsidR="000F7B63" w:rsidP="000F7B63" w14:paraId="48FEE021" w14:textId="77777777">
      <w:pPr>
        <w:pStyle w:val="Heading1"/>
      </w:pPr>
      <w:r>
        <w:t>Discussion</w:t>
      </w:r>
    </w:p>
    <w:p w:rsidR="000F7B63" w:rsidP="00FB2763" w14:paraId="74E934BE" w14:textId="77777777">
      <w:pPr>
        <w:pStyle w:val="ParaNum"/>
        <w:widowControl/>
        <w:tabs>
          <w:tab w:val="clear" w:pos="1080"/>
          <w:tab w:val="num" w:pos="1440"/>
        </w:tabs>
      </w:pPr>
      <w:r>
        <w:t>Generally, the Commission’s rules may be waived for good cause shown.</w:t>
      </w:r>
      <w:r>
        <w:rPr>
          <w:rStyle w:val="FootnoteReference"/>
        </w:rPr>
        <w:footnoteReference w:id="20"/>
      </w:r>
      <w:r>
        <w:t xml:space="preserve">  </w:t>
      </w:r>
      <w:r w:rsidRPr="00BB3C3D">
        <w:t>W</w:t>
      </w:r>
      <w:r w:rsidRPr="0785B558">
        <w:t>aiver</w:t>
      </w:r>
      <w:r w:rsidRPr="00BB3C3D">
        <w:t xml:space="preserve"> of the Commission’s rules is appropriate only if both: (1) special circumstances warrant a deviation from the general rule, and (2) such deviation will serve the public interest.</w:t>
      </w:r>
      <w:r>
        <w:rPr>
          <w:rStyle w:val="FootnoteReference"/>
          <w:spacing w:val="-2"/>
        </w:rPr>
        <w:footnoteReference w:id="21"/>
      </w:r>
      <w:r w:rsidRPr="00F6751B">
        <w:t xml:space="preserve">  </w:t>
      </w:r>
    </w:p>
    <w:p w:rsidR="000F7B63" w:rsidP="00FB2763" w14:paraId="3199464D" w14:textId="7AA4582F">
      <w:pPr>
        <w:pStyle w:val="ParaNum"/>
        <w:widowControl/>
        <w:tabs>
          <w:tab w:val="clear" w:pos="1080"/>
          <w:tab w:val="num" w:pos="1440"/>
        </w:tabs>
      </w:pPr>
      <w:r>
        <w:t xml:space="preserve">We find good cause to provide a limited waiver of sections 54.320(d)(1), 54.802(c), 54.804(c)(4)(i), and 54.806(c)(1) of the Commission’s rules to the extent described herein, </w:t>
      </w:r>
      <w:r w:rsidR="00E41610">
        <w:t>to relieve Wisper of its RDOF obligations in Arkansas</w:t>
      </w:r>
      <w:r w:rsidR="00D019AF">
        <w:t xml:space="preserve"> if it timely </w:t>
      </w:r>
      <w:r w:rsidR="002518F6">
        <w:t>repays all of the support it has received for its authorized Arkansas RDOF winning bids</w:t>
      </w:r>
      <w:r>
        <w:t>.</w:t>
      </w:r>
      <w:r>
        <w:rPr>
          <w:rStyle w:val="FootnoteReference"/>
        </w:rPr>
        <w:footnoteReference w:id="22"/>
      </w:r>
      <w:r>
        <w:t xml:space="preserve">  </w:t>
      </w:r>
      <w:r w:rsidR="008F0D2F">
        <w:t>If Wisper meets the terms of</w:t>
      </w:r>
      <w:r w:rsidR="00DC4176">
        <w:t xml:space="preserve"> this</w:t>
      </w:r>
      <w:r w:rsidR="008F0D2F">
        <w:t xml:space="preserve"> limited waiver, we </w:t>
      </w:r>
      <w:r w:rsidR="00AF7246">
        <w:t>will not impose the additional support recovery required by section 54.806(c) of the Commission’s rules</w:t>
      </w:r>
      <w:r>
        <w:t>.</w:t>
      </w:r>
      <w:r>
        <w:rPr>
          <w:rStyle w:val="FootnoteReference"/>
        </w:rPr>
        <w:footnoteReference w:id="23"/>
      </w:r>
      <w:r>
        <w:t xml:space="preserve">   </w:t>
      </w:r>
    </w:p>
    <w:p w:rsidR="000F7B63" w:rsidP="00FB2763" w14:paraId="602AB364" w14:textId="1F58404F">
      <w:pPr>
        <w:pStyle w:val="ParaNum"/>
        <w:widowControl/>
        <w:tabs>
          <w:tab w:val="clear" w:pos="1080"/>
          <w:tab w:val="num" w:pos="1440"/>
        </w:tabs>
      </w:pPr>
      <w:r>
        <w:t>While the Commission’s rules require that a</w:t>
      </w:r>
      <w:r w:rsidR="00DE74BE">
        <w:t>n</w:t>
      </w:r>
      <w:r>
        <w:t xml:space="preserve"> RDOF recipient serve 100% of the locations covered by its authorized winning bids subject to only limited exceptions,</w:t>
      </w:r>
      <w:r>
        <w:rPr>
          <w:rStyle w:val="FootnoteReference"/>
        </w:rPr>
        <w:footnoteReference w:id="24"/>
      </w:r>
      <w:r>
        <w:t xml:space="preserve"> we find special circumstances justify deviating from this requirement</w:t>
      </w:r>
      <w:r w:rsidR="00DD3A88">
        <w:t xml:space="preserve"> in this instance</w:t>
      </w:r>
      <w:r>
        <w:t xml:space="preserve">.  </w:t>
      </w:r>
      <w:r w:rsidR="001E7D3B">
        <w:t xml:space="preserve">Wisper is required to deploy broadband at speeds </w:t>
      </w:r>
      <w:r w:rsidR="00F05341">
        <w:t xml:space="preserve">of at </w:t>
      </w:r>
      <w:r w:rsidR="001E7D3B">
        <w:t>least 100/20 Mbps to every location in its RDOF service area</w:t>
      </w:r>
      <w:r w:rsidR="00172F6F">
        <w:t>.</w:t>
      </w:r>
      <w:r>
        <w:rPr>
          <w:rStyle w:val="FootnoteReference"/>
        </w:rPr>
        <w:footnoteReference w:id="25"/>
      </w:r>
      <w:r w:rsidR="00172F6F">
        <w:t xml:space="preserve">  However, </w:t>
      </w:r>
      <w:r w:rsidR="00E001AC">
        <w:t xml:space="preserve">based on data submitted by service providers through the Broadband Data Collection and </w:t>
      </w:r>
      <w:r w:rsidR="00DD5436">
        <w:t xml:space="preserve">displayed on the National Broadband Map, </w:t>
      </w:r>
      <w:r w:rsidR="001E7D3B">
        <w:t>e</w:t>
      </w:r>
      <w:r w:rsidR="00AC47E9">
        <w:t>very location</w:t>
      </w:r>
      <w:r w:rsidR="00A61F64">
        <w:t xml:space="preserve"> except for two BSLs</w:t>
      </w:r>
      <w:r w:rsidR="00AC47E9">
        <w:t xml:space="preserve"> in Wisper’s Arkansas service area is </w:t>
      </w:r>
      <w:r w:rsidR="001E7D3B">
        <w:t xml:space="preserve">already </w:t>
      </w:r>
      <w:r w:rsidR="0023218D">
        <w:t>reported as served by</w:t>
      </w:r>
      <w:r w:rsidR="00AC47E9">
        <w:t xml:space="preserve"> another provider offering broadband at speeds that </w:t>
      </w:r>
      <w:r w:rsidR="00E42D3E">
        <w:t xml:space="preserve">meet or exceed the </w:t>
      </w:r>
      <w:r w:rsidR="0023218D">
        <w:t xml:space="preserve">RDOF </w:t>
      </w:r>
      <w:r w:rsidR="0068539B">
        <w:t xml:space="preserve">download and upload </w:t>
      </w:r>
      <w:r w:rsidR="0023218D">
        <w:t>speeds</w:t>
      </w:r>
      <w:r w:rsidR="001110B2">
        <w:t xml:space="preserve"> using fiber or cable technologies</w:t>
      </w:r>
      <w:r w:rsidR="008C616E">
        <w:t>.</w:t>
      </w:r>
      <w:r>
        <w:rPr>
          <w:rStyle w:val="FootnoteReference"/>
        </w:rPr>
        <w:footnoteReference w:id="26"/>
      </w:r>
      <w:r w:rsidR="00F11AFB">
        <w:t xml:space="preserve">  </w:t>
      </w:r>
      <w:r w:rsidR="00A61F64">
        <w:t xml:space="preserve">For the remaining two </w:t>
      </w:r>
      <w:r w:rsidR="005B1AC2">
        <w:t>BSLs</w:t>
      </w:r>
      <w:r w:rsidR="00A61F64">
        <w:t xml:space="preserve">, a provider that reports serving nearby </w:t>
      </w:r>
      <w:r w:rsidR="005B1AC2">
        <w:t>BSLs</w:t>
      </w:r>
      <w:r w:rsidR="00A61F64">
        <w:t xml:space="preserve"> has also indicated that it </w:t>
      </w:r>
      <w:r w:rsidR="005B1AC2">
        <w:t>is able to offer broadband at speeds of 300/300 Mbps to the two locations</w:t>
      </w:r>
      <w:r w:rsidR="00B77BA0">
        <w:t xml:space="preserve"> using its fiber network</w:t>
      </w:r>
      <w:r w:rsidR="005B1AC2">
        <w:t>.</w:t>
      </w:r>
      <w:r>
        <w:rPr>
          <w:rStyle w:val="FootnoteReference"/>
        </w:rPr>
        <w:footnoteReference w:id="27"/>
      </w:r>
      <w:r w:rsidR="005B1AC2">
        <w:t xml:space="preserve">    </w:t>
      </w:r>
    </w:p>
    <w:p w:rsidR="00DC7DE2" w:rsidP="00FB2763" w14:paraId="4ACA23EB" w14:textId="062AC06C">
      <w:pPr>
        <w:pStyle w:val="ParaNum"/>
        <w:widowControl/>
        <w:tabs>
          <w:tab w:val="clear" w:pos="1080"/>
          <w:tab w:val="num" w:pos="1440"/>
        </w:tabs>
      </w:pPr>
      <w:r>
        <w:t>We also conclude it serves the public interest to provide a limited waiver of the relevant rules</w:t>
      </w:r>
      <w:r w:rsidR="00CD2F24">
        <w:t xml:space="preserve"> and relieve Wisper of its RDOF obligations in Arkansas if it timely repays the support it has already received for the state</w:t>
      </w:r>
      <w:r>
        <w:t xml:space="preserve">.  </w:t>
      </w:r>
      <w:r w:rsidR="00752F1D">
        <w:t>First, b</w:t>
      </w:r>
      <w:r w:rsidR="003B5949">
        <w:t xml:space="preserve">y </w:t>
      </w:r>
      <w:r w:rsidR="00E37AD0">
        <w:t xml:space="preserve">stopping Wisper’s </w:t>
      </w:r>
      <w:r w:rsidR="007F512A">
        <w:t>future RDOF support and recovering the support that Wisper already received</w:t>
      </w:r>
      <w:r w:rsidR="00C026F2">
        <w:t xml:space="preserve">, </w:t>
      </w:r>
      <w:r w:rsidR="007F512A">
        <w:t>we are</w:t>
      </w:r>
      <w:r w:rsidR="006A0F7F">
        <w:t xml:space="preserve"> able to</w:t>
      </w:r>
      <w:r w:rsidR="007F512A">
        <w:t xml:space="preserve"> maximiz</w:t>
      </w:r>
      <w:r w:rsidR="006A0F7F">
        <w:t>e</w:t>
      </w:r>
      <w:r w:rsidR="005152FA">
        <w:t xml:space="preserve"> the public’s funds</w:t>
      </w:r>
      <w:r w:rsidR="006D2746">
        <w:t xml:space="preserve"> </w:t>
      </w:r>
      <w:r w:rsidR="008E62EE">
        <w:t xml:space="preserve">by not spending the limited funds to </w:t>
      </w:r>
      <w:r w:rsidR="009B5C2B">
        <w:t xml:space="preserve">support the </w:t>
      </w:r>
      <w:r w:rsidR="008E62EE">
        <w:t>deploy</w:t>
      </w:r>
      <w:r w:rsidR="009B5C2B">
        <w:t>ment of</w:t>
      </w:r>
      <w:r w:rsidR="008E62EE">
        <w:t xml:space="preserve"> broadband to consumers that </w:t>
      </w:r>
      <w:r w:rsidR="009B5C2B">
        <w:t>are already capable of receiving service that exceeds the 100/20 Mbps Wisper is required to offer</w:t>
      </w:r>
      <w:r w:rsidR="009E6DA3">
        <w:t xml:space="preserve"> from another service provider</w:t>
      </w:r>
      <w:r w:rsidR="005152FA">
        <w:t>.</w:t>
      </w:r>
      <w:r>
        <w:rPr>
          <w:rStyle w:val="FootnoteReference"/>
        </w:rPr>
        <w:footnoteReference w:id="28"/>
      </w:r>
      <w:r w:rsidR="005152FA">
        <w:t xml:space="preserve">  </w:t>
      </w:r>
      <w:r w:rsidR="00540E8D">
        <w:t>This action is consistent with</w:t>
      </w:r>
      <w:r w:rsidR="004D7281">
        <w:t xml:space="preserve"> the Commission’s “overarching goal of ensuring that finite universal service support is awarded in an efficient and cost-effective manner and does not go toward overbuilding areas that already </w:t>
      </w:r>
      <w:r w:rsidR="004D7281">
        <w:t>have service</w:t>
      </w:r>
      <w:r w:rsidR="00833C94">
        <w:t>.”</w:t>
      </w:r>
      <w:r>
        <w:rPr>
          <w:rStyle w:val="FootnoteReference"/>
        </w:rPr>
        <w:footnoteReference w:id="29"/>
      </w:r>
      <w:r w:rsidR="00833C94">
        <w:t xml:space="preserve">  It is also consistent with</w:t>
      </w:r>
      <w:r w:rsidR="00540E8D">
        <w:t xml:space="preserve"> our previous decision to</w:t>
      </w:r>
      <w:r w:rsidR="00065771">
        <w:t xml:space="preserve"> maximize support by</w:t>
      </w:r>
      <w:r w:rsidR="00540E8D">
        <w:t xml:space="preserve"> </w:t>
      </w:r>
      <w:r w:rsidR="00065771">
        <w:t>relieving a</w:t>
      </w:r>
      <w:r w:rsidR="0055125E">
        <w:t>n</w:t>
      </w:r>
      <w:r w:rsidR="00065771">
        <w:t xml:space="preserve"> RDOF carrier of its obligations in a county where </w:t>
      </w:r>
      <w:r w:rsidR="009E6DA3">
        <w:t xml:space="preserve">another carrier </w:t>
      </w:r>
      <w:r w:rsidR="00F74183">
        <w:t>had been awarded public funds to serve every location</w:t>
      </w:r>
      <w:r w:rsidR="008C5F84">
        <w:t xml:space="preserve"> in</w:t>
      </w:r>
      <w:r w:rsidR="00F74183">
        <w:t xml:space="preserve"> the RDOF carrier’s service area in the county at</w:t>
      </w:r>
      <w:r w:rsidR="00074E46">
        <w:t xml:space="preserve"> broadband</w:t>
      </w:r>
      <w:r w:rsidR="00F74183">
        <w:t xml:space="preserve"> speeds that </w:t>
      </w:r>
      <w:r w:rsidR="00DB2A19">
        <w:t>were at least equivalent to the</w:t>
      </w:r>
      <w:r w:rsidR="0009089B">
        <w:t xml:space="preserve"> minimum</w:t>
      </w:r>
      <w:r w:rsidR="00F74183">
        <w:t xml:space="preserve"> speeds the RDOF carrier was required to provide.</w:t>
      </w:r>
      <w:r>
        <w:rPr>
          <w:rStyle w:val="FootnoteReference"/>
        </w:rPr>
        <w:footnoteReference w:id="30"/>
      </w:r>
      <w:r w:rsidR="00F74183">
        <w:t xml:space="preserve"> </w:t>
      </w:r>
      <w:r w:rsidR="0038042C">
        <w:t xml:space="preserve"> </w:t>
      </w:r>
    </w:p>
    <w:p w:rsidR="00EB3F84" w:rsidP="006B3FBE" w14:paraId="55415F48" w14:textId="2C440557">
      <w:pPr>
        <w:pStyle w:val="ParaNum"/>
        <w:widowControl/>
        <w:tabs>
          <w:tab w:val="clear" w:pos="1080"/>
          <w:tab w:val="num" w:pos="1440"/>
        </w:tabs>
      </w:pPr>
      <w:r>
        <w:t>Second,</w:t>
      </w:r>
      <w:r w:rsidR="00B732BD">
        <w:t xml:space="preserve"> Wisper explains that it would have otherwise met its RDOF obligations in Arkansas if the relevant locations were not already served by broadband that exceeds Wisper’s RDOF obligations.</w:t>
      </w:r>
      <w:r>
        <w:rPr>
          <w:rStyle w:val="FootnoteReference"/>
        </w:rPr>
        <w:footnoteReference w:id="31"/>
      </w:r>
      <w:r w:rsidR="00B732BD">
        <w:t xml:space="preserve">  Accordingly, </w:t>
      </w:r>
      <w:r w:rsidR="00FE049B">
        <w:t>t</w:t>
      </w:r>
      <w:r>
        <w:t xml:space="preserve">his is not a situation where Wisper </w:t>
      </w:r>
      <w:r w:rsidR="00427380">
        <w:t>made a</w:t>
      </w:r>
      <w:r w:rsidR="00097967">
        <w:t xml:space="preserve"> calculated</w:t>
      </w:r>
      <w:r>
        <w:t xml:space="preserve"> decision to default </w:t>
      </w:r>
      <w:r w:rsidR="00ED633B">
        <w:t xml:space="preserve">on its RDOF obligations </w:t>
      </w:r>
      <w:r>
        <w:t xml:space="preserve">and now is seeking to avoid the responsibility of paying the required support recovery pursuant to the terms of the RDOF program that it agreed to be subject to by participating in the auction and </w:t>
      </w:r>
      <w:r w:rsidR="004D3C0A">
        <w:t>seeking authorization for its winning bids.</w:t>
      </w:r>
      <w:r>
        <w:rPr>
          <w:rStyle w:val="FootnoteReference"/>
        </w:rPr>
        <w:footnoteReference w:id="32"/>
      </w:r>
      <w:r w:rsidR="004D3C0A">
        <w:t xml:space="preserve">  Instead</w:t>
      </w:r>
      <w:r w:rsidR="006244CE">
        <w:t xml:space="preserve">, </w:t>
      </w:r>
      <w:r w:rsidR="004D3C0A">
        <w:t xml:space="preserve">Wisper </w:t>
      </w:r>
      <w:r w:rsidR="00AD5C54">
        <w:t>closely coordinated</w:t>
      </w:r>
      <w:r w:rsidR="00FE049B">
        <w:t xml:space="preserve"> with the </w:t>
      </w:r>
      <w:r w:rsidR="00F14495">
        <w:t xml:space="preserve">Bureau to </w:t>
      </w:r>
      <w:r w:rsidR="00ED633B">
        <w:t>discuss service availability in Arkan</w:t>
      </w:r>
      <w:r w:rsidR="00EE785B">
        <w:t>sas</w:t>
      </w:r>
      <w:r w:rsidR="001C7F6E">
        <w:t xml:space="preserve"> </w:t>
      </w:r>
      <w:r w:rsidR="00983117">
        <w:t xml:space="preserve">early on </w:t>
      </w:r>
      <w:r w:rsidR="00F55E5B">
        <w:t xml:space="preserve">during </w:t>
      </w:r>
      <w:r w:rsidR="00983117">
        <w:t xml:space="preserve">its deployment </w:t>
      </w:r>
      <w:r w:rsidR="001C7F6E">
        <w:t>and</w:t>
      </w:r>
      <w:r w:rsidR="00063FFF">
        <w:t xml:space="preserve"> </w:t>
      </w:r>
      <w:r w:rsidR="001C7F6E">
        <w:t>its options</w:t>
      </w:r>
      <w:r w:rsidR="00F14495">
        <w:t xml:space="preserve"> for </w:t>
      </w:r>
      <w:r w:rsidR="00501B81">
        <w:t>promoting the efficient</w:t>
      </w:r>
      <w:r w:rsidR="00F14495">
        <w:t xml:space="preserve"> use of RDOF support</w:t>
      </w:r>
      <w:r w:rsidR="000E13BB">
        <w:t xml:space="preserve">.  </w:t>
      </w:r>
      <w:r w:rsidR="00EE3375">
        <w:t>Wisper</w:t>
      </w:r>
      <w:r w:rsidR="000E13BB">
        <w:t xml:space="preserve"> also </w:t>
      </w:r>
      <w:r w:rsidR="00EE785B">
        <w:t>consulted</w:t>
      </w:r>
      <w:r w:rsidR="000E13BB">
        <w:t xml:space="preserve"> ARConnect, </w:t>
      </w:r>
      <w:r w:rsidR="00EE785B">
        <w:t>which indicated</w:t>
      </w:r>
      <w:r w:rsidR="00DC4D95">
        <w:t xml:space="preserve"> that</w:t>
      </w:r>
      <w:r w:rsidR="00EE785B">
        <w:t xml:space="preserve"> it </w:t>
      </w:r>
      <w:r w:rsidR="000E13BB">
        <w:t>would not challenge Wisper’s request for relief if</w:t>
      </w:r>
      <w:r w:rsidR="00EE785B">
        <w:t xml:space="preserve"> </w:t>
      </w:r>
      <w:r w:rsidR="00117309">
        <w:t xml:space="preserve">the Bureau determined that the service availability data </w:t>
      </w:r>
      <w:r w:rsidR="000E13BB">
        <w:t>was sufficient grounds for granting relief.</w:t>
      </w:r>
      <w:r>
        <w:rPr>
          <w:rStyle w:val="FootnoteReference"/>
        </w:rPr>
        <w:footnoteReference w:id="33"/>
      </w:r>
      <w:r w:rsidR="000E13BB">
        <w:t xml:space="preserve">  </w:t>
      </w:r>
      <w:r w:rsidR="004E6DDB">
        <w:t xml:space="preserve">To </w:t>
      </w:r>
      <w:r w:rsidR="00501B81">
        <w:t>maximize public</w:t>
      </w:r>
      <w:r w:rsidR="004E6DDB">
        <w:t xml:space="preserve"> broadband funding, </w:t>
      </w:r>
      <w:r w:rsidR="00BD42C0">
        <w:t xml:space="preserve">the </w:t>
      </w:r>
      <w:r w:rsidR="004E6DDB">
        <w:t xml:space="preserve">National Telecommunications and Information Administration’s Broadband Equity Access and Deployment </w:t>
      </w:r>
      <w:r w:rsidR="007C2875">
        <w:t xml:space="preserve">(BEAD) </w:t>
      </w:r>
      <w:r w:rsidR="00714225">
        <w:t xml:space="preserve">program made areas ineligible for broadband deployment funding where a service provider is already subject to an enforceable commitment to serve an area, </w:t>
      </w:r>
      <w:r w:rsidR="00A67A58">
        <w:t xml:space="preserve">so the presence of </w:t>
      </w:r>
      <w:r w:rsidR="003D28B3">
        <w:t>Wisper’s RDOF obligation</w:t>
      </w:r>
      <w:r w:rsidR="00A67A58">
        <w:t xml:space="preserve"> may have impacted</w:t>
      </w:r>
      <w:r w:rsidR="003D28B3">
        <w:t xml:space="preserve"> </w:t>
      </w:r>
      <w:r w:rsidR="009E29FB">
        <w:t>ARConnect</w:t>
      </w:r>
      <w:r w:rsidR="00A67A58">
        <w:t xml:space="preserve">’s </w:t>
      </w:r>
      <w:r w:rsidR="007C2875">
        <w:t xml:space="preserve">BEAD </w:t>
      </w:r>
      <w:r w:rsidR="001F33BA">
        <w:t>funding decisions</w:t>
      </w:r>
      <w:r w:rsidR="00A67A58">
        <w:t>.</w:t>
      </w:r>
      <w:r>
        <w:rPr>
          <w:rStyle w:val="FootnoteReference"/>
        </w:rPr>
        <w:footnoteReference w:id="34"/>
      </w:r>
      <w:r w:rsidR="002B2A4B">
        <w:t xml:space="preserve"> </w:t>
      </w:r>
      <w:r w:rsidR="00B332D3">
        <w:t xml:space="preserve"> </w:t>
      </w:r>
    </w:p>
    <w:p w:rsidR="000F7B63" w:rsidP="008166C8" w14:paraId="6130DEBD" w14:textId="1ABAD4D6">
      <w:pPr>
        <w:pStyle w:val="ParaNum"/>
        <w:widowControl/>
        <w:tabs>
          <w:tab w:val="clear" w:pos="1080"/>
          <w:tab w:val="num" w:pos="1440"/>
        </w:tabs>
      </w:pPr>
      <w:r>
        <w:t xml:space="preserve">Third, the relief we provide today </w:t>
      </w:r>
      <w:r w:rsidR="00D2378E">
        <w:t>is consistent with our</w:t>
      </w:r>
      <w:r w:rsidR="00DB71C3">
        <w:t xml:space="preserve"> longstanding precedent of requiring </w:t>
      </w:r>
      <w:r w:rsidR="000668E4">
        <w:t>that post-authorization changes occur at the CBG level</w:t>
      </w:r>
      <w:r w:rsidR="008D4A7F">
        <w:t>, subject only to limited exceptions.</w:t>
      </w:r>
      <w:r>
        <w:rPr>
          <w:rStyle w:val="FootnoteReference"/>
        </w:rPr>
        <w:footnoteReference w:id="35"/>
      </w:r>
      <w:r w:rsidR="008D4A7F">
        <w:t xml:space="preserve">  </w:t>
      </w:r>
      <w:r w:rsidR="000A5A12">
        <w:t>By requiring that</w:t>
      </w:r>
      <w:r w:rsidR="006174E6">
        <w:t xml:space="preserve"> </w:t>
      </w:r>
      <w:r w:rsidR="00D64C46">
        <w:t>all of the locations in all of the authorized census blocks within</w:t>
      </w:r>
      <w:r w:rsidR="006174E6">
        <w:t xml:space="preserve"> the</w:t>
      </w:r>
      <w:r w:rsidR="00242C18">
        <w:t xml:space="preserve"> CBGs in Wisper’s Arkansas service area are already served by other provide</w:t>
      </w:r>
      <w:r w:rsidR="006174E6">
        <w:t>rs</w:t>
      </w:r>
      <w:r w:rsidR="000A5A12">
        <w:t xml:space="preserve"> in order to grant relief</w:t>
      </w:r>
      <w:r w:rsidR="006174E6">
        <w:t>, we</w:t>
      </w:r>
      <w:r w:rsidR="00366C10">
        <w:t xml:space="preserve"> further our objective of ensuring that consumers are not left without access to broadband as a result of this limited waiver</w:t>
      </w:r>
      <w:r w:rsidR="006174E6">
        <w:t xml:space="preserve">.  </w:t>
      </w:r>
      <w:r w:rsidR="0015587A">
        <w:t>Moreover,</w:t>
      </w:r>
      <w:r w:rsidR="005E21DE">
        <w:t xml:space="preserve"> </w:t>
      </w:r>
      <w:r w:rsidR="00C5409C">
        <w:t>this requirement is consistent with the Commission’s decision to adopt CBGs as the</w:t>
      </w:r>
      <w:r w:rsidR="00240C91">
        <w:t xml:space="preserve"> </w:t>
      </w:r>
      <w:r w:rsidR="0079101E">
        <w:t xml:space="preserve">minimum geographic bidding </w:t>
      </w:r>
      <w:r w:rsidR="00194BDB">
        <w:t>area</w:t>
      </w:r>
      <w:r w:rsidR="0079101E">
        <w:t xml:space="preserve"> for RDOF</w:t>
      </w:r>
      <w:r w:rsidR="00C5409C">
        <w:t xml:space="preserve">, requiring carriers </w:t>
      </w:r>
      <w:r w:rsidR="0079101E">
        <w:t xml:space="preserve">seeking authorization to commit to serving </w:t>
      </w:r>
      <w:r w:rsidR="00C5409C">
        <w:t>all locations within all of the authorized census blocks in the CBGs covered by their winning bids</w:t>
      </w:r>
      <w:r w:rsidR="003B3DB9">
        <w:t xml:space="preserve"> rather than </w:t>
      </w:r>
      <w:r w:rsidR="00551D1B">
        <w:t>choosing</w:t>
      </w:r>
      <w:r w:rsidR="003B3DB9">
        <w:t xml:space="preserve"> which locations to serve within the CBG</w:t>
      </w:r>
      <w:r w:rsidR="00C5409C">
        <w:t xml:space="preserve">.  </w:t>
      </w:r>
      <w:r w:rsidR="00F1392A">
        <w:t xml:space="preserve">It also </w:t>
      </w:r>
      <w:r w:rsidR="007A46BD">
        <w:t>reduce</w:t>
      </w:r>
      <w:r w:rsidR="00FA2B40">
        <w:t>s</w:t>
      </w:r>
      <w:r w:rsidR="007A46BD">
        <w:t xml:space="preserve"> the administrative burden on the Commission </w:t>
      </w:r>
      <w:r w:rsidR="00C40531">
        <w:t>in making support</w:t>
      </w:r>
      <w:r w:rsidR="000D7B9B">
        <w:t xml:space="preserve">, </w:t>
      </w:r>
      <w:r w:rsidR="00C40531">
        <w:t>location</w:t>
      </w:r>
      <w:r w:rsidR="000D7B9B">
        <w:t>, and service area</w:t>
      </w:r>
      <w:r w:rsidR="00C40531">
        <w:t xml:space="preserve"> adjustments to</w:t>
      </w:r>
      <w:r w:rsidR="007A46BD">
        <w:t xml:space="preserve"> </w:t>
      </w:r>
      <w:r w:rsidR="00FA2B40">
        <w:t xml:space="preserve">require that carriers seeking this relief demonstrate </w:t>
      </w:r>
      <w:r w:rsidR="00951CA4">
        <w:t>that an entire</w:t>
      </w:r>
      <w:r w:rsidR="00F811EC">
        <w:t xml:space="preserve"> RDOF</w:t>
      </w:r>
      <w:r w:rsidR="00951CA4">
        <w:t xml:space="preserve"> CBG has been </w:t>
      </w:r>
      <w:r w:rsidR="00C272A6">
        <w:t>overbuil</w:t>
      </w:r>
      <w:r w:rsidR="008F4B8C">
        <w:t>t.</w:t>
      </w:r>
      <w:r w:rsidR="00C272A6">
        <w:t xml:space="preserve"> </w:t>
      </w:r>
      <w:r w:rsidR="00951CA4">
        <w:t xml:space="preserve"> </w:t>
      </w:r>
    </w:p>
    <w:p w:rsidR="0067781B" w:rsidP="0067781B" w14:paraId="0E4AC57D" w14:textId="0C0EAEF1">
      <w:pPr>
        <w:pStyle w:val="ParaNum"/>
        <w:widowControl/>
        <w:tabs>
          <w:tab w:val="clear" w:pos="1080"/>
          <w:tab w:val="num" w:pos="1440"/>
        </w:tabs>
      </w:pPr>
      <w:r>
        <w:t xml:space="preserve">As a condition of this waiver, we direct USAC to stop paying </w:t>
      </w:r>
      <w:r w:rsidR="004946FA">
        <w:t>Wisper</w:t>
      </w:r>
      <w:r>
        <w:t xml:space="preserve"> RDOF support </w:t>
      </w:r>
      <w:r w:rsidR="004946FA">
        <w:t>in Arkansas</w:t>
      </w:r>
      <w:r>
        <w:t>.</w:t>
      </w:r>
      <w:r>
        <w:rPr>
          <w:rStyle w:val="FootnoteReference"/>
        </w:rPr>
        <w:footnoteReference w:id="36"/>
      </w:r>
      <w:r>
        <w:t xml:space="preserve">  We also direct USAC to recover from </w:t>
      </w:r>
      <w:r w:rsidR="004946FA">
        <w:t>Wisper</w:t>
      </w:r>
      <w:r>
        <w:t xml:space="preserve"> </w:t>
      </w:r>
      <w:r w:rsidR="00EB215D">
        <w:t xml:space="preserve">all </w:t>
      </w:r>
      <w:r>
        <w:t xml:space="preserve">support that has already been disbursed to </w:t>
      </w:r>
      <w:r w:rsidR="004946FA">
        <w:t>Wisper</w:t>
      </w:r>
      <w:r>
        <w:t xml:space="preserve"> for its </w:t>
      </w:r>
      <w:r w:rsidR="004946FA">
        <w:t>Arkansas</w:t>
      </w:r>
      <w:r>
        <w:t xml:space="preserve"> RDOF CBGs as soon as practicable</w:t>
      </w:r>
      <w:r w:rsidR="008841AD">
        <w:t>.</w:t>
      </w:r>
      <w:r>
        <w:t xml:space="preserve"> </w:t>
      </w:r>
      <w:r w:rsidR="008841AD">
        <w:t xml:space="preserve"> </w:t>
      </w:r>
      <w:r w:rsidR="00C66246">
        <w:t>Wisper</w:t>
      </w:r>
      <w:r>
        <w:t xml:space="preserve"> will have six months from the date of USAC’s invoice to repay the support.</w:t>
      </w:r>
      <w:r>
        <w:rPr>
          <w:rStyle w:val="FootnoteReference"/>
        </w:rPr>
        <w:footnoteReference w:id="37"/>
      </w:r>
      <w:r>
        <w:t xml:space="preserve">  Once </w:t>
      </w:r>
      <w:r w:rsidR="00C66246">
        <w:t>Wisper</w:t>
      </w:r>
      <w:r>
        <w:t xml:space="preserve"> has timely paid the required support recovery, we will </w:t>
      </w:r>
      <w:r w:rsidR="00C66246">
        <w:t xml:space="preserve">consider Wisper to no longer have RDOF obligations in </w:t>
      </w:r>
      <w:r w:rsidR="00BC672A">
        <w:t>Arkansas</w:t>
      </w:r>
      <w:r>
        <w:t xml:space="preserve">. </w:t>
      </w:r>
      <w:r>
        <w:t xml:space="preserve"> Wisper will not be subject to any additional support recovery for the locations in the Arkansas RDOF CBGs pursuant to section 54.806(c)(1)(i) or (ii) of the Commission’s rules.</w:t>
      </w:r>
      <w:r>
        <w:rPr>
          <w:rStyle w:val="FootnoteReference"/>
        </w:rPr>
        <w:footnoteReference w:id="38"/>
      </w:r>
      <w:r w:rsidRPr="00426FCA">
        <w:t xml:space="preserve"> </w:t>
      </w:r>
      <w:r>
        <w:t xml:space="preserve"> Wisper will also be able to close out its letter of credit covering its </w:t>
      </w:r>
      <w:r w:rsidR="006B5B21">
        <w:t xml:space="preserve">authorized </w:t>
      </w:r>
      <w:r>
        <w:t>winning bids in Arkansas once it timely pays the required support recovery.</w:t>
      </w:r>
      <w:r>
        <w:rPr>
          <w:rStyle w:val="FootnoteReference"/>
        </w:rPr>
        <w:footnoteReference w:id="39"/>
      </w:r>
    </w:p>
    <w:p w:rsidR="000F7B63" w:rsidP="008166C8" w14:paraId="1E56A258" w14:textId="0B7B4E39">
      <w:pPr>
        <w:pStyle w:val="ParaNum"/>
        <w:widowControl/>
        <w:tabs>
          <w:tab w:val="clear" w:pos="1080"/>
          <w:tab w:val="num" w:pos="1440"/>
        </w:tabs>
      </w:pPr>
      <w:r>
        <w:t xml:space="preserve">If a timely payment is not made, </w:t>
      </w:r>
      <w:r w:rsidR="009E6AA2">
        <w:t>Wisper will retain its</w:t>
      </w:r>
      <w:r w:rsidR="00856A21">
        <w:t xml:space="preserve"> Arkansas</w:t>
      </w:r>
      <w:r>
        <w:t xml:space="preserve"> RDOF obligation, </w:t>
      </w:r>
      <w:r w:rsidR="00856A21">
        <w:t xml:space="preserve">Wisper </w:t>
      </w:r>
      <w:r>
        <w:t>will remain subject to the Commission’s service milestone and non-compliance rules</w:t>
      </w:r>
      <w:r w:rsidR="009E6AA2">
        <w:t xml:space="preserve">, </w:t>
      </w:r>
      <w:r>
        <w:t>and support recovery will occur at the end of the deployment period</w:t>
      </w:r>
      <w:r w:rsidR="009E6AA2">
        <w:t xml:space="preserve"> pursuant to section 54.806(c) of the Commission’s rules</w:t>
      </w:r>
      <w:r>
        <w:t>.</w:t>
      </w:r>
      <w:r>
        <w:rPr>
          <w:rStyle w:val="FootnoteReference"/>
        </w:rPr>
        <w:footnoteReference w:id="40"/>
      </w:r>
      <w:r>
        <w:t xml:space="preserve">  If </w:t>
      </w:r>
      <w:r w:rsidR="00856A21">
        <w:t>Wisper</w:t>
      </w:r>
      <w:r>
        <w:t xml:space="preserve"> then fails to pay the required support recovery at the end of the </w:t>
      </w:r>
      <w:r>
        <w:t xml:space="preserve">deployment period, </w:t>
      </w:r>
      <w:r w:rsidR="00856A21">
        <w:t xml:space="preserve">Wisper </w:t>
      </w:r>
      <w:r>
        <w:t>will potentially be subject to action by the Enforcement Bureau and under federal law concerning debts owed to the government.</w:t>
      </w:r>
      <w:r>
        <w:rPr>
          <w:rStyle w:val="FootnoteReference"/>
        </w:rPr>
        <w:footnoteReference w:id="41"/>
      </w:r>
    </w:p>
    <w:p w:rsidR="000F7B63" w:rsidP="00F811EC" w14:paraId="215654C4" w14:textId="6864584A">
      <w:pPr>
        <w:pStyle w:val="ParaNum"/>
        <w:widowControl/>
        <w:tabs>
          <w:tab w:val="clear" w:pos="1080"/>
          <w:tab w:val="num" w:pos="1440"/>
        </w:tabs>
      </w:pPr>
      <w:r>
        <w:t>Wisper remains</w:t>
      </w:r>
      <w:r w:rsidRPr="00F75926">
        <w:t xml:space="preserve"> subject to all eligible telecommunications carrier (ETC) obligations</w:t>
      </w:r>
      <w:r>
        <w:t xml:space="preserve"> in its Arkansas RDOF CBGs</w:t>
      </w:r>
      <w:r w:rsidRPr="00F75926">
        <w:t xml:space="preserve"> unless and until </w:t>
      </w:r>
      <w:r>
        <w:t>it</w:t>
      </w:r>
      <w:r w:rsidRPr="00F75926">
        <w:t xml:space="preserve"> follow</w:t>
      </w:r>
      <w:r>
        <w:t>s</w:t>
      </w:r>
      <w:r w:rsidRPr="00F75926">
        <w:t xml:space="preserve"> the relevant procedures to relinquish </w:t>
      </w:r>
      <w:r>
        <w:t xml:space="preserve">its </w:t>
      </w:r>
      <w:r w:rsidR="00757C2C">
        <w:t xml:space="preserve">ETC </w:t>
      </w:r>
      <w:r w:rsidRPr="00F75926">
        <w:t>designation</w:t>
      </w:r>
      <w:r>
        <w:t xml:space="preserve"> in these areas</w:t>
      </w:r>
      <w:r w:rsidRPr="00F75926">
        <w:t>.</w:t>
      </w:r>
      <w:r>
        <w:rPr>
          <w:rStyle w:val="FootnoteReference"/>
          <w:bCs/>
          <w:szCs w:val="22"/>
        </w:rPr>
        <w:footnoteReference w:id="42"/>
      </w:r>
      <w:r w:rsidRPr="00F75926">
        <w:t xml:space="preserve">  Additionally, </w:t>
      </w:r>
      <w:r>
        <w:t xml:space="preserve">Wisper </w:t>
      </w:r>
      <w:r w:rsidR="00BD42C0">
        <w:t>may not</w:t>
      </w:r>
      <w:r w:rsidRPr="00F75926" w:rsidR="00BD42C0">
        <w:t xml:space="preserve"> </w:t>
      </w:r>
      <w:r w:rsidRPr="00F75926">
        <w:t>discontinue voice service</w:t>
      </w:r>
      <w:r>
        <w:t xml:space="preserve"> in its Arkansas RDOF CBGs</w:t>
      </w:r>
      <w:r w:rsidRPr="00F75926">
        <w:t xml:space="preserve"> without </w:t>
      </w:r>
      <w:r w:rsidR="00682787">
        <w:t xml:space="preserve">adhering to the </w:t>
      </w:r>
      <w:r w:rsidRPr="00F75926">
        <w:t>Commission</w:t>
      </w:r>
      <w:r w:rsidR="00682787">
        <w:t>’s discontinuance rules</w:t>
      </w:r>
      <w:r w:rsidRPr="00F75926">
        <w:t>.</w:t>
      </w:r>
      <w:r>
        <w:rPr>
          <w:rStyle w:val="FootnoteReference"/>
          <w:bCs/>
          <w:szCs w:val="22"/>
        </w:rPr>
        <w:footnoteReference w:id="43"/>
      </w:r>
      <w:r w:rsidRPr="00F75926">
        <w:t xml:space="preserve">  </w:t>
      </w:r>
    </w:p>
    <w:p w:rsidR="000F7B63" w:rsidP="000F7B63" w14:paraId="07FEA631" w14:textId="77777777">
      <w:pPr>
        <w:pStyle w:val="Heading1"/>
      </w:pPr>
      <w:r>
        <w:t>Ordering Clauses</w:t>
      </w:r>
    </w:p>
    <w:p w:rsidR="000F7B63" w:rsidRPr="00105E1F" w:rsidP="00105E1F" w14:paraId="4F3A681D" w14:textId="77777777">
      <w:pPr>
        <w:pStyle w:val="ParaNum"/>
        <w:widowControl/>
        <w:tabs>
          <w:tab w:val="clear" w:pos="1080"/>
          <w:tab w:val="num" w:pos="1440"/>
        </w:tabs>
      </w:pPr>
      <w:r>
        <w:t>Accordingly, IT IS ORDERED, pursuant to sections 1, 4(i), 5(c), and 254 of the Communications Act of 1934, as amended, 47 U.S.C. §§ 151, 154(i), 155(c), 254, and sections 0.91, 0.291, and 1.3 of the Commission’s rules, 47 CFR §§ 0.91, 0.291, 1.3, that this Order IS ADOPTED.</w:t>
      </w:r>
    </w:p>
    <w:p w:rsidR="000F7B63" w:rsidRPr="00105E1F" w:rsidP="00105E1F" w14:paraId="0EB8F0DD" w14:textId="38707C84">
      <w:pPr>
        <w:pStyle w:val="ParaNum"/>
        <w:widowControl/>
        <w:tabs>
          <w:tab w:val="clear" w:pos="1080"/>
          <w:tab w:val="num" w:pos="1440"/>
        </w:tabs>
      </w:pPr>
      <w:r>
        <w:t xml:space="preserve">IT IS FURTHER ORDERED that the petition for waiver filed by </w:t>
      </w:r>
      <w:r w:rsidR="009E6AA2">
        <w:t>W</w:t>
      </w:r>
      <w:r>
        <w:t>is</w:t>
      </w:r>
      <w:r w:rsidR="00694EC6">
        <w:t>per ISP, LLC IS</w:t>
      </w:r>
      <w:r>
        <w:t xml:space="preserve"> GRANTED and sections 54.320(d)(1), 54.802(c), 54.804(c)(4)(i) and 54.806(c)(1) of the Commission’s rules, 47 CFR §§ 54.320(d)(1), 54.802(c), 54.804(c)(4)(i), and 54.806(c)(1), ARE WAIVED to the extent described herein.</w:t>
      </w:r>
    </w:p>
    <w:p w:rsidR="000F7B63" w:rsidRPr="00611686" w:rsidP="00105E1F" w14:paraId="67FCF6F8" w14:textId="0C31FAD9">
      <w:pPr>
        <w:pStyle w:val="ParaNum"/>
        <w:widowControl/>
        <w:tabs>
          <w:tab w:val="clear" w:pos="1080"/>
          <w:tab w:val="num" w:pos="1440"/>
        </w:tabs>
        <w:rPr>
          <w:rFonts w:ascii="TimesNewRomanPSMT" w:hAnsi="TimesNewRomanPSMT" w:cs="TimesNewRomanPSMT"/>
          <w:snapToGrid/>
          <w:kern w:val="0"/>
          <w:szCs w:val="22"/>
        </w:rPr>
      </w:pPr>
      <w:r>
        <w:t xml:space="preserve">IT IS FURTHER ORDERED that, pursuant to the limited waiver granted by the Bureau, the Administrator will recover high-cost support from </w:t>
      </w:r>
      <w:r w:rsidR="00694EC6">
        <w:t>Wisper ISP, LLC</w:t>
      </w:r>
      <w:r>
        <w:t xml:space="preserve"> as described herein.</w:t>
      </w:r>
    </w:p>
    <w:p w:rsidR="000F7B63" w:rsidRPr="00145237" w:rsidP="00105E1F" w14:paraId="6E9B7A22" w14:textId="77777777">
      <w:pPr>
        <w:pStyle w:val="ParaNum"/>
        <w:widowControl/>
        <w:tabs>
          <w:tab w:val="clear" w:pos="1080"/>
          <w:tab w:val="num" w:pos="1440"/>
        </w:tabs>
        <w:rPr>
          <w:rFonts w:ascii="TimesNewRomanPSMT" w:hAnsi="TimesNewRomanPSMT" w:cs="TimesNewRomanPSMT"/>
          <w:snapToGrid/>
          <w:kern w:val="0"/>
          <w:szCs w:val="22"/>
        </w:rPr>
      </w:pPr>
      <w:r>
        <w:t>IT IS FURTHER ORDERED that, pursuant to section 1.102(b)(1) of the Commission’s rules, 47 CFR § 1.102(b)(1), this Order SHALL BE EFFECTIVE upon release.</w:t>
      </w:r>
    </w:p>
    <w:p w:rsidR="000F7B63" w:rsidP="000F7B63" w14:paraId="5DA955B9" w14:textId="77777777">
      <w:pPr>
        <w:pStyle w:val="ParaNum"/>
        <w:widowControl/>
        <w:numPr>
          <w:ilvl w:val="0"/>
          <w:numId w:val="0"/>
        </w:numPr>
        <w:tabs>
          <w:tab w:val="left" w:pos="1440"/>
        </w:tabs>
        <w:ind w:firstLine="720"/>
      </w:pPr>
    </w:p>
    <w:p w:rsidR="000F7B63" w:rsidRPr="0019242C" w:rsidP="000F7B63" w14:paraId="444A7F49" w14:textId="77777777">
      <w:pPr>
        <w:pStyle w:val="ParaNum"/>
        <w:widowControl/>
        <w:numPr>
          <w:ilvl w:val="0"/>
          <w:numId w:val="0"/>
        </w:numPr>
        <w:tabs>
          <w:tab w:val="left" w:pos="1440"/>
        </w:tabs>
        <w:ind w:firstLine="720"/>
      </w:pPr>
    </w:p>
    <w:p w:rsidR="000F7B63" w:rsidP="000F7B63" w14:paraId="7901EEA1" w14:textId="77777777">
      <w:r>
        <w:tab/>
      </w:r>
      <w:r>
        <w:tab/>
      </w:r>
      <w:r>
        <w:tab/>
      </w:r>
      <w:r>
        <w:tab/>
      </w:r>
      <w:r>
        <w:tab/>
      </w:r>
      <w:r>
        <w:tab/>
        <w:t>FEDERAL COMMUNICATIONS COMMISSION</w:t>
      </w:r>
    </w:p>
    <w:p w:rsidR="000F7B63" w:rsidP="000F7B63" w14:paraId="5A2C91E5" w14:textId="77777777"/>
    <w:p w:rsidR="000F7B63" w:rsidP="000F7B63" w14:paraId="7AE5DE52" w14:textId="77777777"/>
    <w:p w:rsidR="000F7B63" w:rsidP="000F7B63" w14:paraId="5F8EF1B7" w14:textId="77777777"/>
    <w:p w:rsidR="000F7B63" w:rsidP="000F7B63" w14:paraId="09DBD220" w14:textId="70356377">
      <w:r>
        <w:tab/>
      </w:r>
      <w:r>
        <w:tab/>
      </w:r>
      <w:r>
        <w:tab/>
      </w:r>
      <w:r>
        <w:tab/>
      </w:r>
      <w:r>
        <w:tab/>
      </w:r>
      <w:r>
        <w:tab/>
      </w:r>
      <w:r w:rsidR="007061A5">
        <w:t>Joseph S. Calascione</w:t>
      </w:r>
    </w:p>
    <w:p w:rsidR="000F7B63" w:rsidP="000F7B63" w14:paraId="5118C488" w14:textId="77777777">
      <w:r>
        <w:tab/>
      </w:r>
      <w:r>
        <w:tab/>
      </w:r>
      <w:r>
        <w:tab/>
      </w:r>
      <w:r>
        <w:tab/>
      </w:r>
      <w:r>
        <w:tab/>
      </w:r>
      <w:r>
        <w:tab/>
        <w:t>Chief</w:t>
      </w:r>
    </w:p>
    <w:p w:rsidR="000F7B63" w:rsidP="000F7B63" w14:paraId="3E386402" w14:textId="77777777">
      <w:r>
        <w:tab/>
      </w:r>
      <w:r>
        <w:tab/>
      </w:r>
      <w:r>
        <w:tab/>
      </w:r>
      <w:r>
        <w:tab/>
      </w:r>
      <w:r>
        <w:tab/>
      </w:r>
      <w:r>
        <w:tab/>
        <w:t xml:space="preserve">Wireline Competition Bureau </w:t>
      </w:r>
    </w:p>
    <w:p w:rsidR="000F7B63" w:rsidP="000F7B63" w14:paraId="146168F6" w14:textId="77777777"/>
    <w:p w:rsidR="000F7B63" w:rsidP="000F7B63" w14:paraId="78045CBC" w14:textId="2574F693">
      <w:pPr>
        <w:jc w:val="center"/>
        <w:rPr>
          <w:b/>
          <w:bCs/>
        </w:rPr>
      </w:pPr>
      <w:r>
        <w:br w:type="page"/>
      </w:r>
      <w:r w:rsidRPr="00523711">
        <w:rPr>
          <w:b/>
          <w:bCs/>
        </w:rPr>
        <w:t xml:space="preserve">Appendix </w:t>
      </w:r>
    </w:p>
    <w:p w:rsidR="000F7B63" w:rsidP="000F7B63" w14:paraId="5A66A16A" w14:textId="77777777">
      <w:pPr>
        <w:jc w:val="center"/>
        <w:rPr>
          <w:b/>
          <w:bCs/>
        </w:rPr>
      </w:pPr>
    </w:p>
    <w:p w:rsidR="000F7B63" w:rsidP="000F7B63" w14:paraId="2E4B48EF" w14:textId="3A56BB15">
      <w:pPr>
        <w:jc w:val="center"/>
        <w:rPr>
          <w:b/>
          <w:bCs/>
        </w:rPr>
      </w:pPr>
      <w:r>
        <w:rPr>
          <w:b/>
          <w:bCs/>
        </w:rPr>
        <w:t xml:space="preserve">Eligible Census Blocks within the Census Block Groups Covered by </w:t>
      </w:r>
      <w:r w:rsidR="00CF61F7">
        <w:rPr>
          <w:b/>
          <w:bCs/>
        </w:rPr>
        <w:t>Wisper ISP, LLC’s</w:t>
      </w:r>
      <w:r>
        <w:rPr>
          <w:b/>
          <w:bCs/>
        </w:rPr>
        <w:t xml:space="preserve"> </w:t>
      </w:r>
      <w:r w:rsidR="00105E1F">
        <w:rPr>
          <w:b/>
          <w:bCs/>
        </w:rPr>
        <w:t xml:space="preserve">Arkansas </w:t>
      </w:r>
      <w:r>
        <w:rPr>
          <w:b/>
          <w:bCs/>
        </w:rPr>
        <w:t xml:space="preserve">Rural Digital Opportunity Fund </w:t>
      </w:r>
      <w:r w:rsidR="00C336D1">
        <w:rPr>
          <w:b/>
          <w:bCs/>
        </w:rPr>
        <w:t xml:space="preserve">Authorized </w:t>
      </w:r>
      <w:r>
        <w:rPr>
          <w:b/>
          <w:bCs/>
        </w:rPr>
        <w:t xml:space="preserve">Winning Bids </w:t>
      </w:r>
    </w:p>
    <w:p w:rsidR="000F7B63" w:rsidP="000F7B63" w14:paraId="1939C21B" w14:textId="77777777"/>
    <w:p w:rsidR="00E359E7" w:rsidP="00B36C28" w14:paraId="4366BB7D" w14:textId="77777777">
      <w:pPr>
        <w:pStyle w:val="ParaNum"/>
        <w:numPr>
          <w:ilvl w:val="0"/>
          <w:numId w:val="0"/>
        </w:numPr>
        <w:ind w:left="720"/>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pPr>
    </w:p>
    <w:p w:rsidR="00CA6989" w:rsidP="00CA6989" w14:paraId="75FEE6D6" w14:textId="77777777">
      <w:pPr>
        <w:pStyle w:val="ParaNum"/>
        <w:numPr>
          <w:ilvl w:val="0"/>
          <w:numId w:val="0"/>
        </w:numPr>
        <w:ind w:left="720"/>
        <w:jc w:val="center"/>
      </w:pPr>
      <w:r>
        <w:t>050554804002001</w:t>
      </w:r>
    </w:p>
    <w:p w:rsidR="00CA6989" w:rsidP="00CA6989" w14:paraId="4EEA8A84" w14:textId="77777777">
      <w:pPr>
        <w:pStyle w:val="ParaNum"/>
        <w:numPr>
          <w:ilvl w:val="0"/>
          <w:numId w:val="0"/>
        </w:numPr>
        <w:ind w:left="720"/>
        <w:jc w:val="center"/>
      </w:pPr>
      <w:r>
        <w:t>050554804002002</w:t>
      </w:r>
    </w:p>
    <w:p w:rsidR="00CA6989" w:rsidP="00CA6989" w14:paraId="16D0BDA7" w14:textId="77777777">
      <w:pPr>
        <w:pStyle w:val="ParaNum"/>
        <w:numPr>
          <w:ilvl w:val="0"/>
          <w:numId w:val="0"/>
        </w:numPr>
        <w:ind w:left="720"/>
        <w:jc w:val="center"/>
      </w:pPr>
      <w:r>
        <w:t>050554804002023</w:t>
      </w:r>
    </w:p>
    <w:p w:rsidR="00CA6989" w:rsidP="00CA6989" w14:paraId="61085F05" w14:textId="77777777">
      <w:pPr>
        <w:pStyle w:val="ParaNum"/>
        <w:numPr>
          <w:ilvl w:val="0"/>
          <w:numId w:val="0"/>
        </w:numPr>
        <w:ind w:left="720"/>
        <w:jc w:val="center"/>
      </w:pPr>
      <w:r>
        <w:t>050554804002024</w:t>
      </w:r>
    </w:p>
    <w:p w:rsidR="00CA6989" w:rsidP="00CA6989" w14:paraId="19323B3B" w14:textId="77777777">
      <w:pPr>
        <w:pStyle w:val="ParaNum"/>
        <w:numPr>
          <w:ilvl w:val="0"/>
          <w:numId w:val="0"/>
        </w:numPr>
        <w:ind w:left="720"/>
        <w:jc w:val="center"/>
      </w:pPr>
      <w:r>
        <w:t>050554804002028</w:t>
      </w:r>
    </w:p>
    <w:p w:rsidR="00CA6989" w:rsidP="00CA6989" w14:paraId="3716F5F0" w14:textId="77777777">
      <w:pPr>
        <w:pStyle w:val="ParaNum"/>
        <w:numPr>
          <w:ilvl w:val="0"/>
          <w:numId w:val="0"/>
        </w:numPr>
        <w:ind w:left="720"/>
        <w:jc w:val="center"/>
      </w:pPr>
      <w:r>
        <w:t>050554804002038</w:t>
      </w:r>
    </w:p>
    <w:p w:rsidR="00CA6989" w:rsidP="00CA6989" w14:paraId="06E5D82D" w14:textId="77777777">
      <w:pPr>
        <w:pStyle w:val="ParaNum"/>
        <w:numPr>
          <w:ilvl w:val="0"/>
          <w:numId w:val="0"/>
        </w:numPr>
        <w:ind w:left="720"/>
        <w:jc w:val="center"/>
      </w:pPr>
      <w:r>
        <w:t>050554804002041</w:t>
      </w:r>
    </w:p>
    <w:p w:rsidR="00CA6989" w:rsidP="00CA6989" w14:paraId="3AA2DD9C" w14:textId="77777777">
      <w:pPr>
        <w:pStyle w:val="ParaNum"/>
        <w:numPr>
          <w:ilvl w:val="0"/>
          <w:numId w:val="0"/>
        </w:numPr>
        <w:ind w:left="720"/>
        <w:jc w:val="center"/>
      </w:pPr>
      <w:r>
        <w:t>050554804003006</w:t>
      </w:r>
    </w:p>
    <w:p w:rsidR="00CA6989" w:rsidP="00CA6989" w14:paraId="151C8A68" w14:textId="77777777">
      <w:pPr>
        <w:pStyle w:val="ParaNum"/>
        <w:numPr>
          <w:ilvl w:val="0"/>
          <w:numId w:val="0"/>
        </w:numPr>
        <w:ind w:left="720"/>
        <w:jc w:val="center"/>
      </w:pPr>
      <w:r>
        <w:t>050554804003008</w:t>
      </w:r>
    </w:p>
    <w:p w:rsidR="00CA6989" w:rsidP="00CA6989" w14:paraId="02F67E5E" w14:textId="77777777">
      <w:pPr>
        <w:pStyle w:val="ParaNum"/>
        <w:numPr>
          <w:ilvl w:val="0"/>
          <w:numId w:val="0"/>
        </w:numPr>
        <w:ind w:left="720"/>
        <w:jc w:val="center"/>
      </w:pPr>
      <w:r>
        <w:t>050554804004016</w:t>
      </w:r>
    </w:p>
    <w:p w:rsidR="00CA6989" w:rsidP="00CA6989" w14:paraId="455A93AC" w14:textId="77777777">
      <w:pPr>
        <w:pStyle w:val="ParaNum"/>
        <w:numPr>
          <w:ilvl w:val="0"/>
          <w:numId w:val="0"/>
        </w:numPr>
        <w:ind w:left="720"/>
        <w:jc w:val="center"/>
      </w:pPr>
      <w:r>
        <w:t>050554804004036</w:t>
      </w:r>
    </w:p>
    <w:p w:rsidR="00CA6989" w:rsidP="00CA6989" w14:paraId="3EDFF7D1" w14:textId="77777777">
      <w:pPr>
        <w:pStyle w:val="ParaNum"/>
        <w:numPr>
          <w:ilvl w:val="0"/>
          <w:numId w:val="0"/>
        </w:numPr>
        <w:ind w:left="720"/>
        <w:jc w:val="center"/>
      </w:pPr>
      <w:r>
        <w:t>050554804004038</w:t>
      </w:r>
    </w:p>
    <w:p w:rsidR="00CA6989" w:rsidP="00CA6989" w14:paraId="3132DE99" w14:textId="77777777">
      <w:pPr>
        <w:pStyle w:val="ParaNum"/>
        <w:numPr>
          <w:ilvl w:val="0"/>
          <w:numId w:val="0"/>
        </w:numPr>
        <w:ind w:left="720"/>
        <w:jc w:val="center"/>
      </w:pPr>
      <w:r>
        <w:t>050554804004051</w:t>
      </w:r>
    </w:p>
    <w:p w:rsidR="00CA6989" w:rsidP="00CA6989" w14:paraId="07926CFA" w14:textId="77777777">
      <w:pPr>
        <w:pStyle w:val="ParaNum"/>
        <w:numPr>
          <w:ilvl w:val="0"/>
          <w:numId w:val="0"/>
        </w:numPr>
        <w:ind w:left="720"/>
        <w:jc w:val="center"/>
      </w:pPr>
      <w:r>
        <w:t>050554804004052</w:t>
      </w:r>
    </w:p>
    <w:p w:rsidR="00CA6989" w:rsidP="00CA6989" w14:paraId="176B5AAF" w14:textId="77777777">
      <w:pPr>
        <w:pStyle w:val="ParaNum"/>
        <w:numPr>
          <w:ilvl w:val="0"/>
          <w:numId w:val="0"/>
        </w:numPr>
        <w:ind w:left="720"/>
        <w:jc w:val="center"/>
      </w:pPr>
      <w:r>
        <w:t>050554804004084</w:t>
      </w:r>
    </w:p>
    <w:p w:rsidR="00CA6989" w:rsidP="00CA6989" w14:paraId="0C82B755" w14:textId="77777777">
      <w:pPr>
        <w:pStyle w:val="ParaNum"/>
        <w:numPr>
          <w:ilvl w:val="0"/>
          <w:numId w:val="0"/>
        </w:numPr>
        <w:ind w:left="720"/>
        <w:jc w:val="center"/>
      </w:pPr>
      <w:r>
        <w:t>050554804004099</w:t>
      </w:r>
    </w:p>
    <w:p w:rsidR="00CA6989" w:rsidP="00CA6989" w14:paraId="0DBFDD7F" w14:textId="77777777">
      <w:pPr>
        <w:pStyle w:val="ParaNum"/>
        <w:numPr>
          <w:ilvl w:val="0"/>
          <w:numId w:val="0"/>
        </w:numPr>
        <w:ind w:left="720"/>
        <w:jc w:val="center"/>
      </w:pPr>
      <w:r>
        <w:t>050554804004112</w:t>
      </w:r>
    </w:p>
    <w:p w:rsidR="00CA6989" w:rsidP="00CA6989" w14:paraId="14A10BA9" w14:textId="77777777">
      <w:pPr>
        <w:pStyle w:val="ParaNum"/>
        <w:numPr>
          <w:ilvl w:val="0"/>
          <w:numId w:val="0"/>
        </w:numPr>
        <w:ind w:left="720"/>
        <w:jc w:val="center"/>
      </w:pPr>
      <w:r>
        <w:t>050554805003001</w:t>
      </w:r>
    </w:p>
    <w:p w:rsidR="00CA6989" w:rsidP="00CA6989" w14:paraId="0149008E" w14:textId="77777777">
      <w:pPr>
        <w:pStyle w:val="ParaNum"/>
        <w:numPr>
          <w:ilvl w:val="0"/>
          <w:numId w:val="0"/>
        </w:numPr>
        <w:ind w:left="720"/>
        <w:jc w:val="center"/>
      </w:pPr>
      <w:r>
        <w:t>050554805003002</w:t>
      </w:r>
    </w:p>
    <w:p w:rsidR="00CA6989" w:rsidP="00CA6989" w14:paraId="68A6F6DD" w14:textId="77777777">
      <w:pPr>
        <w:pStyle w:val="ParaNum"/>
        <w:numPr>
          <w:ilvl w:val="0"/>
          <w:numId w:val="0"/>
        </w:numPr>
        <w:ind w:left="720"/>
        <w:jc w:val="center"/>
      </w:pPr>
      <w:r>
        <w:t>050554805003003</w:t>
      </w:r>
    </w:p>
    <w:p w:rsidR="00CA6989" w:rsidP="00CA6989" w14:paraId="68596DBA" w14:textId="77777777">
      <w:pPr>
        <w:pStyle w:val="ParaNum"/>
        <w:numPr>
          <w:ilvl w:val="0"/>
          <w:numId w:val="0"/>
        </w:numPr>
        <w:ind w:left="720"/>
        <w:jc w:val="center"/>
      </w:pPr>
      <w:r>
        <w:t>050554805003014</w:t>
      </w:r>
    </w:p>
    <w:p w:rsidR="00CA6989" w:rsidP="00CA6989" w14:paraId="49D35E06" w14:textId="77777777">
      <w:pPr>
        <w:pStyle w:val="ParaNum"/>
        <w:numPr>
          <w:ilvl w:val="0"/>
          <w:numId w:val="0"/>
        </w:numPr>
        <w:ind w:left="720"/>
        <w:jc w:val="center"/>
      </w:pPr>
      <w:r>
        <w:t>050554805003047</w:t>
      </w:r>
    </w:p>
    <w:p w:rsidR="00CA6989" w:rsidP="00CA6989" w14:paraId="4CCAE3C5" w14:textId="77777777">
      <w:pPr>
        <w:pStyle w:val="ParaNum"/>
        <w:numPr>
          <w:ilvl w:val="0"/>
          <w:numId w:val="0"/>
        </w:numPr>
        <w:ind w:left="720"/>
        <w:jc w:val="center"/>
      </w:pPr>
      <w:r>
        <w:t>050554805003064</w:t>
      </w:r>
    </w:p>
    <w:p w:rsidR="00CA6989" w:rsidP="00CA6989" w14:paraId="1E90E35F" w14:textId="77777777">
      <w:pPr>
        <w:pStyle w:val="ParaNum"/>
        <w:numPr>
          <w:ilvl w:val="0"/>
          <w:numId w:val="0"/>
        </w:numPr>
        <w:ind w:left="720"/>
        <w:jc w:val="center"/>
      </w:pPr>
      <w:r>
        <w:t>050554805003066</w:t>
      </w:r>
    </w:p>
    <w:p w:rsidR="00CA6989" w:rsidP="00CA6989" w14:paraId="376F6F15" w14:textId="77777777">
      <w:pPr>
        <w:pStyle w:val="ParaNum"/>
        <w:numPr>
          <w:ilvl w:val="0"/>
          <w:numId w:val="0"/>
        </w:numPr>
        <w:ind w:left="720"/>
        <w:jc w:val="center"/>
      </w:pPr>
      <w:r>
        <w:t>050554805003071</w:t>
      </w:r>
    </w:p>
    <w:p w:rsidR="00CA6989" w:rsidP="00CA6989" w14:paraId="49053B9D" w14:textId="77777777">
      <w:pPr>
        <w:pStyle w:val="ParaNum"/>
        <w:numPr>
          <w:ilvl w:val="0"/>
          <w:numId w:val="0"/>
        </w:numPr>
        <w:ind w:left="720"/>
        <w:jc w:val="center"/>
      </w:pPr>
      <w:r>
        <w:t>050554805003074</w:t>
      </w:r>
    </w:p>
    <w:p w:rsidR="00CA6989" w:rsidP="00CA6989" w14:paraId="68CCDEB5" w14:textId="77777777">
      <w:pPr>
        <w:pStyle w:val="ParaNum"/>
        <w:numPr>
          <w:ilvl w:val="0"/>
          <w:numId w:val="0"/>
        </w:numPr>
        <w:ind w:left="720"/>
        <w:jc w:val="center"/>
      </w:pPr>
      <w:r>
        <w:t>050554805003075</w:t>
      </w:r>
    </w:p>
    <w:p w:rsidR="00CA6989" w:rsidP="00CA6989" w14:paraId="1688BC71" w14:textId="77777777">
      <w:pPr>
        <w:pStyle w:val="ParaNum"/>
        <w:numPr>
          <w:ilvl w:val="0"/>
          <w:numId w:val="0"/>
        </w:numPr>
        <w:ind w:left="720"/>
        <w:jc w:val="center"/>
      </w:pPr>
      <w:r>
        <w:t>050554805003077</w:t>
      </w:r>
    </w:p>
    <w:p w:rsidR="00CA6989" w:rsidP="00CA6989" w14:paraId="16B20A1A" w14:textId="77777777">
      <w:pPr>
        <w:pStyle w:val="ParaNum"/>
        <w:numPr>
          <w:ilvl w:val="0"/>
          <w:numId w:val="0"/>
        </w:numPr>
        <w:ind w:left="720"/>
        <w:jc w:val="center"/>
      </w:pPr>
      <w:r>
        <w:t>050554808013000</w:t>
      </w:r>
    </w:p>
    <w:p w:rsidR="00CA6989" w:rsidP="00CA6989" w14:paraId="473A531F" w14:textId="77777777">
      <w:pPr>
        <w:pStyle w:val="ParaNum"/>
        <w:numPr>
          <w:ilvl w:val="0"/>
          <w:numId w:val="0"/>
        </w:numPr>
        <w:ind w:left="720"/>
        <w:jc w:val="center"/>
      </w:pPr>
      <w:r>
        <w:t>050554808013002</w:t>
      </w:r>
    </w:p>
    <w:p w:rsidR="00CA6989" w:rsidP="00CA6989" w14:paraId="2393B7A3" w14:textId="77777777">
      <w:pPr>
        <w:pStyle w:val="ParaNum"/>
        <w:numPr>
          <w:ilvl w:val="0"/>
          <w:numId w:val="0"/>
        </w:numPr>
        <w:ind w:left="720"/>
        <w:jc w:val="center"/>
      </w:pPr>
      <w:r>
        <w:t>050554808013003</w:t>
      </w:r>
    </w:p>
    <w:p w:rsidR="00CA6989" w:rsidP="00CA6989" w14:paraId="74F8A6DA" w14:textId="77777777">
      <w:pPr>
        <w:pStyle w:val="ParaNum"/>
        <w:numPr>
          <w:ilvl w:val="0"/>
          <w:numId w:val="0"/>
        </w:numPr>
        <w:ind w:left="720"/>
        <w:jc w:val="center"/>
      </w:pPr>
      <w:r>
        <w:t>050554808013005</w:t>
      </w:r>
    </w:p>
    <w:p w:rsidR="00CA6989" w:rsidP="00CA6989" w14:paraId="0225F3B5" w14:textId="77777777">
      <w:pPr>
        <w:pStyle w:val="ParaNum"/>
        <w:numPr>
          <w:ilvl w:val="0"/>
          <w:numId w:val="0"/>
        </w:numPr>
        <w:ind w:left="720"/>
        <w:jc w:val="center"/>
      </w:pPr>
      <w:r>
        <w:t>050554808013008</w:t>
      </w:r>
    </w:p>
    <w:p w:rsidR="00CA6989" w:rsidP="00CA6989" w14:paraId="050319A2" w14:textId="77777777">
      <w:pPr>
        <w:pStyle w:val="ParaNum"/>
        <w:numPr>
          <w:ilvl w:val="0"/>
          <w:numId w:val="0"/>
        </w:numPr>
        <w:ind w:left="720"/>
        <w:jc w:val="center"/>
      </w:pPr>
      <w:r>
        <w:t>050554808013010</w:t>
      </w:r>
    </w:p>
    <w:p w:rsidR="00CA6989" w:rsidP="00CA6989" w14:paraId="62FB1C24" w14:textId="77777777">
      <w:pPr>
        <w:pStyle w:val="ParaNum"/>
        <w:numPr>
          <w:ilvl w:val="0"/>
          <w:numId w:val="0"/>
        </w:numPr>
        <w:ind w:left="720"/>
        <w:jc w:val="center"/>
      </w:pPr>
      <w:r>
        <w:t>050554808013024</w:t>
      </w:r>
    </w:p>
    <w:p w:rsidR="00CA6989" w:rsidP="00CA6989" w14:paraId="56737C11" w14:textId="77777777">
      <w:pPr>
        <w:pStyle w:val="ParaNum"/>
        <w:numPr>
          <w:ilvl w:val="0"/>
          <w:numId w:val="0"/>
        </w:numPr>
        <w:ind w:left="720"/>
        <w:jc w:val="center"/>
      </w:pPr>
      <w:r>
        <w:t>050554808021003</w:t>
      </w:r>
    </w:p>
    <w:p w:rsidR="00CA6989" w:rsidP="00CA6989" w14:paraId="276B716B" w14:textId="77777777">
      <w:pPr>
        <w:pStyle w:val="ParaNum"/>
        <w:numPr>
          <w:ilvl w:val="0"/>
          <w:numId w:val="0"/>
        </w:numPr>
        <w:ind w:left="720"/>
        <w:jc w:val="center"/>
      </w:pPr>
      <w:r>
        <w:t>050554808021021</w:t>
      </w:r>
    </w:p>
    <w:p w:rsidR="00CA6989" w:rsidP="00CA6989" w14:paraId="5FEAD628" w14:textId="77777777">
      <w:pPr>
        <w:pStyle w:val="ParaNum"/>
        <w:numPr>
          <w:ilvl w:val="0"/>
          <w:numId w:val="0"/>
        </w:numPr>
        <w:ind w:left="720"/>
        <w:jc w:val="center"/>
      </w:pPr>
      <w:r>
        <w:t>050634902003014</w:t>
      </w:r>
    </w:p>
    <w:p w:rsidR="00CA6989" w:rsidP="00CA6989" w14:paraId="4F26B6E3" w14:textId="77777777">
      <w:pPr>
        <w:pStyle w:val="ParaNum"/>
        <w:numPr>
          <w:ilvl w:val="0"/>
          <w:numId w:val="0"/>
        </w:numPr>
        <w:ind w:left="720"/>
        <w:jc w:val="center"/>
      </w:pPr>
      <w:r>
        <w:t>050690021032004</w:t>
      </w:r>
    </w:p>
    <w:p w:rsidR="00CA6989" w:rsidP="00CA6989" w14:paraId="1B43140F" w14:textId="77777777">
      <w:pPr>
        <w:pStyle w:val="ParaNum"/>
        <w:numPr>
          <w:ilvl w:val="0"/>
          <w:numId w:val="0"/>
        </w:numPr>
        <w:ind w:left="720"/>
        <w:jc w:val="center"/>
      </w:pPr>
      <w:r>
        <w:t>050690021032020</w:t>
      </w:r>
    </w:p>
    <w:p w:rsidR="00CA6989" w:rsidP="00CA6989" w14:paraId="77654502" w14:textId="77777777">
      <w:pPr>
        <w:pStyle w:val="ParaNum"/>
        <w:numPr>
          <w:ilvl w:val="0"/>
          <w:numId w:val="0"/>
        </w:numPr>
        <w:ind w:left="720"/>
        <w:jc w:val="center"/>
      </w:pPr>
      <w:r>
        <w:t>050690021032023</w:t>
      </w:r>
    </w:p>
    <w:p w:rsidR="00CA6989" w:rsidP="00CA6989" w14:paraId="03155B76" w14:textId="77777777">
      <w:pPr>
        <w:pStyle w:val="ParaNum"/>
        <w:numPr>
          <w:ilvl w:val="0"/>
          <w:numId w:val="0"/>
        </w:numPr>
        <w:ind w:left="720"/>
        <w:jc w:val="center"/>
      </w:pPr>
      <w:r>
        <w:t>050690021032029</w:t>
      </w:r>
    </w:p>
    <w:p w:rsidR="00CA6989" w:rsidP="00CA6989" w14:paraId="6562698C" w14:textId="77777777">
      <w:pPr>
        <w:pStyle w:val="ParaNum"/>
        <w:numPr>
          <w:ilvl w:val="0"/>
          <w:numId w:val="0"/>
        </w:numPr>
        <w:ind w:left="720"/>
        <w:jc w:val="center"/>
      </w:pPr>
      <w:r>
        <w:t>050930101001001</w:t>
      </w:r>
    </w:p>
    <w:p w:rsidR="00CA6989" w:rsidP="00CA6989" w14:paraId="0B781C19" w14:textId="77777777">
      <w:pPr>
        <w:pStyle w:val="ParaNum"/>
        <w:numPr>
          <w:ilvl w:val="0"/>
          <w:numId w:val="0"/>
        </w:numPr>
        <w:ind w:left="720"/>
        <w:jc w:val="center"/>
      </w:pPr>
      <w:r>
        <w:t>050930101001002</w:t>
      </w:r>
    </w:p>
    <w:p w:rsidR="00CA6989" w:rsidP="00CA6989" w14:paraId="19DA9558" w14:textId="77777777">
      <w:pPr>
        <w:pStyle w:val="ParaNum"/>
        <w:numPr>
          <w:ilvl w:val="0"/>
          <w:numId w:val="0"/>
        </w:numPr>
        <w:ind w:left="720"/>
        <w:jc w:val="center"/>
      </w:pPr>
      <w:r>
        <w:t>050930101001009</w:t>
      </w:r>
    </w:p>
    <w:p w:rsidR="00CA6989" w:rsidP="00CA6989" w14:paraId="71A01587" w14:textId="77777777">
      <w:pPr>
        <w:pStyle w:val="ParaNum"/>
        <w:numPr>
          <w:ilvl w:val="0"/>
          <w:numId w:val="0"/>
        </w:numPr>
        <w:ind w:left="720"/>
        <w:jc w:val="center"/>
      </w:pPr>
      <w:r>
        <w:t>050930101001011</w:t>
      </w:r>
    </w:p>
    <w:p w:rsidR="00CA6989" w:rsidP="00CA6989" w14:paraId="2566BD9A" w14:textId="77777777">
      <w:pPr>
        <w:pStyle w:val="ParaNum"/>
        <w:numPr>
          <w:ilvl w:val="0"/>
          <w:numId w:val="0"/>
        </w:numPr>
        <w:ind w:left="720"/>
        <w:jc w:val="center"/>
      </w:pPr>
      <w:r>
        <w:t>050930101001014</w:t>
      </w:r>
    </w:p>
    <w:p w:rsidR="00CA6989" w:rsidP="00CA6989" w14:paraId="7184839A" w14:textId="77777777">
      <w:pPr>
        <w:pStyle w:val="ParaNum"/>
        <w:numPr>
          <w:ilvl w:val="0"/>
          <w:numId w:val="0"/>
        </w:numPr>
        <w:ind w:left="720"/>
        <w:jc w:val="center"/>
      </w:pPr>
      <w:r>
        <w:t>050930101001015</w:t>
      </w:r>
    </w:p>
    <w:p w:rsidR="00CA6989" w:rsidP="00CA6989" w14:paraId="03B98FCE" w14:textId="77777777">
      <w:pPr>
        <w:pStyle w:val="ParaNum"/>
        <w:numPr>
          <w:ilvl w:val="0"/>
          <w:numId w:val="0"/>
        </w:numPr>
        <w:ind w:left="720"/>
        <w:jc w:val="center"/>
      </w:pPr>
      <w:r>
        <w:t>050930101001016</w:t>
      </w:r>
    </w:p>
    <w:p w:rsidR="00CA6989" w:rsidP="00CA6989" w14:paraId="00CE71D6" w14:textId="77777777">
      <w:pPr>
        <w:pStyle w:val="ParaNum"/>
        <w:numPr>
          <w:ilvl w:val="0"/>
          <w:numId w:val="0"/>
        </w:numPr>
        <w:ind w:left="720"/>
        <w:jc w:val="center"/>
      </w:pPr>
      <w:r>
        <w:t>051239605004003</w:t>
      </w:r>
    </w:p>
    <w:p w:rsidR="00CA6989" w:rsidP="00CA6989" w14:paraId="0AF1C15D" w14:textId="77777777">
      <w:pPr>
        <w:pStyle w:val="ParaNum"/>
        <w:numPr>
          <w:ilvl w:val="0"/>
          <w:numId w:val="0"/>
        </w:numPr>
        <w:ind w:left="720"/>
        <w:jc w:val="center"/>
      </w:pPr>
      <w:r>
        <w:t>051239605004015</w:t>
      </w:r>
    </w:p>
    <w:p w:rsidR="00CA6989" w:rsidP="00CA6989" w14:paraId="7793BD1D" w14:textId="77777777">
      <w:pPr>
        <w:pStyle w:val="ParaNum"/>
        <w:numPr>
          <w:ilvl w:val="0"/>
          <w:numId w:val="0"/>
        </w:numPr>
        <w:ind w:left="720"/>
        <w:jc w:val="center"/>
      </w:pPr>
      <w:r>
        <w:t>051450707001002</w:t>
      </w:r>
    </w:p>
    <w:p w:rsidR="00CA6989" w:rsidP="00CA6989" w14:paraId="79CAECF1" w14:textId="77777777">
      <w:pPr>
        <w:pStyle w:val="ParaNum"/>
        <w:numPr>
          <w:ilvl w:val="0"/>
          <w:numId w:val="0"/>
        </w:numPr>
        <w:ind w:left="720"/>
        <w:jc w:val="center"/>
      </w:pPr>
      <w:r>
        <w:t>051450707001021</w:t>
      </w:r>
    </w:p>
    <w:p w:rsidR="00CA6989" w:rsidP="00CA6989" w14:paraId="78F0D541" w14:textId="77777777">
      <w:pPr>
        <w:pStyle w:val="ParaNum"/>
        <w:numPr>
          <w:ilvl w:val="0"/>
          <w:numId w:val="0"/>
        </w:numPr>
        <w:ind w:left="720"/>
        <w:jc w:val="center"/>
      </w:pPr>
      <w:r>
        <w:t>051450707001027</w:t>
      </w:r>
    </w:p>
    <w:p w:rsidR="00CA6989" w:rsidP="00CA6989" w14:paraId="4A321A9F" w14:textId="77777777">
      <w:pPr>
        <w:pStyle w:val="ParaNum"/>
        <w:numPr>
          <w:ilvl w:val="0"/>
          <w:numId w:val="0"/>
        </w:numPr>
        <w:ind w:left="720"/>
        <w:jc w:val="center"/>
      </w:pPr>
      <w:r>
        <w:t>051450709001001</w:t>
      </w:r>
    </w:p>
    <w:p w:rsidR="00CA6989" w:rsidRPr="005B5210" w:rsidP="00CA6989" w14:paraId="7F3410E9" w14:textId="77777777">
      <w:pPr>
        <w:pStyle w:val="ParaNum"/>
        <w:numPr>
          <w:ilvl w:val="0"/>
          <w:numId w:val="0"/>
        </w:numPr>
        <w:ind w:left="720"/>
        <w:jc w:val="center"/>
      </w:pPr>
      <w:r>
        <w:t>051450709001020</w:t>
      </w:r>
    </w:p>
    <w:p w:rsidR="00E359E7" w:rsidP="00B36C28" w14:paraId="57337AA8" w14:textId="77777777">
      <w:pPr>
        <w:pStyle w:val="ParaNum"/>
        <w:numPr>
          <w:ilvl w:val="0"/>
          <w:numId w:val="0"/>
        </w:numPr>
        <w:ind w:left="720"/>
        <w:sectPr w:rsidSect="00256B78">
          <w:endnotePr>
            <w:numFmt w:val="decimal"/>
          </w:endnotePr>
          <w:type w:val="continuous"/>
          <w:pgSz w:w="12240" w:h="15840"/>
          <w:pgMar w:top="1440" w:right="1440" w:bottom="720" w:left="1440" w:header="720" w:footer="720" w:gutter="0"/>
          <w:pgNumType w:start="1"/>
          <w:cols w:num="2" w:space="720"/>
          <w:noEndnote/>
          <w:titlePg/>
        </w:sectPr>
      </w:pPr>
    </w:p>
    <w:p w:rsidR="00412FC5" w:rsidRPr="000F7B63" w:rsidP="00B36C28" w14:paraId="320C5516" w14:textId="77777777">
      <w:pPr>
        <w:pStyle w:val="ParaNum"/>
        <w:numPr>
          <w:ilvl w:val="0"/>
          <w:numId w:val="0"/>
        </w:numPr>
        <w:ind w:left="720"/>
      </w:pPr>
    </w:p>
    <w:sectPr w:rsidSect="00E359E7">
      <w:endnotePr>
        <w:numFmt w:val="decimal"/>
      </w:endnotePr>
      <w:type w:val="continuous"/>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F611C" w14:paraId="74D4BF61" w14:textId="77777777">
      <w:pPr>
        <w:spacing w:line="20" w:lineRule="exact"/>
      </w:pPr>
    </w:p>
  </w:endnote>
  <w:endnote w:type="continuationSeparator" w:id="1">
    <w:p w:rsidR="003F611C" w14:paraId="535FAC63" w14:textId="77777777">
      <w:r>
        <w:t xml:space="preserve"> </w:t>
      </w:r>
    </w:p>
  </w:endnote>
  <w:endnote w:type="continuationNotice" w:id="2">
    <w:p w:rsidR="003F611C" w14:paraId="0056411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Agency FB">
    <w:panose1 w:val="020B0503020202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8A62C5C"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A00A0D5"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A17394" w14:paraId="4218442B" w14:textId="22D6D9F2">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71EC1A4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F611C" w14:paraId="48A3BF18" w14:textId="77777777">
      <w:r>
        <w:separator/>
      </w:r>
    </w:p>
  </w:footnote>
  <w:footnote w:type="continuationSeparator" w:id="1">
    <w:p w:rsidR="003F611C" w:rsidP="00C721AC" w14:paraId="5008B032" w14:textId="77777777">
      <w:pPr>
        <w:spacing w:before="120"/>
        <w:rPr>
          <w:sz w:val="20"/>
        </w:rPr>
      </w:pPr>
      <w:r>
        <w:rPr>
          <w:sz w:val="20"/>
        </w:rPr>
        <w:t xml:space="preserve">(Continued from previous page)  </w:t>
      </w:r>
      <w:r>
        <w:rPr>
          <w:sz w:val="20"/>
        </w:rPr>
        <w:separator/>
      </w:r>
    </w:p>
  </w:footnote>
  <w:footnote w:type="continuationNotice" w:id="2">
    <w:p w:rsidR="003F611C" w:rsidP="00C721AC" w14:paraId="093FE926" w14:textId="77777777">
      <w:pPr>
        <w:jc w:val="right"/>
        <w:rPr>
          <w:sz w:val="20"/>
        </w:rPr>
      </w:pPr>
      <w:r>
        <w:rPr>
          <w:sz w:val="20"/>
        </w:rPr>
        <w:t>(continued….)</w:t>
      </w:r>
    </w:p>
  </w:footnote>
  <w:footnote w:id="3">
    <w:p w:rsidR="000F7B63" w:rsidP="000F7B63" w14:paraId="6D9E7338" w14:textId="7DB93318">
      <w:pPr>
        <w:pStyle w:val="FootnoteText"/>
      </w:pPr>
      <w:r>
        <w:rPr>
          <w:rStyle w:val="FootnoteReference"/>
        </w:rPr>
        <w:footnoteRef/>
      </w:r>
      <w:r>
        <w:t xml:space="preserve"> </w:t>
      </w:r>
      <w:r w:rsidR="00B342D9">
        <w:t xml:space="preserve">Petition for Waiver of Wisper ISP, LLC, WC Docket No. 19-126 (filed </w:t>
      </w:r>
      <w:r w:rsidR="003D53FD">
        <w:t>Mar. 25, 2026)</w:t>
      </w:r>
      <w:r w:rsidR="00ED565C">
        <w:t xml:space="preserve"> (Wisper Petition)</w:t>
      </w:r>
      <w:r w:rsidR="003D53FD">
        <w:t xml:space="preserve">.  </w:t>
      </w:r>
      <w:r>
        <w:t xml:space="preserve"> </w:t>
      </w:r>
    </w:p>
  </w:footnote>
  <w:footnote w:id="4">
    <w:p w:rsidR="000F7B63" w:rsidP="000F7B63" w14:paraId="72B70E19" w14:textId="77777777">
      <w:pPr>
        <w:pStyle w:val="FootnoteText"/>
      </w:pPr>
      <w:r>
        <w:rPr>
          <w:rStyle w:val="FootnoteReference"/>
        </w:rPr>
        <w:footnoteRef/>
      </w:r>
      <w:r>
        <w:t xml:space="preserve"> 47 CFR § 54.802(c)(1); </w:t>
      </w:r>
      <w:r w:rsidRPr="00A9225F">
        <w:rPr>
          <w:i/>
          <w:iCs/>
        </w:rPr>
        <w:t>Rural Digital Opportunity Fund et al.</w:t>
      </w:r>
      <w:r>
        <w:t>, WC Docket No. 19-126 et al., Report and Order, 35 FCC Rcd 686, 709-11, paras. 45-52 (2020) (</w:t>
      </w:r>
      <w:r w:rsidRPr="00B73FA0">
        <w:rPr>
          <w:i/>
          <w:iCs/>
        </w:rPr>
        <w:t>RDOF Order</w:t>
      </w:r>
      <w:r>
        <w:t>).</w:t>
      </w:r>
    </w:p>
  </w:footnote>
  <w:footnote w:id="5">
    <w:p w:rsidR="000F7B63" w:rsidP="000F7B63" w14:paraId="73A4BE81" w14:textId="77777777">
      <w:pPr>
        <w:pStyle w:val="FootnoteText"/>
      </w:pPr>
      <w:r>
        <w:rPr>
          <w:rStyle w:val="FootnoteReference"/>
        </w:rPr>
        <w:footnoteRef/>
      </w:r>
      <w:r>
        <w:t xml:space="preserve"> 47 CFR § 54.802(c)(1); </w:t>
      </w:r>
      <w:r w:rsidRPr="00C872BC">
        <w:rPr>
          <w:i/>
          <w:iCs/>
        </w:rPr>
        <w:t>RDOF Order</w:t>
      </w:r>
      <w:r>
        <w:t xml:space="preserve">, 35 FCC Rcd at 709, para. 45. </w:t>
      </w:r>
    </w:p>
  </w:footnote>
  <w:footnote w:id="6">
    <w:p w:rsidR="000F7B63" w:rsidP="000F7B63" w14:paraId="122D4A96" w14:textId="77777777">
      <w:pPr>
        <w:pStyle w:val="FootnoteText"/>
      </w:pPr>
      <w:r>
        <w:rPr>
          <w:rStyle w:val="FootnoteReference"/>
        </w:rPr>
        <w:footnoteRef/>
      </w:r>
      <w:r>
        <w:t xml:space="preserve"> </w:t>
      </w:r>
      <w:r w:rsidRPr="00C872BC">
        <w:rPr>
          <w:i/>
          <w:iCs/>
        </w:rPr>
        <w:t>RDOF Order</w:t>
      </w:r>
      <w:r>
        <w:t xml:space="preserve">, 35 FCC Rcd at 709, para. 45. </w:t>
      </w:r>
    </w:p>
  </w:footnote>
  <w:footnote w:id="7">
    <w:p w:rsidR="000F7B63" w:rsidP="000F7B63" w14:paraId="6E93095F" w14:textId="0743EE37">
      <w:pPr>
        <w:pStyle w:val="FootnoteText"/>
      </w:pPr>
      <w:r>
        <w:rPr>
          <w:rStyle w:val="FootnoteReference"/>
        </w:rPr>
        <w:footnoteRef/>
      </w:r>
      <w:r>
        <w:t xml:space="preserve"> </w:t>
      </w:r>
      <w:r w:rsidRPr="00E533C1">
        <w:rPr>
          <w:i/>
          <w:iCs/>
        </w:rPr>
        <w:t>Id.</w:t>
      </w:r>
      <w:r>
        <w:t xml:space="preserve">  The Bureau </w:t>
      </w:r>
      <w:r w:rsidR="00A6082E">
        <w:t>adopted</w:t>
      </w:r>
      <w:r>
        <w:t xml:space="preserve"> the Broadband Serviceable Location Fabric</w:t>
      </w:r>
      <w:r w:rsidR="005E2EA2">
        <w:t xml:space="preserve"> (Fabric)</w:t>
      </w:r>
      <w:r>
        <w:t xml:space="preserve"> as the source for the revised location counts.  </w:t>
      </w:r>
      <w:r w:rsidR="00D67C47">
        <w:rPr>
          <w:i/>
          <w:iCs/>
        </w:rPr>
        <w:t>Connect America Fund et al.</w:t>
      </w:r>
      <w:r>
        <w:t xml:space="preserve">, WC Docket No. 10-90 et al., </w:t>
      </w:r>
      <w:r w:rsidR="00D67C47">
        <w:t>Order</w:t>
      </w:r>
      <w:r>
        <w:t xml:space="preserve">, </w:t>
      </w:r>
      <w:r w:rsidR="009B7AAA">
        <w:t>40</w:t>
      </w:r>
      <w:r>
        <w:t xml:space="preserve"> FCC Rcd </w:t>
      </w:r>
      <w:r w:rsidR="009B7AAA">
        <w:t>281</w:t>
      </w:r>
      <w:r>
        <w:t xml:space="preserve"> (WCB 202</w:t>
      </w:r>
      <w:r w:rsidR="009B7AAA">
        <w:t>5</w:t>
      </w:r>
      <w:r>
        <w:t>)</w:t>
      </w:r>
      <w:r w:rsidR="000F22EC">
        <w:t xml:space="preserve"> (</w:t>
      </w:r>
      <w:r w:rsidRPr="000F22EC" w:rsidR="000F22EC">
        <w:rPr>
          <w:i/>
          <w:iCs/>
        </w:rPr>
        <w:t>High-Cost Fabric Order</w:t>
      </w:r>
      <w:r w:rsidR="000F22EC">
        <w:t>)</w:t>
      </w:r>
      <w:r>
        <w:t>.</w:t>
      </w:r>
    </w:p>
  </w:footnote>
  <w:footnote w:id="8">
    <w:p w:rsidR="000F7B63" w:rsidP="000F7B63" w14:paraId="19DB7A26" w14:textId="77777777">
      <w:pPr>
        <w:pStyle w:val="FootnoteText"/>
      </w:pPr>
      <w:r>
        <w:rPr>
          <w:rStyle w:val="FootnoteReference"/>
        </w:rPr>
        <w:footnoteRef/>
      </w:r>
      <w:r>
        <w:t xml:space="preserve"> 47 CFR § 54.802(c)(1)(i); </w:t>
      </w:r>
      <w:r w:rsidRPr="00C872BC">
        <w:rPr>
          <w:i/>
          <w:iCs/>
        </w:rPr>
        <w:t>RDOF Order</w:t>
      </w:r>
      <w:r>
        <w:t>, 35 FCC Rcd at 709-11, paras. 45, 49-50.</w:t>
      </w:r>
    </w:p>
  </w:footnote>
  <w:footnote w:id="9">
    <w:p w:rsidR="000F7B63" w:rsidP="000F7B63" w14:paraId="13E9C85E" w14:textId="77777777">
      <w:pPr>
        <w:pStyle w:val="FootnoteText"/>
      </w:pPr>
      <w:r>
        <w:rPr>
          <w:rStyle w:val="FootnoteReference"/>
        </w:rPr>
        <w:footnoteRef/>
      </w:r>
      <w:r>
        <w:t xml:space="preserve"> </w:t>
      </w:r>
      <w:r w:rsidRPr="003C63B8">
        <w:rPr>
          <w:i/>
          <w:iCs/>
        </w:rPr>
        <w:t>See, e.g.</w:t>
      </w:r>
      <w:r>
        <w:t xml:space="preserve">, 47 CFR §§ 54.320(c) &amp; (d), 54.804(c)(4)(i), 54.806(b) &amp; (c); </w:t>
      </w:r>
      <w:r w:rsidRPr="005E2FC4">
        <w:rPr>
          <w:i/>
          <w:iCs/>
        </w:rPr>
        <w:t>RDOF Order</w:t>
      </w:r>
      <w:r>
        <w:t>, 35 FCC Rcd at 713-16, paras. 58-64.</w:t>
      </w:r>
    </w:p>
  </w:footnote>
  <w:footnote w:id="10">
    <w:p w:rsidR="000F7B63" w:rsidP="000F7B63" w14:paraId="0AB87958" w14:textId="69EE2197">
      <w:pPr>
        <w:pStyle w:val="FootnoteText"/>
      </w:pPr>
      <w:r>
        <w:rPr>
          <w:rStyle w:val="FootnoteReference"/>
        </w:rPr>
        <w:footnoteRef/>
      </w:r>
      <w:r>
        <w:t xml:space="preserve"> </w:t>
      </w:r>
      <w:r w:rsidRPr="00D1765B">
        <w:rPr>
          <w:i/>
          <w:iCs/>
        </w:rPr>
        <w:t>Rural Digital Opportunity Fund Phase I Auction (Auction 904) Closes; Winning Bidders Announced; FCC Form 683 Due January 29, 2021</w:t>
      </w:r>
      <w:r>
        <w:t xml:space="preserve">, AU Docket No. 20-34 et al., </w:t>
      </w:r>
      <w:r w:rsidR="0017193B">
        <w:t xml:space="preserve">Public Notice, </w:t>
      </w:r>
      <w:r>
        <w:t xml:space="preserve">35 FCC Rcd 13888 (WCB 2020). </w:t>
      </w:r>
    </w:p>
  </w:footnote>
  <w:footnote w:id="11">
    <w:p w:rsidR="000F7B63" w:rsidP="000F7B63" w14:paraId="6213EB79" w14:textId="0262A2EE">
      <w:pPr>
        <w:pStyle w:val="FootnoteText"/>
      </w:pPr>
      <w:r>
        <w:rPr>
          <w:rStyle w:val="FootnoteReference"/>
        </w:rPr>
        <w:footnoteRef/>
      </w:r>
      <w:r>
        <w:t xml:space="preserve"> </w:t>
      </w:r>
      <w:r w:rsidRPr="00F06C17">
        <w:rPr>
          <w:i/>
          <w:iCs/>
        </w:rPr>
        <w:t xml:space="preserve">Rural Digital Opportunity Fund Support Authorized for </w:t>
      </w:r>
      <w:r w:rsidR="00FB37D8">
        <w:rPr>
          <w:i/>
          <w:iCs/>
        </w:rPr>
        <w:t>513</w:t>
      </w:r>
      <w:r w:rsidRPr="00F06C17">
        <w:rPr>
          <w:i/>
          <w:iCs/>
        </w:rPr>
        <w:t xml:space="preserve"> Winning Bids</w:t>
      </w:r>
      <w:r w:rsidR="008F1633">
        <w:t xml:space="preserve">; </w:t>
      </w:r>
      <w:r w:rsidR="008F1633">
        <w:rPr>
          <w:i/>
          <w:iCs/>
        </w:rPr>
        <w:t xml:space="preserve">Bid Defaults </w:t>
      </w:r>
      <w:r w:rsidRPr="008F1633" w:rsidR="008F1633">
        <w:rPr>
          <w:i/>
          <w:iCs/>
        </w:rPr>
        <w:t>Announced</w:t>
      </w:r>
      <w:r w:rsidR="008F1633">
        <w:t xml:space="preserve">, </w:t>
      </w:r>
      <w:r w:rsidRPr="008F1633">
        <w:t>AU</w:t>
      </w:r>
      <w:r>
        <w:t xml:space="preserve"> Docket No. 20-34 et al., Public Notice, 37 FCC Rcd </w:t>
      </w:r>
      <w:r w:rsidR="009B00CA">
        <w:t>7271</w:t>
      </w:r>
      <w:r>
        <w:t xml:space="preserve"> (WCB 2022)</w:t>
      </w:r>
      <w:r w:rsidR="00C16F57">
        <w:t xml:space="preserve"> (</w:t>
      </w:r>
      <w:r w:rsidRPr="007E37B7" w:rsidR="00C16F57">
        <w:rPr>
          <w:i/>
          <w:iCs/>
        </w:rPr>
        <w:t>Wisper Authorization Public Notice</w:t>
      </w:r>
      <w:r w:rsidR="00C16F57">
        <w:t>)</w:t>
      </w:r>
      <w:r>
        <w:t>.</w:t>
      </w:r>
    </w:p>
  </w:footnote>
  <w:footnote w:id="12">
    <w:p w:rsidR="009B2694" w14:paraId="463150B3" w14:textId="44EA0A44">
      <w:pPr>
        <w:pStyle w:val="FootnoteText"/>
      </w:pPr>
      <w:r>
        <w:rPr>
          <w:rStyle w:val="FootnoteReference"/>
        </w:rPr>
        <w:footnoteRef/>
      </w:r>
      <w:r>
        <w:t xml:space="preserve"> </w:t>
      </w:r>
      <w:r w:rsidRPr="009B2694">
        <w:rPr>
          <w:i/>
          <w:iCs/>
        </w:rPr>
        <w:t>See generally</w:t>
      </w:r>
      <w:r>
        <w:t xml:space="preserve"> Wisper Petition. </w:t>
      </w:r>
    </w:p>
  </w:footnote>
  <w:footnote w:id="13">
    <w:p w:rsidR="00C20632" w14:paraId="53ED8400" w14:textId="5B5EC670">
      <w:pPr>
        <w:pStyle w:val="FootnoteText"/>
      </w:pPr>
      <w:r>
        <w:rPr>
          <w:rStyle w:val="FootnoteReference"/>
        </w:rPr>
        <w:footnoteRef/>
      </w:r>
      <w:r>
        <w:t xml:space="preserve"> </w:t>
      </w:r>
      <w:r w:rsidRPr="00561634">
        <w:rPr>
          <w:i/>
          <w:iCs/>
        </w:rPr>
        <w:t>Id.</w:t>
      </w:r>
      <w:r>
        <w:t xml:space="preserve"> at </w:t>
      </w:r>
      <w:r w:rsidR="00561634">
        <w:t xml:space="preserve">3, Exh. A, Exh. C.  </w:t>
      </w:r>
      <w:r w:rsidRPr="000876AF" w:rsidR="00561634">
        <w:rPr>
          <w:i/>
          <w:iCs/>
        </w:rPr>
        <w:t>See also</w:t>
      </w:r>
      <w:r w:rsidR="00561634">
        <w:t xml:space="preserve"> FCC, National Broadband Map, </w:t>
      </w:r>
      <w:hyperlink r:id="rId1" w:history="1">
        <w:r w:rsidRPr="00B87387" w:rsidR="000876AF">
          <w:rPr>
            <w:rStyle w:val="Hyperlink"/>
          </w:rPr>
          <w:t>https://broadbandmap.fcc.gov/home</w:t>
        </w:r>
      </w:hyperlink>
      <w:r w:rsidR="000876AF">
        <w:t xml:space="preserve"> (last visited </w:t>
      </w:r>
      <w:r w:rsidR="00291B1B">
        <w:t>June 12, 2026</w:t>
      </w:r>
      <w:r w:rsidR="000876AF">
        <w:t>)</w:t>
      </w:r>
      <w:r w:rsidR="00B56F2E">
        <w:t xml:space="preserve"> (National Broadband Map)</w:t>
      </w:r>
      <w:r w:rsidR="000876AF">
        <w:t xml:space="preserve">. </w:t>
      </w:r>
    </w:p>
  </w:footnote>
  <w:footnote w:id="14">
    <w:p w:rsidR="0005209C" w14:paraId="6EAB6F65" w14:textId="73172839">
      <w:pPr>
        <w:pStyle w:val="FootnoteText"/>
      </w:pPr>
      <w:r>
        <w:rPr>
          <w:rStyle w:val="FootnoteReference"/>
        </w:rPr>
        <w:footnoteRef/>
      </w:r>
      <w:r>
        <w:t xml:space="preserve"> </w:t>
      </w:r>
      <w:r w:rsidR="00947EA1">
        <w:t xml:space="preserve">Wisper Petition </w:t>
      </w:r>
      <w:r>
        <w:t>at</w:t>
      </w:r>
      <w:r w:rsidR="00806E4C">
        <w:t xml:space="preserve"> 3,</w:t>
      </w:r>
      <w:r>
        <w:t xml:space="preserve"> Exh. B.</w:t>
      </w:r>
    </w:p>
  </w:footnote>
  <w:footnote w:id="15">
    <w:p w:rsidR="00305FD1" w14:paraId="15108E12" w14:textId="73FA9A90">
      <w:pPr>
        <w:pStyle w:val="FootnoteText"/>
      </w:pPr>
      <w:r>
        <w:rPr>
          <w:rStyle w:val="FootnoteReference"/>
        </w:rPr>
        <w:footnoteRef/>
      </w:r>
      <w:r>
        <w:t xml:space="preserve"> </w:t>
      </w:r>
      <w:r w:rsidRPr="00C26C0A">
        <w:rPr>
          <w:i/>
          <w:iCs/>
        </w:rPr>
        <w:t>Id.</w:t>
      </w:r>
      <w:r>
        <w:t xml:space="preserve"> at </w:t>
      </w:r>
      <w:r w:rsidR="004048E5">
        <w:t>4.</w:t>
      </w:r>
    </w:p>
  </w:footnote>
  <w:footnote w:id="16">
    <w:p w:rsidR="00792F76" w14:paraId="118B99B9" w14:textId="32CB4D79">
      <w:pPr>
        <w:pStyle w:val="FootnoteText"/>
      </w:pPr>
      <w:r>
        <w:rPr>
          <w:rStyle w:val="FootnoteReference"/>
        </w:rPr>
        <w:footnoteRef/>
      </w:r>
      <w:r>
        <w:t xml:space="preserve"> </w:t>
      </w:r>
      <w:r w:rsidRPr="00792F76">
        <w:rPr>
          <w:i/>
          <w:iCs/>
        </w:rPr>
        <w:t>Id.</w:t>
      </w:r>
      <w:r>
        <w:t xml:space="preserve"> </w:t>
      </w:r>
    </w:p>
  </w:footnote>
  <w:footnote w:id="17">
    <w:p w:rsidR="00D26912" w14:paraId="3AC59036" w14:textId="34D33C73">
      <w:pPr>
        <w:pStyle w:val="FootnoteText"/>
      </w:pPr>
      <w:r>
        <w:rPr>
          <w:rStyle w:val="FootnoteReference"/>
        </w:rPr>
        <w:footnoteRef/>
      </w:r>
      <w:r>
        <w:t xml:space="preserve"> </w:t>
      </w:r>
      <w:r w:rsidRPr="00937122">
        <w:rPr>
          <w:i/>
          <w:iCs/>
        </w:rPr>
        <w:t>Id.</w:t>
      </w:r>
      <w:r>
        <w:t xml:space="preserve"> </w:t>
      </w:r>
    </w:p>
  </w:footnote>
  <w:footnote w:id="18">
    <w:p w:rsidR="00727C53" w14:paraId="2F0A105C" w14:textId="31FA92EB">
      <w:pPr>
        <w:pStyle w:val="FootnoteText"/>
      </w:pPr>
      <w:r>
        <w:rPr>
          <w:rStyle w:val="FootnoteReference"/>
        </w:rPr>
        <w:footnoteRef/>
      </w:r>
      <w:r>
        <w:t xml:space="preserve"> </w:t>
      </w:r>
      <w:r w:rsidRPr="00727C53">
        <w:rPr>
          <w:i/>
          <w:iCs/>
        </w:rPr>
        <w:t>Id.</w:t>
      </w:r>
      <w:r>
        <w:t xml:space="preserve"> at 2.</w:t>
      </w:r>
    </w:p>
  </w:footnote>
  <w:footnote w:id="19">
    <w:p w:rsidR="00727C53" w14:paraId="43142C47" w14:textId="4F1D62D2">
      <w:pPr>
        <w:pStyle w:val="FootnoteText"/>
      </w:pPr>
      <w:r>
        <w:rPr>
          <w:rStyle w:val="FootnoteReference"/>
        </w:rPr>
        <w:footnoteRef/>
      </w:r>
      <w:r>
        <w:t xml:space="preserve"> </w:t>
      </w:r>
      <w:r w:rsidRPr="0027310A" w:rsidR="0027310A">
        <w:rPr>
          <w:i/>
          <w:iCs/>
        </w:rPr>
        <w:t>Id.</w:t>
      </w:r>
      <w:r w:rsidR="0027310A">
        <w:t xml:space="preserve"> </w:t>
      </w:r>
    </w:p>
  </w:footnote>
  <w:footnote w:id="20">
    <w:p w:rsidR="000F7B63" w:rsidRPr="005314F3" w:rsidP="000F7B63" w14:paraId="79E9AF39" w14:textId="77777777">
      <w:pPr>
        <w:pStyle w:val="FootnoteText"/>
        <w:rPr>
          <w:sz w:val="18"/>
          <w:szCs w:val="18"/>
        </w:rPr>
      </w:pPr>
      <w:r w:rsidRPr="005314F3">
        <w:rPr>
          <w:rStyle w:val="FootnoteReference"/>
        </w:rPr>
        <w:footnoteRef/>
      </w:r>
      <w:r w:rsidRPr="005314F3">
        <w:t xml:space="preserve"> 47 CFR § 1.3.</w:t>
      </w:r>
    </w:p>
  </w:footnote>
  <w:footnote w:id="21">
    <w:p w:rsidR="000F7B63" w:rsidRPr="005314F3" w:rsidP="000F7B63" w14:paraId="14F414C5" w14:textId="77777777">
      <w:pPr>
        <w:pStyle w:val="FootnoteText"/>
        <w:rPr>
          <w:sz w:val="18"/>
          <w:szCs w:val="18"/>
        </w:rPr>
      </w:pPr>
      <w:r w:rsidRPr="005314F3">
        <w:rPr>
          <w:rStyle w:val="FootnoteReference"/>
        </w:rPr>
        <w:footnoteRef/>
      </w:r>
      <w:r w:rsidRPr="005314F3">
        <w:t xml:space="preserve"> </w:t>
      </w:r>
      <w:r w:rsidRPr="005314F3">
        <w:rPr>
          <w:i/>
          <w:iCs/>
        </w:rPr>
        <w:t>See Northeast Cellular Tel. Co. v. FCC</w:t>
      </w:r>
      <w:r w:rsidRPr="005314F3">
        <w:t xml:space="preserve">, 897 F.2d 1164, 1166 (D.C. Cir. 1990) (citing </w:t>
      </w:r>
      <w:r w:rsidRPr="005314F3">
        <w:rPr>
          <w:i/>
          <w:iCs/>
        </w:rPr>
        <w:t>WAIT Radio v. FCC</w:t>
      </w:r>
      <w:r w:rsidRPr="005314F3">
        <w:t xml:space="preserve">, 418 F.2d 1153, 1157-59 (D.C. Cir. 1969), </w:t>
      </w:r>
      <w:r w:rsidRPr="005314F3">
        <w:rPr>
          <w:i/>
          <w:iCs/>
        </w:rPr>
        <w:t>cert. denied</w:t>
      </w:r>
      <w:r w:rsidRPr="005314F3">
        <w:t>, 93 S.Ct. 461 (1972)).</w:t>
      </w:r>
      <w:r w:rsidRPr="005314F3">
        <w:rPr>
          <w:i/>
          <w:iCs/>
        </w:rPr>
        <w:t xml:space="preserve"> </w:t>
      </w:r>
    </w:p>
  </w:footnote>
  <w:footnote w:id="22">
    <w:p w:rsidR="000F7B63" w:rsidP="000F7B63" w14:paraId="72CD952B" w14:textId="0355BB21">
      <w:pPr>
        <w:pStyle w:val="FootnoteText"/>
      </w:pPr>
      <w:r>
        <w:rPr>
          <w:rStyle w:val="FootnoteReference"/>
        </w:rPr>
        <w:footnoteRef/>
      </w:r>
      <w:r>
        <w:t xml:space="preserve"> 47 CFR §§ 54.320(d)(1), 54.802(c), 54.804(c)(4)(i), 54.806(c)(1).  </w:t>
      </w:r>
    </w:p>
  </w:footnote>
  <w:footnote w:id="23">
    <w:p w:rsidR="0028191C" w14:paraId="0DD7F259" w14:textId="6573CE1E">
      <w:pPr>
        <w:pStyle w:val="FootnoteText"/>
      </w:pPr>
      <w:r>
        <w:rPr>
          <w:rStyle w:val="FootnoteReference"/>
        </w:rPr>
        <w:footnoteRef/>
      </w:r>
      <w:r>
        <w:t xml:space="preserve"> 47 CFR § 54.806(c). </w:t>
      </w:r>
    </w:p>
  </w:footnote>
  <w:footnote w:id="24">
    <w:p w:rsidR="000F7B63" w:rsidP="000F7B63" w14:paraId="57EF261B" w14:textId="77777777">
      <w:pPr>
        <w:pStyle w:val="FootnoteText"/>
      </w:pPr>
      <w:r>
        <w:rPr>
          <w:rStyle w:val="FootnoteReference"/>
        </w:rPr>
        <w:footnoteRef/>
      </w:r>
      <w:r>
        <w:t xml:space="preserve"> 47 CFR § 54.802(c)(1); </w:t>
      </w:r>
      <w:r w:rsidRPr="00C872BC">
        <w:rPr>
          <w:i/>
          <w:iCs/>
        </w:rPr>
        <w:t>RDOF Order</w:t>
      </w:r>
      <w:r>
        <w:t>, 35 FCC Rcd at 709-11, paras. 45-52.</w:t>
      </w:r>
    </w:p>
  </w:footnote>
  <w:footnote w:id="25">
    <w:p w:rsidR="007919C8" w14:paraId="2425DF1C" w14:textId="3B9BC99A">
      <w:pPr>
        <w:pStyle w:val="FootnoteText"/>
      </w:pPr>
      <w:r>
        <w:rPr>
          <w:rStyle w:val="FootnoteReference"/>
        </w:rPr>
        <w:footnoteRef/>
      </w:r>
      <w:r>
        <w:t xml:space="preserve"> </w:t>
      </w:r>
      <w:r w:rsidRPr="00C15ADA" w:rsidR="00C15ADA">
        <w:rPr>
          <w:i/>
          <w:iCs/>
        </w:rPr>
        <w:t>See generally Wisper Authorization Public Notice</w:t>
      </w:r>
      <w:r w:rsidR="00C15ADA">
        <w:t xml:space="preserve">, </w:t>
      </w:r>
      <w:r w:rsidR="00F804BC">
        <w:t xml:space="preserve">37 FCC Rcd 7271.  </w:t>
      </w:r>
      <w:r w:rsidRPr="002E22B9" w:rsidR="00F804BC">
        <w:rPr>
          <w:i/>
          <w:iCs/>
        </w:rPr>
        <w:t>See also</w:t>
      </w:r>
      <w:r w:rsidR="00F804BC">
        <w:t xml:space="preserve"> Historical Authorized Auction 904 Long-Form Applicants Data</w:t>
      </w:r>
      <w:r w:rsidR="001C7442">
        <w:t xml:space="preserve">, </w:t>
      </w:r>
      <w:hyperlink r:id="rId2" w:history="1">
        <w:r w:rsidRPr="001657C4" w:rsidR="002E22B9">
          <w:rPr>
            <w:rStyle w:val="Hyperlink"/>
          </w:rPr>
          <w:t>https://www.fcc.gov/auction/904</w:t>
        </w:r>
      </w:hyperlink>
      <w:r w:rsidR="002E22B9">
        <w:t xml:space="preserve"> (“Results” tab) (last visited </w:t>
      </w:r>
      <w:r w:rsidR="00B56F2E">
        <w:t>June 12, 2026</w:t>
      </w:r>
      <w:r w:rsidR="002E22B9">
        <w:t xml:space="preserve">). </w:t>
      </w:r>
    </w:p>
  </w:footnote>
  <w:footnote w:id="26">
    <w:p w:rsidR="00D909C7" w14:paraId="18282162" w14:textId="1F231DBB">
      <w:pPr>
        <w:pStyle w:val="FootnoteText"/>
      </w:pPr>
      <w:r>
        <w:rPr>
          <w:rStyle w:val="FootnoteReference"/>
        </w:rPr>
        <w:footnoteRef/>
      </w:r>
      <w:r w:rsidR="00B56F2E">
        <w:t xml:space="preserve"> National Broadband Map</w:t>
      </w:r>
      <w:r w:rsidR="0036415D">
        <w:t xml:space="preserve">; Wisper Petition at </w:t>
      </w:r>
      <w:r w:rsidR="00464808">
        <w:t xml:space="preserve">3, </w:t>
      </w:r>
      <w:r w:rsidR="00BE66BB">
        <w:t xml:space="preserve">Exh. A. </w:t>
      </w:r>
      <w:r w:rsidR="003B2288">
        <w:t xml:space="preserve"> </w:t>
      </w:r>
      <w:r w:rsidRPr="00430A08" w:rsidR="003B2288">
        <w:rPr>
          <w:i/>
          <w:iCs/>
        </w:rPr>
        <w:t xml:space="preserve">See also </w:t>
      </w:r>
      <w:r w:rsidRPr="00430A08" w:rsidR="00430A08">
        <w:rPr>
          <w:i/>
          <w:iCs/>
        </w:rPr>
        <w:t>Connect America Fund et al.</w:t>
      </w:r>
      <w:r w:rsidR="00430A08">
        <w:t>, WC Docket No. 10-90 et al., Order, DA 26-215</w:t>
      </w:r>
      <w:r w:rsidR="00BE3093">
        <w:t xml:space="preserve">, at 6, para. 12 </w:t>
      </w:r>
      <w:r w:rsidR="00430A08">
        <w:t xml:space="preserve">(WCB Mar. 3, 2026) </w:t>
      </w:r>
      <w:r w:rsidR="00151D6B">
        <w:t>(</w:t>
      </w:r>
      <w:r w:rsidRPr="00151D6B" w:rsidR="00151D6B">
        <w:rPr>
          <w:i/>
          <w:iCs/>
        </w:rPr>
        <w:t>Savage Support Recovery Waiver Denial Order</w:t>
      </w:r>
      <w:r w:rsidR="00151D6B">
        <w:t xml:space="preserve">) </w:t>
      </w:r>
      <w:r w:rsidR="00430A08">
        <w:t xml:space="preserve">(noting the reduced risk that a carrier will cease providing service to a location </w:t>
      </w:r>
      <w:r w:rsidR="00012A18">
        <w:t xml:space="preserve">when a carrier makes a business decision to serve </w:t>
      </w:r>
      <w:r w:rsidR="00BE3093">
        <w:t>a</w:t>
      </w:r>
      <w:r w:rsidR="00012A18">
        <w:t xml:space="preserve"> location absent public fundi</w:t>
      </w:r>
      <w:r w:rsidR="00BE3093">
        <w:t xml:space="preserve">ng).  </w:t>
      </w:r>
    </w:p>
  </w:footnote>
  <w:footnote w:id="27">
    <w:p w:rsidR="000D3726" w14:paraId="1A428C8D" w14:textId="1754B2AF">
      <w:pPr>
        <w:pStyle w:val="FootnoteText"/>
      </w:pPr>
      <w:r>
        <w:rPr>
          <w:rStyle w:val="FootnoteReference"/>
        </w:rPr>
        <w:footnoteRef/>
      </w:r>
      <w:r>
        <w:t xml:space="preserve"> Wisper Petition at Exh. C. </w:t>
      </w:r>
    </w:p>
  </w:footnote>
  <w:footnote w:id="28">
    <w:p w:rsidR="00062F61" w14:paraId="17DCED09" w14:textId="6729A92A">
      <w:pPr>
        <w:pStyle w:val="FootnoteText"/>
      </w:pPr>
      <w:r>
        <w:rPr>
          <w:rStyle w:val="FootnoteReference"/>
        </w:rPr>
        <w:footnoteRef/>
      </w:r>
      <w:r>
        <w:t xml:space="preserve"> </w:t>
      </w:r>
      <w:r w:rsidRPr="004871D5">
        <w:rPr>
          <w:i/>
          <w:iCs/>
        </w:rPr>
        <w:t>Id.</w:t>
      </w:r>
      <w:r>
        <w:t xml:space="preserve"> at </w:t>
      </w:r>
      <w:r w:rsidR="004871D5">
        <w:t>4 (“</w:t>
      </w:r>
      <w:r w:rsidRPr="004871D5" w:rsidR="004871D5">
        <w:t>The deployment by other broadband providers of service to every location in the SAC at the RDOF-committed performance level means there currently are no unserved locations, thereby eliminating the need for RDOF support.</w:t>
      </w:r>
      <w:r w:rsidR="004871D5">
        <w:t xml:space="preserve">”). </w:t>
      </w:r>
    </w:p>
  </w:footnote>
  <w:footnote w:id="29">
    <w:p w:rsidR="00833C94" w14:paraId="2C38B57F" w14:textId="0E5D8A2E">
      <w:pPr>
        <w:pStyle w:val="FootnoteText"/>
      </w:pPr>
      <w:r w:rsidRPr="00950674">
        <w:rPr>
          <w:rStyle w:val="FootnoteReference"/>
        </w:rPr>
        <w:footnoteRef/>
      </w:r>
      <w:r w:rsidRPr="00125528">
        <w:rPr>
          <w:i/>
          <w:iCs/>
        </w:rPr>
        <w:t xml:space="preserve"> RDOF Order</w:t>
      </w:r>
      <w:r>
        <w:t xml:space="preserve">, 35 FCC Rcd at </w:t>
      </w:r>
      <w:r w:rsidR="00125528">
        <w:t xml:space="preserve">692, para. 13; Wisper Petition at </w:t>
      </w:r>
      <w:r w:rsidR="000B7671">
        <w:t>4 (noting that “[t]he Commission has consistently empathized the importance of targeting high-cost support to unserved areas</w:t>
      </w:r>
      <w:r w:rsidR="00950674">
        <w:t>,</w:t>
      </w:r>
      <w:r w:rsidR="000B7671">
        <w:t xml:space="preserve"> and Wisper’s request advances that objective”). </w:t>
      </w:r>
    </w:p>
  </w:footnote>
  <w:footnote w:id="30">
    <w:p w:rsidR="00F50EFA" w14:paraId="2DA14E9B" w14:textId="0C48EF5C">
      <w:pPr>
        <w:pStyle w:val="FootnoteText"/>
      </w:pPr>
      <w:r>
        <w:rPr>
          <w:rStyle w:val="FootnoteReference"/>
        </w:rPr>
        <w:footnoteRef/>
      </w:r>
      <w:r>
        <w:t xml:space="preserve"> </w:t>
      </w:r>
      <w:r w:rsidRPr="008C5F84" w:rsidR="00F40E58">
        <w:rPr>
          <w:i/>
          <w:iCs/>
        </w:rPr>
        <w:t>Connect America Fund et al.</w:t>
      </w:r>
      <w:r w:rsidR="00F40E58">
        <w:t xml:space="preserve">, WC Docket No. 10-90 et al., Order, </w:t>
      </w:r>
      <w:r w:rsidR="008C5F84">
        <w:t>39 FCC Rcd 13732 (WCB 2024)</w:t>
      </w:r>
      <w:r w:rsidR="00002BE7">
        <w:t xml:space="preserve"> (</w:t>
      </w:r>
      <w:r w:rsidRPr="00002BE7" w:rsidR="00002BE7">
        <w:rPr>
          <w:i/>
          <w:iCs/>
        </w:rPr>
        <w:t>RiverStreet Deduplication Order</w:t>
      </w:r>
      <w:r w:rsidR="00002BE7">
        <w:t>)</w:t>
      </w:r>
      <w:r w:rsidR="008C5F84">
        <w:t xml:space="preserve">. </w:t>
      </w:r>
      <w:r w:rsidR="003C0D7A">
        <w:t xml:space="preserve"> </w:t>
      </w:r>
      <w:r w:rsidRPr="00002BE7" w:rsidR="003C0D7A">
        <w:rPr>
          <w:i/>
          <w:iCs/>
        </w:rPr>
        <w:t xml:space="preserve">See also </w:t>
      </w:r>
      <w:r w:rsidRPr="00002BE7" w:rsidR="002027A4">
        <w:rPr>
          <w:i/>
          <w:iCs/>
        </w:rPr>
        <w:t>Connect America Fund et al.</w:t>
      </w:r>
      <w:r w:rsidRPr="00AA6392" w:rsidR="002027A4">
        <w:t xml:space="preserve">, WC Docket No. 10-90 et al., </w:t>
      </w:r>
      <w:r w:rsidR="002027A4">
        <w:t>39 FCC Rcd 9751</w:t>
      </w:r>
      <w:r w:rsidR="00002BE7">
        <w:t xml:space="preserve"> (WCB 2024)</w:t>
      </w:r>
      <w:r w:rsidR="002027A4">
        <w:t xml:space="preserve"> (</w:t>
      </w:r>
      <w:r w:rsidR="00857B14">
        <w:t>relieving a</w:t>
      </w:r>
      <w:r w:rsidR="005770BB">
        <w:t>n</w:t>
      </w:r>
      <w:r w:rsidR="00857B14">
        <w:t xml:space="preserve"> RDOF provider of its obligation to serve Tribal locations </w:t>
      </w:r>
      <w:r w:rsidR="00F45B50">
        <w:t>for which the Tribe had also been awarded federal funding to serve</w:t>
      </w:r>
      <w:r w:rsidR="00A53978">
        <w:t xml:space="preserve"> and the Tribal government and RDOF carrier “mutually agreed” that the RDOF carrier “should forego the RDOF funding in these areas”).  </w:t>
      </w:r>
    </w:p>
  </w:footnote>
  <w:footnote w:id="31">
    <w:p w:rsidR="00387E00" w14:paraId="275D1FC5" w14:textId="38831696">
      <w:pPr>
        <w:pStyle w:val="FootnoteText"/>
      </w:pPr>
      <w:r>
        <w:rPr>
          <w:rStyle w:val="FootnoteReference"/>
        </w:rPr>
        <w:footnoteRef/>
      </w:r>
      <w:r>
        <w:t xml:space="preserve"> Wisper Petition at 4 (</w:t>
      </w:r>
      <w:r w:rsidR="00FD7B72">
        <w:t>“</w:t>
      </w:r>
      <w:r w:rsidRPr="00FD7B72" w:rsidR="00FD7B72">
        <w:t>But for the presence of broadband at 100/20 Mbps or better, Wisper would have continued with its deployment.</w:t>
      </w:r>
      <w:r w:rsidR="00FD7B72">
        <w:t>”).</w:t>
      </w:r>
      <w:r w:rsidR="00352E47">
        <w:t xml:space="preserve">  </w:t>
      </w:r>
      <w:r w:rsidRPr="009D5539" w:rsidR="00352E47">
        <w:rPr>
          <w:i/>
          <w:iCs/>
        </w:rPr>
        <w:t>See also id.</w:t>
      </w:r>
      <w:r w:rsidR="00352E47">
        <w:t xml:space="preserve"> at 2 (“</w:t>
      </w:r>
      <w:r w:rsidRPr="009D5539" w:rsidR="009D5539">
        <w:t>This request is entirely voluntary and does not arise from any contemplated or imminent non-compliance, enforcement action, or potential default.</w:t>
      </w:r>
      <w:r w:rsidR="009D5539">
        <w:t>”).</w:t>
      </w:r>
    </w:p>
  </w:footnote>
  <w:footnote w:id="32">
    <w:p w:rsidR="00D63B78" w14:paraId="07CA5429" w14:textId="19297CDE">
      <w:pPr>
        <w:pStyle w:val="FootnoteText"/>
      </w:pPr>
      <w:r>
        <w:rPr>
          <w:rStyle w:val="FootnoteReference"/>
        </w:rPr>
        <w:footnoteRef/>
      </w:r>
      <w:r>
        <w:t xml:space="preserve"> </w:t>
      </w:r>
      <w:r w:rsidRPr="00EF76C8">
        <w:rPr>
          <w:i/>
          <w:iCs/>
        </w:rPr>
        <w:t xml:space="preserve">See Connect America </w:t>
      </w:r>
      <w:r w:rsidRPr="00EF76C8" w:rsidR="00CC0D1E">
        <w:rPr>
          <w:i/>
          <w:iCs/>
        </w:rPr>
        <w:t>et al.</w:t>
      </w:r>
      <w:r w:rsidR="00CC0D1E">
        <w:t xml:space="preserve">, WC Docket No. 10-90 et al., Order, </w:t>
      </w:r>
      <w:r w:rsidR="00EF76C8">
        <w:t>40 FCC Rcd 5984</w:t>
      </w:r>
      <w:r w:rsidR="00E43F31">
        <w:t>, 5990-91, paras. 15-16</w:t>
      </w:r>
      <w:r w:rsidR="00EF76C8">
        <w:t xml:space="preserve"> (WCB 2025)</w:t>
      </w:r>
      <w:r w:rsidR="00B6354B">
        <w:t xml:space="preserve"> (declining to grant support recovery relief to a</w:t>
      </w:r>
      <w:r w:rsidR="005770BB">
        <w:t>n</w:t>
      </w:r>
      <w:r w:rsidR="00B6354B">
        <w:t xml:space="preserve"> RDOF carrier that claimed a portion of its service area </w:t>
      </w:r>
      <w:r w:rsidR="0005439B">
        <w:t>was already served</w:t>
      </w:r>
      <w:r w:rsidR="00D56978">
        <w:t>,</w:t>
      </w:r>
      <w:r w:rsidR="0005439B">
        <w:t xml:space="preserve"> noting that the RDOF carrier had already </w:t>
      </w:r>
      <w:r w:rsidR="0048011D">
        <w:t>defaulted in the relevant areas</w:t>
      </w:r>
      <w:r w:rsidR="00F240B2">
        <w:t xml:space="preserve"> and “a number of </w:t>
      </w:r>
      <w:r w:rsidR="002423E5">
        <w:t>factors led” to the carrier’s “business decision based on its interests to default on its obligations”</w:t>
      </w:r>
      <w:r w:rsidRPr="00314F0E" w:rsidR="0048011D">
        <w:t>)</w:t>
      </w:r>
      <w:r w:rsidRPr="00314F0E" w:rsidR="00C258DE">
        <w:t xml:space="preserve">.  </w:t>
      </w:r>
      <w:r w:rsidRPr="00EA16A2" w:rsidR="00C258DE">
        <w:rPr>
          <w:i/>
          <w:iCs/>
        </w:rPr>
        <w:t xml:space="preserve">See also </w:t>
      </w:r>
      <w:r w:rsidRPr="00EA16A2" w:rsidR="00052F19">
        <w:rPr>
          <w:i/>
          <w:iCs/>
        </w:rPr>
        <w:t>Connect America Fund et al.</w:t>
      </w:r>
      <w:r w:rsidR="00052F19">
        <w:t xml:space="preserve">, WC Docket No. 10-90 et al., Order, </w:t>
      </w:r>
      <w:r w:rsidR="001610CD">
        <w:t xml:space="preserve">DA 25-953, </w:t>
      </w:r>
      <w:r w:rsidR="00C258DE">
        <w:t>at 6</w:t>
      </w:r>
      <w:r w:rsidR="008156E4">
        <w:t>-7</w:t>
      </w:r>
      <w:r w:rsidR="00EA782A">
        <w:t>, para</w:t>
      </w:r>
      <w:r w:rsidR="00660AEB">
        <w:t>s</w:t>
      </w:r>
      <w:r w:rsidR="00EA782A">
        <w:t xml:space="preserve">. </w:t>
      </w:r>
      <w:r w:rsidR="00660AEB">
        <w:t>16-</w:t>
      </w:r>
      <w:r w:rsidR="00EA782A">
        <w:t>17</w:t>
      </w:r>
      <w:r w:rsidR="00C159D7">
        <w:t xml:space="preserve"> (WCB Nov. 18, 2025)</w:t>
      </w:r>
      <w:r w:rsidR="008156E4">
        <w:t xml:space="preserve"> (</w:t>
      </w:r>
      <w:r w:rsidRPr="003D1FA1" w:rsidR="008156E4">
        <w:rPr>
          <w:i/>
          <w:iCs/>
        </w:rPr>
        <w:t xml:space="preserve">NAEC and Sandhill </w:t>
      </w:r>
      <w:r w:rsidRPr="003D1FA1" w:rsidR="007C1CB7">
        <w:rPr>
          <w:i/>
          <w:iCs/>
        </w:rPr>
        <w:t>Support Recovery Waiver Denial Order</w:t>
      </w:r>
      <w:r w:rsidR="007C1CB7">
        <w:t>)</w:t>
      </w:r>
      <w:r w:rsidR="00672675">
        <w:t xml:space="preserve"> (explaining </w:t>
      </w:r>
      <w:r w:rsidR="00861CEC">
        <w:t>“[a]t a minimum, carrier</w:t>
      </w:r>
      <w:r w:rsidR="00567202">
        <w:t>s</w:t>
      </w:r>
      <w:r w:rsidR="00861CEC">
        <w:t xml:space="preserve"> seeking to deduplicate federal funding do so </w:t>
      </w:r>
      <w:r w:rsidRPr="00861CEC" w:rsidR="00861CEC">
        <w:rPr>
          <w:i/>
          <w:iCs/>
        </w:rPr>
        <w:t>prior</w:t>
      </w:r>
      <w:r w:rsidR="00861CEC">
        <w:t xml:space="preserve"> to defaulting, in a partnership to conserve scarce federal dollars, not after the fact and fully understanding non-compliance measures</w:t>
      </w:r>
      <w:r w:rsidR="00BA6626">
        <w:t xml:space="preserve">,” </w:t>
      </w:r>
      <w:r w:rsidR="0090386C">
        <w:t>that</w:t>
      </w:r>
      <w:r w:rsidR="000D492B">
        <w:t xml:space="preserve"> “in seeking deduplication, carriers may have otherwise been willing to build out to those areas if the alternative were incurring non-compliance measures,” and</w:t>
      </w:r>
      <w:r w:rsidR="00AA1984">
        <w:t xml:space="preserve"> that</w:t>
      </w:r>
      <w:r w:rsidR="0090386C">
        <w:t xml:space="preserve"> “</w:t>
      </w:r>
      <w:r w:rsidR="003D1FA1">
        <w:t>[t]</w:t>
      </w:r>
      <w:r w:rsidRPr="003D1FA1" w:rsidR="003D1FA1">
        <w:t>he public interest in avoiding duplicative public support as part of a conversation prior to default is plain—avoid the inefficient duplicative funding while ensuring universal service</w:t>
      </w:r>
      <w:r w:rsidR="00AA1984">
        <w:t>”</w:t>
      </w:r>
      <w:r w:rsidR="003D1FA1">
        <w:t xml:space="preserve">). </w:t>
      </w:r>
    </w:p>
  </w:footnote>
  <w:footnote w:id="33">
    <w:p w:rsidR="00F669E1" w14:paraId="768F2788" w14:textId="76C86B41">
      <w:pPr>
        <w:pStyle w:val="FootnoteText"/>
      </w:pPr>
      <w:r>
        <w:rPr>
          <w:rStyle w:val="FootnoteReference"/>
        </w:rPr>
        <w:footnoteRef/>
      </w:r>
      <w:r>
        <w:t xml:space="preserve"> Wisper Petition at Exh. B. </w:t>
      </w:r>
    </w:p>
  </w:footnote>
  <w:footnote w:id="34">
    <w:p w:rsidR="00314ADA" w14:paraId="7D43126B" w14:textId="4BA00B3B">
      <w:pPr>
        <w:pStyle w:val="FootnoteText"/>
      </w:pPr>
      <w:r>
        <w:rPr>
          <w:rStyle w:val="FootnoteReference"/>
        </w:rPr>
        <w:footnoteRef/>
      </w:r>
      <w:r>
        <w:t xml:space="preserve"> </w:t>
      </w:r>
      <w:r w:rsidRPr="00C97C40">
        <w:rPr>
          <w:i/>
          <w:iCs/>
        </w:rPr>
        <w:t>See, e.g.</w:t>
      </w:r>
      <w:r>
        <w:t>, Department of Commerce, National Telecommunications and Information Administration,</w:t>
      </w:r>
      <w:r w:rsidRPr="008A353B">
        <w:t xml:space="preserve"> </w:t>
      </w:r>
      <w:r w:rsidRPr="00263882">
        <w:t xml:space="preserve">Broadband Equity, Access, and Deployment (BEAD) Program Notice of Funding Opportunity </w:t>
      </w:r>
      <w:r>
        <w:t>at 36-37 &amp; n.52</w:t>
      </w:r>
      <w:r w:rsidRPr="00263882">
        <w:t xml:space="preserve"> (May 13, 2022), </w:t>
      </w:r>
      <w:hyperlink r:id="rId3" w:history="1">
        <w:r w:rsidRPr="00263882">
          <w:rPr>
            <w:rStyle w:val="Hyperlink"/>
          </w:rPr>
          <w:t>https://broadbandusa.ntia.doc.gov/sites/default/files/2022-05/BEAD%20NOFO.pdf</w:t>
        </w:r>
      </w:hyperlink>
      <w:r>
        <w:t xml:space="preserve"> </w:t>
      </w:r>
      <w:r w:rsidRPr="00263882">
        <w:t>(BEAD Program NOFO)</w:t>
      </w:r>
      <w:r>
        <w:t xml:space="preserve"> </w:t>
      </w:r>
      <w:r w:rsidRPr="00263882">
        <w:t>(explaining that any location that is already subject to an enforceable commitment for the deployment of qualifying broadband cannot be treated as unserved or underserved)</w:t>
      </w:r>
      <w:r>
        <w:t>.</w:t>
      </w:r>
    </w:p>
  </w:footnote>
  <w:footnote w:id="35">
    <w:p w:rsidR="001A29C1" w:rsidRPr="007A47C8" w14:paraId="693D2CD8" w14:textId="5CF8B8B4">
      <w:pPr>
        <w:pStyle w:val="FootnoteText"/>
      </w:pPr>
      <w:r>
        <w:rPr>
          <w:rStyle w:val="FootnoteReference"/>
        </w:rPr>
        <w:footnoteRef/>
      </w:r>
      <w:r>
        <w:t xml:space="preserve"> </w:t>
      </w:r>
      <w:r w:rsidRPr="001A29C1">
        <w:rPr>
          <w:i/>
          <w:iCs/>
        </w:rPr>
        <w:t>See, e.g.</w:t>
      </w:r>
      <w:r>
        <w:t xml:space="preserve">, </w:t>
      </w:r>
      <w:r w:rsidRPr="00151D6B">
        <w:rPr>
          <w:i/>
          <w:iCs/>
        </w:rPr>
        <w:t>Savage Support Recovery Waiver Denial Order</w:t>
      </w:r>
      <w:r w:rsidR="0017087B">
        <w:t xml:space="preserve"> at</w:t>
      </w:r>
      <w:r w:rsidR="00DE1595">
        <w:t xml:space="preserve"> 5-6, para. 12</w:t>
      </w:r>
      <w:r w:rsidR="001918EA">
        <w:t xml:space="preserve">; </w:t>
      </w:r>
      <w:r w:rsidRPr="00DA2352" w:rsidR="00032DA7">
        <w:rPr>
          <w:i/>
          <w:iCs/>
        </w:rPr>
        <w:t xml:space="preserve">NAEC and Sandhill Support Recovery </w:t>
      </w:r>
      <w:r w:rsidRPr="00DA2352" w:rsidR="00DA2352">
        <w:rPr>
          <w:i/>
          <w:iCs/>
        </w:rPr>
        <w:t>Waiver Denial Order</w:t>
      </w:r>
      <w:r w:rsidR="00DA2352">
        <w:t xml:space="preserve"> at 7, para. 17.  </w:t>
      </w:r>
      <w:r w:rsidRPr="007A47C8" w:rsidR="00DA2352">
        <w:rPr>
          <w:i/>
          <w:iCs/>
        </w:rPr>
        <w:t xml:space="preserve">See also </w:t>
      </w:r>
      <w:r w:rsidRPr="007A47C8" w:rsidR="007A47C8">
        <w:rPr>
          <w:i/>
          <w:iCs/>
        </w:rPr>
        <w:t>Wireline Competition Bureau Announces Savage Communications, FiberLight of Virginia, South Central Connect, Siuslaw Broadband and SW Arkansas Telecommunications &amp; Technology Open Certain RDOF Census Block Groups to Eligibility for Other Funding Programs</w:t>
      </w:r>
      <w:r w:rsidR="007A47C8">
        <w:t xml:space="preserve">, </w:t>
      </w:r>
      <w:r w:rsidR="00D820F3">
        <w:t xml:space="preserve">WC </w:t>
      </w:r>
      <w:r w:rsidR="00553C70">
        <w:t xml:space="preserve">Docket No. </w:t>
      </w:r>
      <w:r w:rsidR="00D820F3">
        <w:t xml:space="preserve">20-34 et al., Public Notice, </w:t>
      </w:r>
      <w:r w:rsidR="007A47C8">
        <w:t>DA 26-126</w:t>
      </w:r>
      <w:r w:rsidR="00552421">
        <w:t>, at 3 n.7</w:t>
      </w:r>
      <w:r w:rsidR="00D820F3">
        <w:t xml:space="preserve"> (WCB Feb. 5, 2026) (</w:t>
      </w:r>
      <w:r w:rsidR="00D3020A">
        <w:t>explaining that “a default must occur at the CBG level</w:t>
      </w:r>
      <w:r w:rsidR="00E546C9">
        <w:t>”</w:t>
      </w:r>
      <w:r w:rsidR="00D3020A">
        <w:t>)</w:t>
      </w:r>
      <w:r w:rsidR="00CC3C98">
        <w:t xml:space="preserve">; </w:t>
      </w:r>
      <w:r w:rsidRPr="008D20E6" w:rsidR="00CC3C98">
        <w:rPr>
          <w:i/>
          <w:iCs/>
        </w:rPr>
        <w:t>Rural Digital Opportunity Fund Phase I Auction Scheduled for October 29, 2020; Notice and Filing Requirements and Other Procedures for Auction 904</w:t>
      </w:r>
      <w:r w:rsidRPr="00CC3C98" w:rsidR="00CC3C98">
        <w:t>, AU Docket No. 20-34 et al., Public Notice, 35 FCC Rcd 6077, 6146, para. 213 (2020)</w:t>
      </w:r>
      <w:r w:rsidR="008D20E6">
        <w:t xml:space="preserve"> (stating that the</w:t>
      </w:r>
      <w:r w:rsidR="00194BDB">
        <w:t xml:space="preserve"> RDOF</w:t>
      </w:r>
      <w:r w:rsidR="008D20E6">
        <w:t xml:space="preserve"> </w:t>
      </w:r>
      <w:r w:rsidR="00892C69">
        <w:t xml:space="preserve">minimum geographic </w:t>
      </w:r>
      <w:r w:rsidR="00BC5D4C">
        <w:t>area</w:t>
      </w:r>
      <w:r w:rsidR="00892C69">
        <w:t xml:space="preserve"> for bidding was </w:t>
      </w:r>
      <w:r w:rsidR="00194BDB">
        <w:t>“</w:t>
      </w:r>
      <w:r w:rsidR="00892C69">
        <w:t>CBG</w:t>
      </w:r>
      <w:r w:rsidR="00194BDB">
        <w:t>s</w:t>
      </w:r>
      <w:r w:rsidR="00892C69">
        <w:t xml:space="preserve"> containing one or more eligible census blocks</w:t>
      </w:r>
      <w:r w:rsidR="00194BDB">
        <w:t>”</w:t>
      </w:r>
      <w:r w:rsidR="00892C69">
        <w:t xml:space="preserve">).  </w:t>
      </w:r>
    </w:p>
  </w:footnote>
  <w:footnote w:id="36">
    <w:p w:rsidR="00BA5FDD" w14:paraId="3AC9A845" w14:textId="18DB40C3">
      <w:pPr>
        <w:pStyle w:val="FootnoteText"/>
      </w:pPr>
      <w:r>
        <w:rPr>
          <w:rStyle w:val="FootnoteReference"/>
        </w:rPr>
        <w:footnoteRef/>
      </w:r>
      <w:r>
        <w:t xml:space="preserve"> </w:t>
      </w:r>
      <w:r w:rsidRPr="00341249" w:rsidR="0000624E">
        <w:rPr>
          <w:i/>
          <w:iCs/>
        </w:rPr>
        <w:t>See RiverStreet Deduplication Order</w:t>
      </w:r>
      <w:r w:rsidR="0000624E">
        <w:t xml:space="preserve">, 39 FCC Rcd at 13735, para. 11.  </w:t>
      </w:r>
      <w:r w:rsidRPr="0000624E" w:rsidR="0000624E">
        <w:rPr>
          <w:i/>
          <w:iCs/>
        </w:rPr>
        <w:t>See also</w:t>
      </w:r>
      <w:r w:rsidR="0000624E">
        <w:t xml:space="preserve"> Wisper Petition at 2, </w:t>
      </w:r>
      <w:r w:rsidR="000A091C">
        <w:t>5</w:t>
      </w:r>
      <w:r w:rsidR="0000624E">
        <w:t>.</w:t>
      </w:r>
    </w:p>
  </w:footnote>
  <w:footnote w:id="37">
    <w:p w:rsidR="00002BE7" w:rsidRPr="00341249" w14:paraId="1C9C6577" w14:textId="57B20F37">
      <w:pPr>
        <w:pStyle w:val="FootnoteText"/>
      </w:pPr>
      <w:r>
        <w:rPr>
          <w:rStyle w:val="FootnoteReference"/>
        </w:rPr>
        <w:footnoteRef/>
      </w:r>
      <w:r>
        <w:t xml:space="preserve"> </w:t>
      </w:r>
      <w:r w:rsidRPr="00341249">
        <w:rPr>
          <w:i/>
          <w:iCs/>
        </w:rPr>
        <w:t>See River</w:t>
      </w:r>
      <w:r w:rsidRPr="00341249" w:rsidR="00341249">
        <w:rPr>
          <w:i/>
          <w:iCs/>
        </w:rPr>
        <w:t>Street Deduplication Order</w:t>
      </w:r>
      <w:r w:rsidR="00341249">
        <w:t xml:space="preserve">, 39 FCC Rcd at </w:t>
      </w:r>
      <w:r w:rsidR="00FF70B8">
        <w:t>13735, para. 11.</w:t>
      </w:r>
      <w:r w:rsidR="002941DA">
        <w:t xml:space="preserve">  </w:t>
      </w:r>
      <w:r w:rsidRPr="00BA5FDD" w:rsidR="002941DA">
        <w:rPr>
          <w:i/>
          <w:iCs/>
        </w:rPr>
        <w:t>See also</w:t>
      </w:r>
      <w:r w:rsidR="002941DA">
        <w:t xml:space="preserve"> Wisper Petition at 2, </w:t>
      </w:r>
      <w:r w:rsidR="000A091C">
        <w:t>5</w:t>
      </w:r>
      <w:r w:rsidR="00BA5FDD">
        <w:t>.</w:t>
      </w:r>
    </w:p>
  </w:footnote>
  <w:footnote w:id="38">
    <w:p w:rsidR="0067781B" w:rsidP="0067781B" w14:paraId="2FAA7915" w14:textId="0E02E701">
      <w:pPr>
        <w:pStyle w:val="FootnoteText"/>
      </w:pPr>
      <w:r>
        <w:rPr>
          <w:rStyle w:val="FootnoteReference"/>
        </w:rPr>
        <w:footnoteRef/>
      </w:r>
      <w:r>
        <w:t xml:space="preserve"> 47 CFR </w:t>
      </w:r>
      <w:r w:rsidR="009C3BBB">
        <w:t>§</w:t>
      </w:r>
      <w:r>
        <w:rPr>
          <w:rFonts w:ascii="Agency FB" w:hAnsi="Agency FB"/>
        </w:rPr>
        <w:t xml:space="preserve"> </w:t>
      </w:r>
      <w:r>
        <w:t xml:space="preserve">54.806(c)(1)(i) &amp; (ii); </w:t>
      </w:r>
      <w:r w:rsidRPr="004A23BE">
        <w:rPr>
          <w:i/>
          <w:iCs/>
        </w:rPr>
        <w:t>RDOF Order</w:t>
      </w:r>
      <w:r>
        <w:t>, 35 FCC Rcd at 71</w:t>
      </w:r>
      <w:r w:rsidR="00E65EFF">
        <w:t>4-1</w:t>
      </w:r>
      <w:r>
        <w:t>5, para</w:t>
      </w:r>
      <w:r w:rsidR="00E65EFF">
        <w:t>s</w:t>
      </w:r>
      <w:r>
        <w:t xml:space="preserve">. </w:t>
      </w:r>
      <w:r w:rsidR="00E65EFF">
        <w:t>60-</w:t>
      </w:r>
      <w:r>
        <w:t>61.</w:t>
      </w:r>
      <w:r w:rsidR="00104FDE">
        <w:t xml:space="preserve">  Accordingly, Wisper’s Arkansas RDOF CBGs will not be included when the Bureau adopts revised location counts based on the December 2026 Fabric.  </w:t>
      </w:r>
      <w:r w:rsidR="0051373B">
        <w:t>47 CFR § 54.802</w:t>
      </w:r>
      <w:r w:rsidR="006B3D3A">
        <w:t xml:space="preserve">(c); </w:t>
      </w:r>
      <w:r w:rsidRPr="00B051E7" w:rsidR="006B3D3A">
        <w:rPr>
          <w:i/>
          <w:iCs/>
        </w:rPr>
        <w:t>RDOF Order</w:t>
      </w:r>
      <w:r w:rsidR="00B051E7">
        <w:t>,</w:t>
      </w:r>
      <w:r w:rsidR="006B3D3A">
        <w:t xml:space="preserve"> 35 FCC Rcd at </w:t>
      </w:r>
      <w:r w:rsidR="00B051E7">
        <w:t xml:space="preserve">709, para. 45; </w:t>
      </w:r>
      <w:r w:rsidRPr="00B051E7" w:rsidR="00B051E7">
        <w:rPr>
          <w:i/>
          <w:iCs/>
        </w:rPr>
        <w:t>High-Cost Fabric Order</w:t>
      </w:r>
      <w:r w:rsidR="00B051E7">
        <w:t xml:space="preserve">, 40 FCC Rcd at </w:t>
      </w:r>
      <w:r w:rsidR="00E51544">
        <w:t>291-92, para. 25.</w:t>
      </w:r>
      <w:r w:rsidR="00D377E4">
        <w:t xml:space="preserve">  Wisper</w:t>
      </w:r>
      <w:r w:rsidRPr="00D377E4" w:rsidR="00D377E4">
        <w:t xml:space="preserve"> will also not be subject to the section 54.802(c)(1)(iii) requirement to offer service </w:t>
      </w:r>
      <w:r w:rsidR="0093034F">
        <w:t xml:space="preserve">upon reasonable request </w:t>
      </w:r>
      <w:r w:rsidRPr="00D377E4" w:rsidR="00D377E4">
        <w:t xml:space="preserve">to locations that are newly built in </w:t>
      </w:r>
      <w:r w:rsidR="00C946FB">
        <w:t>its Arkansas RDOF</w:t>
      </w:r>
      <w:r w:rsidRPr="00D377E4" w:rsidR="00D377E4">
        <w:t xml:space="preserve"> CBGs after the Bureau adopts revised location counts.</w:t>
      </w:r>
      <w:r w:rsidR="00C946FB">
        <w:t xml:space="preserve">  47 CFR § 54.802(c)(1)(iii); </w:t>
      </w:r>
      <w:r w:rsidRPr="00A1733D" w:rsidR="00BD0E8F">
        <w:rPr>
          <w:i/>
          <w:iCs/>
        </w:rPr>
        <w:t>RDOF Order</w:t>
      </w:r>
      <w:r w:rsidR="009F2B84">
        <w:t xml:space="preserve">, 35 FCC Rcd at </w:t>
      </w:r>
      <w:r w:rsidR="00EA6B71">
        <w:t>711, para. 52.</w:t>
      </w:r>
    </w:p>
  </w:footnote>
  <w:footnote w:id="39">
    <w:p w:rsidR="0067781B" w:rsidP="0067781B" w14:paraId="3C927DC8" w14:textId="07E03CAC">
      <w:pPr>
        <w:pStyle w:val="FootnoteText"/>
      </w:pPr>
      <w:r>
        <w:rPr>
          <w:rStyle w:val="FootnoteReference"/>
        </w:rPr>
        <w:footnoteRef/>
      </w:r>
      <w:r>
        <w:t xml:space="preserve"> </w:t>
      </w:r>
      <w:r w:rsidRPr="00A408A6">
        <w:t>47 CFR § 54.804(c)(1)</w:t>
      </w:r>
      <w:r w:rsidR="000F48F4">
        <w:t xml:space="preserve">; </w:t>
      </w:r>
      <w:r w:rsidRPr="00341249" w:rsidR="000F48F4">
        <w:rPr>
          <w:i/>
          <w:iCs/>
        </w:rPr>
        <w:t>RiverStreet Deduplication Order</w:t>
      </w:r>
      <w:r w:rsidR="000F48F4">
        <w:t>, 39 FCC Rcd at</w:t>
      </w:r>
      <w:r w:rsidR="00F86139">
        <w:t xml:space="preserve"> 13735, para. 11</w:t>
      </w:r>
      <w:r w:rsidRPr="00A408A6">
        <w:t>.</w:t>
      </w:r>
      <w:r>
        <w:t xml:space="preserve">  </w:t>
      </w:r>
      <w:r w:rsidRPr="008F266E" w:rsidR="006B5B21">
        <w:rPr>
          <w:i/>
          <w:iCs/>
        </w:rPr>
        <w:t>See also</w:t>
      </w:r>
      <w:r w:rsidR="006B5B21">
        <w:t xml:space="preserve"> Wisper Petition at </w:t>
      </w:r>
      <w:r w:rsidR="008F266E">
        <w:t>2.</w:t>
      </w:r>
    </w:p>
  </w:footnote>
  <w:footnote w:id="40">
    <w:p w:rsidR="000F7B63" w:rsidP="000F7B63" w14:paraId="5447CC03" w14:textId="0A450308">
      <w:pPr>
        <w:pStyle w:val="FootnoteText"/>
      </w:pPr>
      <w:r>
        <w:rPr>
          <w:rStyle w:val="FootnoteReference"/>
        </w:rPr>
        <w:footnoteRef/>
      </w:r>
      <w:r>
        <w:t xml:space="preserve"> </w:t>
      </w:r>
      <w:r w:rsidRPr="00401A5D">
        <w:rPr>
          <w:i/>
          <w:iCs/>
        </w:rPr>
        <w:t>See, e.g</w:t>
      </w:r>
      <w:r>
        <w:t>., 47 CFR §§ 54.320(c), (d), 54.806(b), (c).</w:t>
      </w:r>
      <w:r w:rsidR="00B12DC1">
        <w:t xml:space="preserve">  </w:t>
      </w:r>
      <w:r w:rsidRPr="00B12DC1" w:rsidR="00B12DC1">
        <w:rPr>
          <w:i/>
          <w:iCs/>
        </w:rPr>
        <w:t>See also</w:t>
      </w:r>
      <w:r w:rsidR="00B12DC1">
        <w:t xml:space="preserve"> </w:t>
      </w:r>
      <w:r w:rsidRPr="00341249" w:rsidR="00B12DC1">
        <w:rPr>
          <w:i/>
          <w:iCs/>
        </w:rPr>
        <w:t>RiverStreet Deduplication Order</w:t>
      </w:r>
      <w:r w:rsidR="00B12DC1">
        <w:t xml:space="preserve">, 39 FCC Rcd at 13736, para. 12. </w:t>
      </w:r>
    </w:p>
  </w:footnote>
  <w:footnote w:id="41">
    <w:p w:rsidR="000F7B63" w:rsidP="000F7B63" w14:paraId="616A60AF" w14:textId="77777777">
      <w:pPr>
        <w:pStyle w:val="FootnoteText"/>
      </w:pPr>
      <w:r w:rsidRPr="00F21D63">
        <w:rPr>
          <w:rStyle w:val="FootnoteReference"/>
        </w:rPr>
        <w:footnoteRef/>
      </w:r>
      <w:r w:rsidRPr="00BA59A2">
        <w:rPr>
          <w:i/>
          <w:iCs/>
        </w:rPr>
        <w:t xml:space="preserve"> See, e.g.</w:t>
      </w:r>
      <w:r>
        <w:t xml:space="preserve">, Debt Collection Act of 1982, Pub. L. No. 97-365, 96 Stat. 1749 (codified at 31 U.S.C. § 3701 </w:t>
      </w:r>
      <w:r w:rsidRPr="00BA59A2">
        <w:rPr>
          <w:i/>
          <w:iCs/>
        </w:rPr>
        <w:t>et seq.</w:t>
      </w:r>
      <w:r>
        <w:t xml:space="preserve">); Debt Collection Improvement Act of 1996, Pub. L. No. 104-134, 110 Stat. 1321 (codified at 31 U.S.C. §§ 3701-3720E); 47 CFR §§ 54.320(c), 54.806(b).   </w:t>
      </w:r>
    </w:p>
  </w:footnote>
  <w:footnote w:id="42">
    <w:p w:rsidR="000F7B63" w:rsidRPr="00F75926" w:rsidP="000F7B63" w14:paraId="55C6E15F" w14:textId="77777777">
      <w:pPr>
        <w:pStyle w:val="FootnoteText"/>
      </w:pPr>
      <w:r w:rsidRPr="00F75926">
        <w:rPr>
          <w:rStyle w:val="FootnoteReference"/>
        </w:rPr>
        <w:footnoteRef/>
      </w:r>
      <w:r w:rsidRPr="00F75926">
        <w:t xml:space="preserve"> 47 U.S.C. § 214(e)(4).  </w:t>
      </w:r>
    </w:p>
  </w:footnote>
  <w:footnote w:id="43">
    <w:p w:rsidR="000F7B63" w:rsidRPr="00F75926" w:rsidP="000F7B63" w14:paraId="49C0EA47" w14:textId="77777777">
      <w:pPr>
        <w:pStyle w:val="FootnoteText"/>
      </w:pPr>
      <w:r w:rsidRPr="00F75926">
        <w:rPr>
          <w:rStyle w:val="FootnoteReference"/>
        </w:rPr>
        <w:footnoteRef/>
      </w:r>
      <w:r w:rsidRPr="00F75926">
        <w:t xml:space="preserve"> 47 U.S.C. § 214(a); 47 CFR § 63.71.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D074B14" w14:textId="01141734">
    <w:pPr>
      <w:pStyle w:val="Header"/>
      <w:rPr>
        <w:b w:val="0"/>
      </w:rPr>
    </w:pPr>
    <w:r>
      <w:tab/>
      <w:t>Federal Communications Commission</w:t>
    </w:r>
    <w:r>
      <w:tab/>
    </w:r>
    <w:r w:rsidR="00A17394">
      <w:t xml:space="preserve">DA </w:t>
    </w:r>
    <w:r w:rsidR="009C40FA">
      <w:t>26-</w:t>
    </w:r>
    <w:r w:rsidR="00603492">
      <w:t>587</w:t>
    </w:r>
  </w:p>
  <w:p w:rsidR="00D25FB5" w14:paraId="1BD82C30"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4F23F2E5"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7D21711" w14:textId="4B247D10">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rsidR="00FE178C">
      <w:tab/>
      <w:t>Federal Communications Commission</w:t>
    </w:r>
    <w:r w:rsidR="00FE178C">
      <w:tab/>
    </w:r>
    <w:r w:rsidR="000F7B63">
      <w:rPr>
        <w:spacing w:val="-2"/>
      </w:rPr>
      <w:t xml:space="preserve">DA </w:t>
    </w:r>
    <w:r w:rsidR="009C40FA">
      <w:rPr>
        <w:spacing w:val="-2"/>
      </w:rPr>
      <w:t>26-</w:t>
    </w:r>
    <w:r w:rsidR="00603492">
      <w:rPr>
        <w:spacing w:val="-2"/>
      </w:rPr>
      <w:t>587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69079197">
    <w:abstractNumId w:val="1"/>
  </w:num>
  <w:num w:numId="2" w16cid:durableId="380134976">
    <w:abstractNumId w:val="5"/>
  </w:num>
  <w:num w:numId="3" w16cid:durableId="1736734054">
    <w:abstractNumId w:val="3"/>
  </w:num>
  <w:num w:numId="4" w16cid:durableId="159126603">
    <w:abstractNumId w:val="4"/>
  </w:num>
  <w:num w:numId="5" w16cid:durableId="1208682880">
    <w:abstractNumId w:val="2"/>
  </w:num>
  <w:num w:numId="6" w16cid:durableId="473304038">
    <w:abstractNumId w:val="0"/>
  </w:num>
  <w:num w:numId="7" w16cid:durableId="2015722893">
    <w:abstractNumId w:val="5"/>
  </w:num>
  <w:num w:numId="8" w16cid:durableId="506095074">
    <w:abstractNumId w:val="5"/>
  </w:num>
  <w:num w:numId="9" w16cid:durableId="403525944">
    <w:abstractNumId w:val="5"/>
  </w:num>
  <w:num w:numId="10" w16cid:durableId="925654826">
    <w:abstractNumId w:val="5"/>
  </w:num>
  <w:num w:numId="11" w16cid:durableId="1914705017">
    <w:abstractNumId w:val="5"/>
  </w:num>
  <w:num w:numId="12" w16cid:durableId="2067294182">
    <w:abstractNumId w:val="5"/>
  </w:num>
  <w:num w:numId="13" w16cid:durableId="1423332856">
    <w:abstractNumId w:val="5"/>
  </w:num>
  <w:num w:numId="14" w16cid:durableId="600065613">
    <w:abstractNumId w:val="5"/>
  </w:num>
  <w:num w:numId="15" w16cid:durableId="348485350">
    <w:abstractNumId w:val="5"/>
  </w:num>
  <w:num w:numId="16" w16cid:durableId="351960180">
    <w:abstractNumId w:val="5"/>
  </w:num>
  <w:num w:numId="17" w16cid:durableId="492844380">
    <w:abstractNumId w:val="5"/>
  </w:num>
  <w:num w:numId="18" w16cid:durableId="1017921997">
    <w:abstractNumId w:val="5"/>
  </w:num>
  <w:num w:numId="19" w16cid:durableId="716009735">
    <w:abstractNumId w:val="5"/>
  </w:num>
  <w:num w:numId="20" w16cid:durableId="974021598">
    <w:abstractNumId w:val="5"/>
  </w:num>
  <w:num w:numId="21" w16cid:durableId="1499155249">
    <w:abstractNumId w:val="5"/>
  </w:num>
  <w:num w:numId="22" w16cid:durableId="92749454">
    <w:abstractNumId w:val="5"/>
  </w:num>
  <w:num w:numId="23" w16cid:durableId="166559291">
    <w:abstractNumId w:val="5"/>
  </w:num>
  <w:num w:numId="24" w16cid:durableId="161450918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B63"/>
    <w:rsid w:val="00002BE7"/>
    <w:rsid w:val="0000624E"/>
    <w:rsid w:val="00012A18"/>
    <w:rsid w:val="0001724A"/>
    <w:rsid w:val="00032DA7"/>
    <w:rsid w:val="00036039"/>
    <w:rsid w:val="00037987"/>
    <w:rsid w:val="00037F90"/>
    <w:rsid w:val="00043A69"/>
    <w:rsid w:val="0005209C"/>
    <w:rsid w:val="00052F19"/>
    <w:rsid w:val="00053B6B"/>
    <w:rsid w:val="0005439B"/>
    <w:rsid w:val="00060C6D"/>
    <w:rsid w:val="00062F61"/>
    <w:rsid w:val="00063FFF"/>
    <w:rsid w:val="00065771"/>
    <w:rsid w:val="000668E4"/>
    <w:rsid w:val="000738D3"/>
    <w:rsid w:val="00074E46"/>
    <w:rsid w:val="00084AF7"/>
    <w:rsid w:val="000875BF"/>
    <w:rsid w:val="000876AF"/>
    <w:rsid w:val="0009089B"/>
    <w:rsid w:val="00096D8C"/>
    <w:rsid w:val="00097967"/>
    <w:rsid w:val="000A091C"/>
    <w:rsid w:val="000A5A12"/>
    <w:rsid w:val="000B7671"/>
    <w:rsid w:val="000C0369"/>
    <w:rsid w:val="000C0B65"/>
    <w:rsid w:val="000C1280"/>
    <w:rsid w:val="000C1AFC"/>
    <w:rsid w:val="000C6859"/>
    <w:rsid w:val="000D3726"/>
    <w:rsid w:val="000D492B"/>
    <w:rsid w:val="000D7B9B"/>
    <w:rsid w:val="000E05FE"/>
    <w:rsid w:val="000E0800"/>
    <w:rsid w:val="000E13BB"/>
    <w:rsid w:val="000E1D9E"/>
    <w:rsid w:val="000E3D42"/>
    <w:rsid w:val="000F22EC"/>
    <w:rsid w:val="000F3A81"/>
    <w:rsid w:val="000F48F4"/>
    <w:rsid w:val="000F7B63"/>
    <w:rsid w:val="0010113C"/>
    <w:rsid w:val="00104FDE"/>
    <w:rsid w:val="00105E1F"/>
    <w:rsid w:val="001110B2"/>
    <w:rsid w:val="00117309"/>
    <w:rsid w:val="00122B2F"/>
    <w:rsid w:val="00122BD5"/>
    <w:rsid w:val="00125528"/>
    <w:rsid w:val="00131D97"/>
    <w:rsid w:val="00133F79"/>
    <w:rsid w:val="00145237"/>
    <w:rsid w:val="00151D6B"/>
    <w:rsid w:val="0015587A"/>
    <w:rsid w:val="001610CD"/>
    <w:rsid w:val="001657C4"/>
    <w:rsid w:val="0017087B"/>
    <w:rsid w:val="001716BC"/>
    <w:rsid w:val="0017193B"/>
    <w:rsid w:val="00172F6F"/>
    <w:rsid w:val="00173D53"/>
    <w:rsid w:val="00177874"/>
    <w:rsid w:val="001914B2"/>
    <w:rsid w:val="001918EA"/>
    <w:rsid w:val="0019242C"/>
    <w:rsid w:val="00194A66"/>
    <w:rsid w:val="00194BDB"/>
    <w:rsid w:val="001A29C1"/>
    <w:rsid w:val="001B1591"/>
    <w:rsid w:val="001C187E"/>
    <w:rsid w:val="001C6CD9"/>
    <w:rsid w:val="001C7442"/>
    <w:rsid w:val="001C7F6E"/>
    <w:rsid w:val="001D2D64"/>
    <w:rsid w:val="001D6BCF"/>
    <w:rsid w:val="001E01CA"/>
    <w:rsid w:val="001E213B"/>
    <w:rsid w:val="001E3A0D"/>
    <w:rsid w:val="001E7D3B"/>
    <w:rsid w:val="001F1AFE"/>
    <w:rsid w:val="001F33BA"/>
    <w:rsid w:val="001F5B80"/>
    <w:rsid w:val="002027A4"/>
    <w:rsid w:val="00203B32"/>
    <w:rsid w:val="00214E52"/>
    <w:rsid w:val="00217062"/>
    <w:rsid w:val="00220A09"/>
    <w:rsid w:val="00226DB0"/>
    <w:rsid w:val="0023218D"/>
    <w:rsid w:val="00233706"/>
    <w:rsid w:val="00236CC0"/>
    <w:rsid w:val="00240C91"/>
    <w:rsid w:val="002423E5"/>
    <w:rsid w:val="00242C18"/>
    <w:rsid w:val="002518F6"/>
    <w:rsid w:val="00253C05"/>
    <w:rsid w:val="00256B78"/>
    <w:rsid w:val="00262775"/>
    <w:rsid w:val="00263882"/>
    <w:rsid w:val="00265D05"/>
    <w:rsid w:val="00266176"/>
    <w:rsid w:val="0027310A"/>
    <w:rsid w:val="00275CF5"/>
    <w:rsid w:val="0028191C"/>
    <w:rsid w:val="0028301F"/>
    <w:rsid w:val="00285017"/>
    <w:rsid w:val="00291B1B"/>
    <w:rsid w:val="002941DA"/>
    <w:rsid w:val="002A093D"/>
    <w:rsid w:val="002A2D2E"/>
    <w:rsid w:val="002A5E13"/>
    <w:rsid w:val="002B2A4B"/>
    <w:rsid w:val="002B2B49"/>
    <w:rsid w:val="002C00E8"/>
    <w:rsid w:val="002D4B5E"/>
    <w:rsid w:val="002E22B9"/>
    <w:rsid w:val="002F296E"/>
    <w:rsid w:val="002F4FF6"/>
    <w:rsid w:val="002F6A9F"/>
    <w:rsid w:val="00305FD1"/>
    <w:rsid w:val="00311785"/>
    <w:rsid w:val="0031447C"/>
    <w:rsid w:val="00314ADA"/>
    <w:rsid w:val="00314F0E"/>
    <w:rsid w:val="00315BAE"/>
    <w:rsid w:val="003175AC"/>
    <w:rsid w:val="003338B9"/>
    <w:rsid w:val="00336652"/>
    <w:rsid w:val="00341249"/>
    <w:rsid w:val="00343749"/>
    <w:rsid w:val="00346488"/>
    <w:rsid w:val="00347C2C"/>
    <w:rsid w:val="00352E47"/>
    <w:rsid w:val="003627EA"/>
    <w:rsid w:val="0036415D"/>
    <w:rsid w:val="00364A77"/>
    <w:rsid w:val="003660ED"/>
    <w:rsid w:val="00366C10"/>
    <w:rsid w:val="00380139"/>
    <w:rsid w:val="0038042C"/>
    <w:rsid w:val="00387E00"/>
    <w:rsid w:val="003A2761"/>
    <w:rsid w:val="003B0550"/>
    <w:rsid w:val="003B2288"/>
    <w:rsid w:val="003B3DB9"/>
    <w:rsid w:val="003B3EAF"/>
    <w:rsid w:val="003B5949"/>
    <w:rsid w:val="003B694F"/>
    <w:rsid w:val="003C0D7A"/>
    <w:rsid w:val="003C4E9C"/>
    <w:rsid w:val="003C63B8"/>
    <w:rsid w:val="003D1FA1"/>
    <w:rsid w:val="003D27BA"/>
    <w:rsid w:val="003D2829"/>
    <w:rsid w:val="003D28B3"/>
    <w:rsid w:val="003D53FD"/>
    <w:rsid w:val="003E2FD6"/>
    <w:rsid w:val="003F171C"/>
    <w:rsid w:val="003F611C"/>
    <w:rsid w:val="00401A5D"/>
    <w:rsid w:val="00401C03"/>
    <w:rsid w:val="004048E5"/>
    <w:rsid w:val="0041198F"/>
    <w:rsid w:val="00412FC5"/>
    <w:rsid w:val="00422276"/>
    <w:rsid w:val="00423B52"/>
    <w:rsid w:val="004242F1"/>
    <w:rsid w:val="004247E3"/>
    <w:rsid w:val="00426618"/>
    <w:rsid w:val="00426FCA"/>
    <w:rsid w:val="00427380"/>
    <w:rsid w:val="00430649"/>
    <w:rsid w:val="00430A08"/>
    <w:rsid w:val="00445A00"/>
    <w:rsid w:val="00451B0F"/>
    <w:rsid w:val="00452658"/>
    <w:rsid w:val="00461B09"/>
    <w:rsid w:val="00464808"/>
    <w:rsid w:val="00466E23"/>
    <w:rsid w:val="004673F3"/>
    <w:rsid w:val="0048011D"/>
    <w:rsid w:val="00481DC6"/>
    <w:rsid w:val="004871D5"/>
    <w:rsid w:val="004946FA"/>
    <w:rsid w:val="004A23BE"/>
    <w:rsid w:val="004A481A"/>
    <w:rsid w:val="004C27A0"/>
    <w:rsid w:val="004C2EE3"/>
    <w:rsid w:val="004C32DE"/>
    <w:rsid w:val="004C3ADD"/>
    <w:rsid w:val="004D02B1"/>
    <w:rsid w:val="004D309C"/>
    <w:rsid w:val="004D3B79"/>
    <w:rsid w:val="004D3C0A"/>
    <w:rsid w:val="004D7281"/>
    <w:rsid w:val="004E38A1"/>
    <w:rsid w:val="004E4A22"/>
    <w:rsid w:val="004E6DDB"/>
    <w:rsid w:val="00501B81"/>
    <w:rsid w:val="00503C05"/>
    <w:rsid w:val="005046BD"/>
    <w:rsid w:val="00505E8E"/>
    <w:rsid w:val="00511968"/>
    <w:rsid w:val="0051373B"/>
    <w:rsid w:val="005152FA"/>
    <w:rsid w:val="00523711"/>
    <w:rsid w:val="005314F3"/>
    <w:rsid w:val="00534FE3"/>
    <w:rsid w:val="00537133"/>
    <w:rsid w:val="00540E8D"/>
    <w:rsid w:val="0054201D"/>
    <w:rsid w:val="00550D75"/>
    <w:rsid w:val="0055125E"/>
    <w:rsid w:val="00551D1B"/>
    <w:rsid w:val="00552421"/>
    <w:rsid w:val="00553C70"/>
    <w:rsid w:val="00554430"/>
    <w:rsid w:val="0055614C"/>
    <w:rsid w:val="00561634"/>
    <w:rsid w:val="00566D06"/>
    <w:rsid w:val="00566D71"/>
    <w:rsid w:val="00567202"/>
    <w:rsid w:val="00573C83"/>
    <w:rsid w:val="005770BB"/>
    <w:rsid w:val="0059788D"/>
    <w:rsid w:val="005A42B4"/>
    <w:rsid w:val="005B1AC2"/>
    <w:rsid w:val="005B5210"/>
    <w:rsid w:val="005B5231"/>
    <w:rsid w:val="005C176E"/>
    <w:rsid w:val="005E136B"/>
    <w:rsid w:val="005E14C2"/>
    <w:rsid w:val="005E21C1"/>
    <w:rsid w:val="005E21DE"/>
    <w:rsid w:val="005E28A8"/>
    <w:rsid w:val="005E2EA2"/>
    <w:rsid w:val="005E2FC4"/>
    <w:rsid w:val="005E3486"/>
    <w:rsid w:val="005E3ACB"/>
    <w:rsid w:val="005E3F31"/>
    <w:rsid w:val="005E4245"/>
    <w:rsid w:val="00601388"/>
    <w:rsid w:val="00603492"/>
    <w:rsid w:val="00607BA5"/>
    <w:rsid w:val="00611686"/>
    <w:rsid w:val="0061180A"/>
    <w:rsid w:val="00615D3D"/>
    <w:rsid w:val="006174E6"/>
    <w:rsid w:val="006244CE"/>
    <w:rsid w:val="00626EB6"/>
    <w:rsid w:val="006366EE"/>
    <w:rsid w:val="00641480"/>
    <w:rsid w:val="00645302"/>
    <w:rsid w:val="00651888"/>
    <w:rsid w:val="00655D03"/>
    <w:rsid w:val="00660AEB"/>
    <w:rsid w:val="00666FB4"/>
    <w:rsid w:val="00672675"/>
    <w:rsid w:val="0067781B"/>
    <w:rsid w:val="006825DE"/>
    <w:rsid w:val="00682787"/>
    <w:rsid w:val="00683388"/>
    <w:rsid w:val="00683F84"/>
    <w:rsid w:val="0068539B"/>
    <w:rsid w:val="00687F61"/>
    <w:rsid w:val="00694EC6"/>
    <w:rsid w:val="006952D8"/>
    <w:rsid w:val="00696352"/>
    <w:rsid w:val="006A0F7F"/>
    <w:rsid w:val="006A27B8"/>
    <w:rsid w:val="006A6A81"/>
    <w:rsid w:val="006B2204"/>
    <w:rsid w:val="006B2A5D"/>
    <w:rsid w:val="006B3D3A"/>
    <w:rsid w:val="006B3FBE"/>
    <w:rsid w:val="006B5B21"/>
    <w:rsid w:val="006C229F"/>
    <w:rsid w:val="006D221A"/>
    <w:rsid w:val="006D2746"/>
    <w:rsid w:val="006E0F3B"/>
    <w:rsid w:val="006E6C08"/>
    <w:rsid w:val="006F7393"/>
    <w:rsid w:val="0070224F"/>
    <w:rsid w:val="007061A5"/>
    <w:rsid w:val="007115F7"/>
    <w:rsid w:val="00714225"/>
    <w:rsid w:val="0072059F"/>
    <w:rsid w:val="00722D80"/>
    <w:rsid w:val="00726EFE"/>
    <w:rsid w:val="00727C53"/>
    <w:rsid w:val="00734610"/>
    <w:rsid w:val="00752F1D"/>
    <w:rsid w:val="00757C2C"/>
    <w:rsid w:val="00775CBA"/>
    <w:rsid w:val="0077767E"/>
    <w:rsid w:val="007816C8"/>
    <w:rsid w:val="00785689"/>
    <w:rsid w:val="0079101E"/>
    <w:rsid w:val="007919C8"/>
    <w:rsid w:val="00792F76"/>
    <w:rsid w:val="00794A46"/>
    <w:rsid w:val="0079754B"/>
    <w:rsid w:val="007A1E6D"/>
    <w:rsid w:val="007A46BD"/>
    <w:rsid w:val="007A47C8"/>
    <w:rsid w:val="007B0EB2"/>
    <w:rsid w:val="007B5375"/>
    <w:rsid w:val="007B561A"/>
    <w:rsid w:val="007C1CB7"/>
    <w:rsid w:val="007C2875"/>
    <w:rsid w:val="007E37B7"/>
    <w:rsid w:val="007F2B59"/>
    <w:rsid w:val="007F512A"/>
    <w:rsid w:val="008009A7"/>
    <w:rsid w:val="0080599D"/>
    <w:rsid w:val="00806E4C"/>
    <w:rsid w:val="00810B6F"/>
    <w:rsid w:val="008120BA"/>
    <w:rsid w:val="008156E4"/>
    <w:rsid w:val="008166C8"/>
    <w:rsid w:val="00822CE0"/>
    <w:rsid w:val="008237C8"/>
    <w:rsid w:val="00824556"/>
    <w:rsid w:val="00824BF5"/>
    <w:rsid w:val="0083037F"/>
    <w:rsid w:val="00833C94"/>
    <w:rsid w:val="00835F3F"/>
    <w:rsid w:val="00841AB1"/>
    <w:rsid w:val="0084696F"/>
    <w:rsid w:val="00850CEF"/>
    <w:rsid w:val="0085626A"/>
    <w:rsid w:val="00856A21"/>
    <w:rsid w:val="00857B14"/>
    <w:rsid w:val="00861CEC"/>
    <w:rsid w:val="008645A1"/>
    <w:rsid w:val="00881B8E"/>
    <w:rsid w:val="008841AD"/>
    <w:rsid w:val="008843BF"/>
    <w:rsid w:val="00887546"/>
    <w:rsid w:val="00892C69"/>
    <w:rsid w:val="008A353B"/>
    <w:rsid w:val="008A5C93"/>
    <w:rsid w:val="008A7F89"/>
    <w:rsid w:val="008B0B25"/>
    <w:rsid w:val="008B102D"/>
    <w:rsid w:val="008B7596"/>
    <w:rsid w:val="008C5F84"/>
    <w:rsid w:val="008C616E"/>
    <w:rsid w:val="008C68F1"/>
    <w:rsid w:val="008D20E6"/>
    <w:rsid w:val="008D4A7F"/>
    <w:rsid w:val="008E3B53"/>
    <w:rsid w:val="008E62EE"/>
    <w:rsid w:val="008F0004"/>
    <w:rsid w:val="008F0D2F"/>
    <w:rsid w:val="008F1633"/>
    <w:rsid w:val="008F266E"/>
    <w:rsid w:val="008F4B8C"/>
    <w:rsid w:val="00903805"/>
    <w:rsid w:val="0090386C"/>
    <w:rsid w:val="0090554C"/>
    <w:rsid w:val="00921803"/>
    <w:rsid w:val="00926503"/>
    <w:rsid w:val="0093034F"/>
    <w:rsid w:val="00932A78"/>
    <w:rsid w:val="00937122"/>
    <w:rsid w:val="00942121"/>
    <w:rsid w:val="00947EA1"/>
    <w:rsid w:val="00950674"/>
    <w:rsid w:val="00951CA4"/>
    <w:rsid w:val="009535ED"/>
    <w:rsid w:val="009726D8"/>
    <w:rsid w:val="00983117"/>
    <w:rsid w:val="00994EF3"/>
    <w:rsid w:val="009A50D6"/>
    <w:rsid w:val="009A6DA5"/>
    <w:rsid w:val="009B00CA"/>
    <w:rsid w:val="009B0BEF"/>
    <w:rsid w:val="009B2694"/>
    <w:rsid w:val="009B5C2B"/>
    <w:rsid w:val="009B7AAA"/>
    <w:rsid w:val="009C0D32"/>
    <w:rsid w:val="009C3BBB"/>
    <w:rsid w:val="009C40FA"/>
    <w:rsid w:val="009C4532"/>
    <w:rsid w:val="009C5B66"/>
    <w:rsid w:val="009D247A"/>
    <w:rsid w:val="009D36FE"/>
    <w:rsid w:val="009D5539"/>
    <w:rsid w:val="009D7308"/>
    <w:rsid w:val="009E09CE"/>
    <w:rsid w:val="009E2272"/>
    <w:rsid w:val="009E29FB"/>
    <w:rsid w:val="009E4D32"/>
    <w:rsid w:val="009E6AA2"/>
    <w:rsid w:val="009E6DA3"/>
    <w:rsid w:val="009E7A04"/>
    <w:rsid w:val="009F2966"/>
    <w:rsid w:val="009F2B84"/>
    <w:rsid w:val="009F76DB"/>
    <w:rsid w:val="00A06B79"/>
    <w:rsid w:val="00A1733D"/>
    <w:rsid w:val="00A17394"/>
    <w:rsid w:val="00A23384"/>
    <w:rsid w:val="00A24003"/>
    <w:rsid w:val="00A2483E"/>
    <w:rsid w:val="00A257AF"/>
    <w:rsid w:val="00A32C3B"/>
    <w:rsid w:val="00A408A6"/>
    <w:rsid w:val="00A45C2A"/>
    <w:rsid w:val="00A45F4F"/>
    <w:rsid w:val="00A47AA2"/>
    <w:rsid w:val="00A53978"/>
    <w:rsid w:val="00A600A9"/>
    <w:rsid w:val="00A6082E"/>
    <w:rsid w:val="00A61F64"/>
    <w:rsid w:val="00A63DFE"/>
    <w:rsid w:val="00A6758E"/>
    <w:rsid w:val="00A67A58"/>
    <w:rsid w:val="00A9225F"/>
    <w:rsid w:val="00AA05F8"/>
    <w:rsid w:val="00AA1984"/>
    <w:rsid w:val="00AA55B7"/>
    <w:rsid w:val="00AA5B9E"/>
    <w:rsid w:val="00AA6392"/>
    <w:rsid w:val="00AB2407"/>
    <w:rsid w:val="00AB53DF"/>
    <w:rsid w:val="00AB76EE"/>
    <w:rsid w:val="00AC14C5"/>
    <w:rsid w:val="00AC47E9"/>
    <w:rsid w:val="00AD58F6"/>
    <w:rsid w:val="00AD5C54"/>
    <w:rsid w:val="00AE33DF"/>
    <w:rsid w:val="00AE5D9E"/>
    <w:rsid w:val="00AF4841"/>
    <w:rsid w:val="00AF5D72"/>
    <w:rsid w:val="00AF651E"/>
    <w:rsid w:val="00AF7246"/>
    <w:rsid w:val="00B051E7"/>
    <w:rsid w:val="00B060A1"/>
    <w:rsid w:val="00B07192"/>
    <w:rsid w:val="00B07E5C"/>
    <w:rsid w:val="00B12312"/>
    <w:rsid w:val="00B12678"/>
    <w:rsid w:val="00B12DC1"/>
    <w:rsid w:val="00B151FD"/>
    <w:rsid w:val="00B1671D"/>
    <w:rsid w:val="00B332D3"/>
    <w:rsid w:val="00B3349C"/>
    <w:rsid w:val="00B342D9"/>
    <w:rsid w:val="00B36C28"/>
    <w:rsid w:val="00B532E2"/>
    <w:rsid w:val="00B56F2E"/>
    <w:rsid w:val="00B6354B"/>
    <w:rsid w:val="00B635B2"/>
    <w:rsid w:val="00B723CD"/>
    <w:rsid w:val="00B732BD"/>
    <w:rsid w:val="00B73FA0"/>
    <w:rsid w:val="00B77BA0"/>
    <w:rsid w:val="00B811F7"/>
    <w:rsid w:val="00B828B0"/>
    <w:rsid w:val="00B845DD"/>
    <w:rsid w:val="00B87387"/>
    <w:rsid w:val="00BA42CA"/>
    <w:rsid w:val="00BA59A2"/>
    <w:rsid w:val="00BA5DC6"/>
    <w:rsid w:val="00BA5FDD"/>
    <w:rsid w:val="00BA603C"/>
    <w:rsid w:val="00BA6196"/>
    <w:rsid w:val="00BA6626"/>
    <w:rsid w:val="00BB3C3D"/>
    <w:rsid w:val="00BB7B5E"/>
    <w:rsid w:val="00BC4AEA"/>
    <w:rsid w:val="00BC5379"/>
    <w:rsid w:val="00BC5D4C"/>
    <w:rsid w:val="00BC672A"/>
    <w:rsid w:val="00BC6D8C"/>
    <w:rsid w:val="00BD0E8F"/>
    <w:rsid w:val="00BD42C0"/>
    <w:rsid w:val="00BE1657"/>
    <w:rsid w:val="00BE3093"/>
    <w:rsid w:val="00BE66BB"/>
    <w:rsid w:val="00BF5A40"/>
    <w:rsid w:val="00C026F2"/>
    <w:rsid w:val="00C040CD"/>
    <w:rsid w:val="00C159D7"/>
    <w:rsid w:val="00C15ADA"/>
    <w:rsid w:val="00C16F57"/>
    <w:rsid w:val="00C20632"/>
    <w:rsid w:val="00C20B18"/>
    <w:rsid w:val="00C2247D"/>
    <w:rsid w:val="00C22FA1"/>
    <w:rsid w:val="00C258DE"/>
    <w:rsid w:val="00C26C0A"/>
    <w:rsid w:val="00C272A6"/>
    <w:rsid w:val="00C336D1"/>
    <w:rsid w:val="00C34006"/>
    <w:rsid w:val="00C36B4C"/>
    <w:rsid w:val="00C37CD3"/>
    <w:rsid w:val="00C40531"/>
    <w:rsid w:val="00C426B1"/>
    <w:rsid w:val="00C51FF2"/>
    <w:rsid w:val="00C5409C"/>
    <w:rsid w:val="00C66160"/>
    <w:rsid w:val="00C66246"/>
    <w:rsid w:val="00C721AC"/>
    <w:rsid w:val="00C77CF8"/>
    <w:rsid w:val="00C872BC"/>
    <w:rsid w:val="00C90D6A"/>
    <w:rsid w:val="00C946FB"/>
    <w:rsid w:val="00C9681B"/>
    <w:rsid w:val="00C96ABA"/>
    <w:rsid w:val="00C97C40"/>
    <w:rsid w:val="00CA247E"/>
    <w:rsid w:val="00CA2A78"/>
    <w:rsid w:val="00CA49EF"/>
    <w:rsid w:val="00CA6989"/>
    <w:rsid w:val="00CA6D21"/>
    <w:rsid w:val="00CB3EC5"/>
    <w:rsid w:val="00CB682F"/>
    <w:rsid w:val="00CC0D1E"/>
    <w:rsid w:val="00CC3A7B"/>
    <w:rsid w:val="00CC3C98"/>
    <w:rsid w:val="00CC72B6"/>
    <w:rsid w:val="00CD2F24"/>
    <w:rsid w:val="00CE55A5"/>
    <w:rsid w:val="00CE56DE"/>
    <w:rsid w:val="00CF05DA"/>
    <w:rsid w:val="00CF2B2F"/>
    <w:rsid w:val="00CF61F7"/>
    <w:rsid w:val="00CF701B"/>
    <w:rsid w:val="00D019AF"/>
    <w:rsid w:val="00D0218D"/>
    <w:rsid w:val="00D0231A"/>
    <w:rsid w:val="00D04785"/>
    <w:rsid w:val="00D1765B"/>
    <w:rsid w:val="00D179AD"/>
    <w:rsid w:val="00D20162"/>
    <w:rsid w:val="00D2378E"/>
    <w:rsid w:val="00D25FB5"/>
    <w:rsid w:val="00D26557"/>
    <w:rsid w:val="00D26912"/>
    <w:rsid w:val="00D3020A"/>
    <w:rsid w:val="00D3060B"/>
    <w:rsid w:val="00D352CF"/>
    <w:rsid w:val="00D377E4"/>
    <w:rsid w:val="00D41DE2"/>
    <w:rsid w:val="00D44223"/>
    <w:rsid w:val="00D46DF9"/>
    <w:rsid w:val="00D52036"/>
    <w:rsid w:val="00D56978"/>
    <w:rsid w:val="00D63B78"/>
    <w:rsid w:val="00D64C46"/>
    <w:rsid w:val="00D658DC"/>
    <w:rsid w:val="00D67C47"/>
    <w:rsid w:val="00D820F3"/>
    <w:rsid w:val="00D909C7"/>
    <w:rsid w:val="00D91DAD"/>
    <w:rsid w:val="00D9263A"/>
    <w:rsid w:val="00D94B75"/>
    <w:rsid w:val="00DA0FB2"/>
    <w:rsid w:val="00DA2352"/>
    <w:rsid w:val="00DA2529"/>
    <w:rsid w:val="00DB130A"/>
    <w:rsid w:val="00DB2A19"/>
    <w:rsid w:val="00DB2EBB"/>
    <w:rsid w:val="00DB71C3"/>
    <w:rsid w:val="00DC10A1"/>
    <w:rsid w:val="00DC4176"/>
    <w:rsid w:val="00DC4D95"/>
    <w:rsid w:val="00DC655F"/>
    <w:rsid w:val="00DC7DE2"/>
    <w:rsid w:val="00DD0613"/>
    <w:rsid w:val="00DD0B59"/>
    <w:rsid w:val="00DD15EF"/>
    <w:rsid w:val="00DD3A88"/>
    <w:rsid w:val="00DD5436"/>
    <w:rsid w:val="00DD5BE2"/>
    <w:rsid w:val="00DD7EBD"/>
    <w:rsid w:val="00DE1595"/>
    <w:rsid w:val="00DE74BE"/>
    <w:rsid w:val="00DF62B6"/>
    <w:rsid w:val="00DF777F"/>
    <w:rsid w:val="00E001AC"/>
    <w:rsid w:val="00E030A1"/>
    <w:rsid w:val="00E07225"/>
    <w:rsid w:val="00E137E2"/>
    <w:rsid w:val="00E15594"/>
    <w:rsid w:val="00E27C92"/>
    <w:rsid w:val="00E27D47"/>
    <w:rsid w:val="00E32920"/>
    <w:rsid w:val="00E359E7"/>
    <w:rsid w:val="00E37AD0"/>
    <w:rsid w:val="00E41610"/>
    <w:rsid w:val="00E42D3E"/>
    <w:rsid w:val="00E43F31"/>
    <w:rsid w:val="00E478CC"/>
    <w:rsid w:val="00E51544"/>
    <w:rsid w:val="00E533C1"/>
    <w:rsid w:val="00E5409F"/>
    <w:rsid w:val="00E546C9"/>
    <w:rsid w:val="00E614C1"/>
    <w:rsid w:val="00E64B55"/>
    <w:rsid w:val="00E65B3E"/>
    <w:rsid w:val="00E65EFF"/>
    <w:rsid w:val="00E73154"/>
    <w:rsid w:val="00E76893"/>
    <w:rsid w:val="00E77C4E"/>
    <w:rsid w:val="00E834BB"/>
    <w:rsid w:val="00E86F11"/>
    <w:rsid w:val="00E95320"/>
    <w:rsid w:val="00EA16A2"/>
    <w:rsid w:val="00EA6B71"/>
    <w:rsid w:val="00EA782A"/>
    <w:rsid w:val="00EB215D"/>
    <w:rsid w:val="00EB3F84"/>
    <w:rsid w:val="00EC73C9"/>
    <w:rsid w:val="00ED25A4"/>
    <w:rsid w:val="00ED4FD1"/>
    <w:rsid w:val="00ED565C"/>
    <w:rsid w:val="00ED633B"/>
    <w:rsid w:val="00ED7A42"/>
    <w:rsid w:val="00EE12BF"/>
    <w:rsid w:val="00EE3375"/>
    <w:rsid w:val="00EE6488"/>
    <w:rsid w:val="00EE785B"/>
    <w:rsid w:val="00EF1C66"/>
    <w:rsid w:val="00EF2428"/>
    <w:rsid w:val="00EF76C8"/>
    <w:rsid w:val="00EF7ADB"/>
    <w:rsid w:val="00F018A1"/>
    <w:rsid w:val="00F021FA"/>
    <w:rsid w:val="00F05341"/>
    <w:rsid w:val="00F06C17"/>
    <w:rsid w:val="00F11AFB"/>
    <w:rsid w:val="00F1392A"/>
    <w:rsid w:val="00F14495"/>
    <w:rsid w:val="00F149BD"/>
    <w:rsid w:val="00F177AD"/>
    <w:rsid w:val="00F21B3F"/>
    <w:rsid w:val="00F240B2"/>
    <w:rsid w:val="00F30827"/>
    <w:rsid w:val="00F3426D"/>
    <w:rsid w:val="00F40E58"/>
    <w:rsid w:val="00F42A0B"/>
    <w:rsid w:val="00F4313E"/>
    <w:rsid w:val="00F45B50"/>
    <w:rsid w:val="00F50EFA"/>
    <w:rsid w:val="00F54AD4"/>
    <w:rsid w:val="00F55E5B"/>
    <w:rsid w:val="00F62E97"/>
    <w:rsid w:val="00F64209"/>
    <w:rsid w:val="00F66113"/>
    <w:rsid w:val="00F669E1"/>
    <w:rsid w:val="00F6751B"/>
    <w:rsid w:val="00F74183"/>
    <w:rsid w:val="00F75926"/>
    <w:rsid w:val="00F75E64"/>
    <w:rsid w:val="00F804BC"/>
    <w:rsid w:val="00F811EC"/>
    <w:rsid w:val="00F86139"/>
    <w:rsid w:val="00F91BF3"/>
    <w:rsid w:val="00F93BF5"/>
    <w:rsid w:val="00F94DB1"/>
    <w:rsid w:val="00F968D5"/>
    <w:rsid w:val="00FA2B40"/>
    <w:rsid w:val="00FB0DDD"/>
    <w:rsid w:val="00FB1AA4"/>
    <w:rsid w:val="00FB2763"/>
    <w:rsid w:val="00FB37D8"/>
    <w:rsid w:val="00FB5329"/>
    <w:rsid w:val="00FB5377"/>
    <w:rsid w:val="00FC3FEA"/>
    <w:rsid w:val="00FD7B72"/>
    <w:rsid w:val="00FE049B"/>
    <w:rsid w:val="00FE178C"/>
    <w:rsid w:val="00FE485E"/>
    <w:rsid w:val="00FE5AE1"/>
    <w:rsid w:val="00FE63AB"/>
    <w:rsid w:val="00FF0217"/>
    <w:rsid w:val="00FF1AD6"/>
    <w:rsid w:val="00FF29DE"/>
    <w:rsid w:val="00FF70B8"/>
    <w:rsid w:val="0785B55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5C48581"/>
  <w15:chartTrackingRefBased/>
  <w15:docId w15:val="{88149E75-5CF8-4D7C-AE02-7D78B5CE0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footer" w:uiPriority="99"/>
    <w:lsdException w:name="caption" w:semiHidden="1" w:unhideWhenUsed="1" w:qFormat="1"/>
    <w:lsdException w:name="footnote reference" w:uiPriority="99"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F7B63"/>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uiPriority w:val="99"/>
    <w:rsid w:val="00E07225"/>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 Cha,ALTS FOOTNOTE Char Char,ALTS FOOTNOTE Char Char Char Char,Footnote Text Char Char,Footnote Text Char Char Char Char,Footnote Text Char1,Footnote Text Char1 Char Char,f,fn Char,fn Char Char,fn Char Char Char Char,fn Char1"/>
    <w:link w:val="FootnoteTextChar"/>
    <w:uiPriority w:val="99"/>
    <w:qFormat/>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qForma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ALTS FOOTNOTE Cha Char,ALTS FOOTNOTE Char Char Char,ALTS FOOTNOTE Char Char Char Char Char,Footnote Text Char Char Char,Footnote Text Char Char Char Char Char,Footnote Text Char1 Char,Footnote Text Char1 Char Char Char,f Char"/>
    <w:basedOn w:val="DefaultParagraphFont"/>
    <w:link w:val="FootnoteText"/>
    <w:uiPriority w:val="99"/>
    <w:rsid w:val="000F7B63"/>
  </w:style>
  <w:style w:type="character" w:customStyle="1" w:styleId="ParaNumChar">
    <w:name w:val="ParaNum Char"/>
    <w:link w:val="ParaNum"/>
    <w:uiPriority w:val="99"/>
    <w:locked/>
    <w:rsid w:val="000F7B63"/>
    <w:rPr>
      <w:snapToGrid w:val="0"/>
      <w:kern w:val="28"/>
      <w:sz w:val="22"/>
    </w:rPr>
  </w:style>
  <w:style w:type="character" w:customStyle="1" w:styleId="Heading1Char">
    <w:name w:val="Heading 1 Char"/>
    <w:link w:val="Heading1"/>
    <w:rsid w:val="000F7B63"/>
    <w:rPr>
      <w:rFonts w:ascii="Times New Roman Bold" w:hAnsi="Times New Roman Bold"/>
      <w:b/>
      <w:caps/>
      <w:snapToGrid w:val="0"/>
      <w:kern w:val="28"/>
      <w:sz w:val="22"/>
    </w:rPr>
  </w:style>
  <w:style w:type="character" w:styleId="UnresolvedMention">
    <w:name w:val="Unresolved Mention"/>
    <w:uiPriority w:val="99"/>
    <w:semiHidden/>
    <w:unhideWhenUsed/>
    <w:rsid w:val="000876AF"/>
    <w:rPr>
      <w:color w:val="605E5C"/>
      <w:shd w:val="clear" w:color="auto" w:fill="E1DFDD"/>
    </w:rPr>
  </w:style>
  <w:style w:type="character" w:styleId="CommentReference">
    <w:name w:val="annotation reference"/>
    <w:rsid w:val="007C1CB7"/>
    <w:rPr>
      <w:sz w:val="16"/>
      <w:szCs w:val="16"/>
    </w:rPr>
  </w:style>
  <w:style w:type="paragraph" w:styleId="CommentText">
    <w:name w:val="annotation text"/>
    <w:basedOn w:val="Normal"/>
    <w:link w:val="CommentTextChar"/>
    <w:rsid w:val="007C1CB7"/>
    <w:rPr>
      <w:sz w:val="20"/>
    </w:rPr>
  </w:style>
  <w:style w:type="character" w:customStyle="1" w:styleId="CommentTextChar">
    <w:name w:val="Comment Text Char"/>
    <w:link w:val="CommentText"/>
    <w:rsid w:val="007C1CB7"/>
    <w:rPr>
      <w:snapToGrid w:val="0"/>
      <w:kern w:val="28"/>
    </w:rPr>
  </w:style>
  <w:style w:type="paragraph" w:styleId="CommentSubject">
    <w:name w:val="annotation subject"/>
    <w:basedOn w:val="CommentText"/>
    <w:next w:val="CommentText"/>
    <w:link w:val="CommentSubjectChar"/>
    <w:rsid w:val="007C1CB7"/>
    <w:rPr>
      <w:b/>
      <w:bCs/>
    </w:rPr>
  </w:style>
  <w:style w:type="character" w:customStyle="1" w:styleId="CommentSubjectChar">
    <w:name w:val="Comment Subject Char"/>
    <w:link w:val="CommentSubject"/>
    <w:rsid w:val="007C1CB7"/>
    <w:rPr>
      <w:b/>
      <w:bCs/>
      <w:snapToGrid w:val="0"/>
      <w:kern w:val="28"/>
    </w:rPr>
  </w:style>
  <w:style w:type="paragraph" w:styleId="Revision">
    <w:name w:val="Revision"/>
    <w:hidden/>
    <w:uiPriority w:val="99"/>
    <w:semiHidden/>
    <w:rsid w:val="00BD42C0"/>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broadbandmap.fcc.gov/home" TargetMode="External" /><Relationship Id="rId2" Type="http://schemas.openxmlformats.org/officeDocument/2006/relationships/hyperlink" Target="https://www.fcc.gov/auction/904" TargetMode="External" /><Relationship Id="rId3" Type="http://schemas.openxmlformats.org/officeDocument/2006/relationships/hyperlink" Target="https://broadbandusa.ntia.doc.gov/sites/default/files/2022-05/BEAD%20NOFO.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