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E2735" w:rsidP="006E2735" w14:paraId="7AFF0D67" w14:textId="77777777">
      <w:pPr>
        <w:tabs>
          <w:tab w:val="left" w:pos="7920"/>
          <w:tab w:val="right" w:pos="9360"/>
        </w:tabs>
        <w:jc w:val="right"/>
        <w:rPr>
          <w:b/>
          <w:bCs/>
          <w:szCs w:val="22"/>
        </w:rPr>
      </w:pPr>
    </w:p>
    <w:p w:rsidR="006E2735" w:rsidRPr="00DE2D56" w:rsidP="006E2735" w14:paraId="64F83822" w14:textId="3A80D1D8">
      <w:pPr>
        <w:tabs>
          <w:tab w:val="left" w:pos="7920"/>
          <w:tab w:val="right" w:pos="9360"/>
        </w:tabs>
        <w:jc w:val="right"/>
        <w:rPr>
          <w:b/>
          <w:bCs/>
          <w:szCs w:val="22"/>
        </w:rPr>
      </w:pPr>
      <w:r w:rsidRPr="00DE2D56">
        <w:rPr>
          <w:b/>
          <w:bCs/>
          <w:szCs w:val="22"/>
        </w:rPr>
        <w:t xml:space="preserve">DA </w:t>
      </w:r>
      <w:r>
        <w:rPr>
          <w:b/>
          <w:bCs/>
          <w:szCs w:val="22"/>
        </w:rPr>
        <w:t>26-594</w:t>
      </w:r>
    </w:p>
    <w:p w:rsidR="006E2735" w:rsidP="006E2735" w14:paraId="218E59A1" w14:textId="77777777">
      <w:pPr>
        <w:jc w:val="right"/>
        <w:rPr>
          <w:b/>
          <w:bCs/>
          <w:szCs w:val="22"/>
        </w:rPr>
      </w:pPr>
      <w:r w:rsidRPr="00DE2D56">
        <w:rPr>
          <w:b/>
          <w:bCs/>
          <w:szCs w:val="22"/>
        </w:rPr>
        <w:t xml:space="preserve">Released: </w:t>
      </w:r>
      <w:r>
        <w:rPr>
          <w:b/>
          <w:bCs/>
          <w:szCs w:val="22"/>
        </w:rPr>
        <w:t>June 16, 2026</w:t>
      </w:r>
    </w:p>
    <w:p w:rsidR="006E2735" w:rsidP="006E2735" w14:paraId="6D1130D4" w14:textId="77777777">
      <w:pPr>
        <w:autoSpaceDE w:val="0"/>
        <w:autoSpaceDN w:val="0"/>
        <w:adjustRightInd w:val="0"/>
        <w:jc w:val="center"/>
        <w:rPr>
          <w:b/>
          <w:color w:val="000000" w:themeColor="text1"/>
          <w:kern w:val="0"/>
          <w:szCs w:val="22"/>
        </w:rPr>
      </w:pPr>
    </w:p>
    <w:p w:rsidR="006E2735" w:rsidRPr="0057645F" w:rsidP="006E2735" w14:paraId="478B2FD3" w14:textId="77777777">
      <w:pPr>
        <w:autoSpaceDE w:val="0"/>
        <w:autoSpaceDN w:val="0"/>
        <w:adjustRightInd w:val="0"/>
        <w:jc w:val="center"/>
        <w:rPr>
          <w:color w:val="000000" w:themeColor="text1"/>
          <w:kern w:val="0"/>
          <w:szCs w:val="22"/>
        </w:rPr>
      </w:pPr>
      <w:r w:rsidRPr="0057645F">
        <w:rPr>
          <w:b/>
          <w:color w:val="000000" w:themeColor="text1"/>
          <w:kern w:val="0"/>
          <w:szCs w:val="22"/>
        </w:rPr>
        <w:t>OFFICE OF ENGINEERING AND TECHNOLOGY SEEKS COMMENT ON</w:t>
      </w:r>
    </w:p>
    <w:p w:rsidR="006E2735" w:rsidRPr="0057645F" w:rsidP="006E2735" w14:paraId="41B68067" w14:textId="77777777">
      <w:pPr>
        <w:jc w:val="center"/>
        <w:rPr>
          <w:b/>
          <w:color w:val="000000" w:themeColor="text1"/>
          <w:szCs w:val="22"/>
        </w:rPr>
      </w:pPr>
      <w:r w:rsidRPr="0057645F">
        <w:rPr>
          <w:color w:val="000000" w:themeColor="text1"/>
          <w:szCs w:val="22"/>
        </w:rPr>
        <w:t xml:space="preserve"> </w:t>
      </w:r>
      <w:r w:rsidRPr="0057645F">
        <w:rPr>
          <w:b/>
          <w:color w:val="000000" w:themeColor="text1"/>
          <w:szCs w:val="22"/>
        </w:rPr>
        <w:t xml:space="preserve">GOODYEAR’S REQUEST FOR WAIVER OF SECTION 15.231(E) OF THE COMMISSION’S RULES FOR INTENTIONAL RADIATORS </w:t>
      </w:r>
    </w:p>
    <w:p w:rsidR="006E2735" w:rsidRPr="00DE2D56" w:rsidP="006E2735" w14:paraId="1168C597" w14:textId="77777777">
      <w:pPr>
        <w:jc w:val="center"/>
        <w:rPr>
          <w:b/>
          <w:bCs/>
          <w:color w:val="000000" w:themeColor="text1"/>
          <w:szCs w:val="22"/>
        </w:rPr>
      </w:pPr>
    </w:p>
    <w:p w:rsidR="006E2735" w:rsidRPr="00DE2D56" w:rsidP="006E2735" w14:paraId="7B70E0FB" w14:textId="77777777">
      <w:pPr>
        <w:jc w:val="center"/>
        <w:rPr>
          <w:b/>
          <w:bCs/>
          <w:szCs w:val="22"/>
        </w:rPr>
      </w:pPr>
      <w:r w:rsidRPr="00DE2D56">
        <w:rPr>
          <w:b/>
          <w:bCs/>
          <w:szCs w:val="22"/>
        </w:rPr>
        <w:t xml:space="preserve">ET Docket No. </w:t>
      </w:r>
      <w:r>
        <w:rPr>
          <w:b/>
          <w:bCs/>
          <w:szCs w:val="22"/>
        </w:rPr>
        <w:t>26-153</w:t>
      </w:r>
    </w:p>
    <w:p w:rsidR="006E2735" w:rsidRPr="00DE2D56" w:rsidP="006E2735" w14:paraId="3474070D" w14:textId="77777777">
      <w:pPr>
        <w:jc w:val="center"/>
        <w:rPr>
          <w:b/>
          <w:szCs w:val="22"/>
        </w:rPr>
      </w:pPr>
    </w:p>
    <w:p w:rsidR="006E2735" w:rsidRPr="00DE2D56" w:rsidP="006E2735" w14:paraId="623F5FF4" w14:textId="77777777">
      <w:pPr>
        <w:rPr>
          <w:b/>
          <w:bCs/>
          <w:szCs w:val="22"/>
        </w:rPr>
      </w:pPr>
      <w:bookmarkStart w:id="0" w:name="TOChere"/>
      <w:r w:rsidRPr="00DE2D56">
        <w:rPr>
          <w:b/>
          <w:bCs/>
          <w:szCs w:val="22"/>
        </w:rPr>
        <w:t xml:space="preserve">Comment Date:  </w:t>
      </w:r>
      <w:r>
        <w:rPr>
          <w:b/>
          <w:bCs/>
          <w:szCs w:val="22"/>
        </w:rPr>
        <w:t>July 16, 2026</w:t>
      </w:r>
    </w:p>
    <w:p w:rsidR="006E2735" w:rsidRPr="00683D84" w:rsidP="006E2735" w14:paraId="3450F280" w14:textId="77777777">
      <w:pPr>
        <w:rPr>
          <w:b/>
          <w:bCs/>
          <w:szCs w:val="22"/>
        </w:rPr>
      </w:pPr>
      <w:r w:rsidRPr="00DE2D56">
        <w:rPr>
          <w:b/>
          <w:bCs/>
          <w:szCs w:val="22"/>
        </w:rPr>
        <w:t xml:space="preserve">Reply Comment Date:  </w:t>
      </w:r>
      <w:r>
        <w:rPr>
          <w:b/>
          <w:bCs/>
          <w:szCs w:val="22"/>
        </w:rPr>
        <w:t>July 31, 2026</w:t>
      </w:r>
    </w:p>
    <w:p w:rsidR="006E2735" w:rsidP="006E2735" w14:paraId="2073F0B1" w14:textId="77777777">
      <w:pPr>
        <w:pStyle w:val="Default"/>
        <w:ind w:firstLine="720"/>
        <w:rPr>
          <w:color w:val="auto"/>
          <w:sz w:val="22"/>
          <w:szCs w:val="22"/>
        </w:rPr>
      </w:pPr>
    </w:p>
    <w:p w:rsidR="006E2735" w:rsidP="006E2735" w14:paraId="1AE58820" w14:textId="77777777">
      <w:pPr>
        <w:ind w:firstLine="720"/>
        <w:rPr>
          <w:szCs w:val="22"/>
        </w:rPr>
      </w:pPr>
      <w:r w:rsidRPr="0023570E">
        <w:rPr>
          <w:szCs w:val="22"/>
        </w:rPr>
        <w:t xml:space="preserve">By this </w:t>
      </w:r>
      <w:r>
        <w:rPr>
          <w:szCs w:val="22"/>
        </w:rPr>
        <w:t>P</w:t>
      </w:r>
      <w:r w:rsidRPr="0023570E">
        <w:rPr>
          <w:szCs w:val="22"/>
        </w:rPr>
        <w:t xml:space="preserve">ublic </w:t>
      </w:r>
      <w:r>
        <w:rPr>
          <w:szCs w:val="22"/>
        </w:rPr>
        <w:t>N</w:t>
      </w:r>
      <w:r w:rsidRPr="0023570E">
        <w:rPr>
          <w:szCs w:val="22"/>
        </w:rPr>
        <w:t xml:space="preserve">otice, we seek comment on a request by the </w:t>
      </w:r>
      <w:bookmarkStart w:id="1" w:name="_Hlk115787894"/>
      <w:r>
        <w:rPr>
          <w:szCs w:val="22"/>
        </w:rPr>
        <w:t xml:space="preserve">Goodyear Tire and Rubber Company (Goodyear) </w:t>
      </w:r>
      <w:bookmarkEnd w:id="1"/>
      <w:r w:rsidRPr="0023570E">
        <w:rPr>
          <w:szCs w:val="22"/>
        </w:rPr>
        <w:t xml:space="preserve">to waive Section 15.231(e) of our rules to obtain a grant of equipment authorization for future deployments of its tire </w:t>
      </w:r>
      <w:r>
        <w:rPr>
          <w:szCs w:val="22"/>
        </w:rPr>
        <w:t xml:space="preserve">mounted sensor </w:t>
      </w:r>
      <w:r w:rsidRPr="0023570E">
        <w:rPr>
          <w:szCs w:val="22"/>
        </w:rPr>
        <w:t>system (TMS)</w:t>
      </w:r>
      <w:r>
        <w:rPr>
          <w:szCs w:val="22"/>
        </w:rPr>
        <w:t xml:space="preserve"> </w:t>
      </w:r>
      <w:r w:rsidRPr="0023570E">
        <w:rPr>
          <w:szCs w:val="22"/>
        </w:rPr>
        <w:t xml:space="preserve">operating </w:t>
      </w:r>
      <w:r>
        <w:rPr>
          <w:szCs w:val="22"/>
        </w:rPr>
        <w:t xml:space="preserve">on an unlicensed basis under part 15 of the Commission’s rules </w:t>
      </w:r>
      <w:r w:rsidRPr="0023570E">
        <w:rPr>
          <w:szCs w:val="22"/>
        </w:rPr>
        <w:t>in the 433 MHz band.</w:t>
      </w:r>
      <w:r>
        <w:rPr>
          <w:szCs w:val="22"/>
          <w:vertAlign w:val="superscript"/>
        </w:rPr>
        <w:footnoteReference w:id="3"/>
      </w:r>
    </w:p>
    <w:p w:rsidR="006E2735" w:rsidP="006E2735" w14:paraId="72A3F496" w14:textId="77777777">
      <w:pPr>
        <w:pStyle w:val="Default"/>
        <w:ind w:firstLine="720"/>
        <w:rPr>
          <w:color w:val="auto"/>
          <w:sz w:val="22"/>
          <w:szCs w:val="22"/>
        </w:rPr>
      </w:pPr>
    </w:p>
    <w:p w:rsidR="006E2735" w:rsidP="006E2735" w14:paraId="16EB0AD7" w14:textId="77777777">
      <w:pPr>
        <w:ind w:firstLine="720"/>
        <w:rPr>
          <w:szCs w:val="22"/>
        </w:rPr>
      </w:pPr>
      <w:r>
        <w:rPr>
          <w:szCs w:val="22"/>
        </w:rPr>
        <w:t>Goodyear</w:t>
      </w:r>
      <w:r w:rsidRPr="00F22A97">
        <w:rPr>
          <w:szCs w:val="22"/>
        </w:rPr>
        <w:t>’s TMS</w:t>
      </w:r>
      <w:r>
        <w:rPr>
          <w:szCs w:val="22"/>
        </w:rPr>
        <w:t>, which it calls “</w:t>
      </w:r>
      <w:r>
        <w:rPr>
          <w:szCs w:val="22"/>
        </w:rPr>
        <w:t>SightLine</w:t>
      </w:r>
      <w:r>
        <w:rPr>
          <w:szCs w:val="22"/>
        </w:rPr>
        <w:t xml:space="preserve">,” </w:t>
      </w:r>
      <w:r w:rsidRPr="00F22A97">
        <w:rPr>
          <w:szCs w:val="22"/>
        </w:rPr>
        <w:t xml:space="preserve">is designed to measure the </w:t>
      </w:r>
      <w:r>
        <w:rPr>
          <w:szCs w:val="22"/>
        </w:rPr>
        <w:t xml:space="preserve">tire </w:t>
      </w:r>
      <w:r w:rsidRPr="00F22A97">
        <w:rPr>
          <w:szCs w:val="22"/>
        </w:rPr>
        <w:t xml:space="preserve">pressure, </w:t>
      </w:r>
      <w:r>
        <w:rPr>
          <w:szCs w:val="22"/>
        </w:rPr>
        <w:t>tri-axial acceleration, temperature, load, wear, and friction potential.</w:t>
      </w:r>
      <w:r>
        <w:rPr>
          <w:rStyle w:val="FootnoteReference"/>
          <w:szCs w:val="22"/>
        </w:rPr>
        <w:footnoteReference w:id="4"/>
      </w:r>
      <w:r>
        <w:rPr>
          <w:szCs w:val="22"/>
        </w:rPr>
        <w:t xml:space="preserve"> </w:t>
      </w:r>
      <w:r w:rsidRPr="005B306C">
        <w:rPr>
          <w:szCs w:val="22"/>
        </w:rPr>
        <w:t xml:space="preserve"> </w:t>
      </w:r>
      <w:r>
        <w:rPr>
          <w:szCs w:val="22"/>
        </w:rPr>
        <w:t>According to Goodyear, a</w:t>
      </w:r>
      <w:r w:rsidRPr="005B306C">
        <w:rPr>
          <w:szCs w:val="22"/>
        </w:rPr>
        <w:t xml:space="preserve"> sensor located within the wheel</w:t>
      </w:r>
      <w:r>
        <w:rPr>
          <w:szCs w:val="22"/>
        </w:rPr>
        <w:t xml:space="preserve"> and</w:t>
      </w:r>
      <w:r w:rsidRPr="005B306C">
        <w:rPr>
          <w:szCs w:val="22"/>
        </w:rPr>
        <w:t xml:space="preserve"> affixed to the inner liner of the tire cavity collects tire data and transmits it to </w:t>
      </w:r>
      <w:r>
        <w:rPr>
          <w:szCs w:val="22"/>
        </w:rPr>
        <w:t>a</w:t>
      </w:r>
      <w:r w:rsidRPr="005B306C">
        <w:rPr>
          <w:szCs w:val="22"/>
        </w:rPr>
        <w:t xml:space="preserve"> controller via </w:t>
      </w:r>
      <w:r w:rsidRPr="00F22A97">
        <w:rPr>
          <w:szCs w:val="22"/>
        </w:rPr>
        <w:t xml:space="preserve">a </w:t>
      </w:r>
      <w:r>
        <w:rPr>
          <w:szCs w:val="22"/>
        </w:rPr>
        <w:t>433 MHz signal in short frequency bursts</w:t>
      </w:r>
      <w:r w:rsidRPr="00F22A97">
        <w:rPr>
          <w:szCs w:val="22"/>
        </w:rPr>
        <w:t>.</w:t>
      </w:r>
      <w:r>
        <w:rPr>
          <w:szCs w:val="22"/>
          <w:vertAlign w:val="superscript"/>
        </w:rPr>
        <w:footnoteReference w:id="5"/>
      </w:r>
      <w:r w:rsidRPr="00F22A97">
        <w:rPr>
          <w:szCs w:val="22"/>
        </w:rPr>
        <w:t xml:space="preserve">  </w:t>
      </w:r>
      <w:r>
        <w:rPr>
          <w:szCs w:val="22"/>
        </w:rPr>
        <w:t xml:space="preserve">The </w:t>
      </w:r>
      <w:r w:rsidRPr="00F15102">
        <w:rPr>
          <w:szCs w:val="22"/>
        </w:rPr>
        <w:t>electronic control unit then wirelessly receives this information</w:t>
      </w:r>
      <w:r>
        <w:rPr>
          <w:szCs w:val="22"/>
        </w:rPr>
        <w:t xml:space="preserve"> and </w:t>
      </w:r>
      <w:r w:rsidRPr="00F15102">
        <w:rPr>
          <w:szCs w:val="22"/>
        </w:rPr>
        <w:t>integrat</w:t>
      </w:r>
      <w:r>
        <w:rPr>
          <w:szCs w:val="22"/>
        </w:rPr>
        <w:t>es</w:t>
      </w:r>
      <w:r w:rsidRPr="00F15102">
        <w:rPr>
          <w:szCs w:val="22"/>
        </w:rPr>
        <w:t xml:space="preserve"> it with inputs from vehicle chassis sensors.</w:t>
      </w:r>
      <w:r>
        <w:rPr>
          <w:rStyle w:val="FootnoteReference"/>
          <w:szCs w:val="22"/>
        </w:rPr>
        <w:footnoteReference w:id="6"/>
      </w:r>
      <w:r>
        <w:rPr>
          <w:szCs w:val="22"/>
        </w:rPr>
        <w:t xml:space="preserve"> </w:t>
      </w:r>
      <w:r w:rsidRPr="00F22A97">
        <w:rPr>
          <w:szCs w:val="22"/>
        </w:rPr>
        <w:t xml:space="preserve"> Special software in the control </w:t>
      </w:r>
      <w:r>
        <w:rPr>
          <w:szCs w:val="22"/>
        </w:rPr>
        <w:t>unit</w:t>
      </w:r>
      <w:r w:rsidRPr="00F22A97">
        <w:rPr>
          <w:szCs w:val="22"/>
        </w:rPr>
        <w:t xml:space="preserve"> then processes the data received and shows</w:t>
      </w:r>
      <w:r>
        <w:rPr>
          <w:szCs w:val="22"/>
        </w:rPr>
        <w:t xml:space="preserve"> the data and any vehicle safety alerts</w:t>
      </w:r>
      <w:r w:rsidRPr="00F22A97">
        <w:rPr>
          <w:szCs w:val="22"/>
        </w:rPr>
        <w:t xml:space="preserve"> on a display on the instrument panel.</w:t>
      </w:r>
      <w:r>
        <w:rPr>
          <w:szCs w:val="22"/>
          <w:vertAlign w:val="superscript"/>
        </w:rPr>
        <w:footnoteReference w:id="7"/>
      </w:r>
    </w:p>
    <w:p w:rsidR="006E2735" w:rsidRPr="00F22A97" w:rsidP="006E2735" w14:paraId="520BA6C2" w14:textId="77777777">
      <w:pPr>
        <w:ind w:firstLine="720"/>
        <w:rPr>
          <w:szCs w:val="22"/>
        </w:rPr>
      </w:pPr>
    </w:p>
    <w:p w:rsidR="006E2735" w:rsidRPr="00F22A97" w:rsidP="006E2735" w14:paraId="24093359" w14:textId="77777777">
      <w:pPr>
        <w:widowControl/>
        <w:ind w:firstLine="720"/>
        <w:rPr>
          <w:szCs w:val="22"/>
        </w:rPr>
      </w:pPr>
      <w:r w:rsidRPr="00F22A97">
        <w:rPr>
          <w:szCs w:val="22"/>
        </w:rPr>
        <w:t xml:space="preserve">Section 15.231 governs the periodic operation of intentional radiators in the band 40.66-40.70 MHz and above 70 </w:t>
      </w:r>
      <w:r w:rsidRPr="00F22A97">
        <w:rPr>
          <w:szCs w:val="22"/>
        </w:rPr>
        <w:t>MHz.</w:t>
      </w:r>
      <w:r>
        <w:rPr>
          <w:szCs w:val="22"/>
          <w:vertAlign w:val="superscript"/>
        </w:rPr>
        <w:footnoteReference w:id="8"/>
      </w:r>
      <w:r w:rsidRPr="00F22A97">
        <w:rPr>
          <w:szCs w:val="22"/>
        </w:rPr>
        <w:t xml:space="preserve">  </w:t>
      </w:r>
      <w:r>
        <w:rPr>
          <w:szCs w:val="22"/>
        </w:rPr>
        <w:t>Devices operating u</w:t>
      </w:r>
      <w:r w:rsidRPr="00F22A97">
        <w:rPr>
          <w:szCs w:val="22"/>
        </w:rPr>
        <w:t xml:space="preserve">nder </w:t>
      </w:r>
      <w:r>
        <w:rPr>
          <w:szCs w:val="22"/>
        </w:rPr>
        <w:t>the provisions of s</w:t>
      </w:r>
      <w:r w:rsidRPr="00F22A97">
        <w:rPr>
          <w:szCs w:val="22"/>
        </w:rPr>
        <w:t>ection 15.231(e)</w:t>
      </w:r>
      <w:r>
        <w:rPr>
          <w:szCs w:val="22"/>
        </w:rPr>
        <w:t xml:space="preserve"> must incorporate</w:t>
      </w:r>
      <w:r w:rsidRPr="00F22A97">
        <w:rPr>
          <w:szCs w:val="22"/>
        </w:rPr>
        <w:t xml:space="preserve"> a means for automatically limiting operation so that the duration of each transmission shall not be greater </w:t>
      </w:r>
      <w:r w:rsidRPr="00F22A97">
        <w:rPr>
          <w:szCs w:val="22"/>
        </w:rPr>
        <w:t>than one second and the silent period between transmissions shall be at least 30 times the duration of the transmission but in no case less than 10 seconds.</w:t>
      </w:r>
      <w:r>
        <w:rPr>
          <w:szCs w:val="22"/>
          <w:vertAlign w:val="superscript"/>
        </w:rPr>
        <w:footnoteReference w:id="9"/>
      </w:r>
      <w:r w:rsidRPr="00F22A97">
        <w:rPr>
          <w:szCs w:val="22"/>
        </w:rPr>
        <w:t xml:space="preserve"> </w:t>
      </w:r>
    </w:p>
    <w:p w:rsidR="006E2735" w:rsidRPr="00F22A97" w:rsidP="006E2735" w14:paraId="1003B321" w14:textId="77777777">
      <w:pPr>
        <w:ind w:firstLine="720"/>
        <w:rPr>
          <w:szCs w:val="22"/>
        </w:rPr>
      </w:pPr>
    </w:p>
    <w:p w:rsidR="006E2735" w:rsidRPr="00F22A97" w:rsidP="006E2735" w14:paraId="78FBABA3" w14:textId="77777777">
      <w:pPr>
        <w:ind w:firstLine="720"/>
        <w:rPr>
          <w:szCs w:val="22"/>
        </w:rPr>
      </w:pPr>
      <w:r>
        <w:rPr>
          <w:szCs w:val="22"/>
        </w:rPr>
        <w:t xml:space="preserve">Goodyear </w:t>
      </w:r>
      <w:r w:rsidRPr="00F22A97">
        <w:rPr>
          <w:szCs w:val="22"/>
        </w:rPr>
        <w:t xml:space="preserve">requests a waiver of the periodic timing requirement of section 15.231(e) that establishes provisions for the timing of and the duration of each transmission. </w:t>
      </w:r>
      <w:r>
        <w:rPr>
          <w:szCs w:val="22"/>
        </w:rPr>
        <w:t xml:space="preserve"> Goodyear explains that its system requires a short period of frequent transmissions at initialization to collect enough data for accurate tire status and atmospheric conditions.</w:t>
      </w:r>
      <w:r>
        <w:rPr>
          <w:rStyle w:val="FootnoteReference"/>
          <w:szCs w:val="22"/>
        </w:rPr>
        <w:footnoteReference w:id="10"/>
      </w:r>
      <w:r>
        <w:rPr>
          <w:szCs w:val="22"/>
        </w:rPr>
        <w:t xml:space="preserve">  It claims that without the complete set of initial data the vehicle may not receive prompt warnings about critical tire, load, or operational issues.</w:t>
      </w:r>
      <w:r>
        <w:rPr>
          <w:rStyle w:val="FootnoteReference"/>
          <w:szCs w:val="22"/>
        </w:rPr>
        <w:footnoteReference w:id="11"/>
      </w:r>
      <w:r>
        <w:rPr>
          <w:szCs w:val="22"/>
        </w:rPr>
        <w:t xml:space="preserve">  Goodyear also asserts</w:t>
      </w:r>
      <w:r w:rsidRPr="00F22A97">
        <w:rPr>
          <w:szCs w:val="22"/>
        </w:rPr>
        <w:t xml:space="preserve"> that the requested rule waiver </w:t>
      </w:r>
      <w:r>
        <w:rPr>
          <w:szCs w:val="22"/>
        </w:rPr>
        <w:t>would serve the public interest by enabling prompt detection of hazardous tire conditions and improving overall vehicle safety and performance.</w:t>
      </w:r>
      <w:r>
        <w:rPr>
          <w:szCs w:val="22"/>
          <w:vertAlign w:val="superscript"/>
        </w:rPr>
        <w:footnoteReference w:id="12"/>
      </w:r>
      <w:r w:rsidRPr="00F22A97">
        <w:rPr>
          <w:szCs w:val="22"/>
        </w:rPr>
        <w:t xml:space="preserve">  </w:t>
      </w:r>
    </w:p>
    <w:p w:rsidR="006E2735" w:rsidRPr="00DE2D56" w:rsidP="006E2735" w14:paraId="69F48453" w14:textId="77777777">
      <w:pPr>
        <w:pStyle w:val="Default"/>
        <w:ind w:firstLine="720"/>
        <w:rPr>
          <w:color w:val="000000" w:themeColor="text1"/>
          <w:sz w:val="22"/>
          <w:szCs w:val="22"/>
        </w:rPr>
      </w:pPr>
    </w:p>
    <w:p w:rsidR="006E2735" w:rsidRPr="00DE2D56" w:rsidP="006E2735" w14:paraId="64854495" w14:textId="77777777">
      <w:pPr>
        <w:ind w:firstLine="720"/>
        <w:rPr>
          <w:szCs w:val="22"/>
        </w:rPr>
      </w:pPr>
      <w:r w:rsidRPr="00DE2D56">
        <w:rPr>
          <w:szCs w:val="22"/>
        </w:rPr>
        <w:t>We seek comment on</w:t>
      </w:r>
      <w:r>
        <w:rPr>
          <w:szCs w:val="22"/>
        </w:rPr>
        <w:t xml:space="preserve"> Goodyear’s</w:t>
      </w:r>
      <w:r w:rsidRPr="00DE2D56">
        <w:rPr>
          <w:szCs w:val="22"/>
        </w:rPr>
        <w:t xml:space="preserve"> waiver request.</w:t>
      </w:r>
      <w:r>
        <w:rPr>
          <w:szCs w:val="22"/>
        </w:rPr>
        <w:t xml:space="preserve"> </w:t>
      </w:r>
      <w:r w:rsidRPr="00DE2D56">
        <w:rPr>
          <w:szCs w:val="22"/>
        </w:rPr>
        <w:t xml:space="preserve"> To develop a complete record on the issues presented by this request, this proceeding will be treated, for ex </w:t>
      </w:r>
      <w:r w:rsidRPr="00DE2D56">
        <w:rPr>
          <w:szCs w:val="22"/>
        </w:rPr>
        <w:t>parte</w:t>
      </w:r>
      <w:r w:rsidRPr="00DE2D56">
        <w:rPr>
          <w:szCs w:val="22"/>
        </w:rPr>
        <w:t xml:space="preserve"> purposes, as "permit-but-disclose" in accordance with Section 1.1200(a) of the Commission's rules, subject to the requirements under Section 1.1206(b).  We have opened a new docket, </w:t>
      </w:r>
      <w:r w:rsidRPr="00DE2D56">
        <w:rPr>
          <w:b/>
          <w:bCs/>
          <w:szCs w:val="22"/>
        </w:rPr>
        <w:t xml:space="preserve">ET Docket </w:t>
      </w:r>
      <w:r>
        <w:rPr>
          <w:b/>
          <w:bCs/>
          <w:szCs w:val="22"/>
        </w:rPr>
        <w:t>26</w:t>
      </w:r>
      <w:r w:rsidRPr="00DE2D56">
        <w:rPr>
          <w:b/>
          <w:bCs/>
          <w:szCs w:val="22"/>
        </w:rPr>
        <w:t>-</w:t>
      </w:r>
      <w:r>
        <w:rPr>
          <w:b/>
          <w:bCs/>
          <w:szCs w:val="22"/>
        </w:rPr>
        <w:t>153</w:t>
      </w:r>
      <w:r w:rsidRPr="00DE2D56">
        <w:rPr>
          <w:szCs w:val="22"/>
        </w:rPr>
        <w:t xml:space="preserve"> to facilitate consideration of this request and moved </w:t>
      </w:r>
      <w:r>
        <w:rPr>
          <w:szCs w:val="22"/>
        </w:rPr>
        <w:t>Goodyear</w:t>
      </w:r>
      <w:r w:rsidRPr="00DE2D56">
        <w:rPr>
          <w:szCs w:val="22"/>
        </w:rPr>
        <w:t>’s submission into this docket.</w:t>
      </w:r>
      <w:r>
        <w:rPr>
          <w:szCs w:val="22"/>
          <w:vertAlign w:val="superscript"/>
        </w:rPr>
        <w:footnoteReference w:id="13"/>
      </w:r>
      <w:r w:rsidRPr="00DE2D56">
        <w:rPr>
          <w:szCs w:val="22"/>
        </w:rPr>
        <w:t xml:space="preserve">   Parties should file all comments and reply comments in </w:t>
      </w:r>
      <w:r w:rsidRPr="00DE2D56">
        <w:rPr>
          <w:b/>
          <w:bCs/>
          <w:szCs w:val="22"/>
        </w:rPr>
        <w:t xml:space="preserve">ET Docket </w:t>
      </w:r>
      <w:r>
        <w:rPr>
          <w:b/>
          <w:bCs/>
          <w:szCs w:val="22"/>
        </w:rPr>
        <w:t>26</w:t>
      </w:r>
      <w:r w:rsidRPr="00DE2D56">
        <w:rPr>
          <w:b/>
          <w:bCs/>
          <w:szCs w:val="22"/>
        </w:rPr>
        <w:t>-</w:t>
      </w:r>
      <w:r>
        <w:rPr>
          <w:b/>
          <w:bCs/>
          <w:szCs w:val="22"/>
        </w:rPr>
        <w:t>153</w:t>
      </w:r>
      <w:r w:rsidRPr="00DE2D56">
        <w:rPr>
          <w:szCs w:val="22"/>
        </w:rPr>
        <w:t xml:space="preserve">.  </w:t>
      </w:r>
    </w:p>
    <w:p w:rsidR="006E2735" w:rsidRPr="00DE2D56" w:rsidP="006E2735" w14:paraId="67A4FF90" w14:textId="77777777">
      <w:pPr>
        <w:ind w:firstLine="720"/>
        <w:rPr>
          <w:szCs w:val="22"/>
        </w:rPr>
      </w:pPr>
    </w:p>
    <w:p w:rsidR="006E2735" w:rsidRPr="00DE2D56" w:rsidP="006E2735" w14:paraId="3FED25AF" w14:textId="77777777">
      <w:pPr>
        <w:ind w:firstLine="720"/>
        <w:rPr>
          <w:szCs w:val="22"/>
        </w:rPr>
      </w:pPr>
      <w:r w:rsidRPr="00DE2D56">
        <w:rPr>
          <w:i/>
          <w:iCs/>
          <w:szCs w:val="22"/>
        </w:rPr>
        <w:t>Filing Requirements</w:t>
      </w:r>
      <w:r w:rsidRPr="00DE2D56">
        <w:rPr>
          <w:szCs w:val="22"/>
        </w:rPr>
        <w:t xml:space="preserve">.  Pursuant to sections 1.415 and 1.419 of the Commission’s rules, 47 CFR §§ 1.415, 1.149, interested parties may file comments in </w:t>
      </w:r>
      <w:r w:rsidRPr="00DE2D56">
        <w:rPr>
          <w:b/>
          <w:bCs/>
          <w:szCs w:val="22"/>
        </w:rPr>
        <w:t xml:space="preserve">ET Docket No. </w:t>
      </w:r>
      <w:r>
        <w:rPr>
          <w:b/>
          <w:bCs/>
          <w:szCs w:val="22"/>
        </w:rPr>
        <w:t>26</w:t>
      </w:r>
      <w:r w:rsidRPr="00DE2D56">
        <w:rPr>
          <w:b/>
          <w:bCs/>
          <w:szCs w:val="22"/>
        </w:rPr>
        <w:t>-</w:t>
      </w:r>
      <w:r>
        <w:rPr>
          <w:b/>
          <w:bCs/>
          <w:szCs w:val="22"/>
        </w:rPr>
        <w:t>153</w:t>
      </w:r>
      <w:r w:rsidRPr="00DE2D56">
        <w:rPr>
          <w:szCs w:val="22"/>
        </w:rPr>
        <w:t xml:space="preserve"> on or before the date indicated on the first page of this document and should reference this public notice.  Comments may be filed using the Commission’s Electronic Comment Filing System (ECFS).  </w:t>
      </w:r>
      <w:r w:rsidRPr="00DE2D56">
        <w:rPr>
          <w:i/>
          <w:szCs w:val="22"/>
        </w:rPr>
        <w:t>See Electronic Filing of Documents in Rulemaking Proceedings</w:t>
      </w:r>
      <w:r w:rsidRPr="00DE2D56">
        <w:rPr>
          <w:szCs w:val="22"/>
        </w:rPr>
        <w:t>, 63 FR 24121 (1998).</w:t>
      </w:r>
    </w:p>
    <w:p w:rsidR="006E2735" w:rsidRPr="00DE2D56" w:rsidP="006E2735" w14:paraId="07CB7369" w14:textId="77777777">
      <w:pPr>
        <w:widowControl/>
        <w:numPr>
          <w:ilvl w:val="0"/>
          <w:numId w:val="25"/>
        </w:numPr>
        <w:rPr>
          <w:szCs w:val="22"/>
        </w:rPr>
      </w:pPr>
      <w:r w:rsidRPr="00DE2D56">
        <w:rPr>
          <w:szCs w:val="22"/>
        </w:rPr>
        <w:t xml:space="preserve">Electronic Filers:  Comments may be filed electronically using the Internet by accessing the ECFS:  </w:t>
      </w:r>
      <w:hyperlink r:id="rId6" w:history="1">
        <w:r w:rsidRPr="00DE2D56">
          <w:rPr>
            <w:rStyle w:val="Hyperlink"/>
            <w:szCs w:val="22"/>
          </w:rPr>
          <w:t>https://apps.fcc.gov/ecfs/</w:t>
        </w:r>
      </w:hyperlink>
      <w:r w:rsidRPr="00DE2D56">
        <w:rPr>
          <w:szCs w:val="22"/>
        </w:rPr>
        <w:t xml:space="preserve">   </w:t>
      </w:r>
    </w:p>
    <w:p w:rsidR="006E2735" w:rsidRPr="00DE2D56" w:rsidP="006E2735" w14:paraId="2317258A" w14:textId="77777777">
      <w:pPr>
        <w:widowControl/>
        <w:numPr>
          <w:ilvl w:val="0"/>
          <w:numId w:val="24"/>
        </w:numPr>
        <w:rPr>
          <w:szCs w:val="22"/>
        </w:rPr>
      </w:pPr>
      <w:r w:rsidRPr="00DE2D56">
        <w:rPr>
          <w:i/>
          <w:iCs/>
          <w:szCs w:val="22"/>
        </w:rPr>
        <w:t>Paper Filers</w:t>
      </w:r>
      <w:r w:rsidRPr="00DE2D56">
        <w:rPr>
          <w:szCs w:val="22"/>
        </w:rPr>
        <w:t xml:space="preserve">:  Parties who choose to file by paper must file an original and one copy of each filing.  </w:t>
      </w:r>
    </w:p>
    <w:p w:rsidR="006E2735" w:rsidRPr="00DE2D56" w:rsidP="006E2735" w14:paraId="4A07E0EB" w14:textId="77777777">
      <w:pPr>
        <w:pStyle w:val="ListParagraph"/>
        <w:widowControl w:val="0"/>
        <w:numPr>
          <w:ilvl w:val="1"/>
          <w:numId w:val="24"/>
        </w:numPr>
        <w:spacing w:after="0" w:line="240" w:lineRule="auto"/>
      </w:pPr>
      <w:r w:rsidRPr="00DE2D56">
        <w:t xml:space="preserve">Filings can be sent by hand or messenger delivery, by commercial courier, or by the U.S. Postal Service mail.  </w:t>
      </w:r>
      <w:r w:rsidRPr="00DE2D56">
        <w:rPr>
          <w:b/>
          <w:bCs/>
        </w:rPr>
        <w:t>All filings must be addressed to the Commission’s Secretary, Office of the Secretary, Federal Communications Commission.</w:t>
      </w:r>
    </w:p>
    <w:p w:rsidR="006E2735" w:rsidRPr="00DE2D56" w:rsidP="006E2735" w14:paraId="2B4C83A5" w14:textId="77777777">
      <w:pPr>
        <w:widowControl/>
        <w:tabs>
          <w:tab w:val="num" w:pos="720"/>
          <w:tab w:val="num" w:pos="1440"/>
        </w:tabs>
        <w:ind w:left="1440" w:hanging="360"/>
        <w:rPr>
          <w:szCs w:val="22"/>
        </w:rPr>
      </w:pPr>
      <w:r w:rsidRPr="00DE2D56">
        <w:rPr>
          <w:szCs w:val="22"/>
        </w:rPr>
        <w:t xml:space="preserve">All hand-delivered or messenger-delivered paper filings for the Commission’s Secretary are accepted between </w:t>
      </w:r>
      <w:bookmarkStart w:id="2" w:name="_Hlk168589033"/>
      <w:r w:rsidRPr="00DE2D56">
        <w:rPr>
          <w:szCs w:val="22"/>
        </w:rPr>
        <w:t xml:space="preserve">8:00 a.m. and 4:00 p.m. by the FCC’s mailing contractor at 9050 Junction Drive, Annapolis Junction, MD 20701.  All hand deliveries must be held together with rubber bands or fasteners.  Any envelopes and boxes must be disposed of </w:t>
      </w:r>
      <w:r w:rsidRPr="00DE2D56">
        <w:rPr>
          <w:szCs w:val="22"/>
          <w:u w:val="single"/>
        </w:rPr>
        <w:t>before</w:t>
      </w:r>
      <w:r w:rsidRPr="00DE2D56">
        <w:rPr>
          <w:szCs w:val="22"/>
        </w:rPr>
        <w:t xml:space="preserve"> entering the building.</w:t>
      </w:r>
      <w:bookmarkEnd w:id="2"/>
      <w:r w:rsidRPr="00DE2D56">
        <w:rPr>
          <w:szCs w:val="22"/>
        </w:rPr>
        <w:t xml:space="preserve">  </w:t>
      </w:r>
    </w:p>
    <w:p w:rsidR="006E2735" w:rsidRPr="00DE2D56" w:rsidP="006E2735" w14:paraId="3163167A" w14:textId="77777777">
      <w:pPr>
        <w:widowControl/>
        <w:tabs>
          <w:tab w:val="num" w:pos="720"/>
          <w:tab w:val="num" w:pos="1440"/>
        </w:tabs>
        <w:ind w:left="1440" w:hanging="360"/>
        <w:rPr>
          <w:szCs w:val="22"/>
        </w:rPr>
      </w:pPr>
      <w:r w:rsidRPr="00DE2D56">
        <w:rPr>
          <w:szCs w:val="22"/>
        </w:rPr>
        <w:t>Commercial courier deliveries (any deliveries not by the U.S. Postal Service) must be sent to 9050 Junction Drive, Annapolis Junction, MD 20701.</w:t>
      </w:r>
    </w:p>
    <w:p w:rsidR="006E2735" w:rsidRPr="00DE2D56" w:rsidP="006E2735" w14:paraId="41620F60" w14:textId="77777777">
      <w:pPr>
        <w:widowControl/>
        <w:tabs>
          <w:tab w:val="num" w:pos="720"/>
          <w:tab w:val="num" w:pos="1440"/>
        </w:tabs>
        <w:ind w:left="1440" w:hanging="360"/>
        <w:rPr>
          <w:szCs w:val="22"/>
        </w:rPr>
      </w:pPr>
      <w:r w:rsidRPr="00DE2D56">
        <w:rPr>
          <w:szCs w:val="22"/>
        </w:rPr>
        <w:t>Filings sent by U.S. Postal Service First-Class Mail, Priority Mail, and Priority Mail Express must be sent to 45 L St. NE, Washington, DC 20554.</w:t>
      </w:r>
    </w:p>
    <w:p w:rsidR="006E2735" w:rsidRPr="00DE2D56" w:rsidP="006E2735" w14:paraId="69F4B388" w14:textId="77777777">
      <w:pPr>
        <w:pStyle w:val="Bullet"/>
        <w:tabs>
          <w:tab w:val="num" w:pos="720"/>
        </w:tabs>
        <w:spacing w:after="0"/>
        <w:ind w:left="720" w:hanging="360"/>
        <w:rPr>
          <w:szCs w:val="22"/>
        </w:rPr>
      </w:pPr>
      <w:r w:rsidRPr="00DE2D56">
        <w:rPr>
          <w:i/>
          <w:iCs/>
          <w:szCs w:val="22"/>
        </w:rPr>
        <w:t>People with Disabilities</w:t>
      </w:r>
      <w:r w:rsidRPr="00DE2D56">
        <w:rPr>
          <w:szCs w:val="22"/>
        </w:rPr>
        <w:t xml:space="preserve">:  To request materials in accessible formats for people with disabilities (braille, large print, electronic files, audio format), send an e-mail to </w:t>
      </w:r>
      <w:hyperlink r:id="rId7" w:history="1">
        <w:r w:rsidRPr="00DE2D56">
          <w:rPr>
            <w:rStyle w:val="Hyperlink"/>
            <w:szCs w:val="22"/>
          </w:rPr>
          <w:t>fcc504@fcc.gov</w:t>
        </w:r>
      </w:hyperlink>
      <w:r w:rsidRPr="00DE2D56">
        <w:rPr>
          <w:szCs w:val="22"/>
        </w:rPr>
        <w:t xml:space="preserve"> or call the Consumer &amp; Governmental Affairs Bureau at 202-418-0530 (voice), 202-418-0432 (</w:t>
      </w:r>
      <w:r w:rsidRPr="00DE2D56">
        <w:rPr>
          <w:szCs w:val="22"/>
        </w:rPr>
        <w:t>tty</w:t>
      </w:r>
      <w:r w:rsidRPr="00DE2D56">
        <w:rPr>
          <w:szCs w:val="22"/>
        </w:rPr>
        <w:t>).</w:t>
      </w:r>
    </w:p>
    <w:p w:rsidR="006E2735" w:rsidRPr="00DE2D56" w:rsidP="006E2735" w14:paraId="6B986A8E" w14:textId="77777777">
      <w:pPr>
        <w:ind w:firstLine="360"/>
        <w:rPr>
          <w:szCs w:val="22"/>
        </w:rPr>
      </w:pPr>
    </w:p>
    <w:p w:rsidR="006E2735" w:rsidRPr="00DE2D56" w:rsidP="006E2735" w14:paraId="513CB6FB" w14:textId="77777777">
      <w:pPr>
        <w:ind w:firstLine="360"/>
        <w:rPr>
          <w:szCs w:val="22"/>
        </w:rPr>
      </w:pPr>
      <w:r w:rsidRPr="00DE2D56">
        <w:rPr>
          <w:szCs w:val="22"/>
        </w:rPr>
        <w:t xml:space="preserve">Parties should also send a copy of their filings to </w:t>
      </w:r>
      <w:r>
        <w:rPr>
          <w:szCs w:val="22"/>
        </w:rPr>
        <w:t>Aole Wilkins El</w:t>
      </w:r>
      <w:r w:rsidRPr="00DE2D56">
        <w:rPr>
          <w:szCs w:val="22"/>
        </w:rPr>
        <w:t xml:space="preserve">, Office of Engineering and Technology, Federal Communications Commission, 45 L Street, N.E., Washington, D.C. 20002, or by e-mail to </w:t>
      </w:r>
      <w:r>
        <w:rPr>
          <w:szCs w:val="22"/>
        </w:rPr>
        <w:t>aole.wilkinsel@fcc.gov</w:t>
      </w:r>
      <w:r w:rsidRPr="00DE2D56">
        <w:rPr>
          <w:szCs w:val="22"/>
        </w:rPr>
        <w:t>.  Documents associated with this docket will be available for public inspection through the Commission’s ECFS.</w:t>
      </w:r>
    </w:p>
    <w:p w:rsidR="006E2735" w:rsidRPr="00DE2D56" w:rsidP="006E2735" w14:paraId="21449C85" w14:textId="77777777">
      <w:pPr>
        <w:rPr>
          <w:szCs w:val="22"/>
        </w:rPr>
      </w:pPr>
      <w:r w:rsidRPr="00DE2D56">
        <w:rPr>
          <w:szCs w:val="22"/>
        </w:rPr>
        <w:tab/>
      </w:r>
    </w:p>
    <w:p w:rsidR="006E2735" w:rsidRPr="00DE2D56" w:rsidP="006E2735" w14:paraId="60354BEB" w14:textId="77777777">
      <w:pPr>
        <w:rPr>
          <w:szCs w:val="22"/>
        </w:rPr>
      </w:pPr>
      <w:r w:rsidRPr="00DE2D56">
        <w:rPr>
          <w:szCs w:val="22"/>
        </w:rPr>
        <w:t xml:space="preserve">By the </w:t>
      </w:r>
      <w:r w:rsidRPr="00DE2D56">
        <w:rPr>
          <w:spacing w:val="-3"/>
          <w:szCs w:val="22"/>
        </w:rPr>
        <w:t>Chief, Office of Engineering and Technology</w:t>
      </w:r>
    </w:p>
    <w:p w:rsidR="006E2735" w:rsidRPr="00DE2D56" w:rsidP="006E2735" w14:paraId="77AE59A6" w14:textId="77777777">
      <w:pPr>
        <w:rPr>
          <w:spacing w:val="-3"/>
          <w:szCs w:val="22"/>
        </w:rPr>
      </w:pPr>
    </w:p>
    <w:p w:rsidR="006E2735" w:rsidRPr="0016269A" w:rsidP="006E2735" w14:paraId="76B228FE" w14:textId="77777777">
      <w:pPr>
        <w:jc w:val="center"/>
        <w:rPr>
          <w:b/>
          <w:bCs/>
          <w:color w:val="000000" w:themeColor="text1"/>
          <w:spacing w:val="-3"/>
          <w:szCs w:val="22"/>
        </w:rPr>
      </w:pPr>
      <w:r w:rsidRPr="0016269A">
        <w:rPr>
          <w:b/>
          <w:bCs/>
          <w:spacing w:val="-3"/>
          <w:szCs w:val="22"/>
        </w:rPr>
        <w:t>-FCC-</w:t>
      </w:r>
      <w:bookmarkEnd w:id="0"/>
    </w:p>
    <w:p w:rsidR="00E80328" w:rsidRPr="006E2735" w:rsidP="006E2735" w14:paraId="1E7F6172" w14:textId="33902026"/>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549CB" w14:paraId="5FAA943C" w14:textId="77777777">
      <w:r>
        <w:separator/>
      </w:r>
    </w:p>
  </w:endnote>
  <w:endnote w:type="continuationSeparator" w:id="1">
    <w:p w:rsidR="000549CB" w14:paraId="2855EC3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3F1FF16B" w14:textId="77777777">
    <w:pPr>
      <w:pStyle w:val="Footer"/>
      <w:framePr w:wrap="around" w:vAnchor="text" w:hAnchor="margin" w:xAlign="center" w:y="1"/>
    </w:pPr>
    <w:r>
      <w:fldChar w:fldCharType="begin"/>
    </w:r>
    <w:r>
      <w:instrText xml:space="preserve">PAGE  </w:instrText>
    </w:r>
    <w:r>
      <w:fldChar w:fldCharType="separate"/>
    </w:r>
    <w:r>
      <w:fldChar w:fldCharType="end"/>
    </w:r>
  </w:p>
  <w:p w:rsidR="00C2657F" w14:paraId="477D710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3A8812C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4ADA53C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549CB" w14:paraId="228E4684" w14:textId="77777777">
      <w:r>
        <w:separator/>
      </w:r>
    </w:p>
  </w:footnote>
  <w:footnote w:type="continuationSeparator" w:id="1">
    <w:p w:rsidR="000549CB" w14:paraId="3082F09F" w14:textId="77777777">
      <w:pPr>
        <w:rPr>
          <w:sz w:val="20"/>
        </w:rPr>
      </w:pPr>
      <w:r>
        <w:rPr>
          <w:sz w:val="20"/>
        </w:rPr>
        <w:t xml:space="preserve">(Continued from previous page)  </w:t>
      </w:r>
      <w:r>
        <w:rPr>
          <w:sz w:val="20"/>
        </w:rPr>
        <w:separator/>
      </w:r>
    </w:p>
  </w:footnote>
  <w:footnote w:type="continuationNotice" w:id="2">
    <w:p w:rsidR="000549CB" w14:paraId="399F2014" w14:textId="77777777">
      <w:pPr>
        <w:jc w:val="right"/>
        <w:rPr>
          <w:sz w:val="20"/>
        </w:rPr>
      </w:pPr>
      <w:r>
        <w:rPr>
          <w:sz w:val="20"/>
        </w:rPr>
        <w:t>(continued….)</w:t>
      </w:r>
    </w:p>
  </w:footnote>
  <w:footnote w:id="3">
    <w:p w:rsidR="006E2735" w:rsidP="006E2735" w14:paraId="2BDB837F" w14:textId="77777777">
      <w:pPr>
        <w:pStyle w:val="FootnoteText"/>
      </w:pPr>
      <w:r>
        <w:rPr>
          <w:rStyle w:val="FootnoteReference"/>
        </w:rPr>
        <w:footnoteRef/>
      </w:r>
      <w:r>
        <w:t xml:space="preserve">  The Goodyear Tire and Rubber Company, Request for a Waiver of Section 15.231(e) of the Commission’s Rules </w:t>
      </w:r>
      <w:r w:rsidRPr="00E87621">
        <w:t>to Enable Advances in Tire Monitoring and Measurement System Technology</w:t>
      </w:r>
      <w:r>
        <w:t xml:space="preserve"> (Goodyear Waiver Request), filed May 4, 2026.  This filing supersedes Goodyear’s request from Oct. 28, 2025 that was posted in the FCC’s Electronic Comment Filing System on Nov. 13, 2025.  </w:t>
      </w:r>
      <w:r>
        <w:rPr>
          <w:i/>
          <w:iCs/>
        </w:rPr>
        <w:t>See id.</w:t>
      </w:r>
      <w:r>
        <w:t xml:space="preserve"> at 1 n.1.</w:t>
      </w:r>
    </w:p>
  </w:footnote>
  <w:footnote w:id="4">
    <w:p w:rsidR="006E2735" w:rsidRPr="00882E51" w:rsidP="006E2735" w14:paraId="1F507648" w14:textId="77777777">
      <w:pPr>
        <w:pStyle w:val="FootnoteText"/>
      </w:pPr>
      <w:r>
        <w:rPr>
          <w:rStyle w:val="FootnoteReference"/>
        </w:rPr>
        <w:footnoteRef/>
      </w:r>
      <w:r>
        <w:t xml:space="preserve"> </w:t>
      </w:r>
      <w:r w:rsidRPr="006B51A9">
        <w:rPr>
          <w:i/>
          <w:iCs/>
        </w:rPr>
        <w:t>See</w:t>
      </w:r>
      <w:r w:rsidRPr="006B51A9">
        <w:t xml:space="preserve"> Goodyear Tire &amp; Rubber Co., “Friction Estimation</w:t>
      </w:r>
      <w:r>
        <w:t>,</w:t>
      </w:r>
      <w:r w:rsidRPr="006B51A9">
        <w:t xml:space="preserve"> How Tire Intelligence Can Bring Accuracy and Reliability in Diverse Settings and Situations,”  </w:t>
      </w:r>
      <w:hyperlink r:id="rId1" w:history="1">
        <w:r w:rsidRPr="0085048D">
          <w:rPr>
            <w:rStyle w:val="Hyperlink"/>
          </w:rPr>
          <w:t>https://www.goodyearsightline.com/resources/gysl-friction-estimation-2025a.pdf</w:t>
        </w:r>
      </w:hyperlink>
      <w:r>
        <w:t xml:space="preserve"> </w:t>
      </w:r>
      <w:r w:rsidRPr="006B51A9">
        <w:t>(</w:t>
      </w:r>
      <w:r>
        <w:t>l</w:t>
      </w:r>
      <w:r w:rsidRPr="006B51A9">
        <w:t>ast visited May 14, 2026)</w:t>
      </w:r>
      <w:r>
        <w:t xml:space="preserve"> (</w:t>
      </w:r>
      <w:r w:rsidRPr="006B51A9">
        <w:t>Friction Estimation</w:t>
      </w:r>
      <w:r>
        <w:t>)</w:t>
      </w:r>
      <w:r w:rsidRPr="006B51A9">
        <w:t>.</w:t>
      </w:r>
    </w:p>
  </w:footnote>
  <w:footnote w:id="5">
    <w:p w:rsidR="006E2735" w:rsidRPr="006B51A9" w:rsidP="006E2735" w14:paraId="6CD66525" w14:textId="77777777">
      <w:pPr>
        <w:pStyle w:val="FootnoteText"/>
      </w:pPr>
      <w:r w:rsidRPr="006B51A9">
        <w:rPr>
          <w:rStyle w:val="FootnoteReference"/>
        </w:rPr>
        <w:footnoteRef/>
      </w:r>
      <w:r w:rsidRPr="006B51A9">
        <w:t xml:space="preserve"> </w:t>
      </w:r>
      <w:r w:rsidRPr="006B51A9">
        <w:rPr>
          <w:i/>
          <w:iCs/>
        </w:rPr>
        <w:t>See</w:t>
      </w:r>
      <w:r w:rsidRPr="006B51A9">
        <w:t xml:space="preserve"> Goodyear Waiver Request at </w:t>
      </w:r>
      <w:r>
        <w:t>1, 2 n.3</w:t>
      </w:r>
      <w:r w:rsidRPr="006B51A9">
        <w:t xml:space="preserve">.  </w:t>
      </w:r>
      <w:r w:rsidRPr="006B51A9">
        <w:rPr>
          <w:i/>
          <w:iCs/>
        </w:rPr>
        <w:t>See also</w:t>
      </w:r>
      <w:r w:rsidRPr="006B51A9">
        <w:t xml:space="preserve"> Friction Estimation at 4</w:t>
      </w:r>
      <w:r>
        <w:t xml:space="preserve"> (depicting, in </w:t>
      </w:r>
      <w:r w:rsidRPr="006B51A9">
        <w:t>Picture 4</w:t>
      </w:r>
      <w:r>
        <w:t>,</w:t>
      </w:r>
      <w:r w:rsidRPr="006B51A9">
        <w:t xml:space="preserve"> the </w:t>
      </w:r>
      <w:r w:rsidRPr="006B51A9">
        <w:t>SightLine</w:t>
      </w:r>
      <w:r w:rsidRPr="006B51A9">
        <w:t xml:space="preserve"> TMS sensor directly embedded in the inner wall of the tire itself</w:t>
      </w:r>
      <w:r>
        <w:t>)</w:t>
      </w:r>
      <w:r w:rsidRPr="006B51A9">
        <w:rPr>
          <w:i/>
          <w:iCs/>
        </w:rPr>
        <w:t>.</w:t>
      </w:r>
    </w:p>
  </w:footnote>
  <w:footnote w:id="6">
    <w:p w:rsidR="006E2735" w:rsidRPr="0085048D" w:rsidP="006E2735" w14:paraId="77F33719" w14:textId="77777777">
      <w:pPr>
        <w:pStyle w:val="FootnoteText"/>
      </w:pPr>
      <w:r w:rsidRPr="0085048D">
        <w:rPr>
          <w:rStyle w:val="FootnoteReference"/>
        </w:rPr>
        <w:footnoteRef/>
      </w:r>
      <w:r w:rsidRPr="0085048D">
        <w:t xml:space="preserve"> </w:t>
      </w:r>
      <w:r w:rsidRPr="006B51A9">
        <w:rPr>
          <w:i/>
          <w:iCs/>
        </w:rPr>
        <w:t>See</w:t>
      </w:r>
      <w:r w:rsidRPr="0085048D">
        <w:t xml:space="preserve"> Friction Estimation at 4-5. </w:t>
      </w:r>
    </w:p>
  </w:footnote>
  <w:footnote w:id="7">
    <w:p w:rsidR="006E2735" w:rsidRPr="00BF67AB" w:rsidP="006E2735" w14:paraId="4895A142" w14:textId="77777777">
      <w:pPr>
        <w:pStyle w:val="FootnoteText"/>
      </w:pPr>
      <w:r w:rsidRPr="0085048D">
        <w:rPr>
          <w:rStyle w:val="FootnoteReference"/>
        </w:rPr>
        <w:footnoteRef/>
      </w:r>
      <w:r w:rsidRPr="0085048D">
        <w:t xml:space="preserve"> </w:t>
      </w:r>
      <w:r w:rsidRPr="006B51A9">
        <w:rPr>
          <w:i/>
          <w:iCs/>
        </w:rPr>
        <w:t>See</w:t>
      </w:r>
      <w:r>
        <w:rPr>
          <w:i/>
          <w:iCs/>
        </w:rPr>
        <w:t>,</w:t>
      </w:r>
      <w:r w:rsidRPr="006B51A9">
        <w:t xml:space="preserve"> Goodyear Tire &amp; Rubber Co., “Virtual Calibration</w:t>
      </w:r>
      <w:r>
        <w:t>,</w:t>
      </w:r>
      <w:r w:rsidRPr="006B51A9">
        <w:t xml:space="preserve"> A Cost-Effective Way to Accelerate Tire Intelligence Algorithm Development,”  </w:t>
      </w:r>
      <w:hyperlink r:id="rId2" w:history="1">
        <w:r w:rsidRPr="0085048D">
          <w:rPr>
            <w:rStyle w:val="Hyperlink"/>
          </w:rPr>
          <w:t>https://www.goodyearsightline.com/resources/gysl-virtual-calibration-2025.pdf</w:t>
        </w:r>
      </w:hyperlink>
      <w:r>
        <w:t>,</w:t>
      </w:r>
      <w:r w:rsidRPr="0085048D">
        <w:t xml:space="preserve"> </w:t>
      </w:r>
      <w:r>
        <w:t>l</w:t>
      </w:r>
      <w:r w:rsidRPr="0085048D">
        <w:t>ast visited May</w:t>
      </w:r>
      <w:r>
        <w:t xml:space="preserve"> </w:t>
      </w:r>
      <w:r w:rsidRPr="0085048D">
        <w:t>18</w:t>
      </w:r>
      <w:r>
        <w:t>,</w:t>
      </w:r>
      <w:r w:rsidRPr="0085048D">
        <w:t xml:space="preserve"> 2026)</w:t>
      </w:r>
      <w:r>
        <w:t xml:space="preserve"> </w:t>
      </w:r>
      <w:r w:rsidRPr="006B51A9">
        <w:t>(Virtual Calibration)</w:t>
      </w:r>
      <w:r w:rsidRPr="0085048D">
        <w:t xml:space="preserve">. </w:t>
      </w:r>
      <w:r w:rsidRPr="006B51A9">
        <w:t xml:space="preserve">Picture 10 </w:t>
      </w:r>
      <w:r>
        <w:t xml:space="preserve">in this document </w:t>
      </w:r>
      <w:r w:rsidRPr="006B51A9">
        <w:t>depicts tire safety data displayed via real-time determination of the tire’s peak grip potential displayed on the vehicle dashboard.</w:t>
      </w:r>
      <w:r>
        <w:t xml:space="preserve">  </w:t>
      </w:r>
      <w:r>
        <w:rPr>
          <w:i/>
          <w:iCs/>
        </w:rPr>
        <w:t xml:space="preserve">Id. </w:t>
      </w:r>
      <w:r>
        <w:t>at 11.</w:t>
      </w:r>
    </w:p>
  </w:footnote>
  <w:footnote w:id="8">
    <w:p w:rsidR="006E2735" w:rsidP="006E2735" w14:paraId="2F583F76" w14:textId="77777777">
      <w:pPr>
        <w:pStyle w:val="FootnoteText"/>
      </w:pPr>
      <w:r>
        <w:rPr>
          <w:rStyle w:val="FootnoteReference"/>
        </w:rPr>
        <w:footnoteRef/>
      </w:r>
      <w:r>
        <w:t xml:space="preserve"> 47 CFR § 15.231.</w:t>
      </w:r>
    </w:p>
  </w:footnote>
  <w:footnote w:id="9">
    <w:p w:rsidR="006E2735" w:rsidRPr="00280833" w:rsidP="006E2735" w14:paraId="67876D94" w14:textId="77777777">
      <w:pPr>
        <w:pStyle w:val="FootnoteText"/>
        <w:rPr>
          <w:snapToGrid w:val="0"/>
        </w:rPr>
      </w:pPr>
      <w:r w:rsidRPr="00280833">
        <w:rPr>
          <w:rStyle w:val="FootnoteReference"/>
          <w:snapToGrid w:val="0"/>
        </w:rPr>
        <w:footnoteRef/>
      </w:r>
      <w:r w:rsidRPr="00280833">
        <w:rPr>
          <w:rStyle w:val="FootnoteReference"/>
          <w:snapToGrid w:val="0"/>
        </w:rPr>
        <w:t xml:space="preserve"> </w:t>
      </w:r>
      <w:r w:rsidRPr="00280833">
        <w:rPr>
          <w:snapToGrid w:val="0"/>
        </w:rPr>
        <w:t xml:space="preserve">47 CFR § </w:t>
      </w:r>
      <w:r>
        <w:rPr>
          <w:snapToGrid w:val="0"/>
        </w:rPr>
        <w:t>15.231</w:t>
      </w:r>
      <w:r w:rsidRPr="00280833">
        <w:rPr>
          <w:snapToGrid w:val="0"/>
        </w:rPr>
        <w:t>(e).</w:t>
      </w:r>
    </w:p>
  </w:footnote>
  <w:footnote w:id="10">
    <w:p w:rsidR="006E2735" w:rsidRPr="00C864A6" w:rsidP="006E2735" w14:paraId="5183AD31" w14:textId="77777777">
      <w:pPr>
        <w:pStyle w:val="FootnoteText"/>
      </w:pPr>
      <w:r>
        <w:rPr>
          <w:rStyle w:val="FootnoteReference"/>
        </w:rPr>
        <w:footnoteRef/>
      </w:r>
      <w:r>
        <w:t xml:space="preserve"> Goodyear Waiver Request at 1, 4. </w:t>
      </w:r>
    </w:p>
  </w:footnote>
  <w:footnote w:id="11">
    <w:p w:rsidR="006E2735" w:rsidP="006E2735" w14:paraId="43981641" w14:textId="77777777">
      <w:pPr>
        <w:pStyle w:val="FootnoteText"/>
      </w:pPr>
      <w:r>
        <w:rPr>
          <w:rStyle w:val="FootnoteReference"/>
        </w:rPr>
        <w:footnoteRef/>
      </w:r>
      <w:r>
        <w:t xml:space="preserve"> </w:t>
      </w:r>
      <w:r w:rsidRPr="003E1091">
        <w:rPr>
          <w:i/>
          <w:iCs/>
        </w:rPr>
        <w:t>Id</w:t>
      </w:r>
      <w:r>
        <w:rPr>
          <w:i/>
          <w:iCs/>
        </w:rPr>
        <w:t xml:space="preserve">. </w:t>
      </w:r>
      <w:r w:rsidRPr="006B51A9">
        <w:t>at 5</w:t>
      </w:r>
      <w:r>
        <w:rPr>
          <w:i/>
          <w:iCs/>
        </w:rPr>
        <w:t>.</w:t>
      </w:r>
    </w:p>
  </w:footnote>
  <w:footnote w:id="12">
    <w:p w:rsidR="006E2735" w:rsidRPr="00280833" w:rsidP="006E2735" w14:paraId="3C9A9334" w14:textId="77777777">
      <w:pPr>
        <w:pStyle w:val="FootnoteText"/>
        <w:rPr>
          <w:snapToGrid w:val="0"/>
        </w:rPr>
      </w:pPr>
      <w:r w:rsidRPr="00280833">
        <w:rPr>
          <w:rStyle w:val="FootnoteReference"/>
          <w:snapToGrid w:val="0"/>
        </w:rPr>
        <w:footnoteRef/>
      </w:r>
      <w:r>
        <w:t xml:space="preserve"> </w:t>
      </w:r>
      <w:r w:rsidRPr="00280833">
        <w:rPr>
          <w:i/>
          <w:iCs/>
          <w:snapToGrid w:val="0"/>
        </w:rPr>
        <w:t>Id.</w:t>
      </w:r>
      <w:r w:rsidRPr="00280833">
        <w:rPr>
          <w:snapToGrid w:val="0"/>
        </w:rPr>
        <w:t xml:space="preserve"> at </w:t>
      </w:r>
      <w:r>
        <w:rPr>
          <w:snapToGrid w:val="0"/>
        </w:rPr>
        <w:t>9-10</w:t>
      </w:r>
      <w:r w:rsidRPr="00280833">
        <w:rPr>
          <w:snapToGrid w:val="0"/>
        </w:rPr>
        <w:t>.</w:t>
      </w:r>
    </w:p>
  </w:footnote>
  <w:footnote w:id="13">
    <w:p w:rsidR="006E2735" w:rsidP="006E2735" w14:paraId="110E18B2" w14:textId="77777777">
      <w:pPr>
        <w:pStyle w:val="FootnoteText"/>
        <w:rPr>
          <w:sz w:val="22"/>
          <w:szCs w:val="22"/>
        </w:rPr>
      </w:pPr>
      <w:r w:rsidRPr="00A705FB">
        <w:rPr>
          <w:vertAlign w:val="superscript"/>
        </w:rPr>
        <w:footnoteRef/>
      </w:r>
      <w:r w:rsidRPr="00A705FB">
        <w:t xml:space="preserve"> </w:t>
      </w:r>
      <w:r>
        <w:rPr>
          <w:color w:val="000000" w:themeColor="text1"/>
        </w:rPr>
        <w:t>Goodyear</w:t>
      </w:r>
      <w:r w:rsidRPr="00A705FB">
        <w:rPr>
          <w:color w:val="000000" w:themeColor="text1"/>
        </w:rPr>
        <w:t xml:space="preserve"> </w:t>
      </w:r>
      <w:r>
        <w:rPr>
          <w:color w:val="000000" w:themeColor="text1"/>
        </w:rPr>
        <w:t>submitted its request i</w:t>
      </w:r>
      <w:r w:rsidRPr="00A705FB">
        <w:rPr>
          <w:color w:val="000000" w:themeColor="text1"/>
        </w:rPr>
        <w:t>n the Commission’s Electronic Comment Filing System (ECFS)</w:t>
      </w:r>
      <w:r>
        <w:rPr>
          <w:color w:val="000000" w:themeColor="text1"/>
        </w:rPr>
        <w:t xml:space="preserve"> as a </w:t>
      </w:r>
      <w:r w:rsidRPr="00A705FB">
        <w:rPr>
          <w:color w:val="000000" w:themeColor="text1"/>
        </w:rPr>
        <w:t>Non-Docketed Filing</w:t>
      </w:r>
      <w:r>
        <w:rPr>
          <w:color w:val="000000" w:themeColor="text1"/>
        </w:rPr>
        <w:t xml:space="preserve"> under the</w:t>
      </w:r>
      <w:r w:rsidRPr="00A705FB">
        <w:rPr>
          <w:color w:val="000000" w:themeColor="text1"/>
        </w:rPr>
        <w:t xml:space="preserve"> INBOX-PART15 (</w:t>
      </w:r>
      <w:r>
        <w:rPr>
          <w:color w:val="000000" w:themeColor="text1"/>
        </w:rPr>
        <w:t>“</w:t>
      </w:r>
      <w:r w:rsidRPr="00A705FB">
        <w:rPr>
          <w:color w:val="000000" w:themeColor="text1"/>
        </w:rPr>
        <w:t>Petition for Waiver of Part 15”)</w:t>
      </w:r>
      <w:r>
        <w:rPr>
          <w:color w:val="000000" w:themeColor="text1"/>
        </w:rPr>
        <w:t xml:space="preserve"> tab.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52393F52" w14:textId="7CF65CE3">
    <w:pPr>
      <w:tabs>
        <w:tab w:val="center" w:pos="4680"/>
        <w:tab w:val="right" w:pos="9360"/>
      </w:tabs>
    </w:pPr>
    <w:r>
      <w:rPr>
        <w:b/>
      </w:rPr>
      <w:tab/>
      <w:t>Federal Communications Commission</w:t>
    </w:r>
    <w:r>
      <w:rPr>
        <w:b/>
      </w:rPr>
      <w:tab/>
    </w:r>
    <w:r w:rsidRPr="007B3AAE" w:rsidR="00E80328">
      <w:rPr>
        <w:b/>
      </w:rPr>
      <w:t>DA</w:t>
    </w:r>
    <w:r w:rsidRPr="007B3AAE" w:rsidR="00246E65">
      <w:rPr>
        <w:b/>
      </w:rPr>
      <w:t xml:space="preserve"> </w:t>
    </w:r>
    <w:r w:rsidR="007B3AAE">
      <w:rPr>
        <w:b/>
      </w:rPr>
      <w:t>26-5</w:t>
    </w:r>
    <w:r w:rsidR="00BC110E">
      <w:rPr>
        <w:b/>
      </w:rPr>
      <w:t>94</w:t>
    </w:r>
    <w:r w:rsidR="00E80328">
      <w:rPr>
        <w:b/>
      </w:rPr>
      <w:t xml:space="preserve"> </w:t>
    </w:r>
  </w:p>
  <w:p w:rsidR="00C2657F" w14:paraId="793F128A" w14:textId="018C99F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C2657F" w14:paraId="03B7429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4EBDE0ED" w14:textId="23C9CBA2">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357658"/>
    <w:multiLevelType w:val="hybridMultilevel"/>
    <w:tmpl w:val="FC4ED128"/>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0F24CE8"/>
    <w:multiLevelType w:val="hybridMultilevel"/>
    <w:tmpl w:val="4946987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6791A52"/>
    <w:multiLevelType w:val="hybridMultilevel"/>
    <w:tmpl w:val="D5ACC23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2BEB1AF9"/>
    <w:multiLevelType w:val="hybridMultilevel"/>
    <w:tmpl w:val="179E7776"/>
    <w:lvl w:ilvl="0">
      <w:start w:val="2"/>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9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3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0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7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5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2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nsid w:val="2D3512E5"/>
    <w:multiLevelType w:val="hybridMultilevel"/>
    <w:tmpl w:val="3D1A67AE"/>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nsid w:val="381A0D28"/>
    <w:multiLevelType w:val="hybridMultilevel"/>
    <w:tmpl w:val="D22A44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
    <w:nsid w:val="399968F6"/>
    <w:multiLevelType w:val="hybridMultilevel"/>
    <w:tmpl w:val="D494ED4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4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0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2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8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nsid w:val="3CD73906"/>
    <w:multiLevelType w:val="hybridMultilevel"/>
    <w:tmpl w:val="7E5610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40B76927"/>
    <w:multiLevelType w:val="hybridMultilevel"/>
    <w:tmpl w:val="93B4C586"/>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nsid w:val="484D7345"/>
    <w:multiLevelType w:val="hybridMultilevel"/>
    <w:tmpl w:val="DEAA9F00"/>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nsid w:val="4C411E20"/>
    <w:multiLevelType w:val="hybridMultilevel"/>
    <w:tmpl w:val="C5E809A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4C785410"/>
    <w:multiLevelType w:val="hybridMultilevel"/>
    <w:tmpl w:val="79702A40"/>
    <w:lvl w:ilvl="0">
      <w:start w:val="2"/>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9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3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0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7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5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2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8">
    <w:nsid w:val="54183330"/>
    <w:multiLevelType w:val="hybridMultilevel"/>
    <w:tmpl w:val="EDE045F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5DA42048"/>
    <w:multiLevelType w:val="hybridMultilevel"/>
    <w:tmpl w:val="500651C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0">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21">
    <w:nsid w:val="67C95E03"/>
    <w:multiLevelType w:val="hybridMultilevel"/>
    <w:tmpl w:val="C9CADD5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nsid w:val="6DBE5C14"/>
    <w:multiLevelType w:val="hybridMultilevel"/>
    <w:tmpl w:val="8A94DC6A"/>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nsid w:val="775708F2"/>
    <w:multiLevelType w:val="hybridMultilevel"/>
    <w:tmpl w:val="B8122BA2"/>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nsid w:val="7AC94860"/>
    <w:multiLevelType w:val="hybridMultilevel"/>
    <w:tmpl w:val="98242812"/>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075010648">
    <w:abstractNumId w:val="18"/>
  </w:num>
  <w:num w:numId="2" w16cid:durableId="1296833756">
    <w:abstractNumId w:val="3"/>
  </w:num>
  <w:num w:numId="3" w16cid:durableId="66466608">
    <w:abstractNumId w:val="20"/>
  </w:num>
  <w:num w:numId="4" w16cid:durableId="1277325927">
    <w:abstractNumId w:val="6"/>
  </w:num>
  <w:num w:numId="5" w16cid:durableId="1295066226">
    <w:abstractNumId w:val="17"/>
  </w:num>
  <w:num w:numId="6" w16cid:durableId="255794994">
    <w:abstractNumId w:val="4"/>
  </w:num>
  <w:num w:numId="7" w16cid:durableId="1546139974">
    <w:abstractNumId w:val="1"/>
  </w:num>
  <w:num w:numId="8" w16cid:durableId="1532111168">
    <w:abstractNumId w:val="8"/>
  </w:num>
  <w:num w:numId="9" w16cid:durableId="1315136925">
    <w:abstractNumId w:val="2"/>
  </w:num>
  <w:num w:numId="10" w16cid:durableId="1080978349">
    <w:abstractNumId w:val="16"/>
  </w:num>
  <w:num w:numId="11" w16cid:durableId="1475442194">
    <w:abstractNumId w:val="13"/>
  </w:num>
  <w:num w:numId="12" w16cid:durableId="787311371">
    <w:abstractNumId w:val="7"/>
  </w:num>
  <w:num w:numId="13" w16cid:durableId="863247980">
    <w:abstractNumId w:val="22"/>
  </w:num>
  <w:num w:numId="14" w16cid:durableId="1652900934">
    <w:abstractNumId w:val="23"/>
  </w:num>
  <w:num w:numId="15" w16cid:durableId="1422220096">
    <w:abstractNumId w:val="11"/>
  </w:num>
  <w:num w:numId="16" w16cid:durableId="1658338606">
    <w:abstractNumId w:val="24"/>
  </w:num>
  <w:num w:numId="17" w16cid:durableId="1807507279">
    <w:abstractNumId w:val="14"/>
  </w:num>
  <w:num w:numId="18" w16cid:durableId="272130334">
    <w:abstractNumId w:val="19"/>
  </w:num>
  <w:num w:numId="19" w16cid:durableId="350836447">
    <w:abstractNumId w:val="12"/>
  </w:num>
  <w:num w:numId="20" w16cid:durableId="448092115">
    <w:abstractNumId w:val="15"/>
  </w:num>
  <w:num w:numId="21" w16cid:durableId="1646467910">
    <w:abstractNumId w:val="9"/>
  </w:num>
  <w:num w:numId="22" w16cid:durableId="774908594">
    <w:abstractNumId w:val="5"/>
  </w:num>
  <w:num w:numId="23" w16cid:durableId="2010911296">
    <w:abstractNumId w:val="21"/>
  </w:num>
  <w:num w:numId="24" w16cid:durableId="1876696044">
    <w:abstractNumId w:val="0"/>
  </w:num>
  <w:num w:numId="25" w16cid:durableId="181922326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328"/>
    <w:rsid w:val="0000266C"/>
    <w:rsid w:val="000036CD"/>
    <w:rsid w:val="000109D6"/>
    <w:rsid w:val="00020F42"/>
    <w:rsid w:val="00031335"/>
    <w:rsid w:val="00031EEE"/>
    <w:rsid w:val="0003503B"/>
    <w:rsid w:val="00036FFD"/>
    <w:rsid w:val="00041033"/>
    <w:rsid w:val="00044913"/>
    <w:rsid w:val="00045DC4"/>
    <w:rsid w:val="000526F1"/>
    <w:rsid w:val="00052F13"/>
    <w:rsid w:val="0005394B"/>
    <w:rsid w:val="000549CB"/>
    <w:rsid w:val="00062AF9"/>
    <w:rsid w:val="0006311E"/>
    <w:rsid w:val="00063620"/>
    <w:rsid w:val="00063ABE"/>
    <w:rsid w:val="00063ADA"/>
    <w:rsid w:val="00064AC3"/>
    <w:rsid w:val="00067046"/>
    <w:rsid w:val="00071337"/>
    <w:rsid w:val="00073639"/>
    <w:rsid w:val="00073DFB"/>
    <w:rsid w:val="0007477A"/>
    <w:rsid w:val="00080D3A"/>
    <w:rsid w:val="00082C9E"/>
    <w:rsid w:val="00083D90"/>
    <w:rsid w:val="00084713"/>
    <w:rsid w:val="0008492C"/>
    <w:rsid w:val="00085FFD"/>
    <w:rsid w:val="00087F39"/>
    <w:rsid w:val="000935EC"/>
    <w:rsid w:val="00096835"/>
    <w:rsid w:val="000A4F6E"/>
    <w:rsid w:val="000A7D4F"/>
    <w:rsid w:val="000B1ABE"/>
    <w:rsid w:val="000B490E"/>
    <w:rsid w:val="000B740B"/>
    <w:rsid w:val="000C1DF0"/>
    <w:rsid w:val="000C4390"/>
    <w:rsid w:val="000C5276"/>
    <w:rsid w:val="000C6387"/>
    <w:rsid w:val="000C684A"/>
    <w:rsid w:val="000D08B3"/>
    <w:rsid w:val="000D40E4"/>
    <w:rsid w:val="000D43ED"/>
    <w:rsid w:val="000D7FF2"/>
    <w:rsid w:val="000E0068"/>
    <w:rsid w:val="000E258E"/>
    <w:rsid w:val="000E3DF4"/>
    <w:rsid w:val="000E42A6"/>
    <w:rsid w:val="000E727C"/>
    <w:rsid w:val="000E7509"/>
    <w:rsid w:val="000F0594"/>
    <w:rsid w:val="000F2976"/>
    <w:rsid w:val="000F6B6C"/>
    <w:rsid w:val="0010046F"/>
    <w:rsid w:val="0010203B"/>
    <w:rsid w:val="00106407"/>
    <w:rsid w:val="001069EB"/>
    <w:rsid w:val="00107E08"/>
    <w:rsid w:val="0011093C"/>
    <w:rsid w:val="00115CE4"/>
    <w:rsid w:val="0011773D"/>
    <w:rsid w:val="001223A5"/>
    <w:rsid w:val="00122CE6"/>
    <w:rsid w:val="001242E7"/>
    <w:rsid w:val="00127CE5"/>
    <w:rsid w:val="00127F70"/>
    <w:rsid w:val="00130443"/>
    <w:rsid w:val="001317C4"/>
    <w:rsid w:val="00133578"/>
    <w:rsid w:val="00133D2D"/>
    <w:rsid w:val="00134C58"/>
    <w:rsid w:val="0013504B"/>
    <w:rsid w:val="00135FD6"/>
    <w:rsid w:val="001402EA"/>
    <w:rsid w:val="00141338"/>
    <w:rsid w:val="00145CBB"/>
    <w:rsid w:val="00154028"/>
    <w:rsid w:val="0015453C"/>
    <w:rsid w:val="0015668F"/>
    <w:rsid w:val="00157688"/>
    <w:rsid w:val="0016269A"/>
    <w:rsid w:val="00163770"/>
    <w:rsid w:val="00163FC9"/>
    <w:rsid w:val="001648F2"/>
    <w:rsid w:val="00164955"/>
    <w:rsid w:val="0016789E"/>
    <w:rsid w:val="00172F31"/>
    <w:rsid w:val="00176AA6"/>
    <w:rsid w:val="00177FD0"/>
    <w:rsid w:val="00181DEB"/>
    <w:rsid w:val="001838E5"/>
    <w:rsid w:val="00184BF4"/>
    <w:rsid w:val="001901A9"/>
    <w:rsid w:val="0019248B"/>
    <w:rsid w:val="001A44A0"/>
    <w:rsid w:val="001A4EE7"/>
    <w:rsid w:val="001A5241"/>
    <w:rsid w:val="001B25C7"/>
    <w:rsid w:val="001B3BCB"/>
    <w:rsid w:val="001B5E69"/>
    <w:rsid w:val="001B6D0A"/>
    <w:rsid w:val="001C08A6"/>
    <w:rsid w:val="001C0BCE"/>
    <w:rsid w:val="001D15FC"/>
    <w:rsid w:val="001D5259"/>
    <w:rsid w:val="001D7720"/>
    <w:rsid w:val="001E0B5B"/>
    <w:rsid w:val="001E17E7"/>
    <w:rsid w:val="001E4C01"/>
    <w:rsid w:val="001E53CC"/>
    <w:rsid w:val="001E6BDA"/>
    <w:rsid w:val="002004D5"/>
    <w:rsid w:val="002047B2"/>
    <w:rsid w:val="00206BD7"/>
    <w:rsid w:val="00207989"/>
    <w:rsid w:val="00215A5C"/>
    <w:rsid w:val="00220A97"/>
    <w:rsid w:val="002217F3"/>
    <w:rsid w:val="00221934"/>
    <w:rsid w:val="00233DA6"/>
    <w:rsid w:val="00233F58"/>
    <w:rsid w:val="0023570E"/>
    <w:rsid w:val="0023711F"/>
    <w:rsid w:val="00240D54"/>
    <w:rsid w:val="00246E65"/>
    <w:rsid w:val="002472DF"/>
    <w:rsid w:val="00253A11"/>
    <w:rsid w:val="002563B1"/>
    <w:rsid w:val="00263AFB"/>
    <w:rsid w:val="00264F59"/>
    <w:rsid w:val="00266B1C"/>
    <w:rsid w:val="002676AA"/>
    <w:rsid w:val="00270AA2"/>
    <w:rsid w:val="00270C02"/>
    <w:rsid w:val="00272DAE"/>
    <w:rsid w:val="002749DB"/>
    <w:rsid w:val="00275567"/>
    <w:rsid w:val="00275E92"/>
    <w:rsid w:val="002772ED"/>
    <w:rsid w:val="00277F43"/>
    <w:rsid w:val="00280833"/>
    <w:rsid w:val="00284D3E"/>
    <w:rsid w:val="002871B3"/>
    <w:rsid w:val="002A1ED2"/>
    <w:rsid w:val="002A1FB8"/>
    <w:rsid w:val="002A31D3"/>
    <w:rsid w:val="002B30E2"/>
    <w:rsid w:val="002B30E3"/>
    <w:rsid w:val="002B5941"/>
    <w:rsid w:val="002C3AF3"/>
    <w:rsid w:val="002D02CB"/>
    <w:rsid w:val="002D511C"/>
    <w:rsid w:val="002E1722"/>
    <w:rsid w:val="002E6388"/>
    <w:rsid w:val="002E7BF2"/>
    <w:rsid w:val="002F08D6"/>
    <w:rsid w:val="002F1D1D"/>
    <w:rsid w:val="002F3A4C"/>
    <w:rsid w:val="002F50A9"/>
    <w:rsid w:val="00300C1C"/>
    <w:rsid w:val="003044C2"/>
    <w:rsid w:val="0030514A"/>
    <w:rsid w:val="0030581C"/>
    <w:rsid w:val="003073A5"/>
    <w:rsid w:val="0031609D"/>
    <w:rsid w:val="0033287E"/>
    <w:rsid w:val="00334BC0"/>
    <w:rsid w:val="00340C84"/>
    <w:rsid w:val="003452EE"/>
    <w:rsid w:val="0035058F"/>
    <w:rsid w:val="003552CC"/>
    <w:rsid w:val="00362065"/>
    <w:rsid w:val="0036277B"/>
    <w:rsid w:val="003677C1"/>
    <w:rsid w:val="00373CEA"/>
    <w:rsid w:val="00375CCC"/>
    <w:rsid w:val="00382C2B"/>
    <w:rsid w:val="003851AC"/>
    <w:rsid w:val="0038799E"/>
    <w:rsid w:val="00387A2E"/>
    <w:rsid w:val="00395DFD"/>
    <w:rsid w:val="003970FD"/>
    <w:rsid w:val="003A4461"/>
    <w:rsid w:val="003A5137"/>
    <w:rsid w:val="003B357C"/>
    <w:rsid w:val="003B37A6"/>
    <w:rsid w:val="003C0851"/>
    <w:rsid w:val="003C0C3F"/>
    <w:rsid w:val="003C4C68"/>
    <w:rsid w:val="003D04EC"/>
    <w:rsid w:val="003D1CCF"/>
    <w:rsid w:val="003D2C22"/>
    <w:rsid w:val="003D6774"/>
    <w:rsid w:val="003E1091"/>
    <w:rsid w:val="003E5D01"/>
    <w:rsid w:val="003F2B45"/>
    <w:rsid w:val="003F43D9"/>
    <w:rsid w:val="003F53AD"/>
    <w:rsid w:val="003F7A73"/>
    <w:rsid w:val="0040037F"/>
    <w:rsid w:val="00410E0C"/>
    <w:rsid w:val="004118FF"/>
    <w:rsid w:val="00414F21"/>
    <w:rsid w:val="004162D4"/>
    <w:rsid w:val="004164B1"/>
    <w:rsid w:val="00421F9E"/>
    <w:rsid w:val="00424F3D"/>
    <w:rsid w:val="00427B6A"/>
    <w:rsid w:val="00432F07"/>
    <w:rsid w:val="004341C5"/>
    <w:rsid w:val="00441031"/>
    <w:rsid w:val="00444731"/>
    <w:rsid w:val="00444A50"/>
    <w:rsid w:val="00447095"/>
    <w:rsid w:val="00450184"/>
    <w:rsid w:val="0045309F"/>
    <w:rsid w:val="0045560D"/>
    <w:rsid w:val="004557EC"/>
    <w:rsid w:val="00456C69"/>
    <w:rsid w:val="00461FA2"/>
    <w:rsid w:val="00462B9B"/>
    <w:rsid w:val="004658BF"/>
    <w:rsid w:val="0046755D"/>
    <w:rsid w:val="00473A4D"/>
    <w:rsid w:val="00480D97"/>
    <w:rsid w:val="00482A4D"/>
    <w:rsid w:val="00483EBB"/>
    <w:rsid w:val="004866D9"/>
    <w:rsid w:val="00486786"/>
    <w:rsid w:val="00487659"/>
    <w:rsid w:val="0049145E"/>
    <w:rsid w:val="0049264C"/>
    <w:rsid w:val="00495B6B"/>
    <w:rsid w:val="004A24C4"/>
    <w:rsid w:val="004A4966"/>
    <w:rsid w:val="004A7FAF"/>
    <w:rsid w:val="004B2556"/>
    <w:rsid w:val="004B6919"/>
    <w:rsid w:val="004B6C64"/>
    <w:rsid w:val="004C0FB2"/>
    <w:rsid w:val="004C4C46"/>
    <w:rsid w:val="004C6A09"/>
    <w:rsid w:val="004C74FF"/>
    <w:rsid w:val="004D3DCD"/>
    <w:rsid w:val="004D4733"/>
    <w:rsid w:val="004D498D"/>
    <w:rsid w:val="004D5059"/>
    <w:rsid w:val="004D5C25"/>
    <w:rsid w:val="004E1BD6"/>
    <w:rsid w:val="004F3581"/>
    <w:rsid w:val="004F5A84"/>
    <w:rsid w:val="004F7161"/>
    <w:rsid w:val="00500C94"/>
    <w:rsid w:val="005010FA"/>
    <w:rsid w:val="0050459C"/>
    <w:rsid w:val="00504EF0"/>
    <w:rsid w:val="00505F61"/>
    <w:rsid w:val="0050695E"/>
    <w:rsid w:val="00510CE3"/>
    <w:rsid w:val="0051114E"/>
    <w:rsid w:val="005154B6"/>
    <w:rsid w:val="0051696B"/>
    <w:rsid w:val="00520DB1"/>
    <w:rsid w:val="00522772"/>
    <w:rsid w:val="00523726"/>
    <w:rsid w:val="00523B22"/>
    <w:rsid w:val="00523D2A"/>
    <w:rsid w:val="005253F6"/>
    <w:rsid w:val="00526650"/>
    <w:rsid w:val="00527679"/>
    <w:rsid w:val="00530821"/>
    <w:rsid w:val="005317C1"/>
    <w:rsid w:val="00532E3B"/>
    <w:rsid w:val="0053417A"/>
    <w:rsid w:val="005347F2"/>
    <w:rsid w:val="0053742F"/>
    <w:rsid w:val="005415D4"/>
    <w:rsid w:val="00542D31"/>
    <w:rsid w:val="00544771"/>
    <w:rsid w:val="0055160D"/>
    <w:rsid w:val="0055356C"/>
    <w:rsid w:val="00556FFB"/>
    <w:rsid w:val="00564F9A"/>
    <w:rsid w:val="00564FDB"/>
    <w:rsid w:val="005706CB"/>
    <w:rsid w:val="00573720"/>
    <w:rsid w:val="0057645F"/>
    <w:rsid w:val="00582B8C"/>
    <w:rsid w:val="00582E91"/>
    <w:rsid w:val="00583EF5"/>
    <w:rsid w:val="0059263D"/>
    <w:rsid w:val="005A0DD1"/>
    <w:rsid w:val="005B1488"/>
    <w:rsid w:val="005B1FED"/>
    <w:rsid w:val="005B306C"/>
    <w:rsid w:val="005B323B"/>
    <w:rsid w:val="005B496D"/>
    <w:rsid w:val="005B610D"/>
    <w:rsid w:val="005B6B62"/>
    <w:rsid w:val="005C2AFD"/>
    <w:rsid w:val="005C3482"/>
    <w:rsid w:val="005D0584"/>
    <w:rsid w:val="005D4107"/>
    <w:rsid w:val="005D5A7B"/>
    <w:rsid w:val="005E0F0B"/>
    <w:rsid w:val="005E44E8"/>
    <w:rsid w:val="005F0D4A"/>
    <w:rsid w:val="005F3724"/>
    <w:rsid w:val="005F4FE9"/>
    <w:rsid w:val="005F58F1"/>
    <w:rsid w:val="005F6EF5"/>
    <w:rsid w:val="005F78EA"/>
    <w:rsid w:val="005F799D"/>
    <w:rsid w:val="005F7E0F"/>
    <w:rsid w:val="00600C2B"/>
    <w:rsid w:val="00605A5E"/>
    <w:rsid w:val="00606287"/>
    <w:rsid w:val="00607D29"/>
    <w:rsid w:val="0061458C"/>
    <w:rsid w:val="00616863"/>
    <w:rsid w:val="00620FA3"/>
    <w:rsid w:val="006243ED"/>
    <w:rsid w:val="00626B9B"/>
    <w:rsid w:val="00626C72"/>
    <w:rsid w:val="006300E2"/>
    <w:rsid w:val="00630EA5"/>
    <w:rsid w:val="006336FB"/>
    <w:rsid w:val="006350F8"/>
    <w:rsid w:val="00644B35"/>
    <w:rsid w:val="00644C43"/>
    <w:rsid w:val="00647E9D"/>
    <w:rsid w:val="00650AEC"/>
    <w:rsid w:val="00650FF2"/>
    <w:rsid w:val="006520D5"/>
    <w:rsid w:val="00652AAA"/>
    <w:rsid w:val="00657299"/>
    <w:rsid w:val="00657382"/>
    <w:rsid w:val="006628D9"/>
    <w:rsid w:val="00666287"/>
    <w:rsid w:val="0067187E"/>
    <w:rsid w:val="00672A6D"/>
    <w:rsid w:val="00675262"/>
    <w:rsid w:val="00681BFD"/>
    <w:rsid w:val="00682CDD"/>
    <w:rsid w:val="00683D84"/>
    <w:rsid w:val="006845D3"/>
    <w:rsid w:val="00686082"/>
    <w:rsid w:val="00690320"/>
    <w:rsid w:val="00695A4E"/>
    <w:rsid w:val="006A0AF1"/>
    <w:rsid w:val="006A1FC9"/>
    <w:rsid w:val="006A28D3"/>
    <w:rsid w:val="006A6785"/>
    <w:rsid w:val="006B2268"/>
    <w:rsid w:val="006B51A9"/>
    <w:rsid w:val="006B54C8"/>
    <w:rsid w:val="006C488D"/>
    <w:rsid w:val="006C4C49"/>
    <w:rsid w:val="006C4D5B"/>
    <w:rsid w:val="006D7E3C"/>
    <w:rsid w:val="006E0D64"/>
    <w:rsid w:val="006E179A"/>
    <w:rsid w:val="006E2735"/>
    <w:rsid w:val="006E4077"/>
    <w:rsid w:val="006E503C"/>
    <w:rsid w:val="006F57D9"/>
    <w:rsid w:val="00701F83"/>
    <w:rsid w:val="00702A01"/>
    <w:rsid w:val="00704113"/>
    <w:rsid w:val="00721F81"/>
    <w:rsid w:val="00723C10"/>
    <w:rsid w:val="00724B0C"/>
    <w:rsid w:val="0072602F"/>
    <w:rsid w:val="0073171B"/>
    <w:rsid w:val="00731D5E"/>
    <w:rsid w:val="00737864"/>
    <w:rsid w:val="00737F5D"/>
    <w:rsid w:val="007415FB"/>
    <w:rsid w:val="007424B3"/>
    <w:rsid w:val="0074567F"/>
    <w:rsid w:val="00746E44"/>
    <w:rsid w:val="00752F72"/>
    <w:rsid w:val="007534FB"/>
    <w:rsid w:val="00760758"/>
    <w:rsid w:val="007641A3"/>
    <w:rsid w:val="00771B2E"/>
    <w:rsid w:val="00771B77"/>
    <w:rsid w:val="00771EAD"/>
    <w:rsid w:val="007720CE"/>
    <w:rsid w:val="0077277F"/>
    <w:rsid w:val="00773728"/>
    <w:rsid w:val="00774D25"/>
    <w:rsid w:val="00775382"/>
    <w:rsid w:val="00780445"/>
    <w:rsid w:val="00780F6D"/>
    <w:rsid w:val="0078124C"/>
    <w:rsid w:val="00781F04"/>
    <w:rsid w:val="00782CD8"/>
    <w:rsid w:val="00787800"/>
    <w:rsid w:val="00795BBE"/>
    <w:rsid w:val="00796B62"/>
    <w:rsid w:val="007A2B57"/>
    <w:rsid w:val="007A3A45"/>
    <w:rsid w:val="007A6DB7"/>
    <w:rsid w:val="007B3AAE"/>
    <w:rsid w:val="007B777B"/>
    <w:rsid w:val="007C0EAE"/>
    <w:rsid w:val="007C32FA"/>
    <w:rsid w:val="007C333C"/>
    <w:rsid w:val="007D543F"/>
    <w:rsid w:val="007D6DE2"/>
    <w:rsid w:val="007D755F"/>
    <w:rsid w:val="007E2EB2"/>
    <w:rsid w:val="007F201A"/>
    <w:rsid w:val="007F24E2"/>
    <w:rsid w:val="007F57EB"/>
    <w:rsid w:val="007F5C1E"/>
    <w:rsid w:val="00803137"/>
    <w:rsid w:val="00810C9D"/>
    <w:rsid w:val="0081331F"/>
    <w:rsid w:val="0081376D"/>
    <w:rsid w:val="008159FF"/>
    <w:rsid w:val="00816D14"/>
    <w:rsid w:val="00822AD7"/>
    <w:rsid w:val="00823604"/>
    <w:rsid w:val="008275C6"/>
    <w:rsid w:val="00833ABF"/>
    <w:rsid w:val="008356D5"/>
    <w:rsid w:val="00842606"/>
    <w:rsid w:val="00843FD9"/>
    <w:rsid w:val="0084563F"/>
    <w:rsid w:val="00847366"/>
    <w:rsid w:val="0085048D"/>
    <w:rsid w:val="008527F5"/>
    <w:rsid w:val="008552DF"/>
    <w:rsid w:val="00855B42"/>
    <w:rsid w:val="0085794E"/>
    <w:rsid w:val="00862062"/>
    <w:rsid w:val="00862FFA"/>
    <w:rsid w:val="0086424D"/>
    <w:rsid w:val="00870528"/>
    <w:rsid w:val="008810DD"/>
    <w:rsid w:val="00882E51"/>
    <w:rsid w:val="008839F0"/>
    <w:rsid w:val="0088508B"/>
    <w:rsid w:val="00886526"/>
    <w:rsid w:val="008901E2"/>
    <w:rsid w:val="00890B2C"/>
    <w:rsid w:val="0089415A"/>
    <w:rsid w:val="008972BD"/>
    <w:rsid w:val="00897964"/>
    <w:rsid w:val="008A04CB"/>
    <w:rsid w:val="008A20E9"/>
    <w:rsid w:val="008B0A08"/>
    <w:rsid w:val="008B4F0F"/>
    <w:rsid w:val="008B5080"/>
    <w:rsid w:val="008B5843"/>
    <w:rsid w:val="008B5EE0"/>
    <w:rsid w:val="008C20E6"/>
    <w:rsid w:val="008C362E"/>
    <w:rsid w:val="008C37B9"/>
    <w:rsid w:val="008C70E7"/>
    <w:rsid w:val="008C7CF8"/>
    <w:rsid w:val="008D0C82"/>
    <w:rsid w:val="008D6BBA"/>
    <w:rsid w:val="008E6996"/>
    <w:rsid w:val="008F1F40"/>
    <w:rsid w:val="00901102"/>
    <w:rsid w:val="009116BF"/>
    <w:rsid w:val="0091278B"/>
    <w:rsid w:val="00912810"/>
    <w:rsid w:val="00915998"/>
    <w:rsid w:val="009159F4"/>
    <w:rsid w:val="00915E16"/>
    <w:rsid w:val="0092192E"/>
    <w:rsid w:val="009237A4"/>
    <w:rsid w:val="00924405"/>
    <w:rsid w:val="00926077"/>
    <w:rsid w:val="00934FFA"/>
    <w:rsid w:val="00935ACB"/>
    <w:rsid w:val="00936C2C"/>
    <w:rsid w:val="009423AA"/>
    <w:rsid w:val="00942544"/>
    <w:rsid w:val="009451E1"/>
    <w:rsid w:val="00947682"/>
    <w:rsid w:val="00950306"/>
    <w:rsid w:val="0095134A"/>
    <w:rsid w:val="00951B4B"/>
    <w:rsid w:val="00960622"/>
    <w:rsid w:val="00961147"/>
    <w:rsid w:val="009640B8"/>
    <w:rsid w:val="009719FF"/>
    <w:rsid w:val="00972528"/>
    <w:rsid w:val="00976F3A"/>
    <w:rsid w:val="00977E9B"/>
    <w:rsid w:val="00980EC7"/>
    <w:rsid w:val="009838A8"/>
    <w:rsid w:val="009875A9"/>
    <w:rsid w:val="009939D6"/>
    <w:rsid w:val="00994398"/>
    <w:rsid w:val="009A0308"/>
    <w:rsid w:val="009A4391"/>
    <w:rsid w:val="009A5EE5"/>
    <w:rsid w:val="009B0359"/>
    <w:rsid w:val="009B0A0D"/>
    <w:rsid w:val="009B155C"/>
    <w:rsid w:val="009B40BF"/>
    <w:rsid w:val="009B5745"/>
    <w:rsid w:val="009B5A51"/>
    <w:rsid w:val="009B6CE4"/>
    <w:rsid w:val="009B77C6"/>
    <w:rsid w:val="009C2268"/>
    <w:rsid w:val="009C6B2C"/>
    <w:rsid w:val="009D3072"/>
    <w:rsid w:val="009D63D1"/>
    <w:rsid w:val="009D6D68"/>
    <w:rsid w:val="009E1259"/>
    <w:rsid w:val="009E48DC"/>
    <w:rsid w:val="009E7E64"/>
    <w:rsid w:val="009F3277"/>
    <w:rsid w:val="00A05A04"/>
    <w:rsid w:val="00A06429"/>
    <w:rsid w:val="00A10F59"/>
    <w:rsid w:val="00A12E86"/>
    <w:rsid w:val="00A149D0"/>
    <w:rsid w:val="00A1695A"/>
    <w:rsid w:val="00A16E8C"/>
    <w:rsid w:val="00A24325"/>
    <w:rsid w:val="00A25B5F"/>
    <w:rsid w:val="00A358C7"/>
    <w:rsid w:val="00A37DF6"/>
    <w:rsid w:val="00A42319"/>
    <w:rsid w:val="00A5633E"/>
    <w:rsid w:val="00A572FE"/>
    <w:rsid w:val="00A5743E"/>
    <w:rsid w:val="00A6022D"/>
    <w:rsid w:val="00A6226F"/>
    <w:rsid w:val="00A63B47"/>
    <w:rsid w:val="00A705FB"/>
    <w:rsid w:val="00A71770"/>
    <w:rsid w:val="00A7259D"/>
    <w:rsid w:val="00A74083"/>
    <w:rsid w:val="00A74E58"/>
    <w:rsid w:val="00A816F9"/>
    <w:rsid w:val="00A90AA8"/>
    <w:rsid w:val="00A91812"/>
    <w:rsid w:val="00A928CD"/>
    <w:rsid w:val="00AA1703"/>
    <w:rsid w:val="00AA1AFC"/>
    <w:rsid w:val="00AA23FB"/>
    <w:rsid w:val="00AA2BB0"/>
    <w:rsid w:val="00AA3E7D"/>
    <w:rsid w:val="00AA440B"/>
    <w:rsid w:val="00AA60C1"/>
    <w:rsid w:val="00AA668B"/>
    <w:rsid w:val="00AB12FC"/>
    <w:rsid w:val="00AB765A"/>
    <w:rsid w:val="00AC0510"/>
    <w:rsid w:val="00AC1179"/>
    <w:rsid w:val="00AC5EB4"/>
    <w:rsid w:val="00AC61A8"/>
    <w:rsid w:val="00AC6B73"/>
    <w:rsid w:val="00AD18A7"/>
    <w:rsid w:val="00AD2DFF"/>
    <w:rsid w:val="00AD3F93"/>
    <w:rsid w:val="00AE54AA"/>
    <w:rsid w:val="00AE5975"/>
    <w:rsid w:val="00AF161A"/>
    <w:rsid w:val="00AF4974"/>
    <w:rsid w:val="00AF5E56"/>
    <w:rsid w:val="00AF6ADC"/>
    <w:rsid w:val="00AF6E04"/>
    <w:rsid w:val="00AF7844"/>
    <w:rsid w:val="00B01296"/>
    <w:rsid w:val="00B02B05"/>
    <w:rsid w:val="00B05520"/>
    <w:rsid w:val="00B10EE0"/>
    <w:rsid w:val="00B1246D"/>
    <w:rsid w:val="00B17606"/>
    <w:rsid w:val="00B21796"/>
    <w:rsid w:val="00B222CB"/>
    <w:rsid w:val="00B25AD7"/>
    <w:rsid w:val="00B25E18"/>
    <w:rsid w:val="00B27530"/>
    <w:rsid w:val="00B27E9E"/>
    <w:rsid w:val="00B30559"/>
    <w:rsid w:val="00B353F6"/>
    <w:rsid w:val="00B366EF"/>
    <w:rsid w:val="00B40E1A"/>
    <w:rsid w:val="00B42AB3"/>
    <w:rsid w:val="00B43645"/>
    <w:rsid w:val="00B4372F"/>
    <w:rsid w:val="00B47877"/>
    <w:rsid w:val="00B52AAC"/>
    <w:rsid w:val="00B571B1"/>
    <w:rsid w:val="00B60DC8"/>
    <w:rsid w:val="00B62C98"/>
    <w:rsid w:val="00B64175"/>
    <w:rsid w:val="00B661C6"/>
    <w:rsid w:val="00B666B6"/>
    <w:rsid w:val="00B718B4"/>
    <w:rsid w:val="00B748C6"/>
    <w:rsid w:val="00B757F0"/>
    <w:rsid w:val="00B76F0F"/>
    <w:rsid w:val="00B8154B"/>
    <w:rsid w:val="00B83CC5"/>
    <w:rsid w:val="00B868AB"/>
    <w:rsid w:val="00B90564"/>
    <w:rsid w:val="00B943E8"/>
    <w:rsid w:val="00B944F3"/>
    <w:rsid w:val="00BA00CE"/>
    <w:rsid w:val="00BA0FF9"/>
    <w:rsid w:val="00BA2CA1"/>
    <w:rsid w:val="00BA36C9"/>
    <w:rsid w:val="00BA4BDD"/>
    <w:rsid w:val="00BB05EB"/>
    <w:rsid w:val="00BB4207"/>
    <w:rsid w:val="00BB5673"/>
    <w:rsid w:val="00BB56CE"/>
    <w:rsid w:val="00BB5F22"/>
    <w:rsid w:val="00BC0A21"/>
    <w:rsid w:val="00BC110E"/>
    <w:rsid w:val="00BC291E"/>
    <w:rsid w:val="00BC49D3"/>
    <w:rsid w:val="00BD0C00"/>
    <w:rsid w:val="00BE03B7"/>
    <w:rsid w:val="00BE4A6B"/>
    <w:rsid w:val="00BE6965"/>
    <w:rsid w:val="00BE77BE"/>
    <w:rsid w:val="00BF1492"/>
    <w:rsid w:val="00BF4BF7"/>
    <w:rsid w:val="00BF4D5E"/>
    <w:rsid w:val="00BF67AB"/>
    <w:rsid w:val="00BF7229"/>
    <w:rsid w:val="00BF72D0"/>
    <w:rsid w:val="00BF7304"/>
    <w:rsid w:val="00BF7A73"/>
    <w:rsid w:val="00C0087E"/>
    <w:rsid w:val="00C0203C"/>
    <w:rsid w:val="00C0390C"/>
    <w:rsid w:val="00C105E6"/>
    <w:rsid w:val="00C169A1"/>
    <w:rsid w:val="00C1707E"/>
    <w:rsid w:val="00C17F1D"/>
    <w:rsid w:val="00C21796"/>
    <w:rsid w:val="00C23B59"/>
    <w:rsid w:val="00C26231"/>
    <w:rsid w:val="00C2657F"/>
    <w:rsid w:val="00C30362"/>
    <w:rsid w:val="00C307E9"/>
    <w:rsid w:val="00C308E1"/>
    <w:rsid w:val="00C31FB6"/>
    <w:rsid w:val="00C330FA"/>
    <w:rsid w:val="00C33E43"/>
    <w:rsid w:val="00C3469C"/>
    <w:rsid w:val="00C40232"/>
    <w:rsid w:val="00C41729"/>
    <w:rsid w:val="00C44F90"/>
    <w:rsid w:val="00C4591E"/>
    <w:rsid w:val="00C524B8"/>
    <w:rsid w:val="00C5492B"/>
    <w:rsid w:val="00C61A39"/>
    <w:rsid w:val="00C636A0"/>
    <w:rsid w:val="00C66362"/>
    <w:rsid w:val="00C74BA4"/>
    <w:rsid w:val="00C75E82"/>
    <w:rsid w:val="00C7787E"/>
    <w:rsid w:val="00C864A6"/>
    <w:rsid w:val="00C86798"/>
    <w:rsid w:val="00C914E5"/>
    <w:rsid w:val="00C94369"/>
    <w:rsid w:val="00C960E7"/>
    <w:rsid w:val="00C96D86"/>
    <w:rsid w:val="00CA0BB4"/>
    <w:rsid w:val="00CA1BFD"/>
    <w:rsid w:val="00CA38FF"/>
    <w:rsid w:val="00CA69D9"/>
    <w:rsid w:val="00CB07BA"/>
    <w:rsid w:val="00CB0806"/>
    <w:rsid w:val="00CB0EA6"/>
    <w:rsid w:val="00CB36AC"/>
    <w:rsid w:val="00CC3233"/>
    <w:rsid w:val="00CC5B6A"/>
    <w:rsid w:val="00CD3428"/>
    <w:rsid w:val="00CD3BF9"/>
    <w:rsid w:val="00CD46DE"/>
    <w:rsid w:val="00CD7B79"/>
    <w:rsid w:val="00CE3CEF"/>
    <w:rsid w:val="00CE4E19"/>
    <w:rsid w:val="00CE5114"/>
    <w:rsid w:val="00CF02F8"/>
    <w:rsid w:val="00CF0AB3"/>
    <w:rsid w:val="00CF1BD8"/>
    <w:rsid w:val="00CF453B"/>
    <w:rsid w:val="00D00B35"/>
    <w:rsid w:val="00D00F17"/>
    <w:rsid w:val="00D02DF8"/>
    <w:rsid w:val="00D039CC"/>
    <w:rsid w:val="00D05B84"/>
    <w:rsid w:val="00D13794"/>
    <w:rsid w:val="00D1700F"/>
    <w:rsid w:val="00D2048A"/>
    <w:rsid w:val="00D2200D"/>
    <w:rsid w:val="00D2336B"/>
    <w:rsid w:val="00D236FD"/>
    <w:rsid w:val="00D245B3"/>
    <w:rsid w:val="00D30270"/>
    <w:rsid w:val="00D32BFB"/>
    <w:rsid w:val="00D43B1E"/>
    <w:rsid w:val="00D521B8"/>
    <w:rsid w:val="00D530EB"/>
    <w:rsid w:val="00D530F5"/>
    <w:rsid w:val="00D57C4E"/>
    <w:rsid w:val="00D60FE1"/>
    <w:rsid w:val="00D62781"/>
    <w:rsid w:val="00D62975"/>
    <w:rsid w:val="00D63922"/>
    <w:rsid w:val="00D63B9D"/>
    <w:rsid w:val="00D640A5"/>
    <w:rsid w:val="00D6506C"/>
    <w:rsid w:val="00D7093E"/>
    <w:rsid w:val="00D7172F"/>
    <w:rsid w:val="00D7195E"/>
    <w:rsid w:val="00D913E5"/>
    <w:rsid w:val="00D93B1B"/>
    <w:rsid w:val="00D964DF"/>
    <w:rsid w:val="00D96BD4"/>
    <w:rsid w:val="00DA27BA"/>
    <w:rsid w:val="00DA2A9F"/>
    <w:rsid w:val="00DA4E9B"/>
    <w:rsid w:val="00DA7088"/>
    <w:rsid w:val="00DA7967"/>
    <w:rsid w:val="00DB3DC2"/>
    <w:rsid w:val="00DC11E4"/>
    <w:rsid w:val="00DC2F27"/>
    <w:rsid w:val="00DC3CF3"/>
    <w:rsid w:val="00DD1A05"/>
    <w:rsid w:val="00DD1DC9"/>
    <w:rsid w:val="00DD424D"/>
    <w:rsid w:val="00DD427A"/>
    <w:rsid w:val="00DD4AC9"/>
    <w:rsid w:val="00DD50AF"/>
    <w:rsid w:val="00DE2D56"/>
    <w:rsid w:val="00DE30D7"/>
    <w:rsid w:val="00DE5F72"/>
    <w:rsid w:val="00DF3CBC"/>
    <w:rsid w:val="00DF4875"/>
    <w:rsid w:val="00E00A16"/>
    <w:rsid w:val="00E06D62"/>
    <w:rsid w:val="00E14572"/>
    <w:rsid w:val="00E22875"/>
    <w:rsid w:val="00E22CC4"/>
    <w:rsid w:val="00E26AAC"/>
    <w:rsid w:val="00E3277B"/>
    <w:rsid w:val="00E349C4"/>
    <w:rsid w:val="00E36CBC"/>
    <w:rsid w:val="00E40291"/>
    <w:rsid w:val="00E4113D"/>
    <w:rsid w:val="00E429D7"/>
    <w:rsid w:val="00E47C61"/>
    <w:rsid w:val="00E5099A"/>
    <w:rsid w:val="00E5427F"/>
    <w:rsid w:val="00E61885"/>
    <w:rsid w:val="00E66120"/>
    <w:rsid w:val="00E67609"/>
    <w:rsid w:val="00E747DE"/>
    <w:rsid w:val="00E7526B"/>
    <w:rsid w:val="00E76F24"/>
    <w:rsid w:val="00E77212"/>
    <w:rsid w:val="00E777C2"/>
    <w:rsid w:val="00E80328"/>
    <w:rsid w:val="00E82AB8"/>
    <w:rsid w:val="00E82F29"/>
    <w:rsid w:val="00E85174"/>
    <w:rsid w:val="00E8664B"/>
    <w:rsid w:val="00E87621"/>
    <w:rsid w:val="00E87BF7"/>
    <w:rsid w:val="00E87C98"/>
    <w:rsid w:val="00E91E3D"/>
    <w:rsid w:val="00E924F0"/>
    <w:rsid w:val="00E968E9"/>
    <w:rsid w:val="00EA07C9"/>
    <w:rsid w:val="00EA08A8"/>
    <w:rsid w:val="00EA0A19"/>
    <w:rsid w:val="00EA6060"/>
    <w:rsid w:val="00EB1A11"/>
    <w:rsid w:val="00EB79D1"/>
    <w:rsid w:val="00EC24A4"/>
    <w:rsid w:val="00EC5362"/>
    <w:rsid w:val="00EC6FAF"/>
    <w:rsid w:val="00ED28F4"/>
    <w:rsid w:val="00ED395C"/>
    <w:rsid w:val="00EE6FA1"/>
    <w:rsid w:val="00EF2DDD"/>
    <w:rsid w:val="00EF3FE8"/>
    <w:rsid w:val="00EF66DF"/>
    <w:rsid w:val="00F04F07"/>
    <w:rsid w:val="00F142E9"/>
    <w:rsid w:val="00F15102"/>
    <w:rsid w:val="00F15D2C"/>
    <w:rsid w:val="00F16424"/>
    <w:rsid w:val="00F20471"/>
    <w:rsid w:val="00F2081E"/>
    <w:rsid w:val="00F21FFC"/>
    <w:rsid w:val="00F22A97"/>
    <w:rsid w:val="00F32930"/>
    <w:rsid w:val="00F440F3"/>
    <w:rsid w:val="00F4492B"/>
    <w:rsid w:val="00F64894"/>
    <w:rsid w:val="00F65377"/>
    <w:rsid w:val="00F712F3"/>
    <w:rsid w:val="00F72CA7"/>
    <w:rsid w:val="00F744B7"/>
    <w:rsid w:val="00F77931"/>
    <w:rsid w:val="00F77C3B"/>
    <w:rsid w:val="00F8522E"/>
    <w:rsid w:val="00F86687"/>
    <w:rsid w:val="00F8694C"/>
    <w:rsid w:val="00F94031"/>
    <w:rsid w:val="00F94F35"/>
    <w:rsid w:val="00F96D66"/>
    <w:rsid w:val="00FA1C4D"/>
    <w:rsid w:val="00FA676B"/>
    <w:rsid w:val="00FA6EE7"/>
    <w:rsid w:val="00FA7059"/>
    <w:rsid w:val="00FA708F"/>
    <w:rsid w:val="00FC0597"/>
    <w:rsid w:val="00FC17C3"/>
    <w:rsid w:val="00FC2229"/>
    <w:rsid w:val="00FC30EC"/>
    <w:rsid w:val="00FC5259"/>
    <w:rsid w:val="00FC69F3"/>
    <w:rsid w:val="00FC6E14"/>
    <w:rsid w:val="00FC6F86"/>
    <w:rsid w:val="00FD3C60"/>
    <w:rsid w:val="00FD6E4A"/>
    <w:rsid w:val="00FE7346"/>
    <w:rsid w:val="00FF01D9"/>
    <w:rsid w:val="00FF0A5B"/>
    <w:rsid w:val="00FF3888"/>
    <w:rsid w:val="00FF3AEE"/>
    <w:rsid w:val="013FAB24"/>
    <w:rsid w:val="03B1CF26"/>
    <w:rsid w:val="04D3E2E4"/>
    <w:rsid w:val="05E314D2"/>
    <w:rsid w:val="068E809C"/>
    <w:rsid w:val="0836EE0A"/>
    <w:rsid w:val="0928A921"/>
    <w:rsid w:val="0B8C8AE5"/>
    <w:rsid w:val="0D09318F"/>
    <w:rsid w:val="0F448B5B"/>
    <w:rsid w:val="13F088F4"/>
    <w:rsid w:val="175411CF"/>
    <w:rsid w:val="17C4D2C6"/>
    <w:rsid w:val="1CE14EFF"/>
    <w:rsid w:val="1D4BDF02"/>
    <w:rsid w:val="205E35DF"/>
    <w:rsid w:val="241DE190"/>
    <w:rsid w:val="247D1995"/>
    <w:rsid w:val="28659EC3"/>
    <w:rsid w:val="28DB6C4E"/>
    <w:rsid w:val="2D7E3950"/>
    <w:rsid w:val="305B4796"/>
    <w:rsid w:val="3121758F"/>
    <w:rsid w:val="32B98D80"/>
    <w:rsid w:val="32DB9851"/>
    <w:rsid w:val="33AC54AA"/>
    <w:rsid w:val="3588B3BD"/>
    <w:rsid w:val="35AFA932"/>
    <w:rsid w:val="3A06A3A7"/>
    <w:rsid w:val="3BB1CF62"/>
    <w:rsid w:val="3DEE1255"/>
    <w:rsid w:val="3F4D83BD"/>
    <w:rsid w:val="4050EDF0"/>
    <w:rsid w:val="42A58EE9"/>
    <w:rsid w:val="52136E92"/>
    <w:rsid w:val="5293C065"/>
    <w:rsid w:val="539B8E9E"/>
    <w:rsid w:val="55A42391"/>
    <w:rsid w:val="565A3918"/>
    <w:rsid w:val="56B6641C"/>
    <w:rsid w:val="56E9536C"/>
    <w:rsid w:val="5880CEC0"/>
    <w:rsid w:val="58BB59D5"/>
    <w:rsid w:val="5901DE78"/>
    <w:rsid w:val="5AAE8162"/>
    <w:rsid w:val="5C638AFB"/>
    <w:rsid w:val="5C690081"/>
    <w:rsid w:val="62AD36B9"/>
    <w:rsid w:val="635B14EA"/>
    <w:rsid w:val="660F62A5"/>
    <w:rsid w:val="66250D2E"/>
    <w:rsid w:val="66AD0FBF"/>
    <w:rsid w:val="66D30283"/>
    <w:rsid w:val="69B71B87"/>
    <w:rsid w:val="6BE23FF0"/>
    <w:rsid w:val="738FC17E"/>
    <w:rsid w:val="7802DDD7"/>
    <w:rsid w:val="7A9306AD"/>
    <w:rsid w:val="7D71FF93"/>
    <w:rsid w:val="7E338160"/>
    <w:rsid w:val="7EF59116"/>
    <w:rsid w:val="7F014534"/>
    <w:rsid w:val="7FCC7C6E"/>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E63B066"/>
  <w15:chartTrackingRefBased/>
  <w15:docId w15:val="{FE0543B1-647C-4546-A772-03AA4E500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E80328"/>
    <w:pPr>
      <w:widowControl w:val="0"/>
    </w:pPr>
    <w:rPr>
      <w:snapToGrid w:val="0"/>
      <w:kern w:val="28"/>
      <w:sz w:val="22"/>
    </w:rPr>
  </w:style>
  <w:style w:type="paragraph" w:styleId="Heading1">
    <w:name w:val="heading 1"/>
    <w:basedOn w:val="Normal"/>
    <w:next w:val="ParaNum"/>
    <w:link w:val="Heading1Char"/>
    <w:uiPriority w:val="9"/>
    <w:qFormat/>
    <w:pPr>
      <w:keepNext/>
      <w:numPr>
        <w:numId w:val="4"/>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70528"/>
    <w:pPr>
      <w:keepNext/>
      <w:spacing w:after="120"/>
      <w:outlineLvl w:val="1"/>
    </w:pPr>
    <w:rPr>
      <w:b/>
    </w:rPr>
  </w:style>
  <w:style w:type="paragraph" w:styleId="Heading3">
    <w:name w:val="heading 3"/>
    <w:basedOn w:val="Normal"/>
    <w:next w:val="ParaNum"/>
    <w:qFormat/>
    <w:pPr>
      <w:keepNext/>
      <w:numPr>
        <w:ilvl w:val="2"/>
        <w:numId w:val="4"/>
      </w:numPr>
      <w:tabs>
        <w:tab w:val="left" w:pos="2160"/>
      </w:tabs>
      <w:spacing w:after="120"/>
      <w:outlineLvl w:val="2"/>
    </w:pPr>
    <w:rPr>
      <w:b/>
    </w:rPr>
  </w:style>
  <w:style w:type="paragraph" w:styleId="Heading4">
    <w:name w:val="heading 4"/>
    <w:basedOn w:val="Normal"/>
    <w:next w:val="ParaNum"/>
    <w:qFormat/>
    <w:pPr>
      <w:keepNext/>
      <w:numPr>
        <w:ilvl w:val="3"/>
        <w:numId w:val="4"/>
      </w:numPr>
      <w:tabs>
        <w:tab w:val="left" w:pos="2880"/>
      </w:tabs>
      <w:spacing w:after="120"/>
      <w:outlineLvl w:val="3"/>
    </w:pPr>
    <w:rPr>
      <w:b/>
    </w:rPr>
  </w:style>
  <w:style w:type="paragraph" w:styleId="Heading5">
    <w:name w:val="heading 5"/>
    <w:basedOn w:val="Normal"/>
    <w:next w:val="ParaNum"/>
    <w:qFormat/>
    <w:pPr>
      <w:keepNext/>
      <w:numPr>
        <w:ilvl w:val="4"/>
        <w:numId w:val="4"/>
      </w:numPr>
      <w:tabs>
        <w:tab w:val="left" w:pos="3600"/>
      </w:tabs>
      <w:suppressAutoHyphens/>
      <w:spacing w:after="120"/>
      <w:outlineLvl w:val="4"/>
    </w:pPr>
    <w:rPr>
      <w:b/>
    </w:rPr>
  </w:style>
  <w:style w:type="paragraph" w:styleId="Heading6">
    <w:name w:val="heading 6"/>
    <w:basedOn w:val="Normal"/>
    <w:next w:val="ParaNum"/>
    <w:qFormat/>
    <w:pPr>
      <w:numPr>
        <w:ilvl w:val="5"/>
        <w:numId w:val="4"/>
      </w:numPr>
      <w:tabs>
        <w:tab w:val="left" w:pos="4320"/>
      </w:tabs>
      <w:spacing w:after="120"/>
      <w:outlineLvl w:val="5"/>
    </w:pPr>
    <w:rPr>
      <w:b/>
    </w:rPr>
  </w:style>
  <w:style w:type="paragraph" w:styleId="Heading7">
    <w:name w:val="heading 7"/>
    <w:basedOn w:val="Normal"/>
    <w:next w:val="ParaNum"/>
    <w:qFormat/>
    <w:pPr>
      <w:numPr>
        <w:ilvl w:val="6"/>
        <w:numId w:val="4"/>
      </w:numPr>
      <w:tabs>
        <w:tab w:val="left" w:pos="5040"/>
      </w:tabs>
      <w:spacing w:after="120"/>
      <w:ind w:left="5040" w:hanging="720"/>
      <w:outlineLvl w:val="6"/>
    </w:pPr>
    <w:rPr>
      <w:b/>
    </w:rPr>
  </w:style>
  <w:style w:type="paragraph" w:styleId="Heading8">
    <w:name w:val="heading 8"/>
    <w:basedOn w:val="Normal"/>
    <w:next w:val="ParaNum"/>
    <w:qFormat/>
    <w:pPr>
      <w:numPr>
        <w:ilvl w:val="7"/>
        <w:numId w:val="4"/>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4"/>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3"/>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 Char Char,f,fn,fn Char,fn Char Char,fn Char Char Char Char,fn Char1,ALTS FOOTNOT,Styl"/>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2"/>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customStyle="1" w:styleId="UnresolvedMention1">
    <w:name w:val="Unresolved Mention1"/>
    <w:uiPriority w:val="99"/>
    <w:semiHidden/>
    <w:unhideWhenUsed/>
    <w:rPr>
      <w:color w:val="605E5C"/>
      <w:shd w:val="clear" w:color="auto" w:fill="E1DFDD"/>
    </w:rPr>
  </w:style>
  <w:style w:type="character" w:customStyle="1" w:styleId="Heading1Char">
    <w:name w:val="Heading 1 Char"/>
    <w:link w:val="Heading1"/>
    <w:uiPriority w:val="9"/>
    <w:rsid w:val="00E80328"/>
    <w:rPr>
      <w:rFonts w:ascii="Times New Roman Bold" w:hAnsi="Times New Roman Bold"/>
      <w:b/>
      <w:caps/>
      <w:snapToGrid w:val="0"/>
      <w:kern w:val="28"/>
      <w:sz w:val="22"/>
    </w:rPr>
  </w:style>
  <w:style w:type="table" w:customStyle="1" w:styleId="TableGrid1">
    <w:name w:val="Table Grid1"/>
    <w:rsid w:val="00E80328"/>
    <w:rPr>
      <w:rFonts w:ascii="Calibri" w:hAnsi="Calibri"/>
      <w:sz w:val="22"/>
      <w:szCs w:val="22"/>
    </w:rPr>
    <w:tblPr>
      <w:tblCellMar>
        <w:top w:w="0" w:type="dxa"/>
        <w:left w:w="0" w:type="dxa"/>
        <w:bottom w:w="0" w:type="dxa"/>
        <w:right w:w="0" w:type="dxa"/>
      </w:tblCellMar>
    </w:tblPr>
  </w:style>
  <w:style w:type="paragraph" w:styleId="ListParagraph">
    <w:name w:val="List Paragraph"/>
    <w:basedOn w:val="Normal"/>
    <w:uiPriority w:val="34"/>
    <w:qFormat/>
    <w:rsid w:val="00E80328"/>
    <w:pPr>
      <w:widowControl/>
      <w:spacing w:after="14" w:line="248" w:lineRule="auto"/>
      <w:ind w:left="720" w:hanging="10"/>
      <w:contextualSpacing/>
    </w:pPr>
    <w:rPr>
      <w:snapToGrid/>
      <w:color w:val="000000"/>
      <w:kern w:val="0"/>
      <w:szCs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 Char Char,f Char,fn Char2,fn Char Char1,fn Char1 Char"/>
    <w:link w:val="FootnoteText"/>
    <w:uiPriority w:val="99"/>
    <w:rsid w:val="00E80328"/>
  </w:style>
  <w:style w:type="paragraph" w:styleId="Revision">
    <w:name w:val="Revision"/>
    <w:hidden/>
    <w:uiPriority w:val="99"/>
    <w:semiHidden/>
    <w:rsid w:val="00951B4B"/>
    <w:rPr>
      <w:snapToGrid w:val="0"/>
      <w:kern w:val="28"/>
      <w:sz w:val="22"/>
    </w:rPr>
  </w:style>
  <w:style w:type="character" w:styleId="CommentReference">
    <w:name w:val="annotation reference"/>
    <w:basedOn w:val="DefaultParagraphFont"/>
    <w:uiPriority w:val="99"/>
    <w:semiHidden/>
    <w:unhideWhenUsed/>
    <w:rsid w:val="00AA1AFC"/>
    <w:rPr>
      <w:sz w:val="16"/>
      <w:szCs w:val="16"/>
    </w:rPr>
  </w:style>
  <w:style w:type="paragraph" w:styleId="CommentText">
    <w:name w:val="annotation text"/>
    <w:basedOn w:val="Normal"/>
    <w:link w:val="CommentTextChar"/>
    <w:uiPriority w:val="99"/>
    <w:unhideWhenUsed/>
    <w:rsid w:val="00AA1AFC"/>
    <w:rPr>
      <w:sz w:val="20"/>
    </w:rPr>
  </w:style>
  <w:style w:type="character" w:customStyle="1" w:styleId="CommentTextChar">
    <w:name w:val="Comment Text Char"/>
    <w:basedOn w:val="DefaultParagraphFont"/>
    <w:link w:val="CommentText"/>
    <w:uiPriority w:val="99"/>
    <w:rsid w:val="00AA1AFC"/>
    <w:rPr>
      <w:snapToGrid w:val="0"/>
      <w:kern w:val="28"/>
    </w:rPr>
  </w:style>
  <w:style w:type="paragraph" w:styleId="CommentSubject">
    <w:name w:val="annotation subject"/>
    <w:basedOn w:val="CommentText"/>
    <w:next w:val="CommentText"/>
    <w:link w:val="CommentSubjectChar"/>
    <w:uiPriority w:val="99"/>
    <w:semiHidden/>
    <w:unhideWhenUsed/>
    <w:rsid w:val="00AA1AFC"/>
    <w:rPr>
      <w:b/>
      <w:bCs/>
    </w:rPr>
  </w:style>
  <w:style w:type="character" w:customStyle="1" w:styleId="CommentSubjectChar">
    <w:name w:val="Comment Subject Char"/>
    <w:basedOn w:val="CommentTextChar"/>
    <w:link w:val="CommentSubject"/>
    <w:uiPriority w:val="99"/>
    <w:semiHidden/>
    <w:rsid w:val="00AA1AFC"/>
    <w:rPr>
      <w:b/>
      <w:bCs/>
      <w:snapToGrid w:val="0"/>
      <w:kern w:val="28"/>
    </w:rPr>
  </w:style>
  <w:style w:type="character" w:customStyle="1" w:styleId="ParaNumChar">
    <w:name w:val="ParaNum Char"/>
    <w:link w:val="ParaNum"/>
    <w:rsid w:val="00C308E1"/>
    <w:rPr>
      <w:snapToGrid w:val="0"/>
      <w:kern w:val="28"/>
      <w:sz w:val="22"/>
    </w:rPr>
  </w:style>
  <w:style w:type="character" w:styleId="UnresolvedMention">
    <w:name w:val="Unresolved Mention"/>
    <w:basedOn w:val="DefaultParagraphFont"/>
    <w:uiPriority w:val="99"/>
    <w:rsid w:val="00441031"/>
    <w:rPr>
      <w:color w:val="605E5C"/>
      <w:shd w:val="clear" w:color="auto" w:fill="E1DFDD"/>
    </w:rPr>
  </w:style>
  <w:style w:type="character" w:styleId="FollowedHyperlink">
    <w:name w:val="FollowedHyperlink"/>
    <w:basedOn w:val="DefaultParagraphFont"/>
    <w:uiPriority w:val="99"/>
    <w:semiHidden/>
    <w:unhideWhenUsed/>
    <w:rsid w:val="006845D3"/>
    <w:rPr>
      <w:color w:val="954F72" w:themeColor="followedHyperlink"/>
      <w:u w:val="single"/>
    </w:rPr>
  </w:style>
  <w:style w:type="paragraph" w:customStyle="1" w:styleId="Default">
    <w:name w:val="Default"/>
    <w:rsid w:val="006E2735"/>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apps.fcc.gov/ecfs/" TargetMode="External" /><Relationship Id="rId7" Type="http://schemas.openxmlformats.org/officeDocument/2006/relationships/hyperlink" Target="mailto:fcc504@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goodyearsightline.com/resources/gysl-friction-estimation-2025a.pdf" TargetMode="External" /><Relationship Id="rId2" Type="http://schemas.openxmlformats.org/officeDocument/2006/relationships/hyperlink" Target="https://www.goodyearsightline.com/resources/gysl-virtual-calibration-2025.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