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7B2006" w:rsidP="007B2006" w14:paraId="445DE1CC" w14:textId="2DCE8E62">
      <w:pPr>
        <w:pStyle w:val="StyleBoldCentered"/>
        <w:rPr>
          <w:caps w:val="0"/>
        </w:rPr>
      </w:pPr>
      <w:r w:rsidRPr="007B2006">
        <w:rPr>
          <w:caps w:val="0"/>
        </w:rPr>
        <w:t>Before the</w:t>
      </w:r>
    </w:p>
    <w:p w:rsidR="00921803" w:rsidP="00921803" w14:paraId="60AC2760" w14:textId="77777777">
      <w:pPr>
        <w:pStyle w:val="StyleBoldCentered"/>
      </w:pPr>
      <w:r>
        <w:t>F</w:t>
      </w:r>
      <w:r>
        <w:rPr>
          <w:caps w:val="0"/>
        </w:rPr>
        <w:t>ederal Communications Commission</w:t>
      </w:r>
    </w:p>
    <w:p w:rsidR="004C2EE3" w:rsidP="00096D8C" w14:paraId="476F7DAB" w14:textId="5E0850A8">
      <w:pPr>
        <w:pStyle w:val="StyleBoldCentered"/>
      </w:pPr>
      <w:r>
        <w:rPr>
          <w:caps w:val="0"/>
        </w:rPr>
        <w:t>Washington, D.C. 20554</w:t>
      </w:r>
    </w:p>
    <w:p w:rsidR="004C2EE3" w:rsidP="0070224F" w14:paraId="1B34E343" w14:textId="77777777"/>
    <w:tbl>
      <w:tblPr>
        <w:tblW w:w="0" w:type="auto"/>
        <w:tblLayout w:type="fixed"/>
        <w:tblLook w:val="0000"/>
      </w:tblPr>
      <w:tblGrid>
        <w:gridCol w:w="4698"/>
        <w:gridCol w:w="630"/>
        <w:gridCol w:w="4248"/>
      </w:tblGrid>
      <w:tr w14:paraId="25671468" w14:textId="77777777">
        <w:tblPrEx>
          <w:tblW w:w="0" w:type="auto"/>
          <w:tblLayout w:type="fixed"/>
          <w:tblLook w:val="0000"/>
        </w:tblPrEx>
        <w:tc>
          <w:tcPr>
            <w:tcW w:w="4698" w:type="dxa"/>
          </w:tcPr>
          <w:p w:rsidR="00596746" w:rsidRPr="00596746" w:rsidP="00596746" w14:paraId="4CD0C7F0" w14:textId="77777777">
            <w:pPr>
              <w:tabs>
                <w:tab w:val="center" w:pos="4680"/>
              </w:tabs>
              <w:suppressAutoHyphens/>
              <w:rPr>
                <w:spacing w:val="-2"/>
              </w:rPr>
            </w:pPr>
            <w:r w:rsidRPr="00596746">
              <w:rPr>
                <w:spacing w:val="-2"/>
              </w:rPr>
              <w:t>In the Matter of</w:t>
            </w:r>
          </w:p>
          <w:p w:rsidR="00596746" w:rsidRPr="00596746" w:rsidP="00596746" w14:paraId="00932FD0" w14:textId="77777777">
            <w:pPr>
              <w:tabs>
                <w:tab w:val="center" w:pos="4680"/>
              </w:tabs>
              <w:suppressAutoHyphens/>
              <w:rPr>
                <w:spacing w:val="-2"/>
              </w:rPr>
            </w:pPr>
          </w:p>
          <w:p w:rsidR="006C056B" w:rsidP="00596746" w14:paraId="040C7D24" w14:textId="25C06F95">
            <w:pPr>
              <w:tabs>
                <w:tab w:val="center" w:pos="4680"/>
              </w:tabs>
              <w:suppressAutoHyphens/>
              <w:rPr>
                <w:spacing w:val="-2"/>
              </w:rPr>
            </w:pPr>
            <w:r w:rsidRPr="00925DBD">
              <w:rPr>
                <w:spacing w:val="-2"/>
              </w:rPr>
              <w:t>SmartAuger</w:t>
            </w:r>
            <w:r w:rsidRPr="00925DBD">
              <w:rPr>
                <w:spacing w:val="-2"/>
              </w:rPr>
              <w:t xml:space="preserve">, Inc. </w:t>
            </w:r>
          </w:p>
          <w:p w:rsidR="00925DBD" w:rsidRPr="00596746" w:rsidP="00596746" w14:paraId="34951414" w14:textId="77777777">
            <w:pPr>
              <w:tabs>
                <w:tab w:val="center" w:pos="4680"/>
              </w:tabs>
              <w:suppressAutoHyphens/>
              <w:rPr>
                <w:spacing w:val="-2"/>
              </w:rPr>
            </w:pPr>
          </w:p>
          <w:p w:rsidR="00596746" w:rsidRPr="00596746" w:rsidP="00596746" w14:paraId="1B6A00C5" w14:textId="1FEA3805">
            <w:pPr>
              <w:tabs>
                <w:tab w:val="center" w:pos="4680"/>
              </w:tabs>
              <w:suppressAutoHyphens/>
              <w:rPr>
                <w:spacing w:val="-2"/>
              </w:rPr>
            </w:pPr>
            <w:r w:rsidRPr="00596746">
              <w:rPr>
                <w:spacing w:val="-2"/>
              </w:rPr>
              <w:t xml:space="preserve">Request for Waiver of Sections </w:t>
            </w:r>
            <w:bookmarkStart w:id="0" w:name="_Hlk168912869"/>
            <w:bookmarkStart w:id="1" w:name="_Hlk26362203"/>
            <w:r w:rsidRPr="00D913E6" w:rsidR="00D913E6">
              <w:rPr>
                <w:spacing w:val="-2"/>
              </w:rPr>
              <w:t xml:space="preserve">15.503(d), 15.31(c), and 15.521(d) </w:t>
            </w:r>
            <w:r w:rsidR="003E1E4F">
              <w:rPr>
                <w:spacing w:val="-2"/>
              </w:rPr>
              <w:t>o</w:t>
            </w:r>
            <w:r w:rsidRPr="00596746">
              <w:rPr>
                <w:spacing w:val="-2"/>
              </w:rPr>
              <w:t>f the Commission’s Rules</w:t>
            </w:r>
            <w:bookmarkEnd w:id="0"/>
          </w:p>
          <w:bookmarkEnd w:id="1"/>
          <w:p w:rsidR="00596746" w:rsidRPr="00596746" w:rsidP="00596746" w14:paraId="4CAC56FA" w14:textId="77777777">
            <w:pPr>
              <w:tabs>
                <w:tab w:val="center" w:pos="4680"/>
              </w:tabs>
              <w:suppressAutoHyphens/>
              <w:rPr>
                <w:spacing w:val="-2"/>
              </w:rPr>
            </w:pPr>
          </w:p>
        </w:tc>
        <w:tc>
          <w:tcPr>
            <w:tcW w:w="630" w:type="dxa"/>
          </w:tcPr>
          <w:p w:rsidR="00596746" w:rsidRPr="00596746" w:rsidP="00596746" w14:paraId="0A918901" w14:textId="77777777">
            <w:pPr>
              <w:tabs>
                <w:tab w:val="center" w:pos="4680"/>
              </w:tabs>
              <w:suppressAutoHyphens/>
              <w:rPr>
                <w:b/>
                <w:spacing w:val="-2"/>
              </w:rPr>
            </w:pPr>
            <w:r w:rsidRPr="00596746">
              <w:rPr>
                <w:b/>
                <w:spacing w:val="-2"/>
              </w:rPr>
              <w:t>)</w:t>
            </w:r>
          </w:p>
          <w:p w:rsidR="00596746" w:rsidRPr="00596746" w:rsidP="00596746" w14:paraId="0C41B4CC" w14:textId="77777777">
            <w:pPr>
              <w:tabs>
                <w:tab w:val="center" w:pos="4680"/>
              </w:tabs>
              <w:suppressAutoHyphens/>
              <w:rPr>
                <w:b/>
                <w:spacing w:val="-2"/>
              </w:rPr>
            </w:pPr>
            <w:r w:rsidRPr="00596746">
              <w:rPr>
                <w:b/>
                <w:spacing w:val="-2"/>
              </w:rPr>
              <w:t>)</w:t>
            </w:r>
          </w:p>
          <w:p w:rsidR="00596746" w:rsidRPr="00596746" w:rsidP="00596746" w14:paraId="4FC1A9E2" w14:textId="77777777">
            <w:pPr>
              <w:tabs>
                <w:tab w:val="center" w:pos="4680"/>
              </w:tabs>
              <w:suppressAutoHyphens/>
              <w:rPr>
                <w:b/>
                <w:spacing w:val="-2"/>
              </w:rPr>
            </w:pPr>
            <w:r w:rsidRPr="00596746">
              <w:rPr>
                <w:b/>
                <w:spacing w:val="-2"/>
              </w:rPr>
              <w:t>)</w:t>
            </w:r>
          </w:p>
          <w:p w:rsidR="00596746" w:rsidRPr="00596746" w:rsidP="00596746" w14:paraId="539F30A5" w14:textId="77777777">
            <w:pPr>
              <w:tabs>
                <w:tab w:val="center" w:pos="4680"/>
              </w:tabs>
              <w:suppressAutoHyphens/>
              <w:rPr>
                <w:b/>
                <w:spacing w:val="-2"/>
              </w:rPr>
            </w:pPr>
            <w:r w:rsidRPr="00596746">
              <w:rPr>
                <w:b/>
                <w:spacing w:val="-2"/>
              </w:rPr>
              <w:t>)</w:t>
            </w:r>
          </w:p>
          <w:p w:rsidR="00596746" w:rsidRPr="00596746" w:rsidP="00596746" w14:paraId="1D1A1936" w14:textId="77777777">
            <w:pPr>
              <w:tabs>
                <w:tab w:val="center" w:pos="4680"/>
              </w:tabs>
              <w:suppressAutoHyphens/>
              <w:rPr>
                <w:b/>
                <w:spacing w:val="-2"/>
              </w:rPr>
            </w:pPr>
            <w:r w:rsidRPr="00596746">
              <w:rPr>
                <w:b/>
                <w:spacing w:val="-2"/>
              </w:rPr>
              <w:t>)</w:t>
            </w:r>
          </w:p>
          <w:p w:rsidR="00596746" w:rsidRPr="00596746" w:rsidP="00596746" w14:paraId="0D45FC58" w14:textId="77777777">
            <w:pPr>
              <w:tabs>
                <w:tab w:val="center" w:pos="4680"/>
              </w:tabs>
              <w:suppressAutoHyphens/>
              <w:rPr>
                <w:b/>
                <w:spacing w:val="-2"/>
              </w:rPr>
            </w:pPr>
            <w:r w:rsidRPr="00596746">
              <w:rPr>
                <w:b/>
                <w:spacing w:val="-2"/>
              </w:rPr>
              <w:t>)</w:t>
            </w:r>
          </w:p>
        </w:tc>
        <w:tc>
          <w:tcPr>
            <w:tcW w:w="4248" w:type="dxa"/>
          </w:tcPr>
          <w:p w:rsidR="00596746" w:rsidRPr="00596746" w:rsidP="00596746" w14:paraId="50EE79A2" w14:textId="77777777">
            <w:pPr>
              <w:tabs>
                <w:tab w:val="center" w:pos="4680"/>
              </w:tabs>
              <w:suppressAutoHyphens/>
              <w:rPr>
                <w:spacing w:val="-2"/>
              </w:rPr>
            </w:pPr>
          </w:p>
          <w:p w:rsidR="00596746" w:rsidRPr="00596746" w:rsidP="00596746" w14:paraId="67BD287F" w14:textId="77777777">
            <w:pPr>
              <w:tabs>
                <w:tab w:val="center" w:pos="4680"/>
              </w:tabs>
              <w:suppressAutoHyphens/>
              <w:rPr>
                <w:spacing w:val="-2"/>
              </w:rPr>
            </w:pPr>
          </w:p>
          <w:p w:rsidR="00596746" w:rsidRPr="00596746" w:rsidP="00596746" w14:paraId="5EC77883" w14:textId="17BE0A81">
            <w:pPr>
              <w:tabs>
                <w:tab w:val="center" w:pos="4680"/>
              </w:tabs>
              <w:suppressAutoHyphens/>
              <w:rPr>
                <w:spacing w:val="-2"/>
              </w:rPr>
            </w:pPr>
            <w:r w:rsidRPr="00596746">
              <w:rPr>
                <w:spacing w:val="-2"/>
              </w:rPr>
              <w:t>ET Docket No. 2</w:t>
            </w:r>
            <w:r w:rsidR="00DC154B">
              <w:rPr>
                <w:spacing w:val="-2"/>
              </w:rPr>
              <w:t>6</w:t>
            </w:r>
            <w:r w:rsidRPr="00596746">
              <w:rPr>
                <w:spacing w:val="-2"/>
              </w:rPr>
              <w:t>-</w:t>
            </w:r>
            <w:r w:rsidR="007874FF">
              <w:rPr>
                <w:spacing w:val="-2"/>
              </w:rPr>
              <w:t>38</w:t>
            </w:r>
          </w:p>
        </w:tc>
      </w:tr>
    </w:tbl>
    <w:p w:rsidR="00596746" w:rsidRPr="00596746" w:rsidP="00596746" w14:paraId="7E8692F3" w14:textId="77777777"/>
    <w:p w:rsidR="00596746" w:rsidRPr="00596746" w:rsidP="00596746" w14:paraId="0BC064D3" w14:textId="77777777">
      <w:pPr>
        <w:jc w:val="center"/>
        <w:rPr>
          <w:rFonts w:ascii="Times New Roman Bold" w:hAnsi="Times New Roman Bold"/>
          <w:b/>
          <w:bCs/>
          <w:caps/>
          <w:szCs w:val="22"/>
        </w:rPr>
      </w:pPr>
      <w:r w:rsidRPr="00596746">
        <w:rPr>
          <w:rFonts w:ascii="Times New Roman Bold" w:hAnsi="Times New Roman Bold"/>
          <w:b/>
          <w:bCs/>
          <w:caps/>
          <w:szCs w:val="22"/>
        </w:rPr>
        <w:t>Order</w:t>
      </w:r>
    </w:p>
    <w:p w:rsidR="00596746" w:rsidRPr="00596746" w:rsidP="00596746" w14:paraId="6EE89F88" w14:textId="77777777">
      <w:pPr>
        <w:tabs>
          <w:tab w:val="left" w:pos="-720"/>
        </w:tabs>
        <w:suppressAutoHyphens/>
        <w:spacing w:line="227" w:lineRule="auto"/>
        <w:rPr>
          <w:spacing w:val="-2"/>
        </w:rPr>
      </w:pPr>
    </w:p>
    <w:p w:rsidR="00596746" w:rsidRPr="00596746" w:rsidP="00596746" w14:paraId="6D3D1D0A" w14:textId="3EF3709D">
      <w:pPr>
        <w:tabs>
          <w:tab w:val="left" w:pos="720"/>
          <w:tab w:val="right" w:pos="9360"/>
        </w:tabs>
        <w:suppressAutoHyphens/>
        <w:spacing w:line="227" w:lineRule="auto"/>
        <w:rPr>
          <w:spacing w:val="-2"/>
        </w:rPr>
      </w:pPr>
      <w:r w:rsidRPr="00596746">
        <w:rPr>
          <w:b/>
          <w:spacing w:val="-2"/>
        </w:rPr>
        <w:t xml:space="preserve">Adopted:  </w:t>
      </w:r>
      <w:r w:rsidR="00971ABB">
        <w:rPr>
          <w:b/>
          <w:spacing w:val="-2"/>
        </w:rPr>
        <w:t>June 16, 2026</w:t>
      </w:r>
      <w:r w:rsidR="00B972B7">
        <w:rPr>
          <w:b/>
          <w:spacing w:val="-2"/>
        </w:rPr>
        <w:tab/>
      </w:r>
      <w:r w:rsidRPr="00596746">
        <w:rPr>
          <w:b/>
          <w:spacing w:val="-2"/>
        </w:rPr>
        <w:t xml:space="preserve">Released:  </w:t>
      </w:r>
      <w:r w:rsidR="00971ABB">
        <w:rPr>
          <w:b/>
          <w:spacing w:val="-2"/>
        </w:rPr>
        <w:t>June 16, 2026</w:t>
      </w:r>
    </w:p>
    <w:p w:rsidR="00596746" w:rsidRPr="00596746" w:rsidP="00596746" w14:paraId="5C8FF38E" w14:textId="77777777"/>
    <w:p w:rsidR="00596746" w:rsidRPr="00596746" w:rsidP="00596746" w14:paraId="197F7038" w14:textId="1EF31C2F">
      <w:pPr>
        <w:rPr>
          <w:spacing w:val="-2"/>
        </w:rPr>
      </w:pPr>
      <w:r w:rsidRPr="00596746">
        <w:t>By the Chief, Office of Engineering and Technology</w:t>
      </w:r>
      <w:r w:rsidRPr="00596746">
        <w:rPr>
          <w:spacing w:val="-2"/>
        </w:rPr>
        <w:t>:</w:t>
      </w:r>
    </w:p>
    <w:p w:rsidR="00822CE0" w14:paraId="784AB597" w14:textId="77777777">
      <w:pPr>
        <w:rPr>
          <w:spacing w:val="-2"/>
        </w:rPr>
      </w:pPr>
    </w:p>
    <w:p w:rsidR="00412FC5" w:rsidP="00C36B4C" w14:paraId="65254848" w14:textId="77777777">
      <w:pPr>
        <w:pStyle w:val="Heading1"/>
      </w:pPr>
      <w:r>
        <w:t>Introduction</w:t>
      </w:r>
    </w:p>
    <w:p w:rsidR="00074585" w:rsidRPr="00786DBC" w:rsidP="00074585" w14:paraId="777106D3" w14:textId="0F764D59">
      <w:pPr>
        <w:pStyle w:val="ParaNum"/>
      </w:pPr>
      <w:r>
        <w:t>By this Order</w:t>
      </w:r>
      <w:r w:rsidR="00A229F4">
        <w:t>,</w:t>
      </w:r>
      <w:r>
        <w:t xml:space="preserve"> </w:t>
      </w:r>
      <w:r w:rsidRPr="00AD567E">
        <w:t xml:space="preserve">we grant </w:t>
      </w:r>
      <w:r w:rsidR="001225CB">
        <w:t xml:space="preserve">a request by </w:t>
      </w:r>
      <w:r w:rsidRPr="003732CB" w:rsidR="003732CB">
        <w:t>SmartAuger</w:t>
      </w:r>
      <w:r w:rsidRPr="003732CB" w:rsidR="003732CB">
        <w:t xml:space="preserve">, Inc. </w:t>
      </w:r>
      <w:r w:rsidR="00EE3A38">
        <w:t>(</w:t>
      </w:r>
      <w:r w:rsidRPr="003732CB" w:rsidR="003732CB">
        <w:t>SmartAuger</w:t>
      </w:r>
      <w:r w:rsidR="00EE3A38">
        <w:t xml:space="preserve">) </w:t>
      </w:r>
      <w:r w:rsidR="001225CB">
        <w:t>to waive</w:t>
      </w:r>
      <w:r>
        <w:t xml:space="preserve"> </w:t>
      </w:r>
      <w:r w:rsidR="00F4711C">
        <w:t xml:space="preserve">sections </w:t>
      </w:r>
      <w:r w:rsidRPr="00FB40A7" w:rsidR="00FB40A7">
        <w:t xml:space="preserve">15.503(d), 15.31(c), </w:t>
      </w:r>
      <w:r w:rsidRPr="000C34F1" w:rsidR="00FB40A7">
        <w:t>and 15.521(d)</w:t>
      </w:r>
      <w:r w:rsidR="00FB40A7">
        <w:t xml:space="preserve"> </w:t>
      </w:r>
      <w:r w:rsidR="001225CB">
        <w:t>o</w:t>
      </w:r>
      <w:r>
        <w:t xml:space="preserve">f the Commission’s rules </w:t>
      </w:r>
      <w:r w:rsidRPr="00CA5E2E" w:rsidR="00CA5E2E">
        <w:rPr>
          <w:szCs w:val="22"/>
        </w:rPr>
        <w:t xml:space="preserve">to permit </w:t>
      </w:r>
      <w:r w:rsidRPr="00CA5E2E" w:rsidR="00CA5E2E">
        <w:rPr>
          <w:szCs w:val="22"/>
        </w:rPr>
        <w:t>SmartAuger</w:t>
      </w:r>
      <w:r w:rsidRPr="00CA5E2E" w:rsidR="00CA5E2E">
        <w:rPr>
          <w:szCs w:val="22"/>
        </w:rPr>
        <w:t xml:space="preserve"> to certify and market </w:t>
      </w:r>
      <w:r w:rsidR="00004942">
        <w:rPr>
          <w:szCs w:val="22"/>
        </w:rPr>
        <w:t>a</w:t>
      </w:r>
      <w:r w:rsidRPr="00CA5E2E" w:rsidR="00CA5E2E">
        <w:rPr>
          <w:szCs w:val="22"/>
        </w:rPr>
        <w:t xml:space="preserve"> stepped-frequency, continuous-wave-modulated </w:t>
      </w:r>
      <w:r w:rsidR="00004942">
        <w:rPr>
          <w:szCs w:val="22"/>
        </w:rPr>
        <w:t>ultra</w:t>
      </w:r>
      <w:r w:rsidR="008C6DCD">
        <w:rPr>
          <w:szCs w:val="22"/>
        </w:rPr>
        <w:t>-</w:t>
      </w:r>
      <w:r w:rsidR="00004942">
        <w:rPr>
          <w:szCs w:val="22"/>
        </w:rPr>
        <w:t xml:space="preserve">wideband (UWB) </w:t>
      </w:r>
      <w:r w:rsidRPr="00CA5E2E" w:rsidR="00CA5E2E">
        <w:rPr>
          <w:szCs w:val="22"/>
        </w:rPr>
        <w:t xml:space="preserve">ground penetrating radar (GPR) transmitter </w:t>
      </w:r>
      <w:r w:rsidR="008C6DCD">
        <w:rPr>
          <w:szCs w:val="22"/>
        </w:rPr>
        <w:t xml:space="preserve">that operates </w:t>
      </w:r>
      <w:r w:rsidRPr="00CA5E2E" w:rsidR="00CA5E2E">
        <w:rPr>
          <w:szCs w:val="22"/>
        </w:rPr>
        <w:t>in the 170 to 670 MHz band.</w:t>
      </w:r>
      <w:r>
        <w:rPr>
          <w:szCs w:val="22"/>
          <w:vertAlign w:val="superscript"/>
        </w:rPr>
        <w:footnoteReference w:id="3"/>
      </w:r>
      <w:r w:rsidRPr="00CA5E2E" w:rsidR="00CA5E2E">
        <w:rPr>
          <w:szCs w:val="22"/>
        </w:rPr>
        <w:t xml:space="preserve">  </w:t>
      </w:r>
      <w:r w:rsidRPr="00AD567E">
        <w:t>For the reasons discussed below, we find that there is good cause to grant</w:t>
      </w:r>
      <w:r>
        <w:t xml:space="preserve"> </w:t>
      </w:r>
      <w:r w:rsidR="008F3228">
        <w:t>SmartAuger’s</w:t>
      </w:r>
      <w:r>
        <w:t xml:space="preserve"> </w:t>
      </w:r>
      <w:r w:rsidRPr="00AD567E">
        <w:t>waiver</w:t>
      </w:r>
      <w:r>
        <w:t xml:space="preserve"> request</w:t>
      </w:r>
      <w:r w:rsidRPr="00AD567E">
        <w:t>.</w:t>
      </w:r>
    </w:p>
    <w:p w:rsidR="00786DBC" w:rsidP="00786DBC" w14:paraId="1F293323" w14:textId="77777777">
      <w:pPr>
        <w:pStyle w:val="Heading1"/>
      </w:pPr>
      <w:r>
        <w:t>Background</w:t>
      </w:r>
    </w:p>
    <w:p w:rsidR="0073272B" w:rsidP="003F7993" w14:paraId="495DA33B" w14:textId="6606EE07">
      <w:pPr>
        <w:pStyle w:val="ParaNum"/>
      </w:pPr>
      <w:r>
        <w:t xml:space="preserve">The </w:t>
      </w:r>
      <w:r>
        <w:t>SmartAuger</w:t>
      </w:r>
      <w:r>
        <w:t xml:space="preserve"> </w:t>
      </w:r>
      <w:r w:rsidR="0051188E">
        <w:t xml:space="preserve">GPR </w:t>
      </w:r>
      <w:r>
        <w:t>device is designed to detect and visualize underground utilities in real time</w:t>
      </w:r>
      <w:r w:rsidRPr="00631383" w:rsidR="00631383">
        <w:t xml:space="preserve"> </w:t>
      </w:r>
      <w:r w:rsidRPr="007D7A45" w:rsidR="00631383">
        <w:t>to support active excavation and progressive digging workflows</w:t>
      </w:r>
      <w:r>
        <w:t>.</w:t>
      </w:r>
      <w:r>
        <w:rPr>
          <w:rStyle w:val="FootnoteReference"/>
        </w:rPr>
        <w:footnoteReference w:id="4"/>
      </w:r>
      <w:r w:rsidR="0051188E">
        <w:t xml:space="preserve">  </w:t>
      </w:r>
      <w:r w:rsidRPr="003D0D45" w:rsidR="003D0D45">
        <w:t xml:space="preserve">It is a portable device </w:t>
      </w:r>
      <w:r w:rsidR="00FC2D9A">
        <w:t>that contains</w:t>
      </w:r>
      <w:r w:rsidRPr="003D0D45" w:rsidR="003D0D45">
        <w:t xml:space="preserve"> a radar head integrated into a polymer sled</w:t>
      </w:r>
      <w:r w:rsidR="00E86740">
        <w:t xml:space="preserve"> that allows the device to be pushed across the ground during s</w:t>
      </w:r>
      <w:r w:rsidR="00FC2D9A">
        <w:t>canning operations.</w:t>
      </w:r>
      <w:r>
        <w:rPr>
          <w:rStyle w:val="FootnoteReference"/>
        </w:rPr>
        <w:footnoteReference w:id="5"/>
      </w:r>
      <w:r w:rsidR="00FC2D9A">
        <w:t xml:space="preserve">  </w:t>
      </w:r>
      <w:r w:rsidR="00582158">
        <w:t>SmartAuger</w:t>
      </w:r>
      <w:r>
        <w:t xml:space="preserve"> </w:t>
      </w:r>
      <w:r w:rsidR="001B2D89">
        <w:t>states</w:t>
      </w:r>
      <w:r>
        <w:t xml:space="preserve"> that the device combines GPR hardware with proprietary </w:t>
      </w:r>
      <w:r w:rsidR="00D26E72">
        <w:t>artificial intelligence (</w:t>
      </w:r>
      <w:r>
        <w:t>AI</w:t>
      </w:r>
      <w:r w:rsidR="00D26E72">
        <w:t>)</w:t>
      </w:r>
      <w:r>
        <w:t xml:space="preserve"> software that analyzes radar returns and presents results in a simple visual format that can be understood by non-technical professional users.</w:t>
      </w:r>
      <w:r>
        <w:rPr>
          <w:rStyle w:val="FootnoteReference"/>
        </w:rPr>
        <w:footnoteReference w:id="6"/>
      </w:r>
      <w:r w:rsidR="005D1A99">
        <w:t xml:space="preserve">  </w:t>
      </w:r>
      <w:r>
        <w:t xml:space="preserve">The </w:t>
      </w:r>
      <w:r w:rsidR="00241104">
        <w:t>GPR</w:t>
      </w:r>
      <w:r>
        <w:t xml:space="preserve"> </w:t>
      </w:r>
      <w:r w:rsidR="00CA6B29">
        <w:t>steps</w:t>
      </w:r>
      <w:r>
        <w:t xml:space="preserve"> through 96 frequencies in the range of 170-670 MHz for an overall bandwidth of 500 </w:t>
      </w:r>
      <w:r w:rsidR="00E367F7">
        <w:t>megahertz</w:t>
      </w:r>
      <w:r>
        <w:t>.</w:t>
      </w:r>
      <w:r>
        <w:rPr>
          <w:rStyle w:val="FootnoteReference"/>
        </w:rPr>
        <w:footnoteReference w:id="7"/>
      </w:r>
      <w:r>
        <w:t xml:space="preserve">  Each frequency step is 5 </w:t>
      </w:r>
      <w:r w:rsidR="003C4780">
        <w:t>megahertz</w:t>
      </w:r>
      <w:r>
        <w:t xml:space="preserve"> with a duration of 280 microseconds on each step.</w:t>
      </w:r>
      <w:r>
        <w:rPr>
          <w:rStyle w:val="FootnoteReference"/>
        </w:rPr>
        <w:footnoteReference w:id="8"/>
      </w:r>
      <w:r>
        <w:t xml:space="preserve"> </w:t>
      </w:r>
      <w:r w:rsidRPr="0021087F">
        <w:t xml:space="preserve"> </w:t>
      </w:r>
      <w:r w:rsidR="007B3F0C">
        <w:t xml:space="preserve">The device </w:t>
      </w:r>
      <w:r w:rsidR="00B32137">
        <w:t>“</w:t>
      </w:r>
      <w:r w:rsidR="007B3F0C">
        <w:t>notches out</w:t>
      </w:r>
      <w:r w:rsidR="00B32137">
        <w:t xml:space="preserve">” (i.e., does not </w:t>
      </w:r>
      <w:r w:rsidR="00A30FB9">
        <w:t>transmit</w:t>
      </w:r>
      <w:r w:rsidR="00B32137">
        <w:t xml:space="preserve"> </w:t>
      </w:r>
      <w:r w:rsidR="00B3437A">
        <w:t>i</w:t>
      </w:r>
      <w:r w:rsidR="00B32137">
        <w:t>n)</w:t>
      </w:r>
      <w:r w:rsidR="007B3F0C">
        <w:t xml:space="preserve"> the </w:t>
      </w:r>
      <w:r w:rsidR="004F6007">
        <w:t xml:space="preserve">frequency </w:t>
      </w:r>
      <w:r w:rsidR="007B3F0C">
        <w:t>band 322-335.4 MHz</w:t>
      </w:r>
      <w:r w:rsidR="00357C86">
        <w:t>,</w:t>
      </w:r>
      <w:r w:rsidR="007B3F0C">
        <w:t xml:space="preserve"> which is used for radio astronomy and aeronautical </w:t>
      </w:r>
      <w:r w:rsidR="00065506">
        <w:t>radio</w:t>
      </w:r>
      <w:r w:rsidR="007B3F0C">
        <w:t>navigation.</w:t>
      </w:r>
      <w:r>
        <w:rPr>
          <w:rStyle w:val="FootnoteReference"/>
        </w:rPr>
        <w:footnoteReference w:id="9"/>
      </w:r>
      <w:r w:rsidR="007B3F0C">
        <w:t xml:space="preserve">  It</w:t>
      </w:r>
      <w:r w:rsidRPr="0021087F">
        <w:t xml:space="preserve"> </w:t>
      </w:r>
      <w:r>
        <w:t>includes</w:t>
      </w:r>
      <w:r w:rsidRPr="0021087F">
        <w:t xml:space="preserve"> a feature to ensure that it will only transmit when placed in full contact with the ground or surface being measured and </w:t>
      </w:r>
      <w:r w:rsidR="00796E68">
        <w:t>will</w:t>
      </w:r>
      <w:r w:rsidRPr="0021087F">
        <w:t xml:space="preserve"> cease transmission when </w:t>
      </w:r>
      <w:r w:rsidR="009A3EAF">
        <w:t>such</w:t>
      </w:r>
      <w:r w:rsidRPr="0021087F" w:rsidR="009A3EAF">
        <w:t xml:space="preserve"> </w:t>
      </w:r>
      <w:r w:rsidRPr="0021087F">
        <w:t xml:space="preserve">contact is </w:t>
      </w:r>
      <w:r w:rsidR="006B3E85">
        <w:t>lost</w:t>
      </w:r>
      <w:r w:rsidRPr="0021087F">
        <w:t>.</w:t>
      </w:r>
      <w:r>
        <w:rPr>
          <w:rStyle w:val="FootnoteReference"/>
        </w:rPr>
        <w:footnoteReference w:id="10"/>
      </w:r>
      <w:r>
        <w:t xml:space="preserve">  </w:t>
      </w:r>
    </w:p>
    <w:p w:rsidR="00500217" w:rsidP="003F7993" w14:paraId="75329998" w14:textId="6A4B9F3F">
      <w:pPr>
        <w:pStyle w:val="ParaNum"/>
      </w:pPr>
      <w:r>
        <w:t>SmartAuger</w:t>
      </w:r>
      <w:r>
        <w:t xml:space="preserve"> </w:t>
      </w:r>
      <w:r w:rsidR="004B0087">
        <w:t>states</w:t>
      </w:r>
      <w:r>
        <w:t xml:space="preserve"> that because </w:t>
      </w:r>
      <w:r w:rsidR="00FC19F2">
        <w:t>the</w:t>
      </w:r>
      <w:r>
        <w:t xml:space="preserve"> device achieves its operating bandwidth by stepping a narrowband signal across a wide frequency range, it does not satisfy the instantaneous bandwidth </w:t>
      </w:r>
      <w:r>
        <w:t>requirement in the Commission’s rules.</w:t>
      </w:r>
      <w:r>
        <w:rPr>
          <w:rStyle w:val="FootnoteReference"/>
        </w:rPr>
        <w:footnoteReference w:id="11"/>
      </w:r>
      <w:r>
        <w:t xml:space="preserve"> </w:t>
      </w:r>
      <w:r w:rsidR="003E4C18">
        <w:t xml:space="preserve"> </w:t>
      </w:r>
      <w:r>
        <w:t>Section 15.503(d) of the Commission’s rules defines a UWB device as an intentional radiator that, at any point in time, has either a fractional bandwidth of 0.20 or greater or a UWB bandwidth of 500 megahertz or greater, regardless of the fractional bandwidth.</w:t>
      </w:r>
      <w:r>
        <w:rPr>
          <w:rStyle w:val="FootnoteReference"/>
        </w:rPr>
        <w:footnoteReference w:id="12"/>
      </w:r>
      <w:r w:rsidR="00324A8B">
        <w:t xml:space="preserve">  </w:t>
      </w:r>
      <w:r>
        <w:t xml:space="preserve">As the use of stepped frequency operation by a UWB device such as </w:t>
      </w:r>
      <w:r>
        <w:t>SmartAuger</w:t>
      </w:r>
      <w:r>
        <w:t xml:space="preserve"> proposes does not comply with Commission’s UWB definition, </w:t>
      </w:r>
      <w:r>
        <w:t>SmartAuger</w:t>
      </w:r>
      <w:r>
        <w:t xml:space="preserve"> seeks a waiver of section 15.503(d) to allow certification and marketing of its device.</w:t>
      </w:r>
      <w:r>
        <w:rPr>
          <w:rStyle w:val="FootnoteReference"/>
        </w:rPr>
        <w:footnoteReference w:id="13"/>
      </w:r>
      <w:r>
        <w:t xml:space="preserve"> </w:t>
      </w:r>
    </w:p>
    <w:p w:rsidR="00720336" w:rsidP="003F7993" w14:paraId="472E21D5" w14:textId="6601911F">
      <w:pPr>
        <w:pStyle w:val="ParaNum"/>
      </w:pPr>
      <w:r w:rsidRPr="0029427A">
        <w:t>Section 15.31(c</w:t>
      </w:r>
      <w:r w:rsidRPr="00A8125A">
        <w:t>) and 15.521(d)</w:t>
      </w:r>
      <w:r w:rsidRPr="0029427A">
        <w:t xml:space="preserve"> of the Commission’s rules require UWB device emissions to be measured with the transmitter stepping function stopped</w:t>
      </w:r>
      <w:r w:rsidRPr="00267C39">
        <w:t>.</w:t>
      </w:r>
      <w:r>
        <w:rPr>
          <w:rStyle w:val="FootnoteReference"/>
          <w:szCs w:val="22"/>
        </w:rPr>
        <w:footnoteReference w:id="14"/>
      </w:r>
      <w:r w:rsidRPr="00267C39">
        <w:t xml:space="preserve">  </w:t>
      </w:r>
      <w:r w:rsidRPr="00267C39">
        <w:t>SmartAuger</w:t>
      </w:r>
      <w:r w:rsidRPr="00267C39">
        <w:t xml:space="preserve"> states that with this function stopped, emissions would </w:t>
      </w:r>
      <w:r>
        <w:t xml:space="preserve">not </w:t>
      </w:r>
      <w:r w:rsidRPr="00267C39">
        <w:t>comply with the fractional bandwidth or minimum bandwidth requirements</w:t>
      </w:r>
      <w:r>
        <w:t xml:space="preserve"> so a waiver is necessary</w:t>
      </w:r>
      <w:r w:rsidRPr="00267C39">
        <w:t>.</w:t>
      </w:r>
      <w:r>
        <w:rPr>
          <w:rStyle w:val="FootnoteReference"/>
          <w:szCs w:val="22"/>
        </w:rPr>
        <w:footnoteReference w:id="15"/>
      </w:r>
      <w:r>
        <w:t xml:space="preserve"> </w:t>
      </w:r>
      <w:r w:rsidRPr="002005D7">
        <w:t xml:space="preserve"> </w:t>
      </w:r>
      <w:r>
        <w:t>It states that its device uses stepped-frequency continuous-wave-</w:t>
      </w:r>
      <w:r w:rsidRPr="002005D7">
        <w:t xml:space="preserve">modulation </w:t>
      </w:r>
      <w:r>
        <w:t>to</w:t>
      </w:r>
      <w:r w:rsidRPr="002005D7">
        <w:t xml:space="preserve"> achieve improved performance characteristics, including </w:t>
      </w:r>
      <w:r w:rsidR="001F1A52">
        <w:t>enhanced</w:t>
      </w:r>
      <w:r w:rsidRPr="002005D7">
        <w:t xml:space="preserve"> material penetration, better material analysis performance, and faster survey speeds.</w:t>
      </w:r>
      <w:r>
        <w:rPr>
          <w:rStyle w:val="FootnoteReference"/>
          <w:szCs w:val="22"/>
        </w:rPr>
        <w:footnoteReference w:id="16"/>
      </w:r>
      <w:r>
        <w:t xml:space="preserve">  </w:t>
      </w:r>
      <w:r>
        <w:t>SmartAuger</w:t>
      </w:r>
      <w:r>
        <w:t xml:space="preserve"> notes that the</w:t>
      </w:r>
      <w:r w:rsidRPr="001F4D16">
        <w:t xml:space="preserve"> Commission has </w:t>
      </w:r>
      <w:r>
        <w:t xml:space="preserve">previously </w:t>
      </w:r>
      <w:r w:rsidRPr="001F4D16">
        <w:t>granted waivers of</w:t>
      </w:r>
      <w:r>
        <w:t xml:space="preserve"> these rule sections</w:t>
      </w:r>
      <w:r w:rsidRPr="001F4D16">
        <w:t xml:space="preserve"> for stepped-frequency UWB devices that operate analogously to </w:t>
      </w:r>
      <w:r w:rsidRPr="001F4D16">
        <w:t>SmartAuger’s</w:t>
      </w:r>
      <w:r w:rsidRPr="001F4D16">
        <w:t xml:space="preserve"> device, finding in each case that measuring emissions with the stepping function active does not increase </w:t>
      </w:r>
      <w:r>
        <w:t xml:space="preserve">the devices’ </w:t>
      </w:r>
      <w:r w:rsidRPr="001F4D16">
        <w:t>interference potential whe</w:t>
      </w:r>
      <w:r>
        <w:t>n</w:t>
      </w:r>
      <w:r w:rsidRPr="001F4D16">
        <w:t xml:space="preserve"> </w:t>
      </w:r>
      <w:r>
        <w:t xml:space="preserve">the </w:t>
      </w:r>
      <w:r w:rsidRPr="001F4D16">
        <w:t xml:space="preserve">applicable </w:t>
      </w:r>
      <w:r>
        <w:t xml:space="preserve">emission </w:t>
      </w:r>
      <w:r w:rsidRPr="001F4D16">
        <w:t>limits are met</w:t>
      </w:r>
      <w:r>
        <w:t>.</w:t>
      </w:r>
      <w:r>
        <w:rPr>
          <w:rStyle w:val="FootnoteReference"/>
          <w:szCs w:val="22"/>
        </w:rPr>
        <w:footnoteReference w:id="17"/>
      </w:r>
      <w:r>
        <w:t xml:space="preserve">  </w:t>
      </w:r>
      <w:r w:rsidR="001F1A52">
        <w:t xml:space="preserve">To further reduce the likelihood of harmful interference to authorized services, </w:t>
      </w:r>
      <w:r>
        <w:t>SmartAuger</w:t>
      </w:r>
      <w:r>
        <w:t xml:space="preserve"> proposes a number of conditions consistent with those the Commission imposed for other GPR devices authorized under </w:t>
      </w:r>
      <w:r w:rsidR="001F1A52">
        <w:t xml:space="preserve">similar </w:t>
      </w:r>
      <w:r>
        <w:t>waivers.</w:t>
      </w:r>
      <w:r>
        <w:rPr>
          <w:rStyle w:val="FootnoteReference"/>
          <w:szCs w:val="22"/>
        </w:rPr>
        <w:footnoteReference w:id="18"/>
      </w:r>
    </w:p>
    <w:p w:rsidR="00786DBC" w:rsidRPr="005131D3" w:rsidP="003F7993" w14:paraId="0A9B8209" w14:textId="561DD4EC">
      <w:pPr>
        <w:pStyle w:val="ParaNum"/>
      </w:pPr>
      <w:r>
        <w:t xml:space="preserve">On </w:t>
      </w:r>
      <w:r w:rsidR="00D17138">
        <w:t>February 1</w:t>
      </w:r>
      <w:r w:rsidR="00305FD6">
        <w:t>8</w:t>
      </w:r>
      <w:r w:rsidR="00D17138">
        <w:t>, 2026</w:t>
      </w:r>
      <w:r w:rsidR="00906BFE">
        <w:t>, OET</w:t>
      </w:r>
      <w:r w:rsidR="00AE4200">
        <w:t xml:space="preserve"> issued a Public Notice </w:t>
      </w:r>
      <w:r w:rsidR="000F726E">
        <w:t>seeking</w:t>
      </w:r>
      <w:r w:rsidR="00AE4200">
        <w:t xml:space="preserve"> comment </w:t>
      </w:r>
      <w:r w:rsidR="00235365">
        <w:t xml:space="preserve">on the </w:t>
      </w:r>
      <w:r w:rsidR="00305FD6">
        <w:t>SmartAuger</w:t>
      </w:r>
      <w:r w:rsidRPr="006648B2" w:rsidR="00235365">
        <w:t xml:space="preserve"> Waiver Request</w:t>
      </w:r>
      <w:r w:rsidR="00235365">
        <w:t>.</w:t>
      </w:r>
      <w:r>
        <w:rPr>
          <w:rStyle w:val="FootnoteReference"/>
        </w:rPr>
        <w:footnoteReference w:id="19"/>
      </w:r>
      <w:r w:rsidR="00906BFE">
        <w:t xml:space="preserve"> </w:t>
      </w:r>
      <w:r w:rsidR="00747BE5">
        <w:t xml:space="preserve"> </w:t>
      </w:r>
      <w:r w:rsidR="00B008B9">
        <w:t>Three</w:t>
      </w:r>
      <w:r w:rsidRPr="00130F20" w:rsidR="00D75177">
        <w:t xml:space="preserve"> parties filed</w:t>
      </w:r>
      <w:r w:rsidRPr="005131D3" w:rsidR="00D75177">
        <w:t xml:space="preserve"> comments in </w:t>
      </w:r>
      <w:r w:rsidR="00E046BB">
        <w:t>support of the request</w:t>
      </w:r>
      <w:r w:rsidR="00DA7A00">
        <w:t xml:space="preserve"> </w:t>
      </w:r>
      <w:r w:rsidR="007C1557">
        <w:t xml:space="preserve">and </w:t>
      </w:r>
      <w:r w:rsidR="000A4953">
        <w:t>SmartAuger</w:t>
      </w:r>
      <w:r w:rsidR="007C1557">
        <w:t xml:space="preserve"> filed</w:t>
      </w:r>
      <w:r w:rsidR="00DA7A00">
        <w:t xml:space="preserve"> reply comments</w:t>
      </w:r>
      <w:r w:rsidRPr="005131D3" w:rsidR="00D75177">
        <w:t>.</w:t>
      </w:r>
      <w:r>
        <w:rPr>
          <w:rStyle w:val="FootnoteReference"/>
        </w:rPr>
        <w:footnoteReference w:id="20"/>
      </w:r>
      <w:r w:rsidR="009A3E15">
        <w:t xml:space="preserve">  </w:t>
      </w:r>
      <w:r w:rsidR="00041AEB">
        <w:t xml:space="preserve">Commenters argue that </w:t>
      </w:r>
      <w:r w:rsidR="00F64D11">
        <w:t>underground utility strikes are a persistent risk a</w:t>
      </w:r>
      <w:r w:rsidR="00DC0686">
        <w:t>cross the construction and maintenance industries</w:t>
      </w:r>
      <w:r w:rsidR="00BA3670">
        <w:t xml:space="preserve">, and that tools </w:t>
      </w:r>
      <w:r w:rsidR="007F2D64">
        <w:t xml:space="preserve">such as </w:t>
      </w:r>
      <w:r w:rsidR="00D24AEA">
        <w:t xml:space="preserve">the GPR device that </w:t>
      </w:r>
      <w:r w:rsidR="007F2D64">
        <w:t>SmartAuger</w:t>
      </w:r>
      <w:r w:rsidR="009612C1">
        <w:t xml:space="preserve"> is developing</w:t>
      </w:r>
      <w:r w:rsidR="00BA3670">
        <w:t xml:space="preserve"> can reduce the likelihood of damage to critical facilities and support safer outcomes for crews and the public.</w:t>
      </w:r>
      <w:r>
        <w:rPr>
          <w:rStyle w:val="FootnoteReference"/>
        </w:rPr>
        <w:footnoteReference w:id="21"/>
      </w:r>
    </w:p>
    <w:p w:rsidR="005D611B" w:rsidP="005D611B" w14:paraId="52A9EE46" w14:textId="7169CBC7">
      <w:pPr>
        <w:pStyle w:val="Heading1"/>
      </w:pPr>
      <w:r>
        <w:t>Discussion</w:t>
      </w:r>
    </w:p>
    <w:p w:rsidR="0009298A" w:rsidP="0009298A" w14:paraId="51861F33" w14:textId="765F6B3E">
      <w:pPr>
        <w:pStyle w:val="ParaNum"/>
      </w:pPr>
      <w:bookmarkStart w:id="2" w:name="_Hlk99886015"/>
      <w:r w:rsidRPr="00004F3D">
        <w:t>We are authorized to grant a waiver under Section 1.3 of the Commission's rules if the petitioner demonstrates good cause for such action.</w:t>
      </w:r>
      <w:r>
        <w:rPr>
          <w:vertAlign w:val="superscript"/>
        </w:rPr>
        <w:footnoteReference w:id="22"/>
      </w:r>
      <w:r w:rsidRPr="00004F3D">
        <w:t xml:space="preserve">  Good cause, in turn, may be found and a waiver </w:t>
      </w:r>
      <w:r w:rsidRPr="00004F3D">
        <w:t>granted “where particular facts would make strict compliance inconsistent with the public interest.”</w:t>
      </w:r>
      <w:r>
        <w:rPr>
          <w:vertAlign w:val="superscript"/>
        </w:rPr>
        <w:footnoteReference w:id="23"/>
      </w:r>
      <w:r w:rsidRPr="00004F3D">
        <w:t xml:space="preserve">  To make this public interest determination, the waiver cannot undermine the purpose of the rule</w:t>
      </w:r>
      <w:r>
        <w:t>,</w:t>
      </w:r>
      <w:r w:rsidRPr="00004F3D">
        <w:t xml:space="preserve"> and there must be a stronger public interest benefit in granting the waiver than in applying the rule.</w:t>
      </w:r>
      <w:r>
        <w:rPr>
          <w:vertAlign w:val="superscript"/>
        </w:rPr>
        <w:footnoteReference w:id="24"/>
      </w:r>
    </w:p>
    <w:p w:rsidR="00273659" w:rsidP="00557E20" w14:paraId="47028B24" w14:textId="6EA765F4">
      <w:pPr>
        <w:pStyle w:val="ParaNum"/>
      </w:pPr>
      <w:r>
        <w:t xml:space="preserve">We conclude that, with appropriate operational and technical restrictions to prevent harmful interference to authorized services, granting </w:t>
      </w:r>
      <w:r>
        <w:t>SmartAuger’s</w:t>
      </w:r>
      <w:r>
        <w:t xml:space="preserve"> request for waiver does not undermine the purpose of the rules. </w:t>
      </w:r>
      <w:r w:rsidRPr="6F61F293" w:rsidR="0009298A">
        <w:t xml:space="preserve">The </w:t>
      </w:r>
      <w:r w:rsidRPr="00004F3D" w:rsidR="0009298A">
        <w:t xml:space="preserve">technical and operational standards </w:t>
      </w:r>
      <w:r w:rsidR="003F1A7B">
        <w:t xml:space="preserve">for UWB devices </w:t>
      </w:r>
      <w:r w:rsidRPr="00004F3D" w:rsidR="0009298A">
        <w:t xml:space="preserve">in Part 15 </w:t>
      </w:r>
      <w:r w:rsidR="002B17DA">
        <w:t>are designed</w:t>
      </w:r>
      <w:r w:rsidRPr="00004F3D" w:rsidR="0009298A">
        <w:t xml:space="preserve"> to ensure that </w:t>
      </w:r>
      <w:r w:rsidR="003F1A7B">
        <w:t>these</w:t>
      </w:r>
      <w:r w:rsidR="00DA7986">
        <w:t xml:space="preserve"> </w:t>
      </w:r>
      <w:r w:rsidR="00E96BF7">
        <w:t>devices</w:t>
      </w:r>
      <w:r w:rsidRPr="00004F3D" w:rsidR="0009298A">
        <w:t xml:space="preserve"> do not cause harmful interference to authorized radio services</w:t>
      </w:r>
      <w:r w:rsidR="00D02298">
        <w:t>.</w:t>
      </w:r>
      <w:r>
        <w:rPr>
          <w:rStyle w:val="FootnoteReference"/>
          <w:rFonts w:eastAsiaTheme="majorEastAsia"/>
        </w:rPr>
        <w:footnoteReference w:id="25"/>
      </w:r>
      <w:r w:rsidRPr="00004F3D" w:rsidR="0009298A">
        <w:t xml:space="preserve">  </w:t>
      </w:r>
      <w:r w:rsidR="0009298A">
        <w:t>As an initial matter,</w:t>
      </w:r>
      <w:r w:rsidR="004C72AB">
        <w:t xml:space="preserve"> we note that</w:t>
      </w:r>
      <w:r w:rsidR="0009298A">
        <w:t xml:space="preserve"> </w:t>
      </w:r>
      <w:r w:rsidR="00F960BB">
        <w:t>SmartAuger’s</w:t>
      </w:r>
      <w:r w:rsidR="00F960BB">
        <w:t xml:space="preserve"> GPR</w:t>
      </w:r>
      <w:r w:rsidR="0009298A">
        <w:t xml:space="preserve"> system wil</w:t>
      </w:r>
      <w:r w:rsidRPr="00E10B75" w:rsidR="0009298A">
        <w:t>l emit signals at very low power</w:t>
      </w:r>
      <w:r w:rsidR="00D02298">
        <w:t xml:space="preserve"> levels</w:t>
      </w:r>
      <w:r w:rsidR="004C72AB">
        <w:t>, consistent with the UWB rules</w:t>
      </w:r>
      <w:r w:rsidR="0009298A">
        <w:t>.</w:t>
      </w:r>
      <w:r>
        <w:rPr>
          <w:vertAlign w:val="superscript"/>
        </w:rPr>
        <w:footnoteReference w:id="26"/>
      </w:r>
      <w:r w:rsidRPr="6F61F293" w:rsidR="0009298A">
        <w:t xml:space="preserve"> </w:t>
      </w:r>
      <w:r w:rsidR="0009298A">
        <w:t xml:space="preserve"> </w:t>
      </w:r>
      <w:r w:rsidRPr="6F61F293" w:rsidR="0009298A">
        <w:t xml:space="preserve">The rules </w:t>
      </w:r>
      <w:r w:rsidR="009E3AFB">
        <w:t xml:space="preserve">require </w:t>
      </w:r>
      <w:r w:rsidR="00295437">
        <w:t>radiated emissions from GPR devices operating below 960 MHz</w:t>
      </w:r>
      <w:r w:rsidR="00D77806">
        <w:t xml:space="preserve"> to comply with the limits in section 15.209</w:t>
      </w:r>
      <w:r w:rsidR="00B9649C">
        <w:t xml:space="preserve">, </w:t>
      </w:r>
      <w:r w:rsidR="0009298A">
        <w:t xml:space="preserve">and </w:t>
      </w:r>
      <w:r w:rsidR="002F1CA7">
        <w:t>SmartAuger</w:t>
      </w:r>
      <w:r w:rsidR="0009298A">
        <w:t xml:space="preserve"> is not seeking a waiver of </w:t>
      </w:r>
      <w:r w:rsidR="007F3E8D">
        <w:t>that</w:t>
      </w:r>
      <w:r w:rsidR="0009298A">
        <w:t xml:space="preserve"> requirement.</w:t>
      </w:r>
      <w:r>
        <w:rPr>
          <w:rStyle w:val="FootnoteReference"/>
          <w:rFonts w:eastAsiaTheme="majorEastAsia"/>
        </w:rPr>
        <w:footnoteReference w:id="27"/>
      </w:r>
      <w:r w:rsidR="00C01ACC">
        <w:t xml:space="preserve">  Further, </w:t>
      </w:r>
      <w:r w:rsidR="000E7BAF">
        <w:t xml:space="preserve">to </w:t>
      </w:r>
      <w:r w:rsidR="00A55DF9">
        <w:t>provide additional protection to</w:t>
      </w:r>
      <w:r w:rsidR="000E7BAF">
        <w:t xml:space="preserve"> </w:t>
      </w:r>
      <w:r w:rsidR="00C44590">
        <w:t xml:space="preserve">radio astronomy and </w:t>
      </w:r>
      <w:r w:rsidR="00A55DF9">
        <w:t>aeronautical radio</w:t>
      </w:r>
      <w:r w:rsidR="00C44590">
        <w:t>navigation</w:t>
      </w:r>
      <w:r w:rsidR="000E7BAF">
        <w:t xml:space="preserve"> operations</w:t>
      </w:r>
      <w:r w:rsidR="00D5138C">
        <w:t>,</w:t>
      </w:r>
      <w:r w:rsidRPr="00D5138C" w:rsidR="00D5138C">
        <w:t xml:space="preserve"> </w:t>
      </w:r>
      <w:r w:rsidR="0017631A">
        <w:t xml:space="preserve">any </w:t>
      </w:r>
      <w:r w:rsidR="00D5138C">
        <w:t xml:space="preserve">emissions </w:t>
      </w:r>
      <w:r w:rsidR="0017631A">
        <w:t xml:space="preserve">into the </w:t>
      </w:r>
      <w:r w:rsidRPr="006B67CC" w:rsidR="0017631A">
        <w:t>322-335.4 MHz</w:t>
      </w:r>
      <w:r w:rsidR="0017631A">
        <w:t xml:space="preserve"> band </w:t>
      </w:r>
      <w:r w:rsidR="00D5138C">
        <w:t xml:space="preserve">from the </w:t>
      </w:r>
      <w:r w:rsidR="00D5138C">
        <w:t>SmartAuger</w:t>
      </w:r>
      <w:r w:rsidR="00D5138C">
        <w:t xml:space="preserve"> system </w:t>
      </w:r>
      <w:r w:rsidR="00487665">
        <w:t xml:space="preserve">must </w:t>
      </w:r>
      <w:r w:rsidR="00B37BEB">
        <w:t>be at least</w:t>
      </w:r>
      <w:r w:rsidR="00D5138C">
        <w:t xml:space="preserve"> 10 dB below the </w:t>
      </w:r>
      <w:r w:rsidR="001C3F8B">
        <w:t xml:space="preserve">limit </w:t>
      </w:r>
      <w:r w:rsidR="00710BD3">
        <w:t>for the band as set forth in</w:t>
      </w:r>
      <w:r w:rsidR="00D5138C">
        <w:t xml:space="preserve"> section 15.209 </w:t>
      </w:r>
      <w:r w:rsidR="00710BD3">
        <w:t>of the rules</w:t>
      </w:r>
      <w:r w:rsidR="000E7BAF">
        <w:t>.</w:t>
      </w:r>
      <w:r>
        <w:rPr>
          <w:rStyle w:val="FootnoteReference"/>
        </w:rPr>
        <w:footnoteReference w:id="28"/>
      </w:r>
    </w:p>
    <w:p w:rsidR="0007230F" w:rsidP="00A45A6A" w14:paraId="1DF694AC" w14:textId="59069EB9">
      <w:pPr>
        <w:pStyle w:val="ParaNum"/>
      </w:pPr>
      <w:r>
        <w:t xml:space="preserve">The Commission has previously granted waivers of </w:t>
      </w:r>
      <w:r w:rsidR="00E158D1">
        <w:t xml:space="preserve">the </w:t>
      </w:r>
      <w:r w:rsidR="002954E5">
        <w:t xml:space="preserve">section 15.503(d) </w:t>
      </w:r>
      <w:r w:rsidR="00F362B5">
        <w:t xml:space="preserve">UWB </w:t>
      </w:r>
      <w:r w:rsidR="005524BD">
        <w:t>definition</w:t>
      </w:r>
      <w:r w:rsidR="002954E5">
        <w:t xml:space="preserve"> </w:t>
      </w:r>
      <w:r w:rsidR="00716870">
        <w:t xml:space="preserve">for </w:t>
      </w:r>
      <w:r w:rsidR="001913EB">
        <w:t xml:space="preserve">GPR </w:t>
      </w:r>
      <w:r w:rsidR="002954E5">
        <w:t>devices that</w:t>
      </w:r>
      <w:r w:rsidR="00BB27DF">
        <w:t xml:space="preserve"> us</w:t>
      </w:r>
      <w:r w:rsidR="00732DC8">
        <w:t>e</w:t>
      </w:r>
      <w:r w:rsidR="00B6234E">
        <w:t xml:space="preserve"> stepped frequency modulation, finding that</w:t>
      </w:r>
      <w:r w:rsidR="00732DC8">
        <w:t xml:space="preserve"> this type of modulation scheme is </w:t>
      </w:r>
      <w:r w:rsidR="00E04AF1">
        <w:t xml:space="preserve">functionally equivalent </w:t>
      </w:r>
      <w:r w:rsidR="00991892">
        <w:t xml:space="preserve">to </w:t>
      </w:r>
      <w:r w:rsidR="003601C3">
        <w:t xml:space="preserve">the </w:t>
      </w:r>
      <w:r w:rsidR="004F35BA">
        <w:t>impulse type</w:t>
      </w:r>
      <w:r w:rsidR="003601C3">
        <w:t xml:space="preserve"> envisioned in the rules</w:t>
      </w:r>
      <w:r w:rsidR="001E4112">
        <w:t xml:space="preserve"> </w:t>
      </w:r>
      <w:r w:rsidR="00D87368">
        <w:t>in that it uses trans</w:t>
      </w:r>
      <w:r w:rsidR="004E314A">
        <w:t>ient signals spread across a wide bandwidth</w:t>
      </w:r>
      <w:r w:rsidR="001E4112">
        <w:t>.</w:t>
      </w:r>
      <w:r>
        <w:rPr>
          <w:rStyle w:val="FootnoteReference"/>
        </w:rPr>
        <w:footnoteReference w:id="29"/>
      </w:r>
      <w:r w:rsidR="003214BD">
        <w:t xml:space="preserve">  For th</w:t>
      </w:r>
      <w:r w:rsidR="00294E4D">
        <w:t>is</w:t>
      </w:r>
      <w:r w:rsidR="003214BD">
        <w:t xml:space="preserve"> reason, the risk of interference</w:t>
      </w:r>
      <w:r w:rsidR="00D314E5">
        <w:t xml:space="preserve"> from UWB GPR devices using </w:t>
      </w:r>
      <w:r w:rsidR="0031455A">
        <w:t>stepped frequency</w:t>
      </w:r>
      <w:r w:rsidR="00D314E5">
        <w:t xml:space="preserve"> modulation is no greater than from </w:t>
      </w:r>
      <w:r w:rsidR="004474C4">
        <w:t>U</w:t>
      </w:r>
      <w:r w:rsidR="003A2B61">
        <w:t>WB GPR devices</w:t>
      </w:r>
      <w:r w:rsidR="00EA35B8">
        <w:t xml:space="preserve"> that comply with the rules</w:t>
      </w:r>
      <w:r w:rsidR="003A2B61">
        <w:t>.</w:t>
      </w:r>
      <w:r>
        <w:rPr>
          <w:rStyle w:val="FootnoteReference"/>
        </w:rPr>
        <w:footnoteReference w:id="30"/>
      </w:r>
      <w:r w:rsidR="00AA0593">
        <w:t xml:space="preserve">  </w:t>
      </w:r>
      <w:r w:rsidR="00AE49DC">
        <w:t xml:space="preserve">Similarly, the Commission has previously granted waivers of section 15.31(c) </w:t>
      </w:r>
      <w:r w:rsidRPr="00C3736C" w:rsidR="00AE49DC">
        <w:t>and 15.521(d)</w:t>
      </w:r>
      <w:r w:rsidR="00AE49DC">
        <w:t xml:space="preserve"> for UWB GPR devices that use stepped frequency modulation</w:t>
      </w:r>
      <w:r w:rsidR="00266C50">
        <w:t>,</w:t>
      </w:r>
      <w:r w:rsidRPr="00F0635D" w:rsidR="00F0635D">
        <w:t xml:space="preserve"> </w:t>
      </w:r>
      <w:r w:rsidR="00C018B8">
        <w:t xml:space="preserve">finding that </w:t>
      </w:r>
      <w:r w:rsidR="00F0635D">
        <w:t>allowing stepped frequency devices to be measured with the stepping function on would not increase the</w:t>
      </w:r>
      <w:r w:rsidR="00C018B8">
        <w:t xml:space="preserve"> </w:t>
      </w:r>
      <w:r w:rsidR="00F0635D">
        <w:t xml:space="preserve">interference potential of </w:t>
      </w:r>
      <w:r w:rsidR="00BE592B">
        <w:t>a</w:t>
      </w:r>
      <w:r w:rsidR="00F0635D">
        <w:t xml:space="preserve"> device above that of impulse UWB devices if all other emission limits and</w:t>
      </w:r>
      <w:r w:rsidR="00C018B8">
        <w:t xml:space="preserve"> </w:t>
      </w:r>
      <w:r w:rsidR="00F0635D">
        <w:t>technical requirements are met</w:t>
      </w:r>
      <w:r w:rsidR="00C018B8">
        <w:t>.</w:t>
      </w:r>
      <w:r>
        <w:rPr>
          <w:rStyle w:val="FootnoteReference"/>
        </w:rPr>
        <w:footnoteReference w:id="31"/>
      </w:r>
      <w:r w:rsidR="00760C76">
        <w:t xml:space="preserve">  </w:t>
      </w:r>
      <w:r w:rsidR="00B537B6">
        <w:t xml:space="preserve">In these </w:t>
      </w:r>
      <w:r w:rsidR="005E6EB8">
        <w:t>respects</w:t>
      </w:r>
      <w:r w:rsidR="00B537B6">
        <w:t>, t</w:t>
      </w:r>
      <w:r w:rsidR="00760C76">
        <w:t xml:space="preserve">he </w:t>
      </w:r>
      <w:r w:rsidR="009A513D">
        <w:t>SmartAuger</w:t>
      </w:r>
      <w:r w:rsidR="009A513D">
        <w:t xml:space="preserve"> stepped frequency UWB GPR device</w:t>
      </w:r>
      <w:r w:rsidR="00B537B6">
        <w:t xml:space="preserve"> is functionally equivalent to </w:t>
      </w:r>
      <w:r w:rsidR="003B2106">
        <w:t xml:space="preserve">other </w:t>
      </w:r>
      <w:r w:rsidR="000B215A">
        <w:t xml:space="preserve">UWB </w:t>
      </w:r>
      <w:r w:rsidR="00B537B6">
        <w:t>devices for which the Commission</w:t>
      </w:r>
      <w:r w:rsidR="005E6EB8">
        <w:t xml:space="preserve"> has granted waivers</w:t>
      </w:r>
      <w:r w:rsidR="00473A94">
        <w:t>,</w:t>
      </w:r>
      <w:r w:rsidR="001F46A1">
        <w:t xml:space="preserve"> and </w:t>
      </w:r>
      <w:r w:rsidR="000D3BA9">
        <w:t xml:space="preserve">grant of this waiver </w:t>
      </w:r>
      <w:r w:rsidR="001F46A1">
        <w:t xml:space="preserve">will not undermine the </w:t>
      </w:r>
      <w:r w:rsidR="00506364">
        <w:t>purpose</w:t>
      </w:r>
      <w:r w:rsidR="001F46A1">
        <w:t xml:space="preserve"> of the rules</w:t>
      </w:r>
      <w:r w:rsidR="005E6EB8">
        <w:t>.</w:t>
      </w:r>
    </w:p>
    <w:p w:rsidR="00536868" w:rsidP="00971ABB" w14:paraId="2598220F" w14:textId="1886A22C">
      <w:pPr>
        <w:pStyle w:val="ParaNum"/>
        <w:widowControl/>
      </w:pPr>
      <w:r>
        <w:t xml:space="preserve">As suggested by </w:t>
      </w:r>
      <w:r>
        <w:t>SmartAuger</w:t>
      </w:r>
      <w:r>
        <w:t xml:space="preserve">, we condition the grant of this waiver to </w:t>
      </w:r>
      <w:r w:rsidR="0069766F">
        <w:t xml:space="preserve">further </w:t>
      </w:r>
      <w:r w:rsidR="001101D7">
        <w:t xml:space="preserve">reduce </w:t>
      </w:r>
      <w:r w:rsidR="00863E32">
        <w:t>any</w:t>
      </w:r>
      <w:r w:rsidR="0069766F">
        <w:t xml:space="preserve"> likelihood of harmful interference to authorized radio services.</w:t>
      </w:r>
      <w:r>
        <w:rPr>
          <w:rStyle w:val="FootnoteReference"/>
        </w:rPr>
        <w:footnoteReference w:id="32"/>
      </w:r>
      <w:r w:rsidR="0069766F">
        <w:t xml:space="preserve">  </w:t>
      </w:r>
      <w:r w:rsidR="00ED528A">
        <w:t xml:space="preserve">We require the </w:t>
      </w:r>
      <w:r w:rsidR="00ED528A">
        <w:t>SmartAuger</w:t>
      </w:r>
      <w:r w:rsidR="00ED528A">
        <w:t xml:space="preserve"> device </w:t>
      </w:r>
      <w:r w:rsidR="005A7B30">
        <w:t xml:space="preserve">to </w:t>
      </w:r>
      <w:r w:rsidR="00ED528A">
        <w:t>be</w:t>
      </w:r>
      <w:r w:rsidRPr="008F1555" w:rsidR="008F1555">
        <w:t xml:space="preserve"> certified by the Commission via an accredited Telecommunication Certification Body,</w:t>
      </w:r>
      <w:r w:rsidR="0001058D">
        <w:t xml:space="preserve"> and we specify the </w:t>
      </w:r>
      <w:r w:rsidR="00B14E59">
        <w:t>testing requirement</w:t>
      </w:r>
      <w:r w:rsidR="00432054">
        <w:t>s</w:t>
      </w:r>
      <w:r w:rsidR="00D336B7">
        <w:t xml:space="preserve"> and </w:t>
      </w:r>
      <w:r w:rsidR="0001058D">
        <w:t xml:space="preserve">operational parameters </w:t>
      </w:r>
      <w:r w:rsidR="00D336B7">
        <w:t>for</w:t>
      </w:r>
      <w:r w:rsidR="0001058D">
        <w:t xml:space="preserve"> the device, including</w:t>
      </w:r>
      <w:r w:rsidR="00021524">
        <w:t xml:space="preserve"> 10 dB lower emission limits in the </w:t>
      </w:r>
      <w:r w:rsidRPr="00021524" w:rsidR="00021524">
        <w:t>322-335.4 MHz</w:t>
      </w:r>
      <w:r w:rsidR="00021524">
        <w:t xml:space="preserve"> band to provide additional protection to </w:t>
      </w:r>
      <w:r w:rsidR="008343A7">
        <w:t xml:space="preserve">radio astronomy and </w:t>
      </w:r>
      <w:r w:rsidR="00021524">
        <w:t>aeronautical radio</w:t>
      </w:r>
      <w:r w:rsidR="008343A7">
        <w:t>navigation</w:t>
      </w:r>
      <w:r w:rsidR="00021524">
        <w:t xml:space="preserve"> operations.</w:t>
      </w:r>
      <w:r w:rsidR="00191287">
        <w:t xml:space="preserve">  </w:t>
      </w:r>
      <w:r w:rsidR="00E53CE0">
        <w:t>As discussed above</w:t>
      </w:r>
      <w:r w:rsidR="0089004F">
        <w:t>, w</w:t>
      </w:r>
      <w:r w:rsidR="00A45A6A">
        <w:t>e</w:t>
      </w:r>
      <w:r w:rsidR="00E61CE2">
        <w:t xml:space="preserve"> </w:t>
      </w:r>
      <w:r w:rsidR="00D76A2B">
        <w:t>will allow</w:t>
      </w:r>
      <w:r w:rsidR="00E61CE2">
        <w:t xml:space="preserve"> </w:t>
      </w:r>
      <w:r w:rsidR="00423330">
        <w:t>emission</w:t>
      </w:r>
      <w:r w:rsidR="00E61CE2">
        <w:t xml:space="preserve"> measurements </w:t>
      </w:r>
      <w:r w:rsidR="00B516AC">
        <w:t>to</w:t>
      </w:r>
      <w:r w:rsidR="00E61CE2">
        <w:t xml:space="preserve"> be conducted with the stepping function active</w:t>
      </w:r>
      <w:r w:rsidR="00B516AC">
        <w:t xml:space="preserve">, and </w:t>
      </w:r>
      <w:r w:rsidR="00265156">
        <w:t xml:space="preserve">we </w:t>
      </w:r>
      <w:r w:rsidR="009835C3">
        <w:t xml:space="preserve">will require that these </w:t>
      </w:r>
      <w:r w:rsidR="00A87022">
        <w:t xml:space="preserve">measurements </w:t>
      </w:r>
      <w:r w:rsidR="00265156">
        <w:t>to</w:t>
      </w:r>
      <w:r w:rsidR="00A87022">
        <w:t xml:space="preserve"> be made</w:t>
      </w:r>
      <w:r w:rsidR="00E61CE2">
        <w:t xml:space="preserve"> across the full tuning range of the device and for all possible frequency step sizes implemented by the device.</w:t>
      </w:r>
      <w:r>
        <w:rPr>
          <w:rStyle w:val="FootnoteReference"/>
        </w:rPr>
        <w:footnoteReference w:id="33"/>
      </w:r>
      <w:r w:rsidR="009A522C">
        <w:t xml:space="preserve">  </w:t>
      </w:r>
      <w:r w:rsidR="00191287">
        <w:t>We also require that the device transmit only when in contact with the ground</w:t>
      </w:r>
      <w:r w:rsidR="00B14E59">
        <w:t xml:space="preserve"> or another surface</w:t>
      </w:r>
      <w:r w:rsidR="005E275C">
        <w:t xml:space="preserve"> being measured or evaluated.</w:t>
      </w:r>
      <w:r>
        <w:rPr>
          <w:rStyle w:val="FootnoteReference"/>
        </w:rPr>
        <w:footnoteReference w:id="34"/>
      </w:r>
      <w:r w:rsidR="00B309D7">
        <w:t xml:space="preserve">  </w:t>
      </w:r>
    </w:p>
    <w:p w:rsidR="0009298A" w:rsidRPr="00990DD0" w:rsidP="0009298A" w14:paraId="31CAEE0D" w14:textId="24A2EDE7">
      <w:pPr>
        <w:pStyle w:val="ParaNum"/>
        <w:widowControl/>
        <w:tabs>
          <w:tab w:val="num" w:pos="990"/>
        </w:tabs>
      </w:pPr>
      <w:r w:rsidRPr="00990DD0">
        <w:t xml:space="preserve">Finally, considering the </w:t>
      </w:r>
      <w:r w:rsidR="00D30B39">
        <w:t xml:space="preserve">advantages of the </w:t>
      </w:r>
      <w:r w:rsidR="00D30B39">
        <w:t>SmartAuger</w:t>
      </w:r>
      <w:r w:rsidR="00D30B39">
        <w:t xml:space="preserve"> device</w:t>
      </w:r>
      <w:r w:rsidRPr="00990DD0">
        <w:t xml:space="preserve"> and the low risk of harmful interference, we find a stronger public interest benefit in granting the waiver than in applying the rule.  </w:t>
      </w:r>
      <w:r w:rsidRPr="006B6608" w:rsidR="006B6608">
        <w:t xml:space="preserve">As </w:t>
      </w:r>
      <w:r w:rsidRPr="006B6608" w:rsidR="006B6608">
        <w:t>SmartAuger</w:t>
      </w:r>
      <w:r w:rsidRPr="006B6608" w:rsidR="006B6608">
        <w:t xml:space="preserve"> indicates, inadvertent damage to underground utilities is a persistent problem, with disruptions caused by inaccurate or unavailable GPR data resulting in significant costs and risks to life, property, and the environment.</w:t>
      </w:r>
      <w:r>
        <w:rPr>
          <w:rStyle w:val="FootnoteReference"/>
        </w:rPr>
        <w:footnoteReference w:id="35"/>
      </w:r>
      <w:r w:rsidRPr="006B6608" w:rsidR="006B6608">
        <w:t xml:space="preserve">  The </w:t>
      </w:r>
      <w:r w:rsidRPr="006B6608" w:rsidR="006B6608">
        <w:t>SmartAuger</w:t>
      </w:r>
      <w:r w:rsidRPr="006B6608" w:rsidR="006B6608">
        <w:t xml:space="preserve"> device will reduce safety risks, financial exposure, and costly delays by providing timely and vital information to frontline construction and utility workers. </w:t>
      </w:r>
      <w:r w:rsidR="0092680D">
        <w:t>It</w:t>
      </w:r>
      <w:r w:rsidRPr="006B6608" w:rsidR="006B6608">
        <w:t xml:space="preserve"> will improve the accuracy, accessibility, and timeliness of subsurface utility detection by automating the interpretation of GPR data and presenting results in a simplified, visual format, giving professionals trained in construction, excavation, and utility installation and maintenance a better tool for avoiding damaging underground facilities. It will </w:t>
      </w:r>
      <w:r w:rsidR="0093563C">
        <w:t xml:space="preserve">allow </w:t>
      </w:r>
      <w:r w:rsidR="00A90F3A">
        <w:t xml:space="preserve">operators of the </w:t>
      </w:r>
      <w:r w:rsidR="00A90F3A">
        <w:t>SmartAuger</w:t>
      </w:r>
      <w:r w:rsidR="00A90F3A">
        <w:t xml:space="preserve"> device</w:t>
      </w:r>
      <w:r w:rsidRPr="006B6608" w:rsidR="006B6608">
        <w:t xml:space="preserve"> to more safely, efficiently, and effectively complete </w:t>
      </w:r>
      <w:r w:rsidR="00A90F3A">
        <w:t xml:space="preserve">excavation and construction </w:t>
      </w:r>
      <w:r w:rsidRPr="006B6608" w:rsidR="006B6608">
        <w:t xml:space="preserve">projects and </w:t>
      </w:r>
      <w:r w:rsidR="00E2067D">
        <w:t xml:space="preserve">thus </w:t>
      </w:r>
      <w:r w:rsidR="002711F8">
        <w:t xml:space="preserve">will </w:t>
      </w:r>
      <w:r w:rsidRPr="006B6608" w:rsidR="006B6608">
        <w:t>benefit the public at large.</w:t>
      </w:r>
      <w:r w:rsidR="00ED1EAF">
        <w:t xml:space="preserve"> </w:t>
      </w:r>
    </w:p>
    <w:p w:rsidR="0009298A" w:rsidP="0009298A" w14:paraId="511B2843" w14:textId="2A19CBAD">
      <w:pPr>
        <w:pStyle w:val="ParaNum"/>
        <w:widowControl/>
        <w:tabs>
          <w:tab w:val="num" w:pos="990"/>
        </w:tabs>
      </w:pPr>
      <w:r w:rsidRPr="001A401D">
        <w:rPr>
          <w:snapToGrid/>
          <w:color w:val="000000"/>
          <w:kern w:val="0"/>
        </w:rPr>
        <w:t xml:space="preserve">For these reasons, we conclude that there is good cause to waive </w:t>
      </w:r>
      <w:r w:rsidR="000E7461">
        <w:t xml:space="preserve">sections </w:t>
      </w:r>
      <w:r w:rsidRPr="009D497A" w:rsidR="009D497A">
        <w:t xml:space="preserve">15.503(d), 15.31(c), </w:t>
      </w:r>
      <w:r w:rsidRPr="000E52E3" w:rsidR="009D497A">
        <w:t>and 15.521(d)</w:t>
      </w:r>
      <w:r>
        <w:t xml:space="preserve"> of the Commission’s rules to permit the certification, marketing, and operation of </w:t>
      </w:r>
      <w:r w:rsidR="009D497A">
        <w:t>SmartAuger’s</w:t>
      </w:r>
      <w:r w:rsidR="009D497A">
        <w:t xml:space="preserve"> UWB GPR</w:t>
      </w:r>
      <w:r>
        <w:t xml:space="preserve"> device.  This waiver is </w:t>
      </w:r>
      <w:r w:rsidR="00622823">
        <w:t>subject to</w:t>
      </w:r>
      <w:r>
        <w:t xml:space="preserve"> the following conditions:</w:t>
      </w:r>
    </w:p>
    <w:p w:rsidR="00A22905" w:rsidRPr="00971ABB" w:rsidP="00971ABB" w14:paraId="265850E7" w14:textId="0797BEBC">
      <w:pPr>
        <w:pStyle w:val="ListParagraph"/>
        <w:numPr>
          <w:ilvl w:val="0"/>
          <w:numId w:val="3"/>
        </w:numPr>
        <w:spacing w:after="120" w:line="240" w:lineRule="auto"/>
        <w:contextualSpacing w:val="0"/>
        <w:rPr>
          <w:rFonts w:ascii="Times New Roman" w:hAnsi="Times New Roman"/>
          <w:sz w:val="22"/>
          <w:szCs w:val="22"/>
        </w:rPr>
      </w:pPr>
      <w:r w:rsidRPr="00971ABB">
        <w:rPr>
          <w:rFonts w:ascii="Times New Roman" w:hAnsi="Times New Roman"/>
          <w:sz w:val="22"/>
          <w:szCs w:val="22"/>
        </w:rPr>
        <w:t>SmartAuger’s</w:t>
      </w:r>
      <w:r w:rsidRPr="00971ABB" w:rsidR="0009298A">
        <w:rPr>
          <w:rFonts w:ascii="Times New Roman" w:hAnsi="Times New Roman"/>
          <w:sz w:val="22"/>
          <w:szCs w:val="22"/>
        </w:rPr>
        <w:t xml:space="preserve"> device shall be certified by the Commission via an accredited Telecommunication Certification Body, and the certification application shall include a copy of this waiver order</w:t>
      </w:r>
      <w:r w:rsidRPr="00971ABB" w:rsidR="00820812">
        <w:rPr>
          <w:rFonts w:ascii="Times New Roman" w:hAnsi="Times New Roman"/>
          <w:sz w:val="22"/>
          <w:szCs w:val="22"/>
        </w:rPr>
        <w:t>.</w:t>
      </w:r>
    </w:p>
    <w:p w:rsidR="00A22905" w:rsidRPr="00971ABB" w:rsidP="00971ABB" w14:paraId="390C9044" w14:textId="37FD1C7E">
      <w:pPr>
        <w:pStyle w:val="ListParagraph"/>
        <w:numPr>
          <w:ilvl w:val="0"/>
          <w:numId w:val="3"/>
        </w:numPr>
        <w:spacing w:after="120" w:line="240" w:lineRule="auto"/>
        <w:contextualSpacing w:val="0"/>
        <w:rPr>
          <w:rFonts w:ascii="Times New Roman" w:hAnsi="Times New Roman"/>
          <w:sz w:val="22"/>
          <w:szCs w:val="22"/>
        </w:rPr>
      </w:pPr>
      <w:r w:rsidRPr="00971ABB">
        <w:rPr>
          <w:rFonts w:ascii="Times New Roman" w:hAnsi="Times New Roman"/>
          <w:sz w:val="22"/>
          <w:szCs w:val="22"/>
        </w:rPr>
        <w:t>SmartAuger’s</w:t>
      </w:r>
      <w:r w:rsidRPr="00971ABB">
        <w:rPr>
          <w:rFonts w:ascii="Times New Roman" w:hAnsi="Times New Roman"/>
          <w:sz w:val="22"/>
          <w:szCs w:val="22"/>
        </w:rPr>
        <w:t xml:space="preserve"> device</w:t>
      </w:r>
      <w:r w:rsidRPr="00971ABB">
        <w:rPr>
          <w:rFonts w:ascii="Times New Roman" w:hAnsi="Times New Roman"/>
          <w:sz w:val="22"/>
          <w:szCs w:val="22"/>
        </w:rPr>
        <w:t xml:space="preserve"> shall operate with stepped-frequency continuous-wave (CW) modulation and shall step in 5-megahertz increments over 170-670 MHz.</w:t>
      </w:r>
    </w:p>
    <w:p w:rsidR="00A22905" w:rsidRPr="00971ABB" w:rsidP="00971ABB" w14:paraId="60AA86D6" w14:textId="7CF4BEA7">
      <w:pPr>
        <w:pStyle w:val="ListParagraph"/>
        <w:numPr>
          <w:ilvl w:val="0"/>
          <w:numId w:val="3"/>
        </w:numPr>
        <w:spacing w:after="120" w:line="240" w:lineRule="auto"/>
        <w:contextualSpacing w:val="0"/>
        <w:rPr>
          <w:rFonts w:ascii="Times New Roman" w:hAnsi="Times New Roman"/>
          <w:sz w:val="22"/>
          <w:szCs w:val="22"/>
        </w:rPr>
      </w:pPr>
      <w:r w:rsidRPr="00971ABB">
        <w:rPr>
          <w:rFonts w:ascii="Times New Roman" w:hAnsi="Times New Roman"/>
          <w:sz w:val="22"/>
          <w:szCs w:val="22"/>
        </w:rPr>
        <w:t xml:space="preserve">Emissions from </w:t>
      </w:r>
      <w:r w:rsidRPr="00971ABB" w:rsidR="00435CA4">
        <w:rPr>
          <w:rFonts w:ascii="Times New Roman" w:hAnsi="Times New Roman"/>
          <w:sz w:val="22"/>
          <w:szCs w:val="22"/>
        </w:rPr>
        <w:t>SmartAuger’s</w:t>
      </w:r>
      <w:r w:rsidRPr="00971ABB" w:rsidR="00435CA4">
        <w:rPr>
          <w:rFonts w:ascii="Times New Roman" w:hAnsi="Times New Roman"/>
          <w:sz w:val="22"/>
          <w:szCs w:val="22"/>
        </w:rPr>
        <w:t xml:space="preserve"> device</w:t>
      </w:r>
      <w:r w:rsidRPr="00971ABB">
        <w:rPr>
          <w:rFonts w:ascii="Times New Roman" w:hAnsi="Times New Roman"/>
          <w:sz w:val="22"/>
          <w:szCs w:val="22"/>
        </w:rPr>
        <w:t xml:space="preserve"> in the 322-335.4 MHz band shall not exceed 10 dB below the limit in Section 15.209(a), measured using a CISPR quasi-peak detector as specified in 15.209(d).</w:t>
      </w:r>
    </w:p>
    <w:p w:rsidR="0009298A" w:rsidRPr="00971ABB" w:rsidP="00971ABB" w14:paraId="1E1CBF20" w14:textId="3571992C">
      <w:pPr>
        <w:pStyle w:val="ListParagraph"/>
        <w:numPr>
          <w:ilvl w:val="0"/>
          <w:numId w:val="3"/>
        </w:numPr>
        <w:spacing w:after="120" w:line="240" w:lineRule="auto"/>
        <w:contextualSpacing w:val="0"/>
        <w:rPr>
          <w:rFonts w:ascii="Times New Roman" w:hAnsi="Times New Roman"/>
          <w:sz w:val="22"/>
          <w:szCs w:val="22"/>
        </w:rPr>
      </w:pPr>
      <w:r w:rsidRPr="00971ABB">
        <w:rPr>
          <w:rFonts w:ascii="Times New Roman" w:hAnsi="Times New Roman"/>
          <w:sz w:val="22"/>
          <w:szCs w:val="22"/>
        </w:rPr>
        <w:t>The</w:t>
      </w:r>
      <w:r w:rsidRPr="00971ABB" w:rsidR="00A22905">
        <w:rPr>
          <w:rFonts w:ascii="Times New Roman" w:hAnsi="Times New Roman"/>
          <w:sz w:val="22"/>
          <w:szCs w:val="22"/>
        </w:rPr>
        <w:t xml:space="preserve"> maximum frequency step duration shall be 280 microseconds.</w:t>
      </w:r>
    </w:p>
    <w:p w:rsidR="0009669C" w:rsidRPr="00971ABB" w:rsidP="00971ABB" w14:paraId="5A30DA3D" w14:textId="3105AF5C">
      <w:pPr>
        <w:pStyle w:val="ListParagraph"/>
        <w:numPr>
          <w:ilvl w:val="0"/>
          <w:numId w:val="3"/>
        </w:numPr>
        <w:spacing w:after="120" w:line="240" w:lineRule="auto"/>
        <w:contextualSpacing w:val="0"/>
        <w:rPr>
          <w:rFonts w:ascii="Times New Roman" w:hAnsi="Times New Roman"/>
          <w:sz w:val="22"/>
          <w:szCs w:val="22"/>
        </w:rPr>
      </w:pPr>
      <w:r w:rsidRPr="00971ABB">
        <w:rPr>
          <w:rFonts w:ascii="Times New Roman" w:hAnsi="Times New Roman"/>
          <w:sz w:val="22"/>
          <w:szCs w:val="22"/>
        </w:rPr>
        <w:t>SmartAuger</w:t>
      </w:r>
      <w:r w:rsidRPr="00971ABB" w:rsidR="00A27343">
        <w:rPr>
          <w:rFonts w:ascii="Times New Roman" w:hAnsi="Times New Roman"/>
          <w:sz w:val="22"/>
          <w:szCs w:val="22"/>
        </w:rPr>
        <w:t>’s</w:t>
      </w:r>
      <w:r w:rsidRPr="00971ABB" w:rsidR="00A27343">
        <w:rPr>
          <w:rFonts w:ascii="Times New Roman" w:hAnsi="Times New Roman"/>
          <w:sz w:val="22"/>
          <w:szCs w:val="22"/>
        </w:rPr>
        <w:t xml:space="preserve"> device</w:t>
      </w:r>
      <w:r w:rsidRPr="00971ABB">
        <w:rPr>
          <w:rFonts w:ascii="Times New Roman" w:hAnsi="Times New Roman"/>
          <w:sz w:val="22"/>
          <w:szCs w:val="22"/>
        </w:rPr>
        <w:t xml:space="preserve"> shall include a feature to ensure that it will only transmit when placed in full contact with the ground or surface being measured and/or evaluated and shall cease transmission when that contact condition is not met.</w:t>
      </w:r>
    </w:p>
    <w:p w:rsidR="0009669C" w:rsidRPr="00971ABB" w:rsidP="00971ABB" w14:paraId="3C7E6802" w14:textId="00083041">
      <w:pPr>
        <w:pStyle w:val="ListParagraph"/>
        <w:numPr>
          <w:ilvl w:val="0"/>
          <w:numId w:val="3"/>
        </w:numPr>
        <w:spacing w:after="120" w:line="240" w:lineRule="auto"/>
        <w:contextualSpacing w:val="0"/>
        <w:rPr>
          <w:rFonts w:ascii="Times New Roman" w:hAnsi="Times New Roman"/>
          <w:sz w:val="22"/>
          <w:szCs w:val="22"/>
        </w:rPr>
      </w:pPr>
      <w:r w:rsidRPr="00971ABB">
        <w:rPr>
          <w:rFonts w:ascii="Times New Roman" w:hAnsi="Times New Roman"/>
          <w:sz w:val="22"/>
          <w:szCs w:val="22"/>
        </w:rPr>
        <w:t xml:space="preserve">For certification testing, the measurement of emissions from </w:t>
      </w:r>
      <w:r w:rsidRPr="00971ABB" w:rsidR="00435CA4">
        <w:rPr>
          <w:rFonts w:ascii="Times New Roman" w:hAnsi="Times New Roman"/>
          <w:sz w:val="22"/>
          <w:szCs w:val="22"/>
        </w:rPr>
        <w:t>the device</w:t>
      </w:r>
      <w:r w:rsidRPr="00971ABB">
        <w:rPr>
          <w:rFonts w:ascii="Times New Roman" w:hAnsi="Times New Roman"/>
          <w:sz w:val="22"/>
          <w:szCs w:val="22"/>
        </w:rPr>
        <w:t xml:space="preserve"> </w:t>
      </w:r>
      <w:r w:rsidRPr="00971ABB" w:rsidR="00D5175B">
        <w:rPr>
          <w:rFonts w:ascii="Times New Roman" w:hAnsi="Times New Roman"/>
          <w:sz w:val="22"/>
          <w:szCs w:val="22"/>
        </w:rPr>
        <w:t>may</w:t>
      </w:r>
      <w:r w:rsidRPr="00971ABB">
        <w:rPr>
          <w:rFonts w:ascii="Times New Roman" w:hAnsi="Times New Roman"/>
          <w:sz w:val="22"/>
          <w:szCs w:val="22"/>
        </w:rPr>
        <w:t xml:space="preserve"> be conducted with the stepping function active across the full tuning range and for all possible frequency step sizes implemented by the device.</w:t>
      </w:r>
    </w:p>
    <w:p w:rsidR="0009669C" w:rsidRPr="00971ABB" w:rsidP="00971ABB" w14:paraId="4E07D1AA" w14:textId="3CD73DEA">
      <w:pPr>
        <w:pStyle w:val="ListParagraph"/>
        <w:numPr>
          <w:ilvl w:val="0"/>
          <w:numId w:val="3"/>
        </w:numPr>
        <w:spacing w:after="120" w:line="240" w:lineRule="auto"/>
        <w:contextualSpacing w:val="0"/>
        <w:rPr>
          <w:rFonts w:ascii="Times New Roman" w:hAnsi="Times New Roman"/>
          <w:sz w:val="22"/>
          <w:szCs w:val="22"/>
        </w:rPr>
      </w:pPr>
      <w:r w:rsidRPr="00971ABB">
        <w:rPr>
          <w:rFonts w:ascii="Times New Roman" w:hAnsi="Times New Roman"/>
          <w:sz w:val="22"/>
          <w:szCs w:val="22"/>
        </w:rPr>
        <w:t xml:space="preserve">The </w:t>
      </w:r>
      <w:r w:rsidRPr="00971ABB">
        <w:rPr>
          <w:rFonts w:ascii="Times New Roman" w:hAnsi="Times New Roman"/>
          <w:sz w:val="22"/>
          <w:szCs w:val="22"/>
        </w:rPr>
        <w:t>SmartAuger</w:t>
      </w:r>
      <w:r w:rsidRPr="00971ABB">
        <w:rPr>
          <w:rFonts w:ascii="Times New Roman" w:hAnsi="Times New Roman"/>
          <w:sz w:val="22"/>
          <w:szCs w:val="22"/>
        </w:rPr>
        <w:t xml:space="preserve"> device</w:t>
      </w:r>
      <w:r w:rsidRPr="00971ABB">
        <w:rPr>
          <w:rFonts w:ascii="Times New Roman" w:hAnsi="Times New Roman"/>
          <w:sz w:val="22"/>
          <w:szCs w:val="22"/>
        </w:rPr>
        <w:t xml:space="preserve"> shall comply with all other technical and operational requirements applicable to UWB GPR devices under Part 15, Subpart F.</w:t>
      </w:r>
    </w:p>
    <w:p w:rsidR="0009298A" w:rsidP="0009298A" w14:paraId="6C7B1BD5" w14:textId="73A0E3EA">
      <w:pPr>
        <w:pStyle w:val="ParaNum"/>
        <w:widowControl/>
      </w:pPr>
      <w:r>
        <w:t xml:space="preserve">Accordingly, pursuant to authority in </w:t>
      </w:r>
      <w:r w:rsidR="00874AA7">
        <w:t xml:space="preserve">sections </w:t>
      </w:r>
      <w:r>
        <w:t xml:space="preserve">0.31, 0.241, and 1.3 of the Commission’s rules, 47 C.F.R. §§ 0.21, 0.241, and 1.3, and </w:t>
      </w:r>
      <w:r w:rsidR="00874AA7">
        <w:t xml:space="preserve">sections </w:t>
      </w:r>
      <w:r>
        <w:t xml:space="preserve">4(i), 302, 303(e), and 303(r) of the Communications Act of 1934, as amended, 47 U.S.C. §§ 154(i), 302, 303(e), and 303(r), IT IS ORDERED that the Request for Waiver filed by </w:t>
      </w:r>
      <w:r w:rsidR="009E18C4">
        <w:rPr>
          <w:lang w:eastAsia="ko-KR"/>
        </w:rPr>
        <w:t>SmartAuger</w:t>
      </w:r>
      <w:r w:rsidR="009E18C4">
        <w:rPr>
          <w:lang w:eastAsia="ko-KR"/>
        </w:rPr>
        <w:t>, Inc.</w:t>
      </w:r>
      <w:r w:rsidRPr="220D800C" w:rsidR="00717D5B">
        <w:rPr>
          <w:lang w:eastAsia="ko-KR"/>
        </w:rPr>
        <w:t xml:space="preserve"> on </w:t>
      </w:r>
      <w:r w:rsidR="004700C4">
        <w:rPr>
          <w:lang w:eastAsia="ko-KR"/>
        </w:rPr>
        <w:t>February 6, 2026</w:t>
      </w:r>
      <w:r w:rsidRPr="220D800C" w:rsidR="00717D5B">
        <w:rPr>
          <w:lang w:eastAsia="ko-KR"/>
        </w:rPr>
        <w:t xml:space="preserve"> </w:t>
      </w:r>
      <w:r>
        <w:t xml:space="preserve"> IS GRANTED consistent with the terms of this Order.  This action is effective upon release of this Order</w:t>
      </w:r>
      <w:r w:rsidRPr="5327DE20">
        <w:rPr>
          <w:b/>
          <w:bCs/>
        </w:rPr>
        <w:t>.</w:t>
      </w:r>
    </w:p>
    <w:p w:rsidR="0009298A" w:rsidP="0009298A" w14:paraId="49E7B03E" w14:textId="14F37A1D">
      <w:pPr>
        <w:pStyle w:val="ParaNum"/>
      </w:pPr>
      <w:r>
        <w:t>IT IS FURTHER ORDERED that if no petitions for reconsideration or applications for review are timely filed, this preceding SHALL BE TERMINATED and ET Docket No. 2</w:t>
      </w:r>
      <w:r w:rsidR="00D03818">
        <w:t>6</w:t>
      </w:r>
      <w:r>
        <w:t>-</w:t>
      </w:r>
      <w:r w:rsidR="001750E7">
        <w:t>38</w:t>
      </w:r>
      <w:r>
        <w:t xml:space="preserve"> CLOSED.</w:t>
      </w:r>
    </w:p>
    <w:p w:rsidR="0009298A" w:rsidRPr="005C2320" w:rsidP="0009298A" w14:paraId="586109B9" w14:textId="77777777">
      <w:pPr>
        <w:pStyle w:val="ParaNum"/>
        <w:numPr>
          <w:ilvl w:val="0"/>
          <w:numId w:val="0"/>
        </w:numPr>
        <w:tabs>
          <w:tab w:val="left" w:pos="720"/>
          <w:tab w:val="num" w:pos="1260"/>
          <w:tab w:val="left" w:pos="1800"/>
        </w:tabs>
        <w:ind w:left="180"/>
        <w:rPr>
          <w:szCs w:val="22"/>
        </w:rPr>
      </w:pPr>
    </w:p>
    <w:p w:rsidR="0009298A" w:rsidRPr="005C2320" w:rsidP="0009298A" w14:paraId="1DBED7D3" w14:textId="77777777">
      <w:pPr>
        <w:pStyle w:val="ParaNum"/>
        <w:numPr>
          <w:ilvl w:val="0"/>
          <w:numId w:val="0"/>
        </w:numPr>
        <w:tabs>
          <w:tab w:val="left" w:pos="720"/>
          <w:tab w:val="left" w:pos="1800"/>
        </w:tabs>
        <w:ind w:left="180"/>
        <w:rPr>
          <w:szCs w:val="22"/>
        </w:rPr>
      </w:pPr>
      <w:r w:rsidRPr="005C2320">
        <w:rPr>
          <w:szCs w:val="22"/>
        </w:rPr>
        <w:tab/>
      </w:r>
      <w:r w:rsidRPr="005C2320">
        <w:rPr>
          <w:szCs w:val="22"/>
        </w:rPr>
        <w:tab/>
      </w:r>
      <w:r w:rsidRPr="005C2320">
        <w:rPr>
          <w:szCs w:val="22"/>
        </w:rPr>
        <w:tab/>
      </w:r>
      <w:r w:rsidRPr="005C2320">
        <w:rPr>
          <w:szCs w:val="22"/>
        </w:rPr>
        <w:tab/>
      </w:r>
      <w:r w:rsidRPr="005C2320">
        <w:rPr>
          <w:szCs w:val="22"/>
        </w:rPr>
        <w:tab/>
      </w:r>
      <w:r w:rsidRPr="005C2320">
        <w:rPr>
          <w:szCs w:val="22"/>
        </w:rPr>
        <w:tab/>
        <w:t>FEDERAL COMMUNICATIONS COMMISSION</w:t>
      </w:r>
    </w:p>
    <w:p w:rsidR="0009298A" w:rsidP="0009298A" w14:paraId="384DCCA0" w14:textId="77777777">
      <w:pPr>
        <w:pStyle w:val="Style30"/>
        <w:ind w:firstLine="0"/>
        <w:rPr>
          <w:szCs w:val="22"/>
        </w:rPr>
      </w:pPr>
    </w:p>
    <w:p w:rsidR="004868AA" w:rsidRPr="005C2320" w:rsidP="0009298A" w14:paraId="7E5A5592" w14:textId="77777777">
      <w:pPr>
        <w:pStyle w:val="Style30"/>
        <w:ind w:firstLine="0"/>
        <w:rPr>
          <w:szCs w:val="22"/>
        </w:rPr>
      </w:pPr>
    </w:p>
    <w:p w:rsidR="0009298A" w:rsidRPr="005C2320" w:rsidP="00B806AF" w14:paraId="1BAFE33B" w14:textId="77777777">
      <w:pPr>
        <w:pStyle w:val="Style30"/>
        <w:spacing w:after="0"/>
        <w:ind w:firstLine="0"/>
        <w:rPr>
          <w:szCs w:val="22"/>
        </w:rPr>
      </w:pPr>
      <w:r w:rsidRPr="005C2320">
        <w:rPr>
          <w:szCs w:val="22"/>
        </w:rPr>
        <w:tab/>
      </w:r>
      <w:r w:rsidRPr="005C2320">
        <w:rPr>
          <w:szCs w:val="22"/>
        </w:rPr>
        <w:tab/>
      </w:r>
      <w:r w:rsidRPr="005C2320">
        <w:rPr>
          <w:szCs w:val="22"/>
        </w:rPr>
        <w:tab/>
      </w:r>
      <w:r w:rsidRPr="005C2320">
        <w:rPr>
          <w:szCs w:val="22"/>
        </w:rPr>
        <w:tab/>
      </w:r>
      <w:r w:rsidRPr="005C2320">
        <w:rPr>
          <w:szCs w:val="22"/>
        </w:rPr>
        <w:tab/>
      </w:r>
      <w:r w:rsidRPr="005C2320">
        <w:rPr>
          <w:szCs w:val="22"/>
        </w:rPr>
        <w:tab/>
      </w:r>
      <w:r>
        <w:rPr>
          <w:szCs w:val="22"/>
        </w:rPr>
        <w:t xml:space="preserve">Andrew Hendrickson </w:t>
      </w:r>
    </w:p>
    <w:p w:rsidR="00B806AF" w:rsidP="00B806AF" w14:paraId="141F465C" w14:textId="2075648C">
      <w:pPr>
        <w:pStyle w:val="Style30"/>
        <w:spacing w:after="0"/>
        <w:ind w:firstLine="0"/>
        <w:rPr>
          <w:szCs w:val="22"/>
        </w:rPr>
      </w:pPr>
      <w:r w:rsidRPr="005C2320">
        <w:rPr>
          <w:szCs w:val="22"/>
        </w:rPr>
        <w:tab/>
      </w:r>
      <w:r w:rsidRPr="005C2320">
        <w:rPr>
          <w:szCs w:val="22"/>
        </w:rPr>
        <w:tab/>
      </w:r>
      <w:r w:rsidRPr="005C2320">
        <w:rPr>
          <w:szCs w:val="22"/>
        </w:rPr>
        <w:tab/>
      </w:r>
      <w:r w:rsidRPr="005C2320">
        <w:rPr>
          <w:szCs w:val="22"/>
        </w:rPr>
        <w:tab/>
      </w:r>
      <w:r w:rsidRPr="005C2320">
        <w:rPr>
          <w:szCs w:val="22"/>
        </w:rPr>
        <w:tab/>
      </w:r>
      <w:r w:rsidRPr="005C2320">
        <w:rPr>
          <w:szCs w:val="22"/>
        </w:rPr>
        <w:tab/>
        <w:t>Chief</w:t>
      </w:r>
    </w:p>
    <w:p w:rsidR="0009298A" w:rsidP="00B806AF" w14:paraId="45ACFE63" w14:textId="1E22D2C2">
      <w:pPr>
        <w:pStyle w:val="Style30"/>
        <w:spacing w:after="0"/>
        <w:ind w:firstLine="0"/>
        <w:rPr>
          <w:szCs w:val="22"/>
        </w:rPr>
      </w:pPr>
      <w:r>
        <w:rPr>
          <w:szCs w:val="22"/>
        </w:rPr>
        <w:tab/>
      </w:r>
      <w:r>
        <w:rPr>
          <w:szCs w:val="22"/>
        </w:rPr>
        <w:tab/>
      </w:r>
      <w:r>
        <w:rPr>
          <w:szCs w:val="22"/>
        </w:rPr>
        <w:tab/>
      </w:r>
      <w:r>
        <w:rPr>
          <w:szCs w:val="22"/>
        </w:rPr>
        <w:tab/>
      </w:r>
      <w:r>
        <w:rPr>
          <w:szCs w:val="22"/>
        </w:rPr>
        <w:tab/>
      </w:r>
      <w:r>
        <w:rPr>
          <w:szCs w:val="22"/>
        </w:rPr>
        <w:tab/>
      </w:r>
      <w:r w:rsidRPr="005C2320">
        <w:rPr>
          <w:szCs w:val="22"/>
        </w:rPr>
        <w:t>Office of Engineering and Technolog</w:t>
      </w:r>
      <w:r>
        <w:rPr>
          <w:szCs w:val="22"/>
        </w:rPr>
        <w:t>y</w:t>
      </w:r>
    </w:p>
    <w:bookmarkEnd w:id="2"/>
    <w:p w:rsidR="00D03818" w:rsidRPr="0008414B" w:rsidP="00B806AF" w14:paraId="07876897" w14:textId="77777777">
      <w:pPr>
        <w:pStyle w:val="Style30"/>
        <w:spacing w:after="0"/>
        <w:ind w:firstLine="0"/>
        <w:rPr>
          <w:szCs w:val="22"/>
        </w:rPr>
      </w:pPr>
    </w:p>
    <w:sectPr w:rsidSect="00971ABB">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34CC6" w14:paraId="3164AD8A" w14:textId="77777777">
      <w:r>
        <w:separator/>
      </w:r>
    </w:p>
  </w:endnote>
  <w:endnote w:type="continuationSeparator" w:id="1">
    <w:p w:rsidR="00134CC6" w14:paraId="1F34C1DF" w14:textId="77777777">
      <w:r>
        <w:continuationSeparator/>
      </w:r>
    </w:p>
  </w:endnote>
  <w:endnote w:type="continuationNotice" w:id="2">
    <w:p w:rsidR="00134CC6" w14:paraId="49AF48D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4C544DDC"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93BC8D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971ABB" w14:paraId="37B96423" w14:textId="365D6B9A">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2EB0CC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34CC6" w14:paraId="0E5E52FF" w14:textId="77777777">
      <w:r>
        <w:separator/>
      </w:r>
    </w:p>
  </w:footnote>
  <w:footnote w:type="continuationSeparator" w:id="1">
    <w:p w:rsidR="00134CC6" w:rsidP="00C721AC" w14:paraId="2787E44F" w14:textId="77777777">
      <w:pPr>
        <w:spacing w:before="120"/>
        <w:rPr>
          <w:sz w:val="20"/>
        </w:rPr>
      </w:pPr>
      <w:r>
        <w:rPr>
          <w:sz w:val="20"/>
        </w:rPr>
        <w:t xml:space="preserve">(Continued from previous page)  </w:t>
      </w:r>
      <w:r>
        <w:rPr>
          <w:sz w:val="20"/>
        </w:rPr>
        <w:separator/>
      </w:r>
    </w:p>
  </w:footnote>
  <w:footnote w:type="continuationNotice" w:id="2">
    <w:p w:rsidR="00134CC6" w:rsidP="00C721AC" w14:paraId="118DE9DE" w14:textId="77777777">
      <w:pPr>
        <w:jc w:val="right"/>
        <w:rPr>
          <w:sz w:val="20"/>
        </w:rPr>
      </w:pPr>
      <w:r>
        <w:rPr>
          <w:sz w:val="20"/>
        </w:rPr>
        <w:t>(continued….)</w:t>
      </w:r>
    </w:p>
  </w:footnote>
  <w:footnote w:id="3">
    <w:p w:rsidR="00CA5E2E" w:rsidRPr="00FC4FDE" w:rsidP="00CA5E2E" w14:paraId="69AB4314" w14:textId="77777777">
      <w:pPr>
        <w:rPr>
          <w:sz w:val="20"/>
        </w:rPr>
      </w:pPr>
      <w:r w:rsidRPr="00FC4FDE">
        <w:rPr>
          <w:sz w:val="20"/>
          <w:vertAlign w:val="superscript"/>
        </w:rPr>
        <w:footnoteRef/>
      </w:r>
      <w:r w:rsidRPr="00FC4FDE">
        <w:rPr>
          <w:sz w:val="20"/>
        </w:rPr>
        <w:t xml:space="preserve"> </w:t>
      </w:r>
      <w:r w:rsidRPr="004C6B0A">
        <w:rPr>
          <w:i/>
          <w:iCs/>
          <w:sz w:val="20"/>
        </w:rPr>
        <w:t>SmartAuger</w:t>
      </w:r>
      <w:r w:rsidRPr="004C6B0A">
        <w:rPr>
          <w:i/>
          <w:iCs/>
          <w:sz w:val="20"/>
        </w:rPr>
        <w:t>, Inc. Petition for Waiver of Sections 15.503(d), 15.31(c), and 15.521(d) of the Commission’s Rules</w:t>
      </w:r>
      <w:r w:rsidRPr="00FC4FDE">
        <w:rPr>
          <w:sz w:val="20"/>
        </w:rPr>
        <w:t xml:space="preserve">, ET Docket No. </w:t>
      </w:r>
      <w:r w:rsidRPr="00D47136">
        <w:rPr>
          <w:sz w:val="20"/>
        </w:rPr>
        <w:t>26-</w:t>
      </w:r>
      <w:r>
        <w:rPr>
          <w:sz w:val="20"/>
        </w:rPr>
        <w:t>38</w:t>
      </w:r>
      <w:r w:rsidRPr="00FC4FDE">
        <w:rPr>
          <w:sz w:val="20"/>
        </w:rPr>
        <w:t xml:space="preserve"> (filed </w:t>
      </w:r>
      <w:r>
        <w:rPr>
          <w:sz w:val="20"/>
        </w:rPr>
        <w:t>Feb.</w:t>
      </w:r>
      <w:r w:rsidRPr="00FC4FDE">
        <w:rPr>
          <w:sz w:val="20"/>
        </w:rPr>
        <w:t xml:space="preserve"> </w:t>
      </w:r>
      <w:r>
        <w:rPr>
          <w:sz w:val="20"/>
        </w:rPr>
        <w:t>6</w:t>
      </w:r>
      <w:r w:rsidRPr="00FC4FDE">
        <w:rPr>
          <w:sz w:val="20"/>
        </w:rPr>
        <w:t>, 202</w:t>
      </w:r>
      <w:r>
        <w:rPr>
          <w:sz w:val="20"/>
        </w:rPr>
        <w:t>6</w:t>
      </w:r>
      <w:r w:rsidRPr="00FC4FDE">
        <w:rPr>
          <w:sz w:val="20"/>
        </w:rPr>
        <w:t>),</w:t>
      </w:r>
      <w:r>
        <w:rPr>
          <w:sz w:val="20"/>
        </w:rPr>
        <w:t xml:space="preserve"> </w:t>
      </w:r>
      <w:r w:rsidRPr="00FC4FDE">
        <w:rPr>
          <w:sz w:val="20"/>
        </w:rPr>
        <w:t>(</w:t>
      </w:r>
      <w:r>
        <w:rPr>
          <w:sz w:val="20"/>
        </w:rPr>
        <w:t>SmartAuger</w:t>
      </w:r>
      <w:r w:rsidRPr="00DA721C">
        <w:rPr>
          <w:sz w:val="20"/>
        </w:rPr>
        <w:t xml:space="preserve"> Waiver Request</w:t>
      </w:r>
      <w:r w:rsidRPr="00FC4FDE">
        <w:rPr>
          <w:sz w:val="20"/>
        </w:rPr>
        <w:t>).</w:t>
      </w:r>
    </w:p>
  </w:footnote>
  <w:footnote w:id="4">
    <w:p w:rsidR="00500217" w14:paraId="22288D10" w14:textId="119FCFB8">
      <w:pPr>
        <w:pStyle w:val="FootnoteText"/>
      </w:pPr>
      <w:r>
        <w:rPr>
          <w:rStyle w:val="FootnoteReference"/>
        </w:rPr>
        <w:footnoteRef/>
      </w:r>
      <w:r>
        <w:t xml:space="preserve"> </w:t>
      </w:r>
      <w:r>
        <w:t>SmartAuger</w:t>
      </w:r>
      <w:r>
        <w:t xml:space="preserve"> Wa</w:t>
      </w:r>
      <w:r w:rsidR="00E256DF">
        <w:t>i</w:t>
      </w:r>
      <w:r>
        <w:t xml:space="preserve">ver Request at </w:t>
      </w:r>
      <w:r w:rsidR="00A108CC">
        <w:t>2</w:t>
      </w:r>
      <w:r w:rsidR="00BF3D48">
        <w:t>.</w:t>
      </w:r>
    </w:p>
  </w:footnote>
  <w:footnote w:id="5">
    <w:p w:rsidR="00922AAB" w:rsidRPr="008D78A1" w14:paraId="0F21699C" w14:textId="571F3474">
      <w:pPr>
        <w:pStyle w:val="FootnoteText"/>
      </w:pPr>
      <w:r>
        <w:rPr>
          <w:rStyle w:val="FootnoteReference"/>
        </w:rPr>
        <w:footnoteRef/>
      </w:r>
      <w:r>
        <w:t xml:space="preserve"> </w:t>
      </w:r>
      <w:r w:rsidR="008D78A1">
        <w:rPr>
          <w:i/>
          <w:iCs/>
        </w:rPr>
        <w:t>Id.</w:t>
      </w:r>
      <w:r w:rsidR="008D78A1">
        <w:t xml:space="preserve"> at </w:t>
      </w:r>
      <w:r w:rsidR="00DA3304">
        <w:t>4-5.</w:t>
      </w:r>
    </w:p>
  </w:footnote>
  <w:footnote w:id="6">
    <w:p w:rsidR="005D1A99" w:rsidRPr="00BF3D48" w14:paraId="2A75D86C" w14:textId="7CC90BD3">
      <w:pPr>
        <w:pStyle w:val="FootnoteText"/>
      </w:pPr>
      <w:r>
        <w:rPr>
          <w:rStyle w:val="FootnoteReference"/>
        </w:rPr>
        <w:footnoteRef/>
      </w:r>
      <w:r>
        <w:t xml:space="preserve"> </w:t>
      </w:r>
      <w:r w:rsidR="00BF3D48">
        <w:rPr>
          <w:i/>
          <w:iCs/>
        </w:rPr>
        <w:t>Id</w:t>
      </w:r>
      <w:r w:rsidR="00BF3D48">
        <w:t>.</w:t>
      </w:r>
    </w:p>
  </w:footnote>
  <w:footnote w:id="7">
    <w:p w:rsidR="0073272B" w:rsidRPr="0021087F" w:rsidP="0073272B" w14:paraId="1BB7349A" w14:textId="77777777">
      <w:pPr>
        <w:pStyle w:val="FootnoteText"/>
      </w:pPr>
      <w:r>
        <w:rPr>
          <w:rStyle w:val="FootnoteReference"/>
        </w:rPr>
        <w:footnoteRef/>
      </w:r>
      <w:r>
        <w:t xml:space="preserve"> </w:t>
      </w:r>
      <w:r>
        <w:rPr>
          <w:i/>
          <w:iCs/>
        </w:rPr>
        <w:t>Id.</w:t>
      </w:r>
      <w:r>
        <w:t xml:space="preserve"> at 12.</w:t>
      </w:r>
    </w:p>
  </w:footnote>
  <w:footnote w:id="8">
    <w:p w:rsidR="0073272B" w:rsidRPr="0021087F" w:rsidP="0073272B" w14:paraId="5E69CA84" w14:textId="77777777">
      <w:pPr>
        <w:pStyle w:val="FootnoteText"/>
        <w:rPr>
          <w:i/>
          <w:iCs/>
        </w:rPr>
      </w:pPr>
      <w:r>
        <w:rPr>
          <w:rStyle w:val="FootnoteReference"/>
        </w:rPr>
        <w:footnoteRef/>
      </w:r>
      <w:r>
        <w:t xml:space="preserve"> </w:t>
      </w:r>
      <w:r>
        <w:rPr>
          <w:i/>
          <w:iCs/>
        </w:rPr>
        <w:t>Id.</w:t>
      </w:r>
    </w:p>
  </w:footnote>
  <w:footnote w:id="9">
    <w:p w:rsidR="007B3F0C" w:rsidRPr="00A00823" w:rsidP="007B3F0C" w14:paraId="6FE9FE10" w14:textId="77777777">
      <w:pPr>
        <w:pStyle w:val="FootnoteText"/>
      </w:pPr>
      <w:r>
        <w:rPr>
          <w:rStyle w:val="FootnoteReference"/>
        </w:rPr>
        <w:footnoteRef/>
      </w:r>
      <w:r>
        <w:t xml:space="preserve"> </w:t>
      </w:r>
      <w:r>
        <w:rPr>
          <w:i/>
          <w:iCs/>
        </w:rPr>
        <w:t>Id.</w:t>
      </w:r>
      <w:r>
        <w:t xml:space="preserve"> at 12, 13.</w:t>
      </w:r>
    </w:p>
  </w:footnote>
  <w:footnote w:id="10">
    <w:p w:rsidR="0073272B" w:rsidRPr="00A00823" w:rsidP="0073272B" w14:paraId="1B8B0A3D" w14:textId="77777777">
      <w:pPr>
        <w:pStyle w:val="FootnoteText"/>
      </w:pPr>
      <w:r>
        <w:rPr>
          <w:rStyle w:val="FootnoteReference"/>
        </w:rPr>
        <w:footnoteRef/>
      </w:r>
      <w:r>
        <w:t xml:space="preserve"> </w:t>
      </w:r>
      <w:r>
        <w:rPr>
          <w:i/>
          <w:iCs/>
        </w:rPr>
        <w:t>Id.</w:t>
      </w:r>
      <w:r>
        <w:t xml:space="preserve"> at 13.</w:t>
      </w:r>
    </w:p>
  </w:footnote>
  <w:footnote w:id="11">
    <w:p w:rsidR="005D1A99" w:rsidRPr="00CA4B0C" w14:paraId="4F198F2A" w14:textId="2073D37E">
      <w:pPr>
        <w:pStyle w:val="FootnoteText"/>
      </w:pPr>
      <w:r>
        <w:rPr>
          <w:rStyle w:val="FootnoteReference"/>
        </w:rPr>
        <w:footnoteRef/>
      </w:r>
      <w:r>
        <w:t xml:space="preserve"> </w:t>
      </w:r>
      <w:r w:rsidR="00BF3D48">
        <w:rPr>
          <w:i/>
          <w:iCs/>
        </w:rPr>
        <w:t>Id.</w:t>
      </w:r>
      <w:r w:rsidR="00CA4B0C">
        <w:t xml:space="preserve"> at </w:t>
      </w:r>
      <w:r w:rsidR="00B01E26">
        <w:t>7.</w:t>
      </w:r>
    </w:p>
  </w:footnote>
  <w:footnote w:id="12">
    <w:p w:rsidR="00424111" w14:paraId="68BAD993" w14:textId="7C7F26B3">
      <w:pPr>
        <w:pStyle w:val="FootnoteText"/>
      </w:pPr>
      <w:r>
        <w:rPr>
          <w:rStyle w:val="FootnoteReference"/>
        </w:rPr>
        <w:footnoteRef/>
      </w:r>
      <w:r>
        <w:t xml:space="preserve"> 47 CFR § 15.503(d).</w:t>
      </w:r>
    </w:p>
  </w:footnote>
  <w:footnote w:id="13">
    <w:p w:rsidR="00424111" w14:paraId="5971D563" w14:textId="1D2044C8">
      <w:pPr>
        <w:pStyle w:val="FootnoteText"/>
      </w:pPr>
      <w:r>
        <w:rPr>
          <w:rStyle w:val="FootnoteReference"/>
        </w:rPr>
        <w:footnoteRef/>
      </w:r>
      <w:r>
        <w:t xml:space="preserve"> </w:t>
      </w:r>
      <w:r w:rsidR="001732FC">
        <w:t>SmartAuger</w:t>
      </w:r>
      <w:r w:rsidR="001732FC">
        <w:t xml:space="preserve"> Waiver Request at </w:t>
      </w:r>
      <w:r w:rsidR="008C3964">
        <w:t>7.</w:t>
      </w:r>
    </w:p>
  </w:footnote>
  <w:footnote w:id="14">
    <w:p w:rsidR="00071C54" w:rsidP="00071C54" w14:paraId="1DD91EB8" w14:textId="77777777">
      <w:pPr>
        <w:pStyle w:val="FootnoteText"/>
      </w:pPr>
      <w:r>
        <w:rPr>
          <w:rStyle w:val="FootnoteReference"/>
        </w:rPr>
        <w:footnoteRef/>
      </w:r>
      <w:r>
        <w:t xml:space="preserve"> </w:t>
      </w:r>
      <w:r w:rsidRPr="00FC4FDE">
        <w:t>47 CFR §§ 15.</w:t>
      </w:r>
      <w:r>
        <w:t>31</w:t>
      </w:r>
      <w:r w:rsidRPr="00FC4FDE">
        <w:t>(</w:t>
      </w:r>
      <w:r>
        <w:t>c</w:t>
      </w:r>
      <w:r w:rsidRPr="00FC4FDE">
        <w:t>)</w:t>
      </w:r>
      <w:r>
        <w:t xml:space="preserve">, </w:t>
      </w:r>
      <w:r w:rsidRPr="00FC4FDE">
        <w:t>15.</w:t>
      </w:r>
      <w:r>
        <w:t>521(d).</w:t>
      </w:r>
    </w:p>
  </w:footnote>
  <w:footnote w:id="15">
    <w:p w:rsidR="00071C54" w:rsidP="00071C54" w14:paraId="2D7C3071" w14:textId="77777777">
      <w:pPr>
        <w:pStyle w:val="FootnoteText"/>
      </w:pPr>
      <w:r>
        <w:rPr>
          <w:rStyle w:val="FootnoteReference"/>
        </w:rPr>
        <w:footnoteRef/>
      </w:r>
      <w:r>
        <w:t xml:space="preserve"> </w:t>
      </w:r>
      <w:r>
        <w:t>SmartAuger</w:t>
      </w:r>
      <w:r>
        <w:t xml:space="preserve"> Waiver Request at 9.</w:t>
      </w:r>
    </w:p>
  </w:footnote>
  <w:footnote w:id="16">
    <w:p w:rsidR="00071C54" w:rsidRPr="00BE7509" w:rsidP="00071C54" w14:paraId="105B305A" w14:textId="77777777">
      <w:pPr>
        <w:pStyle w:val="FootnoteText"/>
        <w:rPr>
          <w:i/>
          <w:iCs/>
        </w:rPr>
      </w:pPr>
      <w:r>
        <w:rPr>
          <w:rStyle w:val="FootnoteReference"/>
        </w:rPr>
        <w:footnoteRef/>
      </w:r>
      <w:r>
        <w:t xml:space="preserve"> </w:t>
      </w:r>
      <w:r>
        <w:rPr>
          <w:i/>
          <w:iCs/>
        </w:rPr>
        <w:t>Id.</w:t>
      </w:r>
    </w:p>
  </w:footnote>
  <w:footnote w:id="17">
    <w:p w:rsidR="00071C54" w:rsidRPr="00267C39" w:rsidP="00071C54" w14:paraId="155AA33F" w14:textId="77777777">
      <w:pPr>
        <w:pStyle w:val="FootnoteText"/>
      </w:pPr>
      <w:r>
        <w:rPr>
          <w:rStyle w:val="FootnoteReference"/>
        </w:rPr>
        <w:footnoteRef/>
      </w:r>
      <w:r>
        <w:t xml:space="preserve"> </w:t>
      </w:r>
      <w:r>
        <w:rPr>
          <w:i/>
          <w:iCs/>
        </w:rPr>
        <w:t>Id.</w:t>
      </w:r>
    </w:p>
  </w:footnote>
  <w:footnote w:id="18">
    <w:p w:rsidR="00071C54" w:rsidRPr="00D33214" w:rsidP="00071C54" w14:paraId="5135645A" w14:textId="77777777">
      <w:pPr>
        <w:pStyle w:val="FootnoteText"/>
      </w:pPr>
      <w:r>
        <w:rPr>
          <w:rStyle w:val="FootnoteReference"/>
        </w:rPr>
        <w:footnoteRef/>
      </w:r>
      <w:r>
        <w:t xml:space="preserve"> </w:t>
      </w:r>
      <w:r>
        <w:rPr>
          <w:i/>
          <w:iCs/>
        </w:rPr>
        <w:t>Id.</w:t>
      </w:r>
      <w:r>
        <w:t xml:space="preserve"> at 12-15.</w:t>
      </w:r>
    </w:p>
  </w:footnote>
  <w:footnote w:id="19">
    <w:p w:rsidR="00235365" w14:paraId="692F4832" w14:textId="364E8990">
      <w:pPr>
        <w:pStyle w:val="FootnoteText"/>
      </w:pPr>
      <w:r>
        <w:rPr>
          <w:rStyle w:val="FootnoteReference"/>
        </w:rPr>
        <w:footnoteRef/>
      </w:r>
      <w:r>
        <w:t xml:space="preserve"> </w:t>
      </w:r>
      <w:r w:rsidRPr="00F95860" w:rsidR="00747BE5">
        <w:rPr>
          <w:i/>
          <w:iCs/>
        </w:rPr>
        <w:t xml:space="preserve">Office of Engineering and Technology Seeks Comment on </w:t>
      </w:r>
      <w:r w:rsidR="00732AFB">
        <w:rPr>
          <w:i/>
          <w:iCs/>
        </w:rPr>
        <w:t>SmartAuger</w:t>
      </w:r>
      <w:r w:rsidR="00732AFB">
        <w:rPr>
          <w:i/>
          <w:iCs/>
        </w:rPr>
        <w:t>, Inc.</w:t>
      </w:r>
      <w:r w:rsidRPr="0088332D" w:rsidR="0088332D">
        <w:rPr>
          <w:i/>
          <w:iCs/>
        </w:rPr>
        <w:t xml:space="preserve"> Petition </w:t>
      </w:r>
      <w:r w:rsidR="0088332D">
        <w:rPr>
          <w:i/>
          <w:iCs/>
        </w:rPr>
        <w:t>f</w:t>
      </w:r>
      <w:r w:rsidRPr="0088332D" w:rsidR="0088332D">
        <w:rPr>
          <w:i/>
          <w:iCs/>
        </w:rPr>
        <w:t xml:space="preserve">or Waiver </w:t>
      </w:r>
      <w:r w:rsidR="0088332D">
        <w:rPr>
          <w:i/>
          <w:iCs/>
        </w:rPr>
        <w:t>o</w:t>
      </w:r>
      <w:r w:rsidRPr="0088332D" w:rsidR="0088332D">
        <w:rPr>
          <w:i/>
          <w:iCs/>
        </w:rPr>
        <w:t>f Sections 15.5</w:t>
      </w:r>
      <w:r w:rsidR="00732AFB">
        <w:rPr>
          <w:i/>
          <w:iCs/>
        </w:rPr>
        <w:t>03</w:t>
      </w:r>
      <w:r w:rsidRPr="0088332D" w:rsidR="0088332D">
        <w:rPr>
          <w:i/>
          <w:iCs/>
        </w:rPr>
        <w:t>(</w:t>
      </w:r>
      <w:r w:rsidR="00732AFB">
        <w:rPr>
          <w:i/>
          <w:iCs/>
        </w:rPr>
        <w:t>d</w:t>
      </w:r>
      <w:r w:rsidRPr="0088332D" w:rsidR="0088332D">
        <w:rPr>
          <w:i/>
          <w:iCs/>
        </w:rPr>
        <w:t>)</w:t>
      </w:r>
      <w:r w:rsidR="00732AFB">
        <w:rPr>
          <w:i/>
          <w:iCs/>
        </w:rPr>
        <w:t>, 15.31(c)</w:t>
      </w:r>
      <w:r w:rsidRPr="0088332D" w:rsidR="0088332D">
        <w:rPr>
          <w:i/>
          <w:iCs/>
        </w:rPr>
        <w:t xml:space="preserve"> </w:t>
      </w:r>
      <w:r w:rsidR="0088332D">
        <w:rPr>
          <w:i/>
          <w:iCs/>
        </w:rPr>
        <w:t>a</w:t>
      </w:r>
      <w:r w:rsidRPr="0088332D" w:rsidR="0088332D">
        <w:rPr>
          <w:i/>
          <w:iCs/>
        </w:rPr>
        <w:t>nd 15.5</w:t>
      </w:r>
      <w:r w:rsidR="00E067B1">
        <w:rPr>
          <w:i/>
          <w:iCs/>
        </w:rPr>
        <w:t>2</w:t>
      </w:r>
      <w:r w:rsidRPr="0088332D" w:rsidR="0088332D">
        <w:rPr>
          <w:i/>
          <w:iCs/>
        </w:rPr>
        <w:t>1(</w:t>
      </w:r>
      <w:r w:rsidR="00E067B1">
        <w:rPr>
          <w:i/>
          <w:iCs/>
        </w:rPr>
        <w:t>d</w:t>
      </w:r>
      <w:r w:rsidRPr="0088332D" w:rsidR="0088332D">
        <w:rPr>
          <w:i/>
          <w:iCs/>
        </w:rPr>
        <w:t xml:space="preserve">) </w:t>
      </w:r>
      <w:r w:rsidR="00E067B1">
        <w:rPr>
          <w:i/>
          <w:iCs/>
        </w:rPr>
        <w:t>o</w:t>
      </w:r>
      <w:r w:rsidRPr="0088332D" w:rsidR="0088332D">
        <w:rPr>
          <w:i/>
          <w:iCs/>
        </w:rPr>
        <w:t xml:space="preserve">f </w:t>
      </w:r>
      <w:r w:rsidR="00E067B1">
        <w:rPr>
          <w:i/>
          <w:iCs/>
        </w:rPr>
        <w:t>t</w:t>
      </w:r>
      <w:r w:rsidRPr="0088332D" w:rsidR="0088332D">
        <w:rPr>
          <w:i/>
          <w:iCs/>
        </w:rPr>
        <w:t>he Commission’s Rules</w:t>
      </w:r>
      <w:r w:rsidRPr="00F95860" w:rsidR="00747BE5">
        <w:t>, ET Docket No. 2</w:t>
      </w:r>
      <w:r w:rsidR="00216922">
        <w:t>6</w:t>
      </w:r>
      <w:r w:rsidRPr="00F95860" w:rsidR="00747BE5">
        <w:t>-</w:t>
      </w:r>
      <w:r w:rsidR="00D80E79">
        <w:t>38</w:t>
      </w:r>
      <w:r w:rsidRPr="00F95860" w:rsidR="00747BE5">
        <w:t>, Public Notice, DA 2</w:t>
      </w:r>
      <w:r w:rsidR="00216922">
        <w:t>6</w:t>
      </w:r>
      <w:r w:rsidRPr="00F95860" w:rsidR="00747BE5">
        <w:t>-</w:t>
      </w:r>
      <w:r w:rsidR="00D80E79">
        <w:t>167</w:t>
      </w:r>
      <w:r w:rsidRPr="00F95860" w:rsidR="00747BE5">
        <w:t xml:space="preserve"> (OET </w:t>
      </w:r>
      <w:r w:rsidR="00216922">
        <w:t>Feb</w:t>
      </w:r>
      <w:r w:rsidRPr="00F95860" w:rsidR="00747BE5">
        <w:t>. 1</w:t>
      </w:r>
      <w:r w:rsidR="00D80E79">
        <w:t>8</w:t>
      </w:r>
      <w:r w:rsidRPr="00F95860" w:rsidR="00747BE5">
        <w:t>, 202</w:t>
      </w:r>
      <w:r w:rsidR="00566426">
        <w:t>6</w:t>
      </w:r>
      <w:r w:rsidRPr="00F95860" w:rsidR="00747BE5">
        <w:t>).</w:t>
      </w:r>
    </w:p>
  </w:footnote>
  <w:footnote w:id="20">
    <w:p w:rsidR="006B5E65" w14:paraId="08F90317" w14:textId="29011851">
      <w:pPr>
        <w:pStyle w:val="FootnoteText"/>
      </w:pPr>
      <w:r>
        <w:rPr>
          <w:rStyle w:val="FootnoteReference"/>
        </w:rPr>
        <w:footnoteRef/>
      </w:r>
      <w:r>
        <w:t xml:space="preserve"> </w:t>
      </w:r>
      <w:r w:rsidR="00D260C3">
        <w:t xml:space="preserve">NUCA of Ohio Comments at 1-2; Allied Title and Escrow Comments at 1-2; </w:t>
      </w:r>
      <w:r w:rsidR="00154A6C">
        <w:t>Welty Development Comments at 1-2.</w:t>
      </w:r>
    </w:p>
  </w:footnote>
  <w:footnote w:id="21">
    <w:p w:rsidR="00BA3670" w:rsidRPr="00244D25" w14:paraId="14D0DAA9" w14:textId="7E48FF74">
      <w:pPr>
        <w:pStyle w:val="FootnoteText"/>
        <w:rPr>
          <w:i/>
          <w:iCs/>
        </w:rPr>
      </w:pPr>
      <w:r>
        <w:rPr>
          <w:rStyle w:val="FootnoteReference"/>
        </w:rPr>
        <w:footnoteRef/>
      </w:r>
      <w:r>
        <w:t xml:space="preserve"> </w:t>
      </w:r>
      <w:r w:rsidR="00244D25">
        <w:rPr>
          <w:i/>
          <w:iCs/>
        </w:rPr>
        <w:t>Id.</w:t>
      </w:r>
    </w:p>
  </w:footnote>
  <w:footnote w:id="22">
    <w:p w:rsidR="0009298A" w:rsidP="0009298A" w14:paraId="7F0DC702" w14:textId="77777777">
      <w:pPr>
        <w:pStyle w:val="FootnoteText"/>
      </w:pPr>
      <w:r>
        <w:rPr>
          <w:rStyle w:val="FootnoteReference"/>
          <w:rFonts w:eastAsiaTheme="majorEastAsia"/>
        </w:rPr>
        <w:footnoteRef/>
      </w:r>
      <w:r>
        <w:t xml:space="preserve"> </w:t>
      </w:r>
      <w:hyperlink r:id="rId1" w:tgtFrame="_top" w:history="1">
        <w:r>
          <w:t>47 CFR § 1.3</w:t>
        </w:r>
      </w:hyperlink>
      <w:r>
        <w:t xml:space="preserve">.  </w:t>
      </w:r>
      <w:r>
        <w:rPr>
          <w:i/>
          <w:iCs/>
        </w:rPr>
        <w:t>See also</w:t>
      </w:r>
      <w:r>
        <w:rPr>
          <w:iCs/>
        </w:rPr>
        <w:t xml:space="preserve"> </w:t>
      </w:r>
      <w:hyperlink r:id="rId2" w:tgtFrame="_top" w:history="1">
        <w:r>
          <w:rPr>
            <w:i/>
            <w:iCs/>
          </w:rPr>
          <w:t>ICO Global Communications (Holdings) Limited v. FCC</w:t>
        </w:r>
        <w:r>
          <w:t>, 428 F.3d 264 (D.C. Cir. 2005)</w:t>
        </w:r>
      </w:hyperlink>
      <w:r>
        <w:t xml:space="preserve">; </w:t>
      </w:r>
      <w:hyperlink r:id="rId3" w:tgtFrame="_top" w:history="1">
        <w:r>
          <w:rPr>
            <w:i/>
            <w:iCs/>
          </w:rPr>
          <w:t>Northeast Cellular Telephone Co. v. FCC</w:t>
        </w:r>
        <w:r>
          <w:t>, 897 F.2d 1164 (D.C. Cir. 1990)</w:t>
        </w:r>
      </w:hyperlink>
      <w:r>
        <w:t xml:space="preserve">; </w:t>
      </w:r>
      <w:hyperlink r:id="rId4" w:tgtFrame="_top" w:history="1">
        <w:r>
          <w:rPr>
            <w:i/>
            <w:iCs/>
          </w:rPr>
          <w:t>WAIT Radio v. FCC</w:t>
        </w:r>
        <w:r>
          <w:t>, 418 F.2d 1153 (D.C. Cir. 1969)</w:t>
        </w:r>
      </w:hyperlink>
      <w:r>
        <w:t>.</w:t>
      </w:r>
    </w:p>
  </w:footnote>
  <w:footnote w:id="23">
    <w:p w:rsidR="0009298A" w:rsidP="0009298A" w14:paraId="4E98A617" w14:textId="1B1B01A5">
      <w:pPr>
        <w:pStyle w:val="FootnoteText"/>
      </w:pPr>
      <w:r>
        <w:rPr>
          <w:rStyle w:val="FootnoteReference"/>
          <w:rFonts w:eastAsiaTheme="majorEastAsia"/>
        </w:rPr>
        <w:footnoteRef/>
      </w:r>
      <w:r>
        <w:t xml:space="preserve"> </w:t>
      </w:r>
      <w:r>
        <w:rPr>
          <w:i/>
          <w:iCs/>
        </w:rPr>
        <w:t>Northeast Cellular</w:t>
      </w:r>
      <w:r>
        <w:t xml:space="preserve">, </w:t>
      </w:r>
      <w:r w:rsidRPr="00BC3CDD">
        <w:t>897 F.2d</w:t>
      </w:r>
      <w:r>
        <w:t xml:space="preserve"> at 1166; </w:t>
      </w:r>
      <w:r>
        <w:rPr>
          <w:i/>
        </w:rPr>
        <w:t>see also</w:t>
      </w:r>
      <w:r>
        <w:t xml:space="preserve"> </w:t>
      </w:r>
      <w:hyperlink r:id="rId5" w:tgtFrame="_top" w:history="1">
        <w:r>
          <w:rPr>
            <w:i/>
            <w:iCs/>
          </w:rPr>
          <w:t>ICO Global Communications</w:t>
        </w:r>
        <w:r>
          <w:t xml:space="preserve">, </w:t>
        </w:r>
        <w:r w:rsidRPr="00BC3CDD">
          <w:t xml:space="preserve">428 F.3d </w:t>
        </w:r>
        <w:r>
          <w:t>at 269</w:t>
        </w:r>
      </w:hyperlink>
      <w:r>
        <w:t xml:space="preserve"> (quoting </w:t>
      </w:r>
      <w:r>
        <w:rPr>
          <w:i/>
          <w:iCs/>
        </w:rPr>
        <w:t>Northeast Cellular</w:t>
      </w:r>
      <w:r>
        <w:t xml:space="preserve">); </w:t>
      </w:r>
      <w:hyperlink r:id="rId6" w:tgtFrame="_top" w:history="1">
        <w:r>
          <w:rPr>
            <w:i/>
            <w:iCs/>
          </w:rPr>
          <w:t>WAIT Radio</w:t>
        </w:r>
        <w:r>
          <w:t xml:space="preserve">, </w:t>
        </w:r>
        <w:r w:rsidRPr="00BC3CDD">
          <w:t>418 F.2d</w:t>
        </w:r>
        <w:r>
          <w:rPr>
            <w:i/>
          </w:rPr>
          <w:t xml:space="preserve"> </w:t>
        </w:r>
        <w:r>
          <w:t>at 1157-59</w:t>
        </w:r>
      </w:hyperlink>
      <w:r>
        <w:t>.</w:t>
      </w:r>
    </w:p>
  </w:footnote>
  <w:footnote w:id="24">
    <w:p w:rsidR="0009298A" w:rsidP="0009298A" w14:paraId="51289EB1" w14:textId="77777777">
      <w:pPr>
        <w:pStyle w:val="FootnoteText"/>
      </w:pPr>
      <w:r>
        <w:rPr>
          <w:rStyle w:val="FootnoteReference"/>
          <w:rFonts w:eastAsiaTheme="majorEastAsia"/>
        </w:rPr>
        <w:footnoteRef/>
      </w:r>
      <w:r>
        <w:t xml:space="preserve"> </w:t>
      </w:r>
      <w:r>
        <w:rPr>
          <w:i/>
          <w:iCs/>
          <w:szCs w:val="19"/>
        </w:rPr>
        <w:t>See, e.g.</w:t>
      </w:r>
      <w:r>
        <w:rPr>
          <w:iCs/>
          <w:szCs w:val="19"/>
        </w:rPr>
        <w:t xml:space="preserve">, </w:t>
      </w:r>
      <w:hyperlink r:id="rId6" w:tgtFrame="_top" w:history="1">
        <w:r>
          <w:rPr>
            <w:i/>
            <w:iCs/>
          </w:rPr>
          <w:t>WAIT Radio</w:t>
        </w:r>
        <w:r>
          <w:rPr>
            <w:iCs/>
          </w:rPr>
          <w:t xml:space="preserve">, </w:t>
        </w:r>
        <w:r w:rsidRPr="00BC3CDD">
          <w:rPr>
            <w:iCs/>
          </w:rPr>
          <w:t>418 F.2d</w:t>
        </w:r>
        <w:r w:rsidRPr="00BC3CDD">
          <w:rPr>
            <w:i/>
            <w:iCs/>
          </w:rPr>
          <w:t xml:space="preserve"> </w:t>
        </w:r>
        <w:r>
          <w:t>at 1157</w:t>
        </w:r>
      </w:hyperlink>
      <w:r>
        <w:rPr>
          <w:szCs w:val="19"/>
        </w:rPr>
        <w:t xml:space="preserve"> (stating that even though the overall objectives of a general rule have been adjudged to be in the public interest, it is possible that application of the rule to a specific case may not serve the public interest if an applicant's proposal does not undermine the public interest policy served by the rule); </w:t>
      </w:r>
      <w:r>
        <w:rPr>
          <w:i/>
          <w:iCs/>
          <w:szCs w:val="19"/>
        </w:rPr>
        <w:t>Northeast Cellular</w:t>
      </w:r>
      <w:r>
        <w:rPr>
          <w:szCs w:val="19"/>
        </w:rPr>
        <w:t>, 897 F.2d at 1166 (stating that in granting a waiver, an agency must explain why deviation from the general rule better serves the public interest than would strict adherence to the rule).</w:t>
      </w:r>
    </w:p>
  </w:footnote>
  <w:footnote w:id="25">
    <w:p w:rsidR="0009298A" w:rsidP="0009298A" w14:paraId="1E5CBA14" w14:textId="77777777">
      <w:pPr>
        <w:pStyle w:val="FootnoteText"/>
      </w:pPr>
      <w:r>
        <w:rPr>
          <w:rStyle w:val="FootnoteReference"/>
          <w:rFonts w:eastAsiaTheme="majorEastAsia"/>
        </w:rPr>
        <w:footnoteRef/>
      </w:r>
      <w:r>
        <w:t xml:space="preserve"> </w:t>
      </w:r>
      <w:r>
        <w:rPr>
          <w:i/>
          <w:iCs/>
        </w:rPr>
        <w:t xml:space="preserve">See </w:t>
      </w:r>
      <w:r w:rsidRPr="003E03B5">
        <w:rPr>
          <w:i/>
          <w:iCs/>
        </w:rPr>
        <w:t xml:space="preserve">generally, Revision of Part 15 of the Commission’s Rules Regarding Ultra-Wideband Transmission Systems, </w:t>
      </w:r>
      <w:r w:rsidRPr="006C6B42">
        <w:t xml:space="preserve">First Report and Order, ET Docket 98-153, 17 FCC </w:t>
      </w:r>
      <w:r w:rsidRPr="006C6B42">
        <w:t>Rcd</w:t>
      </w:r>
      <w:r w:rsidRPr="006C6B42">
        <w:t xml:space="preserve"> 7435 (2002)</w:t>
      </w:r>
      <w:r w:rsidRPr="003E03B5">
        <w:rPr>
          <w:i/>
          <w:iCs/>
        </w:rPr>
        <w:t xml:space="preserve"> </w:t>
      </w:r>
      <w:r w:rsidRPr="0088356A">
        <w:t>(</w:t>
      </w:r>
      <w:r w:rsidRPr="003E03B5">
        <w:rPr>
          <w:i/>
          <w:iCs/>
        </w:rPr>
        <w:t>UWB First R&amp;O</w:t>
      </w:r>
      <w:r w:rsidRPr="00AB303D">
        <w:t>)</w:t>
      </w:r>
      <w:r w:rsidRPr="003E03B5">
        <w:rPr>
          <w:i/>
          <w:iCs/>
        </w:rPr>
        <w:t>; </w:t>
      </w:r>
      <w:r>
        <w:rPr>
          <w:rStyle w:val="normaltextrun"/>
          <w:rFonts w:eastAsiaTheme="majorEastAsia"/>
          <w:i/>
          <w:iCs/>
          <w:color w:val="000000"/>
          <w:shd w:val="clear" w:color="auto" w:fill="FFFFFF"/>
        </w:rPr>
        <w:t>see also</w:t>
      </w:r>
      <w:r>
        <w:rPr>
          <w:rStyle w:val="normaltextrun"/>
          <w:rFonts w:eastAsiaTheme="majorEastAsia"/>
          <w:color w:val="000000"/>
          <w:shd w:val="clear" w:color="auto" w:fill="FFFFFF"/>
        </w:rPr>
        <w:t xml:space="preserve"> 47 CFR. §§ 15.501-15.525.</w:t>
      </w:r>
    </w:p>
  </w:footnote>
  <w:footnote w:id="26">
    <w:p w:rsidR="0009298A" w:rsidRPr="00E356C8" w:rsidP="0009298A" w14:paraId="665B5992" w14:textId="23E92484">
      <w:pPr>
        <w:pStyle w:val="FootnoteText"/>
      </w:pPr>
      <w:r w:rsidRPr="00326BC4">
        <w:rPr>
          <w:rStyle w:val="FootnoteReference"/>
          <w:rFonts w:eastAsiaTheme="majorEastAsia"/>
        </w:rPr>
        <w:footnoteRef/>
      </w:r>
      <w:r w:rsidRPr="00E356C8">
        <w:t xml:space="preserve"> </w:t>
      </w:r>
      <w:r w:rsidR="003F17D1">
        <w:t>SmartAuger</w:t>
      </w:r>
      <w:r w:rsidR="003F17D1">
        <w:t xml:space="preserve"> </w:t>
      </w:r>
      <w:r w:rsidRPr="00E356C8">
        <w:t xml:space="preserve">Waiver Request at </w:t>
      </w:r>
      <w:r w:rsidR="00125128">
        <w:t>8</w:t>
      </w:r>
      <w:r w:rsidRPr="00E356C8">
        <w:t>.</w:t>
      </w:r>
    </w:p>
  </w:footnote>
  <w:footnote w:id="27">
    <w:p w:rsidR="0009298A" w:rsidP="0009298A" w14:paraId="59881ABE" w14:textId="28DF0B2C">
      <w:pPr>
        <w:pStyle w:val="FootnoteText"/>
      </w:pPr>
      <w:r>
        <w:rPr>
          <w:rStyle w:val="FootnoteReference"/>
          <w:rFonts w:eastAsiaTheme="majorEastAsia"/>
        </w:rPr>
        <w:footnoteRef/>
      </w:r>
      <w:r>
        <w:t xml:space="preserve"> </w:t>
      </w:r>
      <w:r w:rsidR="009D7A57">
        <w:rPr>
          <w:i/>
          <w:iCs/>
        </w:rPr>
        <w:t>Id.</w:t>
      </w:r>
      <w:r w:rsidR="009D7A57">
        <w:t>;</w:t>
      </w:r>
      <w:r w:rsidR="009D7A57">
        <w:rPr>
          <w:i/>
          <w:iCs/>
        </w:rPr>
        <w:t xml:space="preserve"> </w:t>
      </w:r>
      <w:r>
        <w:t>47 CFR §</w:t>
      </w:r>
      <w:r w:rsidR="003438D4">
        <w:t>§</w:t>
      </w:r>
      <w:r>
        <w:t xml:space="preserve"> 15.5</w:t>
      </w:r>
      <w:r w:rsidR="007E114C">
        <w:t>0</w:t>
      </w:r>
      <w:r>
        <w:t>9</w:t>
      </w:r>
      <w:r w:rsidR="00822E86">
        <w:t>(</w:t>
      </w:r>
      <w:r w:rsidR="00435DB3">
        <w:t>d</w:t>
      </w:r>
      <w:r w:rsidR="00822E86">
        <w:t>)</w:t>
      </w:r>
      <w:r w:rsidR="00435DB3">
        <w:t>, 15.209</w:t>
      </w:r>
      <w:r w:rsidR="009C5900">
        <w:t>.</w:t>
      </w:r>
    </w:p>
  </w:footnote>
  <w:footnote w:id="28">
    <w:p w:rsidR="00BB3E32" w14:paraId="4C8BD74B" w14:textId="28946FB6">
      <w:pPr>
        <w:pStyle w:val="FootnoteText"/>
      </w:pPr>
      <w:r>
        <w:rPr>
          <w:rStyle w:val="FootnoteReference"/>
        </w:rPr>
        <w:footnoteRef/>
      </w:r>
      <w:r>
        <w:t xml:space="preserve"> </w:t>
      </w:r>
      <w:r>
        <w:t>SmartAuger</w:t>
      </w:r>
      <w:r>
        <w:t xml:space="preserve"> Waiver Request at 13</w:t>
      </w:r>
      <w:r w:rsidR="00CD41BF">
        <w:t>-</w:t>
      </w:r>
      <w:r>
        <w:t>14.</w:t>
      </w:r>
    </w:p>
  </w:footnote>
  <w:footnote w:id="29">
    <w:p w:rsidR="003A2B61" w:rsidRPr="008F26A8" w:rsidP="00111D08" w14:paraId="6C7BCDE8" w14:textId="4FEF5232">
      <w:pPr>
        <w:pStyle w:val="FootnoteText"/>
      </w:pPr>
      <w:r>
        <w:rPr>
          <w:rStyle w:val="FootnoteReference"/>
        </w:rPr>
        <w:footnoteRef/>
      </w:r>
      <w:r>
        <w:t xml:space="preserve"> </w:t>
      </w:r>
      <w:r w:rsidR="008408BC">
        <w:rPr>
          <w:i/>
          <w:iCs/>
        </w:rPr>
        <w:t>Proceq</w:t>
      </w:r>
      <w:r w:rsidR="008408BC">
        <w:rPr>
          <w:i/>
          <w:iCs/>
        </w:rPr>
        <w:t xml:space="preserve"> USA Inc. Request for Waiver of Part 15 of the Commission’s Rules Applicable to Ultra-Wideband Devices</w:t>
      </w:r>
      <w:r w:rsidR="002026A6">
        <w:t xml:space="preserve">, </w:t>
      </w:r>
      <w:r w:rsidR="00F47BAE">
        <w:t xml:space="preserve">DA 18-251, </w:t>
      </w:r>
      <w:r w:rsidR="002026A6">
        <w:t xml:space="preserve">Order, </w:t>
      </w:r>
      <w:r w:rsidR="00C26157">
        <w:t xml:space="preserve">33 FCC </w:t>
      </w:r>
      <w:r w:rsidR="00C26157">
        <w:t>Rcd</w:t>
      </w:r>
      <w:r w:rsidR="00C26157">
        <w:t xml:space="preserve"> </w:t>
      </w:r>
      <w:r w:rsidR="004E45D1">
        <w:t xml:space="preserve">2258, </w:t>
      </w:r>
      <w:r w:rsidR="00752196">
        <w:t>2259</w:t>
      </w:r>
      <w:r w:rsidR="00C369B2">
        <w:t>, para. 6</w:t>
      </w:r>
      <w:r w:rsidR="00133B1D">
        <w:t xml:space="preserve"> </w:t>
      </w:r>
      <w:r w:rsidR="006E3227">
        <w:t xml:space="preserve">(2018) </w:t>
      </w:r>
      <w:r w:rsidR="00133B1D">
        <w:t xml:space="preserve">(2018 </w:t>
      </w:r>
      <w:r w:rsidR="00133B1D">
        <w:t>Proceq</w:t>
      </w:r>
      <w:r w:rsidR="00133B1D">
        <w:t xml:space="preserve"> Order).  The Commission has w</w:t>
      </w:r>
      <w:r w:rsidR="003E1AE8">
        <w:t>aived section</w:t>
      </w:r>
      <w:r w:rsidR="00CC624E">
        <w:t>s</w:t>
      </w:r>
      <w:r w:rsidR="003E1AE8">
        <w:t xml:space="preserve"> 15.503(d),</w:t>
      </w:r>
      <w:r w:rsidR="00CC624E">
        <w:t xml:space="preserve"> 15.31(c) and 15.521(d) in a number of other </w:t>
      </w:r>
      <w:r w:rsidR="00C23C06">
        <w:t>instance</w:t>
      </w:r>
      <w:r w:rsidR="00CC624E">
        <w:t xml:space="preserve">s.  </w:t>
      </w:r>
      <w:r w:rsidR="00CC624E">
        <w:rPr>
          <w:i/>
          <w:iCs/>
        </w:rPr>
        <w:t xml:space="preserve">See e.g. </w:t>
      </w:r>
      <w:r w:rsidRPr="009E0DCA" w:rsidR="009E0DCA">
        <w:rPr>
          <w:i/>
          <w:iCs/>
        </w:rPr>
        <w:t>Geophysical Survey Systems, Inc.</w:t>
      </w:r>
      <w:r w:rsidR="004523ED">
        <w:rPr>
          <w:i/>
          <w:iCs/>
        </w:rPr>
        <w:t xml:space="preserve"> </w:t>
      </w:r>
      <w:r w:rsidRPr="009E0DCA" w:rsidR="009E0DCA">
        <w:rPr>
          <w:i/>
          <w:iCs/>
        </w:rPr>
        <w:t>Request for Waiver of Sections 15.503(d), 15.31(c),</w:t>
      </w:r>
      <w:r w:rsidR="004523ED">
        <w:rPr>
          <w:i/>
          <w:iCs/>
        </w:rPr>
        <w:t xml:space="preserve"> </w:t>
      </w:r>
      <w:r w:rsidRPr="009E0DCA" w:rsidR="009E0DCA">
        <w:rPr>
          <w:i/>
          <w:iCs/>
        </w:rPr>
        <w:t>and 15.521(d) of the Commission’s Rules</w:t>
      </w:r>
      <w:r w:rsidR="004523ED">
        <w:t>, ET Docket No. 23-650, Order, 3</w:t>
      </w:r>
      <w:r w:rsidR="00962998">
        <w:t xml:space="preserve">8 FCC </w:t>
      </w:r>
      <w:r w:rsidR="00962998">
        <w:t>Rcd</w:t>
      </w:r>
      <w:r w:rsidR="00962998">
        <w:t xml:space="preserve"> 6704 (2023)</w:t>
      </w:r>
      <w:r w:rsidR="00C23C06">
        <w:t xml:space="preserve">; </w:t>
      </w:r>
      <w:r w:rsidRPr="008F26A8" w:rsidR="00111D08">
        <w:rPr>
          <w:i/>
          <w:iCs/>
        </w:rPr>
        <w:t>Kontur, AS Request for Waiver of Sections 15.503(d), 15.31(c), and 15.521(d) of the Commission’s Rules</w:t>
      </w:r>
      <w:r w:rsidR="008F26A8">
        <w:t xml:space="preserve">, ET Docket No. 24-209, Order, 40 FCC </w:t>
      </w:r>
      <w:r w:rsidR="008F26A8">
        <w:t>Rcd</w:t>
      </w:r>
      <w:r w:rsidR="008F26A8">
        <w:t xml:space="preserve"> </w:t>
      </w:r>
      <w:r w:rsidR="004B037F">
        <w:t>448 (2025).</w:t>
      </w:r>
    </w:p>
  </w:footnote>
  <w:footnote w:id="30">
    <w:p w:rsidR="00DB6B30" w:rsidRPr="002C4D22" w14:paraId="57D24213" w14:textId="05508FCB">
      <w:pPr>
        <w:pStyle w:val="FootnoteText"/>
      </w:pPr>
      <w:r>
        <w:rPr>
          <w:rStyle w:val="FootnoteReference"/>
        </w:rPr>
        <w:footnoteRef/>
      </w:r>
      <w:r>
        <w:t xml:space="preserve"> </w:t>
      </w:r>
      <w:r w:rsidR="002C4D22">
        <w:t xml:space="preserve">2018 </w:t>
      </w:r>
      <w:r w:rsidR="002C4D22">
        <w:t>Proceq</w:t>
      </w:r>
      <w:r w:rsidR="002C4D22">
        <w:t xml:space="preserve"> Order, 33 FCC </w:t>
      </w:r>
      <w:r w:rsidR="002C4D22">
        <w:t>Rcd</w:t>
      </w:r>
      <w:r w:rsidR="002C4D22">
        <w:t xml:space="preserve"> </w:t>
      </w:r>
      <w:r w:rsidR="00F621BC">
        <w:t>2259, para. 6.</w:t>
      </w:r>
    </w:p>
  </w:footnote>
  <w:footnote w:id="31">
    <w:p w:rsidR="00C018B8" w:rsidRPr="00C018B8" w14:paraId="48FC3008" w14:textId="04BFC5D1">
      <w:pPr>
        <w:pStyle w:val="FootnoteText"/>
      </w:pPr>
      <w:r>
        <w:rPr>
          <w:rStyle w:val="FootnoteReference"/>
        </w:rPr>
        <w:footnoteRef/>
      </w:r>
      <w:r>
        <w:t xml:space="preserve"> </w:t>
      </w:r>
      <w:r>
        <w:rPr>
          <w:i/>
          <w:iCs/>
        </w:rPr>
        <w:t>Id.</w:t>
      </w:r>
      <w:r>
        <w:t xml:space="preserve"> at 2260, para. 8.</w:t>
      </w:r>
    </w:p>
  </w:footnote>
  <w:footnote w:id="32">
    <w:p w:rsidR="00D21F34" w14:paraId="037107F9" w14:textId="0D0AC1FA">
      <w:pPr>
        <w:pStyle w:val="FootnoteText"/>
      </w:pPr>
      <w:r>
        <w:rPr>
          <w:rStyle w:val="FootnoteReference"/>
        </w:rPr>
        <w:footnoteRef/>
      </w:r>
      <w:r>
        <w:t xml:space="preserve"> </w:t>
      </w:r>
      <w:r>
        <w:t>SmartAuger</w:t>
      </w:r>
      <w:r>
        <w:t xml:space="preserve"> Waiver Request at </w:t>
      </w:r>
      <w:r w:rsidR="00E4290B">
        <w:t>14-15.</w:t>
      </w:r>
    </w:p>
  </w:footnote>
  <w:footnote w:id="33">
    <w:p w:rsidR="00E61CE2" w:rsidP="00E61CE2" w14:paraId="52E0E1FA" w14:textId="77777777">
      <w:pPr>
        <w:pStyle w:val="FootnoteText"/>
      </w:pPr>
      <w:r>
        <w:rPr>
          <w:rStyle w:val="FootnoteReference"/>
        </w:rPr>
        <w:footnoteRef/>
      </w:r>
      <w:r>
        <w:t xml:space="preserve"> </w:t>
      </w:r>
      <w:r>
        <w:t>SmartAuger</w:t>
      </w:r>
      <w:r>
        <w:t xml:space="preserve"> Waiver Request at 15.</w:t>
      </w:r>
    </w:p>
  </w:footnote>
  <w:footnote w:id="34">
    <w:p w:rsidR="00B71793" w:rsidRPr="00C538DE" w14:paraId="7564DDD1" w14:textId="415C5213">
      <w:pPr>
        <w:pStyle w:val="FootnoteText"/>
      </w:pPr>
      <w:r>
        <w:rPr>
          <w:rStyle w:val="FootnoteReference"/>
        </w:rPr>
        <w:footnoteRef/>
      </w:r>
      <w:r>
        <w:t xml:space="preserve"> </w:t>
      </w:r>
      <w:r w:rsidR="00A22A18">
        <w:t xml:space="preserve">This condition is more </w:t>
      </w:r>
      <w:r w:rsidR="00F621BC">
        <w:t>stringent</w:t>
      </w:r>
      <w:r w:rsidR="00A22A18">
        <w:t xml:space="preserve"> than the rules</w:t>
      </w:r>
      <w:r w:rsidR="00F621BC">
        <w:t xml:space="preserve"> require</w:t>
      </w:r>
      <w:r w:rsidR="00A22A18">
        <w:t xml:space="preserve">, which </w:t>
      </w:r>
      <w:r w:rsidR="00AB2656">
        <w:t>allow</w:t>
      </w:r>
      <w:r w:rsidR="00A22A18">
        <w:t xml:space="preserve"> a</w:t>
      </w:r>
      <w:r w:rsidR="00484C48">
        <w:t xml:space="preserve"> GPR to operate only when in contact with, or </w:t>
      </w:r>
      <w:r w:rsidR="00BF553F">
        <w:t>within one meter</w:t>
      </w:r>
      <w:r w:rsidR="00AB2656">
        <w:t>,</w:t>
      </w:r>
      <w:r w:rsidR="00BF553F">
        <w:t xml:space="preserve"> of the ground.  </w:t>
      </w:r>
      <w:r w:rsidR="00C538DE">
        <w:t>47 CFR § 15.</w:t>
      </w:r>
      <w:r w:rsidR="00A22A18">
        <w:t xml:space="preserve">503(f).  </w:t>
      </w:r>
    </w:p>
  </w:footnote>
  <w:footnote w:id="35">
    <w:p w:rsidR="003948E5" w14:paraId="3A811191" w14:textId="552FDEEA">
      <w:pPr>
        <w:pStyle w:val="FootnoteText"/>
      </w:pPr>
      <w:r>
        <w:rPr>
          <w:rStyle w:val="FootnoteReference"/>
        </w:rPr>
        <w:footnoteRef/>
      </w:r>
      <w:r>
        <w:t xml:space="preserve"> </w:t>
      </w:r>
      <w:r w:rsidR="00B3408C">
        <w:t>SmartAuger</w:t>
      </w:r>
      <w:r w:rsidR="00B3408C">
        <w:t xml:space="preserve"> Waiver Request at 15</w:t>
      </w:r>
      <w:r w:rsidR="005F326D">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DA3CA19" w14:textId="7222C548">
    <w:pPr>
      <w:pStyle w:val="Header"/>
      <w:rPr>
        <w:b w:val="0"/>
      </w:rPr>
    </w:pPr>
    <w:r>
      <w:tab/>
      <w:t>Federal Communications Commission</w:t>
    </w:r>
    <w:r>
      <w:tab/>
    </w:r>
    <w:r w:rsidRPr="00EF6478" w:rsidR="00786DBC">
      <w:t xml:space="preserve">DA </w:t>
    </w:r>
    <w:r w:rsidR="004312F8">
      <w:t>26-</w:t>
    </w:r>
    <w:r w:rsidR="00971ABB">
      <w:t>595</w:t>
    </w:r>
  </w:p>
  <w:p w:rsidR="00D25FB5" w14:paraId="6F8D052F" w14:textId="038E469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100CCFB1"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BCAD3B4" w14:textId="099DCB03">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Pr="00971ABB" w:rsidR="00786DBC">
      <w:rPr>
        <w:spacing w:val="-2"/>
      </w:rPr>
      <w:t xml:space="preserve">DA </w:t>
    </w:r>
    <w:r w:rsidRPr="00971ABB" w:rsidR="00B972B7">
      <w:rPr>
        <w:spacing w:val="-2"/>
      </w:rPr>
      <w:t>2</w:t>
    </w:r>
    <w:r w:rsidRPr="00971ABB" w:rsidR="003E1E4F">
      <w:rPr>
        <w:spacing w:val="-2"/>
      </w:rPr>
      <w:t>6</w:t>
    </w:r>
    <w:r w:rsidRPr="00971ABB" w:rsidR="00B972B7">
      <w:rPr>
        <w:spacing w:val="-2"/>
      </w:rPr>
      <w:t>-</w:t>
    </w:r>
    <w:r w:rsidR="00971ABB">
      <w:rPr>
        <w:spacing w:val="-2"/>
      </w:rPr>
      <w:t>595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D00E4AF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1E13E23"/>
    <w:multiLevelType w:val="hybridMultilevel"/>
    <w:tmpl w:val="FFFFFFFF"/>
    <w:lvl w:ilvl="0">
      <w:start w:val="1"/>
      <w:numFmt w:val="decimal"/>
      <w:pStyle w:val="Paranum0"/>
      <w:lvlText w:val="%1."/>
      <w:lvlJc w:val="left"/>
      <w:pPr>
        <w:ind w:left="11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3CD35E9"/>
    <w:multiLevelType w:val="hybridMultilevel"/>
    <w:tmpl w:val="BF2EEFF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8">
    <w:nsid w:val="3E742BD9"/>
    <w:multiLevelType w:val="hybridMultilevel"/>
    <w:tmpl w:val="E0F2472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nsid w:val="472C284F"/>
    <w:multiLevelType w:val="hybridMultilevel"/>
    <w:tmpl w:val="5224BC7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56C34600"/>
    <w:multiLevelType w:val="hybridMultilevel"/>
    <w:tmpl w:val="01544026"/>
    <w:lvl w:ilvl="0">
      <w:start w:val="1"/>
      <w:numFmt w:val="upperLetter"/>
      <w:lvlText w:val="%1."/>
      <w:lvlJc w:val="left"/>
      <w:pPr>
        <w:ind w:left="1080" w:hanging="360"/>
      </w:pPr>
      <w:rPr>
        <w:b/>
        <w:bCs/>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3">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4">
    <w:nsid w:val="63B6130F"/>
    <w:multiLevelType w:val="hybridMultilevel"/>
    <w:tmpl w:val="F5682E1C"/>
    <w:lvl w:ilvl="0">
      <w:start w:val="1"/>
      <w:numFmt w:val="decimal"/>
      <w:lvlText w:val="%1."/>
      <w:lvlJc w:val="left"/>
      <w:pPr>
        <w:tabs>
          <w:tab w:val="num" w:pos="1080"/>
        </w:tabs>
        <w:ind w:left="0" w:firstLine="720"/>
      </w:pPr>
      <w:rPr>
        <w:rFonts w:hint="default"/>
        <w:b w:val="0"/>
      </w:rPr>
    </w:lvl>
    <w:lvl w:ilvl="1">
      <w:start w:val="1"/>
      <w:numFmt w:val="upperLetter"/>
      <w:lvlText w:val="%2."/>
      <w:lvlJc w:val="left"/>
      <w:pPr>
        <w:ind w:left="72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72E351FF"/>
    <w:multiLevelType w:val="hybridMultilevel"/>
    <w:tmpl w:val="82B4932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1800" w:hanging="360"/>
      </w:pPr>
    </w:lvl>
    <w:lvl w:ilvl="3">
      <w:start w:val="1"/>
      <w:numFmt w:val="decimal"/>
      <w:lvlText w:val="%4."/>
      <w:lvlJc w:val="left"/>
      <w:pPr>
        <w:ind w:left="1800" w:hanging="360"/>
      </w:pPr>
    </w:lvl>
    <w:lvl w:ilvl="4">
      <w:start w:val="1"/>
      <w:numFmt w:val="decimal"/>
      <w:lvlText w:val="%5."/>
      <w:lvlJc w:val="left"/>
      <w:pPr>
        <w:ind w:left="1800" w:hanging="360"/>
      </w:pPr>
    </w:lvl>
    <w:lvl w:ilvl="5">
      <w:start w:val="1"/>
      <w:numFmt w:val="decimal"/>
      <w:lvlText w:val="%6."/>
      <w:lvlJc w:val="left"/>
      <w:pPr>
        <w:ind w:left="1800" w:hanging="360"/>
      </w:pPr>
    </w:lvl>
    <w:lvl w:ilvl="6">
      <w:start w:val="1"/>
      <w:numFmt w:val="decimal"/>
      <w:lvlText w:val="%7."/>
      <w:lvlJc w:val="left"/>
      <w:pPr>
        <w:ind w:left="1800" w:hanging="360"/>
      </w:pPr>
    </w:lvl>
    <w:lvl w:ilvl="7">
      <w:start w:val="1"/>
      <w:numFmt w:val="decimal"/>
      <w:lvlText w:val="%8."/>
      <w:lvlJc w:val="left"/>
      <w:pPr>
        <w:ind w:left="1800" w:hanging="360"/>
      </w:pPr>
    </w:lvl>
    <w:lvl w:ilvl="8">
      <w:start w:val="1"/>
      <w:numFmt w:val="decimal"/>
      <w:lvlText w:val="%9."/>
      <w:lvlJc w:val="left"/>
      <w:pPr>
        <w:ind w:left="1800" w:hanging="360"/>
      </w:pPr>
    </w:lvl>
  </w:abstractNum>
  <w:abstractNum w:abstractNumId="16">
    <w:nsid w:val="748322E7"/>
    <w:multiLevelType w:val="hybridMultilevel"/>
    <w:tmpl w:val="01544026"/>
    <w:lvl w:ilvl="0">
      <w:start w:val="1"/>
      <w:numFmt w:val="upperLetter"/>
      <w:lvlText w:val="%1."/>
      <w:lvlJc w:val="left"/>
      <w:pPr>
        <w:ind w:left="720" w:hanging="360"/>
      </w:pPr>
      <w:rPr>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889999853">
    <w:abstractNumId w:val="13"/>
  </w:num>
  <w:num w:numId="2" w16cid:durableId="317074339">
    <w:abstractNumId w:val="6"/>
  </w:num>
  <w:num w:numId="3" w16cid:durableId="668212129">
    <w:abstractNumId w:val="3"/>
  </w:num>
  <w:num w:numId="4" w16cid:durableId="1649479145">
    <w:abstractNumId w:val="4"/>
  </w:num>
  <w:num w:numId="5" w16cid:durableId="1034498920">
    <w:abstractNumId w:val="11"/>
  </w:num>
  <w:num w:numId="6" w16cid:durableId="1496413542">
    <w:abstractNumId w:val="5"/>
  </w:num>
  <w:num w:numId="7" w16cid:durableId="152838423">
    <w:abstractNumId w:val="1"/>
  </w:num>
  <w:num w:numId="8" w16cid:durableId="541864306">
    <w:abstractNumId w:val="2"/>
  </w:num>
  <w:num w:numId="9" w16cid:durableId="546257695">
    <w:abstractNumId w:val="9"/>
  </w:num>
  <w:num w:numId="10" w16cid:durableId="1328284731">
    <w:abstractNumId w:val="0"/>
  </w:num>
  <w:num w:numId="11" w16cid:durableId="1823277778">
    <w:abstractNumId w:val="7"/>
  </w:num>
  <w:num w:numId="12" w16cid:durableId="1911620677">
    <w:abstractNumId w:val="13"/>
    <w:lvlOverride w:ilvl="0">
      <w:startOverride w:val="1"/>
    </w:lvlOverride>
  </w:num>
  <w:num w:numId="13" w16cid:durableId="27339187">
    <w:abstractNumId w:val="13"/>
    <w:lvlOverride w:ilvl="0">
      <w:startOverride w:val="1"/>
    </w:lvlOverride>
  </w:num>
  <w:num w:numId="14" w16cid:durableId="165494338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57837952">
    <w:abstractNumId w:val="14"/>
  </w:num>
  <w:num w:numId="16" w16cid:durableId="432944836">
    <w:abstractNumId w:val="16"/>
  </w:num>
  <w:num w:numId="17" w16cid:durableId="788858596">
    <w:abstractNumId w:val="8"/>
  </w:num>
  <w:num w:numId="18" w16cid:durableId="286552186">
    <w:abstractNumId w:val="12"/>
  </w:num>
  <w:num w:numId="19" w16cid:durableId="1014190319">
    <w:abstractNumId w:val="15"/>
  </w:num>
  <w:num w:numId="20" w16cid:durableId="475755234">
    <w:abstractNumId w:val="10"/>
  </w:num>
  <w:num w:numId="21" w16cid:durableId="28312167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94667824">
    <w:abstractNumId w:val="13"/>
    <w:lvlOverride w:ilvl="0">
      <w:startOverride w:val="1"/>
    </w:lvlOverride>
  </w:num>
  <w:num w:numId="23" w16cid:durableId="271593931">
    <w:abstractNumId w:val="13"/>
    <w:lvlOverride w:ilvl="0">
      <w:startOverride w:val="1"/>
    </w:lvlOverride>
  </w:num>
  <w:num w:numId="24" w16cid:durableId="2071612383">
    <w:abstractNumId w:val="13"/>
    <w:lvlOverride w:ilvl="0">
      <w:startOverride w:val="1"/>
    </w:lvlOverride>
  </w:num>
  <w:num w:numId="25" w16cid:durableId="1956868643">
    <w:abstractNumId w:val="13"/>
    <w:lvlOverride w:ilvl="0">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E97"/>
    <w:rsid w:val="0000003D"/>
    <w:rsid w:val="000009CD"/>
    <w:rsid w:val="00000BEB"/>
    <w:rsid w:val="00002981"/>
    <w:rsid w:val="00003EF8"/>
    <w:rsid w:val="00004942"/>
    <w:rsid w:val="00004F3D"/>
    <w:rsid w:val="000078F8"/>
    <w:rsid w:val="0001058D"/>
    <w:rsid w:val="00011EAE"/>
    <w:rsid w:val="00011FA0"/>
    <w:rsid w:val="00013BE2"/>
    <w:rsid w:val="00021127"/>
    <w:rsid w:val="000211E3"/>
    <w:rsid w:val="00021524"/>
    <w:rsid w:val="00021676"/>
    <w:rsid w:val="0003055E"/>
    <w:rsid w:val="000322E7"/>
    <w:rsid w:val="00032382"/>
    <w:rsid w:val="0003325B"/>
    <w:rsid w:val="00034582"/>
    <w:rsid w:val="00036039"/>
    <w:rsid w:val="00037F90"/>
    <w:rsid w:val="0004102C"/>
    <w:rsid w:val="00041AEB"/>
    <w:rsid w:val="0004202E"/>
    <w:rsid w:val="00042207"/>
    <w:rsid w:val="00045179"/>
    <w:rsid w:val="00050AEB"/>
    <w:rsid w:val="00050D66"/>
    <w:rsid w:val="0005228A"/>
    <w:rsid w:val="0005235C"/>
    <w:rsid w:val="0005283D"/>
    <w:rsid w:val="00054793"/>
    <w:rsid w:val="00056C49"/>
    <w:rsid w:val="00056E16"/>
    <w:rsid w:val="00061FC3"/>
    <w:rsid w:val="00062B4B"/>
    <w:rsid w:val="00063095"/>
    <w:rsid w:val="00063FF7"/>
    <w:rsid w:val="00065506"/>
    <w:rsid w:val="00066D2D"/>
    <w:rsid w:val="0007083A"/>
    <w:rsid w:val="00071C54"/>
    <w:rsid w:val="0007230F"/>
    <w:rsid w:val="00074585"/>
    <w:rsid w:val="00076491"/>
    <w:rsid w:val="00080319"/>
    <w:rsid w:val="000805A9"/>
    <w:rsid w:val="00080C99"/>
    <w:rsid w:val="00081954"/>
    <w:rsid w:val="0008334B"/>
    <w:rsid w:val="00083C56"/>
    <w:rsid w:val="0008414B"/>
    <w:rsid w:val="00084F99"/>
    <w:rsid w:val="00086366"/>
    <w:rsid w:val="0008718F"/>
    <w:rsid w:val="000873FE"/>
    <w:rsid w:val="000875BF"/>
    <w:rsid w:val="000906D1"/>
    <w:rsid w:val="00090ACE"/>
    <w:rsid w:val="0009298A"/>
    <w:rsid w:val="00094762"/>
    <w:rsid w:val="00095AA7"/>
    <w:rsid w:val="00095E2C"/>
    <w:rsid w:val="00096355"/>
    <w:rsid w:val="00096439"/>
    <w:rsid w:val="0009669C"/>
    <w:rsid w:val="00096D8C"/>
    <w:rsid w:val="000A0C3B"/>
    <w:rsid w:val="000A3039"/>
    <w:rsid w:val="000A3703"/>
    <w:rsid w:val="000A4953"/>
    <w:rsid w:val="000A6AD5"/>
    <w:rsid w:val="000A6CEF"/>
    <w:rsid w:val="000B215A"/>
    <w:rsid w:val="000B3581"/>
    <w:rsid w:val="000B4663"/>
    <w:rsid w:val="000B53DD"/>
    <w:rsid w:val="000B75BB"/>
    <w:rsid w:val="000C0B65"/>
    <w:rsid w:val="000C102E"/>
    <w:rsid w:val="000C34F1"/>
    <w:rsid w:val="000C4149"/>
    <w:rsid w:val="000C5A53"/>
    <w:rsid w:val="000C5C00"/>
    <w:rsid w:val="000C6D47"/>
    <w:rsid w:val="000D3BA9"/>
    <w:rsid w:val="000D3EC0"/>
    <w:rsid w:val="000D41FC"/>
    <w:rsid w:val="000D5820"/>
    <w:rsid w:val="000D5E28"/>
    <w:rsid w:val="000D7F7E"/>
    <w:rsid w:val="000E05FE"/>
    <w:rsid w:val="000E0C08"/>
    <w:rsid w:val="000E1BD0"/>
    <w:rsid w:val="000E25C3"/>
    <w:rsid w:val="000E3D42"/>
    <w:rsid w:val="000E52E3"/>
    <w:rsid w:val="000E7461"/>
    <w:rsid w:val="000E7BAF"/>
    <w:rsid w:val="000F408B"/>
    <w:rsid w:val="000F526D"/>
    <w:rsid w:val="000F726E"/>
    <w:rsid w:val="001034E7"/>
    <w:rsid w:val="00106F28"/>
    <w:rsid w:val="001101D7"/>
    <w:rsid w:val="00111D08"/>
    <w:rsid w:val="00116970"/>
    <w:rsid w:val="001205FE"/>
    <w:rsid w:val="00120AF0"/>
    <w:rsid w:val="00120DC6"/>
    <w:rsid w:val="0012141A"/>
    <w:rsid w:val="001216F5"/>
    <w:rsid w:val="001217A2"/>
    <w:rsid w:val="001225CB"/>
    <w:rsid w:val="00122BD5"/>
    <w:rsid w:val="00125128"/>
    <w:rsid w:val="00130B40"/>
    <w:rsid w:val="00130F20"/>
    <w:rsid w:val="001319AF"/>
    <w:rsid w:val="001335D0"/>
    <w:rsid w:val="00133B1D"/>
    <w:rsid w:val="00133F79"/>
    <w:rsid w:val="00134149"/>
    <w:rsid w:val="00134CC6"/>
    <w:rsid w:val="00135D97"/>
    <w:rsid w:val="00137566"/>
    <w:rsid w:val="0014021F"/>
    <w:rsid w:val="001431FA"/>
    <w:rsid w:val="00150BB4"/>
    <w:rsid w:val="00152E0A"/>
    <w:rsid w:val="00152FBD"/>
    <w:rsid w:val="00154A6C"/>
    <w:rsid w:val="0015626B"/>
    <w:rsid w:val="00156C27"/>
    <w:rsid w:val="00162D90"/>
    <w:rsid w:val="001668E0"/>
    <w:rsid w:val="00166ED8"/>
    <w:rsid w:val="00167A0C"/>
    <w:rsid w:val="001717BC"/>
    <w:rsid w:val="001732FC"/>
    <w:rsid w:val="001750E7"/>
    <w:rsid w:val="0017631A"/>
    <w:rsid w:val="00176B24"/>
    <w:rsid w:val="001840B6"/>
    <w:rsid w:val="00184652"/>
    <w:rsid w:val="0018663F"/>
    <w:rsid w:val="00191287"/>
    <w:rsid w:val="001913EB"/>
    <w:rsid w:val="0019337C"/>
    <w:rsid w:val="0019383C"/>
    <w:rsid w:val="00194A66"/>
    <w:rsid w:val="00197B61"/>
    <w:rsid w:val="001A10FA"/>
    <w:rsid w:val="001A36A5"/>
    <w:rsid w:val="001A401D"/>
    <w:rsid w:val="001A5E29"/>
    <w:rsid w:val="001B1F7D"/>
    <w:rsid w:val="001B2D89"/>
    <w:rsid w:val="001B2EA8"/>
    <w:rsid w:val="001B420E"/>
    <w:rsid w:val="001C0480"/>
    <w:rsid w:val="001C06A6"/>
    <w:rsid w:val="001C08C0"/>
    <w:rsid w:val="001C3F8B"/>
    <w:rsid w:val="001C511F"/>
    <w:rsid w:val="001C51A0"/>
    <w:rsid w:val="001C6348"/>
    <w:rsid w:val="001C6CAF"/>
    <w:rsid w:val="001D05C4"/>
    <w:rsid w:val="001D43DD"/>
    <w:rsid w:val="001D6BCF"/>
    <w:rsid w:val="001E01CA"/>
    <w:rsid w:val="001E070F"/>
    <w:rsid w:val="001E1194"/>
    <w:rsid w:val="001E17CD"/>
    <w:rsid w:val="001E4112"/>
    <w:rsid w:val="001E55A2"/>
    <w:rsid w:val="001E5C8A"/>
    <w:rsid w:val="001E5D6E"/>
    <w:rsid w:val="001F0AF0"/>
    <w:rsid w:val="001F1A52"/>
    <w:rsid w:val="001F46A1"/>
    <w:rsid w:val="001F4D16"/>
    <w:rsid w:val="001F5AE0"/>
    <w:rsid w:val="001F5C47"/>
    <w:rsid w:val="001F689A"/>
    <w:rsid w:val="002005D7"/>
    <w:rsid w:val="00200E4F"/>
    <w:rsid w:val="002018A3"/>
    <w:rsid w:val="002026A6"/>
    <w:rsid w:val="00202A0F"/>
    <w:rsid w:val="00204DFC"/>
    <w:rsid w:val="00205277"/>
    <w:rsid w:val="00205580"/>
    <w:rsid w:val="00206A21"/>
    <w:rsid w:val="002073F5"/>
    <w:rsid w:val="0021087F"/>
    <w:rsid w:val="00210BB5"/>
    <w:rsid w:val="00212B73"/>
    <w:rsid w:val="0021341A"/>
    <w:rsid w:val="00215797"/>
    <w:rsid w:val="00216922"/>
    <w:rsid w:val="002203C7"/>
    <w:rsid w:val="0022346F"/>
    <w:rsid w:val="002260EB"/>
    <w:rsid w:val="002263D0"/>
    <w:rsid w:val="00232A8E"/>
    <w:rsid w:val="00232C2C"/>
    <w:rsid w:val="00233549"/>
    <w:rsid w:val="00235365"/>
    <w:rsid w:val="002370CE"/>
    <w:rsid w:val="002409DD"/>
    <w:rsid w:val="00241104"/>
    <w:rsid w:val="00244924"/>
    <w:rsid w:val="00244D25"/>
    <w:rsid w:val="00245AB2"/>
    <w:rsid w:val="00252DA4"/>
    <w:rsid w:val="00252F42"/>
    <w:rsid w:val="002532A2"/>
    <w:rsid w:val="00253803"/>
    <w:rsid w:val="00254AB7"/>
    <w:rsid w:val="00263468"/>
    <w:rsid w:val="00265156"/>
    <w:rsid w:val="00265CBC"/>
    <w:rsid w:val="00266568"/>
    <w:rsid w:val="00266C50"/>
    <w:rsid w:val="002673F4"/>
    <w:rsid w:val="00267C39"/>
    <w:rsid w:val="00270FAC"/>
    <w:rsid w:val="002711F8"/>
    <w:rsid w:val="00273659"/>
    <w:rsid w:val="002747D0"/>
    <w:rsid w:val="00275475"/>
    <w:rsid w:val="00275CF5"/>
    <w:rsid w:val="0028301F"/>
    <w:rsid w:val="00285017"/>
    <w:rsid w:val="00286B08"/>
    <w:rsid w:val="002870F3"/>
    <w:rsid w:val="00291DEB"/>
    <w:rsid w:val="0029427A"/>
    <w:rsid w:val="00294E4D"/>
    <w:rsid w:val="00295437"/>
    <w:rsid w:val="002954E5"/>
    <w:rsid w:val="002A2A8D"/>
    <w:rsid w:val="002A2D2E"/>
    <w:rsid w:val="002A341C"/>
    <w:rsid w:val="002A3E13"/>
    <w:rsid w:val="002A5D22"/>
    <w:rsid w:val="002A7E80"/>
    <w:rsid w:val="002B17DA"/>
    <w:rsid w:val="002B22B8"/>
    <w:rsid w:val="002B33CB"/>
    <w:rsid w:val="002B5C6C"/>
    <w:rsid w:val="002C00E8"/>
    <w:rsid w:val="002C162E"/>
    <w:rsid w:val="002C3123"/>
    <w:rsid w:val="002C4D22"/>
    <w:rsid w:val="002C60E7"/>
    <w:rsid w:val="002C70FC"/>
    <w:rsid w:val="002D4BC7"/>
    <w:rsid w:val="002E0812"/>
    <w:rsid w:val="002E0C90"/>
    <w:rsid w:val="002E157A"/>
    <w:rsid w:val="002E1CF2"/>
    <w:rsid w:val="002E3394"/>
    <w:rsid w:val="002E5748"/>
    <w:rsid w:val="002F0F66"/>
    <w:rsid w:val="002F1801"/>
    <w:rsid w:val="002F1A4F"/>
    <w:rsid w:val="002F1CA7"/>
    <w:rsid w:val="002F2375"/>
    <w:rsid w:val="002F5375"/>
    <w:rsid w:val="002F5731"/>
    <w:rsid w:val="002F59DA"/>
    <w:rsid w:val="002F617B"/>
    <w:rsid w:val="003001B3"/>
    <w:rsid w:val="00301CCB"/>
    <w:rsid w:val="00301DC0"/>
    <w:rsid w:val="00303F81"/>
    <w:rsid w:val="00304F55"/>
    <w:rsid w:val="00305FD6"/>
    <w:rsid w:val="003108F5"/>
    <w:rsid w:val="00310DAE"/>
    <w:rsid w:val="00312656"/>
    <w:rsid w:val="0031455A"/>
    <w:rsid w:val="003214BD"/>
    <w:rsid w:val="003221CE"/>
    <w:rsid w:val="003243BC"/>
    <w:rsid w:val="00324A8B"/>
    <w:rsid w:val="00326BE1"/>
    <w:rsid w:val="00331048"/>
    <w:rsid w:val="00331894"/>
    <w:rsid w:val="003318AE"/>
    <w:rsid w:val="00334740"/>
    <w:rsid w:val="00337BC0"/>
    <w:rsid w:val="00341AFA"/>
    <w:rsid w:val="00341B71"/>
    <w:rsid w:val="00341BEF"/>
    <w:rsid w:val="00343749"/>
    <w:rsid w:val="003438D4"/>
    <w:rsid w:val="00345CB0"/>
    <w:rsid w:val="003463C1"/>
    <w:rsid w:val="00347B38"/>
    <w:rsid w:val="00351EBE"/>
    <w:rsid w:val="003531A6"/>
    <w:rsid w:val="0035368E"/>
    <w:rsid w:val="003539B9"/>
    <w:rsid w:val="00354C5D"/>
    <w:rsid w:val="00357C86"/>
    <w:rsid w:val="003601C3"/>
    <w:rsid w:val="0036128A"/>
    <w:rsid w:val="0036298D"/>
    <w:rsid w:val="0036391D"/>
    <w:rsid w:val="003660ED"/>
    <w:rsid w:val="00367F18"/>
    <w:rsid w:val="00367F23"/>
    <w:rsid w:val="003702F1"/>
    <w:rsid w:val="0037176F"/>
    <w:rsid w:val="00371D64"/>
    <w:rsid w:val="00372409"/>
    <w:rsid w:val="00372A2E"/>
    <w:rsid w:val="003732CB"/>
    <w:rsid w:val="00374D32"/>
    <w:rsid w:val="00374E06"/>
    <w:rsid w:val="0038086C"/>
    <w:rsid w:val="00380B72"/>
    <w:rsid w:val="00382A18"/>
    <w:rsid w:val="00382C62"/>
    <w:rsid w:val="00382EEA"/>
    <w:rsid w:val="00384A88"/>
    <w:rsid w:val="00386381"/>
    <w:rsid w:val="00390316"/>
    <w:rsid w:val="003948E5"/>
    <w:rsid w:val="00395F53"/>
    <w:rsid w:val="00396B2F"/>
    <w:rsid w:val="00396C7F"/>
    <w:rsid w:val="003A2146"/>
    <w:rsid w:val="003A28A1"/>
    <w:rsid w:val="003A2B61"/>
    <w:rsid w:val="003A36BB"/>
    <w:rsid w:val="003A7764"/>
    <w:rsid w:val="003B0550"/>
    <w:rsid w:val="003B0556"/>
    <w:rsid w:val="003B18DE"/>
    <w:rsid w:val="003B1B4A"/>
    <w:rsid w:val="003B2106"/>
    <w:rsid w:val="003B38FF"/>
    <w:rsid w:val="003B52B3"/>
    <w:rsid w:val="003B694F"/>
    <w:rsid w:val="003B7570"/>
    <w:rsid w:val="003C012C"/>
    <w:rsid w:val="003C2A9E"/>
    <w:rsid w:val="003C3C1D"/>
    <w:rsid w:val="003C4780"/>
    <w:rsid w:val="003D0D45"/>
    <w:rsid w:val="003D122E"/>
    <w:rsid w:val="003D169B"/>
    <w:rsid w:val="003D1819"/>
    <w:rsid w:val="003D2A95"/>
    <w:rsid w:val="003D33F4"/>
    <w:rsid w:val="003D6B0D"/>
    <w:rsid w:val="003D6C69"/>
    <w:rsid w:val="003D7B59"/>
    <w:rsid w:val="003E03B5"/>
    <w:rsid w:val="003E1AE8"/>
    <w:rsid w:val="003E1E4F"/>
    <w:rsid w:val="003E227C"/>
    <w:rsid w:val="003E3EE8"/>
    <w:rsid w:val="003E4C18"/>
    <w:rsid w:val="003E526D"/>
    <w:rsid w:val="003E7D14"/>
    <w:rsid w:val="003F171C"/>
    <w:rsid w:val="003F17D1"/>
    <w:rsid w:val="003F1A7B"/>
    <w:rsid w:val="003F286A"/>
    <w:rsid w:val="003F3439"/>
    <w:rsid w:val="003F39DA"/>
    <w:rsid w:val="003F3FDC"/>
    <w:rsid w:val="003F5993"/>
    <w:rsid w:val="003F6769"/>
    <w:rsid w:val="003F7993"/>
    <w:rsid w:val="003F7D7B"/>
    <w:rsid w:val="00402336"/>
    <w:rsid w:val="0040687F"/>
    <w:rsid w:val="004076E4"/>
    <w:rsid w:val="00411E99"/>
    <w:rsid w:val="00412FC5"/>
    <w:rsid w:val="00415FC1"/>
    <w:rsid w:val="0041695C"/>
    <w:rsid w:val="0041703E"/>
    <w:rsid w:val="004219B6"/>
    <w:rsid w:val="00422276"/>
    <w:rsid w:val="00422BC7"/>
    <w:rsid w:val="00422FB3"/>
    <w:rsid w:val="00423330"/>
    <w:rsid w:val="0042374C"/>
    <w:rsid w:val="00424111"/>
    <w:rsid w:val="004242F1"/>
    <w:rsid w:val="00425C9F"/>
    <w:rsid w:val="0042632A"/>
    <w:rsid w:val="004312F8"/>
    <w:rsid w:val="00432054"/>
    <w:rsid w:val="0043515F"/>
    <w:rsid w:val="00435CA4"/>
    <w:rsid w:val="00435DB3"/>
    <w:rsid w:val="004404A3"/>
    <w:rsid w:val="00441511"/>
    <w:rsid w:val="00441FA7"/>
    <w:rsid w:val="00443230"/>
    <w:rsid w:val="00444E79"/>
    <w:rsid w:val="00445A00"/>
    <w:rsid w:val="00445F01"/>
    <w:rsid w:val="0044734F"/>
    <w:rsid w:val="004474C4"/>
    <w:rsid w:val="00450C45"/>
    <w:rsid w:val="00451B0F"/>
    <w:rsid w:val="004523ED"/>
    <w:rsid w:val="004550BC"/>
    <w:rsid w:val="00455445"/>
    <w:rsid w:val="004607D9"/>
    <w:rsid w:val="004700C4"/>
    <w:rsid w:val="00473A94"/>
    <w:rsid w:val="00473B14"/>
    <w:rsid w:val="00474540"/>
    <w:rsid w:val="0047572C"/>
    <w:rsid w:val="00476B3F"/>
    <w:rsid w:val="00484C48"/>
    <w:rsid w:val="00484FE5"/>
    <w:rsid w:val="004868AA"/>
    <w:rsid w:val="004874AD"/>
    <w:rsid w:val="00487665"/>
    <w:rsid w:val="004920F4"/>
    <w:rsid w:val="004955B0"/>
    <w:rsid w:val="004A33A6"/>
    <w:rsid w:val="004A72E1"/>
    <w:rsid w:val="004B0087"/>
    <w:rsid w:val="004B037F"/>
    <w:rsid w:val="004B2CBC"/>
    <w:rsid w:val="004B2D77"/>
    <w:rsid w:val="004C2A53"/>
    <w:rsid w:val="004C2EE3"/>
    <w:rsid w:val="004C57B4"/>
    <w:rsid w:val="004C6416"/>
    <w:rsid w:val="004C6B0A"/>
    <w:rsid w:val="004C72AB"/>
    <w:rsid w:val="004D2F69"/>
    <w:rsid w:val="004D4584"/>
    <w:rsid w:val="004D609A"/>
    <w:rsid w:val="004D64E0"/>
    <w:rsid w:val="004E2C36"/>
    <w:rsid w:val="004E303E"/>
    <w:rsid w:val="004E314A"/>
    <w:rsid w:val="004E45D1"/>
    <w:rsid w:val="004E4A22"/>
    <w:rsid w:val="004E4B06"/>
    <w:rsid w:val="004E4D3C"/>
    <w:rsid w:val="004E5D2C"/>
    <w:rsid w:val="004E5ED4"/>
    <w:rsid w:val="004F0BFE"/>
    <w:rsid w:val="004F1EE1"/>
    <w:rsid w:val="004F35BA"/>
    <w:rsid w:val="004F4AA5"/>
    <w:rsid w:val="004F6007"/>
    <w:rsid w:val="004F6438"/>
    <w:rsid w:val="004F6FBD"/>
    <w:rsid w:val="005001DC"/>
    <w:rsid w:val="00500217"/>
    <w:rsid w:val="00503133"/>
    <w:rsid w:val="00504D20"/>
    <w:rsid w:val="00505491"/>
    <w:rsid w:val="00506364"/>
    <w:rsid w:val="0051188E"/>
    <w:rsid w:val="00511968"/>
    <w:rsid w:val="00511E05"/>
    <w:rsid w:val="0051306A"/>
    <w:rsid w:val="005131D3"/>
    <w:rsid w:val="00515447"/>
    <w:rsid w:val="00515938"/>
    <w:rsid w:val="005179E4"/>
    <w:rsid w:val="00517CC7"/>
    <w:rsid w:val="00521148"/>
    <w:rsid w:val="005213B5"/>
    <w:rsid w:val="00522295"/>
    <w:rsid w:val="005232B0"/>
    <w:rsid w:val="00524AE0"/>
    <w:rsid w:val="0052732B"/>
    <w:rsid w:val="0053064E"/>
    <w:rsid w:val="00532BB9"/>
    <w:rsid w:val="00533EE1"/>
    <w:rsid w:val="00536868"/>
    <w:rsid w:val="0053725B"/>
    <w:rsid w:val="00537655"/>
    <w:rsid w:val="00540FA2"/>
    <w:rsid w:val="00541FE1"/>
    <w:rsid w:val="005429B7"/>
    <w:rsid w:val="005469C1"/>
    <w:rsid w:val="00547417"/>
    <w:rsid w:val="00547C6A"/>
    <w:rsid w:val="005524BD"/>
    <w:rsid w:val="00553C03"/>
    <w:rsid w:val="00555476"/>
    <w:rsid w:val="0055614C"/>
    <w:rsid w:val="005567B9"/>
    <w:rsid w:val="00557E20"/>
    <w:rsid w:val="00560351"/>
    <w:rsid w:val="00560675"/>
    <w:rsid w:val="005622CD"/>
    <w:rsid w:val="00564395"/>
    <w:rsid w:val="005660BE"/>
    <w:rsid w:val="00566426"/>
    <w:rsid w:val="00566996"/>
    <w:rsid w:val="00566D06"/>
    <w:rsid w:val="00570E1B"/>
    <w:rsid w:val="005711F9"/>
    <w:rsid w:val="005723B7"/>
    <w:rsid w:val="00572997"/>
    <w:rsid w:val="00574206"/>
    <w:rsid w:val="00574671"/>
    <w:rsid w:val="00574BBA"/>
    <w:rsid w:val="00575072"/>
    <w:rsid w:val="0057633A"/>
    <w:rsid w:val="00582158"/>
    <w:rsid w:val="005824C5"/>
    <w:rsid w:val="00587658"/>
    <w:rsid w:val="0058780F"/>
    <w:rsid w:val="00596746"/>
    <w:rsid w:val="00596C6E"/>
    <w:rsid w:val="005A3577"/>
    <w:rsid w:val="005A7B30"/>
    <w:rsid w:val="005B0D52"/>
    <w:rsid w:val="005B18CA"/>
    <w:rsid w:val="005B23D9"/>
    <w:rsid w:val="005B3AE4"/>
    <w:rsid w:val="005B4518"/>
    <w:rsid w:val="005B7040"/>
    <w:rsid w:val="005C136B"/>
    <w:rsid w:val="005C2320"/>
    <w:rsid w:val="005C283C"/>
    <w:rsid w:val="005C58C4"/>
    <w:rsid w:val="005C5A74"/>
    <w:rsid w:val="005C698E"/>
    <w:rsid w:val="005C69E6"/>
    <w:rsid w:val="005C73FF"/>
    <w:rsid w:val="005D1A99"/>
    <w:rsid w:val="005D4FA3"/>
    <w:rsid w:val="005D555F"/>
    <w:rsid w:val="005D611B"/>
    <w:rsid w:val="005E06EE"/>
    <w:rsid w:val="005E125B"/>
    <w:rsid w:val="005E14C2"/>
    <w:rsid w:val="005E275C"/>
    <w:rsid w:val="005E2E28"/>
    <w:rsid w:val="005E4243"/>
    <w:rsid w:val="005E444C"/>
    <w:rsid w:val="005E514E"/>
    <w:rsid w:val="005E6EB8"/>
    <w:rsid w:val="005E797A"/>
    <w:rsid w:val="005E7F7D"/>
    <w:rsid w:val="005F326D"/>
    <w:rsid w:val="005F3F25"/>
    <w:rsid w:val="005F3FE8"/>
    <w:rsid w:val="005F4AA3"/>
    <w:rsid w:val="005F5893"/>
    <w:rsid w:val="005F6D51"/>
    <w:rsid w:val="005F7659"/>
    <w:rsid w:val="00602285"/>
    <w:rsid w:val="00603B50"/>
    <w:rsid w:val="006042B8"/>
    <w:rsid w:val="00607BA5"/>
    <w:rsid w:val="00610038"/>
    <w:rsid w:val="00610EAC"/>
    <w:rsid w:val="0061180A"/>
    <w:rsid w:val="00612291"/>
    <w:rsid w:val="006129CE"/>
    <w:rsid w:val="00612C08"/>
    <w:rsid w:val="00615A37"/>
    <w:rsid w:val="00616ACF"/>
    <w:rsid w:val="00620292"/>
    <w:rsid w:val="00620D37"/>
    <w:rsid w:val="00622823"/>
    <w:rsid w:val="00622F08"/>
    <w:rsid w:val="006231E1"/>
    <w:rsid w:val="0062456E"/>
    <w:rsid w:val="00625728"/>
    <w:rsid w:val="00626EB6"/>
    <w:rsid w:val="00631383"/>
    <w:rsid w:val="0063200A"/>
    <w:rsid w:val="00636AD8"/>
    <w:rsid w:val="00637B09"/>
    <w:rsid w:val="00641803"/>
    <w:rsid w:val="00641E05"/>
    <w:rsid w:val="006444B5"/>
    <w:rsid w:val="00644626"/>
    <w:rsid w:val="006446DD"/>
    <w:rsid w:val="006470D4"/>
    <w:rsid w:val="00653C0E"/>
    <w:rsid w:val="00654B93"/>
    <w:rsid w:val="00655A04"/>
    <w:rsid w:val="00655D03"/>
    <w:rsid w:val="00657EA1"/>
    <w:rsid w:val="00663DE3"/>
    <w:rsid w:val="006648B2"/>
    <w:rsid w:val="00664AC5"/>
    <w:rsid w:val="00666E59"/>
    <w:rsid w:val="00667F38"/>
    <w:rsid w:val="00670078"/>
    <w:rsid w:val="00670BAF"/>
    <w:rsid w:val="0067109B"/>
    <w:rsid w:val="00671CBB"/>
    <w:rsid w:val="006723AF"/>
    <w:rsid w:val="00672694"/>
    <w:rsid w:val="006762F1"/>
    <w:rsid w:val="00680480"/>
    <w:rsid w:val="006805F4"/>
    <w:rsid w:val="006814B2"/>
    <w:rsid w:val="00683388"/>
    <w:rsid w:val="00683F84"/>
    <w:rsid w:val="006840B2"/>
    <w:rsid w:val="00687B2F"/>
    <w:rsid w:val="006906A8"/>
    <w:rsid w:val="0069446A"/>
    <w:rsid w:val="006957F6"/>
    <w:rsid w:val="006959D8"/>
    <w:rsid w:val="0069766F"/>
    <w:rsid w:val="00697BB6"/>
    <w:rsid w:val="006A1A2F"/>
    <w:rsid w:val="006A1B11"/>
    <w:rsid w:val="006A38AD"/>
    <w:rsid w:val="006A3CFE"/>
    <w:rsid w:val="006A6A81"/>
    <w:rsid w:val="006A7EE6"/>
    <w:rsid w:val="006B12F0"/>
    <w:rsid w:val="006B3E85"/>
    <w:rsid w:val="006B5E65"/>
    <w:rsid w:val="006B6608"/>
    <w:rsid w:val="006B67CC"/>
    <w:rsid w:val="006B6B1D"/>
    <w:rsid w:val="006B7A3F"/>
    <w:rsid w:val="006B7AD1"/>
    <w:rsid w:val="006C056B"/>
    <w:rsid w:val="006C0764"/>
    <w:rsid w:val="006C0A6F"/>
    <w:rsid w:val="006C1C79"/>
    <w:rsid w:val="006C231A"/>
    <w:rsid w:val="006C388A"/>
    <w:rsid w:val="006C45B7"/>
    <w:rsid w:val="006C5F33"/>
    <w:rsid w:val="006C691F"/>
    <w:rsid w:val="006C6B42"/>
    <w:rsid w:val="006C77DD"/>
    <w:rsid w:val="006D104F"/>
    <w:rsid w:val="006D1A4D"/>
    <w:rsid w:val="006D320F"/>
    <w:rsid w:val="006D507D"/>
    <w:rsid w:val="006D50C3"/>
    <w:rsid w:val="006D6A68"/>
    <w:rsid w:val="006D6E07"/>
    <w:rsid w:val="006D7134"/>
    <w:rsid w:val="006E0221"/>
    <w:rsid w:val="006E3227"/>
    <w:rsid w:val="006E3710"/>
    <w:rsid w:val="006E5EEF"/>
    <w:rsid w:val="006E60E3"/>
    <w:rsid w:val="006E791E"/>
    <w:rsid w:val="006F1B1D"/>
    <w:rsid w:val="006F4158"/>
    <w:rsid w:val="006F5339"/>
    <w:rsid w:val="006F5F0D"/>
    <w:rsid w:val="006F7393"/>
    <w:rsid w:val="006FFE88"/>
    <w:rsid w:val="00701293"/>
    <w:rsid w:val="0070224F"/>
    <w:rsid w:val="0070560F"/>
    <w:rsid w:val="0070656E"/>
    <w:rsid w:val="007071DC"/>
    <w:rsid w:val="00710BD3"/>
    <w:rsid w:val="007115F7"/>
    <w:rsid w:val="00712EEA"/>
    <w:rsid w:val="00716446"/>
    <w:rsid w:val="00716870"/>
    <w:rsid w:val="00717D5B"/>
    <w:rsid w:val="00720336"/>
    <w:rsid w:val="0072111B"/>
    <w:rsid w:val="0073272B"/>
    <w:rsid w:val="00732AFB"/>
    <w:rsid w:val="00732DC8"/>
    <w:rsid w:val="00735597"/>
    <w:rsid w:val="00736F66"/>
    <w:rsid w:val="007371DC"/>
    <w:rsid w:val="00742406"/>
    <w:rsid w:val="00743B2A"/>
    <w:rsid w:val="0074586B"/>
    <w:rsid w:val="00746453"/>
    <w:rsid w:val="007472B3"/>
    <w:rsid w:val="00747A7A"/>
    <w:rsid w:val="00747BE5"/>
    <w:rsid w:val="007503A7"/>
    <w:rsid w:val="00750FAF"/>
    <w:rsid w:val="00752108"/>
    <w:rsid w:val="00752196"/>
    <w:rsid w:val="00760C76"/>
    <w:rsid w:val="00761E51"/>
    <w:rsid w:val="00765F29"/>
    <w:rsid w:val="00766537"/>
    <w:rsid w:val="00772CF9"/>
    <w:rsid w:val="0077359D"/>
    <w:rsid w:val="007737CD"/>
    <w:rsid w:val="007758D6"/>
    <w:rsid w:val="007765EA"/>
    <w:rsid w:val="007772D0"/>
    <w:rsid w:val="007817FB"/>
    <w:rsid w:val="00781C35"/>
    <w:rsid w:val="00781E7A"/>
    <w:rsid w:val="00782C08"/>
    <w:rsid w:val="00783570"/>
    <w:rsid w:val="00785689"/>
    <w:rsid w:val="00786DBC"/>
    <w:rsid w:val="007874DD"/>
    <w:rsid w:val="007874FF"/>
    <w:rsid w:val="00790BF6"/>
    <w:rsid w:val="0079142E"/>
    <w:rsid w:val="0079497C"/>
    <w:rsid w:val="00796E68"/>
    <w:rsid w:val="00797040"/>
    <w:rsid w:val="0079754B"/>
    <w:rsid w:val="00797DF4"/>
    <w:rsid w:val="007A1E6D"/>
    <w:rsid w:val="007A2101"/>
    <w:rsid w:val="007A63C5"/>
    <w:rsid w:val="007B0EB2"/>
    <w:rsid w:val="007B2006"/>
    <w:rsid w:val="007B2234"/>
    <w:rsid w:val="007B3F0C"/>
    <w:rsid w:val="007C00A7"/>
    <w:rsid w:val="007C147F"/>
    <w:rsid w:val="007C1557"/>
    <w:rsid w:val="007C3924"/>
    <w:rsid w:val="007D0FD2"/>
    <w:rsid w:val="007D2592"/>
    <w:rsid w:val="007D6131"/>
    <w:rsid w:val="007D7A45"/>
    <w:rsid w:val="007E114C"/>
    <w:rsid w:val="007E310A"/>
    <w:rsid w:val="007E556D"/>
    <w:rsid w:val="007E63CC"/>
    <w:rsid w:val="007E68F8"/>
    <w:rsid w:val="007E6ABA"/>
    <w:rsid w:val="007E7822"/>
    <w:rsid w:val="007F29A6"/>
    <w:rsid w:val="007F2D64"/>
    <w:rsid w:val="007F2EF3"/>
    <w:rsid w:val="007F373A"/>
    <w:rsid w:val="007F3E8D"/>
    <w:rsid w:val="007F4002"/>
    <w:rsid w:val="007F418E"/>
    <w:rsid w:val="007F54B0"/>
    <w:rsid w:val="007F7EEF"/>
    <w:rsid w:val="008004FE"/>
    <w:rsid w:val="008027A9"/>
    <w:rsid w:val="0080318B"/>
    <w:rsid w:val="008031AF"/>
    <w:rsid w:val="0080491E"/>
    <w:rsid w:val="00810B6F"/>
    <w:rsid w:val="00810EA7"/>
    <w:rsid w:val="00811171"/>
    <w:rsid w:val="00811175"/>
    <w:rsid w:val="00811186"/>
    <w:rsid w:val="0081161E"/>
    <w:rsid w:val="00811D22"/>
    <w:rsid w:val="00814AB1"/>
    <w:rsid w:val="00815B02"/>
    <w:rsid w:val="008161B8"/>
    <w:rsid w:val="00816414"/>
    <w:rsid w:val="00820812"/>
    <w:rsid w:val="0082166F"/>
    <w:rsid w:val="00822CE0"/>
    <w:rsid w:val="00822E86"/>
    <w:rsid w:val="00823DFB"/>
    <w:rsid w:val="00823E48"/>
    <w:rsid w:val="00827CF3"/>
    <w:rsid w:val="008341B5"/>
    <w:rsid w:val="008343A7"/>
    <w:rsid w:val="008408BC"/>
    <w:rsid w:val="00841AB1"/>
    <w:rsid w:val="00842992"/>
    <w:rsid w:val="00844077"/>
    <w:rsid w:val="00844590"/>
    <w:rsid w:val="00844CD1"/>
    <w:rsid w:val="00845027"/>
    <w:rsid w:val="008457AF"/>
    <w:rsid w:val="0084789E"/>
    <w:rsid w:val="00851884"/>
    <w:rsid w:val="00856D5E"/>
    <w:rsid w:val="00857F2E"/>
    <w:rsid w:val="00860D2C"/>
    <w:rsid w:val="00863E32"/>
    <w:rsid w:val="00864DD6"/>
    <w:rsid w:val="00865BAF"/>
    <w:rsid w:val="00865E3F"/>
    <w:rsid w:val="00866CFA"/>
    <w:rsid w:val="008711CC"/>
    <w:rsid w:val="00874AA7"/>
    <w:rsid w:val="008773CB"/>
    <w:rsid w:val="00880F6F"/>
    <w:rsid w:val="008823AD"/>
    <w:rsid w:val="00882405"/>
    <w:rsid w:val="0088332D"/>
    <w:rsid w:val="0088356A"/>
    <w:rsid w:val="00883627"/>
    <w:rsid w:val="008838BC"/>
    <w:rsid w:val="0088442A"/>
    <w:rsid w:val="0088614E"/>
    <w:rsid w:val="0088655D"/>
    <w:rsid w:val="0089004F"/>
    <w:rsid w:val="008928A6"/>
    <w:rsid w:val="00892A03"/>
    <w:rsid w:val="00896206"/>
    <w:rsid w:val="00897635"/>
    <w:rsid w:val="00897BA2"/>
    <w:rsid w:val="008A4C27"/>
    <w:rsid w:val="008A7198"/>
    <w:rsid w:val="008A79CB"/>
    <w:rsid w:val="008B0158"/>
    <w:rsid w:val="008B01A3"/>
    <w:rsid w:val="008B28F1"/>
    <w:rsid w:val="008B3E3B"/>
    <w:rsid w:val="008B526F"/>
    <w:rsid w:val="008B7520"/>
    <w:rsid w:val="008B78E7"/>
    <w:rsid w:val="008B7A85"/>
    <w:rsid w:val="008B8604"/>
    <w:rsid w:val="008C0A10"/>
    <w:rsid w:val="008C3964"/>
    <w:rsid w:val="008C3F48"/>
    <w:rsid w:val="008C413D"/>
    <w:rsid w:val="008C68F1"/>
    <w:rsid w:val="008C6DCD"/>
    <w:rsid w:val="008C7EE0"/>
    <w:rsid w:val="008D03B3"/>
    <w:rsid w:val="008D212A"/>
    <w:rsid w:val="008D21CD"/>
    <w:rsid w:val="008D2C2E"/>
    <w:rsid w:val="008D2FC1"/>
    <w:rsid w:val="008D78A1"/>
    <w:rsid w:val="008E1559"/>
    <w:rsid w:val="008E2274"/>
    <w:rsid w:val="008E2C5E"/>
    <w:rsid w:val="008E6EC0"/>
    <w:rsid w:val="008E74D9"/>
    <w:rsid w:val="008E7B47"/>
    <w:rsid w:val="008F1555"/>
    <w:rsid w:val="008F26A8"/>
    <w:rsid w:val="008F2D21"/>
    <w:rsid w:val="008F2F8E"/>
    <w:rsid w:val="008F3228"/>
    <w:rsid w:val="008F630D"/>
    <w:rsid w:val="008F640F"/>
    <w:rsid w:val="008F6B50"/>
    <w:rsid w:val="00901EB6"/>
    <w:rsid w:val="00905DA1"/>
    <w:rsid w:val="009064EA"/>
    <w:rsid w:val="00906B54"/>
    <w:rsid w:val="00906BFE"/>
    <w:rsid w:val="00906DEB"/>
    <w:rsid w:val="00906E94"/>
    <w:rsid w:val="00910A99"/>
    <w:rsid w:val="0091265C"/>
    <w:rsid w:val="0091324E"/>
    <w:rsid w:val="00913726"/>
    <w:rsid w:val="00914939"/>
    <w:rsid w:val="00915B64"/>
    <w:rsid w:val="009167B0"/>
    <w:rsid w:val="00917109"/>
    <w:rsid w:val="0092022E"/>
    <w:rsid w:val="009215F5"/>
    <w:rsid w:val="00921803"/>
    <w:rsid w:val="00922AAB"/>
    <w:rsid w:val="009246BF"/>
    <w:rsid w:val="00924C11"/>
    <w:rsid w:val="00925092"/>
    <w:rsid w:val="009258B1"/>
    <w:rsid w:val="00925DBD"/>
    <w:rsid w:val="009261C7"/>
    <w:rsid w:val="00926503"/>
    <w:rsid w:val="0092680D"/>
    <w:rsid w:val="00927173"/>
    <w:rsid w:val="0093045C"/>
    <w:rsid w:val="00934640"/>
    <w:rsid w:val="0093563C"/>
    <w:rsid w:val="00936430"/>
    <w:rsid w:val="009375E4"/>
    <w:rsid w:val="009449F1"/>
    <w:rsid w:val="00944C8C"/>
    <w:rsid w:val="0095193E"/>
    <w:rsid w:val="00952640"/>
    <w:rsid w:val="0095297A"/>
    <w:rsid w:val="009539B2"/>
    <w:rsid w:val="00956AC0"/>
    <w:rsid w:val="009612C1"/>
    <w:rsid w:val="00962998"/>
    <w:rsid w:val="0096794D"/>
    <w:rsid w:val="009711F7"/>
    <w:rsid w:val="00971ABB"/>
    <w:rsid w:val="00971FED"/>
    <w:rsid w:val="009726D8"/>
    <w:rsid w:val="00973C1F"/>
    <w:rsid w:val="00973C98"/>
    <w:rsid w:val="00975779"/>
    <w:rsid w:val="00976913"/>
    <w:rsid w:val="009775B2"/>
    <w:rsid w:val="00980960"/>
    <w:rsid w:val="009835C3"/>
    <w:rsid w:val="00990DD0"/>
    <w:rsid w:val="00990F5F"/>
    <w:rsid w:val="00991877"/>
    <w:rsid w:val="00991892"/>
    <w:rsid w:val="00993B55"/>
    <w:rsid w:val="009961E4"/>
    <w:rsid w:val="00997745"/>
    <w:rsid w:val="009A2D15"/>
    <w:rsid w:val="009A2EAA"/>
    <w:rsid w:val="009A3DE6"/>
    <w:rsid w:val="009A3E15"/>
    <w:rsid w:val="009A3EAF"/>
    <w:rsid w:val="009A4102"/>
    <w:rsid w:val="009A450A"/>
    <w:rsid w:val="009A513D"/>
    <w:rsid w:val="009A522C"/>
    <w:rsid w:val="009A532D"/>
    <w:rsid w:val="009A6153"/>
    <w:rsid w:val="009A67EA"/>
    <w:rsid w:val="009B1512"/>
    <w:rsid w:val="009B257C"/>
    <w:rsid w:val="009B2B4A"/>
    <w:rsid w:val="009B7EC9"/>
    <w:rsid w:val="009C326B"/>
    <w:rsid w:val="009C3BBC"/>
    <w:rsid w:val="009C3CEC"/>
    <w:rsid w:val="009C5900"/>
    <w:rsid w:val="009C65AF"/>
    <w:rsid w:val="009C7A65"/>
    <w:rsid w:val="009C7A86"/>
    <w:rsid w:val="009D0A07"/>
    <w:rsid w:val="009D17C5"/>
    <w:rsid w:val="009D3847"/>
    <w:rsid w:val="009D3DE2"/>
    <w:rsid w:val="009D497A"/>
    <w:rsid w:val="009D61A5"/>
    <w:rsid w:val="009D7308"/>
    <w:rsid w:val="009D7A57"/>
    <w:rsid w:val="009E0DCA"/>
    <w:rsid w:val="009E18C4"/>
    <w:rsid w:val="009E2443"/>
    <w:rsid w:val="009E3AFB"/>
    <w:rsid w:val="009E4043"/>
    <w:rsid w:val="009E7DF8"/>
    <w:rsid w:val="009F295E"/>
    <w:rsid w:val="009F3842"/>
    <w:rsid w:val="009F45D0"/>
    <w:rsid w:val="009F6377"/>
    <w:rsid w:val="009F76DB"/>
    <w:rsid w:val="00A00823"/>
    <w:rsid w:val="00A00BDB"/>
    <w:rsid w:val="00A032DB"/>
    <w:rsid w:val="00A03A18"/>
    <w:rsid w:val="00A03D2B"/>
    <w:rsid w:val="00A04C7F"/>
    <w:rsid w:val="00A059F4"/>
    <w:rsid w:val="00A07917"/>
    <w:rsid w:val="00A108CC"/>
    <w:rsid w:val="00A121D8"/>
    <w:rsid w:val="00A12CCC"/>
    <w:rsid w:val="00A13245"/>
    <w:rsid w:val="00A139EE"/>
    <w:rsid w:val="00A170EF"/>
    <w:rsid w:val="00A2007A"/>
    <w:rsid w:val="00A20FED"/>
    <w:rsid w:val="00A21756"/>
    <w:rsid w:val="00A2266A"/>
    <w:rsid w:val="00A22905"/>
    <w:rsid w:val="00A229F4"/>
    <w:rsid w:val="00A22A18"/>
    <w:rsid w:val="00A234A3"/>
    <w:rsid w:val="00A23D9A"/>
    <w:rsid w:val="00A27343"/>
    <w:rsid w:val="00A274DD"/>
    <w:rsid w:val="00A3051A"/>
    <w:rsid w:val="00A305F8"/>
    <w:rsid w:val="00A30FB9"/>
    <w:rsid w:val="00A32C3B"/>
    <w:rsid w:val="00A34DB0"/>
    <w:rsid w:val="00A45937"/>
    <w:rsid w:val="00A45A6A"/>
    <w:rsid w:val="00A45F4F"/>
    <w:rsid w:val="00A461B3"/>
    <w:rsid w:val="00A4661C"/>
    <w:rsid w:val="00A523AA"/>
    <w:rsid w:val="00A5479B"/>
    <w:rsid w:val="00A55D23"/>
    <w:rsid w:val="00A55DF9"/>
    <w:rsid w:val="00A56571"/>
    <w:rsid w:val="00A5733F"/>
    <w:rsid w:val="00A57F26"/>
    <w:rsid w:val="00A600A9"/>
    <w:rsid w:val="00A65AD8"/>
    <w:rsid w:val="00A66BF9"/>
    <w:rsid w:val="00A71366"/>
    <w:rsid w:val="00A73BFD"/>
    <w:rsid w:val="00A73F5E"/>
    <w:rsid w:val="00A8125A"/>
    <w:rsid w:val="00A87022"/>
    <w:rsid w:val="00A871F2"/>
    <w:rsid w:val="00A909DC"/>
    <w:rsid w:val="00A90F3A"/>
    <w:rsid w:val="00A94E81"/>
    <w:rsid w:val="00A96A57"/>
    <w:rsid w:val="00A97FED"/>
    <w:rsid w:val="00AA0593"/>
    <w:rsid w:val="00AA0C5F"/>
    <w:rsid w:val="00AA31C7"/>
    <w:rsid w:val="00AA55B7"/>
    <w:rsid w:val="00AA5972"/>
    <w:rsid w:val="00AA5B9E"/>
    <w:rsid w:val="00AA5D78"/>
    <w:rsid w:val="00AB1EA2"/>
    <w:rsid w:val="00AB2407"/>
    <w:rsid w:val="00AB2656"/>
    <w:rsid w:val="00AB303D"/>
    <w:rsid w:val="00AB5174"/>
    <w:rsid w:val="00AB53DF"/>
    <w:rsid w:val="00AB5D45"/>
    <w:rsid w:val="00AB7BE0"/>
    <w:rsid w:val="00AC04DF"/>
    <w:rsid w:val="00AC10D9"/>
    <w:rsid w:val="00AC245F"/>
    <w:rsid w:val="00AC47D5"/>
    <w:rsid w:val="00AD2424"/>
    <w:rsid w:val="00AD42BA"/>
    <w:rsid w:val="00AD46BF"/>
    <w:rsid w:val="00AD543C"/>
    <w:rsid w:val="00AD567E"/>
    <w:rsid w:val="00AD708F"/>
    <w:rsid w:val="00AE3F15"/>
    <w:rsid w:val="00AE4200"/>
    <w:rsid w:val="00AE49DC"/>
    <w:rsid w:val="00AF028E"/>
    <w:rsid w:val="00AF20A9"/>
    <w:rsid w:val="00AF2C96"/>
    <w:rsid w:val="00AF49EE"/>
    <w:rsid w:val="00AF50DE"/>
    <w:rsid w:val="00AF62C8"/>
    <w:rsid w:val="00AF6736"/>
    <w:rsid w:val="00AF6CDF"/>
    <w:rsid w:val="00AF735F"/>
    <w:rsid w:val="00AF77A5"/>
    <w:rsid w:val="00B00551"/>
    <w:rsid w:val="00B008B9"/>
    <w:rsid w:val="00B01E26"/>
    <w:rsid w:val="00B0272E"/>
    <w:rsid w:val="00B07E5C"/>
    <w:rsid w:val="00B1227D"/>
    <w:rsid w:val="00B14E59"/>
    <w:rsid w:val="00B22F2E"/>
    <w:rsid w:val="00B24B8D"/>
    <w:rsid w:val="00B270BC"/>
    <w:rsid w:val="00B309D7"/>
    <w:rsid w:val="00B32137"/>
    <w:rsid w:val="00B32BF1"/>
    <w:rsid w:val="00B3408C"/>
    <w:rsid w:val="00B3437A"/>
    <w:rsid w:val="00B34978"/>
    <w:rsid w:val="00B35E9D"/>
    <w:rsid w:val="00B37142"/>
    <w:rsid w:val="00B37BEB"/>
    <w:rsid w:val="00B40319"/>
    <w:rsid w:val="00B40F3C"/>
    <w:rsid w:val="00B45055"/>
    <w:rsid w:val="00B455A6"/>
    <w:rsid w:val="00B460A3"/>
    <w:rsid w:val="00B516AC"/>
    <w:rsid w:val="00B520FC"/>
    <w:rsid w:val="00B537B6"/>
    <w:rsid w:val="00B54149"/>
    <w:rsid w:val="00B555DF"/>
    <w:rsid w:val="00B60A30"/>
    <w:rsid w:val="00B61097"/>
    <w:rsid w:val="00B613CA"/>
    <w:rsid w:val="00B618E0"/>
    <w:rsid w:val="00B6234E"/>
    <w:rsid w:val="00B62929"/>
    <w:rsid w:val="00B62980"/>
    <w:rsid w:val="00B639C2"/>
    <w:rsid w:val="00B6494F"/>
    <w:rsid w:val="00B66C4B"/>
    <w:rsid w:val="00B71793"/>
    <w:rsid w:val="00B71F75"/>
    <w:rsid w:val="00B7630F"/>
    <w:rsid w:val="00B7744E"/>
    <w:rsid w:val="00B806AF"/>
    <w:rsid w:val="00B80FB2"/>
    <w:rsid w:val="00B811F7"/>
    <w:rsid w:val="00B82602"/>
    <w:rsid w:val="00B830F3"/>
    <w:rsid w:val="00B84C71"/>
    <w:rsid w:val="00B84DB7"/>
    <w:rsid w:val="00B84EEB"/>
    <w:rsid w:val="00B86A7B"/>
    <w:rsid w:val="00B90E17"/>
    <w:rsid w:val="00B919A8"/>
    <w:rsid w:val="00B91CAE"/>
    <w:rsid w:val="00B92ADC"/>
    <w:rsid w:val="00B92EC4"/>
    <w:rsid w:val="00B9445C"/>
    <w:rsid w:val="00B9649C"/>
    <w:rsid w:val="00B96E6E"/>
    <w:rsid w:val="00B972B7"/>
    <w:rsid w:val="00BA0327"/>
    <w:rsid w:val="00BA086C"/>
    <w:rsid w:val="00BA0A7D"/>
    <w:rsid w:val="00BA1811"/>
    <w:rsid w:val="00BA1EFF"/>
    <w:rsid w:val="00BA1F95"/>
    <w:rsid w:val="00BA35B8"/>
    <w:rsid w:val="00BA3621"/>
    <w:rsid w:val="00BA3670"/>
    <w:rsid w:val="00BA495B"/>
    <w:rsid w:val="00BA5DC6"/>
    <w:rsid w:val="00BA60CB"/>
    <w:rsid w:val="00BA6196"/>
    <w:rsid w:val="00BA67CC"/>
    <w:rsid w:val="00BB1EF7"/>
    <w:rsid w:val="00BB27DF"/>
    <w:rsid w:val="00BB3E32"/>
    <w:rsid w:val="00BB442C"/>
    <w:rsid w:val="00BB4EB4"/>
    <w:rsid w:val="00BB5D20"/>
    <w:rsid w:val="00BB794B"/>
    <w:rsid w:val="00BC068D"/>
    <w:rsid w:val="00BC08BD"/>
    <w:rsid w:val="00BC25A7"/>
    <w:rsid w:val="00BC3CDD"/>
    <w:rsid w:val="00BC65BD"/>
    <w:rsid w:val="00BC6D8C"/>
    <w:rsid w:val="00BC717C"/>
    <w:rsid w:val="00BD089A"/>
    <w:rsid w:val="00BD16FD"/>
    <w:rsid w:val="00BD3EF2"/>
    <w:rsid w:val="00BD5363"/>
    <w:rsid w:val="00BD59D4"/>
    <w:rsid w:val="00BD5B73"/>
    <w:rsid w:val="00BE4C89"/>
    <w:rsid w:val="00BE592B"/>
    <w:rsid w:val="00BE6016"/>
    <w:rsid w:val="00BE7509"/>
    <w:rsid w:val="00BE75F0"/>
    <w:rsid w:val="00BF2F7B"/>
    <w:rsid w:val="00BF3BFC"/>
    <w:rsid w:val="00BF3D48"/>
    <w:rsid w:val="00BF553F"/>
    <w:rsid w:val="00C0142F"/>
    <w:rsid w:val="00C015D1"/>
    <w:rsid w:val="00C015E2"/>
    <w:rsid w:val="00C018B8"/>
    <w:rsid w:val="00C01ACC"/>
    <w:rsid w:val="00C0304C"/>
    <w:rsid w:val="00C06365"/>
    <w:rsid w:val="00C071DF"/>
    <w:rsid w:val="00C10C8E"/>
    <w:rsid w:val="00C10E44"/>
    <w:rsid w:val="00C130D4"/>
    <w:rsid w:val="00C150AF"/>
    <w:rsid w:val="00C15DE3"/>
    <w:rsid w:val="00C16F70"/>
    <w:rsid w:val="00C23C06"/>
    <w:rsid w:val="00C24B7E"/>
    <w:rsid w:val="00C25AEE"/>
    <w:rsid w:val="00C26157"/>
    <w:rsid w:val="00C27856"/>
    <w:rsid w:val="00C311C0"/>
    <w:rsid w:val="00C3161B"/>
    <w:rsid w:val="00C31F07"/>
    <w:rsid w:val="00C32BC1"/>
    <w:rsid w:val="00C32D69"/>
    <w:rsid w:val="00C3327F"/>
    <w:rsid w:val="00C33966"/>
    <w:rsid w:val="00C34006"/>
    <w:rsid w:val="00C34437"/>
    <w:rsid w:val="00C345E4"/>
    <w:rsid w:val="00C35DE0"/>
    <w:rsid w:val="00C369B2"/>
    <w:rsid w:val="00C36B4C"/>
    <w:rsid w:val="00C3736C"/>
    <w:rsid w:val="00C37774"/>
    <w:rsid w:val="00C41E51"/>
    <w:rsid w:val="00C42372"/>
    <w:rsid w:val="00C42591"/>
    <w:rsid w:val="00C426B1"/>
    <w:rsid w:val="00C444A5"/>
    <w:rsid w:val="00C44590"/>
    <w:rsid w:val="00C458D8"/>
    <w:rsid w:val="00C4649D"/>
    <w:rsid w:val="00C47F50"/>
    <w:rsid w:val="00C502BB"/>
    <w:rsid w:val="00C52092"/>
    <w:rsid w:val="00C530FC"/>
    <w:rsid w:val="00C538DE"/>
    <w:rsid w:val="00C53E4E"/>
    <w:rsid w:val="00C560A8"/>
    <w:rsid w:val="00C57112"/>
    <w:rsid w:val="00C63043"/>
    <w:rsid w:val="00C65B58"/>
    <w:rsid w:val="00C66160"/>
    <w:rsid w:val="00C6619B"/>
    <w:rsid w:val="00C66F18"/>
    <w:rsid w:val="00C721AC"/>
    <w:rsid w:val="00C73869"/>
    <w:rsid w:val="00C8332B"/>
    <w:rsid w:val="00C839C8"/>
    <w:rsid w:val="00C8474D"/>
    <w:rsid w:val="00C85049"/>
    <w:rsid w:val="00C9088B"/>
    <w:rsid w:val="00C90D6A"/>
    <w:rsid w:val="00C93D57"/>
    <w:rsid w:val="00C95082"/>
    <w:rsid w:val="00C953F0"/>
    <w:rsid w:val="00C964D2"/>
    <w:rsid w:val="00C971BC"/>
    <w:rsid w:val="00CA0514"/>
    <w:rsid w:val="00CA247E"/>
    <w:rsid w:val="00CA4B0C"/>
    <w:rsid w:val="00CA5E2E"/>
    <w:rsid w:val="00CA6B29"/>
    <w:rsid w:val="00CA6C9D"/>
    <w:rsid w:val="00CA6D21"/>
    <w:rsid w:val="00CB2623"/>
    <w:rsid w:val="00CB445E"/>
    <w:rsid w:val="00CB4AEA"/>
    <w:rsid w:val="00CB55FC"/>
    <w:rsid w:val="00CC0905"/>
    <w:rsid w:val="00CC0C34"/>
    <w:rsid w:val="00CC0C44"/>
    <w:rsid w:val="00CC0E7E"/>
    <w:rsid w:val="00CC256E"/>
    <w:rsid w:val="00CC32EB"/>
    <w:rsid w:val="00CC3B98"/>
    <w:rsid w:val="00CC624E"/>
    <w:rsid w:val="00CC72B6"/>
    <w:rsid w:val="00CC7463"/>
    <w:rsid w:val="00CD41BF"/>
    <w:rsid w:val="00CD4FDB"/>
    <w:rsid w:val="00CD59B0"/>
    <w:rsid w:val="00CE014F"/>
    <w:rsid w:val="00CE1CAF"/>
    <w:rsid w:val="00CE2628"/>
    <w:rsid w:val="00CE28E2"/>
    <w:rsid w:val="00CE574B"/>
    <w:rsid w:val="00CE61FD"/>
    <w:rsid w:val="00CE7134"/>
    <w:rsid w:val="00CF1610"/>
    <w:rsid w:val="00CF169A"/>
    <w:rsid w:val="00CF25EC"/>
    <w:rsid w:val="00CF4232"/>
    <w:rsid w:val="00CF475C"/>
    <w:rsid w:val="00CF540D"/>
    <w:rsid w:val="00CF7C65"/>
    <w:rsid w:val="00D01566"/>
    <w:rsid w:val="00D0158E"/>
    <w:rsid w:val="00D0218D"/>
    <w:rsid w:val="00D02298"/>
    <w:rsid w:val="00D0346B"/>
    <w:rsid w:val="00D03818"/>
    <w:rsid w:val="00D07E50"/>
    <w:rsid w:val="00D119B4"/>
    <w:rsid w:val="00D12523"/>
    <w:rsid w:val="00D128A7"/>
    <w:rsid w:val="00D1355C"/>
    <w:rsid w:val="00D15C1A"/>
    <w:rsid w:val="00D161FC"/>
    <w:rsid w:val="00D16DBA"/>
    <w:rsid w:val="00D17138"/>
    <w:rsid w:val="00D21F34"/>
    <w:rsid w:val="00D22FDF"/>
    <w:rsid w:val="00D23363"/>
    <w:rsid w:val="00D24AEA"/>
    <w:rsid w:val="00D25FB5"/>
    <w:rsid w:val="00D260C3"/>
    <w:rsid w:val="00D26E72"/>
    <w:rsid w:val="00D30B39"/>
    <w:rsid w:val="00D314E5"/>
    <w:rsid w:val="00D3213C"/>
    <w:rsid w:val="00D32B77"/>
    <w:rsid w:val="00D33214"/>
    <w:rsid w:val="00D33590"/>
    <w:rsid w:val="00D336B7"/>
    <w:rsid w:val="00D34895"/>
    <w:rsid w:val="00D3498C"/>
    <w:rsid w:val="00D34EA1"/>
    <w:rsid w:val="00D36F1F"/>
    <w:rsid w:val="00D374AE"/>
    <w:rsid w:val="00D402DB"/>
    <w:rsid w:val="00D42F39"/>
    <w:rsid w:val="00D44223"/>
    <w:rsid w:val="00D447C7"/>
    <w:rsid w:val="00D45AF1"/>
    <w:rsid w:val="00D47136"/>
    <w:rsid w:val="00D50066"/>
    <w:rsid w:val="00D5138C"/>
    <w:rsid w:val="00D5175B"/>
    <w:rsid w:val="00D522A1"/>
    <w:rsid w:val="00D55E88"/>
    <w:rsid w:val="00D56C35"/>
    <w:rsid w:val="00D613FB"/>
    <w:rsid w:val="00D6441A"/>
    <w:rsid w:val="00D668FD"/>
    <w:rsid w:val="00D679C9"/>
    <w:rsid w:val="00D707AD"/>
    <w:rsid w:val="00D73091"/>
    <w:rsid w:val="00D75177"/>
    <w:rsid w:val="00D76A2B"/>
    <w:rsid w:val="00D77806"/>
    <w:rsid w:val="00D80E79"/>
    <w:rsid w:val="00D8138D"/>
    <w:rsid w:val="00D847B5"/>
    <w:rsid w:val="00D84E2B"/>
    <w:rsid w:val="00D87368"/>
    <w:rsid w:val="00D91192"/>
    <w:rsid w:val="00D913E6"/>
    <w:rsid w:val="00D925C0"/>
    <w:rsid w:val="00D96BF2"/>
    <w:rsid w:val="00DA2529"/>
    <w:rsid w:val="00DA3304"/>
    <w:rsid w:val="00DA5BD7"/>
    <w:rsid w:val="00DA721C"/>
    <w:rsid w:val="00DA7986"/>
    <w:rsid w:val="00DA7A00"/>
    <w:rsid w:val="00DB130A"/>
    <w:rsid w:val="00DB1D42"/>
    <w:rsid w:val="00DB2EBB"/>
    <w:rsid w:val="00DB3676"/>
    <w:rsid w:val="00DB4770"/>
    <w:rsid w:val="00DB5706"/>
    <w:rsid w:val="00DB6B30"/>
    <w:rsid w:val="00DB7DBB"/>
    <w:rsid w:val="00DC054F"/>
    <w:rsid w:val="00DC0686"/>
    <w:rsid w:val="00DC0F1D"/>
    <w:rsid w:val="00DC0FE9"/>
    <w:rsid w:val="00DC10A1"/>
    <w:rsid w:val="00DC154B"/>
    <w:rsid w:val="00DC557B"/>
    <w:rsid w:val="00DC55D0"/>
    <w:rsid w:val="00DC655F"/>
    <w:rsid w:val="00DD0B59"/>
    <w:rsid w:val="00DD353B"/>
    <w:rsid w:val="00DD3C0C"/>
    <w:rsid w:val="00DD4C59"/>
    <w:rsid w:val="00DD6749"/>
    <w:rsid w:val="00DD7457"/>
    <w:rsid w:val="00DD7EBD"/>
    <w:rsid w:val="00DE4E3C"/>
    <w:rsid w:val="00DE6DEE"/>
    <w:rsid w:val="00DF2819"/>
    <w:rsid w:val="00DF4005"/>
    <w:rsid w:val="00DF4775"/>
    <w:rsid w:val="00DF481E"/>
    <w:rsid w:val="00DF62B6"/>
    <w:rsid w:val="00DF6620"/>
    <w:rsid w:val="00DF7AC2"/>
    <w:rsid w:val="00E01767"/>
    <w:rsid w:val="00E026B4"/>
    <w:rsid w:val="00E043F0"/>
    <w:rsid w:val="00E046BB"/>
    <w:rsid w:val="00E04AF1"/>
    <w:rsid w:val="00E04CE3"/>
    <w:rsid w:val="00E067B1"/>
    <w:rsid w:val="00E07225"/>
    <w:rsid w:val="00E10B75"/>
    <w:rsid w:val="00E1217E"/>
    <w:rsid w:val="00E12C98"/>
    <w:rsid w:val="00E1322A"/>
    <w:rsid w:val="00E1464C"/>
    <w:rsid w:val="00E158D1"/>
    <w:rsid w:val="00E15CE6"/>
    <w:rsid w:val="00E1640E"/>
    <w:rsid w:val="00E174DE"/>
    <w:rsid w:val="00E17CEE"/>
    <w:rsid w:val="00E17F7A"/>
    <w:rsid w:val="00E17FA3"/>
    <w:rsid w:val="00E2067D"/>
    <w:rsid w:val="00E21822"/>
    <w:rsid w:val="00E21E1C"/>
    <w:rsid w:val="00E24D58"/>
    <w:rsid w:val="00E256DF"/>
    <w:rsid w:val="00E25E8A"/>
    <w:rsid w:val="00E3217E"/>
    <w:rsid w:val="00E323CD"/>
    <w:rsid w:val="00E355C6"/>
    <w:rsid w:val="00E356C8"/>
    <w:rsid w:val="00E35DF7"/>
    <w:rsid w:val="00E367F7"/>
    <w:rsid w:val="00E36DA5"/>
    <w:rsid w:val="00E4145F"/>
    <w:rsid w:val="00E41A7B"/>
    <w:rsid w:val="00E4290B"/>
    <w:rsid w:val="00E42F9C"/>
    <w:rsid w:val="00E43B8E"/>
    <w:rsid w:val="00E43D60"/>
    <w:rsid w:val="00E4698B"/>
    <w:rsid w:val="00E47E0E"/>
    <w:rsid w:val="00E506E8"/>
    <w:rsid w:val="00E5283A"/>
    <w:rsid w:val="00E53284"/>
    <w:rsid w:val="00E53CE0"/>
    <w:rsid w:val="00E5409F"/>
    <w:rsid w:val="00E54C44"/>
    <w:rsid w:val="00E56D6C"/>
    <w:rsid w:val="00E60D20"/>
    <w:rsid w:val="00E60ED8"/>
    <w:rsid w:val="00E61A0D"/>
    <w:rsid w:val="00E61A45"/>
    <w:rsid w:val="00E61CE2"/>
    <w:rsid w:val="00E62427"/>
    <w:rsid w:val="00E62DC1"/>
    <w:rsid w:val="00E661AD"/>
    <w:rsid w:val="00E718CE"/>
    <w:rsid w:val="00E75353"/>
    <w:rsid w:val="00E77A70"/>
    <w:rsid w:val="00E80B13"/>
    <w:rsid w:val="00E82BCC"/>
    <w:rsid w:val="00E83859"/>
    <w:rsid w:val="00E85F3F"/>
    <w:rsid w:val="00E86740"/>
    <w:rsid w:val="00E8738A"/>
    <w:rsid w:val="00E915AA"/>
    <w:rsid w:val="00E94FC7"/>
    <w:rsid w:val="00E95379"/>
    <w:rsid w:val="00E960E6"/>
    <w:rsid w:val="00E96BF7"/>
    <w:rsid w:val="00EA0016"/>
    <w:rsid w:val="00EA2CDE"/>
    <w:rsid w:val="00EA35B8"/>
    <w:rsid w:val="00EA3619"/>
    <w:rsid w:val="00EA772B"/>
    <w:rsid w:val="00EB067D"/>
    <w:rsid w:val="00EB2428"/>
    <w:rsid w:val="00EB2BBD"/>
    <w:rsid w:val="00EB54B7"/>
    <w:rsid w:val="00EC2D40"/>
    <w:rsid w:val="00EC5DA2"/>
    <w:rsid w:val="00EC6579"/>
    <w:rsid w:val="00EC7775"/>
    <w:rsid w:val="00ED1EAF"/>
    <w:rsid w:val="00ED3811"/>
    <w:rsid w:val="00ED528A"/>
    <w:rsid w:val="00ED5A1A"/>
    <w:rsid w:val="00ED7A90"/>
    <w:rsid w:val="00EE13DF"/>
    <w:rsid w:val="00EE2CA9"/>
    <w:rsid w:val="00EE3828"/>
    <w:rsid w:val="00EE3A38"/>
    <w:rsid w:val="00EE51DA"/>
    <w:rsid w:val="00EE631C"/>
    <w:rsid w:val="00EE63A5"/>
    <w:rsid w:val="00EE6488"/>
    <w:rsid w:val="00EF1BD2"/>
    <w:rsid w:val="00EF22E2"/>
    <w:rsid w:val="00EF3CD5"/>
    <w:rsid w:val="00EF40E7"/>
    <w:rsid w:val="00EF6478"/>
    <w:rsid w:val="00F021FA"/>
    <w:rsid w:val="00F04709"/>
    <w:rsid w:val="00F048B0"/>
    <w:rsid w:val="00F04955"/>
    <w:rsid w:val="00F04FE0"/>
    <w:rsid w:val="00F0635D"/>
    <w:rsid w:val="00F073D4"/>
    <w:rsid w:val="00F079C4"/>
    <w:rsid w:val="00F07E62"/>
    <w:rsid w:val="00F10014"/>
    <w:rsid w:val="00F106C6"/>
    <w:rsid w:val="00F121D3"/>
    <w:rsid w:val="00F137E3"/>
    <w:rsid w:val="00F17FA7"/>
    <w:rsid w:val="00F213D0"/>
    <w:rsid w:val="00F250B0"/>
    <w:rsid w:val="00F2605B"/>
    <w:rsid w:val="00F2753A"/>
    <w:rsid w:val="00F30BF7"/>
    <w:rsid w:val="00F31BB9"/>
    <w:rsid w:val="00F31F33"/>
    <w:rsid w:val="00F32359"/>
    <w:rsid w:val="00F33235"/>
    <w:rsid w:val="00F33A47"/>
    <w:rsid w:val="00F34176"/>
    <w:rsid w:val="00F34B4E"/>
    <w:rsid w:val="00F355F0"/>
    <w:rsid w:val="00F35728"/>
    <w:rsid w:val="00F362B5"/>
    <w:rsid w:val="00F40D1F"/>
    <w:rsid w:val="00F424FC"/>
    <w:rsid w:val="00F42A40"/>
    <w:rsid w:val="00F42D71"/>
    <w:rsid w:val="00F43FF5"/>
    <w:rsid w:val="00F4586A"/>
    <w:rsid w:val="00F4711C"/>
    <w:rsid w:val="00F47BAE"/>
    <w:rsid w:val="00F52303"/>
    <w:rsid w:val="00F52C9E"/>
    <w:rsid w:val="00F55403"/>
    <w:rsid w:val="00F57DFB"/>
    <w:rsid w:val="00F621BC"/>
    <w:rsid w:val="00F62E97"/>
    <w:rsid w:val="00F62FAF"/>
    <w:rsid w:val="00F64209"/>
    <w:rsid w:val="00F64D11"/>
    <w:rsid w:val="00F65541"/>
    <w:rsid w:val="00F67ED1"/>
    <w:rsid w:val="00F70511"/>
    <w:rsid w:val="00F7075C"/>
    <w:rsid w:val="00F71F64"/>
    <w:rsid w:val="00F73363"/>
    <w:rsid w:val="00F73497"/>
    <w:rsid w:val="00F737C0"/>
    <w:rsid w:val="00F7436A"/>
    <w:rsid w:val="00F74E66"/>
    <w:rsid w:val="00F74E83"/>
    <w:rsid w:val="00F80801"/>
    <w:rsid w:val="00F80CE4"/>
    <w:rsid w:val="00F848B7"/>
    <w:rsid w:val="00F93BF5"/>
    <w:rsid w:val="00F9414E"/>
    <w:rsid w:val="00F95322"/>
    <w:rsid w:val="00F95860"/>
    <w:rsid w:val="00F960BB"/>
    <w:rsid w:val="00FA3ACE"/>
    <w:rsid w:val="00FA3DC8"/>
    <w:rsid w:val="00FA3E44"/>
    <w:rsid w:val="00FA5F34"/>
    <w:rsid w:val="00FA7059"/>
    <w:rsid w:val="00FA7675"/>
    <w:rsid w:val="00FB3A32"/>
    <w:rsid w:val="00FB40A7"/>
    <w:rsid w:val="00FB4B25"/>
    <w:rsid w:val="00FB608D"/>
    <w:rsid w:val="00FB610F"/>
    <w:rsid w:val="00FC175D"/>
    <w:rsid w:val="00FC19F2"/>
    <w:rsid w:val="00FC2D9A"/>
    <w:rsid w:val="00FC3BD2"/>
    <w:rsid w:val="00FC44E7"/>
    <w:rsid w:val="00FC4FDE"/>
    <w:rsid w:val="00FD22B9"/>
    <w:rsid w:val="00FD336B"/>
    <w:rsid w:val="00FD41DF"/>
    <w:rsid w:val="00FD5AA8"/>
    <w:rsid w:val="00FE55D9"/>
    <w:rsid w:val="00FE7403"/>
    <w:rsid w:val="00FE7C7E"/>
    <w:rsid w:val="00FF1F37"/>
    <w:rsid w:val="00FF4A00"/>
    <w:rsid w:val="00FF4C23"/>
    <w:rsid w:val="021C2F92"/>
    <w:rsid w:val="02B9395A"/>
    <w:rsid w:val="02E45334"/>
    <w:rsid w:val="03C17D80"/>
    <w:rsid w:val="04E65E54"/>
    <w:rsid w:val="0546F8B3"/>
    <w:rsid w:val="073F0757"/>
    <w:rsid w:val="07A3E396"/>
    <w:rsid w:val="0894EEA3"/>
    <w:rsid w:val="091E01DF"/>
    <w:rsid w:val="095962DC"/>
    <w:rsid w:val="0CE6098C"/>
    <w:rsid w:val="0D4D8A95"/>
    <w:rsid w:val="0E0841AF"/>
    <w:rsid w:val="0E536956"/>
    <w:rsid w:val="1267D24C"/>
    <w:rsid w:val="173167B4"/>
    <w:rsid w:val="18931A31"/>
    <w:rsid w:val="18C922F3"/>
    <w:rsid w:val="1A3EE018"/>
    <w:rsid w:val="1B987F94"/>
    <w:rsid w:val="1C656741"/>
    <w:rsid w:val="1C8AAB6D"/>
    <w:rsid w:val="1F23A3A5"/>
    <w:rsid w:val="1F540456"/>
    <w:rsid w:val="21BB0CEC"/>
    <w:rsid w:val="220D800C"/>
    <w:rsid w:val="229CFC95"/>
    <w:rsid w:val="23D18E2E"/>
    <w:rsid w:val="246842EB"/>
    <w:rsid w:val="2495BD52"/>
    <w:rsid w:val="28C7EEF6"/>
    <w:rsid w:val="2B88F7C8"/>
    <w:rsid w:val="2CA0FF02"/>
    <w:rsid w:val="2CDD3FCD"/>
    <w:rsid w:val="2D157877"/>
    <w:rsid w:val="2E5C2158"/>
    <w:rsid w:val="342515EF"/>
    <w:rsid w:val="35A8CD1F"/>
    <w:rsid w:val="36971878"/>
    <w:rsid w:val="3870474F"/>
    <w:rsid w:val="38BE1C74"/>
    <w:rsid w:val="3C4F58C1"/>
    <w:rsid w:val="3E302207"/>
    <w:rsid w:val="41BCF14C"/>
    <w:rsid w:val="45ECB5A1"/>
    <w:rsid w:val="4676B8E6"/>
    <w:rsid w:val="488E56BF"/>
    <w:rsid w:val="4A12018D"/>
    <w:rsid w:val="4C4670DE"/>
    <w:rsid w:val="4C763910"/>
    <w:rsid w:val="4D1426BB"/>
    <w:rsid w:val="4D5A3497"/>
    <w:rsid w:val="4DCA7AAF"/>
    <w:rsid w:val="4F2C8E3B"/>
    <w:rsid w:val="5009C3D9"/>
    <w:rsid w:val="5010FC19"/>
    <w:rsid w:val="5327DE20"/>
    <w:rsid w:val="566209F2"/>
    <w:rsid w:val="591FB12E"/>
    <w:rsid w:val="59EE45F8"/>
    <w:rsid w:val="5B0EBD13"/>
    <w:rsid w:val="5BA1BA6D"/>
    <w:rsid w:val="5C06342B"/>
    <w:rsid w:val="5C5961A7"/>
    <w:rsid w:val="623285E4"/>
    <w:rsid w:val="688FDC14"/>
    <w:rsid w:val="6C1BCB0B"/>
    <w:rsid w:val="6E117983"/>
    <w:rsid w:val="6F5632CA"/>
    <w:rsid w:val="6F61F293"/>
    <w:rsid w:val="71090E56"/>
    <w:rsid w:val="71516573"/>
    <w:rsid w:val="729FC641"/>
    <w:rsid w:val="74544B24"/>
    <w:rsid w:val="74ACB659"/>
    <w:rsid w:val="758B7D88"/>
    <w:rsid w:val="765C9A03"/>
    <w:rsid w:val="77958E56"/>
    <w:rsid w:val="77B555E9"/>
    <w:rsid w:val="7937FDED"/>
    <w:rsid w:val="7ACC97A0"/>
    <w:rsid w:val="7BCF93F7"/>
    <w:rsid w:val="7DB93B56"/>
    <w:rsid w:val="7E4C13D5"/>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40E46793"/>
  <w15:chartTrackingRefBased/>
  <w15:docId w15:val="{8A5C4672-53A5-43C9-AC6F-22A63E875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Strong" w:uiPriority="22"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71ABB"/>
    <w:pPr>
      <w:widowControl w:val="0"/>
    </w:pPr>
    <w:rPr>
      <w:snapToGrid w:val="0"/>
      <w:kern w:val="28"/>
      <w:sz w:val="22"/>
    </w:rPr>
  </w:style>
  <w:style w:type="paragraph" w:styleId="Heading1">
    <w:name w:val="heading 1"/>
    <w:basedOn w:val="Normal"/>
    <w:next w:val="ParaNum"/>
    <w:link w:val="Heading1Char"/>
    <w:qFormat/>
    <w:rsid w:val="00971ABB"/>
    <w:pPr>
      <w:keepNext/>
      <w:numPr>
        <w:numId w:val="21"/>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971ABB"/>
    <w:pPr>
      <w:keepNext/>
      <w:numPr>
        <w:ilvl w:val="1"/>
        <w:numId w:val="21"/>
      </w:numPr>
      <w:spacing w:after="120"/>
      <w:outlineLvl w:val="1"/>
    </w:pPr>
    <w:rPr>
      <w:b/>
    </w:rPr>
  </w:style>
  <w:style w:type="paragraph" w:styleId="Heading3">
    <w:name w:val="heading 3"/>
    <w:basedOn w:val="Normal"/>
    <w:next w:val="ParaNum"/>
    <w:link w:val="Heading3Char"/>
    <w:qFormat/>
    <w:rsid w:val="00971ABB"/>
    <w:pPr>
      <w:keepNext/>
      <w:numPr>
        <w:ilvl w:val="2"/>
        <w:numId w:val="21"/>
      </w:numPr>
      <w:tabs>
        <w:tab w:val="left" w:pos="2160"/>
      </w:tabs>
      <w:spacing w:after="120"/>
      <w:outlineLvl w:val="2"/>
    </w:pPr>
    <w:rPr>
      <w:b/>
    </w:rPr>
  </w:style>
  <w:style w:type="paragraph" w:styleId="Heading4">
    <w:name w:val="heading 4"/>
    <w:basedOn w:val="Normal"/>
    <w:next w:val="ParaNum"/>
    <w:link w:val="Heading4Char"/>
    <w:qFormat/>
    <w:rsid w:val="00971ABB"/>
    <w:pPr>
      <w:keepNext/>
      <w:numPr>
        <w:ilvl w:val="3"/>
        <w:numId w:val="21"/>
      </w:numPr>
      <w:tabs>
        <w:tab w:val="left" w:pos="2880"/>
      </w:tabs>
      <w:spacing w:after="120"/>
      <w:outlineLvl w:val="3"/>
    </w:pPr>
    <w:rPr>
      <w:b/>
    </w:rPr>
  </w:style>
  <w:style w:type="paragraph" w:styleId="Heading5">
    <w:name w:val="heading 5"/>
    <w:basedOn w:val="Normal"/>
    <w:next w:val="ParaNum"/>
    <w:link w:val="Heading5Char"/>
    <w:qFormat/>
    <w:rsid w:val="00971ABB"/>
    <w:pPr>
      <w:keepNext/>
      <w:numPr>
        <w:ilvl w:val="4"/>
        <w:numId w:val="21"/>
      </w:numPr>
      <w:tabs>
        <w:tab w:val="left" w:pos="3600"/>
      </w:tabs>
      <w:suppressAutoHyphens/>
      <w:spacing w:after="120"/>
      <w:outlineLvl w:val="4"/>
    </w:pPr>
    <w:rPr>
      <w:b/>
    </w:rPr>
  </w:style>
  <w:style w:type="paragraph" w:styleId="Heading6">
    <w:name w:val="heading 6"/>
    <w:basedOn w:val="Normal"/>
    <w:next w:val="ParaNum"/>
    <w:link w:val="Heading6Char"/>
    <w:qFormat/>
    <w:rsid w:val="00971ABB"/>
    <w:pPr>
      <w:numPr>
        <w:ilvl w:val="5"/>
        <w:numId w:val="21"/>
      </w:numPr>
      <w:tabs>
        <w:tab w:val="left" w:pos="4320"/>
      </w:tabs>
      <w:spacing w:after="120"/>
      <w:outlineLvl w:val="5"/>
    </w:pPr>
    <w:rPr>
      <w:b/>
    </w:rPr>
  </w:style>
  <w:style w:type="paragraph" w:styleId="Heading7">
    <w:name w:val="heading 7"/>
    <w:basedOn w:val="Normal"/>
    <w:next w:val="ParaNum"/>
    <w:link w:val="Heading7Char"/>
    <w:qFormat/>
    <w:rsid w:val="00971ABB"/>
    <w:pPr>
      <w:numPr>
        <w:ilvl w:val="6"/>
        <w:numId w:val="21"/>
      </w:numPr>
      <w:tabs>
        <w:tab w:val="left" w:pos="5040"/>
      </w:tabs>
      <w:spacing w:after="120"/>
      <w:outlineLvl w:val="6"/>
    </w:pPr>
    <w:rPr>
      <w:b/>
    </w:rPr>
  </w:style>
  <w:style w:type="paragraph" w:styleId="Heading8">
    <w:name w:val="heading 8"/>
    <w:basedOn w:val="Normal"/>
    <w:next w:val="ParaNum"/>
    <w:link w:val="Heading8Char"/>
    <w:qFormat/>
    <w:rsid w:val="00971ABB"/>
    <w:pPr>
      <w:numPr>
        <w:ilvl w:val="7"/>
        <w:numId w:val="21"/>
      </w:numPr>
      <w:tabs>
        <w:tab w:val="clear" w:pos="5400"/>
        <w:tab w:val="left" w:pos="5760"/>
      </w:tabs>
      <w:spacing w:after="120"/>
      <w:outlineLvl w:val="7"/>
    </w:pPr>
    <w:rPr>
      <w:b/>
    </w:rPr>
  </w:style>
  <w:style w:type="paragraph" w:styleId="Heading9">
    <w:name w:val="heading 9"/>
    <w:aliases w:val="9,Heading 9.table,Titre 9,Topic,t,table"/>
    <w:basedOn w:val="Normal"/>
    <w:next w:val="ParaNum"/>
    <w:link w:val="Heading9Char"/>
    <w:qFormat/>
    <w:rsid w:val="00971ABB"/>
    <w:pPr>
      <w:numPr>
        <w:ilvl w:val="8"/>
        <w:numId w:val="21"/>
      </w:numPr>
      <w:tabs>
        <w:tab w:val="clear" w:pos="6120"/>
        <w:tab w:val="left" w:pos="6480"/>
      </w:tabs>
      <w:spacing w:after="120"/>
      <w:outlineLvl w:val="8"/>
    </w:pPr>
    <w:rPr>
      <w:b/>
    </w:rPr>
  </w:style>
  <w:style w:type="character" w:default="1" w:styleId="DefaultParagraphFont">
    <w:name w:val="Default Paragraph Font"/>
    <w:uiPriority w:val="1"/>
    <w:unhideWhenUsed/>
    <w:rsid w:val="00971AB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971ABB"/>
  </w:style>
  <w:style w:type="paragraph" w:customStyle="1" w:styleId="ParaNum">
    <w:name w:val="ParaNum"/>
    <w:basedOn w:val="Normal"/>
    <w:link w:val="ParaNumChar"/>
    <w:rsid w:val="00971ABB"/>
    <w:pPr>
      <w:numPr>
        <w:numId w:val="25"/>
      </w:numPr>
      <w:tabs>
        <w:tab w:val="clear" w:pos="1080"/>
        <w:tab w:val="num" w:pos="1440"/>
      </w:tabs>
      <w:spacing w:after="120"/>
    </w:pPr>
  </w:style>
  <w:style w:type="paragraph" w:styleId="EndnoteText">
    <w:name w:val="endnote text"/>
    <w:basedOn w:val="Normal"/>
    <w:semiHidden/>
    <w:rsid w:val="00971ABB"/>
    <w:rPr>
      <w:sz w:val="20"/>
    </w:rPr>
  </w:style>
  <w:style w:type="character" w:styleId="EndnoteReference">
    <w:name w:val="endnote reference"/>
    <w:semiHidden/>
    <w:rsid w:val="00971ABB"/>
    <w:rPr>
      <w:vertAlign w:val="superscript"/>
    </w:rPr>
  </w:style>
  <w:style w:type="paragraph" w:styleId="FootnoteText">
    <w:name w:val="footnote text"/>
    <w:aliases w:val="Footnote Text Char,Footnote Text Char Char2 Char,Footnote Text Char Char2 Char Char Char,Footnote Text Char1,Footnote Text Char1 Char2,Footnote Text Char1 Char2 Char Char,Footnote Text Char1 Char2 Char Char Char Char,fn,footnote text,f,Foo"/>
    <w:link w:val="FootnoteTextChar2"/>
    <w:rsid w:val="00971ABB"/>
    <w:pPr>
      <w:spacing w:after="120"/>
    </w:pPr>
  </w:style>
  <w:style w:type="character" w:styleId="FootnoteReference">
    <w:name w:val="footnote reference"/>
    <w:aliases w:val="Appel note de bas de p,(NECG) Footnote Reference,-E Funotenzeichen,FR,Footnote Reference/,Footnote Reference1,Style 12,Style 124,Style 13,Style 17,Style 20,Style 3,Style 34,Style 4,Style 6,Style 7,Style 9,callout,fr,o,A,Ref,Style 1,R"/>
    <w:rsid w:val="00971ABB"/>
    <w:rPr>
      <w:rFonts w:ascii="Times New Roman" w:hAnsi="Times New Roman"/>
      <w:dstrike w:val="0"/>
      <w:color w:val="auto"/>
      <w:sz w:val="20"/>
      <w:vertAlign w:val="superscript"/>
    </w:rPr>
  </w:style>
  <w:style w:type="paragraph" w:styleId="TOC1">
    <w:name w:val="toc 1"/>
    <w:basedOn w:val="Normal"/>
    <w:next w:val="Normal"/>
    <w:rsid w:val="00971ABB"/>
    <w:pPr>
      <w:tabs>
        <w:tab w:val="left" w:pos="360"/>
        <w:tab w:val="right" w:leader="dot" w:pos="9360"/>
      </w:tabs>
      <w:suppressAutoHyphens/>
      <w:ind w:left="360" w:right="720" w:hanging="360"/>
    </w:pPr>
    <w:rPr>
      <w:caps/>
      <w:noProof/>
    </w:rPr>
  </w:style>
  <w:style w:type="paragraph" w:styleId="TOC2">
    <w:name w:val="toc 2"/>
    <w:basedOn w:val="Normal"/>
    <w:next w:val="Normal"/>
    <w:rsid w:val="00971ABB"/>
    <w:pPr>
      <w:tabs>
        <w:tab w:val="left" w:pos="720"/>
        <w:tab w:val="right" w:leader="dot" w:pos="9360"/>
      </w:tabs>
      <w:suppressAutoHyphens/>
      <w:ind w:left="720" w:right="720" w:hanging="360"/>
    </w:pPr>
    <w:rPr>
      <w:noProof/>
    </w:rPr>
  </w:style>
  <w:style w:type="paragraph" w:styleId="TOC3">
    <w:name w:val="toc 3"/>
    <w:basedOn w:val="Normal"/>
    <w:next w:val="Normal"/>
    <w:rsid w:val="00971ABB"/>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971ABB"/>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971ABB"/>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971ABB"/>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971ABB"/>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971ABB"/>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971ABB"/>
    <w:pPr>
      <w:tabs>
        <w:tab w:val="left" w:pos="3240"/>
        <w:tab w:val="right" w:leader="dot" w:pos="9360"/>
      </w:tabs>
      <w:suppressAutoHyphens/>
      <w:ind w:left="3240" w:hanging="360"/>
    </w:pPr>
    <w:rPr>
      <w:noProof/>
    </w:rPr>
  </w:style>
  <w:style w:type="paragraph" w:styleId="TOAHeading">
    <w:name w:val="toa heading"/>
    <w:basedOn w:val="Normal"/>
    <w:next w:val="Normal"/>
    <w:semiHidden/>
    <w:rsid w:val="00971ABB"/>
    <w:pPr>
      <w:tabs>
        <w:tab w:val="right" w:pos="9360"/>
      </w:tabs>
      <w:suppressAutoHyphens/>
    </w:pPr>
  </w:style>
  <w:style w:type="character" w:customStyle="1" w:styleId="EquationCaption">
    <w:name w:val="_Equation Caption"/>
    <w:rsid w:val="00971ABB"/>
  </w:style>
  <w:style w:type="paragraph" w:styleId="Header">
    <w:name w:val="header"/>
    <w:basedOn w:val="Normal"/>
    <w:link w:val="HeaderChar"/>
    <w:autoRedefine/>
    <w:rsid w:val="00971ABB"/>
    <w:pPr>
      <w:tabs>
        <w:tab w:val="center" w:pos="4680"/>
        <w:tab w:val="right" w:pos="9360"/>
      </w:tabs>
    </w:pPr>
    <w:rPr>
      <w:b/>
    </w:rPr>
  </w:style>
  <w:style w:type="paragraph" w:styleId="Footer">
    <w:name w:val="footer"/>
    <w:basedOn w:val="Normal"/>
    <w:link w:val="FooterChar"/>
    <w:uiPriority w:val="99"/>
    <w:rsid w:val="00971ABB"/>
    <w:pPr>
      <w:tabs>
        <w:tab w:val="center" w:pos="4320"/>
        <w:tab w:val="right" w:pos="8640"/>
      </w:tabs>
    </w:pPr>
  </w:style>
  <w:style w:type="character" w:styleId="PageNumber">
    <w:name w:val="page number"/>
    <w:basedOn w:val="DefaultParagraphFont"/>
    <w:rsid w:val="00971ABB"/>
  </w:style>
  <w:style w:type="paragraph" w:styleId="BlockText">
    <w:name w:val="Block Text"/>
    <w:basedOn w:val="Normal"/>
    <w:rsid w:val="00971ABB"/>
    <w:pPr>
      <w:spacing w:after="240"/>
      <w:ind w:left="1440" w:right="1440"/>
    </w:pPr>
  </w:style>
  <w:style w:type="paragraph" w:customStyle="1" w:styleId="Paratitle">
    <w:name w:val="Para title"/>
    <w:basedOn w:val="Normal"/>
    <w:rsid w:val="00971ABB"/>
    <w:pPr>
      <w:tabs>
        <w:tab w:val="center" w:pos="9270"/>
      </w:tabs>
      <w:spacing w:after="240"/>
    </w:pPr>
    <w:rPr>
      <w:spacing w:val="-2"/>
    </w:rPr>
  </w:style>
  <w:style w:type="paragraph" w:customStyle="1" w:styleId="Bullet">
    <w:name w:val="Bullet"/>
    <w:basedOn w:val="Normal"/>
    <w:rsid w:val="00971ABB"/>
    <w:pPr>
      <w:tabs>
        <w:tab w:val="left" w:pos="2160"/>
      </w:tabs>
      <w:spacing w:after="220"/>
      <w:ind w:left="2160" w:hanging="720"/>
    </w:pPr>
  </w:style>
  <w:style w:type="paragraph" w:customStyle="1" w:styleId="TableFormat">
    <w:name w:val="TableFormat"/>
    <w:basedOn w:val="Bullet"/>
    <w:rsid w:val="00971ABB"/>
    <w:pPr>
      <w:tabs>
        <w:tab w:val="clear" w:pos="2160"/>
        <w:tab w:val="left" w:pos="5040"/>
      </w:tabs>
      <w:ind w:left="5040" w:hanging="3600"/>
    </w:pPr>
  </w:style>
  <w:style w:type="paragraph" w:customStyle="1" w:styleId="TOCTitle">
    <w:name w:val="TOC Title"/>
    <w:basedOn w:val="Normal"/>
    <w:rsid w:val="00971ABB"/>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971ABB"/>
    <w:pPr>
      <w:jc w:val="center"/>
    </w:pPr>
    <w:rPr>
      <w:rFonts w:ascii="Times New Roman Bold" w:hAnsi="Times New Roman Bold"/>
      <w:b/>
      <w:bCs/>
      <w:caps/>
      <w:szCs w:val="22"/>
    </w:rPr>
  </w:style>
  <w:style w:type="character" w:styleId="Hyperlink">
    <w:name w:val="Hyperlink"/>
    <w:rsid w:val="00971ABB"/>
    <w:rPr>
      <w:color w:val="0000FF"/>
      <w:u w:val="single"/>
    </w:rPr>
  </w:style>
  <w:style w:type="character" w:customStyle="1" w:styleId="FooterChar">
    <w:name w:val="Footer Char"/>
    <w:link w:val="Footer"/>
    <w:uiPriority w:val="99"/>
    <w:rsid w:val="00971ABB"/>
    <w:rPr>
      <w:snapToGrid w:val="0"/>
      <w:kern w:val="28"/>
      <w:sz w:val="22"/>
    </w:rPr>
  </w:style>
  <w:style w:type="character" w:customStyle="1" w:styleId="FootnoteTextChar2">
    <w:name w:val="Footnote Text Char2"/>
    <w:aliases w:val="Footnote Text Char Char,Footnote Text Char Char2 Char Char,Footnote Text Char Char2 Char Char Char Char,Footnote Text Char1 Char,Footnote Text Char1 Char2 Char,Footnote Text Char1 Char2 Char Char Char,fn Char,footnote text Char"/>
    <w:link w:val="FootnoteText"/>
    <w:rsid w:val="00615A37"/>
  </w:style>
  <w:style w:type="paragraph" w:styleId="ListParagraph">
    <w:name w:val="List Paragraph"/>
    <w:basedOn w:val="Normal"/>
    <w:uiPriority w:val="34"/>
    <w:qFormat/>
    <w:rsid w:val="00971ABB"/>
    <w:pPr>
      <w:widowControl/>
      <w:spacing w:after="160" w:line="278" w:lineRule="auto"/>
      <w:ind w:left="720"/>
      <w:contextualSpacing/>
    </w:pPr>
    <w:rPr>
      <w:rFonts w:ascii="Calibri" w:eastAsia="Calibri" w:hAnsi="Calibri"/>
      <w:kern w:val="2"/>
      <w:sz w:val="24"/>
      <w:szCs w:val="24"/>
    </w:rPr>
  </w:style>
  <w:style w:type="character" w:styleId="PlaceholderText">
    <w:name w:val="Placeholder Text"/>
    <w:uiPriority w:val="99"/>
    <w:semiHidden/>
    <w:rsid w:val="00971ABB"/>
    <w:rPr>
      <w:color w:val="666666"/>
    </w:rPr>
  </w:style>
  <w:style w:type="paragraph" w:styleId="Revision">
    <w:name w:val="Revision"/>
    <w:hidden/>
    <w:uiPriority w:val="99"/>
    <w:semiHidden/>
    <w:rsid w:val="00971ABB"/>
    <w:rPr>
      <w:snapToGrid w:val="0"/>
      <w:kern w:val="28"/>
      <w:sz w:val="22"/>
    </w:rPr>
  </w:style>
  <w:style w:type="character" w:styleId="CommentReference">
    <w:name w:val="annotation reference"/>
    <w:uiPriority w:val="99"/>
    <w:rsid w:val="00971ABB"/>
    <w:rPr>
      <w:sz w:val="16"/>
      <w:szCs w:val="16"/>
    </w:rPr>
  </w:style>
  <w:style w:type="paragraph" w:styleId="CommentText">
    <w:name w:val="annotation text"/>
    <w:basedOn w:val="Normal"/>
    <w:link w:val="CommentTextChar"/>
    <w:uiPriority w:val="99"/>
    <w:rsid w:val="00971ABB"/>
    <w:pPr>
      <w:widowControl/>
      <w:spacing w:after="160" w:line="278" w:lineRule="auto"/>
    </w:pPr>
    <w:rPr>
      <w:rFonts w:ascii="Aptos" w:eastAsia="Aptos" w:hAnsi="Aptos"/>
      <w:snapToGrid/>
      <w:kern w:val="2"/>
      <w:sz w:val="20"/>
      <w:szCs w:val="24"/>
    </w:rPr>
  </w:style>
  <w:style w:type="character" w:customStyle="1" w:styleId="CommentTextChar">
    <w:name w:val="Comment Text Char"/>
    <w:link w:val="CommentText"/>
    <w:uiPriority w:val="99"/>
    <w:rsid w:val="00971ABB"/>
    <w:rPr>
      <w:rFonts w:ascii="Aptos" w:eastAsia="Aptos" w:hAnsi="Aptos"/>
      <w:kern w:val="2"/>
      <w:szCs w:val="24"/>
    </w:rPr>
  </w:style>
  <w:style w:type="paragraph" w:styleId="CommentSubject">
    <w:name w:val="annotation subject"/>
    <w:basedOn w:val="CommentText"/>
    <w:next w:val="CommentText"/>
    <w:link w:val="CommentSubjectChar"/>
    <w:uiPriority w:val="99"/>
    <w:rsid w:val="00971ABB"/>
    <w:rPr>
      <w:b/>
      <w:bCs/>
    </w:rPr>
  </w:style>
  <w:style w:type="character" w:customStyle="1" w:styleId="CommentSubjectChar">
    <w:name w:val="Comment Subject Char"/>
    <w:link w:val="CommentSubject"/>
    <w:uiPriority w:val="99"/>
    <w:rsid w:val="00971ABB"/>
    <w:rPr>
      <w:rFonts w:ascii="Aptos" w:eastAsia="Aptos" w:hAnsi="Aptos"/>
      <w:b/>
      <w:bCs/>
      <w:kern w:val="2"/>
      <w:szCs w:val="24"/>
    </w:rPr>
  </w:style>
  <w:style w:type="paragraph" w:customStyle="1" w:styleId="Default">
    <w:name w:val="Default"/>
    <w:rsid w:val="00851884"/>
    <w:pPr>
      <w:autoSpaceDE w:val="0"/>
      <w:autoSpaceDN w:val="0"/>
      <w:adjustRightInd w:val="0"/>
    </w:pPr>
    <w:rPr>
      <w:color w:val="000000"/>
      <w:sz w:val="24"/>
      <w:szCs w:val="24"/>
    </w:rPr>
  </w:style>
  <w:style w:type="character" w:customStyle="1" w:styleId="ParaNumChar">
    <w:name w:val="ParaNum Char"/>
    <w:link w:val="ParaNum"/>
    <w:locked/>
    <w:rsid w:val="00971ABB"/>
    <w:rPr>
      <w:snapToGrid w:val="0"/>
      <w:kern w:val="28"/>
      <w:sz w:val="22"/>
    </w:rPr>
  </w:style>
  <w:style w:type="character" w:customStyle="1" w:styleId="normaltextrun">
    <w:name w:val="normaltextrun"/>
    <w:basedOn w:val="DefaultParagraphFont"/>
    <w:rsid w:val="00971ABB"/>
  </w:style>
  <w:style w:type="paragraph" w:customStyle="1" w:styleId="Style30">
    <w:name w:val="Style3"/>
    <w:basedOn w:val="ParaNum"/>
    <w:rsid w:val="0009298A"/>
    <w:pPr>
      <w:numPr>
        <w:numId w:val="0"/>
      </w:numPr>
      <w:tabs>
        <w:tab w:val="left" w:pos="720"/>
        <w:tab w:val="left" w:pos="1800"/>
      </w:tabs>
      <w:ind w:firstLine="720"/>
    </w:pPr>
  </w:style>
  <w:style w:type="character" w:styleId="UnresolvedMention">
    <w:name w:val="Unresolved Mention"/>
    <w:uiPriority w:val="99"/>
    <w:unhideWhenUsed/>
    <w:rsid w:val="00971ABB"/>
    <w:rPr>
      <w:color w:val="605E5C"/>
      <w:shd w:val="clear" w:color="auto" w:fill="E1DFDD"/>
    </w:rPr>
  </w:style>
  <w:style w:type="character" w:customStyle="1" w:styleId="Heading1Char">
    <w:name w:val="Heading 1 Char"/>
    <w:link w:val="Heading1"/>
    <w:rsid w:val="00971ABB"/>
    <w:rPr>
      <w:rFonts w:ascii="Times New Roman Bold" w:hAnsi="Times New Roman Bold"/>
      <w:b/>
      <w:caps/>
      <w:snapToGrid w:val="0"/>
      <w:kern w:val="28"/>
      <w:sz w:val="22"/>
    </w:rPr>
  </w:style>
  <w:style w:type="character" w:customStyle="1" w:styleId="cf01">
    <w:name w:val="cf01"/>
    <w:rsid w:val="00971ABB"/>
    <w:rPr>
      <w:rFonts w:ascii="Segoe UI" w:hAnsi="Segoe UI" w:cs="Segoe UI" w:hint="default"/>
      <w:sz w:val="18"/>
      <w:szCs w:val="18"/>
    </w:rPr>
  </w:style>
  <w:style w:type="character" w:customStyle="1" w:styleId="animating">
    <w:name w:val="animating"/>
    <w:basedOn w:val="DefaultParagraphFont"/>
    <w:rsid w:val="00971ABB"/>
  </w:style>
  <w:style w:type="character" w:styleId="Strong">
    <w:name w:val="Strong"/>
    <w:uiPriority w:val="22"/>
    <w:qFormat/>
    <w:rsid w:val="00971ABB"/>
    <w:rPr>
      <w:b/>
      <w:bCs/>
    </w:rPr>
  </w:style>
  <w:style w:type="character" w:customStyle="1" w:styleId="Heading3Char">
    <w:name w:val="Heading 3 Char"/>
    <w:link w:val="Heading3"/>
    <w:rsid w:val="00971ABB"/>
    <w:rPr>
      <w:b/>
      <w:snapToGrid w:val="0"/>
      <w:kern w:val="28"/>
      <w:sz w:val="22"/>
    </w:rPr>
  </w:style>
  <w:style w:type="character" w:customStyle="1" w:styleId="Heading4Char">
    <w:name w:val="Heading 4 Char"/>
    <w:link w:val="Heading4"/>
    <w:rsid w:val="00971ABB"/>
    <w:rPr>
      <w:b/>
      <w:snapToGrid w:val="0"/>
      <w:kern w:val="28"/>
      <w:sz w:val="22"/>
    </w:rPr>
  </w:style>
  <w:style w:type="character" w:customStyle="1" w:styleId="contentpasted0">
    <w:name w:val="contentpasted0"/>
    <w:basedOn w:val="DefaultParagraphFont"/>
    <w:rsid w:val="00971ABB"/>
  </w:style>
  <w:style w:type="character" w:styleId="Mention">
    <w:name w:val="Mention"/>
    <w:uiPriority w:val="99"/>
    <w:unhideWhenUsed/>
    <w:rsid w:val="00971ABB"/>
    <w:rPr>
      <w:color w:val="2B579A"/>
      <w:shd w:val="clear" w:color="auto" w:fill="E1DFDD"/>
    </w:rPr>
  </w:style>
  <w:style w:type="character" w:styleId="FollowedHyperlink">
    <w:name w:val="FollowedHyperlink"/>
    <w:rsid w:val="00971ABB"/>
    <w:rPr>
      <w:color w:val="96607D"/>
      <w:u w:val="single"/>
    </w:rPr>
  </w:style>
  <w:style w:type="character" w:customStyle="1" w:styleId="cf11">
    <w:name w:val="cf11"/>
    <w:rsid w:val="00971ABB"/>
    <w:rPr>
      <w:rFonts w:ascii="Segoe UI" w:hAnsi="Segoe UI" w:cs="Segoe UI" w:hint="default"/>
      <w:i/>
      <w:iCs/>
      <w:sz w:val="18"/>
      <w:szCs w:val="18"/>
    </w:rPr>
  </w:style>
  <w:style w:type="character" w:customStyle="1" w:styleId="documentbody1">
    <w:name w:val="documentbody1"/>
    <w:rsid w:val="00971ABB"/>
    <w:rPr>
      <w:rFonts w:ascii="Verdana" w:hAnsi="Verdana" w:hint="default"/>
      <w:sz w:val="19"/>
      <w:szCs w:val="19"/>
      <w:shd w:val="clear" w:color="auto" w:fill="FFFFFF"/>
    </w:rPr>
  </w:style>
  <w:style w:type="character" w:customStyle="1" w:styleId="Footnote">
    <w:name w:val="Footnote"/>
    <w:rsid w:val="00971ABB"/>
  </w:style>
  <w:style w:type="paragraph" w:customStyle="1" w:styleId="StyleParaNumItalic1">
    <w:name w:val="Style ParaNum + Italic1"/>
    <w:basedOn w:val="ParaNum"/>
    <w:link w:val="StyleParaNumItalic1Char"/>
    <w:uiPriority w:val="99"/>
    <w:rsid w:val="00971ABB"/>
    <w:pPr>
      <w:widowControl/>
      <w:numPr>
        <w:numId w:val="9"/>
      </w:numPr>
      <w:tabs>
        <w:tab w:val="clear" w:pos="720"/>
        <w:tab w:val="left" w:pos="1440"/>
      </w:tabs>
      <w:spacing w:line="278" w:lineRule="auto"/>
      <w:ind w:left="0" w:firstLine="0"/>
    </w:pPr>
    <w:rPr>
      <w:rFonts w:ascii="Aptos" w:eastAsia="Aptos" w:hAnsi="Aptos"/>
      <w:i/>
      <w:kern w:val="2"/>
      <w:sz w:val="20"/>
      <w:szCs w:val="24"/>
    </w:rPr>
  </w:style>
  <w:style w:type="character" w:customStyle="1" w:styleId="StyleParaNumItalic1Char">
    <w:name w:val="Style ParaNum + Italic1 Char"/>
    <w:link w:val="StyleParaNumItalic1"/>
    <w:uiPriority w:val="99"/>
    <w:locked/>
    <w:rsid w:val="00971ABB"/>
    <w:rPr>
      <w:rFonts w:ascii="Aptos" w:eastAsia="Aptos" w:hAnsi="Aptos"/>
      <w:i/>
      <w:snapToGrid w:val="0"/>
      <w:kern w:val="2"/>
      <w:szCs w:val="24"/>
    </w:rPr>
  </w:style>
  <w:style w:type="character" w:customStyle="1" w:styleId="ParaNumChar1">
    <w:name w:val="ParaNum Char1"/>
    <w:locked/>
    <w:rsid w:val="00971ABB"/>
    <w:rPr>
      <w:rFonts w:ascii="Times New Roman" w:eastAsia="Times New Roman" w:hAnsi="Times New Roman" w:cs="Times New Roman"/>
      <w:snapToGrid w:val="0"/>
      <w:kern w:val="28"/>
      <w:sz w:val="22"/>
      <w:szCs w:val="20"/>
    </w:rPr>
  </w:style>
  <w:style w:type="character" w:customStyle="1" w:styleId="Heading2Char">
    <w:name w:val="Heading 2 Char"/>
    <w:link w:val="Heading2"/>
    <w:rsid w:val="00971ABB"/>
    <w:rPr>
      <w:b/>
      <w:snapToGrid w:val="0"/>
      <w:kern w:val="28"/>
      <w:sz w:val="22"/>
    </w:rPr>
  </w:style>
  <w:style w:type="paragraph" w:customStyle="1" w:styleId="Paranum0">
    <w:name w:val="Paranum"/>
    <w:basedOn w:val="ParaNum"/>
    <w:link w:val="ParanumChar0"/>
    <w:qFormat/>
    <w:rsid w:val="00971ABB"/>
    <w:pPr>
      <w:widowControl/>
      <w:numPr>
        <w:numId w:val="8"/>
      </w:numPr>
      <w:spacing w:line="278" w:lineRule="auto"/>
      <w:ind w:left="0" w:firstLine="0"/>
    </w:pPr>
    <w:rPr>
      <w:rFonts w:ascii="Aptos" w:eastAsia="Aptos" w:hAnsi="Aptos"/>
      <w:snapToGrid/>
      <w:kern w:val="2"/>
      <w:sz w:val="24"/>
      <w:szCs w:val="24"/>
    </w:rPr>
  </w:style>
  <w:style w:type="character" w:customStyle="1" w:styleId="ParanumChar0">
    <w:name w:val="Paranum Char"/>
    <w:link w:val="Paranum0"/>
    <w:rsid w:val="00971ABB"/>
    <w:rPr>
      <w:rFonts w:ascii="Aptos" w:eastAsia="Aptos" w:hAnsi="Aptos"/>
      <w:kern w:val="2"/>
      <w:sz w:val="24"/>
      <w:szCs w:val="24"/>
    </w:rPr>
  </w:style>
  <w:style w:type="character" w:customStyle="1" w:styleId="uv3um">
    <w:name w:val="uv3um"/>
    <w:basedOn w:val="DefaultParagraphFont"/>
    <w:rsid w:val="00971ABB"/>
  </w:style>
  <w:style w:type="paragraph" w:styleId="NormalWeb">
    <w:name w:val="Normal (Web)"/>
    <w:basedOn w:val="Normal"/>
    <w:rsid w:val="00971ABB"/>
    <w:pPr>
      <w:widowControl/>
      <w:spacing w:after="160" w:line="278" w:lineRule="auto"/>
    </w:pPr>
    <w:rPr>
      <w:rFonts w:ascii="Aptos" w:eastAsia="Aptos" w:hAnsi="Aptos"/>
      <w:snapToGrid/>
      <w:kern w:val="2"/>
      <w:sz w:val="24"/>
      <w:szCs w:val="24"/>
    </w:rPr>
  </w:style>
  <w:style w:type="numbering" w:customStyle="1" w:styleId="NoList1">
    <w:name w:val="No List1"/>
    <w:next w:val="NoList"/>
    <w:uiPriority w:val="99"/>
    <w:semiHidden/>
    <w:unhideWhenUsed/>
    <w:rsid w:val="00971ABB"/>
  </w:style>
  <w:style w:type="character" w:customStyle="1" w:styleId="Heading5Char">
    <w:name w:val="Heading 5 Char"/>
    <w:link w:val="Heading5"/>
    <w:rsid w:val="00971ABB"/>
    <w:rPr>
      <w:b/>
      <w:snapToGrid w:val="0"/>
      <w:kern w:val="28"/>
      <w:sz w:val="22"/>
    </w:rPr>
  </w:style>
  <w:style w:type="character" w:customStyle="1" w:styleId="Heading6Char">
    <w:name w:val="Heading 6 Char"/>
    <w:link w:val="Heading6"/>
    <w:rsid w:val="00971ABB"/>
    <w:rPr>
      <w:b/>
      <w:snapToGrid w:val="0"/>
      <w:kern w:val="28"/>
      <w:sz w:val="22"/>
    </w:rPr>
  </w:style>
  <w:style w:type="character" w:customStyle="1" w:styleId="Heading7Char">
    <w:name w:val="Heading 7 Char"/>
    <w:link w:val="Heading7"/>
    <w:rsid w:val="00971ABB"/>
    <w:rPr>
      <w:b/>
      <w:snapToGrid w:val="0"/>
      <w:kern w:val="28"/>
      <w:sz w:val="22"/>
    </w:rPr>
  </w:style>
  <w:style w:type="character" w:customStyle="1" w:styleId="Heading8Char">
    <w:name w:val="Heading 8 Char"/>
    <w:link w:val="Heading8"/>
    <w:rsid w:val="00971ABB"/>
    <w:rPr>
      <w:b/>
      <w:snapToGrid w:val="0"/>
      <w:kern w:val="28"/>
      <w:sz w:val="22"/>
    </w:rPr>
  </w:style>
  <w:style w:type="character" w:customStyle="1" w:styleId="Heading9Char">
    <w:name w:val="Heading 9 Char"/>
    <w:aliases w:val="9 Char,Heading 9.table Char,Titre 9 Char,Topic Char,t Char,table Char"/>
    <w:link w:val="Heading9"/>
    <w:rsid w:val="00971ABB"/>
    <w:rPr>
      <w:b/>
      <w:snapToGrid w:val="0"/>
      <w:kern w:val="28"/>
      <w:sz w:val="22"/>
    </w:rPr>
  </w:style>
  <w:style w:type="paragraph" w:customStyle="1" w:styleId="Title1">
    <w:name w:val="Title1"/>
    <w:basedOn w:val="Normal"/>
    <w:next w:val="Normal"/>
    <w:uiPriority w:val="10"/>
    <w:qFormat/>
    <w:rsid w:val="00971ABB"/>
    <w:pPr>
      <w:widowControl/>
      <w:spacing w:after="80" w:line="278" w:lineRule="auto"/>
      <w:contextualSpacing/>
    </w:pPr>
    <w:rPr>
      <w:rFonts w:ascii="Aptos Display" w:eastAsia="Yu Gothic Light" w:hAnsi="Aptos Display"/>
      <w:spacing w:val="-10"/>
      <w:kern w:val="2"/>
      <w:sz w:val="56"/>
      <w:szCs w:val="56"/>
    </w:rPr>
  </w:style>
  <w:style w:type="character" w:customStyle="1" w:styleId="TitleChar">
    <w:name w:val="Title Char"/>
    <w:link w:val="Title"/>
    <w:uiPriority w:val="10"/>
    <w:rsid w:val="00971ABB"/>
    <w:rPr>
      <w:rFonts w:ascii="Aptos Display" w:eastAsia="Yu Gothic Light" w:hAnsi="Aptos Display"/>
      <w:spacing w:val="-10"/>
      <w:kern w:val="28"/>
      <w:sz w:val="56"/>
      <w:szCs w:val="56"/>
    </w:rPr>
  </w:style>
  <w:style w:type="paragraph" w:customStyle="1" w:styleId="Subtitle1">
    <w:name w:val="Subtitle1"/>
    <w:basedOn w:val="Normal"/>
    <w:next w:val="Normal"/>
    <w:uiPriority w:val="11"/>
    <w:qFormat/>
    <w:rsid w:val="00971ABB"/>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
    <w:name w:val="Subtitle Char"/>
    <w:link w:val="Subtitle"/>
    <w:uiPriority w:val="11"/>
    <w:rsid w:val="00971ABB"/>
    <w:rPr>
      <w:rFonts w:ascii="Aptos" w:eastAsia="Yu Gothic Light" w:hAnsi="Aptos"/>
      <w:snapToGrid w:val="0"/>
      <w:color w:val="595959"/>
      <w:spacing w:val="15"/>
      <w:kern w:val="2"/>
      <w:sz w:val="28"/>
      <w:szCs w:val="28"/>
    </w:rPr>
  </w:style>
  <w:style w:type="paragraph" w:customStyle="1" w:styleId="Quote1">
    <w:name w:val="Quote1"/>
    <w:basedOn w:val="Normal"/>
    <w:next w:val="Normal"/>
    <w:uiPriority w:val="29"/>
    <w:qFormat/>
    <w:rsid w:val="00971ABB"/>
    <w:pPr>
      <w:widowControl/>
      <w:spacing w:before="160" w:after="160" w:line="278" w:lineRule="auto"/>
      <w:jc w:val="center"/>
    </w:pPr>
    <w:rPr>
      <w:rFonts w:ascii="Aptos" w:eastAsia="Aptos" w:hAnsi="Aptos" w:cs="Arial"/>
      <w:i/>
      <w:iCs/>
      <w:color w:val="404040"/>
      <w:kern w:val="2"/>
      <w:sz w:val="24"/>
      <w:szCs w:val="24"/>
    </w:rPr>
  </w:style>
  <w:style w:type="character" w:customStyle="1" w:styleId="QuoteChar">
    <w:name w:val="Quote Char"/>
    <w:link w:val="Quote"/>
    <w:uiPriority w:val="29"/>
    <w:rsid w:val="00971ABB"/>
    <w:rPr>
      <w:rFonts w:ascii="Aptos" w:eastAsia="Aptos" w:hAnsi="Aptos"/>
      <w:i/>
      <w:iCs/>
      <w:snapToGrid w:val="0"/>
      <w:color w:val="404040"/>
      <w:kern w:val="2"/>
      <w:szCs w:val="24"/>
    </w:rPr>
  </w:style>
  <w:style w:type="character" w:customStyle="1" w:styleId="IntenseEmphasis1">
    <w:name w:val="Intense Emphasis1"/>
    <w:uiPriority w:val="21"/>
    <w:qFormat/>
    <w:rsid w:val="00971ABB"/>
    <w:rPr>
      <w:i/>
      <w:iCs/>
      <w:color w:val="0F4761"/>
    </w:rPr>
  </w:style>
  <w:style w:type="paragraph" w:customStyle="1" w:styleId="IntenseQuote1">
    <w:name w:val="Intense Quote1"/>
    <w:basedOn w:val="Normal"/>
    <w:next w:val="Normal"/>
    <w:uiPriority w:val="30"/>
    <w:qFormat/>
    <w:rsid w:val="00971ABB"/>
    <w:pPr>
      <w:widowControl/>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sz w:val="24"/>
      <w:szCs w:val="24"/>
    </w:rPr>
  </w:style>
  <w:style w:type="character" w:customStyle="1" w:styleId="IntenseQuoteChar">
    <w:name w:val="Intense Quote Char"/>
    <w:link w:val="IntenseQuote"/>
    <w:uiPriority w:val="30"/>
    <w:rsid w:val="00971ABB"/>
    <w:rPr>
      <w:rFonts w:ascii="Aptos" w:eastAsia="Aptos" w:hAnsi="Aptos"/>
      <w:i/>
      <w:iCs/>
      <w:snapToGrid w:val="0"/>
      <w:color w:val="0F4761"/>
      <w:kern w:val="2"/>
      <w:szCs w:val="24"/>
    </w:rPr>
  </w:style>
  <w:style w:type="character" w:customStyle="1" w:styleId="IntenseReference1">
    <w:name w:val="Intense Reference1"/>
    <w:uiPriority w:val="32"/>
    <w:qFormat/>
    <w:rsid w:val="00971ABB"/>
    <w:rPr>
      <w:b/>
      <w:bCs/>
      <w:smallCaps/>
      <w:color w:val="0F4761"/>
      <w:spacing w:val="5"/>
    </w:rPr>
  </w:style>
  <w:style w:type="character" w:customStyle="1" w:styleId="HeaderChar">
    <w:name w:val="Header Char"/>
    <w:link w:val="Header"/>
    <w:rsid w:val="00971ABB"/>
    <w:rPr>
      <w:b/>
      <w:snapToGrid w:val="0"/>
      <w:kern w:val="28"/>
      <w:sz w:val="22"/>
    </w:rPr>
  </w:style>
  <w:style w:type="paragraph" w:styleId="Title">
    <w:name w:val="Title"/>
    <w:basedOn w:val="Normal"/>
    <w:next w:val="Normal"/>
    <w:link w:val="TitleChar"/>
    <w:uiPriority w:val="10"/>
    <w:qFormat/>
    <w:rsid w:val="00971ABB"/>
    <w:pPr>
      <w:widowControl/>
      <w:spacing w:after="160" w:line="278" w:lineRule="auto"/>
      <w:contextualSpacing/>
    </w:pPr>
    <w:rPr>
      <w:rFonts w:ascii="Aptos Display" w:eastAsia="Yu Gothic Light" w:hAnsi="Aptos Display"/>
      <w:snapToGrid/>
      <w:spacing w:val="-10"/>
      <w:sz w:val="56"/>
      <w:szCs w:val="56"/>
    </w:rPr>
  </w:style>
  <w:style w:type="character" w:customStyle="1" w:styleId="TitleChar1">
    <w:name w:val="Title Char1"/>
    <w:rsid w:val="00971ABB"/>
    <w:rPr>
      <w:rFonts w:ascii="Aptos Display" w:eastAsia="Times New Roman" w:hAnsi="Aptos Display" w:cs="Times New Roman"/>
      <w:b/>
      <w:bCs/>
      <w:snapToGrid w:val="0"/>
      <w:kern w:val="28"/>
      <w:sz w:val="32"/>
      <w:szCs w:val="32"/>
    </w:rPr>
  </w:style>
  <w:style w:type="paragraph" w:styleId="Subtitle">
    <w:name w:val="Subtitle"/>
    <w:basedOn w:val="Normal"/>
    <w:next w:val="Normal"/>
    <w:link w:val="SubtitleChar"/>
    <w:uiPriority w:val="11"/>
    <w:qFormat/>
    <w:rsid w:val="00971ABB"/>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1">
    <w:name w:val="Subtitle Char1"/>
    <w:rsid w:val="00971ABB"/>
    <w:rPr>
      <w:rFonts w:ascii="Aptos Display" w:eastAsia="Times New Roman" w:hAnsi="Aptos Display" w:cs="Times New Roman"/>
      <w:snapToGrid w:val="0"/>
      <w:kern w:val="28"/>
      <w:sz w:val="24"/>
      <w:szCs w:val="24"/>
    </w:rPr>
  </w:style>
  <w:style w:type="paragraph" w:styleId="Quote">
    <w:name w:val="Quote"/>
    <w:basedOn w:val="Normal"/>
    <w:next w:val="Normal"/>
    <w:link w:val="QuoteChar"/>
    <w:uiPriority w:val="29"/>
    <w:qFormat/>
    <w:rsid w:val="00971ABB"/>
    <w:pPr>
      <w:widowControl/>
      <w:spacing w:before="200" w:after="160" w:line="278" w:lineRule="auto"/>
      <w:ind w:left="864" w:right="864"/>
      <w:jc w:val="center"/>
    </w:pPr>
    <w:rPr>
      <w:rFonts w:ascii="Aptos" w:eastAsia="Aptos" w:hAnsi="Aptos"/>
      <w:i/>
      <w:iCs/>
      <w:color w:val="404040"/>
      <w:kern w:val="2"/>
      <w:sz w:val="20"/>
      <w:szCs w:val="24"/>
    </w:rPr>
  </w:style>
  <w:style w:type="character" w:customStyle="1" w:styleId="QuoteChar1">
    <w:name w:val="Quote Char1"/>
    <w:uiPriority w:val="29"/>
    <w:rsid w:val="00971ABB"/>
    <w:rPr>
      <w:i/>
      <w:iCs/>
      <w:snapToGrid w:val="0"/>
      <w:color w:val="404040"/>
      <w:kern w:val="28"/>
      <w:sz w:val="22"/>
    </w:rPr>
  </w:style>
  <w:style w:type="character" w:styleId="IntenseEmphasis">
    <w:name w:val="Intense Emphasis"/>
    <w:uiPriority w:val="21"/>
    <w:qFormat/>
    <w:rsid w:val="00971ABB"/>
    <w:rPr>
      <w:i/>
      <w:iCs/>
      <w:color w:val="156082"/>
    </w:rPr>
  </w:style>
  <w:style w:type="paragraph" w:styleId="IntenseQuote">
    <w:name w:val="Intense Quote"/>
    <w:basedOn w:val="Normal"/>
    <w:next w:val="Normal"/>
    <w:link w:val="IntenseQuoteChar"/>
    <w:uiPriority w:val="30"/>
    <w:qFormat/>
    <w:rsid w:val="00971ABB"/>
    <w:pPr>
      <w:widowControl/>
      <w:pBdr>
        <w:top w:val="single" w:sz="4" w:space="10" w:color="156082"/>
        <w:bottom w:val="single" w:sz="4" w:space="10" w:color="156082"/>
      </w:pBdr>
      <w:spacing w:before="360" w:after="360" w:line="278" w:lineRule="auto"/>
      <w:ind w:left="864" w:right="864"/>
      <w:jc w:val="center"/>
    </w:pPr>
    <w:rPr>
      <w:rFonts w:ascii="Aptos" w:eastAsia="Aptos" w:hAnsi="Aptos"/>
      <w:i/>
      <w:iCs/>
      <w:color w:val="0F4761"/>
      <w:kern w:val="2"/>
      <w:sz w:val="20"/>
      <w:szCs w:val="24"/>
    </w:rPr>
  </w:style>
  <w:style w:type="character" w:customStyle="1" w:styleId="IntenseQuoteChar1">
    <w:name w:val="Intense Quote Char1"/>
    <w:uiPriority w:val="30"/>
    <w:rsid w:val="00971ABB"/>
    <w:rPr>
      <w:i/>
      <w:iCs/>
      <w:snapToGrid w:val="0"/>
      <w:color w:val="156082"/>
      <w:kern w:val="28"/>
      <w:sz w:val="22"/>
    </w:rPr>
  </w:style>
  <w:style w:type="character" w:styleId="IntenseReference">
    <w:name w:val="Intense Reference"/>
    <w:uiPriority w:val="32"/>
    <w:qFormat/>
    <w:rsid w:val="00971ABB"/>
    <w:rPr>
      <w:b/>
      <w:bCs/>
      <w:smallCaps/>
      <w:color w:val="156082"/>
      <w:spacing w:val="5"/>
    </w:rPr>
  </w:style>
  <w:style w:type="paragraph" w:customStyle="1" w:styleId="Style">
    <w:name w:val="Style"/>
    <w:basedOn w:val="Normal"/>
    <w:rsid w:val="00971ABB"/>
    <w:pPr>
      <w:widowControl/>
      <w:spacing w:after="160" w:line="278" w:lineRule="auto"/>
    </w:pPr>
    <w:rPr>
      <w:rFonts w:ascii="Aptos" w:eastAsia="Aptos" w:hAnsi="Aptos"/>
      <w:b/>
      <w:bCs/>
      <w:kern w:val="2"/>
      <w:sz w:val="24"/>
      <w:szCs w:val="24"/>
    </w:rPr>
  </w:style>
  <w:style w:type="paragraph" w:customStyle="1" w:styleId="StyleTimesNewRoman11ptAfter0ptLinespacingDouble">
    <w:name w:val="Style Times New Roman 11 pt After:  0 pt Line spacing:  Double"/>
    <w:basedOn w:val="Normal"/>
    <w:next w:val="Normal"/>
    <w:rsid w:val="00971ABB"/>
    <w:pPr>
      <w:widowControl/>
      <w:spacing w:after="160" w:line="278" w:lineRule="auto"/>
    </w:pPr>
    <w:rPr>
      <w:rFonts w:ascii="Aptos" w:eastAsia="Aptos" w:hAnsi="Aptos"/>
      <w:kern w:val="2"/>
      <w:sz w:val="24"/>
      <w:szCs w:val="24"/>
    </w:rPr>
  </w:style>
  <w:style w:type="paragraph" w:styleId="ListBullet">
    <w:name w:val="List Bullet"/>
    <w:basedOn w:val="Normal"/>
    <w:rsid w:val="00971ABB"/>
    <w:pPr>
      <w:widowControl/>
      <w:numPr>
        <w:numId w:val="10"/>
      </w:numPr>
      <w:tabs>
        <w:tab w:val="clear" w:pos="360"/>
      </w:tabs>
      <w:spacing w:after="160" w:line="278" w:lineRule="auto"/>
      <w:ind w:left="0" w:firstLine="0"/>
      <w:contextualSpacing/>
    </w:pPr>
    <w:rPr>
      <w:rFonts w:ascii="Aptos" w:eastAsia="Aptos" w:hAnsi="Aptos"/>
      <w:snapToGrid/>
      <w:kern w:val="2"/>
      <w:sz w:val="24"/>
      <w:szCs w:val="24"/>
    </w:rPr>
  </w:style>
  <w:style w:type="paragraph" w:customStyle="1" w:styleId="pf0">
    <w:name w:val="pf0"/>
    <w:basedOn w:val="Normal"/>
    <w:rsid w:val="00971ABB"/>
    <w:pPr>
      <w:widowControl/>
      <w:spacing w:before="100" w:beforeAutospacing="1" w:after="100" w:afterAutospacing="1" w:line="278" w:lineRule="auto"/>
    </w:pPr>
    <w:rPr>
      <w:rFonts w:ascii="Aptos" w:eastAsia="Aptos" w:hAnsi="Aptos"/>
      <w:kern w:val="2"/>
      <w:sz w:val="24"/>
      <w:szCs w:val="24"/>
    </w:rPr>
  </w:style>
  <w:style w:type="paragraph" w:styleId="NoSpacing">
    <w:name w:val="No Spacing"/>
    <w:uiPriority w:val="1"/>
    <w:qFormat/>
    <w:rsid w:val="00971ABB"/>
    <w:pPr>
      <w:widowControl w:val="0"/>
    </w:pPr>
    <w:rPr>
      <w:snapToGrid w:val="0"/>
      <w:kern w:val="28"/>
      <w:sz w:val="22"/>
    </w:rPr>
  </w:style>
  <w:style w:type="paragraph" w:customStyle="1" w:styleId="StyleAfter6ptLinespacingMultiple116li">
    <w:name w:val="Style After:   6 pt Line spacing:  Multiple 1.16 li"/>
    <w:basedOn w:val="Normal"/>
    <w:rsid w:val="00971ABB"/>
    <w:pPr>
      <w:widowControl/>
      <w:spacing w:after="160" w:line="278" w:lineRule="auto"/>
    </w:pPr>
    <w:rPr>
      <w:rFonts w:ascii="Aptos" w:eastAsia="Aptos" w:hAnsi="Aptos"/>
      <w:snapToGrid/>
      <w:kern w:val="2"/>
      <w:sz w:val="24"/>
      <w:szCs w:val="24"/>
    </w:rPr>
  </w:style>
  <w:style w:type="paragraph" w:customStyle="1" w:styleId="StyleAfter6ptLinespacingMultiple116li0">
    <w:name w:val="Style After:  6 pt Line spacing:  Multiple 1.16 li"/>
    <w:basedOn w:val="Normal"/>
    <w:rsid w:val="00971ABB"/>
    <w:pPr>
      <w:widowControl/>
      <w:spacing w:after="160" w:line="278" w:lineRule="auto"/>
    </w:pPr>
    <w:rPr>
      <w:rFonts w:ascii="Aptos" w:eastAsia="Aptos" w:hAnsi="Aptos"/>
      <w:snapToGrid/>
      <w:kern w:val="2"/>
      <w:sz w:val="24"/>
      <w:szCs w:val="24"/>
    </w:rPr>
  </w:style>
  <w:style w:type="paragraph" w:customStyle="1" w:styleId="StyleStyleAfter6ptLinespacing">
    <w:name w:val="Style Style After:   6 pt Line spacing:"/>
    <w:basedOn w:val="StyleAfter6ptLinespacingMultiple116li"/>
    <w:rsid w:val="00971ABB"/>
    <w:pPr>
      <w:spacing w:after="120"/>
    </w:pPr>
  </w:style>
  <w:style w:type="paragraph" w:customStyle="1" w:styleId="StyleParaNum">
    <w:name w:val="Style ParaNum"/>
    <w:basedOn w:val="ParaNum"/>
    <w:rsid w:val="00971ABB"/>
    <w:pPr>
      <w:widowControl/>
      <w:numPr>
        <w:numId w:val="0"/>
      </w:numPr>
      <w:tabs>
        <w:tab w:val="num" w:pos="1440"/>
      </w:tabs>
      <w:spacing w:line="278" w:lineRule="auto"/>
    </w:pPr>
    <w:rPr>
      <w:rFonts w:ascii="Aptos" w:eastAsia="Aptos" w:hAnsi="Aptos"/>
      <w:snapToGrid/>
      <w:spacing w:val="-2"/>
      <w:kern w:val="2"/>
      <w:sz w:val="24"/>
      <w:szCs w:val="24"/>
    </w:rPr>
  </w:style>
  <w:style w:type="table" w:styleId="TableGrid">
    <w:name w:val="Table Grid"/>
    <w:basedOn w:val="TableNormal"/>
    <w:rsid w:val="00971A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FootnoteReferenceNECGFootnoteReference-EFunotenzeiche">
    <w:name w:val="Style Footnote Reference(NECG) Footnote Reference-E Funotenzeiche..."/>
    <w:rsid w:val="00971ABB"/>
    <w:rPr>
      <w:sz w:val="22"/>
    </w:rPr>
  </w:style>
  <w:style w:type="character" w:customStyle="1" w:styleId="StyleFootnoteReferenceNECGFootnoteReference-EFunotenzeiche1">
    <w:name w:val="Style Footnote Reference(NECG) Footnote Reference-E Funotenzeiche...1"/>
    <w:rsid w:val="00971ABB"/>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eb2.westlaw.com/find/default.wl?tf=-1&amp;rs=WLW8.08&amp;fn=_top&amp;sv=Split&amp;tc=-1&amp;docname=47CFRS1.3&amp;ordoc=2011591254&amp;findtype=L&amp;db=1000547&amp;vr=2.0&amp;rp=%2ffind%2fdefault.wl&amp;mt=Westlaw" TargetMode="External" /><Relationship Id="rId2" Type="http://schemas.openxmlformats.org/officeDocument/2006/relationships/hyperlink" Target="https://web2.westlaw.com/find/default.wl?tf=-1&amp;rs=WLW8.08&amp;serialnum=2007579635&amp;fn=_top&amp;sv=Split&amp;tc=-1&amp;findtype=Y&amp;ordoc=2011591254&amp;db=506&amp;vr=2.0&amp;rp=%2ffind%2fdefault.wl&amp;mt=Westlaw" TargetMode="External" /><Relationship Id="rId3" Type="http://schemas.openxmlformats.org/officeDocument/2006/relationships/hyperlink" Target="https://web2.westlaw.com/find/default.wl?tf=-1&amp;rs=WLW8.08&amp;serialnum=1990047144&amp;fn=_top&amp;sv=Split&amp;tc=-1&amp;findtype=Y&amp;ordoc=2011591254&amp;db=350&amp;vr=2.0&amp;rp=%2ffind%2fdefault.wl&amp;mt=Westlaw" TargetMode="External" /><Relationship Id="rId4" Type="http://schemas.openxmlformats.org/officeDocument/2006/relationships/hyperlink" Target="https://web2.westlaw.com/find/default.wl?tf=-1&amp;rs=WLW8.08&amp;serialnum=1969121124&amp;fn=_top&amp;sv=Split&amp;tc=-1&amp;findtype=Y&amp;ordoc=2011591254&amp;db=350&amp;vr=2.0&amp;rp=%2ffind%2fdefault.wl&amp;mt=Westlaw" TargetMode="External" /><Relationship Id="rId5" Type="http://schemas.openxmlformats.org/officeDocument/2006/relationships/hyperlink" Target="https://web2.westlaw.com/find/default.wl?tf=-1&amp;rs=WLW8.08&amp;referencepositiontype=S&amp;serialnum=2007579635&amp;fn=_top&amp;sv=Split&amp;referenceposition=269&amp;findtype=Y&amp;tc=-1&amp;ordoc=2011591254&amp;db=506&amp;vr=2.0&amp;rp=%2ffind%2fdefault.wl&amp;mt=Westlaw" TargetMode="External" /><Relationship Id="rId6" Type="http://schemas.openxmlformats.org/officeDocument/2006/relationships/hyperlink" Target="https://web2.westlaw.com/find/default.wl?tf=-1&amp;rs=WLW8.08&amp;referencepositiontype=S&amp;serialnum=1969121124&amp;fn=_top&amp;sv=Split&amp;referenceposition=1157&amp;findtype=Y&amp;tc=-1&amp;ordoc=2011591254&amp;db=350&amp;vr=2.0&amp;rp=%2ffind%2fdefault.wl&amp;mt=Westlaw"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