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373159" w:rsidP="00373159" w14:paraId="1344F329" w14:textId="77777777">
      <w:pPr>
        <w:jc w:val="center"/>
        <w:rPr>
          <w:b/>
        </w:rPr>
      </w:pPr>
      <w:r w:rsidRPr="0070224F">
        <w:rPr>
          <w:rFonts w:ascii="Times New Roman Bold" w:hAnsi="Times New Roman Bold"/>
          <w:b/>
          <w:kern w:val="0"/>
          <w:szCs w:val="22"/>
        </w:rPr>
        <w:t>Before</w:t>
      </w:r>
      <w:r>
        <w:rPr>
          <w:b/>
        </w:rPr>
        <w:t xml:space="preserve"> the</w:t>
      </w:r>
    </w:p>
    <w:p w:rsidR="00373159" w:rsidP="00373159" w14:paraId="573126F0" w14:textId="77777777">
      <w:pPr>
        <w:pStyle w:val="StyleBoldCentered"/>
      </w:pPr>
      <w:r>
        <w:t>F</w:t>
      </w:r>
      <w:r>
        <w:rPr>
          <w:caps w:val="0"/>
        </w:rPr>
        <w:t>ederal Communications Commission</w:t>
      </w:r>
    </w:p>
    <w:p w:rsidR="00373159" w:rsidP="00373159" w14:paraId="13AFA420" w14:textId="77777777">
      <w:pPr>
        <w:pStyle w:val="StyleBoldCentered"/>
      </w:pPr>
      <w:r>
        <w:rPr>
          <w:caps w:val="0"/>
        </w:rPr>
        <w:t>Washington, D.C. 20554</w:t>
      </w:r>
    </w:p>
    <w:p w:rsidR="00373159" w:rsidP="00373159" w14:paraId="5438186B" w14:textId="77777777"/>
    <w:tbl>
      <w:tblPr>
        <w:tblW w:w="0" w:type="auto"/>
        <w:tblLayout w:type="fixed"/>
        <w:tblLook w:val="0000"/>
      </w:tblPr>
      <w:tblGrid>
        <w:gridCol w:w="4698"/>
        <w:gridCol w:w="630"/>
        <w:gridCol w:w="4248"/>
      </w:tblGrid>
      <w:tr w14:paraId="6D2BE3DB" w14:textId="77777777" w:rsidTr="00401379">
        <w:tblPrEx>
          <w:tblW w:w="0" w:type="auto"/>
          <w:tblLayout w:type="fixed"/>
          <w:tblLook w:val="0000"/>
        </w:tblPrEx>
        <w:tc>
          <w:tcPr>
            <w:tcW w:w="4698" w:type="dxa"/>
          </w:tcPr>
          <w:p w:rsidR="00373159" w:rsidP="00401379" w14:paraId="070DB4F0" w14:textId="77777777">
            <w:pPr>
              <w:ind w:right="-18"/>
            </w:pPr>
            <w:r>
              <w:t>In the Matter of</w:t>
            </w:r>
          </w:p>
          <w:p w:rsidR="00373159" w:rsidP="00401379" w14:paraId="33E31C87" w14:textId="77777777">
            <w:pPr>
              <w:ind w:right="-18"/>
            </w:pPr>
          </w:p>
          <w:p w:rsidR="00373159" w:rsidP="00401379" w14:paraId="2ACA2982" w14:textId="77777777">
            <w:pPr>
              <w:tabs>
                <w:tab w:val="center" w:pos="4680"/>
              </w:tabs>
              <w:suppressAutoHyphens/>
              <w:rPr>
                <w:spacing w:val="-2"/>
              </w:rPr>
            </w:pPr>
            <w:r>
              <w:rPr>
                <w:spacing w:val="-2"/>
              </w:rPr>
              <w:t>Petition of AT&amp;T for Preemption and Declaratory Ruling Regarding California’s Carrier of Last Resort and Related Requirements</w:t>
            </w:r>
          </w:p>
          <w:p w:rsidR="00373159" w:rsidP="00401379" w14:paraId="28A71820" w14:textId="77777777">
            <w:pPr>
              <w:tabs>
                <w:tab w:val="center" w:pos="4680"/>
              </w:tabs>
              <w:suppressAutoHyphens/>
              <w:rPr>
                <w:spacing w:val="-2"/>
              </w:rPr>
            </w:pPr>
          </w:p>
          <w:p w:rsidR="00373159" w:rsidRPr="007115F7" w:rsidP="00401379" w14:paraId="2D554A6F" w14:textId="77777777">
            <w:pPr>
              <w:tabs>
                <w:tab w:val="center" w:pos="4680"/>
              </w:tabs>
              <w:suppressAutoHyphens/>
              <w:rPr>
                <w:spacing w:val="-2"/>
              </w:rPr>
            </w:pPr>
            <w:r w:rsidRPr="00C82D85">
              <w:rPr>
                <w:szCs w:val="22"/>
              </w:rPr>
              <w:t>Petition of AT&amp;T for Forbearance Under 47 U.S.C. § 160(c) from Requirements Imposed on Eligible Telecommunications Carriers by 47 U.S.C. § 214(e)</w:t>
            </w:r>
          </w:p>
        </w:tc>
        <w:tc>
          <w:tcPr>
            <w:tcW w:w="630" w:type="dxa"/>
          </w:tcPr>
          <w:p w:rsidR="00373159" w:rsidP="00401379" w14:paraId="3C1550C0" w14:textId="77777777">
            <w:pPr>
              <w:rPr>
                <w:b/>
              </w:rPr>
            </w:pPr>
            <w:r>
              <w:rPr>
                <w:b/>
              </w:rPr>
              <w:t>)</w:t>
            </w:r>
          </w:p>
          <w:p w:rsidR="00373159" w:rsidP="00401379" w14:paraId="18C7BA15" w14:textId="77777777">
            <w:pPr>
              <w:rPr>
                <w:b/>
              </w:rPr>
            </w:pPr>
            <w:r>
              <w:rPr>
                <w:b/>
              </w:rPr>
              <w:t>)</w:t>
            </w:r>
          </w:p>
          <w:p w:rsidR="00373159" w:rsidP="00401379" w14:paraId="413A736C" w14:textId="77777777">
            <w:pPr>
              <w:rPr>
                <w:b/>
              </w:rPr>
            </w:pPr>
            <w:r>
              <w:rPr>
                <w:b/>
              </w:rPr>
              <w:t>)</w:t>
            </w:r>
          </w:p>
          <w:p w:rsidR="00373159" w:rsidP="00401379" w14:paraId="7A6ACE1F" w14:textId="77777777">
            <w:pPr>
              <w:rPr>
                <w:b/>
              </w:rPr>
            </w:pPr>
            <w:r>
              <w:rPr>
                <w:b/>
              </w:rPr>
              <w:t>)</w:t>
            </w:r>
          </w:p>
          <w:p w:rsidR="00373159" w:rsidP="00401379" w14:paraId="6E727DEF" w14:textId="77777777">
            <w:pPr>
              <w:rPr>
                <w:b/>
              </w:rPr>
            </w:pPr>
            <w:r>
              <w:rPr>
                <w:b/>
              </w:rPr>
              <w:t>)</w:t>
            </w:r>
          </w:p>
          <w:p w:rsidR="00373159" w:rsidP="00401379" w14:paraId="395631A3" w14:textId="77777777">
            <w:pPr>
              <w:rPr>
                <w:b/>
              </w:rPr>
            </w:pPr>
            <w:r>
              <w:rPr>
                <w:b/>
              </w:rPr>
              <w:t>)</w:t>
            </w:r>
          </w:p>
          <w:p w:rsidR="00373159" w:rsidP="00401379" w14:paraId="3ABAFEC6" w14:textId="77777777">
            <w:pPr>
              <w:rPr>
                <w:b/>
              </w:rPr>
            </w:pPr>
            <w:r>
              <w:rPr>
                <w:b/>
              </w:rPr>
              <w:t>)</w:t>
            </w:r>
          </w:p>
          <w:p w:rsidR="00373159" w:rsidP="00401379" w14:paraId="32CCD37D" w14:textId="77777777">
            <w:pPr>
              <w:rPr>
                <w:b/>
              </w:rPr>
            </w:pPr>
            <w:r>
              <w:rPr>
                <w:b/>
              </w:rPr>
              <w:t>)</w:t>
            </w:r>
          </w:p>
          <w:p w:rsidR="00373159" w:rsidP="00401379" w14:paraId="76DA28EA" w14:textId="77777777">
            <w:pPr>
              <w:rPr>
                <w:b/>
              </w:rPr>
            </w:pPr>
            <w:r>
              <w:rPr>
                <w:b/>
              </w:rPr>
              <w:t>)</w:t>
            </w:r>
          </w:p>
          <w:p w:rsidR="00373159" w:rsidP="00401379" w14:paraId="2A60964A" w14:textId="77777777">
            <w:pPr>
              <w:rPr>
                <w:b/>
              </w:rPr>
            </w:pPr>
            <w:r>
              <w:rPr>
                <w:b/>
              </w:rPr>
              <w:t>)</w:t>
            </w:r>
          </w:p>
          <w:p w:rsidR="00373159" w:rsidRPr="00821E71" w:rsidP="00401379" w14:paraId="56726355" w14:textId="77777777">
            <w:pPr>
              <w:rPr>
                <w:b/>
              </w:rPr>
            </w:pPr>
            <w:r>
              <w:rPr>
                <w:b/>
              </w:rPr>
              <w:t>)</w:t>
            </w:r>
          </w:p>
        </w:tc>
        <w:tc>
          <w:tcPr>
            <w:tcW w:w="4248" w:type="dxa"/>
          </w:tcPr>
          <w:p w:rsidR="00373159" w:rsidP="00401379" w14:paraId="7D599488" w14:textId="77777777"/>
          <w:p w:rsidR="00373159" w:rsidP="00401379" w14:paraId="70A431BF" w14:textId="77777777"/>
          <w:p w:rsidR="00373159" w:rsidP="00401379" w14:paraId="66154E77" w14:textId="77777777">
            <w:pPr>
              <w:rPr>
                <w:bCs/>
              </w:rPr>
            </w:pPr>
            <w:r>
              <w:rPr>
                <w:bCs/>
              </w:rPr>
              <w:t>WC Docket No. 26-125</w:t>
            </w:r>
          </w:p>
          <w:p w:rsidR="00373159" w:rsidP="00401379" w14:paraId="5A702297" w14:textId="77777777">
            <w:pPr>
              <w:rPr>
                <w:bCs/>
              </w:rPr>
            </w:pPr>
          </w:p>
          <w:p w:rsidR="00373159" w:rsidP="00401379" w14:paraId="1AEBE242" w14:textId="77777777">
            <w:pPr>
              <w:rPr>
                <w:bCs/>
              </w:rPr>
            </w:pPr>
          </w:p>
          <w:p w:rsidR="00373159" w:rsidP="00401379" w14:paraId="6653CAED" w14:textId="77777777">
            <w:pPr>
              <w:rPr>
                <w:bCs/>
              </w:rPr>
            </w:pPr>
          </w:p>
          <w:p w:rsidR="00373159" w:rsidP="00401379" w14:paraId="379CD4D8" w14:textId="77777777">
            <w:pPr>
              <w:rPr>
                <w:bCs/>
              </w:rPr>
            </w:pPr>
            <w:r>
              <w:rPr>
                <w:bCs/>
              </w:rPr>
              <w:t>WC Docket No. 26-123</w:t>
            </w:r>
          </w:p>
          <w:p w:rsidR="00373159" w:rsidP="00401379" w14:paraId="169E27C8" w14:textId="77777777">
            <w:pPr>
              <w:rPr>
                <w:bCs/>
              </w:rPr>
            </w:pPr>
          </w:p>
          <w:p w:rsidR="00373159" w:rsidP="00401379" w14:paraId="4C68D7CE" w14:textId="77777777">
            <w:pPr>
              <w:tabs>
                <w:tab w:val="center" w:pos="4680"/>
              </w:tabs>
              <w:suppressAutoHyphens/>
              <w:rPr>
                <w:spacing w:val="-2"/>
              </w:rPr>
            </w:pPr>
          </w:p>
        </w:tc>
      </w:tr>
    </w:tbl>
    <w:p w:rsidR="00373159" w:rsidP="00373159" w14:paraId="47D14996" w14:textId="77777777"/>
    <w:p w:rsidR="00373159" w:rsidP="00373159" w14:paraId="4300D13D" w14:textId="77777777">
      <w:pPr>
        <w:pStyle w:val="StyleBoldCentered"/>
      </w:pPr>
      <w:r>
        <w:t>ORDER GRANTING EXTENSIONS OF TIME</w:t>
      </w:r>
    </w:p>
    <w:p w:rsidR="00373159" w:rsidP="00373159" w14:paraId="1167F185" w14:textId="77777777">
      <w:pPr>
        <w:tabs>
          <w:tab w:val="left" w:pos="-720"/>
        </w:tabs>
        <w:suppressAutoHyphens/>
        <w:spacing w:line="227" w:lineRule="auto"/>
        <w:rPr>
          <w:spacing w:val="-2"/>
        </w:rPr>
      </w:pPr>
    </w:p>
    <w:p w:rsidR="00373159" w:rsidP="00373159" w14:paraId="5BA9456B" w14:textId="77777777">
      <w:pPr>
        <w:tabs>
          <w:tab w:val="left" w:pos="720"/>
          <w:tab w:val="right" w:pos="9360"/>
        </w:tabs>
        <w:suppressAutoHyphens/>
        <w:spacing w:line="227" w:lineRule="auto"/>
        <w:rPr>
          <w:spacing w:val="-2"/>
        </w:rPr>
      </w:pPr>
      <w:r>
        <w:rPr>
          <w:b/>
          <w:spacing w:val="-2"/>
        </w:rPr>
        <w:t>Adopted:  June 16, 2026</w:t>
      </w:r>
      <w:r>
        <w:rPr>
          <w:b/>
          <w:spacing w:val="-2"/>
        </w:rPr>
        <w:tab/>
        <w:t>Released:  June 16, 2026</w:t>
      </w:r>
    </w:p>
    <w:p w:rsidR="00373159" w:rsidP="00373159" w14:paraId="07D90C5E" w14:textId="77777777"/>
    <w:p w:rsidR="00373159" w:rsidRPr="00516D94" w:rsidP="00373159" w14:paraId="2CBC143E" w14:textId="77777777">
      <w:pPr>
        <w:rPr>
          <w:b/>
          <w:spacing w:val="-2"/>
          <w:szCs w:val="22"/>
        </w:rPr>
      </w:pPr>
      <w:r w:rsidRPr="00516D94">
        <w:rPr>
          <w:b/>
          <w:spacing w:val="-2"/>
          <w:szCs w:val="22"/>
        </w:rPr>
        <w:t xml:space="preserve">Comment Date: </w:t>
      </w:r>
      <w:r>
        <w:rPr>
          <w:b/>
          <w:spacing w:val="-2"/>
          <w:szCs w:val="22"/>
        </w:rPr>
        <w:t xml:space="preserve"> </w:t>
      </w:r>
      <w:bookmarkStart w:id="0" w:name="_Hlk202364632"/>
      <w:r>
        <w:rPr>
          <w:b/>
          <w:spacing w:val="-2"/>
          <w:szCs w:val="22"/>
        </w:rPr>
        <w:t>July 7</w:t>
      </w:r>
      <w:r w:rsidRPr="00516D94">
        <w:rPr>
          <w:b/>
          <w:spacing w:val="-2"/>
          <w:szCs w:val="22"/>
        </w:rPr>
        <w:t>, 202</w:t>
      </w:r>
      <w:r>
        <w:rPr>
          <w:b/>
          <w:spacing w:val="-2"/>
          <w:szCs w:val="22"/>
        </w:rPr>
        <w:t>6</w:t>
      </w:r>
    </w:p>
    <w:p w:rsidR="00373159" w:rsidRPr="00516D94" w:rsidP="00373159" w14:paraId="46615ACD" w14:textId="77777777">
      <w:pPr>
        <w:rPr>
          <w:b/>
          <w:spacing w:val="-2"/>
          <w:szCs w:val="22"/>
        </w:rPr>
      </w:pPr>
      <w:r w:rsidRPr="00516D94">
        <w:rPr>
          <w:b/>
          <w:spacing w:val="-2"/>
          <w:szCs w:val="22"/>
        </w:rPr>
        <w:t xml:space="preserve">Reply Comment Date:  </w:t>
      </w:r>
      <w:r>
        <w:rPr>
          <w:b/>
          <w:spacing w:val="-2"/>
          <w:szCs w:val="22"/>
        </w:rPr>
        <w:t>July 22</w:t>
      </w:r>
      <w:r w:rsidRPr="00516D94">
        <w:rPr>
          <w:b/>
          <w:spacing w:val="-2"/>
          <w:szCs w:val="22"/>
        </w:rPr>
        <w:t>, 202</w:t>
      </w:r>
      <w:r>
        <w:rPr>
          <w:b/>
          <w:spacing w:val="-2"/>
          <w:szCs w:val="22"/>
        </w:rPr>
        <w:t>6</w:t>
      </w:r>
    </w:p>
    <w:bookmarkEnd w:id="0"/>
    <w:p w:rsidR="00373159" w:rsidP="00373159" w14:paraId="1FE540DE" w14:textId="77777777"/>
    <w:p w:rsidR="00373159" w:rsidP="00373159" w14:paraId="38F648AF" w14:textId="77777777">
      <w:pPr>
        <w:rPr>
          <w:spacing w:val="-2"/>
        </w:rPr>
      </w:pPr>
      <w:r>
        <w:t xml:space="preserve">By the </w:t>
      </w:r>
      <w:r w:rsidRPr="00516D94">
        <w:rPr>
          <w:szCs w:val="22"/>
        </w:rPr>
        <w:t xml:space="preserve">Chief, </w:t>
      </w:r>
      <w:r>
        <w:rPr>
          <w:szCs w:val="22"/>
        </w:rPr>
        <w:t>Wireline Competition</w:t>
      </w:r>
      <w:r w:rsidRPr="00516D94">
        <w:rPr>
          <w:szCs w:val="22"/>
        </w:rPr>
        <w:t xml:space="preserve"> Bureau:</w:t>
      </w:r>
      <w:r>
        <w:rPr>
          <w:szCs w:val="22"/>
        </w:rPr>
        <w:t xml:space="preserve"> </w:t>
      </w:r>
    </w:p>
    <w:p w:rsidR="00373159" w:rsidRPr="00516D94" w:rsidP="00373159" w14:paraId="5B4F38B7" w14:textId="77777777">
      <w:pPr>
        <w:rPr>
          <w:spacing w:val="-2"/>
          <w:szCs w:val="22"/>
        </w:rPr>
      </w:pPr>
    </w:p>
    <w:p w:rsidR="00373159" w:rsidRPr="0045280F" w:rsidP="00373159" w14:paraId="093FA7D7" w14:textId="77777777">
      <w:pPr>
        <w:pStyle w:val="ListParagraph"/>
        <w:numPr>
          <w:ilvl w:val="0"/>
          <w:numId w:val="7"/>
        </w:numPr>
        <w:spacing w:after="120"/>
        <w:ind w:left="0" w:firstLine="720"/>
        <w:contextualSpacing w:val="0"/>
      </w:pPr>
      <w:r w:rsidRPr="215370D5">
        <w:t xml:space="preserve">By this Order, the </w:t>
      </w:r>
      <w:r>
        <w:t>Wireline Competition Bureau (Bureau)</w:t>
      </w:r>
      <w:r w:rsidRPr="00516D94">
        <w:rPr>
          <w:szCs w:val="22"/>
        </w:rPr>
        <w:t xml:space="preserve"> </w:t>
      </w:r>
      <w:r w:rsidRPr="215370D5">
        <w:t>grants</w:t>
      </w:r>
      <w:r>
        <w:t xml:space="preserve"> in part a motion for an </w:t>
      </w:r>
      <w:r w:rsidRPr="215370D5">
        <w:t>extension of time</w:t>
      </w:r>
      <w:r w:rsidRPr="00516D94">
        <w:rPr>
          <w:szCs w:val="22"/>
        </w:rPr>
        <w:t xml:space="preserve"> </w:t>
      </w:r>
      <w:r>
        <w:t>to file</w:t>
      </w:r>
      <w:r w:rsidRPr="215370D5">
        <w:t xml:space="preserve"> comments and reply comments in the above-captioned proceeding</w:t>
      </w:r>
      <w:r>
        <w:t>s filed by the People of the State of California and the California Public Utilities Commission (collectively, the CPUC) on June 8, 2026,</w:t>
      </w:r>
      <w:r>
        <w:rPr>
          <w:rStyle w:val="FootnoteReference"/>
        </w:rPr>
        <w:footnoteReference w:id="3"/>
      </w:r>
      <w:r>
        <w:t xml:space="preserve"> in response to the May 22, 2026 </w:t>
      </w:r>
      <w:r w:rsidRPr="00946C33">
        <w:t>Public Notice</w:t>
      </w:r>
      <w:r>
        <w:t>s</w:t>
      </w:r>
      <w:r>
        <w:rPr>
          <w:i/>
          <w:iCs/>
        </w:rPr>
        <w:t xml:space="preserve"> </w:t>
      </w:r>
      <w:r>
        <w:rPr>
          <w:szCs w:val="22"/>
        </w:rPr>
        <w:t>issued by the Bureau</w:t>
      </w:r>
      <w:r>
        <w:rPr>
          <w:rStyle w:val="FootnoteReference"/>
        </w:rPr>
        <w:footnoteReference w:id="4"/>
      </w:r>
      <w:r>
        <w:rPr>
          <w:szCs w:val="22"/>
        </w:rPr>
        <w:t xml:space="preserve"> seeking comment on a Petition for Preemption and Declaratory Ruling and a Petition for Forbearance (collectively, the Petitions) filed by AT&amp;T on May 20, 2026</w:t>
      </w:r>
      <w:r w:rsidRPr="00516D94">
        <w:rPr>
          <w:szCs w:val="22"/>
        </w:rPr>
        <w:t>.</w:t>
      </w:r>
      <w:r>
        <w:rPr>
          <w:rStyle w:val="FootnoteReference"/>
          <w:szCs w:val="22"/>
        </w:rPr>
        <w:footnoteReference w:id="5"/>
      </w:r>
      <w:r w:rsidRPr="00516D94">
        <w:rPr>
          <w:szCs w:val="22"/>
        </w:rPr>
        <w:t xml:space="preserve"> </w:t>
      </w:r>
      <w:r>
        <w:rPr>
          <w:szCs w:val="22"/>
        </w:rPr>
        <w:t xml:space="preserve"> </w:t>
      </w:r>
      <w:r w:rsidRPr="215370D5">
        <w:t xml:space="preserve">For the reasons stated below, </w:t>
      </w:r>
      <w:r>
        <w:t>the Bureau</w:t>
      </w:r>
      <w:r w:rsidRPr="008A7266">
        <w:rPr>
          <w:szCs w:val="22"/>
        </w:rPr>
        <w:t xml:space="preserve"> </w:t>
      </w:r>
      <w:r w:rsidRPr="215370D5">
        <w:t>finds that</w:t>
      </w:r>
      <w:r>
        <w:t xml:space="preserve"> partial </w:t>
      </w:r>
      <w:r w:rsidRPr="215370D5">
        <w:t>extension</w:t>
      </w:r>
      <w:r>
        <w:t>s</w:t>
      </w:r>
      <w:r w:rsidRPr="215370D5">
        <w:t xml:space="preserve"> </w:t>
      </w:r>
      <w:r>
        <w:t xml:space="preserve">of the comment and reply comment deadlines in both proceedings </w:t>
      </w:r>
      <w:r w:rsidRPr="215370D5">
        <w:t xml:space="preserve">are warranted and </w:t>
      </w:r>
      <w:r>
        <w:t xml:space="preserve">thus </w:t>
      </w:r>
      <w:r w:rsidRPr="215370D5">
        <w:t xml:space="preserve">extends </w:t>
      </w:r>
      <w:r>
        <w:t xml:space="preserve">the comment and reply comment dates </w:t>
      </w:r>
      <w:r w:rsidRPr="215370D5">
        <w:t xml:space="preserve">to </w:t>
      </w:r>
      <w:r>
        <w:t>July 7, 2026,</w:t>
      </w:r>
      <w:r>
        <w:rPr>
          <w:szCs w:val="22"/>
        </w:rPr>
        <w:t xml:space="preserve"> </w:t>
      </w:r>
      <w:r w:rsidRPr="215370D5">
        <w:t xml:space="preserve">and </w:t>
      </w:r>
      <w:r>
        <w:t>July 22, 2026</w:t>
      </w:r>
      <w:r w:rsidRPr="215370D5">
        <w:t>, respectively</w:t>
      </w:r>
      <w:r w:rsidRPr="008A7266">
        <w:rPr>
          <w:szCs w:val="22"/>
        </w:rPr>
        <w:t>.</w:t>
      </w:r>
      <w:r>
        <w:rPr>
          <w:szCs w:val="22"/>
        </w:rPr>
        <w:t xml:space="preserve"> </w:t>
      </w:r>
    </w:p>
    <w:p w:rsidR="00373159" w:rsidRPr="007A4F7C" w:rsidP="00373159" w14:paraId="6A169109" w14:textId="77777777">
      <w:pPr>
        <w:pStyle w:val="ListParagraph"/>
        <w:numPr>
          <w:ilvl w:val="0"/>
          <w:numId w:val="7"/>
        </w:numPr>
        <w:spacing w:after="120"/>
        <w:ind w:left="0" w:firstLine="720"/>
        <w:contextualSpacing w:val="0"/>
        <w:rPr>
          <w:szCs w:val="22"/>
        </w:rPr>
      </w:pPr>
      <w:r>
        <w:t>The CPUC notes that both Petitions were filed the same day and that, contemporaneously with filing the Petitions, AT&amp;T also filed with the Commission two applications seeking to discontinue residential and business plain old telephone service (POTS) in certain wire centers in California.</w:t>
      </w:r>
      <w:r>
        <w:rPr>
          <w:rStyle w:val="FootnoteReference"/>
        </w:rPr>
        <w:footnoteReference w:id="6"/>
      </w:r>
      <w:r>
        <w:t xml:space="preserve">  Given </w:t>
      </w:r>
      <w:r>
        <w:t>the multiple dates in June 2026 on which it must respond to AT&amp;T’s various filings, the CPUC contends that an extension of time “will help the CPUC provide comments in a timely fashion.”</w:t>
      </w:r>
      <w:r>
        <w:rPr>
          <w:rStyle w:val="FootnoteReference"/>
        </w:rPr>
        <w:footnoteReference w:id="7"/>
      </w:r>
      <w:r>
        <w:t xml:space="preserve">  Further, the CPUC asserts that the Commission should allow sufficient time for other interested parties to comment in response to AT&amp;T’s Petitions, particularly because (1) “the regulations at issue [in the preemption petition] fall within California’s traditional powers to protect the health and safety of her people,”</w:t>
      </w:r>
      <w:r>
        <w:rPr>
          <w:rStyle w:val="FootnoteReference"/>
        </w:rPr>
        <w:footnoteReference w:id="8"/>
      </w:r>
      <w:r>
        <w:t xml:space="preserve"> and (2) </w:t>
      </w:r>
      <w:r w:rsidRPr="004D29BA">
        <w:rPr>
          <w:szCs w:val="22"/>
        </w:rPr>
        <w:t xml:space="preserve">and </w:t>
      </w:r>
      <w:r>
        <w:rPr>
          <w:szCs w:val="22"/>
        </w:rPr>
        <w:t>“</w:t>
      </w:r>
      <w:r w:rsidRPr="004D29BA">
        <w:rPr>
          <w:szCs w:val="22"/>
        </w:rPr>
        <w:t xml:space="preserve">the Commission cannot meet its statutory mandate </w:t>
      </w:r>
      <w:r>
        <w:rPr>
          <w:szCs w:val="22"/>
        </w:rPr>
        <w:t>[under section 10 of the Communications Act of 1934, as amended</w:t>
      </w:r>
      <w:r w:rsidRPr="009D011E">
        <w:rPr>
          <w:szCs w:val="22"/>
        </w:rPr>
        <w:t>] if California and her citizens lack an adequate opportunity to participate.”</w:t>
      </w:r>
      <w:r>
        <w:rPr>
          <w:rStyle w:val="FootnoteReference"/>
        </w:rPr>
        <w:footnoteReference w:id="9"/>
      </w:r>
      <w:r>
        <w:t xml:space="preserve">  Finally, the CPUC asserts that the requested extensions would not “prejudice AT&amp;T’s interests” because the Commission has not yet granted the requested discontinuance authorization and because AT&amp;T does not intend to discontinue POTS service until June 1, 2027 at the earliest</w:t>
      </w:r>
      <w:r>
        <w:rPr>
          <w:rStyle w:val="FootnoteReference"/>
        </w:rPr>
        <w:footnoteReference w:id="10"/>
      </w:r>
      <w:r>
        <w:t xml:space="preserve"> and it “</w:t>
      </w:r>
      <w:r w:rsidRPr="006B5353">
        <w:t xml:space="preserve">will not prevent the Commission from meeting the one-year statutory deadline for ruling on AT&amp;T’s </w:t>
      </w:r>
      <w:r>
        <w:t xml:space="preserve">[forbearance] </w:t>
      </w:r>
      <w:r w:rsidRPr="006B5353">
        <w:t>petition</w:t>
      </w:r>
      <w:r>
        <w:t>.”</w:t>
      </w:r>
      <w:r>
        <w:rPr>
          <w:rStyle w:val="FootnoteReference"/>
        </w:rPr>
        <w:footnoteReference w:id="11"/>
      </w:r>
      <w:r>
        <w:t xml:space="preserve">     </w:t>
      </w:r>
    </w:p>
    <w:p w:rsidR="00373159" w:rsidP="00373159" w14:paraId="7EC6ED5E" w14:textId="77777777">
      <w:pPr>
        <w:pStyle w:val="ListParagraph"/>
        <w:numPr>
          <w:ilvl w:val="0"/>
          <w:numId w:val="7"/>
        </w:numPr>
        <w:spacing w:after="120"/>
        <w:ind w:left="0" w:firstLine="720"/>
        <w:contextualSpacing w:val="0"/>
      </w:pPr>
      <w:r w:rsidRPr="35197CA4">
        <w:t>As set forth in section 1.46 of the Commission’s rules,</w:t>
      </w:r>
      <w:r>
        <w:rPr>
          <w:rStyle w:val="FootnoteReference"/>
          <w:sz w:val="22"/>
          <w:szCs w:val="22"/>
        </w:rPr>
        <w:footnoteReference w:id="12"/>
      </w:r>
      <w:r w:rsidRPr="35197CA4">
        <w:t xml:space="preserve"> the Commission does not routinely grant extensions of time for filing comments.  In this case, however, we find</w:t>
      </w:r>
      <w:r w:rsidRPr="004707D3">
        <w:rPr>
          <w:szCs w:val="22"/>
        </w:rPr>
        <w:t xml:space="preserve"> </w:t>
      </w:r>
      <w:r w:rsidRPr="35197CA4">
        <w:t>that</w:t>
      </w:r>
      <w:r w:rsidRPr="004707D3">
        <w:rPr>
          <w:szCs w:val="22"/>
        </w:rPr>
        <w:t xml:space="preserve"> </w:t>
      </w:r>
      <w:r w:rsidRPr="35197CA4">
        <w:t>due</w:t>
      </w:r>
      <w:r w:rsidRPr="004707D3">
        <w:rPr>
          <w:szCs w:val="22"/>
        </w:rPr>
        <w:t xml:space="preserve"> to </w:t>
      </w:r>
      <w:r>
        <w:t xml:space="preserve">the overlapping timeframes in which the CPUC must respond to the Petitions and to the filings in the other cited proceedings, the </w:t>
      </w:r>
      <w:r w:rsidRPr="00640189">
        <w:rPr>
          <w:szCs w:val="22"/>
        </w:rPr>
        <w:t>public</w:t>
      </w:r>
      <w:r>
        <w:t xml:space="preserve"> interest will be served by granting a limited extension of the comment and reply comment deadlines in the above-captioned proceedings.  Although this extension is shorter than requested by the CPUC, we find that it will allow adequate time for more input on the issues raised in the Petitions and give interested parties more time to develop fulsome comments that will enable a more informed decision by the Commission without introducing unnecessary delay in the proceedings</w:t>
      </w:r>
      <w:r w:rsidRPr="35197CA4">
        <w:t>.  Accordingly, we extend the deadline</w:t>
      </w:r>
      <w:r>
        <w:t>s</w:t>
      </w:r>
      <w:r w:rsidRPr="35197CA4">
        <w:t xml:space="preserve"> for filing comments to </w:t>
      </w:r>
      <w:r>
        <w:t>July 7</w:t>
      </w:r>
      <w:r w:rsidRPr="35197CA4">
        <w:t xml:space="preserve">, 2026 and reply </w:t>
      </w:r>
      <w:r w:rsidRPr="00A36FCD">
        <w:t xml:space="preserve">comments to </w:t>
      </w:r>
      <w:r>
        <w:t>July 22, 2026</w:t>
      </w:r>
      <w:r w:rsidRPr="00A36FCD">
        <w:t>.</w:t>
      </w:r>
    </w:p>
    <w:p w:rsidR="00373159" w:rsidRPr="00665A15" w:rsidP="00373159" w14:paraId="308D2CF4" w14:textId="77777777">
      <w:pPr>
        <w:pStyle w:val="ListParagraph"/>
        <w:numPr>
          <w:ilvl w:val="0"/>
          <w:numId w:val="7"/>
        </w:numPr>
        <w:spacing w:after="240"/>
        <w:ind w:left="0" w:firstLine="720"/>
        <w:contextualSpacing w:val="0"/>
        <w:rPr>
          <w:szCs w:val="22"/>
        </w:rPr>
      </w:pPr>
      <w:r w:rsidRPr="00516D94">
        <w:rPr>
          <w:szCs w:val="22"/>
        </w:rPr>
        <w:t xml:space="preserve">Accordingly, </w:t>
      </w:r>
      <w:r w:rsidRPr="00516D94">
        <w:rPr>
          <w:b/>
          <w:bCs/>
          <w:szCs w:val="22"/>
        </w:rPr>
        <w:t>IT IS ORDERED</w:t>
      </w:r>
      <w:r w:rsidRPr="00516D94">
        <w:rPr>
          <w:szCs w:val="22"/>
        </w:rPr>
        <w:t xml:space="preserve"> that, pursuant to section 4(</w:t>
      </w:r>
      <w:r w:rsidRPr="00516D94">
        <w:rPr>
          <w:szCs w:val="22"/>
        </w:rPr>
        <w:t>i</w:t>
      </w:r>
      <w:r w:rsidRPr="00516D94">
        <w:rPr>
          <w:szCs w:val="22"/>
        </w:rPr>
        <w:t>)-(j) of the Communications Act of 1934, as amended, 47 U.S.C. § 154(</w:t>
      </w:r>
      <w:r w:rsidRPr="00516D94">
        <w:rPr>
          <w:szCs w:val="22"/>
        </w:rPr>
        <w:t>i</w:t>
      </w:r>
      <w:r w:rsidRPr="00516D94">
        <w:rPr>
          <w:szCs w:val="22"/>
        </w:rPr>
        <w:t>)-(j), and sections 0.</w:t>
      </w:r>
      <w:r>
        <w:rPr>
          <w:szCs w:val="22"/>
        </w:rPr>
        <w:t>91</w:t>
      </w:r>
      <w:r w:rsidRPr="00516D94">
        <w:rPr>
          <w:szCs w:val="22"/>
        </w:rPr>
        <w:t>, 0.</w:t>
      </w:r>
      <w:r>
        <w:rPr>
          <w:szCs w:val="22"/>
        </w:rPr>
        <w:t>291</w:t>
      </w:r>
      <w:r w:rsidRPr="00516D94">
        <w:rPr>
          <w:szCs w:val="22"/>
        </w:rPr>
        <w:t>, 1.</w:t>
      </w:r>
      <w:r>
        <w:rPr>
          <w:szCs w:val="22"/>
        </w:rPr>
        <w:t>3, and 1.46</w:t>
      </w:r>
      <w:r w:rsidRPr="00516D94">
        <w:rPr>
          <w:szCs w:val="22"/>
        </w:rPr>
        <w:t xml:space="preserve"> of the Commission’s rules, 47 CFR §§ 0.</w:t>
      </w:r>
      <w:r>
        <w:rPr>
          <w:szCs w:val="22"/>
        </w:rPr>
        <w:t>91</w:t>
      </w:r>
      <w:r w:rsidRPr="00516D94">
        <w:rPr>
          <w:szCs w:val="22"/>
        </w:rPr>
        <w:t>, 0.</w:t>
      </w:r>
      <w:r>
        <w:rPr>
          <w:szCs w:val="22"/>
        </w:rPr>
        <w:t>291</w:t>
      </w:r>
      <w:r w:rsidRPr="00516D94">
        <w:rPr>
          <w:szCs w:val="22"/>
        </w:rPr>
        <w:t>, 1.</w:t>
      </w:r>
      <w:r>
        <w:rPr>
          <w:szCs w:val="22"/>
        </w:rPr>
        <w:t>3</w:t>
      </w:r>
      <w:r w:rsidRPr="00516D94">
        <w:rPr>
          <w:szCs w:val="22"/>
        </w:rPr>
        <w:t xml:space="preserve">, </w:t>
      </w:r>
      <w:r>
        <w:rPr>
          <w:szCs w:val="22"/>
        </w:rPr>
        <w:t xml:space="preserve">1.46, </w:t>
      </w:r>
      <w:r w:rsidRPr="00516D94">
        <w:rPr>
          <w:szCs w:val="22"/>
        </w:rPr>
        <w:t>the</w:t>
      </w:r>
      <w:r>
        <w:t xml:space="preserve"> Motions for Extension of Time to File Comments </w:t>
      </w:r>
      <w:r>
        <w:rPr>
          <w:b/>
          <w:bCs/>
        </w:rPr>
        <w:t>ARE</w:t>
      </w:r>
      <w:r w:rsidRPr="001E4C66">
        <w:rPr>
          <w:b/>
          <w:bCs/>
        </w:rPr>
        <w:t xml:space="preserve"> GRANTED</w:t>
      </w:r>
      <w:r>
        <w:rPr>
          <w:szCs w:val="22"/>
        </w:rPr>
        <w:t xml:space="preserve"> </w:t>
      </w:r>
      <w:r>
        <w:rPr>
          <w:b/>
          <w:bCs/>
          <w:szCs w:val="22"/>
        </w:rPr>
        <w:t xml:space="preserve">IN PART </w:t>
      </w:r>
      <w:r>
        <w:rPr>
          <w:szCs w:val="22"/>
        </w:rPr>
        <w:t xml:space="preserve">to the extent described herein, and the </w:t>
      </w:r>
      <w:r>
        <w:t xml:space="preserve">deadlines to file comments and reply comments in response to AT&amp;T’s Petitions in the above captioned dockets </w:t>
      </w:r>
      <w:r w:rsidRPr="66F0C7E1">
        <w:rPr>
          <w:b/>
          <w:bCs/>
        </w:rPr>
        <w:t>ARE EXTENDED</w:t>
      </w:r>
      <w:r>
        <w:t xml:space="preserve"> to July 7, 2026, and July 22, 2026, respectively</w:t>
      </w:r>
      <w:r w:rsidRPr="00B26A39">
        <w:rPr>
          <w:szCs w:val="22"/>
        </w:rPr>
        <w:t>.</w:t>
      </w:r>
    </w:p>
    <w:tbl>
      <w:tblPr>
        <w:tblW w:w="9630" w:type="dxa"/>
        <w:tblLook w:val="04A0"/>
      </w:tblPr>
      <w:tblGrid>
        <w:gridCol w:w="4590"/>
        <w:gridCol w:w="5040"/>
      </w:tblGrid>
      <w:tr w14:paraId="3645F569" w14:textId="77777777" w:rsidTr="00401379">
        <w:tblPrEx>
          <w:tblW w:w="9630" w:type="dxa"/>
          <w:tblLook w:val="04A0"/>
        </w:tblPrEx>
        <w:tc>
          <w:tcPr>
            <w:tcW w:w="4590" w:type="dxa"/>
          </w:tcPr>
          <w:p w:rsidR="00373159" w:rsidRPr="00D74008" w:rsidP="00401379" w14:paraId="33026595" w14:textId="77777777">
            <w:pPr>
              <w:rPr>
                <w:szCs w:val="22"/>
              </w:rPr>
            </w:pPr>
          </w:p>
        </w:tc>
        <w:tc>
          <w:tcPr>
            <w:tcW w:w="5040" w:type="dxa"/>
          </w:tcPr>
          <w:p w:rsidR="00373159" w:rsidRPr="00D74008" w:rsidP="00401379" w14:paraId="7DFFCFE7" w14:textId="77777777">
            <w:pPr>
              <w:rPr>
                <w:szCs w:val="22"/>
              </w:rPr>
            </w:pPr>
            <w:r w:rsidRPr="00D74008">
              <w:rPr>
                <w:szCs w:val="22"/>
              </w:rPr>
              <w:t>FEDERAL COMMUNICATIONS COMMISSION</w:t>
            </w:r>
          </w:p>
          <w:p w:rsidR="00373159" w:rsidRPr="00D74008" w:rsidP="00401379" w14:paraId="59D7DBC2" w14:textId="77777777">
            <w:pPr>
              <w:rPr>
                <w:szCs w:val="22"/>
              </w:rPr>
            </w:pPr>
          </w:p>
          <w:p w:rsidR="00373159" w:rsidRPr="00D74008" w:rsidP="00401379" w14:paraId="491691A5" w14:textId="77777777">
            <w:pPr>
              <w:rPr>
                <w:szCs w:val="22"/>
              </w:rPr>
            </w:pPr>
          </w:p>
          <w:p w:rsidR="00373159" w:rsidRPr="00D74008" w:rsidP="00401379" w14:paraId="01DE3D90" w14:textId="77777777">
            <w:pPr>
              <w:rPr>
                <w:szCs w:val="22"/>
              </w:rPr>
            </w:pPr>
          </w:p>
          <w:p w:rsidR="00373159" w:rsidRPr="00D74008" w:rsidP="00401379" w14:paraId="45EC6FE4" w14:textId="77777777">
            <w:pPr>
              <w:rPr>
                <w:szCs w:val="22"/>
              </w:rPr>
            </w:pPr>
            <w:r>
              <w:rPr>
                <w:szCs w:val="22"/>
              </w:rPr>
              <w:t>Joseph S. Calascione</w:t>
            </w:r>
          </w:p>
          <w:p w:rsidR="00373159" w:rsidRPr="00D74008" w:rsidP="00401379" w14:paraId="1A8D489D" w14:textId="77777777">
            <w:pPr>
              <w:rPr>
                <w:szCs w:val="22"/>
              </w:rPr>
            </w:pPr>
            <w:r w:rsidRPr="00D74008">
              <w:rPr>
                <w:szCs w:val="22"/>
              </w:rPr>
              <w:t>Chief</w:t>
            </w:r>
          </w:p>
          <w:p w:rsidR="00373159" w:rsidRPr="00D74008" w:rsidP="00401379" w14:paraId="39275DCB" w14:textId="77777777">
            <w:pPr>
              <w:rPr>
                <w:szCs w:val="22"/>
              </w:rPr>
            </w:pPr>
            <w:r>
              <w:rPr>
                <w:szCs w:val="22"/>
              </w:rPr>
              <w:t>Wireline Competition</w:t>
            </w:r>
            <w:r w:rsidRPr="00D74008">
              <w:rPr>
                <w:szCs w:val="22"/>
              </w:rPr>
              <w:t xml:space="preserve"> Bureau</w:t>
            </w:r>
          </w:p>
        </w:tc>
      </w:tr>
    </w:tbl>
    <w:p w:rsidR="00412FC5" w:rsidP="00373159" w14:paraId="4868D383" w14:textId="77777777">
      <w:pPr>
        <w:pStyle w:val="Heading1"/>
        <w:numPr>
          <w:ilvl w:val="0"/>
          <w:numId w:val="0"/>
        </w:numPr>
      </w:pPr>
    </w:p>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7B4A9A" w14:paraId="0CC791E8" w14:textId="77777777">
      <w:pPr>
        <w:spacing w:line="20" w:lineRule="exact"/>
      </w:pPr>
    </w:p>
  </w:endnote>
  <w:endnote w:type="continuationSeparator" w:id="1">
    <w:p w:rsidR="007B4A9A" w14:paraId="143A7EE0" w14:textId="77777777">
      <w:r>
        <w:t xml:space="preserve"> </w:t>
      </w:r>
    </w:p>
  </w:endnote>
  <w:endnote w:type="continuationNotice" w:id="2">
    <w:p w:rsidR="007B4A9A" w14:paraId="6F5438D8"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panose1 w:val="02020803070505020304"/>
    <w:charset w:val="00"/>
    <w:family w:val="roman"/>
    <w:notTrueType/>
    <w:pitch w:val="default"/>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1757E6E0"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2240EC07"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6576074C"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D25FB5" w14:paraId="7C02EDFC"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742C1F57"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7B4A9A" w14:paraId="34DC271C" w14:textId="77777777">
      <w:r>
        <w:separator/>
      </w:r>
    </w:p>
  </w:footnote>
  <w:footnote w:type="continuationSeparator" w:id="1">
    <w:p w:rsidR="007B4A9A" w:rsidP="00C721AC" w14:paraId="16B2AD8C" w14:textId="77777777">
      <w:pPr>
        <w:spacing w:before="120"/>
        <w:rPr>
          <w:sz w:val="20"/>
        </w:rPr>
      </w:pPr>
      <w:r>
        <w:rPr>
          <w:sz w:val="20"/>
        </w:rPr>
        <w:t xml:space="preserve">(Continued from previous page)  </w:t>
      </w:r>
      <w:r>
        <w:rPr>
          <w:sz w:val="20"/>
        </w:rPr>
        <w:separator/>
      </w:r>
    </w:p>
  </w:footnote>
  <w:footnote w:type="continuationNotice" w:id="2">
    <w:p w:rsidR="007B4A9A" w:rsidP="00C721AC" w14:paraId="4543BEE1" w14:textId="77777777">
      <w:pPr>
        <w:jc w:val="right"/>
        <w:rPr>
          <w:sz w:val="20"/>
        </w:rPr>
      </w:pPr>
      <w:r>
        <w:rPr>
          <w:sz w:val="20"/>
        </w:rPr>
        <w:t>(continued….)</w:t>
      </w:r>
    </w:p>
  </w:footnote>
  <w:footnote w:id="3">
    <w:p w:rsidR="00373159" w:rsidP="00373159" w14:paraId="3F19C363" w14:textId="77777777">
      <w:pPr>
        <w:pStyle w:val="FootnoteText"/>
      </w:pPr>
      <w:r>
        <w:rPr>
          <w:rStyle w:val="FootnoteReference"/>
        </w:rPr>
        <w:footnoteRef/>
      </w:r>
      <w:r>
        <w:t xml:space="preserve"> California Public Utilities Commission, Motion for Extension of Time to File Comments, WC Docket No. 26-125 (filed June 8, 2026) (Preemption Petition Motion) (requesting that the Commission extend the deadline for initial comments to July 22, 2026 and the deadline for reply comments to August 21, 2026); California Public Utilities Commission, Motion for Extension of Time to File Comments, WC Docket No. 26-123 (filed June 8, 2026) (Forbearance Petition Motion) (collectively, Motions).</w:t>
      </w:r>
    </w:p>
  </w:footnote>
  <w:footnote w:id="4">
    <w:p w:rsidR="00373159" w:rsidP="00373159" w14:paraId="5A697066" w14:textId="77777777">
      <w:pPr>
        <w:pStyle w:val="FootnoteText"/>
      </w:pPr>
      <w:r>
        <w:rPr>
          <w:rStyle w:val="FootnoteReference"/>
        </w:rPr>
        <w:footnoteRef/>
      </w:r>
      <w:r>
        <w:t xml:space="preserve"> </w:t>
      </w:r>
      <w:r w:rsidRPr="00133F4B">
        <w:rPr>
          <w:i/>
          <w:iCs/>
          <w:spacing w:val="-2"/>
        </w:rPr>
        <w:t>Petition of AT&amp;T for Preemption and Declaratory Ruling Regarding California’s Carrier of Last Resort and Related Requirements</w:t>
      </w:r>
      <w:r>
        <w:rPr>
          <w:spacing w:val="-2"/>
        </w:rPr>
        <w:t xml:space="preserve">, WC Docket No. 26-125, Public Notice, DA 26-520 (WCB May 22, 2026); </w:t>
      </w:r>
      <w:r w:rsidRPr="00BD4278">
        <w:rPr>
          <w:i/>
          <w:iCs/>
        </w:rPr>
        <w:t>Petition of AT&amp;T for Forbearance under 47 U.S.C. § 160(c) from Requirements Imposed on Eligible Telecommunications Carriers by 47 U.S.C. § 214(e)</w:t>
      </w:r>
      <w:r>
        <w:t xml:space="preserve">, WC Docket No. 26-123, Public Notice, DA 26-518 </w:t>
      </w:r>
      <w:r>
        <w:rPr>
          <w:spacing w:val="-2"/>
        </w:rPr>
        <w:t>(WCB May 22, 2026)</w:t>
      </w:r>
      <w:r w:rsidRPr="00C14F05">
        <w:rPr>
          <w:spacing w:val="-2"/>
        </w:rPr>
        <w:t>.</w:t>
      </w:r>
    </w:p>
  </w:footnote>
  <w:footnote w:id="5">
    <w:p w:rsidR="00373159" w:rsidRPr="006E349F" w:rsidP="00373159" w14:paraId="1A09E52E" w14:textId="77777777">
      <w:pPr>
        <w:pStyle w:val="FootnoteText"/>
      </w:pPr>
      <w:r>
        <w:rPr>
          <w:rStyle w:val="FootnoteReference"/>
        </w:rPr>
        <w:footnoteRef/>
      </w:r>
      <w:r>
        <w:t xml:space="preserve"> AT&amp;T Services, Inc., Petition for Preemption and Declaratory Ruling, WC Docket No. 26-125 (filed May 20, 2026); AT&amp;T Services, Inc., Petition of AT&amp;T for Forbearance under 47 U.S.C. </w:t>
      </w:r>
      <w:r w:rsidRPr="00916C6B">
        <w:t>§</w:t>
      </w:r>
      <w:r>
        <w:t xml:space="preserve"> 160(c), WC Docket No. </w:t>
      </w:r>
      <w:r w:rsidRPr="00B04ED2">
        <w:t>26-123</w:t>
      </w:r>
      <w:r>
        <w:t xml:space="preserve"> (filed May 20, 2026). </w:t>
      </w:r>
    </w:p>
  </w:footnote>
  <w:footnote w:id="6">
    <w:p w:rsidR="00373159" w:rsidP="00373159" w14:paraId="08A9CD50" w14:textId="77777777">
      <w:pPr>
        <w:pStyle w:val="FootnoteText"/>
      </w:pPr>
      <w:r>
        <w:rPr>
          <w:rStyle w:val="FootnoteReference"/>
        </w:rPr>
        <w:footnoteRef/>
      </w:r>
      <w:r>
        <w:t xml:space="preserve"> Motions at 1; </w:t>
      </w:r>
      <w:r w:rsidRPr="000A1CC6">
        <w:rPr>
          <w:i/>
          <w:iCs/>
        </w:rPr>
        <w:t>see also</w:t>
      </w:r>
      <w:r>
        <w:t xml:space="preserve"> AT&amp;T Services, Inc., Section 63.71 Application of AT&amp;T, WC Docket No. 26-121 (filed May 20, 2026); AT&amp;T Services, Inc., Section 63.71 Application of AT&amp;T, WC Docket No. 26-120 (filed May 20, 2026).  The CPUC also asserts that it must respond to a lawsuit and request for injunction that AT&amp;T filed in federal court in California seeking a declaration that California’s COLR requirements are preempted.  Motions at 1-2 (citing </w:t>
      </w:r>
      <w:r w:rsidRPr="006D4CF5">
        <w:rPr>
          <w:i/>
          <w:iCs/>
        </w:rPr>
        <w:t>Pacific Bell Tel. Co. d/b/a AT&amp;T California v. John Reynolds et al.</w:t>
      </w:r>
      <w:r>
        <w:t xml:space="preserve">, Case No. </w:t>
      </w:r>
      <w:r w:rsidRPr="00CA5A34">
        <w:t>3:26-cv-03148</w:t>
      </w:r>
      <w:r>
        <w:t>, Complaint for Declaratory and Injunctive Relief (S.D. Cal. filed May 20, 2026)).</w:t>
      </w:r>
    </w:p>
  </w:footnote>
  <w:footnote w:id="7">
    <w:p w:rsidR="00373159" w:rsidRPr="003E44ED" w:rsidP="00373159" w14:paraId="753620FE" w14:textId="77777777">
      <w:pPr>
        <w:pStyle w:val="FootnoteText"/>
      </w:pPr>
      <w:r>
        <w:rPr>
          <w:rStyle w:val="FootnoteReference"/>
        </w:rPr>
        <w:footnoteRef/>
      </w:r>
      <w:r>
        <w:t xml:space="preserve"> Motions at 1-2.</w:t>
      </w:r>
    </w:p>
  </w:footnote>
  <w:footnote w:id="8">
    <w:p w:rsidR="00373159" w:rsidP="00373159" w14:paraId="389CB38C" w14:textId="77777777">
      <w:pPr>
        <w:pStyle w:val="FootnoteText"/>
      </w:pPr>
      <w:r>
        <w:rPr>
          <w:rStyle w:val="FootnoteReference"/>
        </w:rPr>
        <w:footnoteRef/>
      </w:r>
      <w:r>
        <w:t xml:space="preserve"> Preemption Petition Motion at 5.</w:t>
      </w:r>
    </w:p>
  </w:footnote>
  <w:footnote w:id="9">
    <w:p w:rsidR="00373159" w:rsidP="00373159" w14:paraId="6EA0E4B0" w14:textId="77777777">
      <w:pPr>
        <w:pStyle w:val="FootnoteText"/>
      </w:pPr>
      <w:r>
        <w:rPr>
          <w:rStyle w:val="FootnoteReference"/>
        </w:rPr>
        <w:footnoteRef/>
      </w:r>
      <w:r>
        <w:t xml:space="preserve"> Forbearance Petition Motion at 4.</w:t>
      </w:r>
    </w:p>
  </w:footnote>
  <w:footnote w:id="10">
    <w:p w:rsidR="00373159" w:rsidP="00373159" w14:paraId="2D72242E" w14:textId="77777777">
      <w:pPr>
        <w:pStyle w:val="FootnoteText"/>
      </w:pPr>
      <w:r>
        <w:rPr>
          <w:rStyle w:val="FootnoteReference"/>
        </w:rPr>
        <w:footnoteRef/>
      </w:r>
      <w:r>
        <w:t xml:space="preserve"> </w:t>
      </w:r>
      <w:r w:rsidRPr="00AE0DBF">
        <w:rPr>
          <w:i/>
          <w:iCs/>
        </w:rPr>
        <w:t>Id.</w:t>
      </w:r>
      <w:r>
        <w:t xml:space="preserve"> at 4-5; Preemption Petition Motion at 5-6.</w:t>
      </w:r>
    </w:p>
  </w:footnote>
  <w:footnote w:id="11">
    <w:p w:rsidR="00373159" w:rsidP="00373159" w14:paraId="0EE2D673" w14:textId="77777777">
      <w:pPr>
        <w:pStyle w:val="FootnoteText"/>
      </w:pPr>
      <w:r>
        <w:rPr>
          <w:rStyle w:val="FootnoteReference"/>
        </w:rPr>
        <w:footnoteRef/>
      </w:r>
      <w:r>
        <w:t xml:space="preserve"> Forbearance Petition Motion at 4.</w:t>
      </w:r>
    </w:p>
  </w:footnote>
  <w:footnote w:id="12">
    <w:p w:rsidR="00373159" w:rsidRPr="00516D94" w:rsidP="00373159" w14:paraId="2F49B62C" w14:textId="77777777">
      <w:pPr>
        <w:pStyle w:val="FootnoteText"/>
      </w:pPr>
      <w:r w:rsidRPr="00516D94">
        <w:rPr>
          <w:rStyle w:val="FootnoteReference"/>
        </w:rPr>
        <w:footnoteRef/>
      </w:r>
      <w:r w:rsidRPr="00516D94">
        <w:t xml:space="preserve"> 47 CFR § 1.46.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30E1EC8A" w14:textId="037AEBD2">
    <w:pPr>
      <w:pStyle w:val="Header"/>
      <w:rPr>
        <w:b w:val="0"/>
      </w:rPr>
    </w:pPr>
    <w:r>
      <w:tab/>
      <w:t>Federal Communications Commission</w:t>
    </w:r>
    <w:r>
      <w:tab/>
    </w:r>
    <w:r w:rsidR="00373159">
      <w:t>DA 26-598</w:t>
    </w:r>
  </w:p>
  <w:p w:rsidR="00D25FB5" w14:paraId="663C49AA"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31E2EF4D"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5E9B1176" w14:textId="58C44D75">
    <w:pPr>
      <w:pStyle w:val="Header"/>
      <w:rPr>
        <w:b w:val="0"/>
      </w:rP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373159">
      <w:rPr>
        <w:spacing w:val="-2"/>
      </w:rPr>
      <w:t>DA 26-598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9F04A25"/>
    <w:multiLevelType w:val="hybridMultilevel"/>
    <w:tmpl w:val="5706140C"/>
    <w:lvl w:ilvl="0">
      <w:start w:val="1"/>
      <w:numFmt w:val="decimal"/>
      <w:lvlText w:val="%1."/>
      <w:lvlJc w:val="left"/>
      <w:pPr>
        <w:ind w:left="720" w:hanging="360"/>
      </w:pPr>
      <w:rPr>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1403212957">
    <w:abstractNumId w:val="1"/>
  </w:num>
  <w:num w:numId="2" w16cid:durableId="1510170180">
    <w:abstractNumId w:val="6"/>
  </w:num>
  <w:num w:numId="3" w16cid:durableId="389574538">
    <w:abstractNumId w:val="3"/>
  </w:num>
  <w:num w:numId="4" w16cid:durableId="1608924186">
    <w:abstractNumId w:val="5"/>
  </w:num>
  <w:num w:numId="5" w16cid:durableId="1686899301">
    <w:abstractNumId w:val="2"/>
  </w:num>
  <w:num w:numId="6" w16cid:durableId="2135979815">
    <w:abstractNumId w:val="0"/>
  </w:num>
  <w:num w:numId="7" w16cid:durableId="63356427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3159"/>
    <w:rsid w:val="00036039"/>
    <w:rsid w:val="00037F90"/>
    <w:rsid w:val="000875BF"/>
    <w:rsid w:val="00096D8C"/>
    <w:rsid w:val="000A1CC6"/>
    <w:rsid w:val="000C0B65"/>
    <w:rsid w:val="000E05FE"/>
    <w:rsid w:val="000E3D42"/>
    <w:rsid w:val="00122BD5"/>
    <w:rsid w:val="00133F4B"/>
    <w:rsid w:val="00133F79"/>
    <w:rsid w:val="00194A66"/>
    <w:rsid w:val="001D6BCF"/>
    <w:rsid w:val="001E01CA"/>
    <w:rsid w:val="001E4C66"/>
    <w:rsid w:val="00275CF5"/>
    <w:rsid w:val="0028301F"/>
    <w:rsid w:val="00285017"/>
    <w:rsid w:val="002A2D2E"/>
    <w:rsid w:val="002C00E8"/>
    <w:rsid w:val="00343749"/>
    <w:rsid w:val="003660ED"/>
    <w:rsid w:val="00373159"/>
    <w:rsid w:val="003B0550"/>
    <w:rsid w:val="003B694F"/>
    <w:rsid w:val="003E44ED"/>
    <w:rsid w:val="003F171C"/>
    <w:rsid w:val="00401379"/>
    <w:rsid w:val="00412FC5"/>
    <w:rsid w:val="00422276"/>
    <w:rsid w:val="004242F1"/>
    <w:rsid w:val="00445A00"/>
    <w:rsid w:val="00451B0F"/>
    <w:rsid w:val="0045280F"/>
    <w:rsid w:val="004707D3"/>
    <w:rsid w:val="004C2EE3"/>
    <w:rsid w:val="004D29BA"/>
    <w:rsid w:val="004E4A22"/>
    <w:rsid w:val="00511968"/>
    <w:rsid w:val="00516D94"/>
    <w:rsid w:val="0055614C"/>
    <w:rsid w:val="00566D06"/>
    <w:rsid w:val="005E14C2"/>
    <w:rsid w:val="00607BA5"/>
    <w:rsid w:val="0061180A"/>
    <w:rsid w:val="00626EB6"/>
    <w:rsid w:val="00640189"/>
    <w:rsid w:val="00655D03"/>
    <w:rsid w:val="00665A15"/>
    <w:rsid w:val="00683388"/>
    <w:rsid w:val="00683F84"/>
    <w:rsid w:val="006A6A81"/>
    <w:rsid w:val="006B5353"/>
    <w:rsid w:val="006D4CF5"/>
    <w:rsid w:val="006E349F"/>
    <w:rsid w:val="006F7393"/>
    <w:rsid w:val="0070224F"/>
    <w:rsid w:val="007115F7"/>
    <w:rsid w:val="00785689"/>
    <w:rsid w:val="0079754B"/>
    <w:rsid w:val="007A1E6D"/>
    <w:rsid w:val="007A4F7C"/>
    <w:rsid w:val="007B0EB2"/>
    <w:rsid w:val="007B4A9A"/>
    <w:rsid w:val="00810B6F"/>
    <w:rsid w:val="00821E71"/>
    <w:rsid w:val="00822CE0"/>
    <w:rsid w:val="00841AB1"/>
    <w:rsid w:val="008A7266"/>
    <w:rsid w:val="008C68F1"/>
    <w:rsid w:val="00916C6B"/>
    <w:rsid w:val="00921803"/>
    <w:rsid w:val="00926503"/>
    <w:rsid w:val="00946C33"/>
    <w:rsid w:val="009726D8"/>
    <w:rsid w:val="009D011E"/>
    <w:rsid w:val="009D7308"/>
    <w:rsid w:val="009F76DB"/>
    <w:rsid w:val="00A32C3B"/>
    <w:rsid w:val="00A36FCD"/>
    <w:rsid w:val="00A45F4F"/>
    <w:rsid w:val="00A600A9"/>
    <w:rsid w:val="00AA55B7"/>
    <w:rsid w:val="00AA5B9E"/>
    <w:rsid w:val="00AB2407"/>
    <w:rsid w:val="00AB53DF"/>
    <w:rsid w:val="00AE0DBF"/>
    <w:rsid w:val="00B04ED2"/>
    <w:rsid w:val="00B07E5C"/>
    <w:rsid w:val="00B26A39"/>
    <w:rsid w:val="00B811F7"/>
    <w:rsid w:val="00BA5DC6"/>
    <w:rsid w:val="00BA6196"/>
    <w:rsid w:val="00BC6D8C"/>
    <w:rsid w:val="00BD4278"/>
    <w:rsid w:val="00C14F05"/>
    <w:rsid w:val="00C34006"/>
    <w:rsid w:val="00C36B4C"/>
    <w:rsid w:val="00C426B1"/>
    <w:rsid w:val="00C66160"/>
    <w:rsid w:val="00C721AC"/>
    <w:rsid w:val="00C82D85"/>
    <w:rsid w:val="00C90D6A"/>
    <w:rsid w:val="00CA247E"/>
    <w:rsid w:val="00CA5A34"/>
    <w:rsid w:val="00CA6D21"/>
    <w:rsid w:val="00CC72B6"/>
    <w:rsid w:val="00D0218D"/>
    <w:rsid w:val="00D25FB5"/>
    <w:rsid w:val="00D44223"/>
    <w:rsid w:val="00D74008"/>
    <w:rsid w:val="00DA2529"/>
    <w:rsid w:val="00DB130A"/>
    <w:rsid w:val="00DB2EBB"/>
    <w:rsid w:val="00DC10A1"/>
    <w:rsid w:val="00DC655F"/>
    <w:rsid w:val="00DD0B59"/>
    <w:rsid w:val="00DD7EBD"/>
    <w:rsid w:val="00DF62B6"/>
    <w:rsid w:val="00E07225"/>
    <w:rsid w:val="00E5409F"/>
    <w:rsid w:val="00EE6488"/>
    <w:rsid w:val="00F021FA"/>
    <w:rsid w:val="00F62E97"/>
    <w:rsid w:val="00F64209"/>
    <w:rsid w:val="00F93BF5"/>
    <w:rsid w:val="215370D5"/>
    <w:rsid w:val="35197CA4"/>
    <w:rsid w:val="66F0C7E1"/>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3635DB4E"/>
  <w15:chartTrackingRefBased/>
  <w15:docId w15:val="{A3A17B2E-AB5F-4108-9F18-9B916FB42A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footer" w:uiPriority="99"/>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373159"/>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link w:val="FootnoteTextChar"/>
    <w:uiPriority w:val="99"/>
    <w:rsid w:val="000E3D42"/>
    <w:pPr>
      <w:spacing w:after="120"/>
    </w:pPr>
  </w:style>
  <w:style w:type="character" w:styleId="FootnoteReference">
    <w:name w:val="footnote reference"/>
    <w:uiPriority w:val="99"/>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paragraph" w:styleId="ListParagraph">
    <w:name w:val="List Paragraph"/>
    <w:basedOn w:val="Normal"/>
    <w:uiPriority w:val="34"/>
    <w:qFormat/>
    <w:rsid w:val="00373159"/>
    <w:pPr>
      <w:ind w:left="720"/>
      <w:contextualSpacing/>
    </w:pPr>
  </w:style>
  <w:style w:type="character" w:customStyle="1" w:styleId="FootnoteTextChar">
    <w:name w:val="Footnote Text Char"/>
    <w:basedOn w:val="DefaultParagraphFont"/>
    <w:link w:val="FootnoteText"/>
    <w:uiPriority w:val="99"/>
    <w:rsid w:val="003731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