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D4191B" w:rsidP="00D4191B" w14:paraId="0557CAFC" w14:textId="77777777">
      <w:pPr>
        <w:jc w:val="center"/>
        <w:rPr>
          <w:b/>
        </w:rPr>
      </w:pPr>
      <w:r w:rsidRPr="0070224F">
        <w:rPr>
          <w:rFonts w:ascii="Times New Roman Bold" w:hAnsi="Times New Roman Bold"/>
          <w:b/>
          <w:kern w:val="0"/>
          <w:szCs w:val="22"/>
        </w:rPr>
        <w:t>Before</w:t>
      </w:r>
      <w:r>
        <w:rPr>
          <w:b/>
        </w:rPr>
        <w:t xml:space="preserve"> the</w:t>
      </w:r>
    </w:p>
    <w:p w:rsidR="00D4191B" w:rsidP="00D4191B" w14:paraId="1412E191" w14:textId="77777777">
      <w:pPr>
        <w:pStyle w:val="StyleBoldCentered"/>
      </w:pPr>
      <w:r>
        <w:t>F</w:t>
      </w:r>
      <w:r>
        <w:rPr>
          <w:caps w:val="0"/>
        </w:rPr>
        <w:t>ederal Communications Commission</w:t>
      </w:r>
    </w:p>
    <w:p w:rsidR="00D4191B" w:rsidP="00D4191B" w14:paraId="33643E1C" w14:textId="77777777">
      <w:pPr>
        <w:pStyle w:val="StyleBoldCentered"/>
      </w:pPr>
      <w:r>
        <w:rPr>
          <w:caps w:val="0"/>
        </w:rPr>
        <w:t>Washington, D.C. 20554</w:t>
      </w:r>
    </w:p>
    <w:p w:rsidR="00D4191B" w:rsidP="00D4191B" w14:paraId="27AF881F" w14:textId="77777777"/>
    <w:tbl>
      <w:tblPr>
        <w:tblW w:w="9751" w:type="dxa"/>
        <w:tblLayout w:type="fixed"/>
        <w:tblLook w:val="0000"/>
      </w:tblPr>
      <w:tblGrid>
        <w:gridCol w:w="4784"/>
        <w:gridCol w:w="641"/>
        <w:gridCol w:w="4326"/>
      </w:tblGrid>
      <w:tr w14:paraId="57FC1E33" w14:textId="77777777" w:rsidTr="002D729A">
        <w:tblPrEx>
          <w:tblW w:w="9751" w:type="dxa"/>
          <w:tblLayout w:type="fixed"/>
          <w:tblLook w:val="0000"/>
        </w:tblPrEx>
        <w:trPr>
          <w:trHeight w:val="1242"/>
        </w:trPr>
        <w:tc>
          <w:tcPr>
            <w:tcW w:w="4784" w:type="dxa"/>
          </w:tcPr>
          <w:p w:rsidR="00D4191B" w:rsidP="002D729A" w14:paraId="1405DFD6" w14:textId="77777777">
            <w:pPr>
              <w:tabs>
                <w:tab w:val="center" w:pos="4680"/>
              </w:tabs>
              <w:suppressAutoHyphens/>
              <w:rPr>
                <w:spacing w:val="-2"/>
              </w:rPr>
            </w:pPr>
            <w:r>
              <w:rPr>
                <w:spacing w:val="-2"/>
              </w:rPr>
              <w:t>In the Matter of</w:t>
            </w:r>
          </w:p>
          <w:p w:rsidR="00D4191B" w:rsidP="002D729A" w14:paraId="4068CEA9" w14:textId="77777777">
            <w:pPr>
              <w:tabs>
                <w:tab w:val="center" w:pos="4680"/>
              </w:tabs>
              <w:suppressAutoHyphens/>
              <w:rPr>
                <w:spacing w:val="-2"/>
              </w:rPr>
            </w:pPr>
          </w:p>
          <w:p w:rsidR="00D4191B" w:rsidRPr="00F10274" w:rsidP="002D729A" w14:paraId="0FCD12E6" w14:textId="77777777">
            <w:pPr>
              <w:tabs>
                <w:tab w:val="center" w:pos="4680"/>
              </w:tabs>
              <w:suppressAutoHyphens/>
              <w:rPr>
                <w:rFonts w:ascii="Times New Roman Bold" w:hAnsi="Times New Roman Bold"/>
                <w:b/>
                <w:spacing w:val="-2"/>
              </w:rPr>
            </w:pPr>
            <w:r w:rsidRPr="00F10274">
              <w:rPr>
                <w:rFonts w:ascii="Times New Roman Bold" w:hAnsi="Times New Roman Bold"/>
                <w:b/>
                <w:spacing w:val="-2"/>
              </w:rPr>
              <w:t>97.5 Licensee TX, LLC</w:t>
            </w:r>
          </w:p>
          <w:p w:rsidR="00D4191B" w:rsidP="002D729A" w14:paraId="495AAB70" w14:textId="77777777">
            <w:pPr>
              <w:tabs>
                <w:tab w:val="center" w:pos="4680"/>
              </w:tabs>
              <w:suppressAutoHyphens/>
              <w:rPr>
                <w:spacing w:val="-2"/>
              </w:rPr>
            </w:pPr>
            <w:r>
              <w:rPr>
                <w:spacing w:val="-2"/>
              </w:rPr>
              <w:t>Licensee</w:t>
            </w:r>
          </w:p>
          <w:p w:rsidR="00D4191B" w:rsidP="002D729A" w14:paraId="366FD622" w14:textId="77777777">
            <w:pPr>
              <w:tabs>
                <w:tab w:val="center" w:pos="4680"/>
              </w:tabs>
              <w:suppressAutoHyphens/>
              <w:rPr>
                <w:spacing w:val="-2"/>
              </w:rPr>
            </w:pPr>
          </w:p>
          <w:p w:rsidR="00D4191B" w:rsidRPr="00F10274" w:rsidP="002D729A" w14:paraId="7B76A626" w14:textId="77777777">
            <w:pPr>
              <w:tabs>
                <w:tab w:val="center" w:pos="4680"/>
              </w:tabs>
              <w:suppressAutoHyphens/>
              <w:rPr>
                <w:rFonts w:ascii="Times New Roman Bold" w:hAnsi="Times New Roman Bold"/>
                <w:b/>
                <w:spacing w:val="-2"/>
              </w:rPr>
            </w:pPr>
            <w:r w:rsidRPr="00F10274">
              <w:rPr>
                <w:rFonts w:ascii="Times New Roman Bold" w:hAnsi="Times New Roman Bold"/>
                <w:b/>
                <w:spacing w:val="-2"/>
              </w:rPr>
              <w:t>Luz Maria Rygaard</w:t>
            </w:r>
          </w:p>
          <w:p w:rsidR="00D4191B" w:rsidP="002D729A" w14:paraId="11D0EACE" w14:textId="77777777">
            <w:pPr>
              <w:tabs>
                <w:tab w:val="center" w:pos="4680"/>
              </w:tabs>
              <w:suppressAutoHyphens/>
              <w:rPr>
                <w:spacing w:val="-2"/>
              </w:rPr>
            </w:pPr>
            <w:r>
              <w:rPr>
                <w:spacing w:val="-2"/>
              </w:rPr>
              <w:t>Transferor</w:t>
            </w:r>
          </w:p>
          <w:p w:rsidR="00D4191B" w:rsidP="002D729A" w14:paraId="16CCA300" w14:textId="77777777">
            <w:pPr>
              <w:tabs>
                <w:tab w:val="center" w:pos="4680"/>
              </w:tabs>
              <w:suppressAutoHyphens/>
              <w:rPr>
                <w:spacing w:val="-2"/>
              </w:rPr>
            </w:pPr>
          </w:p>
          <w:p w:rsidR="00D4191B" w:rsidP="002D729A" w14:paraId="4395F963" w14:textId="77777777">
            <w:pPr>
              <w:tabs>
                <w:tab w:val="center" w:pos="4680"/>
              </w:tabs>
              <w:suppressAutoHyphens/>
              <w:rPr>
                <w:spacing w:val="-2"/>
              </w:rPr>
            </w:pPr>
            <w:r>
              <w:rPr>
                <w:spacing w:val="-2"/>
              </w:rPr>
              <w:t>and</w:t>
            </w:r>
          </w:p>
          <w:p w:rsidR="00D4191B" w:rsidP="002D729A" w14:paraId="6B8D2241" w14:textId="77777777">
            <w:pPr>
              <w:tabs>
                <w:tab w:val="center" w:pos="4680"/>
              </w:tabs>
              <w:suppressAutoHyphens/>
              <w:rPr>
                <w:spacing w:val="-2"/>
              </w:rPr>
            </w:pPr>
          </w:p>
          <w:p w:rsidR="00D4191B" w:rsidRPr="00187B1E" w:rsidP="002D729A" w14:paraId="206808E8" w14:textId="77777777">
            <w:pPr>
              <w:tabs>
                <w:tab w:val="center" w:pos="4680"/>
              </w:tabs>
              <w:suppressAutoHyphens/>
              <w:rPr>
                <w:rFonts w:ascii="Times New Roman Bold" w:hAnsi="Times New Roman Bold"/>
                <w:spacing w:val="-2"/>
              </w:rPr>
            </w:pPr>
            <w:r w:rsidRPr="00F10274">
              <w:rPr>
                <w:rFonts w:ascii="Times New Roman Bold" w:hAnsi="Times New Roman Bold"/>
                <w:b/>
                <w:spacing w:val="-2"/>
              </w:rPr>
              <w:t>Lorena Margarita Perez Toscano</w:t>
            </w:r>
          </w:p>
          <w:p w:rsidR="00D4191B" w:rsidP="002D729A" w14:paraId="522A7855" w14:textId="77777777">
            <w:pPr>
              <w:tabs>
                <w:tab w:val="center" w:pos="4680"/>
              </w:tabs>
              <w:suppressAutoHyphens/>
              <w:rPr>
                <w:spacing w:val="-2"/>
              </w:rPr>
            </w:pPr>
            <w:r>
              <w:rPr>
                <w:spacing w:val="-2"/>
              </w:rPr>
              <w:t>Transferee</w:t>
            </w:r>
          </w:p>
          <w:p w:rsidR="00D4191B" w:rsidP="002D729A" w14:paraId="42573CBB" w14:textId="77777777">
            <w:pPr>
              <w:tabs>
                <w:tab w:val="center" w:pos="4680"/>
              </w:tabs>
              <w:suppressAutoHyphens/>
              <w:rPr>
                <w:spacing w:val="-2"/>
              </w:rPr>
            </w:pPr>
          </w:p>
          <w:p w:rsidR="00D4191B" w:rsidP="002D729A" w14:paraId="27C1A255" w14:textId="77777777">
            <w:pPr>
              <w:tabs>
                <w:tab w:val="center" w:pos="4680"/>
              </w:tabs>
              <w:suppressAutoHyphens/>
              <w:rPr>
                <w:spacing w:val="-2"/>
              </w:rPr>
            </w:pPr>
            <w:r>
              <w:rPr>
                <w:spacing w:val="-2"/>
              </w:rPr>
              <w:t>KBNA-FM, El Paso, Texas</w:t>
            </w:r>
          </w:p>
          <w:p w:rsidR="00D4191B" w:rsidP="002D729A" w14:paraId="4A7D6CE5" w14:textId="77777777">
            <w:pPr>
              <w:tabs>
                <w:tab w:val="center" w:pos="4680"/>
              </w:tabs>
              <w:suppressAutoHyphens/>
              <w:rPr>
                <w:spacing w:val="-2"/>
              </w:rPr>
            </w:pPr>
            <w:r>
              <w:rPr>
                <w:spacing w:val="-2"/>
              </w:rPr>
              <w:t>KAMA(AM), El Paso, Texas</w:t>
            </w:r>
          </w:p>
          <w:p w:rsidR="00D4191B" w:rsidP="002D729A" w14:paraId="48C77B1C" w14:textId="77777777">
            <w:pPr>
              <w:tabs>
                <w:tab w:val="center" w:pos="4680"/>
              </w:tabs>
              <w:suppressAutoHyphens/>
              <w:rPr>
                <w:spacing w:val="-2"/>
              </w:rPr>
            </w:pPr>
            <w:r>
              <w:rPr>
                <w:spacing w:val="-2"/>
              </w:rPr>
              <w:t>KQBU(AM), El Paso, Texas</w:t>
            </w:r>
          </w:p>
          <w:p w:rsidR="00D4191B" w:rsidRPr="007115F7" w:rsidP="002D729A" w14:paraId="27CACCEC" w14:textId="77777777">
            <w:pPr>
              <w:tabs>
                <w:tab w:val="center" w:pos="4680"/>
              </w:tabs>
              <w:suppressAutoHyphens/>
              <w:rPr>
                <w:spacing w:val="-2"/>
              </w:rPr>
            </w:pPr>
          </w:p>
        </w:tc>
        <w:tc>
          <w:tcPr>
            <w:tcW w:w="641" w:type="dxa"/>
          </w:tcPr>
          <w:p w:rsidR="00D4191B" w:rsidP="002D729A" w14:paraId="2A2434DB" w14:textId="77777777">
            <w:pPr>
              <w:tabs>
                <w:tab w:val="center" w:pos="4680"/>
              </w:tabs>
              <w:suppressAutoHyphens/>
              <w:rPr>
                <w:b/>
                <w:spacing w:val="-2"/>
              </w:rPr>
            </w:pPr>
            <w:r>
              <w:rPr>
                <w:b/>
                <w:spacing w:val="-2"/>
              </w:rPr>
              <w:t>)</w:t>
            </w:r>
          </w:p>
          <w:p w:rsidR="00D4191B" w:rsidP="002D729A" w14:paraId="4A0C7519" w14:textId="77777777">
            <w:pPr>
              <w:tabs>
                <w:tab w:val="center" w:pos="4680"/>
              </w:tabs>
              <w:suppressAutoHyphens/>
              <w:rPr>
                <w:b/>
                <w:spacing w:val="-2"/>
              </w:rPr>
            </w:pPr>
            <w:r>
              <w:rPr>
                <w:b/>
                <w:spacing w:val="-2"/>
              </w:rPr>
              <w:t>)</w:t>
            </w:r>
          </w:p>
          <w:p w:rsidR="00D4191B" w:rsidP="002D729A" w14:paraId="5AF51B1E" w14:textId="77777777">
            <w:pPr>
              <w:tabs>
                <w:tab w:val="center" w:pos="4680"/>
              </w:tabs>
              <w:suppressAutoHyphens/>
              <w:rPr>
                <w:b/>
                <w:spacing w:val="-2"/>
              </w:rPr>
            </w:pPr>
            <w:r>
              <w:rPr>
                <w:b/>
                <w:spacing w:val="-2"/>
              </w:rPr>
              <w:t>)</w:t>
            </w:r>
          </w:p>
          <w:p w:rsidR="00D4191B" w:rsidP="002D729A" w14:paraId="081E4257" w14:textId="77777777">
            <w:pPr>
              <w:tabs>
                <w:tab w:val="center" w:pos="4680"/>
              </w:tabs>
              <w:suppressAutoHyphens/>
              <w:rPr>
                <w:b/>
                <w:spacing w:val="-2"/>
              </w:rPr>
            </w:pPr>
            <w:r>
              <w:rPr>
                <w:b/>
                <w:spacing w:val="-2"/>
              </w:rPr>
              <w:t>)</w:t>
            </w:r>
          </w:p>
          <w:p w:rsidR="00D4191B" w:rsidP="002D729A" w14:paraId="0BE3C16D" w14:textId="77777777">
            <w:pPr>
              <w:tabs>
                <w:tab w:val="center" w:pos="4680"/>
              </w:tabs>
              <w:suppressAutoHyphens/>
              <w:rPr>
                <w:b/>
                <w:spacing w:val="-2"/>
              </w:rPr>
            </w:pPr>
            <w:r>
              <w:rPr>
                <w:b/>
                <w:spacing w:val="-2"/>
              </w:rPr>
              <w:t>)</w:t>
            </w:r>
          </w:p>
          <w:p w:rsidR="00D4191B" w:rsidP="002D729A" w14:paraId="3B802074" w14:textId="77777777">
            <w:pPr>
              <w:tabs>
                <w:tab w:val="center" w:pos="4680"/>
              </w:tabs>
              <w:suppressAutoHyphens/>
              <w:rPr>
                <w:b/>
                <w:spacing w:val="-2"/>
              </w:rPr>
            </w:pPr>
            <w:r>
              <w:rPr>
                <w:b/>
                <w:spacing w:val="-2"/>
              </w:rPr>
              <w:t>)</w:t>
            </w:r>
          </w:p>
          <w:p w:rsidR="00D4191B" w:rsidP="002D729A" w14:paraId="3D69E246" w14:textId="77777777">
            <w:pPr>
              <w:tabs>
                <w:tab w:val="center" w:pos="4680"/>
              </w:tabs>
              <w:suppressAutoHyphens/>
              <w:rPr>
                <w:b/>
                <w:spacing w:val="-2"/>
              </w:rPr>
            </w:pPr>
            <w:r>
              <w:rPr>
                <w:b/>
                <w:spacing w:val="-2"/>
              </w:rPr>
              <w:t>)</w:t>
            </w:r>
          </w:p>
          <w:p w:rsidR="00D4191B" w:rsidP="002D729A" w14:paraId="221A72FF" w14:textId="77777777">
            <w:pPr>
              <w:tabs>
                <w:tab w:val="center" w:pos="4680"/>
              </w:tabs>
              <w:suppressAutoHyphens/>
              <w:rPr>
                <w:b/>
                <w:spacing w:val="-2"/>
              </w:rPr>
            </w:pPr>
            <w:r>
              <w:rPr>
                <w:b/>
                <w:spacing w:val="-2"/>
              </w:rPr>
              <w:t>)</w:t>
            </w:r>
          </w:p>
          <w:p w:rsidR="00D4191B" w:rsidP="002D729A" w14:paraId="6BBA52C3" w14:textId="77777777">
            <w:pPr>
              <w:tabs>
                <w:tab w:val="center" w:pos="4680"/>
              </w:tabs>
              <w:suppressAutoHyphens/>
              <w:rPr>
                <w:b/>
                <w:spacing w:val="-2"/>
              </w:rPr>
            </w:pPr>
            <w:r>
              <w:rPr>
                <w:b/>
                <w:spacing w:val="-2"/>
              </w:rPr>
              <w:t>)</w:t>
            </w:r>
          </w:p>
          <w:p w:rsidR="00D4191B" w:rsidP="002D729A" w14:paraId="6605F088" w14:textId="77777777">
            <w:pPr>
              <w:tabs>
                <w:tab w:val="center" w:pos="4680"/>
              </w:tabs>
              <w:suppressAutoHyphens/>
              <w:rPr>
                <w:b/>
                <w:spacing w:val="-2"/>
              </w:rPr>
            </w:pPr>
            <w:r>
              <w:rPr>
                <w:b/>
                <w:spacing w:val="-2"/>
              </w:rPr>
              <w:t>)</w:t>
            </w:r>
          </w:p>
          <w:p w:rsidR="00D4191B" w:rsidP="002D729A" w14:paraId="0CE98E9D" w14:textId="77777777">
            <w:pPr>
              <w:tabs>
                <w:tab w:val="center" w:pos="4680"/>
              </w:tabs>
              <w:suppressAutoHyphens/>
              <w:rPr>
                <w:b/>
                <w:spacing w:val="-2"/>
              </w:rPr>
            </w:pPr>
            <w:r>
              <w:rPr>
                <w:b/>
                <w:spacing w:val="-2"/>
              </w:rPr>
              <w:t>)</w:t>
            </w:r>
          </w:p>
          <w:p w:rsidR="00D4191B" w:rsidP="002D729A" w14:paraId="7710E484" w14:textId="77777777">
            <w:pPr>
              <w:tabs>
                <w:tab w:val="center" w:pos="4680"/>
              </w:tabs>
              <w:suppressAutoHyphens/>
              <w:rPr>
                <w:b/>
                <w:spacing w:val="-2"/>
              </w:rPr>
            </w:pPr>
            <w:r>
              <w:rPr>
                <w:b/>
                <w:spacing w:val="-2"/>
              </w:rPr>
              <w:t>)</w:t>
            </w:r>
          </w:p>
          <w:p w:rsidR="00D4191B" w:rsidP="002D729A" w14:paraId="5E1B80BB" w14:textId="77777777">
            <w:pPr>
              <w:tabs>
                <w:tab w:val="center" w:pos="4680"/>
              </w:tabs>
              <w:suppressAutoHyphens/>
              <w:rPr>
                <w:b/>
                <w:spacing w:val="-2"/>
              </w:rPr>
            </w:pPr>
            <w:r>
              <w:rPr>
                <w:b/>
                <w:spacing w:val="-2"/>
              </w:rPr>
              <w:t>)</w:t>
            </w:r>
          </w:p>
          <w:p w:rsidR="00D4191B" w:rsidP="002D729A" w14:paraId="60266B9C" w14:textId="77777777">
            <w:pPr>
              <w:tabs>
                <w:tab w:val="center" w:pos="4680"/>
              </w:tabs>
              <w:suppressAutoHyphens/>
              <w:rPr>
                <w:b/>
                <w:spacing w:val="-2"/>
              </w:rPr>
            </w:pPr>
            <w:r>
              <w:rPr>
                <w:b/>
                <w:spacing w:val="-2"/>
              </w:rPr>
              <w:t>)</w:t>
            </w:r>
          </w:p>
          <w:p w:rsidR="00D4191B" w:rsidP="002D729A" w14:paraId="3CFB2C2B" w14:textId="77777777">
            <w:pPr>
              <w:tabs>
                <w:tab w:val="center" w:pos="4680"/>
              </w:tabs>
              <w:suppressAutoHyphens/>
              <w:rPr>
                <w:b/>
                <w:spacing w:val="-2"/>
              </w:rPr>
            </w:pPr>
            <w:r>
              <w:rPr>
                <w:b/>
                <w:spacing w:val="-2"/>
              </w:rPr>
              <w:t>)</w:t>
            </w:r>
          </w:p>
          <w:p w:rsidR="00D4191B" w:rsidP="002D729A" w14:paraId="0ADA4810" w14:textId="77777777">
            <w:pPr>
              <w:tabs>
                <w:tab w:val="center" w:pos="4680"/>
              </w:tabs>
              <w:suppressAutoHyphens/>
              <w:rPr>
                <w:b/>
                <w:spacing w:val="-2"/>
              </w:rPr>
            </w:pPr>
            <w:r>
              <w:rPr>
                <w:b/>
                <w:spacing w:val="-2"/>
              </w:rPr>
              <w:t>)</w:t>
            </w:r>
          </w:p>
          <w:p w:rsidR="00D4191B" w:rsidP="002D729A" w14:paraId="730B4A80" w14:textId="77777777">
            <w:pPr>
              <w:tabs>
                <w:tab w:val="center" w:pos="4680"/>
              </w:tabs>
              <w:suppressAutoHyphens/>
              <w:rPr>
                <w:b/>
                <w:spacing w:val="-2"/>
              </w:rPr>
            </w:pPr>
            <w:r>
              <w:rPr>
                <w:b/>
                <w:spacing w:val="-2"/>
              </w:rPr>
              <w:t>)</w:t>
            </w:r>
          </w:p>
          <w:p w:rsidR="00D4191B" w:rsidP="002D729A" w14:paraId="133615A7" w14:textId="77777777">
            <w:pPr>
              <w:tabs>
                <w:tab w:val="center" w:pos="4680"/>
              </w:tabs>
              <w:suppressAutoHyphens/>
              <w:rPr>
                <w:b/>
                <w:spacing w:val="-2"/>
              </w:rPr>
            </w:pPr>
            <w:r>
              <w:rPr>
                <w:b/>
                <w:spacing w:val="-2"/>
              </w:rPr>
              <w:t>)</w:t>
            </w:r>
          </w:p>
          <w:p w:rsidR="00D4191B" w:rsidRPr="006260EB" w:rsidP="002D729A" w14:paraId="1CE9529B" w14:textId="77777777">
            <w:pPr>
              <w:tabs>
                <w:tab w:val="center" w:pos="4680"/>
              </w:tabs>
              <w:suppressAutoHyphens/>
              <w:rPr>
                <w:b/>
                <w:spacing w:val="-2"/>
              </w:rPr>
            </w:pPr>
          </w:p>
        </w:tc>
        <w:tc>
          <w:tcPr>
            <w:tcW w:w="4326" w:type="dxa"/>
          </w:tcPr>
          <w:p w:rsidR="00D4191B" w:rsidP="002D729A" w14:paraId="3E12BADB" w14:textId="77777777">
            <w:pPr>
              <w:tabs>
                <w:tab w:val="center" w:pos="4680"/>
              </w:tabs>
              <w:suppressAutoHyphens/>
              <w:rPr>
                <w:spacing w:val="-2"/>
              </w:rPr>
            </w:pPr>
          </w:p>
          <w:p w:rsidR="00D4191B" w:rsidP="002D729A" w14:paraId="6F974663" w14:textId="77777777">
            <w:pPr>
              <w:tabs>
                <w:tab w:val="center" w:pos="4680"/>
              </w:tabs>
              <w:suppressAutoHyphens/>
              <w:rPr>
                <w:spacing w:val="-2"/>
              </w:rPr>
            </w:pPr>
          </w:p>
          <w:p w:rsidR="00D4191B" w:rsidP="002D729A" w14:paraId="19743436" w14:textId="77777777">
            <w:pPr>
              <w:tabs>
                <w:tab w:val="center" w:pos="4680"/>
              </w:tabs>
              <w:suppressAutoHyphens/>
              <w:rPr>
                <w:spacing w:val="-2"/>
              </w:rPr>
            </w:pPr>
            <w:r>
              <w:rPr>
                <w:spacing w:val="-2"/>
              </w:rPr>
              <w:t>MB Docket No. 26-19</w:t>
            </w:r>
          </w:p>
          <w:p w:rsidR="00D4191B" w:rsidP="002D729A" w14:paraId="1A03B2FE" w14:textId="77777777">
            <w:pPr>
              <w:tabs>
                <w:tab w:val="center" w:pos="4680"/>
              </w:tabs>
              <w:suppressAutoHyphens/>
              <w:rPr>
                <w:spacing w:val="-2"/>
              </w:rPr>
            </w:pPr>
          </w:p>
          <w:p w:rsidR="00D4191B" w:rsidP="002D729A" w14:paraId="1AF676AB" w14:textId="77777777">
            <w:pPr>
              <w:tabs>
                <w:tab w:val="center" w:pos="4680"/>
              </w:tabs>
              <w:suppressAutoHyphens/>
              <w:rPr>
                <w:spacing w:val="-2"/>
              </w:rPr>
            </w:pPr>
            <w:r>
              <w:rPr>
                <w:spacing w:val="-2"/>
              </w:rPr>
              <w:t>FRN:  0026209908</w:t>
            </w:r>
          </w:p>
          <w:p w:rsidR="00D4191B" w:rsidP="002D729A" w14:paraId="7C334107" w14:textId="77777777">
            <w:pPr>
              <w:tabs>
                <w:tab w:val="center" w:pos="4680"/>
              </w:tabs>
              <w:suppressAutoHyphens/>
              <w:rPr>
                <w:spacing w:val="-2"/>
              </w:rPr>
            </w:pPr>
          </w:p>
          <w:p w:rsidR="00D4191B" w:rsidP="002D729A" w14:paraId="5552B19D" w14:textId="77777777">
            <w:pPr>
              <w:tabs>
                <w:tab w:val="center" w:pos="4680"/>
              </w:tabs>
              <w:suppressAutoHyphens/>
              <w:rPr>
                <w:spacing w:val="-2"/>
              </w:rPr>
            </w:pPr>
          </w:p>
          <w:p w:rsidR="00D4191B" w:rsidP="002D729A" w14:paraId="6074A87A" w14:textId="77777777">
            <w:pPr>
              <w:tabs>
                <w:tab w:val="center" w:pos="4680"/>
              </w:tabs>
              <w:suppressAutoHyphens/>
              <w:rPr>
                <w:spacing w:val="-2"/>
              </w:rPr>
            </w:pPr>
          </w:p>
          <w:p w:rsidR="00D4191B" w:rsidP="002D729A" w14:paraId="7670455B" w14:textId="77777777">
            <w:pPr>
              <w:tabs>
                <w:tab w:val="center" w:pos="4680"/>
              </w:tabs>
              <w:suppressAutoHyphens/>
              <w:rPr>
                <w:spacing w:val="-2"/>
              </w:rPr>
            </w:pPr>
          </w:p>
          <w:p w:rsidR="00D4191B" w:rsidP="002D729A" w14:paraId="4C21A99F" w14:textId="77777777">
            <w:pPr>
              <w:tabs>
                <w:tab w:val="center" w:pos="4680"/>
              </w:tabs>
              <w:suppressAutoHyphens/>
              <w:rPr>
                <w:spacing w:val="-2"/>
              </w:rPr>
            </w:pPr>
          </w:p>
          <w:p w:rsidR="00D4191B" w:rsidP="002D729A" w14:paraId="42751273" w14:textId="77777777">
            <w:pPr>
              <w:tabs>
                <w:tab w:val="center" w:pos="4680"/>
              </w:tabs>
              <w:suppressAutoHyphens/>
              <w:rPr>
                <w:spacing w:val="-2"/>
              </w:rPr>
            </w:pPr>
          </w:p>
          <w:p w:rsidR="00D4191B" w:rsidP="002D729A" w14:paraId="2051AFE1" w14:textId="77777777">
            <w:pPr>
              <w:tabs>
                <w:tab w:val="center" w:pos="4680"/>
              </w:tabs>
              <w:suppressAutoHyphens/>
              <w:rPr>
                <w:spacing w:val="-2"/>
              </w:rPr>
            </w:pPr>
          </w:p>
          <w:p w:rsidR="00D4191B" w:rsidP="002D729A" w14:paraId="78D50601" w14:textId="77777777">
            <w:pPr>
              <w:tabs>
                <w:tab w:val="center" w:pos="4680"/>
              </w:tabs>
              <w:suppressAutoHyphens/>
              <w:rPr>
                <w:spacing w:val="-2"/>
              </w:rPr>
            </w:pPr>
          </w:p>
          <w:p w:rsidR="00D4191B" w:rsidP="002D729A" w14:paraId="1F544834" w14:textId="77777777">
            <w:pPr>
              <w:tabs>
                <w:tab w:val="center" w:pos="4680"/>
              </w:tabs>
              <w:suppressAutoHyphens/>
              <w:rPr>
                <w:spacing w:val="-2"/>
              </w:rPr>
            </w:pPr>
            <w:r>
              <w:rPr>
                <w:spacing w:val="-2"/>
              </w:rPr>
              <w:t>Facility ID No. 67066</w:t>
            </w:r>
          </w:p>
          <w:p w:rsidR="00D4191B" w:rsidP="002D729A" w14:paraId="7F62C5D5" w14:textId="77777777">
            <w:pPr>
              <w:tabs>
                <w:tab w:val="center" w:pos="4680"/>
              </w:tabs>
              <w:suppressAutoHyphens/>
              <w:rPr>
                <w:spacing w:val="-2"/>
              </w:rPr>
            </w:pPr>
            <w:r>
              <w:rPr>
                <w:spacing w:val="-2"/>
              </w:rPr>
              <w:t>Facility ID No. 36948</w:t>
            </w:r>
          </w:p>
          <w:p w:rsidR="00D4191B" w:rsidP="002D729A" w14:paraId="0B4C7F82" w14:textId="77777777">
            <w:pPr>
              <w:tabs>
                <w:tab w:val="center" w:pos="4680"/>
              </w:tabs>
              <w:suppressAutoHyphens/>
              <w:rPr>
                <w:spacing w:val="-2"/>
              </w:rPr>
            </w:pPr>
            <w:r>
              <w:rPr>
                <w:spacing w:val="-2"/>
              </w:rPr>
              <w:t>Facility ID No. 67065</w:t>
            </w:r>
          </w:p>
          <w:p w:rsidR="00D4191B" w:rsidP="002D729A" w14:paraId="10C44CE9" w14:textId="77777777">
            <w:pPr>
              <w:tabs>
                <w:tab w:val="center" w:pos="4680"/>
              </w:tabs>
              <w:suppressAutoHyphens/>
              <w:rPr>
                <w:spacing w:val="-2"/>
              </w:rPr>
            </w:pPr>
          </w:p>
          <w:p w:rsidR="00D4191B" w:rsidP="002D729A" w14:paraId="55C74057" w14:textId="77777777">
            <w:pPr>
              <w:tabs>
                <w:tab w:val="center" w:pos="4680"/>
              </w:tabs>
              <w:suppressAutoHyphens/>
              <w:rPr>
                <w:spacing w:val="-2"/>
              </w:rPr>
            </w:pPr>
            <w:r>
              <w:rPr>
                <w:spacing w:val="-2"/>
              </w:rPr>
              <w:t xml:space="preserve">Application File Nos. 0000216454, </w:t>
            </w:r>
            <w:r>
              <w:rPr>
                <w:i/>
                <w:iCs/>
                <w:spacing w:val="-2"/>
              </w:rPr>
              <w:t>et al.</w:t>
            </w:r>
            <w:r>
              <w:rPr>
                <w:spacing w:val="-2"/>
              </w:rPr>
              <w:t xml:space="preserve"> </w:t>
            </w:r>
          </w:p>
        </w:tc>
      </w:tr>
    </w:tbl>
    <w:p w:rsidR="00D4191B" w:rsidP="00D4191B" w14:paraId="7E1F6723" w14:textId="77777777">
      <w:pPr>
        <w:pStyle w:val="StyleBoldCentered"/>
      </w:pPr>
      <w:r>
        <w:t>order</w:t>
      </w:r>
    </w:p>
    <w:p w:rsidR="00D4191B" w:rsidP="00D4191B" w14:paraId="15C4970A" w14:textId="77777777">
      <w:pPr>
        <w:tabs>
          <w:tab w:val="left" w:pos="-720"/>
        </w:tabs>
        <w:suppressAutoHyphens/>
        <w:spacing w:line="227" w:lineRule="auto"/>
        <w:rPr>
          <w:spacing w:val="-2"/>
        </w:rPr>
      </w:pPr>
    </w:p>
    <w:p w:rsidR="00D4191B" w:rsidP="00D4191B" w14:paraId="31E30EB6" w14:textId="77777777">
      <w:pPr>
        <w:tabs>
          <w:tab w:val="left" w:pos="720"/>
          <w:tab w:val="right" w:pos="9360"/>
        </w:tabs>
        <w:suppressAutoHyphens/>
        <w:spacing w:line="227" w:lineRule="auto"/>
        <w:rPr>
          <w:spacing w:val="-2"/>
        </w:rPr>
      </w:pPr>
      <w:r>
        <w:rPr>
          <w:b/>
          <w:spacing w:val="-2"/>
        </w:rPr>
        <w:t>Adopted:  June 17, 2026</w:t>
      </w:r>
      <w:r>
        <w:rPr>
          <w:b/>
          <w:spacing w:val="-2"/>
        </w:rPr>
        <w:tab/>
        <w:t>Released:  June 17, 2026</w:t>
      </w:r>
    </w:p>
    <w:p w:rsidR="00D4191B" w:rsidP="00D4191B" w14:paraId="6EB818CE" w14:textId="77777777"/>
    <w:p w:rsidR="00D4191B" w:rsidP="00D4191B" w14:paraId="279C9BFC" w14:textId="77777777">
      <w:pPr>
        <w:rPr>
          <w:spacing w:val="-2"/>
        </w:rPr>
      </w:pPr>
      <w:r>
        <w:t xml:space="preserve">By </w:t>
      </w:r>
      <w:r>
        <w:rPr>
          <w:spacing w:val="-2"/>
        </w:rPr>
        <w:t>the Deputy Associate General Counsel:</w:t>
      </w:r>
    </w:p>
    <w:p w:rsidR="00D4191B" w:rsidP="00D4191B" w14:paraId="3E18E3D8" w14:textId="77777777">
      <w:pPr>
        <w:rPr>
          <w:spacing w:val="-2"/>
        </w:rPr>
      </w:pPr>
    </w:p>
    <w:p w:rsidR="00D4191B" w:rsidP="00D4191B" w14:paraId="5BE9B261" w14:textId="77777777">
      <w:pPr>
        <w:pStyle w:val="ParaNum"/>
      </w:pPr>
      <w:r>
        <w:t>T</w:t>
      </w:r>
      <w:r w:rsidRPr="007C2986">
        <w:t xml:space="preserve">his </w:t>
      </w:r>
      <w:r w:rsidRPr="00F10274">
        <w:rPr>
          <w:i/>
        </w:rPr>
        <w:t>Order</w:t>
      </w:r>
      <w:r>
        <w:t xml:space="preserve"> disposes of the a</w:t>
      </w:r>
      <w:r w:rsidRPr="0000417A">
        <w:t>ppeal of 97.5 Licensee TX, LLC and Luz Maria Rygaard</w:t>
      </w:r>
      <w:r>
        <w:rPr>
          <w:rStyle w:val="FootnoteReference"/>
        </w:rPr>
        <w:footnoteReference w:id="3"/>
      </w:r>
      <w:r>
        <w:t xml:space="preserve"> (collectively, the Licensee) </w:t>
      </w:r>
      <w:r w:rsidRPr="0000417A">
        <w:t xml:space="preserve">seeking reversal of the Presiding Judge’s </w:t>
      </w:r>
      <w:r>
        <w:rPr>
          <w:i/>
          <w:iCs/>
        </w:rPr>
        <w:t xml:space="preserve">Termination Order </w:t>
      </w:r>
      <w:r w:rsidRPr="0000417A">
        <w:t>grant</w:t>
      </w:r>
      <w:r>
        <w:t>ing</w:t>
      </w:r>
      <w:r w:rsidRPr="0000417A">
        <w:t xml:space="preserve"> the</w:t>
      </w:r>
      <w:r>
        <w:t xml:space="preserve"> Enforcement</w:t>
      </w:r>
      <w:r w:rsidRPr="0000417A">
        <w:t xml:space="preserve"> Bureau’s</w:t>
      </w:r>
      <w:r>
        <w:t xml:space="preserve"> (the Bureau)</w:t>
      </w:r>
      <w:r w:rsidRPr="0000417A">
        <w:t xml:space="preserve"> motion for leave to file </w:t>
      </w:r>
      <w:r>
        <w:t>a r</w:t>
      </w:r>
      <w:r w:rsidRPr="0000417A">
        <w:t>esponse</w:t>
      </w:r>
      <w:r>
        <w:t xml:space="preserve"> to the Licensee’s statement submitted pursuant to section 1.92(b) of the Commission’s rules.</w:t>
      </w:r>
      <w:r>
        <w:rPr>
          <w:rStyle w:val="FootnoteReference"/>
        </w:rPr>
        <w:footnoteReference w:id="4"/>
      </w:r>
      <w:r>
        <w:t xml:space="preserve">  The Licensee has provided no reason sufficient to justify excluding the Bureau’s </w:t>
      </w:r>
      <w:r w:rsidRPr="00B47889">
        <w:t xml:space="preserve">Response </w:t>
      </w:r>
      <w:r>
        <w:t xml:space="preserve">from the record of this matter and we therefore deny the appeal.  We also dismiss certain additional </w:t>
      </w:r>
      <w:r w:rsidRPr="00156A7F">
        <w:t>m</w:t>
      </w:r>
      <w:r>
        <w:t xml:space="preserve">atters </w:t>
      </w:r>
      <w:r w:rsidRPr="00156A7F">
        <w:t xml:space="preserve">not resolved in the </w:t>
      </w:r>
      <w:r>
        <w:rPr>
          <w:i/>
          <w:iCs/>
        </w:rPr>
        <w:t>Termination</w:t>
      </w:r>
      <w:r w:rsidRPr="00156A7F">
        <w:rPr>
          <w:i/>
          <w:iCs/>
        </w:rPr>
        <w:t xml:space="preserve"> Order</w:t>
      </w:r>
      <w:r>
        <w:t>.</w:t>
      </w:r>
      <w:r>
        <w:rPr>
          <w:rStyle w:val="FootnoteReference"/>
        </w:rPr>
        <w:footnoteReference w:id="5"/>
      </w:r>
      <w:r>
        <w:t xml:space="preserve">  The Commission will address the merits of the issues designated for hearing </w:t>
      </w:r>
      <w:r w:rsidRPr="00F165D5">
        <w:t>in the regular course of</w:t>
      </w:r>
      <w:r>
        <w:t xml:space="preserve"> </w:t>
      </w:r>
      <w:r w:rsidRPr="00F165D5">
        <w:t>business</w:t>
      </w:r>
      <w:r>
        <w:t>.</w:t>
      </w:r>
      <w:r>
        <w:rPr>
          <w:rStyle w:val="FootnoteReference"/>
        </w:rPr>
        <w:footnoteReference w:id="6"/>
      </w:r>
      <w:r>
        <w:t xml:space="preserve">  </w:t>
      </w:r>
      <w:r w:rsidRPr="00156A7F">
        <w:t xml:space="preserve"> </w:t>
      </w:r>
    </w:p>
    <w:p w:rsidR="00D4191B" w:rsidRPr="00002BD1" w:rsidP="00D4191B" w14:paraId="2F6D1612" w14:textId="77777777">
      <w:pPr>
        <w:pStyle w:val="Heading1"/>
      </w:pPr>
      <w:r>
        <w:t>Background</w:t>
      </w:r>
    </w:p>
    <w:p w:rsidR="00D4191B" w:rsidP="00D4191B" w14:paraId="06F47A6C" w14:textId="77777777">
      <w:pPr>
        <w:pStyle w:val="ParaNum"/>
      </w:pPr>
      <w:r>
        <w:t>This matter arises from the Media Bureau’s o</w:t>
      </w:r>
      <w:r w:rsidRPr="00406716">
        <w:t>rder</w:t>
      </w:r>
      <w:r>
        <w:t xml:space="preserve"> of January 23, 2026, </w:t>
      </w:r>
      <w:r w:rsidRPr="00406716">
        <w:t xml:space="preserve">designating </w:t>
      </w:r>
      <w:r>
        <w:t xml:space="preserve">for hearing substantial </w:t>
      </w:r>
      <w:r w:rsidRPr="00406716">
        <w:t xml:space="preserve">and material questions as to whether, </w:t>
      </w:r>
      <w:r w:rsidRPr="00EC0DF7">
        <w:rPr>
          <w:i/>
          <w:iCs/>
        </w:rPr>
        <w:t>inter alia</w:t>
      </w:r>
      <w:r w:rsidRPr="00406716">
        <w:t xml:space="preserve">, Luz Maria Rygaard (Ms. Rygaard) and Lorena Margarita Peréz Toscano (Ms. Toscano) possess the character to be or </w:t>
      </w:r>
      <w:r>
        <w:t xml:space="preserve">to </w:t>
      </w:r>
      <w:r w:rsidRPr="00406716">
        <w:t>remain a Commission licensee</w:t>
      </w:r>
      <w:r>
        <w:t>.</w:t>
      </w:r>
      <w:r>
        <w:rPr>
          <w:rStyle w:val="FootnoteReference"/>
        </w:rPr>
        <w:footnoteReference w:id="7"/>
      </w:r>
      <w:r>
        <w:t xml:space="preserve">  Neither Ms. Rygaard nor Ms. Toscano elected “to avail themselves of the opportunity to be heard and to present evidence at a hearing in this proceeding”</w:t>
      </w:r>
      <w:r>
        <w:rPr>
          <w:rStyle w:val="FootnoteReference"/>
        </w:rPr>
        <w:footnoteReference w:id="8"/>
      </w:r>
      <w:r>
        <w:t xml:space="preserve"> and, on February 12, 2026, the Licensee filed the Written Statement </w:t>
      </w:r>
      <w:r w:rsidRPr="000D43A2">
        <w:t>waiv</w:t>
      </w:r>
      <w:r>
        <w:t>ing</w:t>
      </w:r>
      <w:r w:rsidRPr="000D43A2">
        <w:t xml:space="preserve"> their right to a hearing and </w:t>
      </w:r>
      <w:r>
        <w:t xml:space="preserve">providing information intended </w:t>
      </w:r>
      <w:r w:rsidRPr="000D43A2">
        <w:t xml:space="preserve">to mitigate or justify the circumstances or misconduct complained of in the </w:t>
      </w:r>
      <w:r w:rsidRPr="000D43A2">
        <w:rPr>
          <w:i/>
          <w:iCs/>
        </w:rPr>
        <w:t>HDO</w:t>
      </w:r>
      <w:r>
        <w:t>.</w:t>
      </w:r>
      <w:r>
        <w:rPr>
          <w:rStyle w:val="FootnoteReference"/>
        </w:rPr>
        <w:footnoteReference w:id="9"/>
      </w:r>
      <w:r>
        <w:t xml:space="preserve">  Of particular note, the Written Statement urged </w:t>
      </w:r>
      <w:r w:rsidRPr="000D43A2">
        <w:t>the Commission</w:t>
      </w:r>
      <w:r>
        <w:t xml:space="preserve"> to</w:t>
      </w:r>
      <w:r w:rsidRPr="000D43A2">
        <w:t xml:space="preserve"> resolve</w:t>
      </w:r>
      <w:r>
        <w:t xml:space="preserve"> this matter </w:t>
      </w:r>
      <w:r w:rsidRPr="000D43A2">
        <w:t>through a consent decree with a compliance plan</w:t>
      </w:r>
      <w:r>
        <w:t>.</w:t>
      </w:r>
      <w:r>
        <w:rPr>
          <w:rStyle w:val="FootnoteReference"/>
        </w:rPr>
        <w:footnoteReference w:id="10"/>
      </w:r>
      <w:r>
        <w:t xml:space="preserve">  </w:t>
      </w:r>
    </w:p>
    <w:p w:rsidR="00D4191B" w:rsidP="00D4191B" w14:paraId="6C093874" w14:textId="77777777">
      <w:pPr>
        <w:pStyle w:val="ParaNum"/>
      </w:pPr>
      <w:r>
        <w:t xml:space="preserve">On February 19, 2026, the Bureau filed with the Presiding Judge a Response to the </w:t>
      </w:r>
      <w:r w:rsidRPr="009B5066">
        <w:t>Written Statement</w:t>
      </w:r>
      <w:r>
        <w:t xml:space="preserve"> together with a motion for leave to file.</w:t>
      </w:r>
      <w:r>
        <w:rPr>
          <w:rStyle w:val="FootnoteReference"/>
        </w:rPr>
        <w:footnoteReference w:id="11"/>
      </w:r>
      <w:r>
        <w:t xml:space="preserve">  The Response argued that </w:t>
      </w:r>
      <w:r w:rsidRPr="009B5066">
        <w:t xml:space="preserve">section 1.93(b) of the Commission’s rules prohibits the consent decree requested by Licensee because the </w:t>
      </w:r>
      <w:r w:rsidRPr="009B5066">
        <w:rPr>
          <w:i/>
          <w:iCs/>
        </w:rPr>
        <w:t>HDO</w:t>
      </w:r>
      <w:r w:rsidRPr="009B5066">
        <w:t xml:space="preserve"> designated</w:t>
      </w:r>
      <w:r>
        <w:t xml:space="preserve"> for hearing</w:t>
      </w:r>
      <w:r w:rsidRPr="009B5066">
        <w:t xml:space="preserve"> a question as to whether Ms. Rygaard had the qualifications to hold a </w:t>
      </w:r>
      <w:r>
        <w:t xml:space="preserve">Commission </w:t>
      </w:r>
      <w:r w:rsidRPr="009B5066">
        <w:t>license.</w:t>
      </w:r>
      <w:r>
        <w:rPr>
          <w:rStyle w:val="FootnoteReference"/>
        </w:rPr>
        <w:footnoteReference w:id="12"/>
      </w:r>
      <w:r>
        <w:t xml:space="preserve">  </w:t>
      </w:r>
    </w:p>
    <w:p w:rsidR="00D4191B" w:rsidP="00D4191B" w14:paraId="38C7B553" w14:textId="77777777">
      <w:pPr>
        <w:pStyle w:val="ParaNum"/>
      </w:pPr>
      <w:r>
        <w:t>By order dated February 25, 2026, the Presiding Judge terminated the hearing and certified the issues designated for hearing to the Commission for resolution under section 1.92 of the Commission’s rules.</w:t>
      </w:r>
      <w:r>
        <w:rPr>
          <w:rStyle w:val="FootnoteReference"/>
        </w:rPr>
        <w:footnoteReference w:id="13"/>
      </w:r>
      <w:r>
        <w:t xml:space="preserve">  Th</w:t>
      </w:r>
      <w:r w:rsidRPr="00546C6F">
        <w:t xml:space="preserve">e </w:t>
      </w:r>
      <w:r>
        <w:rPr>
          <w:i/>
          <w:iCs/>
        </w:rPr>
        <w:t>Termination Order</w:t>
      </w:r>
      <w:r>
        <w:t xml:space="preserve"> granted the Bureau’s request for leave to respond to the Written Statement.</w:t>
      </w:r>
      <w:r>
        <w:rPr>
          <w:rStyle w:val="FootnoteReference"/>
        </w:rPr>
        <w:footnoteReference w:id="14"/>
      </w:r>
      <w:r>
        <w:t xml:space="preserve">  </w:t>
      </w:r>
    </w:p>
    <w:p w:rsidR="00D4191B" w:rsidP="00994A22" w14:paraId="6083FC4E" w14:textId="77777777">
      <w:pPr>
        <w:pStyle w:val="ParaNum"/>
        <w:widowControl/>
      </w:pPr>
      <w:r>
        <w:t xml:space="preserve">The same day, the Licensee filed with the Presiding Judge an </w:t>
      </w:r>
      <w:r w:rsidRPr="00201EBD">
        <w:t>opposition to the Bureau’s motion for leave to file its Response and a motion to strike the</w:t>
      </w:r>
      <w:r>
        <w:t xml:space="preserve"> Bureau’s</w:t>
      </w:r>
      <w:r w:rsidRPr="00201EBD">
        <w:t xml:space="preserve"> Response.</w:t>
      </w:r>
      <w:r>
        <w:rPr>
          <w:rStyle w:val="FootnoteReference"/>
        </w:rPr>
        <w:footnoteReference w:id="15"/>
      </w:r>
      <w:r>
        <w:t xml:space="preserve">  On March 3, 2026, t</w:t>
      </w:r>
      <w:r w:rsidRPr="00201EBD">
        <w:t xml:space="preserve">he Bureau </w:t>
      </w:r>
      <w:r>
        <w:t xml:space="preserve">filed with the Commission an opposition to </w:t>
      </w:r>
      <w:r w:rsidRPr="00201EBD">
        <w:t>Licensee’s Motion to Strike</w:t>
      </w:r>
      <w:r>
        <w:t xml:space="preserve"> together with a motion for leave to file</w:t>
      </w:r>
      <w:r w:rsidRPr="00201EBD">
        <w:t>.</w:t>
      </w:r>
      <w:r>
        <w:rPr>
          <w:rStyle w:val="FootnoteReference"/>
        </w:rPr>
        <w:footnoteReference w:id="16"/>
      </w:r>
      <w:r>
        <w:t xml:space="preserve">  On March 6, 2026, the Licensee filed a Notice of Appeal</w:t>
      </w:r>
      <w:r>
        <w:rPr>
          <w:rStyle w:val="FootnoteReference"/>
        </w:rPr>
        <w:footnoteReference w:id="17"/>
      </w:r>
      <w:r>
        <w:t xml:space="preserve"> and this Appeal followed on March 27, 2026.  </w:t>
      </w:r>
    </w:p>
    <w:p w:rsidR="00D4191B" w:rsidP="00D4191B" w14:paraId="42731D4B" w14:textId="77777777">
      <w:pPr>
        <w:pStyle w:val="Heading1"/>
      </w:pPr>
      <w:r>
        <w:t>Discussion</w:t>
      </w:r>
    </w:p>
    <w:p w:rsidR="00D4191B" w:rsidP="00D4191B" w14:paraId="5537A1BC" w14:textId="77777777">
      <w:pPr>
        <w:pStyle w:val="ParaNum"/>
      </w:pPr>
      <w:r>
        <w:t xml:space="preserve">On appeal, the Licensee challenges the </w:t>
      </w:r>
      <w:r w:rsidRPr="00413007">
        <w:rPr>
          <w:i/>
          <w:iCs/>
        </w:rPr>
        <w:t>Termination Order</w:t>
      </w:r>
      <w:r>
        <w:t xml:space="preserve"> only to the extent it accepted the Bureau’s Response and asks the Commission to exclude the Response from the certified record.</w:t>
      </w:r>
      <w:r>
        <w:rPr>
          <w:rStyle w:val="FootnoteReference"/>
        </w:rPr>
        <w:footnoteReference w:id="18"/>
      </w:r>
      <w:r>
        <w:t xml:space="preserve">  In the alternative, the Licensee asks for leave to file a reply to the Response “within a reasonable period.”</w:t>
      </w:r>
      <w:r>
        <w:rPr>
          <w:rStyle w:val="FootnoteReference"/>
        </w:rPr>
        <w:footnoteReference w:id="19"/>
      </w:r>
      <w:r>
        <w:t xml:space="preserve">  The Licensee’s arguments are two-fold.  First, the Licensee asserts that that the Response fails as a procedural matter because it is not expressly authorized by section 1.92 of the Commission’s rules and the Presiding Judge lacked discretion to include the Response in the record.</w:t>
      </w:r>
      <w:r>
        <w:rPr>
          <w:rStyle w:val="FootnoteReference"/>
        </w:rPr>
        <w:footnoteReference w:id="20"/>
      </w:r>
      <w:r>
        <w:t xml:space="preserve">  Second, the Licensee argues that the Bureau’s position—the Licensee’s proposal to resolve this matter through consent decree is barred under section 1.93 of the Commission’s rules—is moot.</w:t>
      </w:r>
      <w:r>
        <w:rPr>
          <w:rStyle w:val="FootnoteReference"/>
        </w:rPr>
        <w:footnoteReference w:id="21"/>
      </w:r>
      <w:r>
        <w:t xml:space="preserve">  These arguments fail for different reasons.    </w:t>
      </w:r>
    </w:p>
    <w:p w:rsidR="00D4191B" w:rsidP="00D4191B" w14:paraId="52447AD1" w14:textId="77777777">
      <w:pPr>
        <w:pStyle w:val="ParaNum"/>
      </w:pPr>
      <w:r>
        <w:t xml:space="preserve">The Licensee’s first argument is of no moment.  As the Presiding Judge acknowledged, “it </w:t>
      </w:r>
      <w:r w:rsidRPr="00546C6F">
        <w:t xml:space="preserve">is up to the Commission to determine whether to consider </w:t>
      </w:r>
      <w:r>
        <w:t>[the Response] along with</w:t>
      </w:r>
      <w:r w:rsidRPr="00546C6F">
        <w:t xml:space="preserve"> additional information that it might request from the parties</w:t>
      </w:r>
      <w:r>
        <w:t>.”</w:t>
      </w:r>
      <w:r>
        <w:rPr>
          <w:rStyle w:val="FootnoteReference"/>
        </w:rPr>
        <w:footnoteReference w:id="22"/>
      </w:r>
      <w:r>
        <w:t xml:space="preserve">  The Commission’s rules are clear—when a matter designated for hearing is certified to the Commission under section 1.92, the “Commission </w:t>
      </w:r>
      <w:r w:rsidRPr="00774FBF">
        <w:t>will act upon the matters specified in the order to show cause in the regular course of business</w:t>
      </w:r>
      <w:r>
        <w:t>”</w:t>
      </w:r>
      <w:r>
        <w:rPr>
          <w:rStyle w:val="FootnoteReference"/>
        </w:rPr>
        <w:footnoteReference w:id="23"/>
      </w:r>
      <w:r>
        <w:t xml:space="preserve"> and has complete discretion to consider “</w:t>
      </w:r>
      <w:r w:rsidRPr="00774FBF">
        <w:t>all the information available to it</w:t>
      </w:r>
      <w:r w:rsidRPr="00774FBF">
        <w:rPr>
          <w:i/>
          <w:iCs/>
        </w:rPr>
        <w:t xml:space="preserve"> from any source</w:t>
      </w:r>
      <w:r>
        <w:t>.”</w:t>
      </w:r>
      <w:r>
        <w:rPr>
          <w:rStyle w:val="FootnoteReference"/>
        </w:rPr>
        <w:footnoteReference w:id="24"/>
      </w:r>
      <w:r>
        <w:t xml:space="preserve">  In the exercise of this discretion, we conclude that both the Written Statement and the Bureau’s Response should be available for the Commission’s consideration of this matter.  Whether the Presiding Judge improperly authorized and accepted the Bureau’s Response as the Licensee asserts on appeal has no bearing on this exercise of Commission discretion.   </w:t>
      </w:r>
    </w:p>
    <w:p w:rsidR="00D4191B" w:rsidP="00D4191B" w14:paraId="282895BE" w14:textId="77777777">
      <w:pPr>
        <w:pStyle w:val="ParaNum"/>
      </w:pPr>
      <w:r>
        <w:t xml:space="preserve">The Licensee’s second argument is incorrect.  Indeed, the Licensee has ensured that the issue of whether section 1.93 of the Commission’s rules bars use of a consent decree in this case is a live controversy before the Commission.  The Licensee’s Written Statement argues that a consent decree is permissible and warranted under section 1.93 of the Commission’s rules, and plainly disputes the </w:t>
      </w:r>
      <w:r>
        <w:rPr>
          <w:i/>
          <w:iCs/>
        </w:rPr>
        <w:t xml:space="preserve">HDO’s </w:t>
      </w:r>
      <w:r>
        <w:t>findings to the contrary.</w:t>
      </w:r>
      <w:r>
        <w:rPr>
          <w:rStyle w:val="FootnoteReference"/>
        </w:rPr>
        <w:footnoteReference w:id="25"/>
      </w:r>
      <w:r>
        <w:t xml:space="preserve">  The Bureau disputed the Licensee’s position in the Response.</w:t>
      </w:r>
      <w:r>
        <w:rPr>
          <w:rStyle w:val="FootnoteReference"/>
        </w:rPr>
        <w:footnoteReference w:id="26"/>
      </w:r>
      <w:r>
        <w:t xml:space="preserve">  The issue was not resolved by the Presiding Judge in the </w:t>
      </w:r>
      <w:r>
        <w:rPr>
          <w:i/>
          <w:iCs/>
        </w:rPr>
        <w:t xml:space="preserve">Termination Order </w:t>
      </w:r>
      <w:r>
        <w:t xml:space="preserve">and the Licensee continued this dispute </w:t>
      </w:r>
      <w:r>
        <w:t xml:space="preserve">before the Commission in its appeal of the </w:t>
      </w:r>
      <w:r>
        <w:rPr>
          <w:i/>
          <w:iCs/>
        </w:rPr>
        <w:t>Termination Order.</w:t>
      </w:r>
      <w:r>
        <w:rPr>
          <w:rStyle w:val="FootnoteReference"/>
        </w:rPr>
        <w:footnoteReference w:id="27"/>
      </w:r>
      <w:r w:rsidRPr="00906829">
        <w:t xml:space="preserve"> </w:t>
      </w:r>
      <w:r>
        <w:t xml:space="preserve"> Finally, this </w:t>
      </w:r>
      <w:r w:rsidRPr="00F10274">
        <w:rPr>
          <w:i/>
        </w:rPr>
        <w:t>Order</w:t>
      </w:r>
      <w:r>
        <w:t xml:space="preserve"> does not rule on the question of whether section 1.93 of the Commission’s rules bars the Commission from resolving this matter through a consent decree.  Thus, this question remains an issue in controversy before the Commission.  </w:t>
      </w:r>
    </w:p>
    <w:p w:rsidR="00D4191B" w:rsidP="00D4191B" w14:paraId="3805707E" w14:textId="77777777">
      <w:pPr>
        <w:pStyle w:val="ParaNum"/>
      </w:pPr>
      <w:r>
        <w:t>Furthermore, we find it unnecessary to provide the Licensee with yet another opportunity to address these issues at this time.  The Licensee’s position on the impact of section 1.93 of the Commission’s rules is set out in detail in its filings before the Commission.</w:t>
      </w:r>
      <w:r>
        <w:rPr>
          <w:rStyle w:val="FootnoteReference"/>
        </w:rPr>
        <w:footnoteReference w:id="28"/>
      </w:r>
      <w:r>
        <w:t xml:space="preserve">  The Licensee has offered no compelling reason to conclude that further motions practice on this point will benefit the Commission’s consideration.  The Commission nevertheless retains the discretion to order additional briefing should this prove necessary or appropriate in the future.</w:t>
      </w:r>
      <w:r>
        <w:rPr>
          <w:rStyle w:val="FootnoteReference"/>
        </w:rPr>
        <w:footnoteReference w:id="29"/>
      </w:r>
    </w:p>
    <w:p w:rsidR="00D4191B" w:rsidP="00D4191B" w14:paraId="43B95CC7" w14:textId="77777777">
      <w:pPr>
        <w:pStyle w:val="ParaNum"/>
      </w:pPr>
      <w:r>
        <w:t>We therefore deny the Appeal for the reasons set forth herein.  We find further that our denial of the Appeal renders the Motion to Strike and the Opposition to Motion to Strike moot.</w:t>
      </w:r>
      <w:r>
        <w:rPr>
          <w:rStyle w:val="FootnoteReference"/>
        </w:rPr>
        <w:footnoteReference w:id="30"/>
      </w:r>
      <w:r>
        <w:t xml:space="preserve">  Finally, we emphasize that the Commission will </w:t>
      </w:r>
      <w:r w:rsidRPr="00F165D5">
        <w:t>act upon the matters specified in</w:t>
      </w:r>
      <w:r>
        <w:t xml:space="preserve"> the</w:t>
      </w:r>
      <w:r w:rsidRPr="00F165D5">
        <w:t xml:space="preserve"> </w:t>
      </w:r>
      <w:r>
        <w:rPr>
          <w:i/>
          <w:iCs/>
        </w:rPr>
        <w:t xml:space="preserve">HDO </w:t>
      </w:r>
      <w:r w:rsidRPr="00F165D5">
        <w:t>in the regular course of</w:t>
      </w:r>
      <w:r>
        <w:t xml:space="preserve"> its</w:t>
      </w:r>
      <w:r w:rsidRPr="00F165D5">
        <w:t xml:space="preserve"> business.</w:t>
      </w:r>
      <w:r>
        <w:rPr>
          <w:rStyle w:val="FootnoteReference"/>
        </w:rPr>
        <w:footnoteReference w:id="31"/>
      </w:r>
      <w:r w:rsidRPr="00F165D5">
        <w:t> </w:t>
      </w:r>
    </w:p>
    <w:p w:rsidR="00D4191B" w:rsidP="00D4191B" w14:paraId="39291150" w14:textId="77777777">
      <w:pPr>
        <w:pStyle w:val="ParaNum"/>
      </w:pPr>
      <w:r w:rsidRPr="00002BD1">
        <w:t xml:space="preserve">Accordingly, </w:t>
      </w:r>
      <w:r w:rsidRPr="00F10274">
        <w:rPr>
          <w:b/>
        </w:rPr>
        <w:t>IT IS ORDERED</w:t>
      </w:r>
      <w:r w:rsidRPr="00002BD1">
        <w:t xml:space="preserve"> pursuant to 47 CFR § 0.251(c)</w:t>
      </w:r>
      <w:r>
        <w:t xml:space="preserve"> that the A</w:t>
      </w:r>
      <w:r w:rsidRPr="00F165D5">
        <w:t>ppeal of 97.5 Licensee TX, LLC and Luz Maria Rygaard</w:t>
      </w:r>
      <w:r>
        <w:t>, filed March 26, 2026,</w:t>
      </w:r>
      <w:r w:rsidRPr="00F165D5">
        <w:t xml:space="preserve"> </w:t>
      </w:r>
      <w:r w:rsidRPr="00F10274">
        <w:rPr>
          <w:b/>
        </w:rPr>
        <w:t>IS DENIED</w:t>
      </w:r>
      <w:r>
        <w:t xml:space="preserve">. </w:t>
      </w:r>
    </w:p>
    <w:p w:rsidR="00D4191B" w:rsidP="00D4191B" w14:paraId="778A0DCA" w14:textId="77777777">
      <w:pPr>
        <w:pStyle w:val="ParaNum"/>
      </w:pPr>
      <w:r w:rsidRPr="00F10274">
        <w:rPr>
          <w:b/>
        </w:rPr>
        <w:t>IT IS ORDERED FURTHER</w:t>
      </w:r>
      <w:r>
        <w:t xml:space="preserve"> that the Motion of </w:t>
      </w:r>
      <w:r w:rsidRPr="00F165D5">
        <w:t>97.5 Licensee TX, LLC and Luz Maria Rygaard</w:t>
      </w:r>
      <w:r>
        <w:t xml:space="preserve"> to Strike Enforcement Bureau’s Response to Written Statement, filed February 25, 2026,</w:t>
      </w:r>
      <w:r w:rsidRPr="00F165D5">
        <w:t xml:space="preserve"> and the</w:t>
      </w:r>
      <w:r>
        <w:t xml:space="preserve"> Enforcement Bureau’s Motion for Leave to File Opposition to Motion to Strike and the Enforcement Bureau’s</w:t>
      </w:r>
      <w:r w:rsidRPr="00F165D5">
        <w:t xml:space="preserve"> Opposition to Motion to Strike</w:t>
      </w:r>
      <w:r>
        <w:t xml:space="preserve">, both filed March 3, 2026, </w:t>
      </w:r>
      <w:r w:rsidRPr="00F10274">
        <w:rPr>
          <w:b/>
          <w:bCs/>
        </w:rPr>
        <w:t>ARE DISMISSED</w:t>
      </w:r>
      <w:r w:rsidRPr="003D4B76">
        <w:t>.</w:t>
      </w:r>
      <w:r>
        <w:t xml:space="preserve"> </w:t>
      </w:r>
    </w:p>
    <w:p w:rsidR="00D4191B" w:rsidP="00D4191B" w14:paraId="063FF586" w14:textId="77777777">
      <w:pPr>
        <w:pStyle w:val="ParaNum"/>
        <w:widowControl/>
        <w:numPr>
          <w:ilvl w:val="0"/>
          <w:numId w:val="0"/>
        </w:numPr>
        <w:rPr>
          <w:b/>
          <w:bCs/>
        </w:rPr>
      </w:pPr>
    </w:p>
    <w:p w:rsidR="00D4191B" w:rsidP="00D4191B" w14:paraId="3DAFE19E" w14:textId="77777777">
      <w:pPr>
        <w:pStyle w:val="ParaNum"/>
        <w:numPr>
          <w:ilvl w:val="0"/>
          <w:numId w:val="0"/>
        </w:numPr>
        <w:spacing w:after="0"/>
        <w:ind w:left="4320"/>
      </w:pPr>
      <w:r>
        <w:t>FEDERAL COMMUNICATIONS COMMISSION</w:t>
      </w:r>
    </w:p>
    <w:p w:rsidR="00D4191B" w:rsidP="00D4191B" w14:paraId="1F6F4FC7" w14:textId="77777777">
      <w:pPr>
        <w:pStyle w:val="ParaNum"/>
        <w:numPr>
          <w:ilvl w:val="0"/>
          <w:numId w:val="0"/>
        </w:numPr>
        <w:spacing w:after="0"/>
        <w:ind w:left="4320"/>
      </w:pPr>
    </w:p>
    <w:p w:rsidR="00D4191B" w:rsidP="00D4191B" w14:paraId="0C5455EB" w14:textId="77777777">
      <w:pPr>
        <w:pStyle w:val="ParaNum"/>
        <w:numPr>
          <w:ilvl w:val="0"/>
          <w:numId w:val="0"/>
        </w:numPr>
        <w:spacing w:after="0"/>
        <w:ind w:left="4320"/>
      </w:pPr>
    </w:p>
    <w:p w:rsidR="00D4191B" w:rsidP="00D4191B" w14:paraId="1A70DCEF" w14:textId="77777777">
      <w:pPr>
        <w:pStyle w:val="ParaNum"/>
        <w:numPr>
          <w:ilvl w:val="0"/>
          <w:numId w:val="0"/>
        </w:numPr>
        <w:spacing w:after="0"/>
        <w:ind w:left="4320"/>
      </w:pPr>
    </w:p>
    <w:p w:rsidR="00D4191B" w:rsidP="00D4191B" w14:paraId="76D87804" w14:textId="484FAF52">
      <w:pPr>
        <w:pStyle w:val="ParaNum"/>
        <w:numPr>
          <w:ilvl w:val="0"/>
          <w:numId w:val="0"/>
        </w:numPr>
        <w:spacing w:after="0"/>
      </w:pPr>
      <w:r>
        <w:tab/>
      </w:r>
      <w:r>
        <w:tab/>
      </w:r>
      <w:r>
        <w:tab/>
      </w:r>
      <w:r>
        <w:tab/>
      </w:r>
      <w:r>
        <w:tab/>
      </w:r>
      <w:r>
        <w:tab/>
      </w:r>
    </w:p>
    <w:p w:rsidR="00D4191B" w:rsidP="00D4191B" w14:paraId="69811E52" w14:textId="77777777">
      <w:pPr>
        <w:pStyle w:val="ParaNum"/>
        <w:numPr>
          <w:ilvl w:val="0"/>
          <w:numId w:val="0"/>
        </w:numPr>
        <w:spacing w:after="0"/>
        <w:ind w:left="4320"/>
      </w:pPr>
      <w:r>
        <w:t>Michael Janson</w:t>
      </w:r>
    </w:p>
    <w:p w:rsidR="00D4191B" w:rsidRPr="00095F24" w:rsidP="00D4191B" w14:paraId="19752D26" w14:textId="77777777">
      <w:pPr>
        <w:pStyle w:val="ParaNum"/>
        <w:numPr>
          <w:ilvl w:val="0"/>
          <w:numId w:val="0"/>
        </w:numPr>
        <w:spacing w:after="0"/>
        <w:ind w:left="4320"/>
      </w:pPr>
      <w:r>
        <w:t>Deputy Associate General Counsel</w:t>
      </w:r>
    </w:p>
    <w:p w:rsidR="00D4191B" w:rsidP="00D4191B" w14:paraId="3F51B9DC" w14:textId="77777777">
      <w:pPr>
        <w:pStyle w:val="Heading1"/>
        <w:numPr>
          <w:ilvl w:val="0"/>
          <w:numId w:val="0"/>
        </w:numPr>
        <w:ind w:left="720" w:hanging="720"/>
      </w:pPr>
    </w:p>
    <w:p w:rsidR="00D4191B" w:rsidRPr="00D4191B" w:rsidP="00D4191B" w14:paraId="12A1FE82" w14:textId="77777777">
      <w:pPr>
        <w:pStyle w:val="ParaNum"/>
        <w:numPr>
          <w:ilvl w:val="0"/>
          <w:numId w:val="0"/>
        </w:numPr>
      </w:pPr>
    </w:p>
    <w:sectPr w:rsidSect="0055614C">
      <w:headerReference w:type="even" r:id="rId6"/>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43631" w14:paraId="1CFF5E1E" w14:textId="77777777">
      <w:pPr>
        <w:spacing w:line="20" w:lineRule="exact"/>
      </w:pPr>
    </w:p>
  </w:endnote>
  <w:endnote w:type="continuationSeparator" w:id="1">
    <w:p w:rsidR="00F43631" w14:paraId="6FA40A67" w14:textId="77777777">
      <w:r>
        <w:t xml:space="preserve"> </w:t>
      </w:r>
    </w:p>
  </w:endnote>
  <w:endnote w:type="continuationNotice" w:id="2">
    <w:p w:rsidR="00F43631" w14:paraId="63FEAB1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auto"/>
    <w:pitch w:val="variable"/>
    <w:sig w:usb0="E0002AEF" w:usb1="C0007841"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329229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C2076A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D4191B" w14:paraId="4807BCE7" w14:textId="1DCCB826">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3E13CF8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43631" w14:paraId="44717243" w14:textId="77777777">
      <w:r>
        <w:separator/>
      </w:r>
    </w:p>
  </w:footnote>
  <w:footnote w:type="continuationSeparator" w:id="1">
    <w:p w:rsidR="00F43631" w:rsidP="00C721AC" w14:paraId="623FE5FD" w14:textId="77777777">
      <w:pPr>
        <w:spacing w:before="120"/>
        <w:rPr>
          <w:sz w:val="20"/>
        </w:rPr>
      </w:pPr>
      <w:r>
        <w:rPr>
          <w:sz w:val="20"/>
        </w:rPr>
        <w:t xml:space="preserve">(Continued from previous page)  </w:t>
      </w:r>
      <w:r>
        <w:rPr>
          <w:sz w:val="20"/>
        </w:rPr>
        <w:separator/>
      </w:r>
    </w:p>
  </w:footnote>
  <w:footnote w:type="continuationNotice" w:id="2">
    <w:p w:rsidR="00F43631" w:rsidP="00C721AC" w14:paraId="3243AA5A" w14:textId="77777777">
      <w:pPr>
        <w:jc w:val="right"/>
        <w:rPr>
          <w:sz w:val="20"/>
        </w:rPr>
      </w:pPr>
      <w:r>
        <w:rPr>
          <w:sz w:val="20"/>
        </w:rPr>
        <w:t>(continued….)</w:t>
      </w:r>
    </w:p>
  </w:footnote>
  <w:footnote w:id="3">
    <w:p w:rsidR="00D4191B" w:rsidP="00D4191B" w14:paraId="3D540975" w14:textId="77777777">
      <w:pPr>
        <w:pStyle w:val="FootnoteText"/>
      </w:pPr>
      <w:r>
        <w:rPr>
          <w:rStyle w:val="FootnoteReference"/>
        </w:rPr>
        <w:footnoteRef/>
      </w:r>
      <w:r>
        <w:t xml:space="preserve"> </w:t>
      </w:r>
      <w:r w:rsidRPr="0000417A">
        <w:rPr>
          <w:i/>
          <w:iCs/>
        </w:rPr>
        <w:t xml:space="preserve">See </w:t>
      </w:r>
      <w:r w:rsidRPr="0000417A">
        <w:t>Appeal of 97.5 Licensee TX, LLC and Luz Maria Rygaard Pursuant to 47 CFR § 1.302</w:t>
      </w:r>
      <w:r>
        <w:t>, MB Docket No. 26-19</w:t>
      </w:r>
      <w:r w:rsidRPr="0000417A">
        <w:t xml:space="preserve"> (</w:t>
      </w:r>
      <w:r>
        <w:t xml:space="preserve">filed </w:t>
      </w:r>
      <w:r w:rsidRPr="0000417A">
        <w:t>Mar. 26, 2026) (Appeal)</w:t>
      </w:r>
      <w:r>
        <w:t>;</w:t>
      </w:r>
      <w:r>
        <w:rPr>
          <w:i/>
          <w:iCs/>
        </w:rPr>
        <w:t xml:space="preserve"> s</w:t>
      </w:r>
      <w:r w:rsidRPr="00B522A6">
        <w:rPr>
          <w:i/>
          <w:iCs/>
        </w:rPr>
        <w:t>ee also</w:t>
      </w:r>
      <w:r w:rsidRPr="00B522A6">
        <w:t xml:space="preserve"> 47 CFR §</w:t>
      </w:r>
      <w:r>
        <w:t> </w:t>
      </w:r>
      <w:r w:rsidRPr="00B522A6">
        <w:t>1.302(a).</w:t>
      </w:r>
    </w:p>
  </w:footnote>
  <w:footnote w:id="4">
    <w:p w:rsidR="00D4191B" w:rsidP="00D4191B" w14:paraId="5BFBB3DB" w14:textId="77777777">
      <w:pPr>
        <w:pStyle w:val="FootnoteText"/>
      </w:pPr>
      <w:r>
        <w:rPr>
          <w:rStyle w:val="FootnoteReference"/>
        </w:rPr>
        <w:footnoteRef/>
      </w:r>
      <w:r>
        <w:t xml:space="preserve"> </w:t>
      </w:r>
      <w:r w:rsidRPr="00B522A6">
        <w:rPr>
          <w:i/>
          <w:iCs/>
        </w:rPr>
        <w:t>See 97.5 Licensee TX, LLC</w:t>
      </w:r>
      <w:r w:rsidRPr="00B522A6">
        <w:t>, MB Docket No. 26-19, Order Terminating Hearing Proceeding and Certifying Case to the Commission, FCC 26M-01</w:t>
      </w:r>
      <w:r>
        <w:t>,</w:t>
      </w:r>
      <w:r w:rsidRPr="00B522A6">
        <w:t xml:space="preserve"> </w:t>
      </w:r>
      <w:r>
        <w:t xml:space="preserve">at 2, para. 5 </w:t>
      </w:r>
      <w:r w:rsidRPr="00B522A6">
        <w:t>(ALJ Feb. 25, 2026)</w:t>
      </w:r>
      <w:r>
        <w:t xml:space="preserve"> (</w:t>
      </w:r>
      <w:r w:rsidRPr="00406716">
        <w:rPr>
          <w:i/>
          <w:iCs/>
        </w:rPr>
        <w:t>Termination Order</w:t>
      </w:r>
      <w:r>
        <w:t xml:space="preserve">) (granting </w:t>
      </w:r>
      <w:r w:rsidRPr="00B522A6">
        <w:t xml:space="preserve">Enforcement Bureau’s Motion for Leave to File Response to Written Statement </w:t>
      </w:r>
      <w:r>
        <w:t>o</w:t>
      </w:r>
      <w:r w:rsidRPr="00B522A6">
        <w:t>f 97.5 Licensee T</w:t>
      </w:r>
      <w:r>
        <w:t>X</w:t>
      </w:r>
      <w:r w:rsidRPr="00B522A6">
        <w:t>, LLC and Luz Maria Rygaard</w:t>
      </w:r>
      <w:r>
        <w:t>, MB Docket No. 26-19</w:t>
      </w:r>
      <w:r w:rsidRPr="00B522A6">
        <w:t xml:space="preserve"> (</w:t>
      </w:r>
      <w:r>
        <w:t xml:space="preserve">filed </w:t>
      </w:r>
      <w:r w:rsidRPr="00B522A6">
        <w:t>Feb. 19, 2026)</w:t>
      </w:r>
      <w:r>
        <w:t xml:space="preserve">); </w:t>
      </w:r>
      <w:r>
        <w:rPr>
          <w:i/>
          <w:iCs/>
        </w:rPr>
        <w:t xml:space="preserve">see also </w:t>
      </w:r>
      <w:r w:rsidRPr="00C86AD8">
        <w:t>Enforcement Bureau’s Response to Written Statement of 97.5 Licensee TX, LLC and Luz Maria Rygaard</w:t>
      </w:r>
      <w:r>
        <w:t>, MB Docket No. 26-19</w:t>
      </w:r>
      <w:r w:rsidRPr="00C86AD8">
        <w:t xml:space="preserve"> (</w:t>
      </w:r>
      <w:r>
        <w:t xml:space="preserve">filed </w:t>
      </w:r>
      <w:r w:rsidRPr="00C86AD8">
        <w:t>Feb. 19, 2026) (Response).</w:t>
      </w:r>
      <w:r w:rsidRPr="00B522A6">
        <w:t xml:space="preserve"> </w:t>
      </w:r>
      <w:r>
        <w:t xml:space="preserve"> </w:t>
      </w:r>
    </w:p>
  </w:footnote>
  <w:footnote w:id="5">
    <w:p w:rsidR="00D4191B" w:rsidRPr="00156A7F" w:rsidP="00D4191B" w14:paraId="622FB70B" w14:textId="77777777">
      <w:pPr>
        <w:pStyle w:val="FootnoteText"/>
      </w:pPr>
      <w:r>
        <w:rPr>
          <w:rStyle w:val="FootnoteReference"/>
        </w:rPr>
        <w:footnoteRef/>
      </w:r>
      <w:r>
        <w:t xml:space="preserve"> </w:t>
      </w:r>
      <w:r>
        <w:rPr>
          <w:i/>
          <w:iCs/>
        </w:rPr>
        <w:t xml:space="preserve">See </w:t>
      </w:r>
      <w:r>
        <w:t xml:space="preserve">Motion of 97.5 Licensee TX, LLC and Luz Maria Rygaard to Strike Enforcement Bureau’s Response to Written Statement, MB Docket No. 26-19 (filed Feb. 25, 2026) (Motion to Strike); Enforcement Bureau’s Motion for Leave to File Opposition to Motion to Strike, MB Docket No. 26-19 (filed Mar. 3. 2026); </w:t>
      </w:r>
      <w:r w:rsidRPr="00E14335">
        <w:t>Enforcement Bureau’s Opposition to Motion to Strike</w:t>
      </w:r>
      <w:r>
        <w:t>, MB Docket No. 26-19</w:t>
      </w:r>
      <w:r w:rsidRPr="00E14335">
        <w:t xml:space="preserve"> (</w:t>
      </w:r>
      <w:r>
        <w:t xml:space="preserve">filed </w:t>
      </w:r>
      <w:r w:rsidRPr="00E14335">
        <w:t>Mar. 3. 2026)</w:t>
      </w:r>
      <w:r>
        <w:t xml:space="preserve"> (Opposition to Motion to Strike).  </w:t>
      </w:r>
    </w:p>
  </w:footnote>
  <w:footnote w:id="6">
    <w:p w:rsidR="00D4191B" w:rsidP="00D4191B" w14:paraId="5B8DFCB5" w14:textId="77777777">
      <w:pPr>
        <w:pStyle w:val="FootnoteText"/>
      </w:pPr>
      <w:r>
        <w:rPr>
          <w:rStyle w:val="FootnoteReference"/>
        </w:rPr>
        <w:footnoteRef/>
      </w:r>
      <w:r>
        <w:t xml:space="preserve"> 47 CFR § 1.92(d); </w:t>
      </w:r>
      <w:r>
        <w:rPr>
          <w:i/>
          <w:iCs/>
        </w:rPr>
        <w:t xml:space="preserve">see also </w:t>
      </w:r>
      <w:r>
        <w:t>47 CFR § 0.111(a)(18) (The Enforcement Bureau is delegated authority to “[i]</w:t>
      </w:r>
      <w:r w:rsidRPr="00F165D5">
        <w:t>ssue or draft appropriate orders after a hearing proceeding has been terminated by the presiding officer on the basis of waiver.</w:t>
      </w:r>
      <w:r>
        <w:t>”);</w:t>
      </w:r>
      <w:r>
        <w:rPr>
          <w:i/>
          <w:iCs/>
        </w:rPr>
        <w:t xml:space="preserve"> </w:t>
      </w:r>
      <w:r w:rsidRPr="00F165D5">
        <w:rPr>
          <w:i/>
          <w:iCs/>
        </w:rPr>
        <w:t>Metro Two-Way, LLC</w:t>
      </w:r>
      <w:r w:rsidRPr="00F10274">
        <w:t>,</w:t>
      </w:r>
      <w:r>
        <w:t xml:space="preserve"> WTB Docket No. 18-133,</w:t>
      </w:r>
      <w:r w:rsidRPr="00F165D5">
        <w:rPr>
          <w:i/>
          <w:iCs/>
        </w:rPr>
        <w:t xml:space="preserve"> </w:t>
      </w:r>
      <w:r w:rsidRPr="00F165D5">
        <w:t>Order of Revocation, 33 FCC Rcd 6278 (EB 2018);</w:t>
      </w:r>
      <w:r w:rsidRPr="00F165D5">
        <w:rPr>
          <w:i/>
          <w:iCs/>
        </w:rPr>
        <w:t xml:space="preserve"> Acumen Communs.</w:t>
      </w:r>
      <w:r w:rsidRPr="00F10274">
        <w:t>,</w:t>
      </w:r>
      <w:r>
        <w:t xml:space="preserve"> WT Docket No. 17-17,</w:t>
      </w:r>
      <w:r w:rsidRPr="00F165D5">
        <w:rPr>
          <w:i/>
          <w:iCs/>
        </w:rPr>
        <w:t xml:space="preserve"> </w:t>
      </w:r>
      <w:r w:rsidRPr="00F165D5">
        <w:t>Order of Revocation, 33 FCC Rcd 4 (EB 2018);</w:t>
      </w:r>
      <w:r w:rsidRPr="00F165D5">
        <w:rPr>
          <w:i/>
          <w:iCs/>
        </w:rPr>
        <w:t xml:space="preserve"> Roger Wahl</w:t>
      </w:r>
      <w:r w:rsidRPr="00F10274">
        <w:t>,</w:t>
      </w:r>
      <w:r>
        <w:t xml:space="preserve"> MB Docket No. 21-401,</w:t>
      </w:r>
      <w:r w:rsidRPr="00F165D5">
        <w:rPr>
          <w:i/>
          <w:iCs/>
        </w:rPr>
        <w:t xml:space="preserve"> </w:t>
      </w:r>
      <w:r w:rsidRPr="00F165D5">
        <w:t>Revocation Order,</w:t>
      </w:r>
      <w:r w:rsidRPr="00F165D5">
        <w:t xml:space="preserve"> </w:t>
      </w:r>
      <w:r>
        <w:t xml:space="preserve">38 FCC Rcd 3335 </w:t>
      </w:r>
      <w:r w:rsidRPr="00F165D5">
        <w:t>(EB 2023)</w:t>
      </w:r>
      <w:r>
        <w:t>.</w:t>
      </w:r>
    </w:p>
  </w:footnote>
  <w:footnote w:id="7">
    <w:p w:rsidR="00D4191B" w:rsidP="00D4191B" w14:paraId="7124922E" w14:textId="77777777">
      <w:pPr>
        <w:pStyle w:val="FootnoteText"/>
      </w:pPr>
      <w:r>
        <w:rPr>
          <w:rStyle w:val="FootnoteReference"/>
        </w:rPr>
        <w:footnoteRef/>
      </w:r>
      <w:r>
        <w:t xml:space="preserve"> </w:t>
      </w:r>
      <w:r w:rsidRPr="00406716">
        <w:rPr>
          <w:i/>
          <w:iCs/>
        </w:rPr>
        <w:t>See 97.5 Licensee TX, LLC</w:t>
      </w:r>
      <w:r w:rsidRPr="00406716">
        <w:t xml:space="preserve">, MB Docket No. 26-19, Hearing Designation Order, Order to Show Cause Why an Order of Revocation Should not be Issued, and Notice of Opportunity for Hearing, </w:t>
      </w:r>
      <w:r>
        <w:t xml:space="preserve">DA </w:t>
      </w:r>
      <w:r w:rsidRPr="00406716">
        <w:t>26-76 (MB Jan. 23, 2026) (</w:t>
      </w:r>
      <w:r w:rsidRPr="00406716">
        <w:rPr>
          <w:i/>
          <w:iCs/>
        </w:rPr>
        <w:t>HDO</w:t>
      </w:r>
      <w:r w:rsidRPr="00406716">
        <w:t>)</w:t>
      </w:r>
      <w:r>
        <w:t>.</w:t>
      </w:r>
    </w:p>
  </w:footnote>
  <w:footnote w:id="8">
    <w:p w:rsidR="00D4191B" w:rsidP="00D4191B" w14:paraId="2308D42A" w14:textId="77777777">
      <w:pPr>
        <w:pStyle w:val="FootnoteText"/>
      </w:pPr>
      <w:r>
        <w:rPr>
          <w:rStyle w:val="FootnoteReference"/>
        </w:rPr>
        <w:footnoteRef/>
      </w:r>
      <w:r>
        <w:t xml:space="preserve"> </w:t>
      </w:r>
      <w:r>
        <w:rPr>
          <w:i/>
          <w:iCs/>
        </w:rPr>
        <w:t>Id.</w:t>
      </w:r>
      <w:r>
        <w:t xml:space="preserve"> at 32, para. 81; </w:t>
      </w:r>
      <w:r>
        <w:rPr>
          <w:i/>
          <w:iCs/>
        </w:rPr>
        <w:t>s</w:t>
      </w:r>
      <w:r w:rsidRPr="000D43A2">
        <w:rPr>
          <w:i/>
          <w:iCs/>
        </w:rPr>
        <w:t xml:space="preserve">ee </w:t>
      </w:r>
      <w:r w:rsidRPr="000D43A2">
        <w:t>47 CFR §§ 1.91(c)</w:t>
      </w:r>
      <w:r>
        <w:t>,</w:t>
      </w:r>
      <w:r w:rsidRPr="000D43A2">
        <w:t xml:space="preserve"> 1.221(c)</w:t>
      </w:r>
      <w:r>
        <w:t xml:space="preserve">; </w:t>
      </w:r>
      <w:r w:rsidRPr="000D43A2">
        <w:t>47 U.S.C. § 309(e).</w:t>
      </w:r>
    </w:p>
  </w:footnote>
  <w:footnote w:id="9">
    <w:p w:rsidR="00D4191B" w:rsidRPr="00147513" w:rsidP="00D4191B" w14:paraId="24C02700" w14:textId="77777777">
      <w:pPr>
        <w:pStyle w:val="FootnoteText"/>
      </w:pPr>
      <w:r>
        <w:rPr>
          <w:rStyle w:val="FootnoteReference"/>
        </w:rPr>
        <w:footnoteRef/>
      </w:r>
      <w:r>
        <w:t xml:space="preserve"> </w:t>
      </w:r>
      <w:r w:rsidRPr="005B2408">
        <w:t>Written Statement of 97.5 Licensee TX, LLC Submitted Pursuant to 47 C</w:t>
      </w:r>
      <w:r>
        <w:t>.</w:t>
      </w:r>
      <w:r w:rsidRPr="005B2408">
        <w:t>F</w:t>
      </w:r>
      <w:r>
        <w:t>.</w:t>
      </w:r>
      <w:r w:rsidRPr="005B2408">
        <w:t>R</w:t>
      </w:r>
      <w:r>
        <w:t>.</w:t>
      </w:r>
      <w:r w:rsidRPr="005B2408">
        <w:t xml:space="preserve"> § 1.92(b) in Response to Hearing Designation Order, Order to Show Cause Why an Order of Revocation Should not be Issued, and Notice of Opportunity for Hearing</w:t>
      </w:r>
      <w:r>
        <w:t>, MB Docket No. 26-19</w:t>
      </w:r>
      <w:r w:rsidRPr="005B2408">
        <w:t xml:space="preserve"> (</w:t>
      </w:r>
      <w:r>
        <w:t xml:space="preserve">filed </w:t>
      </w:r>
      <w:r w:rsidRPr="005B2408">
        <w:t>Feb. 12, 2026) (Written Statement)</w:t>
      </w:r>
      <w:r>
        <w:t xml:space="preserve">.  There is no information available to us to indicate that Ms. Toscano either timely filed a notice of appearance or joined the Licensee’s Written Statement.  We must presume therefore that Ms. Toscano waived her right to appear and does not intend to participate in this proceeding.  </w:t>
      </w:r>
      <w:r>
        <w:rPr>
          <w:i/>
          <w:iCs/>
        </w:rPr>
        <w:t>Cf.</w:t>
      </w:r>
      <w:r>
        <w:t xml:space="preserve"> 47 CFR § 1.221(f)(3).</w:t>
      </w:r>
    </w:p>
  </w:footnote>
  <w:footnote w:id="10">
    <w:p w:rsidR="00D4191B" w:rsidP="00D4191B" w14:paraId="7AA4F95F" w14:textId="77777777">
      <w:pPr>
        <w:pStyle w:val="FootnoteText"/>
      </w:pPr>
      <w:r>
        <w:rPr>
          <w:rStyle w:val="FootnoteReference"/>
        </w:rPr>
        <w:footnoteRef/>
      </w:r>
      <w:r>
        <w:t xml:space="preserve"> </w:t>
      </w:r>
      <w:r w:rsidRPr="009B5066">
        <w:rPr>
          <w:i/>
          <w:iCs/>
        </w:rPr>
        <w:t>See, e.g.</w:t>
      </w:r>
      <w:r w:rsidRPr="009B5066">
        <w:t>, Written Statement at 20-30.</w:t>
      </w:r>
    </w:p>
  </w:footnote>
  <w:footnote w:id="11">
    <w:p w:rsidR="00D4191B" w:rsidP="00D4191B" w14:paraId="25FFB191" w14:textId="77777777">
      <w:pPr>
        <w:pStyle w:val="FootnoteText"/>
      </w:pPr>
      <w:r>
        <w:rPr>
          <w:rStyle w:val="FootnoteReference"/>
        </w:rPr>
        <w:footnoteRef/>
      </w:r>
      <w:r>
        <w:t xml:space="preserve"> </w:t>
      </w:r>
      <w:r>
        <w:rPr>
          <w:i/>
          <w:iCs/>
        </w:rPr>
        <w:t xml:space="preserve">See </w:t>
      </w:r>
      <w:r>
        <w:t>Response</w:t>
      </w:r>
      <w:r w:rsidRPr="005B2408">
        <w:t>.</w:t>
      </w:r>
    </w:p>
  </w:footnote>
  <w:footnote w:id="12">
    <w:p w:rsidR="00D4191B" w:rsidRPr="000A00DD" w:rsidP="00D4191B" w14:paraId="5D4BCB7C" w14:textId="77777777">
      <w:pPr>
        <w:pStyle w:val="FootnoteText"/>
      </w:pPr>
      <w:r>
        <w:rPr>
          <w:rStyle w:val="FootnoteReference"/>
        </w:rPr>
        <w:footnoteRef/>
      </w:r>
      <w:r>
        <w:t xml:space="preserve"> </w:t>
      </w:r>
      <w:r>
        <w:rPr>
          <w:i/>
          <w:iCs/>
        </w:rPr>
        <w:t>Id.</w:t>
      </w:r>
      <w:r>
        <w:t xml:space="preserve"> at 7, para. 9. </w:t>
      </w:r>
    </w:p>
  </w:footnote>
  <w:footnote w:id="13">
    <w:p w:rsidR="00D4191B" w:rsidRPr="00546C6F" w:rsidP="00D4191B" w14:paraId="3FCA3CA6" w14:textId="77777777">
      <w:pPr>
        <w:pStyle w:val="FootnoteText"/>
      </w:pPr>
      <w:r>
        <w:rPr>
          <w:rStyle w:val="FootnoteReference"/>
        </w:rPr>
        <w:footnoteRef/>
      </w:r>
      <w:r>
        <w:t xml:space="preserve"> </w:t>
      </w:r>
      <w:r>
        <w:rPr>
          <w:i/>
          <w:iCs/>
        </w:rPr>
        <w:t>Termination Order</w:t>
      </w:r>
      <w:r>
        <w:t xml:space="preserve"> at 3, para. 8.</w:t>
      </w:r>
    </w:p>
  </w:footnote>
  <w:footnote w:id="14">
    <w:p w:rsidR="00D4191B" w:rsidP="00D4191B" w14:paraId="4C8575A9" w14:textId="77777777">
      <w:pPr>
        <w:pStyle w:val="FootnoteText"/>
      </w:pPr>
      <w:r>
        <w:rPr>
          <w:rStyle w:val="FootnoteReference"/>
        </w:rPr>
        <w:footnoteRef/>
      </w:r>
      <w:r>
        <w:t xml:space="preserve"> </w:t>
      </w:r>
      <w:r>
        <w:rPr>
          <w:i/>
          <w:iCs/>
        </w:rPr>
        <w:t>Id.</w:t>
      </w:r>
      <w:r>
        <w:t xml:space="preserve"> at 2-3, para. 5.</w:t>
      </w:r>
    </w:p>
  </w:footnote>
  <w:footnote w:id="15">
    <w:p w:rsidR="00D4191B" w:rsidP="00D4191B" w14:paraId="36FFA791" w14:textId="77777777">
      <w:pPr>
        <w:pStyle w:val="FootnoteText"/>
      </w:pPr>
      <w:r>
        <w:rPr>
          <w:rStyle w:val="FootnoteReference"/>
        </w:rPr>
        <w:footnoteRef/>
      </w:r>
      <w:r>
        <w:t xml:space="preserve"> </w:t>
      </w:r>
      <w:r w:rsidRPr="00201EBD">
        <w:rPr>
          <w:i/>
          <w:iCs/>
        </w:rPr>
        <w:t xml:space="preserve">See </w:t>
      </w:r>
      <w:r w:rsidRPr="00201EBD">
        <w:t>Opposition of 97.5 Licensee TX, LLC and Luz Maria Rygaard to Enforcement Bureau’s Motion for Leave to File Response to Written Statement</w:t>
      </w:r>
      <w:r>
        <w:t>, MB Docket No. 26-19</w:t>
      </w:r>
      <w:r w:rsidRPr="00201EBD">
        <w:t xml:space="preserve"> (</w:t>
      </w:r>
      <w:r>
        <w:t xml:space="preserve">filed </w:t>
      </w:r>
      <w:r w:rsidRPr="00201EBD">
        <w:t>Feb. 25, 2026); Motion to Strike.</w:t>
      </w:r>
    </w:p>
  </w:footnote>
  <w:footnote w:id="16">
    <w:p w:rsidR="00D4191B" w:rsidP="00D4191B" w14:paraId="08CC30FB" w14:textId="77777777">
      <w:pPr>
        <w:pStyle w:val="FootnoteText"/>
      </w:pPr>
      <w:r>
        <w:rPr>
          <w:rStyle w:val="FootnoteReference"/>
        </w:rPr>
        <w:footnoteRef/>
      </w:r>
      <w:r>
        <w:t xml:space="preserve"> </w:t>
      </w:r>
      <w:r w:rsidRPr="00201EBD">
        <w:rPr>
          <w:i/>
          <w:iCs/>
        </w:rPr>
        <w:t xml:space="preserve">See </w:t>
      </w:r>
      <w:r w:rsidRPr="00201EBD">
        <w:t>Enforcement Bureau’s Motion for Leave to File Opposition to Motion to Strike</w:t>
      </w:r>
      <w:r>
        <w:t>, MB Docket No. 26-19</w:t>
      </w:r>
      <w:r w:rsidRPr="00201EBD">
        <w:t xml:space="preserve"> (</w:t>
      </w:r>
      <w:r>
        <w:t xml:space="preserve">filed </w:t>
      </w:r>
      <w:r w:rsidRPr="00201EBD">
        <w:t>Mar. 3, 2026)</w:t>
      </w:r>
      <w:r>
        <w:t xml:space="preserve">; </w:t>
      </w:r>
      <w:r w:rsidRPr="00201EBD">
        <w:t>Opposition</w:t>
      </w:r>
      <w:r>
        <w:t xml:space="preserve"> to Motion to Strike.</w:t>
      </w:r>
    </w:p>
  </w:footnote>
  <w:footnote w:id="17">
    <w:p w:rsidR="00D4191B" w:rsidP="00D4191B" w14:paraId="1C7FD5B7" w14:textId="77777777">
      <w:pPr>
        <w:pStyle w:val="FootnoteText"/>
      </w:pPr>
      <w:r>
        <w:rPr>
          <w:rStyle w:val="FootnoteReference"/>
        </w:rPr>
        <w:footnoteRef/>
      </w:r>
      <w:r>
        <w:t xml:space="preserve"> </w:t>
      </w:r>
      <w:r w:rsidRPr="00201EBD">
        <w:rPr>
          <w:i/>
          <w:iCs/>
        </w:rPr>
        <w:t xml:space="preserve">See </w:t>
      </w:r>
      <w:r>
        <w:t>Notice of Appeal of 97.5 Licensee TX, LLC and Luz Maria Rygaard Pursuant to 47 CFR § 1.302, MB Docket No. 26-19 (filed Mar. 6, 2026).</w:t>
      </w:r>
    </w:p>
  </w:footnote>
  <w:footnote w:id="18">
    <w:p w:rsidR="00D4191B" w:rsidRPr="006662A5" w:rsidP="00D4191B" w14:paraId="6F36A0B9" w14:textId="77777777">
      <w:pPr>
        <w:pStyle w:val="FootnoteText"/>
      </w:pPr>
      <w:r>
        <w:rPr>
          <w:rStyle w:val="FootnoteReference"/>
        </w:rPr>
        <w:footnoteRef/>
      </w:r>
      <w:r>
        <w:t xml:space="preserve"> Appeal at 1-3.  The General Counsel has delegated authority to act on this appeal because it does not relate to the merits of the issues designated for hearing in the </w:t>
      </w:r>
      <w:r w:rsidRPr="006662A5">
        <w:rPr>
          <w:i/>
          <w:iCs/>
        </w:rPr>
        <w:t>HDO</w:t>
      </w:r>
      <w:r>
        <w:t xml:space="preserve">.  </w:t>
      </w:r>
      <w:r w:rsidRPr="0069108C">
        <w:rPr>
          <w:i/>
          <w:iCs/>
        </w:rPr>
        <w:t>See</w:t>
      </w:r>
      <w:r w:rsidRPr="006662A5">
        <w:t xml:space="preserve"> 47 CFR § 0.251(c) (“The General Counsel is delegated authority in adjudicatory hearing proceedings which are pending before the Commission </w:t>
      </w:r>
      <w:r w:rsidRPr="00E9330E">
        <w:rPr>
          <w:i/>
          <w:iCs/>
        </w:rPr>
        <w:t>en banc</w:t>
      </w:r>
      <w:r w:rsidRPr="006662A5">
        <w:t xml:space="preserve"> to act on all requests for relief, and to issue all appropriate orders, except those which involve final disposition on the merits of a previously specified issue concerning an applicant’s basic qualifications or two or more applicants’ comparative qualifications.”).</w:t>
      </w:r>
    </w:p>
  </w:footnote>
  <w:footnote w:id="19">
    <w:p w:rsidR="00D4191B" w:rsidP="00D4191B" w14:paraId="1DC0D1D8" w14:textId="77777777">
      <w:pPr>
        <w:pStyle w:val="FootnoteText"/>
      </w:pPr>
      <w:r>
        <w:rPr>
          <w:rStyle w:val="FootnoteReference"/>
        </w:rPr>
        <w:footnoteRef/>
      </w:r>
      <w:r>
        <w:t xml:space="preserve"> Appeal at 3.</w:t>
      </w:r>
    </w:p>
  </w:footnote>
  <w:footnote w:id="20">
    <w:p w:rsidR="00D4191B" w:rsidP="00D4191B" w14:paraId="093F1008" w14:textId="77777777">
      <w:pPr>
        <w:pStyle w:val="FootnoteText"/>
      </w:pPr>
      <w:r>
        <w:rPr>
          <w:rStyle w:val="FootnoteReference"/>
        </w:rPr>
        <w:footnoteRef/>
      </w:r>
      <w:r>
        <w:t xml:space="preserve"> </w:t>
      </w:r>
      <w:r>
        <w:rPr>
          <w:i/>
          <w:iCs/>
        </w:rPr>
        <w:t>Id.</w:t>
      </w:r>
      <w:r>
        <w:t xml:space="preserve"> at 8-17.</w:t>
      </w:r>
    </w:p>
  </w:footnote>
  <w:footnote w:id="21">
    <w:p w:rsidR="00D4191B" w:rsidP="00D4191B" w14:paraId="5356BE19" w14:textId="77777777">
      <w:pPr>
        <w:pStyle w:val="FootnoteText"/>
      </w:pPr>
      <w:r>
        <w:rPr>
          <w:rStyle w:val="FootnoteReference"/>
        </w:rPr>
        <w:footnoteRef/>
      </w:r>
      <w:r>
        <w:t xml:space="preserve"> </w:t>
      </w:r>
      <w:r>
        <w:rPr>
          <w:i/>
          <w:iCs/>
        </w:rPr>
        <w:t>Id.</w:t>
      </w:r>
      <w:r>
        <w:t xml:space="preserve"> at 17-20;</w:t>
      </w:r>
      <w:r>
        <w:rPr>
          <w:i/>
          <w:iCs/>
        </w:rPr>
        <w:t xml:space="preserve"> see </w:t>
      </w:r>
      <w:r>
        <w:t>47 CFR § 1.93(b) (“</w:t>
      </w:r>
      <w:r w:rsidRPr="00406716">
        <w:t>Consent orders may not be negotiated with respect to matters which involve a party</w:t>
      </w:r>
      <w:r>
        <w:t>’</w:t>
      </w:r>
      <w:r w:rsidRPr="00406716">
        <w:t>s basic statutory qualifications to hold a license</w:t>
      </w:r>
      <w:r>
        <w:t>.”).</w:t>
      </w:r>
    </w:p>
  </w:footnote>
  <w:footnote w:id="22">
    <w:p w:rsidR="00D4191B" w:rsidP="00D4191B" w14:paraId="41C7B1F4" w14:textId="4F6CA180">
      <w:pPr>
        <w:pStyle w:val="FootnoteText"/>
      </w:pPr>
      <w:r>
        <w:rPr>
          <w:rStyle w:val="FootnoteReference"/>
        </w:rPr>
        <w:footnoteRef/>
      </w:r>
      <w:r>
        <w:t xml:space="preserve"> </w:t>
      </w:r>
      <w:r>
        <w:rPr>
          <w:i/>
          <w:iCs/>
        </w:rPr>
        <w:t>Termination Order</w:t>
      </w:r>
      <w:r>
        <w:t xml:space="preserve"> at 3, para. 5 (citing </w:t>
      </w:r>
      <w:r w:rsidRPr="00546C6F">
        <w:rPr>
          <w:i/>
          <w:iCs/>
        </w:rPr>
        <w:t>Mission Cable TV, Inc.</w:t>
      </w:r>
      <w:r w:rsidRPr="00546C6F">
        <w:t xml:space="preserve">, </w:t>
      </w:r>
      <w:r>
        <w:t xml:space="preserve">Docket No. 20381, Memorandum Opinion and Order, </w:t>
      </w:r>
      <w:r w:rsidRPr="00546C6F">
        <w:t>56 F.C.C.2d 203</w:t>
      </w:r>
      <w:r>
        <w:t>, 204</w:t>
      </w:r>
      <w:r w:rsidRPr="00546C6F">
        <w:t xml:space="preserve"> </w:t>
      </w:r>
      <w:r w:rsidRPr="00546C6F">
        <w:t>n.8 (1975) (consideration by the Commission of response to statement made on waiver of hearing held consistent with section 1.92(d))</w:t>
      </w:r>
      <w:r w:rsidR="00961989">
        <w:t>)</w:t>
      </w:r>
      <w:r w:rsidRPr="00546C6F">
        <w:t>.</w:t>
      </w:r>
    </w:p>
  </w:footnote>
  <w:footnote w:id="23">
    <w:p w:rsidR="00D4191B" w:rsidRPr="00C260AB" w:rsidP="00D4191B" w14:paraId="2502B48F" w14:textId="77777777">
      <w:pPr>
        <w:pStyle w:val="FootnoteText"/>
        <w:rPr>
          <w:i/>
          <w:iCs/>
        </w:rPr>
      </w:pPr>
      <w:r>
        <w:rPr>
          <w:rStyle w:val="FootnoteReference"/>
        </w:rPr>
        <w:footnoteRef/>
      </w:r>
      <w:r>
        <w:t xml:space="preserve"> 47 CFR § 1.92(d). </w:t>
      </w:r>
    </w:p>
  </w:footnote>
  <w:footnote w:id="24">
    <w:p w:rsidR="00D4191B" w:rsidP="00D4191B" w14:paraId="73D5A065" w14:textId="77777777">
      <w:pPr>
        <w:pStyle w:val="FootnoteText"/>
      </w:pPr>
      <w:r>
        <w:rPr>
          <w:rStyle w:val="FootnoteReference"/>
        </w:rPr>
        <w:footnoteRef/>
      </w:r>
      <w:r>
        <w:t xml:space="preserve"> </w:t>
      </w:r>
      <w:r>
        <w:rPr>
          <w:i/>
          <w:iCs/>
        </w:rPr>
        <w:t>Id.</w:t>
      </w:r>
      <w:r>
        <w:t xml:space="preserve"> (emphasis added).</w:t>
      </w:r>
    </w:p>
  </w:footnote>
  <w:footnote w:id="25">
    <w:p w:rsidR="00D4191B" w:rsidP="00D4191B" w14:paraId="657749B6" w14:textId="77777777">
      <w:pPr>
        <w:pStyle w:val="FootnoteText"/>
      </w:pPr>
      <w:r>
        <w:rPr>
          <w:rStyle w:val="FootnoteReference"/>
        </w:rPr>
        <w:footnoteRef/>
      </w:r>
      <w:r>
        <w:t xml:space="preserve"> Written Statement at 20-23.</w:t>
      </w:r>
    </w:p>
  </w:footnote>
  <w:footnote w:id="26">
    <w:p w:rsidR="00D4191B" w:rsidP="00D4191B" w14:paraId="2C53B13F" w14:textId="77777777">
      <w:pPr>
        <w:pStyle w:val="FootnoteText"/>
      </w:pPr>
      <w:r>
        <w:rPr>
          <w:rStyle w:val="FootnoteReference"/>
        </w:rPr>
        <w:footnoteRef/>
      </w:r>
      <w:r>
        <w:t xml:space="preserve"> Response at 6-9.</w:t>
      </w:r>
    </w:p>
  </w:footnote>
  <w:footnote w:id="27">
    <w:p w:rsidR="00D4191B" w:rsidRPr="00906829" w:rsidP="00D4191B" w14:paraId="21C38778" w14:textId="77777777">
      <w:pPr>
        <w:pStyle w:val="FootnoteText"/>
      </w:pPr>
      <w:r>
        <w:rPr>
          <w:rStyle w:val="FootnoteReference"/>
        </w:rPr>
        <w:footnoteRef/>
      </w:r>
      <w:r>
        <w:t xml:space="preserve"> </w:t>
      </w:r>
      <w:r>
        <w:rPr>
          <w:i/>
          <w:iCs/>
        </w:rPr>
        <w:t xml:space="preserve">See </w:t>
      </w:r>
      <w:r>
        <w:t>Appeal at 17-20; Enforcement Bureau’s Opposition to Appeal of 97.5 Licensee TX, LLC and Luz Maria Rygaard, MB Docket No. 26-19 (filed Apr. 8, 2026) (Opposition to Appeal);</w:t>
      </w:r>
      <w:r w:rsidRPr="00906829">
        <w:t xml:space="preserve"> </w:t>
      </w:r>
      <w:r>
        <w:t>Reply of 97.5 Licensee TX, LLC and Luz Maria Rygaard to Enforcement Bureau’s Opposition to Appeal, MB Docket No. 26-19 (filed Apr. 17, 2026) (Reply to Opposition).</w:t>
      </w:r>
    </w:p>
  </w:footnote>
  <w:footnote w:id="28">
    <w:p w:rsidR="00D4191B" w:rsidP="00D4191B" w14:paraId="6530C84E" w14:textId="77777777">
      <w:pPr>
        <w:pStyle w:val="FootnoteText"/>
      </w:pPr>
      <w:r>
        <w:rPr>
          <w:rStyle w:val="FootnoteReference"/>
        </w:rPr>
        <w:footnoteRef/>
      </w:r>
      <w:r>
        <w:t xml:space="preserve"> </w:t>
      </w:r>
      <w:r w:rsidRPr="00201EBD">
        <w:rPr>
          <w:i/>
          <w:iCs/>
        </w:rPr>
        <w:t xml:space="preserve">See </w:t>
      </w:r>
      <w:r>
        <w:t>Appeal at 17-20; Reply to Opposition at 2-10.</w:t>
      </w:r>
    </w:p>
  </w:footnote>
  <w:footnote w:id="29">
    <w:p w:rsidR="00D4191B" w:rsidP="00D4191B" w14:paraId="1B813DA4" w14:textId="77777777">
      <w:pPr>
        <w:pStyle w:val="FootnoteText"/>
      </w:pPr>
      <w:r>
        <w:rPr>
          <w:rStyle w:val="FootnoteReference"/>
        </w:rPr>
        <w:footnoteRef/>
      </w:r>
      <w:r>
        <w:t xml:space="preserve"> 47 CFR § 1.92(d).</w:t>
      </w:r>
    </w:p>
  </w:footnote>
  <w:footnote w:id="30">
    <w:p w:rsidR="00D4191B" w:rsidP="00D4191B" w14:paraId="4826863C" w14:textId="77777777">
      <w:pPr>
        <w:pStyle w:val="FootnoteText"/>
      </w:pPr>
      <w:r>
        <w:rPr>
          <w:rStyle w:val="FootnoteReference"/>
        </w:rPr>
        <w:footnoteRef/>
      </w:r>
      <w:r>
        <w:t xml:space="preserve"> </w:t>
      </w:r>
      <w:r w:rsidRPr="00BE32A3">
        <w:t>As they are moot, we do not need to address whether th</w:t>
      </w:r>
      <w:r>
        <w:t>e motion to strike</w:t>
      </w:r>
      <w:r w:rsidRPr="00BE32A3">
        <w:t>, which w</w:t>
      </w:r>
      <w:r>
        <w:t xml:space="preserve">as </w:t>
      </w:r>
      <w:r w:rsidRPr="00BE32A3">
        <w:t>filed with the Presiding Judge</w:t>
      </w:r>
      <w:r>
        <w:t>,</w:t>
      </w:r>
      <w:r w:rsidRPr="00BE32A3">
        <w:t xml:space="preserve"> </w:t>
      </w:r>
      <w:r>
        <w:t xml:space="preserve">is </w:t>
      </w:r>
      <w:r w:rsidRPr="00BE32A3">
        <w:t xml:space="preserve">properly before the Commission.  </w:t>
      </w:r>
    </w:p>
  </w:footnote>
  <w:footnote w:id="31">
    <w:p w:rsidR="00D4191B" w:rsidRPr="00F165D5" w:rsidP="00D4191B" w14:paraId="08F8747B" w14:textId="77777777">
      <w:pPr>
        <w:pStyle w:val="FootnoteText"/>
        <w:rPr>
          <w:i/>
          <w:iCs/>
        </w:rPr>
      </w:pPr>
      <w:r>
        <w:rPr>
          <w:rStyle w:val="FootnoteReference"/>
        </w:rPr>
        <w:footnoteRef/>
      </w:r>
      <w:r>
        <w:t xml:space="preserve"> 47 CFR § 1.92(d).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15915" w14:paraId="4169D359"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D2BD307" w14:textId="004B0006">
    <w:pPr>
      <w:pStyle w:val="Header"/>
      <w:rPr>
        <w:b w:val="0"/>
      </w:rPr>
    </w:pPr>
    <w:r>
      <w:tab/>
      <w:t>Federal Communications Commission</w:t>
    </w:r>
    <w:r>
      <w:tab/>
    </w:r>
    <w:r w:rsidR="00D4191B">
      <w:t>DA 26-</w:t>
    </w:r>
    <w:r w:rsidR="00215915">
      <w:t>604</w:t>
    </w:r>
  </w:p>
  <w:p w:rsidR="00D25FB5" w14:paraId="154B9CF8"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0D19F74" w14:textId="77777777">
    <w:pPr>
      <w:spacing w:after="389" w:line="100" w:lineRule="exact"/>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E21C477" w14:textId="4A819C74">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D4191B">
      <w:rPr>
        <w:spacing w:val="-2"/>
      </w:rPr>
      <w:t>DA 26-</w:t>
    </w:r>
    <w:r w:rsidR="00215915">
      <w:rPr>
        <w:spacing w:val="-2"/>
      </w:rPr>
      <w:t>604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311325580">
    <w:abstractNumId w:val="1"/>
  </w:num>
  <w:num w:numId="2" w16cid:durableId="267810347">
    <w:abstractNumId w:val="5"/>
  </w:num>
  <w:num w:numId="3" w16cid:durableId="267280069">
    <w:abstractNumId w:val="3"/>
  </w:num>
  <w:num w:numId="4" w16cid:durableId="1811434448">
    <w:abstractNumId w:val="4"/>
  </w:num>
  <w:num w:numId="5" w16cid:durableId="728649745">
    <w:abstractNumId w:val="2"/>
  </w:num>
  <w:num w:numId="6" w16cid:durableId="14606096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91B"/>
    <w:rsid w:val="00002BD1"/>
    <w:rsid w:val="0000417A"/>
    <w:rsid w:val="00036039"/>
    <w:rsid w:val="00037F90"/>
    <w:rsid w:val="00055EE5"/>
    <w:rsid w:val="000875BF"/>
    <w:rsid w:val="00095F24"/>
    <w:rsid w:val="00096D8C"/>
    <w:rsid w:val="000A00DD"/>
    <w:rsid w:val="000C0B65"/>
    <w:rsid w:val="000D43A2"/>
    <w:rsid w:val="000E05FE"/>
    <w:rsid w:val="000E3D42"/>
    <w:rsid w:val="00122BD5"/>
    <w:rsid w:val="00133F79"/>
    <w:rsid w:val="00147513"/>
    <w:rsid w:val="00156A7F"/>
    <w:rsid w:val="00187B1E"/>
    <w:rsid w:val="00194A66"/>
    <w:rsid w:val="001D6BCF"/>
    <w:rsid w:val="001E01CA"/>
    <w:rsid w:val="00201EBD"/>
    <w:rsid w:val="00215915"/>
    <w:rsid w:val="00275CF5"/>
    <w:rsid w:val="0028301F"/>
    <w:rsid w:val="00285017"/>
    <w:rsid w:val="002A2D2E"/>
    <w:rsid w:val="002C00E8"/>
    <w:rsid w:val="002D729A"/>
    <w:rsid w:val="00343749"/>
    <w:rsid w:val="003660ED"/>
    <w:rsid w:val="00392F0A"/>
    <w:rsid w:val="003B0550"/>
    <w:rsid w:val="003B694F"/>
    <w:rsid w:val="003D4B76"/>
    <w:rsid w:val="003F171C"/>
    <w:rsid w:val="00406716"/>
    <w:rsid w:val="00412FC5"/>
    <w:rsid w:val="00413007"/>
    <w:rsid w:val="00422276"/>
    <w:rsid w:val="004242F1"/>
    <w:rsid w:val="00445A00"/>
    <w:rsid w:val="00451B0F"/>
    <w:rsid w:val="004C2EE3"/>
    <w:rsid w:val="004E4A22"/>
    <w:rsid w:val="00511968"/>
    <w:rsid w:val="00546C6F"/>
    <w:rsid w:val="0055614C"/>
    <w:rsid w:val="00566D06"/>
    <w:rsid w:val="005B2408"/>
    <w:rsid w:val="005E14C2"/>
    <w:rsid w:val="00607BA5"/>
    <w:rsid w:val="0061180A"/>
    <w:rsid w:val="006260EB"/>
    <w:rsid w:val="00626EB6"/>
    <w:rsid w:val="00655D03"/>
    <w:rsid w:val="006662A5"/>
    <w:rsid w:val="00683388"/>
    <w:rsid w:val="00683F84"/>
    <w:rsid w:val="0069108C"/>
    <w:rsid w:val="006A6A81"/>
    <w:rsid w:val="006F7393"/>
    <w:rsid w:val="0070224F"/>
    <w:rsid w:val="007115F7"/>
    <w:rsid w:val="00774FBF"/>
    <w:rsid w:val="00785689"/>
    <w:rsid w:val="0079754B"/>
    <w:rsid w:val="007A1E6D"/>
    <w:rsid w:val="007B0EB2"/>
    <w:rsid w:val="007C2986"/>
    <w:rsid w:val="007E64DB"/>
    <w:rsid w:val="00810B6F"/>
    <w:rsid w:val="00822CE0"/>
    <w:rsid w:val="00841AB1"/>
    <w:rsid w:val="008C68F1"/>
    <w:rsid w:val="00906829"/>
    <w:rsid w:val="00921803"/>
    <w:rsid w:val="00926503"/>
    <w:rsid w:val="00961989"/>
    <w:rsid w:val="009726D8"/>
    <w:rsid w:val="00994A22"/>
    <w:rsid w:val="009B5066"/>
    <w:rsid w:val="009D7308"/>
    <w:rsid w:val="009F76DB"/>
    <w:rsid w:val="00A32C3B"/>
    <w:rsid w:val="00A45F4F"/>
    <w:rsid w:val="00A600A9"/>
    <w:rsid w:val="00AA55B7"/>
    <w:rsid w:val="00AA5B9E"/>
    <w:rsid w:val="00AB2407"/>
    <w:rsid w:val="00AB53DF"/>
    <w:rsid w:val="00B07E5C"/>
    <w:rsid w:val="00B47889"/>
    <w:rsid w:val="00B522A6"/>
    <w:rsid w:val="00B811F7"/>
    <w:rsid w:val="00BA5DC6"/>
    <w:rsid w:val="00BA6196"/>
    <w:rsid w:val="00BC6D8C"/>
    <w:rsid w:val="00BE32A3"/>
    <w:rsid w:val="00C260AB"/>
    <w:rsid w:val="00C34006"/>
    <w:rsid w:val="00C36B4C"/>
    <w:rsid w:val="00C426B1"/>
    <w:rsid w:val="00C66160"/>
    <w:rsid w:val="00C721AC"/>
    <w:rsid w:val="00C86AD8"/>
    <w:rsid w:val="00C90D6A"/>
    <w:rsid w:val="00CA247E"/>
    <w:rsid w:val="00CA6D21"/>
    <w:rsid w:val="00CC72B6"/>
    <w:rsid w:val="00D0218D"/>
    <w:rsid w:val="00D25FB5"/>
    <w:rsid w:val="00D4191B"/>
    <w:rsid w:val="00D44223"/>
    <w:rsid w:val="00DA2529"/>
    <w:rsid w:val="00DB130A"/>
    <w:rsid w:val="00DB2EBB"/>
    <w:rsid w:val="00DC10A1"/>
    <w:rsid w:val="00DC655F"/>
    <w:rsid w:val="00DD0B59"/>
    <w:rsid w:val="00DD7EBD"/>
    <w:rsid w:val="00DF62B6"/>
    <w:rsid w:val="00E07225"/>
    <w:rsid w:val="00E14335"/>
    <w:rsid w:val="00E4717C"/>
    <w:rsid w:val="00E5409F"/>
    <w:rsid w:val="00E9330E"/>
    <w:rsid w:val="00EC0DF7"/>
    <w:rsid w:val="00EE6488"/>
    <w:rsid w:val="00F021FA"/>
    <w:rsid w:val="00F10274"/>
    <w:rsid w:val="00F165D5"/>
    <w:rsid w:val="00F43631"/>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F30B1C3"/>
  <w15:chartTrackingRefBased/>
  <w15:docId w15:val="{56F3ED85-1830-4D12-BED9-E27E21661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4191B"/>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rsid w:val="000E3D42"/>
    <w:pPr>
      <w:spacing w:after="120"/>
    </w:pPr>
  </w:style>
  <w:style w:type="character" w:styleId="FootnoteReference">
    <w:name w:val="footnote reference"/>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FootnoteTextChar">
    <w:name w:val="Footnote Text Char"/>
    <w:basedOn w:val="DefaultParagraphFont"/>
    <w:link w:val="FootnoteText"/>
    <w:uiPriority w:val="99"/>
    <w:rsid w:val="00D419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