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BA3BA8" w:rsidRPr="003763DE" w:rsidP="00665D6B" w14:paraId="6B15F087" w14:textId="536AC62C">
      <w:pPr>
        <w:jc w:val="right"/>
        <w:rPr>
          <w:b/>
          <w:szCs w:val="22"/>
        </w:rPr>
      </w:pPr>
      <w:r w:rsidRPr="003763DE">
        <w:rPr>
          <w:b/>
          <w:szCs w:val="22"/>
        </w:rPr>
        <w:t>DA 26-</w:t>
      </w:r>
      <w:r w:rsidR="00F43A04">
        <w:rPr>
          <w:b/>
          <w:szCs w:val="22"/>
        </w:rPr>
        <w:t>606</w:t>
      </w:r>
    </w:p>
    <w:p w:rsidR="00BA3BA8" w:rsidRPr="003763DE" w14:paraId="43B948C7" w14:textId="41DB54CE">
      <w:pPr>
        <w:spacing w:before="60"/>
        <w:jc w:val="right"/>
        <w:rPr>
          <w:b/>
          <w:szCs w:val="22"/>
        </w:rPr>
      </w:pPr>
      <w:r w:rsidRPr="003763DE">
        <w:rPr>
          <w:b/>
          <w:szCs w:val="22"/>
        </w:rPr>
        <w:t xml:space="preserve">Released:  </w:t>
      </w:r>
      <w:r w:rsidRPr="003763DE" w:rsidR="003D51C5">
        <w:rPr>
          <w:b/>
          <w:szCs w:val="22"/>
        </w:rPr>
        <w:t xml:space="preserve">June </w:t>
      </w:r>
      <w:r w:rsidR="00F43A04">
        <w:rPr>
          <w:b/>
          <w:szCs w:val="22"/>
        </w:rPr>
        <w:t>17</w:t>
      </w:r>
      <w:r w:rsidRPr="003763DE" w:rsidR="003D51C5">
        <w:rPr>
          <w:b/>
          <w:szCs w:val="22"/>
        </w:rPr>
        <w:t>, 2026</w:t>
      </w:r>
    </w:p>
    <w:p w:rsidR="00BA3BA8" w14:paraId="3629DD20" w14:textId="77777777">
      <w:pPr>
        <w:jc w:val="right"/>
        <w:rPr>
          <w:sz w:val="24"/>
        </w:rPr>
      </w:pPr>
    </w:p>
    <w:p w:rsidR="00BA3BA8" w:rsidRPr="00A81A5A" w:rsidP="00A81A5A" w14:paraId="7F14DE80" w14:textId="1B6BA972">
      <w:pPr>
        <w:jc w:val="center"/>
        <w:rPr>
          <w:b/>
          <w:szCs w:val="22"/>
        </w:rPr>
      </w:pPr>
      <w:r w:rsidRPr="00C46CCE">
        <w:rPr>
          <w:b/>
          <w:szCs w:val="22"/>
        </w:rPr>
        <w:t xml:space="preserve">WIRELESS TELECOMMUNICATIONS BUREAU SEEKS COMMENT ON REQUEST BY </w:t>
      </w:r>
      <w:r w:rsidR="00A81A5A">
        <w:rPr>
          <w:b/>
          <w:szCs w:val="22"/>
        </w:rPr>
        <w:t xml:space="preserve">GME PTY LTD FOR WAIVER </w:t>
      </w:r>
      <w:r w:rsidRPr="00522961" w:rsidR="00A81A5A">
        <w:rPr>
          <w:b/>
          <w:szCs w:val="22"/>
        </w:rPr>
        <w:t xml:space="preserve">OF PART 95 </w:t>
      </w:r>
      <w:r w:rsidR="005E3CEA">
        <w:rPr>
          <w:b/>
          <w:szCs w:val="22"/>
        </w:rPr>
        <w:t xml:space="preserve">GMRS </w:t>
      </w:r>
      <w:r w:rsidRPr="00522961" w:rsidR="00A81A5A">
        <w:rPr>
          <w:b/>
          <w:szCs w:val="22"/>
        </w:rPr>
        <w:t>RULES</w:t>
      </w:r>
    </w:p>
    <w:p w:rsidR="00A81A5A" w:rsidRPr="003763DE" w14:paraId="6EBEF106" w14:textId="77777777">
      <w:pPr>
        <w:jc w:val="center"/>
        <w:rPr>
          <w:b/>
          <w:szCs w:val="22"/>
        </w:rPr>
      </w:pPr>
    </w:p>
    <w:p w:rsidR="00BA3BA8" w:rsidRPr="003763DE" w14:paraId="0E8488AD" w14:textId="50F39348">
      <w:pPr>
        <w:jc w:val="center"/>
        <w:rPr>
          <w:b/>
          <w:szCs w:val="22"/>
        </w:rPr>
      </w:pPr>
      <w:r w:rsidRPr="003763DE">
        <w:rPr>
          <w:b/>
          <w:szCs w:val="22"/>
        </w:rPr>
        <w:t>WT Docke</w:t>
      </w:r>
      <w:r w:rsidRPr="003763DE" w:rsidR="009A629D">
        <w:rPr>
          <w:b/>
          <w:szCs w:val="22"/>
        </w:rPr>
        <w:t>t No.</w:t>
      </w:r>
      <w:r w:rsidRPr="003763DE">
        <w:rPr>
          <w:b/>
          <w:szCs w:val="22"/>
        </w:rPr>
        <w:t xml:space="preserve"> 26-</w:t>
      </w:r>
      <w:r w:rsidR="00915DF8">
        <w:rPr>
          <w:b/>
          <w:szCs w:val="22"/>
        </w:rPr>
        <w:t>157</w:t>
      </w:r>
    </w:p>
    <w:p w:rsidR="00073CBD" w14:paraId="57558603" w14:textId="77777777">
      <w:pPr>
        <w:rPr>
          <w:b/>
          <w:bCs/>
        </w:rPr>
      </w:pPr>
      <w:bookmarkStart w:id="0" w:name="TOChere"/>
    </w:p>
    <w:p w:rsidR="00BA3BA8" w:rsidRPr="001A1AF8" w14:paraId="0D7C009C" w14:textId="3AB75656">
      <w:pPr>
        <w:rPr>
          <w:b/>
          <w:bCs/>
        </w:rPr>
      </w:pPr>
      <w:r w:rsidRPr="001A1AF8">
        <w:rPr>
          <w:b/>
          <w:bCs/>
        </w:rPr>
        <w:t xml:space="preserve">Comment Date: </w:t>
      </w:r>
      <w:r w:rsidR="004504F8">
        <w:rPr>
          <w:b/>
          <w:bCs/>
        </w:rPr>
        <w:t>July 1</w:t>
      </w:r>
      <w:r w:rsidR="006D2666">
        <w:rPr>
          <w:b/>
          <w:bCs/>
        </w:rPr>
        <w:t>7</w:t>
      </w:r>
      <w:r w:rsidR="004504F8">
        <w:rPr>
          <w:b/>
          <w:bCs/>
        </w:rPr>
        <w:t>, 2026</w:t>
      </w:r>
    </w:p>
    <w:p w:rsidR="001B0304" w14:paraId="351D32B3" w14:textId="4AFAFE76">
      <w:pPr>
        <w:rPr>
          <w:b/>
          <w:bCs/>
        </w:rPr>
      </w:pPr>
      <w:r w:rsidRPr="001A1AF8">
        <w:rPr>
          <w:b/>
          <w:bCs/>
        </w:rPr>
        <w:t>Repl</w:t>
      </w:r>
      <w:r w:rsidRPr="001A1AF8" w:rsidR="002A3B48">
        <w:rPr>
          <w:b/>
          <w:bCs/>
        </w:rPr>
        <w:t xml:space="preserve">y Date: </w:t>
      </w:r>
      <w:r w:rsidR="009E7541">
        <w:rPr>
          <w:b/>
          <w:bCs/>
        </w:rPr>
        <w:t>August 3, 2026</w:t>
      </w:r>
    </w:p>
    <w:p w:rsidR="00D13A6D" w14:paraId="7933049D" w14:textId="77777777">
      <w:pPr>
        <w:rPr>
          <w:b/>
          <w:bCs/>
        </w:rPr>
      </w:pPr>
    </w:p>
    <w:p w:rsidR="00D13A6D" w:rsidRPr="00307131" w:rsidP="007E06DF" w14:paraId="64AA9BD0" w14:textId="14760BF7">
      <w:r w:rsidRPr="00307131">
        <w:tab/>
        <w:t>On March 4, 2026</w:t>
      </w:r>
      <w:r w:rsidR="000A3B54">
        <w:t>,</w:t>
      </w:r>
      <w:r>
        <w:t xml:space="preserve"> </w:t>
      </w:r>
      <w:r w:rsidRPr="00FF1020" w:rsidR="00FF1020">
        <w:t>GME Pty Ltd (GME)</w:t>
      </w:r>
      <w:r w:rsidR="00FF1020">
        <w:t xml:space="preserve"> filed a request for waiver of </w:t>
      </w:r>
      <w:r w:rsidR="00547B0E">
        <w:t xml:space="preserve">the </w:t>
      </w:r>
      <w:r w:rsidR="004D3BD1">
        <w:t>Commission’s</w:t>
      </w:r>
      <w:r w:rsidR="00CF4730">
        <w:t xml:space="preserve"> rules </w:t>
      </w:r>
      <w:r w:rsidR="004D3BD1">
        <w:t>governing</w:t>
      </w:r>
      <w:r w:rsidR="00CF4730">
        <w:t xml:space="preserve"> the </w:t>
      </w:r>
      <w:r w:rsidRPr="004D3BD1" w:rsidR="004D3BD1">
        <w:t>General Mobile Radio Service (GMRS) operations in the 462</w:t>
      </w:r>
      <w:r w:rsidR="009B3060">
        <w:t>/467</w:t>
      </w:r>
      <w:r w:rsidRPr="004D3BD1" w:rsidR="004D3BD1">
        <w:t xml:space="preserve"> MHz band</w:t>
      </w:r>
      <w:r w:rsidR="009B3060">
        <w:t>s</w:t>
      </w:r>
      <w:r w:rsidR="004D3BD1">
        <w:t>.</w:t>
      </w:r>
      <w:r>
        <w:rPr>
          <w:rStyle w:val="FootnoteReference"/>
        </w:rPr>
        <w:footnoteReference w:id="3"/>
      </w:r>
      <w:r w:rsidR="00E813F2">
        <w:t xml:space="preserve">  </w:t>
      </w:r>
      <w:r w:rsidR="001F55A6">
        <w:t xml:space="preserve">Specifically, </w:t>
      </w:r>
      <w:r w:rsidR="00E813F2">
        <w:t xml:space="preserve">GME </w:t>
      </w:r>
      <w:r w:rsidR="000A3B54">
        <w:t>requests</w:t>
      </w:r>
      <w:r w:rsidR="00E813F2">
        <w:t xml:space="preserve"> waiver of </w:t>
      </w:r>
      <w:r w:rsidR="007555BC">
        <w:t xml:space="preserve">three </w:t>
      </w:r>
      <w:r w:rsidR="005541F4">
        <w:t>part 95 rule</w:t>
      </w:r>
      <w:r w:rsidR="009E7343">
        <w:t>s</w:t>
      </w:r>
      <w:r w:rsidR="00ED77CD">
        <w:t xml:space="preserve"> to permit </w:t>
      </w:r>
      <w:r w:rsidR="005974B5">
        <w:t xml:space="preserve">additional location sharing and data transmissions </w:t>
      </w:r>
      <w:r w:rsidR="009E7343">
        <w:t xml:space="preserve">for </w:t>
      </w:r>
      <w:r w:rsidR="003F5A62">
        <w:t>two</w:t>
      </w:r>
      <w:r w:rsidR="00221F36">
        <w:t xml:space="preserve"> </w:t>
      </w:r>
      <w:r w:rsidR="009E7343">
        <w:t xml:space="preserve">proposed </w:t>
      </w:r>
      <w:r w:rsidR="00F93263">
        <w:t>GME</w:t>
      </w:r>
      <w:r w:rsidR="00454EB4">
        <w:t xml:space="preserve"> </w:t>
      </w:r>
      <w:r w:rsidR="005974B5">
        <w:t>radios</w:t>
      </w:r>
      <w:r w:rsidR="009E7343">
        <w:t>—</w:t>
      </w:r>
      <w:r w:rsidR="003F5A62">
        <w:t>a</w:t>
      </w:r>
      <w:r w:rsidR="009E7343">
        <w:t xml:space="preserve"> </w:t>
      </w:r>
      <w:r w:rsidR="003F5A62">
        <w:t xml:space="preserve">mobile device with </w:t>
      </w:r>
      <w:r w:rsidR="001F55A6">
        <w:t xml:space="preserve">a </w:t>
      </w:r>
      <w:r w:rsidR="003F5A62">
        <w:t xml:space="preserve">removable </w:t>
      </w:r>
      <w:r w:rsidR="00710FB1">
        <w:t xml:space="preserve">antenna </w:t>
      </w:r>
      <w:r w:rsidR="00572A95">
        <w:t>for use</w:t>
      </w:r>
      <w:r w:rsidR="00710FB1">
        <w:t xml:space="preserve"> in vehicles and a hand-held portable device with </w:t>
      </w:r>
      <w:r w:rsidR="001F55A6">
        <w:t xml:space="preserve">an </w:t>
      </w:r>
      <w:r w:rsidR="00710FB1">
        <w:t>integrated antenna</w:t>
      </w:r>
      <w:r w:rsidR="00454EB4">
        <w:t>.</w:t>
      </w:r>
      <w:r>
        <w:rPr>
          <w:rStyle w:val="FootnoteReference"/>
        </w:rPr>
        <w:footnoteReference w:id="4"/>
      </w:r>
      <w:r w:rsidR="00522961">
        <w:t xml:space="preserve"> </w:t>
      </w:r>
      <w:r w:rsidR="00A43111">
        <w:t xml:space="preserve"> </w:t>
      </w:r>
      <w:r w:rsidR="002D3ABA">
        <w:t>GME seeks waiver</w:t>
      </w:r>
      <w:r w:rsidR="00626C29">
        <w:t xml:space="preserve"> of</w:t>
      </w:r>
      <w:r w:rsidR="00AA2BD4">
        <w:t>:</w:t>
      </w:r>
      <w:r w:rsidR="00626C29">
        <w:t xml:space="preserve"> </w:t>
      </w:r>
      <w:r w:rsidR="001F55A6">
        <w:t>s</w:t>
      </w:r>
      <w:r w:rsidR="00D8040D">
        <w:t xml:space="preserve">ection </w:t>
      </w:r>
      <w:r w:rsidRPr="008811F3" w:rsidR="00D8040D">
        <w:t>95.1731(d)</w:t>
      </w:r>
      <w:r w:rsidR="0084263E">
        <w:t xml:space="preserve"> to allow digital data transmissions f</w:t>
      </w:r>
      <w:r w:rsidR="00A3648D">
        <w:t xml:space="preserve">rom </w:t>
      </w:r>
      <w:r w:rsidR="001F55A6">
        <w:t>these devices</w:t>
      </w:r>
      <w:r w:rsidR="005974B5">
        <w:t>;</w:t>
      </w:r>
      <w:r w:rsidR="00CC0D46">
        <w:t xml:space="preserve"> </w:t>
      </w:r>
      <w:r w:rsidR="00166BB5">
        <w:t>s</w:t>
      </w:r>
      <w:r w:rsidRPr="003F58A7" w:rsidR="003F58A7">
        <w:t>ection 95.1787(a)(1)</w:t>
      </w:r>
      <w:r w:rsidR="003F58A7">
        <w:t xml:space="preserve"> </w:t>
      </w:r>
      <w:r w:rsidR="00C478FB">
        <w:t xml:space="preserve">to allow </w:t>
      </w:r>
      <w:r w:rsidR="00AA2BD4">
        <w:t xml:space="preserve">both </w:t>
      </w:r>
      <w:r w:rsidR="001F55A6">
        <w:t>devices</w:t>
      </w:r>
      <w:r w:rsidR="00C478FB">
        <w:t xml:space="preserve"> </w:t>
      </w:r>
      <w:r w:rsidR="00454EB4">
        <w:t>to</w:t>
      </w:r>
      <w:r w:rsidR="00C478FB">
        <w:t xml:space="preserve"> transmit location information and a</w:t>
      </w:r>
      <w:r w:rsidRPr="00C478FB" w:rsidR="00C478FB">
        <w:t xml:space="preserve"> </w:t>
      </w:r>
      <w:r w:rsidR="00C478FB">
        <w:t>brief text message within the location data sent to all GME users within range</w:t>
      </w:r>
      <w:r w:rsidR="00166BB5">
        <w:t>;</w:t>
      </w:r>
      <w:r>
        <w:rPr>
          <w:rStyle w:val="FootnoteReference"/>
        </w:rPr>
        <w:footnoteReference w:id="5"/>
      </w:r>
      <w:r w:rsidR="00640825">
        <w:t xml:space="preserve"> </w:t>
      </w:r>
      <w:r w:rsidR="00166BB5">
        <w:t xml:space="preserve">and </w:t>
      </w:r>
      <w:r w:rsidR="00B04CAD">
        <w:t xml:space="preserve">of </w:t>
      </w:r>
      <w:r w:rsidR="00166BB5">
        <w:t>s</w:t>
      </w:r>
      <w:r w:rsidR="00032678">
        <w:t>ection 95.1787(a)(3)</w:t>
      </w:r>
      <w:r w:rsidR="00856100">
        <w:t xml:space="preserve"> to </w:t>
      </w:r>
      <w:r w:rsidR="009B238E">
        <w:t xml:space="preserve">increase the </w:t>
      </w:r>
      <w:r w:rsidR="00013503">
        <w:t xml:space="preserve">automatic </w:t>
      </w:r>
      <w:r w:rsidR="009B238E">
        <w:t>digital data transmi</w:t>
      </w:r>
      <w:r w:rsidR="00B9197F">
        <w:t>ss</w:t>
      </w:r>
      <w:r w:rsidR="009B238E">
        <w:t>ion rate from o</w:t>
      </w:r>
      <w:r w:rsidR="00221F36">
        <w:t>n</w:t>
      </w:r>
      <w:r w:rsidR="009B238E">
        <w:t>ce within a 30-second period to once within a 15-se</w:t>
      </w:r>
      <w:r w:rsidR="00DB215A">
        <w:t>c</w:t>
      </w:r>
      <w:r w:rsidR="009B238E">
        <w:t>ond period</w:t>
      </w:r>
      <w:r w:rsidR="008E72B1">
        <w:t xml:space="preserve"> </w:t>
      </w:r>
      <w:r w:rsidR="00221F36">
        <w:t>under certain conditions</w:t>
      </w:r>
      <w:r w:rsidR="00981F53">
        <w:t>.</w:t>
      </w:r>
      <w:r>
        <w:rPr>
          <w:rStyle w:val="FootnoteReference"/>
        </w:rPr>
        <w:footnoteReference w:id="6"/>
      </w:r>
      <w:r w:rsidR="00454EB4">
        <w:t xml:space="preserve"> </w:t>
      </w:r>
      <w:r w:rsidR="00D938C6">
        <w:t xml:space="preserve">GME also </w:t>
      </w:r>
      <w:r w:rsidR="00EC74A4">
        <w:t xml:space="preserve">proposes </w:t>
      </w:r>
      <w:r w:rsidR="00D938C6">
        <w:t xml:space="preserve">several </w:t>
      </w:r>
      <w:r w:rsidR="001D49C2">
        <w:t>safeguard</w:t>
      </w:r>
      <w:r w:rsidR="00A45E60">
        <w:t xml:space="preserve">s </w:t>
      </w:r>
      <w:r w:rsidR="001D49C2">
        <w:t xml:space="preserve">to protect against interference </w:t>
      </w:r>
      <w:r w:rsidR="007F0C91">
        <w:t>from its devices to</w:t>
      </w:r>
      <w:r w:rsidR="001D49C2">
        <w:t xml:space="preserve"> the</w:t>
      </w:r>
      <w:r w:rsidR="007F0C91">
        <w:t xml:space="preserve"> other</w:t>
      </w:r>
      <w:r w:rsidR="001D49C2">
        <w:t xml:space="preserve"> users of the band</w:t>
      </w:r>
      <w:r w:rsidR="00FF45D7">
        <w:t>.</w:t>
      </w:r>
      <w:r>
        <w:rPr>
          <w:rStyle w:val="FootnoteReference"/>
        </w:rPr>
        <w:footnoteReference w:id="7"/>
      </w:r>
    </w:p>
    <w:p w:rsidR="00BA3BA8" w14:paraId="69301724" w14:textId="77777777"/>
    <w:p w:rsidR="004D7F1C" w:rsidRPr="004D7F1C" w:rsidP="003F47E1" w14:paraId="5BEBABBE" w14:textId="777B31C4">
      <w:pPr>
        <w:ind w:firstLine="720"/>
      </w:pPr>
      <w:r>
        <w:t xml:space="preserve">GME </w:t>
      </w:r>
      <w:r w:rsidR="007509BD">
        <w:t xml:space="preserve">argues that grant of this request would serve the public interest as </w:t>
      </w:r>
      <w:r w:rsidR="007B43F7">
        <w:t xml:space="preserve">it would increase the </w:t>
      </w:r>
      <w:r w:rsidR="00214AB4">
        <w:t>“</w:t>
      </w:r>
      <w:r w:rsidR="007B43F7">
        <w:t>available safety features for GMRS radio users, especially those who are offroad and in rural and remote areas without reliable cell service</w:t>
      </w:r>
      <w:r w:rsidR="00A41B25">
        <w:t>.</w:t>
      </w:r>
      <w:r w:rsidR="00214AB4">
        <w:t>”</w:t>
      </w:r>
      <w:r>
        <w:rPr>
          <w:rStyle w:val="FootnoteReference"/>
        </w:rPr>
        <w:footnoteReference w:id="8"/>
      </w:r>
      <w:r w:rsidR="006C1F2E">
        <w:t xml:space="preserve"> </w:t>
      </w:r>
      <w:r w:rsidR="003B6F2C">
        <w:t xml:space="preserve"> </w:t>
      </w:r>
      <w:r w:rsidR="00A10425">
        <w:t xml:space="preserve">Additionally, </w:t>
      </w:r>
      <w:r w:rsidR="00B34EA4">
        <w:t>GME</w:t>
      </w:r>
      <w:r w:rsidR="006C1F2E">
        <w:t xml:space="preserve"> </w:t>
      </w:r>
      <w:r w:rsidR="00C631D9">
        <w:t xml:space="preserve">suggests </w:t>
      </w:r>
      <w:r w:rsidR="007D24D2">
        <w:t xml:space="preserve">that </w:t>
      </w:r>
      <w:r w:rsidR="005A5A1C">
        <w:t>prior</w:t>
      </w:r>
      <w:r w:rsidR="003B6F2C">
        <w:t xml:space="preserve"> GMRS</w:t>
      </w:r>
      <w:r w:rsidR="005A5A1C">
        <w:t xml:space="preserve"> waiver</w:t>
      </w:r>
      <w:r w:rsidR="006C1F2E">
        <w:t xml:space="preserve"> grant</w:t>
      </w:r>
      <w:r w:rsidR="00A10425">
        <w:t>s</w:t>
      </w:r>
      <w:r w:rsidR="004A2ED0">
        <w:t xml:space="preserve"> such as those given to </w:t>
      </w:r>
      <w:r w:rsidRPr="00E6203E" w:rsidR="00E6203E">
        <w:t>Midland Radio Corporation</w:t>
      </w:r>
      <w:r w:rsidR="00E6203E">
        <w:t xml:space="preserve"> and </w:t>
      </w:r>
      <w:r w:rsidRPr="003500A5" w:rsidR="003500A5">
        <w:t>Garmin International, Inc.</w:t>
      </w:r>
      <w:r w:rsidR="003500A5">
        <w:t xml:space="preserve"> support grant of this wa</w:t>
      </w:r>
      <w:r w:rsidR="00A10425">
        <w:t>iv</w:t>
      </w:r>
      <w:r w:rsidR="00F6715E">
        <w:t>er</w:t>
      </w:r>
      <w:r w:rsidR="00037F90">
        <w:t>.</w:t>
      </w:r>
      <w:r>
        <w:rPr>
          <w:rStyle w:val="FootnoteReference"/>
        </w:rPr>
        <w:footnoteReference w:id="9"/>
      </w:r>
      <w:r w:rsidR="00B3211C">
        <w:t xml:space="preserve">  </w:t>
      </w:r>
      <w:bookmarkEnd w:id="0"/>
    </w:p>
    <w:p w:rsidR="00E96312" w:rsidRPr="00E96312" w:rsidP="00E96312" w14:paraId="1718DABE" w14:textId="22120C19">
      <w:pPr>
        <w:spacing w:after="240"/>
        <w:ind w:firstLine="720"/>
        <w:rPr>
          <w:szCs w:val="22"/>
        </w:rPr>
      </w:pPr>
      <w:r w:rsidRPr="00E96312">
        <w:rPr>
          <w:szCs w:val="22"/>
        </w:rPr>
        <w:t xml:space="preserve">By this </w:t>
      </w:r>
      <w:r w:rsidRPr="00E96312">
        <w:rPr>
          <w:i/>
          <w:iCs/>
          <w:szCs w:val="22"/>
        </w:rPr>
        <w:t>Public Notice</w:t>
      </w:r>
      <w:r w:rsidRPr="00E96312">
        <w:rPr>
          <w:szCs w:val="22"/>
        </w:rPr>
        <w:t xml:space="preserve">, the Wireless Telecommunications Bureau seeks comment on all aspects of this petition for waiver.  To develop a complete record on the issues presented by this request, the proceeding will be treated, for </w:t>
      </w:r>
      <w:r w:rsidRPr="00E96312">
        <w:rPr>
          <w:i/>
          <w:iCs/>
          <w:szCs w:val="22"/>
        </w:rPr>
        <w:t xml:space="preserve">ex </w:t>
      </w:r>
      <w:r w:rsidRPr="00E96312">
        <w:rPr>
          <w:i/>
          <w:iCs/>
          <w:szCs w:val="22"/>
        </w:rPr>
        <w:t>parte</w:t>
      </w:r>
      <w:r w:rsidRPr="00E96312">
        <w:rPr>
          <w:i/>
          <w:iCs/>
          <w:szCs w:val="22"/>
        </w:rPr>
        <w:t xml:space="preserve"> </w:t>
      </w:r>
      <w:r w:rsidRPr="00E96312">
        <w:rPr>
          <w:szCs w:val="22"/>
        </w:rPr>
        <w:t>purposes, as a “permit-but-disclose” proceeding in accordance with section 1.1200(a) of the Commission’s rules,</w:t>
      </w:r>
      <w:r>
        <w:rPr>
          <w:szCs w:val="22"/>
          <w:vertAlign w:val="superscript"/>
        </w:rPr>
        <w:footnoteReference w:id="10"/>
      </w:r>
      <w:r w:rsidRPr="00E96312">
        <w:rPr>
          <w:szCs w:val="22"/>
        </w:rPr>
        <w:t xml:space="preserve"> subject to the requirements under section 1.1206(b).</w:t>
      </w:r>
      <w:r>
        <w:rPr>
          <w:szCs w:val="22"/>
          <w:vertAlign w:val="superscript"/>
        </w:rPr>
        <w:footnoteReference w:id="11"/>
      </w:r>
      <w:r w:rsidRPr="00E96312">
        <w:rPr>
          <w:szCs w:val="22"/>
        </w:rPr>
        <w:t xml:space="preserve">  </w:t>
      </w:r>
      <w:r w:rsidRPr="005510FB" w:rsidR="004D0625">
        <w:rPr>
          <w:szCs w:val="22"/>
        </w:rPr>
        <w:t>GME</w:t>
      </w:r>
      <w:r w:rsidRPr="00E96312">
        <w:rPr>
          <w:szCs w:val="22"/>
        </w:rPr>
        <w:t xml:space="preserve"> filed its petition electronically as a non-docketed proceeding in the Commission’s Electronic Comment Filing System.</w:t>
      </w:r>
      <w:r>
        <w:rPr>
          <w:szCs w:val="22"/>
          <w:vertAlign w:val="superscript"/>
        </w:rPr>
        <w:footnoteReference w:id="12"/>
      </w:r>
      <w:r w:rsidRPr="00E96312">
        <w:rPr>
          <w:szCs w:val="22"/>
        </w:rPr>
        <w:t xml:space="preserve">  We have opened a new docket, </w:t>
      </w:r>
      <w:r w:rsidRPr="00915DF8">
        <w:rPr>
          <w:b/>
          <w:bCs/>
          <w:szCs w:val="22"/>
        </w:rPr>
        <w:t>WT Docket 26-</w:t>
      </w:r>
      <w:r w:rsidRPr="00915DF8" w:rsidR="00915DF8">
        <w:rPr>
          <w:b/>
          <w:bCs/>
          <w:szCs w:val="22"/>
        </w:rPr>
        <w:t>157</w:t>
      </w:r>
      <w:r w:rsidRPr="00E96312">
        <w:rPr>
          <w:szCs w:val="22"/>
        </w:rPr>
        <w:t xml:space="preserve">, to facilitate consideration of this request and have moved </w:t>
      </w:r>
      <w:r w:rsidRPr="005510FB" w:rsidR="004D0625">
        <w:rPr>
          <w:szCs w:val="22"/>
        </w:rPr>
        <w:t>GME</w:t>
      </w:r>
      <w:r w:rsidRPr="00E96312">
        <w:rPr>
          <w:szCs w:val="22"/>
        </w:rPr>
        <w:t xml:space="preserve">’s petition into this docket.  Parties should file all comments and reply comments in </w:t>
      </w:r>
      <w:r w:rsidRPr="00915DF8">
        <w:rPr>
          <w:b/>
          <w:bCs/>
          <w:szCs w:val="22"/>
        </w:rPr>
        <w:t>WT Docket 2</w:t>
      </w:r>
      <w:r w:rsidRPr="00915DF8" w:rsidR="00D652E6">
        <w:rPr>
          <w:b/>
          <w:bCs/>
          <w:szCs w:val="22"/>
        </w:rPr>
        <w:t>6</w:t>
      </w:r>
      <w:r w:rsidRPr="00915DF8">
        <w:rPr>
          <w:b/>
          <w:bCs/>
          <w:szCs w:val="22"/>
        </w:rPr>
        <w:t>-</w:t>
      </w:r>
      <w:r w:rsidR="00915DF8">
        <w:rPr>
          <w:b/>
          <w:bCs/>
          <w:szCs w:val="22"/>
        </w:rPr>
        <w:t>157</w:t>
      </w:r>
      <w:r w:rsidRPr="00E96312">
        <w:rPr>
          <w:szCs w:val="22"/>
        </w:rPr>
        <w:t>.</w:t>
      </w:r>
    </w:p>
    <w:p w:rsidR="002C07F4" w:rsidRPr="002C07F4" w:rsidP="002C07F4" w14:paraId="3E17AA29" w14:textId="21407F66">
      <w:pPr>
        <w:widowControl/>
        <w:spacing w:after="120"/>
        <w:ind w:firstLine="720"/>
        <w:rPr>
          <w:szCs w:val="22"/>
        </w:rPr>
      </w:pPr>
      <w:r w:rsidRPr="002C07F4">
        <w:rPr>
          <w:i/>
          <w:iCs/>
          <w:szCs w:val="22"/>
        </w:rPr>
        <w:t>Filing Requirements.</w:t>
      </w:r>
      <w:r w:rsidRPr="002C07F4">
        <w:rPr>
          <w:szCs w:val="22"/>
        </w:rPr>
        <w:t xml:space="preserve">  Interested parties may file comments and reply comments on or before the dates indicated on the first page of this document and must reference </w:t>
      </w:r>
      <w:r w:rsidRPr="00915DF8">
        <w:rPr>
          <w:b/>
          <w:bCs/>
          <w:szCs w:val="22"/>
        </w:rPr>
        <w:t>WT Docket N</w:t>
      </w:r>
      <w:r w:rsidRPr="00915DF8" w:rsidR="0004382E">
        <w:rPr>
          <w:b/>
          <w:bCs/>
          <w:szCs w:val="22"/>
        </w:rPr>
        <w:t>o. 26-</w:t>
      </w:r>
      <w:r w:rsidRPr="00915DF8" w:rsidR="00915DF8">
        <w:rPr>
          <w:b/>
          <w:bCs/>
          <w:szCs w:val="22"/>
        </w:rPr>
        <w:t>157</w:t>
      </w:r>
      <w:r w:rsidRPr="002C07F4">
        <w:rPr>
          <w:szCs w:val="22"/>
        </w:rPr>
        <w:t>.  Comments may be filed using the Commission’s Electronic Comment Filing System (ECFS).</w:t>
      </w:r>
    </w:p>
    <w:p w:rsidR="002C07F4" w:rsidRPr="002C07F4" w:rsidP="002C07F4" w14:paraId="2CE7AFF3" w14:textId="77777777">
      <w:pPr>
        <w:widowControl/>
        <w:numPr>
          <w:ilvl w:val="0"/>
          <w:numId w:val="9"/>
        </w:numPr>
        <w:spacing w:after="120"/>
        <w:rPr>
          <w:szCs w:val="22"/>
        </w:rPr>
      </w:pPr>
      <w:r w:rsidRPr="002C07F4">
        <w:rPr>
          <w:i/>
          <w:szCs w:val="22"/>
        </w:rPr>
        <w:t>Electronic Filers</w:t>
      </w:r>
      <w:r w:rsidRPr="002C07F4">
        <w:rPr>
          <w:i/>
          <w:iCs/>
          <w:szCs w:val="22"/>
        </w:rPr>
        <w:t>:</w:t>
      </w:r>
      <w:r w:rsidRPr="002C07F4">
        <w:rPr>
          <w:szCs w:val="22"/>
        </w:rPr>
        <w:t xml:space="preserve">  Comments may be filed electronically using the Internet by accessing the ECFS: </w:t>
      </w:r>
      <w:hyperlink r:id="rId6">
        <w:r w:rsidRPr="002C07F4">
          <w:rPr>
            <w:color w:val="0000FF"/>
            <w:szCs w:val="22"/>
            <w:u w:val="single"/>
          </w:rPr>
          <w:t>https://www.fcc.gov/ecfs</w:t>
        </w:r>
      </w:hyperlink>
      <w:r w:rsidRPr="002C07F4">
        <w:rPr>
          <w:szCs w:val="22"/>
        </w:rPr>
        <w:t>.</w:t>
      </w:r>
    </w:p>
    <w:p w:rsidR="002C07F4" w:rsidRPr="002C07F4" w:rsidP="002C07F4" w14:paraId="4F55DAF0" w14:textId="77777777">
      <w:pPr>
        <w:widowControl/>
        <w:numPr>
          <w:ilvl w:val="0"/>
          <w:numId w:val="9"/>
        </w:numPr>
        <w:spacing w:after="120"/>
        <w:rPr>
          <w:szCs w:val="22"/>
        </w:rPr>
      </w:pPr>
      <w:r w:rsidRPr="002C07F4">
        <w:rPr>
          <w:i/>
          <w:szCs w:val="22"/>
        </w:rPr>
        <w:t>Paper Filers</w:t>
      </w:r>
      <w:r w:rsidRPr="002C07F4">
        <w:rPr>
          <w:i/>
          <w:iCs/>
          <w:szCs w:val="22"/>
        </w:rPr>
        <w:t>:</w:t>
      </w:r>
      <w:r w:rsidRPr="002C07F4">
        <w:rPr>
          <w:szCs w:val="22"/>
        </w:rPr>
        <w:t xml:space="preserve">  Parties filing by paper must file an original and one copy of each filing.</w:t>
      </w:r>
    </w:p>
    <w:p w:rsidR="002C07F4" w:rsidRPr="002C07F4" w:rsidP="002C07F4" w14:paraId="2BBD04FA" w14:textId="77777777">
      <w:pPr>
        <w:widowControl/>
        <w:numPr>
          <w:ilvl w:val="0"/>
          <w:numId w:val="10"/>
        </w:numPr>
        <w:spacing w:after="120"/>
        <w:rPr>
          <w:b/>
          <w:bCs/>
          <w:iCs/>
          <w:szCs w:val="22"/>
        </w:rPr>
      </w:pPr>
      <w:r w:rsidRPr="002C07F4">
        <w:rPr>
          <w:iCs/>
          <w:szCs w:val="22"/>
        </w:rPr>
        <w:t xml:space="preserve">Filings can be sent by hand or messenger delivery, by commercial courier, or by the U.S. Postal Service.  </w:t>
      </w:r>
      <w:r w:rsidRPr="002C07F4">
        <w:rPr>
          <w:b/>
          <w:bCs/>
          <w:iCs/>
          <w:szCs w:val="22"/>
        </w:rPr>
        <w:t>All filings must be addressed to the Secretary, Federal Communications Commission.</w:t>
      </w:r>
    </w:p>
    <w:p w:rsidR="002C07F4" w:rsidRPr="002C07F4" w:rsidP="002C07F4" w14:paraId="0D74B1DB" w14:textId="77777777">
      <w:pPr>
        <w:widowControl/>
        <w:numPr>
          <w:ilvl w:val="0"/>
          <w:numId w:val="10"/>
        </w:numPr>
        <w:spacing w:after="120"/>
        <w:rPr>
          <w:iCs/>
          <w:szCs w:val="22"/>
        </w:rPr>
      </w:pPr>
      <w:r w:rsidRPr="002C07F4">
        <w:rPr>
          <w:iCs/>
          <w:szCs w:val="22"/>
        </w:rPr>
        <w:t>Hand-delivered or messenger-delivered paper filings for the Commission’s Secretary are accepted between 8:00 a.m. and 4:00 p.m. by the FCC’s mailing contractor at 9050 Junction Drive, Annapolis Junction, MD 20701.  All hand deliveries must be held together with rubber bands or fasteners.  Any envelopes and boxes must be disposed of before entering the building.</w:t>
      </w:r>
    </w:p>
    <w:p w:rsidR="002C07F4" w:rsidRPr="002C07F4" w:rsidP="002C07F4" w14:paraId="50D7D987" w14:textId="77777777">
      <w:pPr>
        <w:widowControl/>
        <w:numPr>
          <w:ilvl w:val="0"/>
          <w:numId w:val="10"/>
        </w:numPr>
        <w:spacing w:after="120"/>
        <w:rPr>
          <w:iCs/>
          <w:szCs w:val="22"/>
        </w:rPr>
      </w:pPr>
      <w:r w:rsidRPr="002C07F4">
        <w:rPr>
          <w:iCs/>
          <w:szCs w:val="22"/>
        </w:rPr>
        <w:t>Commercial courier deliveries (any deliveries not by the U.S. Postal Service) must be sent to 9050 Junction Drive, Annapolis Junction, MD 20701.</w:t>
      </w:r>
    </w:p>
    <w:p w:rsidR="002C07F4" w:rsidRPr="002C07F4" w:rsidP="002C07F4" w14:paraId="03C0E803" w14:textId="77777777">
      <w:pPr>
        <w:widowControl/>
        <w:numPr>
          <w:ilvl w:val="0"/>
          <w:numId w:val="10"/>
        </w:numPr>
        <w:spacing w:after="120"/>
        <w:rPr>
          <w:iCs/>
          <w:szCs w:val="22"/>
        </w:rPr>
      </w:pPr>
      <w:r w:rsidRPr="002C07F4">
        <w:rPr>
          <w:iCs/>
          <w:szCs w:val="22"/>
        </w:rPr>
        <w:t>Filings sent by U.S. Postal Service First-Class Mail, Priority Mail, and Priority Mail Express must be sent to 45 L Street NE, Washington, DC 20554.</w:t>
      </w:r>
    </w:p>
    <w:p w:rsidR="002C07F4" w:rsidRPr="002C07F4" w:rsidP="002C07F4" w14:paraId="1A917802" w14:textId="6D349070">
      <w:pPr>
        <w:widowControl/>
        <w:autoSpaceDE w:val="0"/>
        <w:autoSpaceDN w:val="0"/>
        <w:adjustRightInd w:val="0"/>
        <w:spacing w:after="120"/>
        <w:ind w:firstLine="720"/>
        <w:rPr>
          <w:snapToGrid/>
          <w:color w:val="000000"/>
          <w:kern w:val="0"/>
          <w:szCs w:val="22"/>
        </w:rPr>
      </w:pPr>
      <w:r w:rsidRPr="002C07F4">
        <w:rPr>
          <w:i/>
          <w:iCs/>
          <w:snapToGrid/>
          <w:color w:val="000000"/>
          <w:kern w:val="0"/>
          <w:szCs w:val="22"/>
        </w:rPr>
        <w:t>People with Disabilities</w:t>
      </w:r>
      <w:r w:rsidRPr="002C07F4">
        <w:rPr>
          <w:snapToGrid/>
          <w:color w:val="000000"/>
          <w:kern w:val="0"/>
          <w:szCs w:val="22"/>
        </w:rPr>
        <w:t xml:space="preserve">.  To request materials in accessible formats for people with disabilities (braille, large print, electronic files, audio format), send an e-mail to </w:t>
      </w:r>
      <w:hyperlink r:id="rId7" w:history="1">
        <w:r w:rsidRPr="002C07F4">
          <w:rPr>
            <w:snapToGrid/>
            <w:color w:val="0000FF"/>
            <w:kern w:val="0"/>
            <w:szCs w:val="22"/>
            <w:u w:val="single"/>
          </w:rPr>
          <w:t>fcc504@fcc.gov</w:t>
        </w:r>
      </w:hyperlink>
      <w:r w:rsidRPr="002C07F4">
        <w:rPr>
          <w:snapToGrid/>
          <w:color w:val="000000"/>
          <w:kern w:val="0"/>
          <w:szCs w:val="22"/>
        </w:rPr>
        <w:t xml:space="preserve"> or call the Consumer &amp; Governmental Affairs Bureau at 202-418-0530.</w:t>
      </w:r>
    </w:p>
    <w:p w:rsidR="002C07F4" w:rsidRPr="002C07F4" w:rsidP="002C07F4" w14:paraId="59B5B20D" w14:textId="77777777">
      <w:pPr>
        <w:widowControl/>
        <w:spacing w:after="120"/>
        <w:ind w:firstLine="720"/>
        <w:rPr>
          <w:szCs w:val="22"/>
        </w:rPr>
      </w:pPr>
      <w:r w:rsidRPr="002C07F4">
        <w:rPr>
          <w:i/>
          <w:iCs/>
          <w:szCs w:val="22"/>
        </w:rPr>
        <w:t>Availability of Documents</w:t>
      </w:r>
      <w:r w:rsidRPr="002C07F4">
        <w:rPr>
          <w:szCs w:val="22"/>
        </w:rPr>
        <w:t xml:space="preserve">.  Comments, reply comments, and </w:t>
      </w:r>
      <w:r w:rsidRPr="002C07F4">
        <w:rPr>
          <w:i/>
          <w:iCs/>
          <w:szCs w:val="22"/>
        </w:rPr>
        <w:t xml:space="preserve">ex </w:t>
      </w:r>
      <w:r w:rsidRPr="002C07F4">
        <w:rPr>
          <w:i/>
          <w:iCs/>
          <w:szCs w:val="22"/>
        </w:rPr>
        <w:t>parte</w:t>
      </w:r>
      <w:r w:rsidRPr="002C07F4">
        <w:rPr>
          <w:szCs w:val="22"/>
        </w:rPr>
        <w:t xml:space="preserve"> submissions will be available via ECFS.  Documents will be available electronically in ASCII, Microsoft Word, and/or Adobe Acrobat.</w:t>
      </w:r>
    </w:p>
    <w:p w:rsidR="00E96312" w:rsidRPr="00E96312" w:rsidP="00E96312" w14:paraId="255C8FB1" w14:textId="77777777">
      <w:pPr>
        <w:spacing w:after="240"/>
        <w:ind w:firstLine="720"/>
        <w:rPr>
          <w:szCs w:val="22"/>
        </w:rPr>
      </w:pPr>
      <w:r w:rsidRPr="00E96312">
        <w:rPr>
          <w:i/>
          <w:szCs w:val="22"/>
        </w:rPr>
        <w:t xml:space="preserve">Ex </w:t>
      </w:r>
      <w:r w:rsidRPr="00E96312">
        <w:rPr>
          <w:i/>
          <w:szCs w:val="22"/>
        </w:rPr>
        <w:t>Parte</w:t>
      </w:r>
      <w:r w:rsidRPr="00E96312">
        <w:rPr>
          <w:i/>
          <w:szCs w:val="22"/>
        </w:rPr>
        <w:t xml:space="preserve"> Rules</w:t>
      </w:r>
      <w:r w:rsidRPr="00E96312">
        <w:rPr>
          <w:szCs w:val="22"/>
        </w:rPr>
        <w:t xml:space="preserve">.  As stated above, the proceeding this Notice initiates shall be treated as a “permit-but-disclose” proceeding in accordance with the Commission’s </w:t>
      </w:r>
      <w:r w:rsidRPr="00E96312">
        <w:rPr>
          <w:i/>
          <w:iCs/>
          <w:szCs w:val="22"/>
        </w:rPr>
        <w:t xml:space="preserve">ex </w:t>
      </w:r>
      <w:r w:rsidRPr="00E96312">
        <w:rPr>
          <w:i/>
          <w:iCs/>
          <w:szCs w:val="22"/>
        </w:rPr>
        <w:t>parte</w:t>
      </w:r>
      <w:r w:rsidRPr="00E96312">
        <w:rPr>
          <w:i/>
          <w:iCs/>
          <w:szCs w:val="22"/>
        </w:rPr>
        <w:t xml:space="preserve"> </w:t>
      </w:r>
      <w:r w:rsidRPr="00E96312">
        <w:rPr>
          <w:szCs w:val="22"/>
        </w:rPr>
        <w:t>rules.</w:t>
      </w:r>
      <w:r>
        <w:rPr>
          <w:szCs w:val="22"/>
          <w:vertAlign w:val="superscript"/>
        </w:rPr>
        <w:footnoteReference w:id="13"/>
      </w:r>
      <w:r w:rsidRPr="00E96312">
        <w:rPr>
          <w:szCs w:val="22"/>
        </w:rPr>
        <w:t xml:space="preserve">  Persons making </w:t>
      </w:r>
      <w:r w:rsidRPr="00E96312">
        <w:rPr>
          <w:i/>
          <w:szCs w:val="22"/>
        </w:rPr>
        <w:t xml:space="preserve">ex </w:t>
      </w:r>
      <w:r w:rsidRPr="00E96312">
        <w:rPr>
          <w:i/>
          <w:szCs w:val="22"/>
        </w:rPr>
        <w:t>parte</w:t>
      </w:r>
      <w:r w:rsidRPr="00E96312">
        <w:rPr>
          <w:i/>
          <w:szCs w:val="22"/>
        </w:rPr>
        <w:t xml:space="preserve"> </w:t>
      </w:r>
      <w:r w:rsidRPr="00E96312">
        <w:rPr>
          <w:szCs w:val="22"/>
        </w:rPr>
        <w:t xml:space="preserve">presentations must file a copy of any written presentation or a memorandum summarizing any oral presentation within two business days after the presentation (unless a different deadline applicable to the Sunshine period applies).  Persons making oral </w:t>
      </w:r>
      <w:r w:rsidRPr="00E96312">
        <w:rPr>
          <w:i/>
          <w:iCs/>
          <w:szCs w:val="22"/>
        </w:rPr>
        <w:t xml:space="preserve">ex </w:t>
      </w:r>
      <w:r w:rsidRPr="00E96312">
        <w:rPr>
          <w:i/>
          <w:iCs/>
          <w:szCs w:val="22"/>
        </w:rPr>
        <w:t>parte</w:t>
      </w:r>
      <w:r w:rsidRPr="00E96312">
        <w:rPr>
          <w:i/>
          <w:iCs/>
          <w:szCs w:val="22"/>
        </w:rPr>
        <w:t xml:space="preserve"> </w:t>
      </w:r>
      <w:r w:rsidRPr="00E96312">
        <w:rPr>
          <w:szCs w:val="22"/>
        </w:rPr>
        <w:t xml:space="preserve">presentations are reminded that memoranda summarizing the presentation must (1) list all persons attending or otherwise participating in the meeting at which the </w:t>
      </w:r>
      <w:r w:rsidRPr="00E96312">
        <w:rPr>
          <w:i/>
          <w:iCs/>
          <w:szCs w:val="22"/>
        </w:rPr>
        <w:t xml:space="preserve">ex </w:t>
      </w:r>
      <w:r w:rsidRPr="00E96312">
        <w:rPr>
          <w:i/>
          <w:iCs/>
          <w:szCs w:val="22"/>
        </w:rPr>
        <w:t>parte</w:t>
      </w:r>
      <w:r w:rsidRPr="00E96312">
        <w:rPr>
          <w:i/>
          <w:iCs/>
          <w:szCs w:val="22"/>
        </w:rPr>
        <w:t xml:space="preserve"> </w:t>
      </w:r>
      <w:r w:rsidRPr="00E96312">
        <w:rPr>
          <w:szCs w:val="22"/>
        </w:rPr>
        <w:t xml:space="preserve">presentation was made, and (2) summarize all data presented and arguments made </w:t>
      </w:r>
      <w:r w:rsidRPr="00E96312">
        <w:rPr>
          <w:szCs w:val="22"/>
        </w:rPr>
        <w:t xml:space="preserve">during the presentation.  If the presentation consisted in whole or in part of the presentation of data or arguments already reflected in the presenter’s written comments, memoranda or other filings in the proceeding, the presenter may provide citations to such data or arguments in his or her prior comments, memoranda, or other filings (specifying the relevant page and/or paragraph numbers where such data or arguments can be found) in lieu of summarizing them in the memorandum.  Documents shown or given to Commission staff during </w:t>
      </w:r>
      <w:r w:rsidRPr="00E96312">
        <w:rPr>
          <w:i/>
          <w:iCs/>
          <w:szCs w:val="22"/>
        </w:rPr>
        <w:t xml:space="preserve">ex </w:t>
      </w:r>
      <w:r w:rsidRPr="00E96312">
        <w:rPr>
          <w:i/>
          <w:iCs/>
          <w:szCs w:val="22"/>
        </w:rPr>
        <w:t>parte</w:t>
      </w:r>
      <w:r w:rsidRPr="00E96312">
        <w:rPr>
          <w:i/>
          <w:iCs/>
          <w:szCs w:val="22"/>
        </w:rPr>
        <w:t xml:space="preserve"> </w:t>
      </w:r>
      <w:r w:rsidRPr="00E96312">
        <w:rPr>
          <w:szCs w:val="22"/>
        </w:rPr>
        <w:t xml:space="preserve">meetings are deemed to be written </w:t>
      </w:r>
      <w:r w:rsidRPr="00E96312">
        <w:rPr>
          <w:i/>
          <w:iCs/>
          <w:szCs w:val="22"/>
        </w:rPr>
        <w:t xml:space="preserve">ex </w:t>
      </w:r>
      <w:r w:rsidRPr="00E96312">
        <w:rPr>
          <w:i/>
          <w:iCs/>
          <w:szCs w:val="22"/>
        </w:rPr>
        <w:t>parte</w:t>
      </w:r>
      <w:r w:rsidRPr="00E96312">
        <w:rPr>
          <w:szCs w:val="22"/>
        </w:rPr>
        <w:t xml:space="preserve"> presentations and must be filed consistent with rule 1.1206(b).  In proceedings governed by rule 1.49(f) or for which the Commission has made available a method of electronic filing, written </w:t>
      </w:r>
      <w:r w:rsidRPr="00E96312">
        <w:rPr>
          <w:i/>
          <w:iCs/>
          <w:szCs w:val="22"/>
        </w:rPr>
        <w:t xml:space="preserve">ex </w:t>
      </w:r>
      <w:r w:rsidRPr="00E96312">
        <w:rPr>
          <w:i/>
          <w:iCs/>
          <w:szCs w:val="22"/>
        </w:rPr>
        <w:t>parte</w:t>
      </w:r>
      <w:r w:rsidRPr="00E96312">
        <w:rPr>
          <w:i/>
          <w:iCs/>
          <w:szCs w:val="22"/>
        </w:rPr>
        <w:t xml:space="preserve"> </w:t>
      </w:r>
      <w:r w:rsidRPr="00E96312">
        <w:rPr>
          <w:szCs w:val="22"/>
        </w:rPr>
        <w:t xml:space="preserve">presentations and memoranda summarizing oral </w:t>
      </w:r>
      <w:r w:rsidRPr="00E96312">
        <w:rPr>
          <w:i/>
          <w:iCs/>
          <w:szCs w:val="22"/>
        </w:rPr>
        <w:t xml:space="preserve">ex </w:t>
      </w:r>
      <w:r w:rsidRPr="00E96312">
        <w:rPr>
          <w:i/>
          <w:iCs/>
          <w:szCs w:val="22"/>
        </w:rPr>
        <w:t>parte</w:t>
      </w:r>
      <w:r w:rsidRPr="00E96312">
        <w:rPr>
          <w:i/>
          <w:iCs/>
          <w:szCs w:val="22"/>
        </w:rPr>
        <w:t xml:space="preserve"> </w:t>
      </w:r>
      <w:r w:rsidRPr="00E96312">
        <w:rPr>
          <w:szCs w:val="22"/>
        </w:rPr>
        <w:t>presentations, and all attachments thereto, must be filed through the electronic comment filing system available for that proceeding, and must be filed in their native format (</w:t>
      </w:r>
      <w:r w:rsidRPr="00E96312">
        <w:rPr>
          <w:i/>
          <w:iCs/>
          <w:szCs w:val="22"/>
        </w:rPr>
        <w:t>e.g.</w:t>
      </w:r>
      <w:r w:rsidRPr="00E96312">
        <w:rPr>
          <w:szCs w:val="22"/>
        </w:rPr>
        <w:t xml:space="preserve">, .doc, .xml, .ppt, searchable .pdf).  Participants in this proceeding should familiarize themselves with the Commission’s </w:t>
      </w:r>
      <w:r w:rsidRPr="00E96312">
        <w:rPr>
          <w:i/>
          <w:iCs/>
          <w:szCs w:val="22"/>
        </w:rPr>
        <w:t xml:space="preserve">ex </w:t>
      </w:r>
      <w:r w:rsidRPr="00E96312">
        <w:rPr>
          <w:i/>
          <w:iCs/>
          <w:szCs w:val="22"/>
        </w:rPr>
        <w:t>parte</w:t>
      </w:r>
      <w:r w:rsidRPr="00E96312">
        <w:rPr>
          <w:i/>
          <w:iCs/>
          <w:szCs w:val="22"/>
        </w:rPr>
        <w:t xml:space="preserve"> </w:t>
      </w:r>
      <w:r w:rsidRPr="00E96312">
        <w:rPr>
          <w:szCs w:val="22"/>
        </w:rPr>
        <w:t>rules.</w:t>
      </w:r>
    </w:p>
    <w:p w:rsidR="00E96312" w:rsidRPr="00E96312" w:rsidP="00E96312" w14:paraId="6B0140C8" w14:textId="61980F32">
      <w:pPr>
        <w:spacing w:after="240"/>
        <w:ind w:firstLine="720"/>
        <w:rPr>
          <w:szCs w:val="22"/>
        </w:rPr>
      </w:pPr>
      <w:r w:rsidRPr="00E96312">
        <w:rPr>
          <w:szCs w:val="22"/>
        </w:rPr>
        <w:t xml:space="preserve">For further information, contact </w:t>
      </w:r>
      <w:r w:rsidR="00590833">
        <w:rPr>
          <w:szCs w:val="22"/>
        </w:rPr>
        <w:t>Morgan Mendenhall</w:t>
      </w:r>
      <w:r w:rsidRPr="00E96312">
        <w:rPr>
          <w:szCs w:val="22"/>
        </w:rPr>
        <w:t xml:space="preserve"> of the Wireless Telecommunications Bureau, Mobility Division, at</w:t>
      </w:r>
      <w:r w:rsidR="00590833">
        <w:rPr>
          <w:szCs w:val="22"/>
        </w:rPr>
        <w:t xml:space="preserve"> </w:t>
      </w:r>
      <w:hyperlink r:id="rId8" w:history="1">
        <w:r w:rsidRPr="00AF783E" w:rsidR="00DC5FA9">
          <w:rPr>
            <w:rStyle w:val="Hyperlink"/>
            <w:szCs w:val="22"/>
          </w:rPr>
          <w:t>Morgan.Mendenhall@fcc.gov</w:t>
        </w:r>
      </w:hyperlink>
      <w:r w:rsidR="00DC5FA9">
        <w:rPr>
          <w:szCs w:val="22"/>
        </w:rPr>
        <w:t xml:space="preserve">. </w:t>
      </w:r>
    </w:p>
    <w:p w:rsidR="00C45940" w:rsidRPr="00334618" w:rsidP="00C45940" w14:paraId="4E26A1B8" w14:textId="77777777">
      <w:pPr>
        <w:tabs>
          <w:tab w:val="left" w:pos="6480"/>
          <w:tab w:val="left" w:pos="6660"/>
        </w:tabs>
        <w:spacing w:before="60"/>
        <w:jc w:val="center"/>
        <w:rPr>
          <w:szCs w:val="22"/>
        </w:rPr>
      </w:pPr>
      <w:r>
        <w:t>Action by the Chief, Mobility Division, Wireless Telecommunications Bureau.</w:t>
      </w:r>
    </w:p>
    <w:p w:rsidR="00E96312" w:rsidRPr="00E96312" w:rsidP="00E96312" w14:paraId="0A2B893A" w14:textId="77777777">
      <w:pPr>
        <w:autoSpaceDE w:val="0"/>
        <w:autoSpaceDN w:val="0"/>
        <w:adjustRightInd w:val="0"/>
        <w:rPr>
          <w:szCs w:val="22"/>
        </w:rPr>
      </w:pPr>
    </w:p>
    <w:p w:rsidR="00E96312" w:rsidRPr="00E96312" w:rsidP="00E96312" w14:paraId="433C360F" w14:textId="77777777">
      <w:pPr>
        <w:ind w:firstLine="720"/>
        <w:jc w:val="center"/>
        <w:rPr>
          <w:b/>
          <w:bCs/>
        </w:rPr>
      </w:pPr>
      <w:r w:rsidRPr="00E96312">
        <w:rPr>
          <w:b/>
          <w:bCs/>
        </w:rPr>
        <w:t>- FCC -</w:t>
      </w:r>
    </w:p>
    <w:p w:rsidR="00E96312" w:rsidRPr="00E96312" w:rsidP="00E96312" w14:paraId="77F2BBEE" w14:textId="77777777">
      <w:pPr>
        <w:autoSpaceDE w:val="0"/>
        <w:autoSpaceDN w:val="0"/>
        <w:adjustRightInd w:val="0"/>
        <w:spacing w:after="120"/>
        <w:jc w:val="center"/>
        <w:rPr>
          <w:b/>
          <w:bCs/>
          <w:szCs w:val="22"/>
        </w:rPr>
      </w:pPr>
    </w:p>
    <w:p w:rsidR="00BA3BA8" w14:paraId="6CCEF855" w14:textId="77777777"/>
    <w:sectPr>
      <w:headerReference w:type="default" r:id="rId9"/>
      <w:footerReference w:type="even" r:id="rId10"/>
      <w:footerReference w:type="default" r:id="rId11"/>
      <w:headerReference w:type="first" r:id="rId12"/>
      <w:footerReference w:type="first" r:id="rId13"/>
      <w:endnotePr>
        <w:numFmt w:val="decimal"/>
      </w:endnotePr>
      <w:pgSz w:w="12240" w:h="15840"/>
      <w:pgMar w:top="1440" w:right="1440" w:bottom="720" w:left="1440" w:header="63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F23BDE" w14:paraId="44D0B53D" w14:textId="77777777">
      <w:pPr>
        <w:spacing w:line="20" w:lineRule="exact"/>
      </w:pPr>
    </w:p>
  </w:endnote>
  <w:endnote w:type="continuationSeparator" w:id="1">
    <w:p w:rsidR="00F23BDE" w14:paraId="5EAD4FA0" w14:textId="77777777">
      <w:r>
        <w:t xml:space="preserve"> </w:t>
      </w:r>
    </w:p>
  </w:endnote>
  <w:endnote w:type="continuationNotice" w:id="2">
    <w:p w:rsidR="00F23BDE" w14:paraId="2DE22E82"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altName w:val="Times New Roman"/>
    <w:panose1 w:val="02020803070505020304"/>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58A5CF95" w14:textId="77777777">
    <w:pPr>
      <w:pStyle w:val="Footer"/>
      <w:framePr w:wrap="around" w:vAnchor="text" w:hAnchor="margin" w:xAlign="center" w:y="1"/>
    </w:pPr>
    <w:r>
      <w:fldChar w:fldCharType="begin"/>
    </w:r>
    <w:r>
      <w:instrText xml:space="preserve">PAGE  </w:instrText>
    </w:r>
    <w:r>
      <w:fldChar w:fldCharType="separate"/>
    </w:r>
    <w:r>
      <w:fldChar w:fldCharType="end"/>
    </w:r>
  </w:p>
  <w:p w:rsidR="00BA3BA8" w14:paraId="6C197B44"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55EBF74A"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22034E33"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F23BDE" w14:paraId="7F1E54EC" w14:textId="77777777">
      <w:r>
        <w:separator/>
      </w:r>
    </w:p>
  </w:footnote>
  <w:footnote w:type="continuationSeparator" w:id="1">
    <w:p w:rsidR="00F23BDE" w14:paraId="0650BDF0" w14:textId="77777777">
      <w:pPr>
        <w:rPr>
          <w:sz w:val="20"/>
        </w:rPr>
      </w:pPr>
      <w:r>
        <w:rPr>
          <w:sz w:val="20"/>
        </w:rPr>
        <w:t xml:space="preserve">(Continued from previous page)  </w:t>
      </w:r>
      <w:r>
        <w:rPr>
          <w:sz w:val="20"/>
        </w:rPr>
        <w:separator/>
      </w:r>
    </w:p>
  </w:footnote>
  <w:footnote w:type="continuationNotice" w:id="2">
    <w:p w:rsidR="00F23BDE" w14:paraId="4A48038F" w14:textId="77777777">
      <w:pPr>
        <w:jc w:val="right"/>
        <w:rPr>
          <w:sz w:val="20"/>
        </w:rPr>
      </w:pPr>
      <w:r>
        <w:rPr>
          <w:sz w:val="20"/>
        </w:rPr>
        <w:t>(continued….)</w:t>
      </w:r>
    </w:p>
  </w:footnote>
  <w:footnote w:id="3">
    <w:p w:rsidR="004D3BD1" w14:paraId="0E6D668B" w14:textId="7C083976">
      <w:pPr>
        <w:pStyle w:val="FootnoteText"/>
      </w:pPr>
      <w:r>
        <w:rPr>
          <w:rStyle w:val="FootnoteReference"/>
        </w:rPr>
        <w:footnoteRef/>
      </w:r>
      <w:r>
        <w:t xml:space="preserve"> </w:t>
      </w:r>
      <w:r w:rsidR="004E64AD">
        <w:t>Request For Waiver</w:t>
      </w:r>
      <w:r w:rsidR="006516A5">
        <w:t xml:space="preserve">, </w:t>
      </w:r>
      <w:r w:rsidRPr="00C40796" w:rsidR="00C40796">
        <w:t>Non-Docketed ECFS INBOX-1.3</w:t>
      </w:r>
      <w:r w:rsidR="00C40796">
        <w:t xml:space="preserve"> (Mar. </w:t>
      </w:r>
      <w:r w:rsidR="00D12C32">
        <w:t>4</w:t>
      </w:r>
      <w:r w:rsidR="00C40796">
        <w:t>, 2026)</w:t>
      </w:r>
      <w:r w:rsidR="00E813F2">
        <w:t xml:space="preserve">, </w:t>
      </w:r>
      <w:hyperlink r:id="rId1" w:history="1">
        <w:r w:rsidRPr="00AF783E" w:rsidR="00E813F2">
          <w:rPr>
            <w:rStyle w:val="Hyperlink"/>
          </w:rPr>
          <w:t>https://www.fcc.gov/ecfs/search/search-filings/filing/103041261102813</w:t>
        </w:r>
      </w:hyperlink>
      <w:r w:rsidR="00E813F2">
        <w:t xml:space="preserve"> (GME Petition). </w:t>
      </w:r>
    </w:p>
  </w:footnote>
  <w:footnote w:id="4">
    <w:p w:rsidR="00032678" w:rsidRPr="007E06DF" w14:paraId="4D7EF43D" w14:textId="2FAFFB57">
      <w:pPr>
        <w:pStyle w:val="FootnoteText"/>
        <w:rPr>
          <w:i/>
          <w:iCs/>
        </w:rPr>
      </w:pPr>
      <w:r>
        <w:rPr>
          <w:rStyle w:val="FootnoteReference"/>
        </w:rPr>
        <w:footnoteRef/>
      </w:r>
      <w:r>
        <w:t xml:space="preserve"> </w:t>
      </w:r>
      <w:r w:rsidR="000A3B54">
        <w:rPr>
          <w:i/>
          <w:iCs/>
        </w:rPr>
        <w:t xml:space="preserve">Id. </w:t>
      </w:r>
    </w:p>
  </w:footnote>
  <w:footnote w:id="5">
    <w:p w:rsidR="002902EA" w14:paraId="4F539AFA" w14:textId="644A9ED8">
      <w:pPr>
        <w:pStyle w:val="FootnoteText"/>
      </w:pPr>
      <w:r>
        <w:rPr>
          <w:rStyle w:val="FootnoteReference"/>
        </w:rPr>
        <w:footnoteRef/>
      </w:r>
      <w:r>
        <w:t xml:space="preserve"> </w:t>
      </w:r>
      <w:r w:rsidRPr="00D76B1B" w:rsidR="00D76B1B">
        <w:rPr>
          <w:i/>
          <w:iCs/>
        </w:rPr>
        <w:t>Id</w:t>
      </w:r>
      <w:r w:rsidR="00D76B1B">
        <w:t>.</w:t>
      </w:r>
      <w:r>
        <w:t xml:space="preserve"> at </w:t>
      </w:r>
      <w:r w:rsidR="00640825">
        <w:t xml:space="preserve">4-5. </w:t>
      </w:r>
    </w:p>
  </w:footnote>
  <w:footnote w:id="6">
    <w:p w:rsidR="00144E19" w14:paraId="6158A45F" w14:textId="1AE508AF">
      <w:pPr>
        <w:pStyle w:val="FootnoteText"/>
      </w:pPr>
      <w:r>
        <w:rPr>
          <w:rStyle w:val="FootnoteReference"/>
        </w:rPr>
        <w:footnoteRef/>
      </w:r>
      <w:r>
        <w:t xml:space="preserve"> </w:t>
      </w:r>
      <w:r w:rsidRPr="00D76B1B">
        <w:rPr>
          <w:i/>
          <w:iCs/>
        </w:rPr>
        <w:t>Id.</w:t>
      </w:r>
      <w:r>
        <w:t xml:space="preserve"> at 5.</w:t>
      </w:r>
    </w:p>
  </w:footnote>
  <w:footnote w:id="7">
    <w:p w:rsidR="00FF45D7" w:rsidP="00E40C96" w14:paraId="33F5E2AA" w14:textId="0FDE541B">
      <w:pPr>
        <w:pStyle w:val="FootnoteText"/>
      </w:pPr>
      <w:r>
        <w:rPr>
          <w:rStyle w:val="FootnoteReference"/>
        </w:rPr>
        <w:footnoteRef/>
      </w:r>
      <w:r>
        <w:t xml:space="preserve"> </w:t>
      </w:r>
      <w:r w:rsidRPr="00D76B1B" w:rsidR="00D76B1B">
        <w:rPr>
          <w:i/>
          <w:iCs/>
        </w:rPr>
        <w:t>Id.</w:t>
      </w:r>
      <w:r w:rsidR="004F65DE">
        <w:t xml:space="preserve"> at </w:t>
      </w:r>
      <w:r w:rsidR="001D6EDE">
        <w:t>6</w:t>
      </w:r>
      <w:r w:rsidR="004F65DE">
        <w:t>. Noting that</w:t>
      </w:r>
      <w:r w:rsidR="001D7D79">
        <w:t xml:space="preserve"> (1)</w:t>
      </w:r>
      <w:r w:rsidR="004F65DE">
        <w:t xml:space="preserve"> </w:t>
      </w:r>
      <w:r w:rsidR="00E40C96">
        <w:t>A</w:t>
      </w:r>
      <w:r w:rsidR="001D6EDE">
        <w:t>ny transmission of digital</w:t>
      </w:r>
      <w:r w:rsidR="00E40C96">
        <w:t xml:space="preserve"> </w:t>
      </w:r>
      <w:r w:rsidR="001D6EDE">
        <w:t>data that is not appended as a tail to a voice transmission shall employ a “listen before send”</w:t>
      </w:r>
      <w:r w:rsidR="00E40C96">
        <w:t xml:space="preserve"> </w:t>
      </w:r>
      <w:r w:rsidR="001D6EDE">
        <w:t>mechanism that checks that the channel is free before transmitting the data burst</w:t>
      </w:r>
      <w:r w:rsidR="00E40C96">
        <w:t>; (2) any periodic transmission of digital data shall only occur if the GMRS unit has received a location services data burst on the currently selected channel within the last 30 minutes; and (3) transmissions would not use the 467 MHz main channels at all to avoid any chance of interference with repeaters.</w:t>
      </w:r>
    </w:p>
  </w:footnote>
  <w:footnote w:id="8">
    <w:p w:rsidR="00A41B25" w14:paraId="249D87F3" w14:textId="7025D522">
      <w:pPr>
        <w:pStyle w:val="FootnoteText"/>
      </w:pPr>
      <w:r>
        <w:rPr>
          <w:rStyle w:val="FootnoteReference"/>
        </w:rPr>
        <w:footnoteRef/>
      </w:r>
      <w:r>
        <w:t xml:space="preserve"> </w:t>
      </w:r>
      <w:r w:rsidRPr="00D76B1B" w:rsidR="00D76B1B">
        <w:rPr>
          <w:i/>
          <w:iCs/>
        </w:rPr>
        <w:t>Id.</w:t>
      </w:r>
      <w:r>
        <w:t xml:space="preserve"> at </w:t>
      </w:r>
      <w:r w:rsidR="006C1F2E">
        <w:t xml:space="preserve">6. </w:t>
      </w:r>
    </w:p>
  </w:footnote>
  <w:footnote w:id="9">
    <w:p w:rsidR="00037F90" w14:paraId="078FDCD6" w14:textId="3544C480">
      <w:pPr>
        <w:pStyle w:val="FootnoteText"/>
      </w:pPr>
      <w:r>
        <w:rPr>
          <w:rStyle w:val="FootnoteReference"/>
        </w:rPr>
        <w:footnoteRef/>
      </w:r>
      <w:r w:rsidRPr="00EC6CCE">
        <w:rPr>
          <w:i/>
          <w:iCs/>
        </w:rPr>
        <w:t xml:space="preserve"> </w:t>
      </w:r>
      <w:r w:rsidRPr="00EC6CCE" w:rsidR="00EC6CCE">
        <w:rPr>
          <w:i/>
          <w:iCs/>
        </w:rPr>
        <w:t>Id.</w:t>
      </w:r>
      <w:r>
        <w:t xml:space="preserve"> at 6, 7 (citing </w:t>
      </w:r>
      <w:r w:rsidRPr="00153801">
        <w:rPr>
          <w:i/>
          <w:iCs/>
        </w:rPr>
        <w:t>Midland Radio Corporation Petition for Waiver of Certain FCC’s Rules to Authorize a Radio System to Improve Safety for Off-Road GMRS Users</w:t>
      </w:r>
      <w:r w:rsidRPr="00153801">
        <w:t xml:space="preserve">, Order, 38 FCC </w:t>
      </w:r>
      <w:r w:rsidRPr="00153801">
        <w:t>Rcd</w:t>
      </w:r>
      <w:r w:rsidRPr="00153801">
        <w:t xml:space="preserve"> 6583 (WTB 2023)</w:t>
      </w:r>
      <w:r w:rsidR="00B33B9A">
        <w:t xml:space="preserve"> (</w:t>
      </w:r>
      <w:r w:rsidRPr="00B33B9A" w:rsidR="00B33B9A">
        <w:rPr>
          <w:i/>
          <w:iCs/>
        </w:rPr>
        <w:t>Midland Safety Waiver</w:t>
      </w:r>
      <w:r w:rsidR="00B33B9A">
        <w:t>)</w:t>
      </w:r>
      <w:r>
        <w:t xml:space="preserve">; </w:t>
      </w:r>
      <w:r w:rsidRPr="00011F46">
        <w:rPr>
          <w:i/>
          <w:iCs/>
        </w:rPr>
        <w:t>Garmin International, Inc. Request for Waiver of Section 95.1787(a)(3) of the Commission’s Rules</w:t>
      </w:r>
      <w:r w:rsidRPr="00011F46">
        <w:t xml:space="preserve">, Order, 40 FCC </w:t>
      </w:r>
      <w:r w:rsidRPr="00011F46">
        <w:t>Rcd</w:t>
      </w:r>
      <w:r w:rsidRPr="00011F46">
        <w:t xml:space="preserve"> 122 (WTB</w:t>
      </w:r>
      <w:r>
        <w:t xml:space="preserve"> </w:t>
      </w:r>
      <w:r w:rsidRPr="00011F46">
        <w:t>2025)</w:t>
      </w:r>
      <w:r w:rsidR="00E16A2C">
        <w:t xml:space="preserve"> (</w:t>
      </w:r>
      <w:r w:rsidRPr="00E16A2C" w:rsidR="00E16A2C">
        <w:rPr>
          <w:i/>
          <w:iCs/>
        </w:rPr>
        <w:t>Garmin Safety Waiver</w:t>
      </w:r>
      <w:r>
        <w:t>)</w:t>
      </w:r>
      <w:r w:rsidR="00E16A2C">
        <w:t>)</w:t>
      </w:r>
      <w:r>
        <w:t>.</w:t>
      </w:r>
    </w:p>
  </w:footnote>
  <w:footnote w:id="10">
    <w:p w:rsidR="00E96312" w:rsidP="00E96312" w14:paraId="36209B8A" w14:textId="77777777">
      <w:pPr>
        <w:pStyle w:val="FootnoteText"/>
      </w:pPr>
      <w:r>
        <w:rPr>
          <w:rStyle w:val="FootnoteReference"/>
        </w:rPr>
        <w:footnoteRef/>
      </w:r>
      <w:r>
        <w:t xml:space="preserve"> 47 CFR § 1.1200(a).</w:t>
      </w:r>
    </w:p>
  </w:footnote>
  <w:footnote w:id="11">
    <w:p w:rsidR="00E96312" w:rsidP="00E96312" w14:paraId="1BFBBD33" w14:textId="77777777">
      <w:pPr>
        <w:pStyle w:val="FootnoteText"/>
      </w:pPr>
      <w:r>
        <w:rPr>
          <w:rStyle w:val="FootnoteReference"/>
        </w:rPr>
        <w:footnoteRef/>
      </w:r>
      <w:r>
        <w:t xml:space="preserve"> 47 CFR § 1.1206(b).</w:t>
      </w:r>
    </w:p>
  </w:footnote>
  <w:footnote w:id="12">
    <w:p w:rsidR="00E96312" w:rsidRPr="009B43C7" w:rsidP="00E96312" w14:paraId="23960C9E" w14:textId="58351A19">
      <w:pPr>
        <w:pStyle w:val="FootnoteText"/>
      </w:pPr>
      <w:r>
        <w:rPr>
          <w:rStyle w:val="FootnoteReference"/>
        </w:rPr>
        <w:footnoteRef/>
      </w:r>
      <w:r>
        <w:t xml:space="preserve"> </w:t>
      </w:r>
      <w:r w:rsidRPr="00BE1535">
        <w:rPr>
          <w:i/>
          <w:iCs/>
        </w:rPr>
        <w:t>See</w:t>
      </w:r>
      <w:r>
        <w:t xml:space="preserve"> </w:t>
      </w:r>
      <w:r w:rsidR="00C82188">
        <w:t>GME</w:t>
      </w:r>
      <w:r>
        <w:t xml:space="preserve"> Petition. </w:t>
      </w:r>
      <w:r w:rsidRPr="00005A77">
        <w:t xml:space="preserve"> </w:t>
      </w:r>
    </w:p>
  </w:footnote>
  <w:footnote w:id="13">
    <w:p w:rsidR="00E96312" w:rsidRPr="00801F23" w:rsidP="00E96312" w14:paraId="17EB980D" w14:textId="77777777">
      <w:pPr>
        <w:pStyle w:val="FootnoteText"/>
        <w:rPr>
          <w:i/>
          <w:iCs/>
        </w:rPr>
      </w:pPr>
      <w:r w:rsidRPr="00801F23">
        <w:rPr>
          <w:rStyle w:val="FootnoteReference"/>
        </w:rPr>
        <w:footnoteRef/>
      </w:r>
      <w:r w:rsidRPr="00801F23">
        <w:t xml:space="preserve"> 47 CFR §</w:t>
      </w:r>
      <w:r>
        <w:t>§ </w:t>
      </w:r>
      <w:r w:rsidRPr="00801F23">
        <w:t xml:space="preserve">1.1200 </w:t>
      </w:r>
      <w:r w:rsidRPr="00801F23">
        <w:rPr>
          <w:i/>
          <w:iCs/>
        </w:rPr>
        <w:t>et seq.</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rsidRPr="00590833" w14:paraId="2316A642" w14:textId="69558FFF">
    <w:pPr>
      <w:tabs>
        <w:tab w:val="center" w:pos="4680"/>
        <w:tab w:val="right" w:pos="9360"/>
      </w:tabs>
      <w:rPr>
        <w:b/>
      </w:rPr>
    </w:pPr>
    <w:r>
      <w:rPr>
        <w:b/>
      </w:rPr>
      <w:tab/>
      <w:t>Federal Communications Commission</w:t>
    </w:r>
    <w:r>
      <w:rPr>
        <w:b/>
      </w:rPr>
      <w:tab/>
    </w:r>
    <w:r w:rsidR="00590833">
      <w:rPr>
        <w:b/>
      </w:rPr>
      <w:t>DA 26-</w:t>
    </w:r>
    <w:r w:rsidR="00F43A04">
      <w:rPr>
        <w:b/>
      </w:rPr>
      <w:t>606</w:t>
    </w:r>
  </w:p>
  <w:p w:rsidR="00BA3BA8" w14:paraId="36F4E8AD" w14:textId="77777777">
    <w:pPr>
      <w:tabs>
        <w:tab w:val="left" w:pos="-720"/>
      </w:tabs>
      <w:suppressAutoHyphens/>
      <w:spacing w:line="19" w:lineRule="exact"/>
      <w:rPr>
        <w:spacing w:val="-2"/>
      </w:rPr>
    </w:pPr>
    <w:r>
      <w:rPr>
        <w:noProof/>
      </w:rPr>
      <w:pict>
        <v:rect id="Rectangle 15" o:spid="_x0000_s2049" style="width:468pt;height:0.95pt;margin-top:0;margin-left:0;mso-position-horizontal-relative:margin;position:absolute;visibility:visible;z-index:-251658240" o:allowincell="f" fillcolor="black" stroked="f" strokeweight="0.05pt">
          <w10:wrap anchorx="margin"/>
        </v:rect>
      </w:pict>
    </w:r>
  </w:p>
  <w:p w:rsidR="00BA3BA8" w14:paraId="6C8EFF40" w14:textId="77777777">
    <w:pPr>
      <w:spacing w:before="40"/>
      <w:rPr>
        <w:rFonts w:ascii="Arial" w:hAnsi="Arial" w:cs="Arial"/>
        <w:b/>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rsidRPr="00F03EA1" w:rsidP="00F03EA1" w14:paraId="76DDF592" w14:textId="77777777">
    <w:pPr>
      <w:pStyle w:val="Heade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2050" type="#_x0000_t75" style="width:467.4pt;height:112.8pt">
          <v:imagedata r:id="rId1" o:title="PN Portrait pic"/>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0BD63420"/>
    <w:multiLevelType w:val="hybridMultilevel"/>
    <w:tmpl w:val="FE884CA6"/>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3">
    <w:nsid w:val="248246F3"/>
    <w:multiLevelType w:val="singleLevel"/>
    <w:tmpl w:val="B1F45678"/>
    <w:lvl w:ilvl="0">
      <w:start w:val="1"/>
      <w:numFmt w:val="decimal"/>
      <w:lvlText w:val="%1."/>
      <w:lvlJc w:val="left"/>
      <w:pPr>
        <w:tabs>
          <w:tab w:val="num" w:pos="1080"/>
        </w:tabs>
        <w:ind w:left="0" w:firstLine="720"/>
      </w:pPr>
    </w:lvl>
  </w:abstractNum>
  <w:abstractNum w:abstractNumId="4">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5">
    <w:nsid w:val="31594D77"/>
    <w:multiLevelType w:val="hybridMultilevel"/>
    <w:tmpl w:val="2DC07AB8"/>
    <w:lvl w:ilvl="0">
      <w:start w:val="1"/>
      <w:numFmt w:val="bullet"/>
      <w:lvlText w:val="o"/>
      <w:lvlJc w:val="left"/>
      <w:pPr>
        <w:ind w:left="1440" w:hanging="360"/>
      </w:pPr>
      <w:rPr>
        <w:rFonts w:ascii="Courier New" w:hAnsi="Courier New" w:cs="Courier New" w:hint="default"/>
      </w:rPr>
    </w:lvl>
    <w:lvl w:ilvl="1" w:tentative="1">
      <w:start w:val="1"/>
      <w:numFmt w:val="bullet"/>
      <w:lvlText w:val="o"/>
      <w:lvlJc w:val="left"/>
      <w:pPr>
        <w:ind w:left="2160" w:hanging="360"/>
      </w:pPr>
      <w:rPr>
        <w:rFonts w:ascii="Courier New" w:hAnsi="Courier New" w:cs="Courier New" w:hint="default"/>
      </w:rPr>
    </w:lvl>
    <w:lvl w:ilvl="2" w:tentative="1">
      <w:start w:val="1"/>
      <w:numFmt w:val="bullet"/>
      <w:lvlText w:val=""/>
      <w:lvlJc w:val="left"/>
      <w:pPr>
        <w:ind w:left="2880" w:hanging="360"/>
      </w:pPr>
      <w:rPr>
        <w:rFonts w:ascii="Wingdings" w:hAnsi="Wingdings" w:hint="default"/>
      </w:rPr>
    </w:lvl>
    <w:lvl w:ilvl="3" w:tentative="1">
      <w:start w:val="1"/>
      <w:numFmt w:val="bullet"/>
      <w:lvlText w:val=""/>
      <w:lvlJc w:val="left"/>
      <w:pPr>
        <w:ind w:left="3600" w:hanging="360"/>
      </w:pPr>
      <w:rPr>
        <w:rFonts w:ascii="Symbol" w:hAnsi="Symbol" w:hint="default"/>
      </w:rPr>
    </w:lvl>
    <w:lvl w:ilvl="4" w:tentative="1">
      <w:start w:val="1"/>
      <w:numFmt w:val="bullet"/>
      <w:lvlText w:val="o"/>
      <w:lvlJc w:val="left"/>
      <w:pPr>
        <w:ind w:left="4320" w:hanging="360"/>
      </w:pPr>
      <w:rPr>
        <w:rFonts w:ascii="Courier New" w:hAnsi="Courier New" w:cs="Courier New" w:hint="default"/>
      </w:rPr>
    </w:lvl>
    <w:lvl w:ilvl="5" w:tentative="1">
      <w:start w:val="1"/>
      <w:numFmt w:val="bullet"/>
      <w:lvlText w:val=""/>
      <w:lvlJc w:val="left"/>
      <w:pPr>
        <w:ind w:left="5040" w:hanging="360"/>
      </w:pPr>
      <w:rPr>
        <w:rFonts w:ascii="Wingdings" w:hAnsi="Wingdings" w:hint="default"/>
      </w:rPr>
    </w:lvl>
    <w:lvl w:ilvl="6" w:tentative="1">
      <w:start w:val="1"/>
      <w:numFmt w:val="bullet"/>
      <w:lvlText w:val=""/>
      <w:lvlJc w:val="left"/>
      <w:pPr>
        <w:ind w:left="5760" w:hanging="360"/>
      </w:pPr>
      <w:rPr>
        <w:rFonts w:ascii="Symbol" w:hAnsi="Symbol" w:hint="default"/>
      </w:rPr>
    </w:lvl>
    <w:lvl w:ilvl="7" w:tentative="1">
      <w:start w:val="1"/>
      <w:numFmt w:val="bullet"/>
      <w:lvlText w:val="o"/>
      <w:lvlJc w:val="left"/>
      <w:pPr>
        <w:ind w:left="6480" w:hanging="360"/>
      </w:pPr>
      <w:rPr>
        <w:rFonts w:ascii="Courier New" w:hAnsi="Courier New" w:cs="Courier New" w:hint="default"/>
      </w:rPr>
    </w:lvl>
    <w:lvl w:ilvl="8" w:tentative="1">
      <w:start w:val="1"/>
      <w:numFmt w:val="bullet"/>
      <w:lvlText w:val=""/>
      <w:lvlJc w:val="left"/>
      <w:pPr>
        <w:ind w:left="7200" w:hanging="360"/>
      </w:pPr>
      <w:rPr>
        <w:rFonts w:ascii="Wingdings" w:hAnsi="Wingdings" w:hint="default"/>
      </w:rPr>
    </w:lvl>
  </w:abstractNum>
  <w:abstractNum w:abstractNumId="6">
    <w:nsid w:val="38333CB5"/>
    <w:multiLevelType w:val="hybridMultilevel"/>
    <w:tmpl w:val="5B567CF4"/>
    <w:lvl w:ilvl="0">
      <w:start w:val="1"/>
      <w:numFmt w:val="bullet"/>
      <w:lvlText w:val=""/>
      <w:lvlJc w:val="left"/>
      <w:pPr>
        <w:tabs>
          <w:tab w:val="num" w:pos="720"/>
        </w:tabs>
        <w:ind w:left="720" w:hanging="360"/>
      </w:pPr>
      <w:rPr>
        <w:rFonts w:ascii="Wingdings" w:hAnsi="Wingdings" w:hint="default"/>
        <w:color w:val="auto"/>
      </w:rPr>
    </w:lvl>
    <w:lvl w:ilvl="1" w:tentative="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7">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8">
    <w:nsid w:val="60B128B8"/>
    <w:multiLevelType w:val="hybridMultilevel"/>
    <w:tmpl w:val="67F6A7A6"/>
    <w:lvl w:ilvl="0">
      <w:start w:val="1"/>
      <w:numFmt w:val="bullet"/>
      <w:lvlText w:val=""/>
      <w:lvlJc w:val="left"/>
      <w:pPr>
        <w:ind w:left="720" w:hanging="360"/>
      </w:pPr>
      <w:rPr>
        <w:rFonts w:ascii="Wingdings" w:hAnsi="Wingdings"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9">
    <w:nsid w:val="61182925"/>
    <w:multiLevelType w:val="singleLevel"/>
    <w:tmpl w:val="D180CED0"/>
    <w:lvl w:ilvl="0">
      <w:start w:val="1"/>
      <w:numFmt w:val="decimal"/>
      <w:pStyle w:val="ParaNum"/>
      <w:lvlText w:val="%1."/>
      <w:lvlJc w:val="left"/>
      <w:pPr>
        <w:tabs>
          <w:tab w:val="num" w:pos="1080"/>
        </w:tabs>
        <w:ind w:left="0" w:firstLine="720"/>
      </w:pPr>
    </w:lvl>
  </w:abstractNum>
  <w:num w:numId="1" w16cid:durableId="1850678290">
    <w:abstractNumId w:val="2"/>
  </w:num>
  <w:num w:numId="2" w16cid:durableId="500659244">
    <w:abstractNumId w:val="9"/>
  </w:num>
  <w:num w:numId="3" w16cid:durableId="468396503">
    <w:abstractNumId w:val="4"/>
  </w:num>
  <w:num w:numId="4" w16cid:durableId="1767730769">
    <w:abstractNumId w:val="7"/>
  </w:num>
  <w:num w:numId="5" w16cid:durableId="2047562697">
    <w:abstractNumId w:val="3"/>
  </w:num>
  <w:num w:numId="6" w16cid:durableId="494732503">
    <w:abstractNumId w:val="0"/>
  </w:num>
  <w:num w:numId="7" w16cid:durableId="1017344775">
    <w:abstractNumId w:val="6"/>
  </w:num>
  <w:num w:numId="8" w16cid:durableId="1381511379">
    <w:abstractNumId w:val="8"/>
  </w:num>
  <w:num w:numId="9" w16cid:durableId="2138524155">
    <w:abstractNumId w:val="1"/>
  </w:num>
  <w:num w:numId="10" w16cid:durableId="161182123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80"/>
  <w:bordersDoNotSurroundHeader/>
  <w:bordersDoNotSurroundFooter/>
  <w:proofState w:spelling="clean"/>
  <w:attachedTemplate r:id="rId1"/>
  <w:linkStyles/>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oNotTrackMoves/>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6165B"/>
    <w:rsid w:val="0000125C"/>
    <w:rsid w:val="00005A77"/>
    <w:rsid w:val="00011F46"/>
    <w:rsid w:val="00013503"/>
    <w:rsid w:val="000238CB"/>
    <w:rsid w:val="00032678"/>
    <w:rsid w:val="00037F90"/>
    <w:rsid w:val="0004382E"/>
    <w:rsid w:val="00073CBD"/>
    <w:rsid w:val="00084851"/>
    <w:rsid w:val="000A3B54"/>
    <w:rsid w:val="000B1879"/>
    <w:rsid w:val="000D6EE7"/>
    <w:rsid w:val="00144582"/>
    <w:rsid w:val="00144E19"/>
    <w:rsid w:val="00153801"/>
    <w:rsid w:val="00166BB5"/>
    <w:rsid w:val="001A1AF8"/>
    <w:rsid w:val="001B0304"/>
    <w:rsid w:val="001C0D2B"/>
    <w:rsid w:val="001D49C2"/>
    <w:rsid w:val="001D6EDE"/>
    <w:rsid w:val="001D7D79"/>
    <w:rsid w:val="001F55A6"/>
    <w:rsid w:val="00206783"/>
    <w:rsid w:val="00207542"/>
    <w:rsid w:val="00214AB4"/>
    <w:rsid w:val="00221F36"/>
    <w:rsid w:val="00221FEA"/>
    <w:rsid w:val="0022667E"/>
    <w:rsid w:val="00227BEB"/>
    <w:rsid w:val="00227C3A"/>
    <w:rsid w:val="002552D5"/>
    <w:rsid w:val="002667A1"/>
    <w:rsid w:val="002902EA"/>
    <w:rsid w:val="002A3B48"/>
    <w:rsid w:val="002C07F4"/>
    <w:rsid w:val="002D3ABA"/>
    <w:rsid w:val="002E0E6F"/>
    <w:rsid w:val="002E72D6"/>
    <w:rsid w:val="00307131"/>
    <w:rsid w:val="00327EDF"/>
    <w:rsid w:val="003321DC"/>
    <w:rsid w:val="00334618"/>
    <w:rsid w:val="003500A5"/>
    <w:rsid w:val="0036165B"/>
    <w:rsid w:val="0036754E"/>
    <w:rsid w:val="003763DE"/>
    <w:rsid w:val="003B5ED4"/>
    <w:rsid w:val="003B6F2C"/>
    <w:rsid w:val="003C7A4D"/>
    <w:rsid w:val="003D51C5"/>
    <w:rsid w:val="003F47E1"/>
    <w:rsid w:val="003F58A7"/>
    <w:rsid w:val="003F5A62"/>
    <w:rsid w:val="00423262"/>
    <w:rsid w:val="00430183"/>
    <w:rsid w:val="004504F8"/>
    <w:rsid w:val="00454EB4"/>
    <w:rsid w:val="00466B35"/>
    <w:rsid w:val="004A2ED0"/>
    <w:rsid w:val="004B23F2"/>
    <w:rsid w:val="004D0625"/>
    <w:rsid w:val="004D3292"/>
    <w:rsid w:val="004D3BD1"/>
    <w:rsid w:val="004D7F1C"/>
    <w:rsid w:val="004E64AD"/>
    <w:rsid w:val="004F046C"/>
    <w:rsid w:val="004F65DE"/>
    <w:rsid w:val="004F69F8"/>
    <w:rsid w:val="004F7CF4"/>
    <w:rsid w:val="00501631"/>
    <w:rsid w:val="00522961"/>
    <w:rsid w:val="00541137"/>
    <w:rsid w:val="00547B0E"/>
    <w:rsid w:val="005510FB"/>
    <w:rsid w:val="00551FC2"/>
    <w:rsid w:val="005541F4"/>
    <w:rsid w:val="00572A95"/>
    <w:rsid w:val="005814DB"/>
    <w:rsid w:val="00587373"/>
    <w:rsid w:val="00590833"/>
    <w:rsid w:val="005974B5"/>
    <w:rsid w:val="005A5A1C"/>
    <w:rsid w:val="005E3CEA"/>
    <w:rsid w:val="005E53B5"/>
    <w:rsid w:val="005F2F4A"/>
    <w:rsid w:val="00626C29"/>
    <w:rsid w:val="00636E13"/>
    <w:rsid w:val="00640825"/>
    <w:rsid w:val="006516A5"/>
    <w:rsid w:val="00665D6B"/>
    <w:rsid w:val="006776EC"/>
    <w:rsid w:val="006C1F2E"/>
    <w:rsid w:val="006D2666"/>
    <w:rsid w:val="006E21AE"/>
    <w:rsid w:val="00710FB1"/>
    <w:rsid w:val="007242A8"/>
    <w:rsid w:val="007403C7"/>
    <w:rsid w:val="007509BD"/>
    <w:rsid w:val="007555BC"/>
    <w:rsid w:val="0077620E"/>
    <w:rsid w:val="00786D0A"/>
    <w:rsid w:val="0079687D"/>
    <w:rsid w:val="007B43F7"/>
    <w:rsid w:val="007C0628"/>
    <w:rsid w:val="007D24D2"/>
    <w:rsid w:val="007E06DF"/>
    <w:rsid w:val="007F0C91"/>
    <w:rsid w:val="00801F23"/>
    <w:rsid w:val="00810394"/>
    <w:rsid w:val="00824059"/>
    <w:rsid w:val="0084263E"/>
    <w:rsid w:val="00854454"/>
    <w:rsid w:val="00856100"/>
    <w:rsid w:val="00865BE0"/>
    <w:rsid w:val="008775AB"/>
    <w:rsid w:val="008811F3"/>
    <w:rsid w:val="008879E2"/>
    <w:rsid w:val="008A3549"/>
    <w:rsid w:val="008E72B1"/>
    <w:rsid w:val="008E744E"/>
    <w:rsid w:val="008F4206"/>
    <w:rsid w:val="00903257"/>
    <w:rsid w:val="00915DF8"/>
    <w:rsid w:val="00941B61"/>
    <w:rsid w:val="00981F53"/>
    <w:rsid w:val="00983B20"/>
    <w:rsid w:val="00990C40"/>
    <w:rsid w:val="009A629D"/>
    <w:rsid w:val="009B238E"/>
    <w:rsid w:val="009B3060"/>
    <w:rsid w:val="009B43C7"/>
    <w:rsid w:val="009E7343"/>
    <w:rsid w:val="009E7541"/>
    <w:rsid w:val="00A0770F"/>
    <w:rsid w:val="00A10425"/>
    <w:rsid w:val="00A1296A"/>
    <w:rsid w:val="00A20679"/>
    <w:rsid w:val="00A3648D"/>
    <w:rsid w:val="00A41B25"/>
    <w:rsid w:val="00A42F4B"/>
    <w:rsid w:val="00A43111"/>
    <w:rsid w:val="00A45E60"/>
    <w:rsid w:val="00A53B9D"/>
    <w:rsid w:val="00A81A5A"/>
    <w:rsid w:val="00AA2BD4"/>
    <w:rsid w:val="00AB3728"/>
    <w:rsid w:val="00AD2E7D"/>
    <w:rsid w:val="00AE5B9E"/>
    <w:rsid w:val="00AF783E"/>
    <w:rsid w:val="00B04CAD"/>
    <w:rsid w:val="00B3211C"/>
    <w:rsid w:val="00B33B9A"/>
    <w:rsid w:val="00B34EA4"/>
    <w:rsid w:val="00B75BE3"/>
    <w:rsid w:val="00B84488"/>
    <w:rsid w:val="00B9197F"/>
    <w:rsid w:val="00BA0184"/>
    <w:rsid w:val="00BA3BA8"/>
    <w:rsid w:val="00BA7AC7"/>
    <w:rsid w:val="00BB608E"/>
    <w:rsid w:val="00BD2556"/>
    <w:rsid w:val="00BE1535"/>
    <w:rsid w:val="00C24711"/>
    <w:rsid w:val="00C40796"/>
    <w:rsid w:val="00C450D9"/>
    <w:rsid w:val="00C45940"/>
    <w:rsid w:val="00C46CCE"/>
    <w:rsid w:val="00C478FB"/>
    <w:rsid w:val="00C631D9"/>
    <w:rsid w:val="00C66982"/>
    <w:rsid w:val="00C74335"/>
    <w:rsid w:val="00C82188"/>
    <w:rsid w:val="00CA68C9"/>
    <w:rsid w:val="00CC0D46"/>
    <w:rsid w:val="00CC7F9A"/>
    <w:rsid w:val="00CF16A8"/>
    <w:rsid w:val="00CF4730"/>
    <w:rsid w:val="00D12C32"/>
    <w:rsid w:val="00D13A6D"/>
    <w:rsid w:val="00D32DF9"/>
    <w:rsid w:val="00D652E6"/>
    <w:rsid w:val="00D76B1B"/>
    <w:rsid w:val="00D8040D"/>
    <w:rsid w:val="00D938C6"/>
    <w:rsid w:val="00DB215A"/>
    <w:rsid w:val="00DC09A8"/>
    <w:rsid w:val="00DC3A1A"/>
    <w:rsid w:val="00DC5FA9"/>
    <w:rsid w:val="00DC6790"/>
    <w:rsid w:val="00DE0944"/>
    <w:rsid w:val="00E16A2C"/>
    <w:rsid w:val="00E40C96"/>
    <w:rsid w:val="00E4636A"/>
    <w:rsid w:val="00E6203E"/>
    <w:rsid w:val="00E813F2"/>
    <w:rsid w:val="00E85F75"/>
    <w:rsid w:val="00E96312"/>
    <w:rsid w:val="00EC0730"/>
    <w:rsid w:val="00EC308F"/>
    <w:rsid w:val="00EC6CCE"/>
    <w:rsid w:val="00EC74A4"/>
    <w:rsid w:val="00ED77CD"/>
    <w:rsid w:val="00EF05F8"/>
    <w:rsid w:val="00EF466B"/>
    <w:rsid w:val="00F03EA1"/>
    <w:rsid w:val="00F22713"/>
    <w:rsid w:val="00F23BDE"/>
    <w:rsid w:val="00F43A04"/>
    <w:rsid w:val="00F45583"/>
    <w:rsid w:val="00F554B6"/>
    <w:rsid w:val="00F60399"/>
    <w:rsid w:val="00F6715E"/>
    <w:rsid w:val="00F93263"/>
    <w:rsid w:val="00FE3C6D"/>
    <w:rsid w:val="00FF1020"/>
    <w:rsid w:val="00FF45D7"/>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0BEF3D2A"/>
  <w15:chartTrackingRefBased/>
  <w15:docId w15:val="{9A4F9ECA-381D-4957-ACFA-3DDCA5B98A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0"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C45940"/>
    <w:pPr>
      <w:widowControl w:val="0"/>
    </w:pPr>
    <w:rPr>
      <w:snapToGrid w:val="0"/>
      <w:kern w:val="28"/>
      <w:sz w:val="22"/>
    </w:rPr>
  </w:style>
  <w:style w:type="paragraph" w:styleId="Heading1">
    <w:name w:val="heading 1"/>
    <w:basedOn w:val="Normal"/>
    <w:next w:val="ParaNum"/>
    <w:qFormat/>
    <w:rsid w:val="00C45940"/>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rsid w:val="00C45940"/>
    <w:pPr>
      <w:keepNext/>
      <w:numPr>
        <w:ilvl w:val="1"/>
        <w:numId w:val="3"/>
      </w:numPr>
      <w:spacing w:after="120"/>
      <w:outlineLvl w:val="1"/>
    </w:pPr>
    <w:rPr>
      <w:b/>
    </w:rPr>
  </w:style>
  <w:style w:type="paragraph" w:styleId="Heading3">
    <w:name w:val="heading 3"/>
    <w:basedOn w:val="Normal"/>
    <w:next w:val="ParaNum"/>
    <w:qFormat/>
    <w:rsid w:val="00C45940"/>
    <w:pPr>
      <w:keepNext/>
      <w:numPr>
        <w:ilvl w:val="2"/>
        <w:numId w:val="3"/>
      </w:numPr>
      <w:tabs>
        <w:tab w:val="left" w:pos="2160"/>
      </w:tabs>
      <w:spacing w:after="120"/>
      <w:outlineLvl w:val="2"/>
    </w:pPr>
    <w:rPr>
      <w:b/>
    </w:rPr>
  </w:style>
  <w:style w:type="paragraph" w:styleId="Heading4">
    <w:name w:val="heading 4"/>
    <w:basedOn w:val="Normal"/>
    <w:next w:val="ParaNum"/>
    <w:qFormat/>
    <w:rsid w:val="00C45940"/>
    <w:pPr>
      <w:keepNext/>
      <w:numPr>
        <w:ilvl w:val="3"/>
        <w:numId w:val="3"/>
      </w:numPr>
      <w:tabs>
        <w:tab w:val="left" w:pos="2880"/>
      </w:tabs>
      <w:spacing w:after="120"/>
      <w:outlineLvl w:val="3"/>
    </w:pPr>
    <w:rPr>
      <w:b/>
    </w:rPr>
  </w:style>
  <w:style w:type="paragraph" w:styleId="Heading5">
    <w:name w:val="heading 5"/>
    <w:basedOn w:val="Normal"/>
    <w:next w:val="ParaNum"/>
    <w:qFormat/>
    <w:rsid w:val="00C45940"/>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rsid w:val="00C45940"/>
    <w:pPr>
      <w:numPr>
        <w:ilvl w:val="5"/>
        <w:numId w:val="3"/>
      </w:numPr>
      <w:tabs>
        <w:tab w:val="left" w:pos="4320"/>
      </w:tabs>
      <w:spacing w:after="120"/>
      <w:outlineLvl w:val="5"/>
    </w:pPr>
    <w:rPr>
      <w:b/>
    </w:rPr>
  </w:style>
  <w:style w:type="paragraph" w:styleId="Heading7">
    <w:name w:val="heading 7"/>
    <w:basedOn w:val="Normal"/>
    <w:next w:val="ParaNum"/>
    <w:qFormat/>
    <w:rsid w:val="00C45940"/>
    <w:pPr>
      <w:numPr>
        <w:ilvl w:val="6"/>
        <w:numId w:val="3"/>
      </w:numPr>
      <w:tabs>
        <w:tab w:val="left" w:pos="5040"/>
      </w:tabs>
      <w:spacing w:after="120"/>
      <w:ind w:left="5040" w:hanging="720"/>
      <w:outlineLvl w:val="6"/>
    </w:pPr>
    <w:rPr>
      <w:b/>
    </w:rPr>
  </w:style>
  <w:style w:type="paragraph" w:styleId="Heading8">
    <w:name w:val="heading 8"/>
    <w:basedOn w:val="Normal"/>
    <w:next w:val="ParaNum"/>
    <w:qFormat/>
    <w:rsid w:val="00C45940"/>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rsid w:val="00C45940"/>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semiHidden/>
    <w:rsid w:val="00C45940"/>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semiHidden/>
    <w:rsid w:val="00C45940"/>
  </w:style>
  <w:style w:type="paragraph" w:customStyle="1" w:styleId="ParaNum">
    <w:name w:val="ParaNum"/>
    <w:basedOn w:val="Normal"/>
    <w:rsid w:val="00C45940"/>
    <w:pPr>
      <w:numPr>
        <w:numId w:val="2"/>
      </w:numPr>
      <w:tabs>
        <w:tab w:val="clear" w:pos="1080"/>
        <w:tab w:val="num" w:pos="1440"/>
      </w:tabs>
      <w:spacing w:after="120"/>
    </w:pPr>
  </w:style>
  <w:style w:type="paragraph" w:styleId="EndnoteText">
    <w:name w:val="endnote text"/>
    <w:basedOn w:val="Normal"/>
    <w:semiHidden/>
    <w:rsid w:val="00C45940"/>
    <w:rPr>
      <w:sz w:val="20"/>
    </w:rPr>
  </w:style>
  <w:style w:type="character" w:styleId="EndnoteReference">
    <w:name w:val="endnote reference"/>
    <w:semiHidden/>
    <w:rsid w:val="00C45940"/>
    <w:rPr>
      <w:vertAlign w:val="superscript"/>
    </w:rPr>
  </w:style>
  <w:style w:type="paragraph" w:styleId="FootnoteText">
    <w:name w:val="footnote text"/>
    <w:aliases w:val="ALTS FOOTNOTE,FOOTNOTE,Footnote Text Char Char,Footnote Text Char Char Char Char,Footnote Text Char Char Char Char Char Char1,Footnote Text Char1 Char Char,Footnote Text Char1 Char Char Char Char,Footnote Text Char2,Footnote text,fn,fn Cha"/>
    <w:link w:val="FootnoteTextChar"/>
    <w:rsid w:val="00C45940"/>
    <w:pPr>
      <w:spacing w:after="120"/>
    </w:pPr>
  </w:style>
  <w:style w:type="character" w:styleId="FootnoteReference">
    <w:name w:val="footnote reference"/>
    <w:semiHidden/>
    <w:rsid w:val="00C45940"/>
    <w:rPr>
      <w:rFonts w:ascii="Times New Roman" w:hAnsi="Times New Roman"/>
      <w:dstrike w:val="0"/>
      <w:color w:val="auto"/>
      <w:sz w:val="22"/>
      <w:vertAlign w:val="superscript"/>
    </w:rPr>
  </w:style>
  <w:style w:type="paragraph" w:styleId="TOC1">
    <w:name w:val="toc 1"/>
    <w:basedOn w:val="Normal"/>
    <w:next w:val="Normal"/>
    <w:uiPriority w:val="39"/>
    <w:rsid w:val="00C45940"/>
    <w:pPr>
      <w:tabs>
        <w:tab w:val="left" w:pos="360"/>
        <w:tab w:val="right" w:leader="dot" w:pos="9360"/>
      </w:tabs>
      <w:suppressAutoHyphens/>
      <w:ind w:left="360" w:right="720" w:hanging="360"/>
    </w:pPr>
    <w:rPr>
      <w:caps/>
      <w:noProof/>
    </w:rPr>
  </w:style>
  <w:style w:type="paragraph" w:styleId="TOC2">
    <w:name w:val="toc 2"/>
    <w:basedOn w:val="Normal"/>
    <w:next w:val="Normal"/>
    <w:semiHidden/>
    <w:rsid w:val="00C45940"/>
    <w:pPr>
      <w:tabs>
        <w:tab w:val="left" w:pos="720"/>
        <w:tab w:val="right" w:leader="dot" w:pos="9360"/>
      </w:tabs>
      <w:suppressAutoHyphens/>
      <w:ind w:left="720" w:right="720" w:hanging="360"/>
    </w:pPr>
    <w:rPr>
      <w:noProof/>
    </w:rPr>
  </w:style>
  <w:style w:type="paragraph" w:styleId="TOC3">
    <w:name w:val="toc 3"/>
    <w:basedOn w:val="Normal"/>
    <w:next w:val="Normal"/>
    <w:semiHidden/>
    <w:rsid w:val="00C45940"/>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rsid w:val="00C45940"/>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rsid w:val="00C45940"/>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rsid w:val="00C45940"/>
    <w:pPr>
      <w:tabs>
        <w:tab w:val="left" w:pos="2160"/>
        <w:tab w:val="right" w:leader="dot" w:pos="9360"/>
      </w:tabs>
      <w:suppressAutoHyphens/>
      <w:ind w:left="2160" w:hanging="360"/>
    </w:pPr>
    <w:rPr>
      <w:noProof/>
    </w:rPr>
  </w:style>
  <w:style w:type="paragraph" w:styleId="TOC7">
    <w:name w:val="toc 7"/>
    <w:basedOn w:val="Normal"/>
    <w:next w:val="Normal"/>
    <w:autoRedefine/>
    <w:semiHidden/>
    <w:rsid w:val="00C45940"/>
    <w:pPr>
      <w:tabs>
        <w:tab w:val="left" w:pos="2520"/>
        <w:tab w:val="right" w:leader="dot" w:pos="9360"/>
      </w:tabs>
      <w:suppressAutoHyphens/>
      <w:ind w:left="2520" w:hanging="360"/>
    </w:pPr>
    <w:rPr>
      <w:noProof/>
    </w:rPr>
  </w:style>
  <w:style w:type="paragraph" w:styleId="TOC8">
    <w:name w:val="toc 8"/>
    <w:basedOn w:val="Normal"/>
    <w:next w:val="Normal"/>
    <w:autoRedefine/>
    <w:semiHidden/>
    <w:rsid w:val="00C45940"/>
    <w:pPr>
      <w:tabs>
        <w:tab w:val="left" w:pos="2880"/>
        <w:tab w:val="right" w:leader="dot" w:pos="9360"/>
      </w:tabs>
      <w:suppressAutoHyphens/>
      <w:ind w:left="2880" w:hanging="360"/>
    </w:pPr>
    <w:rPr>
      <w:noProof/>
    </w:rPr>
  </w:style>
  <w:style w:type="paragraph" w:styleId="TOC9">
    <w:name w:val="toc 9"/>
    <w:basedOn w:val="Normal"/>
    <w:next w:val="Normal"/>
    <w:autoRedefine/>
    <w:semiHidden/>
    <w:rsid w:val="00C45940"/>
    <w:pPr>
      <w:tabs>
        <w:tab w:val="left" w:pos="3240"/>
        <w:tab w:val="right" w:leader="dot" w:pos="9360"/>
      </w:tabs>
      <w:suppressAutoHyphens/>
      <w:ind w:left="3240" w:hanging="360"/>
    </w:pPr>
    <w:rPr>
      <w:noProof/>
    </w:rPr>
  </w:style>
  <w:style w:type="paragraph" w:styleId="TOAHeading">
    <w:name w:val="toa heading"/>
    <w:basedOn w:val="Normal"/>
    <w:next w:val="Normal"/>
    <w:semiHidden/>
    <w:rsid w:val="00C45940"/>
    <w:pPr>
      <w:tabs>
        <w:tab w:val="right" w:pos="9360"/>
      </w:tabs>
      <w:suppressAutoHyphens/>
    </w:pPr>
  </w:style>
  <w:style w:type="character" w:customStyle="1" w:styleId="EquationCaption">
    <w:name w:val="_Equation Caption"/>
    <w:rsid w:val="00C45940"/>
  </w:style>
  <w:style w:type="paragraph" w:styleId="Header">
    <w:name w:val="header"/>
    <w:basedOn w:val="Normal"/>
    <w:autoRedefine/>
    <w:rsid w:val="00C45940"/>
    <w:pPr>
      <w:tabs>
        <w:tab w:val="center" w:pos="4680"/>
        <w:tab w:val="right" w:pos="9360"/>
      </w:tabs>
    </w:pPr>
    <w:rPr>
      <w:rFonts w:ascii="Arial" w:hAnsi="Arial" w:cs="Arial"/>
      <w:b/>
      <w:sz w:val="96"/>
      <w:szCs w:val="96"/>
    </w:rPr>
  </w:style>
  <w:style w:type="paragraph" w:styleId="Footer">
    <w:name w:val="footer"/>
    <w:basedOn w:val="Normal"/>
    <w:link w:val="FooterChar"/>
    <w:uiPriority w:val="99"/>
    <w:rsid w:val="00C45940"/>
    <w:pPr>
      <w:tabs>
        <w:tab w:val="center" w:pos="4320"/>
        <w:tab w:val="right" w:pos="8640"/>
      </w:tabs>
    </w:pPr>
  </w:style>
  <w:style w:type="character" w:styleId="PageNumber">
    <w:name w:val="page number"/>
    <w:basedOn w:val="DefaultParagraphFont"/>
    <w:rsid w:val="00C45940"/>
  </w:style>
  <w:style w:type="paragraph" w:styleId="BlockText">
    <w:name w:val="Block Text"/>
    <w:basedOn w:val="Normal"/>
    <w:rsid w:val="00C45940"/>
    <w:pPr>
      <w:spacing w:after="240"/>
      <w:ind w:left="1440" w:right="1440"/>
    </w:pPr>
  </w:style>
  <w:style w:type="paragraph" w:customStyle="1" w:styleId="Paratitle">
    <w:name w:val="Para title"/>
    <w:basedOn w:val="Normal"/>
    <w:rsid w:val="00C45940"/>
    <w:pPr>
      <w:tabs>
        <w:tab w:val="center" w:pos="9270"/>
      </w:tabs>
      <w:spacing w:after="240"/>
    </w:pPr>
    <w:rPr>
      <w:spacing w:val="-2"/>
    </w:rPr>
  </w:style>
  <w:style w:type="paragraph" w:customStyle="1" w:styleId="Bullet">
    <w:name w:val="Bullet"/>
    <w:basedOn w:val="Normal"/>
    <w:rsid w:val="00C45940"/>
    <w:pPr>
      <w:numPr>
        <w:numId w:val="1"/>
      </w:numPr>
      <w:tabs>
        <w:tab w:val="clear" w:pos="360"/>
        <w:tab w:val="left" w:pos="2160"/>
      </w:tabs>
      <w:spacing w:after="220"/>
      <w:ind w:left="2160" w:hanging="720"/>
    </w:pPr>
  </w:style>
  <w:style w:type="paragraph" w:customStyle="1" w:styleId="TableFormat">
    <w:name w:val="TableFormat"/>
    <w:basedOn w:val="Bullet"/>
    <w:rsid w:val="00C45940"/>
    <w:pPr>
      <w:numPr>
        <w:numId w:val="0"/>
      </w:numPr>
      <w:tabs>
        <w:tab w:val="clear" w:pos="2160"/>
        <w:tab w:val="left" w:pos="5040"/>
      </w:tabs>
      <w:ind w:left="5040" w:hanging="3600"/>
    </w:pPr>
  </w:style>
  <w:style w:type="paragraph" w:customStyle="1" w:styleId="TOCTitle">
    <w:name w:val="TOC Title"/>
    <w:basedOn w:val="Normal"/>
    <w:rsid w:val="00C45940"/>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C45940"/>
    <w:pPr>
      <w:jc w:val="center"/>
    </w:pPr>
    <w:rPr>
      <w:rFonts w:ascii="Times New Roman Bold" w:hAnsi="Times New Roman Bold"/>
      <w:b/>
      <w:bCs/>
      <w:caps/>
      <w:szCs w:val="22"/>
    </w:rPr>
  </w:style>
  <w:style w:type="character" w:styleId="Hyperlink">
    <w:name w:val="Hyperlink"/>
    <w:rsid w:val="00C45940"/>
    <w:rPr>
      <w:color w:val="0000FF"/>
      <w:u w:val="single"/>
    </w:rPr>
  </w:style>
  <w:style w:type="character" w:customStyle="1" w:styleId="FooterChar">
    <w:name w:val="Footer Char"/>
    <w:link w:val="Footer"/>
    <w:uiPriority w:val="99"/>
    <w:rsid w:val="00C45940"/>
    <w:rPr>
      <w:snapToGrid w:val="0"/>
      <w:kern w:val="28"/>
      <w:sz w:val="22"/>
    </w:rPr>
  </w:style>
  <w:style w:type="character" w:styleId="UnresolvedMention">
    <w:name w:val="Unresolved Mention"/>
    <w:uiPriority w:val="99"/>
    <w:semiHidden/>
    <w:unhideWhenUsed/>
    <w:rsid w:val="00C45940"/>
    <w:rPr>
      <w:color w:val="605E5C"/>
      <w:shd w:val="clear" w:color="auto" w:fill="E1DFDD"/>
    </w:rPr>
  </w:style>
  <w:style w:type="character" w:customStyle="1" w:styleId="FootnoteTextChar">
    <w:name w:val="Footnote Text Char"/>
    <w:aliases w:val="ALTS FOOTNOTE Char,FOOTNOTE Char,Footnote Text Char Char Char,Footnote Text Char Char Char Char Char,Footnote Text Char Char Char Char Char Char1 Char,Footnote Text Char1 Char Char Char,Footnote Text Char1 Char Char Char Char Char"/>
    <w:link w:val="FootnoteText"/>
    <w:rsid w:val="00E96312"/>
  </w:style>
  <w:style w:type="paragraph" w:styleId="Revision">
    <w:name w:val="Revision"/>
    <w:hidden/>
    <w:uiPriority w:val="99"/>
    <w:semiHidden/>
    <w:rsid w:val="009B3060"/>
    <w:rPr>
      <w:snapToGrid w:val="0"/>
      <w:kern w:val="28"/>
      <w:sz w:val="22"/>
    </w:rPr>
  </w:style>
  <w:style w:type="character" w:styleId="CommentReference">
    <w:name w:val="annotation reference"/>
    <w:uiPriority w:val="99"/>
    <w:semiHidden/>
    <w:unhideWhenUsed/>
    <w:rsid w:val="000A3B54"/>
    <w:rPr>
      <w:sz w:val="16"/>
      <w:szCs w:val="16"/>
    </w:rPr>
  </w:style>
  <w:style w:type="paragraph" w:styleId="CommentText">
    <w:name w:val="annotation text"/>
    <w:basedOn w:val="Normal"/>
    <w:link w:val="CommentTextChar"/>
    <w:uiPriority w:val="99"/>
    <w:unhideWhenUsed/>
    <w:rsid w:val="000A3B54"/>
    <w:rPr>
      <w:sz w:val="20"/>
    </w:rPr>
  </w:style>
  <w:style w:type="character" w:customStyle="1" w:styleId="CommentTextChar">
    <w:name w:val="Comment Text Char"/>
    <w:link w:val="CommentText"/>
    <w:uiPriority w:val="99"/>
    <w:rsid w:val="000A3B54"/>
    <w:rPr>
      <w:snapToGrid w:val="0"/>
      <w:kern w:val="28"/>
    </w:rPr>
  </w:style>
  <w:style w:type="paragraph" w:styleId="CommentSubject">
    <w:name w:val="annotation subject"/>
    <w:basedOn w:val="CommentText"/>
    <w:next w:val="CommentText"/>
    <w:link w:val="CommentSubjectChar"/>
    <w:uiPriority w:val="99"/>
    <w:semiHidden/>
    <w:unhideWhenUsed/>
    <w:rsid w:val="000A3B54"/>
    <w:rPr>
      <w:b/>
      <w:bCs/>
    </w:rPr>
  </w:style>
  <w:style w:type="character" w:customStyle="1" w:styleId="CommentSubjectChar">
    <w:name w:val="Comment Subject Char"/>
    <w:link w:val="CommentSubject"/>
    <w:uiPriority w:val="99"/>
    <w:semiHidden/>
    <w:rsid w:val="000A3B54"/>
    <w:rPr>
      <w:b/>
      <w:bCs/>
      <w:snapToGrid w:val="0"/>
      <w:kern w:val="28"/>
    </w:rPr>
  </w:style>
  <w:style w:type="character" w:styleId="FollowedHyperlink">
    <w:name w:val="FollowedHyperlink"/>
    <w:uiPriority w:val="99"/>
    <w:semiHidden/>
    <w:unhideWhenUsed/>
    <w:rsid w:val="00C24711"/>
    <w:rPr>
      <w:color w:val="96607D"/>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2.xml" /><Relationship Id="rId13" Type="http://schemas.openxmlformats.org/officeDocument/2006/relationships/footer" Target="footer3.xml" /><Relationship Id="rId14" Type="http://schemas.openxmlformats.org/officeDocument/2006/relationships/theme" Target="theme/theme1.xml" /><Relationship Id="rId15" Type="http://schemas.openxmlformats.org/officeDocument/2006/relationships/numbering" Target="numbering.xml" /><Relationship Id="rId16"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yperlink" Target="https://www.fcc.gov/ecfs" TargetMode="External" /><Relationship Id="rId7" Type="http://schemas.openxmlformats.org/officeDocument/2006/relationships/hyperlink" Target="mailto:fcc504@fcc.gov" TargetMode="External" /><Relationship Id="rId8" Type="http://schemas.openxmlformats.org/officeDocument/2006/relationships/hyperlink" Target="mailto:Morgan.Mendenhall@fcc.gov" TargetMode="External" /><Relationship Id="rId9" Type="http://schemas.openxmlformats.org/officeDocument/2006/relationships/header" Target="header1.xml" /></Relationships>
</file>

<file path=word/_rels/footnotes.xml.rels><?xml version="1.0" encoding="utf-8" standalone="yes"?><Relationships xmlns="http://schemas.openxmlformats.org/package/2006/relationships"><Relationship Id="rId1" Type="http://schemas.openxmlformats.org/officeDocument/2006/relationships/hyperlink" Target="https://www.fcc.gov/ecfs/search/search-filings/filing/103041261102813" TargetMode="Externa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Public%20Notice%20Portrait.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Public Notice Portrait</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