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7711F" w:rsidRPr="00E45697" w:rsidP="00EB4739" w14:paraId="25342399" w14:textId="5F013372">
      <w:pPr>
        <w:widowControl w:val="0"/>
        <w:spacing w:after="120" w:line="240" w:lineRule="auto"/>
        <w:contextualSpacing/>
        <w:jc w:val="right"/>
        <w:rPr>
          <w:rFonts w:ascii="Times New Roman" w:eastAsia="Times New Roman" w:hAnsi="Times New Roman" w:cs="Times New Roman"/>
          <w:b/>
          <w:snapToGrid w:val="0"/>
          <w:kern w:val="28"/>
          <w:sz w:val="22"/>
          <w:szCs w:val="22"/>
          <w14:ligatures w14:val="none"/>
        </w:rPr>
      </w:pPr>
      <w:r w:rsidRPr="00E45697">
        <w:rPr>
          <w:rFonts w:ascii="Times New Roman" w:eastAsia="Times New Roman" w:hAnsi="Times New Roman" w:cs="Times New Roman"/>
          <w:b/>
          <w:snapToGrid w:val="0"/>
          <w:kern w:val="28"/>
          <w:sz w:val="22"/>
          <w:szCs w:val="22"/>
          <w14:ligatures w14:val="none"/>
        </w:rPr>
        <w:t>DA 26-</w:t>
      </w:r>
      <w:r w:rsidRPr="00E45697" w:rsidR="00E45697">
        <w:rPr>
          <w:rFonts w:ascii="Times New Roman" w:eastAsia="Times New Roman" w:hAnsi="Times New Roman" w:cs="Times New Roman"/>
          <w:b/>
          <w:snapToGrid w:val="0"/>
          <w:kern w:val="28"/>
          <w:sz w:val="22"/>
          <w:szCs w:val="22"/>
          <w14:ligatures w14:val="none"/>
        </w:rPr>
        <w:t>616</w:t>
      </w:r>
    </w:p>
    <w:p w:rsidR="00B7711F" w:rsidRPr="00EB4739" w:rsidP="00EB4739" w14:paraId="5C46750E" w14:textId="30D2E652">
      <w:pPr>
        <w:widowControl w:val="0"/>
        <w:spacing w:after="120" w:line="240" w:lineRule="auto"/>
        <w:contextualSpacing/>
        <w:jc w:val="right"/>
        <w:rPr>
          <w:rFonts w:ascii="Times New Roman" w:eastAsia="Times New Roman" w:hAnsi="Times New Roman" w:cs="Times New Roman"/>
          <w:b/>
          <w:snapToGrid w:val="0"/>
          <w:kern w:val="28"/>
          <w:sz w:val="22"/>
          <w:szCs w:val="22"/>
          <w14:ligatures w14:val="none"/>
        </w:rPr>
      </w:pPr>
      <w:r w:rsidRPr="009F4938">
        <w:rPr>
          <w:rFonts w:ascii="Times New Roman" w:eastAsia="Times New Roman" w:hAnsi="Times New Roman" w:cs="Times New Roman"/>
          <w:b/>
          <w:snapToGrid w:val="0"/>
          <w:kern w:val="28"/>
          <w:sz w:val="22"/>
          <w:szCs w:val="22"/>
          <w14:ligatures w14:val="none"/>
        </w:rPr>
        <w:t xml:space="preserve">Released:  June </w:t>
      </w:r>
      <w:r w:rsidRPr="009F4938" w:rsidR="00056958">
        <w:rPr>
          <w:rFonts w:ascii="Times New Roman" w:eastAsia="Times New Roman" w:hAnsi="Times New Roman" w:cs="Times New Roman"/>
          <w:b/>
          <w:snapToGrid w:val="0"/>
          <w:kern w:val="28"/>
          <w:sz w:val="22"/>
          <w:szCs w:val="22"/>
          <w14:ligatures w14:val="none"/>
        </w:rPr>
        <w:t>22,</w:t>
      </w:r>
      <w:r w:rsidRPr="009F4938">
        <w:rPr>
          <w:rFonts w:ascii="Times New Roman" w:eastAsia="Times New Roman" w:hAnsi="Times New Roman" w:cs="Times New Roman"/>
          <w:b/>
          <w:snapToGrid w:val="0"/>
          <w:kern w:val="28"/>
          <w:sz w:val="22"/>
          <w:szCs w:val="22"/>
          <w14:ligatures w14:val="none"/>
        </w:rPr>
        <w:t xml:space="preserve"> 2026</w:t>
      </w:r>
    </w:p>
    <w:p w:rsidR="00B7711F" w:rsidRPr="00EB4739" w:rsidP="00EB4739" w14:paraId="16057713"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EB4739" w:rsidP="00EB4739" w14:paraId="6AB5D756" w14:textId="2EE7CD84">
      <w:pPr>
        <w:widowControl w:val="0"/>
        <w:spacing w:after="120" w:line="240" w:lineRule="auto"/>
        <w:contextualSpacing/>
        <w:jc w:val="center"/>
        <w:rPr>
          <w:rFonts w:ascii="Times New Roman" w:eastAsia="Times New Roman" w:hAnsi="Times New Roman" w:cs="Times New Roman"/>
          <w:b/>
          <w:caps/>
          <w:snapToGrid w:val="0"/>
          <w:kern w:val="28"/>
          <w:sz w:val="22"/>
          <w:szCs w:val="22"/>
          <w14:ligatures w14:val="none"/>
        </w:rPr>
      </w:pPr>
      <w:r w:rsidRPr="00EB4739">
        <w:rPr>
          <w:rFonts w:ascii="Times New Roman" w:eastAsia="Times New Roman" w:hAnsi="Times New Roman" w:cs="Times New Roman"/>
          <w:b/>
          <w:caps/>
          <w:snapToGrid w:val="0"/>
          <w:kern w:val="28"/>
          <w:sz w:val="22"/>
          <w:szCs w:val="22"/>
          <w14:ligatures w14:val="none"/>
        </w:rPr>
        <w:t>fcc’s public safety and homeland security bureau announces conditional approval AND EXEMPTION of certain UNCREWED AIRCRAFT SYSTEMS and ROUTERS from fcc covered list</w:t>
      </w:r>
    </w:p>
    <w:p w:rsidR="00B7711F" w:rsidRPr="00EB4739" w:rsidP="00EB4739" w14:paraId="5D12EA5D" w14:textId="77777777">
      <w:pPr>
        <w:widowControl w:val="0"/>
        <w:spacing w:after="120" w:line="240" w:lineRule="auto"/>
        <w:contextualSpacing/>
        <w:jc w:val="center"/>
        <w:rPr>
          <w:rFonts w:ascii="Times New Roman" w:eastAsia="Times New Roman" w:hAnsi="Times New Roman" w:cs="Times New Roman"/>
          <w:b/>
          <w:caps/>
          <w:snapToGrid w:val="0"/>
          <w:kern w:val="28"/>
          <w:sz w:val="22"/>
          <w:szCs w:val="22"/>
          <w14:ligatures w14:val="none"/>
        </w:rPr>
      </w:pPr>
    </w:p>
    <w:p w:rsidR="00B7711F" w:rsidRPr="00EB4739" w:rsidP="00EB4739" w14:paraId="39B5CFBF" w14:textId="2E51740F">
      <w:pPr>
        <w:widowControl w:val="0"/>
        <w:spacing w:after="120" w:line="240" w:lineRule="auto"/>
        <w:contextualSpacing/>
        <w:jc w:val="center"/>
        <w:rPr>
          <w:rFonts w:ascii="Times New Roman" w:eastAsia="Times New Roman" w:hAnsi="Times New Roman" w:cs="Times New Roman"/>
          <w:b/>
          <w:snapToGrid w:val="0"/>
          <w:kern w:val="28"/>
          <w:sz w:val="22"/>
          <w:szCs w:val="22"/>
          <w14:ligatures w14:val="none"/>
        </w:rPr>
      </w:pPr>
      <w:r w:rsidRPr="00EB4739">
        <w:rPr>
          <w:rFonts w:ascii="Times New Roman" w:eastAsia="Times New Roman" w:hAnsi="Times New Roman" w:cs="Times New Roman"/>
          <w:b/>
          <w:snapToGrid w:val="0"/>
          <w:kern w:val="28"/>
          <w:sz w:val="22"/>
          <w:szCs w:val="22"/>
          <w14:ligatures w14:val="none"/>
        </w:rPr>
        <w:t>WC Docket No. 18-89, ET Docket No. 21-232, EA Docket No. 21-233</w:t>
      </w:r>
    </w:p>
    <w:p w:rsidR="00B7711F" w:rsidRPr="00EB4739" w:rsidP="00EB4739" w14:paraId="0EEFA3B0" w14:textId="77777777">
      <w:pPr>
        <w:widowControl w:val="0"/>
        <w:spacing w:after="120" w:line="240" w:lineRule="auto"/>
        <w:contextualSpacing/>
        <w:jc w:val="center"/>
        <w:rPr>
          <w:rFonts w:ascii="Times New Roman" w:eastAsia="Times New Roman" w:hAnsi="Times New Roman" w:cs="Times New Roman"/>
          <w:b/>
          <w:snapToGrid w:val="0"/>
          <w:kern w:val="28"/>
          <w:sz w:val="22"/>
          <w:szCs w:val="22"/>
          <w14:ligatures w14:val="none"/>
        </w:rPr>
      </w:pPr>
    </w:p>
    <w:p w:rsidR="00B7711F" w:rsidP="00EB4739" w14:paraId="1A674D7D" w14:textId="41A34B62">
      <w:pPr>
        <w:widowControl w:val="0"/>
        <w:spacing w:after="120" w:line="240" w:lineRule="auto"/>
        <w:ind w:firstLine="720"/>
        <w:contextualSpacing/>
        <w:rPr>
          <w:rFonts w:ascii="Times New Roman" w:eastAsia="Times New Roman" w:hAnsi="Times New Roman" w:cs="Times New Roman"/>
          <w:sz w:val="22"/>
          <w:szCs w:val="22"/>
        </w:rPr>
      </w:pPr>
      <w:bookmarkStart w:id="0" w:name="TOChere"/>
      <w:r w:rsidRPr="00EB4739">
        <w:rPr>
          <w:rFonts w:ascii="Times New Roman" w:eastAsia="Times New Roman" w:hAnsi="Times New Roman" w:cs="Times New Roman"/>
          <w:snapToGrid w:val="0"/>
          <w:kern w:val="28"/>
          <w:sz w:val="22"/>
          <w:szCs w:val="22"/>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2"/>
          <w:vertAlign w:val="superscript"/>
          <w14:ligatures w14:val="none"/>
        </w:rPr>
        <w:footnoteReference w:id="2"/>
      </w:r>
      <w:r w:rsidRPr="00EB4739">
        <w:rPr>
          <w:rFonts w:ascii="Times New Roman" w:eastAsia="Times New Roman" w:hAnsi="Times New Roman" w:cs="Times New Roman"/>
          <w:snapToGrid w:val="0"/>
          <w:kern w:val="28"/>
          <w:sz w:val="22"/>
          <w:szCs w:val="22"/>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2"/>
          <w:vertAlign w:val="superscript"/>
          <w14:ligatures w14:val="none"/>
        </w:rPr>
        <w:footnoteReference w:id="3"/>
      </w:r>
      <w:r w:rsidRPr="00EB4739">
        <w:rPr>
          <w:rFonts w:ascii="Times New Roman" w:eastAsia="Times New Roman" w:hAnsi="Times New Roman" w:cs="Times New Roman"/>
          <w:snapToGrid w:val="0"/>
          <w:kern w:val="28"/>
          <w:sz w:val="22"/>
          <w:szCs w:val="22"/>
          <w14:ligatures w14:val="none"/>
        </w:rPr>
        <w:t xml:space="preserve"> and sections 1.50002(a) and 1.50003 of the Commission’s rules,</w:t>
      </w:r>
      <w:r>
        <w:rPr>
          <w:rFonts w:ascii="Times New Roman" w:eastAsia="Times New Roman" w:hAnsi="Times New Roman" w:cs="Times New Roman"/>
          <w:snapToGrid w:val="0"/>
          <w:kern w:val="28"/>
          <w:sz w:val="22"/>
          <w:szCs w:val="22"/>
          <w:vertAlign w:val="superscript"/>
          <w14:ligatures w14:val="none"/>
        </w:rPr>
        <w:footnoteReference w:id="4"/>
      </w:r>
      <w:r w:rsidRPr="00EB4739">
        <w:rPr>
          <w:rFonts w:ascii="Times New Roman" w:eastAsia="Times New Roman" w:hAnsi="Times New Roman" w:cs="Times New Roman"/>
          <w:snapToGrid w:val="0"/>
          <w:kern w:val="28"/>
          <w:sz w:val="22"/>
          <w:szCs w:val="22"/>
          <w14:ligatures w14:val="none"/>
        </w:rPr>
        <w:t xml:space="preserve"> PSHSB announces that the Department of War (DoW) has granted Conditional Approvals for certain uncrewed aircraft systems (UAS) and routers.  Therefore, such devices are exempt from the Covered List</w:t>
      </w:r>
      <w:r w:rsidRPr="00EB4739">
        <w:rPr>
          <w:rFonts w:ascii="Times New Roman" w:eastAsia="Times New Roman" w:hAnsi="Times New Roman" w:cs="Times New Roman"/>
          <w:sz w:val="22"/>
          <w:szCs w:val="22"/>
        </w:rPr>
        <w:t>.</w:t>
      </w:r>
    </w:p>
    <w:p w:rsidR="00EB4739" w:rsidRPr="00EB4739" w:rsidP="00EB4739" w14:paraId="2D61CD9F"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EB4739" w:rsidP="00EB4739" w14:paraId="081470E2" w14:textId="6F5BC2EA">
      <w:pPr>
        <w:widowControl w:val="0"/>
        <w:spacing w:after="120" w:line="240" w:lineRule="auto"/>
        <w:contextualSpacing/>
        <w:rPr>
          <w:rFonts w:ascii="Times New Roman" w:eastAsia="Times New Roman" w:hAnsi="Times New Roman" w:cs="Times New Roman"/>
          <w:b/>
          <w:snapToGrid w:val="0"/>
          <w:kern w:val="28"/>
          <w:sz w:val="22"/>
          <w:szCs w:val="22"/>
          <w:u w:val="single"/>
          <w14:ligatures w14:val="none"/>
        </w:rPr>
      </w:pPr>
      <w:r w:rsidRPr="00EB4739">
        <w:rPr>
          <w:rFonts w:ascii="Times New Roman" w:eastAsia="Times New Roman" w:hAnsi="Times New Roman" w:cs="Times New Roman"/>
          <w:b/>
          <w:bCs/>
          <w:snapToGrid w:val="0"/>
          <w:kern w:val="28"/>
          <w:sz w:val="22"/>
          <w:szCs w:val="22"/>
          <w:u w:val="single"/>
          <w14:ligatures w14:val="none"/>
        </w:rPr>
        <w:t xml:space="preserve">Additions </w:t>
      </w:r>
      <w:r w:rsidRPr="00EB4739" w:rsidR="00AC5B36">
        <w:rPr>
          <w:rFonts w:ascii="Times New Roman" w:eastAsia="Times New Roman" w:hAnsi="Times New Roman" w:cs="Times New Roman"/>
          <w:b/>
          <w:bCs/>
          <w:snapToGrid w:val="0"/>
          <w:kern w:val="28"/>
          <w:sz w:val="22"/>
          <w:szCs w:val="22"/>
          <w:u w:val="single"/>
          <w14:ligatures w14:val="none"/>
        </w:rPr>
        <w:t>of UAS</w:t>
      </w:r>
      <w:r w:rsidRPr="00EB4739" w:rsidR="00DB14BC">
        <w:rPr>
          <w:rFonts w:ascii="Times New Roman" w:eastAsia="Times New Roman" w:hAnsi="Times New Roman" w:cs="Times New Roman"/>
          <w:b/>
          <w:bCs/>
          <w:snapToGrid w:val="0"/>
          <w:kern w:val="28"/>
          <w:sz w:val="22"/>
          <w:szCs w:val="22"/>
          <w:u w:val="single"/>
          <w14:ligatures w14:val="none"/>
        </w:rPr>
        <w:t xml:space="preserve"> and</w:t>
      </w:r>
      <w:r w:rsidRPr="00EB4739" w:rsidR="00AC5B36">
        <w:rPr>
          <w:rFonts w:ascii="Times New Roman" w:eastAsia="Times New Roman" w:hAnsi="Times New Roman" w:cs="Times New Roman"/>
          <w:b/>
          <w:bCs/>
          <w:snapToGrid w:val="0"/>
          <w:kern w:val="28"/>
          <w:sz w:val="22"/>
          <w:szCs w:val="22"/>
          <w:u w:val="single"/>
          <w14:ligatures w14:val="none"/>
        </w:rPr>
        <w:t xml:space="preserve"> UAS Critical Component</w:t>
      </w:r>
      <w:r w:rsidRPr="00EB4739" w:rsidR="00E76D18">
        <w:rPr>
          <w:rFonts w:ascii="Times New Roman" w:eastAsia="Times New Roman" w:hAnsi="Times New Roman" w:cs="Times New Roman"/>
          <w:b/>
          <w:bCs/>
          <w:snapToGrid w:val="0"/>
          <w:kern w:val="28"/>
          <w:sz w:val="22"/>
          <w:szCs w:val="22"/>
          <w:u w:val="single"/>
          <w14:ligatures w14:val="none"/>
        </w:rPr>
        <w:t>s</w:t>
      </w:r>
      <w:r w:rsidRPr="00EB4739" w:rsidR="00DB14BC">
        <w:rPr>
          <w:rFonts w:ascii="Times New Roman" w:eastAsia="Times New Roman" w:hAnsi="Times New Roman" w:cs="Times New Roman"/>
          <w:b/>
          <w:bCs/>
          <w:snapToGrid w:val="0"/>
          <w:kern w:val="28"/>
          <w:sz w:val="22"/>
          <w:szCs w:val="22"/>
          <w:u w:val="single"/>
          <w14:ligatures w14:val="none"/>
        </w:rPr>
        <w:t>,</w:t>
      </w:r>
      <w:r w:rsidRPr="00EB4739" w:rsidR="00E76D18">
        <w:rPr>
          <w:rFonts w:ascii="Times New Roman" w:eastAsia="Times New Roman" w:hAnsi="Times New Roman" w:cs="Times New Roman"/>
          <w:b/>
          <w:bCs/>
          <w:snapToGrid w:val="0"/>
          <w:kern w:val="28"/>
          <w:sz w:val="22"/>
          <w:szCs w:val="22"/>
          <w:u w:val="single"/>
          <w14:ligatures w14:val="none"/>
        </w:rPr>
        <w:t xml:space="preserve"> and Routers </w:t>
      </w:r>
      <w:r w:rsidRPr="00EB4739">
        <w:rPr>
          <w:rFonts w:ascii="Times New Roman" w:eastAsia="Times New Roman" w:hAnsi="Times New Roman" w:cs="Times New Roman"/>
          <w:b/>
          <w:bCs/>
          <w:snapToGrid w:val="0"/>
          <w:kern w:val="28"/>
          <w:sz w:val="22"/>
          <w:szCs w:val="22"/>
          <w:u w:val="single"/>
          <w14:ligatures w14:val="none"/>
        </w:rPr>
        <w:t>to the Covered List:</w:t>
      </w:r>
    </w:p>
    <w:p w:rsidR="00EB4739" w:rsidRPr="00EB4739" w:rsidP="00EB4739" w14:paraId="147EBDCC"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133B319F" w14:textId="4F9B50FC">
      <w:pPr>
        <w:widowControl w:val="0"/>
        <w:spacing w:after="120" w:line="240" w:lineRule="auto"/>
        <w:ind w:firstLine="720"/>
        <w:contextualSpacing/>
        <w:rPr>
          <w:rFonts w:ascii="Times New Roman" w:eastAsia="Times New Roman" w:hAnsi="Times New Roman" w:cs="Times New Roman"/>
          <w:sz w:val="22"/>
          <w:szCs w:val="22"/>
        </w:rPr>
      </w:pPr>
      <w:r w:rsidRPr="00EB4739">
        <w:rPr>
          <w:rFonts w:ascii="Times New Roman" w:eastAsia="Times New Roman" w:hAnsi="Times New Roman" w:cs="Times New Roman"/>
          <w:i/>
          <w:iCs/>
          <w:snapToGrid w:val="0"/>
          <w:kern w:val="28"/>
          <w:sz w:val="22"/>
          <w:szCs w:val="22"/>
          <w14:ligatures w14:val="none"/>
        </w:rPr>
        <w:t xml:space="preserve">UAS and UAS Critical Components.  </w:t>
      </w:r>
      <w:r w:rsidRPr="00EB4739">
        <w:rPr>
          <w:rFonts w:ascii="Times New Roman" w:eastAsia="Times New Roman" w:hAnsi="Times New Roman" w:cs="Times New Roman"/>
          <w:snapToGrid w:val="0"/>
          <w:kern w:val="28"/>
          <w:sz w:val="22"/>
          <w:szCs w:val="22"/>
          <w14:ligatures w14:val="none"/>
        </w:rPr>
        <w:t>On December 22, 2025, PSHSB issued a Public Notice adding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EB4739">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that Public Notice, we stated, “[i]f we receive a further specific determination from the Department of War or the Department of Homeland Security that a given UAS, class of UAS, or UAS critical component does not pose unacceptable risks, we will further update the </w:t>
      </w:r>
      <w:r w:rsidRPr="00EB4739">
        <w:rPr>
          <w:rFonts w:ascii="Times New Roman" w:eastAsia="Times New Roman" w:hAnsi="Times New Roman" w:cs="Times New Roman"/>
          <w:sz w:val="22"/>
          <w:szCs w:val="22"/>
        </w:rPr>
        <w:t>Covered List.”</w:t>
      </w:r>
      <w:r>
        <w:rPr>
          <w:rStyle w:val="FootnoteReference"/>
          <w:rFonts w:eastAsia="Times New Roman" w:cs="Times New Roman"/>
          <w:szCs w:val="22"/>
        </w:rPr>
        <w:footnoteReference w:id="6"/>
      </w:r>
    </w:p>
    <w:p w:rsidR="00EB4739" w:rsidRPr="00EB4739" w:rsidP="00EB4739" w14:paraId="54B71EDE"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60EB57FB" w14:textId="77777777">
      <w:pPr>
        <w:spacing w:after="12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In January 2026, we updated the Covered List to reflect DoW’s determinations that, until January 1, 2027, UAS and UAS critical components included</w:t>
      </w:r>
      <w:r w:rsidRPr="00EB4739">
        <w:rPr>
          <w:rFonts w:ascii="Times New Roman" w:eastAsia="Times New Roman" w:hAnsi="Times New Roman" w:cs="Times New Roman"/>
          <w:snapToGrid w:val="0"/>
          <w:color w:val="000000"/>
          <w:kern w:val="28"/>
          <w:sz w:val="22"/>
          <w:szCs w:val="22"/>
          <w14:ligatures w14:val="none"/>
        </w:rPr>
        <w:t xml:space="preserve"> on DoW’s Blue UAS Cleared List and UAS and </w:t>
      </w:r>
      <w:r w:rsidRPr="00EB4739">
        <w:rPr>
          <w:rFonts w:ascii="Times New Roman" w:eastAsia="Times New Roman" w:hAnsi="Times New Roman" w:cs="Times New Roman"/>
          <w:snapToGrid w:val="0"/>
          <w:color w:val="000000"/>
          <w:kern w:val="28"/>
          <w:sz w:val="22"/>
          <w:szCs w:val="22"/>
          <w14:ligatures w14:val="none"/>
        </w:rPr>
        <w:t>UAS critical components that qualify as “domestic end products” under the Buy American Standard</w:t>
      </w:r>
      <w:r w:rsidRPr="00EB4739">
        <w:rPr>
          <w:rFonts w:ascii="Times New Roman" w:eastAsia="Times New Roman" w:hAnsi="Times New Roman" w:cs="Times New Roman"/>
          <w:snapToGrid w:val="0"/>
          <w:kern w:val="28"/>
          <w:sz w:val="22"/>
          <w:szCs w:val="22"/>
          <w14:ligatures w14:val="none"/>
        </w:rPr>
        <w:t xml:space="preserve"> do not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7"/>
      </w:r>
      <w:r w:rsidRPr="00EB4739">
        <w:rPr>
          <w:rFonts w:ascii="Times New Roman" w:eastAsia="Times New Roman" w:hAnsi="Times New Roman" w:cs="Times New Roman"/>
          <w:snapToGrid w:val="0"/>
          <w:kern w:val="28"/>
          <w:sz w:val="22"/>
          <w:szCs w:val="22"/>
          <w14:ligatures w14:val="none"/>
        </w:rPr>
        <w:t xml:space="preserve">  In March 2026, we updated the Covered List to reflect the first Conditional Approvals that the FCC received from the DoW, exempting specific UAS and UAS critical components “</w:t>
      </w:r>
      <w:r w:rsidRPr="00EB4739">
        <w:rPr>
          <w:rFonts w:ascii="Times New Roman" w:eastAsia="Times New Roman" w:hAnsi="Times New Roman" w:cs="Times New Roman"/>
          <w:snapToGrid w:val="0"/>
          <w:color w:val="000000"/>
          <w:kern w:val="28"/>
          <w:sz w:val="22"/>
          <w:szCs w:val="22"/>
          <w14:ligatures w14:val="none"/>
        </w:rPr>
        <w:t xml:space="preserve">which have been granted a Conditional Approval by DoW or DHS” </w:t>
      </w:r>
      <w:r w:rsidRPr="00EB4739">
        <w:rPr>
          <w:rFonts w:ascii="Times New Roman" w:eastAsia="Times New Roman" w:hAnsi="Times New Roman" w:cs="Times New Roman"/>
          <w:snapToGrid w:val="0"/>
          <w:kern w:val="28"/>
          <w:sz w:val="22"/>
          <w:szCs w:val="22"/>
          <w14:ligatures w14:val="none"/>
        </w:rPr>
        <w:t>from the Covered List.</w:t>
      </w:r>
      <w:r>
        <w:rPr>
          <w:rFonts w:ascii="Times New Roman" w:eastAsia="Times New Roman" w:hAnsi="Times New Roman" w:cs="Times New Roman"/>
          <w:snapToGrid w:val="0"/>
          <w:kern w:val="28"/>
          <w:sz w:val="22"/>
          <w:szCs w:val="22"/>
          <w:vertAlign w:val="superscript"/>
          <w14:ligatures w14:val="none"/>
        </w:rPr>
        <w:footnoteReference w:id="8"/>
      </w:r>
    </w:p>
    <w:p w:rsidR="00EB4739" w:rsidRPr="00EB4739" w:rsidP="00EB4739" w14:paraId="6CF2E20B" w14:textId="77777777">
      <w:pPr>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3F9B335E" w14:textId="3E63F516">
      <w:pPr>
        <w:spacing w:after="12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i/>
          <w:iCs/>
          <w:snapToGrid w:val="0"/>
          <w:kern w:val="28"/>
          <w:sz w:val="22"/>
          <w:szCs w:val="22"/>
          <w14:ligatures w14:val="none"/>
        </w:rPr>
        <w:t>Routers</w:t>
      </w:r>
      <w:r w:rsidRPr="00EB4739">
        <w:rPr>
          <w:rFonts w:ascii="Times New Roman" w:eastAsia="Times New Roman" w:hAnsi="Times New Roman" w:cs="Times New Roman"/>
          <w:snapToGrid w:val="0"/>
          <w:kern w:val="28"/>
          <w:sz w:val="22"/>
          <w:szCs w:val="22"/>
          <w14:ligatures w14:val="none"/>
        </w:rPr>
        <w:t xml:space="preserve">.  On March 23, 2026, the Commission added to the Covered List “routers produced in a foreign country, </w:t>
      </w:r>
      <w:hyperlink r:id="rId5" w:anchor="conditional-approvals" w:history="1">
        <w:r w:rsidRPr="00EB4739">
          <w:rPr>
            <w:rFonts w:ascii="Times New Roman" w:eastAsia="Times New Roman" w:hAnsi="Times New Roman" w:cs="Times New Roman"/>
            <w:snapToGrid w:val="0"/>
            <w:color w:val="0000FF"/>
            <w:kern w:val="28"/>
            <w:sz w:val="22"/>
            <w:szCs w:val="22"/>
            <w:u w:val="single"/>
            <w14:ligatures w14:val="none"/>
          </w:rPr>
          <w:t>except routers which have been granted a Conditional Approval by DoW or DHS</w:t>
        </w:r>
      </w:hyperlink>
      <w:r w:rsidRPr="00EB4739">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9"/>
      </w:r>
      <w:r w:rsidRPr="00EB4739">
        <w:rPr>
          <w:rFonts w:ascii="Times New Roman" w:eastAsia="Times New Roman" w:hAnsi="Times New Roman" w:cs="Times New Roman"/>
          <w:snapToGrid w:val="0"/>
          <w:kern w:val="28"/>
          <w:sz w:val="22"/>
          <w:szCs w:val="22"/>
          <w14:ligatures w14:val="none"/>
        </w:rPr>
        <w:t xml:space="preserve">  This addition was based on a 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0"/>
      </w:r>
    </w:p>
    <w:p w:rsidR="00EB4739" w:rsidRPr="00EB4739" w:rsidP="00EB4739" w14:paraId="11092AC9" w14:textId="4DCF0C2A">
      <w:pPr>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EB4739" w:rsidP="00EB4739" w14:paraId="400E684D" w14:textId="77777777">
      <w:pPr>
        <w:widowControl w:val="0"/>
        <w:spacing w:after="120" w:line="240" w:lineRule="auto"/>
        <w:contextualSpacing/>
        <w:rPr>
          <w:rFonts w:ascii="Times New Roman" w:eastAsia="Times New Roman" w:hAnsi="Times New Roman" w:cs="Times New Roman"/>
          <w:b/>
          <w:bCs/>
          <w:snapToGrid w:val="0"/>
          <w:kern w:val="28"/>
          <w:sz w:val="22"/>
          <w:szCs w:val="22"/>
          <w14:ligatures w14:val="none"/>
        </w:rPr>
      </w:pPr>
      <w:r w:rsidRPr="00EB4739">
        <w:rPr>
          <w:rFonts w:ascii="Times New Roman" w:eastAsia="Times New Roman" w:hAnsi="Times New Roman" w:cs="Times New Roman"/>
          <w:b/>
          <w:bCs/>
          <w:snapToGrid w:val="0"/>
          <w:kern w:val="28"/>
          <w:sz w:val="22"/>
          <w:szCs w:val="22"/>
          <w:u w:val="single"/>
          <w14:ligatures w14:val="none"/>
        </w:rPr>
        <w:t>Conditional Approvals:</w:t>
      </w:r>
    </w:p>
    <w:p w:rsidR="00EB4739" w:rsidP="00EB4739" w14:paraId="2F6E1393"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EB4739" w:rsidP="00942A4E" w14:paraId="6EB7F352" w14:textId="77777777">
      <w:pPr>
        <w:widowControl w:val="0"/>
        <w:spacing w:after="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The Executive Branch interagency body established a process by which entities producing UAS and UAS critical components and routers in foreign countries can request DoW or the Department of Homeland Security to evaluate whether such devices do not pose unacceptable risks to national security and receive Conditional Approvals that would exempt such devices from the Covered List.  The Commission has updated the Covered List to reflect the Conditional Approvals that we have received from the DoW exempting certain UAS and UAS critical components and routers from the Covered List.</w:t>
      </w:r>
      <w:r>
        <w:rPr>
          <w:rStyle w:val="FootnoteReference"/>
          <w:rFonts w:eastAsia="Times New Roman" w:cs="Times New Roman"/>
          <w:snapToGrid w:val="0"/>
          <w:kern w:val="28"/>
          <w:szCs w:val="22"/>
          <w14:ligatures w14:val="none"/>
        </w:rPr>
        <w:footnoteReference w:id="11"/>
      </w:r>
    </w:p>
    <w:p w:rsidR="00EB4739" w:rsidP="00942A4E" w14:paraId="3A0B0044" w14:textId="77777777">
      <w:pPr>
        <w:widowControl w:val="0"/>
        <w:spacing w:after="0" w:line="240" w:lineRule="auto"/>
        <w:contextualSpacing/>
        <w:rPr>
          <w:rFonts w:ascii="Times New Roman" w:eastAsia="Times New Roman" w:hAnsi="Times New Roman" w:cs="Times New Roman"/>
          <w:snapToGrid w:val="0"/>
          <w:kern w:val="28"/>
          <w:sz w:val="22"/>
          <w:szCs w:val="22"/>
          <w14:ligatures w14:val="none"/>
        </w:rPr>
      </w:pPr>
    </w:p>
    <w:p w:rsidR="00FC1B88" w:rsidRPr="00EB4739" w:rsidP="00942A4E" w14:paraId="1034705A" w14:textId="21FE763F">
      <w:pPr>
        <w:widowControl w:val="0"/>
        <w:spacing w:after="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DoW has reviewed submissions and granted Conditional Approvals for the following devices:</w:t>
      </w:r>
    </w:p>
    <w:p w:rsidR="00942A4E" w:rsidP="00942A4E" w14:paraId="61BDB45B" w14:textId="77777777">
      <w:pPr>
        <w:pStyle w:val="Default"/>
        <w:ind w:left="720"/>
        <w:contextualSpacing/>
        <w:rPr>
          <w:sz w:val="22"/>
          <w:szCs w:val="22"/>
        </w:rPr>
      </w:pPr>
    </w:p>
    <w:p w:rsidR="00B74ED9" w:rsidP="00942A4E" w14:paraId="6917B657" w14:textId="4D41631D">
      <w:pPr>
        <w:pStyle w:val="Default"/>
        <w:numPr>
          <w:ilvl w:val="0"/>
          <w:numId w:val="1"/>
        </w:numPr>
        <w:contextualSpacing/>
        <w:rPr>
          <w:sz w:val="22"/>
          <w:szCs w:val="22"/>
        </w:rPr>
      </w:pPr>
      <w:r>
        <w:rPr>
          <w:sz w:val="22"/>
          <w:szCs w:val="22"/>
        </w:rPr>
        <w:t>Real-Time Robotics</w:t>
      </w:r>
      <w:r w:rsidR="008542F5">
        <w:rPr>
          <w:sz w:val="22"/>
          <w:szCs w:val="22"/>
        </w:rPr>
        <w:t>, Inc.’s</w:t>
      </w:r>
      <w:r>
        <w:rPr>
          <w:sz w:val="22"/>
          <w:szCs w:val="22"/>
        </w:rPr>
        <w:t xml:space="preserve"> HERA </w:t>
      </w:r>
      <w:r w:rsidR="00486D30">
        <w:rPr>
          <w:sz w:val="22"/>
          <w:szCs w:val="22"/>
        </w:rPr>
        <w:t>Tactical Uncrewed Aircraft Systems Platform</w:t>
      </w:r>
      <w:r w:rsidR="00544624">
        <w:rPr>
          <w:sz w:val="22"/>
          <w:szCs w:val="22"/>
        </w:rPr>
        <w:t xml:space="preserve"> (terminating December 31, 2026)</w:t>
      </w:r>
    </w:p>
    <w:p w:rsidR="00BE3EEE" w:rsidRPr="00BE3EEE" w:rsidP="00942A4E" w14:paraId="0DD1AD57" w14:textId="62AF7A5E">
      <w:pPr>
        <w:pStyle w:val="Default"/>
        <w:numPr>
          <w:ilvl w:val="0"/>
          <w:numId w:val="1"/>
        </w:numPr>
        <w:rPr>
          <w:sz w:val="22"/>
          <w:szCs w:val="22"/>
        </w:rPr>
      </w:pPr>
      <w:r w:rsidRPr="00BE3EEE">
        <w:rPr>
          <w:sz w:val="22"/>
          <w:szCs w:val="22"/>
        </w:rPr>
        <w:t>Ceres</w:t>
      </w:r>
      <w:r w:rsidR="00D622C1">
        <w:rPr>
          <w:sz w:val="22"/>
          <w:szCs w:val="22"/>
        </w:rPr>
        <w:t xml:space="preserve"> Air</w:t>
      </w:r>
      <w:r w:rsidR="005366AB">
        <w:rPr>
          <w:sz w:val="22"/>
          <w:szCs w:val="22"/>
        </w:rPr>
        <w:t xml:space="preserve"> LLC’s</w:t>
      </w:r>
      <w:r w:rsidRPr="00BE3EEE">
        <w:rPr>
          <w:sz w:val="22"/>
          <w:szCs w:val="22"/>
        </w:rPr>
        <w:t xml:space="preserve"> Uncrewed Aircraft Systems</w:t>
      </w:r>
      <w:r w:rsidR="005366AB">
        <w:rPr>
          <w:sz w:val="22"/>
          <w:szCs w:val="22"/>
        </w:rPr>
        <w:t xml:space="preserve"> Platforms</w:t>
      </w:r>
      <w:r w:rsidRPr="00BE3EEE">
        <w:rPr>
          <w:sz w:val="22"/>
          <w:szCs w:val="22"/>
        </w:rPr>
        <w:t>: C40, C3</w:t>
      </w:r>
      <w:r w:rsidR="005366AB">
        <w:rPr>
          <w:sz w:val="22"/>
          <w:szCs w:val="22"/>
        </w:rPr>
        <w:t>1</w:t>
      </w:r>
      <w:r w:rsidRPr="00BE3EEE">
        <w:rPr>
          <w:sz w:val="22"/>
          <w:szCs w:val="22"/>
        </w:rPr>
        <w:t>, C26, C20, and C6</w:t>
      </w:r>
      <w:r w:rsidR="004D1D2E">
        <w:rPr>
          <w:sz w:val="22"/>
          <w:szCs w:val="22"/>
        </w:rPr>
        <w:t xml:space="preserve"> (terminating December 31, 2026)</w:t>
      </w:r>
    </w:p>
    <w:p w:rsidR="00FF4DB4" w:rsidRPr="00EB4739" w:rsidP="00942A4E" w14:paraId="5B9ADD6E" w14:textId="44A3FACA">
      <w:pPr>
        <w:pStyle w:val="Default"/>
        <w:numPr>
          <w:ilvl w:val="0"/>
          <w:numId w:val="1"/>
        </w:numPr>
        <w:contextualSpacing/>
        <w:rPr>
          <w:sz w:val="22"/>
          <w:szCs w:val="22"/>
        </w:rPr>
      </w:pPr>
      <w:r>
        <w:rPr>
          <w:sz w:val="22"/>
          <w:szCs w:val="22"/>
        </w:rPr>
        <w:t>Hitron</w:t>
      </w:r>
      <w:r w:rsidR="007F0416">
        <w:rPr>
          <w:sz w:val="22"/>
          <w:szCs w:val="22"/>
        </w:rPr>
        <w:t xml:space="preserve"> Technologies Americas, Inc.</w:t>
      </w:r>
      <w:r>
        <w:rPr>
          <w:sz w:val="22"/>
          <w:szCs w:val="22"/>
        </w:rPr>
        <w:t>’s DOCSIS 4.0 Wi-Fi Gateway</w:t>
      </w:r>
      <w:r w:rsidR="007C11A4">
        <w:rPr>
          <w:sz w:val="22"/>
          <w:szCs w:val="22"/>
        </w:rPr>
        <w:t xml:space="preserve">, DOCSIS 3.1 Wi-Fi Gateway, XGSPON Wi-Fi Gateway, Standalone Wi-Fi routers, </w:t>
      </w:r>
      <w:r w:rsidR="0067100C">
        <w:rPr>
          <w:sz w:val="22"/>
          <w:szCs w:val="22"/>
        </w:rPr>
        <w:t>5G FWA Wi-Fi Gateway, and 5G FWA Wi-Fi Hotspot</w:t>
      </w:r>
      <w:r w:rsidR="00F56BC5">
        <w:rPr>
          <w:sz w:val="22"/>
          <w:szCs w:val="22"/>
        </w:rPr>
        <w:t xml:space="preserve"> (terminating December 18, 2027)</w:t>
      </w:r>
    </w:p>
    <w:p w:rsidR="002F6AAF" w:rsidP="00EB4739" w14:paraId="6055D90C"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78CCAF90" w14:textId="104C75F4">
      <w:pPr>
        <w:widowControl w:val="0"/>
        <w:spacing w:after="120" w:line="240" w:lineRule="auto"/>
        <w:contextualSpacing/>
        <w:rPr>
          <w:rFonts w:ascii="Times New Roman" w:eastAsia="Times New Roman" w:hAnsi="Times New Roman" w:cs="Times New Roman"/>
          <w:b/>
          <w:bCs/>
          <w:snapToGrid w:val="0"/>
          <w:kern w:val="28"/>
          <w:sz w:val="22"/>
          <w:szCs w:val="22"/>
          <w:u w:val="single"/>
          <w14:ligatures w14:val="none"/>
        </w:rPr>
      </w:pPr>
      <w:r w:rsidRPr="00EB4739">
        <w:rPr>
          <w:rFonts w:ascii="Times New Roman" w:eastAsia="Times New Roman" w:hAnsi="Times New Roman" w:cs="Times New Roman"/>
          <w:b/>
          <w:bCs/>
          <w:snapToGrid w:val="0"/>
          <w:kern w:val="28"/>
          <w:sz w:val="22"/>
          <w:szCs w:val="22"/>
          <w:u w:val="single"/>
          <w14:ligatures w14:val="none"/>
        </w:rPr>
        <w:t>The Covered List:</w:t>
      </w:r>
    </w:p>
    <w:p w:rsidR="00AC2972" w:rsidRPr="00AC2972" w:rsidP="00EB4739" w14:paraId="28319169"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5F7818AD" w14:textId="7E3E7298">
      <w:pPr>
        <w:widowControl w:val="0"/>
        <w:spacing w:after="12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 xml:space="preserve">We find that each of the Conditional Approvals constitutes “a specific determination” by DoW </w:t>
      </w:r>
      <w:r w:rsidRPr="00EB4739">
        <w:rPr>
          <w:rFonts w:ascii="Times New Roman" w:eastAsia="Times New Roman" w:hAnsi="Times New Roman" w:cs="Times New Roman"/>
          <w:snapToGrid w:val="0"/>
          <w:kern w:val="28"/>
          <w:sz w:val="22"/>
          <w:szCs w:val="22"/>
          <w14:ligatures w14:val="none"/>
        </w:rPr>
        <w:t>that such devices do not pose risks to U.S. national security.</w:t>
      </w:r>
      <w:r>
        <w:rPr>
          <w:rFonts w:ascii="Times New Roman" w:eastAsia="Times New Roman" w:hAnsi="Times New Roman" w:cs="Times New Roman"/>
          <w:snapToGrid w:val="0"/>
          <w:kern w:val="28"/>
          <w:sz w:val="22"/>
          <w:szCs w:val="22"/>
          <w:vertAlign w:val="superscript"/>
          <w14:ligatures w14:val="none"/>
        </w:rPr>
        <w:footnoteReference w:id="12"/>
      </w:r>
      <w:r w:rsidRPr="00EB4739">
        <w:rPr>
          <w:rFonts w:ascii="Times New Roman" w:eastAsia="Times New Roman" w:hAnsi="Times New Roman" w:cs="Times New Roman"/>
          <w:snapToGrid w:val="0"/>
          <w:kern w:val="28"/>
          <w:sz w:val="22"/>
          <w:szCs w:val="22"/>
          <w14:ligatures w14:val="none"/>
        </w:rPr>
        <w:t xml:space="preserve">  Therefore, we conclude that PSHSB is required to update the Covered List to exclude the equipment identified in these Conditional Approvals.</w:t>
      </w:r>
    </w:p>
    <w:p w:rsidR="00AC2972" w:rsidRPr="00EB4739" w:rsidP="00AC2972" w14:paraId="0AC4316C"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1D579E4F" w14:textId="1722250C">
      <w:pPr>
        <w:spacing w:after="12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PSHSB takes this action under its authority and obligation to publish and maintain the Covered List.  Sections 1.50002(a) and 1.50003 of the Commission’s rules require PSHSB to publish the Covered List on the Commission’s website, to maintain and update the Covered List, and to monitor the status of determinations.</w:t>
      </w:r>
      <w:r>
        <w:rPr>
          <w:rFonts w:ascii="Times New Roman" w:eastAsia="Times New Roman" w:hAnsi="Times New Roman" w:cs="Times New Roman"/>
          <w:snapToGrid w:val="0"/>
          <w:kern w:val="28"/>
          <w:sz w:val="22"/>
          <w:szCs w:val="22"/>
          <w:vertAlign w:val="superscript"/>
          <w14:ligatures w14:val="none"/>
        </w:rPr>
        <w:footnoteReference w:id="13"/>
      </w:r>
    </w:p>
    <w:p w:rsidR="00AC2972" w:rsidRPr="00EB4739" w:rsidP="00AC2972" w14:paraId="0F3D40FF" w14:textId="77777777">
      <w:pPr>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45610109" w14:textId="484543DF">
      <w:pPr>
        <w:spacing w:after="12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EB4739">
          <w:rPr>
            <w:rFonts w:ascii="Times New Roman" w:eastAsia="Times New Roman" w:hAnsi="Times New Roman" w:cs="Times New Roman"/>
            <w:snapToGrid w:val="0"/>
            <w:color w:val="0000FF"/>
            <w:kern w:val="28"/>
            <w:sz w:val="22"/>
            <w:szCs w:val="22"/>
            <w:u w:val="single"/>
            <w14:ligatures w14:val="none"/>
          </w:rPr>
          <w:t>https://www.fcc.gov/supplychain/coveredlist</w:t>
        </w:r>
      </w:hyperlink>
      <w:r w:rsidRPr="00EB4739">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14"/>
      </w:r>
    </w:p>
    <w:p w:rsidR="00AC2972" w:rsidRPr="00EB4739" w:rsidP="00AC2972" w14:paraId="35D3188B" w14:textId="77777777">
      <w:pPr>
        <w:spacing w:after="120" w:line="240" w:lineRule="auto"/>
        <w:contextualSpacing/>
        <w:rPr>
          <w:rFonts w:ascii="Times New Roman" w:eastAsia="Times New Roman" w:hAnsi="Times New Roman" w:cs="Times New Roman"/>
          <w:snapToGrid w:val="0"/>
          <w:kern w:val="28"/>
          <w:sz w:val="22"/>
          <w:szCs w:val="22"/>
          <w14:ligatures w14:val="none"/>
        </w:rPr>
      </w:pPr>
    </w:p>
    <w:p w:rsidR="00B7711F" w:rsidP="00EB4739" w14:paraId="357182EC" w14:textId="77777777">
      <w:pPr>
        <w:widowControl w:val="0"/>
        <w:spacing w:after="120" w:line="240" w:lineRule="auto"/>
        <w:ind w:firstLine="720"/>
        <w:contextualSpacing/>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We note the continued availability of FCC staff guidance pursuant to sections 0.191 and 0.31(i) of the Commission’s rules.  Commission staff will provide guidance to TCBs, test labs, and equipment authorization applicants on the impact of these updates.</w:t>
      </w:r>
    </w:p>
    <w:p w:rsidR="00AC2972" w:rsidRPr="00EB4739" w:rsidP="00AC2972" w14:paraId="76D6E2FC" w14:textId="150178D0">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7166E4" w:rsidP="00EB4739" w14:paraId="5EB86A9B" w14:textId="78B994D8">
      <w:pPr>
        <w:widowControl w:val="0"/>
        <w:spacing w:after="120" w:line="240" w:lineRule="auto"/>
        <w:ind w:firstLine="720"/>
        <w:contextualSpacing/>
        <w:rPr>
          <w:rFonts w:ascii="Times New Roman" w:eastAsia="Times New Roman" w:hAnsi="Times New Roman" w:cs="Times New Roman"/>
          <w:snapToGrid w:val="0"/>
          <w:kern w:val="28"/>
          <w:sz w:val="22"/>
          <w:szCs w:val="20"/>
          <w14:ligatures w14:val="none"/>
        </w:rPr>
      </w:pPr>
      <w:r w:rsidRPr="00EB4739">
        <w:rPr>
          <w:rFonts w:ascii="Times New Roman" w:eastAsia="Times New Roman" w:hAnsi="Times New Roman" w:cs="Times New Roman"/>
          <w:snapToGrid w:val="0"/>
          <w:kern w:val="28"/>
          <w:sz w:val="22"/>
          <w:szCs w:val="22"/>
          <w14:ligatures w14:val="none"/>
        </w:rPr>
        <w:t xml:space="preserve">For further information, please contact </w:t>
      </w:r>
      <w:r w:rsidRPr="00EB4739" w:rsidR="00AF2BE6">
        <w:rPr>
          <w:rFonts w:ascii="Times New Roman" w:eastAsia="Times New Roman" w:hAnsi="Times New Roman" w:cs="Times New Roman"/>
          <w:snapToGrid w:val="0"/>
          <w:kern w:val="28"/>
          <w:sz w:val="22"/>
          <w:szCs w:val="22"/>
          <w14:ligatures w14:val="none"/>
        </w:rPr>
        <w:t>Greg Haledjian</w:t>
      </w:r>
      <w:r w:rsidRPr="00EB4739">
        <w:rPr>
          <w:rFonts w:ascii="Times New Roman" w:eastAsia="Times New Roman" w:hAnsi="Times New Roman" w:cs="Times New Roman"/>
          <w:snapToGrid w:val="0"/>
          <w:kern w:val="28"/>
          <w:sz w:val="22"/>
          <w:szCs w:val="22"/>
          <w14:ligatures w14:val="none"/>
        </w:rPr>
        <w:t xml:space="preserve">, </w:t>
      </w:r>
      <w:r w:rsidRPr="00EB4739" w:rsidR="00AF2BE6">
        <w:rPr>
          <w:rFonts w:ascii="Times New Roman" w:eastAsia="Times New Roman" w:hAnsi="Times New Roman" w:cs="Times New Roman"/>
          <w:snapToGrid w:val="0"/>
          <w:kern w:val="28"/>
          <w:sz w:val="22"/>
          <w:szCs w:val="22"/>
          <w14:ligatures w14:val="none"/>
        </w:rPr>
        <w:t>Legal</w:t>
      </w:r>
      <w:r w:rsidRPr="00EB4739">
        <w:rPr>
          <w:rFonts w:ascii="Times New Roman" w:eastAsia="Times New Roman" w:hAnsi="Times New Roman" w:cs="Times New Roman"/>
          <w:snapToGrid w:val="0"/>
          <w:kern w:val="28"/>
          <w:sz w:val="22"/>
          <w:szCs w:val="22"/>
          <w14:ligatures w14:val="none"/>
        </w:rPr>
        <w:t xml:space="preserve"> Advisor, at 202-418-</w:t>
      </w:r>
      <w:r w:rsidRPr="00EB4739" w:rsidR="004260E2">
        <w:rPr>
          <w:rFonts w:ascii="Times New Roman" w:eastAsia="Times New Roman" w:hAnsi="Times New Roman" w:cs="Times New Roman"/>
          <w:snapToGrid w:val="0"/>
          <w:kern w:val="28"/>
          <w:sz w:val="22"/>
          <w:szCs w:val="22"/>
          <w14:ligatures w14:val="none"/>
        </w:rPr>
        <w:t>744</w:t>
      </w:r>
      <w:r w:rsidRPr="00EB4739">
        <w:rPr>
          <w:rFonts w:ascii="Times New Roman" w:eastAsia="Times New Roman" w:hAnsi="Times New Roman" w:cs="Times New Roman"/>
          <w:snapToGrid w:val="0"/>
          <w:kern w:val="28"/>
          <w:sz w:val="22"/>
          <w:szCs w:val="22"/>
          <w14:ligatures w14:val="none"/>
        </w:rPr>
        <w:t xml:space="preserve">0 or </w:t>
      </w:r>
      <w:hyperlink r:id="rId6" w:history="1">
        <w:r w:rsidRPr="00EB4739" w:rsidR="004260E2">
          <w:rPr>
            <w:rStyle w:val="Hyperlink"/>
            <w:rFonts w:ascii="Times New Roman" w:eastAsia="Times New Roman" w:hAnsi="Times New Roman" w:cs="Times New Roman"/>
            <w:snapToGrid w:val="0"/>
            <w:kern w:val="28"/>
            <w:sz w:val="22"/>
            <w:szCs w:val="22"/>
            <w14:ligatures w14:val="none"/>
          </w:rPr>
          <w:t>Gregory.Haledjian@fcc.gov</w:t>
        </w:r>
      </w:hyperlink>
      <w:r w:rsidRPr="00EB4739">
        <w:rPr>
          <w:rFonts w:ascii="Times New Roman" w:eastAsia="Times New Roman" w:hAnsi="Times New Roman" w:cs="Times New Roman"/>
          <w:snapToGrid w:val="0"/>
          <w:kern w:val="28"/>
          <w:sz w:val="22"/>
          <w:szCs w:val="22"/>
          <w14:ligatures w14:val="none"/>
        </w:rPr>
        <w:t xml:space="preserve">, or Rebecca Clinton, Deputy Chief, Legal, at 202-418-7815 or </w:t>
      </w:r>
      <w:hyperlink r:id="rId7" w:history="1">
        <w:r w:rsidRPr="00EB4739">
          <w:rPr>
            <w:rFonts w:ascii="Times New Roman" w:eastAsia="Times New Roman" w:hAnsi="Times New Roman" w:cs="Times New Roman"/>
            <w:snapToGrid w:val="0"/>
            <w:color w:val="0000FF"/>
            <w:kern w:val="28"/>
            <w:sz w:val="22"/>
            <w:szCs w:val="22"/>
            <w:u w:val="single"/>
            <w14:ligatures w14:val="none"/>
          </w:rPr>
          <w:t>Rebecca.Clinton@fcc.gov</w:t>
        </w:r>
      </w:hyperlink>
      <w:r w:rsidRPr="00EB4739">
        <w:rPr>
          <w:rFonts w:ascii="Times New Roman" w:eastAsia="Times New Roman" w:hAnsi="Times New Roman" w:cs="Times New Roman"/>
          <w:snapToGrid w:val="0"/>
          <w:kern w:val="28"/>
          <w:sz w:val="22"/>
          <w:szCs w:val="22"/>
          <w14:ligatures w14:val="none"/>
        </w:rPr>
        <w:t>, Operations and Emergency Management Division, Public Safety and Homeland Security Bureau.</w:t>
      </w:r>
    </w:p>
    <w:p w:rsidR="00B7711F" w:rsidRPr="007166E4" w:rsidP="00B7711F" w14:paraId="63DE921A"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B7711F">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B7711F" w:rsidRPr="007166E4" w:rsidP="00B7711F" w14:paraId="6C97C875"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B7711F" w:rsidRPr="007166E4" w:rsidP="00B7711F" w14:paraId="15F2289E" w14:textId="4909BDF6">
      <w:pPr>
        <w:widowControl w:val="0"/>
        <w:spacing w:after="120" w:line="240" w:lineRule="auto"/>
        <w:jc w:val="center"/>
        <w:rPr>
          <w:rFonts w:ascii="Symbol" w:eastAsia="Times New Roman" w:hAnsi="Symbol" w:cs="Times New Roman"/>
          <w:snapToGrid w:val="0"/>
          <w:kern w:val="28"/>
          <w:sz w:val="22"/>
          <w:szCs w:val="20"/>
          <w14:ligatures w14:val="none"/>
        </w:rPr>
      </w:pPr>
      <w:r w:rsidRPr="009F4938">
        <w:rPr>
          <w:rFonts w:ascii="Times New Roman" w:eastAsia="Times New Roman" w:hAnsi="Times New Roman" w:cs="Times New Roman"/>
          <w:snapToGrid w:val="0"/>
          <w:kern w:val="28"/>
          <w:sz w:val="22"/>
          <w:szCs w:val="20"/>
          <w14:ligatures w14:val="none"/>
        </w:rPr>
        <w:t xml:space="preserve">COVERED LIST (June </w:t>
      </w:r>
      <w:r w:rsidRPr="009F4938" w:rsidR="009F4938">
        <w:rPr>
          <w:rFonts w:ascii="Times New Roman" w:eastAsia="Times New Roman" w:hAnsi="Times New Roman" w:cs="Times New Roman"/>
          <w:snapToGrid w:val="0"/>
          <w:kern w:val="28"/>
          <w:sz w:val="22"/>
          <w:szCs w:val="20"/>
          <w14:ligatures w14:val="none"/>
        </w:rPr>
        <w:t>22</w:t>
      </w:r>
      <w:r w:rsidRPr="009F4938">
        <w:rPr>
          <w:rFonts w:ascii="Times New Roman" w:eastAsia="Times New Roman" w:hAnsi="Times New Roman" w:cs="Times New Roman"/>
          <w:snapToGrid w:val="0"/>
          <w:kern w:val="28"/>
          <w:sz w:val="22"/>
          <w:szCs w:val="20"/>
          <w14:ligatures w14:val="none"/>
        </w:rPr>
        <w:t>, 2026)*</w:t>
      </w:r>
      <w:r w:rsidRPr="009F4938">
        <w:rPr>
          <w:rFonts w:ascii="Times New Roman" w:eastAsia="Times New Roman" w:hAnsi="Times New Roman" w:cs="Times New Roman"/>
          <w:snapToGrid w:val="0"/>
          <w:kern w:val="28"/>
          <w:sz w:val="22"/>
          <w:szCs w:val="20"/>
          <w:vertAlign w:val="superscript"/>
          <w14:ligatures w14:val="none"/>
        </w:rPr>
        <w:t>†±</w:t>
      </w:r>
    </w:p>
    <w:p w:rsidR="00B7711F" w:rsidRPr="007166E4" w:rsidP="00B7711F" w14:paraId="060CEF7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1D3859D2" w14:textId="77777777">
        <w:tblPrEx>
          <w:tblW w:w="10350" w:type="dxa"/>
          <w:tblInd w:w="-365" w:type="dxa"/>
          <w:tblLook w:val="04A0"/>
        </w:tblPrEx>
        <w:tc>
          <w:tcPr>
            <w:tcW w:w="7601" w:type="dxa"/>
          </w:tcPr>
          <w:p w:rsidR="00B7711F" w:rsidRPr="007166E4" w14:paraId="394B9FAB" w14:textId="77777777">
            <w:pPr>
              <w:widowControl w:val="0"/>
              <w:jc w:val="center"/>
              <w:rPr>
                <w:b/>
                <w:bCs/>
                <w:snapToGrid w:val="0"/>
                <w:kern w:val="28"/>
              </w:rPr>
            </w:pPr>
            <w:r w:rsidRPr="007166E4">
              <w:rPr>
                <w:b/>
                <w:bCs/>
                <w:snapToGrid w:val="0"/>
                <w:kern w:val="28"/>
              </w:rPr>
              <w:t>Covered Equipment or Services*</w:t>
            </w:r>
          </w:p>
        </w:tc>
        <w:tc>
          <w:tcPr>
            <w:tcW w:w="2749" w:type="dxa"/>
          </w:tcPr>
          <w:p w:rsidR="00B7711F" w:rsidRPr="007166E4" w14:paraId="25392B21" w14:textId="77777777">
            <w:pPr>
              <w:widowControl w:val="0"/>
              <w:jc w:val="center"/>
              <w:rPr>
                <w:b/>
                <w:bCs/>
                <w:snapToGrid w:val="0"/>
                <w:kern w:val="28"/>
              </w:rPr>
            </w:pPr>
            <w:r w:rsidRPr="007166E4">
              <w:rPr>
                <w:b/>
                <w:bCs/>
                <w:snapToGrid w:val="0"/>
                <w:kern w:val="28"/>
              </w:rPr>
              <w:t>Date of Inclusion on Covered List</w:t>
            </w:r>
          </w:p>
        </w:tc>
      </w:tr>
      <w:tr w14:paraId="723FD916" w14:textId="77777777">
        <w:tblPrEx>
          <w:tblW w:w="10350" w:type="dxa"/>
          <w:tblInd w:w="-365" w:type="dxa"/>
          <w:tblLook w:val="04A0"/>
        </w:tblPrEx>
        <w:tc>
          <w:tcPr>
            <w:tcW w:w="7601" w:type="dxa"/>
          </w:tcPr>
          <w:p w:rsidR="00B7711F" w:rsidRPr="007166E4" w14:paraId="15DA960C"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B7711F" w:rsidRPr="007166E4" w14:paraId="7DBB0C25" w14:textId="77777777">
            <w:pPr>
              <w:widowControl w:val="0"/>
              <w:jc w:val="center"/>
              <w:rPr>
                <w:snapToGrid w:val="0"/>
                <w:kern w:val="28"/>
              </w:rPr>
            </w:pPr>
          </w:p>
          <w:p w:rsidR="00B7711F" w:rsidRPr="007166E4" w14:paraId="0BCDD3B7" w14:textId="77777777">
            <w:pPr>
              <w:widowControl w:val="0"/>
              <w:jc w:val="center"/>
              <w:rPr>
                <w:snapToGrid w:val="0"/>
                <w:kern w:val="28"/>
              </w:rPr>
            </w:pPr>
            <w:r w:rsidRPr="007166E4">
              <w:rPr>
                <w:snapToGrid w:val="0"/>
                <w:kern w:val="28"/>
              </w:rPr>
              <w:t>March 12, 2021</w:t>
            </w:r>
          </w:p>
        </w:tc>
      </w:tr>
      <w:tr w14:paraId="249DE704" w14:textId="77777777">
        <w:tblPrEx>
          <w:tblW w:w="10350" w:type="dxa"/>
          <w:tblInd w:w="-365" w:type="dxa"/>
          <w:tblLook w:val="04A0"/>
        </w:tblPrEx>
        <w:tc>
          <w:tcPr>
            <w:tcW w:w="7601" w:type="dxa"/>
          </w:tcPr>
          <w:p w:rsidR="00B7711F" w:rsidRPr="007166E4" w14:paraId="16781762"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B7711F" w:rsidRPr="007166E4" w14:paraId="1825BDC8" w14:textId="77777777">
            <w:pPr>
              <w:widowControl w:val="0"/>
              <w:jc w:val="center"/>
              <w:rPr>
                <w:snapToGrid w:val="0"/>
                <w:kern w:val="28"/>
              </w:rPr>
            </w:pPr>
          </w:p>
          <w:p w:rsidR="00B7711F" w:rsidRPr="007166E4" w14:paraId="7AEE5774" w14:textId="77777777">
            <w:pPr>
              <w:widowControl w:val="0"/>
              <w:jc w:val="center"/>
              <w:rPr>
                <w:snapToGrid w:val="0"/>
                <w:kern w:val="28"/>
              </w:rPr>
            </w:pPr>
            <w:r w:rsidRPr="007166E4">
              <w:rPr>
                <w:snapToGrid w:val="0"/>
                <w:kern w:val="28"/>
              </w:rPr>
              <w:t>March 12, 2021</w:t>
            </w:r>
          </w:p>
        </w:tc>
      </w:tr>
      <w:tr w14:paraId="131314BA" w14:textId="77777777">
        <w:tblPrEx>
          <w:tblW w:w="10350" w:type="dxa"/>
          <w:tblInd w:w="-365" w:type="dxa"/>
          <w:tblLook w:val="04A0"/>
        </w:tblPrEx>
        <w:tc>
          <w:tcPr>
            <w:tcW w:w="7601" w:type="dxa"/>
          </w:tcPr>
          <w:p w:rsidR="00B7711F" w:rsidRPr="007166E4" w14:paraId="58B45141"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189E0B6C" w14:textId="77777777">
            <w:pPr>
              <w:widowControl w:val="0"/>
              <w:jc w:val="center"/>
              <w:rPr>
                <w:snapToGrid w:val="0"/>
                <w:kern w:val="28"/>
              </w:rPr>
            </w:pPr>
          </w:p>
          <w:p w:rsidR="00B7711F" w:rsidRPr="007166E4" w14:paraId="0228FBCA" w14:textId="77777777">
            <w:pPr>
              <w:widowControl w:val="0"/>
              <w:jc w:val="center"/>
              <w:rPr>
                <w:snapToGrid w:val="0"/>
                <w:kern w:val="28"/>
              </w:rPr>
            </w:pPr>
          </w:p>
          <w:p w:rsidR="00B7711F" w:rsidRPr="007166E4" w14:paraId="795027C8" w14:textId="77777777">
            <w:pPr>
              <w:widowControl w:val="0"/>
              <w:jc w:val="center"/>
              <w:rPr>
                <w:snapToGrid w:val="0"/>
                <w:kern w:val="28"/>
              </w:rPr>
            </w:pPr>
            <w:r w:rsidRPr="007166E4">
              <w:rPr>
                <w:snapToGrid w:val="0"/>
                <w:kern w:val="28"/>
              </w:rPr>
              <w:t>March 12, 2021</w:t>
            </w:r>
          </w:p>
        </w:tc>
      </w:tr>
      <w:tr w14:paraId="222612BB" w14:textId="77777777">
        <w:tblPrEx>
          <w:tblW w:w="10350" w:type="dxa"/>
          <w:tblInd w:w="-365" w:type="dxa"/>
          <w:tblLook w:val="04A0"/>
        </w:tblPrEx>
        <w:tc>
          <w:tcPr>
            <w:tcW w:w="7601" w:type="dxa"/>
          </w:tcPr>
          <w:p w:rsidR="00B7711F" w:rsidRPr="007166E4" w14:paraId="5E0EF1B8"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7E5C0AFD" w14:textId="77777777">
            <w:pPr>
              <w:widowControl w:val="0"/>
              <w:rPr>
                <w:snapToGrid w:val="0"/>
                <w:kern w:val="28"/>
              </w:rPr>
            </w:pPr>
          </w:p>
          <w:p w:rsidR="00B7711F" w:rsidRPr="007166E4" w14:paraId="2C1E8260" w14:textId="77777777">
            <w:pPr>
              <w:widowControl w:val="0"/>
              <w:jc w:val="center"/>
              <w:rPr>
                <w:snapToGrid w:val="0"/>
                <w:kern w:val="28"/>
              </w:rPr>
            </w:pPr>
          </w:p>
          <w:p w:rsidR="00B7711F" w:rsidRPr="007166E4" w14:paraId="297C5719" w14:textId="77777777">
            <w:pPr>
              <w:widowControl w:val="0"/>
              <w:jc w:val="center"/>
              <w:rPr>
                <w:snapToGrid w:val="0"/>
                <w:kern w:val="28"/>
              </w:rPr>
            </w:pPr>
            <w:r w:rsidRPr="007166E4">
              <w:rPr>
                <w:snapToGrid w:val="0"/>
                <w:kern w:val="28"/>
              </w:rPr>
              <w:t>March 12, 2021</w:t>
            </w:r>
          </w:p>
        </w:tc>
      </w:tr>
      <w:tr w14:paraId="764D8EEF" w14:textId="77777777">
        <w:tblPrEx>
          <w:tblW w:w="10350" w:type="dxa"/>
          <w:tblInd w:w="-365" w:type="dxa"/>
          <w:tblLook w:val="04A0"/>
        </w:tblPrEx>
        <w:tc>
          <w:tcPr>
            <w:tcW w:w="7601" w:type="dxa"/>
          </w:tcPr>
          <w:p w:rsidR="00B7711F" w:rsidRPr="007166E4" w14:paraId="29A94FB3"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B7711F" w:rsidRPr="007166E4" w14:paraId="5F634F9B" w14:textId="77777777">
            <w:pPr>
              <w:widowControl w:val="0"/>
              <w:jc w:val="center"/>
              <w:rPr>
                <w:snapToGrid w:val="0"/>
                <w:kern w:val="28"/>
              </w:rPr>
            </w:pPr>
          </w:p>
          <w:p w:rsidR="00B7711F" w:rsidRPr="007166E4" w14:paraId="7FF1D561" w14:textId="77777777">
            <w:pPr>
              <w:widowControl w:val="0"/>
              <w:jc w:val="center"/>
              <w:rPr>
                <w:snapToGrid w:val="0"/>
                <w:kern w:val="28"/>
              </w:rPr>
            </w:pPr>
          </w:p>
          <w:p w:rsidR="00B7711F" w:rsidRPr="007166E4" w14:paraId="7B93F5E7" w14:textId="77777777">
            <w:pPr>
              <w:widowControl w:val="0"/>
              <w:jc w:val="center"/>
              <w:rPr>
                <w:snapToGrid w:val="0"/>
                <w:kern w:val="28"/>
              </w:rPr>
            </w:pPr>
            <w:r w:rsidRPr="007166E4">
              <w:rPr>
                <w:snapToGrid w:val="0"/>
                <w:kern w:val="28"/>
              </w:rPr>
              <w:t>March 12, 2021</w:t>
            </w:r>
          </w:p>
        </w:tc>
      </w:tr>
      <w:tr w14:paraId="0A742D2C" w14:textId="77777777">
        <w:tblPrEx>
          <w:tblW w:w="10350" w:type="dxa"/>
          <w:tblInd w:w="-365" w:type="dxa"/>
          <w:tblLook w:val="04A0"/>
        </w:tblPrEx>
        <w:tc>
          <w:tcPr>
            <w:tcW w:w="7601" w:type="dxa"/>
          </w:tcPr>
          <w:p w:rsidR="00B7711F" w:rsidRPr="007166E4" w14:paraId="187155F2"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B7711F" w:rsidRPr="007166E4" w14:paraId="4EFAE6C7" w14:textId="77777777">
            <w:pPr>
              <w:widowControl w:val="0"/>
              <w:jc w:val="center"/>
              <w:rPr>
                <w:snapToGrid w:val="0"/>
                <w:kern w:val="28"/>
              </w:rPr>
            </w:pPr>
            <w:r w:rsidRPr="007166E4">
              <w:rPr>
                <w:snapToGrid w:val="0"/>
                <w:kern w:val="28"/>
              </w:rPr>
              <w:br/>
              <w:t>March 25, 2022</w:t>
            </w:r>
          </w:p>
        </w:tc>
      </w:tr>
      <w:tr w14:paraId="1F50BB30" w14:textId="77777777">
        <w:tblPrEx>
          <w:tblW w:w="10350" w:type="dxa"/>
          <w:tblInd w:w="-365" w:type="dxa"/>
          <w:tblLook w:val="04A0"/>
        </w:tblPrEx>
        <w:tc>
          <w:tcPr>
            <w:tcW w:w="7601" w:type="dxa"/>
          </w:tcPr>
          <w:p w:rsidR="00B7711F" w:rsidRPr="007166E4" w14:paraId="25F5B266"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B7711F" w:rsidRPr="007166E4" w14:paraId="5DC9BC7C" w14:textId="77777777">
            <w:pPr>
              <w:widowControl w:val="0"/>
              <w:jc w:val="center"/>
              <w:rPr>
                <w:snapToGrid w:val="0"/>
                <w:kern w:val="28"/>
              </w:rPr>
            </w:pPr>
            <w:r w:rsidRPr="007166E4">
              <w:rPr>
                <w:snapToGrid w:val="0"/>
                <w:kern w:val="28"/>
              </w:rPr>
              <w:t>March 25, 2022</w:t>
            </w:r>
          </w:p>
        </w:tc>
      </w:tr>
      <w:tr w14:paraId="3F0C7AEC" w14:textId="77777777">
        <w:tblPrEx>
          <w:tblW w:w="10350" w:type="dxa"/>
          <w:tblInd w:w="-365" w:type="dxa"/>
          <w:tblLook w:val="04A0"/>
        </w:tblPrEx>
        <w:tc>
          <w:tcPr>
            <w:tcW w:w="7601" w:type="dxa"/>
          </w:tcPr>
          <w:p w:rsidR="00B7711F" w:rsidRPr="007166E4" w14:paraId="7729E79E"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B7711F" w:rsidRPr="007166E4" w14:paraId="1DA787AB" w14:textId="77777777">
            <w:pPr>
              <w:widowControl w:val="0"/>
              <w:jc w:val="center"/>
              <w:rPr>
                <w:snapToGrid w:val="0"/>
                <w:kern w:val="28"/>
              </w:rPr>
            </w:pPr>
            <w:r w:rsidRPr="007166E4">
              <w:rPr>
                <w:snapToGrid w:val="0"/>
                <w:kern w:val="28"/>
              </w:rPr>
              <w:t>March 25, 2022</w:t>
            </w:r>
          </w:p>
        </w:tc>
      </w:tr>
      <w:tr w14:paraId="3E1C093C" w14:textId="77777777">
        <w:tblPrEx>
          <w:tblW w:w="10350" w:type="dxa"/>
          <w:tblInd w:w="-365" w:type="dxa"/>
          <w:tblLook w:val="04A0"/>
        </w:tblPrEx>
        <w:tc>
          <w:tcPr>
            <w:tcW w:w="7601" w:type="dxa"/>
          </w:tcPr>
          <w:p w:rsidR="00B7711F" w:rsidRPr="007166E4" w14:paraId="5CD4745E"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 (USA) LLC</w:t>
            </w:r>
            <w:r w:rsidRPr="007166E4">
              <w:rPr>
                <w:snapToGrid w:val="0"/>
                <w:kern w:val="28"/>
              </w:rPr>
              <w:t xml:space="preserve"> subject to section 214 of the Communications Act of 1934. </w:t>
            </w:r>
          </w:p>
        </w:tc>
        <w:tc>
          <w:tcPr>
            <w:tcW w:w="2749" w:type="dxa"/>
          </w:tcPr>
          <w:p w:rsidR="00B7711F" w:rsidRPr="007166E4" w14:paraId="5D8122AC" w14:textId="77777777">
            <w:pPr>
              <w:widowControl w:val="0"/>
              <w:jc w:val="center"/>
              <w:rPr>
                <w:snapToGrid w:val="0"/>
                <w:kern w:val="28"/>
              </w:rPr>
            </w:pPr>
            <w:r w:rsidRPr="007166E4">
              <w:rPr>
                <w:snapToGrid w:val="0"/>
                <w:kern w:val="28"/>
              </w:rPr>
              <w:br/>
              <w:t>September 20, 2022</w:t>
            </w:r>
          </w:p>
        </w:tc>
      </w:tr>
      <w:tr w14:paraId="2F054F93" w14:textId="77777777">
        <w:tblPrEx>
          <w:tblW w:w="10350" w:type="dxa"/>
          <w:tblInd w:w="-365" w:type="dxa"/>
          <w:tblLook w:val="04A0"/>
        </w:tblPrEx>
        <w:tc>
          <w:tcPr>
            <w:tcW w:w="7601" w:type="dxa"/>
          </w:tcPr>
          <w:p w:rsidR="00B7711F" w:rsidRPr="007166E4" w14:paraId="549B1A16"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B7711F" w:rsidRPr="007166E4" w14:paraId="5D44AF48" w14:textId="77777777">
            <w:pPr>
              <w:widowControl w:val="0"/>
              <w:jc w:val="center"/>
              <w:rPr>
                <w:snapToGrid w:val="0"/>
                <w:kern w:val="28"/>
              </w:rPr>
            </w:pPr>
            <w:r w:rsidRPr="007166E4">
              <w:rPr>
                <w:snapToGrid w:val="0"/>
                <w:kern w:val="28"/>
              </w:rPr>
              <w:t>September 20, 2022</w:t>
            </w:r>
          </w:p>
        </w:tc>
      </w:tr>
      <w:tr w14:paraId="56324929" w14:textId="77777777">
        <w:tblPrEx>
          <w:tblW w:w="10350" w:type="dxa"/>
          <w:tblInd w:w="-365" w:type="dxa"/>
          <w:tblLook w:val="04A0"/>
        </w:tblPrEx>
        <w:tc>
          <w:tcPr>
            <w:tcW w:w="7601" w:type="dxa"/>
          </w:tcPr>
          <w:p w:rsidR="00B7711F" w:rsidRPr="007166E4" w14:paraId="79CA7BE3"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B7711F" w:rsidRPr="007166E4" w14:paraId="67FFAA39" w14:textId="77777777">
            <w:pPr>
              <w:widowControl w:val="0"/>
              <w:jc w:val="center"/>
              <w:rPr>
                <w:snapToGrid w:val="0"/>
                <w:kern w:val="28"/>
              </w:rPr>
            </w:pPr>
            <w:r w:rsidRPr="007166E4">
              <w:rPr>
                <w:snapToGrid w:val="0"/>
                <w:kern w:val="28"/>
              </w:rPr>
              <w:t>July 23, 2024</w:t>
            </w:r>
          </w:p>
        </w:tc>
      </w:tr>
      <w:tr w14:paraId="49BA2945" w14:textId="77777777">
        <w:tblPrEx>
          <w:tblW w:w="10350" w:type="dxa"/>
          <w:tblInd w:w="-365" w:type="dxa"/>
          <w:tblLook w:val="04A0"/>
        </w:tblPrEx>
        <w:tc>
          <w:tcPr>
            <w:tcW w:w="7601" w:type="dxa"/>
          </w:tcPr>
          <w:p w:rsidR="00DD5FA2" w14:paraId="58DD4F61" w14:textId="405274D5">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—except</w:t>
            </w:r>
            <w:r w:rsidR="00551776">
              <w:rPr>
                <w:snapToGrid w:val="0"/>
                <w:kern w:val="28"/>
              </w:rPr>
              <w:t>:</w:t>
            </w:r>
          </w:p>
          <w:p w:rsidR="003A60C9" w14:paraId="417E02A9" w14:textId="77777777">
            <w:pPr>
              <w:widowControl w:val="0"/>
              <w:rPr>
                <w:snapToGrid w:val="0"/>
                <w:kern w:val="28"/>
                <w:vertAlign w:val="superscript"/>
              </w:rPr>
            </w:pPr>
            <w:r w:rsidRPr="007166E4">
              <w:rPr>
                <w:snapToGrid w:val="0"/>
                <w:kern w:val="28"/>
              </w:rPr>
              <w:t xml:space="preserve">(a) </w:t>
            </w:r>
            <w:hyperlink r:id="rId12">
              <w:r w:rsidRPr="007166E4" w:rsidR="00B7711F">
                <w:rPr>
                  <w:snapToGrid w:val="0"/>
                  <w:color w:val="0000FF"/>
                  <w:kern w:val="28"/>
                  <w:u w:val="single"/>
                </w:rPr>
                <w:t>UAS</w:t>
              </w:r>
            </w:hyperlink>
            <w:r w:rsidRPr="007166E4">
              <w:rPr>
                <w:snapToGrid w:val="0"/>
                <w:kern w:val="28"/>
              </w:rPr>
              <w:t xml:space="preserve"> and </w:t>
            </w:r>
            <w:hyperlink r:id="rId13">
              <w:r w:rsidRPr="007166E4" w:rsidR="00B7711F">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Pr>
                <w:snapToGrid w:val="0"/>
                <w:kern w:val="28"/>
              </w:rPr>
              <w:t>;</w:t>
            </w:r>
            <w:r w:rsidRPr="007166E4">
              <w:rPr>
                <w:snapToGrid w:val="0"/>
                <w:kern w:val="28"/>
                <w:vertAlign w:val="superscript"/>
              </w:rPr>
              <w:t>#</w:t>
            </w:r>
          </w:p>
          <w:p w:rsidR="003A60C9" w14:paraId="64543181" w14:textId="77777777">
            <w:pPr>
              <w:widowControl w:val="0"/>
              <w:rPr>
                <w:snapToGrid w:val="0"/>
                <w:kern w:val="28"/>
              </w:rPr>
            </w:pPr>
            <w:r w:rsidRPr="007166E4">
              <w:rPr>
                <w:snapToGrid w:val="0"/>
                <w:kern w:val="28"/>
              </w:rPr>
              <w:t xml:space="preserve">(b) UAS and UAS critical components that qualify as “domestic end products” under the Buy American Standard, </w:t>
            </w:r>
            <w:hyperlink r:id="rId14">
              <w:r w:rsidRPr="007166E4" w:rsidR="00B7711F">
                <w:rPr>
                  <w:snapToGrid w:val="0"/>
                  <w:color w:val="0000FF"/>
                  <w:kern w:val="28"/>
                  <w:u w:val="single"/>
                </w:rPr>
                <w:t>48 CFR 25.101(a)</w:t>
              </w:r>
            </w:hyperlink>
            <w:r w:rsidRPr="007166E4">
              <w:rPr>
                <w:snapToGrid w:val="0"/>
                <w:kern w:val="28"/>
              </w:rPr>
              <w:t>, until January 1, 2027;</w:t>
            </w:r>
          </w:p>
          <w:p w:rsidR="006A393D" w14:paraId="1579C678" w14:textId="501A060F">
            <w:pPr>
              <w:widowControl w:val="0"/>
              <w:rPr>
                <w:snapToGrid w:val="0"/>
                <w:kern w:val="28"/>
              </w:rPr>
            </w:pPr>
            <w:r w:rsidRPr="007166E4">
              <w:rPr>
                <w:snapToGrid w:val="0"/>
                <w:kern w:val="28"/>
              </w:rPr>
              <w:t xml:space="preserve">(c) </w:t>
            </w:r>
            <w:hyperlink r:id="rId5" w:anchor="conditional-approvals">
              <w:r w:rsidRPr="007166E4" w:rsidR="00B7711F">
                <w:rPr>
                  <w:snapToGrid w:val="0"/>
                  <w:color w:val="0000FF"/>
                  <w:kern w:val="28"/>
                  <w:u w:val="single"/>
                </w:rPr>
                <w:t>devices which have been granted a Conditional Approval by DoW or DHS</w:t>
              </w:r>
            </w:hyperlink>
            <w:r w:rsidR="003A60C9">
              <w:t>; a</w:t>
            </w:r>
            <w:r w:rsidRPr="007166E4">
              <w:rPr>
                <w:snapToGrid w:val="0"/>
                <w:kern w:val="28"/>
              </w:rPr>
              <w:t>nd</w:t>
            </w:r>
          </w:p>
          <w:p w:rsidR="006A393D" w14:paraId="50415B38" w14:textId="0DD7535D">
            <w:pPr>
              <w:widowControl w:val="0"/>
              <w:rPr>
                <w:snapToGrid w:val="0"/>
                <w:kern w:val="28"/>
              </w:rPr>
            </w:pPr>
            <w:r>
              <w:rPr>
                <w:snapToGrid w:val="0"/>
                <w:kern w:val="28"/>
              </w:rPr>
              <w:t xml:space="preserve">(d) foreign-produced “Toy Drones,” as defined in the </w:t>
            </w:r>
            <w:hyperlink r:id="rId15" w:history="1">
              <w:r w:rsidRPr="0073608C" w:rsidR="00A24DF9">
                <w:rPr>
                  <w:rStyle w:val="Hyperlink"/>
                  <w:snapToGrid w:val="0"/>
                  <w:kern w:val="28"/>
                </w:rPr>
                <w:t>National Security Determination</w:t>
              </w:r>
            </w:hyperlink>
            <w:r>
              <w:rPr>
                <w:snapToGrid w:val="0"/>
                <w:kern w:val="28"/>
              </w:rPr>
              <w:t>, and “Toy Drones that contain foreign-produced components.”</w:t>
            </w:r>
          </w:p>
          <w:p w:rsidR="006A393D" w14:paraId="42ACA82B" w14:textId="77777777">
            <w:pPr>
              <w:widowControl w:val="0"/>
              <w:rPr>
                <w:snapToGrid w:val="0"/>
                <w:kern w:val="28"/>
              </w:rPr>
            </w:pPr>
          </w:p>
          <w:p w:rsidR="00B7711F" w:rsidRPr="007166E4" w14:paraId="622D9EC8" w14:textId="32E0069C">
            <w:pPr>
              <w:widowControl w:val="0"/>
              <w:rPr>
                <w:snapToGrid w:val="0"/>
                <w:kern w:val="28"/>
              </w:rPr>
            </w:pPr>
            <w:r>
              <w:rPr>
                <w:snapToGrid w:val="0"/>
                <w:kern w:val="28"/>
              </w:rPr>
              <w:t>A</w:t>
            </w:r>
            <w:r w:rsidRPr="007166E4" w:rsidR="00ED4D2B">
              <w:rPr>
                <w:snapToGrid w:val="0"/>
                <w:kern w:val="28"/>
              </w:rPr>
              <w:t>ll communications and video surveillance equipment and services listed in Section 1709(a)(1) of the </w:t>
            </w:r>
            <w:hyperlink r:id="rId16">
              <w:r w:rsidRPr="007166E4">
                <w:rPr>
                  <w:snapToGrid w:val="0"/>
                  <w:color w:val="0000FF"/>
                  <w:kern w:val="28"/>
                  <w:u w:val="single"/>
                </w:rPr>
                <w:t>FY25 National Defense Authorization Act</w:t>
              </w:r>
            </w:hyperlink>
            <w:r>
              <w:t xml:space="preserve"> </w:t>
            </w:r>
            <w:r w:rsidRPr="007166E4" w:rsidR="00ED4D2B">
              <w:rPr>
                <w:snapToGrid w:val="0"/>
                <w:kern w:val="28"/>
              </w:rPr>
              <w:t>(Pub. L. 118-159).</w:t>
            </w:r>
          </w:p>
        </w:tc>
        <w:tc>
          <w:tcPr>
            <w:tcW w:w="2749" w:type="dxa"/>
          </w:tcPr>
          <w:p w:rsidR="00B7711F" w:rsidRPr="007166E4" w14:paraId="0B314649" w14:textId="77777777">
            <w:pPr>
              <w:widowControl w:val="0"/>
              <w:jc w:val="center"/>
              <w:rPr>
                <w:snapToGrid w:val="0"/>
                <w:kern w:val="28"/>
              </w:rPr>
            </w:pPr>
            <w:r w:rsidRPr="007166E4">
              <w:rPr>
                <w:snapToGrid w:val="0"/>
                <w:kern w:val="28"/>
              </w:rPr>
              <w:br/>
            </w:r>
          </w:p>
          <w:p w:rsidR="00B7711F" w:rsidRPr="007166E4" w14:paraId="7C621A02" w14:textId="77777777">
            <w:pPr>
              <w:widowControl w:val="0"/>
              <w:jc w:val="center"/>
              <w:rPr>
                <w:snapToGrid w:val="0"/>
                <w:kern w:val="28"/>
              </w:rPr>
            </w:pPr>
            <w:r w:rsidRPr="007166E4">
              <w:rPr>
                <w:snapToGrid w:val="0"/>
                <w:kern w:val="28"/>
              </w:rPr>
              <w:t>December 22, 2025</w:t>
            </w:r>
          </w:p>
          <w:p w:rsidR="00B7711F" w:rsidRPr="007166E4" w14:paraId="5A8CC778" w14:textId="77777777">
            <w:pPr>
              <w:widowControl w:val="0"/>
              <w:rPr>
                <w:snapToGrid w:val="0"/>
                <w:kern w:val="28"/>
              </w:rPr>
            </w:pPr>
          </w:p>
          <w:p w:rsidR="00B7711F" w:rsidRPr="007166E4" w14:paraId="65CD3376" w14:textId="46500389">
            <w:pPr>
              <w:widowControl w:val="0"/>
              <w:jc w:val="center"/>
              <w:rPr>
                <w:snapToGrid w:val="0"/>
                <w:kern w:val="28"/>
              </w:rPr>
            </w:pPr>
            <w:r w:rsidRPr="007166E4">
              <w:rPr>
                <w:snapToGrid w:val="0"/>
                <w:kern w:val="28"/>
              </w:rPr>
              <w:t>Updated: January 7, 2026</w:t>
            </w:r>
          </w:p>
          <w:p w:rsidR="00B7711F" w:rsidRPr="007166E4" w14:paraId="0C3C3327" w14:textId="77777777">
            <w:pPr>
              <w:widowControl w:val="0"/>
              <w:jc w:val="center"/>
              <w:rPr>
                <w:snapToGrid w:val="0"/>
                <w:kern w:val="28"/>
              </w:rPr>
            </w:pPr>
          </w:p>
          <w:p w:rsidR="00B7711F" w14:paraId="370F317A" w14:textId="77777777">
            <w:pPr>
              <w:widowControl w:val="0"/>
              <w:jc w:val="center"/>
              <w:rPr>
                <w:snapToGrid w:val="0"/>
                <w:kern w:val="28"/>
              </w:rPr>
            </w:pPr>
            <w:r w:rsidRPr="007166E4">
              <w:rPr>
                <w:snapToGrid w:val="0"/>
                <w:kern w:val="28"/>
              </w:rPr>
              <w:t>Updated: March 18, 2026</w:t>
            </w:r>
          </w:p>
          <w:p w:rsidR="00412CE4" w14:paraId="16AB1C82" w14:textId="77777777">
            <w:pPr>
              <w:widowControl w:val="0"/>
              <w:jc w:val="center"/>
              <w:rPr>
                <w:snapToGrid w:val="0"/>
                <w:kern w:val="28"/>
              </w:rPr>
            </w:pPr>
          </w:p>
          <w:p w:rsidR="00412CE4" w:rsidRPr="007166E4" w14:paraId="7C830740" w14:textId="043DFF7F">
            <w:pPr>
              <w:widowControl w:val="0"/>
              <w:jc w:val="center"/>
              <w:rPr>
                <w:snapToGrid w:val="0"/>
                <w:kern w:val="28"/>
              </w:rPr>
            </w:pPr>
            <w:r>
              <w:rPr>
                <w:snapToGrid w:val="0"/>
                <w:kern w:val="28"/>
              </w:rPr>
              <w:t>Updated: June 15, 2026</w:t>
            </w:r>
          </w:p>
        </w:tc>
      </w:tr>
      <w:tr w14:paraId="7F6C4A62" w14:textId="77777777">
        <w:tblPrEx>
          <w:tblW w:w="10350" w:type="dxa"/>
          <w:tblInd w:w="-365" w:type="dxa"/>
          <w:tblLook w:val="04A0"/>
        </w:tblPrEx>
        <w:tc>
          <w:tcPr>
            <w:tcW w:w="7601" w:type="dxa"/>
          </w:tcPr>
          <w:p w:rsidR="00B7711F" w:rsidRPr="007166E4" w14:paraId="05CE2233"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except routers which have been granted a Conditional Approval by DoW or DHS</w:t>
              </w:r>
            </w:hyperlink>
            <w:r w:rsidRPr="007166E4">
              <w:rPr>
                <w:snapToGrid w:val="0"/>
                <w:kern w:val="28"/>
              </w:rPr>
              <w:t>.</w:t>
            </w:r>
          </w:p>
        </w:tc>
        <w:tc>
          <w:tcPr>
            <w:tcW w:w="2749" w:type="dxa"/>
          </w:tcPr>
          <w:p w:rsidR="00B7711F" w:rsidRPr="007166E4" w14:paraId="5002A1BE" w14:textId="77777777">
            <w:pPr>
              <w:widowControl w:val="0"/>
              <w:jc w:val="center"/>
              <w:rPr>
                <w:snapToGrid w:val="0"/>
                <w:kern w:val="28"/>
              </w:rPr>
            </w:pPr>
            <w:r w:rsidRPr="007166E4">
              <w:rPr>
                <w:snapToGrid w:val="0"/>
                <w:kern w:val="28"/>
              </w:rPr>
              <w:t>March 23, 2026</w:t>
            </w:r>
          </w:p>
          <w:p w:rsidR="00B7711F" w:rsidRPr="007166E4" w14:paraId="1003DE1A" w14:textId="77777777">
            <w:pPr>
              <w:widowControl w:val="0"/>
              <w:jc w:val="center"/>
              <w:rPr>
                <w:snapToGrid w:val="0"/>
                <w:kern w:val="28"/>
              </w:rPr>
            </w:pPr>
          </w:p>
        </w:tc>
      </w:tr>
    </w:tbl>
    <w:p w:rsidR="00B7711F" w:rsidRPr="00C6378D" w:rsidP="00C6378D" w14:paraId="786E819E"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C6378D" w:rsidP="00C6378D" w14:paraId="426F7984"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14:ligatures w14:val="none"/>
        </w:rPr>
        <w:t>*The inclusion of producers or providers of equipment or services named on this list should be read to include the subsidiaries and affiliates of such entities.</w:t>
      </w:r>
    </w:p>
    <w:p w:rsidR="00B7711F" w:rsidRPr="00C6378D" w:rsidP="00C6378D" w14:paraId="4995A52E"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14:ligatures w14:val="none"/>
        </w:rPr>
        <w:t xml:space="preserve"> </w:t>
      </w:r>
    </w:p>
    <w:p w:rsidR="00B7711F" w:rsidRPr="00C6378D" w:rsidP="00C6378D" w14:paraId="0CEEA297" w14:textId="28036381">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vertAlign w:val="superscript"/>
          <w14:ligatures w14:val="none"/>
        </w:rPr>
        <w:t>†</w:t>
      </w:r>
      <w:r w:rsidRPr="00C6378D">
        <w:rPr>
          <w:rFonts w:ascii="Times New Roman" w:eastAsia="Times New Roman" w:hAnsi="Times New Roman" w:cs="Times New Roman"/>
          <w:snapToGrid w:val="0"/>
          <w:kern w:val="28"/>
          <w:sz w:val="22"/>
          <w:szCs w:val="22"/>
          <w14:ligatures w14:val="none"/>
        </w:rPr>
        <w:t>Where equipment or services on the list are identified by category, such category should be construed to include only equipment or services capable of the functions outlined in sections 2(b)(2)(A), (B), or (C) of the Secure and Trusted Communications Networks Act of 2019, 47 U.S.C. §</w:t>
      </w:r>
      <w:r w:rsidR="00C6378D">
        <w:rPr>
          <w:rFonts w:ascii="Times New Roman" w:eastAsia="Times New Roman" w:hAnsi="Times New Roman" w:cs="Times New Roman"/>
          <w:snapToGrid w:val="0"/>
          <w:kern w:val="28"/>
          <w:sz w:val="22"/>
          <w:szCs w:val="22"/>
          <w14:ligatures w14:val="none"/>
        </w:rPr>
        <w:t xml:space="preserve"> </w:t>
      </w:r>
      <w:r w:rsidRPr="00C6378D">
        <w:rPr>
          <w:rFonts w:ascii="Times New Roman" w:eastAsia="Times New Roman" w:hAnsi="Times New Roman" w:cs="Times New Roman"/>
          <w:snapToGrid w:val="0"/>
          <w:kern w:val="28"/>
          <w:sz w:val="22"/>
          <w:szCs w:val="22"/>
          <w14:ligatures w14:val="none"/>
        </w:rPr>
        <w:t>1601(b)(2)(A)-(C).</w:t>
      </w:r>
    </w:p>
    <w:p w:rsidR="00B7711F" w:rsidRPr="00C6378D" w:rsidP="00C6378D" w14:paraId="39E03C45"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C6378D" w:rsidP="00C6378D" w14:paraId="6A74EC7E"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vertAlign w:val="superscript"/>
          <w14:ligatures w14:val="none"/>
        </w:rPr>
        <w:t>††</w:t>
      </w:r>
      <w:r w:rsidRPr="00C6378D">
        <w:rPr>
          <w:rFonts w:ascii="Times New Roman" w:eastAsia="Times New Roman" w:hAnsi="Times New Roman" w:cs="Times New Roman"/>
          <w:snapToGrid w:val="0"/>
          <w:kern w:val="28"/>
          <w:sz w:val="22"/>
          <w:szCs w:val="22"/>
          <w14:ligatures w14:val="none"/>
        </w:rPr>
        <w:t xml:space="preserve">For purposes of inclusion of UAS and UAS critical components, we incorporate the definitions included in the associated </w:t>
      </w:r>
      <w:hyperlink r:id="rId17" w:history="1">
        <w:r w:rsidRPr="00C6378D">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C6378D">
        <w:rPr>
          <w:rFonts w:ascii="Times New Roman" w:eastAsia="Times New Roman" w:hAnsi="Times New Roman" w:cs="Times New Roman"/>
          <w:snapToGrid w:val="0"/>
          <w:kern w:val="28"/>
          <w:sz w:val="22"/>
          <w:szCs w:val="22"/>
          <w14:ligatures w14:val="none"/>
        </w:rPr>
        <w:t>.</w:t>
      </w:r>
    </w:p>
    <w:p w:rsidR="00B7711F" w:rsidRPr="00C6378D" w:rsidP="00C6378D" w14:paraId="22A19E47"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C6378D" w:rsidP="00C6378D" w14:paraId="2D41D0F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vertAlign w:val="superscript"/>
          <w14:ligatures w14:val="none"/>
        </w:rPr>
        <w:t>±</w:t>
      </w:r>
      <w:r w:rsidRPr="00C6378D">
        <w:rPr>
          <w:rFonts w:ascii="Times New Roman" w:eastAsia="Times New Roman" w:hAnsi="Times New Roman" w:cs="Times New Roman"/>
          <w:snapToGrid w:val="0"/>
          <w:kern w:val="28"/>
          <w:sz w:val="22"/>
          <w:szCs w:val="22"/>
          <w14:ligatures w14:val="none"/>
        </w:rPr>
        <w:t xml:space="preserve">The scope of the Covered List is affected by the </w:t>
      </w:r>
      <w:hyperlink r:id="rId5" w:anchor="conditional-approvals" w:history="1">
        <w:r w:rsidRPr="00C6378D">
          <w:rPr>
            <w:rFonts w:ascii="Times New Roman" w:eastAsia="Times New Roman" w:hAnsi="Times New Roman" w:cs="Times New Roman"/>
            <w:snapToGrid w:val="0"/>
            <w:color w:val="0000FF"/>
            <w:kern w:val="28"/>
            <w:sz w:val="22"/>
            <w:szCs w:val="22"/>
            <w:u w:val="single"/>
            <w14:ligatures w14:val="none"/>
          </w:rPr>
          <w:t>Conditional Approvals</w:t>
        </w:r>
      </w:hyperlink>
      <w:r w:rsidRPr="00C6378D">
        <w:rPr>
          <w:rFonts w:ascii="Times New Roman" w:eastAsia="Times New Roman" w:hAnsi="Times New Roman" w:cs="Times New Roman"/>
          <w:snapToGrid w:val="0"/>
          <w:kern w:val="28"/>
          <w:sz w:val="22"/>
          <w:szCs w:val="22"/>
          <w14:ligatures w14:val="none"/>
        </w:rPr>
        <w:t xml:space="preserve"> that we have received.</w:t>
      </w:r>
    </w:p>
    <w:p w:rsidR="00B7711F" w:rsidRPr="00C6378D" w:rsidP="00C6378D" w14:paraId="50FACFB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C6378D" w:rsidP="00C6378D" w14:paraId="40FFE24B"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vertAlign w:val="superscript"/>
          <w14:ligatures w14:val="none"/>
        </w:rPr>
        <w:t>#</w:t>
      </w:r>
      <w:r w:rsidRPr="00C6378D">
        <w:rPr>
          <w:rFonts w:ascii="Times New Roman" w:eastAsia="Times New Roman" w:hAnsi="Times New Roman" w:cs="Times New Roman"/>
          <w:snapToGrid w:val="0"/>
          <w:kern w:val="28"/>
          <w:sz w:val="22"/>
          <w:szCs w:val="22"/>
          <w14:ligatures w14:val="none"/>
        </w:rPr>
        <w:t xml:space="preserve">The “Blue UAS list” referred to in the </w:t>
      </w:r>
      <w:hyperlink r:id="rId18" w:history="1">
        <w:r w:rsidRPr="00C6378D">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C6378D">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C6378D">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C6378D">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C6378D">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C6378D">
        <w:rPr>
          <w:rFonts w:ascii="Times New Roman" w:eastAsia="Times New Roman" w:hAnsi="Times New Roman" w:cs="Times New Roman"/>
          <w:snapToGrid w:val="0"/>
          <w:kern w:val="28"/>
          <w:sz w:val="22"/>
          <w:szCs w:val="22"/>
          <w14:ligatures w14:val="none"/>
        </w:rPr>
        <w:t>. We use the term “Blue UAS Cleared List” to refer to both lists.</w:t>
      </w:r>
    </w:p>
    <w:p w:rsidR="00B7711F" w:rsidRPr="00C6378D" w:rsidP="00C6378D" w14:paraId="33993B47"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B7711F" w:rsidRPr="00C6378D" w:rsidP="00C6378D" w14:paraId="1883D914"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C6378D">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9" w:history="1">
        <w:r w:rsidRPr="00C6378D">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C6378D">
        <w:rPr>
          <w:rFonts w:ascii="Times New Roman" w:eastAsia="Times New Roman" w:hAnsi="Times New Roman" w:cs="Times New Roman"/>
          <w:snapToGrid w:val="0"/>
          <w:kern w:val="28"/>
          <w:sz w:val="22"/>
          <w:szCs w:val="22"/>
          <w14:ligatures w14:val="none"/>
        </w:rPr>
        <w:t>.</w:t>
      </w:r>
    </w:p>
    <w:p w:rsidR="00B7711F" w:rsidRPr="007166E4" w:rsidP="00B7711F" w14:paraId="152B9648"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B7711F">
          <w:footerReference w:type="first" r:id="rId20"/>
          <w:endnotePr>
            <w:numFmt w:val="decimal"/>
          </w:endnotePr>
          <w:pgSz w:w="12240" w:h="15840"/>
          <w:pgMar w:top="1440" w:right="1440" w:bottom="720" w:left="1440" w:header="630" w:footer="720" w:gutter="0"/>
          <w:pgNumType w:start="1"/>
          <w:cols w:space="720"/>
          <w:noEndnote/>
          <w:docGrid w:linePitch="299"/>
        </w:sectPr>
      </w:pPr>
    </w:p>
    <w:p w:rsidR="00B7711F" w:rsidRPr="007166E4" w:rsidP="00B7711F" w14:paraId="4430FC9B"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B7711F" w:rsidRPr="007166E4" w:rsidP="00B7711F" w14:paraId="2657A5D8"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bookmarkEnd w:id="0"/>
    <w:p w:rsidR="00B7711F" w:rsidRPr="007166E4" w:rsidP="00B7711F" w14:paraId="0B8219A7" w14:textId="6AC0757D">
      <w:pPr>
        <w:widowControl w:val="0"/>
        <w:spacing w:after="0" w:line="240" w:lineRule="auto"/>
        <w:jc w:val="center"/>
        <w:rPr>
          <w:rFonts w:ascii="Times New Roman" w:eastAsia="Times New Roman" w:hAnsi="Times New Roman" w:cs="Times New Roman"/>
          <w:i/>
          <w:snapToGrid w:val="0"/>
          <w:kern w:val="28"/>
          <w14:ligatures w14:val="none"/>
        </w:rPr>
      </w:pPr>
      <w:r w:rsidRPr="009F4938">
        <w:rPr>
          <w:rFonts w:ascii="Times New Roman" w:eastAsia="Times New Roman" w:hAnsi="Times New Roman" w:cs="Times New Roman"/>
          <w:i/>
          <w:snapToGrid w:val="0"/>
          <w:kern w:val="28"/>
          <w14:ligatures w14:val="none"/>
        </w:rPr>
        <w:t xml:space="preserve">Updated June </w:t>
      </w:r>
      <w:r w:rsidR="009F4938">
        <w:rPr>
          <w:rFonts w:ascii="Times New Roman" w:eastAsia="Times New Roman" w:hAnsi="Times New Roman" w:cs="Times New Roman"/>
          <w:i/>
          <w:snapToGrid w:val="0"/>
          <w:kern w:val="28"/>
          <w14:ligatures w14:val="none"/>
        </w:rPr>
        <w:t>22</w:t>
      </w:r>
      <w:r w:rsidRPr="009F4938">
        <w:rPr>
          <w:rFonts w:ascii="Times New Roman" w:eastAsia="Times New Roman" w:hAnsi="Times New Roman" w:cs="Times New Roman"/>
          <w:i/>
          <w:snapToGrid w:val="0"/>
          <w:kern w:val="28"/>
          <w14:ligatures w14:val="none"/>
        </w:rPr>
        <w:t>, 2026</w:t>
      </w:r>
    </w:p>
    <w:p w:rsidR="00B7711F" w:rsidRPr="007166E4" w:rsidP="00B7711F" w14:paraId="191EC867"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285"/>
        <w:gridCol w:w="55"/>
        <w:gridCol w:w="2285"/>
        <w:gridCol w:w="55"/>
      </w:tblGrid>
      <w:tr w14:paraId="276958D6" w14:textId="77777777" w:rsidTr="005F622F">
        <w:tblPrEx>
          <w:tblW w:w="9590" w:type="dxa"/>
          <w:tblLook w:val="04A0"/>
        </w:tblPrEx>
        <w:trPr>
          <w:gridAfter w:val="1"/>
          <w:wAfter w:w="55" w:type="dxa"/>
        </w:trPr>
        <w:tc>
          <w:tcPr>
            <w:tcW w:w="2515" w:type="dxa"/>
            <w:tcBorders>
              <w:bottom w:val="single" w:sz="4" w:space="0" w:color="auto"/>
            </w:tcBorders>
          </w:tcPr>
          <w:p w:rsidR="00B7711F" w:rsidRPr="007166E4" w14:paraId="4CFADBC1" w14:textId="77777777">
            <w:pPr>
              <w:widowControl w:val="0"/>
              <w:jc w:val="center"/>
              <w:rPr>
                <w:b/>
                <w:bCs/>
                <w:snapToGrid w:val="0"/>
                <w:kern w:val="28"/>
              </w:rPr>
            </w:pPr>
            <w:r w:rsidRPr="007166E4">
              <w:rPr>
                <w:b/>
                <w:bCs/>
                <w:snapToGrid w:val="0"/>
                <w:kern w:val="28"/>
              </w:rPr>
              <w:t>UAS Conditional Approvals</w:t>
            </w:r>
          </w:p>
          <w:p w:rsidR="00B7711F" w:rsidRPr="007166E4" w14:paraId="4ECD47C4" w14:textId="77777777">
            <w:pPr>
              <w:widowControl w:val="0"/>
              <w:jc w:val="center"/>
              <w:rPr>
                <w:snapToGrid w:val="0"/>
                <w:kern w:val="28"/>
              </w:rPr>
            </w:pPr>
          </w:p>
        </w:tc>
        <w:tc>
          <w:tcPr>
            <w:tcW w:w="2395" w:type="dxa"/>
            <w:tcBorders>
              <w:right w:val="single" w:sz="24" w:space="0" w:color="auto"/>
            </w:tcBorders>
          </w:tcPr>
          <w:p w:rsidR="00B7711F" w:rsidRPr="007166E4" w14:paraId="3446FD13"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B7711F" w:rsidRPr="007166E4" w14:paraId="226797B3" w14:textId="77777777">
            <w:pPr>
              <w:widowControl w:val="0"/>
              <w:jc w:val="center"/>
              <w:rPr>
                <w:snapToGrid w:val="0"/>
                <w:kern w:val="28"/>
              </w:rPr>
            </w:pPr>
          </w:p>
        </w:tc>
        <w:tc>
          <w:tcPr>
            <w:tcW w:w="2285" w:type="dxa"/>
            <w:tcBorders>
              <w:left w:val="single" w:sz="24" w:space="0" w:color="auto"/>
            </w:tcBorders>
          </w:tcPr>
          <w:p w:rsidR="00B7711F" w:rsidRPr="007166E4" w14:paraId="7B3360AD" w14:textId="77777777">
            <w:pPr>
              <w:widowControl w:val="0"/>
              <w:jc w:val="center"/>
              <w:rPr>
                <w:b/>
                <w:bCs/>
                <w:snapToGrid w:val="0"/>
                <w:kern w:val="28"/>
              </w:rPr>
            </w:pPr>
            <w:r w:rsidRPr="007166E4">
              <w:rPr>
                <w:b/>
                <w:bCs/>
                <w:snapToGrid w:val="0"/>
                <w:kern w:val="28"/>
              </w:rPr>
              <w:t>Routers Conditional Approvals</w:t>
            </w:r>
          </w:p>
        </w:tc>
        <w:tc>
          <w:tcPr>
            <w:tcW w:w="2340" w:type="dxa"/>
            <w:gridSpan w:val="2"/>
          </w:tcPr>
          <w:p w:rsidR="00B7711F" w:rsidRPr="007166E4" w14:paraId="7D10C4F4" w14:textId="77777777">
            <w:pPr>
              <w:widowControl w:val="0"/>
              <w:jc w:val="center"/>
              <w:rPr>
                <w:b/>
                <w:bCs/>
                <w:snapToGrid w:val="0"/>
                <w:kern w:val="28"/>
              </w:rPr>
            </w:pPr>
            <w:r w:rsidRPr="007166E4">
              <w:rPr>
                <w:b/>
                <w:bCs/>
                <w:snapToGrid w:val="0"/>
                <w:kern w:val="28"/>
              </w:rPr>
              <w:t>Date</w:t>
            </w:r>
            <w:r>
              <w:rPr>
                <w:b/>
                <w:bCs/>
                <w:snapToGrid w:val="0"/>
                <w:kern w:val="28"/>
              </w:rPr>
              <w:t>s</w:t>
            </w:r>
            <w:r w:rsidRPr="007166E4">
              <w:rPr>
                <w:b/>
                <w:bCs/>
                <w:snapToGrid w:val="0"/>
                <w:kern w:val="28"/>
              </w:rPr>
              <w:t xml:space="preserve"> of Conditional Approval</w:t>
            </w:r>
          </w:p>
          <w:p w:rsidR="00B7711F" w:rsidRPr="007166E4" w14:paraId="0760CB71" w14:textId="77777777">
            <w:pPr>
              <w:widowControl w:val="0"/>
              <w:rPr>
                <w:snapToGrid w:val="0"/>
                <w:kern w:val="28"/>
              </w:rPr>
            </w:pPr>
          </w:p>
        </w:tc>
      </w:tr>
      <w:tr w14:paraId="1E172C84" w14:textId="77777777" w:rsidTr="005F622F">
        <w:tblPrEx>
          <w:tblW w:w="9590" w:type="dxa"/>
          <w:tblLook w:val="04A0"/>
        </w:tblPrEx>
        <w:trPr>
          <w:gridAfter w:val="1"/>
          <w:wAfter w:w="55" w:type="dxa"/>
          <w:trHeight w:val="1429"/>
        </w:trPr>
        <w:tc>
          <w:tcPr>
            <w:tcW w:w="2515" w:type="dxa"/>
          </w:tcPr>
          <w:p w:rsidR="00B7711F" w:rsidRPr="007166E4" w14:paraId="0F81D8B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B7711F" w:rsidRPr="007166E4" w14:paraId="0363CF8F" w14:textId="77777777">
            <w:pPr>
              <w:widowControl w:val="0"/>
              <w:rPr>
                <w:snapToGrid w:val="0"/>
                <w:kern w:val="28"/>
              </w:rPr>
            </w:pPr>
          </w:p>
        </w:tc>
        <w:tc>
          <w:tcPr>
            <w:tcW w:w="2395" w:type="dxa"/>
            <w:tcBorders>
              <w:right w:val="single" w:sz="24" w:space="0" w:color="auto"/>
            </w:tcBorders>
          </w:tcPr>
          <w:p w:rsidR="00B7711F" w:rsidRPr="007166E4" w14:paraId="271E43B8"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B7711F" w:rsidRPr="007166E4" w14:paraId="4F18A81C" w14:textId="77777777">
            <w:pPr>
              <w:widowControl w:val="0"/>
              <w:spacing w:after="120"/>
              <w:rPr>
                <w:snapToGrid w:val="0"/>
                <w:kern w:val="28"/>
              </w:rPr>
            </w:pPr>
            <w:r w:rsidRPr="007166E4">
              <w:rPr>
                <w:snapToGrid w:val="0"/>
                <w:kern w:val="28"/>
                <w:szCs w:val="22"/>
              </w:rPr>
              <w:t>Netgear</w:t>
            </w:r>
            <w:r w:rsidRPr="007166E4">
              <w:rPr>
                <w:snapToGrid w:val="0"/>
                <w:kern w:val="28"/>
                <w:szCs w:val="22"/>
              </w:rPr>
              <w:t xml:space="preserve">,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gridSpan w:val="2"/>
          </w:tcPr>
          <w:p w:rsidR="00B7711F" w:rsidRPr="007166E4" w14:paraId="7FF611D6" w14:textId="77777777">
            <w:pPr>
              <w:widowControl w:val="0"/>
              <w:jc w:val="center"/>
              <w:rPr>
                <w:snapToGrid w:val="0"/>
                <w:kern w:val="28"/>
              </w:rPr>
            </w:pPr>
            <w:r w:rsidRPr="007166E4">
              <w:rPr>
                <w:snapToGrid w:val="0"/>
                <w:kern w:val="28"/>
              </w:rPr>
              <w:t>April 14, 2026-October 1, 2027</w:t>
            </w:r>
          </w:p>
        </w:tc>
      </w:tr>
      <w:tr w14:paraId="0D6C6ACB" w14:textId="77777777" w:rsidTr="005F622F">
        <w:tblPrEx>
          <w:tblW w:w="9590" w:type="dxa"/>
          <w:tblLook w:val="04A0"/>
        </w:tblPrEx>
        <w:trPr>
          <w:gridAfter w:val="1"/>
          <w:wAfter w:w="55" w:type="dxa"/>
        </w:trPr>
        <w:tc>
          <w:tcPr>
            <w:tcW w:w="2515" w:type="dxa"/>
          </w:tcPr>
          <w:p w:rsidR="00B7711F" w:rsidRPr="007166E4" w14:paraId="7A137B79"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B7711F" w:rsidRPr="007166E4" w14:paraId="5874C1A6" w14:textId="77777777">
            <w:pPr>
              <w:widowControl w:val="0"/>
              <w:rPr>
                <w:snapToGrid w:val="0"/>
                <w:kern w:val="28"/>
              </w:rPr>
            </w:pPr>
          </w:p>
        </w:tc>
        <w:tc>
          <w:tcPr>
            <w:tcW w:w="2395" w:type="dxa"/>
            <w:tcBorders>
              <w:bottom w:val="single" w:sz="6" w:space="0" w:color="auto"/>
              <w:right w:val="single" w:sz="24" w:space="0" w:color="auto"/>
            </w:tcBorders>
          </w:tcPr>
          <w:p w:rsidR="00B7711F" w:rsidRPr="007166E4" w14:paraId="1235DE5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B7711F" w:rsidRPr="007166E4" w14:paraId="379F6BB3"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340" w:type="dxa"/>
            <w:gridSpan w:val="2"/>
            <w:tcBorders>
              <w:bottom w:val="single" w:sz="6" w:space="0" w:color="auto"/>
            </w:tcBorders>
          </w:tcPr>
          <w:p w:rsidR="00B7711F" w:rsidRPr="007166E4" w14:paraId="79F37F6D" w14:textId="77777777">
            <w:pPr>
              <w:widowControl w:val="0"/>
              <w:jc w:val="center"/>
              <w:rPr>
                <w:snapToGrid w:val="0"/>
                <w:kern w:val="28"/>
              </w:rPr>
            </w:pPr>
            <w:r w:rsidRPr="007166E4">
              <w:rPr>
                <w:snapToGrid w:val="0"/>
                <w:kern w:val="28"/>
              </w:rPr>
              <w:t>April 14, 2026-October 1, 2027</w:t>
            </w:r>
          </w:p>
        </w:tc>
      </w:tr>
      <w:tr w14:paraId="53EA0761" w14:textId="77777777" w:rsidTr="005F622F">
        <w:tblPrEx>
          <w:tblW w:w="9590" w:type="dxa"/>
          <w:tblLook w:val="04A0"/>
        </w:tblPrEx>
        <w:trPr>
          <w:gridAfter w:val="1"/>
          <w:wAfter w:w="55" w:type="dxa"/>
        </w:trPr>
        <w:tc>
          <w:tcPr>
            <w:tcW w:w="2515" w:type="dxa"/>
            <w:tcBorders>
              <w:right w:val="single" w:sz="6" w:space="0" w:color="auto"/>
            </w:tcBorders>
          </w:tcPr>
          <w:p w:rsidR="00B7711F" w:rsidRPr="007166E4" w14:paraId="13499A55"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B7711F" w:rsidRPr="007166E4" w14:paraId="09B26548"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B7711F" w:rsidRPr="007166E4" w14:paraId="1BE429B0"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7711F" w:rsidRPr="009C3AA0" w14:paraId="1B201710" w14:textId="77777777">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rsidRPr="009C3AA0" w14:paraId="39217749" w14:textId="77777777">
            <w:pPr>
              <w:widowControl w:val="0"/>
              <w:jc w:val="center"/>
              <w:rPr>
                <w:snapToGrid w:val="0"/>
                <w:kern w:val="28"/>
              </w:rPr>
            </w:pPr>
            <w:r w:rsidRPr="009C3AA0">
              <w:rPr>
                <w:snapToGrid w:val="0"/>
                <w:kern w:val="28"/>
              </w:rPr>
              <w:t>April 22, 2026-October 31, 2027</w:t>
            </w:r>
          </w:p>
        </w:tc>
      </w:tr>
      <w:tr w14:paraId="67903406" w14:textId="77777777" w:rsidTr="005F622F">
        <w:tblPrEx>
          <w:tblW w:w="9590" w:type="dxa"/>
          <w:tblLook w:val="04A0"/>
        </w:tblPrEx>
        <w:trPr>
          <w:gridAfter w:val="1"/>
          <w:wAfter w:w="55" w:type="dxa"/>
        </w:trPr>
        <w:tc>
          <w:tcPr>
            <w:tcW w:w="2515" w:type="dxa"/>
          </w:tcPr>
          <w:p w:rsidR="00B7711F" w:rsidRPr="007166E4" w14:paraId="542A089A" w14:textId="77777777">
            <w:pPr>
              <w:widowControl w:val="0"/>
              <w:rPr>
                <w:snapToGrid w:val="0"/>
                <w:kern w:val="28"/>
              </w:rPr>
            </w:pPr>
            <w:r w:rsidRPr="007166E4">
              <w:rPr>
                <w:snapToGrid w:val="0"/>
                <w:kern w:val="28"/>
              </w:rPr>
              <w:t>Verge, Inc. X1 Uncrewed Aircraft System</w:t>
            </w:r>
          </w:p>
          <w:p w:rsidR="00B7711F" w:rsidRPr="007166E4" w14:paraId="6B98D927" w14:textId="77777777">
            <w:pPr>
              <w:widowControl w:val="0"/>
              <w:rPr>
                <w:snapToGrid w:val="0"/>
                <w:kern w:val="28"/>
              </w:rPr>
            </w:pPr>
          </w:p>
        </w:tc>
        <w:tc>
          <w:tcPr>
            <w:tcW w:w="2395" w:type="dxa"/>
            <w:tcBorders>
              <w:top w:val="single" w:sz="6" w:space="0" w:color="auto"/>
              <w:right w:val="single" w:sz="24" w:space="0" w:color="auto"/>
            </w:tcBorders>
          </w:tcPr>
          <w:p w:rsidR="00B7711F" w:rsidRPr="007166E4" w14:paraId="61CFABDF"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7711F" w14:paraId="770169D8" w14:textId="77777777">
            <w:r w:rsidRPr="000B1B49">
              <w:t>Calix, Inc.’s 7u6.2 router, part number (100-06200)</w:t>
            </w:r>
          </w:p>
          <w:p w:rsidR="00B7711F" w:rsidRPr="00EC0015" w14:paraId="0C466986" w14:textId="77777777"/>
          <w:p w:rsidR="00B7711F" w:rsidRPr="00FE71BB" w14:paraId="044AFC72" w14:textId="77777777">
            <w:pPr>
              <w:pStyle w:val="Default"/>
              <w:spacing w:after="120"/>
              <w:rPr>
                <w:highlight w:val="yellow"/>
              </w:rPr>
            </w:pPr>
            <w:r w:rsidRPr="00FE71BB">
              <w:t>Calix, Inc.’s 7p6, 7u6m.2, 7u4txg, and 7u4 broadband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14:paraId="4BC34ED2" w14:textId="77777777">
            <w:pPr>
              <w:jc w:val="center"/>
            </w:pPr>
            <w:r w:rsidRPr="008B6275">
              <w:t>May 6, 2026-October 31, 2027</w:t>
            </w:r>
          </w:p>
          <w:p w:rsidR="00B7711F" w14:paraId="1EB3AAFA" w14:textId="77777777">
            <w:pPr>
              <w:jc w:val="center"/>
            </w:pPr>
          </w:p>
          <w:p w:rsidR="00B7711F" w:rsidRPr="00A9298F" w14:paraId="6DB306BE" w14:textId="77777777">
            <w:pPr>
              <w:jc w:val="center"/>
            </w:pPr>
            <w:r w:rsidRPr="00FE71BB">
              <w:t>June 1, 2026-November 22, 2027</w:t>
            </w:r>
          </w:p>
          <w:p w:rsidR="00B7711F" w:rsidRPr="008B6275" w14:paraId="0816A3A2" w14:textId="77777777">
            <w:pPr>
              <w:jc w:val="center"/>
            </w:pPr>
          </w:p>
        </w:tc>
      </w:tr>
      <w:tr w14:paraId="0EB2C6AA" w14:textId="77777777" w:rsidTr="005F622F">
        <w:tblPrEx>
          <w:tblW w:w="9590" w:type="dxa"/>
          <w:tblLook w:val="04A0"/>
        </w:tblPrEx>
        <w:trPr>
          <w:gridAfter w:val="1"/>
          <w:wAfter w:w="55" w:type="dxa"/>
        </w:trPr>
        <w:tc>
          <w:tcPr>
            <w:tcW w:w="2515" w:type="dxa"/>
          </w:tcPr>
          <w:p w:rsidR="00B7711F" w:rsidRPr="00D375B5" w14:paraId="2228B089"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B7711F" w:rsidRPr="007166E4" w14:paraId="0E092FE5" w14:textId="77777777">
            <w:pPr>
              <w:widowControl w:val="0"/>
              <w:rPr>
                <w:snapToGrid w:val="0"/>
                <w:kern w:val="28"/>
              </w:rPr>
            </w:pPr>
          </w:p>
        </w:tc>
        <w:tc>
          <w:tcPr>
            <w:tcW w:w="2395" w:type="dxa"/>
            <w:tcBorders>
              <w:right w:val="single" w:sz="24" w:space="0" w:color="auto"/>
            </w:tcBorders>
          </w:tcPr>
          <w:p w:rsidR="00B7711F" w:rsidRPr="007166E4" w14:paraId="117F198B" w14:textId="77777777">
            <w:pPr>
              <w:widowControl w:val="0"/>
              <w:jc w:val="center"/>
              <w:rPr>
                <w:snapToGrid w:val="0"/>
                <w:kern w:val="28"/>
              </w:rPr>
            </w:pPr>
            <w:r w:rsidRPr="007166E4">
              <w:rPr>
                <w:snapToGrid w:val="0"/>
                <w:kern w:val="28"/>
              </w:rPr>
              <w:t>April 14, 2026-December 31, 2026</w:t>
            </w:r>
          </w:p>
        </w:tc>
        <w:tc>
          <w:tcPr>
            <w:tcW w:w="2285" w:type="dxa"/>
            <w:tcBorders>
              <w:left w:val="single" w:sz="24" w:space="0" w:color="auto"/>
              <w:right w:val="single" w:sz="6" w:space="0" w:color="auto"/>
            </w:tcBorders>
          </w:tcPr>
          <w:p w:rsidR="00B7711F" w:rsidRPr="007F3AAE" w14:paraId="5403A98F" w14:textId="77777777">
            <w:pPr>
              <w:widowControl w:val="0"/>
              <w:rPr>
                <w:snapToGrid w:val="0"/>
                <w:kern w:val="28"/>
              </w:rPr>
            </w:pPr>
            <w:r w:rsidRPr="007F3AAE">
              <w:rPr>
                <w:snapToGrid w:val="0"/>
                <w:kern w:val="28"/>
              </w:rPr>
              <w:t>Nokia Corporation’s wireless-fidelity 8 router</w:t>
            </w:r>
          </w:p>
          <w:p w:rsidR="00B7711F" w:rsidRPr="007F3AAE" w14:paraId="2B8CB867" w14:textId="77777777">
            <w:pPr>
              <w:widowControl w:val="0"/>
              <w:rPr>
                <w:snapToGrid w:val="0"/>
                <w:kern w:val="28"/>
              </w:rPr>
            </w:pPr>
          </w:p>
          <w:p w:rsidR="00B7711F" w:rsidRPr="007F3AAE" w14:paraId="508B1F02" w14:textId="77777777">
            <w:pPr>
              <w:widowControl w:val="0"/>
              <w:rPr>
                <w:snapToGrid w:val="0"/>
                <w:kern w:val="28"/>
              </w:rPr>
            </w:pPr>
            <w:r w:rsidRPr="007F3AAE">
              <w:rPr>
                <w:snapToGrid w:val="0"/>
                <w:kern w:val="28"/>
              </w:rPr>
              <w:t xml:space="preserve">Nokia Corporation’s Beacons, Open Network Terminal (ONT) Based Beacons, and </w:t>
            </w:r>
            <w:r w:rsidRPr="007F3AAE">
              <w:rPr>
                <w:snapToGrid w:val="0"/>
                <w:kern w:val="28"/>
              </w:rPr>
              <w:t>Fastmile</w:t>
            </w:r>
            <w:r w:rsidRPr="007F3AAE">
              <w:rPr>
                <w:snapToGrid w:val="0"/>
                <w:kern w:val="28"/>
              </w:rPr>
              <w:t xml:space="preserve"> Gateway routers</w:t>
            </w:r>
          </w:p>
        </w:tc>
        <w:tc>
          <w:tcPr>
            <w:tcW w:w="2340" w:type="dxa"/>
            <w:gridSpan w:val="2"/>
            <w:tcBorders>
              <w:top w:val="single" w:sz="6" w:space="0" w:color="auto"/>
              <w:left w:val="single" w:sz="6" w:space="0" w:color="auto"/>
              <w:bottom w:val="single" w:sz="6" w:space="0" w:color="auto"/>
              <w:right w:val="single" w:sz="6" w:space="0" w:color="auto"/>
            </w:tcBorders>
          </w:tcPr>
          <w:p w:rsidR="00B7711F" w:rsidRPr="00A9298F" w14:paraId="04317688" w14:textId="77777777">
            <w:pPr>
              <w:jc w:val="center"/>
            </w:pPr>
            <w:r w:rsidRPr="00A9298F">
              <w:t>May 15, 2026-October 31, 2027</w:t>
            </w:r>
          </w:p>
          <w:p w:rsidR="00B7711F" w:rsidRPr="00A9298F" w14:paraId="789CFAF9" w14:textId="77777777">
            <w:pPr>
              <w:jc w:val="center"/>
            </w:pPr>
          </w:p>
          <w:p w:rsidR="00B7711F" w:rsidRPr="00A9298F" w14:paraId="39550BCF" w14:textId="77777777">
            <w:pPr>
              <w:jc w:val="center"/>
            </w:pPr>
            <w:r w:rsidRPr="007F3AAE">
              <w:t>May 18, 2026-October 31, 2027</w:t>
            </w:r>
          </w:p>
        </w:tc>
      </w:tr>
      <w:tr w14:paraId="6BA791BC" w14:textId="77777777" w:rsidTr="005F622F">
        <w:tblPrEx>
          <w:tblW w:w="9590" w:type="dxa"/>
          <w:tblLook w:val="04A0"/>
        </w:tblPrEx>
        <w:trPr>
          <w:gridAfter w:val="1"/>
          <w:wAfter w:w="55" w:type="dxa"/>
        </w:trPr>
        <w:tc>
          <w:tcPr>
            <w:tcW w:w="2515" w:type="dxa"/>
          </w:tcPr>
          <w:p w:rsidR="00B7711F" w:rsidRPr="00D375B5" w14:paraId="7B7C1FA7" w14:textId="77777777">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B7711F" w:rsidRPr="007166E4" w14:paraId="63D736D6" w14:textId="77777777">
            <w:pPr>
              <w:widowControl w:val="0"/>
              <w:jc w:val="center"/>
              <w:rPr>
                <w:snapToGrid w:val="0"/>
                <w:kern w:val="28"/>
              </w:rPr>
            </w:pPr>
            <w:r w:rsidRPr="008B6275">
              <w:rPr>
                <w:snapToGrid w:val="0"/>
                <w:kern w:val="28"/>
              </w:rPr>
              <w:t>May 6, 2026-December 31, 2026</w:t>
            </w:r>
          </w:p>
        </w:tc>
        <w:tc>
          <w:tcPr>
            <w:tcW w:w="2285" w:type="dxa"/>
          </w:tcPr>
          <w:p w:rsidR="00B7711F" w:rsidRPr="00FE71BB" w14:paraId="525FA29B" w14:textId="77777777">
            <w:pPr>
              <w:pStyle w:val="Default"/>
            </w:pPr>
            <w:r w:rsidRPr="00FE71BB">
              <w:t>Alpha Networks Inc. USA’s 1700 and 2700 series of routers</w:t>
            </w:r>
          </w:p>
          <w:p w:rsidR="00B7711F" w:rsidRPr="00EC0015" w14:paraId="39EDFF9B" w14:textId="77777777">
            <w:pPr>
              <w:pStyle w:val="xmsonormal"/>
              <w:rPr>
                <w:rFonts w:ascii="Times New Roman" w:hAnsi="Times New Roman" w:cs="Times New Roman"/>
                <w:highlight w:val="yellow"/>
              </w:rPr>
            </w:pPr>
          </w:p>
        </w:tc>
        <w:tc>
          <w:tcPr>
            <w:tcW w:w="2340" w:type="dxa"/>
            <w:gridSpan w:val="2"/>
          </w:tcPr>
          <w:p w:rsidR="00B7711F" w:rsidRPr="00A9298F" w14:paraId="7A73BB57" w14:textId="77777777">
            <w:pPr>
              <w:jc w:val="center"/>
            </w:pPr>
            <w:r w:rsidRPr="00FE71BB">
              <w:t>June 1, 2026-November 22, 2027</w:t>
            </w:r>
          </w:p>
          <w:p w:rsidR="00B7711F" w14:paraId="44E6F73C" w14:textId="77777777"/>
        </w:tc>
      </w:tr>
      <w:tr w14:paraId="641E4CA8" w14:textId="77777777" w:rsidTr="005F622F">
        <w:tblPrEx>
          <w:tblW w:w="9590" w:type="dxa"/>
          <w:tblLook w:val="04A0"/>
        </w:tblPrEx>
        <w:trPr>
          <w:trHeight w:val="1060"/>
        </w:trPr>
        <w:tc>
          <w:tcPr>
            <w:tcW w:w="2515" w:type="dxa"/>
          </w:tcPr>
          <w:p w:rsidR="00B7711F" w:rsidRPr="008B6275" w14:paraId="168ECA71" w14:textId="77777777">
            <w:pPr>
              <w:widowControl w:val="0"/>
              <w:rPr>
                <w:snapToGrid w:val="0"/>
                <w:kern w:val="28"/>
              </w:rPr>
            </w:pPr>
            <w:r w:rsidRPr="00331312">
              <w:t>Elevon Aerial, LLC</w:t>
            </w:r>
            <w:r>
              <w:t>,</w:t>
            </w:r>
            <w:r w:rsidRPr="00331312">
              <w:t xml:space="preserve"> doing business as Elevon Aerial AG</w:t>
            </w:r>
            <w:r>
              <w:t>,</w:t>
            </w:r>
            <w:r w:rsidRPr="00331312">
              <w:t xml:space="preserve"> Z30, Z50, and Z80 Uncrewed Aircraft Systems</w:t>
            </w:r>
          </w:p>
        </w:tc>
        <w:tc>
          <w:tcPr>
            <w:tcW w:w="2395" w:type="dxa"/>
            <w:tcBorders>
              <w:right w:val="single" w:sz="24" w:space="0" w:color="auto"/>
            </w:tcBorders>
          </w:tcPr>
          <w:p w:rsidR="00B7711F" w:rsidRPr="008B6275" w14:paraId="7EF90F50" w14:textId="77777777">
            <w:pPr>
              <w:widowControl w:val="0"/>
              <w:jc w:val="center"/>
              <w:rPr>
                <w:snapToGrid w:val="0"/>
                <w:kern w:val="28"/>
              </w:rPr>
            </w:pPr>
            <w:r>
              <w:rPr>
                <w:snapToGrid w:val="0"/>
                <w:kern w:val="28"/>
              </w:rPr>
              <w:t>May 15, 2026-December 31, 2026</w:t>
            </w:r>
          </w:p>
        </w:tc>
        <w:tc>
          <w:tcPr>
            <w:tcW w:w="2340" w:type="dxa"/>
            <w:gridSpan w:val="2"/>
          </w:tcPr>
          <w:p w:rsidR="00B7711F" w14:paraId="33CD6E18" w14:textId="77777777">
            <w:r w:rsidRPr="00D009E7">
              <w:rPr>
                <w:color w:val="000000"/>
              </w:rPr>
              <w:t>Sagemcom</w:t>
            </w:r>
            <w:r w:rsidRPr="00D009E7">
              <w:rPr>
                <w:color w:val="000000"/>
              </w:rPr>
              <w:t xml:space="preserve"> USA, LLC’s FAST3994, FAST3897, FAST5698, FAST5699, and FAST5999 </w:t>
            </w:r>
            <w:r>
              <w:rPr>
                <w:color w:val="000000"/>
              </w:rPr>
              <w:t>r</w:t>
            </w:r>
            <w:r w:rsidRPr="00D009E7">
              <w:rPr>
                <w:color w:val="000000"/>
              </w:rPr>
              <w:t>outers</w:t>
            </w:r>
          </w:p>
        </w:tc>
        <w:tc>
          <w:tcPr>
            <w:tcW w:w="2340" w:type="dxa"/>
            <w:gridSpan w:val="2"/>
          </w:tcPr>
          <w:p w:rsidR="00B7711F" w:rsidRPr="00A9298F" w14:paraId="6B055646" w14:textId="77777777">
            <w:pPr>
              <w:jc w:val="center"/>
            </w:pPr>
            <w:r w:rsidRPr="00FE71BB">
              <w:t xml:space="preserve">June </w:t>
            </w:r>
            <w:r>
              <w:t>4</w:t>
            </w:r>
            <w:r w:rsidRPr="00FE71BB">
              <w:t>, 2026-</w:t>
            </w:r>
            <w:r>
              <w:t>Dec</w:t>
            </w:r>
            <w:r w:rsidRPr="00FE71BB">
              <w:t xml:space="preserve">ember </w:t>
            </w:r>
            <w:r>
              <w:t>5</w:t>
            </w:r>
            <w:r w:rsidRPr="00FE71BB">
              <w:t>, 2027</w:t>
            </w:r>
          </w:p>
          <w:p w:rsidR="00B7711F" w:rsidRPr="00A9298F" w14:paraId="46CBA72D" w14:textId="77777777">
            <w:pPr>
              <w:jc w:val="center"/>
            </w:pPr>
          </w:p>
          <w:p w:rsidR="00B7711F" w14:paraId="0DD94AFC" w14:textId="77777777"/>
        </w:tc>
      </w:tr>
      <w:tr w14:paraId="22038BBC" w14:textId="77777777" w:rsidTr="005F622F">
        <w:tblPrEx>
          <w:tblW w:w="9590" w:type="dxa"/>
          <w:tblLook w:val="04A0"/>
        </w:tblPrEx>
        <w:trPr>
          <w:trHeight w:val="1060"/>
        </w:trPr>
        <w:tc>
          <w:tcPr>
            <w:tcW w:w="2515" w:type="dxa"/>
          </w:tcPr>
          <w:p w:rsidR="00F96733" w:rsidRPr="00331312" w14:paraId="6AFD3954" w14:textId="37974F0D">
            <w:pPr>
              <w:widowControl w:val="0"/>
            </w:pPr>
            <w:r w:rsidRPr="009D196A">
              <w:t>Blueflite</w:t>
            </w:r>
            <w:r w:rsidRPr="009D196A">
              <w:t xml:space="preserv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F96733" w14:paraId="0F8D2C8D" w14:textId="42C06BC8">
            <w:pPr>
              <w:widowControl w:val="0"/>
              <w:jc w:val="center"/>
              <w:rPr>
                <w:snapToGrid w:val="0"/>
                <w:kern w:val="28"/>
              </w:rPr>
            </w:pPr>
            <w:r w:rsidRPr="008603FF">
              <w:rPr>
                <w:snapToGrid w:val="0"/>
                <w:kern w:val="28"/>
              </w:rPr>
              <w:t>May 26, 2026-December 31, 2026</w:t>
            </w:r>
          </w:p>
        </w:tc>
        <w:tc>
          <w:tcPr>
            <w:tcW w:w="2340" w:type="dxa"/>
            <w:gridSpan w:val="2"/>
          </w:tcPr>
          <w:p w:rsidR="00F96733" w:rsidRPr="00D009E7" w14:paraId="35F2D964" w14:textId="65939AD8">
            <w:pPr>
              <w:rPr>
                <w:color w:val="000000"/>
              </w:rPr>
            </w:pPr>
            <w:r w:rsidRPr="00F96733">
              <w:rPr>
                <w:color w:val="000000"/>
              </w:rPr>
              <w:t xml:space="preserve">Miri Technologies, Inc.’s Miri X10 Travel router </w:t>
            </w:r>
          </w:p>
        </w:tc>
        <w:tc>
          <w:tcPr>
            <w:tcW w:w="2340" w:type="dxa"/>
            <w:gridSpan w:val="2"/>
          </w:tcPr>
          <w:p w:rsidR="00F96733" w:rsidRPr="00FE71BB" w14:paraId="408AA5B3" w14:textId="573802E2">
            <w:pPr>
              <w:jc w:val="center"/>
            </w:pPr>
            <w:r>
              <w:rPr>
                <w:color w:val="000000"/>
              </w:rPr>
              <w:t>June 12, 2026-</w:t>
            </w:r>
            <w:r w:rsidRPr="00F96733">
              <w:rPr>
                <w:color w:val="000000"/>
              </w:rPr>
              <w:t>December 12, 2027</w:t>
            </w:r>
          </w:p>
        </w:tc>
      </w:tr>
      <w:tr w14:paraId="0813F744" w14:textId="03468D0C" w:rsidTr="005F622F">
        <w:tblPrEx>
          <w:tblW w:w="9590" w:type="dxa"/>
          <w:tblLook w:val="04A0"/>
        </w:tblPrEx>
        <w:trPr>
          <w:trHeight w:val="1060"/>
        </w:trPr>
        <w:tc>
          <w:tcPr>
            <w:tcW w:w="2515" w:type="dxa"/>
          </w:tcPr>
          <w:p w:rsidR="005D7C89" w:rsidRPr="00331312" w:rsidP="005D7C89" w14:paraId="796FC230" w14:textId="20F8D1CE">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5D7C89" w:rsidP="005D7C89" w14:paraId="4F79A0A0" w14:textId="76F429B7">
            <w:pPr>
              <w:widowControl w:val="0"/>
              <w:jc w:val="center"/>
              <w:rPr>
                <w:snapToGrid w:val="0"/>
                <w:kern w:val="28"/>
              </w:rPr>
            </w:pPr>
            <w:r w:rsidRPr="00154107">
              <w:rPr>
                <w:snapToGrid w:val="0"/>
                <w:kern w:val="28"/>
              </w:rPr>
              <w:t>May 26, 2026-December 31, 2026</w:t>
            </w:r>
          </w:p>
        </w:tc>
        <w:tc>
          <w:tcPr>
            <w:tcW w:w="2340" w:type="dxa"/>
            <w:gridSpan w:val="2"/>
          </w:tcPr>
          <w:p w:rsidR="005D7C89" w:rsidP="005D7C89" w14:paraId="449DB52A" w14:textId="4F82C884">
            <w:r w:rsidRPr="00B02D0C">
              <w:t>Arcadyan</w:t>
            </w:r>
            <w:r w:rsidRPr="00B02D0C">
              <w:t xml:space="preserve"> Technology Corporation’s routers for T-Mobile 5G FWA broadband devices, which includes the G5AR, G5MAR, </w:t>
            </w:r>
            <w:r w:rsidRPr="00B02D0C">
              <w:t>GxMAR</w:t>
            </w:r>
            <w:r w:rsidRPr="00B02D0C">
              <w:t xml:space="preserve">, </w:t>
            </w:r>
            <w:r w:rsidRPr="00B02D0C">
              <w:t>GxMAR</w:t>
            </w:r>
            <w:r w:rsidRPr="00B02D0C">
              <w:t xml:space="preserve">-ODU, </w:t>
            </w:r>
            <w:r w:rsidRPr="00B02D0C">
              <w:t>GxAR</w:t>
            </w:r>
            <w:r w:rsidRPr="00B02D0C">
              <w:t xml:space="preserve"> Series (5G FWA); AT&amp;T BGW 720; and Verizon C46BE (XC Series), CR100B (WG Series), CE1000A, and E3200 (WE Series)</w:t>
            </w:r>
          </w:p>
        </w:tc>
        <w:tc>
          <w:tcPr>
            <w:tcW w:w="2340" w:type="dxa"/>
            <w:gridSpan w:val="2"/>
          </w:tcPr>
          <w:p w:rsidR="005D7C89" w:rsidP="00C30582" w14:paraId="713BE1C0" w14:textId="27E22638">
            <w:pPr>
              <w:jc w:val="center"/>
            </w:pPr>
            <w:r>
              <w:rPr>
                <w:color w:val="000000"/>
              </w:rPr>
              <w:t>June 12, 2026-</w:t>
            </w:r>
            <w:r w:rsidRPr="00F96733">
              <w:rPr>
                <w:color w:val="000000"/>
              </w:rPr>
              <w:t>December 12, 2027</w:t>
            </w:r>
          </w:p>
        </w:tc>
      </w:tr>
      <w:tr w14:paraId="7C53C75E" w14:textId="77777777" w:rsidTr="005F622F">
        <w:tblPrEx>
          <w:tblW w:w="9590" w:type="dxa"/>
          <w:tblLook w:val="04A0"/>
        </w:tblPrEx>
        <w:trPr>
          <w:trHeight w:val="1060"/>
        </w:trPr>
        <w:tc>
          <w:tcPr>
            <w:tcW w:w="2515" w:type="dxa"/>
          </w:tcPr>
          <w:p w:rsidR="005F622F" w:rsidRPr="00154107" w:rsidP="005F622F" w14:paraId="7E9AC7E6" w14:textId="09F21CBD">
            <w:pPr>
              <w:widowControl w:val="0"/>
            </w:pPr>
            <w:r w:rsidRPr="00EC5013">
              <w:t>Air VEV, Inc.’s 120C and 060C Unmanned Aerial Systems</w:t>
            </w:r>
          </w:p>
        </w:tc>
        <w:tc>
          <w:tcPr>
            <w:tcW w:w="2395" w:type="dxa"/>
            <w:tcBorders>
              <w:right w:val="single" w:sz="24" w:space="0" w:color="auto"/>
            </w:tcBorders>
          </w:tcPr>
          <w:p w:rsidR="005F622F" w:rsidRPr="00154107" w:rsidP="005F622F" w14:paraId="12F3D019" w14:textId="28452570">
            <w:pPr>
              <w:widowControl w:val="0"/>
              <w:jc w:val="center"/>
              <w:rPr>
                <w:snapToGrid w:val="0"/>
                <w:kern w:val="28"/>
              </w:rPr>
            </w:pPr>
            <w:r w:rsidRPr="0065201C">
              <w:rPr>
                <w:snapToGrid w:val="0"/>
                <w:kern w:val="28"/>
              </w:rPr>
              <w:t>May 26, 2026-December 31, 2026</w:t>
            </w:r>
          </w:p>
        </w:tc>
        <w:tc>
          <w:tcPr>
            <w:tcW w:w="2340" w:type="dxa"/>
            <w:gridSpan w:val="2"/>
          </w:tcPr>
          <w:p w:rsidR="005F622F" w:rsidRPr="00B02D0C" w:rsidP="004D3D58" w14:paraId="2E830734" w14:textId="179F4151">
            <w:r w:rsidRPr="004D3D58">
              <w:t>Hitron Technologies Americas, Inc.’s DOCSIS 4.0 Wi-Fi Gateway, DOCSIS 3.1 Wi-Fi Gateway, XGSPON Wi-Fi Gateway, Standalone Wi-Fi routers, 5G FWA Wi-Fi Gateway, and 5G FWA Wi-Fi Hotspot</w:t>
            </w:r>
          </w:p>
        </w:tc>
        <w:tc>
          <w:tcPr>
            <w:tcW w:w="2340" w:type="dxa"/>
            <w:gridSpan w:val="2"/>
          </w:tcPr>
          <w:p w:rsidR="005F622F" w:rsidRPr="00D56752" w:rsidP="00D56752" w14:paraId="73B8319A" w14:textId="5A22FCBE">
            <w:pPr>
              <w:jc w:val="center"/>
              <w:rPr>
                <w:color w:val="000000"/>
                <w:kern w:val="28"/>
              </w:rPr>
            </w:pPr>
            <w:r w:rsidRPr="00D56752">
              <w:rPr>
                <w:color w:val="000000"/>
                <w:kern w:val="28"/>
              </w:rPr>
              <w:t xml:space="preserve">June </w:t>
            </w:r>
            <w:r w:rsidR="00602218">
              <w:rPr>
                <w:color w:val="000000"/>
                <w:kern w:val="28"/>
              </w:rPr>
              <w:t>22</w:t>
            </w:r>
            <w:r w:rsidRPr="00D56752">
              <w:rPr>
                <w:color w:val="000000"/>
                <w:kern w:val="28"/>
              </w:rPr>
              <w:t>, 2026-December 18, 2027</w:t>
            </w:r>
          </w:p>
        </w:tc>
      </w:tr>
      <w:tr w14:paraId="698840EE" w14:textId="77777777" w:rsidTr="005F622F">
        <w:tblPrEx>
          <w:tblW w:w="9590" w:type="dxa"/>
          <w:tblLook w:val="04A0"/>
        </w:tblPrEx>
        <w:trPr>
          <w:trHeight w:val="1060"/>
        </w:trPr>
        <w:tc>
          <w:tcPr>
            <w:tcW w:w="2515" w:type="dxa"/>
          </w:tcPr>
          <w:p w:rsidR="00D101FB" w:rsidRPr="00154107" w:rsidP="005F622F" w14:paraId="2186C3EC" w14:textId="7FBA004E">
            <w:pPr>
              <w:widowControl w:val="0"/>
            </w:pPr>
            <w:r w:rsidRPr="0019617E">
              <w:t xml:space="preserve">Innovation First International, Inc.’s VEX AIR Uncrewed Aircraft System </w:t>
            </w:r>
          </w:p>
        </w:tc>
        <w:tc>
          <w:tcPr>
            <w:tcW w:w="2395" w:type="dxa"/>
            <w:tcBorders>
              <w:right w:val="single" w:sz="24" w:space="0" w:color="auto"/>
            </w:tcBorders>
          </w:tcPr>
          <w:p w:rsidR="00D101FB" w:rsidRPr="00154107" w:rsidP="005F622F" w14:paraId="4A16F88B" w14:textId="1DAAA4E4">
            <w:pPr>
              <w:widowControl w:val="0"/>
              <w:jc w:val="center"/>
              <w:rPr>
                <w:snapToGrid w:val="0"/>
                <w:kern w:val="28"/>
              </w:rPr>
            </w:pPr>
            <w:r>
              <w:rPr>
                <w:snapToGrid w:val="0"/>
                <w:kern w:val="28"/>
              </w:rPr>
              <w:t>June</w:t>
            </w:r>
            <w:r w:rsidRPr="0019617E">
              <w:rPr>
                <w:snapToGrid w:val="0"/>
                <w:kern w:val="28"/>
              </w:rPr>
              <w:t xml:space="preserve"> </w:t>
            </w:r>
            <w:r>
              <w:rPr>
                <w:snapToGrid w:val="0"/>
                <w:kern w:val="28"/>
              </w:rPr>
              <w:t>4</w:t>
            </w:r>
            <w:r w:rsidRPr="0019617E">
              <w:rPr>
                <w:snapToGrid w:val="0"/>
                <w:kern w:val="28"/>
              </w:rPr>
              <w:t>, 2026-December 31, 2026</w:t>
            </w:r>
          </w:p>
        </w:tc>
        <w:tc>
          <w:tcPr>
            <w:tcW w:w="2340" w:type="dxa"/>
            <w:gridSpan w:val="2"/>
          </w:tcPr>
          <w:p w:rsidR="00D101FB" w:rsidRPr="00F739D3" w:rsidP="005F622F" w14:paraId="6E49D518" w14:textId="716C323F"/>
        </w:tc>
        <w:tc>
          <w:tcPr>
            <w:tcW w:w="2340" w:type="dxa"/>
            <w:gridSpan w:val="2"/>
          </w:tcPr>
          <w:p w:rsidR="00D101FB" w:rsidP="005F622F" w14:paraId="2180E970" w14:textId="5AD67C52">
            <w:pPr>
              <w:jc w:val="center"/>
              <w:rPr>
                <w:color w:val="000000"/>
              </w:rPr>
            </w:pPr>
          </w:p>
        </w:tc>
      </w:tr>
      <w:tr w14:paraId="248D7DAE" w14:textId="77777777" w:rsidTr="005F622F">
        <w:tblPrEx>
          <w:tblW w:w="9590" w:type="dxa"/>
          <w:tblLook w:val="04A0"/>
        </w:tblPrEx>
        <w:trPr>
          <w:trHeight w:val="1060"/>
        </w:trPr>
        <w:tc>
          <w:tcPr>
            <w:tcW w:w="2515" w:type="dxa"/>
          </w:tcPr>
          <w:p w:rsidR="00D101FB" w:rsidRPr="00154107" w:rsidP="005F622F" w14:paraId="672CA85B" w14:textId="368473F4">
            <w:pPr>
              <w:widowControl w:val="0"/>
            </w:pPr>
            <w:r w:rsidRPr="00922A27">
              <w:t xml:space="preserve">Flock Group, Inc. (doing business as Flock Safety) Flock Alpha Uncrewed Aircraft System </w:t>
            </w:r>
          </w:p>
        </w:tc>
        <w:tc>
          <w:tcPr>
            <w:tcW w:w="2395" w:type="dxa"/>
            <w:tcBorders>
              <w:right w:val="single" w:sz="24" w:space="0" w:color="auto"/>
            </w:tcBorders>
          </w:tcPr>
          <w:p w:rsidR="00D101FB" w:rsidRPr="00154107" w:rsidP="005F622F" w14:paraId="37439A2E" w14:textId="1261292A">
            <w:pPr>
              <w:widowControl w:val="0"/>
              <w:jc w:val="center"/>
              <w:rPr>
                <w:snapToGrid w:val="0"/>
                <w:kern w:val="28"/>
              </w:rPr>
            </w:pPr>
            <w:r>
              <w:rPr>
                <w:snapToGrid w:val="0"/>
                <w:kern w:val="28"/>
              </w:rPr>
              <w:t>June 12, 2026-</w:t>
            </w:r>
            <w:r w:rsidRPr="00922A27">
              <w:t>December 31, 2026</w:t>
            </w:r>
          </w:p>
        </w:tc>
        <w:tc>
          <w:tcPr>
            <w:tcW w:w="2340" w:type="dxa"/>
            <w:gridSpan w:val="2"/>
          </w:tcPr>
          <w:p w:rsidR="00D101FB" w:rsidRPr="007B2ED8" w:rsidP="005F622F" w14:paraId="377E9880" w14:textId="04AF4989"/>
        </w:tc>
        <w:tc>
          <w:tcPr>
            <w:tcW w:w="2340" w:type="dxa"/>
            <w:gridSpan w:val="2"/>
          </w:tcPr>
          <w:p w:rsidR="00D101FB" w:rsidP="005F622F" w14:paraId="0EAD2C69" w14:textId="5ED0A0A2">
            <w:pPr>
              <w:jc w:val="center"/>
              <w:rPr>
                <w:color w:val="000000"/>
              </w:rPr>
            </w:pPr>
          </w:p>
        </w:tc>
      </w:tr>
      <w:tr w14:paraId="7F12C7E2" w14:textId="77777777" w:rsidTr="005F622F">
        <w:tblPrEx>
          <w:tblW w:w="9590" w:type="dxa"/>
          <w:tblLook w:val="04A0"/>
        </w:tblPrEx>
        <w:trPr>
          <w:trHeight w:val="1060"/>
        </w:trPr>
        <w:tc>
          <w:tcPr>
            <w:tcW w:w="2515" w:type="dxa"/>
          </w:tcPr>
          <w:p w:rsidR="00D101FB" w:rsidRPr="00154107" w:rsidP="005F622F" w14:paraId="3CA857A8" w14:textId="3474FBB6">
            <w:pPr>
              <w:widowControl w:val="0"/>
            </w:pPr>
            <w:r w:rsidRPr="00C30582">
              <w:t xml:space="preserve">ABZ Innovation </w:t>
            </w:r>
            <w:r w:rsidRPr="00C30582">
              <w:t>Kft.’s</w:t>
            </w:r>
            <w:r w:rsidRPr="00C30582">
              <w:t xml:space="preserve"> L50 Uncrewed Aircraft System</w:t>
            </w:r>
          </w:p>
        </w:tc>
        <w:tc>
          <w:tcPr>
            <w:tcW w:w="2395" w:type="dxa"/>
            <w:tcBorders>
              <w:right w:val="single" w:sz="24" w:space="0" w:color="auto"/>
            </w:tcBorders>
          </w:tcPr>
          <w:p w:rsidR="00D101FB" w:rsidRPr="00154107" w:rsidP="005F622F" w14:paraId="2137A000" w14:textId="06E94B97">
            <w:pPr>
              <w:widowControl w:val="0"/>
              <w:jc w:val="center"/>
              <w:rPr>
                <w:snapToGrid w:val="0"/>
                <w:kern w:val="28"/>
              </w:rPr>
            </w:pPr>
            <w:r w:rsidRPr="00C30582">
              <w:rPr>
                <w:snapToGrid w:val="0"/>
                <w:kern w:val="28"/>
              </w:rPr>
              <w:t>June 12, 2026-</w:t>
            </w:r>
            <w:r w:rsidRPr="00C30582">
              <w:t>December 31, 2026</w:t>
            </w:r>
          </w:p>
        </w:tc>
        <w:tc>
          <w:tcPr>
            <w:tcW w:w="2340" w:type="dxa"/>
            <w:gridSpan w:val="2"/>
          </w:tcPr>
          <w:p w:rsidR="00D101FB" w:rsidRPr="007B2ED8" w:rsidP="005F622F" w14:paraId="6E01DCEA" w14:textId="73B4D3F1"/>
        </w:tc>
        <w:tc>
          <w:tcPr>
            <w:tcW w:w="2340" w:type="dxa"/>
            <w:gridSpan w:val="2"/>
          </w:tcPr>
          <w:p w:rsidR="00D101FB" w:rsidP="005F622F" w14:paraId="5884F0B2" w14:textId="53A4C8B6">
            <w:pPr>
              <w:jc w:val="center"/>
              <w:rPr>
                <w:color w:val="000000"/>
              </w:rPr>
            </w:pPr>
          </w:p>
        </w:tc>
      </w:tr>
      <w:tr w14:paraId="5D3F718C" w14:textId="77777777" w:rsidTr="005F622F">
        <w:tblPrEx>
          <w:tblW w:w="9590" w:type="dxa"/>
          <w:tblLook w:val="04A0"/>
        </w:tblPrEx>
        <w:trPr>
          <w:trHeight w:val="1060"/>
        </w:trPr>
        <w:tc>
          <w:tcPr>
            <w:tcW w:w="2515" w:type="dxa"/>
          </w:tcPr>
          <w:p w:rsidR="00D101FB" w:rsidRPr="00767F5D" w:rsidP="00767F5D" w14:paraId="2546DA9F" w14:textId="70F3B420">
            <w:pPr>
              <w:widowControl w:val="0"/>
            </w:pPr>
            <w:r w:rsidRPr="00767F5D">
              <w:t>Real-Time Robotics, Inc.’s HERA Tactical Uncrewed Aircraft Systems Platform</w:t>
            </w:r>
          </w:p>
          <w:p w:rsidR="00D101FB" w:rsidRPr="00154107" w:rsidP="00767F5D" w14:paraId="2FA8E922" w14:textId="06BAC16D">
            <w:pPr>
              <w:widowControl w:val="0"/>
            </w:pPr>
          </w:p>
        </w:tc>
        <w:tc>
          <w:tcPr>
            <w:tcW w:w="2395" w:type="dxa"/>
            <w:tcBorders>
              <w:right w:val="single" w:sz="24" w:space="0" w:color="auto"/>
            </w:tcBorders>
          </w:tcPr>
          <w:p w:rsidR="00D101FB" w:rsidRPr="00154107" w:rsidP="00767F5D" w14:paraId="7E047D69" w14:textId="0B46E90E">
            <w:pPr>
              <w:widowControl w:val="0"/>
              <w:jc w:val="center"/>
              <w:rPr>
                <w:snapToGrid w:val="0"/>
                <w:kern w:val="28"/>
              </w:rPr>
            </w:pPr>
            <w:r>
              <w:rPr>
                <w:snapToGrid w:val="0"/>
                <w:kern w:val="28"/>
              </w:rPr>
              <w:t xml:space="preserve">June </w:t>
            </w:r>
            <w:r w:rsidR="00602218">
              <w:rPr>
                <w:snapToGrid w:val="0"/>
                <w:kern w:val="28"/>
              </w:rPr>
              <w:t>22</w:t>
            </w:r>
            <w:r>
              <w:rPr>
                <w:snapToGrid w:val="0"/>
                <w:kern w:val="28"/>
              </w:rPr>
              <w:t>, 2026-December 31, 2026</w:t>
            </w:r>
          </w:p>
        </w:tc>
        <w:tc>
          <w:tcPr>
            <w:tcW w:w="2340" w:type="dxa"/>
            <w:gridSpan w:val="2"/>
          </w:tcPr>
          <w:p w:rsidR="00D101FB" w:rsidRPr="007B2ED8" w:rsidP="00767F5D" w14:paraId="0D4C30F7" w14:textId="0B329BE6"/>
        </w:tc>
        <w:tc>
          <w:tcPr>
            <w:tcW w:w="2340" w:type="dxa"/>
            <w:gridSpan w:val="2"/>
          </w:tcPr>
          <w:p w:rsidR="00D101FB" w:rsidP="00767F5D" w14:paraId="3EFF251C" w14:textId="7B33BEFB">
            <w:pPr>
              <w:jc w:val="center"/>
              <w:rPr>
                <w:color w:val="000000"/>
              </w:rPr>
            </w:pPr>
          </w:p>
        </w:tc>
      </w:tr>
      <w:tr w14:paraId="09170F8B" w14:textId="77777777" w:rsidTr="005F622F">
        <w:tblPrEx>
          <w:tblW w:w="9590" w:type="dxa"/>
          <w:tblLook w:val="04A0"/>
        </w:tblPrEx>
        <w:trPr>
          <w:trHeight w:val="1060"/>
        </w:trPr>
        <w:tc>
          <w:tcPr>
            <w:tcW w:w="2515" w:type="dxa"/>
          </w:tcPr>
          <w:p w:rsidR="00BD51B3" w:rsidRPr="00767F5D" w:rsidP="00BD51B3" w14:paraId="5270DBF5" w14:textId="28B6F4B7">
            <w:pPr>
              <w:widowControl w:val="0"/>
            </w:pPr>
            <w:r w:rsidRPr="00156D13">
              <w:t>Ceres</w:t>
            </w:r>
            <w:r>
              <w:t xml:space="preserve"> Air LLC’s</w:t>
            </w:r>
            <w:r w:rsidRPr="00156D13">
              <w:t xml:space="preserve"> Uncrewed Aircraft Systems: C40, C3</w:t>
            </w:r>
            <w:r>
              <w:t>1</w:t>
            </w:r>
            <w:r w:rsidRPr="00156D13">
              <w:t>, C26, C20, and C6</w:t>
            </w:r>
          </w:p>
        </w:tc>
        <w:tc>
          <w:tcPr>
            <w:tcW w:w="2395" w:type="dxa"/>
            <w:tcBorders>
              <w:right w:val="single" w:sz="24" w:space="0" w:color="auto"/>
            </w:tcBorders>
          </w:tcPr>
          <w:p w:rsidR="00BD51B3" w:rsidP="00BD51B3" w14:paraId="4EB33353" w14:textId="3A67845F">
            <w:pPr>
              <w:widowControl w:val="0"/>
              <w:jc w:val="center"/>
              <w:rPr>
                <w:snapToGrid w:val="0"/>
                <w:kern w:val="28"/>
              </w:rPr>
            </w:pPr>
            <w:r>
              <w:rPr>
                <w:snapToGrid w:val="0"/>
                <w:kern w:val="28"/>
              </w:rPr>
              <w:t xml:space="preserve">June </w:t>
            </w:r>
            <w:r w:rsidR="00602218">
              <w:rPr>
                <w:snapToGrid w:val="0"/>
                <w:kern w:val="28"/>
              </w:rPr>
              <w:t>22</w:t>
            </w:r>
            <w:r>
              <w:rPr>
                <w:snapToGrid w:val="0"/>
                <w:kern w:val="28"/>
              </w:rPr>
              <w:t>, 2026-December 31,</w:t>
            </w:r>
            <w:r w:rsidR="0018792A">
              <w:rPr>
                <w:snapToGrid w:val="0"/>
                <w:kern w:val="28"/>
              </w:rPr>
              <w:t xml:space="preserve"> </w:t>
            </w:r>
            <w:r>
              <w:rPr>
                <w:snapToGrid w:val="0"/>
                <w:kern w:val="28"/>
              </w:rPr>
              <w:t>2026</w:t>
            </w:r>
          </w:p>
        </w:tc>
        <w:tc>
          <w:tcPr>
            <w:tcW w:w="2340" w:type="dxa"/>
            <w:gridSpan w:val="2"/>
          </w:tcPr>
          <w:p w:rsidR="00BD51B3" w:rsidRPr="007B2ED8" w:rsidP="00BD51B3" w14:paraId="4BC4D184" w14:textId="77777777"/>
        </w:tc>
        <w:tc>
          <w:tcPr>
            <w:tcW w:w="2340" w:type="dxa"/>
            <w:gridSpan w:val="2"/>
          </w:tcPr>
          <w:p w:rsidR="00BD51B3" w:rsidP="00BD51B3" w14:paraId="58A6910A" w14:textId="77777777">
            <w:pPr>
              <w:jc w:val="center"/>
              <w:rPr>
                <w:color w:val="000000"/>
              </w:rPr>
            </w:pPr>
          </w:p>
        </w:tc>
      </w:tr>
    </w:tbl>
    <w:p w:rsidR="001B5499" w:rsidRPr="00AA724B" w:rsidP="00AA724B" w14:paraId="0687EE4F" w14:textId="77777777">
      <w:pPr>
        <w:rPr>
          <w:rFonts w:ascii="Times New Roman" w:hAnsi="Times New Roman" w:cs="Times New Roman"/>
          <w:sz w:val="22"/>
          <w:szCs w:val="22"/>
        </w:rPr>
      </w:pPr>
    </w:p>
    <w:sectPr w:rsidSect="00B7711F">
      <w:footerReference w:type="default" r:id="rId21"/>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27F8AB8E" w14:textId="77777777">
    <w:pPr>
      <w:pStyle w:val="Footer"/>
      <w:framePr w:wrap="around" w:vAnchor="text" w:hAnchor="margin" w:xAlign="center" w:y="1"/>
    </w:pPr>
    <w:r>
      <w:fldChar w:fldCharType="begin"/>
    </w:r>
    <w:r>
      <w:instrText xml:space="preserve">PAGE  </w:instrText>
    </w:r>
    <w:r>
      <w:fldChar w:fldCharType="separate"/>
    </w:r>
    <w:r>
      <w:fldChar w:fldCharType="end"/>
    </w:r>
  </w:p>
  <w:p w:rsidR="00B7711F" w14:paraId="09DA24C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9510A3" w14:paraId="7295F9CC"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76E2326C"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3D531D" w14:paraId="6CC22031"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60545" w:rsidP="00B7711F" w14:paraId="4CEB4C4F" w14:textId="77777777">
      <w:pPr>
        <w:spacing w:after="0" w:line="240" w:lineRule="auto"/>
      </w:pPr>
      <w:r>
        <w:separator/>
      </w:r>
    </w:p>
  </w:footnote>
  <w:footnote w:type="continuationSeparator" w:id="1">
    <w:p w:rsidR="00C60545" w:rsidP="00B7711F" w14:paraId="6E1F6FC6" w14:textId="77777777">
      <w:pPr>
        <w:spacing w:after="0" w:line="240" w:lineRule="auto"/>
      </w:pPr>
      <w:r>
        <w:continuationSeparator/>
      </w:r>
    </w:p>
  </w:footnote>
  <w:footnote w:id="2">
    <w:p w:rsidR="00B7711F" w:rsidRPr="007C0F32" w:rsidP="00B7711F" w14:paraId="2EE49886" w14:textId="77777777">
      <w:pPr>
        <w:pStyle w:val="FootnoteText"/>
        <w:spacing w:after="120"/>
        <w:rPr>
          <w:rFonts w:ascii="Times New Roman" w:hAnsi="Times New Roman" w:cs="Times New Roman"/>
          <w:color w:val="FF0000"/>
        </w:rPr>
      </w:pPr>
      <w:r w:rsidRPr="007C0F32">
        <w:rPr>
          <w:rStyle w:val="FootnoteReference"/>
          <w:rFonts w:eastAsia="Times New Roman" w:cs="Times New Roman"/>
          <w:sz w:val="20"/>
        </w:rPr>
        <w:footnoteRef/>
      </w:r>
      <w:r w:rsidRPr="007C0F32">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C0F32">
        <w:rPr>
          <w:rFonts w:ascii="Times New Roman" w:hAnsi="Times New Roman" w:cs="Times New Roman"/>
          <w:i/>
          <w:iCs/>
        </w:rPr>
        <w:t>see</w:t>
      </w:r>
      <w:r w:rsidRPr="007C0F32">
        <w:rPr>
          <w:rFonts w:ascii="Times New Roman" w:hAnsi="Times New Roman" w:cs="Times New Roman"/>
        </w:rPr>
        <w:t xml:space="preserve"> Federal Communications Commission, </w:t>
      </w:r>
      <w:r w:rsidRPr="007C0F32">
        <w:rPr>
          <w:rFonts w:ascii="Times New Roman" w:hAnsi="Times New Roman" w:cs="Times New Roman"/>
          <w:i/>
          <w:iCs/>
        </w:rPr>
        <w:t>List of Equipment and Services Covered By Section 2 of The Secure Networks Act</w:t>
      </w:r>
      <w:r w:rsidRPr="007C0F32">
        <w:rPr>
          <w:rFonts w:ascii="Times New Roman" w:hAnsi="Times New Roman" w:cs="Times New Roman"/>
        </w:rPr>
        <w:t xml:space="preserve">, </w:t>
      </w:r>
      <w:hyperlink r:id="rId1" w:history="1">
        <w:r w:rsidRPr="007C0F32">
          <w:rPr>
            <w:rStyle w:val="Hyperlink"/>
            <w:rFonts w:ascii="Times New Roman" w:hAnsi="Times New Roman" w:cs="Times New Roman"/>
          </w:rPr>
          <w:t>https://www.fcc.gov/supplychain/coveredlist</w:t>
        </w:r>
      </w:hyperlink>
      <w:r w:rsidRPr="007C0F32">
        <w:rPr>
          <w:rFonts w:ascii="Times New Roman" w:hAnsi="Times New Roman" w:cs="Times New Roman"/>
        </w:rPr>
        <w:t xml:space="preserve"> (last updated Apr. 14, 2026).</w:t>
      </w:r>
    </w:p>
  </w:footnote>
  <w:footnote w:id="3">
    <w:p w:rsidR="00B7711F" w:rsidRPr="007C0F32" w:rsidP="00B7711F" w14:paraId="12BC1E6E"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U.S.C. § 1601.</w:t>
      </w:r>
    </w:p>
  </w:footnote>
  <w:footnote w:id="4">
    <w:p w:rsidR="00B7711F" w:rsidRPr="007C0F32" w:rsidP="00B7711F" w14:paraId="55E81BF4" w14:textId="77777777">
      <w:pPr>
        <w:pStyle w:val="FootnoteText"/>
        <w:spacing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see</w:t>
      </w:r>
      <w:r w:rsidRPr="007C0F32">
        <w:rPr>
          <w:rFonts w:ascii="Times New Roman" w:hAnsi="Times New Roman" w:cs="Times New Roman"/>
        </w:rPr>
        <w:t xml:space="preserve"> </w:t>
      </w:r>
      <w:r w:rsidRPr="007C0F32">
        <w:rPr>
          <w:rFonts w:ascii="Times New Roman" w:hAnsi="Times New Roman" w:cs="Times New Roman"/>
          <w:i/>
          <w:iCs/>
        </w:rPr>
        <w:t>also Protecting Against National Security Threats to the Communications Supply Chain Through FCC Programs</w:t>
      </w:r>
      <w:r w:rsidRPr="007C0F32">
        <w:rPr>
          <w:rFonts w:ascii="Times New Roman" w:hAnsi="Times New Roman" w:cs="Times New Roman"/>
        </w:rPr>
        <w:t>, WC Docket No. 18-89, Second Report and Order, 35 FCC Rcd 14284 (2020) (</w:t>
      </w:r>
      <w:r w:rsidRPr="007C0F32">
        <w:rPr>
          <w:rFonts w:ascii="Times New Roman" w:hAnsi="Times New Roman" w:cs="Times New Roman"/>
          <w:i/>
          <w:iCs/>
        </w:rPr>
        <w:t>Supply Chain Second Report and Order</w:t>
      </w:r>
      <w:r w:rsidRPr="007C0F32">
        <w:rPr>
          <w:rFonts w:ascii="Times New Roman" w:hAnsi="Times New Roman" w:cs="Times New Roman"/>
        </w:rPr>
        <w:t>).</w:t>
      </w:r>
    </w:p>
  </w:footnote>
  <w:footnote w:id="5">
    <w:p w:rsidR="00B7711F" w:rsidRPr="007C0F32" w:rsidP="00B7711F" w14:paraId="4485501C"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B7711F" w:rsidRPr="001D5504" w:rsidP="00B7711F" w14:paraId="495F0E4C" w14:textId="77777777">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B7711F" w:rsidRPr="007C0F32" w:rsidP="00B7711F" w14:paraId="5EB4686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B7711F" w:rsidRPr="007C0F32" w:rsidP="00B7711F" w14:paraId="4A17103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p>
  </w:footnote>
  <w:footnote w:id="9">
    <w:p w:rsidR="00B7711F" w:rsidRPr="007C0F32" w:rsidP="00B7711F" w14:paraId="71D6CA8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0">
    <w:p w:rsidR="00B7711F" w:rsidRPr="007C0F32" w:rsidP="00B7711F" w14:paraId="58256D9F"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1">
    <w:p w:rsidR="00B7711F" w:rsidRPr="0038542F" w:rsidP="00B7711F" w14:paraId="2EEB43E8" w14:textId="77777777">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 xml:space="preserve">See, e.g., </w:t>
      </w:r>
      <w:r w:rsidRPr="00E86B78">
        <w:rPr>
          <w:rFonts w:ascii="Times New Roman" w:hAnsi="Times New Roman" w:cs="Times New Roman"/>
          <w:i/>
          <w:iCs/>
        </w:rPr>
        <w:t>F</w:t>
      </w:r>
      <w:r>
        <w:rPr>
          <w:rFonts w:ascii="Times New Roman" w:hAnsi="Times New Roman" w:cs="Times New Roman"/>
          <w:i/>
          <w:iCs/>
        </w:rPr>
        <w:t>CC’</w:t>
      </w:r>
      <w:r w:rsidRPr="00E86B78">
        <w:rPr>
          <w:rFonts w:ascii="Times New Roman" w:hAnsi="Times New Roman" w:cs="Times New Roman"/>
          <w:i/>
          <w:iCs/>
        </w:rPr>
        <w:t xml:space="preserve">s Public Safety </w:t>
      </w:r>
      <w:r>
        <w:rPr>
          <w:rFonts w:ascii="Times New Roman" w:hAnsi="Times New Roman" w:cs="Times New Roman"/>
          <w:i/>
          <w:iCs/>
        </w:rPr>
        <w:t>a</w:t>
      </w:r>
      <w:r w:rsidRPr="00E86B78">
        <w:rPr>
          <w:rFonts w:ascii="Times New Roman" w:hAnsi="Times New Roman" w:cs="Times New Roman"/>
          <w:i/>
          <w:iCs/>
        </w:rPr>
        <w:t xml:space="preserve">nd Homeland Security Bureau Announces Conditional Approval </w:t>
      </w:r>
      <w:r>
        <w:rPr>
          <w:rFonts w:ascii="Times New Roman" w:hAnsi="Times New Roman" w:cs="Times New Roman"/>
          <w:i/>
          <w:iCs/>
        </w:rPr>
        <w:t>o</w:t>
      </w:r>
      <w:r w:rsidRPr="00E86B78">
        <w:rPr>
          <w:rFonts w:ascii="Times New Roman" w:hAnsi="Times New Roman" w:cs="Times New Roman"/>
          <w:i/>
          <w:iCs/>
        </w:rPr>
        <w:t xml:space="preserve">f Certain Routers </w:t>
      </w:r>
      <w:r>
        <w:rPr>
          <w:rFonts w:ascii="Times New Roman" w:hAnsi="Times New Roman" w:cs="Times New Roman"/>
          <w:i/>
          <w:iCs/>
        </w:rPr>
        <w:t>a</w:t>
      </w:r>
      <w:r w:rsidRPr="00E86B78">
        <w:rPr>
          <w:rFonts w:ascii="Times New Roman" w:hAnsi="Times New Roman" w:cs="Times New Roman"/>
          <w:i/>
          <w:iCs/>
        </w:rPr>
        <w:t>nd Uncrewed Aircraft Systems (U</w:t>
      </w:r>
      <w:r>
        <w:rPr>
          <w:rFonts w:ascii="Times New Roman" w:hAnsi="Times New Roman" w:cs="Times New Roman"/>
          <w:i/>
          <w:iCs/>
        </w:rPr>
        <w:t>AS</w:t>
      </w:r>
      <w:r w:rsidRPr="00E86B78">
        <w:rPr>
          <w:rFonts w:ascii="Times New Roman" w:hAnsi="Times New Roman" w:cs="Times New Roman"/>
          <w:i/>
          <w:iCs/>
        </w:rPr>
        <w:t xml:space="preserve">) </w:t>
      </w:r>
      <w:r>
        <w:rPr>
          <w:rFonts w:ascii="Times New Roman" w:hAnsi="Times New Roman" w:cs="Times New Roman"/>
          <w:i/>
          <w:iCs/>
        </w:rPr>
        <w:t>a</w:t>
      </w:r>
      <w:r w:rsidRPr="00E86B78">
        <w:rPr>
          <w:rFonts w:ascii="Times New Roman" w:hAnsi="Times New Roman" w:cs="Times New Roman"/>
          <w:i/>
          <w:iCs/>
        </w:rPr>
        <w:t xml:space="preserve">nd Exemption </w:t>
      </w:r>
      <w:r>
        <w:rPr>
          <w:rFonts w:ascii="Times New Roman" w:hAnsi="Times New Roman" w:cs="Times New Roman"/>
          <w:i/>
          <w:iCs/>
        </w:rPr>
        <w:t>f</w:t>
      </w:r>
      <w:r w:rsidRPr="00E86B78">
        <w:rPr>
          <w:rFonts w:ascii="Times New Roman" w:hAnsi="Times New Roman" w:cs="Times New Roman"/>
          <w:i/>
          <w:iCs/>
        </w:rPr>
        <w:t>rom F</w:t>
      </w:r>
      <w:r>
        <w:rPr>
          <w:rFonts w:ascii="Times New Roman" w:hAnsi="Times New Roman" w:cs="Times New Roman"/>
          <w:i/>
          <w:iCs/>
        </w:rPr>
        <w:t>CC</w:t>
      </w:r>
      <w:r w:rsidRPr="00E86B78">
        <w:rPr>
          <w:rFonts w:ascii="Times New Roman" w:hAnsi="Times New Roman" w:cs="Times New Roman"/>
          <w:i/>
          <w:iCs/>
        </w:rPr>
        <w:t xml:space="preserve"> Covered List</w:t>
      </w:r>
      <w:r>
        <w:rPr>
          <w:rFonts w:ascii="Times New Roman" w:hAnsi="Times New Roman" w:cs="Times New Roman"/>
        </w:rPr>
        <w:t xml:space="preserve">, WC Docket No. 18-89, Public Notice, DA-26-351 (April 14, 2026).  The list of devices that have received Conditional Approvals can be found on the Bureau’s website at </w:t>
      </w:r>
      <w:hyperlink r:id="rId1" w:history="1">
        <w:r w:rsidRPr="00351AD0">
          <w:rPr>
            <w:rStyle w:val="Hyperlink"/>
            <w:rFonts w:ascii="Times New Roman" w:hAnsi="Times New Roman" w:cs="Times New Roman"/>
          </w:rPr>
          <w:t>https://www.fcc.gov/supplychain/coveredlist</w:t>
        </w:r>
      </w:hyperlink>
      <w:r>
        <w:rPr>
          <w:rFonts w:ascii="Times New Roman" w:hAnsi="Times New Roman" w:cs="Times New Roman"/>
        </w:rPr>
        <w:t xml:space="preserve">.  </w:t>
      </w:r>
    </w:p>
  </w:footnote>
  <w:footnote w:id="12">
    <w:p w:rsidR="00B7711F" w:rsidRPr="007C0F32" w:rsidP="00B7711F" w14:paraId="1298D847"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3">
    <w:p w:rsidR="00B7711F" w:rsidRPr="007C0F32" w:rsidP="00B7711F" w14:paraId="0CADC9BA"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14">
    <w:p w:rsidR="00B7711F" w:rsidRPr="007C0F32" w:rsidP="00B7711F" w14:paraId="0220A550"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B7711F" w:rsidRPr="007C0F32" w:rsidP="00B7711F" w14:paraId="39729F24"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rsidRPr="007166E4" w14:paraId="7D5000F1" w14:textId="15916EB9">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165E68">
      <w:rPr>
        <w:rFonts w:ascii="Times New Roman" w:hAnsi="Times New Roman" w:cs="Times New Roman"/>
        <w:b/>
        <w:sz w:val="22"/>
        <w:szCs w:val="22"/>
      </w:rPr>
      <w:t>DA 26-</w:t>
    </w:r>
    <w:r w:rsidRPr="00165E68" w:rsidR="00165E68">
      <w:rPr>
        <w:rFonts w:ascii="Times New Roman" w:hAnsi="Times New Roman" w:cs="Times New Roman"/>
        <w:b/>
        <w:sz w:val="22"/>
        <w:szCs w:val="22"/>
      </w:rPr>
      <w:t>616</w:t>
    </w:r>
  </w:p>
  <w:p w:rsidR="00B7711F" w14:paraId="01411EB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7711F" w14:paraId="3A44A51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7711F" w14:paraId="69B85399" w14:textId="77777777">
    <w:pPr>
      <w:tabs>
        <w:tab w:val="left" w:pos="-720"/>
      </w:tabs>
      <w:suppressAutoHyphens/>
      <w:spacing w:line="19" w:lineRule="exact"/>
      <w:rPr>
        <w:spacing w:val="-2"/>
      </w:rPr>
    </w:pPr>
    <w:r>
      <w:rPr>
        <w:noProof/>
      </w:rPr>
      <w:drawing>
        <wp:inline distT="0" distB="0" distL="0" distR="0">
          <wp:extent cx="5943600" cy="1426210"/>
          <wp:effectExtent l="0" t="0" r="0" b="2540"/>
          <wp:docPr id="1267159676" name="Picture 1267159676"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159676"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203152308" name="Picture 203152308"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52308"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B7711F" w14:paraId="5F6C1562" w14:textId="77777777">
    <w:pPr>
      <w:spacing w:before="40"/>
      <w:rPr>
        <w:rFonts w:ascii="Arial" w:hAnsi="Arial" w:cs="Arial"/>
        <w:b/>
        <w:sz w:val="20"/>
      </w:rPr>
    </w:pPr>
    <w:r w:rsidRPr="00D009F4">
      <w:rPr>
        <w:noProof/>
      </w:rPr>
      <w:drawing>
        <wp:inline distT="0" distB="0" distL="0" distR="0">
          <wp:extent cx="5943600" cy="1426210"/>
          <wp:effectExtent l="0" t="0" r="0" b="2540"/>
          <wp:docPr id="690281045" name="Picture 690281045"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281045"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84772C1B"/>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6A8B20AD"/>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3">
    <w:nsid w:val="76F7313A"/>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num w:numId="1" w16cid:durableId="1165902560">
    <w:abstractNumId w:val="1"/>
  </w:num>
  <w:num w:numId="2" w16cid:durableId="1434934271">
    <w:abstractNumId w:val="2"/>
  </w:num>
  <w:num w:numId="3" w16cid:durableId="1033582184">
    <w:abstractNumId w:val="0"/>
  </w:num>
  <w:num w:numId="4" w16cid:durableId="58033885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11F"/>
    <w:rsid w:val="00024C15"/>
    <w:rsid w:val="00056958"/>
    <w:rsid w:val="00060B36"/>
    <w:rsid w:val="00065591"/>
    <w:rsid w:val="00093FCA"/>
    <w:rsid w:val="000A1454"/>
    <w:rsid w:val="000B1B49"/>
    <w:rsid w:val="000B3E48"/>
    <w:rsid w:val="000C0494"/>
    <w:rsid w:val="000D216F"/>
    <w:rsid w:val="001058D4"/>
    <w:rsid w:val="00123BF5"/>
    <w:rsid w:val="00124AB3"/>
    <w:rsid w:val="00152852"/>
    <w:rsid w:val="00154107"/>
    <w:rsid w:val="00154B4A"/>
    <w:rsid w:val="00154FED"/>
    <w:rsid w:val="001556AD"/>
    <w:rsid w:val="00156580"/>
    <w:rsid w:val="00156D13"/>
    <w:rsid w:val="00165E68"/>
    <w:rsid w:val="00177260"/>
    <w:rsid w:val="00181A15"/>
    <w:rsid w:val="0018792A"/>
    <w:rsid w:val="0019617E"/>
    <w:rsid w:val="001A5B0C"/>
    <w:rsid w:val="001B5499"/>
    <w:rsid w:val="001C0886"/>
    <w:rsid w:val="001C7A3E"/>
    <w:rsid w:val="001D5504"/>
    <w:rsid w:val="001F391F"/>
    <w:rsid w:val="00206B78"/>
    <w:rsid w:val="00231C78"/>
    <w:rsid w:val="00233AD8"/>
    <w:rsid w:val="00243B0E"/>
    <w:rsid w:val="0025051E"/>
    <w:rsid w:val="00252B26"/>
    <w:rsid w:val="002725D9"/>
    <w:rsid w:val="002740CF"/>
    <w:rsid w:val="002815D0"/>
    <w:rsid w:val="00291A45"/>
    <w:rsid w:val="002A4842"/>
    <w:rsid w:val="002A4D10"/>
    <w:rsid w:val="002F2822"/>
    <w:rsid w:val="002F6AAF"/>
    <w:rsid w:val="0031790C"/>
    <w:rsid w:val="00331312"/>
    <w:rsid w:val="003345D8"/>
    <w:rsid w:val="00336BBB"/>
    <w:rsid w:val="00351AD0"/>
    <w:rsid w:val="00352A14"/>
    <w:rsid w:val="00362547"/>
    <w:rsid w:val="0038542F"/>
    <w:rsid w:val="0039375E"/>
    <w:rsid w:val="0039586D"/>
    <w:rsid w:val="003970F0"/>
    <w:rsid w:val="003A4235"/>
    <w:rsid w:val="003A60C9"/>
    <w:rsid w:val="003B3667"/>
    <w:rsid w:val="003B5348"/>
    <w:rsid w:val="003C6E49"/>
    <w:rsid w:val="003D531D"/>
    <w:rsid w:val="003E158A"/>
    <w:rsid w:val="00412CE4"/>
    <w:rsid w:val="004146A8"/>
    <w:rsid w:val="004260E2"/>
    <w:rsid w:val="0044724E"/>
    <w:rsid w:val="00486D30"/>
    <w:rsid w:val="004D1D2E"/>
    <w:rsid w:val="004D3D58"/>
    <w:rsid w:val="004D4B5A"/>
    <w:rsid w:val="004F5AD0"/>
    <w:rsid w:val="00534E4B"/>
    <w:rsid w:val="005366AB"/>
    <w:rsid w:val="00544624"/>
    <w:rsid w:val="00551776"/>
    <w:rsid w:val="0055538D"/>
    <w:rsid w:val="00577930"/>
    <w:rsid w:val="005805BE"/>
    <w:rsid w:val="005D78B7"/>
    <w:rsid w:val="005D7C89"/>
    <w:rsid w:val="005E04FC"/>
    <w:rsid w:val="005F622F"/>
    <w:rsid w:val="00602218"/>
    <w:rsid w:val="00626AE8"/>
    <w:rsid w:val="0065201C"/>
    <w:rsid w:val="00654539"/>
    <w:rsid w:val="00657B97"/>
    <w:rsid w:val="0067100C"/>
    <w:rsid w:val="00684058"/>
    <w:rsid w:val="00691DAB"/>
    <w:rsid w:val="006A0FDA"/>
    <w:rsid w:val="006A393D"/>
    <w:rsid w:val="006A4573"/>
    <w:rsid w:val="006A4F0A"/>
    <w:rsid w:val="006B240D"/>
    <w:rsid w:val="006D651C"/>
    <w:rsid w:val="006D69C9"/>
    <w:rsid w:val="006E017D"/>
    <w:rsid w:val="007144A6"/>
    <w:rsid w:val="007166E4"/>
    <w:rsid w:val="0073290D"/>
    <w:rsid w:val="0073608C"/>
    <w:rsid w:val="00767F5D"/>
    <w:rsid w:val="00773353"/>
    <w:rsid w:val="00776363"/>
    <w:rsid w:val="00796AD8"/>
    <w:rsid w:val="007A12D3"/>
    <w:rsid w:val="007B2ED8"/>
    <w:rsid w:val="007C0F32"/>
    <w:rsid w:val="007C11A4"/>
    <w:rsid w:val="007D4060"/>
    <w:rsid w:val="007D4CE6"/>
    <w:rsid w:val="007F0416"/>
    <w:rsid w:val="007F3AAE"/>
    <w:rsid w:val="007F3DF4"/>
    <w:rsid w:val="00803D30"/>
    <w:rsid w:val="0081241B"/>
    <w:rsid w:val="008157D8"/>
    <w:rsid w:val="008271BE"/>
    <w:rsid w:val="008311A4"/>
    <w:rsid w:val="00832270"/>
    <w:rsid w:val="008542F5"/>
    <w:rsid w:val="008603FF"/>
    <w:rsid w:val="00881F6D"/>
    <w:rsid w:val="00882529"/>
    <w:rsid w:val="008A47FB"/>
    <w:rsid w:val="008B6275"/>
    <w:rsid w:val="008B6947"/>
    <w:rsid w:val="008C2EBE"/>
    <w:rsid w:val="008C3BCD"/>
    <w:rsid w:val="0090154C"/>
    <w:rsid w:val="00904386"/>
    <w:rsid w:val="00922A27"/>
    <w:rsid w:val="00942080"/>
    <w:rsid w:val="00942A4E"/>
    <w:rsid w:val="00947A1F"/>
    <w:rsid w:val="009510A3"/>
    <w:rsid w:val="009A23B7"/>
    <w:rsid w:val="009C2347"/>
    <w:rsid w:val="009C3AA0"/>
    <w:rsid w:val="009D196A"/>
    <w:rsid w:val="009D7021"/>
    <w:rsid w:val="009F4938"/>
    <w:rsid w:val="009F4C6B"/>
    <w:rsid w:val="00A24DF9"/>
    <w:rsid w:val="00A254C2"/>
    <w:rsid w:val="00A35AD6"/>
    <w:rsid w:val="00A41052"/>
    <w:rsid w:val="00A6009B"/>
    <w:rsid w:val="00A9298F"/>
    <w:rsid w:val="00AA724B"/>
    <w:rsid w:val="00AA7393"/>
    <w:rsid w:val="00AB2A47"/>
    <w:rsid w:val="00AB5B78"/>
    <w:rsid w:val="00AB7243"/>
    <w:rsid w:val="00AC2972"/>
    <w:rsid w:val="00AC5B36"/>
    <w:rsid w:val="00AF2BE6"/>
    <w:rsid w:val="00B02A68"/>
    <w:rsid w:val="00B02D0C"/>
    <w:rsid w:val="00B6273D"/>
    <w:rsid w:val="00B74ED9"/>
    <w:rsid w:val="00B7711F"/>
    <w:rsid w:val="00B80F19"/>
    <w:rsid w:val="00B8370A"/>
    <w:rsid w:val="00B94B18"/>
    <w:rsid w:val="00B97729"/>
    <w:rsid w:val="00BA4755"/>
    <w:rsid w:val="00BB54AC"/>
    <w:rsid w:val="00BD2E14"/>
    <w:rsid w:val="00BD51B3"/>
    <w:rsid w:val="00BE3EEE"/>
    <w:rsid w:val="00C1107B"/>
    <w:rsid w:val="00C207F6"/>
    <w:rsid w:val="00C30582"/>
    <w:rsid w:val="00C44B19"/>
    <w:rsid w:val="00C60545"/>
    <w:rsid w:val="00C6378D"/>
    <w:rsid w:val="00CA2C8A"/>
    <w:rsid w:val="00CB17B0"/>
    <w:rsid w:val="00CB446F"/>
    <w:rsid w:val="00CF0178"/>
    <w:rsid w:val="00D009E7"/>
    <w:rsid w:val="00D101FB"/>
    <w:rsid w:val="00D10920"/>
    <w:rsid w:val="00D3279C"/>
    <w:rsid w:val="00D33D2E"/>
    <w:rsid w:val="00D375B5"/>
    <w:rsid w:val="00D43B54"/>
    <w:rsid w:val="00D56752"/>
    <w:rsid w:val="00D622C1"/>
    <w:rsid w:val="00D63365"/>
    <w:rsid w:val="00D63B28"/>
    <w:rsid w:val="00D6508D"/>
    <w:rsid w:val="00D72936"/>
    <w:rsid w:val="00DB14BC"/>
    <w:rsid w:val="00DC5AA6"/>
    <w:rsid w:val="00DC5CB8"/>
    <w:rsid w:val="00DC6D98"/>
    <w:rsid w:val="00DD21E2"/>
    <w:rsid w:val="00DD5551"/>
    <w:rsid w:val="00DD5FA2"/>
    <w:rsid w:val="00DE57EB"/>
    <w:rsid w:val="00DF533D"/>
    <w:rsid w:val="00DF6A84"/>
    <w:rsid w:val="00E41259"/>
    <w:rsid w:val="00E45697"/>
    <w:rsid w:val="00E4762E"/>
    <w:rsid w:val="00E479B6"/>
    <w:rsid w:val="00E76D18"/>
    <w:rsid w:val="00E86B78"/>
    <w:rsid w:val="00E94DAA"/>
    <w:rsid w:val="00EB4739"/>
    <w:rsid w:val="00EC0015"/>
    <w:rsid w:val="00EC1FAE"/>
    <w:rsid w:val="00EC4909"/>
    <w:rsid w:val="00EC5013"/>
    <w:rsid w:val="00ED03B3"/>
    <w:rsid w:val="00ED4D2B"/>
    <w:rsid w:val="00EF03CA"/>
    <w:rsid w:val="00EF0765"/>
    <w:rsid w:val="00F33A84"/>
    <w:rsid w:val="00F42117"/>
    <w:rsid w:val="00F56BC5"/>
    <w:rsid w:val="00F739D3"/>
    <w:rsid w:val="00F8616C"/>
    <w:rsid w:val="00F95134"/>
    <w:rsid w:val="00F96733"/>
    <w:rsid w:val="00FA6ACF"/>
    <w:rsid w:val="00FC1783"/>
    <w:rsid w:val="00FC1B88"/>
    <w:rsid w:val="00FC43A7"/>
    <w:rsid w:val="00FC50EE"/>
    <w:rsid w:val="00FE6974"/>
    <w:rsid w:val="00FE71BB"/>
    <w:rsid w:val="00FF4DB4"/>
    <w:rsid w:val="4E09CFA2"/>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53C59511"/>
  <w15:chartTrackingRefBased/>
  <w15:docId w15:val="{FDE0343D-C0C6-48DF-AC83-3A9DD96E88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2E14"/>
  </w:style>
  <w:style w:type="paragraph" w:styleId="Heading1">
    <w:name w:val="heading 1"/>
    <w:basedOn w:val="Normal"/>
    <w:next w:val="Normal"/>
    <w:link w:val="Heading1Char"/>
    <w:uiPriority w:val="9"/>
    <w:qFormat/>
    <w:rsid w:val="00B771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771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771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771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771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771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771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771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771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71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71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71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71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71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71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71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71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711F"/>
    <w:rPr>
      <w:rFonts w:eastAsiaTheme="majorEastAsia" w:cstheme="majorBidi"/>
      <w:color w:val="272727" w:themeColor="text1" w:themeTint="D8"/>
    </w:rPr>
  </w:style>
  <w:style w:type="paragraph" w:styleId="Title">
    <w:name w:val="Title"/>
    <w:basedOn w:val="Normal"/>
    <w:next w:val="Normal"/>
    <w:link w:val="TitleChar"/>
    <w:uiPriority w:val="10"/>
    <w:qFormat/>
    <w:rsid w:val="00B771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771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71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771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711F"/>
    <w:pPr>
      <w:spacing w:before="160"/>
      <w:jc w:val="center"/>
    </w:pPr>
    <w:rPr>
      <w:i/>
      <w:iCs/>
      <w:color w:val="404040" w:themeColor="text1" w:themeTint="BF"/>
    </w:rPr>
  </w:style>
  <w:style w:type="character" w:customStyle="1" w:styleId="QuoteChar">
    <w:name w:val="Quote Char"/>
    <w:basedOn w:val="DefaultParagraphFont"/>
    <w:link w:val="Quote"/>
    <w:uiPriority w:val="29"/>
    <w:rsid w:val="00B7711F"/>
    <w:rPr>
      <w:i/>
      <w:iCs/>
      <w:color w:val="404040" w:themeColor="text1" w:themeTint="BF"/>
    </w:rPr>
  </w:style>
  <w:style w:type="paragraph" w:styleId="ListParagraph">
    <w:name w:val="List Paragraph"/>
    <w:basedOn w:val="Normal"/>
    <w:uiPriority w:val="34"/>
    <w:qFormat/>
    <w:rsid w:val="00B7711F"/>
    <w:pPr>
      <w:ind w:left="720"/>
      <w:contextualSpacing/>
    </w:pPr>
  </w:style>
  <w:style w:type="character" w:styleId="IntenseEmphasis">
    <w:name w:val="Intense Emphasis"/>
    <w:basedOn w:val="DefaultParagraphFont"/>
    <w:uiPriority w:val="21"/>
    <w:qFormat/>
    <w:rsid w:val="00B7711F"/>
    <w:rPr>
      <w:i/>
      <w:iCs/>
      <w:color w:val="0F4761" w:themeColor="accent1" w:themeShade="BF"/>
    </w:rPr>
  </w:style>
  <w:style w:type="paragraph" w:styleId="IntenseQuote">
    <w:name w:val="Intense Quote"/>
    <w:basedOn w:val="Normal"/>
    <w:next w:val="Normal"/>
    <w:link w:val="IntenseQuoteChar"/>
    <w:uiPriority w:val="30"/>
    <w:qFormat/>
    <w:rsid w:val="00B771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7711F"/>
    <w:rPr>
      <w:i/>
      <w:iCs/>
      <w:color w:val="0F4761" w:themeColor="accent1" w:themeShade="BF"/>
    </w:rPr>
  </w:style>
  <w:style w:type="character" w:styleId="IntenseReference">
    <w:name w:val="Intense Reference"/>
    <w:basedOn w:val="DefaultParagraphFont"/>
    <w:uiPriority w:val="32"/>
    <w:qFormat/>
    <w:rsid w:val="00B7711F"/>
    <w:rPr>
      <w:b/>
      <w:bCs/>
      <w:smallCaps/>
      <w:color w:val="0F4761" w:themeColor="accent1" w:themeShade="BF"/>
      <w:spacing w:val="5"/>
    </w:rPr>
  </w:style>
  <w:style w:type="paragraph" w:styleId="FootnoteText">
    <w:name w:val="footnote text"/>
    <w:basedOn w:val="Normal"/>
    <w:link w:val="FootnoteTextChar"/>
    <w:uiPriority w:val="99"/>
    <w:semiHidden/>
    <w:unhideWhenUsed/>
    <w:rsid w:val="00B771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711F"/>
    <w:rPr>
      <w:sz w:val="20"/>
      <w:szCs w:val="20"/>
    </w:rPr>
  </w:style>
  <w:style w:type="paragraph" w:styleId="Footer">
    <w:name w:val="footer"/>
    <w:basedOn w:val="Normal"/>
    <w:link w:val="FooterChar"/>
    <w:uiPriority w:val="99"/>
    <w:unhideWhenUsed/>
    <w:rsid w:val="00B771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7711F"/>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B7711F"/>
    <w:rPr>
      <w:rFonts w:ascii="Times New Roman" w:hAnsi="Times New Roman"/>
      <w:dstrike w:val="0"/>
      <w:color w:val="auto"/>
      <w:sz w:val="22"/>
      <w:vertAlign w:val="superscript"/>
    </w:rPr>
  </w:style>
  <w:style w:type="table" w:styleId="TableGrid">
    <w:name w:val="Table Grid"/>
    <w:basedOn w:val="TableNormal"/>
    <w:uiPriority w:val="39"/>
    <w:rsid w:val="00B7711F"/>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7711F"/>
    <w:rPr>
      <w:color w:val="467886" w:themeColor="hyperlink"/>
      <w:u w:val="single"/>
    </w:rPr>
  </w:style>
  <w:style w:type="paragraph" w:customStyle="1" w:styleId="Default">
    <w:name w:val="Default"/>
    <w:rsid w:val="00B7711F"/>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B7711F"/>
    <w:pPr>
      <w:spacing w:after="0" w:line="240" w:lineRule="auto"/>
    </w:pPr>
    <w:rPr>
      <w:rFonts w:ascii="Aptos" w:hAnsi="Aptos" w:cs="Aptos"/>
      <w:kern w:val="0"/>
      <w14:ligatures w14:val="none"/>
    </w:rPr>
  </w:style>
  <w:style w:type="paragraph" w:styleId="Header">
    <w:name w:val="header"/>
    <w:basedOn w:val="Normal"/>
    <w:link w:val="HeaderChar"/>
    <w:uiPriority w:val="99"/>
    <w:unhideWhenUsed/>
    <w:rsid w:val="003E15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158A"/>
  </w:style>
  <w:style w:type="paragraph" w:styleId="Revision">
    <w:name w:val="Revision"/>
    <w:hidden/>
    <w:uiPriority w:val="99"/>
    <w:semiHidden/>
    <w:rsid w:val="00DE57EB"/>
    <w:pPr>
      <w:spacing w:after="0" w:line="240" w:lineRule="auto"/>
    </w:pPr>
  </w:style>
  <w:style w:type="character" w:styleId="UnresolvedMention">
    <w:name w:val="Unresolved Mention"/>
    <w:basedOn w:val="DefaultParagraphFont"/>
    <w:uiPriority w:val="99"/>
    <w:semiHidden/>
    <w:unhideWhenUsed/>
    <w:rsid w:val="004260E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gcc02.safelinks.protection.outlook.com/?url=https%3A%2F%2Fwww.fcc.gov%2Fsites%2Fdefault%2Ffiles%2FNSD-Toy-Drones-0626.pdf&amp;data=05%7C02%7CGregory.Haledjian%40fcc.gov%7C39a99c65ab4e4e376f8e08decaf850e0%7C72970aed36694ca8b960dd016bc72973%7C0%7C0%7C639171365018286477%7CUnknown%7CTWFpbGZsb3d8eyJFbXB0eU1hcGkiOnRydWUsIlYiOiIwLjAuMDAwMCIsIlAiOiJXaW4zMiIsIkFOIjoiTWFpbCIsIldUIjoyfQ%3D%3D%7C0%7C%7C%7C&amp;sdata=xqo2aJI4WYrNdlfc%2BUWJ%2FGdaDVCmEZKhMULGr98A6vY%3D&amp;reserved=0" TargetMode="External" /><Relationship Id="rId16" Type="http://schemas.openxmlformats.org/officeDocument/2006/relationships/hyperlink" Target="https://www.congress.gov/118/plaws/publ159/PLAW-118publ159.pdf" TargetMode="External" /><Relationship Id="rId17" Type="http://schemas.openxmlformats.org/officeDocument/2006/relationships/hyperlink" Target="https://www.fcc.gov/sites/default/files/National-Security-Determination-for-UAS.pdf" TargetMode="External" /><Relationship Id="rId18"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9"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2" Type="http://schemas.openxmlformats.org/officeDocument/2006/relationships/settings" Target="settings.xml" /><Relationship Id="rId20" Type="http://schemas.openxmlformats.org/officeDocument/2006/relationships/footer" Target="footer3.xml" /><Relationship Id="rId21" Type="http://schemas.openxmlformats.org/officeDocument/2006/relationships/footer" Target="footer4.xml" /><Relationship Id="rId22" Type="http://schemas.openxmlformats.org/officeDocument/2006/relationships/theme" Target="theme/theme1.xml" /><Relationship Id="rId23" Type="http://schemas.openxmlformats.org/officeDocument/2006/relationships/numbering" Target="numbering.xml" /><Relationship Id="rId24"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Gregory.Haledjian@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