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3F171B6D" w14:textId="1C09E57C">
      <w:pPr>
        <w:jc w:val="right"/>
        <w:rPr>
          <w:b/>
          <w:sz w:val="24"/>
        </w:rPr>
      </w:pPr>
      <w:r>
        <w:rPr>
          <w:b/>
          <w:sz w:val="24"/>
        </w:rPr>
        <w:t>DA 2</w:t>
      </w:r>
      <w:r w:rsidR="001B2D0B">
        <w:rPr>
          <w:b/>
          <w:sz w:val="24"/>
        </w:rPr>
        <w:t>6</w:t>
      </w:r>
      <w:r>
        <w:rPr>
          <w:b/>
          <w:sz w:val="24"/>
        </w:rPr>
        <w:t>-</w:t>
      </w:r>
      <w:r w:rsidR="00BC24C2">
        <w:rPr>
          <w:b/>
          <w:sz w:val="24"/>
        </w:rPr>
        <w:t>634</w:t>
      </w:r>
    </w:p>
    <w:p w:rsidR="00BA3BA8" w14:paraId="74840477" w14:textId="3FE79C9F">
      <w:pPr>
        <w:spacing w:before="60"/>
        <w:jc w:val="right"/>
        <w:rPr>
          <w:b/>
          <w:sz w:val="24"/>
        </w:rPr>
      </w:pPr>
      <w:r>
        <w:rPr>
          <w:b/>
          <w:sz w:val="24"/>
        </w:rPr>
        <w:t>Released</w:t>
      </w:r>
      <w:r>
        <w:rPr>
          <w:b/>
          <w:sz w:val="24"/>
        </w:rPr>
        <w:t xml:space="preserve">:  </w:t>
      </w:r>
      <w:r w:rsidR="005245D4">
        <w:rPr>
          <w:b/>
          <w:sz w:val="24"/>
        </w:rPr>
        <w:t>Ju</w:t>
      </w:r>
      <w:r w:rsidR="007B5DFB">
        <w:rPr>
          <w:b/>
          <w:sz w:val="24"/>
        </w:rPr>
        <w:t>ne</w:t>
      </w:r>
      <w:r w:rsidR="001B2D0B">
        <w:rPr>
          <w:b/>
          <w:sz w:val="24"/>
        </w:rPr>
        <w:t xml:space="preserve"> </w:t>
      </w:r>
      <w:r w:rsidR="004B1386">
        <w:rPr>
          <w:b/>
          <w:sz w:val="24"/>
        </w:rPr>
        <w:t>25</w:t>
      </w:r>
      <w:r w:rsidR="00087ED8">
        <w:rPr>
          <w:b/>
          <w:sz w:val="24"/>
        </w:rPr>
        <w:t>, 202</w:t>
      </w:r>
      <w:r w:rsidR="001B2D0B">
        <w:rPr>
          <w:b/>
          <w:sz w:val="24"/>
        </w:rPr>
        <w:t>6</w:t>
      </w:r>
    </w:p>
    <w:p w:rsidR="00BA3BA8" w14:paraId="07AC45EA" w14:textId="77777777">
      <w:pPr>
        <w:jc w:val="right"/>
        <w:rPr>
          <w:sz w:val="24"/>
        </w:rPr>
      </w:pPr>
    </w:p>
    <w:p w:rsidR="007073CF" w:rsidP="00F765B6" w14:paraId="76C7C2BE" w14:textId="4576ED2A">
      <w:pPr>
        <w:jc w:val="center"/>
        <w:rPr>
          <w:b/>
          <w:bCs/>
          <w:szCs w:val="22"/>
        </w:rPr>
      </w:pPr>
      <w:r w:rsidRPr="00DB3CBC">
        <w:rPr>
          <w:b/>
          <w:bCs/>
          <w:szCs w:val="22"/>
        </w:rPr>
        <w:t xml:space="preserve">DOMESTIC </w:t>
      </w:r>
      <w:r w:rsidRPr="00DB3CBC">
        <w:rPr>
          <w:b/>
          <w:bCs/>
          <w:caps/>
          <w:szCs w:val="22"/>
        </w:rPr>
        <w:t>SECTION</w:t>
      </w:r>
      <w:r w:rsidRPr="00DB3CBC">
        <w:rPr>
          <w:b/>
          <w:bCs/>
          <w:szCs w:val="22"/>
        </w:rPr>
        <w:t xml:space="preserve"> 214 APPLICATION FILED FOR THE TRANSFER OF CONTROL OF</w:t>
      </w:r>
      <w:r>
        <w:rPr>
          <w:b/>
          <w:bCs/>
          <w:szCs w:val="22"/>
        </w:rPr>
        <w:t xml:space="preserve"> </w:t>
      </w:r>
      <w:r w:rsidR="00C20F73">
        <w:rPr>
          <w:b/>
          <w:bCs/>
          <w:szCs w:val="22"/>
        </w:rPr>
        <w:t xml:space="preserve">ZAYO GROUP, LLC AND CERTAIN </w:t>
      </w:r>
      <w:r w:rsidR="007C7CAF">
        <w:rPr>
          <w:b/>
          <w:bCs/>
          <w:szCs w:val="22"/>
        </w:rPr>
        <w:t xml:space="preserve">OTHER </w:t>
      </w:r>
      <w:r w:rsidR="00C20F73">
        <w:rPr>
          <w:b/>
          <w:bCs/>
          <w:szCs w:val="22"/>
        </w:rPr>
        <w:t xml:space="preserve">SUBSIDIARIES OF </w:t>
      </w:r>
    </w:p>
    <w:p w:rsidR="00F765B6" w:rsidP="00F765B6" w14:paraId="72D2665E" w14:textId="5E3A1F18">
      <w:pPr>
        <w:jc w:val="center"/>
        <w:rPr>
          <w:b/>
          <w:bCs/>
          <w:szCs w:val="22"/>
        </w:rPr>
      </w:pPr>
      <w:r w:rsidRPr="00AE72F6">
        <w:rPr>
          <w:b/>
          <w:bCs/>
          <w:szCs w:val="22"/>
        </w:rPr>
        <w:t xml:space="preserve">DIGITALBRIDGE GROUP, </w:t>
      </w:r>
      <w:r w:rsidR="007073CF">
        <w:rPr>
          <w:b/>
          <w:bCs/>
          <w:szCs w:val="22"/>
        </w:rPr>
        <w:t xml:space="preserve">INC. </w:t>
      </w:r>
      <w:r w:rsidR="00A92E38">
        <w:rPr>
          <w:b/>
          <w:bCs/>
          <w:szCs w:val="22"/>
        </w:rPr>
        <w:t xml:space="preserve">TO </w:t>
      </w:r>
      <w:r w:rsidRPr="00AE72F6">
        <w:rPr>
          <w:b/>
          <w:bCs/>
          <w:szCs w:val="22"/>
        </w:rPr>
        <w:t>DUNCAN HOLDCO LLC</w:t>
      </w:r>
    </w:p>
    <w:p w:rsidR="00F765B6" w:rsidRPr="00DB3CBC" w:rsidP="00F765B6" w14:paraId="0CAE2AB9" w14:textId="77777777">
      <w:pPr>
        <w:jc w:val="center"/>
        <w:rPr>
          <w:b/>
          <w:bCs/>
          <w:szCs w:val="22"/>
        </w:rPr>
      </w:pPr>
    </w:p>
    <w:p w:rsidR="00BA3BA8" w:rsidP="00F765B6" w14:paraId="4434B72A" w14:textId="3165741A">
      <w:pPr>
        <w:jc w:val="center"/>
        <w:rPr>
          <w:b/>
          <w:bCs/>
          <w:szCs w:val="22"/>
        </w:rPr>
      </w:pPr>
      <w:r w:rsidRPr="00DB3CBC">
        <w:rPr>
          <w:b/>
          <w:szCs w:val="22"/>
        </w:rPr>
        <w:t>STREAMLINED PLEADING CYCLE ESTABLISHED</w:t>
      </w:r>
    </w:p>
    <w:p w:rsidR="00F765B6" w:rsidRPr="00F765B6" w:rsidP="00F765B6" w14:paraId="60BE1411" w14:textId="77777777">
      <w:pPr>
        <w:jc w:val="center"/>
        <w:rPr>
          <w:b/>
          <w:bCs/>
          <w:szCs w:val="22"/>
        </w:rPr>
      </w:pPr>
    </w:p>
    <w:p w:rsidR="00BA3BA8" w14:paraId="3563A964" w14:textId="51FF34F8">
      <w:pPr>
        <w:jc w:val="center"/>
        <w:rPr>
          <w:b/>
          <w:sz w:val="24"/>
        </w:rPr>
      </w:pPr>
      <w:r>
        <w:rPr>
          <w:b/>
          <w:sz w:val="24"/>
        </w:rPr>
        <w:t>WC Docket No. 2</w:t>
      </w:r>
      <w:r w:rsidR="001B2D0B">
        <w:rPr>
          <w:b/>
          <w:sz w:val="24"/>
        </w:rPr>
        <w:t>6</w:t>
      </w:r>
      <w:r>
        <w:rPr>
          <w:b/>
          <w:sz w:val="24"/>
        </w:rPr>
        <w:t>-</w:t>
      </w:r>
      <w:r w:rsidR="00FB2005">
        <w:rPr>
          <w:b/>
          <w:sz w:val="24"/>
        </w:rPr>
        <w:t>56</w:t>
      </w:r>
    </w:p>
    <w:p w:rsidR="00087ED8" w:rsidP="00087ED8" w14:paraId="7E2B515C" w14:textId="77777777">
      <w:pPr>
        <w:rPr>
          <w:b/>
          <w:szCs w:val="22"/>
        </w:rPr>
      </w:pPr>
    </w:p>
    <w:p w:rsidR="00087ED8" w:rsidRPr="00AD440B" w:rsidP="00087ED8" w14:paraId="317736F9" w14:textId="118CF6E1">
      <w:pPr>
        <w:rPr>
          <w:b/>
          <w:szCs w:val="22"/>
        </w:rPr>
      </w:pPr>
      <w:r w:rsidRPr="00AD440B">
        <w:rPr>
          <w:b/>
          <w:szCs w:val="22"/>
        </w:rPr>
        <w:t>Comments Due</w:t>
      </w:r>
      <w:r w:rsidRPr="00AD440B">
        <w:rPr>
          <w:b/>
          <w:szCs w:val="22"/>
        </w:rPr>
        <w:t xml:space="preserve">:  </w:t>
      </w:r>
      <w:r w:rsidR="005245D4">
        <w:rPr>
          <w:b/>
          <w:szCs w:val="22"/>
        </w:rPr>
        <w:t>July</w:t>
      </w:r>
      <w:r w:rsidR="00AE72F6">
        <w:rPr>
          <w:b/>
          <w:szCs w:val="22"/>
        </w:rPr>
        <w:t xml:space="preserve"> </w:t>
      </w:r>
      <w:r w:rsidR="004B1386">
        <w:rPr>
          <w:b/>
          <w:szCs w:val="22"/>
        </w:rPr>
        <w:t>9</w:t>
      </w:r>
      <w:r w:rsidRPr="00AD440B">
        <w:rPr>
          <w:b/>
          <w:szCs w:val="22"/>
        </w:rPr>
        <w:t>, 202</w:t>
      </w:r>
      <w:r w:rsidR="00AE72F6">
        <w:rPr>
          <w:b/>
          <w:szCs w:val="22"/>
        </w:rPr>
        <w:t>6</w:t>
      </w:r>
      <w:r w:rsidRPr="00AD440B">
        <w:rPr>
          <w:b/>
          <w:szCs w:val="22"/>
        </w:rPr>
        <w:t xml:space="preserve"> </w:t>
      </w:r>
    </w:p>
    <w:p w:rsidR="00087ED8" w:rsidP="00087ED8" w14:paraId="4584CF30" w14:textId="3C09F136">
      <w:pPr>
        <w:tabs>
          <w:tab w:val="left" w:pos="6366"/>
        </w:tabs>
        <w:rPr>
          <w:b/>
          <w:szCs w:val="22"/>
        </w:rPr>
      </w:pPr>
      <w:r w:rsidRPr="00AD440B">
        <w:rPr>
          <w:b/>
          <w:szCs w:val="22"/>
        </w:rPr>
        <w:t>Reply Comment</w:t>
      </w:r>
      <w:r>
        <w:rPr>
          <w:b/>
          <w:szCs w:val="22"/>
        </w:rPr>
        <w:t>s</w:t>
      </w:r>
      <w:r w:rsidRPr="00AD440B">
        <w:rPr>
          <w:b/>
          <w:szCs w:val="22"/>
        </w:rPr>
        <w:t xml:space="preserve"> Due</w:t>
      </w:r>
      <w:r w:rsidRPr="00AD440B">
        <w:rPr>
          <w:b/>
          <w:szCs w:val="22"/>
        </w:rPr>
        <w:t xml:space="preserve">:  </w:t>
      </w:r>
      <w:r w:rsidR="005245D4">
        <w:rPr>
          <w:b/>
          <w:szCs w:val="22"/>
        </w:rPr>
        <w:t>July</w:t>
      </w:r>
      <w:r w:rsidR="00AE72F6">
        <w:rPr>
          <w:b/>
          <w:szCs w:val="22"/>
        </w:rPr>
        <w:t xml:space="preserve"> </w:t>
      </w:r>
      <w:r w:rsidR="004B1386">
        <w:rPr>
          <w:b/>
          <w:szCs w:val="22"/>
        </w:rPr>
        <w:t>16</w:t>
      </w:r>
      <w:r w:rsidRPr="00AD440B">
        <w:rPr>
          <w:b/>
          <w:szCs w:val="22"/>
        </w:rPr>
        <w:t>, 202</w:t>
      </w:r>
      <w:r w:rsidR="00AE72F6">
        <w:rPr>
          <w:b/>
          <w:szCs w:val="22"/>
        </w:rPr>
        <w:t>6</w:t>
      </w:r>
    </w:p>
    <w:p w:rsidR="00087ED8" w:rsidP="00087ED8" w14:paraId="56DDC2CF" w14:textId="77777777">
      <w:pPr>
        <w:rPr>
          <w:b/>
          <w:sz w:val="24"/>
        </w:rPr>
      </w:pPr>
    </w:p>
    <w:p w:rsidR="00F765B6" w:rsidP="007B2D91" w14:paraId="69D3C2D8" w14:textId="06DC99BC">
      <w:pPr>
        <w:autoSpaceDE w:val="0"/>
        <w:autoSpaceDN w:val="0"/>
        <w:adjustRightInd w:val="0"/>
        <w:spacing w:after="120"/>
        <w:ind w:firstLine="720"/>
        <w:rPr>
          <w:szCs w:val="22"/>
        </w:rPr>
      </w:pPr>
      <w:r w:rsidRPr="00FD7EE2">
        <w:rPr>
          <w:szCs w:val="22"/>
        </w:rPr>
        <w:t xml:space="preserve">By this Public Notice, the Wireline Competition Bureau </w:t>
      </w:r>
      <w:r w:rsidR="00A9577B">
        <w:rPr>
          <w:szCs w:val="22"/>
        </w:rPr>
        <w:t xml:space="preserve">(Bureau) </w:t>
      </w:r>
      <w:r w:rsidRPr="00FD7EE2">
        <w:rPr>
          <w:szCs w:val="22"/>
        </w:rPr>
        <w:t>seeks comment from interested parties on an application</w:t>
      </w:r>
      <w:r>
        <w:rPr>
          <w:rStyle w:val="FootnoteReference"/>
          <w:szCs w:val="22"/>
        </w:rPr>
        <w:footnoteReference w:id="3"/>
      </w:r>
      <w:r w:rsidRPr="00FD7EE2">
        <w:rPr>
          <w:szCs w:val="22"/>
        </w:rPr>
        <w:t xml:space="preserve"> filed by </w:t>
      </w:r>
      <w:bookmarkStart w:id="2" w:name="_Hlk73713070"/>
      <w:bookmarkStart w:id="3" w:name="_Hlk67917977"/>
      <w:r w:rsidRPr="007B2D91" w:rsidR="007B2D91">
        <w:rPr>
          <w:szCs w:val="22"/>
        </w:rPr>
        <w:t>DigitalBridge</w:t>
      </w:r>
      <w:r w:rsidRPr="007B2D91" w:rsidR="007B2D91">
        <w:rPr>
          <w:szCs w:val="22"/>
        </w:rPr>
        <w:t xml:space="preserve"> Group, Inc. (</w:t>
      </w:r>
      <w:r w:rsidRPr="007B2D91" w:rsidR="007B2D91">
        <w:rPr>
          <w:szCs w:val="22"/>
        </w:rPr>
        <w:t>DigitalBridge</w:t>
      </w:r>
      <w:r w:rsidRPr="007B2D91" w:rsidR="007B2D91">
        <w:rPr>
          <w:szCs w:val="22"/>
        </w:rPr>
        <w:t xml:space="preserve">); Fiber </w:t>
      </w:r>
      <w:r w:rsidRPr="007B2D91" w:rsidR="007B2D91">
        <w:rPr>
          <w:szCs w:val="22"/>
        </w:rPr>
        <w:t>AssetCo</w:t>
      </w:r>
      <w:r w:rsidRPr="007B2D91" w:rsidR="007B2D91">
        <w:rPr>
          <w:szCs w:val="22"/>
        </w:rPr>
        <w:t xml:space="preserve"> LLC; Fiber</w:t>
      </w:r>
      <w:r w:rsidR="007B2D91">
        <w:rPr>
          <w:szCs w:val="22"/>
        </w:rPr>
        <w:t xml:space="preserve"> </w:t>
      </w:r>
      <w:r w:rsidRPr="007B2D91" w:rsidR="007B2D91">
        <w:rPr>
          <w:szCs w:val="22"/>
        </w:rPr>
        <w:t>AssetCo</w:t>
      </w:r>
      <w:r w:rsidRPr="007B2D91" w:rsidR="007B2D91">
        <w:rPr>
          <w:szCs w:val="22"/>
        </w:rPr>
        <w:t xml:space="preserve">-CA LLC; Fiber </w:t>
      </w:r>
      <w:r w:rsidRPr="007B2D91" w:rsidR="007B2D91">
        <w:rPr>
          <w:szCs w:val="22"/>
        </w:rPr>
        <w:t>NewCo</w:t>
      </w:r>
      <w:r w:rsidRPr="007B2D91" w:rsidR="007B2D91">
        <w:rPr>
          <w:szCs w:val="22"/>
        </w:rPr>
        <w:t xml:space="preserve"> LLC (together</w:t>
      </w:r>
      <w:r w:rsidR="0002744D">
        <w:rPr>
          <w:szCs w:val="22"/>
        </w:rPr>
        <w:t>,</w:t>
      </w:r>
      <w:r w:rsidRPr="007B2D91" w:rsidR="007B2D91">
        <w:rPr>
          <w:szCs w:val="22"/>
        </w:rPr>
        <w:t xml:space="preserve"> with Fiber </w:t>
      </w:r>
      <w:r w:rsidRPr="007B2D91" w:rsidR="007B2D91">
        <w:rPr>
          <w:szCs w:val="22"/>
        </w:rPr>
        <w:t>AssetCo</w:t>
      </w:r>
      <w:r w:rsidRPr="007B2D91" w:rsidR="007B2D91">
        <w:rPr>
          <w:szCs w:val="22"/>
        </w:rPr>
        <w:t xml:space="preserve"> LLC and Fiber </w:t>
      </w:r>
      <w:r w:rsidRPr="007B2D91" w:rsidR="007B2D91">
        <w:rPr>
          <w:szCs w:val="22"/>
        </w:rPr>
        <w:t>AssetCo</w:t>
      </w:r>
      <w:r w:rsidRPr="007B2D91" w:rsidR="007B2D91">
        <w:rPr>
          <w:szCs w:val="22"/>
        </w:rPr>
        <w:t>-CA</w:t>
      </w:r>
      <w:r w:rsidR="007B2D91">
        <w:rPr>
          <w:szCs w:val="22"/>
        </w:rPr>
        <w:t xml:space="preserve"> </w:t>
      </w:r>
      <w:r w:rsidRPr="007B2D91" w:rsidR="007B2D91">
        <w:rPr>
          <w:szCs w:val="22"/>
        </w:rPr>
        <w:t>LLC</w:t>
      </w:r>
      <w:r w:rsidR="005B74E2">
        <w:rPr>
          <w:szCs w:val="22"/>
        </w:rPr>
        <w:t>,</w:t>
      </w:r>
      <w:r w:rsidRPr="007B2D91" w:rsidR="007B2D91">
        <w:rPr>
          <w:szCs w:val="22"/>
        </w:rPr>
        <w:t xml:space="preserve"> the Zayo/Crown Licensees); Zayo Group, LLC; Zayo Network Services, LLC; Zayo</w:t>
      </w:r>
      <w:r w:rsidR="007B2D91">
        <w:rPr>
          <w:szCs w:val="22"/>
        </w:rPr>
        <w:t xml:space="preserve"> </w:t>
      </w:r>
      <w:r w:rsidRPr="007B2D91" w:rsidR="007B2D91">
        <w:rPr>
          <w:szCs w:val="22"/>
        </w:rPr>
        <w:t>Education, LLC; and ENA Healthcare Services, LLC (Zayo Group, LLC</w:t>
      </w:r>
      <w:r w:rsidR="005B74E2">
        <w:rPr>
          <w:szCs w:val="22"/>
        </w:rPr>
        <w:t>,</w:t>
      </w:r>
      <w:r w:rsidRPr="007B2D91" w:rsidR="007B2D91">
        <w:rPr>
          <w:szCs w:val="22"/>
        </w:rPr>
        <w:t xml:space="preserve"> Zayo Network Services,</w:t>
      </w:r>
      <w:r w:rsidR="007B2D91">
        <w:rPr>
          <w:szCs w:val="22"/>
        </w:rPr>
        <w:t xml:space="preserve"> </w:t>
      </w:r>
      <w:r w:rsidRPr="007B2D91" w:rsidR="007B2D91">
        <w:rPr>
          <w:szCs w:val="22"/>
        </w:rPr>
        <w:t>LLC</w:t>
      </w:r>
      <w:r w:rsidR="005B74E2">
        <w:rPr>
          <w:szCs w:val="22"/>
        </w:rPr>
        <w:t>,</w:t>
      </w:r>
      <w:r w:rsidRPr="007B2D91" w:rsidR="007B2D91">
        <w:rPr>
          <w:szCs w:val="22"/>
        </w:rPr>
        <w:t xml:space="preserve"> Zayo Education, LLC</w:t>
      </w:r>
      <w:r w:rsidR="005B74E2">
        <w:rPr>
          <w:szCs w:val="22"/>
        </w:rPr>
        <w:t>,</w:t>
      </w:r>
      <w:r w:rsidRPr="007B2D91" w:rsidR="007B2D91">
        <w:rPr>
          <w:szCs w:val="22"/>
        </w:rPr>
        <w:t xml:space="preserve"> and ENA Healthcare Services LLC</w:t>
      </w:r>
      <w:r w:rsidR="005B74E2">
        <w:rPr>
          <w:szCs w:val="22"/>
        </w:rPr>
        <w:t>,</w:t>
      </w:r>
      <w:r w:rsidRPr="007B2D91" w:rsidR="007B2D91">
        <w:rPr>
          <w:szCs w:val="22"/>
        </w:rPr>
        <w:t xml:space="preserve"> together</w:t>
      </w:r>
      <w:r w:rsidR="005B74E2">
        <w:rPr>
          <w:szCs w:val="22"/>
        </w:rPr>
        <w:t>,</w:t>
      </w:r>
      <w:r w:rsidRPr="007B2D91" w:rsidR="007B2D91">
        <w:rPr>
          <w:szCs w:val="22"/>
        </w:rPr>
        <w:t xml:space="preserve"> the Zayo Licensees)</w:t>
      </w:r>
      <w:r w:rsidR="007B2D91">
        <w:rPr>
          <w:szCs w:val="22"/>
        </w:rPr>
        <w:t xml:space="preserve"> </w:t>
      </w:r>
      <w:r w:rsidRPr="007B2D91" w:rsidR="007B2D91">
        <w:rPr>
          <w:szCs w:val="22"/>
        </w:rPr>
        <w:t>(collectively</w:t>
      </w:r>
      <w:r w:rsidR="007B2D91">
        <w:rPr>
          <w:szCs w:val="22"/>
        </w:rPr>
        <w:t xml:space="preserve"> </w:t>
      </w:r>
      <w:r w:rsidRPr="007B2D91" w:rsidR="007B2D91">
        <w:rPr>
          <w:szCs w:val="22"/>
        </w:rPr>
        <w:t>the Zayo/Crown Licensees and the Zayo Licensees, the Licensees</w:t>
      </w:r>
      <w:r w:rsidR="003516FF">
        <w:rPr>
          <w:szCs w:val="22"/>
        </w:rPr>
        <w:t>,</w:t>
      </w:r>
      <w:r w:rsidRPr="007B2D91" w:rsidR="007B2D91">
        <w:rPr>
          <w:szCs w:val="22"/>
        </w:rPr>
        <w:t xml:space="preserve"> and</w:t>
      </w:r>
      <w:r w:rsidR="0011768C">
        <w:rPr>
          <w:szCs w:val="22"/>
        </w:rPr>
        <w:t>,</w:t>
      </w:r>
      <w:r w:rsidRPr="007B2D91" w:rsidR="007B2D91">
        <w:rPr>
          <w:szCs w:val="22"/>
        </w:rPr>
        <w:t xml:space="preserve"> together with</w:t>
      </w:r>
      <w:r w:rsidR="007B2D91">
        <w:rPr>
          <w:szCs w:val="22"/>
        </w:rPr>
        <w:t xml:space="preserve"> </w:t>
      </w:r>
      <w:r w:rsidRPr="007B2D91" w:rsidR="007B2D91">
        <w:rPr>
          <w:szCs w:val="22"/>
        </w:rPr>
        <w:t xml:space="preserve">Front Range Intermediate, Inc., </w:t>
      </w:r>
      <w:r w:rsidR="003C09DB">
        <w:rPr>
          <w:szCs w:val="22"/>
        </w:rPr>
        <w:t>(</w:t>
      </w:r>
      <w:r w:rsidRPr="007B2D91" w:rsidR="007B2D91">
        <w:rPr>
          <w:szCs w:val="22"/>
        </w:rPr>
        <w:t>Zayo</w:t>
      </w:r>
      <w:r w:rsidR="003C09DB">
        <w:rPr>
          <w:szCs w:val="22"/>
        </w:rPr>
        <w:t xml:space="preserve"> Parent</w:t>
      </w:r>
      <w:r w:rsidRPr="007B2D91" w:rsidR="007B2D91">
        <w:rPr>
          <w:szCs w:val="22"/>
        </w:rPr>
        <w:t>)</w:t>
      </w:r>
      <w:r w:rsidR="007B2D91">
        <w:rPr>
          <w:szCs w:val="22"/>
        </w:rPr>
        <w:t xml:space="preserve"> </w:t>
      </w:r>
      <w:r w:rsidRPr="001E7F56" w:rsidR="001E7F56">
        <w:rPr>
          <w:szCs w:val="22"/>
        </w:rPr>
        <w:t>and Duncan Holdco LLC (Duncan</w:t>
      </w:r>
      <w:r w:rsidR="001E7F56">
        <w:rPr>
          <w:szCs w:val="22"/>
        </w:rPr>
        <w:t>)</w:t>
      </w:r>
      <w:r w:rsidR="0003015C">
        <w:rPr>
          <w:szCs w:val="22"/>
        </w:rPr>
        <w:t>,</w:t>
      </w:r>
      <w:r w:rsidRPr="00FD7EE2">
        <w:rPr>
          <w:szCs w:val="22"/>
        </w:rPr>
        <w:t xml:space="preserve"> Applicants), pursuant to section 214(a) of the</w:t>
      </w:r>
      <w:r w:rsidR="00002E74">
        <w:rPr>
          <w:szCs w:val="22"/>
        </w:rPr>
        <w:t xml:space="preserve"> </w:t>
      </w:r>
      <w:r w:rsidRPr="00FD7EE2">
        <w:rPr>
          <w:szCs w:val="22"/>
        </w:rPr>
        <w:t>Communications Act of 1934, as amended, and sectio</w:t>
      </w:r>
      <w:r w:rsidRPr="002E63E2">
        <w:rPr>
          <w:szCs w:val="22"/>
        </w:rPr>
        <w:t>n</w:t>
      </w:r>
      <w:r w:rsidRPr="00FD7EE2">
        <w:rPr>
          <w:szCs w:val="22"/>
        </w:rPr>
        <w:t xml:space="preserve"> 63.04 of the Commission’s rules</w:t>
      </w:r>
      <w:r w:rsidR="007629E8">
        <w:rPr>
          <w:szCs w:val="22"/>
        </w:rPr>
        <w:t>.</w:t>
      </w:r>
      <w:r>
        <w:rPr>
          <w:rStyle w:val="FootnoteReference"/>
          <w:szCs w:val="22"/>
        </w:rPr>
        <w:footnoteReference w:id="4"/>
      </w:r>
      <w:r w:rsidRPr="00FD7EE2">
        <w:rPr>
          <w:szCs w:val="22"/>
        </w:rPr>
        <w:t xml:space="preserve"> </w:t>
      </w:r>
      <w:bookmarkEnd w:id="2"/>
      <w:bookmarkEnd w:id="3"/>
      <w:r w:rsidR="007629E8">
        <w:rPr>
          <w:szCs w:val="22"/>
        </w:rPr>
        <w:t xml:space="preserve">The Application </w:t>
      </w:r>
      <w:r w:rsidRPr="00FD7EE2">
        <w:rPr>
          <w:szCs w:val="22"/>
        </w:rPr>
        <w:t>request</w:t>
      </w:r>
      <w:r w:rsidR="007629E8">
        <w:rPr>
          <w:szCs w:val="22"/>
        </w:rPr>
        <w:t>s</w:t>
      </w:r>
      <w:r w:rsidRPr="00FD7EE2">
        <w:rPr>
          <w:szCs w:val="22"/>
        </w:rPr>
        <w:t xml:space="preserve"> Commission </w:t>
      </w:r>
      <w:r w:rsidRPr="001E6249" w:rsidR="001E6249">
        <w:rPr>
          <w:szCs w:val="22"/>
        </w:rPr>
        <w:t>consent to transfer control of Licensees</w:t>
      </w:r>
      <w:r w:rsidR="00EF6207">
        <w:rPr>
          <w:szCs w:val="22"/>
        </w:rPr>
        <w:t xml:space="preserve">, which </w:t>
      </w:r>
      <w:r w:rsidR="00362E82">
        <w:rPr>
          <w:szCs w:val="22"/>
        </w:rPr>
        <w:t xml:space="preserve">are </w:t>
      </w:r>
      <w:r w:rsidR="005F2107">
        <w:rPr>
          <w:szCs w:val="22"/>
        </w:rPr>
        <w:t xml:space="preserve">currently jointly </w:t>
      </w:r>
      <w:r w:rsidR="00362E82">
        <w:rPr>
          <w:szCs w:val="22"/>
        </w:rPr>
        <w:t xml:space="preserve">owned by investment funds affiliated with (1) </w:t>
      </w:r>
      <w:r w:rsidR="00362E82">
        <w:rPr>
          <w:szCs w:val="22"/>
        </w:rPr>
        <w:t>DigitalBridge</w:t>
      </w:r>
      <w:r w:rsidRPr="00316F58" w:rsidR="00316F58">
        <w:rPr>
          <w:szCs w:val="22"/>
        </w:rPr>
        <w:t xml:space="preserve"> </w:t>
      </w:r>
      <w:r w:rsidR="00316F58">
        <w:rPr>
          <w:szCs w:val="22"/>
        </w:rPr>
        <w:t>(4</w:t>
      </w:r>
      <w:r w:rsidR="004040AD">
        <w:rPr>
          <w:szCs w:val="22"/>
        </w:rPr>
        <w:t>5</w:t>
      </w:r>
      <w:r w:rsidR="00316F58">
        <w:rPr>
          <w:szCs w:val="22"/>
        </w:rPr>
        <w:t>.</w:t>
      </w:r>
      <w:r w:rsidR="004040AD">
        <w:rPr>
          <w:szCs w:val="22"/>
        </w:rPr>
        <w:t>2</w:t>
      </w:r>
      <w:r w:rsidR="00316F58">
        <w:rPr>
          <w:szCs w:val="22"/>
        </w:rPr>
        <w:t xml:space="preserve"> percent equity interest in Zayo)</w:t>
      </w:r>
      <w:r w:rsidR="00362E82">
        <w:rPr>
          <w:szCs w:val="22"/>
        </w:rPr>
        <w:t>, a publicly traded Maryland corporation, and (2) EQT AB (EQT)</w:t>
      </w:r>
      <w:r w:rsidR="00280D63">
        <w:rPr>
          <w:szCs w:val="22"/>
        </w:rPr>
        <w:t xml:space="preserve"> (4</w:t>
      </w:r>
      <w:r w:rsidR="004040AD">
        <w:rPr>
          <w:szCs w:val="22"/>
        </w:rPr>
        <w:t>5</w:t>
      </w:r>
      <w:r w:rsidR="00280D63">
        <w:rPr>
          <w:szCs w:val="22"/>
        </w:rPr>
        <w:t>.</w:t>
      </w:r>
      <w:r w:rsidR="004040AD">
        <w:rPr>
          <w:szCs w:val="22"/>
        </w:rPr>
        <w:t>2</w:t>
      </w:r>
      <w:r w:rsidR="00280D63">
        <w:rPr>
          <w:szCs w:val="22"/>
        </w:rPr>
        <w:t xml:space="preserve"> percent equity interest in Zayo)</w:t>
      </w:r>
      <w:r w:rsidR="00362E82">
        <w:rPr>
          <w:szCs w:val="22"/>
        </w:rPr>
        <w:t>, a Swedish alternative investment organization</w:t>
      </w:r>
      <w:r w:rsidR="004B3CA2">
        <w:rPr>
          <w:szCs w:val="22"/>
        </w:rPr>
        <w:t>,</w:t>
      </w:r>
      <w:r>
        <w:rPr>
          <w:rStyle w:val="FootnoteReference"/>
          <w:szCs w:val="22"/>
        </w:rPr>
        <w:footnoteReference w:id="5"/>
      </w:r>
      <w:r w:rsidR="00566D27">
        <w:rPr>
          <w:szCs w:val="22"/>
        </w:rPr>
        <w:t xml:space="preserve"> from </w:t>
      </w:r>
      <w:r w:rsidRPr="001D3DFF" w:rsidR="001D3DFF">
        <w:rPr>
          <w:szCs w:val="22"/>
        </w:rPr>
        <w:t>DigitalBridge</w:t>
      </w:r>
      <w:r w:rsidR="00B64683">
        <w:rPr>
          <w:szCs w:val="22"/>
        </w:rPr>
        <w:t xml:space="preserve"> </w:t>
      </w:r>
      <w:r w:rsidRPr="001E6249" w:rsidR="001E6249">
        <w:rPr>
          <w:szCs w:val="22"/>
        </w:rPr>
        <w:t xml:space="preserve">to </w:t>
      </w:r>
      <w:r w:rsidRPr="001D3DFF" w:rsidR="001D3DFF">
        <w:rPr>
          <w:szCs w:val="22"/>
        </w:rPr>
        <w:t>Duncan</w:t>
      </w:r>
      <w:r w:rsidR="001D3DFF">
        <w:rPr>
          <w:szCs w:val="22"/>
        </w:rPr>
        <w:t xml:space="preserve"> a</w:t>
      </w:r>
      <w:r w:rsidRPr="001D3DFF" w:rsidR="001D3DFF">
        <w:rPr>
          <w:szCs w:val="22"/>
        </w:rPr>
        <w:t>nd its indirect</w:t>
      </w:r>
      <w:r w:rsidR="001D3DFF">
        <w:rPr>
          <w:szCs w:val="22"/>
        </w:rPr>
        <w:t xml:space="preserve"> </w:t>
      </w:r>
      <w:r w:rsidRPr="001D3DFF" w:rsidR="001D3DFF">
        <w:rPr>
          <w:szCs w:val="22"/>
        </w:rPr>
        <w:t>parent company</w:t>
      </w:r>
      <w:r w:rsidR="000530FC">
        <w:rPr>
          <w:szCs w:val="22"/>
        </w:rPr>
        <w:t>,</w:t>
      </w:r>
      <w:r w:rsidRPr="001D3DFF" w:rsidR="001D3DFF">
        <w:rPr>
          <w:szCs w:val="22"/>
        </w:rPr>
        <w:t xml:space="preserve"> SoftBank Group Corp. (SoftBank)</w:t>
      </w:r>
      <w:r w:rsidR="00AE688D">
        <w:rPr>
          <w:szCs w:val="22"/>
        </w:rPr>
        <w:t xml:space="preserve">, </w:t>
      </w:r>
      <w:r w:rsidR="00161F10">
        <w:rPr>
          <w:szCs w:val="22"/>
        </w:rPr>
        <w:t xml:space="preserve">a publicly traded Japanese corporation, </w:t>
      </w:r>
      <w:r w:rsidR="00AE688D">
        <w:rPr>
          <w:szCs w:val="22"/>
        </w:rPr>
        <w:t xml:space="preserve">as </w:t>
      </w:r>
      <w:r w:rsidR="006E5244">
        <w:rPr>
          <w:szCs w:val="22"/>
        </w:rPr>
        <w:t xml:space="preserve">a </w:t>
      </w:r>
      <w:r w:rsidR="00AE688D">
        <w:rPr>
          <w:szCs w:val="22"/>
        </w:rPr>
        <w:t xml:space="preserve">result of </w:t>
      </w:r>
      <w:r w:rsidR="002248E7">
        <w:rPr>
          <w:szCs w:val="22"/>
        </w:rPr>
        <w:t xml:space="preserve">Duncan </w:t>
      </w:r>
      <w:r w:rsidR="002D6029">
        <w:rPr>
          <w:szCs w:val="22"/>
        </w:rPr>
        <w:t xml:space="preserve">acquiring control of </w:t>
      </w:r>
      <w:r w:rsidR="002D6029">
        <w:rPr>
          <w:szCs w:val="22"/>
        </w:rPr>
        <w:t>DigitalBridge</w:t>
      </w:r>
      <w:r w:rsidR="002D6029">
        <w:rPr>
          <w:szCs w:val="22"/>
        </w:rPr>
        <w:t>, and t</w:t>
      </w:r>
      <w:r w:rsidR="00E4461A">
        <w:rPr>
          <w:szCs w:val="22"/>
        </w:rPr>
        <w:t>hereby</w:t>
      </w:r>
      <w:r w:rsidR="002D6029">
        <w:rPr>
          <w:szCs w:val="22"/>
        </w:rPr>
        <w:t xml:space="preserve"> </w:t>
      </w:r>
      <w:r w:rsidR="003D0C0C">
        <w:rPr>
          <w:szCs w:val="22"/>
        </w:rPr>
        <w:t xml:space="preserve">acquiring </w:t>
      </w:r>
      <w:r w:rsidR="002D6029">
        <w:rPr>
          <w:szCs w:val="22"/>
        </w:rPr>
        <w:t>DigitalBridge’s</w:t>
      </w:r>
      <w:r w:rsidR="002D6029">
        <w:rPr>
          <w:szCs w:val="22"/>
        </w:rPr>
        <w:t xml:space="preserve"> </w:t>
      </w:r>
      <w:r w:rsidR="00FE3613">
        <w:rPr>
          <w:szCs w:val="22"/>
        </w:rPr>
        <w:t xml:space="preserve">joint </w:t>
      </w:r>
      <w:r w:rsidR="002D6029">
        <w:rPr>
          <w:szCs w:val="22"/>
        </w:rPr>
        <w:t xml:space="preserve">interest in the </w:t>
      </w:r>
      <w:r w:rsidR="002D6029">
        <w:rPr>
          <w:szCs w:val="22"/>
        </w:rPr>
        <w:t>Licensees</w:t>
      </w:r>
      <w:r w:rsidR="001D3DFF">
        <w:rPr>
          <w:szCs w:val="22"/>
        </w:rPr>
        <w:t>.</w:t>
      </w:r>
      <w:r>
        <w:rPr>
          <w:rStyle w:val="FootnoteReference"/>
          <w:szCs w:val="22"/>
        </w:rPr>
        <w:footnoteReference w:id="6"/>
      </w:r>
    </w:p>
    <w:p w:rsidR="00693585" w:rsidRPr="00CA2C2A" w:rsidP="00CB4EED" w14:paraId="631E4672" w14:textId="29AD5485">
      <w:pPr>
        <w:autoSpaceDE w:val="0"/>
        <w:autoSpaceDN w:val="0"/>
        <w:adjustRightInd w:val="0"/>
        <w:spacing w:after="120"/>
        <w:ind w:firstLine="720"/>
        <w:rPr>
          <w:color w:val="EE0000"/>
          <w:szCs w:val="22"/>
        </w:rPr>
      </w:pPr>
      <w:r w:rsidRPr="00A2233A">
        <w:rPr>
          <w:szCs w:val="22"/>
        </w:rPr>
        <w:t xml:space="preserve">The </w:t>
      </w:r>
      <w:r w:rsidR="00305F57">
        <w:rPr>
          <w:szCs w:val="22"/>
        </w:rPr>
        <w:t xml:space="preserve">Zayo </w:t>
      </w:r>
      <w:r w:rsidRPr="00A2233A">
        <w:rPr>
          <w:szCs w:val="22"/>
        </w:rPr>
        <w:t>Licensees</w:t>
      </w:r>
      <w:r w:rsidR="00287732">
        <w:rPr>
          <w:szCs w:val="22"/>
        </w:rPr>
        <w:t xml:space="preserve">, </w:t>
      </w:r>
      <w:r w:rsidR="00D2040A">
        <w:rPr>
          <w:szCs w:val="22"/>
        </w:rPr>
        <w:t>in the aggregate,</w:t>
      </w:r>
      <w:r w:rsidRPr="00A2233A">
        <w:rPr>
          <w:szCs w:val="22"/>
        </w:rPr>
        <w:t xml:space="preserve"> provide </w:t>
      </w:r>
      <w:r w:rsidR="005922EF">
        <w:rPr>
          <w:szCs w:val="22"/>
        </w:rPr>
        <w:t>competitive local exchange, competitive access, and/or interexchange services</w:t>
      </w:r>
      <w:r w:rsidR="00F45433">
        <w:rPr>
          <w:szCs w:val="22"/>
        </w:rPr>
        <w:t>, and are authorized to provide fiber</w:t>
      </w:r>
      <w:r w:rsidR="00FC0DDB">
        <w:rPr>
          <w:szCs w:val="22"/>
        </w:rPr>
        <w:t xml:space="preserve">-based services, </w:t>
      </w:r>
      <w:r w:rsidR="005922EF">
        <w:rPr>
          <w:szCs w:val="22"/>
        </w:rPr>
        <w:t>in the District of Columbia and every state in the U.S. except Alaska.</w:t>
      </w:r>
      <w:r>
        <w:rPr>
          <w:rStyle w:val="FootnoteReference"/>
          <w:szCs w:val="22"/>
        </w:rPr>
        <w:footnoteReference w:id="7"/>
      </w:r>
      <w:r w:rsidR="00754AD1">
        <w:rPr>
          <w:szCs w:val="22"/>
        </w:rPr>
        <w:t xml:space="preserve">  </w:t>
      </w:r>
      <w:r w:rsidR="00FC58FD">
        <w:rPr>
          <w:szCs w:val="22"/>
        </w:rPr>
        <w:t xml:space="preserve">The </w:t>
      </w:r>
      <w:r w:rsidRPr="007B2D91" w:rsidR="00FC58FD">
        <w:rPr>
          <w:szCs w:val="22"/>
        </w:rPr>
        <w:t>Zayo/Crown Licensees</w:t>
      </w:r>
      <w:r w:rsidR="006B59F5">
        <w:rPr>
          <w:szCs w:val="22"/>
        </w:rPr>
        <w:t>,</w:t>
      </w:r>
      <w:r w:rsidR="00AC46A3">
        <w:rPr>
          <w:szCs w:val="22"/>
        </w:rPr>
        <w:t xml:space="preserve"> </w:t>
      </w:r>
      <w:r w:rsidR="00177082">
        <w:rPr>
          <w:szCs w:val="22"/>
        </w:rPr>
        <w:t xml:space="preserve">together, are </w:t>
      </w:r>
      <w:r w:rsidRPr="00A2233A">
        <w:rPr>
          <w:szCs w:val="22"/>
        </w:rPr>
        <w:t>authorized to provide competitive local exchange, competitive</w:t>
      </w:r>
      <w:r>
        <w:rPr>
          <w:szCs w:val="22"/>
        </w:rPr>
        <w:t xml:space="preserve"> </w:t>
      </w:r>
      <w:r w:rsidRPr="00A2233A">
        <w:rPr>
          <w:szCs w:val="22"/>
        </w:rPr>
        <w:t>access, and/or interexchange services in the District of Columbia and every U.S. state</w:t>
      </w:r>
      <w:r>
        <w:rPr>
          <w:szCs w:val="22"/>
        </w:rPr>
        <w:t xml:space="preserve"> </w:t>
      </w:r>
      <w:r w:rsidRPr="00A2233A">
        <w:rPr>
          <w:szCs w:val="22"/>
        </w:rPr>
        <w:t>except Alaska</w:t>
      </w:r>
      <w:r w:rsidR="00F05956">
        <w:rPr>
          <w:szCs w:val="22"/>
        </w:rPr>
        <w:t xml:space="preserve"> and</w:t>
      </w:r>
      <w:r w:rsidRPr="00A2233A">
        <w:rPr>
          <w:szCs w:val="22"/>
        </w:rPr>
        <w:t xml:space="preserve"> Arizona.</w:t>
      </w:r>
      <w:r>
        <w:rPr>
          <w:rStyle w:val="FootnoteReference"/>
          <w:szCs w:val="22"/>
        </w:rPr>
        <w:footnoteReference w:id="8"/>
      </w:r>
      <w:r w:rsidRPr="00A2233A">
        <w:rPr>
          <w:szCs w:val="22"/>
        </w:rPr>
        <w:t xml:space="preserve"> </w:t>
      </w:r>
      <w:r w:rsidR="00D864E3">
        <w:rPr>
          <w:szCs w:val="22"/>
        </w:rPr>
        <w:t xml:space="preserve"> </w:t>
      </w:r>
      <w:r w:rsidR="00D635BE">
        <w:rPr>
          <w:szCs w:val="22"/>
        </w:rPr>
        <w:t xml:space="preserve">The </w:t>
      </w:r>
      <w:r w:rsidRPr="00D635BE" w:rsidR="00CA2C2A">
        <w:rPr>
          <w:szCs w:val="22"/>
        </w:rPr>
        <w:t>Licensees</w:t>
      </w:r>
      <w:r w:rsidR="009D25B6">
        <w:rPr>
          <w:szCs w:val="22"/>
        </w:rPr>
        <w:t xml:space="preserve"> </w:t>
      </w:r>
      <w:r w:rsidR="002647E3">
        <w:rPr>
          <w:szCs w:val="22"/>
        </w:rPr>
        <w:t xml:space="preserve">are subsidiaries of Zayo Parent </w:t>
      </w:r>
      <w:r w:rsidR="009D25B6">
        <w:rPr>
          <w:szCs w:val="22"/>
        </w:rPr>
        <w:t xml:space="preserve">(together with </w:t>
      </w:r>
      <w:r w:rsidR="002647E3">
        <w:rPr>
          <w:szCs w:val="22"/>
        </w:rPr>
        <w:t>Licensees</w:t>
      </w:r>
      <w:r w:rsidR="008629C0">
        <w:rPr>
          <w:szCs w:val="22"/>
        </w:rPr>
        <w:t>, Zayo)</w:t>
      </w:r>
      <w:r w:rsidR="00FF55E6">
        <w:rPr>
          <w:szCs w:val="22"/>
        </w:rPr>
        <w:t xml:space="preserve">, a Delaware corporation that </w:t>
      </w:r>
      <w:r w:rsidR="009D0A27">
        <w:rPr>
          <w:szCs w:val="22"/>
        </w:rPr>
        <w:t xml:space="preserve">was created to aggregate the ownership of various investment vehicles managed by </w:t>
      </w:r>
      <w:r w:rsidR="00F93349">
        <w:rPr>
          <w:szCs w:val="22"/>
        </w:rPr>
        <w:t xml:space="preserve">affiliates of EQT and affiliates of </w:t>
      </w:r>
      <w:r w:rsidR="00F93349">
        <w:rPr>
          <w:szCs w:val="22"/>
        </w:rPr>
        <w:t>DigitalBridge</w:t>
      </w:r>
      <w:r w:rsidR="00F93349">
        <w:rPr>
          <w:szCs w:val="22"/>
        </w:rPr>
        <w:t>.</w:t>
      </w:r>
      <w:r>
        <w:rPr>
          <w:rStyle w:val="FootnoteReference"/>
          <w:szCs w:val="22"/>
        </w:rPr>
        <w:footnoteReference w:id="9"/>
      </w:r>
      <w:r w:rsidR="00F93349">
        <w:rPr>
          <w:szCs w:val="22"/>
        </w:rPr>
        <w:t xml:space="preserve">  </w:t>
      </w:r>
    </w:p>
    <w:p w:rsidR="00A2233A" w:rsidP="00C20F73" w14:paraId="64329584" w14:textId="11267B6E">
      <w:pPr>
        <w:autoSpaceDE w:val="0"/>
        <w:autoSpaceDN w:val="0"/>
        <w:adjustRightInd w:val="0"/>
        <w:spacing w:after="120"/>
        <w:ind w:firstLine="720"/>
        <w:rPr>
          <w:szCs w:val="22"/>
        </w:rPr>
      </w:pPr>
      <w:r w:rsidRPr="008A1884">
        <w:rPr>
          <w:szCs w:val="22"/>
        </w:rPr>
        <w:t>Duncan, a Delaware limited liability company and an indirect wholly-owned subsidiary of SoftBank, is a vehicle established for SoftBank investments in the United States.</w:t>
      </w:r>
      <w:r>
        <w:rPr>
          <w:rStyle w:val="FootnoteReference"/>
          <w:szCs w:val="22"/>
        </w:rPr>
        <w:footnoteReference w:id="10"/>
      </w:r>
      <w:r w:rsidRPr="008A1884">
        <w:rPr>
          <w:szCs w:val="22"/>
        </w:rPr>
        <w:t xml:space="preserve">  Duncan’s investment in </w:t>
      </w:r>
      <w:r w:rsidRPr="008A1884">
        <w:rPr>
          <w:szCs w:val="22"/>
        </w:rPr>
        <w:t>DigitalBridge</w:t>
      </w:r>
      <w:r w:rsidRPr="008A1884">
        <w:rPr>
          <w:szCs w:val="22"/>
        </w:rPr>
        <w:t xml:space="preserve"> will be held indirectly through intermediate entities</w:t>
      </w:r>
      <w:r>
        <w:rPr>
          <w:szCs w:val="22"/>
        </w:rPr>
        <w:t xml:space="preserve"> </w:t>
      </w:r>
      <w:r w:rsidRPr="008A1884">
        <w:rPr>
          <w:szCs w:val="22"/>
        </w:rPr>
        <w:t>established for SoftBank investments in the United States that have no independent operations of their own.</w:t>
      </w:r>
      <w:r>
        <w:rPr>
          <w:rStyle w:val="FootnoteReference"/>
          <w:szCs w:val="22"/>
        </w:rPr>
        <w:footnoteReference w:id="11"/>
      </w:r>
      <w:r w:rsidRPr="008A1884">
        <w:rPr>
          <w:szCs w:val="22"/>
        </w:rPr>
        <w:t xml:space="preserve">  </w:t>
      </w:r>
      <w:r w:rsidR="00BE4013">
        <w:rPr>
          <w:szCs w:val="22"/>
        </w:rPr>
        <w:t>Applicants state that</w:t>
      </w:r>
      <w:r w:rsidR="00731122">
        <w:rPr>
          <w:szCs w:val="22"/>
        </w:rPr>
        <w:t xml:space="preserve"> </w:t>
      </w:r>
      <w:r w:rsidR="00BE4013">
        <w:rPr>
          <w:szCs w:val="22"/>
        </w:rPr>
        <w:t xml:space="preserve">SoftBank (and thus Duncan) </w:t>
      </w:r>
      <w:r w:rsidR="00731122">
        <w:rPr>
          <w:szCs w:val="22"/>
        </w:rPr>
        <w:t>do</w:t>
      </w:r>
      <w:r w:rsidR="007629E8">
        <w:rPr>
          <w:szCs w:val="22"/>
        </w:rPr>
        <w:t>es</w:t>
      </w:r>
      <w:r w:rsidR="00731122">
        <w:rPr>
          <w:szCs w:val="22"/>
        </w:rPr>
        <w:t xml:space="preserve"> not provide domestic telecommunications services and are</w:t>
      </w:r>
      <w:r w:rsidR="00BE4013">
        <w:rPr>
          <w:szCs w:val="22"/>
        </w:rPr>
        <w:t xml:space="preserve"> not aware of any corporate affiliates that provide domestic </w:t>
      </w:r>
      <w:r w:rsidR="00C01541">
        <w:rPr>
          <w:szCs w:val="22"/>
        </w:rPr>
        <w:t xml:space="preserve">interstate </w:t>
      </w:r>
      <w:r w:rsidR="00BE4013">
        <w:rPr>
          <w:szCs w:val="22"/>
        </w:rPr>
        <w:t>telecommunications service.</w:t>
      </w:r>
      <w:r>
        <w:rPr>
          <w:rStyle w:val="FootnoteReference"/>
          <w:szCs w:val="22"/>
        </w:rPr>
        <w:footnoteReference w:id="12"/>
      </w:r>
      <w:r w:rsidR="00BE4013">
        <w:rPr>
          <w:szCs w:val="22"/>
        </w:rPr>
        <w:t xml:space="preserve">  </w:t>
      </w:r>
      <w:r w:rsidRPr="00B907EA" w:rsidR="002947A4">
        <w:rPr>
          <w:szCs w:val="22"/>
        </w:rPr>
        <w:t>Applicants state that</w:t>
      </w:r>
      <w:r w:rsidRPr="00B907EA" w:rsidR="0090071C">
        <w:rPr>
          <w:szCs w:val="22"/>
        </w:rPr>
        <w:t>, post-</w:t>
      </w:r>
      <w:r w:rsidRPr="00B907EA" w:rsidR="00BC1E78">
        <w:rPr>
          <w:szCs w:val="22"/>
        </w:rPr>
        <w:t>transaction</w:t>
      </w:r>
      <w:r w:rsidRPr="00B907EA" w:rsidR="0090071C">
        <w:rPr>
          <w:szCs w:val="22"/>
        </w:rPr>
        <w:t>,</w:t>
      </w:r>
      <w:r w:rsidRPr="00B907EA" w:rsidR="002947A4">
        <w:rPr>
          <w:szCs w:val="22"/>
        </w:rPr>
        <w:t xml:space="preserve"> Masayoshi Son (</w:t>
      </w:r>
      <w:r w:rsidRPr="00B907EA" w:rsidR="005B6918">
        <w:rPr>
          <w:szCs w:val="22"/>
        </w:rPr>
        <w:t>13.48</w:t>
      </w:r>
      <w:r w:rsidRPr="00B907EA" w:rsidR="003A08AC">
        <w:rPr>
          <w:szCs w:val="22"/>
        </w:rPr>
        <w:t xml:space="preserve"> </w:t>
      </w:r>
      <w:r w:rsidRPr="00B907EA" w:rsidR="002947A4">
        <w:rPr>
          <w:szCs w:val="22"/>
        </w:rPr>
        <w:t>% attributable voting interest, 0% equity interest)</w:t>
      </w:r>
      <w:r w:rsidRPr="00B907EA" w:rsidR="00C407E1">
        <w:rPr>
          <w:szCs w:val="22"/>
        </w:rPr>
        <w:t xml:space="preserve">, a </w:t>
      </w:r>
      <w:r w:rsidRPr="00B907EA">
        <w:rPr>
          <w:szCs w:val="22"/>
        </w:rPr>
        <w:t>citizen of Japan</w:t>
      </w:r>
      <w:r w:rsidRPr="00B907EA" w:rsidR="00C407E1">
        <w:rPr>
          <w:szCs w:val="22"/>
        </w:rPr>
        <w:t xml:space="preserve">, is the only </w:t>
      </w:r>
      <w:r w:rsidRPr="00B907EA" w:rsidR="00623E13">
        <w:rPr>
          <w:szCs w:val="22"/>
        </w:rPr>
        <w:t xml:space="preserve">individual </w:t>
      </w:r>
      <w:r w:rsidRPr="00B907EA" w:rsidR="00F448E9">
        <w:rPr>
          <w:szCs w:val="22"/>
        </w:rPr>
        <w:t>hold</w:t>
      </w:r>
      <w:r w:rsidRPr="00B907EA" w:rsidR="00E9341E">
        <w:rPr>
          <w:szCs w:val="22"/>
        </w:rPr>
        <w:t>ing</w:t>
      </w:r>
      <w:r w:rsidRPr="00B907EA" w:rsidR="00F448E9">
        <w:rPr>
          <w:szCs w:val="22"/>
        </w:rPr>
        <w:t xml:space="preserve"> an ownership interest in SoftBank</w:t>
      </w:r>
      <w:r w:rsidRPr="00B907EA" w:rsidR="0090071C">
        <w:rPr>
          <w:szCs w:val="22"/>
        </w:rPr>
        <w:t xml:space="preserve"> that will</w:t>
      </w:r>
      <w:r w:rsidRPr="00B907EA">
        <w:rPr>
          <w:szCs w:val="22"/>
        </w:rPr>
        <w:t xml:space="preserve"> hold a ten percent or greater interest in </w:t>
      </w:r>
      <w:r w:rsidRPr="00B907EA" w:rsidR="0090071C">
        <w:rPr>
          <w:szCs w:val="22"/>
        </w:rPr>
        <w:t>Zayo</w:t>
      </w:r>
      <w:r w:rsidRPr="00B907EA">
        <w:rPr>
          <w:szCs w:val="22"/>
        </w:rPr>
        <w:t>.</w:t>
      </w:r>
      <w:r>
        <w:rPr>
          <w:rStyle w:val="FootnoteReference"/>
          <w:szCs w:val="22"/>
        </w:rPr>
        <w:footnoteReference w:id="13"/>
      </w:r>
      <w:r>
        <w:rPr>
          <w:szCs w:val="22"/>
        </w:rPr>
        <w:t xml:space="preserve"> </w:t>
      </w:r>
    </w:p>
    <w:p w:rsidR="00C416C3" w:rsidP="005B1AE3" w14:paraId="0039DE6B" w14:textId="11AE1ABB">
      <w:pPr>
        <w:autoSpaceDE w:val="0"/>
        <w:autoSpaceDN w:val="0"/>
        <w:adjustRightInd w:val="0"/>
        <w:spacing w:after="120"/>
        <w:ind w:firstLine="720"/>
      </w:pPr>
      <w:bookmarkStart w:id="4" w:name="TOChere"/>
      <w:r>
        <w:t xml:space="preserve">Pursuant to </w:t>
      </w:r>
      <w:r w:rsidR="002F4BBA">
        <w:t xml:space="preserve">the terms of </w:t>
      </w:r>
      <w:r w:rsidR="00F305F3">
        <w:t>the</w:t>
      </w:r>
      <w:r w:rsidR="00B62C35">
        <w:t xml:space="preserve"> </w:t>
      </w:r>
      <w:r w:rsidR="002D0821">
        <w:t>proposed transaction,</w:t>
      </w:r>
      <w:r w:rsidR="00EE248D">
        <w:t xml:space="preserve"> </w:t>
      </w:r>
      <w:r w:rsidR="00F24605">
        <w:t xml:space="preserve">Applicants state that </w:t>
      </w:r>
      <w:r w:rsidR="005B1AE3">
        <w:t>DigitalBridge</w:t>
      </w:r>
      <w:r w:rsidR="005B1AE3">
        <w:t xml:space="preserve">, its operating subsidiary </w:t>
      </w:r>
      <w:r w:rsidR="005B1AE3">
        <w:t>DigitalBridge</w:t>
      </w:r>
      <w:r w:rsidR="005B1AE3">
        <w:t xml:space="preserve"> Operating Company, LLC (DBOC), Duncan, Duncan Sub I Inc. (Merger Sub I), and Duncan Sub II LLC (Merger Sub II) entered into an Agreement and Plan of Merger</w:t>
      </w:r>
      <w:r w:rsidR="003C4365">
        <w:t>,</w:t>
      </w:r>
      <w:r w:rsidR="005B1AE3">
        <w:t xml:space="preserve"> pursuant to which Duncan will indirectly acquire a controlling interest in </w:t>
      </w:r>
      <w:r w:rsidR="005B1AE3">
        <w:t>DigitalBridge</w:t>
      </w:r>
      <w:r w:rsidR="005B1AE3">
        <w:t xml:space="preserve"> and DBOC, through </w:t>
      </w:r>
      <w:r w:rsidR="00A572EC">
        <w:t>“</w:t>
      </w:r>
      <w:r w:rsidR="005B1AE3">
        <w:t>two coordinated reverse subsidiary mergers</w:t>
      </w:r>
      <w:r w:rsidR="003C4365">
        <w:t>,</w:t>
      </w:r>
      <w:r w:rsidR="00A572EC">
        <w:t>”</w:t>
      </w:r>
      <w:r w:rsidR="005B1AE3">
        <w:t xml:space="preserve"> with each target entity surviving the applicable merger.</w:t>
      </w:r>
      <w:r>
        <w:rPr>
          <w:rStyle w:val="FootnoteReference"/>
        </w:rPr>
        <w:footnoteReference w:id="14"/>
      </w:r>
      <w:r w:rsidR="005B1AE3">
        <w:t xml:space="preserve"> </w:t>
      </w:r>
      <w:r w:rsidR="00985303">
        <w:t xml:space="preserve"> </w:t>
      </w:r>
      <w:r w:rsidR="005B1AE3">
        <w:t>At closing, Merger Sub I</w:t>
      </w:r>
      <w:r w:rsidR="007629E8">
        <w:t>,</w:t>
      </w:r>
      <w:r w:rsidR="005B1AE3">
        <w:t xml:space="preserve"> an indirect subsidiary of Duncan, will merge with and into </w:t>
      </w:r>
      <w:r w:rsidR="005B1AE3">
        <w:t>DigitalBridge</w:t>
      </w:r>
      <w:r w:rsidR="005B1AE3">
        <w:t xml:space="preserve">, with </w:t>
      </w:r>
      <w:r w:rsidR="005B1AE3">
        <w:t>DigitalBridge</w:t>
      </w:r>
      <w:r w:rsidR="005B1AE3">
        <w:t xml:space="preserve"> surviving as a majority-owned, indirect subsidiary of Duncan.</w:t>
      </w:r>
      <w:r>
        <w:rPr>
          <w:rStyle w:val="FootnoteReference"/>
        </w:rPr>
        <w:footnoteReference w:id="15"/>
      </w:r>
      <w:r w:rsidR="00985303">
        <w:t xml:space="preserve"> </w:t>
      </w:r>
      <w:r w:rsidR="005B1AE3">
        <w:t xml:space="preserve"> Immediately following the first merger, Merger Sub II (a subsidiary of Merger Sub I), will merge with and into DBOC, with DBOC surviving as a direct subsidiary of </w:t>
      </w:r>
      <w:r w:rsidR="005B1AE3">
        <w:t>DigitalBridge</w:t>
      </w:r>
      <w:r w:rsidR="005B1AE3">
        <w:t>.</w:t>
      </w:r>
      <w:r>
        <w:rPr>
          <w:rStyle w:val="FootnoteReference"/>
        </w:rPr>
        <w:footnoteReference w:id="16"/>
      </w:r>
      <w:r w:rsidR="005B1AE3">
        <w:t xml:space="preserve"> </w:t>
      </w:r>
      <w:r w:rsidR="00985303">
        <w:t xml:space="preserve"> </w:t>
      </w:r>
      <w:r w:rsidR="005B1AE3">
        <w:t xml:space="preserve">As a result, each of </w:t>
      </w:r>
      <w:r w:rsidR="005B1AE3">
        <w:t>DigitalBridge</w:t>
      </w:r>
      <w:r w:rsidR="005B1AE3">
        <w:t xml:space="preserve"> and DBOC will become indirect subsidiaries of SoftBank</w:t>
      </w:r>
      <w:r w:rsidR="006B733E">
        <w:t>.</w:t>
      </w:r>
      <w:r>
        <w:rPr>
          <w:rStyle w:val="FootnoteReference"/>
        </w:rPr>
        <w:footnoteReference w:id="17"/>
      </w:r>
      <w:r>
        <w:t xml:space="preserve">  </w:t>
      </w:r>
      <w:r w:rsidR="00B7673E">
        <w:t xml:space="preserve">Applicants state that, post-transaction, </w:t>
      </w:r>
      <w:r w:rsidR="00395C8E">
        <w:t>“</w:t>
      </w:r>
      <w:r w:rsidR="00C37D96">
        <w:t>DigitalBridge</w:t>
      </w:r>
      <w:r w:rsidR="00C37D96">
        <w:t xml:space="preserve"> and EQT will each</w:t>
      </w:r>
      <w:r w:rsidR="00395C8E">
        <w:t xml:space="preserve"> continue to hold an approximate 45.2% interest indirectly in Zayo and will each continue to have negative control</w:t>
      </w:r>
      <w:r w:rsidR="009A71F4">
        <w:t xml:space="preserve"> of Zayo”</w:t>
      </w:r>
      <w:r w:rsidR="009B3D6D">
        <w:t xml:space="preserve"> and “will not result in any change to the board that oversees </w:t>
      </w:r>
      <w:r w:rsidR="00B86B35">
        <w:t>Zayo Parent.”</w:t>
      </w:r>
      <w:r>
        <w:rPr>
          <w:rStyle w:val="FootnoteReference"/>
        </w:rPr>
        <w:footnoteReference w:id="18"/>
      </w:r>
      <w:r w:rsidR="005A4B49">
        <w:t xml:space="preserve">  </w:t>
      </w:r>
    </w:p>
    <w:p w:rsidR="000E5B3D" w:rsidRPr="00D16F6B" w:rsidP="000E5B3D" w14:paraId="5BCAF26D" w14:textId="7721CD01">
      <w:pPr>
        <w:autoSpaceDE w:val="0"/>
        <w:autoSpaceDN w:val="0"/>
        <w:adjustRightInd w:val="0"/>
        <w:spacing w:after="120"/>
        <w:ind w:firstLine="720"/>
        <w:rPr>
          <w:szCs w:val="22"/>
        </w:rPr>
      </w:pPr>
      <w:r w:rsidRPr="00364AE4">
        <w:t>Applicants assert that grant of the Application would serve the public interest, convenience, and necessity.</w:t>
      </w:r>
      <w:r>
        <w:rPr>
          <w:rStyle w:val="FootnoteReference"/>
        </w:rPr>
        <w:footnoteReference w:id="19"/>
      </w:r>
      <w:r>
        <w:t xml:space="preserve">  </w:t>
      </w:r>
      <w:r w:rsidRPr="00177DAD">
        <w:t>We accept the Application for streamlined</w:t>
      </w:r>
      <w:r w:rsidRPr="003925A7">
        <w:t xml:space="preserve"> processing</w:t>
      </w:r>
      <w:r>
        <w:rPr>
          <w:bCs/>
        </w:rPr>
        <w:t xml:space="preserve"> </w:t>
      </w:r>
      <w:r w:rsidRPr="52D3F29C">
        <w:t>under section 63.03(</w:t>
      </w:r>
      <w:r w:rsidR="00AD707C">
        <w:t>b)</w:t>
      </w:r>
      <w:r w:rsidRPr="00800E93">
        <w:rPr>
          <w:bCs/>
        </w:rPr>
        <w:t>(</w:t>
      </w:r>
      <w:r w:rsidR="00810AED">
        <w:t>1</w:t>
      </w:r>
      <w:r w:rsidRPr="00800E93">
        <w:rPr>
          <w:bCs/>
        </w:rPr>
        <w:t>)</w:t>
      </w:r>
      <w:r w:rsidR="006D0ABB">
        <w:rPr>
          <w:bCs/>
        </w:rPr>
        <w:t>(ii)</w:t>
      </w:r>
      <w:r w:rsidRPr="00800E93">
        <w:rPr>
          <w:bCs/>
        </w:rPr>
        <w:t xml:space="preserve"> </w:t>
      </w:r>
      <w:r w:rsidRPr="52D3F29C">
        <w:t>of the Commission’s rules.</w:t>
      </w:r>
      <w:r>
        <w:rPr>
          <w:vertAlign w:val="superscript"/>
        </w:rPr>
        <w:footnoteReference w:id="20"/>
      </w:r>
    </w:p>
    <w:bookmarkEnd w:id="4"/>
    <w:p w:rsidR="00376B38" w:rsidRPr="00D95721" w:rsidP="00376B38" w14:paraId="37C2CCDE" w14:textId="41CB7520">
      <w:pPr>
        <w:autoSpaceDE w:val="0"/>
        <w:autoSpaceDN w:val="0"/>
        <w:adjustRightInd w:val="0"/>
        <w:spacing w:before="120" w:after="120"/>
        <w:ind w:firstLine="720"/>
        <w:rPr>
          <w:color w:val="000000"/>
        </w:rPr>
      </w:pPr>
      <w:r w:rsidRPr="00E428C6">
        <w:rPr>
          <w:bCs/>
          <w:color w:val="000000"/>
          <w:u w:val="single"/>
        </w:rPr>
        <w:t xml:space="preserve">No </w:t>
      </w:r>
      <w:r w:rsidRPr="00E428C6" w:rsidR="00AF2569">
        <w:rPr>
          <w:bCs/>
          <w:color w:val="000000"/>
          <w:u w:val="single"/>
        </w:rPr>
        <w:t>Referral to Executive Branch Agencies:</w:t>
      </w:r>
      <w:r w:rsidRPr="005E4E67" w:rsidR="00AF2569">
        <w:rPr>
          <w:b/>
          <w:bCs/>
          <w:color w:val="000000"/>
        </w:rPr>
        <w:t xml:space="preserve">  </w:t>
      </w:r>
      <w:r w:rsidRPr="00D95721">
        <w:rPr>
          <w:color w:val="000000"/>
        </w:rPr>
        <w:t xml:space="preserve">The Commission determined in the </w:t>
      </w:r>
      <w:r w:rsidRPr="00D95721">
        <w:rPr>
          <w:i/>
          <w:iCs/>
          <w:color w:val="000000"/>
        </w:rPr>
        <w:t>Executive Branch Review Process Order</w:t>
      </w:r>
      <w:r w:rsidRPr="00D95721">
        <w:rPr>
          <w:color w:val="000000"/>
        </w:rPr>
        <w:t xml:space="preserve"> that it would generally exclude </w:t>
      </w:r>
      <w:r w:rsidR="003A5712">
        <w:rPr>
          <w:color w:val="000000"/>
        </w:rPr>
        <w:t xml:space="preserve">applications </w:t>
      </w:r>
      <w:r w:rsidRPr="00D95721">
        <w:rPr>
          <w:color w:val="000000"/>
        </w:rPr>
        <w:t xml:space="preserve">from referral to the Executive Branch applications where the applicants have “an existing mitigation agreement, there are no new reportable foreign owners of the applicant since the effective date of the mitigation agreement, and the applicant agrees to </w:t>
      </w:r>
      <w:r w:rsidRPr="000A243D">
        <w:t>continue to comply with the terms of that mitigation agreement.”</w:t>
      </w:r>
      <w:r>
        <w:rPr>
          <w:vertAlign w:val="superscript"/>
        </w:rPr>
        <w:footnoteReference w:id="21"/>
      </w:r>
      <w:r w:rsidRPr="000A243D">
        <w:t xml:space="preserve">  Applicants argue that the Application qualifies for an exclusion from referral to the Executive Branch since it meets those criteria.</w:t>
      </w:r>
      <w:r>
        <w:rPr>
          <w:vertAlign w:val="superscript"/>
        </w:rPr>
        <w:footnoteReference w:id="22"/>
      </w:r>
      <w:r w:rsidRPr="000A243D">
        <w:t xml:space="preserve">  Applicants state that </w:t>
      </w:r>
      <w:r w:rsidR="00B01E93">
        <w:t>Zayo</w:t>
      </w:r>
      <w:r w:rsidRPr="000A243D">
        <w:t xml:space="preserve"> is subject to a</w:t>
      </w:r>
      <w:r w:rsidR="00827E66">
        <w:t xml:space="preserve"> recent letter of </w:t>
      </w:r>
      <w:r w:rsidRPr="000A243D">
        <w:t xml:space="preserve">agreement </w:t>
      </w:r>
      <w:r w:rsidR="00827E66">
        <w:t xml:space="preserve">(LOA) </w:t>
      </w:r>
      <w:r w:rsidRPr="000A243D">
        <w:t>with an Executive Branch agency concerning national security and/or law enforcement.</w:t>
      </w:r>
      <w:r>
        <w:rPr>
          <w:vertAlign w:val="superscript"/>
        </w:rPr>
        <w:footnoteReference w:id="23"/>
      </w:r>
      <w:r w:rsidRPr="000A243D">
        <w:t xml:space="preserve">  </w:t>
      </w:r>
      <w:r w:rsidR="0058325B">
        <w:rPr>
          <w:szCs w:val="22"/>
        </w:rPr>
        <w:t xml:space="preserve">Although the mitigation agreement entered into at that time only covers </w:t>
      </w:r>
      <w:r w:rsidR="00F43F4E">
        <w:rPr>
          <w:szCs w:val="22"/>
        </w:rPr>
        <w:t>Zayo</w:t>
      </w:r>
      <w:r w:rsidR="0058325B">
        <w:rPr>
          <w:szCs w:val="22"/>
        </w:rPr>
        <w:t xml:space="preserve">, SoftBank has agreed to </w:t>
      </w:r>
      <w:r w:rsidR="00742C33">
        <w:rPr>
          <w:szCs w:val="22"/>
        </w:rPr>
        <w:t xml:space="preserve">“assume in conjunction with </w:t>
      </w:r>
      <w:r w:rsidR="00742C33">
        <w:rPr>
          <w:szCs w:val="22"/>
        </w:rPr>
        <w:t>DigitalBridge</w:t>
      </w:r>
      <w:r w:rsidR="00742C33">
        <w:rPr>
          <w:szCs w:val="22"/>
        </w:rPr>
        <w:t xml:space="preserve"> any obligations under</w:t>
      </w:r>
      <w:r w:rsidR="00C54089">
        <w:rPr>
          <w:szCs w:val="22"/>
        </w:rPr>
        <w:t xml:space="preserve"> the [Expected 2026</w:t>
      </w:r>
      <w:r w:rsidR="00791F87">
        <w:rPr>
          <w:szCs w:val="22"/>
        </w:rPr>
        <w:t>]</w:t>
      </w:r>
      <w:r w:rsidR="00C54089">
        <w:rPr>
          <w:szCs w:val="22"/>
        </w:rPr>
        <w:t xml:space="preserve"> LOA that are applicable to the indirect ownership of Zayo</w:t>
      </w:r>
      <w:r w:rsidR="00DB5D83">
        <w:rPr>
          <w:szCs w:val="22"/>
        </w:rPr>
        <w:t>.”</w:t>
      </w:r>
      <w:r>
        <w:rPr>
          <w:rStyle w:val="FootnoteReference"/>
          <w:szCs w:val="22"/>
        </w:rPr>
        <w:footnoteReference w:id="24"/>
      </w:r>
      <w:r w:rsidR="0058325B">
        <w:rPr>
          <w:szCs w:val="22"/>
        </w:rPr>
        <w:t xml:space="preserve"> </w:t>
      </w:r>
      <w:r w:rsidR="00DB5D83">
        <w:rPr>
          <w:szCs w:val="22"/>
        </w:rPr>
        <w:t xml:space="preserve"> </w:t>
      </w:r>
      <w:r w:rsidRPr="001C71B2">
        <w:t xml:space="preserve">Further, Applicants request that we condition grant of the Application on continued compliance with the existing mitigation agreement applicable to </w:t>
      </w:r>
      <w:r w:rsidR="002761A3">
        <w:t>Zayo</w:t>
      </w:r>
      <w:r w:rsidR="00F527A5">
        <w:t xml:space="preserve"> and SoftBank’s continued compliance with the </w:t>
      </w:r>
      <w:r w:rsidR="00827E66">
        <w:t>LOA</w:t>
      </w:r>
      <w:r w:rsidRPr="001C71B2">
        <w:t>.</w:t>
      </w:r>
      <w:r>
        <w:rPr>
          <w:vertAlign w:val="superscript"/>
        </w:rPr>
        <w:footnoteReference w:id="25"/>
      </w:r>
      <w:r w:rsidRPr="001C71B2">
        <w:t xml:space="preserve">  </w:t>
      </w:r>
    </w:p>
    <w:p w:rsidR="00742794" w:rsidRPr="005245D4" w:rsidP="005245D4" w14:paraId="31E3A1C0" w14:textId="3C5B7989">
      <w:pPr>
        <w:autoSpaceDE w:val="0"/>
        <w:autoSpaceDN w:val="0"/>
        <w:adjustRightInd w:val="0"/>
        <w:spacing w:before="120" w:after="120"/>
        <w:ind w:firstLine="720"/>
        <w:rPr>
          <w:color w:val="000000"/>
        </w:rPr>
      </w:pPr>
      <w:r w:rsidRPr="00D95721">
        <w:rPr>
          <w:color w:val="000000"/>
        </w:rPr>
        <w:t>We find that Applicants have made a showing that this Application comes within an exclusion from referral to the Executive Branch for national security, law enforcement, foreign policy, and trade policy review.  Although we are not formally referring the Application, we will provide a courtesy copy of this public notice to the Executive Branch agencies.</w:t>
      </w:r>
      <w:r>
        <w:rPr>
          <w:color w:val="000000"/>
          <w:vertAlign w:val="superscript"/>
        </w:rPr>
        <w:footnoteReference w:id="26"/>
      </w:r>
    </w:p>
    <w:p w:rsidR="009A6574" w:rsidP="00742794" w14:paraId="23CF3FBE" w14:textId="4135D9D0">
      <w:pPr>
        <w:ind w:left="720"/>
        <w:rPr>
          <w:szCs w:val="22"/>
        </w:rPr>
      </w:pPr>
      <w:r w:rsidRPr="009A6574">
        <w:rPr>
          <w:szCs w:val="22"/>
        </w:rPr>
        <w:t xml:space="preserve">Domestic Section 214 </w:t>
      </w:r>
      <w:r w:rsidR="002F5E68">
        <w:rPr>
          <w:szCs w:val="22"/>
        </w:rPr>
        <w:t xml:space="preserve">Application </w:t>
      </w:r>
      <w:r w:rsidR="003860DB">
        <w:rPr>
          <w:szCs w:val="22"/>
        </w:rPr>
        <w:t xml:space="preserve">Filed </w:t>
      </w:r>
      <w:r w:rsidRPr="009A6574">
        <w:rPr>
          <w:szCs w:val="22"/>
        </w:rPr>
        <w:t xml:space="preserve">for the Transfer of Control of </w:t>
      </w:r>
      <w:r w:rsidR="007629E8">
        <w:rPr>
          <w:szCs w:val="22"/>
        </w:rPr>
        <w:t>Zayo Group, LLC and Certain</w:t>
      </w:r>
      <w:r w:rsidR="00661F02">
        <w:rPr>
          <w:szCs w:val="22"/>
        </w:rPr>
        <w:t xml:space="preserve"> Other</w:t>
      </w:r>
      <w:r w:rsidR="007629E8">
        <w:rPr>
          <w:szCs w:val="22"/>
        </w:rPr>
        <w:t xml:space="preserve"> Subsidiaries of </w:t>
      </w:r>
      <w:r w:rsidRPr="00723D69" w:rsidR="00723D69">
        <w:rPr>
          <w:szCs w:val="22"/>
        </w:rPr>
        <w:t>DigitalBridge</w:t>
      </w:r>
      <w:r w:rsidRPr="00723D69" w:rsidR="00723D69">
        <w:rPr>
          <w:szCs w:val="22"/>
        </w:rPr>
        <w:t xml:space="preserve"> Group, Inc. to Duncan Holdco LLC</w:t>
      </w:r>
      <w:r w:rsidR="00046F29">
        <w:rPr>
          <w:szCs w:val="22"/>
        </w:rPr>
        <w:t>,</w:t>
      </w:r>
      <w:r w:rsidRPr="009A6574">
        <w:rPr>
          <w:szCs w:val="22"/>
        </w:rPr>
        <w:t xml:space="preserve"> WC Docket No. 2</w:t>
      </w:r>
      <w:r w:rsidR="00723D69">
        <w:rPr>
          <w:szCs w:val="22"/>
        </w:rPr>
        <w:t>6</w:t>
      </w:r>
      <w:r w:rsidRPr="009A6574">
        <w:rPr>
          <w:szCs w:val="22"/>
        </w:rPr>
        <w:t>-</w:t>
      </w:r>
      <w:r w:rsidR="007A11C3">
        <w:rPr>
          <w:szCs w:val="22"/>
        </w:rPr>
        <w:t>56</w:t>
      </w:r>
      <w:r w:rsidRPr="009A6574">
        <w:rPr>
          <w:szCs w:val="22"/>
        </w:rPr>
        <w:t xml:space="preserve"> (filed</w:t>
      </w:r>
      <w:r w:rsidR="00046F29">
        <w:rPr>
          <w:szCs w:val="22"/>
        </w:rPr>
        <w:t xml:space="preserve"> </w:t>
      </w:r>
      <w:r w:rsidR="007A11C3">
        <w:rPr>
          <w:szCs w:val="22"/>
        </w:rPr>
        <w:t>Mar</w:t>
      </w:r>
      <w:r w:rsidR="00657DDE">
        <w:rPr>
          <w:szCs w:val="22"/>
        </w:rPr>
        <w:t xml:space="preserve">. </w:t>
      </w:r>
      <w:r w:rsidR="007A11C3">
        <w:rPr>
          <w:szCs w:val="22"/>
        </w:rPr>
        <w:t>6</w:t>
      </w:r>
      <w:r w:rsidRPr="009A6574">
        <w:rPr>
          <w:szCs w:val="22"/>
        </w:rPr>
        <w:t>, 202</w:t>
      </w:r>
      <w:r w:rsidR="00723D69">
        <w:rPr>
          <w:szCs w:val="22"/>
        </w:rPr>
        <w:t>6</w:t>
      </w:r>
      <w:r w:rsidRPr="009A6574">
        <w:rPr>
          <w:szCs w:val="22"/>
        </w:rPr>
        <w:t>).</w:t>
      </w:r>
    </w:p>
    <w:p w:rsidR="001E5FA4" w:rsidRPr="009A6574" w:rsidP="001E5FA4" w14:paraId="28849A2C" w14:textId="77777777">
      <w:pPr>
        <w:ind w:left="720"/>
        <w:rPr>
          <w:szCs w:val="22"/>
        </w:rPr>
      </w:pPr>
    </w:p>
    <w:p w:rsidR="009A6574" w:rsidRPr="009A6574" w:rsidP="009A6574" w14:paraId="60CD2467" w14:textId="77777777">
      <w:pPr>
        <w:keepNext/>
        <w:autoSpaceDE w:val="0"/>
        <w:autoSpaceDN w:val="0"/>
        <w:adjustRightInd w:val="0"/>
        <w:spacing w:after="120"/>
        <w:rPr>
          <w:szCs w:val="22"/>
        </w:rPr>
      </w:pPr>
      <w:r w:rsidRPr="009A6574">
        <w:rPr>
          <w:b/>
          <w:szCs w:val="22"/>
          <w:u w:val="single"/>
        </w:rPr>
        <w:t>GENERAL INFORMATION</w:t>
      </w:r>
    </w:p>
    <w:p w:rsidR="00474F24" w:rsidRPr="007D6E06" w:rsidP="00474F24" w14:paraId="08D02A90" w14:textId="77777777">
      <w:pPr>
        <w:autoSpaceDE w:val="0"/>
        <w:autoSpaceDN w:val="0"/>
        <w:adjustRightInd w:val="0"/>
        <w:spacing w:after="120"/>
        <w:ind w:firstLine="720"/>
        <w:rPr>
          <w:bCs/>
          <w:szCs w:val="22"/>
        </w:rPr>
      </w:pPr>
      <w:r w:rsidRPr="007D6E06">
        <w:rPr>
          <w:szCs w:val="22"/>
        </w:rPr>
        <w:t xml:space="preserve">The transfer of control identified herein has been found, upon initial review, to be acceptable for filing as a streamlined application.  The Commission reserves the right to return any transfer application if, upon further examination, it is determined to be defective and not in conformance with the </w:t>
      </w:r>
      <w:r w:rsidRPr="007D6E06">
        <w:rPr>
          <w:szCs w:val="22"/>
        </w:rPr>
        <w:t xml:space="preserve">Commission’s rules and </w:t>
      </w:r>
      <w:r w:rsidRPr="00E77236">
        <w:rPr>
          <w:szCs w:val="22"/>
        </w:rPr>
        <w:t>policies.  Interested parties may file comments</w:t>
      </w:r>
      <w:r w:rsidRPr="00E77236">
        <w:rPr>
          <w:bCs/>
          <w:szCs w:val="22"/>
        </w:rPr>
        <w:t xml:space="preserve"> and reply comments on or before the dates indicated on the first page of this document.  Pursuant to section 63.52 of the Commission’s rules, 47 CFR § 63.52, commenters must serve a copy of comments on the Applicants no later than the above comment filing date.  Unless</w:t>
      </w:r>
      <w:r w:rsidRPr="007D6E06">
        <w:rPr>
          <w:bCs/>
          <w:szCs w:val="22"/>
        </w:rPr>
        <w:t xml:space="preserve"> otherwise notified by the Commission, the Applicants may transfer control on the 31st day after the date of this notice.</w:t>
      </w:r>
    </w:p>
    <w:p w:rsidR="00474F24" w:rsidRPr="007D6E06" w:rsidP="00474F24" w14:paraId="34FD8991" w14:textId="77777777">
      <w:pPr>
        <w:autoSpaceDE w:val="0"/>
        <w:autoSpaceDN w:val="0"/>
        <w:adjustRightInd w:val="0"/>
        <w:spacing w:after="120"/>
        <w:ind w:firstLine="720"/>
        <w:rPr>
          <w:szCs w:val="22"/>
        </w:rPr>
      </w:pPr>
      <w:r w:rsidRPr="007D6E06">
        <w:rPr>
          <w:szCs w:val="22"/>
        </w:rPr>
        <w:t xml:space="preserve">Pursuant to section 63.03 of the Commission’s rules, 47 CFR § 63.03, interested parties </w:t>
      </w:r>
      <w:r>
        <w:rPr>
          <w:szCs w:val="22"/>
        </w:rPr>
        <w:t>must</w:t>
      </w:r>
      <w:r w:rsidRPr="007D6E06">
        <w:rPr>
          <w:szCs w:val="22"/>
        </w:rPr>
        <w:t xml:space="preserve"> file </w:t>
      </w:r>
      <w:r>
        <w:rPr>
          <w:szCs w:val="22"/>
        </w:rPr>
        <w:t>comments</w:t>
      </w:r>
      <w:r w:rsidRPr="007D6E06">
        <w:rPr>
          <w:szCs w:val="22"/>
        </w:rPr>
        <w:t xml:space="preserve"> using the Commission’s Electronic Comment Filing System (ECFS):  </w:t>
      </w:r>
      <w:hyperlink r:id="rId6" w:history="1">
        <w:r w:rsidRPr="004702D2">
          <w:rPr>
            <w:rStyle w:val="Hyperlink"/>
          </w:rPr>
          <w:t>https://www.fcc.gov/ecfs</w:t>
        </w:r>
      </w:hyperlink>
      <w:r w:rsidRPr="007D6E06">
        <w:rPr>
          <w:szCs w:val="22"/>
        </w:rPr>
        <w:t>.</w:t>
      </w:r>
    </w:p>
    <w:p w:rsidR="00474F24" w:rsidRPr="007D6E06" w:rsidP="00474F24" w14:paraId="7D933C70" w14:textId="77777777">
      <w:pPr>
        <w:autoSpaceDE w:val="0"/>
        <w:autoSpaceDN w:val="0"/>
        <w:adjustRightInd w:val="0"/>
        <w:spacing w:after="120"/>
        <w:ind w:firstLine="720"/>
        <w:rPr>
          <w:szCs w:val="22"/>
        </w:rPr>
      </w:pPr>
      <w:r w:rsidRPr="007D6E06">
        <w:rPr>
          <w:szCs w:val="22"/>
        </w:rPr>
        <w:t xml:space="preserve">People with Disabilities:  To request materials in accessible formats for people with disabilities (braille, large print, electronic files, audio format), send an e-mail to </w:t>
      </w:r>
      <w:hyperlink r:id="rId7" w:history="1">
        <w:r w:rsidRPr="007D6E06">
          <w:rPr>
            <w:color w:val="0000FF"/>
            <w:szCs w:val="22"/>
            <w:u w:val="single"/>
          </w:rPr>
          <w:t>fcc504@fcc.gov</w:t>
        </w:r>
      </w:hyperlink>
      <w:r w:rsidRPr="007D6E06">
        <w:rPr>
          <w:szCs w:val="22"/>
        </w:rPr>
        <w:t xml:space="preserve"> or call the Consumer &amp; Governmental Affairs Bureau at 202-418-0530 (voice)</w:t>
      </w:r>
      <w:r>
        <w:rPr>
          <w:szCs w:val="22"/>
        </w:rPr>
        <w:t>.</w:t>
      </w:r>
    </w:p>
    <w:p w:rsidR="00B50180" w:rsidRPr="00F411D7" w:rsidP="00B50180" w14:paraId="4DC091DC" w14:textId="77777777">
      <w:pPr>
        <w:autoSpaceDE w:val="0"/>
        <w:autoSpaceDN w:val="0"/>
        <w:adjustRightInd w:val="0"/>
        <w:spacing w:after="120"/>
        <w:ind w:firstLine="720"/>
        <w:rPr>
          <w:b/>
          <w:szCs w:val="22"/>
        </w:rPr>
      </w:pPr>
      <w:r w:rsidRPr="003B1C20">
        <w:rPr>
          <w:b/>
          <w:szCs w:val="22"/>
        </w:rPr>
        <w:t>In addition, e-mail one copy of each pleading to each of the following:</w:t>
      </w:r>
    </w:p>
    <w:p w:rsidR="00B50180" w:rsidRPr="00891326" w:rsidP="00B50180" w14:paraId="6FA890AB" w14:textId="77777777">
      <w:pPr>
        <w:numPr>
          <w:ilvl w:val="0"/>
          <w:numId w:val="7"/>
        </w:numPr>
        <w:autoSpaceDE w:val="0"/>
        <w:autoSpaceDN w:val="0"/>
        <w:adjustRightInd w:val="0"/>
        <w:spacing w:after="120"/>
        <w:rPr>
          <w:szCs w:val="22"/>
        </w:rPr>
      </w:pPr>
      <w:r>
        <w:rPr>
          <w:szCs w:val="22"/>
        </w:rPr>
        <w:t>Dennis Johnson</w:t>
      </w:r>
      <w:r w:rsidRPr="009A6574">
        <w:rPr>
          <w:szCs w:val="22"/>
        </w:rPr>
        <w:t xml:space="preserve">, Competition Policy Division, Wireline Competition Bureau, </w:t>
      </w:r>
      <w:hyperlink r:id="rId8" w:history="1">
        <w:r w:rsidRPr="007703E2">
          <w:rPr>
            <w:rStyle w:val="Hyperlink"/>
            <w:szCs w:val="22"/>
          </w:rPr>
          <w:t>dennis.johnson@fcc.gov</w:t>
        </w:r>
      </w:hyperlink>
      <w:r>
        <w:t>;</w:t>
      </w:r>
    </w:p>
    <w:p w:rsidR="00216951" w:rsidP="00216951" w14:paraId="036AA23F" w14:textId="77777777">
      <w:pPr>
        <w:numPr>
          <w:ilvl w:val="0"/>
          <w:numId w:val="7"/>
        </w:numPr>
        <w:autoSpaceDE w:val="0"/>
        <w:autoSpaceDN w:val="0"/>
        <w:adjustRightInd w:val="0"/>
        <w:spacing w:after="120"/>
        <w:rPr>
          <w:szCs w:val="22"/>
        </w:rPr>
      </w:pPr>
      <w:r>
        <w:rPr>
          <w:szCs w:val="22"/>
        </w:rPr>
        <w:t>Brenda Villanueva</w:t>
      </w:r>
      <w:r w:rsidRPr="00B5153D">
        <w:rPr>
          <w:szCs w:val="22"/>
        </w:rPr>
        <w:t xml:space="preserve">, </w:t>
      </w:r>
      <w:r>
        <w:rPr>
          <w:szCs w:val="22"/>
        </w:rPr>
        <w:t xml:space="preserve">Telecommunications Access Division, </w:t>
      </w:r>
      <w:r w:rsidRPr="00B5153D">
        <w:rPr>
          <w:szCs w:val="22"/>
        </w:rPr>
        <w:t>Office of International Affairs,</w:t>
      </w:r>
      <w:r>
        <w:rPr>
          <w:szCs w:val="22"/>
        </w:rPr>
        <w:t xml:space="preserve"> </w:t>
      </w:r>
      <w:hyperlink r:id="rId9" w:history="1">
        <w:r w:rsidRPr="004E3575">
          <w:rPr>
            <w:rStyle w:val="Hyperlink"/>
            <w:szCs w:val="22"/>
          </w:rPr>
          <w:t>brenda.villanueva@fcc.gov</w:t>
        </w:r>
      </w:hyperlink>
      <w:r>
        <w:t>;</w:t>
      </w:r>
      <w:r w:rsidRPr="0013447C">
        <w:rPr>
          <w:szCs w:val="22"/>
        </w:rPr>
        <w:t xml:space="preserve"> and</w:t>
      </w:r>
    </w:p>
    <w:p w:rsidR="00474F24" w:rsidRPr="00216951" w:rsidP="00216951" w14:paraId="11EAE83A" w14:textId="4486D372">
      <w:pPr>
        <w:numPr>
          <w:ilvl w:val="0"/>
          <w:numId w:val="7"/>
        </w:numPr>
        <w:autoSpaceDE w:val="0"/>
        <w:autoSpaceDN w:val="0"/>
        <w:adjustRightInd w:val="0"/>
        <w:spacing w:after="120"/>
        <w:rPr>
          <w:szCs w:val="22"/>
        </w:rPr>
      </w:pPr>
      <w:r w:rsidRPr="00216951">
        <w:rPr>
          <w:szCs w:val="22"/>
        </w:rPr>
        <w:t xml:space="preserve">Jim Bird, Office of General Counsel, </w:t>
      </w:r>
      <w:hyperlink r:id="rId10">
        <w:r w:rsidRPr="00216951">
          <w:rPr>
            <w:color w:val="0000FF"/>
            <w:szCs w:val="22"/>
            <w:u w:val="single"/>
          </w:rPr>
          <w:t>jim.bird@fcc.gov</w:t>
        </w:r>
      </w:hyperlink>
      <w:r w:rsidRPr="00216951">
        <w:rPr>
          <w:szCs w:val="22"/>
        </w:rPr>
        <w:t>.</w:t>
      </w:r>
    </w:p>
    <w:p w:rsidR="00474F24" w:rsidP="00474F24" w14:paraId="7BDBBCA7" w14:textId="77777777">
      <w:pPr>
        <w:autoSpaceDE w:val="0"/>
        <w:autoSpaceDN w:val="0"/>
        <w:adjustRightInd w:val="0"/>
        <w:spacing w:after="120"/>
        <w:ind w:firstLine="720"/>
        <w:rPr>
          <w:szCs w:val="22"/>
        </w:rPr>
      </w:pPr>
      <w:r w:rsidRPr="007D6E06">
        <w:rPr>
          <w:szCs w:val="22"/>
        </w:rPr>
        <w:t xml:space="preserve">The proceeding in this Notice shall be treated as a “permit-but-disclose” proceeding in accordance with the Commission’s </w:t>
      </w:r>
      <w:r w:rsidRPr="007D6E06">
        <w:rPr>
          <w:i/>
          <w:szCs w:val="22"/>
        </w:rPr>
        <w:t xml:space="preserve">ex </w:t>
      </w:r>
      <w:r w:rsidRPr="007D6E06">
        <w:rPr>
          <w:i/>
          <w:szCs w:val="22"/>
        </w:rPr>
        <w:t>parte</w:t>
      </w:r>
      <w:r w:rsidRPr="007D6E06">
        <w:rPr>
          <w:szCs w:val="22"/>
        </w:rPr>
        <w:t xml:space="preserve"> rules.  </w:t>
      </w:r>
      <w:r w:rsidRPr="007D6E06">
        <w:rPr>
          <w:szCs w:val="22"/>
        </w:rPr>
        <w:t>Persons</w:t>
      </w:r>
      <w:r w:rsidRPr="007D6E06">
        <w:rPr>
          <w:szCs w:val="22"/>
        </w:rPr>
        <w:t xml:space="preserve"> making </w:t>
      </w:r>
      <w:r w:rsidRPr="007D6E06">
        <w:rPr>
          <w:i/>
          <w:szCs w:val="22"/>
        </w:rPr>
        <w:t xml:space="preserve">ex </w:t>
      </w:r>
      <w:r w:rsidRPr="007D6E06">
        <w:rPr>
          <w:i/>
          <w:szCs w:val="22"/>
        </w:rPr>
        <w:t>parte</w:t>
      </w:r>
      <w:r w:rsidRPr="007D6E06">
        <w:rPr>
          <w:szCs w:val="22"/>
        </w:rPr>
        <w:t xml:space="preserve"> presentations must file a copy of any written presentation or a memorandum summarizing any oral presentation within two business days after the presentation (unless a different deadline applicable to the Sunshine period applies).  </w:t>
      </w:r>
      <w:r w:rsidRPr="007D6E06">
        <w:rPr>
          <w:szCs w:val="22"/>
        </w:rPr>
        <w:t>Persons</w:t>
      </w:r>
      <w:r w:rsidRPr="007D6E06">
        <w:rPr>
          <w:szCs w:val="22"/>
        </w:rPr>
        <w:t xml:space="preserve"> making oral </w:t>
      </w:r>
      <w:r w:rsidRPr="007D6E06">
        <w:rPr>
          <w:i/>
          <w:szCs w:val="22"/>
        </w:rPr>
        <w:t xml:space="preserve">ex </w:t>
      </w:r>
      <w:r w:rsidRPr="007D6E06">
        <w:rPr>
          <w:i/>
          <w:szCs w:val="22"/>
        </w:rPr>
        <w:t>parte</w:t>
      </w:r>
      <w:r w:rsidRPr="007D6E06">
        <w:rPr>
          <w:szCs w:val="22"/>
        </w:rPr>
        <w:t xml:space="preserve"> presentations are reminded </w:t>
      </w:r>
      <w:r w:rsidRPr="007D6E06">
        <w:rPr>
          <w:szCs w:val="22"/>
        </w:rPr>
        <w:t>that memoranda</w:t>
      </w:r>
      <w:r w:rsidRPr="007D6E06">
        <w:rPr>
          <w:szCs w:val="22"/>
        </w:rPr>
        <w:t xml:space="preserve"> summarizing the presentation must (1) list all </w:t>
      </w:r>
      <w:r w:rsidRPr="007D6E06">
        <w:rPr>
          <w:szCs w:val="22"/>
        </w:rPr>
        <w:t>persons</w:t>
      </w:r>
      <w:r w:rsidRPr="007D6E06">
        <w:rPr>
          <w:szCs w:val="22"/>
        </w:rPr>
        <w:t xml:space="preserve"> attending or otherwise participating in the meeting at which the </w:t>
      </w:r>
      <w:r w:rsidRPr="007D6E06">
        <w:rPr>
          <w:i/>
          <w:szCs w:val="22"/>
        </w:rPr>
        <w:t xml:space="preserve">ex </w:t>
      </w:r>
      <w:r w:rsidRPr="007D6E06">
        <w:rPr>
          <w:i/>
          <w:szCs w:val="22"/>
        </w:rPr>
        <w:t>parte</w:t>
      </w:r>
      <w:r w:rsidRPr="007D6E06">
        <w:rPr>
          <w:szCs w:val="22"/>
        </w:rPr>
        <w:t xml:space="preserve"> 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7D6E06">
        <w:rPr>
          <w:i/>
          <w:szCs w:val="22"/>
        </w:rPr>
        <w:t xml:space="preserve">ex </w:t>
      </w:r>
      <w:r w:rsidRPr="007D6E06">
        <w:rPr>
          <w:i/>
          <w:szCs w:val="22"/>
        </w:rPr>
        <w:t>parte</w:t>
      </w:r>
      <w:r w:rsidRPr="007D6E06">
        <w:rPr>
          <w:szCs w:val="22"/>
        </w:rPr>
        <w:t xml:space="preserve"> meetings are deemed to be written </w:t>
      </w:r>
      <w:r w:rsidRPr="007D6E06">
        <w:rPr>
          <w:i/>
          <w:szCs w:val="22"/>
        </w:rPr>
        <w:t xml:space="preserve">ex </w:t>
      </w:r>
      <w:r w:rsidRPr="007D6E06">
        <w:rPr>
          <w:i/>
          <w:szCs w:val="22"/>
        </w:rPr>
        <w:t>parte</w:t>
      </w:r>
      <w:r w:rsidRPr="007D6E06">
        <w:rPr>
          <w:szCs w:val="22"/>
        </w:rPr>
        <w:t xml:space="preserve"> presentations and must be filed consistent with rule 1.1206(b), 47 CFR § 1.1206(b).  Participants in this proceeding should familiarize themselves with the Commission’s </w:t>
      </w:r>
      <w:r w:rsidRPr="007D6E06">
        <w:rPr>
          <w:i/>
          <w:szCs w:val="22"/>
        </w:rPr>
        <w:t xml:space="preserve">ex </w:t>
      </w:r>
      <w:r w:rsidRPr="007D6E06">
        <w:rPr>
          <w:i/>
          <w:szCs w:val="22"/>
        </w:rPr>
        <w:t>parte</w:t>
      </w:r>
      <w:r w:rsidRPr="007D6E06">
        <w:rPr>
          <w:szCs w:val="22"/>
        </w:rPr>
        <w:t xml:space="preserve"> rules.</w:t>
      </w:r>
    </w:p>
    <w:p w:rsidR="00474F24" w:rsidRPr="00940311" w:rsidP="00474F24" w14:paraId="37E14CBA" w14:textId="77777777">
      <w:pPr>
        <w:autoSpaceDE w:val="0"/>
        <w:autoSpaceDN w:val="0"/>
        <w:adjustRightInd w:val="0"/>
        <w:spacing w:after="120"/>
        <w:ind w:firstLine="720"/>
        <w:rPr>
          <w:szCs w:val="22"/>
        </w:rPr>
      </w:pPr>
      <w:r w:rsidRPr="52D3F29C">
        <w:t>To allow the Commission to consider fully all substantive issues regarding the application in as timely and efficient a manner as possible, petitioners and commenters should raise all issues in their initial filings.  New issues may not be raised in responses or replies.</w:t>
      </w:r>
      <w:r>
        <w:rPr>
          <w:vertAlign w:val="superscript"/>
        </w:rPr>
        <w:footnoteReference w:id="27"/>
      </w:r>
      <w:r w:rsidRPr="52D3F29C">
        <w:t xml:space="preserve">  A party or interested person seeking to raise a new issue after the pleading cycle has closed must show good cause why it was not possible for </w:t>
      </w:r>
      <w:r w:rsidRPr="52D3F29C">
        <w:t>it</w:t>
      </w:r>
      <w:r w:rsidRPr="52D3F29C">
        <w:t xml:space="preserve"> to have raised the issue previously.  Submissions after the pleading cycle </w:t>
      </w:r>
      <w:r w:rsidRPr="52D3F29C">
        <w:t>has</w:t>
      </w:r>
      <w:r w:rsidRPr="52D3F29C">
        <w:t xml:space="preserve"> closed that seek to raise new issues based on new facts or newly discovered facts should be filed within 15 days after such facts are discovered.  Absent such a showing of good cause, any issues not timely raised may be disregarded by the Commission.  </w:t>
      </w:r>
    </w:p>
    <w:p w:rsidR="007A3DB2" w:rsidP="007A3DB2" w14:paraId="72DFAA08" w14:textId="77777777">
      <w:pPr>
        <w:autoSpaceDE w:val="0"/>
        <w:autoSpaceDN w:val="0"/>
        <w:adjustRightInd w:val="0"/>
        <w:spacing w:after="120"/>
        <w:ind w:firstLine="720"/>
      </w:pPr>
      <w:r w:rsidRPr="009A6574">
        <w:rPr>
          <w:szCs w:val="22"/>
        </w:rPr>
        <w:t xml:space="preserve">For further information, please contact </w:t>
      </w:r>
      <w:r>
        <w:rPr>
          <w:szCs w:val="22"/>
        </w:rPr>
        <w:t>Dennis Johnson</w:t>
      </w:r>
      <w:r w:rsidRPr="009A6574">
        <w:rPr>
          <w:szCs w:val="22"/>
        </w:rPr>
        <w:t xml:space="preserve">, Competition Policy Division, Wireline Competition Bureau, at </w:t>
      </w:r>
      <w:r w:rsidRPr="009A6574">
        <w:t>(202) 418-</w:t>
      </w:r>
      <w:r>
        <w:t>0809.</w:t>
      </w:r>
    </w:p>
    <w:p w:rsidR="00216951" w:rsidP="007A3DB2" w14:paraId="25D92750" w14:textId="77777777">
      <w:pPr>
        <w:autoSpaceDE w:val="0"/>
        <w:autoSpaceDN w:val="0"/>
        <w:adjustRightInd w:val="0"/>
        <w:spacing w:after="120"/>
        <w:ind w:firstLine="720"/>
      </w:pPr>
    </w:p>
    <w:p w:rsidR="00216951" w:rsidP="007A3DB2" w14:paraId="2A52F288" w14:textId="77777777">
      <w:pPr>
        <w:autoSpaceDE w:val="0"/>
        <w:autoSpaceDN w:val="0"/>
        <w:adjustRightInd w:val="0"/>
        <w:spacing w:after="120"/>
        <w:ind w:firstLine="720"/>
      </w:pPr>
    </w:p>
    <w:p w:rsidR="009A6574" w:rsidRPr="00100CF5" w:rsidP="00216951" w14:paraId="0EF7F7CD" w14:textId="64CDAEA1">
      <w:pPr>
        <w:autoSpaceDE w:val="0"/>
        <w:autoSpaceDN w:val="0"/>
        <w:adjustRightInd w:val="0"/>
        <w:jc w:val="center"/>
        <w:rPr>
          <w:color w:val="000000"/>
          <w:szCs w:val="22"/>
        </w:rPr>
      </w:pPr>
      <w:r w:rsidRPr="007D6E06">
        <w:rPr>
          <w:b/>
          <w:szCs w:val="22"/>
        </w:rPr>
        <w:t>-FCC-</w:t>
      </w:r>
    </w:p>
    <w:sectPr>
      <w:headerReference w:type="default" r:id="rId11"/>
      <w:footerReference w:type="even" r:id="rId12"/>
      <w:footerReference w:type="default" r:id="rId13"/>
      <w:headerReference w:type="first" r:id="rId14"/>
      <w:footerReference w:type="first" r:id="rId15"/>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AF70AC" w14:paraId="0A2DB9CC" w14:textId="77777777">
      <w:pPr>
        <w:spacing w:line="20" w:lineRule="exact"/>
      </w:pPr>
    </w:p>
  </w:endnote>
  <w:endnote w:type="continuationSeparator" w:id="1">
    <w:p w:rsidR="00AF70AC" w14:paraId="2A21FA5C" w14:textId="77777777">
      <w:r>
        <w:t xml:space="preserve"> </w:t>
      </w:r>
    </w:p>
  </w:endnote>
  <w:endnote w:type="continuationNotice" w:id="2">
    <w:p w:rsidR="00AF70AC" w14:paraId="14CB8454"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3F7D93A"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06556FCC"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4D57082"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DB919B9"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F70AC" w14:paraId="37ABA12E" w14:textId="77777777">
      <w:r>
        <w:separator/>
      </w:r>
    </w:p>
  </w:footnote>
  <w:footnote w:type="continuationSeparator" w:id="1">
    <w:p w:rsidR="00AF70AC" w14:paraId="6A3760DC" w14:textId="77777777">
      <w:pPr>
        <w:rPr>
          <w:sz w:val="20"/>
        </w:rPr>
      </w:pPr>
      <w:r>
        <w:rPr>
          <w:sz w:val="20"/>
        </w:rPr>
        <w:t xml:space="preserve">(Continued from previous page)  </w:t>
      </w:r>
      <w:r>
        <w:rPr>
          <w:sz w:val="20"/>
        </w:rPr>
        <w:separator/>
      </w:r>
    </w:p>
  </w:footnote>
  <w:footnote w:type="continuationNotice" w:id="2">
    <w:p w:rsidR="00AF70AC" w14:paraId="2FED0EFA" w14:textId="77777777">
      <w:pPr>
        <w:jc w:val="right"/>
        <w:rPr>
          <w:sz w:val="20"/>
        </w:rPr>
      </w:pPr>
      <w:r>
        <w:rPr>
          <w:sz w:val="20"/>
        </w:rPr>
        <w:t>(</w:t>
      </w:r>
      <w:r>
        <w:rPr>
          <w:sz w:val="20"/>
        </w:rPr>
        <w:t>continued</w:t>
      </w:r>
      <w:r>
        <w:rPr>
          <w:sz w:val="20"/>
        </w:rPr>
        <w:t>….)</w:t>
      </w:r>
    </w:p>
  </w:footnote>
  <w:footnote w:id="3">
    <w:p w:rsidR="00152875" w:rsidRPr="00152875" w14:paraId="6BCAB6F0" w14:textId="4C816821">
      <w:pPr>
        <w:pStyle w:val="FootnoteText"/>
      </w:pPr>
      <w:r w:rsidRPr="00152875">
        <w:rPr>
          <w:rStyle w:val="FootnoteReference"/>
          <w:sz w:val="20"/>
        </w:rPr>
        <w:footnoteRef/>
      </w:r>
      <w:r w:rsidRPr="00152875">
        <w:t xml:space="preserve"> Domestic Section 214 Application for the </w:t>
      </w:r>
      <w:bookmarkStart w:id="0" w:name="_Hlk193461235"/>
      <w:r w:rsidRPr="00152875">
        <w:t xml:space="preserve">Transfer of Control of </w:t>
      </w:r>
      <w:bookmarkStart w:id="1" w:name="_Hlk207797656"/>
      <w:r w:rsidRPr="001E7F56" w:rsidR="001E7F56">
        <w:t>DigitalBridge</w:t>
      </w:r>
      <w:r w:rsidRPr="001E7F56" w:rsidR="001E7F56">
        <w:t xml:space="preserve"> Group</w:t>
      </w:r>
      <w:r w:rsidRPr="00152875">
        <w:t>, Inc</w:t>
      </w:r>
      <w:r w:rsidR="00F967AE">
        <w:t xml:space="preserve">. </w:t>
      </w:r>
      <w:r w:rsidR="00EF29AE">
        <w:t>and its Subsidiaries</w:t>
      </w:r>
      <w:r w:rsidRPr="00152875">
        <w:t xml:space="preserve"> to </w:t>
      </w:r>
      <w:r w:rsidRPr="001E7F56" w:rsidR="001E7F56">
        <w:t>Duncan Holdco LLC</w:t>
      </w:r>
      <w:bookmarkEnd w:id="1"/>
      <w:r w:rsidRPr="00152875">
        <w:t xml:space="preserve">, </w:t>
      </w:r>
      <w:bookmarkEnd w:id="0"/>
      <w:r w:rsidRPr="00152875">
        <w:t>WC Docket No. 2</w:t>
      </w:r>
      <w:r w:rsidR="001E7F56">
        <w:t>6</w:t>
      </w:r>
      <w:r w:rsidRPr="00152875">
        <w:t>-</w:t>
      </w:r>
      <w:r w:rsidR="000A73F7">
        <w:t>56</w:t>
      </w:r>
      <w:r w:rsidRPr="00152875">
        <w:t xml:space="preserve"> (filed </w:t>
      </w:r>
      <w:r w:rsidR="000A73F7">
        <w:t>Mar</w:t>
      </w:r>
      <w:r w:rsidR="001E7F56">
        <w:t>.</w:t>
      </w:r>
      <w:r w:rsidRPr="00152875">
        <w:t xml:space="preserve"> </w:t>
      </w:r>
      <w:r w:rsidR="000A73F7">
        <w:t>6</w:t>
      </w:r>
      <w:r w:rsidRPr="00152875">
        <w:t>, 202</w:t>
      </w:r>
      <w:r w:rsidR="00907C66">
        <w:t>6</w:t>
      </w:r>
      <w:r w:rsidRPr="00152875">
        <w:t>) (Application).</w:t>
      </w:r>
      <w:r w:rsidR="00907C66">
        <w:t xml:space="preserve">  </w:t>
      </w:r>
      <w:r w:rsidR="00832DAE">
        <w:t xml:space="preserve">Applicants also filed an application for the transfer of international authorizations.  </w:t>
      </w:r>
      <w:r w:rsidR="009A66D2">
        <w:t>DigitalBridge</w:t>
      </w:r>
      <w:r w:rsidR="009A66D2">
        <w:t xml:space="preserve"> and Duncan are parties to another pending application seeking consent for the transfer of certain other subsidiaries of </w:t>
      </w:r>
      <w:r w:rsidR="009A66D2">
        <w:t>DigitalBridge</w:t>
      </w:r>
      <w:r w:rsidR="009A66D2">
        <w:t xml:space="preserve">, including </w:t>
      </w:r>
      <w:r w:rsidR="009A66D2">
        <w:t>WideOpenWest</w:t>
      </w:r>
      <w:r w:rsidR="009A66D2">
        <w:t xml:space="preserve">, Inc. (WOW Parent) and </w:t>
      </w:r>
      <w:r w:rsidR="009A66D2">
        <w:t>Knology</w:t>
      </w:r>
      <w:r w:rsidR="009A66D2">
        <w:t xml:space="preserve"> Inc. and their operating subsidiaries to Duncan.  </w:t>
      </w:r>
      <w:r w:rsidRPr="00D76D16" w:rsidR="009A66D2">
        <w:rPr>
          <w:i/>
          <w:iCs/>
        </w:rPr>
        <w:t>See</w:t>
      </w:r>
      <w:r w:rsidR="009A66D2">
        <w:t xml:space="preserve"> Joint Application for the Transfer of Control of </w:t>
      </w:r>
      <w:r w:rsidR="001F285F">
        <w:t>WideOpenWest</w:t>
      </w:r>
      <w:r w:rsidR="001F285F">
        <w:t>, Inc.</w:t>
      </w:r>
      <w:r w:rsidR="009A66D2">
        <w:t xml:space="preserve"> and Other Certain Subsidiaries of </w:t>
      </w:r>
      <w:r w:rsidR="009A66D2">
        <w:t>DigitalBridge</w:t>
      </w:r>
      <w:r w:rsidR="009A66D2">
        <w:t xml:space="preserve"> Group, Inc. to Duncan Holdco LLC, WC Docket No. 26-</w:t>
      </w:r>
      <w:r w:rsidR="007C7CAF">
        <w:t>40</w:t>
      </w:r>
      <w:r w:rsidR="009A66D2">
        <w:t xml:space="preserve"> (filed on Feb. 18, 2026).  </w:t>
      </w:r>
      <w:r w:rsidRPr="00152875">
        <w:t>Any action on the Application is without prejudice to Commission action on other related, pending applications.</w:t>
      </w:r>
    </w:p>
  </w:footnote>
  <w:footnote w:id="4">
    <w:p w:rsidR="00087ED8" w:rsidRPr="005240CD" w:rsidP="00087ED8" w14:paraId="6CA89F55" w14:textId="0A749A9B">
      <w:pPr>
        <w:pStyle w:val="FootnoteText"/>
      </w:pPr>
      <w:r w:rsidRPr="005240CD">
        <w:rPr>
          <w:rStyle w:val="FootnoteReference"/>
          <w:sz w:val="20"/>
        </w:rPr>
        <w:footnoteRef/>
      </w:r>
      <w:r w:rsidRPr="005240CD">
        <w:t xml:space="preserve"> </w:t>
      </w:r>
      <w:r w:rsidRPr="005240CD">
        <w:rPr>
          <w:i/>
        </w:rPr>
        <w:t>See</w:t>
      </w:r>
      <w:r w:rsidRPr="005240CD">
        <w:t xml:space="preserve"> 47 U.S.C. § 214(a); 47 CFR § 63.04.</w:t>
      </w:r>
    </w:p>
  </w:footnote>
  <w:footnote w:id="5">
    <w:p w:rsidR="00362E82" w:rsidRPr="009E7B81" w:rsidP="00362E82" w14:paraId="74B058CF" w14:textId="24AE3754">
      <w:pPr>
        <w:pStyle w:val="FootnoteText"/>
        <w:rPr>
          <w:b/>
          <w:bCs/>
        </w:rPr>
      </w:pPr>
      <w:r>
        <w:rPr>
          <w:rStyle w:val="FootnoteReference"/>
        </w:rPr>
        <w:footnoteRef/>
      </w:r>
      <w:r>
        <w:t xml:space="preserve"> </w:t>
      </w:r>
      <w:r w:rsidRPr="00163E09">
        <w:t>Application at 4</w:t>
      </w:r>
      <w:r w:rsidR="00BC6E70">
        <w:t xml:space="preserve">, </w:t>
      </w:r>
      <w:r>
        <w:t>Exh</w:t>
      </w:r>
      <w:r>
        <w:t xml:space="preserve">. </w:t>
      </w:r>
      <w:r w:rsidR="00BC6E70">
        <w:t>A</w:t>
      </w:r>
      <w:r>
        <w:t xml:space="preserve"> (</w:t>
      </w:r>
      <w:r w:rsidR="00BC6E70">
        <w:t xml:space="preserve">Pre- and </w:t>
      </w:r>
      <w:r>
        <w:t xml:space="preserve">Post-Close Ownership of </w:t>
      </w:r>
      <w:r w:rsidR="0039137B">
        <w:t>Licensees</w:t>
      </w:r>
      <w:r>
        <w:t>)</w:t>
      </w:r>
      <w:r w:rsidRPr="00163E09">
        <w:t>.</w:t>
      </w:r>
      <w:r w:rsidRPr="00181CE5">
        <w:t xml:space="preserve">  </w:t>
      </w:r>
      <w:r>
        <w:t xml:space="preserve">Applicants state that indirect control over Fiber </w:t>
      </w:r>
      <w:r>
        <w:t>FinCo</w:t>
      </w:r>
      <w:r>
        <w:t>, through an intermediate interest holder, Front Range JV</w:t>
      </w:r>
      <w:r w:rsidR="00AA6445">
        <w:t xml:space="preserve"> GP, LLC (</w:t>
      </w:r>
      <w:r w:rsidR="001A3CA6">
        <w:t>JV GP)</w:t>
      </w:r>
      <w:r>
        <w:t>, is exercised through the Board of Managers of JV GP, LLC</w:t>
      </w:r>
      <w:r w:rsidR="00B96FBA">
        <w:t xml:space="preserve">, which </w:t>
      </w:r>
      <w:r w:rsidR="00091DD3">
        <w:t xml:space="preserve">EQT and </w:t>
      </w:r>
      <w:r w:rsidR="00091DD3">
        <w:t>DigitalBridge</w:t>
      </w:r>
      <w:r w:rsidR="00091DD3">
        <w:t xml:space="preserve"> each exercise negative control</w:t>
      </w:r>
      <w:r w:rsidR="00E325C8">
        <w:t xml:space="preserve"> over</w:t>
      </w:r>
      <w:r>
        <w:t xml:space="preserve">.  </w:t>
      </w:r>
      <w:r w:rsidRPr="00576678" w:rsidR="00576678">
        <w:rPr>
          <w:i/>
          <w:iCs/>
        </w:rPr>
        <w:t>Id.</w:t>
      </w:r>
      <w:r w:rsidR="00576678">
        <w:t xml:space="preserve"> at 4.</w:t>
      </w:r>
      <w:r>
        <w:t xml:space="preserve"> </w:t>
      </w:r>
      <w:r w:rsidR="00A74C1E">
        <w:t xml:space="preserve"> </w:t>
      </w:r>
      <w:r>
        <w:t xml:space="preserve">The rights to nominate the Board members </w:t>
      </w:r>
      <w:r w:rsidR="007C2CB6">
        <w:t>are</w:t>
      </w:r>
      <w:r>
        <w:t xml:space="preserve"> described in the Application.  </w:t>
      </w:r>
      <w:r w:rsidRPr="003E49E3">
        <w:rPr>
          <w:i/>
          <w:iCs/>
        </w:rPr>
        <w:t>Id.</w:t>
      </w:r>
      <w:r>
        <w:t xml:space="preserve">  </w:t>
      </w:r>
      <w:r>
        <w:rPr>
          <w:szCs w:val="22"/>
        </w:rPr>
        <w:t xml:space="preserve">EQT is publicly traded on the Stockholm, Nasdaq and is majority owned by its partners. </w:t>
      </w:r>
      <w:r>
        <w:t xml:space="preserve"> </w:t>
      </w:r>
      <w:r w:rsidRPr="00D33E45">
        <w:rPr>
          <w:i/>
          <w:iCs/>
        </w:rPr>
        <w:t>Id</w:t>
      </w:r>
      <w:r>
        <w:t xml:space="preserve">. </w:t>
      </w:r>
      <w:r w:rsidRPr="001F4001">
        <w:t xml:space="preserve">at </w:t>
      </w:r>
      <w:r w:rsidR="00387788">
        <w:t>Exh</w:t>
      </w:r>
      <w:r w:rsidR="00BD0D3F">
        <w:t xml:space="preserve">. A </w:t>
      </w:r>
      <w:r w:rsidR="00C30C07">
        <w:t xml:space="preserve">at A-16 </w:t>
      </w:r>
      <w:r w:rsidR="00BD0D3F">
        <w:t>(Pre- and Post-Close Ownership of Licensees)</w:t>
      </w:r>
      <w:r>
        <w:t xml:space="preserve">.    </w:t>
      </w:r>
    </w:p>
  </w:footnote>
  <w:footnote w:id="6">
    <w:p w:rsidR="003D0C0C" w14:paraId="4F85679E" w14:textId="06E9A978">
      <w:pPr>
        <w:pStyle w:val="FootnoteText"/>
      </w:pPr>
      <w:r>
        <w:rPr>
          <w:rStyle w:val="FootnoteReference"/>
        </w:rPr>
        <w:footnoteRef/>
      </w:r>
      <w:r>
        <w:t xml:space="preserve"> </w:t>
      </w:r>
      <w:r w:rsidRPr="009B69D1" w:rsidR="009B69D1">
        <w:rPr>
          <w:i/>
          <w:iCs/>
        </w:rPr>
        <w:t>Id.</w:t>
      </w:r>
      <w:r w:rsidR="002443AC">
        <w:t xml:space="preserve"> at 1-2</w:t>
      </w:r>
      <w:r w:rsidR="00DF3B97">
        <w:t xml:space="preserve">, </w:t>
      </w:r>
      <w:r w:rsidR="00D14F42">
        <w:t xml:space="preserve">5, </w:t>
      </w:r>
      <w:r w:rsidR="00DF3B97">
        <w:t>8-10</w:t>
      </w:r>
      <w:r w:rsidR="002443AC">
        <w:t>.</w:t>
      </w:r>
      <w:r w:rsidR="00F772D0">
        <w:t xml:space="preserve"> </w:t>
      </w:r>
      <w:r w:rsidR="002443AC">
        <w:t xml:space="preserve"> </w:t>
      </w:r>
    </w:p>
  </w:footnote>
  <w:footnote w:id="7">
    <w:p w:rsidR="005922EF" w14:paraId="761A50AA" w14:textId="7437221A">
      <w:pPr>
        <w:pStyle w:val="FootnoteText"/>
      </w:pPr>
      <w:r>
        <w:rPr>
          <w:rStyle w:val="FootnoteReference"/>
        </w:rPr>
        <w:footnoteRef/>
      </w:r>
      <w:r>
        <w:t xml:space="preserve"> </w:t>
      </w:r>
      <w:r w:rsidR="00DA4608">
        <w:t xml:space="preserve">Applicants provide a more detailed description of </w:t>
      </w:r>
      <w:r w:rsidR="00C15A7F">
        <w:t xml:space="preserve">each Zayo Licensee and their service areas in the Application.  </w:t>
      </w:r>
      <w:r w:rsidRPr="00A37037" w:rsidR="00A37037">
        <w:t>Application</w:t>
      </w:r>
      <w:r w:rsidR="00A37037">
        <w:rPr>
          <w:i/>
          <w:iCs/>
        </w:rPr>
        <w:t xml:space="preserve"> </w:t>
      </w:r>
      <w:r w:rsidR="00C15A7F">
        <w:t xml:space="preserve">at </w:t>
      </w:r>
      <w:r w:rsidR="00A37037">
        <w:t>5</w:t>
      </w:r>
      <w:r w:rsidR="00C15A7F">
        <w:t>-7.</w:t>
      </w:r>
      <w:r w:rsidR="00447716">
        <w:t xml:space="preserve">  </w:t>
      </w:r>
      <w:r w:rsidR="00F01987">
        <w:t xml:space="preserve">Applicants state that the Licensees </w:t>
      </w:r>
      <w:r w:rsidR="0027171A">
        <w:t xml:space="preserve">do not receive </w:t>
      </w:r>
      <w:r w:rsidR="00EA3E55">
        <w:t xml:space="preserve">universal service high-cost support.  </w:t>
      </w:r>
      <w:r w:rsidRPr="00EA3E55" w:rsidR="00EA3E55">
        <w:rPr>
          <w:i/>
          <w:iCs/>
        </w:rPr>
        <w:t xml:space="preserve">Id. </w:t>
      </w:r>
      <w:r w:rsidR="00EA3E55">
        <w:t xml:space="preserve">at 27.  </w:t>
      </w:r>
      <w:r w:rsidR="00427038">
        <w:t xml:space="preserve">  </w:t>
      </w:r>
    </w:p>
  </w:footnote>
  <w:footnote w:id="8">
    <w:p w:rsidR="009C7A5A" w14:paraId="0AE3EB8B" w14:textId="79F9D4F9">
      <w:pPr>
        <w:pStyle w:val="FootnoteText"/>
      </w:pPr>
      <w:r>
        <w:rPr>
          <w:rStyle w:val="FootnoteReference"/>
        </w:rPr>
        <w:footnoteRef/>
      </w:r>
      <w:r>
        <w:t xml:space="preserve"> </w:t>
      </w:r>
      <w:r w:rsidRPr="00CB0B1E" w:rsidR="00AD163C">
        <w:rPr>
          <w:szCs w:val="22"/>
        </w:rPr>
        <w:t>DigitalBridge</w:t>
      </w:r>
      <w:r w:rsidRPr="00CB0B1E" w:rsidR="00AD163C">
        <w:rPr>
          <w:szCs w:val="22"/>
        </w:rPr>
        <w:t xml:space="preserve"> </w:t>
      </w:r>
      <w:r w:rsidR="00AD163C">
        <w:rPr>
          <w:szCs w:val="22"/>
        </w:rPr>
        <w:t>was</w:t>
      </w:r>
      <w:r w:rsidRPr="00CB0B1E" w:rsidR="00AD163C">
        <w:rPr>
          <w:szCs w:val="22"/>
        </w:rPr>
        <w:t xml:space="preserve"> a party to another application</w:t>
      </w:r>
      <w:r w:rsidR="00AD163C">
        <w:rPr>
          <w:szCs w:val="22"/>
        </w:rPr>
        <w:t>, which was granted by the Bureau,</w:t>
      </w:r>
      <w:r w:rsidRPr="00CB0B1E" w:rsidR="00AD163C">
        <w:rPr>
          <w:szCs w:val="22"/>
        </w:rPr>
        <w:t xml:space="preserve"> for the transfer of certain </w:t>
      </w:r>
      <w:r w:rsidR="00AD163C">
        <w:rPr>
          <w:szCs w:val="22"/>
        </w:rPr>
        <w:t xml:space="preserve">fiber </w:t>
      </w:r>
      <w:r w:rsidRPr="00CB0B1E" w:rsidR="00AD163C">
        <w:rPr>
          <w:szCs w:val="22"/>
        </w:rPr>
        <w:t xml:space="preserve">assets, including domestic section 214 authority, held by Crown Castle Fiber LLC to Fiber </w:t>
      </w:r>
      <w:r w:rsidRPr="00CB0B1E" w:rsidR="00AD163C">
        <w:rPr>
          <w:szCs w:val="22"/>
        </w:rPr>
        <w:t>NewCo</w:t>
      </w:r>
      <w:r w:rsidRPr="00CB0B1E" w:rsidR="00AD163C">
        <w:rPr>
          <w:szCs w:val="22"/>
        </w:rPr>
        <w:t xml:space="preserve"> LLC and Fiber </w:t>
      </w:r>
      <w:r w:rsidRPr="00CB0B1E" w:rsidR="00AD163C">
        <w:rPr>
          <w:szCs w:val="22"/>
        </w:rPr>
        <w:t>AssetCo</w:t>
      </w:r>
      <w:r w:rsidRPr="00CB0B1E" w:rsidR="00AD163C">
        <w:rPr>
          <w:szCs w:val="22"/>
        </w:rPr>
        <w:t xml:space="preserve"> LLC</w:t>
      </w:r>
      <w:r w:rsidR="00AD163C">
        <w:rPr>
          <w:szCs w:val="22"/>
        </w:rPr>
        <w:t xml:space="preserve"> and Fiber </w:t>
      </w:r>
      <w:r w:rsidR="00AD163C">
        <w:rPr>
          <w:szCs w:val="22"/>
        </w:rPr>
        <w:t>AssetCo</w:t>
      </w:r>
      <w:r w:rsidR="00AD163C">
        <w:rPr>
          <w:szCs w:val="22"/>
        </w:rPr>
        <w:t xml:space="preserve"> LLC</w:t>
      </w:r>
      <w:r w:rsidRPr="00CB0B1E" w:rsidR="00AD163C">
        <w:rPr>
          <w:szCs w:val="22"/>
        </w:rPr>
        <w:t xml:space="preserve"> (the Zayo/Crown Transaction), </w:t>
      </w:r>
      <w:r w:rsidR="00AD163C">
        <w:rPr>
          <w:szCs w:val="22"/>
        </w:rPr>
        <w:t xml:space="preserve">through which </w:t>
      </w:r>
      <w:r w:rsidRPr="00CB0B1E" w:rsidR="00AD163C">
        <w:rPr>
          <w:szCs w:val="22"/>
        </w:rPr>
        <w:t>the Zayo/Crown Licensees become indirect subsidiaries of Zayo Parent.</w:t>
      </w:r>
      <w:r w:rsidR="00AD163C">
        <w:rPr>
          <w:szCs w:val="22"/>
        </w:rPr>
        <w:t xml:space="preserve">  </w:t>
      </w:r>
      <w:r w:rsidRPr="0017544D" w:rsidR="0017544D">
        <w:t>Application</w:t>
      </w:r>
      <w:r w:rsidRPr="009C7A5A">
        <w:rPr>
          <w:i/>
          <w:iCs/>
        </w:rPr>
        <w:t>.</w:t>
      </w:r>
      <w:r>
        <w:t xml:space="preserve"> at </w:t>
      </w:r>
      <w:r w:rsidR="004122AD">
        <w:t xml:space="preserve">3, </w:t>
      </w:r>
      <w:r>
        <w:t>7</w:t>
      </w:r>
      <w:r w:rsidR="00FD6F46">
        <w:t>-8</w:t>
      </w:r>
      <w:r>
        <w:t>.</w:t>
      </w:r>
      <w:r w:rsidR="00D864E3">
        <w:t xml:space="preserve">  </w:t>
      </w:r>
      <w:r w:rsidR="004122AD">
        <w:rPr>
          <w:i/>
          <w:iCs/>
        </w:rPr>
        <w:t>S</w:t>
      </w:r>
      <w:r w:rsidRPr="00700991" w:rsidR="004122AD">
        <w:rPr>
          <w:i/>
          <w:iCs/>
        </w:rPr>
        <w:t>ee</w:t>
      </w:r>
      <w:r w:rsidRPr="00700991" w:rsidR="004122AD">
        <w:t xml:space="preserve"> </w:t>
      </w:r>
      <w:r w:rsidRPr="00700991" w:rsidR="004122AD">
        <w:rPr>
          <w:i/>
          <w:iCs/>
        </w:rPr>
        <w:t xml:space="preserve">Domestic Section 214 Application Granted for the Transfer of Control of Certain Subsidiaries of Crown Castle Operating Company to Fiber Finco, an Indirect Subsidiary of EQT AB and </w:t>
      </w:r>
      <w:r w:rsidRPr="00700991" w:rsidR="004122AD">
        <w:rPr>
          <w:i/>
          <w:iCs/>
        </w:rPr>
        <w:t>DigitalBridge</w:t>
      </w:r>
      <w:r w:rsidRPr="00700991" w:rsidR="004122AD">
        <w:rPr>
          <w:i/>
          <w:iCs/>
        </w:rPr>
        <w:t xml:space="preserve"> Group, Inc.</w:t>
      </w:r>
      <w:r w:rsidRPr="00700991" w:rsidR="004122AD">
        <w:t>, WC Docket No. 25-174, DA 26-405 (WCB 2026)</w:t>
      </w:r>
      <w:r w:rsidR="004122AD">
        <w:t xml:space="preserve">.  </w:t>
      </w:r>
      <w:r w:rsidR="00C84BEC">
        <w:rPr>
          <w:szCs w:val="22"/>
        </w:rPr>
        <w:t>EQT shares negative control o</w:t>
      </w:r>
      <w:r w:rsidR="00A94127">
        <w:rPr>
          <w:szCs w:val="22"/>
        </w:rPr>
        <w:t>f the Lumos Fiber entities</w:t>
      </w:r>
      <w:r w:rsidR="00AC4669">
        <w:rPr>
          <w:szCs w:val="22"/>
        </w:rPr>
        <w:t xml:space="preserve">, </w:t>
      </w:r>
      <w:r w:rsidR="00A94127">
        <w:rPr>
          <w:szCs w:val="22"/>
        </w:rPr>
        <w:t xml:space="preserve">thus, </w:t>
      </w:r>
      <w:r w:rsidR="009A63C6">
        <w:rPr>
          <w:szCs w:val="22"/>
        </w:rPr>
        <w:t xml:space="preserve">the Zayo Licensees </w:t>
      </w:r>
      <w:r w:rsidRPr="00940ED4" w:rsidR="00FD0BC4">
        <w:rPr>
          <w:szCs w:val="22"/>
        </w:rPr>
        <w:t xml:space="preserve">are also affiliated with the </w:t>
      </w:r>
      <w:r w:rsidRPr="00940ED4" w:rsidR="00FD0BC4">
        <w:t>Lumos Fiber entities and its affiliates</w:t>
      </w:r>
      <w:r w:rsidR="005A372B">
        <w:t xml:space="preserve">, </w:t>
      </w:r>
      <w:r w:rsidRPr="00940ED4" w:rsidR="00FD0BC4">
        <w:t>which provide services as incumbent local exchange carriers (LECs) and competitive LECs in multiple states</w:t>
      </w:r>
      <w:r w:rsidRPr="00940ED4" w:rsidR="00FD0BC4">
        <w:rPr>
          <w:szCs w:val="22"/>
        </w:rPr>
        <w:t xml:space="preserve">, </w:t>
      </w:r>
      <w:r w:rsidRPr="00940ED4" w:rsidR="00FD0BC4">
        <w:t xml:space="preserve">and with other companies </w:t>
      </w:r>
      <w:r w:rsidRPr="00940ED4" w:rsidR="00FD0BC4">
        <w:rPr>
          <w:szCs w:val="22"/>
        </w:rPr>
        <w:t>providing domestic telecommunications services</w:t>
      </w:r>
      <w:r w:rsidRPr="00940ED4" w:rsidR="00FD0BC4">
        <w:t>.</w:t>
      </w:r>
      <w:r w:rsidR="009B4A83">
        <w:t xml:space="preserve">  </w:t>
      </w:r>
      <w:r w:rsidR="007C2CB6">
        <w:t>Application</w:t>
      </w:r>
      <w:r w:rsidR="00077597">
        <w:t xml:space="preserve"> at 23-24.  </w:t>
      </w:r>
    </w:p>
  </w:footnote>
  <w:footnote w:id="9">
    <w:p w:rsidR="00C83549" w14:paraId="2D6F63E6" w14:textId="2A345C8B">
      <w:pPr>
        <w:pStyle w:val="FootnoteText"/>
      </w:pPr>
      <w:r>
        <w:rPr>
          <w:rStyle w:val="FootnoteReference"/>
        </w:rPr>
        <w:footnoteRef/>
      </w:r>
      <w:r>
        <w:t xml:space="preserve"> </w:t>
      </w:r>
      <w:r w:rsidRPr="00FD07B2" w:rsidR="00FD07B2">
        <w:t>Application</w:t>
      </w:r>
      <w:r w:rsidR="00FD07B2">
        <w:rPr>
          <w:i/>
          <w:iCs/>
        </w:rPr>
        <w:t xml:space="preserve"> </w:t>
      </w:r>
      <w:r>
        <w:t xml:space="preserve">at 4. </w:t>
      </w:r>
    </w:p>
  </w:footnote>
  <w:footnote w:id="10">
    <w:p w:rsidR="00C20F73" w:rsidP="00C20F73" w14:paraId="5D9EE1C7" w14:textId="56F4F740">
      <w:pPr>
        <w:pStyle w:val="FootnoteText"/>
      </w:pPr>
      <w:r>
        <w:rPr>
          <w:rStyle w:val="FootnoteReference"/>
        </w:rPr>
        <w:footnoteRef/>
      </w:r>
      <w:r>
        <w:t xml:space="preserve"> </w:t>
      </w:r>
      <w:r w:rsidRPr="0017544D" w:rsidR="0017544D">
        <w:rPr>
          <w:i/>
          <w:iCs/>
        </w:rPr>
        <w:t>Id.</w:t>
      </w:r>
      <w:r w:rsidR="0017544D">
        <w:t xml:space="preserve"> </w:t>
      </w:r>
      <w:r>
        <w:t xml:space="preserve">at </w:t>
      </w:r>
      <w:r w:rsidR="00F81F5F">
        <w:t>5</w:t>
      </w:r>
      <w:r>
        <w:t>.</w:t>
      </w:r>
      <w:r w:rsidR="002355BF">
        <w:t xml:space="preserve">  </w:t>
      </w:r>
    </w:p>
  </w:footnote>
  <w:footnote w:id="11">
    <w:p w:rsidR="00C20F73" w:rsidRPr="001C3EB2" w:rsidP="00C20F73" w14:paraId="0D57222F" w14:textId="3C173806">
      <w:pPr>
        <w:pStyle w:val="FootnoteText"/>
      </w:pPr>
      <w:r>
        <w:rPr>
          <w:rStyle w:val="FootnoteReference"/>
        </w:rPr>
        <w:footnoteRef/>
      </w:r>
      <w:r>
        <w:t xml:space="preserve"> </w:t>
      </w:r>
      <w:r w:rsidRPr="00E05748">
        <w:rPr>
          <w:i/>
          <w:iCs/>
        </w:rPr>
        <w:t>Id.</w:t>
      </w:r>
      <w:r w:rsidR="002A4B28">
        <w:t xml:space="preserve"> at 24.</w:t>
      </w:r>
    </w:p>
  </w:footnote>
  <w:footnote w:id="12">
    <w:p w:rsidR="00BE4013" w:rsidP="00BE4013" w14:paraId="13347BF9" w14:textId="482CA9C0">
      <w:pPr>
        <w:pStyle w:val="FootnoteText"/>
      </w:pPr>
      <w:r>
        <w:rPr>
          <w:rStyle w:val="FootnoteReference"/>
        </w:rPr>
        <w:footnoteRef/>
      </w:r>
      <w:r>
        <w:t xml:space="preserve"> </w:t>
      </w:r>
      <w:r w:rsidRPr="00FA7AEC">
        <w:rPr>
          <w:i/>
          <w:iCs/>
        </w:rPr>
        <w:t>Id</w:t>
      </w:r>
      <w:r w:rsidRPr="00885582">
        <w:t>.</w:t>
      </w:r>
      <w:r w:rsidR="0081011E">
        <w:t xml:space="preserve">  Applicants state that </w:t>
      </w:r>
      <w:r w:rsidR="009C33CF">
        <w:t xml:space="preserve">neither Duncan nor its affiliates receive high-cost support.  </w:t>
      </w:r>
      <w:r w:rsidRPr="009C33CF" w:rsidR="009C33CF">
        <w:rPr>
          <w:i/>
          <w:iCs/>
        </w:rPr>
        <w:t>Id.</w:t>
      </w:r>
      <w:r w:rsidR="009C33CF">
        <w:t xml:space="preserve"> at 27.</w:t>
      </w:r>
    </w:p>
  </w:footnote>
  <w:footnote w:id="13">
    <w:p w:rsidR="00C20F73" w:rsidP="00C20F73" w14:paraId="62C70B96" w14:textId="1BF8845D">
      <w:pPr>
        <w:pStyle w:val="FootnoteText"/>
      </w:pPr>
      <w:r>
        <w:rPr>
          <w:rStyle w:val="FootnoteReference"/>
        </w:rPr>
        <w:footnoteRef/>
      </w:r>
      <w:r>
        <w:t xml:space="preserve"> </w:t>
      </w:r>
      <w:r w:rsidRPr="002778D4">
        <w:rPr>
          <w:i/>
          <w:iCs/>
        </w:rPr>
        <w:t>Id</w:t>
      </w:r>
      <w:r>
        <w:t xml:space="preserve">. at 4, </w:t>
      </w:r>
      <w:r>
        <w:t>Exh</w:t>
      </w:r>
      <w:r>
        <w:t xml:space="preserve">. A, </w:t>
      </w:r>
      <w:r>
        <w:t>Exh</w:t>
      </w:r>
      <w:r>
        <w:t xml:space="preserve">. B.  </w:t>
      </w:r>
    </w:p>
  </w:footnote>
  <w:footnote w:id="14">
    <w:p w:rsidR="00A572EC" w14:paraId="38B4D1AC" w14:textId="5A63AFAB">
      <w:pPr>
        <w:pStyle w:val="FootnoteText"/>
      </w:pPr>
      <w:r>
        <w:rPr>
          <w:rStyle w:val="FootnoteReference"/>
        </w:rPr>
        <w:footnoteRef/>
      </w:r>
      <w:r>
        <w:t xml:space="preserve"> </w:t>
      </w:r>
      <w:r w:rsidRPr="004403AF" w:rsidR="004403AF">
        <w:rPr>
          <w:i/>
          <w:iCs/>
        </w:rPr>
        <w:t>Id.</w:t>
      </w:r>
      <w:r w:rsidR="004403AF">
        <w:t xml:space="preserve"> at 8.</w:t>
      </w:r>
    </w:p>
  </w:footnote>
  <w:footnote w:id="15">
    <w:p w:rsidR="003F6003" w14:paraId="2C247F71" w14:textId="3307F82E">
      <w:pPr>
        <w:pStyle w:val="FootnoteText"/>
      </w:pPr>
      <w:r>
        <w:rPr>
          <w:rStyle w:val="FootnoteReference"/>
        </w:rPr>
        <w:footnoteRef/>
      </w:r>
      <w:r>
        <w:t xml:space="preserve"> </w:t>
      </w:r>
      <w:r w:rsidRPr="0096771C" w:rsidR="0096771C">
        <w:rPr>
          <w:i/>
          <w:iCs/>
        </w:rPr>
        <w:t>Id.</w:t>
      </w:r>
    </w:p>
  </w:footnote>
  <w:footnote w:id="16">
    <w:p w:rsidR="00AD35A8" w14:paraId="4DC2F644" w14:textId="34090653">
      <w:pPr>
        <w:pStyle w:val="FootnoteText"/>
      </w:pPr>
      <w:r>
        <w:rPr>
          <w:rStyle w:val="FootnoteReference"/>
        </w:rPr>
        <w:footnoteRef/>
      </w:r>
      <w:r>
        <w:t xml:space="preserve"> </w:t>
      </w:r>
      <w:r w:rsidRPr="007D3B5A" w:rsidR="007D3B5A">
        <w:rPr>
          <w:i/>
          <w:iCs/>
        </w:rPr>
        <w:t>Id.</w:t>
      </w:r>
      <w:r w:rsidR="007D3B5A">
        <w:t xml:space="preserve"> at 9.</w:t>
      </w:r>
    </w:p>
  </w:footnote>
  <w:footnote w:id="17">
    <w:p w:rsidR="00AD35A8" w14:paraId="78B968E9" w14:textId="6FA4E5AB">
      <w:pPr>
        <w:pStyle w:val="FootnoteText"/>
      </w:pPr>
      <w:r>
        <w:rPr>
          <w:rStyle w:val="FootnoteReference"/>
        </w:rPr>
        <w:footnoteRef/>
      </w:r>
      <w:r>
        <w:t xml:space="preserve"> </w:t>
      </w:r>
      <w:r w:rsidRPr="006B3A19" w:rsidR="006B3A19">
        <w:rPr>
          <w:i/>
          <w:iCs/>
        </w:rPr>
        <w:t>Id.</w:t>
      </w:r>
      <w:r w:rsidR="006B3A19">
        <w:t xml:space="preserve"> </w:t>
      </w:r>
    </w:p>
  </w:footnote>
  <w:footnote w:id="18">
    <w:p w:rsidR="00B86B35" w14:paraId="29D1759D" w14:textId="5CFBFEC8">
      <w:pPr>
        <w:pStyle w:val="FootnoteText"/>
      </w:pPr>
      <w:r>
        <w:rPr>
          <w:rStyle w:val="FootnoteReference"/>
        </w:rPr>
        <w:footnoteRef/>
      </w:r>
      <w:r>
        <w:t xml:space="preserve"> </w:t>
      </w:r>
      <w:r w:rsidRPr="00B86B35">
        <w:rPr>
          <w:i/>
          <w:iCs/>
        </w:rPr>
        <w:t>Id</w:t>
      </w:r>
      <w:r>
        <w:t>.</w:t>
      </w:r>
    </w:p>
  </w:footnote>
  <w:footnote w:id="19">
    <w:p w:rsidR="000E5B3D" w:rsidRPr="003C1347" w:rsidP="000E5B3D" w14:paraId="13C332EA" w14:textId="189CC698">
      <w:pPr>
        <w:pStyle w:val="FootnoteText"/>
      </w:pPr>
      <w:r w:rsidRPr="003C1347">
        <w:rPr>
          <w:rStyle w:val="FootnoteReference"/>
          <w:sz w:val="20"/>
        </w:rPr>
        <w:footnoteRef/>
      </w:r>
      <w:r w:rsidRPr="003C1347">
        <w:t xml:space="preserve"> </w:t>
      </w:r>
      <w:r w:rsidRPr="003C1347">
        <w:rPr>
          <w:i/>
          <w:iCs/>
        </w:rPr>
        <w:t>Id.</w:t>
      </w:r>
      <w:r w:rsidRPr="003C1347">
        <w:t xml:space="preserve"> at </w:t>
      </w:r>
      <w:r w:rsidR="00AD707C">
        <w:t>10-12, 25</w:t>
      </w:r>
      <w:r w:rsidRPr="003C1347">
        <w:t>.</w:t>
      </w:r>
    </w:p>
  </w:footnote>
  <w:footnote w:id="20">
    <w:p w:rsidR="000E5B3D" w:rsidRPr="003C1347" w:rsidP="000E5B3D" w14:paraId="42850364" w14:textId="4D6652E0">
      <w:pPr>
        <w:pStyle w:val="FootnoteText"/>
      </w:pPr>
      <w:r w:rsidRPr="003C1347">
        <w:rPr>
          <w:rStyle w:val="FootnoteReference"/>
          <w:sz w:val="20"/>
        </w:rPr>
        <w:footnoteRef/>
      </w:r>
      <w:r w:rsidRPr="003C1347">
        <w:t xml:space="preserve"> 47 CFR § 63.03(b)(</w:t>
      </w:r>
      <w:r w:rsidR="003B7B91">
        <w:t>1</w:t>
      </w:r>
      <w:r w:rsidRPr="003C1347">
        <w:t>)</w:t>
      </w:r>
      <w:r w:rsidR="00AC6A70">
        <w:t>(ii)</w:t>
      </w:r>
      <w:r w:rsidRPr="003C1347">
        <w:t>.</w:t>
      </w:r>
    </w:p>
  </w:footnote>
  <w:footnote w:id="21">
    <w:p w:rsidR="00376B38" w:rsidRPr="00DF7EFA" w:rsidP="00376B38" w14:paraId="2AD5E99C" w14:textId="77777777">
      <w:pPr>
        <w:pStyle w:val="FootnoteText"/>
      </w:pPr>
      <w:r w:rsidRPr="00D52FE6">
        <w:rPr>
          <w:rStyle w:val="FootnoteReference"/>
          <w:rFonts w:eastAsia="Yu Gothic Light"/>
        </w:rPr>
        <w:footnoteRef/>
      </w:r>
      <w:r w:rsidRPr="00A87953">
        <w:t xml:space="preserve"> </w:t>
      </w:r>
      <w:r w:rsidRPr="00DF7EFA">
        <w:rPr>
          <w:i/>
          <w:iCs/>
        </w:rPr>
        <w:t>Process Reform for Executive Branch Review of Certain FCC Applications and Petitions Involving Foreign Ownership</w:t>
      </w:r>
      <w:r w:rsidRPr="00DF7EFA">
        <w:t>, IB Docket No. 16-155, Report and Order, 35 FCC Rcd 10927, 10939, para. 30 (2020) (</w:t>
      </w:r>
      <w:r w:rsidRPr="00DF7EFA">
        <w:rPr>
          <w:i/>
          <w:iCs/>
        </w:rPr>
        <w:t>Executive Branch Review Process Order</w:t>
      </w:r>
      <w:r w:rsidRPr="00DF7EFA">
        <w:t xml:space="preserve">); </w:t>
      </w:r>
      <w:r w:rsidRPr="00DF7EFA">
        <w:rPr>
          <w:i/>
          <w:iCs/>
        </w:rPr>
        <w:t>see also</w:t>
      </w:r>
      <w:r w:rsidRPr="00DF7EFA">
        <w:t xml:space="preserve"> 47 CFR § 1.40001(a)(2)(iii). </w:t>
      </w:r>
    </w:p>
  </w:footnote>
  <w:footnote w:id="22">
    <w:p w:rsidR="00376B38" w:rsidRPr="00DF7EFA" w:rsidP="00376B38" w14:paraId="6B6FD28C" w14:textId="77777777">
      <w:pPr>
        <w:pStyle w:val="FootnoteText"/>
      </w:pPr>
      <w:r w:rsidRPr="00D52FE6">
        <w:rPr>
          <w:rStyle w:val="FootnoteReference"/>
          <w:rFonts w:eastAsia="Yu Gothic Light"/>
        </w:rPr>
        <w:footnoteRef/>
      </w:r>
      <w:r w:rsidRPr="00DF7EFA">
        <w:t xml:space="preserve"> Application at 1</w:t>
      </w:r>
      <w:r>
        <w:t>2</w:t>
      </w:r>
      <w:r w:rsidRPr="00DF7EFA">
        <w:t>.</w:t>
      </w:r>
    </w:p>
  </w:footnote>
  <w:footnote w:id="23">
    <w:p w:rsidR="00376B38" w:rsidRPr="00DF7EFA" w:rsidP="00376B38" w14:paraId="3BED2CA3" w14:textId="7F772E9C">
      <w:pPr>
        <w:pStyle w:val="FootnoteText"/>
        <w:rPr>
          <w:i/>
          <w:iCs/>
        </w:rPr>
      </w:pPr>
      <w:r w:rsidRPr="00DF7EFA">
        <w:rPr>
          <w:rStyle w:val="FootnoteReference"/>
        </w:rPr>
        <w:footnoteRef/>
      </w:r>
      <w:r w:rsidRPr="00DF7EFA">
        <w:t xml:space="preserve"> </w:t>
      </w:r>
      <w:r w:rsidR="003D2EE5">
        <w:t>Application at 29-3</w:t>
      </w:r>
      <w:r w:rsidR="00692202">
        <w:t>2</w:t>
      </w:r>
      <w:r w:rsidR="00DA0DFD">
        <w:t xml:space="preserve">.  </w:t>
      </w:r>
      <w:r w:rsidRPr="00873D02" w:rsidR="00DA0DFD">
        <w:rPr>
          <w:i/>
          <w:iCs/>
        </w:rPr>
        <w:t>See</w:t>
      </w:r>
      <w:r w:rsidR="00DA0DFD">
        <w:t xml:space="preserve"> Petition to Adopt Conditions to Authorization and License</w:t>
      </w:r>
      <w:r w:rsidRPr="003D5B95" w:rsidR="00DA0DFD">
        <w:t xml:space="preserve">, </w:t>
      </w:r>
      <w:r w:rsidRPr="003D5B95" w:rsidR="00DA0DFD">
        <w:rPr>
          <w:color w:val="000000"/>
        </w:rPr>
        <w:t xml:space="preserve">WC Docket No. </w:t>
      </w:r>
      <w:r w:rsidR="00DA0DFD">
        <w:rPr>
          <w:color w:val="000000"/>
        </w:rPr>
        <w:t>25</w:t>
      </w:r>
      <w:r w:rsidRPr="003D5B95" w:rsidR="00DA0DFD">
        <w:rPr>
          <w:color w:val="000000"/>
        </w:rPr>
        <w:t>-</w:t>
      </w:r>
      <w:r w:rsidR="00DA0DFD">
        <w:rPr>
          <w:color w:val="000000"/>
        </w:rPr>
        <w:t>174</w:t>
      </w:r>
      <w:r w:rsidRPr="003D5B95" w:rsidR="00DA0DFD">
        <w:rPr>
          <w:color w:val="000000"/>
        </w:rPr>
        <w:t>; File Nos. ITC-</w:t>
      </w:r>
      <w:r w:rsidR="00DA0DFD">
        <w:rPr>
          <w:color w:val="000000"/>
        </w:rPr>
        <w:t>ASG</w:t>
      </w:r>
      <w:r w:rsidRPr="003D5B95" w:rsidR="00DA0DFD">
        <w:rPr>
          <w:color w:val="000000"/>
        </w:rPr>
        <w:t xml:space="preserve"> -20</w:t>
      </w:r>
      <w:r w:rsidR="00DA0DFD">
        <w:rPr>
          <w:color w:val="000000"/>
        </w:rPr>
        <w:t>250515-0004</w:t>
      </w:r>
      <w:r w:rsidRPr="003D5B95" w:rsidR="00DA0DFD">
        <w:rPr>
          <w:color w:val="000000"/>
        </w:rPr>
        <w:t>, et al.</w:t>
      </w:r>
      <w:r w:rsidR="00DA0DFD">
        <w:rPr>
          <w:color w:val="000000"/>
        </w:rPr>
        <w:t xml:space="preserve">, Attach. </w:t>
      </w:r>
      <w:r w:rsidRPr="003D5B95" w:rsidR="00DA0DFD">
        <w:t>(dated J</w:t>
      </w:r>
      <w:r w:rsidR="00DA0DFD">
        <w:t>une</w:t>
      </w:r>
      <w:r w:rsidRPr="003D5B95" w:rsidR="00DA0DFD">
        <w:t xml:space="preserve"> </w:t>
      </w:r>
      <w:r w:rsidR="00DA0DFD">
        <w:t>12</w:t>
      </w:r>
      <w:r w:rsidRPr="003D5B95" w:rsidR="00DA0DFD">
        <w:t>, 202</w:t>
      </w:r>
      <w:r w:rsidR="00DA0DFD">
        <w:t>6</w:t>
      </w:r>
      <w:r w:rsidRPr="003D5B95" w:rsidR="00DA0DFD">
        <w:t>)</w:t>
      </w:r>
      <w:r w:rsidR="00DA0DFD">
        <w:t xml:space="preserve"> </w:t>
      </w:r>
      <w:r w:rsidR="00725053">
        <w:t>(Petition)</w:t>
      </w:r>
      <w:r w:rsidR="00DA0DFD">
        <w:t>.</w:t>
      </w:r>
    </w:p>
  </w:footnote>
  <w:footnote w:id="24">
    <w:p w:rsidR="0058325B" w:rsidP="0058325B" w14:paraId="275E7FBB" w14:textId="4BFC93DD">
      <w:pPr>
        <w:pStyle w:val="FootnoteText"/>
      </w:pPr>
      <w:r>
        <w:rPr>
          <w:rStyle w:val="FootnoteReference"/>
        </w:rPr>
        <w:footnoteRef/>
      </w:r>
      <w:r>
        <w:t xml:space="preserve"> Application at 3</w:t>
      </w:r>
      <w:r w:rsidR="00C518EA">
        <w:t>2</w:t>
      </w:r>
      <w:r>
        <w:t xml:space="preserve">.  </w:t>
      </w:r>
    </w:p>
  </w:footnote>
  <w:footnote w:id="25">
    <w:p w:rsidR="00376B38" w:rsidRPr="00DC368C" w:rsidP="00376B38" w14:paraId="78649DF3" w14:textId="77777777">
      <w:pPr>
        <w:pStyle w:val="FootnoteText"/>
      </w:pPr>
      <w:r w:rsidRPr="00DF7EFA">
        <w:rPr>
          <w:rStyle w:val="FootnoteReference"/>
        </w:rPr>
        <w:footnoteRef/>
      </w:r>
      <w:r w:rsidRPr="00DF7EFA">
        <w:t xml:space="preserve"> </w:t>
      </w:r>
      <w:r>
        <w:rPr>
          <w:i/>
          <w:iCs/>
        </w:rPr>
        <w:t>Id</w:t>
      </w:r>
      <w:r>
        <w:t xml:space="preserve">. </w:t>
      </w:r>
    </w:p>
  </w:footnote>
  <w:footnote w:id="26">
    <w:p w:rsidR="00376B38" w:rsidRPr="00DF7EFA" w:rsidP="00376B38" w14:paraId="470C5CB4" w14:textId="77777777">
      <w:pPr>
        <w:pStyle w:val="FootnoteText"/>
      </w:pPr>
      <w:r w:rsidRPr="00D52FE6">
        <w:rPr>
          <w:rStyle w:val="FootnoteReference"/>
          <w:rFonts w:eastAsia="Yu Gothic Light"/>
        </w:rPr>
        <w:footnoteRef/>
      </w:r>
      <w:r w:rsidRPr="00DF7EFA">
        <w:t xml:space="preserve"> </w:t>
      </w:r>
      <w:r w:rsidRPr="00DF7EFA">
        <w:rPr>
          <w:i/>
          <w:iCs/>
        </w:rPr>
        <w:t>See</w:t>
      </w:r>
      <w:r w:rsidRPr="00DF7EFA">
        <w:t xml:space="preserve"> </w:t>
      </w:r>
      <w:r w:rsidRPr="00DF7EFA">
        <w:rPr>
          <w:i/>
          <w:iCs/>
        </w:rPr>
        <w:t>Executive Branch Review Process Order</w:t>
      </w:r>
      <w:r w:rsidRPr="00DF7EFA">
        <w:t xml:space="preserve"> at 10939, para 30 n.81.</w:t>
      </w:r>
    </w:p>
  </w:footnote>
  <w:footnote w:id="27">
    <w:p w:rsidR="00474F24" w:rsidRPr="001E796C" w:rsidP="00474F24" w14:paraId="5949515D" w14:textId="77777777">
      <w:pPr>
        <w:pStyle w:val="FootnoteText"/>
      </w:pPr>
      <w:r w:rsidRPr="001E796C">
        <w:rPr>
          <w:rStyle w:val="FootnoteReference"/>
        </w:rPr>
        <w:footnoteRef/>
      </w:r>
      <w:r w:rsidRPr="001E796C">
        <w:t xml:space="preserve"> </w:t>
      </w:r>
      <w:r w:rsidRPr="001E796C">
        <w:rPr>
          <w:i/>
        </w:rPr>
        <w:t>See</w:t>
      </w:r>
      <w:r w:rsidRPr="001E796C">
        <w:t xml:space="preserve"> 47 CFR § 1.45(c).</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E7FCBA3" w14:textId="199814F3">
    <w:pPr>
      <w:tabs>
        <w:tab w:val="center" w:pos="4680"/>
        <w:tab w:val="right" w:pos="9360"/>
      </w:tabs>
    </w:pPr>
    <w:r>
      <w:rPr>
        <w:b/>
      </w:rPr>
      <w:tab/>
      <w:t>Federal Communications Commission</w:t>
    </w:r>
    <w:r>
      <w:rPr>
        <w:b/>
      </w:rPr>
      <w:tab/>
    </w:r>
    <w:r w:rsidR="009A6574">
      <w:rPr>
        <w:b/>
      </w:rPr>
      <w:t>DA 2</w:t>
    </w:r>
    <w:r w:rsidR="002F6D68">
      <w:rPr>
        <w:b/>
      </w:rPr>
      <w:t>6</w:t>
    </w:r>
    <w:r w:rsidR="009A6574">
      <w:rPr>
        <w:b/>
      </w:rPr>
      <w:t>-</w:t>
    </w:r>
    <w:r w:rsidR="00BC24C2">
      <w:rPr>
        <w:b/>
      </w:rPr>
      <w:t>634</w:t>
    </w:r>
  </w:p>
  <w:p w:rsidR="00BA3BA8" w14:paraId="47B3F9FE" w14:textId="02D68A6B">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5E8A4D94"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6FBD0559" w14:textId="37959955">
    <w:pPr>
      <w:pStyle w:val="Header"/>
    </w:pPr>
    <w:r>
      <w:rPr>
        <w:noProof/>
      </w:rPr>
      <w:drawing>
        <wp:inline distT="0" distB="0" distL="0" distR="0">
          <wp:extent cx="594995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995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059305A"/>
    <w:multiLevelType w:val="multilevel"/>
    <w:tmpl w:val="57A4B5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2B790B01"/>
    <w:multiLevelType w:val="hybridMultilevel"/>
    <w:tmpl w:val="0F98B5E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7">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8">
    <w:nsid w:val="6A614CCE"/>
    <w:multiLevelType w:val="hybridMultilevel"/>
    <w:tmpl w:val="4D4AA4E6"/>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6BE20A48"/>
    <w:multiLevelType w:val="multilevel"/>
    <w:tmpl w:val="584238C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30445072">
    <w:abstractNumId w:val="2"/>
  </w:num>
  <w:num w:numId="2" w16cid:durableId="10450596">
    <w:abstractNumId w:val="7"/>
  </w:num>
  <w:num w:numId="3" w16cid:durableId="1446579033">
    <w:abstractNumId w:val="4"/>
  </w:num>
  <w:num w:numId="4" w16cid:durableId="301204587">
    <w:abstractNumId w:val="6"/>
  </w:num>
  <w:num w:numId="5" w16cid:durableId="444347286">
    <w:abstractNumId w:val="3"/>
  </w:num>
  <w:num w:numId="6" w16cid:durableId="1088965938">
    <w:abstractNumId w:val="0"/>
  </w:num>
  <w:num w:numId="7" w16cid:durableId="2096245613">
    <w:abstractNumId w:val="8"/>
  </w:num>
  <w:num w:numId="8" w16cid:durableId="823476080">
    <w:abstractNumId w:val="1"/>
  </w:num>
  <w:num w:numId="9" w16cid:durableId="1831603079">
    <w:abstractNumId w:val="9"/>
  </w:num>
  <w:num w:numId="10" w16cid:durableId="174675487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7ED8"/>
    <w:rsid w:val="0000029E"/>
    <w:rsid w:val="00000B06"/>
    <w:rsid w:val="00002E74"/>
    <w:rsid w:val="000038D9"/>
    <w:rsid w:val="0000463B"/>
    <w:rsid w:val="00004948"/>
    <w:rsid w:val="00004AAB"/>
    <w:rsid w:val="00004E27"/>
    <w:rsid w:val="00005029"/>
    <w:rsid w:val="00005A77"/>
    <w:rsid w:val="00005B46"/>
    <w:rsid w:val="000060AD"/>
    <w:rsid w:val="00007F5A"/>
    <w:rsid w:val="00012118"/>
    <w:rsid w:val="00012F17"/>
    <w:rsid w:val="00017BB3"/>
    <w:rsid w:val="000244CF"/>
    <w:rsid w:val="0002744D"/>
    <w:rsid w:val="0003015C"/>
    <w:rsid w:val="00031AD7"/>
    <w:rsid w:val="00036266"/>
    <w:rsid w:val="000362A1"/>
    <w:rsid w:val="00037EBE"/>
    <w:rsid w:val="00041462"/>
    <w:rsid w:val="00042BB8"/>
    <w:rsid w:val="00046BE3"/>
    <w:rsid w:val="00046C1F"/>
    <w:rsid w:val="00046F29"/>
    <w:rsid w:val="0004702F"/>
    <w:rsid w:val="000471AB"/>
    <w:rsid w:val="00051728"/>
    <w:rsid w:val="0005299F"/>
    <w:rsid w:val="000530FC"/>
    <w:rsid w:val="000535A1"/>
    <w:rsid w:val="00054236"/>
    <w:rsid w:val="00055363"/>
    <w:rsid w:val="000556E3"/>
    <w:rsid w:val="00061291"/>
    <w:rsid w:val="00063429"/>
    <w:rsid w:val="00063E6F"/>
    <w:rsid w:val="00064C9C"/>
    <w:rsid w:val="0006688D"/>
    <w:rsid w:val="000712F4"/>
    <w:rsid w:val="00077597"/>
    <w:rsid w:val="00077798"/>
    <w:rsid w:val="00077F74"/>
    <w:rsid w:val="0008012C"/>
    <w:rsid w:val="00084419"/>
    <w:rsid w:val="00087ED8"/>
    <w:rsid w:val="00090590"/>
    <w:rsid w:val="00090E6B"/>
    <w:rsid w:val="00091DD3"/>
    <w:rsid w:val="00095FCC"/>
    <w:rsid w:val="000964CB"/>
    <w:rsid w:val="00097F57"/>
    <w:rsid w:val="000A1AFC"/>
    <w:rsid w:val="000A243D"/>
    <w:rsid w:val="000A69EB"/>
    <w:rsid w:val="000A73F7"/>
    <w:rsid w:val="000B01AE"/>
    <w:rsid w:val="000B0D38"/>
    <w:rsid w:val="000B4827"/>
    <w:rsid w:val="000B519F"/>
    <w:rsid w:val="000C0301"/>
    <w:rsid w:val="000C0F2B"/>
    <w:rsid w:val="000C1F83"/>
    <w:rsid w:val="000C3005"/>
    <w:rsid w:val="000C3B67"/>
    <w:rsid w:val="000D0B4C"/>
    <w:rsid w:val="000D0EC4"/>
    <w:rsid w:val="000D2157"/>
    <w:rsid w:val="000D2A51"/>
    <w:rsid w:val="000D2D6C"/>
    <w:rsid w:val="000D5986"/>
    <w:rsid w:val="000D60E5"/>
    <w:rsid w:val="000D7019"/>
    <w:rsid w:val="000E1B9C"/>
    <w:rsid w:val="000E22A0"/>
    <w:rsid w:val="000E3B87"/>
    <w:rsid w:val="000E5B3D"/>
    <w:rsid w:val="000E6514"/>
    <w:rsid w:val="000F38FE"/>
    <w:rsid w:val="000F60A6"/>
    <w:rsid w:val="000F6199"/>
    <w:rsid w:val="000F7AB2"/>
    <w:rsid w:val="00100CF5"/>
    <w:rsid w:val="00100D1B"/>
    <w:rsid w:val="00104BD1"/>
    <w:rsid w:val="001061EE"/>
    <w:rsid w:val="0010711E"/>
    <w:rsid w:val="00113228"/>
    <w:rsid w:val="001140B6"/>
    <w:rsid w:val="00115417"/>
    <w:rsid w:val="00117461"/>
    <w:rsid w:val="0011768C"/>
    <w:rsid w:val="00117740"/>
    <w:rsid w:val="00120429"/>
    <w:rsid w:val="00122500"/>
    <w:rsid w:val="0012560A"/>
    <w:rsid w:val="00127E62"/>
    <w:rsid w:val="0013084C"/>
    <w:rsid w:val="0013447C"/>
    <w:rsid w:val="00135BDE"/>
    <w:rsid w:val="00142094"/>
    <w:rsid w:val="00152042"/>
    <w:rsid w:val="001527F5"/>
    <w:rsid w:val="00152875"/>
    <w:rsid w:val="00155A8C"/>
    <w:rsid w:val="001609E6"/>
    <w:rsid w:val="00161F10"/>
    <w:rsid w:val="00163AA6"/>
    <w:rsid w:val="00163E09"/>
    <w:rsid w:val="001644E8"/>
    <w:rsid w:val="0017198F"/>
    <w:rsid w:val="0017544D"/>
    <w:rsid w:val="00176C33"/>
    <w:rsid w:val="00177082"/>
    <w:rsid w:val="00177993"/>
    <w:rsid w:val="00177DAD"/>
    <w:rsid w:val="00181CE5"/>
    <w:rsid w:val="00182FF8"/>
    <w:rsid w:val="001835C8"/>
    <w:rsid w:val="00186ECF"/>
    <w:rsid w:val="001901DF"/>
    <w:rsid w:val="00193605"/>
    <w:rsid w:val="0019745A"/>
    <w:rsid w:val="001A16F7"/>
    <w:rsid w:val="001A3CA6"/>
    <w:rsid w:val="001A7841"/>
    <w:rsid w:val="001B2D0B"/>
    <w:rsid w:val="001B661F"/>
    <w:rsid w:val="001C2D1F"/>
    <w:rsid w:val="001C320E"/>
    <w:rsid w:val="001C3EB2"/>
    <w:rsid w:val="001C71B2"/>
    <w:rsid w:val="001D0EEA"/>
    <w:rsid w:val="001D2314"/>
    <w:rsid w:val="001D3DFF"/>
    <w:rsid w:val="001D52C0"/>
    <w:rsid w:val="001E1179"/>
    <w:rsid w:val="001E15B3"/>
    <w:rsid w:val="001E5FA4"/>
    <w:rsid w:val="001E6249"/>
    <w:rsid w:val="001E6703"/>
    <w:rsid w:val="001E796C"/>
    <w:rsid w:val="001E7D75"/>
    <w:rsid w:val="001E7F56"/>
    <w:rsid w:val="001F0CCB"/>
    <w:rsid w:val="001F0E87"/>
    <w:rsid w:val="001F128C"/>
    <w:rsid w:val="001F285F"/>
    <w:rsid w:val="001F38E1"/>
    <w:rsid w:val="001F4001"/>
    <w:rsid w:val="001F79F3"/>
    <w:rsid w:val="00202C57"/>
    <w:rsid w:val="002038FE"/>
    <w:rsid w:val="00205D50"/>
    <w:rsid w:val="00210DC2"/>
    <w:rsid w:val="002110B1"/>
    <w:rsid w:val="00211274"/>
    <w:rsid w:val="002155E6"/>
    <w:rsid w:val="00216951"/>
    <w:rsid w:val="00220043"/>
    <w:rsid w:val="002215DE"/>
    <w:rsid w:val="00221A0B"/>
    <w:rsid w:val="00222508"/>
    <w:rsid w:val="00223624"/>
    <w:rsid w:val="00224009"/>
    <w:rsid w:val="002248E7"/>
    <w:rsid w:val="00226C6A"/>
    <w:rsid w:val="00227F1C"/>
    <w:rsid w:val="0023260B"/>
    <w:rsid w:val="0023479D"/>
    <w:rsid w:val="00234D09"/>
    <w:rsid w:val="00234E1B"/>
    <w:rsid w:val="002355BF"/>
    <w:rsid w:val="002378B1"/>
    <w:rsid w:val="00241C32"/>
    <w:rsid w:val="002443AC"/>
    <w:rsid w:val="002504B5"/>
    <w:rsid w:val="00251109"/>
    <w:rsid w:val="00251F14"/>
    <w:rsid w:val="002607D1"/>
    <w:rsid w:val="00261FEA"/>
    <w:rsid w:val="00262130"/>
    <w:rsid w:val="00263146"/>
    <w:rsid w:val="00263F0F"/>
    <w:rsid w:val="00264590"/>
    <w:rsid w:val="002647E3"/>
    <w:rsid w:val="0027171A"/>
    <w:rsid w:val="0027196E"/>
    <w:rsid w:val="00272E2F"/>
    <w:rsid w:val="00273890"/>
    <w:rsid w:val="00275745"/>
    <w:rsid w:val="002761A3"/>
    <w:rsid w:val="002778D4"/>
    <w:rsid w:val="0028099D"/>
    <w:rsid w:val="00280D63"/>
    <w:rsid w:val="002850A5"/>
    <w:rsid w:val="00286FE6"/>
    <w:rsid w:val="00287732"/>
    <w:rsid w:val="002925CB"/>
    <w:rsid w:val="0029337E"/>
    <w:rsid w:val="002936B5"/>
    <w:rsid w:val="002947A4"/>
    <w:rsid w:val="00294FFC"/>
    <w:rsid w:val="00296394"/>
    <w:rsid w:val="002A1E5A"/>
    <w:rsid w:val="002A1FDC"/>
    <w:rsid w:val="002A25E9"/>
    <w:rsid w:val="002A4B28"/>
    <w:rsid w:val="002A63A2"/>
    <w:rsid w:val="002B10E0"/>
    <w:rsid w:val="002C01A4"/>
    <w:rsid w:val="002C0B06"/>
    <w:rsid w:val="002C6511"/>
    <w:rsid w:val="002D0821"/>
    <w:rsid w:val="002D1F7E"/>
    <w:rsid w:val="002D348A"/>
    <w:rsid w:val="002D6029"/>
    <w:rsid w:val="002D625A"/>
    <w:rsid w:val="002D6333"/>
    <w:rsid w:val="002E124C"/>
    <w:rsid w:val="002E63E2"/>
    <w:rsid w:val="002E68DD"/>
    <w:rsid w:val="002E7055"/>
    <w:rsid w:val="002E721C"/>
    <w:rsid w:val="002F0AA2"/>
    <w:rsid w:val="002F0E63"/>
    <w:rsid w:val="002F3AA1"/>
    <w:rsid w:val="002F4BBA"/>
    <w:rsid w:val="002F564D"/>
    <w:rsid w:val="002F5B0C"/>
    <w:rsid w:val="002F5E68"/>
    <w:rsid w:val="002F6D68"/>
    <w:rsid w:val="00305F57"/>
    <w:rsid w:val="0030693D"/>
    <w:rsid w:val="00306AD0"/>
    <w:rsid w:val="00306ED8"/>
    <w:rsid w:val="00310069"/>
    <w:rsid w:val="00314B42"/>
    <w:rsid w:val="00316F58"/>
    <w:rsid w:val="00324DF0"/>
    <w:rsid w:val="00330416"/>
    <w:rsid w:val="00331BDC"/>
    <w:rsid w:val="0033236C"/>
    <w:rsid w:val="00332514"/>
    <w:rsid w:val="0033704B"/>
    <w:rsid w:val="00340BD2"/>
    <w:rsid w:val="00342DF1"/>
    <w:rsid w:val="00343094"/>
    <w:rsid w:val="003448B1"/>
    <w:rsid w:val="00350801"/>
    <w:rsid w:val="003516FF"/>
    <w:rsid w:val="00353F87"/>
    <w:rsid w:val="003574E1"/>
    <w:rsid w:val="00357FFE"/>
    <w:rsid w:val="0036025D"/>
    <w:rsid w:val="00362095"/>
    <w:rsid w:val="00362E82"/>
    <w:rsid w:val="003638AC"/>
    <w:rsid w:val="003648C1"/>
    <w:rsid w:val="00364AE4"/>
    <w:rsid w:val="00367402"/>
    <w:rsid w:val="00373A38"/>
    <w:rsid w:val="00374E30"/>
    <w:rsid w:val="00375D7E"/>
    <w:rsid w:val="00376B38"/>
    <w:rsid w:val="00377323"/>
    <w:rsid w:val="003776FB"/>
    <w:rsid w:val="00377BF8"/>
    <w:rsid w:val="00382E62"/>
    <w:rsid w:val="003852F9"/>
    <w:rsid w:val="003860DB"/>
    <w:rsid w:val="00387788"/>
    <w:rsid w:val="00390A0A"/>
    <w:rsid w:val="0039137B"/>
    <w:rsid w:val="00392119"/>
    <w:rsid w:val="003925A7"/>
    <w:rsid w:val="00395575"/>
    <w:rsid w:val="00395C8E"/>
    <w:rsid w:val="00396266"/>
    <w:rsid w:val="003971E3"/>
    <w:rsid w:val="003A08AC"/>
    <w:rsid w:val="003A2D42"/>
    <w:rsid w:val="003A3EF1"/>
    <w:rsid w:val="003A4CE3"/>
    <w:rsid w:val="003A5712"/>
    <w:rsid w:val="003A5EED"/>
    <w:rsid w:val="003A64D7"/>
    <w:rsid w:val="003A77F9"/>
    <w:rsid w:val="003B1989"/>
    <w:rsid w:val="003B1C20"/>
    <w:rsid w:val="003B2A52"/>
    <w:rsid w:val="003B3F71"/>
    <w:rsid w:val="003B7B4A"/>
    <w:rsid w:val="003B7B91"/>
    <w:rsid w:val="003B7C23"/>
    <w:rsid w:val="003C07DE"/>
    <w:rsid w:val="003C09DB"/>
    <w:rsid w:val="003C10EA"/>
    <w:rsid w:val="003C1347"/>
    <w:rsid w:val="003C4365"/>
    <w:rsid w:val="003C4ADD"/>
    <w:rsid w:val="003C55D0"/>
    <w:rsid w:val="003C5EB7"/>
    <w:rsid w:val="003D0C0C"/>
    <w:rsid w:val="003D1D8A"/>
    <w:rsid w:val="003D2EE5"/>
    <w:rsid w:val="003D36A6"/>
    <w:rsid w:val="003D5B95"/>
    <w:rsid w:val="003E49E3"/>
    <w:rsid w:val="003E6B6E"/>
    <w:rsid w:val="003E7453"/>
    <w:rsid w:val="003E7E10"/>
    <w:rsid w:val="003F1562"/>
    <w:rsid w:val="003F562F"/>
    <w:rsid w:val="003F6003"/>
    <w:rsid w:val="00401A0B"/>
    <w:rsid w:val="0040385F"/>
    <w:rsid w:val="004040AD"/>
    <w:rsid w:val="00405079"/>
    <w:rsid w:val="004052BF"/>
    <w:rsid w:val="004066D4"/>
    <w:rsid w:val="00406B3D"/>
    <w:rsid w:val="00407951"/>
    <w:rsid w:val="00407B16"/>
    <w:rsid w:val="00412235"/>
    <w:rsid w:val="004122AD"/>
    <w:rsid w:val="00412311"/>
    <w:rsid w:val="004134D0"/>
    <w:rsid w:val="00414A6D"/>
    <w:rsid w:val="00422657"/>
    <w:rsid w:val="0042386B"/>
    <w:rsid w:val="00425017"/>
    <w:rsid w:val="004257C9"/>
    <w:rsid w:val="00427038"/>
    <w:rsid w:val="004279D4"/>
    <w:rsid w:val="00427E8F"/>
    <w:rsid w:val="00430183"/>
    <w:rsid w:val="004348D1"/>
    <w:rsid w:val="004353B8"/>
    <w:rsid w:val="00437A9D"/>
    <w:rsid w:val="0044022C"/>
    <w:rsid w:val="004403AF"/>
    <w:rsid w:val="00440EF0"/>
    <w:rsid w:val="0044101E"/>
    <w:rsid w:val="004448FD"/>
    <w:rsid w:val="00445802"/>
    <w:rsid w:val="00446296"/>
    <w:rsid w:val="00447716"/>
    <w:rsid w:val="00447F39"/>
    <w:rsid w:val="00450153"/>
    <w:rsid w:val="004547AC"/>
    <w:rsid w:val="00455999"/>
    <w:rsid w:val="004565CF"/>
    <w:rsid w:val="00460354"/>
    <w:rsid w:val="00461D77"/>
    <w:rsid w:val="004702D2"/>
    <w:rsid w:val="0047098F"/>
    <w:rsid w:val="00472299"/>
    <w:rsid w:val="0047356B"/>
    <w:rsid w:val="00474F24"/>
    <w:rsid w:val="00476A67"/>
    <w:rsid w:val="004774CD"/>
    <w:rsid w:val="00480E3A"/>
    <w:rsid w:val="00481AA6"/>
    <w:rsid w:val="00484899"/>
    <w:rsid w:val="004930D7"/>
    <w:rsid w:val="00493540"/>
    <w:rsid w:val="004960BB"/>
    <w:rsid w:val="004A194E"/>
    <w:rsid w:val="004A275F"/>
    <w:rsid w:val="004A312C"/>
    <w:rsid w:val="004A656E"/>
    <w:rsid w:val="004B0798"/>
    <w:rsid w:val="004B1386"/>
    <w:rsid w:val="004B3CA2"/>
    <w:rsid w:val="004B4321"/>
    <w:rsid w:val="004B445B"/>
    <w:rsid w:val="004B6124"/>
    <w:rsid w:val="004B763D"/>
    <w:rsid w:val="004C4BA7"/>
    <w:rsid w:val="004C4E77"/>
    <w:rsid w:val="004C6AE9"/>
    <w:rsid w:val="004D18E2"/>
    <w:rsid w:val="004D1C23"/>
    <w:rsid w:val="004D2749"/>
    <w:rsid w:val="004D41EF"/>
    <w:rsid w:val="004D43A8"/>
    <w:rsid w:val="004D73DE"/>
    <w:rsid w:val="004E0DF2"/>
    <w:rsid w:val="004E2453"/>
    <w:rsid w:val="004E3575"/>
    <w:rsid w:val="004E68F9"/>
    <w:rsid w:val="004E6E04"/>
    <w:rsid w:val="004F0544"/>
    <w:rsid w:val="004F2059"/>
    <w:rsid w:val="004F25AF"/>
    <w:rsid w:val="004F3DB9"/>
    <w:rsid w:val="005036CD"/>
    <w:rsid w:val="00505ED5"/>
    <w:rsid w:val="00512F61"/>
    <w:rsid w:val="00514099"/>
    <w:rsid w:val="00515ACD"/>
    <w:rsid w:val="00520D46"/>
    <w:rsid w:val="0052256B"/>
    <w:rsid w:val="00522A07"/>
    <w:rsid w:val="005240CD"/>
    <w:rsid w:val="005245D4"/>
    <w:rsid w:val="00534BCD"/>
    <w:rsid w:val="00536E03"/>
    <w:rsid w:val="0054249C"/>
    <w:rsid w:val="00542B69"/>
    <w:rsid w:val="005437C2"/>
    <w:rsid w:val="00543D0D"/>
    <w:rsid w:val="00547C2C"/>
    <w:rsid w:val="0055592F"/>
    <w:rsid w:val="00555BE6"/>
    <w:rsid w:val="00555E8B"/>
    <w:rsid w:val="00556B4C"/>
    <w:rsid w:val="005613BD"/>
    <w:rsid w:val="00561F16"/>
    <w:rsid w:val="00563CCE"/>
    <w:rsid w:val="00566D27"/>
    <w:rsid w:val="005674AF"/>
    <w:rsid w:val="00570245"/>
    <w:rsid w:val="00573B9B"/>
    <w:rsid w:val="0057503E"/>
    <w:rsid w:val="00576678"/>
    <w:rsid w:val="005772D2"/>
    <w:rsid w:val="00581178"/>
    <w:rsid w:val="0058325B"/>
    <w:rsid w:val="00583484"/>
    <w:rsid w:val="0058357C"/>
    <w:rsid w:val="005868AE"/>
    <w:rsid w:val="005917FD"/>
    <w:rsid w:val="005922EF"/>
    <w:rsid w:val="00595407"/>
    <w:rsid w:val="00597AA8"/>
    <w:rsid w:val="00597D45"/>
    <w:rsid w:val="005A372B"/>
    <w:rsid w:val="005A4B49"/>
    <w:rsid w:val="005A5F30"/>
    <w:rsid w:val="005B03D3"/>
    <w:rsid w:val="005B1AE3"/>
    <w:rsid w:val="005B6918"/>
    <w:rsid w:val="005B6C08"/>
    <w:rsid w:val="005B74E2"/>
    <w:rsid w:val="005C1DC8"/>
    <w:rsid w:val="005C3A2C"/>
    <w:rsid w:val="005C3F9E"/>
    <w:rsid w:val="005C40CC"/>
    <w:rsid w:val="005C5728"/>
    <w:rsid w:val="005D2ACB"/>
    <w:rsid w:val="005D391C"/>
    <w:rsid w:val="005D54C9"/>
    <w:rsid w:val="005D6116"/>
    <w:rsid w:val="005D681D"/>
    <w:rsid w:val="005E1085"/>
    <w:rsid w:val="005E4E67"/>
    <w:rsid w:val="005E695B"/>
    <w:rsid w:val="005F0D1D"/>
    <w:rsid w:val="005F1E10"/>
    <w:rsid w:val="005F2107"/>
    <w:rsid w:val="005F6F3A"/>
    <w:rsid w:val="005F7DAE"/>
    <w:rsid w:val="005F7FB1"/>
    <w:rsid w:val="00600F4C"/>
    <w:rsid w:val="00606340"/>
    <w:rsid w:val="006117E4"/>
    <w:rsid w:val="00611849"/>
    <w:rsid w:val="00611912"/>
    <w:rsid w:val="00614C73"/>
    <w:rsid w:val="00615DB4"/>
    <w:rsid w:val="00616B73"/>
    <w:rsid w:val="006170BC"/>
    <w:rsid w:val="00617E52"/>
    <w:rsid w:val="00622D04"/>
    <w:rsid w:val="00623E13"/>
    <w:rsid w:val="00627E7A"/>
    <w:rsid w:val="0063041B"/>
    <w:rsid w:val="0063226E"/>
    <w:rsid w:val="00640260"/>
    <w:rsid w:val="00640CB7"/>
    <w:rsid w:val="00642A6C"/>
    <w:rsid w:val="00642C51"/>
    <w:rsid w:val="006462BA"/>
    <w:rsid w:val="006466EF"/>
    <w:rsid w:val="0065127F"/>
    <w:rsid w:val="00651D70"/>
    <w:rsid w:val="00653016"/>
    <w:rsid w:val="00654756"/>
    <w:rsid w:val="00655313"/>
    <w:rsid w:val="00655AF0"/>
    <w:rsid w:val="00657DDE"/>
    <w:rsid w:val="00660C00"/>
    <w:rsid w:val="00661F02"/>
    <w:rsid w:val="00661FC7"/>
    <w:rsid w:val="00664985"/>
    <w:rsid w:val="006721EA"/>
    <w:rsid w:val="00672942"/>
    <w:rsid w:val="00675BDA"/>
    <w:rsid w:val="00676CC4"/>
    <w:rsid w:val="00677F05"/>
    <w:rsid w:val="00680877"/>
    <w:rsid w:val="00682CCE"/>
    <w:rsid w:val="0068569A"/>
    <w:rsid w:val="00690B02"/>
    <w:rsid w:val="00692202"/>
    <w:rsid w:val="006924C6"/>
    <w:rsid w:val="00693585"/>
    <w:rsid w:val="006936F0"/>
    <w:rsid w:val="006962CD"/>
    <w:rsid w:val="006A01A1"/>
    <w:rsid w:val="006A28EF"/>
    <w:rsid w:val="006A2EAF"/>
    <w:rsid w:val="006A393C"/>
    <w:rsid w:val="006A4821"/>
    <w:rsid w:val="006A5873"/>
    <w:rsid w:val="006A73A6"/>
    <w:rsid w:val="006A7662"/>
    <w:rsid w:val="006B008F"/>
    <w:rsid w:val="006B1889"/>
    <w:rsid w:val="006B3A19"/>
    <w:rsid w:val="006B4D7E"/>
    <w:rsid w:val="006B59F5"/>
    <w:rsid w:val="006B733E"/>
    <w:rsid w:val="006C2885"/>
    <w:rsid w:val="006C3085"/>
    <w:rsid w:val="006C72BB"/>
    <w:rsid w:val="006C7C8D"/>
    <w:rsid w:val="006D0ABB"/>
    <w:rsid w:val="006D0CE2"/>
    <w:rsid w:val="006D15F7"/>
    <w:rsid w:val="006D1CD7"/>
    <w:rsid w:val="006D2735"/>
    <w:rsid w:val="006D322B"/>
    <w:rsid w:val="006D5EEC"/>
    <w:rsid w:val="006E1093"/>
    <w:rsid w:val="006E5244"/>
    <w:rsid w:val="006E6363"/>
    <w:rsid w:val="006E6AC1"/>
    <w:rsid w:val="006E7014"/>
    <w:rsid w:val="006F0A89"/>
    <w:rsid w:val="006F27F7"/>
    <w:rsid w:val="006F3A8F"/>
    <w:rsid w:val="006F5527"/>
    <w:rsid w:val="00700991"/>
    <w:rsid w:val="00703B04"/>
    <w:rsid w:val="007073CF"/>
    <w:rsid w:val="00710844"/>
    <w:rsid w:val="007114AA"/>
    <w:rsid w:val="00712C6E"/>
    <w:rsid w:val="007137E6"/>
    <w:rsid w:val="00720D0B"/>
    <w:rsid w:val="007212E1"/>
    <w:rsid w:val="00721E64"/>
    <w:rsid w:val="007220C5"/>
    <w:rsid w:val="00722941"/>
    <w:rsid w:val="00723D69"/>
    <w:rsid w:val="00724BD7"/>
    <w:rsid w:val="00725053"/>
    <w:rsid w:val="00725203"/>
    <w:rsid w:val="00726B19"/>
    <w:rsid w:val="0072763D"/>
    <w:rsid w:val="00731122"/>
    <w:rsid w:val="007342A8"/>
    <w:rsid w:val="0073551E"/>
    <w:rsid w:val="0073555A"/>
    <w:rsid w:val="00735B3F"/>
    <w:rsid w:val="00735B97"/>
    <w:rsid w:val="0073646B"/>
    <w:rsid w:val="0074215A"/>
    <w:rsid w:val="00742794"/>
    <w:rsid w:val="00742C33"/>
    <w:rsid w:val="007440F7"/>
    <w:rsid w:val="0074610C"/>
    <w:rsid w:val="00746356"/>
    <w:rsid w:val="00747C30"/>
    <w:rsid w:val="0075199B"/>
    <w:rsid w:val="0075211C"/>
    <w:rsid w:val="0075389D"/>
    <w:rsid w:val="00754AD1"/>
    <w:rsid w:val="00755117"/>
    <w:rsid w:val="00755682"/>
    <w:rsid w:val="00757809"/>
    <w:rsid w:val="00760916"/>
    <w:rsid w:val="00760E71"/>
    <w:rsid w:val="007629E8"/>
    <w:rsid w:val="007672DB"/>
    <w:rsid w:val="007703E2"/>
    <w:rsid w:val="007717DF"/>
    <w:rsid w:val="00773C82"/>
    <w:rsid w:val="00780B05"/>
    <w:rsid w:val="00782655"/>
    <w:rsid w:val="007878A8"/>
    <w:rsid w:val="007909D2"/>
    <w:rsid w:val="00791F87"/>
    <w:rsid w:val="00792E9C"/>
    <w:rsid w:val="007A071C"/>
    <w:rsid w:val="007A0B1C"/>
    <w:rsid w:val="007A11C3"/>
    <w:rsid w:val="007A14EB"/>
    <w:rsid w:val="007A3DB2"/>
    <w:rsid w:val="007A6334"/>
    <w:rsid w:val="007A76A8"/>
    <w:rsid w:val="007B24B5"/>
    <w:rsid w:val="007B26A8"/>
    <w:rsid w:val="007B2D91"/>
    <w:rsid w:val="007B3FF4"/>
    <w:rsid w:val="007B5B90"/>
    <w:rsid w:val="007B5DFB"/>
    <w:rsid w:val="007B75D8"/>
    <w:rsid w:val="007B768E"/>
    <w:rsid w:val="007C1FB2"/>
    <w:rsid w:val="007C2CB6"/>
    <w:rsid w:val="007C333C"/>
    <w:rsid w:val="007C44E2"/>
    <w:rsid w:val="007C47E9"/>
    <w:rsid w:val="007C562E"/>
    <w:rsid w:val="007C5AE3"/>
    <w:rsid w:val="007C7CAF"/>
    <w:rsid w:val="007D3B5A"/>
    <w:rsid w:val="007D69A2"/>
    <w:rsid w:val="007D6E06"/>
    <w:rsid w:val="007E1909"/>
    <w:rsid w:val="007E214C"/>
    <w:rsid w:val="007E3401"/>
    <w:rsid w:val="007E5729"/>
    <w:rsid w:val="007E5A46"/>
    <w:rsid w:val="007E6694"/>
    <w:rsid w:val="007F246A"/>
    <w:rsid w:val="007F4E90"/>
    <w:rsid w:val="007F500B"/>
    <w:rsid w:val="007F513E"/>
    <w:rsid w:val="007F6F0D"/>
    <w:rsid w:val="008001A8"/>
    <w:rsid w:val="00800E93"/>
    <w:rsid w:val="0080308F"/>
    <w:rsid w:val="00803554"/>
    <w:rsid w:val="00805043"/>
    <w:rsid w:val="0081011E"/>
    <w:rsid w:val="00810AED"/>
    <w:rsid w:val="00811C21"/>
    <w:rsid w:val="00813795"/>
    <w:rsid w:val="00814A65"/>
    <w:rsid w:val="00815B9A"/>
    <w:rsid w:val="00815E52"/>
    <w:rsid w:val="008228B6"/>
    <w:rsid w:val="00822EC1"/>
    <w:rsid w:val="00827E66"/>
    <w:rsid w:val="008321F1"/>
    <w:rsid w:val="00832DAE"/>
    <w:rsid w:val="008333A8"/>
    <w:rsid w:val="00835D73"/>
    <w:rsid w:val="008409C3"/>
    <w:rsid w:val="008439AC"/>
    <w:rsid w:val="00843A26"/>
    <w:rsid w:val="00843FBB"/>
    <w:rsid w:val="008446C4"/>
    <w:rsid w:val="00847C00"/>
    <w:rsid w:val="008505D1"/>
    <w:rsid w:val="00853078"/>
    <w:rsid w:val="00853C59"/>
    <w:rsid w:val="00853F70"/>
    <w:rsid w:val="00861C4C"/>
    <w:rsid w:val="008629C0"/>
    <w:rsid w:val="00865029"/>
    <w:rsid w:val="00867B91"/>
    <w:rsid w:val="00873D02"/>
    <w:rsid w:val="00874823"/>
    <w:rsid w:val="00874880"/>
    <w:rsid w:val="00877BE0"/>
    <w:rsid w:val="00881E7F"/>
    <w:rsid w:val="0088540B"/>
    <w:rsid w:val="00885582"/>
    <w:rsid w:val="00887B3E"/>
    <w:rsid w:val="00890BB3"/>
    <w:rsid w:val="00891326"/>
    <w:rsid w:val="0089214B"/>
    <w:rsid w:val="008935D2"/>
    <w:rsid w:val="008935D3"/>
    <w:rsid w:val="00895ADF"/>
    <w:rsid w:val="008A1884"/>
    <w:rsid w:val="008A50AF"/>
    <w:rsid w:val="008A5D66"/>
    <w:rsid w:val="008A7F49"/>
    <w:rsid w:val="008B45FF"/>
    <w:rsid w:val="008B49CB"/>
    <w:rsid w:val="008B7DF0"/>
    <w:rsid w:val="008C2762"/>
    <w:rsid w:val="008C2810"/>
    <w:rsid w:val="008C4D74"/>
    <w:rsid w:val="008C52B0"/>
    <w:rsid w:val="008C5979"/>
    <w:rsid w:val="008C6B76"/>
    <w:rsid w:val="008D153D"/>
    <w:rsid w:val="008D2BEE"/>
    <w:rsid w:val="008D51AC"/>
    <w:rsid w:val="008D55C5"/>
    <w:rsid w:val="008E28CC"/>
    <w:rsid w:val="008E4291"/>
    <w:rsid w:val="008E6D53"/>
    <w:rsid w:val="008E7B71"/>
    <w:rsid w:val="008F0133"/>
    <w:rsid w:val="008F2464"/>
    <w:rsid w:val="008F63C2"/>
    <w:rsid w:val="0090068E"/>
    <w:rsid w:val="0090071C"/>
    <w:rsid w:val="0090085B"/>
    <w:rsid w:val="00907C66"/>
    <w:rsid w:val="0091360C"/>
    <w:rsid w:val="00916FF2"/>
    <w:rsid w:val="00917572"/>
    <w:rsid w:val="009219C6"/>
    <w:rsid w:val="00923786"/>
    <w:rsid w:val="00930A4F"/>
    <w:rsid w:val="0093236E"/>
    <w:rsid w:val="00932416"/>
    <w:rsid w:val="00940311"/>
    <w:rsid w:val="00940ED4"/>
    <w:rsid w:val="00942823"/>
    <w:rsid w:val="009436BA"/>
    <w:rsid w:val="00947A1D"/>
    <w:rsid w:val="00955EA9"/>
    <w:rsid w:val="0095786E"/>
    <w:rsid w:val="00961640"/>
    <w:rsid w:val="00963BDF"/>
    <w:rsid w:val="0096415D"/>
    <w:rsid w:val="0096724E"/>
    <w:rsid w:val="0096771C"/>
    <w:rsid w:val="00967FA7"/>
    <w:rsid w:val="00970436"/>
    <w:rsid w:val="00970897"/>
    <w:rsid w:val="00970AB4"/>
    <w:rsid w:val="009730D0"/>
    <w:rsid w:val="00975B47"/>
    <w:rsid w:val="00975E64"/>
    <w:rsid w:val="009775FE"/>
    <w:rsid w:val="00985303"/>
    <w:rsid w:val="00985D43"/>
    <w:rsid w:val="0098781C"/>
    <w:rsid w:val="00993789"/>
    <w:rsid w:val="00994AAA"/>
    <w:rsid w:val="0099513E"/>
    <w:rsid w:val="00995E8E"/>
    <w:rsid w:val="00997C1E"/>
    <w:rsid w:val="009A0EAE"/>
    <w:rsid w:val="009A132E"/>
    <w:rsid w:val="009A13F1"/>
    <w:rsid w:val="009A1760"/>
    <w:rsid w:val="009A2763"/>
    <w:rsid w:val="009A32C6"/>
    <w:rsid w:val="009A5EBC"/>
    <w:rsid w:val="009A63C6"/>
    <w:rsid w:val="009A6574"/>
    <w:rsid w:val="009A66CB"/>
    <w:rsid w:val="009A66D2"/>
    <w:rsid w:val="009A71F4"/>
    <w:rsid w:val="009B3D6D"/>
    <w:rsid w:val="009B3F90"/>
    <w:rsid w:val="009B4A83"/>
    <w:rsid w:val="009B535C"/>
    <w:rsid w:val="009B69D1"/>
    <w:rsid w:val="009B7388"/>
    <w:rsid w:val="009B7C8D"/>
    <w:rsid w:val="009C0A7D"/>
    <w:rsid w:val="009C1A73"/>
    <w:rsid w:val="009C33CF"/>
    <w:rsid w:val="009C3BAA"/>
    <w:rsid w:val="009C5D15"/>
    <w:rsid w:val="009C7A5A"/>
    <w:rsid w:val="009D0A27"/>
    <w:rsid w:val="009D1DFB"/>
    <w:rsid w:val="009D25B6"/>
    <w:rsid w:val="009D3A0F"/>
    <w:rsid w:val="009D50D3"/>
    <w:rsid w:val="009D6CF4"/>
    <w:rsid w:val="009E1FC1"/>
    <w:rsid w:val="009E7758"/>
    <w:rsid w:val="009E7B81"/>
    <w:rsid w:val="009F08E4"/>
    <w:rsid w:val="009F15A6"/>
    <w:rsid w:val="009F17E3"/>
    <w:rsid w:val="009F1985"/>
    <w:rsid w:val="009F19EB"/>
    <w:rsid w:val="009F4B25"/>
    <w:rsid w:val="009F5EB3"/>
    <w:rsid w:val="009F6080"/>
    <w:rsid w:val="00A009F5"/>
    <w:rsid w:val="00A0388C"/>
    <w:rsid w:val="00A04F9D"/>
    <w:rsid w:val="00A13A21"/>
    <w:rsid w:val="00A173AE"/>
    <w:rsid w:val="00A17504"/>
    <w:rsid w:val="00A178D6"/>
    <w:rsid w:val="00A20679"/>
    <w:rsid w:val="00A21F81"/>
    <w:rsid w:val="00A21F9F"/>
    <w:rsid w:val="00A2233A"/>
    <w:rsid w:val="00A32BB9"/>
    <w:rsid w:val="00A36234"/>
    <w:rsid w:val="00A37037"/>
    <w:rsid w:val="00A37D78"/>
    <w:rsid w:val="00A403AF"/>
    <w:rsid w:val="00A40C4C"/>
    <w:rsid w:val="00A42F86"/>
    <w:rsid w:val="00A43A21"/>
    <w:rsid w:val="00A44A05"/>
    <w:rsid w:val="00A50211"/>
    <w:rsid w:val="00A5379D"/>
    <w:rsid w:val="00A55FE7"/>
    <w:rsid w:val="00A560DD"/>
    <w:rsid w:val="00A56168"/>
    <w:rsid w:val="00A56277"/>
    <w:rsid w:val="00A5726A"/>
    <w:rsid w:val="00A572EC"/>
    <w:rsid w:val="00A612CC"/>
    <w:rsid w:val="00A62D56"/>
    <w:rsid w:val="00A70C25"/>
    <w:rsid w:val="00A72ADD"/>
    <w:rsid w:val="00A74C1E"/>
    <w:rsid w:val="00A755F2"/>
    <w:rsid w:val="00A7746C"/>
    <w:rsid w:val="00A833D8"/>
    <w:rsid w:val="00A84410"/>
    <w:rsid w:val="00A8526B"/>
    <w:rsid w:val="00A86258"/>
    <w:rsid w:val="00A87953"/>
    <w:rsid w:val="00A91BC7"/>
    <w:rsid w:val="00A92E38"/>
    <w:rsid w:val="00A94127"/>
    <w:rsid w:val="00A952DF"/>
    <w:rsid w:val="00A9577B"/>
    <w:rsid w:val="00A97065"/>
    <w:rsid w:val="00A97494"/>
    <w:rsid w:val="00AA02B8"/>
    <w:rsid w:val="00AA036A"/>
    <w:rsid w:val="00AA2A16"/>
    <w:rsid w:val="00AA395F"/>
    <w:rsid w:val="00AA5F16"/>
    <w:rsid w:val="00AA6445"/>
    <w:rsid w:val="00AA7DB8"/>
    <w:rsid w:val="00AB6B22"/>
    <w:rsid w:val="00AB7CD8"/>
    <w:rsid w:val="00AC0588"/>
    <w:rsid w:val="00AC4196"/>
    <w:rsid w:val="00AC4669"/>
    <w:rsid w:val="00AC46A3"/>
    <w:rsid w:val="00AC6A70"/>
    <w:rsid w:val="00AC77DA"/>
    <w:rsid w:val="00AD163C"/>
    <w:rsid w:val="00AD35A8"/>
    <w:rsid w:val="00AD3735"/>
    <w:rsid w:val="00AD440B"/>
    <w:rsid w:val="00AD707C"/>
    <w:rsid w:val="00AD72DE"/>
    <w:rsid w:val="00AD7754"/>
    <w:rsid w:val="00AE3BC7"/>
    <w:rsid w:val="00AE5AF8"/>
    <w:rsid w:val="00AE688D"/>
    <w:rsid w:val="00AE72F6"/>
    <w:rsid w:val="00AF01C6"/>
    <w:rsid w:val="00AF110D"/>
    <w:rsid w:val="00AF2080"/>
    <w:rsid w:val="00AF2462"/>
    <w:rsid w:val="00AF2569"/>
    <w:rsid w:val="00AF6C91"/>
    <w:rsid w:val="00AF70AC"/>
    <w:rsid w:val="00B01E93"/>
    <w:rsid w:val="00B020BC"/>
    <w:rsid w:val="00B026EE"/>
    <w:rsid w:val="00B10761"/>
    <w:rsid w:val="00B12887"/>
    <w:rsid w:val="00B142E6"/>
    <w:rsid w:val="00B14550"/>
    <w:rsid w:val="00B16DA2"/>
    <w:rsid w:val="00B23E3B"/>
    <w:rsid w:val="00B24A61"/>
    <w:rsid w:val="00B24F30"/>
    <w:rsid w:val="00B26BE8"/>
    <w:rsid w:val="00B26C49"/>
    <w:rsid w:val="00B317F7"/>
    <w:rsid w:val="00B340BB"/>
    <w:rsid w:val="00B35A98"/>
    <w:rsid w:val="00B36883"/>
    <w:rsid w:val="00B37703"/>
    <w:rsid w:val="00B41D08"/>
    <w:rsid w:val="00B41D2D"/>
    <w:rsid w:val="00B43470"/>
    <w:rsid w:val="00B45CAD"/>
    <w:rsid w:val="00B47CAC"/>
    <w:rsid w:val="00B50180"/>
    <w:rsid w:val="00B5153D"/>
    <w:rsid w:val="00B52BAA"/>
    <w:rsid w:val="00B54B12"/>
    <w:rsid w:val="00B5558E"/>
    <w:rsid w:val="00B62C35"/>
    <w:rsid w:val="00B640CB"/>
    <w:rsid w:val="00B64683"/>
    <w:rsid w:val="00B66B5C"/>
    <w:rsid w:val="00B72C93"/>
    <w:rsid w:val="00B72D47"/>
    <w:rsid w:val="00B73865"/>
    <w:rsid w:val="00B749CA"/>
    <w:rsid w:val="00B74A76"/>
    <w:rsid w:val="00B7673E"/>
    <w:rsid w:val="00B7733D"/>
    <w:rsid w:val="00B80440"/>
    <w:rsid w:val="00B80E6C"/>
    <w:rsid w:val="00B83D65"/>
    <w:rsid w:val="00B86058"/>
    <w:rsid w:val="00B86B35"/>
    <w:rsid w:val="00B907EA"/>
    <w:rsid w:val="00B91092"/>
    <w:rsid w:val="00B92646"/>
    <w:rsid w:val="00B933D7"/>
    <w:rsid w:val="00B93645"/>
    <w:rsid w:val="00B93C0A"/>
    <w:rsid w:val="00B95892"/>
    <w:rsid w:val="00B96FBA"/>
    <w:rsid w:val="00BA0A27"/>
    <w:rsid w:val="00BA3BA8"/>
    <w:rsid w:val="00BA740E"/>
    <w:rsid w:val="00BA764B"/>
    <w:rsid w:val="00BB1C76"/>
    <w:rsid w:val="00BB69BF"/>
    <w:rsid w:val="00BB7385"/>
    <w:rsid w:val="00BC1E78"/>
    <w:rsid w:val="00BC24C2"/>
    <w:rsid w:val="00BC3763"/>
    <w:rsid w:val="00BC6E70"/>
    <w:rsid w:val="00BD0D3F"/>
    <w:rsid w:val="00BD596F"/>
    <w:rsid w:val="00BE1983"/>
    <w:rsid w:val="00BE2011"/>
    <w:rsid w:val="00BE3034"/>
    <w:rsid w:val="00BE3148"/>
    <w:rsid w:val="00BE4013"/>
    <w:rsid w:val="00BE4E1D"/>
    <w:rsid w:val="00BE6327"/>
    <w:rsid w:val="00BF0A80"/>
    <w:rsid w:val="00BF33D5"/>
    <w:rsid w:val="00BF3611"/>
    <w:rsid w:val="00BF3FBD"/>
    <w:rsid w:val="00BF76F5"/>
    <w:rsid w:val="00BF770D"/>
    <w:rsid w:val="00C00953"/>
    <w:rsid w:val="00C00E5F"/>
    <w:rsid w:val="00C01541"/>
    <w:rsid w:val="00C11922"/>
    <w:rsid w:val="00C129A5"/>
    <w:rsid w:val="00C15A7F"/>
    <w:rsid w:val="00C20F73"/>
    <w:rsid w:val="00C21080"/>
    <w:rsid w:val="00C2228E"/>
    <w:rsid w:val="00C24770"/>
    <w:rsid w:val="00C24A7F"/>
    <w:rsid w:val="00C2790C"/>
    <w:rsid w:val="00C30C07"/>
    <w:rsid w:val="00C31AC0"/>
    <w:rsid w:val="00C32393"/>
    <w:rsid w:val="00C35F4C"/>
    <w:rsid w:val="00C36566"/>
    <w:rsid w:val="00C36F65"/>
    <w:rsid w:val="00C37D96"/>
    <w:rsid w:val="00C407E1"/>
    <w:rsid w:val="00C416C3"/>
    <w:rsid w:val="00C44387"/>
    <w:rsid w:val="00C443B5"/>
    <w:rsid w:val="00C45315"/>
    <w:rsid w:val="00C518EA"/>
    <w:rsid w:val="00C54089"/>
    <w:rsid w:val="00C567B3"/>
    <w:rsid w:val="00C5786C"/>
    <w:rsid w:val="00C60B2F"/>
    <w:rsid w:val="00C60FB1"/>
    <w:rsid w:val="00C618CA"/>
    <w:rsid w:val="00C631D5"/>
    <w:rsid w:val="00C65AF4"/>
    <w:rsid w:val="00C66E85"/>
    <w:rsid w:val="00C677DC"/>
    <w:rsid w:val="00C70EE6"/>
    <w:rsid w:val="00C72111"/>
    <w:rsid w:val="00C72BF7"/>
    <w:rsid w:val="00C74762"/>
    <w:rsid w:val="00C766A5"/>
    <w:rsid w:val="00C82BF0"/>
    <w:rsid w:val="00C83549"/>
    <w:rsid w:val="00C84BEC"/>
    <w:rsid w:val="00C90947"/>
    <w:rsid w:val="00C934D7"/>
    <w:rsid w:val="00C93608"/>
    <w:rsid w:val="00C94D8E"/>
    <w:rsid w:val="00C97309"/>
    <w:rsid w:val="00CA2C2A"/>
    <w:rsid w:val="00CA42B3"/>
    <w:rsid w:val="00CB0B1E"/>
    <w:rsid w:val="00CB3B8D"/>
    <w:rsid w:val="00CB3CB7"/>
    <w:rsid w:val="00CB4323"/>
    <w:rsid w:val="00CB4EED"/>
    <w:rsid w:val="00CC3076"/>
    <w:rsid w:val="00CC49AD"/>
    <w:rsid w:val="00CC59C5"/>
    <w:rsid w:val="00CD2E15"/>
    <w:rsid w:val="00CD75AA"/>
    <w:rsid w:val="00CE26A5"/>
    <w:rsid w:val="00CE6D0B"/>
    <w:rsid w:val="00CE73E3"/>
    <w:rsid w:val="00CF0448"/>
    <w:rsid w:val="00CF0917"/>
    <w:rsid w:val="00CF2988"/>
    <w:rsid w:val="00CF3C29"/>
    <w:rsid w:val="00CF78A3"/>
    <w:rsid w:val="00D034A8"/>
    <w:rsid w:val="00D06A53"/>
    <w:rsid w:val="00D07B55"/>
    <w:rsid w:val="00D105E8"/>
    <w:rsid w:val="00D119E6"/>
    <w:rsid w:val="00D14F42"/>
    <w:rsid w:val="00D16F6B"/>
    <w:rsid w:val="00D2040A"/>
    <w:rsid w:val="00D21ADC"/>
    <w:rsid w:val="00D21E19"/>
    <w:rsid w:val="00D22F0D"/>
    <w:rsid w:val="00D24F57"/>
    <w:rsid w:val="00D26FCC"/>
    <w:rsid w:val="00D27221"/>
    <w:rsid w:val="00D32898"/>
    <w:rsid w:val="00D332C7"/>
    <w:rsid w:val="00D33E45"/>
    <w:rsid w:val="00D35959"/>
    <w:rsid w:val="00D35DA2"/>
    <w:rsid w:val="00D4088D"/>
    <w:rsid w:val="00D40DF4"/>
    <w:rsid w:val="00D42674"/>
    <w:rsid w:val="00D438CB"/>
    <w:rsid w:val="00D442AD"/>
    <w:rsid w:val="00D45221"/>
    <w:rsid w:val="00D51530"/>
    <w:rsid w:val="00D55D6B"/>
    <w:rsid w:val="00D61CFF"/>
    <w:rsid w:val="00D635BE"/>
    <w:rsid w:val="00D65CEC"/>
    <w:rsid w:val="00D66B58"/>
    <w:rsid w:val="00D67B07"/>
    <w:rsid w:val="00D703C3"/>
    <w:rsid w:val="00D704D9"/>
    <w:rsid w:val="00D76D16"/>
    <w:rsid w:val="00D80708"/>
    <w:rsid w:val="00D807A2"/>
    <w:rsid w:val="00D819DB"/>
    <w:rsid w:val="00D81A82"/>
    <w:rsid w:val="00D85107"/>
    <w:rsid w:val="00D86188"/>
    <w:rsid w:val="00D864E3"/>
    <w:rsid w:val="00D867C7"/>
    <w:rsid w:val="00D92355"/>
    <w:rsid w:val="00D92A44"/>
    <w:rsid w:val="00D948D4"/>
    <w:rsid w:val="00D95483"/>
    <w:rsid w:val="00D95721"/>
    <w:rsid w:val="00DA0A04"/>
    <w:rsid w:val="00DA0DFD"/>
    <w:rsid w:val="00DA3B0F"/>
    <w:rsid w:val="00DA4608"/>
    <w:rsid w:val="00DA7D94"/>
    <w:rsid w:val="00DB251C"/>
    <w:rsid w:val="00DB3CBC"/>
    <w:rsid w:val="00DB3F48"/>
    <w:rsid w:val="00DB5D83"/>
    <w:rsid w:val="00DC3076"/>
    <w:rsid w:val="00DC368C"/>
    <w:rsid w:val="00DC5376"/>
    <w:rsid w:val="00DD0752"/>
    <w:rsid w:val="00DD16D9"/>
    <w:rsid w:val="00DD2109"/>
    <w:rsid w:val="00DD57CE"/>
    <w:rsid w:val="00DD6D33"/>
    <w:rsid w:val="00DD6E3D"/>
    <w:rsid w:val="00DD76D3"/>
    <w:rsid w:val="00DD79FB"/>
    <w:rsid w:val="00DE3D67"/>
    <w:rsid w:val="00DE609A"/>
    <w:rsid w:val="00DE6866"/>
    <w:rsid w:val="00DE694C"/>
    <w:rsid w:val="00DE728A"/>
    <w:rsid w:val="00DF16C8"/>
    <w:rsid w:val="00DF3B97"/>
    <w:rsid w:val="00DF7EFA"/>
    <w:rsid w:val="00E00658"/>
    <w:rsid w:val="00E02981"/>
    <w:rsid w:val="00E02EA8"/>
    <w:rsid w:val="00E05748"/>
    <w:rsid w:val="00E05DBD"/>
    <w:rsid w:val="00E0751C"/>
    <w:rsid w:val="00E13428"/>
    <w:rsid w:val="00E14FA7"/>
    <w:rsid w:val="00E16542"/>
    <w:rsid w:val="00E168F9"/>
    <w:rsid w:val="00E16D39"/>
    <w:rsid w:val="00E20B14"/>
    <w:rsid w:val="00E21B20"/>
    <w:rsid w:val="00E223D3"/>
    <w:rsid w:val="00E25616"/>
    <w:rsid w:val="00E30762"/>
    <w:rsid w:val="00E30CAF"/>
    <w:rsid w:val="00E311B3"/>
    <w:rsid w:val="00E31C2E"/>
    <w:rsid w:val="00E325C8"/>
    <w:rsid w:val="00E36A31"/>
    <w:rsid w:val="00E37A1F"/>
    <w:rsid w:val="00E41FC5"/>
    <w:rsid w:val="00E42688"/>
    <w:rsid w:val="00E428C6"/>
    <w:rsid w:val="00E4461A"/>
    <w:rsid w:val="00E56BF7"/>
    <w:rsid w:val="00E60361"/>
    <w:rsid w:val="00E63466"/>
    <w:rsid w:val="00E64176"/>
    <w:rsid w:val="00E71B1C"/>
    <w:rsid w:val="00E732AA"/>
    <w:rsid w:val="00E750CE"/>
    <w:rsid w:val="00E76013"/>
    <w:rsid w:val="00E77236"/>
    <w:rsid w:val="00E85B28"/>
    <w:rsid w:val="00E862D2"/>
    <w:rsid w:val="00E86486"/>
    <w:rsid w:val="00E86D18"/>
    <w:rsid w:val="00E9341E"/>
    <w:rsid w:val="00E941CF"/>
    <w:rsid w:val="00E9713E"/>
    <w:rsid w:val="00EA3E55"/>
    <w:rsid w:val="00EA4CCF"/>
    <w:rsid w:val="00EA5913"/>
    <w:rsid w:val="00EA77D8"/>
    <w:rsid w:val="00EA7D56"/>
    <w:rsid w:val="00EB0CC2"/>
    <w:rsid w:val="00EB72DA"/>
    <w:rsid w:val="00EC0A70"/>
    <w:rsid w:val="00EC13A8"/>
    <w:rsid w:val="00EC5C18"/>
    <w:rsid w:val="00ED029F"/>
    <w:rsid w:val="00ED27CA"/>
    <w:rsid w:val="00ED2A66"/>
    <w:rsid w:val="00ED3CBB"/>
    <w:rsid w:val="00ED5781"/>
    <w:rsid w:val="00ED6F3B"/>
    <w:rsid w:val="00ED7555"/>
    <w:rsid w:val="00EE0A65"/>
    <w:rsid w:val="00EE231C"/>
    <w:rsid w:val="00EE248D"/>
    <w:rsid w:val="00EE384E"/>
    <w:rsid w:val="00EE3AA3"/>
    <w:rsid w:val="00EE3AED"/>
    <w:rsid w:val="00EE73DD"/>
    <w:rsid w:val="00EF038F"/>
    <w:rsid w:val="00EF29AE"/>
    <w:rsid w:val="00EF466B"/>
    <w:rsid w:val="00EF53AB"/>
    <w:rsid w:val="00EF6207"/>
    <w:rsid w:val="00EF6D42"/>
    <w:rsid w:val="00F01987"/>
    <w:rsid w:val="00F03EA1"/>
    <w:rsid w:val="00F05956"/>
    <w:rsid w:val="00F12819"/>
    <w:rsid w:val="00F13F7B"/>
    <w:rsid w:val="00F24605"/>
    <w:rsid w:val="00F26E56"/>
    <w:rsid w:val="00F305F3"/>
    <w:rsid w:val="00F33066"/>
    <w:rsid w:val="00F342CC"/>
    <w:rsid w:val="00F36961"/>
    <w:rsid w:val="00F37544"/>
    <w:rsid w:val="00F40EAF"/>
    <w:rsid w:val="00F411D7"/>
    <w:rsid w:val="00F43F4E"/>
    <w:rsid w:val="00F448E9"/>
    <w:rsid w:val="00F45433"/>
    <w:rsid w:val="00F505F3"/>
    <w:rsid w:val="00F527A5"/>
    <w:rsid w:val="00F53A05"/>
    <w:rsid w:val="00F53FA8"/>
    <w:rsid w:val="00F544E6"/>
    <w:rsid w:val="00F56B64"/>
    <w:rsid w:val="00F611F1"/>
    <w:rsid w:val="00F616C5"/>
    <w:rsid w:val="00F6176D"/>
    <w:rsid w:val="00F61CF9"/>
    <w:rsid w:val="00F61F96"/>
    <w:rsid w:val="00F75BA9"/>
    <w:rsid w:val="00F765B6"/>
    <w:rsid w:val="00F772D0"/>
    <w:rsid w:val="00F77A26"/>
    <w:rsid w:val="00F81F5F"/>
    <w:rsid w:val="00F92238"/>
    <w:rsid w:val="00F93349"/>
    <w:rsid w:val="00F9385F"/>
    <w:rsid w:val="00F94C49"/>
    <w:rsid w:val="00F95BD2"/>
    <w:rsid w:val="00F967AE"/>
    <w:rsid w:val="00F97C00"/>
    <w:rsid w:val="00F97CF5"/>
    <w:rsid w:val="00FA0905"/>
    <w:rsid w:val="00FA1BB4"/>
    <w:rsid w:val="00FA2C96"/>
    <w:rsid w:val="00FA6252"/>
    <w:rsid w:val="00FA7AEC"/>
    <w:rsid w:val="00FB1411"/>
    <w:rsid w:val="00FB2005"/>
    <w:rsid w:val="00FB2DEF"/>
    <w:rsid w:val="00FC0869"/>
    <w:rsid w:val="00FC0DDB"/>
    <w:rsid w:val="00FC490A"/>
    <w:rsid w:val="00FC58FD"/>
    <w:rsid w:val="00FC605B"/>
    <w:rsid w:val="00FC7C69"/>
    <w:rsid w:val="00FD07B2"/>
    <w:rsid w:val="00FD0BC4"/>
    <w:rsid w:val="00FD0FB8"/>
    <w:rsid w:val="00FD2A7A"/>
    <w:rsid w:val="00FD6F46"/>
    <w:rsid w:val="00FD6FEE"/>
    <w:rsid w:val="00FD7EE2"/>
    <w:rsid w:val="00FE0417"/>
    <w:rsid w:val="00FE07A6"/>
    <w:rsid w:val="00FE3613"/>
    <w:rsid w:val="00FE76A8"/>
    <w:rsid w:val="00FF26D8"/>
    <w:rsid w:val="00FF5086"/>
    <w:rsid w:val="00FF55E6"/>
    <w:rsid w:val="52D3F29C"/>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D6FAB69"/>
  <w15:chartTrackingRefBased/>
  <w15:docId w15:val="{9122BCF7-6A29-4126-BB4D-CB3F443D44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Footnote Text Char Char Char1 Char Char Char,Footnote Text Char Char Char2 Char Char,Footnote Text Char1 Char1 Char Char Char,Footnote Text Char2 Char,Footnote Text Char2 Char Char Char,Footnote Text Char3 Char Char,f,fn"/>
    <w:link w:val="FootnoteTextChar1"/>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1">
    <w:name w:val="Footnote Text Char1"/>
    <w:aliases w:val="Footnote Text Char Char,Footnote Text Char Char Char1 Char Char Char Char,Footnote Text Char Char Char2 Char Char Char,Footnote Text Char1 Char1 Char Char Char Char,Footnote Text Char2 Char Char,Footnote Text Char3 Char Char Char"/>
    <w:link w:val="FootnoteText"/>
    <w:rsid w:val="00087ED8"/>
  </w:style>
  <w:style w:type="character" w:styleId="CommentReference">
    <w:name w:val="annotation reference"/>
    <w:uiPriority w:val="99"/>
    <w:semiHidden/>
    <w:unhideWhenUsed/>
    <w:rsid w:val="009C3BAA"/>
    <w:rPr>
      <w:sz w:val="16"/>
      <w:szCs w:val="16"/>
    </w:rPr>
  </w:style>
  <w:style w:type="paragraph" w:styleId="CommentText">
    <w:name w:val="annotation text"/>
    <w:basedOn w:val="Normal"/>
    <w:link w:val="CommentTextChar"/>
    <w:uiPriority w:val="99"/>
    <w:unhideWhenUsed/>
    <w:rsid w:val="009C3BAA"/>
    <w:rPr>
      <w:sz w:val="20"/>
    </w:rPr>
  </w:style>
  <w:style w:type="character" w:customStyle="1" w:styleId="CommentTextChar">
    <w:name w:val="Comment Text Char"/>
    <w:link w:val="CommentText"/>
    <w:uiPriority w:val="99"/>
    <w:rsid w:val="009C3BAA"/>
    <w:rPr>
      <w:snapToGrid w:val="0"/>
      <w:kern w:val="28"/>
    </w:rPr>
  </w:style>
  <w:style w:type="paragraph" w:styleId="CommentSubject">
    <w:name w:val="annotation subject"/>
    <w:basedOn w:val="CommentText"/>
    <w:next w:val="CommentText"/>
    <w:link w:val="CommentSubjectChar"/>
    <w:uiPriority w:val="99"/>
    <w:semiHidden/>
    <w:unhideWhenUsed/>
    <w:rsid w:val="009C3BAA"/>
    <w:rPr>
      <w:b/>
      <w:bCs/>
    </w:rPr>
  </w:style>
  <w:style w:type="character" w:customStyle="1" w:styleId="CommentSubjectChar">
    <w:name w:val="Comment Subject Char"/>
    <w:link w:val="CommentSubject"/>
    <w:uiPriority w:val="99"/>
    <w:semiHidden/>
    <w:rsid w:val="009C3BAA"/>
    <w:rPr>
      <w:b/>
      <w:bCs/>
      <w:snapToGrid w:val="0"/>
      <w:kern w:val="28"/>
    </w:rPr>
  </w:style>
  <w:style w:type="paragraph" w:styleId="Revision">
    <w:name w:val="Revision"/>
    <w:hidden/>
    <w:uiPriority w:val="99"/>
    <w:semiHidden/>
    <w:rsid w:val="00C35F4C"/>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jim.bird@fcc.gov" TargetMode="External" /><Relationship Id="rId11" Type="http://schemas.openxmlformats.org/officeDocument/2006/relationships/header" Target="header1.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2.xml" /><Relationship Id="rId15" Type="http://schemas.openxmlformats.org/officeDocument/2006/relationships/footer" Target="footer3.xml" /><Relationship Id="rId16" Type="http://schemas.openxmlformats.org/officeDocument/2006/relationships/theme" Target="theme/theme1.xml" /><Relationship Id="rId17" Type="http://schemas.openxmlformats.org/officeDocument/2006/relationships/numbering" Target="numbering.xml" /><Relationship Id="rId18"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mailto:fcc504@fcc.gov" TargetMode="External" /><Relationship Id="rId8" Type="http://schemas.openxmlformats.org/officeDocument/2006/relationships/hyperlink" Target="mailto:dennis.johnson@fcc.gov" TargetMode="External" /><Relationship Id="rId9" Type="http://schemas.openxmlformats.org/officeDocument/2006/relationships/hyperlink" Target="mailto:brenda.villanueva@fcc.gov"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