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rsidRPr="00773C59" w14:paraId="03D92652" w14:textId="77777777">
      <w:pPr>
        <w:jc w:val="right"/>
        <w:rPr>
          <w:szCs w:val="22"/>
        </w:rPr>
      </w:pPr>
    </w:p>
    <w:p w:rsidR="00BA3BA8" w:rsidRPr="00C66A6D" w14:paraId="567A0193" w14:textId="25733260">
      <w:pPr>
        <w:jc w:val="right"/>
        <w:rPr>
          <w:b/>
          <w:szCs w:val="22"/>
        </w:rPr>
      </w:pPr>
      <w:r w:rsidRPr="00C66A6D">
        <w:rPr>
          <w:b/>
          <w:szCs w:val="22"/>
        </w:rPr>
        <w:t>DA</w:t>
      </w:r>
      <w:r w:rsidRPr="00C66A6D" w:rsidR="006F3C6B">
        <w:rPr>
          <w:b/>
          <w:szCs w:val="22"/>
        </w:rPr>
        <w:t xml:space="preserve"> 26-635</w:t>
      </w:r>
    </w:p>
    <w:p w:rsidR="00BA3BA8" w:rsidRPr="00773C59" w14:paraId="219B5A7E" w14:textId="1E71ABB8">
      <w:pPr>
        <w:spacing w:before="60"/>
        <w:jc w:val="right"/>
        <w:rPr>
          <w:b/>
          <w:szCs w:val="22"/>
        </w:rPr>
      </w:pPr>
      <w:r w:rsidRPr="00C66A6D">
        <w:rPr>
          <w:b/>
          <w:szCs w:val="22"/>
        </w:rPr>
        <w:t xml:space="preserve">Released:  </w:t>
      </w:r>
      <w:r w:rsidRPr="00C66A6D" w:rsidR="00C66A6D">
        <w:rPr>
          <w:b/>
          <w:szCs w:val="22"/>
        </w:rPr>
        <w:t>June 26, 2026</w:t>
      </w:r>
    </w:p>
    <w:p w:rsidR="00BA3BA8" w:rsidRPr="00773C59" w14:paraId="5FEB5170" w14:textId="77777777">
      <w:pPr>
        <w:jc w:val="right"/>
        <w:rPr>
          <w:szCs w:val="22"/>
        </w:rPr>
      </w:pPr>
    </w:p>
    <w:p w:rsidR="00BA3BA8" w:rsidRPr="00773C59" w14:paraId="61A02255" w14:textId="4DB1F99E">
      <w:pPr>
        <w:spacing w:after="240"/>
        <w:jc w:val="center"/>
        <w:rPr>
          <w:b/>
          <w:caps/>
          <w:szCs w:val="22"/>
        </w:rPr>
      </w:pPr>
      <w:r w:rsidRPr="00773C59">
        <w:rPr>
          <w:b/>
          <w:caps/>
          <w:szCs w:val="22"/>
        </w:rPr>
        <w:t xml:space="preserve">public safety and homeland security BUREAU </w:t>
      </w:r>
      <w:r w:rsidRPr="00773C59" w:rsidR="00A63EF9">
        <w:rPr>
          <w:b/>
          <w:caps/>
          <w:szCs w:val="22"/>
        </w:rPr>
        <w:t xml:space="preserve">and office of engineering and technology </w:t>
      </w:r>
      <w:r w:rsidRPr="00773C59" w:rsidR="00EC1E71">
        <w:rPr>
          <w:b/>
          <w:caps/>
          <w:szCs w:val="22"/>
        </w:rPr>
        <w:t>prohibit</w:t>
      </w:r>
      <w:r w:rsidR="008D72A4">
        <w:rPr>
          <w:b/>
          <w:caps/>
          <w:szCs w:val="22"/>
        </w:rPr>
        <w:t xml:space="preserve"> </w:t>
      </w:r>
      <w:r w:rsidRPr="00773C59" w:rsidR="00EC1E71">
        <w:rPr>
          <w:b/>
          <w:caps/>
          <w:szCs w:val="22"/>
        </w:rPr>
        <w:t xml:space="preserve">the </w:t>
      </w:r>
      <w:r w:rsidRPr="00773C59" w:rsidR="00962867">
        <w:rPr>
          <w:b/>
          <w:caps/>
          <w:szCs w:val="22"/>
        </w:rPr>
        <w:t>importation and marketing of previously aut</w:t>
      </w:r>
      <w:r w:rsidRPr="00773C59" w:rsidR="007B0976">
        <w:rPr>
          <w:b/>
          <w:caps/>
          <w:szCs w:val="22"/>
        </w:rPr>
        <w:t xml:space="preserve">horized </w:t>
      </w:r>
      <w:r w:rsidR="00532556">
        <w:rPr>
          <w:b/>
          <w:caps/>
          <w:szCs w:val="22"/>
        </w:rPr>
        <w:t>COVERED COMMUNICATIONS</w:t>
      </w:r>
      <w:r w:rsidR="005158A7">
        <w:rPr>
          <w:b/>
          <w:caps/>
          <w:szCs w:val="22"/>
        </w:rPr>
        <w:t xml:space="preserve"> </w:t>
      </w:r>
      <w:r w:rsidRPr="00773C59">
        <w:rPr>
          <w:b/>
          <w:caps/>
          <w:szCs w:val="22"/>
        </w:rPr>
        <w:t xml:space="preserve">equipment </w:t>
      </w:r>
      <w:r w:rsidR="00366ADC">
        <w:rPr>
          <w:b/>
          <w:caps/>
          <w:szCs w:val="22"/>
        </w:rPr>
        <w:t xml:space="preserve">added to the covered list </w:t>
      </w:r>
      <w:r w:rsidR="005D6457">
        <w:rPr>
          <w:b/>
          <w:caps/>
          <w:szCs w:val="22"/>
        </w:rPr>
        <w:t xml:space="preserve">in </w:t>
      </w:r>
      <w:r w:rsidR="00E105A5">
        <w:rPr>
          <w:b/>
          <w:caps/>
          <w:szCs w:val="22"/>
        </w:rPr>
        <w:t xml:space="preserve">2024 or </w:t>
      </w:r>
      <w:r w:rsidR="00165BCB">
        <w:rPr>
          <w:b/>
          <w:caps/>
          <w:szCs w:val="22"/>
        </w:rPr>
        <w:t>EARLIER</w:t>
      </w:r>
    </w:p>
    <w:p w:rsidR="00F35108" w:rsidRPr="00773C59" w:rsidP="00F35108" w14:paraId="68F08551" w14:textId="621DCE7A">
      <w:pPr>
        <w:jc w:val="center"/>
        <w:rPr>
          <w:b/>
          <w:bCs/>
          <w:szCs w:val="22"/>
        </w:rPr>
      </w:pPr>
      <w:bookmarkStart w:id="0" w:name="TOChere"/>
      <w:r w:rsidRPr="004768A3">
        <w:rPr>
          <w:b/>
          <w:bCs/>
          <w:szCs w:val="22"/>
        </w:rPr>
        <w:t>PS Docket No. 26-</w:t>
      </w:r>
      <w:r w:rsidRPr="004768A3" w:rsidR="004768A3">
        <w:rPr>
          <w:b/>
          <w:bCs/>
          <w:szCs w:val="22"/>
        </w:rPr>
        <w:t>72</w:t>
      </w:r>
    </w:p>
    <w:p w:rsidR="00A57FBD" w:rsidRPr="00773C59" w:rsidP="00F35108" w14:paraId="6C3A955E" w14:textId="77777777">
      <w:pPr>
        <w:jc w:val="center"/>
        <w:rPr>
          <w:b/>
          <w:bCs/>
          <w:szCs w:val="22"/>
        </w:rPr>
      </w:pPr>
    </w:p>
    <w:p w:rsidR="00E44B98" w:rsidP="00E44B98" w14:paraId="3A7ABACF" w14:textId="77777777">
      <w:pPr>
        <w:pStyle w:val="ParaNum"/>
        <w:numPr>
          <w:ilvl w:val="0"/>
          <w:numId w:val="0"/>
        </w:numPr>
        <w:rPr>
          <w:szCs w:val="22"/>
          <w:u w:val="single"/>
        </w:rPr>
      </w:pPr>
      <w:r>
        <w:rPr>
          <w:szCs w:val="22"/>
          <w:u w:val="single"/>
        </w:rPr>
        <w:t>Introduction</w:t>
      </w:r>
    </w:p>
    <w:p w:rsidR="009D1539" w:rsidP="00E44B98" w14:paraId="2FB011D8" w14:textId="70D4E3FC">
      <w:pPr>
        <w:pStyle w:val="ParaNum"/>
        <w:numPr>
          <w:ilvl w:val="0"/>
          <w:numId w:val="0"/>
        </w:numPr>
        <w:ind w:firstLine="720"/>
        <w:rPr>
          <w:szCs w:val="22"/>
        </w:rPr>
      </w:pPr>
      <w:r w:rsidRPr="00773C59">
        <w:rPr>
          <w:szCs w:val="22"/>
        </w:rPr>
        <w:t>By</w:t>
      </w:r>
      <w:r w:rsidRPr="00773C59" w:rsidR="00854FCC">
        <w:rPr>
          <w:szCs w:val="22"/>
        </w:rPr>
        <w:t xml:space="preserve"> this Public Notice, the Public Safety and Homeland Security Bureau (PSHSB)</w:t>
      </w:r>
      <w:r w:rsidRPr="00773C59" w:rsidR="00A63EF9">
        <w:rPr>
          <w:szCs w:val="22"/>
        </w:rPr>
        <w:t xml:space="preserve"> and Office of Engineering and Technology (OET)</w:t>
      </w:r>
      <w:r w:rsidRPr="00773C59" w:rsidR="00854FCC">
        <w:rPr>
          <w:szCs w:val="22"/>
        </w:rPr>
        <w:t xml:space="preserve"> </w:t>
      </w:r>
      <w:r w:rsidR="004404D3">
        <w:rPr>
          <w:szCs w:val="22"/>
        </w:rPr>
        <w:t xml:space="preserve">of the Federal Communications Commission (FCC or Commission) </w:t>
      </w:r>
      <w:r w:rsidRPr="00773C59" w:rsidR="00854FCC">
        <w:rPr>
          <w:szCs w:val="22"/>
        </w:rPr>
        <w:t xml:space="preserve">prohibit the continued importation and marketing of </w:t>
      </w:r>
      <w:r w:rsidRPr="00773C59" w:rsidR="00EC7655">
        <w:rPr>
          <w:szCs w:val="22"/>
        </w:rPr>
        <w:t xml:space="preserve">certain </w:t>
      </w:r>
      <w:r w:rsidRPr="00773C59" w:rsidR="00716645">
        <w:rPr>
          <w:szCs w:val="22"/>
        </w:rPr>
        <w:t xml:space="preserve">previously authorized </w:t>
      </w:r>
      <w:r w:rsidR="001611E2">
        <w:rPr>
          <w:szCs w:val="22"/>
        </w:rPr>
        <w:t xml:space="preserve">covered </w:t>
      </w:r>
      <w:r w:rsidRPr="00773C59" w:rsidR="00854FCC">
        <w:rPr>
          <w:szCs w:val="22"/>
        </w:rPr>
        <w:t xml:space="preserve">equipment </w:t>
      </w:r>
      <w:r w:rsidRPr="001C52BC" w:rsidR="007E34A0">
        <w:rPr>
          <w:szCs w:val="22"/>
        </w:rPr>
        <w:t>added to the Covered List</w:t>
      </w:r>
      <w:r w:rsidR="007E34A0">
        <w:rPr>
          <w:szCs w:val="22"/>
        </w:rPr>
        <w:t xml:space="preserve"> in 2024 or earlier</w:t>
      </w:r>
      <w:r w:rsidRPr="00773C59" w:rsidR="00BA6500">
        <w:rPr>
          <w:szCs w:val="22"/>
        </w:rPr>
        <w:t>.</w:t>
      </w:r>
      <w:r>
        <w:rPr>
          <w:rStyle w:val="FootnoteReference"/>
          <w:szCs w:val="22"/>
        </w:rPr>
        <w:footnoteReference w:id="3"/>
      </w:r>
      <w:r w:rsidR="00E07063">
        <w:rPr>
          <w:szCs w:val="22"/>
        </w:rPr>
        <w:t xml:space="preserve">  </w:t>
      </w:r>
      <w:r w:rsidR="005240E4">
        <w:rPr>
          <w:szCs w:val="22"/>
        </w:rPr>
        <w:t xml:space="preserve">All such covered </w:t>
      </w:r>
      <w:r w:rsidR="001802E2">
        <w:rPr>
          <w:szCs w:val="22"/>
        </w:rPr>
        <w:t xml:space="preserve">equipment has been publicly identified as posing “unacceptable risks </w:t>
      </w:r>
      <w:r w:rsidRPr="007E2B9A" w:rsidR="001802E2">
        <w:t>to the national security of the United States or the security and safety of United States persons</w:t>
      </w:r>
      <w:r w:rsidR="001802E2">
        <w:t>”</w:t>
      </w:r>
      <w:r>
        <w:rPr>
          <w:rStyle w:val="FootnoteReference"/>
        </w:rPr>
        <w:footnoteReference w:id="4"/>
      </w:r>
      <w:r w:rsidR="001802E2">
        <w:t xml:space="preserve"> </w:t>
      </w:r>
      <w:r w:rsidR="00D82E95">
        <w:t>for years.</w:t>
      </w:r>
      <w:r w:rsidR="001802E2">
        <w:rPr>
          <w:szCs w:val="22"/>
        </w:rPr>
        <w:t xml:space="preserve"> </w:t>
      </w:r>
      <w:r w:rsidR="00804941">
        <w:rPr>
          <w:szCs w:val="22"/>
        </w:rPr>
        <w:t xml:space="preserve"> </w:t>
      </w:r>
      <w:r w:rsidR="004E6AB4">
        <w:rPr>
          <w:szCs w:val="22"/>
        </w:rPr>
        <w:t xml:space="preserve">While importation and marketing </w:t>
      </w:r>
      <w:r w:rsidR="002D3C84">
        <w:rPr>
          <w:szCs w:val="22"/>
        </w:rPr>
        <w:t xml:space="preserve">will </w:t>
      </w:r>
      <w:r w:rsidR="004E6AB4">
        <w:rPr>
          <w:szCs w:val="22"/>
        </w:rPr>
        <w:t xml:space="preserve">be prohibited, this prohibition </w:t>
      </w:r>
      <w:r w:rsidR="002D3C84">
        <w:rPr>
          <w:szCs w:val="22"/>
        </w:rPr>
        <w:t xml:space="preserve">will </w:t>
      </w:r>
      <w:r w:rsidR="004E6AB4">
        <w:rPr>
          <w:szCs w:val="22"/>
        </w:rPr>
        <w:t xml:space="preserve">not affect </w:t>
      </w:r>
      <w:r w:rsidR="00BA0BF0">
        <w:rPr>
          <w:szCs w:val="22"/>
        </w:rPr>
        <w:t xml:space="preserve">the </w:t>
      </w:r>
      <w:r w:rsidR="004E6AB4">
        <w:rPr>
          <w:szCs w:val="22"/>
        </w:rPr>
        <w:t>continued use</w:t>
      </w:r>
      <w:r w:rsidR="004250BF">
        <w:rPr>
          <w:szCs w:val="22"/>
        </w:rPr>
        <w:t xml:space="preserve"> </w:t>
      </w:r>
      <w:r w:rsidR="004E6AB4">
        <w:rPr>
          <w:szCs w:val="22"/>
        </w:rPr>
        <w:t xml:space="preserve">or operation of </w:t>
      </w:r>
      <w:r w:rsidRPr="001C52BC" w:rsidR="004E6AB4">
        <w:rPr>
          <w:szCs w:val="22"/>
        </w:rPr>
        <w:t>already-purchased</w:t>
      </w:r>
      <w:r w:rsidR="004E6AB4">
        <w:rPr>
          <w:szCs w:val="22"/>
        </w:rPr>
        <w:t xml:space="preserve"> communications equipment.</w:t>
      </w:r>
      <w:r w:rsidRPr="00773C59" w:rsidR="004E6AB4">
        <w:rPr>
          <w:szCs w:val="22"/>
        </w:rPr>
        <w:t xml:space="preserve">  </w:t>
      </w:r>
      <w:r w:rsidR="004E6AB4">
        <w:rPr>
          <w:szCs w:val="22"/>
        </w:rPr>
        <w:t>The prohibition</w:t>
      </w:r>
      <w:r w:rsidR="00BA0BF0">
        <w:rPr>
          <w:szCs w:val="22"/>
        </w:rPr>
        <w:t xml:space="preserve"> adopted </w:t>
      </w:r>
      <w:r w:rsidR="004E6AB4">
        <w:rPr>
          <w:szCs w:val="22"/>
        </w:rPr>
        <w:t xml:space="preserve">in this </w:t>
      </w:r>
      <w:r w:rsidR="00C249DB">
        <w:rPr>
          <w:szCs w:val="22"/>
        </w:rPr>
        <w:t xml:space="preserve">Public Notice also </w:t>
      </w:r>
      <w:r w:rsidR="002D3C84">
        <w:rPr>
          <w:szCs w:val="22"/>
        </w:rPr>
        <w:t xml:space="preserve">will </w:t>
      </w:r>
      <w:r w:rsidR="00C249DB">
        <w:rPr>
          <w:szCs w:val="22"/>
        </w:rPr>
        <w:t xml:space="preserve">not affect equipment added to the Covered List </w:t>
      </w:r>
      <w:r w:rsidR="005653DE">
        <w:rPr>
          <w:szCs w:val="22"/>
        </w:rPr>
        <w:t>in 2025 or 2026</w:t>
      </w:r>
      <w:r w:rsidR="00C833E9">
        <w:rPr>
          <w:szCs w:val="22"/>
        </w:rPr>
        <w:t>, such as certain foreign-produced Uncrewed Aircraft Systems (UAS), UAS critical components, and routers.</w:t>
      </w:r>
      <w:r>
        <w:rPr>
          <w:rStyle w:val="FootnoteReference"/>
          <w:szCs w:val="22"/>
        </w:rPr>
        <w:footnoteReference w:id="5"/>
      </w:r>
      <w:r w:rsidR="00C249DB">
        <w:rPr>
          <w:szCs w:val="22"/>
        </w:rPr>
        <w:t xml:space="preserve"> </w:t>
      </w:r>
    </w:p>
    <w:p w:rsidR="009D1539" w:rsidRPr="002A5B87" w:rsidP="007211A1" w14:paraId="45A18BB1" w14:textId="7CCB4325">
      <w:pPr>
        <w:keepNext/>
        <w:widowControl/>
        <w:spacing w:after="120"/>
        <w:rPr>
          <w:szCs w:val="22"/>
          <w:u w:val="single"/>
        </w:rPr>
      </w:pPr>
      <w:r w:rsidRPr="007557CC">
        <w:rPr>
          <w:szCs w:val="22"/>
          <w:u w:val="single"/>
        </w:rPr>
        <w:t>Background</w:t>
      </w:r>
    </w:p>
    <w:p w:rsidR="00A65057" w:rsidP="00E44B98" w14:paraId="53E9F013" w14:textId="46CE62F8">
      <w:pPr>
        <w:pStyle w:val="ParaNum"/>
        <w:widowControl/>
        <w:numPr>
          <w:ilvl w:val="0"/>
          <w:numId w:val="0"/>
        </w:numPr>
        <w:ind w:firstLine="720"/>
        <w:rPr>
          <w:szCs w:val="22"/>
        </w:rPr>
      </w:pPr>
      <w:r w:rsidRPr="00773C59">
        <w:rPr>
          <w:szCs w:val="22"/>
        </w:rPr>
        <w:t xml:space="preserve">In November 2022, the </w:t>
      </w:r>
      <w:r w:rsidR="00D5366B">
        <w:rPr>
          <w:szCs w:val="22"/>
        </w:rPr>
        <w:t xml:space="preserve">Commission </w:t>
      </w:r>
      <w:r w:rsidRPr="00773C59">
        <w:rPr>
          <w:szCs w:val="22"/>
        </w:rPr>
        <w:t xml:space="preserve">adopted rules to prohibit authorization of equipment </w:t>
      </w:r>
      <w:r w:rsidRPr="001C52BC">
        <w:rPr>
          <w:szCs w:val="22"/>
        </w:rPr>
        <w:t>identified</w:t>
      </w:r>
      <w:r w:rsidRPr="00773C59">
        <w:rPr>
          <w:szCs w:val="22"/>
        </w:rPr>
        <w:t xml:space="preserve"> on the Covered List.</w:t>
      </w:r>
      <w:r>
        <w:rPr>
          <w:szCs w:val="22"/>
          <w:vertAlign w:val="superscript"/>
        </w:rPr>
        <w:footnoteReference w:id="6"/>
      </w:r>
      <w:r w:rsidRPr="00773C59">
        <w:rPr>
          <w:szCs w:val="22"/>
        </w:rPr>
        <w:t xml:space="preserve">  However, the Commission did not revoke previously granted authorizations of covered equipment.</w:t>
      </w:r>
      <w:r>
        <w:rPr>
          <w:szCs w:val="22"/>
          <w:vertAlign w:val="superscript"/>
        </w:rPr>
        <w:footnoteReference w:id="7"/>
      </w:r>
      <w:r w:rsidRPr="00773C59">
        <w:rPr>
          <w:szCs w:val="22"/>
        </w:rPr>
        <w:t xml:space="preserve">  In October 2025, the Commission adopted the </w:t>
      </w:r>
      <w:r w:rsidRPr="00773C59">
        <w:rPr>
          <w:i/>
          <w:iCs/>
          <w:szCs w:val="22"/>
        </w:rPr>
        <w:t xml:space="preserve">EA Security Second R&amp;O </w:t>
      </w:r>
      <w:r w:rsidRPr="00773C59" w:rsidR="00600D06">
        <w:rPr>
          <w:szCs w:val="22"/>
        </w:rPr>
        <w:t>which</w:t>
      </w:r>
      <w:r w:rsidRPr="00773C59">
        <w:rPr>
          <w:szCs w:val="22"/>
        </w:rPr>
        <w:t xml:space="preserve">, among other things, established a procedure to </w:t>
      </w:r>
      <w:r w:rsidRPr="00773C59">
        <w:rPr>
          <w:color w:val="000000"/>
          <w:szCs w:val="22"/>
        </w:rPr>
        <w:t>limit the scope of an existing authorization of covered equipment to prohibit continued importation or marketing</w:t>
      </w:r>
      <w:r w:rsidRPr="00773C59">
        <w:rPr>
          <w:szCs w:val="22"/>
        </w:rPr>
        <w:t xml:space="preserve"> of such equipment, without revoking the underlying authorization.</w:t>
      </w:r>
      <w:r>
        <w:rPr>
          <w:rStyle w:val="FootnoteReference"/>
          <w:szCs w:val="22"/>
        </w:rPr>
        <w:footnoteReference w:id="8"/>
      </w:r>
      <w:r w:rsidRPr="00773C59">
        <w:rPr>
          <w:szCs w:val="22"/>
        </w:rPr>
        <w:t xml:space="preserve">  </w:t>
      </w:r>
      <w:r w:rsidR="006834BA">
        <w:rPr>
          <w:szCs w:val="22"/>
        </w:rPr>
        <w:t xml:space="preserve">The Commission noted that its goal </w:t>
      </w:r>
      <w:r w:rsidR="004859ED">
        <w:rPr>
          <w:szCs w:val="22"/>
        </w:rPr>
        <w:t xml:space="preserve">was </w:t>
      </w:r>
      <w:r w:rsidR="006834BA">
        <w:rPr>
          <w:szCs w:val="22"/>
        </w:rPr>
        <w:t xml:space="preserve">to mitigate potential national security risks associated with covered equipment in the nation’s supply chain that was authorized prior to </w:t>
      </w:r>
      <w:r w:rsidR="00B175E8">
        <w:rPr>
          <w:szCs w:val="22"/>
        </w:rPr>
        <w:t>a Covered List addition under 47 U</w:t>
      </w:r>
      <w:r w:rsidR="00620AFB">
        <w:rPr>
          <w:szCs w:val="22"/>
        </w:rPr>
        <w:t>.</w:t>
      </w:r>
      <w:r w:rsidR="00B175E8">
        <w:rPr>
          <w:szCs w:val="22"/>
        </w:rPr>
        <w:t>S</w:t>
      </w:r>
      <w:r w:rsidR="00620AFB">
        <w:rPr>
          <w:szCs w:val="22"/>
        </w:rPr>
        <w:t>.</w:t>
      </w:r>
      <w:r w:rsidR="00B175E8">
        <w:rPr>
          <w:szCs w:val="22"/>
        </w:rPr>
        <w:t>C</w:t>
      </w:r>
      <w:r w:rsidR="00620AFB">
        <w:rPr>
          <w:szCs w:val="22"/>
        </w:rPr>
        <w:t>.</w:t>
      </w:r>
      <w:r w:rsidR="00B175E8">
        <w:rPr>
          <w:szCs w:val="22"/>
        </w:rPr>
        <w:t xml:space="preserve"> </w:t>
      </w:r>
      <w:r w:rsidR="00620AFB">
        <w:rPr>
          <w:szCs w:val="22"/>
        </w:rPr>
        <w:t xml:space="preserve">§ </w:t>
      </w:r>
      <w:r w:rsidR="00B175E8">
        <w:rPr>
          <w:szCs w:val="22"/>
        </w:rPr>
        <w:t>1601(b).</w:t>
      </w:r>
      <w:r>
        <w:rPr>
          <w:rStyle w:val="FootnoteReference"/>
          <w:szCs w:val="22"/>
        </w:rPr>
        <w:footnoteReference w:id="9"/>
      </w:r>
      <w:r w:rsidR="006834BA">
        <w:rPr>
          <w:szCs w:val="22"/>
        </w:rPr>
        <w:t xml:space="preserve">  </w:t>
      </w:r>
      <w:r w:rsidRPr="00773C59">
        <w:rPr>
          <w:szCs w:val="22"/>
        </w:rPr>
        <w:t xml:space="preserve">The Commission directed PSHSB and OET to “institute proceedings to determine whether to apply these prohibitions to some or all of the equipment currently on the Covered List” and </w:t>
      </w:r>
      <w:r w:rsidR="00471F41">
        <w:rPr>
          <w:szCs w:val="22"/>
        </w:rPr>
        <w:t xml:space="preserve">it </w:t>
      </w:r>
      <w:r w:rsidRPr="00773C59">
        <w:rPr>
          <w:szCs w:val="22"/>
        </w:rPr>
        <w:t xml:space="preserve">delegated authority to PSHSB and </w:t>
      </w:r>
      <w:r w:rsidR="006B1DF0">
        <w:rPr>
          <w:szCs w:val="22"/>
        </w:rPr>
        <w:t>OET</w:t>
      </w:r>
      <w:r w:rsidRPr="00773C59">
        <w:rPr>
          <w:szCs w:val="22"/>
        </w:rPr>
        <w:t xml:space="preserve"> to apply such prohibitions pursuant to the framework and process outlined in the </w:t>
      </w:r>
      <w:r w:rsidRPr="00095B1C" w:rsidR="00095B1C">
        <w:rPr>
          <w:i/>
          <w:iCs/>
          <w:szCs w:val="22"/>
        </w:rPr>
        <w:t xml:space="preserve">EA Security </w:t>
      </w:r>
      <w:r w:rsidRPr="00773C59">
        <w:rPr>
          <w:i/>
          <w:iCs/>
          <w:szCs w:val="22"/>
        </w:rPr>
        <w:t>Second R&amp;O</w:t>
      </w:r>
      <w:r w:rsidRPr="00773C59">
        <w:rPr>
          <w:szCs w:val="22"/>
        </w:rPr>
        <w:t>.</w:t>
      </w:r>
      <w:r>
        <w:rPr>
          <w:rStyle w:val="FootnoteReference"/>
          <w:szCs w:val="22"/>
        </w:rPr>
        <w:footnoteReference w:id="10"/>
      </w:r>
      <w:r w:rsidR="003041B9">
        <w:rPr>
          <w:szCs w:val="22"/>
        </w:rPr>
        <w:t xml:space="preserve"> </w:t>
      </w:r>
      <w:r w:rsidRPr="00773C59">
        <w:rPr>
          <w:szCs w:val="22"/>
        </w:rPr>
        <w:t xml:space="preserve"> </w:t>
      </w:r>
    </w:p>
    <w:p w:rsidR="00396D83" w:rsidRPr="00AE5CA3" w:rsidP="00396D83" w14:paraId="07040F50" w14:textId="525F8945">
      <w:pPr>
        <w:pStyle w:val="ParaNum"/>
        <w:widowControl/>
        <w:numPr>
          <w:ilvl w:val="0"/>
          <w:numId w:val="0"/>
        </w:numPr>
        <w:ind w:firstLine="720"/>
        <w:rPr>
          <w:szCs w:val="22"/>
        </w:rPr>
      </w:pPr>
      <w:r>
        <w:rPr>
          <w:szCs w:val="22"/>
        </w:rPr>
        <w:t xml:space="preserve">The Commission specifically directed </w:t>
      </w:r>
      <w:r w:rsidR="00C566B4">
        <w:rPr>
          <w:szCs w:val="22"/>
        </w:rPr>
        <w:t>PSHSB and OET to conduct a public interest analysis</w:t>
      </w:r>
      <w:r w:rsidR="009025AC">
        <w:rPr>
          <w:szCs w:val="22"/>
        </w:rPr>
        <w:t xml:space="preserve"> pursuant to that framework</w:t>
      </w:r>
      <w:r w:rsidR="00C566B4">
        <w:rPr>
          <w:szCs w:val="22"/>
        </w:rPr>
        <w:t xml:space="preserve">, giving “particular weight to the fact </w:t>
      </w:r>
      <w:r w:rsidR="00E438DE">
        <w:rPr>
          <w:szCs w:val="22"/>
        </w:rPr>
        <w:t>that</w:t>
      </w:r>
      <w:r w:rsidR="00C566B4">
        <w:rPr>
          <w:szCs w:val="22"/>
        </w:rPr>
        <w:t xml:space="preserve"> the relevant equipment was determined to pose ‘an unacceptable risk to the national security of the United States or the safety and security of United States persons.”</w:t>
      </w:r>
      <w:r>
        <w:rPr>
          <w:rStyle w:val="FootnoteReference"/>
          <w:szCs w:val="22"/>
        </w:rPr>
        <w:footnoteReference w:id="11"/>
      </w:r>
      <w:r w:rsidRPr="00396D83">
        <w:rPr>
          <w:szCs w:val="22"/>
        </w:rPr>
        <w:t xml:space="preserve"> </w:t>
      </w:r>
      <w:r>
        <w:rPr>
          <w:szCs w:val="22"/>
        </w:rPr>
        <w:t xml:space="preserve"> Under the framework, </w:t>
      </w:r>
      <w:r>
        <w:t>PSHSB and OET must first issue a Public Notice with “a brief</w:t>
      </w:r>
      <w:r w:rsidRPr="00AE2B03">
        <w:t xml:space="preserve"> analysis of the relevant factors that would justify</w:t>
      </w:r>
      <w:r>
        <w:t xml:space="preserve"> limitation on the authorization of previously authorized</w:t>
      </w:r>
      <w:r w:rsidRPr="00AE2B03">
        <w:t xml:space="preserve"> </w:t>
      </w:r>
      <w:r>
        <w:t>covered equipment prohibiting the importation and marketing of such.”</w:t>
      </w:r>
      <w:r>
        <w:rPr>
          <w:rStyle w:val="FootnoteReference"/>
        </w:rPr>
        <w:footnoteReference w:id="12"/>
      </w:r>
      <w:r>
        <w:t xml:space="preserve">  The Public Notice must “specify the </w:t>
      </w:r>
      <w:r w:rsidRPr="00AE2B03">
        <w:t>class, type, or other description sufficient to identify the devices</w:t>
      </w:r>
      <w:r>
        <w:t>, including reference to all devices included in a specific Covered List entry,</w:t>
      </w:r>
      <w:r w:rsidRPr="00AE2B03">
        <w:t xml:space="preserve"> </w:t>
      </w:r>
      <w:r>
        <w:t>targeted for potential limitations on importation and marketing.”</w:t>
      </w:r>
      <w:r>
        <w:rPr>
          <w:rStyle w:val="FootnoteReference"/>
        </w:rPr>
        <w:footnoteReference w:id="13"/>
      </w:r>
      <w:r>
        <w:rPr>
          <w:szCs w:val="22"/>
        </w:rPr>
        <w:t xml:space="preserve">  The Public Notice must provide “an opportunity for public comment for a minimum of 30 days and may provide an opportunity for reply comments,” and PSHSB and OET should take reasonable steps to conclude the proceeding expeditiously.</w:t>
      </w:r>
      <w:r>
        <w:rPr>
          <w:rStyle w:val="FootnoteReference"/>
          <w:szCs w:val="22"/>
        </w:rPr>
        <w:footnoteReference w:id="14"/>
      </w:r>
    </w:p>
    <w:p w:rsidR="00B175E8" w:rsidRPr="0048294C" w:rsidP="007211A1" w14:paraId="46D4C976" w14:textId="6C2F35F6">
      <w:pPr>
        <w:pStyle w:val="ParaNum"/>
        <w:numPr>
          <w:ilvl w:val="0"/>
          <w:numId w:val="0"/>
        </w:numPr>
        <w:ind w:firstLine="720"/>
        <w:rPr>
          <w:szCs w:val="22"/>
        </w:rPr>
      </w:pPr>
      <w:r>
        <w:rPr>
          <w:szCs w:val="22"/>
        </w:rPr>
        <w:t xml:space="preserve">On </w:t>
      </w:r>
      <w:r w:rsidR="00B16281">
        <w:rPr>
          <w:szCs w:val="22"/>
        </w:rPr>
        <w:t>March 27, 2026, PSHSB and OET released a Public Notice (March 27 Public Notice)</w:t>
      </w:r>
      <w:r w:rsidR="00037713">
        <w:rPr>
          <w:szCs w:val="22"/>
        </w:rPr>
        <w:t xml:space="preserve"> seeking comment </w:t>
      </w:r>
      <w:r w:rsidR="00843CB7">
        <w:rPr>
          <w:szCs w:val="22"/>
        </w:rPr>
        <w:t xml:space="preserve">on whether the </w:t>
      </w:r>
      <w:r w:rsidR="00353959">
        <w:rPr>
          <w:szCs w:val="22"/>
        </w:rPr>
        <w:t xml:space="preserve">Commission should </w:t>
      </w:r>
      <w:r w:rsidRPr="00353959" w:rsidR="00353959">
        <w:rPr>
          <w:szCs w:val="22"/>
        </w:rPr>
        <w:t xml:space="preserve">prohibit the continued importation and marketing of certain previously authorized </w:t>
      </w:r>
      <w:r w:rsidR="00353959">
        <w:rPr>
          <w:szCs w:val="22"/>
        </w:rPr>
        <w:t xml:space="preserve">covered </w:t>
      </w:r>
      <w:r w:rsidRPr="00353959" w:rsidR="00353959">
        <w:rPr>
          <w:szCs w:val="22"/>
        </w:rPr>
        <w:t xml:space="preserve">equipment </w:t>
      </w:r>
      <w:r w:rsidRPr="00007B5B" w:rsidR="00007B5B">
        <w:rPr>
          <w:szCs w:val="22"/>
        </w:rPr>
        <w:t xml:space="preserve">and the relevant factors, including national security and economic and supply chain considerations, that would justify </w:t>
      </w:r>
      <w:r w:rsidR="001A01B8">
        <w:rPr>
          <w:szCs w:val="22"/>
        </w:rPr>
        <w:t xml:space="preserve">such a </w:t>
      </w:r>
      <w:r w:rsidRPr="00007B5B" w:rsidR="00007B5B">
        <w:rPr>
          <w:szCs w:val="22"/>
        </w:rPr>
        <w:t>prohibiti</w:t>
      </w:r>
      <w:r w:rsidR="001A01B8">
        <w:rPr>
          <w:szCs w:val="22"/>
        </w:rPr>
        <w:t>on.</w:t>
      </w:r>
      <w:r>
        <w:rPr>
          <w:rStyle w:val="FootnoteReference"/>
          <w:szCs w:val="22"/>
        </w:rPr>
        <w:footnoteReference w:id="15"/>
      </w:r>
      <w:r w:rsidR="003450BA">
        <w:rPr>
          <w:szCs w:val="22"/>
        </w:rPr>
        <w:t xml:space="preserve">  </w:t>
      </w:r>
      <w:r w:rsidR="00266A7B">
        <w:rPr>
          <w:szCs w:val="22"/>
        </w:rPr>
        <w:t xml:space="preserve">We tentatively </w:t>
      </w:r>
      <w:r w:rsidR="00266A7B">
        <w:rPr>
          <w:szCs w:val="22"/>
        </w:rPr>
        <w:t xml:space="preserve">concluded that </w:t>
      </w:r>
      <w:r w:rsidR="00B20473">
        <w:rPr>
          <w:szCs w:val="22"/>
        </w:rPr>
        <w:t>“</w:t>
      </w:r>
      <w:r w:rsidRPr="00B20473" w:rsidR="00B20473">
        <w:rPr>
          <w:szCs w:val="22"/>
        </w:rPr>
        <w:t>prohibiting the importation and marketing</w:t>
      </w:r>
      <w:r w:rsidR="00B20473">
        <w:rPr>
          <w:szCs w:val="22"/>
        </w:rPr>
        <w:t xml:space="preserve"> </w:t>
      </w:r>
      <w:r w:rsidRPr="00B20473" w:rsidR="00B20473">
        <w:rPr>
          <w:szCs w:val="22"/>
        </w:rPr>
        <w:t>of previously authorized covered equipment that was added to the Covered List in 2024 or earlier is</w:t>
      </w:r>
      <w:r w:rsidR="00B20473">
        <w:rPr>
          <w:szCs w:val="22"/>
        </w:rPr>
        <w:t xml:space="preserve"> </w:t>
      </w:r>
      <w:r w:rsidRPr="00B20473" w:rsidR="00B20473">
        <w:rPr>
          <w:szCs w:val="22"/>
        </w:rPr>
        <w:t>consistent with the public interest, because it protects American communications networks from device</w:t>
      </w:r>
      <w:r w:rsidR="00EF0332">
        <w:rPr>
          <w:szCs w:val="22"/>
        </w:rPr>
        <w:t>s</w:t>
      </w:r>
      <w:r w:rsidR="00B20473">
        <w:rPr>
          <w:szCs w:val="22"/>
        </w:rPr>
        <w:t xml:space="preserve"> </w:t>
      </w:r>
      <w:r w:rsidRPr="00B20473" w:rsidR="00B20473">
        <w:rPr>
          <w:szCs w:val="22"/>
        </w:rPr>
        <w:t xml:space="preserve">specifically determined by Congress or a national security agency to </w:t>
      </w:r>
      <w:r w:rsidR="00B20473">
        <w:rPr>
          <w:szCs w:val="22"/>
        </w:rPr>
        <w:t>‘</w:t>
      </w:r>
      <w:r w:rsidRPr="00B20473" w:rsidR="00B20473">
        <w:rPr>
          <w:szCs w:val="22"/>
        </w:rPr>
        <w:t>pose an unacceptable risk to the</w:t>
      </w:r>
      <w:r w:rsidR="00B20473">
        <w:rPr>
          <w:szCs w:val="22"/>
        </w:rPr>
        <w:t xml:space="preserve"> </w:t>
      </w:r>
      <w:r w:rsidRPr="0048294C" w:rsidR="0048294C">
        <w:rPr>
          <w:szCs w:val="22"/>
        </w:rPr>
        <w:t>national security of the United States or the security and safety of United States persons.</w:t>
      </w:r>
      <w:r w:rsidR="0048294C">
        <w:rPr>
          <w:szCs w:val="22"/>
        </w:rPr>
        <w:t>’”</w:t>
      </w:r>
      <w:r>
        <w:rPr>
          <w:rStyle w:val="FootnoteReference"/>
          <w:szCs w:val="22"/>
        </w:rPr>
        <w:footnoteReference w:id="16"/>
      </w:r>
      <w:r w:rsidR="0048294C">
        <w:rPr>
          <w:szCs w:val="22"/>
        </w:rPr>
        <w:t xml:space="preserve">  And we further </w:t>
      </w:r>
      <w:r w:rsidR="008A075C">
        <w:rPr>
          <w:szCs w:val="22"/>
        </w:rPr>
        <w:t xml:space="preserve">tentatively </w:t>
      </w:r>
      <w:r w:rsidR="0048294C">
        <w:rPr>
          <w:szCs w:val="22"/>
        </w:rPr>
        <w:t>concluded that “t</w:t>
      </w:r>
      <w:r w:rsidRPr="0048294C" w:rsidR="0048294C">
        <w:rPr>
          <w:szCs w:val="22"/>
        </w:rPr>
        <w:t xml:space="preserve">here are no public interest factors that outweigh our tentative </w:t>
      </w:r>
      <w:r w:rsidR="0048294C">
        <w:rPr>
          <w:szCs w:val="22"/>
        </w:rPr>
        <w:t xml:space="preserve">conclusion </w:t>
      </w:r>
      <w:r w:rsidRPr="0048294C" w:rsidR="0048294C">
        <w:rPr>
          <w:szCs w:val="22"/>
        </w:rPr>
        <w:t>regarding the proposed ban on import and marketing of this previously</w:t>
      </w:r>
      <w:r w:rsidR="008A075C">
        <w:rPr>
          <w:szCs w:val="22"/>
        </w:rPr>
        <w:t xml:space="preserve"> [authorized]</w:t>
      </w:r>
      <w:r w:rsidRPr="0048294C" w:rsidR="0048294C">
        <w:rPr>
          <w:szCs w:val="22"/>
        </w:rPr>
        <w:t xml:space="preserve"> equipment.</w:t>
      </w:r>
      <w:r w:rsidR="0048294C">
        <w:rPr>
          <w:szCs w:val="22"/>
        </w:rPr>
        <w:t>”</w:t>
      </w:r>
      <w:r>
        <w:rPr>
          <w:rStyle w:val="FootnoteReference"/>
          <w:szCs w:val="22"/>
        </w:rPr>
        <w:footnoteReference w:id="17"/>
      </w:r>
    </w:p>
    <w:p w:rsidR="00E44B98" w:rsidP="00E44B98" w14:paraId="7F380D14" w14:textId="77777777">
      <w:pPr>
        <w:pStyle w:val="ParaNum"/>
        <w:widowControl/>
        <w:numPr>
          <w:ilvl w:val="0"/>
          <w:numId w:val="0"/>
        </w:numPr>
        <w:rPr>
          <w:szCs w:val="22"/>
          <w:u w:val="single"/>
        </w:rPr>
      </w:pPr>
      <w:r w:rsidRPr="007557CC">
        <w:rPr>
          <w:szCs w:val="22"/>
          <w:u w:val="single"/>
        </w:rPr>
        <w:t>Discussion</w:t>
      </w:r>
    </w:p>
    <w:p w:rsidR="00F32E36" w:rsidRPr="00E96340" w:rsidP="00D7282E" w14:paraId="0E31CA86" w14:textId="10F9508E">
      <w:pPr>
        <w:pStyle w:val="ParaNum"/>
        <w:widowControl/>
        <w:numPr>
          <w:ilvl w:val="0"/>
          <w:numId w:val="0"/>
        </w:numPr>
        <w:ind w:firstLine="720"/>
      </w:pPr>
      <w:r>
        <w:t>Today</w:t>
      </w:r>
      <w:r w:rsidR="00721C47">
        <w:t>, b</w:t>
      </w:r>
      <w:r w:rsidR="00AD0B04">
        <w:t>ased on the record</w:t>
      </w:r>
      <w:r>
        <w:t>, we</w:t>
      </w:r>
      <w:r w:rsidR="001A43AF">
        <w:t xml:space="preserve"> prohibit the continued importation and marketing of</w:t>
      </w:r>
      <w:r w:rsidR="00340298">
        <w:t xml:space="preserve"> any</w:t>
      </w:r>
      <w:r w:rsidR="001A43AF">
        <w:t xml:space="preserve"> </w:t>
      </w:r>
      <w:r w:rsidR="00BE7380">
        <w:t>covered equipment</w:t>
      </w:r>
      <w:r w:rsidR="00532556">
        <w:t xml:space="preserve"> added to the Covered List in 2024 or earlier.</w:t>
      </w:r>
      <w:r w:rsidR="00214A90">
        <w:t xml:space="preserve">  </w:t>
      </w:r>
      <w:r w:rsidR="001A43AF">
        <w:t>This prohibition specifically appl</w:t>
      </w:r>
      <w:r w:rsidR="007D619B">
        <w:t>ies</w:t>
      </w:r>
      <w:r w:rsidR="001A43AF">
        <w:t xml:space="preserve"> to </w:t>
      </w:r>
      <w:r w:rsidR="00FD11AD">
        <w:t xml:space="preserve">all such </w:t>
      </w:r>
      <w:r w:rsidR="00165BCB">
        <w:t>covered</w:t>
      </w:r>
      <w:r w:rsidR="001A43AF">
        <w:t xml:space="preserve"> equipment that </w:t>
      </w:r>
      <w:r w:rsidR="00AB1FC7">
        <w:t>received FCC equipment</w:t>
      </w:r>
      <w:r w:rsidR="001A43AF">
        <w:t xml:space="preserve"> authoriz</w:t>
      </w:r>
      <w:r w:rsidR="00AB1FC7">
        <w:t>ation</w:t>
      </w:r>
      <w:r w:rsidR="001A43AF">
        <w:t xml:space="preserve"> before the adoption of our 2022 rules</w:t>
      </w:r>
      <w:r w:rsidR="00B01CE9">
        <w:t xml:space="preserve"> and takes </w:t>
      </w:r>
      <w:r w:rsidR="00EE6C61">
        <w:t>effect</w:t>
      </w:r>
      <w:r w:rsidR="006E3DAF">
        <w:t xml:space="preserve"> </w:t>
      </w:r>
      <w:r w:rsidR="00B263ED">
        <w:t xml:space="preserve">10 days </w:t>
      </w:r>
      <w:r w:rsidR="00590127">
        <w:t>after</w:t>
      </w:r>
      <w:r w:rsidR="00B263ED">
        <w:t xml:space="preserve"> publication in the Federal Register</w:t>
      </w:r>
      <w:r w:rsidR="00B01CE9">
        <w:t xml:space="preserve">.  </w:t>
      </w:r>
      <w:r w:rsidR="00C841A2">
        <w:t xml:space="preserve">As explained further below, however, </w:t>
      </w:r>
      <w:r w:rsidR="00051670">
        <w:t xml:space="preserve">the prohibition is temporarily suspended for certain equipment added to the </w:t>
      </w:r>
      <w:r w:rsidR="00046653">
        <w:t>C</w:t>
      </w:r>
      <w:r w:rsidR="00051670">
        <w:t xml:space="preserve">overed </w:t>
      </w:r>
      <w:r w:rsidR="00046653">
        <w:t>L</w:t>
      </w:r>
      <w:r w:rsidR="00051670">
        <w:t xml:space="preserve">ist on March 12, 2021, when used for the purpose of physical security surveillance of critical infrastructure, until the Commission adopts a definition of “critical infrastructure.” </w:t>
      </w:r>
      <w:r w:rsidR="00645AAB">
        <w:t xml:space="preserve"> And the</w:t>
      </w:r>
      <w:r w:rsidR="00AB1FC7">
        <w:t xml:space="preserve"> prohibition </w:t>
      </w:r>
      <w:r w:rsidR="007D619B">
        <w:t>does not ap</w:t>
      </w:r>
      <w:r w:rsidR="00AB1FC7">
        <w:t>ply to</w:t>
      </w:r>
      <w:r w:rsidR="007D619B">
        <w:t xml:space="preserve"> any equipment added to the Covered List after 2024.</w:t>
      </w:r>
      <w:r w:rsidRPr="00773C59" w:rsidR="007D619B">
        <w:t xml:space="preserve">  </w:t>
      </w:r>
      <w:r w:rsidR="00B86B9B">
        <w:t>The Commission</w:t>
      </w:r>
      <w:r w:rsidR="00F06B9F">
        <w:t xml:space="preserve"> updated the Covered List</w:t>
      </w:r>
      <w:r w:rsidR="00CB1B64">
        <w:t xml:space="preserve"> </w:t>
      </w:r>
      <w:r w:rsidR="005C4A0B">
        <w:t>webpage</w:t>
      </w:r>
      <w:r w:rsidR="00CB1B64">
        <w:t xml:space="preserve"> to identify the co</w:t>
      </w:r>
      <w:r w:rsidR="002B6753">
        <w:t xml:space="preserve">vered equipment that is subject to the </w:t>
      </w:r>
      <w:r w:rsidR="00D16142">
        <w:t>prohibition on importation and marketing</w:t>
      </w:r>
      <w:r w:rsidR="00CB1B64">
        <w:t xml:space="preserve">, which is available at: </w:t>
      </w:r>
      <w:r w:rsidR="008F3411">
        <w:t xml:space="preserve"> </w:t>
      </w:r>
      <w:hyperlink r:id="rId6" w:anchor="importation-marketing-prohibitions" w:history="1">
        <w:r w:rsidRPr="00FD487A" w:rsidR="003548A6">
          <w:rPr>
            <w:rStyle w:val="Hyperlink"/>
            <w:rFonts w:eastAsia="Aptos"/>
            <w:sz w:val="24"/>
            <w:szCs w:val="24"/>
          </w:rPr>
          <w:t>https://www.fcc.gov/supplychain/coveredlist#importation-marketing-prohibitions</w:t>
        </w:r>
      </w:hyperlink>
      <w:r w:rsidR="003548A6">
        <w:rPr>
          <w:rFonts w:eastAsia="Aptos"/>
          <w:sz w:val="24"/>
          <w:szCs w:val="24"/>
        </w:rPr>
        <w:t xml:space="preserve">. </w:t>
      </w:r>
    </w:p>
    <w:bookmarkEnd w:id="0"/>
    <w:p w:rsidR="002D21F2" w:rsidP="00E44B98" w14:paraId="43F4CA2A" w14:textId="539A4248">
      <w:pPr>
        <w:spacing w:after="120"/>
        <w:ind w:firstLine="720"/>
      </w:pPr>
      <w:r>
        <w:rPr>
          <w:i/>
          <w:iCs/>
        </w:rPr>
        <w:t>National security impacts.</w:t>
      </w:r>
      <w:r>
        <w:t xml:space="preserve"> </w:t>
      </w:r>
      <w:r w:rsidR="00105E97">
        <w:t xml:space="preserve"> </w:t>
      </w:r>
      <w:r w:rsidR="000110A7">
        <w:t xml:space="preserve">Protecting </w:t>
      </w:r>
      <w:r w:rsidR="001307C9">
        <w:t>n</w:t>
      </w:r>
      <w:r w:rsidRPr="003769A6">
        <w:t xml:space="preserve">ational security remains </w:t>
      </w:r>
      <w:r w:rsidR="00CC5CA9">
        <w:t xml:space="preserve">one of </w:t>
      </w:r>
      <w:r w:rsidRPr="003769A6">
        <w:t xml:space="preserve">the Commission’s </w:t>
      </w:r>
      <w:r w:rsidR="00CC5CA9">
        <w:t>primary</w:t>
      </w:r>
      <w:r w:rsidRPr="003769A6">
        <w:t xml:space="preserve"> </w:t>
      </w:r>
      <w:r w:rsidR="001307C9">
        <w:t>objectives</w:t>
      </w:r>
      <w:r w:rsidR="00E5111A">
        <w:t xml:space="preserve">, and </w:t>
      </w:r>
      <w:r w:rsidR="00920359">
        <w:t>the focus of our analysis in this proceeding</w:t>
      </w:r>
      <w:r w:rsidR="000110A7">
        <w:t>.</w:t>
      </w:r>
      <w:r>
        <w:rPr>
          <w:rStyle w:val="FootnoteReference"/>
        </w:rPr>
        <w:footnoteReference w:id="18"/>
      </w:r>
      <w:r w:rsidR="000110A7">
        <w:t xml:space="preserve">  </w:t>
      </w:r>
      <w:r w:rsidR="00507FD3">
        <w:t>Moreover, a</w:t>
      </w:r>
      <w:r w:rsidR="000110A7">
        <w:t xml:space="preserve">s </w:t>
      </w:r>
      <w:r w:rsidR="00D1611A">
        <w:t>the Commission</w:t>
      </w:r>
      <w:r w:rsidR="00303CA9">
        <w:t xml:space="preserve"> </w:t>
      </w:r>
      <w:r w:rsidR="000110A7">
        <w:t xml:space="preserve">stated </w:t>
      </w:r>
      <w:r w:rsidRPr="003769A6">
        <w:t xml:space="preserve">in the </w:t>
      </w:r>
      <w:r w:rsidRPr="00AA65CF">
        <w:rPr>
          <w:i/>
          <w:iCs/>
        </w:rPr>
        <w:t>EA Security Second R&amp;O</w:t>
      </w:r>
      <w:r w:rsidR="000110A7">
        <w:rPr>
          <w:iCs/>
        </w:rPr>
        <w:t>,</w:t>
      </w:r>
      <w:r w:rsidRPr="000D22F9">
        <w:t xml:space="preserve"> “no governmental interest is more compelling than the security of the Nation.”</w:t>
      </w:r>
      <w:r>
        <w:rPr>
          <w:rStyle w:val="FootnoteReference"/>
        </w:rPr>
        <w:footnoteReference w:id="19"/>
      </w:r>
      <w:r w:rsidR="00282215">
        <w:t xml:space="preserve">  </w:t>
      </w:r>
      <w:r w:rsidR="003C120C">
        <w:t xml:space="preserve">Consistent with our tentative conclusions in the </w:t>
      </w:r>
      <w:r w:rsidR="00165C3E">
        <w:t>March 27 Public Notice</w:t>
      </w:r>
      <w:r w:rsidR="003C120C">
        <w:t xml:space="preserve">, </w:t>
      </w:r>
      <w:r w:rsidR="00165C3E">
        <w:t>w</w:t>
      </w:r>
      <w:r w:rsidRPr="003D371B" w:rsidR="00282215">
        <w:t xml:space="preserve">e </w:t>
      </w:r>
      <w:r w:rsidR="00282215">
        <w:t xml:space="preserve">find </w:t>
      </w:r>
      <w:r w:rsidRPr="003D371B" w:rsidR="00282215">
        <w:t>that prohibiting the continued importation and marketing of previously authorized equipment</w:t>
      </w:r>
      <w:r w:rsidR="002D0E26">
        <w:t xml:space="preserve"> added to the Covered List in 2024 or earlier</w:t>
      </w:r>
      <w:r w:rsidRPr="003D371B" w:rsidR="00282215">
        <w:t xml:space="preserve"> is necessary to </w:t>
      </w:r>
      <w:r w:rsidR="00870C0D">
        <w:t xml:space="preserve">mitigate national security </w:t>
      </w:r>
      <w:r w:rsidRPr="003D371B" w:rsidR="00282215">
        <w:t>risks to the U.S. communications sector.</w:t>
      </w:r>
      <w:r w:rsidR="002D0E26">
        <w:t xml:space="preserve"> </w:t>
      </w:r>
      <w:r w:rsidR="006C7B67">
        <w:t xml:space="preserve"> </w:t>
      </w:r>
      <w:r w:rsidR="0089616B">
        <w:t>In determining whether to adopt such prohibition</w:t>
      </w:r>
      <w:r w:rsidR="002230DA">
        <w:t xml:space="preserve">, </w:t>
      </w:r>
      <w:r w:rsidR="00356EB7">
        <w:t xml:space="preserve">the Commission directed that </w:t>
      </w:r>
      <w:r w:rsidR="003577A1">
        <w:t>PSHSB and OET</w:t>
      </w:r>
      <w:r w:rsidR="00356EB7">
        <w:t xml:space="preserve"> </w:t>
      </w:r>
      <w:r w:rsidR="00E83F08">
        <w:t>“</w:t>
      </w:r>
      <w:r w:rsidR="002230DA">
        <w:t>must give particular weight</w:t>
      </w:r>
      <w:r w:rsidR="00E83F08">
        <w:t>”</w:t>
      </w:r>
      <w:r w:rsidR="002230DA">
        <w:t xml:space="preserve"> </w:t>
      </w:r>
      <w:r w:rsidR="00725516">
        <w:t xml:space="preserve">to </w:t>
      </w:r>
      <w:r w:rsidR="00E83F08">
        <w:t xml:space="preserve">the </w:t>
      </w:r>
      <w:r w:rsidR="00807CDC">
        <w:t>national security determinations</w:t>
      </w:r>
      <w:r w:rsidR="00725516">
        <w:t xml:space="preserve"> made concerning the targeted equipment</w:t>
      </w:r>
      <w:r w:rsidR="009D66D5">
        <w:t>.</w:t>
      </w:r>
      <w:r>
        <w:rPr>
          <w:rStyle w:val="FootnoteReference"/>
        </w:rPr>
        <w:footnoteReference w:id="20"/>
      </w:r>
      <w:r w:rsidR="00835692">
        <w:t xml:space="preserve">  </w:t>
      </w:r>
      <w:r w:rsidR="003D2BF3">
        <w:t>T</w:t>
      </w:r>
      <w:r w:rsidR="00BC62A1">
        <w:t xml:space="preserve">he 2021 additions to the Covered List were pursuant </w:t>
      </w:r>
      <w:r w:rsidR="002E13DD">
        <w:rPr>
          <w:szCs w:val="22"/>
        </w:rPr>
        <w:t>to a specific national security determination made by Congress</w:t>
      </w:r>
      <w:r w:rsidR="00D778B8">
        <w:rPr>
          <w:szCs w:val="22"/>
        </w:rPr>
        <w:t xml:space="preserve">, which the Commission </w:t>
      </w:r>
      <w:r w:rsidR="00D778B8">
        <w:t xml:space="preserve">previously found constituted a specific determination </w:t>
      </w:r>
      <w:r w:rsidR="00D778B8">
        <w:rPr>
          <w:szCs w:val="22"/>
        </w:rPr>
        <w:t>that such equipment poses an “unacceptable risk to the national security of the United States or the security and safety of United States persons</w:t>
      </w:r>
      <w:r w:rsidR="002E13DD">
        <w:t>.</w:t>
      </w:r>
      <w:r w:rsidR="00DC5C3A">
        <w:t>”</w:t>
      </w:r>
      <w:r>
        <w:rPr>
          <w:rStyle w:val="FootnoteReference"/>
        </w:rPr>
        <w:footnoteReference w:id="21"/>
      </w:r>
      <w:r w:rsidR="002E13DD">
        <w:rPr>
          <w:szCs w:val="22"/>
        </w:rPr>
        <w:t xml:space="preserve">  Separately, the </w:t>
      </w:r>
      <w:r w:rsidR="00B7357D">
        <w:rPr>
          <w:szCs w:val="22"/>
        </w:rPr>
        <w:t xml:space="preserve">2024 </w:t>
      </w:r>
      <w:r w:rsidR="002E13DD">
        <w:rPr>
          <w:szCs w:val="22"/>
        </w:rPr>
        <w:t>addition of “equipment with integrated Kaspersky Lab,</w:t>
      </w:r>
      <w:r w:rsidR="00563818">
        <w:rPr>
          <w:szCs w:val="22"/>
        </w:rPr>
        <w:t xml:space="preserve"> Inc.</w:t>
      </w:r>
      <w:r w:rsidR="002E13DD">
        <w:rPr>
          <w:szCs w:val="22"/>
        </w:rPr>
        <w:t xml:space="preserve"> (or any of its successors and assignees) cybersecurity or anti-virus software” was based on a specific determination by the Department of Commerce that “</w:t>
      </w:r>
      <w:r w:rsidRPr="008B5A3A" w:rsidR="002E13DD">
        <w:rPr>
          <w:szCs w:val="22"/>
        </w:rPr>
        <w:t>Kaspersky’s provision of cybersecurity and anti-virus software to U.S. persons, including through third-party entities that integrate Kaspersky cybersecurity or anti-virus software into commercial hardware or software, poses undue and unacceptable risks to U.S. national security and to the security and safety of U.S. persons.”</w:t>
      </w:r>
      <w:r>
        <w:rPr>
          <w:rStyle w:val="FootnoteReference"/>
          <w:szCs w:val="22"/>
        </w:rPr>
        <w:footnoteReference w:id="22"/>
      </w:r>
      <w:r w:rsidR="00F80241">
        <w:rPr>
          <w:szCs w:val="22"/>
        </w:rPr>
        <w:t xml:space="preserve"> </w:t>
      </w:r>
      <w:r w:rsidR="0027299D">
        <w:rPr>
          <w:szCs w:val="22"/>
        </w:rPr>
        <w:t xml:space="preserve"> </w:t>
      </w:r>
      <w:r>
        <w:t>We agree with CTIA that our action today will “</w:t>
      </w:r>
      <w:r w:rsidRPr="0020365F">
        <w:t>help to mitigate clear national security risk</w:t>
      </w:r>
      <w:r>
        <w:t xml:space="preserve">s . . . </w:t>
      </w:r>
      <w:r w:rsidRPr="0020365F">
        <w:t>because all of the entities captured in the proposed restrictions have been found by Congress or national security agencies to be subject to the control, direction, or influence of foreign adversary countries.”</w:t>
      </w:r>
      <w:r>
        <w:rPr>
          <w:vertAlign w:val="superscript"/>
        </w:rPr>
        <w:footnoteReference w:id="23"/>
      </w:r>
      <w:r w:rsidR="00D23FF8">
        <w:t xml:space="preserve">  </w:t>
      </w:r>
      <w:r w:rsidR="00EF13EA">
        <w:t xml:space="preserve">  </w:t>
      </w:r>
    </w:p>
    <w:p w:rsidR="00F91620" w:rsidP="00E44B98" w14:paraId="3C534437" w14:textId="587B32D1">
      <w:pPr>
        <w:spacing w:after="120"/>
        <w:ind w:firstLine="720"/>
      </w:pPr>
      <w:r>
        <w:t xml:space="preserve">After review of </w:t>
      </w:r>
      <w:r w:rsidR="00B5259D">
        <w:t>the record</w:t>
      </w:r>
      <w:r w:rsidR="00EB64C6">
        <w:t xml:space="preserve"> filed in response to the </w:t>
      </w:r>
      <w:r w:rsidRPr="00380D9A" w:rsidR="00EB64C6">
        <w:t>March 27 Public Notice</w:t>
      </w:r>
      <w:r w:rsidR="00435FB0">
        <w:t>,</w:t>
      </w:r>
      <w:r w:rsidR="00ED17CF">
        <w:t xml:space="preserve"> we </w:t>
      </w:r>
      <w:r w:rsidR="00E60A05">
        <w:t xml:space="preserve">reaffirm the Commission’s </w:t>
      </w:r>
      <w:r w:rsidR="0010564B">
        <w:t xml:space="preserve">previous </w:t>
      </w:r>
      <w:r w:rsidR="00E60A05">
        <w:t>finding</w:t>
      </w:r>
      <w:r w:rsidR="00ED17CF">
        <w:t xml:space="preserve"> that </w:t>
      </w:r>
      <w:r w:rsidRPr="000D22F9" w:rsidR="00ED17CF">
        <w:t xml:space="preserve">older models of covered equipment—many of which remain widely available in </w:t>
      </w:r>
      <w:r w:rsidR="00ED17CF">
        <w:t xml:space="preserve">the </w:t>
      </w:r>
      <w:r w:rsidRPr="000D22F9" w:rsidR="00ED17CF">
        <w:t>U.S.—continue to pose an unacceptable risk to national security when imported or marketed in the United States, not only when newly introduced to the market.</w:t>
      </w:r>
      <w:r>
        <w:rPr>
          <w:rStyle w:val="FootnoteReference"/>
        </w:rPr>
        <w:footnoteReference w:id="24"/>
      </w:r>
      <w:r w:rsidR="00ED17CF">
        <w:t xml:space="preserve">  W</w:t>
      </w:r>
      <w:r w:rsidR="00435FB0">
        <w:t xml:space="preserve">e agree with the </w:t>
      </w:r>
      <w:r w:rsidRPr="0020365F" w:rsidR="00435FB0">
        <w:t>Foundation for Defense of Democracies</w:t>
      </w:r>
      <w:r w:rsidR="00435FB0">
        <w:t xml:space="preserve"> (FDD) that equipment added to the Covered List in 2024 or earlier “is often functionally identical to these firms’ more recently banned products” that have been deemed to pose an unacceptable national security risk.</w:t>
      </w:r>
      <w:r>
        <w:rPr>
          <w:rStyle w:val="FootnoteReference"/>
        </w:rPr>
        <w:footnoteReference w:id="25"/>
      </w:r>
      <w:r w:rsidR="00D84C9A">
        <w:t xml:space="preserve">  </w:t>
      </w:r>
      <w:r w:rsidR="004C4224">
        <w:t>W</w:t>
      </w:r>
      <w:r w:rsidR="003213B4">
        <w:t>e</w:t>
      </w:r>
      <w:r w:rsidR="004C4224">
        <w:t xml:space="preserve"> agree </w:t>
      </w:r>
      <w:r w:rsidR="00235BE0">
        <w:t xml:space="preserve">as well </w:t>
      </w:r>
      <w:r w:rsidR="004C4224">
        <w:t>with FDD that</w:t>
      </w:r>
      <w:r w:rsidR="0097500E">
        <w:t xml:space="preserve"> authorized </w:t>
      </w:r>
      <w:r w:rsidR="00BB47FE">
        <w:t xml:space="preserve">equipment </w:t>
      </w:r>
      <w:r w:rsidR="0097500E">
        <w:t>produced by</w:t>
      </w:r>
      <w:r w:rsidR="00131AD7">
        <w:t xml:space="preserve"> </w:t>
      </w:r>
      <w:r w:rsidR="004E62F8">
        <w:t xml:space="preserve">the entities </w:t>
      </w:r>
      <w:r w:rsidR="00BB47FE">
        <w:t xml:space="preserve">subject to our prohibition </w:t>
      </w:r>
      <w:r w:rsidR="00DF3F29">
        <w:t>“may still be sold in the United States despite the firms</w:t>
      </w:r>
      <w:r w:rsidR="007B237D">
        <w:t>” that produce or provide such equipment</w:t>
      </w:r>
      <w:r w:rsidR="00DF3F29">
        <w:t xml:space="preserve"> </w:t>
      </w:r>
      <w:r w:rsidR="007B237D">
        <w:t>“</w:t>
      </w:r>
      <w:r w:rsidR="00DF3F29">
        <w:t>continuing to engage in troubling patterns of behavior</w:t>
      </w:r>
      <w:r w:rsidR="00C42E22">
        <w:t>,</w:t>
      </w:r>
      <w:r w:rsidR="00DF3F29">
        <w:t>”</w:t>
      </w:r>
      <w:r w:rsidR="00C42E22">
        <w:t xml:space="preserve"> including cyberespionage.</w:t>
      </w:r>
      <w:r>
        <w:rPr>
          <w:rStyle w:val="FootnoteReference"/>
        </w:rPr>
        <w:footnoteReference w:id="26"/>
      </w:r>
      <w:r w:rsidR="005B51A0">
        <w:t xml:space="preserve">  </w:t>
      </w:r>
      <w:r w:rsidR="00235BE0">
        <w:t xml:space="preserve">As FDD states, </w:t>
      </w:r>
      <w:r w:rsidRPr="0020365F" w:rsidR="000A00A0">
        <w:t>“[a]</w:t>
      </w:r>
      <w:r w:rsidRPr="0020365F" w:rsidR="000A00A0">
        <w:t>llowing</w:t>
      </w:r>
      <w:r w:rsidRPr="0020365F" w:rsidR="000A00A0">
        <w:t xml:space="preserve"> them to sell and market previously authorized equipment to the American market will perpetuate vulnerabilities in U.S. telecommunications infrastructure.”</w:t>
      </w:r>
      <w:r>
        <w:rPr>
          <w:vertAlign w:val="superscript"/>
        </w:rPr>
        <w:footnoteReference w:id="27"/>
      </w:r>
      <w:r w:rsidR="000A00A0">
        <w:t xml:space="preserve"> </w:t>
      </w:r>
      <w:r w:rsidR="0045301F">
        <w:t xml:space="preserve"> </w:t>
      </w:r>
      <w:r w:rsidR="0035258F">
        <w:t>F</w:t>
      </w:r>
      <w:r w:rsidR="005B43AE">
        <w:t xml:space="preserve">DD argues that </w:t>
      </w:r>
      <w:r w:rsidR="00F14665">
        <w:t xml:space="preserve">we </w:t>
      </w:r>
      <w:r w:rsidR="00B17CEB">
        <w:t>“must act to prevent adversaries from exploiting regulatory loopholes to maintain access to U.S. critical infrastructure</w:t>
      </w:r>
      <w:r w:rsidR="00C63193">
        <w:t>.”</w:t>
      </w:r>
      <w:r>
        <w:rPr>
          <w:rStyle w:val="FootnoteReference"/>
        </w:rPr>
        <w:footnoteReference w:id="28"/>
      </w:r>
      <w:r w:rsidR="0049029F">
        <w:t xml:space="preserve">  </w:t>
      </w:r>
      <w:r w:rsidR="002E13DD">
        <w:t>Accordingly, w</w:t>
      </w:r>
      <w:r w:rsidR="002E13DD">
        <w:rPr>
          <w:szCs w:val="22"/>
        </w:rPr>
        <w:t>e</w:t>
      </w:r>
      <w:r w:rsidR="002E13DD">
        <w:t xml:space="preserve"> conclude that </w:t>
      </w:r>
      <w:r w:rsidRPr="00773C59" w:rsidR="002E13DD">
        <w:rPr>
          <w:szCs w:val="22"/>
        </w:rPr>
        <w:t>prohibit</w:t>
      </w:r>
      <w:r w:rsidR="002E13DD">
        <w:rPr>
          <w:szCs w:val="22"/>
        </w:rPr>
        <w:t>ing</w:t>
      </w:r>
      <w:r w:rsidRPr="00773C59" w:rsidR="002E13DD">
        <w:rPr>
          <w:szCs w:val="22"/>
        </w:rPr>
        <w:t xml:space="preserve"> the continued importation and marketing </w:t>
      </w:r>
      <w:r w:rsidR="002E13DD">
        <w:rPr>
          <w:szCs w:val="22"/>
        </w:rPr>
        <w:t xml:space="preserve">of previously authorized </w:t>
      </w:r>
      <w:r w:rsidR="002E13DD">
        <w:t xml:space="preserve">equipment added </w:t>
      </w:r>
      <w:r w:rsidR="00F74D37">
        <w:t>in 2024 or earlier</w:t>
      </w:r>
      <w:r w:rsidR="002E13DD">
        <w:t xml:space="preserve"> </w:t>
      </w:r>
      <w:r w:rsidR="00F74D37">
        <w:t xml:space="preserve">serves the public interest and </w:t>
      </w:r>
      <w:r w:rsidR="002E13DD">
        <w:t>is necessary to protect national security by mitigating risks to the U.S. communications sector.</w:t>
      </w:r>
      <w:r w:rsidR="00E946C9">
        <w:t xml:space="preserve">  No commenter disputed the national security </w:t>
      </w:r>
      <w:r w:rsidR="000A1E2E">
        <w:t>concerns associated with such equipment.</w:t>
      </w:r>
    </w:p>
    <w:p w:rsidR="00283205" w:rsidP="00667A07" w14:paraId="694FB83C" w14:textId="1C3030B6">
      <w:pPr>
        <w:widowControl/>
        <w:spacing w:after="120"/>
        <w:ind w:firstLine="720"/>
      </w:pPr>
      <w:r>
        <w:t>After</w:t>
      </w:r>
      <w:r w:rsidR="00FC75F2">
        <w:t xml:space="preserve"> careful consider</w:t>
      </w:r>
      <w:r>
        <w:t xml:space="preserve">ation of the record, </w:t>
      </w:r>
      <w:r w:rsidR="00C25820">
        <w:t>we</w:t>
      </w:r>
      <w:r w:rsidR="00B93B40">
        <w:t xml:space="preserve"> also</w:t>
      </w:r>
      <w:r w:rsidR="00C25820">
        <w:t xml:space="preserve"> find that arguments concerning </w:t>
      </w:r>
      <w:r w:rsidR="00E10AC8">
        <w:t xml:space="preserve">economic and supply chain </w:t>
      </w:r>
      <w:r w:rsidR="000A1E2E">
        <w:t xml:space="preserve">harms </w:t>
      </w:r>
      <w:r w:rsidR="00AF69A3">
        <w:t xml:space="preserve">do not </w:t>
      </w:r>
      <w:r w:rsidR="008171AF">
        <w:t xml:space="preserve">overcome </w:t>
      </w:r>
      <w:r w:rsidR="00063E5F">
        <w:t>the preexisting national security determinations</w:t>
      </w:r>
      <w:r w:rsidR="008171AF">
        <w:t xml:space="preserve"> and the national security </w:t>
      </w:r>
      <w:r w:rsidR="00271B7C">
        <w:t>risks</w:t>
      </w:r>
      <w:r w:rsidR="008171AF">
        <w:t xml:space="preserve"> </w:t>
      </w:r>
      <w:r w:rsidR="00F14665">
        <w:t xml:space="preserve">posed by the </w:t>
      </w:r>
      <w:r w:rsidR="00977670">
        <w:t>continu</w:t>
      </w:r>
      <w:r w:rsidR="00F14665">
        <w:t xml:space="preserve">ed </w:t>
      </w:r>
      <w:r w:rsidR="00977670">
        <w:t>importation and marketing of previously authorized covered equipment subject to our action today</w:t>
      </w:r>
      <w:r w:rsidR="00063E5F">
        <w:t>.</w:t>
      </w:r>
      <w:r w:rsidRPr="00531966" w:rsidR="00531966">
        <w:t xml:space="preserve"> </w:t>
      </w:r>
      <w:r w:rsidR="00531966">
        <w:t xml:space="preserve"> </w:t>
      </w:r>
      <w:r w:rsidRPr="002D2D73" w:rsidR="00531966">
        <w:t>We disagree with commenters who argue that the Commission should refrain from extending the prohibition to previously authorized covered equipment because doing so may impose economic costs.</w:t>
      </w:r>
      <w:r>
        <w:rPr>
          <w:rStyle w:val="FootnoteReference"/>
        </w:rPr>
        <w:footnoteReference w:id="29"/>
      </w:r>
      <w:r w:rsidRPr="002D2D73" w:rsidR="00531966">
        <w:t xml:space="preserve"> </w:t>
      </w:r>
      <w:r w:rsidR="00480697">
        <w:t xml:space="preserve"> </w:t>
      </w:r>
      <w:r w:rsidRPr="002D2D73" w:rsidR="00531966">
        <w:t xml:space="preserve">We recognize that some parties may face added compliance </w:t>
      </w:r>
      <w:r w:rsidRPr="002F5867" w:rsidR="00531966">
        <w:t>obligations</w:t>
      </w:r>
      <w:r w:rsidR="00CF2074">
        <w:t xml:space="preserve"> and lost sales revenue</w:t>
      </w:r>
      <w:r w:rsidRPr="002F5867" w:rsidR="00531966">
        <w:t xml:space="preserve">, but those concerns </w:t>
      </w:r>
      <w:r w:rsidRPr="002F5867" w:rsidR="0097268E">
        <w:t>do not</w:t>
      </w:r>
      <w:r w:rsidRPr="002F5867" w:rsidR="00531966">
        <w:t xml:space="preserve"> override the Commission’s responsibility to protect national security.  </w:t>
      </w:r>
      <w:r w:rsidR="006751E8">
        <w:t>The</w:t>
      </w:r>
      <w:r w:rsidRPr="00FF4AAF" w:rsidR="006751E8">
        <w:t xml:space="preserve"> </w:t>
      </w:r>
      <w:r w:rsidRPr="00FF4AAF" w:rsidR="00470AAA">
        <w:t xml:space="preserve">commenters opposing expansion of the </w:t>
      </w:r>
      <w:r w:rsidRPr="00F80FA6" w:rsidR="00470AAA">
        <w:t xml:space="preserve">prohibition </w:t>
      </w:r>
      <w:r w:rsidRPr="00F80FA6" w:rsidR="006751E8">
        <w:t xml:space="preserve">largely focus on the financial impacts, </w:t>
      </w:r>
      <w:r w:rsidRPr="007211A1" w:rsidR="00667A07">
        <w:t xml:space="preserve">especially on </w:t>
      </w:r>
      <w:r w:rsidRPr="007211A1" w:rsidR="00EA1770">
        <w:t>particular entities.</w:t>
      </w:r>
      <w:r>
        <w:rPr>
          <w:rStyle w:val="FootnoteReference"/>
        </w:rPr>
        <w:footnoteReference w:id="30"/>
      </w:r>
      <w:r w:rsidRPr="007211A1" w:rsidR="008220AD">
        <w:t xml:space="preserve">  </w:t>
      </w:r>
      <w:r w:rsidRPr="007211A1" w:rsidR="0018580A">
        <w:t>However, these commenters</w:t>
      </w:r>
      <w:r w:rsidRPr="00F80FA6" w:rsidR="0018580A">
        <w:t xml:space="preserve"> do not</w:t>
      </w:r>
      <w:r w:rsidRPr="00F80FA6" w:rsidR="008220AD">
        <w:t xml:space="preserve"> </w:t>
      </w:r>
      <w:r w:rsidRPr="00F80FA6" w:rsidR="00470AAA">
        <w:t>meaningfully address the</w:t>
      </w:r>
      <w:r w:rsidRPr="00E80295" w:rsidR="00470AAA">
        <w:t xml:space="preserve"> broader consequences of </w:t>
      </w:r>
      <w:r w:rsidRPr="00E80295" w:rsidR="007B2BD0">
        <w:t>continuing to import and market devices that have been determined to pose “unacceptable risks”</w:t>
      </w:r>
      <w:r w:rsidRPr="00E80295" w:rsidR="00470AAA">
        <w:t xml:space="preserve"> </w:t>
      </w:r>
      <w:r w:rsidRPr="00E80295" w:rsidR="00A84F7F">
        <w:t>or</w:t>
      </w:r>
      <w:r w:rsidRPr="00E80295" w:rsidR="003976CD">
        <w:t xml:space="preserve"> provide </w:t>
      </w:r>
      <w:r w:rsidRPr="00E80295" w:rsidR="008F2CEB">
        <w:t>data for us to consider</w:t>
      </w:r>
      <w:r w:rsidRPr="00E80295" w:rsidR="00A84F7F">
        <w:t xml:space="preserve"> on those issues</w:t>
      </w:r>
      <w:r w:rsidRPr="00E80295" w:rsidR="008F2CEB">
        <w:t xml:space="preserve">, as we </w:t>
      </w:r>
      <w:r w:rsidRPr="00E80295" w:rsidR="00A84F7F">
        <w:t>invited</w:t>
      </w:r>
      <w:r w:rsidRPr="002F5867" w:rsidR="008F2CEB">
        <w:t xml:space="preserve"> in the March 27 Public Notice.</w:t>
      </w:r>
      <w:r>
        <w:rPr>
          <w:rStyle w:val="FootnoteReference"/>
        </w:rPr>
        <w:footnoteReference w:id="31"/>
      </w:r>
    </w:p>
    <w:p w:rsidR="00531966" w:rsidRPr="002D2D73" w:rsidP="00E44B98" w14:paraId="2B257878" w14:textId="16235BB4">
      <w:pPr>
        <w:spacing w:after="120"/>
        <w:ind w:firstLine="720"/>
      </w:pPr>
      <w:r>
        <w:t>A</w:t>
      </w:r>
      <w:r w:rsidR="0097268E">
        <w:t xml:space="preserve">s CTIA notes, </w:t>
      </w:r>
      <w:r w:rsidR="00195293">
        <w:t>“</w:t>
      </w:r>
      <w:r w:rsidR="0097268E">
        <w:t xml:space="preserve">the </w:t>
      </w:r>
      <w:r w:rsidR="00601FF3">
        <w:t xml:space="preserve">universe of equipment targeted by the </w:t>
      </w:r>
      <w:r w:rsidR="001D169D">
        <w:t xml:space="preserve">[March 27 Public Notice] </w:t>
      </w:r>
      <w:r w:rsidR="00E77245">
        <w:t>. . . is produced by a handful of entities</w:t>
      </w:r>
      <w:r w:rsidR="00A44EB1">
        <w:t>,</w:t>
      </w:r>
      <w:r w:rsidR="00E77245">
        <w:t>”</w:t>
      </w:r>
      <w:r w:rsidR="003A1EE5">
        <w:t xml:space="preserve"> and </w:t>
      </w:r>
      <w:r w:rsidR="009C70CC">
        <w:t>“[</w:t>
      </w:r>
      <w:r w:rsidR="009C70CC">
        <w:t>i</w:t>
      </w:r>
      <w:r w:rsidR="009C70CC">
        <w:t>]n the period since this equipment was added to the Covered List, experience has demonstrated the availability of alternatives.”</w:t>
      </w:r>
      <w:r>
        <w:rPr>
          <w:rStyle w:val="FootnoteReference"/>
        </w:rPr>
        <w:footnoteReference w:id="32"/>
      </w:r>
      <w:r w:rsidR="00DD13A3">
        <w:t xml:space="preserve">  Moreover, </w:t>
      </w:r>
      <w:r w:rsidR="00801D3A">
        <w:t>devices added to the Covered List as part of the Kaspersky listing in 2024 are already prohibited from importation or marketing under Department of Commerce’s rules</w:t>
      </w:r>
      <w:r>
        <w:rPr>
          <w:rStyle w:val="FootnoteReference"/>
        </w:rPr>
        <w:footnoteReference w:id="33"/>
      </w:r>
      <w:r w:rsidR="009962E1">
        <w:t xml:space="preserve"> and equipment added to the Covered List in the initial 2021 listing has not received authorization since November 11, 2022, over three years ago.</w:t>
      </w:r>
      <w:r w:rsidR="009C70CC">
        <w:t xml:space="preserve">  </w:t>
      </w:r>
      <w:r w:rsidR="00D94B8C">
        <w:t>Thus, we</w:t>
      </w:r>
      <w:r w:rsidRPr="002D2D73">
        <w:t xml:space="preserve"> conclude that the national security </w:t>
      </w:r>
      <w:r w:rsidR="00F52ACC">
        <w:t>considerations</w:t>
      </w:r>
      <w:r w:rsidRPr="002D2D73">
        <w:t xml:space="preserve"> outweigh the economic </w:t>
      </w:r>
      <w:r w:rsidR="00370657">
        <w:t xml:space="preserve">and supply chain </w:t>
      </w:r>
      <w:r w:rsidRPr="002D2D73">
        <w:t xml:space="preserve">concerns </w:t>
      </w:r>
      <w:r w:rsidR="00F52ACC">
        <w:t xml:space="preserve">that commenters </w:t>
      </w:r>
      <w:r w:rsidRPr="002D2D73">
        <w:t>raised</w:t>
      </w:r>
      <w:r w:rsidR="00F52ACC">
        <w:t xml:space="preserve"> in the record</w:t>
      </w:r>
      <w:r w:rsidRPr="002D2D73">
        <w:t>.</w:t>
      </w:r>
    </w:p>
    <w:p w:rsidR="00011CBF" w:rsidP="002F6712" w14:paraId="251F73A3" w14:textId="4275EB08">
      <w:pPr>
        <w:widowControl/>
        <w:spacing w:after="120"/>
        <w:ind w:firstLine="720"/>
      </w:pPr>
      <w:r>
        <w:rPr>
          <w:i/>
          <w:iCs/>
        </w:rPr>
        <w:t>Scope of prohibition</w:t>
      </w:r>
      <w:r w:rsidR="009D3293">
        <w:rPr>
          <w:i/>
          <w:iCs/>
        </w:rPr>
        <w:t xml:space="preserve"> for certain equipment</w:t>
      </w:r>
      <w:r w:rsidR="00816B7F">
        <w:rPr>
          <w:i/>
          <w:iCs/>
        </w:rPr>
        <w:t xml:space="preserve">.  </w:t>
      </w:r>
      <w:r w:rsidR="00F4561C">
        <w:t>Some of the</w:t>
      </w:r>
      <w:r w:rsidR="006E318E">
        <w:t xml:space="preserve"> equipment on the Covered List that was added in 2024 or earlier </w:t>
      </w:r>
      <w:r w:rsidR="00290041">
        <w:t xml:space="preserve">is “covered” for all </w:t>
      </w:r>
      <w:r w:rsidR="00BE498D">
        <w:t xml:space="preserve">uses and </w:t>
      </w:r>
      <w:r w:rsidR="00290041">
        <w:t>purposes.</w:t>
      </w:r>
      <w:r>
        <w:rPr>
          <w:rStyle w:val="FootnoteReference"/>
        </w:rPr>
        <w:footnoteReference w:id="34"/>
      </w:r>
      <w:r w:rsidR="00290041">
        <w:t xml:space="preserve">  However, a</w:t>
      </w:r>
      <w:r w:rsidR="00AF79D3">
        <w:t xml:space="preserve">s we noted in the March 27 Public Notice, </w:t>
      </w:r>
      <w:r w:rsidRPr="00DA31B2" w:rsidR="00DA31B2">
        <w:t>certain equipment</w:t>
      </w:r>
      <w:r w:rsidR="00687AB0">
        <w:t xml:space="preserve"> added to the Covered List on </w:t>
      </w:r>
      <w:r w:rsidR="00B15969">
        <w:t>March 12, 2021,</w:t>
      </w:r>
      <w:r w:rsidRPr="00DA31B2" w:rsidR="00DA31B2">
        <w:t xml:space="preserve"> is only on the Covered List </w:t>
      </w:r>
      <w:r w:rsidR="006D6AF7">
        <w:t>when used for specific purposes</w:t>
      </w:r>
      <w:r w:rsidR="00A26740">
        <w:t>—namely, “</w:t>
      </w:r>
      <w:r w:rsidRPr="00DA31B2" w:rsidR="00A26740">
        <w:t>for the purpose of public safety, security of government facilities, physical security surveillance of critical infrastructure, and other national security purposes</w:t>
      </w:r>
      <w:r w:rsidR="00881C7E">
        <w:t>.</w:t>
      </w:r>
      <w:r w:rsidR="00A26740">
        <w:t>”</w:t>
      </w:r>
      <w:r>
        <w:rPr>
          <w:rStyle w:val="FootnoteReference"/>
        </w:rPr>
        <w:footnoteReference w:id="35"/>
      </w:r>
      <w:r>
        <w:t xml:space="preserve">  Under the approach the Commission adopted in the </w:t>
      </w:r>
      <w:r>
        <w:rPr>
          <w:i/>
          <w:iCs/>
        </w:rPr>
        <w:t>EA Security R&amp;O</w:t>
      </w:r>
      <w:r>
        <w:t>,</w:t>
      </w:r>
      <w:r>
        <w:rPr>
          <w:rStyle w:val="FootnoteReference"/>
        </w:rPr>
        <w:footnoteReference w:id="36"/>
      </w:r>
      <w:r>
        <w:t xml:space="preserve"> new equipment authorization applications for covered equipment produced by entities subject to use-based restrictions (i.e.</w:t>
      </w:r>
      <w:r w:rsidR="0058081D">
        <w:t>,</w:t>
      </w:r>
      <w:r>
        <w:t xml:space="preserve"> equipment </w:t>
      </w:r>
      <w:r w:rsidR="00C648B9">
        <w:t>that is covered when</w:t>
      </w:r>
      <w:r>
        <w:t xml:space="preserve"> “</w:t>
      </w:r>
      <w:r w:rsidRPr="00DA31B2">
        <w:t>used for the purpose of public safety, security of government facilities, physical security surveillance of critical infrastructure, and other national security purposes</w:t>
      </w:r>
      <w:r>
        <w:t>”</w:t>
      </w:r>
      <w:r>
        <w:rPr>
          <w:rStyle w:val="FootnoteReference"/>
        </w:rPr>
        <w:footnoteReference w:id="37"/>
      </w:r>
      <w:r>
        <w:t xml:space="preserve">) are generally prohibited until </w:t>
      </w:r>
      <w:r w:rsidRPr="00754557">
        <w:t>th</w:t>
      </w:r>
      <w:r>
        <w:t xml:space="preserve">ose manufacturers have submitted, and received Commission approval for, </w:t>
      </w:r>
      <w:r w:rsidRPr="00754557">
        <w:t>compliance plans.</w:t>
      </w:r>
      <w:r>
        <w:rPr>
          <w:rStyle w:val="FootnoteReference"/>
        </w:rPr>
        <w:footnoteReference w:id="38"/>
      </w:r>
      <w:r>
        <w:t xml:space="preserve">  The Commission has yet to approve any such compliance plans, because the Commission’s definition of critical infrastructure was the subject of litigation.  In 2024, the United States Court of Appeals for the D.C. Circuit upheld the Commission’s Order, except for the Commission’s definition of “critical infrastructure,” which it vacated and remanded back to the Commission to adopt a new definition and justification that “comport[s]</w:t>
      </w:r>
      <w:r w:rsidR="00E25095">
        <w:t xml:space="preserve"> . . . </w:t>
      </w:r>
      <w:r>
        <w:t>with the statutory text.”</w:t>
      </w:r>
      <w:r>
        <w:rPr>
          <w:rStyle w:val="FootnoteReference"/>
        </w:rPr>
        <w:footnoteReference w:id="39"/>
      </w:r>
      <w:r>
        <w:t xml:space="preserve">  </w:t>
      </w:r>
      <w:r w:rsidRPr="00881997">
        <w:t xml:space="preserve">In 2025, in order to address </w:t>
      </w:r>
      <w:r>
        <w:t>this</w:t>
      </w:r>
      <w:r w:rsidRPr="00881997">
        <w:t xml:space="preserve"> partial remand of the </w:t>
      </w:r>
      <w:r w:rsidRPr="00881997">
        <w:rPr>
          <w:i/>
          <w:iCs/>
        </w:rPr>
        <w:t>EA Security R&amp;O</w:t>
      </w:r>
      <w:r w:rsidRPr="00881997">
        <w:t xml:space="preserve">, the Commission sought comment on a proposed definition of critical infrastructure and noted that “adoption of this definition is a precondition to the review and approval of any compliance plans, as required under the </w:t>
      </w:r>
      <w:r w:rsidRPr="00881997">
        <w:rPr>
          <w:i/>
          <w:iCs/>
        </w:rPr>
        <w:t>EA Security R&amp;O and FNPRM</w:t>
      </w:r>
      <w:r w:rsidRPr="00881997">
        <w:t>.”</w:t>
      </w:r>
      <w:r>
        <w:rPr>
          <w:rStyle w:val="FootnoteReference"/>
        </w:rPr>
        <w:footnoteReference w:id="40"/>
      </w:r>
      <w:r w:rsidRPr="00881997">
        <w:t xml:space="preserve">  </w:t>
      </w:r>
    </w:p>
    <w:p w:rsidR="00F76AFE" w:rsidP="00DC58D2" w14:paraId="291EE477" w14:textId="04F39EAA">
      <w:pPr>
        <w:spacing w:after="120"/>
        <w:ind w:firstLine="720"/>
      </w:pPr>
      <w:r>
        <w:t xml:space="preserve">Given </w:t>
      </w:r>
      <w:r w:rsidR="00704ABA">
        <w:t>this backdrop, for any equipment that is “covered”</w:t>
      </w:r>
      <w:r w:rsidR="00704ABA">
        <w:t xml:space="preserve"> </w:t>
      </w:r>
      <w:r w:rsidR="00704ABA">
        <w:t>when used for certain purposes</w:t>
      </w:r>
      <w:r w:rsidR="006008F2">
        <w:t xml:space="preserve">, the prohibitions on </w:t>
      </w:r>
      <w:r w:rsidRPr="00773C59" w:rsidR="00C9568A">
        <w:rPr>
          <w:szCs w:val="22"/>
        </w:rPr>
        <w:t>continued importation and marketing</w:t>
      </w:r>
      <w:r w:rsidR="00A15551">
        <w:rPr>
          <w:szCs w:val="22"/>
        </w:rPr>
        <w:t xml:space="preserve"> that we adopt </w:t>
      </w:r>
      <w:r w:rsidR="00BE498D">
        <w:rPr>
          <w:szCs w:val="22"/>
        </w:rPr>
        <w:t>today</w:t>
      </w:r>
      <w:r w:rsidR="006008F2">
        <w:rPr>
          <w:szCs w:val="22"/>
        </w:rPr>
        <w:t xml:space="preserve"> </w:t>
      </w:r>
      <w:r w:rsidR="000F4078">
        <w:rPr>
          <w:szCs w:val="22"/>
        </w:rPr>
        <w:t>will</w:t>
      </w:r>
      <w:r w:rsidR="006E3505">
        <w:rPr>
          <w:szCs w:val="22"/>
        </w:rPr>
        <w:t xml:space="preserve"> </w:t>
      </w:r>
      <w:r w:rsidR="0042533D">
        <w:rPr>
          <w:szCs w:val="22"/>
        </w:rPr>
        <w:t>not apply to importation and marketing for non-“covered”</w:t>
      </w:r>
      <w:r w:rsidR="00F12429">
        <w:rPr>
          <w:szCs w:val="22"/>
        </w:rPr>
        <w:t xml:space="preserve"> uses.</w:t>
      </w:r>
      <w:r w:rsidR="006008F2">
        <w:rPr>
          <w:szCs w:val="22"/>
        </w:rPr>
        <w:t xml:space="preserve"> </w:t>
      </w:r>
      <w:r w:rsidR="00624716">
        <w:rPr>
          <w:szCs w:val="22"/>
        </w:rPr>
        <w:t xml:space="preserve"> Therefore, the importation and marketing prohibitions will apply </w:t>
      </w:r>
      <w:r w:rsidR="00624716">
        <w:rPr>
          <w:i/>
          <w:iCs/>
          <w:szCs w:val="22"/>
        </w:rPr>
        <w:t>only</w:t>
      </w:r>
      <w:r w:rsidR="008267AC">
        <w:rPr>
          <w:szCs w:val="22"/>
        </w:rPr>
        <w:t xml:space="preserve"> </w:t>
      </w:r>
      <w:r w:rsidRPr="00DA31B2" w:rsidR="00DA31B2">
        <w:t>to</w:t>
      </w:r>
      <w:r w:rsidR="009379BD">
        <w:t xml:space="preserve"> </w:t>
      </w:r>
      <w:r w:rsidR="00345A4C">
        <w:t>equipment</w:t>
      </w:r>
      <w:r w:rsidRPr="00DA31B2" w:rsidR="00DA31B2">
        <w:t xml:space="preserve"> </w:t>
      </w:r>
      <w:r w:rsidR="00C976AF">
        <w:t>“</w:t>
      </w:r>
      <w:r w:rsidRPr="00DA31B2" w:rsidR="00DA31B2">
        <w:t>used for the purpose of public safety, security of government facilities, physical security surveillance of critical infrastructure, and other national security purposes.”</w:t>
      </w:r>
      <w:r>
        <w:rPr>
          <w:rStyle w:val="FootnoteReference"/>
        </w:rPr>
        <w:footnoteReference w:id="41"/>
      </w:r>
      <w:r w:rsidRPr="00754557" w:rsidR="008B0289">
        <w:t xml:space="preserve"> </w:t>
      </w:r>
      <w:r w:rsidRPr="00754557" w:rsidR="00387BE2">
        <w:t xml:space="preserve"> </w:t>
      </w:r>
      <w:r w:rsidR="00346EDB">
        <w:t>We find that</w:t>
      </w:r>
      <w:r w:rsidR="003F542C">
        <w:t>, as urged by two commenters,</w:t>
      </w:r>
      <w:r>
        <w:rPr>
          <w:rStyle w:val="FootnoteReference"/>
        </w:rPr>
        <w:footnoteReference w:id="42"/>
      </w:r>
      <w:r w:rsidR="003F542C">
        <w:t xml:space="preserve"> </w:t>
      </w:r>
      <w:r w:rsidR="006E3505">
        <w:t>permitting the importation or marketing of such</w:t>
      </w:r>
      <w:r w:rsidR="00A86544">
        <w:t xml:space="preserve"> already-authorized</w:t>
      </w:r>
      <w:r w:rsidR="006E3505">
        <w:t xml:space="preserve"> equipment</w:t>
      </w:r>
      <w:r w:rsidR="00407FDE">
        <w:t xml:space="preserve"> is consistent with the </w:t>
      </w:r>
      <w:r w:rsidR="00D47B63">
        <w:t>Covered List</w:t>
      </w:r>
      <w:r w:rsidR="00880244">
        <w:t xml:space="preserve">, </w:t>
      </w:r>
      <w:r w:rsidR="001712A0">
        <w:t xml:space="preserve">the </w:t>
      </w:r>
      <w:r w:rsidRPr="001712A0" w:rsidR="001712A0">
        <w:t>Secure and Trusted Communications Networks Act of 2019</w:t>
      </w:r>
      <w:r w:rsidR="00880244">
        <w:t>, and the Secure Equipment Act of 2021</w:t>
      </w:r>
      <w:r w:rsidR="00CC6374">
        <w:t xml:space="preserve"> (Secure Equipment Act)</w:t>
      </w:r>
      <w:r w:rsidRPr="001712A0" w:rsidR="001712A0">
        <w:t>.</w:t>
      </w:r>
      <w:r>
        <w:rPr>
          <w:rStyle w:val="FootnoteReference"/>
        </w:rPr>
        <w:footnoteReference w:id="43"/>
      </w:r>
      <w:r w:rsidR="001712A0">
        <w:t xml:space="preserve">  </w:t>
      </w:r>
      <w:r w:rsidR="003F542C">
        <w:t xml:space="preserve">Furthermore, because </w:t>
      </w:r>
      <w:r w:rsidR="00452800">
        <w:t>the Commission currently</w:t>
      </w:r>
      <w:r w:rsidR="00F67C17">
        <w:t xml:space="preserve"> lacks </w:t>
      </w:r>
      <w:r w:rsidR="00C11275">
        <w:t>a definition</w:t>
      </w:r>
      <w:r w:rsidR="002F0BB8">
        <w:t xml:space="preserve"> </w:t>
      </w:r>
      <w:r w:rsidR="00C11275">
        <w:t>of</w:t>
      </w:r>
      <w:r w:rsidR="002F0BB8">
        <w:t xml:space="preserve">, and guidance for interpreting </w:t>
      </w:r>
      <w:r w:rsidR="00EF4F29">
        <w:t>the statutory</w:t>
      </w:r>
      <w:r w:rsidR="00E76BB9">
        <w:t xml:space="preserve"> term </w:t>
      </w:r>
      <w:r w:rsidR="002F0BB8">
        <w:t>“critical infrastructure,”</w:t>
      </w:r>
      <w:r w:rsidR="00DC58D2">
        <w:t xml:space="preserve"> we suspend the </w:t>
      </w:r>
      <w:r w:rsidR="00811471">
        <w:t>prohibit</w:t>
      </w:r>
      <w:r w:rsidR="00511C8C">
        <w:t>ion on</w:t>
      </w:r>
      <w:r w:rsidR="00811471">
        <w:t xml:space="preserve"> the importation or marketing </w:t>
      </w:r>
      <w:r w:rsidR="00E16B74">
        <w:t xml:space="preserve">of </w:t>
      </w:r>
      <w:r w:rsidR="00E769D5">
        <w:t>such equipment for the purpose of physical security surveillance of critical infrastructure</w:t>
      </w:r>
      <w:r w:rsidR="00DC58D2">
        <w:t xml:space="preserve"> until the Commission adopts such definition and guidance</w:t>
      </w:r>
      <w:r w:rsidR="00E769D5">
        <w:t xml:space="preserve">. </w:t>
      </w:r>
      <w:r w:rsidR="00DC58D2">
        <w:t xml:space="preserve"> </w:t>
      </w:r>
      <w:r w:rsidR="00B8457F">
        <w:t>On the effective date</w:t>
      </w:r>
      <w:r w:rsidR="00DC58D2">
        <w:t xml:space="preserve"> of any Commission Order adopting a definition of “critical infrastructure,” importation and marketing will be prohibited for the purpose of “security surveillance of critical infrastructure.” </w:t>
      </w:r>
      <w:r w:rsidR="00E769D5">
        <w:t xml:space="preserve"> </w:t>
      </w:r>
      <w:r w:rsidR="00304107">
        <w:t>Therefore, the</w:t>
      </w:r>
      <w:r w:rsidR="002F2574">
        <w:t xml:space="preserve"> importation and marketing of </w:t>
      </w:r>
      <w:r w:rsidR="00E769D5">
        <w:t>already-authorized equipment subject only to a use-based Covered List entry will</w:t>
      </w:r>
      <w:r w:rsidR="002F2574">
        <w:t xml:space="preserve"> only</w:t>
      </w:r>
      <w:r w:rsidR="00E769D5">
        <w:t xml:space="preserve"> be </w:t>
      </w:r>
      <w:r w:rsidR="002F2574">
        <w:t>prohibited if imported or marketed for the purpose of</w:t>
      </w:r>
      <w:r w:rsidR="00AB616D">
        <w:t xml:space="preserve"> the following, as </w:t>
      </w:r>
      <w:r w:rsidR="00547132">
        <w:t xml:space="preserve">interpreted in the </w:t>
      </w:r>
      <w:r w:rsidR="00547132">
        <w:rPr>
          <w:i/>
          <w:iCs/>
        </w:rPr>
        <w:t>EA Security 2d R&amp;O</w:t>
      </w:r>
      <w:r w:rsidR="002F2574">
        <w:t>:</w:t>
      </w:r>
    </w:p>
    <w:p w:rsidR="002F2574" w:rsidP="002F2574" w14:paraId="2515E7A5" w14:textId="7134A186">
      <w:pPr>
        <w:pStyle w:val="ListParagraph"/>
        <w:numPr>
          <w:ilvl w:val="0"/>
          <w:numId w:val="20"/>
        </w:numPr>
        <w:spacing w:after="120"/>
      </w:pPr>
      <w:r>
        <w:t xml:space="preserve">Public </w:t>
      </w:r>
      <w:r w:rsidR="00AB616D">
        <w:t>s</w:t>
      </w:r>
      <w:r>
        <w:t>afety;</w:t>
      </w:r>
      <w:r>
        <w:rPr>
          <w:rStyle w:val="FootnoteReference"/>
        </w:rPr>
        <w:footnoteReference w:id="44"/>
      </w:r>
    </w:p>
    <w:p w:rsidR="00940722" w:rsidP="002F2574" w14:paraId="6F54C622" w14:textId="350BCBBF">
      <w:pPr>
        <w:pStyle w:val="ListParagraph"/>
        <w:numPr>
          <w:ilvl w:val="0"/>
          <w:numId w:val="20"/>
        </w:numPr>
        <w:spacing w:after="120"/>
      </w:pPr>
      <w:r>
        <w:t>Government facilities;</w:t>
      </w:r>
      <w:r>
        <w:rPr>
          <w:rStyle w:val="FootnoteReference"/>
        </w:rPr>
        <w:footnoteReference w:id="45"/>
      </w:r>
      <w:r w:rsidR="00825885">
        <w:t xml:space="preserve"> </w:t>
      </w:r>
    </w:p>
    <w:p w:rsidR="00DC58D2" w:rsidP="002F2574" w14:paraId="6F5DD056" w14:textId="0538884C">
      <w:pPr>
        <w:pStyle w:val="ListParagraph"/>
        <w:numPr>
          <w:ilvl w:val="0"/>
          <w:numId w:val="20"/>
        </w:numPr>
        <w:spacing w:after="120"/>
      </w:pPr>
      <w:r>
        <w:t>(Suspended</w:t>
      </w:r>
      <w:r w:rsidR="00304107">
        <w:t>, pending finalized definition of, and guidance for interpreting, “critical infrastructure”</w:t>
      </w:r>
      <w:r>
        <w:t>) physical surveillance of critical infrastructure; and</w:t>
      </w:r>
    </w:p>
    <w:p w:rsidR="006C181C" w:rsidP="006C181C" w14:paraId="3A41DEEE" w14:textId="67F48F81">
      <w:pPr>
        <w:pStyle w:val="ListParagraph"/>
        <w:numPr>
          <w:ilvl w:val="0"/>
          <w:numId w:val="20"/>
        </w:numPr>
        <w:spacing w:after="120"/>
      </w:pPr>
      <w:r>
        <w:t>“</w:t>
      </w:r>
      <w:r w:rsidR="00AB616D">
        <w:t>Other national security purposes</w:t>
      </w:r>
      <w:r w:rsidR="00547132">
        <w:t>.”</w:t>
      </w:r>
      <w:r>
        <w:rPr>
          <w:rStyle w:val="FootnoteReference"/>
        </w:rPr>
        <w:footnoteReference w:id="46"/>
      </w:r>
    </w:p>
    <w:p w:rsidR="00304107" w:rsidP="006C181C" w14:paraId="215350AE" w14:textId="77777777">
      <w:pPr>
        <w:pStyle w:val="ListParagraph"/>
        <w:numPr>
          <w:ilvl w:val="0"/>
          <w:numId w:val="0"/>
        </w:numPr>
        <w:spacing w:after="120"/>
      </w:pPr>
    </w:p>
    <w:p w:rsidR="00CA2323" w:rsidP="006C181C" w14:paraId="246A921E" w14:textId="65BEBE3E">
      <w:pPr>
        <w:pStyle w:val="ListParagraph"/>
        <w:numPr>
          <w:ilvl w:val="0"/>
          <w:numId w:val="0"/>
        </w:numPr>
        <w:spacing w:after="120"/>
      </w:pPr>
      <w:r w:rsidRPr="00FD487A">
        <w:t xml:space="preserve">Finally, if </w:t>
      </w:r>
      <w:r w:rsidRPr="00FD487A" w:rsidR="002C22AF">
        <w:t>at an</w:t>
      </w:r>
      <w:r w:rsidRPr="00FD487A" w:rsidR="00796DD6">
        <w:t>y poi</w:t>
      </w:r>
      <w:r w:rsidRPr="00FD487A" w:rsidR="001874BE">
        <w:t xml:space="preserve">nt there is a new specific determination </w:t>
      </w:r>
      <w:r w:rsidRPr="00FD487A" w:rsidR="00330547">
        <w:t>that removes</w:t>
      </w:r>
      <w:r w:rsidRPr="00FD487A" w:rsidR="0062163C">
        <w:t xml:space="preserve"> </w:t>
      </w:r>
      <w:r w:rsidRPr="00FD487A" w:rsidR="00330547">
        <w:t xml:space="preserve">the </w:t>
      </w:r>
      <w:r w:rsidRPr="00FD487A" w:rsidR="008F2578">
        <w:t>use-based limits</w:t>
      </w:r>
      <w:r w:rsidRPr="00FD487A" w:rsidR="00330547">
        <w:t xml:space="preserve"> on </w:t>
      </w:r>
      <w:r w:rsidRPr="00FD487A" w:rsidR="00BA102E">
        <w:t xml:space="preserve">a </w:t>
      </w:r>
      <w:r w:rsidRPr="00FD487A" w:rsidR="00330547">
        <w:t>Covered List</w:t>
      </w:r>
      <w:r w:rsidRPr="00FD487A" w:rsidR="00BA102E">
        <w:t xml:space="preserve"> entry</w:t>
      </w:r>
      <w:r w:rsidRPr="00FD487A" w:rsidR="008F2578">
        <w:t>,</w:t>
      </w:r>
      <w:r w:rsidRPr="00FD487A" w:rsidR="002721F8">
        <w:t xml:space="preserve"> </w:t>
      </w:r>
      <w:r w:rsidRPr="00FD487A" w:rsidR="00062E95">
        <w:t xml:space="preserve">we retain the authority to issue another Public Notice </w:t>
      </w:r>
      <w:r w:rsidRPr="00FD487A" w:rsidR="007840EA">
        <w:t xml:space="preserve">expanding this prohibition to </w:t>
      </w:r>
      <w:r w:rsidRPr="00FD487A" w:rsidR="00D83351">
        <w:t>include</w:t>
      </w:r>
      <w:r w:rsidRPr="00FD487A" w:rsidR="007607EC">
        <w:t xml:space="preserve"> the </w:t>
      </w:r>
      <w:r w:rsidRPr="00FD487A" w:rsidR="007840EA">
        <w:t xml:space="preserve">importation and marketing of </w:t>
      </w:r>
      <w:r w:rsidRPr="00FD487A" w:rsidR="00362942">
        <w:t xml:space="preserve">that </w:t>
      </w:r>
      <w:r w:rsidRPr="00FD487A" w:rsidR="007840EA">
        <w:t xml:space="preserve">covered equipment </w:t>
      </w:r>
      <w:r w:rsidRPr="00FD487A" w:rsidR="00CC21A7">
        <w:t xml:space="preserve">for </w:t>
      </w:r>
      <w:r w:rsidRPr="00FD487A" w:rsidR="00CC21A7">
        <w:rPr>
          <w:i/>
        </w:rPr>
        <w:t xml:space="preserve">all </w:t>
      </w:r>
      <w:r w:rsidRPr="00FD487A" w:rsidR="00241A5B">
        <w:t>purposes</w:t>
      </w:r>
      <w:r w:rsidRPr="00FD487A" w:rsidR="007840EA">
        <w:t>.</w:t>
      </w:r>
      <w:r w:rsidR="007840EA">
        <w:t xml:space="preserve"> </w:t>
      </w:r>
      <w:r w:rsidR="00BD133C">
        <w:t xml:space="preserve"> </w:t>
      </w:r>
    </w:p>
    <w:p w:rsidR="003D18D1" w:rsidP="00E44B98" w14:paraId="74702DB0" w14:textId="63444390">
      <w:pPr>
        <w:spacing w:after="120"/>
        <w:ind w:firstLine="720"/>
      </w:pPr>
      <w:r>
        <w:rPr>
          <w:i/>
          <w:iCs/>
        </w:rPr>
        <w:t>Legal Authority</w:t>
      </w:r>
      <w:r w:rsidR="00D052BE">
        <w:rPr>
          <w:i/>
          <w:iCs/>
        </w:rPr>
        <w:t>.</w:t>
      </w:r>
      <w:r w:rsidR="00D052BE">
        <w:t xml:space="preserve">  </w:t>
      </w:r>
      <w:r w:rsidR="00BF15AD">
        <w:t>W</w:t>
      </w:r>
      <w:r w:rsidR="002C0DA3">
        <w:t>ithout reopening the issue of the Commission’s legal authority, we nonetheless not</w:t>
      </w:r>
      <w:r w:rsidR="00CC13ED">
        <w:t>e</w:t>
      </w:r>
      <w:r w:rsidR="002C0DA3">
        <w:t xml:space="preserve"> our continued disagreement with</w:t>
      </w:r>
      <w:r>
        <w:t xml:space="preserve"> Hikvision’s arguments that we lack the statutory authority to</w:t>
      </w:r>
      <w:r w:rsidR="00B648DA">
        <w:t xml:space="preserve"> </w:t>
      </w:r>
      <w:r w:rsidR="007E2A59">
        <w:t>impose prohibitions on the continued importation and marketing of already-authorized covered equipment</w:t>
      </w:r>
      <w:r>
        <w:t>.</w:t>
      </w:r>
      <w:r>
        <w:rPr>
          <w:rStyle w:val="FootnoteReference"/>
        </w:rPr>
        <w:footnoteReference w:id="47"/>
      </w:r>
      <w:r>
        <w:t xml:space="preserve">  </w:t>
      </w:r>
      <w:r w:rsidR="007E2A59">
        <w:t xml:space="preserve">The Commission </w:t>
      </w:r>
      <w:r w:rsidR="008868F6">
        <w:t xml:space="preserve">has previously </w:t>
      </w:r>
      <w:r w:rsidR="00DE3A20">
        <w:t xml:space="preserve">made clear and </w:t>
      </w:r>
      <w:r w:rsidR="008868F6">
        <w:t>explained at length that it has multiple sources of</w:t>
      </w:r>
      <w:r w:rsidR="00943126">
        <w:t xml:space="preserve"> legal authority</w:t>
      </w:r>
      <w:r>
        <w:t xml:space="preserve"> to limit existing authorization</w:t>
      </w:r>
      <w:r w:rsidR="003B56B3">
        <w:t>s</w:t>
      </w:r>
      <w:r>
        <w:t xml:space="preserve"> </w:t>
      </w:r>
      <w:r w:rsidR="006F0579">
        <w:t>of equipment that would no longer be eligible to receive authorizations today due</w:t>
      </w:r>
      <w:r>
        <w:t xml:space="preserve"> to unacceptable </w:t>
      </w:r>
      <w:r w:rsidR="006F0579">
        <w:t xml:space="preserve">national security </w:t>
      </w:r>
      <w:r>
        <w:t>risk</w:t>
      </w:r>
      <w:r w:rsidR="006F0579">
        <w:t>s</w:t>
      </w:r>
      <w:r>
        <w:t>.</w:t>
      </w:r>
      <w:r>
        <w:rPr>
          <w:rStyle w:val="FootnoteReference"/>
        </w:rPr>
        <w:footnoteReference w:id="48"/>
      </w:r>
      <w:r>
        <w:t xml:space="preserve">  </w:t>
      </w:r>
    </w:p>
    <w:p w:rsidR="003D18D1" w:rsidP="00E44B98" w14:paraId="0E95B493" w14:textId="3FD12F3E">
      <w:pPr>
        <w:spacing w:after="120"/>
        <w:ind w:firstLine="720"/>
      </w:pPr>
      <w:r>
        <w:t>We also reject Hikvision’s argument that the March 27 Public Notice fails to provide specific notice of affected authorizations under section 2.939.</w:t>
      </w:r>
      <w:r>
        <w:rPr>
          <w:rStyle w:val="FootnoteReference"/>
        </w:rPr>
        <w:footnoteReference w:id="49"/>
      </w:r>
      <w:r>
        <w:t xml:space="preserve">  The March 27 Public Notice sufficiently identifies the devices targeted for potential limitation with </w:t>
      </w:r>
      <w:r w:rsidR="008A24A5">
        <w:t xml:space="preserve">specific </w:t>
      </w:r>
      <w:r>
        <w:t>reference to covered equipment that was added to the Covered List in 2024 or earlier.</w:t>
      </w:r>
      <w:r>
        <w:rPr>
          <w:rStyle w:val="FootnoteReference"/>
        </w:rPr>
        <w:footnoteReference w:id="50"/>
      </w:r>
      <w:r>
        <w:t xml:space="preserve">  The Covered List clearly reflects the specific equipment that was added to the Covered List, and the date </w:t>
      </w:r>
      <w:r w:rsidR="00D052BE">
        <w:t xml:space="preserve">such </w:t>
      </w:r>
      <w:r>
        <w:t>equipment was added.</w:t>
      </w:r>
      <w:r>
        <w:rPr>
          <w:rStyle w:val="FootnoteReference"/>
        </w:rPr>
        <w:footnoteReference w:id="51"/>
      </w:r>
    </w:p>
    <w:p w:rsidR="00903A46" w:rsidRPr="000A66E7" w:rsidP="00E44B98" w14:paraId="57E4F5F9" w14:textId="4476A5F6">
      <w:pPr>
        <w:spacing w:after="120"/>
        <w:ind w:firstLine="720"/>
      </w:pPr>
      <w:r>
        <w:t xml:space="preserve">Finally, Hytera-US, Inc. (Hytera-US) and </w:t>
      </w:r>
      <w:r>
        <w:t>Hytera Communications Corporation Limited</w:t>
      </w:r>
      <w:r>
        <w:t xml:space="preserve"> (HCC) contend that their land mobile radio and digital mobile radio equipment is not “video surveillance and telecommunications equipment,” and therefore, in their view, is not covered equipment.</w:t>
      </w:r>
      <w:r>
        <w:rPr>
          <w:rStyle w:val="FootnoteReference"/>
        </w:rPr>
        <w:footnoteReference w:id="52"/>
      </w:r>
      <w:r>
        <w:t xml:space="preserve">  As such, they argue that before taking any further action, the Commission must clarify that any restrictions on importing and marketing do not apply to equipment that is not covered equipment.</w:t>
      </w:r>
      <w:r>
        <w:rPr>
          <w:rStyle w:val="FootnoteReference"/>
        </w:rPr>
        <w:footnoteReference w:id="53"/>
      </w:r>
      <w:r>
        <w:t xml:space="preserve">  In addition, Hytera-US argues the Commission must lift its hold on Hytera-US’s applications for equipment authorizations.</w:t>
      </w:r>
      <w:r>
        <w:rPr>
          <w:rStyle w:val="FootnoteReference"/>
        </w:rPr>
        <w:footnoteReference w:id="54"/>
      </w:r>
      <w:r>
        <w:t xml:space="preserve">  </w:t>
      </w:r>
      <w:r w:rsidR="00187A47">
        <w:t xml:space="preserve">HCC similarly argues that the Commission should proceed with a different procedural mechanism than the framework adopted by the Commission in the </w:t>
      </w:r>
      <w:r w:rsidRPr="002B2423" w:rsidR="00187A47">
        <w:rPr>
          <w:i/>
          <w:iCs/>
        </w:rPr>
        <w:t>EA Security 2d R&amp;O</w:t>
      </w:r>
      <w:r w:rsidR="00187A47">
        <w:t>, so that authorization holders have the ability to contest whether their equipment is subject to the Covered List prohibitions.</w:t>
      </w:r>
      <w:r>
        <w:rPr>
          <w:rStyle w:val="FootnoteReference"/>
        </w:rPr>
        <w:footnoteReference w:id="55"/>
      </w:r>
      <w:r w:rsidR="00187A47">
        <w:t xml:space="preserve">  </w:t>
      </w:r>
      <w:r w:rsidR="004B5D0A">
        <w:t xml:space="preserve">These </w:t>
      </w:r>
      <w:r w:rsidR="0042095A">
        <w:t>argument</w:t>
      </w:r>
      <w:r w:rsidR="00F8382B">
        <w:t>s</w:t>
      </w:r>
      <w:r w:rsidR="00E07788">
        <w:t xml:space="preserve"> </w:t>
      </w:r>
      <w:r w:rsidR="00DA49A0">
        <w:t>do not address</w:t>
      </w:r>
      <w:r w:rsidR="00DF6913">
        <w:t xml:space="preserve"> the proposals </w:t>
      </w:r>
      <w:r w:rsidR="00F21A5B">
        <w:t xml:space="preserve">in the March 27 Public Notice, and </w:t>
      </w:r>
      <w:r w:rsidR="00BB21B1">
        <w:t xml:space="preserve">therefore, </w:t>
      </w:r>
      <w:r w:rsidR="00F21A5B">
        <w:t>we reject these arguments as u</w:t>
      </w:r>
      <w:r w:rsidR="004B53AE">
        <w:t xml:space="preserve">nresponsive.  </w:t>
      </w:r>
    </w:p>
    <w:p w:rsidR="00E44B98" w:rsidP="00E44B98" w14:paraId="6BCF7C70" w14:textId="77777777">
      <w:pPr>
        <w:pStyle w:val="ParaNum"/>
        <w:widowControl/>
        <w:numPr>
          <w:ilvl w:val="0"/>
          <w:numId w:val="0"/>
        </w:numPr>
        <w:rPr>
          <w:szCs w:val="22"/>
          <w:u w:val="single"/>
        </w:rPr>
      </w:pPr>
      <w:r w:rsidRPr="007557CC">
        <w:rPr>
          <w:szCs w:val="22"/>
          <w:u w:val="single"/>
        </w:rPr>
        <w:t>Implementation</w:t>
      </w:r>
    </w:p>
    <w:p w:rsidR="003E0603" w:rsidP="00E44B98" w14:paraId="03313FF9" w14:textId="18D5228A">
      <w:pPr>
        <w:pStyle w:val="ParaNum"/>
        <w:widowControl/>
        <w:numPr>
          <w:ilvl w:val="0"/>
          <w:numId w:val="0"/>
        </w:numPr>
        <w:ind w:firstLine="720"/>
      </w:pPr>
      <w:r w:rsidRPr="003F56AE">
        <w:rPr>
          <w:i/>
          <w:iCs/>
        </w:rPr>
        <w:t>Existing authorizations</w:t>
      </w:r>
      <w:r w:rsidRPr="003F56AE">
        <w:t xml:space="preserve">.  </w:t>
      </w:r>
      <w:r w:rsidR="00FD66FD">
        <w:t>As the Commission has stated, t</w:t>
      </w:r>
      <w:r w:rsidR="007B32E9">
        <w:t>he</w:t>
      </w:r>
      <w:r w:rsidR="004D14EE">
        <w:t xml:space="preserve"> </w:t>
      </w:r>
      <w:r w:rsidRPr="00B37B83">
        <w:t>prohibition</w:t>
      </w:r>
      <w:r>
        <w:t xml:space="preserve"> on continued importation and marketing</w:t>
      </w:r>
      <w:r w:rsidRPr="00B37B83">
        <w:t xml:space="preserve"> </w:t>
      </w:r>
      <w:r w:rsidR="00E54A53">
        <w:t xml:space="preserve">does not affect the </w:t>
      </w:r>
      <w:r w:rsidRPr="003F56AE">
        <w:t xml:space="preserve">continued </w:t>
      </w:r>
      <w:r>
        <w:t xml:space="preserve">use or operation </w:t>
      </w:r>
      <w:r w:rsidRPr="003F56AE">
        <w:t xml:space="preserve">of </w:t>
      </w:r>
      <w:r w:rsidR="00F86749">
        <w:t xml:space="preserve">previously authorized </w:t>
      </w:r>
      <w:r>
        <w:t>covered equipment</w:t>
      </w:r>
      <w:r w:rsidR="003E3F7A">
        <w:t>;</w:t>
      </w:r>
      <w:r w:rsidR="00653EFE">
        <w:t xml:space="preserve"> </w:t>
      </w:r>
      <w:r w:rsidR="000C189E">
        <w:t>c</w:t>
      </w:r>
      <w:r w:rsidR="00220B4D">
        <w:t xml:space="preserve">onsumers may </w:t>
      </w:r>
      <w:r w:rsidR="00A11183">
        <w:t>continue to use any device or equipment that</w:t>
      </w:r>
      <w:r w:rsidR="00F86749">
        <w:t xml:space="preserve"> they </w:t>
      </w:r>
      <w:r w:rsidR="00D45E57">
        <w:t xml:space="preserve">currently </w:t>
      </w:r>
      <w:r w:rsidR="00183FC8">
        <w:t>possess</w:t>
      </w:r>
      <w:r>
        <w:t>, if th</w:t>
      </w:r>
      <w:r w:rsidR="00FF0F2F">
        <w:t>e</w:t>
      </w:r>
      <w:r>
        <w:t xml:space="preserve"> equipment was legally purchased and </w:t>
      </w:r>
      <w:r w:rsidR="00FE1D9E">
        <w:t>maintains</w:t>
      </w:r>
      <w:r w:rsidR="0079422C">
        <w:t xml:space="preserve"> an</w:t>
      </w:r>
      <w:r>
        <w:t xml:space="preserve"> existing </w:t>
      </w:r>
      <w:r w:rsidRPr="00FD37DA">
        <w:t>equipment authorization.</w:t>
      </w:r>
      <w:r>
        <w:rPr>
          <w:rStyle w:val="FootnoteReference"/>
        </w:rPr>
        <w:footnoteReference w:id="56"/>
      </w:r>
      <w:r>
        <w:t xml:space="preserve">  </w:t>
      </w:r>
      <w:r w:rsidR="00517EC2">
        <w:t xml:space="preserve">Commenters </w:t>
      </w:r>
      <w:r w:rsidR="00DF54B4">
        <w:t>support this approach</w:t>
      </w:r>
      <w:r w:rsidR="00834BE7">
        <w:t xml:space="preserve"> and no commenter opposed this approach</w:t>
      </w:r>
      <w:r w:rsidR="001571BF">
        <w:t xml:space="preserve">, which is consistent with the </w:t>
      </w:r>
      <w:r w:rsidR="001571BF">
        <w:rPr>
          <w:i/>
          <w:iCs/>
        </w:rPr>
        <w:t>EA Security 2d R&amp;O</w:t>
      </w:r>
      <w:r w:rsidR="00DF54B4">
        <w:t>.</w:t>
      </w:r>
      <w:r>
        <w:rPr>
          <w:rStyle w:val="FootnoteReference"/>
        </w:rPr>
        <w:footnoteReference w:id="57"/>
      </w:r>
      <w:r w:rsidR="00DF54B4">
        <w:t xml:space="preserve"> </w:t>
      </w:r>
      <w:r w:rsidR="008841F4">
        <w:t xml:space="preserve"> We also note that the importation and marketing prohibitions do not apply to </w:t>
      </w:r>
      <w:r w:rsidR="008D4999">
        <w:t>marketing activities that are excepted u</w:t>
      </w:r>
      <w:r w:rsidR="00442ED7">
        <w:t xml:space="preserve">nder </w:t>
      </w:r>
      <w:r w:rsidR="00B00E8B">
        <w:t xml:space="preserve">statute and </w:t>
      </w:r>
      <w:r w:rsidR="00442ED7">
        <w:t>the Commission’s rules</w:t>
      </w:r>
      <w:r>
        <w:rPr>
          <w:rStyle w:val="FootnoteReference"/>
        </w:rPr>
        <w:footnoteReference w:id="58"/>
      </w:r>
      <w:r w:rsidR="00BD3EE9">
        <w:t xml:space="preserve"> or for </w:t>
      </w:r>
      <w:r w:rsidR="00DE1FC0">
        <w:t xml:space="preserve">importation </w:t>
      </w:r>
      <w:r w:rsidR="007422C8">
        <w:t xml:space="preserve">under the </w:t>
      </w:r>
      <w:r w:rsidR="00125F18">
        <w:t>conditions listed in</w:t>
      </w:r>
      <w:r w:rsidR="00A84054">
        <w:t xml:space="preserve"> </w:t>
      </w:r>
      <w:r w:rsidR="00B56C89">
        <w:t>section 2.1204(a)(3)</w:t>
      </w:r>
      <w:r w:rsidR="007846CD">
        <w:t>-(11)</w:t>
      </w:r>
      <w:r w:rsidR="00C44CC1">
        <w:t xml:space="preserve"> of the Commission’s rules</w:t>
      </w:r>
      <w:r w:rsidR="007846CD">
        <w:t>.</w:t>
      </w:r>
      <w:r>
        <w:rPr>
          <w:rStyle w:val="FootnoteReference"/>
        </w:rPr>
        <w:footnoteReference w:id="59"/>
      </w:r>
    </w:p>
    <w:p w:rsidR="00304E32" w:rsidP="003511E9" w14:paraId="7B08300C" w14:textId="3C34A080">
      <w:pPr>
        <w:pStyle w:val="ParaNum"/>
        <w:widowControl/>
        <w:numPr>
          <w:ilvl w:val="0"/>
          <w:numId w:val="0"/>
        </w:numPr>
        <w:ind w:firstLine="720"/>
        <w:rPr>
          <w:szCs w:val="22"/>
        </w:rPr>
      </w:pPr>
      <w:r w:rsidRPr="00F80FA6">
        <w:rPr>
          <w:i/>
          <w:iCs/>
          <w:szCs w:val="22"/>
        </w:rPr>
        <w:t>Implementation timeline</w:t>
      </w:r>
      <w:r w:rsidRPr="007211A1">
        <w:rPr>
          <w:szCs w:val="22"/>
        </w:rPr>
        <w:t>.</w:t>
      </w:r>
      <w:r w:rsidRPr="00F80FA6">
        <w:rPr>
          <w:szCs w:val="22"/>
        </w:rPr>
        <w:t xml:space="preserve">  </w:t>
      </w:r>
      <w:r w:rsidRPr="00F80FA6" w:rsidR="00FE1246">
        <w:rPr>
          <w:szCs w:val="22"/>
        </w:rPr>
        <w:t>The prohibition on importation and marketing</w:t>
      </w:r>
      <w:r w:rsidRPr="00F80FA6" w:rsidR="00D22AA0">
        <w:rPr>
          <w:szCs w:val="22"/>
        </w:rPr>
        <w:t xml:space="preserve"> will</w:t>
      </w:r>
      <w:r w:rsidRPr="00F80FA6" w:rsidR="00FE1246">
        <w:rPr>
          <w:szCs w:val="22"/>
        </w:rPr>
        <w:t xml:space="preserve"> take </w:t>
      </w:r>
      <w:r w:rsidRPr="00F80FA6" w:rsidR="00FE1246">
        <w:t>effect</w:t>
      </w:r>
      <w:r w:rsidRPr="00F80FA6" w:rsidR="00B460AC">
        <w:t xml:space="preserve"> </w:t>
      </w:r>
      <w:r w:rsidRPr="007211A1" w:rsidR="0080623A">
        <w:rPr>
          <w:szCs w:val="22"/>
        </w:rPr>
        <w:t>10 days after</w:t>
      </w:r>
      <w:r w:rsidRPr="00F80FA6" w:rsidR="0080623A">
        <w:t xml:space="preserve"> </w:t>
      </w:r>
      <w:r w:rsidRPr="00F80FA6" w:rsidR="00B460AC">
        <w:t>publicat</w:t>
      </w:r>
      <w:r w:rsidRPr="00F80FA6" w:rsidR="009E6698">
        <w:t>ion in the Federal Register</w:t>
      </w:r>
      <w:r w:rsidRPr="007211A1" w:rsidR="00FE1246">
        <w:rPr>
          <w:szCs w:val="22"/>
        </w:rPr>
        <w:t>.</w:t>
      </w:r>
      <w:r w:rsidRPr="00F80FA6" w:rsidR="00C94B36">
        <w:rPr>
          <w:szCs w:val="22"/>
        </w:rPr>
        <w:t xml:space="preserve">  </w:t>
      </w:r>
      <w:r w:rsidRPr="00F80FA6" w:rsidR="008A5E8B">
        <w:rPr>
          <w:szCs w:val="22"/>
        </w:rPr>
        <w:t xml:space="preserve">As of that date, </w:t>
      </w:r>
      <w:r w:rsidRPr="00F80FA6" w:rsidR="00975A2C">
        <w:rPr>
          <w:szCs w:val="22"/>
        </w:rPr>
        <w:t>e</w:t>
      </w:r>
      <w:r w:rsidRPr="00F80FA6" w:rsidR="00B740CF">
        <w:rPr>
          <w:szCs w:val="22"/>
        </w:rPr>
        <w:t xml:space="preserve">ntities </w:t>
      </w:r>
      <w:r w:rsidRPr="00F80FA6" w:rsidR="00975A2C">
        <w:rPr>
          <w:szCs w:val="22"/>
        </w:rPr>
        <w:t>will be</w:t>
      </w:r>
      <w:r w:rsidRPr="00F80FA6" w:rsidR="006C0209">
        <w:rPr>
          <w:szCs w:val="22"/>
        </w:rPr>
        <w:t xml:space="preserve"> </w:t>
      </w:r>
      <w:r w:rsidRPr="00F80FA6" w:rsidR="00B740CF">
        <w:rPr>
          <w:szCs w:val="22"/>
        </w:rPr>
        <w:t>prohibited from importing or marketing any</w:t>
      </w:r>
      <w:r w:rsidRPr="00F80FA6" w:rsidR="00780C3E">
        <w:rPr>
          <w:szCs w:val="22"/>
        </w:rPr>
        <w:t xml:space="preserve"> </w:t>
      </w:r>
      <w:r w:rsidRPr="00F80FA6" w:rsidR="00780C3E">
        <w:t>covered equipment added to the Covered List in 2024 or earlier.</w:t>
      </w:r>
      <w:r w:rsidRPr="00F80FA6" w:rsidR="001F6393">
        <w:rPr>
          <w:szCs w:val="22"/>
        </w:rPr>
        <w:t xml:space="preserve">  </w:t>
      </w:r>
      <w:r w:rsidRPr="00F80FA6" w:rsidR="00F757DA">
        <w:rPr>
          <w:szCs w:val="22"/>
        </w:rPr>
        <w:t xml:space="preserve">While this </w:t>
      </w:r>
      <w:r w:rsidRPr="00F80FA6" w:rsidR="006B1BBC">
        <w:rPr>
          <w:szCs w:val="22"/>
        </w:rPr>
        <w:t xml:space="preserve">approach differs from our proposal in the March 27 Public Notice, </w:t>
      </w:r>
      <w:r w:rsidRPr="00F80FA6" w:rsidR="00B03D87">
        <w:rPr>
          <w:szCs w:val="22"/>
        </w:rPr>
        <w:t xml:space="preserve">which would have </w:t>
      </w:r>
      <w:r w:rsidRPr="00F80FA6" w:rsidR="007941CD">
        <w:rPr>
          <w:szCs w:val="22"/>
        </w:rPr>
        <w:t xml:space="preserve">required entities to cease all importation and marketing activities within 30 days of </w:t>
      </w:r>
      <w:r w:rsidR="001F3AB3">
        <w:rPr>
          <w:szCs w:val="22"/>
        </w:rPr>
        <w:t>the release of this Public Notice</w:t>
      </w:r>
      <w:r w:rsidRPr="00F80FA6" w:rsidR="007941CD">
        <w:rPr>
          <w:szCs w:val="22"/>
        </w:rPr>
        <w:t xml:space="preserve">, </w:t>
      </w:r>
      <w:r w:rsidRPr="00F80FA6" w:rsidR="006B1BBC">
        <w:rPr>
          <w:szCs w:val="22"/>
        </w:rPr>
        <w:t>we</w:t>
      </w:r>
      <w:r w:rsidR="0096216E">
        <w:rPr>
          <w:szCs w:val="22"/>
        </w:rPr>
        <w:t xml:space="preserve"> believe</w:t>
      </w:r>
      <w:r w:rsidRPr="00F80FA6" w:rsidR="006B1BBC">
        <w:rPr>
          <w:szCs w:val="22"/>
        </w:rPr>
        <w:t xml:space="preserve"> </w:t>
      </w:r>
      <w:r w:rsidR="003511E9">
        <w:rPr>
          <w:szCs w:val="22"/>
        </w:rPr>
        <w:t xml:space="preserve">that 10 days following Federal Register publication will </w:t>
      </w:r>
      <w:r w:rsidR="001F3AB3">
        <w:rPr>
          <w:szCs w:val="22"/>
        </w:rPr>
        <w:t>creat</w:t>
      </w:r>
      <w:r w:rsidR="00D03BE9">
        <w:rPr>
          <w:szCs w:val="22"/>
        </w:rPr>
        <w:t>e</w:t>
      </w:r>
      <w:r w:rsidR="00B00E8B">
        <w:rPr>
          <w:szCs w:val="22"/>
        </w:rPr>
        <w:t xml:space="preserve"> </w:t>
      </w:r>
      <w:r w:rsidR="001F3AB3">
        <w:rPr>
          <w:szCs w:val="22"/>
        </w:rPr>
        <w:t>more notice to the public and federal partners</w:t>
      </w:r>
      <w:r w:rsidRPr="00F80FA6" w:rsidR="00764600">
        <w:rPr>
          <w:szCs w:val="22"/>
        </w:rPr>
        <w:t xml:space="preserve">.  </w:t>
      </w:r>
      <w:r w:rsidRPr="00F80FA6" w:rsidR="00782756">
        <w:rPr>
          <w:szCs w:val="22"/>
        </w:rPr>
        <w:t xml:space="preserve">The need for </w:t>
      </w:r>
      <w:r w:rsidRPr="007211A1" w:rsidR="00894C20">
        <w:rPr>
          <w:szCs w:val="22"/>
        </w:rPr>
        <w:t>expedited</w:t>
      </w:r>
      <w:r w:rsidRPr="00F80FA6" w:rsidR="00894C20">
        <w:rPr>
          <w:szCs w:val="22"/>
        </w:rPr>
        <w:t xml:space="preserve"> </w:t>
      </w:r>
      <w:r w:rsidRPr="00F80FA6" w:rsidR="00782756">
        <w:rPr>
          <w:szCs w:val="22"/>
        </w:rPr>
        <w:t>action is especially acute, because a delayed, but looming</w:t>
      </w:r>
      <w:r w:rsidR="00782756">
        <w:rPr>
          <w:szCs w:val="22"/>
        </w:rPr>
        <w:t xml:space="preserve">, prohibition would encourage importers and marketers to flood the U.S. market with covered equipment—a prospect that this proceeding is premised on preventing. </w:t>
      </w:r>
    </w:p>
    <w:p w:rsidR="00304E32" w:rsidP="00E44B98" w14:paraId="247A2C19" w14:textId="308EFCC3">
      <w:pPr>
        <w:pStyle w:val="ParaNum"/>
        <w:widowControl/>
        <w:numPr>
          <w:ilvl w:val="0"/>
          <w:numId w:val="0"/>
        </w:numPr>
        <w:ind w:firstLine="720"/>
        <w:rPr>
          <w:szCs w:val="22"/>
        </w:rPr>
      </w:pPr>
      <w:r>
        <w:rPr>
          <w:szCs w:val="22"/>
        </w:rPr>
        <w:t xml:space="preserve">We agree with CTIA that </w:t>
      </w:r>
      <w:r w:rsidR="00FE0391">
        <w:rPr>
          <w:szCs w:val="22"/>
        </w:rPr>
        <w:t xml:space="preserve">“several factors </w:t>
      </w:r>
      <w:r>
        <w:rPr>
          <w:szCs w:val="22"/>
        </w:rPr>
        <w:t xml:space="preserve">significantly mitigate any potential supply chain or economic impacts” </w:t>
      </w:r>
      <w:r w:rsidR="008F4AB0">
        <w:rPr>
          <w:szCs w:val="22"/>
        </w:rPr>
        <w:t>that may occur as a result of this action</w:t>
      </w:r>
      <w:r>
        <w:rPr>
          <w:szCs w:val="22"/>
        </w:rPr>
        <w:t>,</w:t>
      </w:r>
      <w:r w:rsidR="00A73791">
        <w:rPr>
          <w:szCs w:val="22"/>
        </w:rPr>
        <w:t xml:space="preserve"> </w:t>
      </w:r>
      <w:r w:rsidR="009D0B0C">
        <w:rPr>
          <w:szCs w:val="22"/>
        </w:rPr>
        <w:t>“</w:t>
      </w:r>
      <w:r w:rsidR="00A73791">
        <w:rPr>
          <w:szCs w:val="22"/>
        </w:rPr>
        <w:t xml:space="preserve">including </w:t>
      </w:r>
      <w:r w:rsidR="009D0B0C">
        <w:rPr>
          <w:szCs w:val="22"/>
        </w:rPr>
        <w:t xml:space="preserve">previous efforts under </w:t>
      </w:r>
      <w:r w:rsidR="00A73791">
        <w:rPr>
          <w:szCs w:val="22"/>
        </w:rPr>
        <w:t xml:space="preserve">the Commission’s </w:t>
      </w:r>
      <w:r w:rsidR="009D0B0C">
        <w:rPr>
          <w:szCs w:val="22"/>
        </w:rPr>
        <w:t>‘</w:t>
      </w:r>
      <w:r w:rsidR="004E7189">
        <w:rPr>
          <w:szCs w:val="22"/>
        </w:rPr>
        <w:t>Rip and Replace</w:t>
      </w:r>
      <w:r w:rsidR="009D0B0C">
        <w:rPr>
          <w:szCs w:val="22"/>
        </w:rPr>
        <w:t>’</w:t>
      </w:r>
      <w:r w:rsidR="003F5559">
        <w:rPr>
          <w:szCs w:val="22"/>
        </w:rPr>
        <w:t xml:space="preserve"> program</w:t>
      </w:r>
      <w:r w:rsidR="009D0B0C">
        <w:rPr>
          <w:szCs w:val="22"/>
        </w:rPr>
        <w:t xml:space="preserve"> and the long period of time since any equipment produced by the relevant entities has been eligible to be authorized.”</w:t>
      </w:r>
      <w:r>
        <w:rPr>
          <w:rStyle w:val="FootnoteReference"/>
          <w:szCs w:val="22"/>
        </w:rPr>
        <w:footnoteReference w:id="60"/>
      </w:r>
      <w:r w:rsidR="009D0B0C">
        <w:rPr>
          <w:szCs w:val="22"/>
        </w:rPr>
        <w:t xml:space="preserve"> </w:t>
      </w:r>
      <w:r w:rsidR="003F5559">
        <w:rPr>
          <w:szCs w:val="22"/>
        </w:rPr>
        <w:t xml:space="preserve"> </w:t>
      </w:r>
      <w:r w:rsidR="00B2125B">
        <w:rPr>
          <w:szCs w:val="22"/>
        </w:rPr>
        <w:t xml:space="preserve">As CTIA notes, </w:t>
      </w:r>
      <w:r w:rsidR="008C6E54">
        <w:rPr>
          <w:szCs w:val="22"/>
        </w:rPr>
        <w:t>several alternatives ha</w:t>
      </w:r>
      <w:r w:rsidR="00405F77">
        <w:rPr>
          <w:szCs w:val="22"/>
        </w:rPr>
        <w:t xml:space="preserve">ve </w:t>
      </w:r>
      <w:r w:rsidR="00442BB1">
        <w:rPr>
          <w:szCs w:val="22"/>
        </w:rPr>
        <w:t xml:space="preserve">been </w:t>
      </w:r>
      <w:r w:rsidR="00615CB7">
        <w:rPr>
          <w:szCs w:val="22"/>
        </w:rPr>
        <w:t>brought to market</w:t>
      </w:r>
      <w:r w:rsidR="00442BB1">
        <w:rPr>
          <w:szCs w:val="22"/>
        </w:rPr>
        <w:t xml:space="preserve"> since th</w:t>
      </w:r>
      <w:r w:rsidR="0042461D">
        <w:rPr>
          <w:szCs w:val="22"/>
        </w:rPr>
        <w:t>is</w:t>
      </w:r>
      <w:r w:rsidR="00442BB1">
        <w:rPr>
          <w:szCs w:val="22"/>
        </w:rPr>
        <w:t xml:space="preserve"> equipment </w:t>
      </w:r>
      <w:r w:rsidR="0042461D">
        <w:rPr>
          <w:szCs w:val="22"/>
        </w:rPr>
        <w:t>was added to the Covered List</w:t>
      </w:r>
      <w:r w:rsidR="001F1332">
        <w:rPr>
          <w:szCs w:val="22"/>
        </w:rPr>
        <w:t xml:space="preserve"> and </w:t>
      </w:r>
      <w:r w:rsidR="00FA6759">
        <w:rPr>
          <w:szCs w:val="22"/>
        </w:rPr>
        <w:t xml:space="preserve">“participants in the ICT ecosystem can effectively </w:t>
      </w:r>
      <w:r w:rsidR="00EE49F6">
        <w:rPr>
          <w:szCs w:val="22"/>
        </w:rPr>
        <w:t>serve</w:t>
      </w:r>
      <w:r w:rsidR="00FA6759">
        <w:rPr>
          <w:szCs w:val="22"/>
        </w:rPr>
        <w:t xml:space="preserve"> the U.S. market without this equipment in their networks or these producers in their supply chains.”</w:t>
      </w:r>
      <w:r>
        <w:rPr>
          <w:rStyle w:val="FootnoteReference"/>
          <w:szCs w:val="22"/>
        </w:rPr>
        <w:footnoteReference w:id="61"/>
      </w:r>
      <w:r w:rsidR="00FA6759">
        <w:rPr>
          <w:szCs w:val="22"/>
        </w:rPr>
        <w:t xml:space="preserve"> </w:t>
      </w:r>
      <w:r w:rsidR="00182A63">
        <w:rPr>
          <w:szCs w:val="22"/>
        </w:rPr>
        <w:t xml:space="preserve"> </w:t>
      </w:r>
    </w:p>
    <w:p w:rsidR="00EA485F" w:rsidP="00404317" w14:paraId="5FC2BC96" w14:textId="61F4BCA6">
      <w:pPr>
        <w:pStyle w:val="ParaNum"/>
        <w:widowControl/>
        <w:numPr>
          <w:ilvl w:val="0"/>
          <w:numId w:val="0"/>
        </w:numPr>
        <w:ind w:firstLine="720"/>
        <w:rPr>
          <w:szCs w:val="22"/>
        </w:rPr>
      </w:pPr>
      <w:r>
        <w:rPr>
          <w:szCs w:val="22"/>
        </w:rPr>
        <w:t xml:space="preserve">We disagree with </w:t>
      </w:r>
      <w:r w:rsidR="006A0F55">
        <w:rPr>
          <w:szCs w:val="22"/>
        </w:rPr>
        <w:t xml:space="preserve">commenters </w:t>
      </w:r>
      <w:r w:rsidR="00B82536">
        <w:rPr>
          <w:szCs w:val="22"/>
        </w:rPr>
        <w:t xml:space="preserve">like NCTA and USTelecom </w:t>
      </w:r>
      <w:r w:rsidR="006A0F55">
        <w:rPr>
          <w:szCs w:val="22"/>
        </w:rPr>
        <w:t xml:space="preserve">who </w:t>
      </w:r>
      <w:r w:rsidR="00FF3D6A">
        <w:rPr>
          <w:szCs w:val="22"/>
        </w:rPr>
        <w:t xml:space="preserve">contend </w:t>
      </w:r>
      <w:r w:rsidR="00590030">
        <w:rPr>
          <w:szCs w:val="22"/>
        </w:rPr>
        <w:t>(without specific data to support their arguments)</w:t>
      </w:r>
      <w:r>
        <w:rPr>
          <w:rStyle w:val="FootnoteReference"/>
          <w:szCs w:val="22"/>
        </w:rPr>
        <w:footnoteReference w:id="62"/>
      </w:r>
      <w:r w:rsidR="00590030">
        <w:rPr>
          <w:szCs w:val="22"/>
        </w:rPr>
        <w:t xml:space="preserve"> </w:t>
      </w:r>
      <w:r w:rsidR="00FF3D6A">
        <w:rPr>
          <w:szCs w:val="22"/>
        </w:rPr>
        <w:t xml:space="preserve">that </w:t>
      </w:r>
      <w:r w:rsidR="00F646CB">
        <w:rPr>
          <w:szCs w:val="22"/>
        </w:rPr>
        <w:t xml:space="preserve">we should adopt longer </w:t>
      </w:r>
      <w:r w:rsidR="0033283F">
        <w:rPr>
          <w:szCs w:val="22"/>
        </w:rPr>
        <w:t xml:space="preserve">and </w:t>
      </w:r>
      <w:r w:rsidR="00F646CB">
        <w:rPr>
          <w:szCs w:val="22"/>
        </w:rPr>
        <w:t>more flexible transition period</w:t>
      </w:r>
      <w:r w:rsidR="0033283F">
        <w:rPr>
          <w:szCs w:val="22"/>
        </w:rPr>
        <w:t>s</w:t>
      </w:r>
      <w:r w:rsidR="00151736">
        <w:rPr>
          <w:szCs w:val="22"/>
        </w:rPr>
        <w:t xml:space="preserve"> </w:t>
      </w:r>
      <w:r w:rsidR="00BD1973">
        <w:rPr>
          <w:szCs w:val="22"/>
        </w:rPr>
        <w:t xml:space="preserve">to </w:t>
      </w:r>
      <w:r w:rsidR="002F28F5">
        <w:rPr>
          <w:szCs w:val="22"/>
        </w:rPr>
        <w:t>account for</w:t>
      </w:r>
      <w:r w:rsidR="009826E2">
        <w:rPr>
          <w:szCs w:val="22"/>
        </w:rPr>
        <w:t xml:space="preserve"> supply chain considerations</w:t>
      </w:r>
      <w:r w:rsidR="00425E02">
        <w:rPr>
          <w:szCs w:val="22"/>
        </w:rPr>
        <w:t xml:space="preserve">, </w:t>
      </w:r>
      <w:r w:rsidR="00927DC2">
        <w:rPr>
          <w:szCs w:val="22"/>
        </w:rPr>
        <w:t xml:space="preserve">in-transit equipment, </w:t>
      </w:r>
      <w:r w:rsidR="00425E02">
        <w:rPr>
          <w:szCs w:val="22"/>
        </w:rPr>
        <w:t>existing inventory,</w:t>
      </w:r>
      <w:r w:rsidR="009826E2">
        <w:rPr>
          <w:szCs w:val="22"/>
        </w:rPr>
        <w:t xml:space="preserve"> </w:t>
      </w:r>
      <w:r w:rsidR="00E62642">
        <w:rPr>
          <w:szCs w:val="22"/>
        </w:rPr>
        <w:t>and contractual obligations</w:t>
      </w:r>
      <w:r w:rsidR="00B82536">
        <w:rPr>
          <w:szCs w:val="22"/>
        </w:rPr>
        <w:t xml:space="preserve"> and reject calls for a “phased implementation</w:t>
      </w:r>
      <w:r w:rsidR="005622B9">
        <w:rPr>
          <w:szCs w:val="22"/>
        </w:rPr>
        <w:t>.</w:t>
      </w:r>
      <w:r w:rsidR="00B82536">
        <w:rPr>
          <w:szCs w:val="22"/>
        </w:rPr>
        <w:t>”</w:t>
      </w:r>
      <w:r>
        <w:rPr>
          <w:rStyle w:val="FootnoteReference"/>
          <w:szCs w:val="22"/>
        </w:rPr>
        <w:footnoteReference w:id="63"/>
      </w:r>
      <w:r w:rsidR="00833841">
        <w:rPr>
          <w:szCs w:val="22"/>
        </w:rPr>
        <w:t xml:space="preserve"> </w:t>
      </w:r>
      <w:r w:rsidR="005622B9">
        <w:rPr>
          <w:szCs w:val="22"/>
        </w:rPr>
        <w:t xml:space="preserve"> </w:t>
      </w:r>
      <w:r w:rsidR="00644E4D">
        <w:rPr>
          <w:szCs w:val="22"/>
        </w:rPr>
        <w:t>We also disagree with HCC’s suggestion that we should broadly exempt from the prohibition “equipment that is used for spare parts, updates and replacements” for existing devices or otherwise “provide a process for reimbursement . . . to allow users to replace the affected equipment.”</w:t>
      </w:r>
      <w:r>
        <w:rPr>
          <w:rStyle w:val="FootnoteReference"/>
          <w:szCs w:val="22"/>
        </w:rPr>
        <w:footnoteReference w:id="64"/>
      </w:r>
      <w:r w:rsidR="00644E4D">
        <w:rPr>
          <w:szCs w:val="22"/>
        </w:rPr>
        <w:t xml:space="preserve">  Allowing imports and marketing replacements for existing covered equipment would defeat the entire purpose of this prohibition.  </w:t>
      </w:r>
      <w:r w:rsidR="002C4AD7">
        <w:rPr>
          <w:szCs w:val="22"/>
        </w:rPr>
        <w:t xml:space="preserve">As we </w:t>
      </w:r>
      <w:r w:rsidR="00076DB0">
        <w:rPr>
          <w:szCs w:val="22"/>
        </w:rPr>
        <w:t>conclude</w:t>
      </w:r>
      <w:r w:rsidR="002C4AD7">
        <w:rPr>
          <w:szCs w:val="22"/>
        </w:rPr>
        <w:t>d above,</w:t>
      </w:r>
      <w:r w:rsidR="00F86D44">
        <w:rPr>
          <w:szCs w:val="22"/>
        </w:rPr>
        <w:t xml:space="preserve"> </w:t>
      </w:r>
      <w:r w:rsidR="00C96968">
        <w:rPr>
          <w:szCs w:val="22"/>
        </w:rPr>
        <w:t xml:space="preserve">the national security </w:t>
      </w:r>
      <w:r w:rsidR="004B207B">
        <w:rPr>
          <w:szCs w:val="22"/>
        </w:rPr>
        <w:t>risks</w:t>
      </w:r>
      <w:r w:rsidR="00C96968">
        <w:rPr>
          <w:szCs w:val="22"/>
        </w:rPr>
        <w:t xml:space="preserve"> of allowing covered equipment to continue to be </w:t>
      </w:r>
      <w:r w:rsidR="004B207B">
        <w:rPr>
          <w:szCs w:val="22"/>
        </w:rPr>
        <w:t xml:space="preserve">imported and marketed </w:t>
      </w:r>
      <w:r w:rsidR="00B31624">
        <w:rPr>
          <w:szCs w:val="22"/>
        </w:rPr>
        <w:t xml:space="preserve">in the U.S. </w:t>
      </w:r>
      <w:r w:rsidR="004B207B">
        <w:rPr>
          <w:szCs w:val="22"/>
        </w:rPr>
        <w:t>far outweigh</w:t>
      </w:r>
      <w:r w:rsidR="00C16173">
        <w:rPr>
          <w:szCs w:val="22"/>
        </w:rPr>
        <w:t xml:space="preserve"> the potential economic </w:t>
      </w:r>
      <w:r w:rsidR="000712D9">
        <w:rPr>
          <w:szCs w:val="22"/>
        </w:rPr>
        <w:t xml:space="preserve">impacts </w:t>
      </w:r>
      <w:r w:rsidR="00C16173">
        <w:rPr>
          <w:szCs w:val="22"/>
        </w:rPr>
        <w:t xml:space="preserve">and supply chain </w:t>
      </w:r>
      <w:r w:rsidR="00E1014A">
        <w:rPr>
          <w:szCs w:val="22"/>
        </w:rPr>
        <w:t>disruptions that may occur as a result of this prohibition</w:t>
      </w:r>
      <w:r w:rsidR="00DA0535">
        <w:rPr>
          <w:szCs w:val="22"/>
        </w:rPr>
        <w:t>, and the national security demand for urgent action to avoid flooding the market outweighs any disruption</w:t>
      </w:r>
      <w:r w:rsidR="00E1014A">
        <w:rPr>
          <w:szCs w:val="22"/>
        </w:rPr>
        <w:t>.</w:t>
      </w:r>
      <w:r w:rsidR="00590030">
        <w:rPr>
          <w:szCs w:val="22"/>
        </w:rPr>
        <w:t xml:space="preserve">  </w:t>
      </w:r>
    </w:p>
    <w:p w:rsidR="0025219D" w:rsidRPr="001202A6" w:rsidP="001202A6" w14:paraId="3A1E4F86" w14:textId="783127F8">
      <w:pPr>
        <w:pStyle w:val="ParaNum"/>
        <w:widowControl/>
        <w:numPr>
          <w:ilvl w:val="0"/>
          <w:numId w:val="0"/>
        </w:numPr>
        <w:ind w:firstLine="720"/>
        <w:rPr>
          <w:szCs w:val="22"/>
        </w:rPr>
      </w:pPr>
      <w:r>
        <w:rPr>
          <w:szCs w:val="22"/>
        </w:rPr>
        <w:t>Finally, w</w:t>
      </w:r>
      <w:r w:rsidR="006E3EA8">
        <w:rPr>
          <w:szCs w:val="22"/>
        </w:rPr>
        <w:t xml:space="preserve">e </w:t>
      </w:r>
      <w:r w:rsidR="000F7D46">
        <w:rPr>
          <w:szCs w:val="22"/>
        </w:rPr>
        <w:t>defer</w:t>
      </w:r>
      <w:r w:rsidR="006E3EA8">
        <w:rPr>
          <w:szCs w:val="22"/>
        </w:rPr>
        <w:t xml:space="preserve"> </w:t>
      </w:r>
      <w:r w:rsidR="00BC6472">
        <w:rPr>
          <w:szCs w:val="22"/>
        </w:rPr>
        <w:t>consideration</w:t>
      </w:r>
      <w:r w:rsidR="00EB2D3A">
        <w:rPr>
          <w:szCs w:val="22"/>
        </w:rPr>
        <w:t xml:space="preserve"> o</w:t>
      </w:r>
      <w:r w:rsidR="00392DEA">
        <w:rPr>
          <w:szCs w:val="22"/>
        </w:rPr>
        <w:t>f</w:t>
      </w:r>
      <w:r w:rsidR="00BC6472">
        <w:rPr>
          <w:szCs w:val="22"/>
        </w:rPr>
        <w:t xml:space="preserve"> </w:t>
      </w:r>
      <w:r w:rsidR="006B0585">
        <w:rPr>
          <w:szCs w:val="22"/>
        </w:rPr>
        <w:t xml:space="preserve">CTIA’s </w:t>
      </w:r>
      <w:r w:rsidR="00AB5545">
        <w:rPr>
          <w:szCs w:val="22"/>
        </w:rPr>
        <w:t>suggestions</w:t>
      </w:r>
      <w:r w:rsidR="00A035B2">
        <w:rPr>
          <w:szCs w:val="22"/>
        </w:rPr>
        <w:t xml:space="preserve"> regarding</w:t>
      </w:r>
      <w:r w:rsidR="00A453AA">
        <w:rPr>
          <w:szCs w:val="22"/>
        </w:rPr>
        <w:t xml:space="preserve"> </w:t>
      </w:r>
      <w:r w:rsidR="006068CB">
        <w:rPr>
          <w:szCs w:val="22"/>
        </w:rPr>
        <w:t xml:space="preserve">how to </w:t>
      </w:r>
      <w:r w:rsidR="00DE6577">
        <w:rPr>
          <w:szCs w:val="22"/>
        </w:rPr>
        <w:t xml:space="preserve">weigh </w:t>
      </w:r>
      <w:r w:rsidR="00ED3F3F">
        <w:rPr>
          <w:szCs w:val="22"/>
        </w:rPr>
        <w:t>future proceedings</w:t>
      </w:r>
      <w:r w:rsidR="00DE6577">
        <w:rPr>
          <w:szCs w:val="22"/>
        </w:rPr>
        <w:t xml:space="preserve"> </w:t>
      </w:r>
      <w:r w:rsidR="00AE1B1C">
        <w:rPr>
          <w:szCs w:val="22"/>
        </w:rPr>
        <w:t>placing limitations on the importation or marketing of existing authorizations</w:t>
      </w:r>
      <w:r w:rsidR="00793A20">
        <w:rPr>
          <w:szCs w:val="22"/>
        </w:rPr>
        <w:t>.</w:t>
      </w:r>
      <w:r>
        <w:rPr>
          <w:rStyle w:val="FootnoteReference"/>
          <w:szCs w:val="22"/>
        </w:rPr>
        <w:footnoteReference w:id="65"/>
      </w:r>
      <w:r w:rsidR="00793A20">
        <w:rPr>
          <w:szCs w:val="22"/>
        </w:rPr>
        <w:t xml:space="preserve">  </w:t>
      </w:r>
    </w:p>
    <w:sectPr>
      <w:headerReference w:type="default" r:id="rId7"/>
      <w:footerReference w:type="even" r:id="rId8"/>
      <w:footerReference w:type="default" r:id="rId9"/>
      <w:headerReference w:type="first" r:id="rId10"/>
      <w:footerReference w:type="first" r:id="rId11"/>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545C12" w14:paraId="4C694A3A" w14:textId="77777777">
      <w:pPr>
        <w:spacing w:line="20" w:lineRule="exact"/>
      </w:pPr>
    </w:p>
  </w:endnote>
  <w:endnote w:type="continuationSeparator" w:id="1">
    <w:p w:rsidR="00545C12" w14:paraId="143F1EA8" w14:textId="77777777">
      <w:r>
        <w:t xml:space="preserve"> </w:t>
      </w:r>
    </w:p>
  </w:endnote>
  <w:endnote w:type="continuationNotice" w:id="2">
    <w:p w:rsidR="00545C12" w14:paraId="794CEA15"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Bold">
    <w:altName w:val="Times New Roman"/>
    <w:panose1 w:val="02020803070505020304"/>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2A583BF2"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160069FD"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6D8CA02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AE64F6D"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45C12" w14:paraId="59CB2738" w14:textId="77777777">
      <w:r>
        <w:separator/>
      </w:r>
    </w:p>
  </w:footnote>
  <w:footnote w:type="continuationSeparator" w:id="1">
    <w:p w:rsidR="00545C12" w14:paraId="3173BD68" w14:textId="77777777">
      <w:pPr>
        <w:rPr>
          <w:sz w:val="20"/>
        </w:rPr>
      </w:pPr>
      <w:r>
        <w:rPr>
          <w:sz w:val="20"/>
        </w:rPr>
        <w:t xml:space="preserve">(Continued from previous page)  </w:t>
      </w:r>
      <w:r>
        <w:rPr>
          <w:sz w:val="20"/>
        </w:rPr>
        <w:separator/>
      </w:r>
    </w:p>
  </w:footnote>
  <w:footnote w:type="continuationNotice" w:id="2">
    <w:p w:rsidR="00545C12" w14:paraId="75390A7E" w14:textId="77777777">
      <w:pPr>
        <w:jc w:val="right"/>
        <w:rPr>
          <w:sz w:val="20"/>
        </w:rPr>
      </w:pPr>
      <w:r>
        <w:rPr>
          <w:sz w:val="20"/>
        </w:rPr>
        <w:t>(continued….)</w:t>
      </w:r>
    </w:p>
  </w:footnote>
  <w:footnote w:id="3">
    <w:p w:rsidR="00854FCC" w:rsidRPr="0000283B" w:rsidP="00854FCC" w14:paraId="2A61F9CA" w14:textId="6FB0E03E">
      <w:pPr>
        <w:pStyle w:val="FootnoteText"/>
        <w:rPr>
          <w:color w:val="FF0000"/>
        </w:rPr>
      </w:pPr>
      <w:r>
        <w:rPr>
          <w:rStyle w:val="FootnoteReference"/>
        </w:rPr>
        <w:footnoteRef/>
      </w:r>
      <w:r>
        <w:t xml:space="preserve"> P</w:t>
      </w:r>
      <w:r w:rsidRPr="007E2B9A">
        <w:t xml:space="preserve">ursuant to </w:t>
      </w:r>
      <w:r>
        <w:t>sections 2(a) and (d) of the</w:t>
      </w:r>
      <w:r w:rsidRPr="007E2B9A">
        <w:t xml:space="preserve"> Secure</w:t>
      </w:r>
      <w:r>
        <w:t xml:space="preserve"> and Trusted Communications</w:t>
      </w:r>
      <w:r w:rsidRPr="007E2B9A">
        <w:t xml:space="preserve"> Networks Act</w:t>
      </w:r>
      <w:r>
        <w:t xml:space="preserve"> of 2019,</w:t>
      </w:r>
      <w:r w:rsidRPr="007E2B9A">
        <w:t xml:space="preserve"> and section</w:t>
      </w:r>
      <w:r>
        <w:t>s</w:t>
      </w:r>
      <w:r w:rsidRPr="007E2B9A">
        <w:t xml:space="preserve"> 1.50002</w:t>
      </w:r>
      <w:r>
        <w:t xml:space="preserve"> and 1.50003</w:t>
      </w:r>
      <w:r w:rsidRPr="007E2B9A">
        <w:t xml:space="preserve"> of the Commission’s rules, </w:t>
      </w:r>
      <w:r>
        <w:t>the Federal Communications Commission’s Public Safety and Homeland Security Bureau (</w:t>
      </w:r>
      <w:r w:rsidRPr="007E2B9A">
        <w:t>PSHSB</w:t>
      </w:r>
      <w:r>
        <w:t>)</w:t>
      </w:r>
      <w:r w:rsidRPr="007E2B9A">
        <w:t xml:space="preserve"> publish</w:t>
      </w:r>
      <w:r>
        <w:t>es a list of communications</w:t>
      </w:r>
      <w:r w:rsidRPr="007E2B9A">
        <w:t xml:space="preserve"> equipment and services that have been determined</w:t>
      </w:r>
      <w:r>
        <w:t xml:space="preserve"> by one of the </w:t>
      </w:r>
      <w:r w:rsidR="00C37200">
        <w:t xml:space="preserve">specified </w:t>
      </w:r>
      <w:r>
        <w:t>sources to pose</w:t>
      </w:r>
      <w:r w:rsidRPr="007E2B9A">
        <w:t xml:space="preserve"> an unacceptable risk to the national security of the United States or the security and safety of United States persons</w:t>
      </w:r>
      <w:r>
        <w:t xml:space="preserve"> (covered equipment).  Secure and Trusted Communications Networks Act of 2019, Pub. L. No. 116-124, 133 Stat. 158 (2020) (codified as amended at 47 U.S.C. §§ 1601-1609</w:t>
      </w:r>
      <w:r w:rsidR="00A56EBD">
        <w:t>)</w:t>
      </w:r>
      <w:r>
        <w:t xml:space="preserve"> (Secure Networks Act); 47 CFR §§ 1.50002, 1.50003.  For the current version of the Covered List, </w:t>
      </w:r>
      <w:r>
        <w:rPr>
          <w:i/>
          <w:iCs/>
        </w:rPr>
        <w:t>see</w:t>
      </w:r>
      <w:r>
        <w:t xml:space="preserve"> </w:t>
      </w:r>
      <w:r w:rsidRPr="007E048F">
        <w:t xml:space="preserve">Federal Communications Commission, </w:t>
      </w:r>
      <w:r w:rsidRPr="007E048F">
        <w:rPr>
          <w:i/>
          <w:iCs/>
        </w:rPr>
        <w:t>List of Equipment and Services Covered By Section 2 of The Secure Networks Act</w:t>
      </w:r>
      <w:r w:rsidRPr="007E048F">
        <w:t xml:space="preserve">, </w:t>
      </w:r>
      <w:hyperlink r:id="rId1" w:tgtFrame="_blank" w:history="1">
        <w:r w:rsidRPr="007E048F">
          <w:rPr>
            <w:rStyle w:val="Hyperlink"/>
          </w:rPr>
          <w:t>https://www.fcc.gov/supplychain/coveredlist</w:t>
        </w:r>
      </w:hyperlink>
      <w:r w:rsidRPr="007E048F">
        <w:t xml:space="preserve"> </w:t>
      </w:r>
      <w:r w:rsidR="002A721A">
        <w:t>(FCC Covered List)</w:t>
      </w:r>
      <w:r w:rsidR="001C4600">
        <w:t>.</w:t>
      </w:r>
      <w:r w:rsidR="0000283B">
        <w:t xml:space="preserve">  The process by which the Commission would exercise this authority was </w:t>
      </w:r>
      <w:r w:rsidRPr="00773C59" w:rsidR="0000283B">
        <w:rPr>
          <w:szCs w:val="22"/>
        </w:rPr>
        <w:t xml:space="preserve">established in the </w:t>
      </w:r>
      <w:r w:rsidRPr="00773C59" w:rsidR="0000283B">
        <w:rPr>
          <w:i/>
          <w:iCs/>
          <w:szCs w:val="22"/>
        </w:rPr>
        <w:t>Equipment Authorization Security Second Report and Order</w:t>
      </w:r>
      <w:r w:rsidR="0000283B">
        <w:rPr>
          <w:szCs w:val="22"/>
        </w:rPr>
        <w:t xml:space="preserve">. </w:t>
      </w:r>
      <w:r w:rsidR="00F07525">
        <w:rPr>
          <w:szCs w:val="22"/>
        </w:rPr>
        <w:t xml:space="preserve"> </w:t>
      </w:r>
      <w:r w:rsidRPr="003F6EB4" w:rsidR="0000283B">
        <w:rPr>
          <w:i/>
          <w:iCs/>
        </w:rPr>
        <w:t>Protecting Against National Security Threats to the Communications Supply Chain through the Equipment Authorization Program</w:t>
      </w:r>
      <w:r w:rsidRPr="003F6EB4" w:rsidR="0000283B">
        <w:t xml:space="preserve">, Second Report </w:t>
      </w:r>
      <w:r w:rsidR="0000283B">
        <w:t xml:space="preserve">and Order </w:t>
      </w:r>
      <w:r w:rsidRPr="003F6EB4" w:rsidR="0000283B">
        <w:t xml:space="preserve">and Second Further Notice of Proposed Rulemaking, ET Docket No. </w:t>
      </w:r>
      <w:r w:rsidR="008F33D3">
        <w:t>21-</w:t>
      </w:r>
      <w:r w:rsidRPr="003F6EB4" w:rsidR="0000283B">
        <w:t xml:space="preserve">232, </w:t>
      </w:r>
      <w:r w:rsidR="00934019">
        <w:t xml:space="preserve">40 FCC </w:t>
      </w:r>
      <w:r w:rsidR="00934019">
        <w:t>Rcd</w:t>
      </w:r>
      <w:r w:rsidR="00934019">
        <w:t xml:space="preserve"> 8430</w:t>
      </w:r>
      <w:r w:rsidRPr="003F6EB4" w:rsidR="0000283B">
        <w:t>, paras. 40-50 (2025)</w:t>
      </w:r>
      <w:r w:rsidR="0000283B">
        <w:t xml:space="preserve"> (</w:t>
      </w:r>
      <w:r w:rsidR="0000283B">
        <w:rPr>
          <w:i/>
          <w:iCs/>
        </w:rPr>
        <w:t>EA Security 2d R&amp;O</w:t>
      </w:r>
      <w:r w:rsidR="0000283B">
        <w:t>)</w:t>
      </w:r>
      <w:r w:rsidR="007D72C0">
        <w:t xml:space="preserve">, </w:t>
      </w:r>
      <w:r w:rsidR="007D72C0">
        <w:rPr>
          <w:i/>
          <w:iCs/>
        </w:rPr>
        <w:t xml:space="preserve">pet. for review </w:t>
      </w:r>
      <w:r w:rsidR="002E2FC2">
        <w:rPr>
          <w:i/>
          <w:iCs/>
        </w:rPr>
        <w:t>pending</w:t>
      </w:r>
      <w:r w:rsidR="002E2FC2">
        <w:t xml:space="preserve">, </w:t>
      </w:r>
      <w:r w:rsidR="002E2FC2">
        <w:rPr>
          <w:i/>
          <w:iCs/>
        </w:rPr>
        <w:t xml:space="preserve">Hikvision </w:t>
      </w:r>
      <w:r w:rsidR="001923AB">
        <w:rPr>
          <w:i/>
          <w:iCs/>
        </w:rPr>
        <w:t>USA, Inc. v. FCC</w:t>
      </w:r>
      <w:r w:rsidR="001923AB">
        <w:t xml:space="preserve">, No. 25-1274 (D.C. Cir. filed </w:t>
      </w:r>
      <w:r w:rsidR="00A0662E">
        <w:t>Dec. 3, 2025</w:t>
      </w:r>
      <w:r w:rsidR="0000283B">
        <w:t>); 47 CFR § 2.939(e)</w:t>
      </w:r>
      <w:r w:rsidRPr="003F6EB4" w:rsidR="0000283B">
        <w:t xml:space="preserve">.  </w:t>
      </w:r>
    </w:p>
  </w:footnote>
  <w:footnote w:id="4">
    <w:p w:rsidR="00D82E95" w:rsidRPr="002E2CA2" w14:paraId="10B8D0A5" w14:textId="6F97A627">
      <w:pPr>
        <w:pStyle w:val="FootnoteText"/>
      </w:pPr>
      <w:r w:rsidRPr="007211A1">
        <w:rPr>
          <w:rStyle w:val="FootnoteReference"/>
          <w:sz w:val="20"/>
        </w:rPr>
        <w:footnoteRef/>
      </w:r>
      <w:r w:rsidRPr="002E2CA2">
        <w:t xml:space="preserve"> </w:t>
      </w:r>
      <w:r w:rsidRPr="002E2CA2" w:rsidR="00D10221">
        <w:t>47 U.S.C. § 1601(b)</w:t>
      </w:r>
      <w:r w:rsidRPr="002E2CA2" w:rsidR="00B4633D">
        <w:t>.</w:t>
      </w:r>
    </w:p>
  </w:footnote>
  <w:footnote w:id="5">
    <w:p w:rsidR="00C833E9" w14:paraId="51272DF3" w14:textId="27CE1B48">
      <w:pPr>
        <w:pStyle w:val="FootnoteText"/>
      </w:pPr>
      <w:r>
        <w:rPr>
          <w:rStyle w:val="FootnoteReference"/>
        </w:rPr>
        <w:footnoteRef/>
      </w:r>
      <w:r>
        <w:t xml:space="preserve"> </w:t>
      </w:r>
      <w:r w:rsidRPr="00612680" w:rsidR="00B4633D">
        <w:rPr>
          <w:i/>
          <w:iCs/>
        </w:rPr>
        <w:t>See</w:t>
      </w:r>
      <w:r w:rsidR="00B4633D">
        <w:t xml:space="preserve"> </w:t>
      </w:r>
      <w:r w:rsidRPr="007C0F32" w:rsidR="00B4633D">
        <w:rPr>
          <w:i/>
          <w:iCs/>
        </w:rPr>
        <w:t>Public Safety and Homeland Security Bureau Announces Addition of Uncrewed Aircraft Systems (UAS) and UAS Critical Components Produced Abroad, and Equipment and Services Listed in Section 1709 of the FY2025 NDAA, to FCC Covered List</w:t>
      </w:r>
      <w:r w:rsidRPr="007C0F32" w:rsidR="00B4633D">
        <w:t>, WC Docket 18-89, Public Notice, DA 25-1086 (Dec 22, 2025)</w:t>
      </w:r>
      <w:r w:rsidR="00B4633D">
        <w:t xml:space="preserve">; </w:t>
      </w:r>
      <w:r w:rsidRPr="007C0F32" w:rsidR="00B4633D">
        <w:rPr>
          <w:i/>
          <w:iCs/>
        </w:rPr>
        <w:t>FCC’s Public Safety and Homeland Security Bureau Announces Addition of Routers Produced in Foreign Countries to FCC Covered List</w:t>
      </w:r>
      <w:r w:rsidRPr="007C0F32" w:rsidR="00B4633D">
        <w:t>, WC Docket No. 18-89, Public Notice, DA 26-278 (Mar. 23, 2026)</w:t>
      </w:r>
      <w:r w:rsidR="00B4633D">
        <w:t>.</w:t>
      </w:r>
    </w:p>
  </w:footnote>
  <w:footnote w:id="6">
    <w:p w:rsidR="00FE78FE" w:rsidRPr="00B61F75" w:rsidP="00FE78FE" w14:paraId="566F640E" w14:textId="25DCDB1A">
      <w:pPr>
        <w:pStyle w:val="FootnoteText"/>
      </w:pPr>
      <w:r>
        <w:rPr>
          <w:rStyle w:val="FootnoteReference"/>
        </w:rPr>
        <w:footnoteRef/>
      </w:r>
      <w:r>
        <w:t xml:space="preserve"> </w:t>
      </w:r>
      <w:r>
        <w:rPr>
          <w:i/>
          <w:iCs/>
        </w:rPr>
        <w:t xml:space="preserve">See generally </w:t>
      </w:r>
      <w:r w:rsidRPr="003F6EB4" w:rsidR="00D32A1A">
        <w:rPr>
          <w:i/>
          <w:iCs/>
        </w:rPr>
        <w:t>Protecting Against National Security Threats to the Communications Supply Chain through the Equipment Authorization Program; Protecting Against National Security Threats to the Communications Supply Chain through the Competitive Bidding Program</w:t>
      </w:r>
      <w:r w:rsidRPr="003F6EB4" w:rsidR="00D32A1A">
        <w:t>,</w:t>
      </w:r>
      <w:r>
        <w:t xml:space="preserve"> </w:t>
      </w:r>
      <w:r w:rsidR="00DE7FF2">
        <w:t>Report and Order</w:t>
      </w:r>
      <w:r w:rsidR="00015A37">
        <w:t>, Order,</w:t>
      </w:r>
      <w:r w:rsidR="00DE7FF2">
        <w:t xml:space="preserve"> and FNPRM, </w:t>
      </w:r>
      <w:r>
        <w:t xml:space="preserve">37 FCC </w:t>
      </w:r>
      <w:r>
        <w:t>Rcd</w:t>
      </w:r>
      <w:r w:rsidR="00D32A1A">
        <w:t xml:space="preserve"> 13493,</w:t>
      </w:r>
      <w:r>
        <w:t xml:space="preserve"> </w:t>
      </w:r>
      <w:r w:rsidRPr="00200AD7">
        <w:t>13509-98</w:t>
      </w:r>
      <w:r>
        <w:t>, paras. 32-263</w:t>
      </w:r>
      <w:r w:rsidR="00D32A1A">
        <w:t xml:space="preserve"> (2022) (</w:t>
      </w:r>
      <w:r w:rsidR="00D32A1A">
        <w:rPr>
          <w:i/>
          <w:iCs/>
        </w:rPr>
        <w:t>EA Security R&amp;O and FNPRM</w:t>
      </w:r>
      <w:r w:rsidR="00D32A1A">
        <w:t>)</w:t>
      </w:r>
      <w:r>
        <w:t>.  The Commission explained that this proceeding builds upon the important ongoing efforts by the Commission, Congress, and the Executive Branch to take further action to protect the security of America’s critical communications networks and equipment supply chain</w:t>
      </w:r>
      <w:r w:rsidR="00A23620">
        <w:t>s</w:t>
      </w:r>
      <w:r>
        <w:t xml:space="preserve">.  </w:t>
      </w:r>
      <w:r>
        <w:rPr>
          <w:i/>
          <w:iCs/>
        </w:rPr>
        <w:t xml:space="preserve">Id. </w:t>
      </w:r>
      <w:r>
        <w:t xml:space="preserve">at 13494-95, para. 1; </w:t>
      </w:r>
      <w:r>
        <w:rPr>
          <w:i/>
          <w:iCs/>
        </w:rPr>
        <w:t xml:space="preserve">see also id. </w:t>
      </w:r>
      <w:r>
        <w:t>at 13497-505, 13507-08, paras. 5-23, 31.</w:t>
      </w:r>
      <w:r w:rsidRPr="00AA7629">
        <w:rPr>
          <w:snapToGrid w:val="0"/>
          <w:kern w:val="28"/>
        </w:rPr>
        <w:t xml:space="preserve">  </w:t>
      </w:r>
    </w:p>
  </w:footnote>
  <w:footnote w:id="7">
    <w:p w:rsidR="00FE78FE" w:rsidRPr="00B46FB8" w:rsidP="00FE78FE" w14:paraId="5D246BA8" w14:textId="77777777">
      <w:pPr>
        <w:pStyle w:val="FootnoteText"/>
        <w:rPr>
          <w:lang w:val="pt-BR"/>
        </w:rPr>
      </w:pPr>
      <w:r>
        <w:rPr>
          <w:rStyle w:val="FootnoteReference"/>
        </w:rPr>
        <w:footnoteRef/>
      </w:r>
      <w:r>
        <w:t xml:space="preserve"> </w:t>
      </w:r>
      <w:r>
        <w:rPr>
          <w:i/>
          <w:iCs/>
        </w:rPr>
        <w:t>Id.</w:t>
      </w:r>
      <w:r>
        <w:t xml:space="preserve"> at 13535, para. </w:t>
      </w:r>
      <w:r w:rsidRPr="00B46FB8">
        <w:rPr>
          <w:lang w:val="pt-BR"/>
        </w:rPr>
        <w:t xml:space="preserve">107.  </w:t>
      </w:r>
    </w:p>
  </w:footnote>
  <w:footnote w:id="8">
    <w:p w:rsidR="00FE78FE" w:rsidP="00FE78FE" w14:paraId="50B36955" w14:textId="1EA05347">
      <w:pPr>
        <w:pStyle w:val="FootnoteText"/>
      </w:pPr>
      <w:r>
        <w:rPr>
          <w:rStyle w:val="FootnoteReference"/>
        </w:rPr>
        <w:footnoteRef/>
      </w:r>
      <w:r w:rsidRPr="00B46FB8">
        <w:rPr>
          <w:lang w:val="pt-BR"/>
        </w:rPr>
        <w:t xml:space="preserve"> </w:t>
      </w:r>
      <w:r w:rsidRPr="00B46FB8" w:rsidR="00582D86">
        <w:rPr>
          <w:i/>
          <w:iCs/>
          <w:lang w:val="pt-BR"/>
        </w:rPr>
        <w:t>EA Security 2d R&amp;O</w:t>
      </w:r>
      <w:r w:rsidRPr="00B46FB8" w:rsidR="00582D86">
        <w:rPr>
          <w:lang w:val="pt-BR"/>
        </w:rPr>
        <w:t xml:space="preserve">, FCC 25-71, paras. </w:t>
      </w:r>
      <w:r w:rsidR="00582D86">
        <w:t xml:space="preserve">40-50; 47 CFR 2.939(e), 2.803, 2.1204.  </w:t>
      </w:r>
      <w:r>
        <w:t xml:space="preserve"> </w:t>
      </w:r>
    </w:p>
  </w:footnote>
  <w:footnote w:id="9">
    <w:p w:rsidR="006834BA" w:rsidRPr="00A742FE" w:rsidP="006834BA" w14:paraId="38B8E196" w14:textId="77777777">
      <w:pPr>
        <w:pStyle w:val="FootnoteText"/>
      </w:pPr>
      <w:r>
        <w:rPr>
          <w:rStyle w:val="FootnoteReference"/>
        </w:rPr>
        <w:footnoteRef/>
      </w:r>
      <w:r>
        <w:t xml:space="preserve"> </w:t>
      </w:r>
      <w:r>
        <w:rPr>
          <w:i/>
          <w:iCs/>
        </w:rPr>
        <w:t>Id.</w:t>
      </w:r>
      <w:r>
        <w:t xml:space="preserve"> at paras. 32, 40. </w:t>
      </w:r>
    </w:p>
  </w:footnote>
  <w:footnote w:id="10">
    <w:p w:rsidR="00FE78FE" w:rsidRPr="00EB22D8" w:rsidP="00FE78FE" w14:paraId="0DDCB760" w14:textId="68F6211C">
      <w:pPr>
        <w:pStyle w:val="FootnoteText"/>
      </w:pPr>
      <w:r w:rsidRPr="00EB22D8">
        <w:rPr>
          <w:rStyle w:val="FootnoteReference"/>
          <w:sz w:val="20"/>
        </w:rPr>
        <w:footnoteRef/>
      </w:r>
      <w:r w:rsidRPr="00EB22D8">
        <w:t xml:space="preserve"> </w:t>
      </w:r>
      <w:r w:rsidR="00360973">
        <w:rPr>
          <w:i/>
          <w:iCs/>
        </w:rPr>
        <w:t>Id.</w:t>
      </w:r>
      <w:r w:rsidR="00360973">
        <w:t xml:space="preserve"> at paras. 45, 48.  </w:t>
      </w:r>
    </w:p>
  </w:footnote>
  <w:footnote w:id="11">
    <w:p w:rsidR="002478C5" w14:paraId="202954B2" w14:textId="1790C3CF">
      <w:pPr>
        <w:pStyle w:val="FootnoteText"/>
      </w:pPr>
      <w:r>
        <w:rPr>
          <w:rStyle w:val="FootnoteReference"/>
        </w:rPr>
        <w:footnoteRef/>
      </w:r>
      <w:r>
        <w:t xml:space="preserve"> </w:t>
      </w:r>
      <w:r w:rsidRPr="000559A1">
        <w:rPr>
          <w:i/>
          <w:iCs/>
        </w:rPr>
        <w:t>Id</w:t>
      </w:r>
      <w:r>
        <w:t xml:space="preserve">. </w:t>
      </w:r>
    </w:p>
  </w:footnote>
  <w:footnote w:id="12">
    <w:p w:rsidR="00396D83" w:rsidP="00396D83" w14:paraId="5108E4F5" w14:textId="77777777">
      <w:pPr>
        <w:pStyle w:val="FootnoteText"/>
      </w:pPr>
      <w:r>
        <w:rPr>
          <w:rStyle w:val="FootnoteReference"/>
        </w:rPr>
        <w:footnoteRef/>
      </w:r>
      <w:r>
        <w:t xml:space="preserve"> </w:t>
      </w:r>
      <w:r w:rsidRPr="00612680">
        <w:rPr>
          <w:i/>
          <w:iCs/>
        </w:rPr>
        <w:t>Id</w:t>
      </w:r>
      <w:r>
        <w:t xml:space="preserve">. at para. 45. </w:t>
      </w:r>
    </w:p>
  </w:footnote>
  <w:footnote w:id="13">
    <w:p w:rsidR="00396D83" w:rsidP="00396D83" w14:paraId="5D446B23" w14:textId="77777777">
      <w:pPr>
        <w:pStyle w:val="FootnoteText"/>
      </w:pPr>
      <w:r>
        <w:rPr>
          <w:rStyle w:val="FootnoteReference"/>
        </w:rPr>
        <w:footnoteRef/>
      </w:r>
      <w:r w:rsidRPr="0058753A">
        <w:t xml:space="preserve"> </w:t>
      </w:r>
      <w:r w:rsidRPr="00612680">
        <w:rPr>
          <w:i/>
          <w:iCs/>
        </w:rPr>
        <w:t>Id</w:t>
      </w:r>
      <w:r>
        <w:t xml:space="preserve">.   </w:t>
      </w:r>
    </w:p>
  </w:footnote>
  <w:footnote w:id="14">
    <w:p w:rsidR="00396D83" w:rsidRPr="00564B36" w:rsidP="00396D83" w14:paraId="24CEF947" w14:textId="77777777">
      <w:pPr>
        <w:pStyle w:val="FootnoteText"/>
      </w:pPr>
      <w:r>
        <w:rPr>
          <w:rStyle w:val="FootnoteReference"/>
        </w:rPr>
        <w:footnoteRef/>
      </w:r>
      <w:r>
        <w:t xml:space="preserve"> </w:t>
      </w:r>
      <w:r>
        <w:rPr>
          <w:i/>
          <w:iCs/>
        </w:rPr>
        <w:t xml:space="preserve">Id. </w:t>
      </w:r>
      <w:r>
        <w:t>at para 47.</w:t>
      </w:r>
    </w:p>
  </w:footnote>
  <w:footnote w:id="15">
    <w:p w:rsidR="00021762" w14:paraId="14F19EEA" w14:textId="1ED9FD00">
      <w:pPr>
        <w:pStyle w:val="FootnoteText"/>
      </w:pPr>
      <w:r>
        <w:rPr>
          <w:rStyle w:val="FootnoteReference"/>
        </w:rPr>
        <w:footnoteRef/>
      </w:r>
      <w:r>
        <w:t xml:space="preserve"> </w:t>
      </w:r>
      <w:r w:rsidR="004E25C1">
        <w:rPr>
          <w:i/>
          <w:iCs/>
        </w:rPr>
        <w:t xml:space="preserve">Public Safety and Homeland Security Bureau and Office of Engineering and Technology </w:t>
      </w:r>
      <w:r w:rsidRPr="008923FA" w:rsidR="00C953BA">
        <w:rPr>
          <w:i/>
          <w:iCs/>
        </w:rPr>
        <w:t>Seek Comment on Prohibiting the Importation and Marketing of Previously Authorized Covered Communications Equipment Added to the Covered List in 2024 or Earlier</w:t>
      </w:r>
      <w:r w:rsidR="00C953BA">
        <w:t>, PS Docket No. 26-72, DA 26-294 (PSHSB/OET Mar. 27, 2026), 91 FR 17275 (Apr. 6, 2026) (</w:t>
      </w:r>
      <w:r w:rsidR="00C953BA">
        <w:rPr>
          <w:i/>
          <w:iCs/>
        </w:rPr>
        <w:t>March 27 Public Notice</w:t>
      </w:r>
      <w:r w:rsidR="00C953BA">
        <w:t xml:space="preserve">). </w:t>
      </w:r>
    </w:p>
  </w:footnote>
  <w:footnote w:id="16">
    <w:p w:rsidR="0048294C" w:rsidRPr="0048294C" w14:paraId="32E34882" w14:textId="5EC02695">
      <w:pPr>
        <w:pStyle w:val="FootnoteText"/>
      </w:pPr>
      <w:r>
        <w:rPr>
          <w:rStyle w:val="FootnoteReference"/>
        </w:rPr>
        <w:footnoteRef/>
      </w:r>
      <w:r>
        <w:t xml:space="preserve"> </w:t>
      </w:r>
      <w:r w:rsidR="00124C19">
        <w:rPr>
          <w:i/>
          <w:iCs/>
        </w:rPr>
        <w:t>March 27 Public Notice</w:t>
      </w:r>
      <w:r>
        <w:t xml:space="preserve"> at 4-5. </w:t>
      </w:r>
    </w:p>
  </w:footnote>
  <w:footnote w:id="17">
    <w:p w:rsidR="0048294C" w:rsidRPr="0048294C" w14:paraId="19B4B091" w14:textId="1A6D10DA">
      <w:pPr>
        <w:pStyle w:val="FootnoteText"/>
      </w:pPr>
      <w:r>
        <w:rPr>
          <w:rStyle w:val="FootnoteReference"/>
        </w:rPr>
        <w:footnoteRef/>
      </w:r>
      <w:r>
        <w:t xml:space="preserve"> </w:t>
      </w:r>
      <w:r>
        <w:rPr>
          <w:i/>
          <w:iCs/>
        </w:rPr>
        <w:t>Id</w:t>
      </w:r>
      <w:r>
        <w:t>.</w:t>
      </w:r>
      <w:r w:rsidR="00EB14E9">
        <w:t xml:space="preserve"> at 5. </w:t>
      </w:r>
    </w:p>
  </w:footnote>
  <w:footnote w:id="18">
    <w:p w:rsidR="003C120C" w:rsidRPr="00FC7767" w14:paraId="3EF53594" w14:textId="3691064D">
      <w:pPr>
        <w:pStyle w:val="FootnoteText"/>
      </w:pPr>
      <w:r w:rsidRPr="007211A1">
        <w:rPr>
          <w:rStyle w:val="FootnoteReference"/>
          <w:sz w:val="20"/>
        </w:rPr>
        <w:footnoteRef/>
      </w:r>
      <w:r w:rsidRPr="00F931A4">
        <w:t xml:space="preserve"> </w:t>
      </w:r>
      <w:r w:rsidRPr="00F931A4">
        <w:rPr>
          <w:i/>
        </w:rPr>
        <w:t>EA Security 2d R&amp;O</w:t>
      </w:r>
      <w:r w:rsidRPr="00F931A4">
        <w:t xml:space="preserve">, FCC 25-71, para. </w:t>
      </w:r>
      <w:r w:rsidRPr="00FC7767">
        <w:t>45</w:t>
      </w:r>
      <w:r w:rsidRPr="00FC7767" w:rsidR="00B95DEA">
        <w:t xml:space="preserve">; </w:t>
      </w:r>
      <w:r w:rsidRPr="00A02E71" w:rsidR="00B95DEA">
        <w:rPr>
          <w:i/>
          <w:iCs/>
        </w:rPr>
        <w:t>March 27 Public Notice</w:t>
      </w:r>
      <w:r w:rsidRPr="00FC7767" w:rsidR="00B95DEA">
        <w:t xml:space="preserve"> at 3. </w:t>
      </w:r>
    </w:p>
  </w:footnote>
  <w:footnote w:id="19">
    <w:p w:rsidR="00CC74EE" w:rsidRPr="00FC7767" w:rsidP="00CC74EE" w14:paraId="0896D90E" w14:textId="066A0C21">
      <w:pPr>
        <w:pStyle w:val="FootnoteText"/>
      </w:pPr>
      <w:r w:rsidRPr="007211A1">
        <w:rPr>
          <w:rStyle w:val="FootnoteReference"/>
          <w:sz w:val="20"/>
        </w:rPr>
        <w:footnoteRef/>
      </w:r>
      <w:r w:rsidRPr="00F931A4">
        <w:t xml:space="preserve"> </w:t>
      </w:r>
      <w:r w:rsidRPr="00F931A4">
        <w:rPr>
          <w:i/>
        </w:rPr>
        <w:t>EA Security 2d R&amp;O</w:t>
      </w:r>
      <w:r w:rsidRPr="00F931A4">
        <w:t xml:space="preserve">, FCC 25-71, para. </w:t>
      </w:r>
      <w:r w:rsidRPr="00FC7767">
        <w:t xml:space="preserve">45 (quoting </w:t>
      </w:r>
      <w:r w:rsidRPr="00FD487A">
        <w:rPr>
          <w:i/>
        </w:rPr>
        <w:t>Haig v. Agee</w:t>
      </w:r>
      <w:r w:rsidRPr="00FC7767">
        <w:t>, 453 U.S. 280, 307 (1981)).</w:t>
      </w:r>
    </w:p>
  </w:footnote>
  <w:footnote w:id="20">
    <w:p w:rsidR="005C4AF2" w14:paraId="3CA28BF2" w14:textId="38C767E5">
      <w:pPr>
        <w:pStyle w:val="FootnoteText"/>
      </w:pPr>
      <w:r w:rsidRPr="007211A1">
        <w:rPr>
          <w:rStyle w:val="FootnoteReference"/>
          <w:sz w:val="20"/>
        </w:rPr>
        <w:footnoteRef/>
      </w:r>
      <w:r w:rsidRPr="00FC7767">
        <w:rPr>
          <w:lang w:val="pt-BR"/>
        </w:rPr>
        <w:t xml:space="preserve"> </w:t>
      </w:r>
      <w:r w:rsidRPr="00FC7767">
        <w:rPr>
          <w:i/>
          <w:iCs/>
          <w:lang w:val="pt-BR"/>
        </w:rPr>
        <w:t>EA Security 2d R&amp;O</w:t>
      </w:r>
      <w:r w:rsidRPr="00FC7767">
        <w:rPr>
          <w:lang w:val="pt-BR"/>
        </w:rPr>
        <w:t xml:space="preserve">, para. </w:t>
      </w:r>
      <w:r w:rsidRPr="00FC7767">
        <w:t>45.</w:t>
      </w:r>
    </w:p>
  </w:footnote>
  <w:footnote w:id="21">
    <w:p w:rsidR="002E13DD" w:rsidP="002E13DD" w14:paraId="7CCCB19C" w14:textId="4D339838">
      <w:pPr>
        <w:pStyle w:val="FootnoteText"/>
      </w:pPr>
      <w:r>
        <w:rPr>
          <w:rStyle w:val="FootnoteReference"/>
        </w:rPr>
        <w:footnoteRef/>
      </w:r>
      <w:r>
        <w:t xml:space="preserve"> </w:t>
      </w:r>
      <w:r w:rsidRPr="00800436">
        <w:t>47 U.S.C. § 1601</w:t>
      </w:r>
      <w:r>
        <w:t>(c)(3)</w:t>
      </w:r>
      <w:r w:rsidR="00262C8A">
        <w:t xml:space="preserve">; </w:t>
      </w:r>
      <w:r w:rsidR="00262C8A">
        <w:rPr>
          <w:i/>
          <w:iCs/>
        </w:rPr>
        <w:t>s</w:t>
      </w:r>
      <w:r w:rsidRPr="00822F87" w:rsidR="00262C8A">
        <w:rPr>
          <w:i/>
          <w:iCs/>
        </w:rPr>
        <w:t>ee</w:t>
      </w:r>
      <w:r w:rsidR="00262C8A">
        <w:rPr>
          <w:i/>
          <w:iCs/>
        </w:rPr>
        <w:t xml:space="preserve"> also</w:t>
      </w:r>
      <w:r w:rsidRPr="00822F87" w:rsidR="00262C8A">
        <w:rPr>
          <w:i/>
          <w:iCs/>
        </w:rPr>
        <w:t xml:space="preserve"> </w:t>
      </w:r>
      <w:r w:rsidRPr="00DB2DD9" w:rsidR="00262C8A">
        <w:rPr>
          <w:i/>
          <w:iCs/>
        </w:rPr>
        <w:t xml:space="preserve">Protecting Against National Security Threats to the Communications Supply Chain Through FCC Programs, </w:t>
      </w:r>
      <w:r w:rsidRPr="00D5722F" w:rsidR="00262C8A">
        <w:t xml:space="preserve">WC Docket No. 18-89, Second Report and Order, 35 FCC </w:t>
      </w:r>
      <w:r w:rsidRPr="00D5722F" w:rsidR="00262C8A">
        <w:t>Rcd</w:t>
      </w:r>
      <w:r w:rsidRPr="00D5722F" w:rsidR="00262C8A">
        <w:t xml:space="preserve"> 14284, 14315-14316 (2020)</w:t>
      </w:r>
      <w:r w:rsidRPr="00DE7FF2" w:rsidR="00262C8A">
        <w:t>.</w:t>
      </w:r>
      <w:r w:rsidRPr="00F67C0A" w:rsidR="00262C8A">
        <w:t xml:space="preserve"> </w:t>
      </w:r>
    </w:p>
  </w:footnote>
  <w:footnote w:id="22">
    <w:p w:rsidR="002E13DD" w:rsidRPr="00FC672F" w:rsidP="002E13DD" w14:paraId="0463063B" w14:textId="5C9E1F70">
      <w:pPr>
        <w:pStyle w:val="FootnoteText"/>
        <w:rPr>
          <w:szCs w:val="22"/>
        </w:rPr>
      </w:pPr>
      <w:r>
        <w:rPr>
          <w:rStyle w:val="FootnoteReference"/>
        </w:rPr>
        <w:footnoteRef/>
      </w:r>
      <w:r>
        <w:t xml:space="preserve"> </w:t>
      </w:r>
      <w:r w:rsidRPr="00AF6CCE">
        <w:t>Department of Commerce, Final Determination, Case No. ICTS-2021-002, Kaspersky Lab, Inc., 89 Fed. Reg. 52434 (June 24, 2024), https://www.federalregister.gov/documents/2024/06/24/2024- 13532/final-determination-case-no-icts-2021-002-kaspersky-lab-inc</w:t>
      </w:r>
      <w:r>
        <w:t>.</w:t>
      </w:r>
      <w:r w:rsidR="00DA3AF0">
        <w:t xml:space="preserve">  </w:t>
      </w:r>
      <w:r w:rsidR="00667844">
        <w:t xml:space="preserve">This action was taken </w:t>
      </w:r>
      <w:r w:rsidR="00D80158">
        <w:t>pursuant to</w:t>
      </w:r>
      <w:r w:rsidR="00667844">
        <w:rPr>
          <w:szCs w:val="22"/>
        </w:rPr>
        <w:t xml:space="preserve"> Executive Order 13873, </w:t>
      </w:r>
      <w:r w:rsidRPr="00A84352" w:rsidR="00667844">
        <w:rPr>
          <w:i/>
          <w:iCs/>
          <w:szCs w:val="22"/>
        </w:rPr>
        <w:t>Securing the Information and Communications Technology and Services Supply Chain</w:t>
      </w:r>
      <w:r w:rsidRPr="00D15A27" w:rsidR="00ED2D2F">
        <w:rPr>
          <w:szCs w:val="22"/>
        </w:rPr>
        <w:t>.</w:t>
      </w:r>
      <w:r w:rsidR="00ED2D2F">
        <w:rPr>
          <w:szCs w:val="22"/>
        </w:rPr>
        <w:t xml:space="preserve">  </w:t>
      </w:r>
      <w:r w:rsidRPr="003139EA" w:rsidR="003139EA">
        <w:rPr>
          <w:i/>
          <w:iCs/>
          <w:szCs w:val="22"/>
        </w:rPr>
        <w:t xml:space="preserve">See </w:t>
      </w:r>
      <w:r w:rsidRPr="00A228AD" w:rsidR="003139EA">
        <w:rPr>
          <w:szCs w:val="22"/>
        </w:rPr>
        <w:t xml:space="preserve">Exec. Order No. 13873, 84 Fed. Reg. </w:t>
      </w:r>
      <w:r w:rsidRPr="00A84352" w:rsidR="003139EA">
        <w:rPr>
          <w:szCs w:val="22"/>
        </w:rPr>
        <w:t>11578</w:t>
      </w:r>
      <w:r w:rsidRPr="00A228AD" w:rsidR="003139EA">
        <w:rPr>
          <w:szCs w:val="22"/>
        </w:rPr>
        <w:t xml:space="preserve"> (May </w:t>
      </w:r>
      <w:r w:rsidRPr="00A84352" w:rsidR="003139EA">
        <w:rPr>
          <w:szCs w:val="22"/>
        </w:rPr>
        <w:t>15</w:t>
      </w:r>
      <w:r w:rsidRPr="00A228AD" w:rsidR="003139EA">
        <w:rPr>
          <w:szCs w:val="22"/>
        </w:rPr>
        <w:t>, 2019)</w:t>
      </w:r>
      <w:r w:rsidR="003139EA">
        <w:rPr>
          <w:szCs w:val="22"/>
        </w:rPr>
        <w:t xml:space="preserve">. </w:t>
      </w:r>
    </w:p>
  </w:footnote>
  <w:footnote w:id="23">
    <w:p w:rsidR="002D21F2" w:rsidRPr="00CF7A23" w:rsidP="002D21F2" w14:paraId="427866D1" w14:textId="77777777">
      <w:pPr>
        <w:pStyle w:val="FootnoteText"/>
      </w:pPr>
      <w:r w:rsidRPr="00CF7A23">
        <w:rPr>
          <w:rStyle w:val="FootnoteReference"/>
        </w:rPr>
        <w:footnoteRef/>
      </w:r>
      <w:r w:rsidRPr="00CF7A23">
        <w:t xml:space="preserve"> CTIA</w:t>
      </w:r>
      <w:r>
        <w:t xml:space="preserve"> </w:t>
      </w:r>
      <w:r w:rsidRPr="00CF7A23">
        <w:t>Comments</w:t>
      </w:r>
      <w:r>
        <w:t xml:space="preserve"> </w:t>
      </w:r>
      <w:r w:rsidRPr="00CF7A23">
        <w:t>at 4</w:t>
      </w:r>
      <w:r>
        <w:t xml:space="preserve">.  </w:t>
      </w:r>
    </w:p>
  </w:footnote>
  <w:footnote w:id="24">
    <w:p w:rsidR="00ED17CF" w:rsidRPr="00CF7A23" w:rsidP="00ED17CF" w14:paraId="3B5BCF70" w14:textId="77777777">
      <w:pPr>
        <w:pStyle w:val="FootnoteText"/>
      </w:pPr>
      <w:r w:rsidRPr="00CF7A23">
        <w:rPr>
          <w:rStyle w:val="FootnoteReference"/>
        </w:rPr>
        <w:footnoteRef/>
      </w:r>
      <w:r w:rsidRPr="00FD487A">
        <w:t xml:space="preserve"> </w:t>
      </w:r>
      <w:r w:rsidRPr="00FD487A">
        <w:rPr>
          <w:i/>
        </w:rPr>
        <w:t>EA Security 2d R&amp;O</w:t>
      </w:r>
      <w:r w:rsidRPr="00FD487A">
        <w:t xml:space="preserve">, para. </w:t>
      </w:r>
      <w:r w:rsidRPr="00CF7A23">
        <w:t>40.</w:t>
      </w:r>
    </w:p>
  </w:footnote>
  <w:footnote w:id="25">
    <w:p w:rsidR="00435FB0" w:rsidP="00435FB0" w14:paraId="30F11888" w14:textId="43689C12">
      <w:pPr>
        <w:pStyle w:val="FootnoteText"/>
      </w:pPr>
      <w:r>
        <w:rPr>
          <w:rStyle w:val="FootnoteReference"/>
        </w:rPr>
        <w:footnoteRef/>
      </w:r>
      <w:r>
        <w:t xml:space="preserve"> Foundation for </w:t>
      </w:r>
      <w:r w:rsidRPr="00CF7A23">
        <w:t>Defense of Democracies</w:t>
      </w:r>
      <w:r>
        <w:t xml:space="preserve"> Comments at 3</w:t>
      </w:r>
      <w:r w:rsidR="00055D9D">
        <w:t xml:space="preserve"> (FDD)</w:t>
      </w:r>
      <w:r>
        <w:t xml:space="preserve">.   </w:t>
      </w:r>
    </w:p>
  </w:footnote>
  <w:footnote w:id="26">
    <w:p w:rsidR="0026604D" w:rsidRPr="0026604D" w14:paraId="6A65D549" w14:textId="1EB50BCC">
      <w:pPr>
        <w:pStyle w:val="FootnoteText"/>
      </w:pPr>
      <w:r>
        <w:rPr>
          <w:rStyle w:val="FootnoteReference"/>
        </w:rPr>
        <w:footnoteRef/>
      </w:r>
      <w:r>
        <w:t xml:space="preserve"> </w:t>
      </w:r>
      <w:r>
        <w:rPr>
          <w:i/>
          <w:iCs/>
        </w:rPr>
        <w:t xml:space="preserve">See </w:t>
      </w:r>
      <w:r>
        <w:t xml:space="preserve">FDD Comments at </w:t>
      </w:r>
      <w:r w:rsidR="006D0EA0">
        <w:t>1-3; CTIA Comments at 4.</w:t>
      </w:r>
    </w:p>
  </w:footnote>
  <w:footnote w:id="27">
    <w:p w:rsidR="000A00A0" w:rsidRPr="00CF7A23" w:rsidP="000A00A0" w14:paraId="03184F49" w14:textId="2E2436DC">
      <w:pPr>
        <w:pStyle w:val="FootnoteText"/>
      </w:pPr>
      <w:r w:rsidRPr="00CF7A23">
        <w:rPr>
          <w:rStyle w:val="FootnoteReference"/>
        </w:rPr>
        <w:footnoteRef/>
      </w:r>
      <w:r w:rsidRPr="00CF7A23">
        <w:t xml:space="preserve"> FDD</w:t>
      </w:r>
      <w:r>
        <w:t xml:space="preserve"> </w:t>
      </w:r>
      <w:r w:rsidRPr="00CF7A23">
        <w:t xml:space="preserve">Comments at </w:t>
      </w:r>
      <w:r w:rsidR="00777971">
        <w:t>3</w:t>
      </w:r>
      <w:r w:rsidR="00A75DD2">
        <w:t xml:space="preserve">; </w:t>
      </w:r>
      <w:r w:rsidR="00A75DD2">
        <w:rPr>
          <w:i/>
          <w:iCs/>
        </w:rPr>
        <w:t xml:space="preserve">see also </w:t>
      </w:r>
      <w:r w:rsidR="00A75DD2">
        <w:t xml:space="preserve">USTelecom Comments at </w:t>
      </w:r>
      <w:r w:rsidR="00736164">
        <w:t>2</w:t>
      </w:r>
      <w:r w:rsidR="009E6438">
        <w:t xml:space="preserve"> (supporting “the Commission’s goal of preventing additional deployment of equipment that has been determined to pose national security risks”).</w:t>
      </w:r>
    </w:p>
  </w:footnote>
  <w:footnote w:id="28">
    <w:p w:rsidR="00C63193" w14:paraId="0B5E0F6F" w14:textId="35AD342C">
      <w:pPr>
        <w:pStyle w:val="FootnoteText"/>
      </w:pPr>
      <w:r>
        <w:rPr>
          <w:rStyle w:val="FootnoteReference"/>
        </w:rPr>
        <w:footnoteRef/>
      </w:r>
      <w:r>
        <w:t xml:space="preserve"> FDD Comments at 4</w:t>
      </w:r>
      <w:r w:rsidR="006B6636">
        <w:t>.</w:t>
      </w:r>
    </w:p>
  </w:footnote>
  <w:footnote w:id="29">
    <w:p w:rsidR="00154120" w14:paraId="235B0484" w14:textId="4108AAA0">
      <w:pPr>
        <w:pStyle w:val="FootnoteText"/>
      </w:pPr>
      <w:r>
        <w:rPr>
          <w:rStyle w:val="FootnoteReference"/>
        </w:rPr>
        <w:footnoteRef/>
      </w:r>
      <w:r>
        <w:t xml:space="preserve"> </w:t>
      </w:r>
      <w:r w:rsidRPr="00226AED" w:rsidR="00226AED">
        <w:rPr>
          <w:i/>
          <w:iCs/>
        </w:rPr>
        <w:t>See</w:t>
      </w:r>
      <w:r w:rsidR="00D56322">
        <w:rPr>
          <w:i/>
          <w:iCs/>
        </w:rPr>
        <w:t xml:space="preserve"> e.g.</w:t>
      </w:r>
      <w:r w:rsidRPr="006A661A" w:rsidR="00410631">
        <w:t>,</w:t>
      </w:r>
      <w:r w:rsidR="00226AED">
        <w:t xml:space="preserve"> </w:t>
      </w:r>
      <w:r w:rsidRPr="00226AED" w:rsidR="00A35BAE">
        <w:t>Michael</w:t>
      </w:r>
      <w:r w:rsidR="003E2D04">
        <w:t xml:space="preserve"> Edwards</w:t>
      </w:r>
      <w:r w:rsidR="00226AED">
        <w:t xml:space="preserve"> Comments</w:t>
      </w:r>
      <w:r w:rsidR="005B2A09">
        <w:t xml:space="preserve"> (filed on behalf of</w:t>
      </w:r>
      <w:r w:rsidR="00A35BAE">
        <w:t xml:space="preserve"> </w:t>
      </w:r>
      <w:r w:rsidRPr="00A35BAE" w:rsidR="00A35BAE">
        <w:t>Group One Northwest, Inc.</w:t>
      </w:r>
      <w:r w:rsidR="00A35BAE">
        <w:t>)</w:t>
      </w:r>
      <w:r w:rsidR="00B7666A">
        <w:t xml:space="preserve"> (there were a total of </w:t>
      </w:r>
      <w:r w:rsidR="00EE17F5">
        <w:t xml:space="preserve">22 </w:t>
      </w:r>
      <w:r w:rsidR="00256C46">
        <w:t>commenters who used</w:t>
      </w:r>
      <w:r w:rsidR="00736ED0">
        <w:t xml:space="preserve"> the same template which made similar arguments); </w:t>
      </w:r>
      <w:r w:rsidR="00421D88">
        <w:rPr>
          <w:i/>
          <w:iCs/>
        </w:rPr>
        <w:t>s</w:t>
      </w:r>
      <w:r w:rsidR="00B65F76">
        <w:rPr>
          <w:i/>
          <w:iCs/>
        </w:rPr>
        <w:t>ee also</w:t>
      </w:r>
      <w:r w:rsidR="00736ED0">
        <w:t xml:space="preserve"> </w:t>
      </w:r>
      <w:r w:rsidR="005A3237">
        <w:t>Shane Nevins Comments</w:t>
      </w:r>
      <w:r w:rsidR="00C71723">
        <w:t xml:space="preserve"> </w:t>
      </w:r>
      <w:r w:rsidR="00294EAC">
        <w:t xml:space="preserve">; </w:t>
      </w:r>
      <w:r w:rsidR="00C56CB3">
        <w:t>MAXSYSTEMS LA</w:t>
      </w:r>
      <w:r w:rsidR="00805CC0">
        <w:t xml:space="preserve"> </w:t>
      </w:r>
      <w:r w:rsidR="00977701">
        <w:t xml:space="preserve">Comments; </w:t>
      </w:r>
      <w:r w:rsidR="001E449D">
        <w:t xml:space="preserve">Accurate Home Audio Inc. </w:t>
      </w:r>
      <w:r w:rsidR="00863040">
        <w:t>Comments</w:t>
      </w:r>
      <w:r w:rsidR="001E449D">
        <w:t xml:space="preserve">; </w:t>
      </w:r>
      <w:r w:rsidRPr="004A0669" w:rsidR="004A0669">
        <w:t>Devlogic</w:t>
      </w:r>
      <w:r w:rsidRPr="004A0669" w:rsidR="004A0669">
        <w:t xml:space="preserve"> Technologies Inc</w:t>
      </w:r>
      <w:r w:rsidR="00863040">
        <w:t>. Comments</w:t>
      </w:r>
      <w:r w:rsidR="00AE1354">
        <w:t>;</w:t>
      </w:r>
      <w:r w:rsidR="00863040">
        <w:t xml:space="preserve"> Lowe Voltage Pro Comments</w:t>
      </w:r>
      <w:r w:rsidR="00A62FA5">
        <w:t>.</w:t>
      </w:r>
    </w:p>
  </w:footnote>
  <w:footnote w:id="30">
    <w:p w:rsidR="00EA1770" w14:paraId="56FB501E" w14:textId="0ECA8825">
      <w:pPr>
        <w:pStyle w:val="FootnoteText"/>
      </w:pPr>
      <w:r>
        <w:rPr>
          <w:rStyle w:val="FootnoteReference"/>
        </w:rPr>
        <w:footnoteRef/>
      </w:r>
      <w:r>
        <w:t xml:space="preserve"> </w:t>
      </w:r>
      <w:r w:rsidRPr="008061FE" w:rsidR="00AB2F94">
        <w:rPr>
          <w:i/>
          <w:iCs/>
        </w:rPr>
        <w:t>See, e.g.</w:t>
      </w:r>
      <w:r w:rsidRPr="008061FE" w:rsidR="00AB2F94">
        <w:t>, Russell Electric &amp; Security Services Comment</w:t>
      </w:r>
      <w:r w:rsidR="00F37B1F">
        <w:t>s</w:t>
      </w:r>
      <w:r w:rsidRPr="008061FE" w:rsidR="00AB2F94">
        <w:t xml:space="preserve"> (reporting $28,000 in current Hikvision inventory and stating that Hikvision</w:t>
      </w:r>
      <w:r w:rsidR="00AB2F94">
        <w:t xml:space="preserve"> accounts for 100% of its annual revenue); All Around Distributors Comment</w:t>
      </w:r>
      <w:r w:rsidR="00F37B1F">
        <w:t>s</w:t>
      </w:r>
      <w:r w:rsidR="00AB2F94">
        <w:t xml:space="preserve"> (reporting $200,000 in current Hikvision inventory and stating that Hikvision accounts for 20% of its annual revenue); Tony Loun Comment</w:t>
      </w:r>
      <w:r w:rsidR="00F37B1F">
        <w:t>s</w:t>
      </w:r>
      <w:r w:rsidR="00AB2F94">
        <w:t xml:space="preserve"> (reporting $500,000 in current Hikvision inventory and stating that Hikvision accounts for 30% of its annual revenue). </w:t>
      </w:r>
    </w:p>
  </w:footnote>
  <w:footnote w:id="31">
    <w:p w:rsidR="008F2CEB" w14:paraId="2C918A08" w14:textId="5B778277">
      <w:pPr>
        <w:pStyle w:val="FootnoteText"/>
      </w:pPr>
      <w:r>
        <w:rPr>
          <w:rStyle w:val="FootnoteReference"/>
        </w:rPr>
        <w:footnoteRef/>
      </w:r>
      <w:r>
        <w:t xml:space="preserve"> </w:t>
      </w:r>
      <w:r w:rsidR="008C3D5B">
        <w:rPr>
          <w:i/>
          <w:iCs/>
        </w:rPr>
        <w:t>See</w:t>
      </w:r>
      <w:r w:rsidRPr="007211A1" w:rsidR="008C3D5B">
        <w:rPr>
          <w:i/>
        </w:rPr>
        <w:t xml:space="preserve"> March 27 Public Notice</w:t>
      </w:r>
      <w:r w:rsidR="008C3D5B">
        <w:t xml:space="preserve"> at 4; </w:t>
      </w:r>
      <w:r w:rsidR="008C3D5B">
        <w:rPr>
          <w:i/>
          <w:iCs/>
        </w:rPr>
        <w:t>s</w:t>
      </w:r>
      <w:r w:rsidRPr="00641F70" w:rsidR="008C3D5B">
        <w:rPr>
          <w:i/>
          <w:iCs/>
        </w:rPr>
        <w:t>ee</w:t>
      </w:r>
      <w:r w:rsidR="008C3D5B">
        <w:rPr>
          <w:i/>
          <w:iCs/>
        </w:rPr>
        <w:t xml:space="preserve"> also EA Security 2d R&amp;O</w:t>
      </w:r>
      <w:r w:rsidR="008C3D5B">
        <w:t xml:space="preserve"> at para. 49.</w:t>
      </w:r>
      <w:r>
        <w:t xml:space="preserve"> </w:t>
      </w:r>
    </w:p>
  </w:footnote>
  <w:footnote w:id="32">
    <w:p w:rsidR="009C70CC" w14:paraId="369A352C" w14:textId="21E7C7B9">
      <w:pPr>
        <w:pStyle w:val="FootnoteText"/>
      </w:pPr>
      <w:r>
        <w:rPr>
          <w:rStyle w:val="FootnoteReference"/>
        </w:rPr>
        <w:footnoteRef/>
      </w:r>
      <w:r>
        <w:t xml:space="preserve"> CTIA Comments at 5</w:t>
      </w:r>
      <w:r w:rsidR="00EF7E9E">
        <w:t xml:space="preserve">; </w:t>
      </w:r>
      <w:r w:rsidR="00EF7E9E">
        <w:rPr>
          <w:i/>
          <w:iCs/>
        </w:rPr>
        <w:t xml:space="preserve">see also </w:t>
      </w:r>
      <w:r w:rsidR="00EF7E9E">
        <w:t>USTelecom Comments at 5 (the Commission should carefully consider the current state of telecommunications supply chains and the availability of trusted alternatives).</w:t>
      </w:r>
      <w:r>
        <w:t xml:space="preserve"> </w:t>
      </w:r>
    </w:p>
  </w:footnote>
  <w:footnote w:id="33">
    <w:p w:rsidR="00426D67" w:rsidRPr="00426D67" w14:paraId="1FFBE348" w14:textId="28866F97">
      <w:pPr>
        <w:pStyle w:val="FootnoteText"/>
      </w:pPr>
      <w:r>
        <w:rPr>
          <w:rStyle w:val="FootnoteReference"/>
        </w:rPr>
        <w:footnoteRef/>
      </w:r>
      <w:r>
        <w:t xml:space="preserve"> </w:t>
      </w:r>
      <w:r>
        <w:rPr>
          <w:i/>
          <w:iCs/>
        </w:rPr>
        <w:t xml:space="preserve">See </w:t>
      </w:r>
      <w:r>
        <w:t xml:space="preserve">Final Determination at </w:t>
      </w:r>
      <w:r w:rsidR="00157AB4">
        <w:t>52437.</w:t>
      </w:r>
    </w:p>
  </w:footnote>
  <w:footnote w:id="34">
    <w:p w:rsidR="00290041" w14:paraId="0B4F4B7F" w14:textId="0551B778">
      <w:pPr>
        <w:pStyle w:val="FootnoteText"/>
      </w:pPr>
      <w:r>
        <w:rPr>
          <w:rStyle w:val="FootnoteReference"/>
        </w:rPr>
        <w:footnoteRef/>
      </w:r>
      <w:r>
        <w:t xml:space="preserve"> </w:t>
      </w:r>
      <w:r w:rsidRPr="00754557">
        <w:rPr>
          <w:i/>
          <w:iCs/>
        </w:rPr>
        <w:t>See</w:t>
      </w:r>
      <w:r w:rsidRPr="00B20861">
        <w:t xml:space="preserve"> </w:t>
      </w:r>
      <w:r>
        <w:t xml:space="preserve">FCC </w:t>
      </w:r>
      <w:r w:rsidRPr="00B20861">
        <w:t>Covered List</w:t>
      </w:r>
      <w:r w:rsidR="00F4561C">
        <w:t>.</w:t>
      </w:r>
    </w:p>
  </w:footnote>
  <w:footnote w:id="35">
    <w:p w:rsidR="00A26740" w:rsidP="00A26740" w14:paraId="0E6ECF36" w14:textId="77777777">
      <w:pPr>
        <w:pStyle w:val="FootnoteText"/>
      </w:pPr>
      <w:r>
        <w:rPr>
          <w:rStyle w:val="FootnoteReference"/>
        </w:rPr>
        <w:footnoteRef/>
      </w:r>
      <w:r>
        <w:t xml:space="preserve"> </w:t>
      </w:r>
      <w:r w:rsidRPr="00754557">
        <w:rPr>
          <w:i/>
          <w:iCs/>
        </w:rPr>
        <w:t>See</w:t>
      </w:r>
      <w:r w:rsidRPr="00B20861">
        <w:t xml:space="preserve"> </w:t>
      </w:r>
      <w:r>
        <w:t xml:space="preserve">FCC </w:t>
      </w:r>
      <w:r w:rsidRPr="00B20861">
        <w:t>Covered List; 2019 NDAA</w:t>
      </w:r>
      <w:r>
        <w:t xml:space="preserve">, </w:t>
      </w:r>
      <w:r w:rsidRPr="00C5060D">
        <w:t>132 Stat. at 1918</w:t>
      </w:r>
      <w:r w:rsidRPr="00B20861">
        <w:t>.</w:t>
      </w:r>
    </w:p>
  </w:footnote>
  <w:footnote w:id="36">
    <w:p w:rsidR="00011CBF" w:rsidP="00011CBF" w14:paraId="7D2AFAA9" w14:textId="77777777">
      <w:pPr>
        <w:pStyle w:val="FootnoteText"/>
      </w:pPr>
      <w:r>
        <w:rPr>
          <w:rStyle w:val="FootnoteReference"/>
        </w:rPr>
        <w:footnoteRef/>
      </w:r>
      <w:r w:rsidRPr="00011CBF">
        <w:rPr>
          <w:lang w:val="pt-BR"/>
        </w:rPr>
        <w:t xml:space="preserve"> </w:t>
      </w:r>
      <w:r w:rsidRPr="00011CBF">
        <w:rPr>
          <w:i/>
          <w:iCs/>
          <w:lang w:val="pt-BR"/>
        </w:rPr>
        <w:t>EA Security R&amp;O</w:t>
      </w:r>
      <w:r w:rsidRPr="00011CBF">
        <w:rPr>
          <w:lang w:val="pt-BR"/>
        </w:rPr>
        <w:t xml:space="preserve">, para. </w:t>
      </w:r>
      <w:r w:rsidRPr="00176F6E">
        <w:t>42</w:t>
      </w:r>
      <w:r>
        <w:t>.</w:t>
      </w:r>
    </w:p>
  </w:footnote>
  <w:footnote w:id="37">
    <w:p w:rsidR="00011CBF" w:rsidP="00011CBF" w14:paraId="74DF334E" w14:textId="77777777">
      <w:pPr>
        <w:pStyle w:val="FootnoteText"/>
      </w:pPr>
      <w:r>
        <w:rPr>
          <w:rStyle w:val="FootnoteReference"/>
        </w:rPr>
        <w:footnoteRef/>
      </w:r>
      <w:r>
        <w:t xml:space="preserve"> </w:t>
      </w:r>
      <w:r w:rsidRPr="00754557">
        <w:rPr>
          <w:i/>
          <w:iCs/>
        </w:rPr>
        <w:t>See</w:t>
      </w:r>
      <w:r w:rsidRPr="00B20861">
        <w:t xml:space="preserve"> </w:t>
      </w:r>
      <w:r>
        <w:t xml:space="preserve">FCC </w:t>
      </w:r>
      <w:r w:rsidRPr="00B20861">
        <w:t>Covered List; 2019 NDAA</w:t>
      </w:r>
      <w:r>
        <w:t xml:space="preserve">, </w:t>
      </w:r>
      <w:r w:rsidRPr="00C5060D">
        <w:t>132 Stat. at 1918</w:t>
      </w:r>
      <w:r w:rsidRPr="00B20861">
        <w:t>.</w:t>
      </w:r>
    </w:p>
  </w:footnote>
  <w:footnote w:id="38">
    <w:p w:rsidR="00011CBF" w:rsidP="00011CBF" w14:paraId="31C038BD" w14:textId="77777777">
      <w:pPr>
        <w:pStyle w:val="FootnoteText"/>
      </w:pPr>
      <w:r>
        <w:rPr>
          <w:rStyle w:val="FootnoteReference"/>
        </w:rPr>
        <w:footnoteRef/>
      </w:r>
      <w:r>
        <w:t xml:space="preserve"> </w:t>
      </w:r>
      <w:r w:rsidRPr="00881997">
        <w:t xml:space="preserve">In the </w:t>
      </w:r>
      <w:r w:rsidRPr="00881997">
        <w:rPr>
          <w:i/>
        </w:rPr>
        <w:t>EA Security R&amp;O</w:t>
      </w:r>
      <w:r w:rsidRPr="00881997">
        <w:t xml:space="preserve">, the Commission provided that, consistent with the Secure Equipment Act and the Secure Networks Act, it would not approve any application for authorization of certain covered equipment that would allow the marketing and selling of such equipment to the extent such equipment is “used for the purpose of public safety, security of government facilities, physical security surveillance of critical infrastructure, and other national security purposes.” </w:t>
      </w:r>
      <w:r w:rsidRPr="00881997">
        <w:rPr>
          <w:i/>
          <w:iCs/>
        </w:rPr>
        <w:t>See EA Security R&amp;O and FNPRM</w:t>
      </w:r>
      <w:r w:rsidRPr="00881997">
        <w:t xml:space="preserve">, 37 FCC </w:t>
      </w:r>
      <w:r w:rsidRPr="00881997">
        <w:t>Rcd</w:t>
      </w:r>
      <w:r w:rsidRPr="00881997">
        <w:t xml:space="preserve"> at 13562, para. 176.  The Commission further required that, before the Commission would authorize such equipment, entities (and their subsidiaries and affiliates) producing such equipment must each seek and obtain Commission approval of its respective plan that will ensure that such equipment will not be marketed or sold for any of those purposes.  </w:t>
      </w:r>
      <w:r w:rsidRPr="00881997">
        <w:rPr>
          <w:i/>
          <w:iCs/>
        </w:rPr>
        <w:t xml:space="preserve">Id. </w:t>
      </w:r>
      <w:r w:rsidRPr="00881997">
        <w:t xml:space="preserve">at 13564, para. 180.  The Commission further provided guidance on the meaning of “for the purpose of public safety, security of government facilities, physical security surveillance of critical infrastructure, and other national security purposes.”  </w:t>
      </w:r>
      <w:r w:rsidRPr="00881997">
        <w:rPr>
          <w:i/>
          <w:iCs/>
        </w:rPr>
        <w:t xml:space="preserve">Id. </w:t>
      </w:r>
      <w:r w:rsidRPr="00881997">
        <w:t xml:space="preserve">at 13576-78, paras. 208-14.  </w:t>
      </w:r>
    </w:p>
  </w:footnote>
  <w:footnote w:id="39">
    <w:p w:rsidR="00011CBF" w:rsidRPr="008E3F4B" w:rsidP="00011CBF" w14:paraId="364D78D0" w14:textId="77777777">
      <w:pPr>
        <w:pStyle w:val="FootnoteText"/>
      </w:pPr>
      <w:r>
        <w:rPr>
          <w:rStyle w:val="FootnoteReference"/>
        </w:rPr>
        <w:footnoteRef/>
      </w:r>
      <w:r>
        <w:t xml:space="preserve"> </w:t>
      </w:r>
      <w:r>
        <w:rPr>
          <w:i/>
          <w:iCs/>
        </w:rPr>
        <w:t>Hikvision USA, Inc. v. FCC</w:t>
      </w:r>
      <w:r>
        <w:t xml:space="preserve">, 97 F.4th 938, 950 (D.C. Cir. 2024). </w:t>
      </w:r>
    </w:p>
  </w:footnote>
  <w:footnote w:id="40">
    <w:p w:rsidR="00011CBF" w:rsidP="00011CBF" w14:paraId="55208859" w14:textId="77777777">
      <w:pPr>
        <w:pStyle w:val="FootnoteText"/>
      </w:pPr>
      <w:r>
        <w:rPr>
          <w:rStyle w:val="FootnoteReference"/>
        </w:rPr>
        <w:footnoteRef/>
      </w:r>
      <w:r w:rsidRPr="004458F8">
        <w:rPr>
          <w:lang w:val="pt-BR"/>
        </w:rPr>
        <w:t xml:space="preserve"> </w:t>
      </w:r>
      <w:r w:rsidRPr="004458F8">
        <w:rPr>
          <w:i/>
          <w:iCs/>
          <w:lang w:val="pt-BR"/>
        </w:rPr>
        <w:t>EA Security 2d R&amp;O</w:t>
      </w:r>
      <w:r w:rsidRPr="004458F8">
        <w:rPr>
          <w:lang w:val="pt-BR"/>
        </w:rPr>
        <w:t xml:space="preserve">, para. </w:t>
      </w:r>
      <w:r w:rsidRPr="00881997">
        <w:t>73.</w:t>
      </w:r>
    </w:p>
  </w:footnote>
  <w:footnote w:id="41">
    <w:p w:rsidR="00E54EED" w:rsidRPr="00B20861" w14:paraId="18D88C8F" w14:textId="321C6CB1">
      <w:pPr>
        <w:pStyle w:val="FootnoteText"/>
      </w:pPr>
      <w:r w:rsidRPr="00754557">
        <w:rPr>
          <w:rStyle w:val="FootnoteReference"/>
          <w:sz w:val="20"/>
        </w:rPr>
        <w:footnoteRef/>
      </w:r>
      <w:r w:rsidRPr="00B20861">
        <w:t xml:space="preserve"> </w:t>
      </w:r>
      <w:r w:rsidRPr="00754557">
        <w:rPr>
          <w:i/>
          <w:iCs/>
        </w:rPr>
        <w:t>See</w:t>
      </w:r>
      <w:r w:rsidRPr="00B20861">
        <w:t xml:space="preserve"> </w:t>
      </w:r>
      <w:r w:rsidR="005E60D8">
        <w:t xml:space="preserve">FCC </w:t>
      </w:r>
      <w:r w:rsidRPr="00B20861">
        <w:t xml:space="preserve">Covered List; </w:t>
      </w:r>
      <w:r w:rsidRPr="00BB55CB" w:rsidR="00BB55CB">
        <w:t xml:space="preserve">John S. McCain National Defense Authorization Act for Fiscal Year 2019, Pub. L. 115-232, 132 Stat. 1636 at 1918 (2018) </w:t>
      </w:r>
      <w:r w:rsidR="00BB55CB">
        <w:t>(</w:t>
      </w:r>
      <w:r w:rsidRPr="00B20861">
        <w:t>2019 NDAA</w:t>
      </w:r>
      <w:r w:rsidR="00BB55CB">
        <w:t>)</w:t>
      </w:r>
      <w:r w:rsidRPr="00B20861">
        <w:t>.</w:t>
      </w:r>
    </w:p>
  </w:footnote>
  <w:footnote w:id="42">
    <w:p w:rsidR="003F542C" w:rsidP="003F542C" w14:paraId="32C25F55" w14:textId="77777777">
      <w:pPr>
        <w:pStyle w:val="FootnoteText"/>
      </w:pPr>
      <w:r>
        <w:rPr>
          <w:rStyle w:val="FootnoteReference"/>
        </w:rPr>
        <w:footnoteRef/>
      </w:r>
      <w:r>
        <w:t xml:space="preserve"> </w:t>
      </w:r>
      <w:r w:rsidRPr="00150572">
        <w:rPr>
          <w:i/>
          <w:iCs/>
        </w:rPr>
        <w:t>See</w:t>
      </w:r>
      <w:r>
        <w:t xml:space="preserve"> Hytera (HCC) Comments at 7-8; </w:t>
      </w:r>
      <w:r w:rsidRPr="00B223A6">
        <w:t>Hikvision Comments at 22-23</w:t>
      </w:r>
      <w:r>
        <w:t>.</w:t>
      </w:r>
    </w:p>
  </w:footnote>
  <w:footnote w:id="43">
    <w:p w:rsidR="00354C40" w14:paraId="51E9D933" w14:textId="48D050A4">
      <w:pPr>
        <w:pStyle w:val="FootnoteText"/>
      </w:pPr>
      <w:r>
        <w:rPr>
          <w:rStyle w:val="FootnoteReference"/>
        </w:rPr>
        <w:footnoteRef/>
      </w:r>
      <w:r>
        <w:t xml:space="preserve"> </w:t>
      </w:r>
      <w:r>
        <w:rPr>
          <w:i/>
          <w:iCs/>
        </w:rPr>
        <w:t>See</w:t>
      </w:r>
      <w:r>
        <w:rPr>
          <w:i/>
        </w:rPr>
        <w:t xml:space="preserve"> </w:t>
      </w:r>
      <w:r w:rsidRPr="00612680">
        <w:t>Secure Equipment Act of 2021, Pub. L. No. 117-55, 135 Stat. 423 (2021) (codified at 47 U.S.C. § 1601 (Statutory</w:t>
      </w:r>
      <w:r>
        <w:t xml:space="preserve"> </w:t>
      </w:r>
      <w:r w:rsidRPr="00612680">
        <w:t>Notes and Related Subsidiaries) (Secure Equipment Act)</w:t>
      </w:r>
      <w:r>
        <w:t xml:space="preserve">; Secure Networks Act.  </w:t>
      </w:r>
    </w:p>
  </w:footnote>
  <w:footnote w:id="44">
    <w:p w:rsidR="002F2574" w:rsidRPr="00940722" w:rsidP="00940722" w14:paraId="749EDD71" w14:textId="0B6B1582">
      <w:pPr>
        <w:pStyle w:val="FootnoteText"/>
      </w:pPr>
      <w:r>
        <w:rPr>
          <w:rStyle w:val="FootnoteReference"/>
        </w:rPr>
        <w:footnoteRef/>
      </w:r>
      <w:r>
        <w:t xml:space="preserve"> </w:t>
      </w:r>
      <w:r w:rsidR="00187A96">
        <w:t xml:space="preserve">“[T]his </w:t>
      </w:r>
      <w:r w:rsidR="00940722">
        <w:t xml:space="preserve">includes services provided by State or local government entities, or services by non-governmental agencies authorized by a governmental entity if their primary mission is the provision of services, that protect the safety of life, health, and property, including but not limited to police, fire, and emergency medical services.”  </w:t>
      </w:r>
      <w:r w:rsidR="00940722">
        <w:rPr>
          <w:i/>
          <w:iCs/>
        </w:rPr>
        <w:t>EA Security 2d R&amp;O</w:t>
      </w:r>
      <w:r w:rsidR="00940722">
        <w:t xml:space="preserve">, para. 210. </w:t>
      </w:r>
    </w:p>
  </w:footnote>
  <w:footnote w:id="45">
    <w:p w:rsidR="00940722" w:rsidRPr="006257A6" w:rsidP="00B13A6F" w14:paraId="242568D2" w14:textId="58439B7D">
      <w:pPr>
        <w:pStyle w:val="FootnoteText"/>
      </w:pPr>
      <w:r>
        <w:rPr>
          <w:rStyle w:val="FootnoteReference"/>
        </w:rPr>
        <w:footnoteRef/>
      </w:r>
      <w:r>
        <w:t xml:space="preserve"> </w:t>
      </w:r>
      <w:r w:rsidR="00AA58C5">
        <w:t xml:space="preserve">As we noted in the </w:t>
      </w:r>
      <w:r w:rsidR="00AA58C5">
        <w:rPr>
          <w:i/>
          <w:iCs/>
        </w:rPr>
        <w:t>EA Security 2d R&amp;O</w:t>
      </w:r>
      <w:r w:rsidR="00AA58C5">
        <w:t xml:space="preserve">, we </w:t>
      </w:r>
      <w:r w:rsidR="006257A6">
        <w:t xml:space="preserve">follow </w:t>
      </w:r>
      <w:r w:rsidR="00B13A6F">
        <w:t>the Cybersecurity and Infrastructure Security Agency’s (CISA)</w:t>
      </w:r>
      <w:r w:rsidR="006257A6">
        <w:t xml:space="preserve"> description of the “government facilities sector.”  </w:t>
      </w:r>
      <w:r w:rsidR="006257A6">
        <w:rPr>
          <w:i/>
          <w:iCs/>
        </w:rPr>
        <w:t>See EA Security 2d R&amp;O</w:t>
      </w:r>
      <w:r w:rsidR="006257A6">
        <w:t>, para. 211</w:t>
      </w:r>
      <w:r w:rsidR="00B13A6F">
        <w:t xml:space="preserve"> (“According to CISA, the government facilities sector includes ‘a wide variety of buildings, located in the United States and overseas, that are owned or leased by federal, state, local, and tribal governments.’  In addition to facilities that are open to the public, CISA notes that others ‘are not open to the public [and] contain highly sensitive information, materials, processes, and equipment,’ and that these facilities include and are not limited to ‘general-use office buildings and special-use military installations, embassies, courthouses, national laboratories, and structures that may house critical equipment, systems, networks, and functions.’  CISA also notes that ‘[</w:t>
      </w:r>
      <w:r w:rsidR="00B13A6F">
        <w:t>i</w:t>
      </w:r>
      <w:r w:rsidR="00B13A6F">
        <w:t>]n addition to physical structures, the sector includes cyber elements that contribute to the protection of sector assets (e.g., access control systems and closed circuit television systems) as well as individuals who perform essential functions or possess tactical, operational, or strategic knowledge.</w:t>
      </w:r>
      <w:r w:rsidR="00825885">
        <w:t>’</w:t>
      </w:r>
      <w:r w:rsidR="00B13A6F">
        <w:t xml:space="preserve"> We believe that this description provides ample guidance for purposes of what constitutes </w:t>
      </w:r>
      <w:r w:rsidR="00825885">
        <w:t>‘</w:t>
      </w:r>
      <w:r w:rsidR="00B13A6F">
        <w:t>government facilities</w:t>
      </w:r>
      <w:r w:rsidR="00825885">
        <w:t xml:space="preserve">’ </w:t>
      </w:r>
      <w:r w:rsidR="00B13A6F">
        <w:t>for implementation of the prohibition that we adopt today.</w:t>
      </w:r>
      <w:r w:rsidR="00825885">
        <w:t xml:space="preserve">”). </w:t>
      </w:r>
    </w:p>
  </w:footnote>
  <w:footnote w:id="46">
    <w:p w:rsidR="00547132" w:rsidRPr="00547132" w:rsidP="00535A21" w14:paraId="327A5BB3" w14:textId="37107DD8">
      <w:pPr>
        <w:pStyle w:val="FootnoteText"/>
      </w:pPr>
      <w:r>
        <w:rPr>
          <w:rStyle w:val="FootnoteReference"/>
        </w:rPr>
        <w:footnoteRef/>
      </w:r>
      <w:r w:rsidR="00535A21">
        <w:t xml:space="preserve"> “[W]e </w:t>
      </w:r>
      <w:r w:rsidRPr="00535A21" w:rsidR="00535A21">
        <w:t>interpret this term broadly</w:t>
      </w:r>
      <w:r w:rsidR="00535A21">
        <w:t xml:space="preserve"> </w:t>
      </w:r>
      <w:r w:rsidRPr="00535A21" w:rsidR="00535A21">
        <w:t>as encompassing a variety of high-profile assets involving government, commercial, and military assets.</w:t>
      </w:r>
      <w:r w:rsidR="00535A21">
        <w:t xml:space="preserve"> </w:t>
      </w:r>
      <w:r w:rsidRPr="00535A21" w:rsidR="00535A21">
        <w:t>In this connection, we note that section 709(6) of the Intelligence Authorization Act for Fiscal Year 2001,</w:t>
      </w:r>
      <w:r w:rsidR="00535A21">
        <w:t xml:space="preserve"> </w:t>
      </w:r>
      <w:r w:rsidRPr="00535A21" w:rsidR="00535A21">
        <w:t xml:space="preserve">provides that </w:t>
      </w:r>
      <w:r w:rsidR="00535A21">
        <w:t>‘</w:t>
      </w:r>
      <w:r w:rsidRPr="00535A21" w:rsidR="00535A21">
        <w:t>national security’ means the national defense or foreign relations of the United States.</w:t>
      </w:r>
      <w:r w:rsidR="00535A21">
        <w:t xml:space="preserve">’  </w:t>
      </w:r>
      <w:r w:rsidRPr="00535A21" w:rsidR="00535A21">
        <w:t>Accordingly, we will rely on this definition for guidance.</w:t>
      </w:r>
      <w:r w:rsidR="00535A21">
        <w:t xml:space="preserve">”  </w:t>
      </w:r>
      <w:r w:rsidRPr="00F931A4" w:rsidR="00535A21">
        <w:rPr>
          <w:i/>
          <w:iCs/>
        </w:rPr>
        <w:t>EA Security 2d R&amp;O</w:t>
      </w:r>
      <w:r w:rsidRPr="00F931A4" w:rsidR="00535A21">
        <w:t xml:space="preserve">, para. </w:t>
      </w:r>
      <w:r w:rsidR="00535A21">
        <w:t>213</w:t>
      </w:r>
    </w:p>
  </w:footnote>
  <w:footnote w:id="47">
    <w:p w:rsidR="00F75985" w14:paraId="50038F8A" w14:textId="106BDB11">
      <w:pPr>
        <w:pStyle w:val="FootnoteText"/>
      </w:pPr>
      <w:r>
        <w:rPr>
          <w:rStyle w:val="FootnoteReference"/>
        </w:rPr>
        <w:footnoteRef/>
      </w:r>
      <w:r>
        <w:t xml:space="preserve"> </w:t>
      </w:r>
      <w:r w:rsidR="00FF3D56">
        <w:t xml:space="preserve">Hikvision Comments at </w:t>
      </w:r>
      <w:r w:rsidR="002C3868">
        <w:t>1-12.</w:t>
      </w:r>
    </w:p>
  </w:footnote>
  <w:footnote w:id="48">
    <w:p w:rsidR="00C20EAB" w:rsidRPr="00014428" w:rsidP="00C20EAB" w14:paraId="0637256E" w14:textId="414FA118">
      <w:pPr>
        <w:pStyle w:val="FootnoteText"/>
      </w:pPr>
      <w:r>
        <w:rPr>
          <w:rStyle w:val="FootnoteReference"/>
        </w:rPr>
        <w:footnoteRef/>
      </w:r>
      <w:r w:rsidRPr="007211A1">
        <w:t xml:space="preserve"> </w:t>
      </w:r>
      <w:r w:rsidR="00940A49">
        <w:rPr>
          <w:i/>
          <w:iCs/>
        </w:rPr>
        <w:t>E.g.</w:t>
      </w:r>
      <w:r w:rsidR="00940A49">
        <w:t>,</w:t>
      </w:r>
      <w:r>
        <w:rPr>
          <w:i/>
        </w:rPr>
        <w:t xml:space="preserve"> </w:t>
      </w:r>
      <w:r w:rsidRPr="007C33DA">
        <w:rPr>
          <w:i/>
          <w:iCs/>
        </w:rPr>
        <w:t>EA Security 2d R&amp;O</w:t>
      </w:r>
      <w:r w:rsidRPr="007C33DA" w:rsidR="00340708">
        <w:t xml:space="preserve">, paras. </w:t>
      </w:r>
      <w:r w:rsidR="000C108F">
        <w:t xml:space="preserve">33 &amp; n.123, </w:t>
      </w:r>
      <w:r w:rsidRPr="007C33DA" w:rsidR="009A37F4">
        <w:t>41-42</w:t>
      </w:r>
      <w:r w:rsidR="000C108F">
        <w:t xml:space="preserve"> &amp; n.178</w:t>
      </w:r>
      <w:r>
        <w:t xml:space="preserve">; </w:t>
      </w:r>
      <w:r>
        <w:rPr>
          <w:i/>
          <w:iCs/>
        </w:rPr>
        <w:t>EA Security R&amp;O</w:t>
      </w:r>
      <w:r w:rsidR="005F1326">
        <w:rPr>
          <w:i/>
          <w:iCs/>
        </w:rPr>
        <w:t xml:space="preserve"> and FNPRM</w:t>
      </w:r>
      <w:r>
        <w:t xml:space="preserve">, paras. </w:t>
      </w:r>
      <w:r w:rsidR="00421E8B">
        <w:t>3</w:t>
      </w:r>
      <w:r w:rsidR="00A33A1C">
        <w:t>2</w:t>
      </w:r>
      <w:r w:rsidR="00D07902">
        <w:t>-43</w:t>
      </w:r>
      <w:r w:rsidR="005D0D6F">
        <w:t>,</w:t>
      </w:r>
      <w:r w:rsidR="00451D40">
        <w:t xml:space="preserve"> 107</w:t>
      </w:r>
      <w:r w:rsidR="005D0D6F">
        <w:t>, 114-118</w:t>
      </w:r>
      <w:r w:rsidR="00340708">
        <w:t xml:space="preserve">; </w:t>
      </w:r>
      <w:r w:rsidR="00340708">
        <w:rPr>
          <w:i/>
          <w:iCs/>
        </w:rPr>
        <w:t>Pro</w:t>
      </w:r>
      <w:r w:rsidRPr="003F6EB4" w:rsidR="00340708">
        <w:rPr>
          <w:i/>
          <w:iCs/>
        </w:rPr>
        <w:t>tecting Against National Security Threats to the Communications Supply Chain through the Equipment Authorization Program</w:t>
      </w:r>
      <w:r w:rsidRPr="003F6EB4" w:rsidR="00340708">
        <w:t>, Notice of Proposed Rulemaking</w:t>
      </w:r>
      <w:r w:rsidR="00CA4CB5">
        <w:t xml:space="preserve"> and Notice of Inquiry</w:t>
      </w:r>
      <w:r w:rsidRPr="003F6EB4" w:rsidR="00340708">
        <w:t>, ET Docket No.</w:t>
      </w:r>
      <w:r w:rsidR="00FD6650">
        <w:t xml:space="preserve"> 21-</w:t>
      </w:r>
      <w:r w:rsidRPr="003F6EB4" w:rsidR="00340708">
        <w:t xml:space="preserve">232, </w:t>
      </w:r>
      <w:r w:rsidR="00FD6650">
        <w:t>36</w:t>
      </w:r>
      <w:r w:rsidR="00340708">
        <w:t xml:space="preserve"> FCC </w:t>
      </w:r>
      <w:r w:rsidR="00340708">
        <w:t>Rcd</w:t>
      </w:r>
      <w:r w:rsidR="00340708">
        <w:t xml:space="preserve"> </w:t>
      </w:r>
      <w:r w:rsidR="00FD6650">
        <w:t>10578</w:t>
      </w:r>
      <w:r w:rsidRPr="003F6EB4" w:rsidR="00340708">
        <w:t xml:space="preserve">, paras. </w:t>
      </w:r>
      <w:r w:rsidR="00B003F8">
        <w:t>65-69</w:t>
      </w:r>
      <w:r w:rsidRPr="003F6EB4" w:rsidR="00340708">
        <w:t xml:space="preserve"> (202</w:t>
      </w:r>
      <w:r w:rsidR="00340708">
        <w:t>1</w:t>
      </w:r>
      <w:r w:rsidRPr="003F6EB4" w:rsidR="00340708">
        <w:t>)</w:t>
      </w:r>
      <w:r w:rsidR="00340708">
        <w:t xml:space="preserve"> (</w:t>
      </w:r>
      <w:r w:rsidR="00340708">
        <w:rPr>
          <w:i/>
          <w:iCs/>
        </w:rPr>
        <w:t>EA Security NPRM</w:t>
      </w:r>
      <w:r w:rsidR="00340708">
        <w:t>)</w:t>
      </w:r>
      <w:r w:rsidR="0070467F">
        <w:t xml:space="preserve">; </w:t>
      </w:r>
      <w:r w:rsidR="0070467F">
        <w:rPr>
          <w:i/>
          <w:iCs/>
        </w:rPr>
        <w:t>see also</w:t>
      </w:r>
      <w:r w:rsidR="0070467F">
        <w:t xml:space="preserve"> </w:t>
      </w:r>
      <w:r w:rsidR="00301045">
        <w:t>Brief for Respondents</w:t>
      </w:r>
      <w:r w:rsidR="004F0A25">
        <w:t xml:space="preserve"> at</w:t>
      </w:r>
      <w:r w:rsidR="00393D4F">
        <w:t xml:space="preserve"> 31-51</w:t>
      </w:r>
      <w:r w:rsidR="00301045">
        <w:t xml:space="preserve">, </w:t>
      </w:r>
      <w:r w:rsidR="00301045">
        <w:rPr>
          <w:i/>
          <w:iCs/>
        </w:rPr>
        <w:t>Hikvision USA, Inc. v. FCC</w:t>
      </w:r>
      <w:r w:rsidR="00301045">
        <w:t>, No. 25-1274</w:t>
      </w:r>
      <w:r w:rsidR="004F0A25">
        <w:t xml:space="preserve"> (D.C. Cir.)</w:t>
      </w:r>
      <w:r w:rsidRPr="007C33DA">
        <w:t>.</w:t>
      </w:r>
    </w:p>
  </w:footnote>
  <w:footnote w:id="49">
    <w:p w:rsidR="00BE2BCC" w14:paraId="1A9B52FB" w14:textId="6A6955E4">
      <w:pPr>
        <w:pStyle w:val="FootnoteText"/>
      </w:pPr>
      <w:r>
        <w:rPr>
          <w:rStyle w:val="FootnoteReference"/>
        </w:rPr>
        <w:footnoteRef/>
      </w:r>
      <w:r>
        <w:t xml:space="preserve"> Hikvision Comments at </w:t>
      </w:r>
      <w:r w:rsidR="00D915B0">
        <w:t>24.</w:t>
      </w:r>
    </w:p>
  </w:footnote>
  <w:footnote w:id="50">
    <w:p w:rsidR="003D18D1" w:rsidRPr="00EA724D" w:rsidP="003D18D1" w14:paraId="29C7C55C" w14:textId="1295F7FF">
      <w:pPr>
        <w:pStyle w:val="FootnoteText"/>
      </w:pPr>
      <w:r>
        <w:rPr>
          <w:rStyle w:val="FootnoteReference"/>
        </w:rPr>
        <w:footnoteRef/>
      </w:r>
      <w:r>
        <w:t xml:space="preserve"> </w:t>
      </w:r>
      <w:r>
        <w:rPr>
          <w:i/>
          <w:iCs/>
        </w:rPr>
        <w:t>See EA Security</w:t>
      </w:r>
      <w:r w:rsidR="009C0959">
        <w:rPr>
          <w:i/>
          <w:iCs/>
        </w:rPr>
        <w:t xml:space="preserve"> </w:t>
      </w:r>
      <w:r w:rsidRPr="009C0959" w:rsidR="009C0959">
        <w:rPr>
          <w:i/>
          <w:iCs/>
        </w:rPr>
        <w:t>2d R&amp;O</w:t>
      </w:r>
      <w:r>
        <w:t>, para. 45.</w:t>
      </w:r>
    </w:p>
  </w:footnote>
  <w:footnote w:id="51">
    <w:p w:rsidR="003D18D1" w:rsidRPr="00F75929" w:rsidP="003D18D1" w14:paraId="6FEB2C3E" w14:textId="77777777">
      <w:pPr>
        <w:pStyle w:val="FootnoteText"/>
      </w:pPr>
      <w:r>
        <w:rPr>
          <w:rStyle w:val="FootnoteReference"/>
        </w:rPr>
        <w:footnoteRef/>
      </w:r>
      <w:r>
        <w:t xml:space="preserve"> </w:t>
      </w:r>
      <w:r>
        <w:rPr>
          <w:i/>
          <w:iCs/>
        </w:rPr>
        <w:t xml:space="preserve">See </w:t>
      </w:r>
      <w:hyperlink r:id="rId1" w:history="1">
        <w:r w:rsidRPr="00C00B63">
          <w:rPr>
            <w:rStyle w:val="Hyperlink"/>
          </w:rPr>
          <w:t>https://www.fcc.gov/supplychain/coveredlist</w:t>
        </w:r>
      </w:hyperlink>
      <w:r w:rsidRPr="00F75929">
        <w:t>.</w:t>
      </w:r>
      <w:r>
        <w:t xml:space="preserve"> </w:t>
      </w:r>
    </w:p>
  </w:footnote>
  <w:footnote w:id="52">
    <w:p w:rsidR="00563AD8" w:rsidP="00563AD8" w14:paraId="753ABFD4" w14:textId="58FC3DAA">
      <w:pPr>
        <w:pStyle w:val="FootnoteText"/>
      </w:pPr>
      <w:r>
        <w:rPr>
          <w:rStyle w:val="FootnoteReference"/>
        </w:rPr>
        <w:footnoteRef/>
      </w:r>
      <w:r>
        <w:t xml:space="preserve"> </w:t>
      </w:r>
      <w:r>
        <w:rPr>
          <w:i/>
          <w:iCs/>
        </w:rPr>
        <w:t xml:space="preserve">See </w:t>
      </w:r>
      <w:r w:rsidRPr="00B6531E">
        <w:t>Hytera-US, Inc. Comments at 6 (Hytera</w:t>
      </w:r>
      <w:r>
        <w:t>-US Comments</w:t>
      </w:r>
      <w:r w:rsidRPr="00B6531E">
        <w:t>)</w:t>
      </w:r>
      <w:r>
        <w:t xml:space="preserve">; HCC Comments at 6-7. </w:t>
      </w:r>
    </w:p>
  </w:footnote>
  <w:footnote w:id="53">
    <w:p w:rsidR="00563AD8" w:rsidP="00563AD8" w14:paraId="69DE14CF" w14:textId="36C32F68">
      <w:pPr>
        <w:pStyle w:val="FootnoteText"/>
      </w:pPr>
      <w:r>
        <w:rPr>
          <w:rStyle w:val="FootnoteReference"/>
        </w:rPr>
        <w:footnoteRef/>
      </w:r>
      <w:r>
        <w:t xml:space="preserve"> </w:t>
      </w:r>
      <w:r>
        <w:rPr>
          <w:i/>
          <w:iCs/>
        </w:rPr>
        <w:t xml:space="preserve">See </w:t>
      </w:r>
      <w:r w:rsidRPr="00B6531E">
        <w:t>Hytera-US, Inc. Comments at 6</w:t>
      </w:r>
      <w:r w:rsidR="00116786">
        <w:t>.</w:t>
      </w:r>
    </w:p>
  </w:footnote>
  <w:footnote w:id="54">
    <w:p w:rsidR="00563AD8" w:rsidRPr="00D82AB4" w:rsidP="00563AD8" w14:paraId="07D13F84" w14:textId="2F25D56F">
      <w:pPr>
        <w:pStyle w:val="FootnoteText"/>
      </w:pPr>
      <w:r>
        <w:rPr>
          <w:rStyle w:val="FootnoteReference"/>
        </w:rPr>
        <w:footnoteRef/>
      </w:r>
      <w:r>
        <w:t xml:space="preserve"> </w:t>
      </w:r>
      <w:r>
        <w:rPr>
          <w:i/>
          <w:iCs/>
        </w:rPr>
        <w:t xml:space="preserve">See </w:t>
      </w:r>
      <w:r>
        <w:t>Hytera-US Comments at 5-6; HCC Comments at 6-7</w:t>
      </w:r>
      <w:r w:rsidR="00116786">
        <w:t>.</w:t>
      </w:r>
      <w:r>
        <w:t xml:space="preserve"> </w:t>
      </w:r>
    </w:p>
  </w:footnote>
  <w:footnote w:id="55">
    <w:p w:rsidR="00187A47" w:rsidRPr="001246CA" w:rsidP="00187A47" w14:paraId="736C75DF" w14:textId="77777777">
      <w:pPr>
        <w:pStyle w:val="FootnoteText"/>
      </w:pPr>
      <w:r>
        <w:rPr>
          <w:rStyle w:val="FootnoteReference"/>
        </w:rPr>
        <w:footnoteRef/>
      </w:r>
      <w:r>
        <w:t xml:space="preserve"> </w:t>
      </w:r>
      <w:r>
        <w:rPr>
          <w:i/>
          <w:iCs/>
        </w:rPr>
        <w:t xml:space="preserve">See </w:t>
      </w:r>
      <w:r>
        <w:t xml:space="preserve">HCC Comments at 11. </w:t>
      </w:r>
    </w:p>
  </w:footnote>
  <w:footnote w:id="56">
    <w:p w:rsidR="00532160" w:rsidRPr="00000E2C" w14:paraId="02F1BEF6" w14:textId="0155315C">
      <w:pPr>
        <w:pStyle w:val="FootnoteText"/>
      </w:pPr>
      <w:r>
        <w:rPr>
          <w:rStyle w:val="FootnoteReference"/>
        </w:rPr>
        <w:footnoteRef/>
      </w:r>
      <w:r w:rsidRPr="007C33DA">
        <w:t xml:space="preserve"> </w:t>
      </w:r>
      <w:r w:rsidRPr="007C33DA">
        <w:rPr>
          <w:i/>
        </w:rPr>
        <w:t xml:space="preserve">EA Security </w:t>
      </w:r>
      <w:r w:rsidRPr="007C33DA" w:rsidR="00000E2C">
        <w:rPr>
          <w:i/>
        </w:rPr>
        <w:t>2d R&amp;O</w:t>
      </w:r>
      <w:r w:rsidRPr="007C33DA" w:rsidR="00000E2C">
        <w:t xml:space="preserve">, </w:t>
      </w:r>
      <w:r w:rsidRPr="007C33DA" w:rsidR="0056051D">
        <w:t xml:space="preserve">para. </w:t>
      </w:r>
      <w:r w:rsidR="00AC2FFE">
        <w:t>40.</w:t>
      </w:r>
    </w:p>
  </w:footnote>
  <w:footnote w:id="57">
    <w:p w:rsidR="00DF54B4" w:rsidRPr="00DF54B4" w14:paraId="1208631B" w14:textId="2BA60301">
      <w:pPr>
        <w:pStyle w:val="FootnoteText"/>
      </w:pPr>
      <w:r>
        <w:rPr>
          <w:rStyle w:val="FootnoteReference"/>
        </w:rPr>
        <w:footnoteRef/>
      </w:r>
      <w:r>
        <w:t xml:space="preserve"> </w:t>
      </w:r>
      <w:r w:rsidRPr="00AA65CF">
        <w:rPr>
          <w:i/>
          <w:iCs/>
        </w:rPr>
        <w:t>Se</w:t>
      </w:r>
      <w:r>
        <w:rPr>
          <w:i/>
          <w:iCs/>
        </w:rPr>
        <w:t xml:space="preserve">e </w:t>
      </w:r>
      <w:r>
        <w:t>NCTA Comments at 2</w:t>
      </w:r>
      <w:r w:rsidR="001B3FFA">
        <w:t>; USTelecom at 2.</w:t>
      </w:r>
    </w:p>
  </w:footnote>
  <w:footnote w:id="58">
    <w:p w:rsidR="00442ED7" w14:paraId="27AABDD1" w14:textId="0C950197">
      <w:pPr>
        <w:pStyle w:val="FootnoteText"/>
      </w:pPr>
      <w:r>
        <w:rPr>
          <w:rStyle w:val="FootnoteReference"/>
        </w:rPr>
        <w:footnoteRef/>
      </w:r>
      <w:r w:rsidR="00B00E8B">
        <w:t xml:space="preserve"> 47 </w:t>
      </w:r>
      <w:r w:rsidR="007427A0">
        <w:t>U.S.C.</w:t>
      </w:r>
      <w:r w:rsidR="00B00E8B">
        <w:t xml:space="preserve"> </w:t>
      </w:r>
      <w:r w:rsidRPr="00867C1E" w:rsidR="00B00E8B">
        <w:t xml:space="preserve">§ </w:t>
      </w:r>
      <w:r w:rsidR="00B00E8B">
        <w:t>302a(c);</w:t>
      </w:r>
      <w:r>
        <w:t xml:space="preserve"> 47 CFR </w:t>
      </w:r>
      <w:r w:rsidRPr="00867C1E" w:rsidR="00867C1E">
        <w:t>§ 2.80</w:t>
      </w:r>
      <w:r w:rsidR="00E64976">
        <w:t>7</w:t>
      </w:r>
      <w:r w:rsidR="00AD646C">
        <w:t>(d) (</w:t>
      </w:r>
      <w:r w:rsidR="009E70B6">
        <w:t>clarifying that marketing prohibitions do not apply to devices marketed “</w:t>
      </w:r>
      <w:r w:rsidRPr="00CA4274" w:rsidR="00CA4274">
        <w:t>for use by the Government of the United States or any agency thereof</w:t>
      </w:r>
      <w:r w:rsidR="00FB2722">
        <w:t>”)</w:t>
      </w:r>
      <w:r w:rsidR="00B00E8B">
        <w:t xml:space="preserve">. </w:t>
      </w:r>
    </w:p>
  </w:footnote>
  <w:footnote w:id="59">
    <w:p w:rsidR="007846CD" w14:paraId="629331E6" w14:textId="5896E77D">
      <w:pPr>
        <w:pStyle w:val="FootnoteText"/>
      </w:pPr>
      <w:r>
        <w:rPr>
          <w:rStyle w:val="FootnoteReference"/>
        </w:rPr>
        <w:footnoteRef/>
      </w:r>
      <w:r>
        <w:t xml:space="preserve"> 47 CFR </w:t>
      </w:r>
      <w:r w:rsidRPr="00867C1E">
        <w:t>§</w:t>
      </w:r>
      <w:r>
        <w:t xml:space="preserve"> 2.1204(a)(3)-(11).</w:t>
      </w:r>
    </w:p>
  </w:footnote>
  <w:footnote w:id="60">
    <w:p w:rsidR="009D0B0C" w14:paraId="30874B8A" w14:textId="36D9571A">
      <w:pPr>
        <w:pStyle w:val="FootnoteText"/>
      </w:pPr>
      <w:r>
        <w:rPr>
          <w:rStyle w:val="FootnoteReference"/>
        </w:rPr>
        <w:footnoteRef/>
      </w:r>
      <w:r>
        <w:t xml:space="preserve"> CTIA Comments at 5. </w:t>
      </w:r>
    </w:p>
  </w:footnote>
  <w:footnote w:id="61">
    <w:p w:rsidR="007A2B59" w14:paraId="7883928A" w14:textId="024689F1">
      <w:pPr>
        <w:pStyle w:val="FootnoteText"/>
      </w:pPr>
      <w:r>
        <w:rPr>
          <w:rStyle w:val="FootnoteReference"/>
        </w:rPr>
        <w:footnoteRef/>
      </w:r>
      <w:r>
        <w:t xml:space="preserve"> CTIA Comments at 5. </w:t>
      </w:r>
    </w:p>
  </w:footnote>
  <w:footnote w:id="62">
    <w:p w:rsidR="00BD6DD6" w:rsidRPr="007658AF" w:rsidP="009458DF" w14:paraId="5AB0F6A8" w14:textId="0BF6911C">
      <w:pPr>
        <w:pStyle w:val="FootnoteText"/>
      </w:pPr>
      <w:r>
        <w:rPr>
          <w:rStyle w:val="FootnoteReference"/>
        </w:rPr>
        <w:footnoteRef/>
      </w:r>
      <w:r>
        <w:t xml:space="preserve"> </w:t>
      </w:r>
      <w:r>
        <w:rPr>
          <w:i/>
          <w:iCs/>
        </w:rPr>
        <w:t xml:space="preserve">See </w:t>
      </w:r>
      <w:r w:rsidRPr="00A02E71" w:rsidR="007E233F">
        <w:rPr>
          <w:i/>
          <w:iCs/>
        </w:rPr>
        <w:t>March 27</w:t>
      </w:r>
      <w:r w:rsidRPr="00A02E71" w:rsidR="007658AF">
        <w:rPr>
          <w:i/>
          <w:iCs/>
        </w:rPr>
        <w:t xml:space="preserve"> P</w:t>
      </w:r>
      <w:r w:rsidRPr="00A02E71" w:rsidR="007E233F">
        <w:rPr>
          <w:i/>
          <w:iCs/>
        </w:rPr>
        <w:t xml:space="preserve">ublic </w:t>
      </w:r>
      <w:r w:rsidRPr="00A02E71" w:rsidR="007658AF">
        <w:rPr>
          <w:i/>
          <w:iCs/>
        </w:rPr>
        <w:t>N</w:t>
      </w:r>
      <w:r w:rsidRPr="00A02E71" w:rsidR="007E233F">
        <w:rPr>
          <w:i/>
          <w:iCs/>
        </w:rPr>
        <w:t>otice</w:t>
      </w:r>
      <w:r w:rsidR="007658AF">
        <w:t xml:space="preserve"> at 4 (inviting “commenters to provide data that we should consider in our analysis”);  </w:t>
      </w:r>
      <w:r w:rsidR="007658AF">
        <w:rPr>
          <w:i/>
          <w:iCs/>
        </w:rPr>
        <w:t>EA Security 2d R&amp;O</w:t>
      </w:r>
      <w:r w:rsidR="007658AF">
        <w:t xml:space="preserve"> at </w:t>
      </w:r>
      <w:r w:rsidR="002A722B">
        <w:t xml:space="preserve">para. 49 (allowing us to consider </w:t>
      </w:r>
      <w:r w:rsidR="009458DF">
        <w:t xml:space="preserve">“the quantity of devices that have already been imported into the U.S. </w:t>
      </w:r>
      <w:r w:rsidRPr="009458DF" w:rsidR="009458DF">
        <w:t>are available for or being held for</w:t>
      </w:r>
      <w:r w:rsidR="009458DF">
        <w:t xml:space="preserve"> </w:t>
      </w:r>
      <w:r w:rsidRPr="009458DF" w:rsidR="009458DF">
        <w:t xml:space="preserve">marketing or sale, new or recently updated device models that are </w:t>
      </w:r>
      <w:r w:rsidRPr="009458DF" w:rsidR="009458DF">
        <w:rPr>
          <w:i/>
          <w:iCs/>
        </w:rPr>
        <w:t>en</w:t>
      </w:r>
      <w:r w:rsidRPr="009458DF" w:rsidR="009458DF">
        <w:rPr>
          <w:i/>
          <w:iCs/>
        </w:rPr>
        <w:t xml:space="preserve"> </w:t>
      </w:r>
      <w:r w:rsidRPr="009458DF" w:rsidR="009458DF">
        <w:t>route to the U.S. or pending</w:t>
      </w:r>
      <w:r w:rsidR="009458DF">
        <w:t xml:space="preserve"> </w:t>
      </w:r>
      <w:r w:rsidRPr="009458DF" w:rsidR="009458DF">
        <w:t>shipment, and devices that are subject to executed distribution, marketing, or sales agreements but have</w:t>
      </w:r>
      <w:r w:rsidR="009458DF">
        <w:t xml:space="preserve"> </w:t>
      </w:r>
      <w:r w:rsidRPr="009458DF" w:rsidR="009458DF">
        <w:t>not yet entered the supply chain although they are contemplated for such</w:t>
      </w:r>
      <w:r w:rsidR="009458DF">
        <w:t>,”</w:t>
      </w:r>
      <w:r w:rsidR="002A722B">
        <w:t xml:space="preserve"> </w:t>
      </w:r>
      <w:r w:rsidR="009458DF">
        <w:t xml:space="preserve">in </w:t>
      </w:r>
      <w:r w:rsidR="002A722B">
        <w:t>determining whether to adopt an extended implementation timeline</w:t>
      </w:r>
      <w:r w:rsidR="009458DF">
        <w:t xml:space="preserve">).  </w:t>
      </w:r>
    </w:p>
  </w:footnote>
  <w:footnote w:id="63">
    <w:p w:rsidR="005622B9" w14:paraId="11069A14" w14:textId="71EE7FD6">
      <w:pPr>
        <w:pStyle w:val="FootnoteText"/>
      </w:pPr>
      <w:r>
        <w:rPr>
          <w:rStyle w:val="FootnoteReference"/>
        </w:rPr>
        <w:footnoteRef/>
      </w:r>
      <w:r>
        <w:t xml:space="preserve"> </w:t>
      </w:r>
      <w:r w:rsidRPr="00AA65CF">
        <w:rPr>
          <w:i/>
          <w:iCs/>
        </w:rPr>
        <w:t>See</w:t>
      </w:r>
      <w:r>
        <w:t xml:space="preserve"> NCTA Comments at </w:t>
      </w:r>
      <w:r w:rsidR="00E5298D">
        <w:t>5-6</w:t>
      </w:r>
      <w:r>
        <w:t xml:space="preserve">; USTelecom Comments at 3. </w:t>
      </w:r>
    </w:p>
  </w:footnote>
  <w:footnote w:id="64">
    <w:p w:rsidR="00644E4D" w:rsidP="00644E4D" w14:paraId="25B02573" w14:textId="77777777">
      <w:pPr>
        <w:pStyle w:val="FootnoteText"/>
      </w:pPr>
      <w:r>
        <w:rPr>
          <w:rStyle w:val="FootnoteReference"/>
        </w:rPr>
        <w:footnoteRef/>
      </w:r>
      <w:r>
        <w:t xml:space="preserve"> HCC Comments at 9-10. </w:t>
      </w:r>
    </w:p>
  </w:footnote>
  <w:footnote w:id="65">
    <w:p w:rsidR="001D428B" w:rsidRPr="001D428B" w14:paraId="36FC1C5F" w14:textId="0C8B0DA5">
      <w:pPr>
        <w:pStyle w:val="FootnoteText"/>
      </w:pPr>
      <w:r>
        <w:rPr>
          <w:rStyle w:val="FootnoteReference"/>
        </w:rPr>
        <w:footnoteRef/>
      </w:r>
      <w:r>
        <w:t xml:space="preserve"> </w:t>
      </w:r>
      <w:r>
        <w:rPr>
          <w:i/>
          <w:iCs/>
        </w:rPr>
        <w:t xml:space="preserve">See </w:t>
      </w:r>
      <w:r>
        <w:t xml:space="preserve">CTIA Comments at </w:t>
      </w:r>
      <w:r w:rsidR="008502B1">
        <w:t>2-3</w:t>
      </w:r>
      <w:r w:rsidR="00252345">
        <w:t>, 6</w:t>
      </w:r>
      <w:r w:rsidR="00AC1F0D">
        <w:t>-11</w:t>
      </w:r>
      <w:r w:rsidR="00535409">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44351ABA" w14:textId="199C6F17">
    <w:pPr>
      <w:tabs>
        <w:tab w:val="center" w:pos="4680"/>
        <w:tab w:val="right" w:pos="9360"/>
      </w:tabs>
    </w:pPr>
    <w:r>
      <w:rPr>
        <w:b/>
      </w:rPr>
      <w:tab/>
      <w:t>Federal Communications Commission</w:t>
    </w:r>
    <w:r>
      <w:rPr>
        <w:b/>
      </w:rPr>
      <w:tab/>
    </w:r>
    <w:r w:rsidR="00F35108">
      <w:rPr>
        <w:b/>
      </w:rPr>
      <w:t xml:space="preserve">DA </w:t>
    </w:r>
    <w:r w:rsidR="004768A3">
      <w:rPr>
        <w:b/>
      </w:rPr>
      <w:t>26</w:t>
    </w:r>
    <w:r>
      <w:rPr>
        <w:b/>
      </w:rPr>
      <w:t>-</w:t>
    </w:r>
    <w:r w:rsidR="004B285B">
      <w:rPr>
        <w:b/>
      </w:rPr>
      <w:t>635</w:t>
    </w:r>
  </w:p>
  <w:p w:rsidR="00BA3BA8" w14:paraId="444F3261" w14:textId="314640BE">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2"/>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2"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A3BA8" w14:paraId="2D4C97CB"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5C82840C" w14:textId="1A25C504">
    <w:pPr>
      <w:pStyle w:val="Header"/>
    </w:pPr>
    <w:r>
      <w:rPr>
        <w:noProof/>
      </w:rPr>
      <w:drawing>
        <wp:inline distT="0" distB="0" distL="0" distR="0">
          <wp:extent cx="5953125" cy="14287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953125" cy="14287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092C039B"/>
    <w:multiLevelType w:val="hybridMultilevel"/>
    <w:tmpl w:val="EC92346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0C65425E"/>
    <w:multiLevelType w:val="hybridMultilevel"/>
    <w:tmpl w:val="A6220D1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0DA22151"/>
    <w:multiLevelType w:val="hybridMultilevel"/>
    <w:tmpl w:val="B8228B1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0E586CB9"/>
    <w:multiLevelType w:val="hybridMultilevel"/>
    <w:tmpl w:val="D7B27648"/>
    <w:lvl w:ilvl="0">
      <w:start w:val="0"/>
      <w:numFmt w:val="bullet"/>
      <w:lvlText w:val="-"/>
      <w:lvlJc w:val="left"/>
      <w:pPr>
        <w:ind w:left="1080" w:hanging="360"/>
      </w:pPr>
      <w:rPr>
        <w:rFonts w:ascii="Times New Roman" w:eastAsia="Times New Roman" w:hAnsi="Times New Roman" w:cs="Times New Roman" w:hint="default"/>
      </w:rPr>
    </w:lvl>
    <w:lvl w:ilvl="1">
      <w:start w:val="1"/>
      <w:numFmt w:val="bullet"/>
      <w:lvlText w:val="o"/>
      <w:lvlJc w:val="left"/>
      <w:pPr>
        <w:ind w:left="1800" w:hanging="360"/>
      </w:pPr>
      <w:rPr>
        <w:rFonts w:ascii="Courier New" w:hAnsi="Courier New" w:cs="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5">
    <w:nsid w:val="23AA74F5"/>
    <w:multiLevelType w:val="hybridMultilevel"/>
    <w:tmpl w:val="D78C952E"/>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7">
    <w:nsid w:val="248246F3"/>
    <w:multiLevelType w:val="singleLevel"/>
    <w:tmpl w:val="B1F45678"/>
    <w:lvl w:ilvl="0">
      <w:start w:val="1"/>
      <w:numFmt w:val="decimal"/>
      <w:lvlText w:val="%1."/>
      <w:lvlJc w:val="left"/>
      <w:pPr>
        <w:tabs>
          <w:tab w:val="num" w:pos="1080"/>
        </w:tabs>
        <w:ind w:left="0" w:firstLine="720"/>
      </w:pPr>
    </w:lvl>
  </w:abstractNum>
  <w:abstractNum w:abstractNumId="8">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9">
    <w:nsid w:val="37CC3AA6"/>
    <w:multiLevelType w:val="hybridMultilevel"/>
    <w:tmpl w:val="20DA9F2E"/>
    <w:lvl w:ilvl="0">
      <w:start w:val="0"/>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0">
    <w:nsid w:val="3FA1377B"/>
    <w:multiLevelType w:val="hybridMultilevel"/>
    <w:tmpl w:val="9516D702"/>
    <w:lvl w:ilvl="0">
      <w:start w:val="0"/>
      <w:numFmt w:val="bullet"/>
      <w:lvlText w:val="-"/>
      <w:lvlJc w:val="left"/>
      <w:pPr>
        <w:ind w:left="720" w:hanging="360"/>
      </w:pPr>
      <w:rPr>
        <w:rFonts w:ascii="Times New Roman" w:eastAsia="Times New Roman" w:hAnsi="Times New Roman"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1">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12">
    <w:nsid w:val="4E2538BD"/>
    <w:multiLevelType w:val="hybridMultilevel"/>
    <w:tmpl w:val="A1C81858"/>
    <w:lvl w:ilvl="0">
      <w:start w:val="0"/>
      <w:numFmt w:val="bullet"/>
      <w:lvlText w:val="-"/>
      <w:lvlJc w:val="left"/>
      <w:pPr>
        <w:ind w:left="720" w:hanging="360"/>
      </w:pPr>
      <w:rPr>
        <w:rFonts w:ascii="Aptos" w:hAnsi="Aptos" w:eastAsiaTheme="minorHAnsi" w:cstheme="minorBid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nsid w:val="4F2E5F89"/>
    <w:multiLevelType w:val="hybridMultilevel"/>
    <w:tmpl w:val="BC72E1B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4">
    <w:nsid w:val="520C5275"/>
    <w:multiLevelType w:val="hybridMultilevel"/>
    <w:tmpl w:val="EC9CD30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nsid w:val="54D4183A"/>
    <w:multiLevelType w:val="hybridMultilevel"/>
    <w:tmpl w:val="52AAB15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6">
    <w:nsid w:val="55BA7C23"/>
    <w:multiLevelType w:val="hybridMultilevel"/>
    <w:tmpl w:val="220A3BEA"/>
    <w:lvl w:ilvl="0">
      <w:start w:val="2"/>
      <w:numFmt w:val="bullet"/>
      <w:lvlText w:val="-"/>
      <w:lvlJc w:val="left"/>
      <w:pPr>
        <w:ind w:left="720" w:hanging="360"/>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7">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18">
    <w:nsid w:val="71F93CA2"/>
    <w:multiLevelType w:val="hybridMultilevel"/>
    <w:tmpl w:val="895AD62A"/>
    <w:lvl w:ilvl="0">
      <w:start w:val="1"/>
      <w:numFmt w:val="bullet"/>
      <w:pStyle w:val="ListParagraph"/>
      <w:lvlText w:val=""/>
      <w:lvlJc w:val="left"/>
      <w:pPr>
        <w:ind w:left="1440" w:hanging="360"/>
      </w:pPr>
      <w:rPr>
        <w:rFonts w:ascii="Symbol" w:hAnsi="Symbol" w:hint="default"/>
      </w:rPr>
    </w:lvl>
    <w:lvl w:ilvl="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num w:numId="1" w16cid:durableId="307521034">
    <w:abstractNumId w:val="6"/>
  </w:num>
  <w:num w:numId="2" w16cid:durableId="1815220673">
    <w:abstractNumId w:val="17"/>
  </w:num>
  <w:num w:numId="3" w16cid:durableId="1445999858">
    <w:abstractNumId w:val="8"/>
  </w:num>
  <w:num w:numId="4" w16cid:durableId="1949385756">
    <w:abstractNumId w:val="11"/>
  </w:num>
  <w:num w:numId="5" w16cid:durableId="878711800">
    <w:abstractNumId w:val="7"/>
  </w:num>
  <w:num w:numId="6" w16cid:durableId="1353652504">
    <w:abstractNumId w:val="0"/>
  </w:num>
  <w:num w:numId="7" w16cid:durableId="1147284245">
    <w:abstractNumId w:val="10"/>
  </w:num>
  <w:num w:numId="8" w16cid:durableId="1752004366">
    <w:abstractNumId w:val="3"/>
  </w:num>
  <w:num w:numId="9" w16cid:durableId="323972065">
    <w:abstractNumId w:val="18"/>
  </w:num>
  <w:num w:numId="10" w16cid:durableId="2140175691">
    <w:abstractNumId w:val="16"/>
  </w:num>
  <w:num w:numId="11" w16cid:durableId="273099262">
    <w:abstractNumId w:val="4"/>
  </w:num>
  <w:num w:numId="12" w16cid:durableId="1064066929">
    <w:abstractNumId w:val="12"/>
  </w:num>
  <w:num w:numId="13" w16cid:durableId="2050296538">
    <w:abstractNumId w:val="15"/>
  </w:num>
  <w:num w:numId="14" w16cid:durableId="1660229359">
    <w:abstractNumId w:val="2"/>
  </w:num>
  <w:num w:numId="15" w16cid:durableId="655572576">
    <w:abstractNumId w:val="14"/>
  </w:num>
  <w:num w:numId="16" w16cid:durableId="1678311666">
    <w:abstractNumId w:val="9"/>
  </w:num>
  <w:num w:numId="17" w16cid:durableId="445468248">
    <w:abstractNumId w:val="5"/>
  </w:num>
  <w:num w:numId="18" w16cid:durableId="60324630">
    <w:abstractNumId w:val="14"/>
  </w:num>
  <w:num w:numId="19" w16cid:durableId="308754584">
    <w:abstractNumId w:val="13"/>
  </w:num>
  <w:num w:numId="20" w16cid:durableId="120425183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5108"/>
    <w:rsid w:val="00000283"/>
    <w:rsid w:val="00000303"/>
    <w:rsid w:val="0000052E"/>
    <w:rsid w:val="00000E2C"/>
    <w:rsid w:val="00001107"/>
    <w:rsid w:val="0000133E"/>
    <w:rsid w:val="000015D2"/>
    <w:rsid w:val="00002332"/>
    <w:rsid w:val="0000283B"/>
    <w:rsid w:val="00003017"/>
    <w:rsid w:val="0000323A"/>
    <w:rsid w:val="00003614"/>
    <w:rsid w:val="00004178"/>
    <w:rsid w:val="000041BB"/>
    <w:rsid w:val="00004501"/>
    <w:rsid w:val="00004953"/>
    <w:rsid w:val="00004B19"/>
    <w:rsid w:val="00005216"/>
    <w:rsid w:val="000058FF"/>
    <w:rsid w:val="0000621C"/>
    <w:rsid w:val="000063A4"/>
    <w:rsid w:val="00006DC5"/>
    <w:rsid w:val="00006E6E"/>
    <w:rsid w:val="00006F57"/>
    <w:rsid w:val="00006FAC"/>
    <w:rsid w:val="000070CD"/>
    <w:rsid w:val="0000715E"/>
    <w:rsid w:val="00007296"/>
    <w:rsid w:val="0000782C"/>
    <w:rsid w:val="000079C3"/>
    <w:rsid w:val="00007B5B"/>
    <w:rsid w:val="000101D9"/>
    <w:rsid w:val="0001103B"/>
    <w:rsid w:val="00011084"/>
    <w:rsid w:val="000110A7"/>
    <w:rsid w:val="0001159B"/>
    <w:rsid w:val="00011CBF"/>
    <w:rsid w:val="00012D3C"/>
    <w:rsid w:val="00013200"/>
    <w:rsid w:val="0001369F"/>
    <w:rsid w:val="00013744"/>
    <w:rsid w:val="00013D92"/>
    <w:rsid w:val="00013E95"/>
    <w:rsid w:val="000140B6"/>
    <w:rsid w:val="00014428"/>
    <w:rsid w:val="0001499D"/>
    <w:rsid w:val="000150F3"/>
    <w:rsid w:val="00015774"/>
    <w:rsid w:val="0001581A"/>
    <w:rsid w:val="00015A2F"/>
    <w:rsid w:val="00015A37"/>
    <w:rsid w:val="00015BC8"/>
    <w:rsid w:val="00015F4A"/>
    <w:rsid w:val="00016C1F"/>
    <w:rsid w:val="00016D20"/>
    <w:rsid w:val="00016FEA"/>
    <w:rsid w:val="0001779A"/>
    <w:rsid w:val="00017A2D"/>
    <w:rsid w:val="00017B4C"/>
    <w:rsid w:val="000207BA"/>
    <w:rsid w:val="00020D68"/>
    <w:rsid w:val="00021762"/>
    <w:rsid w:val="00021B89"/>
    <w:rsid w:val="0002260A"/>
    <w:rsid w:val="00022D21"/>
    <w:rsid w:val="00023209"/>
    <w:rsid w:val="00023B30"/>
    <w:rsid w:val="00023B57"/>
    <w:rsid w:val="00023E5E"/>
    <w:rsid w:val="00023EC6"/>
    <w:rsid w:val="000246A9"/>
    <w:rsid w:val="000246D6"/>
    <w:rsid w:val="00025587"/>
    <w:rsid w:val="0002582C"/>
    <w:rsid w:val="000265EC"/>
    <w:rsid w:val="00026A00"/>
    <w:rsid w:val="000300F1"/>
    <w:rsid w:val="00030146"/>
    <w:rsid w:val="00030493"/>
    <w:rsid w:val="00030837"/>
    <w:rsid w:val="0003208B"/>
    <w:rsid w:val="00033C68"/>
    <w:rsid w:val="00033DD1"/>
    <w:rsid w:val="0003478A"/>
    <w:rsid w:val="00035771"/>
    <w:rsid w:val="00035B4B"/>
    <w:rsid w:val="00035DF2"/>
    <w:rsid w:val="000361A1"/>
    <w:rsid w:val="00036941"/>
    <w:rsid w:val="00036FC0"/>
    <w:rsid w:val="00037713"/>
    <w:rsid w:val="00037975"/>
    <w:rsid w:val="00037B90"/>
    <w:rsid w:val="00040021"/>
    <w:rsid w:val="0004003F"/>
    <w:rsid w:val="0004010D"/>
    <w:rsid w:val="00040197"/>
    <w:rsid w:val="000409E4"/>
    <w:rsid w:val="00040B00"/>
    <w:rsid w:val="000412DA"/>
    <w:rsid w:val="00042727"/>
    <w:rsid w:val="00042B4A"/>
    <w:rsid w:val="00042C5F"/>
    <w:rsid w:val="0004333B"/>
    <w:rsid w:val="0004351D"/>
    <w:rsid w:val="00043FF8"/>
    <w:rsid w:val="000440F7"/>
    <w:rsid w:val="00044ADB"/>
    <w:rsid w:val="00044DE4"/>
    <w:rsid w:val="000453B0"/>
    <w:rsid w:val="000456ED"/>
    <w:rsid w:val="00045CDD"/>
    <w:rsid w:val="00046653"/>
    <w:rsid w:val="00046661"/>
    <w:rsid w:val="000466DD"/>
    <w:rsid w:val="000476E4"/>
    <w:rsid w:val="00047B9B"/>
    <w:rsid w:val="00047EA9"/>
    <w:rsid w:val="00050D01"/>
    <w:rsid w:val="00051670"/>
    <w:rsid w:val="00051953"/>
    <w:rsid w:val="00052F19"/>
    <w:rsid w:val="000538EC"/>
    <w:rsid w:val="0005397A"/>
    <w:rsid w:val="000539EA"/>
    <w:rsid w:val="00054149"/>
    <w:rsid w:val="000541C3"/>
    <w:rsid w:val="00054371"/>
    <w:rsid w:val="00054ACA"/>
    <w:rsid w:val="00054C9D"/>
    <w:rsid w:val="00054CEC"/>
    <w:rsid w:val="000555A5"/>
    <w:rsid w:val="00055839"/>
    <w:rsid w:val="0005585F"/>
    <w:rsid w:val="000559A1"/>
    <w:rsid w:val="00055D9D"/>
    <w:rsid w:val="00056FE3"/>
    <w:rsid w:val="00056FF5"/>
    <w:rsid w:val="00057652"/>
    <w:rsid w:val="0005778C"/>
    <w:rsid w:val="000607A3"/>
    <w:rsid w:val="00060937"/>
    <w:rsid w:val="000613ED"/>
    <w:rsid w:val="000617C5"/>
    <w:rsid w:val="00061892"/>
    <w:rsid w:val="00061E47"/>
    <w:rsid w:val="00062D90"/>
    <w:rsid w:val="00062E95"/>
    <w:rsid w:val="00062EFD"/>
    <w:rsid w:val="000637E0"/>
    <w:rsid w:val="00063E5F"/>
    <w:rsid w:val="00064121"/>
    <w:rsid w:val="00064579"/>
    <w:rsid w:val="0006493A"/>
    <w:rsid w:val="00064A4A"/>
    <w:rsid w:val="0006563E"/>
    <w:rsid w:val="00067AEC"/>
    <w:rsid w:val="00067B3C"/>
    <w:rsid w:val="00067C46"/>
    <w:rsid w:val="00070447"/>
    <w:rsid w:val="00070919"/>
    <w:rsid w:val="00070980"/>
    <w:rsid w:val="00070B5A"/>
    <w:rsid w:val="00070EF5"/>
    <w:rsid w:val="000712D9"/>
    <w:rsid w:val="000716DA"/>
    <w:rsid w:val="000717D1"/>
    <w:rsid w:val="000719D2"/>
    <w:rsid w:val="000719E3"/>
    <w:rsid w:val="00071EDE"/>
    <w:rsid w:val="0007222C"/>
    <w:rsid w:val="0007228B"/>
    <w:rsid w:val="0007298D"/>
    <w:rsid w:val="00072C79"/>
    <w:rsid w:val="00072D31"/>
    <w:rsid w:val="00072D53"/>
    <w:rsid w:val="00072DC2"/>
    <w:rsid w:val="0007310D"/>
    <w:rsid w:val="00073243"/>
    <w:rsid w:val="00073419"/>
    <w:rsid w:val="00073458"/>
    <w:rsid w:val="000735C4"/>
    <w:rsid w:val="0007408B"/>
    <w:rsid w:val="000740E4"/>
    <w:rsid w:val="000747C0"/>
    <w:rsid w:val="00075864"/>
    <w:rsid w:val="00075F96"/>
    <w:rsid w:val="000765C3"/>
    <w:rsid w:val="00076A85"/>
    <w:rsid w:val="00076DB0"/>
    <w:rsid w:val="000771F9"/>
    <w:rsid w:val="0007725E"/>
    <w:rsid w:val="0007777B"/>
    <w:rsid w:val="000779BC"/>
    <w:rsid w:val="00080512"/>
    <w:rsid w:val="00080797"/>
    <w:rsid w:val="00081110"/>
    <w:rsid w:val="00081931"/>
    <w:rsid w:val="00082C09"/>
    <w:rsid w:val="00083423"/>
    <w:rsid w:val="00083C02"/>
    <w:rsid w:val="00083E79"/>
    <w:rsid w:val="00083F73"/>
    <w:rsid w:val="00084E53"/>
    <w:rsid w:val="000857C9"/>
    <w:rsid w:val="00087518"/>
    <w:rsid w:val="0009013E"/>
    <w:rsid w:val="0009031E"/>
    <w:rsid w:val="00090735"/>
    <w:rsid w:val="00091187"/>
    <w:rsid w:val="00091791"/>
    <w:rsid w:val="000919B1"/>
    <w:rsid w:val="00091C9B"/>
    <w:rsid w:val="000932B6"/>
    <w:rsid w:val="00093377"/>
    <w:rsid w:val="000933EE"/>
    <w:rsid w:val="000936B1"/>
    <w:rsid w:val="00093E60"/>
    <w:rsid w:val="000941B4"/>
    <w:rsid w:val="000941FC"/>
    <w:rsid w:val="00094481"/>
    <w:rsid w:val="00094516"/>
    <w:rsid w:val="000948A0"/>
    <w:rsid w:val="0009490F"/>
    <w:rsid w:val="00094B67"/>
    <w:rsid w:val="00095645"/>
    <w:rsid w:val="00095657"/>
    <w:rsid w:val="00095B1C"/>
    <w:rsid w:val="0009646A"/>
    <w:rsid w:val="00096B54"/>
    <w:rsid w:val="00096BEB"/>
    <w:rsid w:val="00096D17"/>
    <w:rsid w:val="00096F81"/>
    <w:rsid w:val="000971D6"/>
    <w:rsid w:val="000976BD"/>
    <w:rsid w:val="000A00A0"/>
    <w:rsid w:val="000A06EB"/>
    <w:rsid w:val="000A0C54"/>
    <w:rsid w:val="000A1056"/>
    <w:rsid w:val="000A163C"/>
    <w:rsid w:val="000A1728"/>
    <w:rsid w:val="000A17C4"/>
    <w:rsid w:val="000A1CBB"/>
    <w:rsid w:val="000A1D43"/>
    <w:rsid w:val="000A1E2E"/>
    <w:rsid w:val="000A27F8"/>
    <w:rsid w:val="000A2804"/>
    <w:rsid w:val="000A32AB"/>
    <w:rsid w:val="000A3B01"/>
    <w:rsid w:val="000A4726"/>
    <w:rsid w:val="000A4A7B"/>
    <w:rsid w:val="000A566D"/>
    <w:rsid w:val="000A57E5"/>
    <w:rsid w:val="000A59FD"/>
    <w:rsid w:val="000A6151"/>
    <w:rsid w:val="000A617B"/>
    <w:rsid w:val="000A66E7"/>
    <w:rsid w:val="000A6D83"/>
    <w:rsid w:val="000A7365"/>
    <w:rsid w:val="000A76A9"/>
    <w:rsid w:val="000A78F8"/>
    <w:rsid w:val="000B01FE"/>
    <w:rsid w:val="000B04A7"/>
    <w:rsid w:val="000B0760"/>
    <w:rsid w:val="000B099B"/>
    <w:rsid w:val="000B0C3B"/>
    <w:rsid w:val="000B1796"/>
    <w:rsid w:val="000B1824"/>
    <w:rsid w:val="000B1E14"/>
    <w:rsid w:val="000B273F"/>
    <w:rsid w:val="000B30CC"/>
    <w:rsid w:val="000B3A6E"/>
    <w:rsid w:val="000B3E72"/>
    <w:rsid w:val="000B408D"/>
    <w:rsid w:val="000B478B"/>
    <w:rsid w:val="000B4866"/>
    <w:rsid w:val="000B4E23"/>
    <w:rsid w:val="000B533A"/>
    <w:rsid w:val="000B58DE"/>
    <w:rsid w:val="000B5A8E"/>
    <w:rsid w:val="000B5FE3"/>
    <w:rsid w:val="000B6682"/>
    <w:rsid w:val="000B6AE0"/>
    <w:rsid w:val="000B6BA9"/>
    <w:rsid w:val="000B70AD"/>
    <w:rsid w:val="000B7EC5"/>
    <w:rsid w:val="000C108F"/>
    <w:rsid w:val="000C12CA"/>
    <w:rsid w:val="000C16AC"/>
    <w:rsid w:val="000C189E"/>
    <w:rsid w:val="000C1E13"/>
    <w:rsid w:val="000C1EE9"/>
    <w:rsid w:val="000C2C2A"/>
    <w:rsid w:val="000C3486"/>
    <w:rsid w:val="000C358A"/>
    <w:rsid w:val="000C3945"/>
    <w:rsid w:val="000C4080"/>
    <w:rsid w:val="000C41DD"/>
    <w:rsid w:val="000C4A99"/>
    <w:rsid w:val="000C4F46"/>
    <w:rsid w:val="000C5264"/>
    <w:rsid w:val="000C5413"/>
    <w:rsid w:val="000C558C"/>
    <w:rsid w:val="000C5A52"/>
    <w:rsid w:val="000C64A3"/>
    <w:rsid w:val="000C658B"/>
    <w:rsid w:val="000C6C30"/>
    <w:rsid w:val="000C718A"/>
    <w:rsid w:val="000C73CB"/>
    <w:rsid w:val="000C74A4"/>
    <w:rsid w:val="000C796E"/>
    <w:rsid w:val="000C7F3D"/>
    <w:rsid w:val="000D02CC"/>
    <w:rsid w:val="000D0EED"/>
    <w:rsid w:val="000D1A2F"/>
    <w:rsid w:val="000D1D67"/>
    <w:rsid w:val="000D1F9F"/>
    <w:rsid w:val="000D205F"/>
    <w:rsid w:val="000D22F9"/>
    <w:rsid w:val="000D2411"/>
    <w:rsid w:val="000D246C"/>
    <w:rsid w:val="000D277A"/>
    <w:rsid w:val="000D2DDF"/>
    <w:rsid w:val="000D318D"/>
    <w:rsid w:val="000D39C7"/>
    <w:rsid w:val="000D3F50"/>
    <w:rsid w:val="000D40B7"/>
    <w:rsid w:val="000D411A"/>
    <w:rsid w:val="000D45A6"/>
    <w:rsid w:val="000D5F7E"/>
    <w:rsid w:val="000D6032"/>
    <w:rsid w:val="000D716E"/>
    <w:rsid w:val="000D7621"/>
    <w:rsid w:val="000D77CF"/>
    <w:rsid w:val="000D79F3"/>
    <w:rsid w:val="000E009B"/>
    <w:rsid w:val="000E04C2"/>
    <w:rsid w:val="000E1078"/>
    <w:rsid w:val="000E1757"/>
    <w:rsid w:val="000E1C65"/>
    <w:rsid w:val="000E27BF"/>
    <w:rsid w:val="000E2943"/>
    <w:rsid w:val="000E2CD8"/>
    <w:rsid w:val="000E2EC8"/>
    <w:rsid w:val="000E33B7"/>
    <w:rsid w:val="000E4342"/>
    <w:rsid w:val="000E5188"/>
    <w:rsid w:val="000E5B41"/>
    <w:rsid w:val="000E5BCA"/>
    <w:rsid w:val="000E5F1A"/>
    <w:rsid w:val="000E6188"/>
    <w:rsid w:val="000E63A3"/>
    <w:rsid w:val="000E678B"/>
    <w:rsid w:val="000E7580"/>
    <w:rsid w:val="000E75CD"/>
    <w:rsid w:val="000E790C"/>
    <w:rsid w:val="000E7B35"/>
    <w:rsid w:val="000E7D22"/>
    <w:rsid w:val="000E7F9E"/>
    <w:rsid w:val="000F03F8"/>
    <w:rsid w:val="000F07EC"/>
    <w:rsid w:val="000F0DFC"/>
    <w:rsid w:val="000F12F9"/>
    <w:rsid w:val="000F1677"/>
    <w:rsid w:val="000F20F4"/>
    <w:rsid w:val="000F22FA"/>
    <w:rsid w:val="000F30B0"/>
    <w:rsid w:val="000F32E2"/>
    <w:rsid w:val="000F348A"/>
    <w:rsid w:val="000F3CC9"/>
    <w:rsid w:val="000F4078"/>
    <w:rsid w:val="000F58B3"/>
    <w:rsid w:val="000F5DB8"/>
    <w:rsid w:val="000F5E7D"/>
    <w:rsid w:val="000F5F12"/>
    <w:rsid w:val="000F5F13"/>
    <w:rsid w:val="000F6421"/>
    <w:rsid w:val="000F67EB"/>
    <w:rsid w:val="000F698A"/>
    <w:rsid w:val="000F6B34"/>
    <w:rsid w:val="000F6BE1"/>
    <w:rsid w:val="000F7140"/>
    <w:rsid w:val="000F7943"/>
    <w:rsid w:val="000F7D46"/>
    <w:rsid w:val="000F7DE0"/>
    <w:rsid w:val="00100079"/>
    <w:rsid w:val="00100248"/>
    <w:rsid w:val="00100689"/>
    <w:rsid w:val="00100974"/>
    <w:rsid w:val="00100F05"/>
    <w:rsid w:val="00101189"/>
    <w:rsid w:val="00101968"/>
    <w:rsid w:val="00102BE0"/>
    <w:rsid w:val="00103225"/>
    <w:rsid w:val="00103452"/>
    <w:rsid w:val="00103800"/>
    <w:rsid w:val="00103BF4"/>
    <w:rsid w:val="00103E0B"/>
    <w:rsid w:val="001042F4"/>
    <w:rsid w:val="00104696"/>
    <w:rsid w:val="0010564B"/>
    <w:rsid w:val="001056F0"/>
    <w:rsid w:val="001057BA"/>
    <w:rsid w:val="00105C51"/>
    <w:rsid w:val="00105E97"/>
    <w:rsid w:val="00106AEF"/>
    <w:rsid w:val="00107140"/>
    <w:rsid w:val="001125A3"/>
    <w:rsid w:val="00112AD0"/>
    <w:rsid w:val="00113368"/>
    <w:rsid w:val="0011340F"/>
    <w:rsid w:val="001136E7"/>
    <w:rsid w:val="001137E8"/>
    <w:rsid w:val="001138B2"/>
    <w:rsid w:val="00113DF1"/>
    <w:rsid w:val="0011511B"/>
    <w:rsid w:val="0011613F"/>
    <w:rsid w:val="0011621A"/>
    <w:rsid w:val="001164CF"/>
    <w:rsid w:val="00116786"/>
    <w:rsid w:val="00116921"/>
    <w:rsid w:val="00117854"/>
    <w:rsid w:val="00117AC3"/>
    <w:rsid w:val="00117FFD"/>
    <w:rsid w:val="001202A6"/>
    <w:rsid w:val="00120385"/>
    <w:rsid w:val="001207FA"/>
    <w:rsid w:val="00120D8B"/>
    <w:rsid w:val="0012154F"/>
    <w:rsid w:val="001218E8"/>
    <w:rsid w:val="00122240"/>
    <w:rsid w:val="001223B6"/>
    <w:rsid w:val="00122469"/>
    <w:rsid w:val="00122C05"/>
    <w:rsid w:val="00123217"/>
    <w:rsid w:val="00123417"/>
    <w:rsid w:val="0012361D"/>
    <w:rsid w:val="00123A09"/>
    <w:rsid w:val="00123B15"/>
    <w:rsid w:val="00123ECB"/>
    <w:rsid w:val="001246CA"/>
    <w:rsid w:val="001247B3"/>
    <w:rsid w:val="00124B69"/>
    <w:rsid w:val="00124C19"/>
    <w:rsid w:val="00125619"/>
    <w:rsid w:val="0012586F"/>
    <w:rsid w:val="00125AB7"/>
    <w:rsid w:val="00125AE3"/>
    <w:rsid w:val="00125DCF"/>
    <w:rsid w:val="00125EE2"/>
    <w:rsid w:val="00125F18"/>
    <w:rsid w:val="001261B4"/>
    <w:rsid w:val="00126476"/>
    <w:rsid w:val="0012744C"/>
    <w:rsid w:val="00127671"/>
    <w:rsid w:val="001307C9"/>
    <w:rsid w:val="001315F9"/>
    <w:rsid w:val="00131610"/>
    <w:rsid w:val="00131AD7"/>
    <w:rsid w:val="00131E20"/>
    <w:rsid w:val="00131FF3"/>
    <w:rsid w:val="00132391"/>
    <w:rsid w:val="0013310F"/>
    <w:rsid w:val="00133687"/>
    <w:rsid w:val="00133EE1"/>
    <w:rsid w:val="001343B6"/>
    <w:rsid w:val="001344CB"/>
    <w:rsid w:val="00134F93"/>
    <w:rsid w:val="00135275"/>
    <w:rsid w:val="00135EFB"/>
    <w:rsid w:val="00141037"/>
    <w:rsid w:val="0014146A"/>
    <w:rsid w:val="00141876"/>
    <w:rsid w:val="00141D89"/>
    <w:rsid w:val="00141EC0"/>
    <w:rsid w:val="001428EE"/>
    <w:rsid w:val="00142944"/>
    <w:rsid w:val="00142D2C"/>
    <w:rsid w:val="00142E7E"/>
    <w:rsid w:val="001430B2"/>
    <w:rsid w:val="0014319A"/>
    <w:rsid w:val="0014346D"/>
    <w:rsid w:val="00143DE3"/>
    <w:rsid w:val="00143E02"/>
    <w:rsid w:val="001442AB"/>
    <w:rsid w:val="00144399"/>
    <w:rsid w:val="00144D46"/>
    <w:rsid w:val="001455B6"/>
    <w:rsid w:val="001456AF"/>
    <w:rsid w:val="00145BC8"/>
    <w:rsid w:val="00145D59"/>
    <w:rsid w:val="001464C6"/>
    <w:rsid w:val="001466B8"/>
    <w:rsid w:val="001472BB"/>
    <w:rsid w:val="00150572"/>
    <w:rsid w:val="0015089E"/>
    <w:rsid w:val="00150F53"/>
    <w:rsid w:val="00151236"/>
    <w:rsid w:val="001513E1"/>
    <w:rsid w:val="00151736"/>
    <w:rsid w:val="00151DD3"/>
    <w:rsid w:val="001520FE"/>
    <w:rsid w:val="00152BFA"/>
    <w:rsid w:val="00152E81"/>
    <w:rsid w:val="00152F5E"/>
    <w:rsid w:val="00153090"/>
    <w:rsid w:val="0015384A"/>
    <w:rsid w:val="00153AB9"/>
    <w:rsid w:val="00154120"/>
    <w:rsid w:val="001547D0"/>
    <w:rsid w:val="001548DD"/>
    <w:rsid w:val="00154EA6"/>
    <w:rsid w:val="00154FAB"/>
    <w:rsid w:val="001559FA"/>
    <w:rsid w:val="00155C3A"/>
    <w:rsid w:val="00156251"/>
    <w:rsid w:val="00156550"/>
    <w:rsid w:val="001571BF"/>
    <w:rsid w:val="00157460"/>
    <w:rsid w:val="00157AB4"/>
    <w:rsid w:val="001601F6"/>
    <w:rsid w:val="0016091F"/>
    <w:rsid w:val="00160AE0"/>
    <w:rsid w:val="00160CBC"/>
    <w:rsid w:val="001611A6"/>
    <w:rsid w:val="001611E2"/>
    <w:rsid w:val="00161FD1"/>
    <w:rsid w:val="001623FB"/>
    <w:rsid w:val="0016376C"/>
    <w:rsid w:val="00163A11"/>
    <w:rsid w:val="00163A6C"/>
    <w:rsid w:val="00163C37"/>
    <w:rsid w:val="00163C67"/>
    <w:rsid w:val="00163EFD"/>
    <w:rsid w:val="0016429D"/>
    <w:rsid w:val="001645DB"/>
    <w:rsid w:val="0016479B"/>
    <w:rsid w:val="001648B5"/>
    <w:rsid w:val="001648F4"/>
    <w:rsid w:val="00164DDC"/>
    <w:rsid w:val="00164F30"/>
    <w:rsid w:val="0016500A"/>
    <w:rsid w:val="0016532A"/>
    <w:rsid w:val="001659AA"/>
    <w:rsid w:val="00165BCB"/>
    <w:rsid w:val="00165C3E"/>
    <w:rsid w:val="00166410"/>
    <w:rsid w:val="00166FC8"/>
    <w:rsid w:val="001674BB"/>
    <w:rsid w:val="00167D90"/>
    <w:rsid w:val="00170228"/>
    <w:rsid w:val="0017058F"/>
    <w:rsid w:val="001705AE"/>
    <w:rsid w:val="00170EEE"/>
    <w:rsid w:val="00170FF0"/>
    <w:rsid w:val="0017116A"/>
    <w:rsid w:val="001712A0"/>
    <w:rsid w:val="00172101"/>
    <w:rsid w:val="001722D8"/>
    <w:rsid w:val="001731C2"/>
    <w:rsid w:val="001731DF"/>
    <w:rsid w:val="00173AF4"/>
    <w:rsid w:val="00173B08"/>
    <w:rsid w:val="00173B23"/>
    <w:rsid w:val="0017404A"/>
    <w:rsid w:val="00174C19"/>
    <w:rsid w:val="00174D6C"/>
    <w:rsid w:val="00175B7A"/>
    <w:rsid w:val="00175B9F"/>
    <w:rsid w:val="00175E0F"/>
    <w:rsid w:val="0017618B"/>
    <w:rsid w:val="001762DB"/>
    <w:rsid w:val="001764A6"/>
    <w:rsid w:val="00176551"/>
    <w:rsid w:val="0017686F"/>
    <w:rsid w:val="00176C24"/>
    <w:rsid w:val="00176EE6"/>
    <w:rsid w:val="00176F6E"/>
    <w:rsid w:val="0017740A"/>
    <w:rsid w:val="00177489"/>
    <w:rsid w:val="00177DAD"/>
    <w:rsid w:val="00180125"/>
    <w:rsid w:val="001802E2"/>
    <w:rsid w:val="0018045F"/>
    <w:rsid w:val="0018056D"/>
    <w:rsid w:val="0018078F"/>
    <w:rsid w:val="00181F62"/>
    <w:rsid w:val="001829DF"/>
    <w:rsid w:val="00182A63"/>
    <w:rsid w:val="0018390C"/>
    <w:rsid w:val="00183AAD"/>
    <w:rsid w:val="00183FC8"/>
    <w:rsid w:val="00184407"/>
    <w:rsid w:val="001844BE"/>
    <w:rsid w:val="0018468D"/>
    <w:rsid w:val="00184A38"/>
    <w:rsid w:val="00184B44"/>
    <w:rsid w:val="00184CAF"/>
    <w:rsid w:val="0018526F"/>
    <w:rsid w:val="00185684"/>
    <w:rsid w:val="0018570C"/>
    <w:rsid w:val="0018580A"/>
    <w:rsid w:val="00186212"/>
    <w:rsid w:val="00186974"/>
    <w:rsid w:val="00186DD2"/>
    <w:rsid w:val="001873FD"/>
    <w:rsid w:val="001874A9"/>
    <w:rsid w:val="001874BE"/>
    <w:rsid w:val="001874D9"/>
    <w:rsid w:val="0018779A"/>
    <w:rsid w:val="00187965"/>
    <w:rsid w:val="00187A47"/>
    <w:rsid w:val="00187A96"/>
    <w:rsid w:val="00187BF8"/>
    <w:rsid w:val="00187E1F"/>
    <w:rsid w:val="00187ECC"/>
    <w:rsid w:val="00190EB5"/>
    <w:rsid w:val="00190F9C"/>
    <w:rsid w:val="0019161D"/>
    <w:rsid w:val="00191713"/>
    <w:rsid w:val="001923AB"/>
    <w:rsid w:val="00192BB8"/>
    <w:rsid w:val="00193103"/>
    <w:rsid w:val="001932B1"/>
    <w:rsid w:val="001933ED"/>
    <w:rsid w:val="00194015"/>
    <w:rsid w:val="00194C15"/>
    <w:rsid w:val="00194C8C"/>
    <w:rsid w:val="00195221"/>
    <w:rsid w:val="00195293"/>
    <w:rsid w:val="00195300"/>
    <w:rsid w:val="0019550D"/>
    <w:rsid w:val="0019564B"/>
    <w:rsid w:val="00195740"/>
    <w:rsid w:val="00195AE9"/>
    <w:rsid w:val="00195F31"/>
    <w:rsid w:val="0019747E"/>
    <w:rsid w:val="0019776E"/>
    <w:rsid w:val="00197A8D"/>
    <w:rsid w:val="001A01B8"/>
    <w:rsid w:val="001A03B8"/>
    <w:rsid w:val="001A09C2"/>
    <w:rsid w:val="001A0E45"/>
    <w:rsid w:val="001A0F15"/>
    <w:rsid w:val="001A0F98"/>
    <w:rsid w:val="001A125B"/>
    <w:rsid w:val="001A1329"/>
    <w:rsid w:val="001A1590"/>
    <w:rsid w:val="001A166D"/>
    <w:rsid w:val="001A20F4"/>
    <w:rsid w:val="001A26B4"/>
    <w:rsid w:val="001A2CE8"/>
    <w:rsid w:val="001A34D5"/>
    <w:rsid w:val="001A378B"/>
    <w:rsid w:val="001A43AF"/>
    <w:rsid w:val="001A45BE"/>
    <w:rsid w:val="001A4ECB"/>
    <w:rsid w:val="001A5C3A"/>
    <w:rsid w:val="001A5E6E"/>
    <w:rsid w:val="001A6804"/>
    <w:rsid w:val="001A6B46"/>
    <w:rsid w:val="001A6BC2"/>
    <w:rsid w:val="001A74A1"/>
    <w:rsid w:val="001A7B25"/>
    <w:rsid w:val="001A7C77"/>
    <w:rsid w:val="001B0014"/>
    <w:rsid w:val="001B01AE"/>
    <w:rsid w:val="001B0527"/>
    <w:rsid w:val="001B05EF"/>
    <w:rsid w:val="001B08D6"/>
    <w:rsid w:val="001B0CA2"/>
    <w:rsid w:val="001B16B8"/>
    <w:rsid w:val="001B18D9"/>
    <w:rsid w:val="001B1A14"/>
    <w:rsid w:val="001B1CC4"/>
    <w:rsid w:val="001B1CFE"/>
    <w:rsid w:val="001B2011"/>
    <w:rsid w:val="001B2D19"/>
    <w:rsid w:val="001B2ED9"/>
    <w:rsid w:val="001B311C"/>
    <w:rsid w:val="001B394D"/>
    <w:rsid w:val="001B3FFA"/>
    <w:rsid w:val="001B5075"/>
    <w:rsid w:val="001B50FB"/>
    <w:rsid w:val="001B52F1"/>
    <w:rsid w:val="001B55F4"/>
    <w:rsid w:val="001B578F"/>
    <w:rsid w:val="001B5B74"/>
    <w:rsid w:val="001B5DFA"/>
    <w:rsid w:val="001B6349"/>
    <w:rsid w:val="001B63F4"/>
    <w:rsid w:val="001B6651"/>
    <w:rsid w:val="001B68D8"/>
    <w:rsid w:val="001B6B55"/>
    <w:rsid w:val="001B6D56"/>
    <w:rsid w:val="001B785C"/>
    <w:rsid w:val="001B7994"/>
    <w:rsid w:val="001B7D89"/>
    <w:rsid w:val="001B7E8D"/>
    <w:rsid w:val="001C02B9"/>
    <w:rsid w:val="001C06AA"/>
    <w:rsid w:val="001C078D"/>
    <w:rsid w:val="001C0AE5"/>
    <w:rsid w:val="001C1300"/>
    <w:rsid w:val="001C13AD"/>
    <w:rsid w:val="001C16AA"/>
    <w:rsid w:val="001C1F01"/>
    <w:rsid w:val="001C3188"/>
    <w:rsid w:val="001C372F"/>
    <w:rsid w:val="001C454E"/>
    <w:rsid w:val="001C4600"/>
    <w:rsid w:val="001C49F4"/>
    <w:rsid w:val="001C52BC"/>
    <w:rsid w:val="001C5477"/>
    <w:rsid w:val="001C5C0C"/>
    <w:rsid w:val="001C67BE"/>
    <w:rsid w:val="001C6922"/>
    <w:rsid w:val="001C749D"/>
    <w:rsid w:val="001C75A1"/>
    <w:rsid w:val="001C7C12"/>
    <w:rsid w:val="001C7E80"/>
    <w:rsid w:val="001D0137"/>
    <w:rsid w:val="001D040C"/>
    <w:rsid w:val="001D0887"/>
    <w:rsid w:val="001D0A67"/>
    <w:rsid w:val="001D1637"/>
    <w:rsid w:val="001D169D"/>
    <w:rsid w:val="001D1884"/>
    <w:rsid w:val="001D1A96"/>
    <w:rsid w:val="001D20F1"/>
    <w:rsid w:val="001D22B4"/>
    <w:rsid w:val="001D2C68"/>
    <w:rsid w:val="001D33D3"/>
    <w:rsid w:val="001D36C5"/>
    <w:rsid w:val="001D383B"/>
    <w:rsid w:val="001D3CC0"/>
    <w:rsid w:val="001D3D6F"/>
    <w:rsid w:val="001D4266"/>
    <w:rsid w:val="001D428B"/>
    <w:rsid w:val="001D4410"/>
    <w:rsid w:val="001D49C0"/>
    <w:rsid w:val="001D4BAA"/>
    <w:rsid w:val="001D4F47"/>
    <w:rsid w:val="001D57BA"/>
    <w:rsid w:val="001D5B01"/>
    <w:rsid w:val="001D61CA"/>
    <w:rsid w:val="001D6B16"/>
    <w:rsid w:val="001D723B"/>
    <w:rsid w:val="001D74A6"/>
    <w:rsid w:val="001E1A49"/>
    <w:rsid w:val="001E1C76"/>
    <w:rsid w:val="001E263D"/>
    <w:rsid w:val="001E2B10"/>
    <w:rsid w:val="001E34D0"/>
    <w:rsid w:val="001E3741"/>
    <w:rsid w:val="001E377F"/>
    <w:rsid w:val="001E38ED"/>
    <w:rsid w:val="001E392A"/>
    <w:rsid w:val="001E449D"/>
    <w:rsid w:val="001E46A9"/>
    <w:rsid w:val="001E4CCE"/>
    <w:rsid w:val="001E5608"/>
    <w:rsid w:val="001E5AE0"/>
    <w:rsid w:val="001E5E49"/>
    <w:rsid w:val="001E5E69"/>
    <w:rsid w:val="001E5F9C"/>
    <w:rsid w:val="001E69A2"/>
    <w:rsid w:val="001E6D3E"/>
    <w:rsid w:val="001E7371"/>
    <w:rsid w:val="001F00BF"/>
    <w:rsid w:val="001F0332"/>
    <w:rsid w:val="001F0486"/>
    <w:rsid w:val="001F04E1"/>
    <w:rsid w:val="001F0E01"/>
    <w:rsid w:val="001F10E7"/>
    <w:rsid w:val="001F1332"/>
    <w:rsid w:val="001F17A7"/>
    <w:rsid w:val="001F19D5"/>
    <w:rsid w:val="001F1B2E"/>
    <w:rsid w:val="001F1C86"/>
    <w:rsid w:val="001F2103"/>
    <w:rsid w:val="001F24A3"/>
    <w:rsid w:val="001F24D0"/>
    <w:rsid w:val="001F2686"/>
    <w:rsid w:val="001F2D6C"/>
    <w:rsid w:val="001F2FA4"/>
    <w:rsid w:val="001F31CF"/>
    <w:rsid w:val="001F35A0"/>
    <w:rsid w:val="001F37E0"/>
    <w:rsid w:val="001F3A51"/>
    <w:rsid w:val="001F3AB3"/>
    <w:rsid w:val="001F485E"/>
    <w:rsid w:val="001F4A83"/>
    <w:rsid w:val="001F4CB0"/>
    <w:rsid w:val="001F5572"/>
    <w:rsid w:val="001F5668"/>
    <w:rsid w:val="001F578E"/>
    <w:rsid w:val="001F5B0A"/>
    <w:rsid w:val="001F5F7C"/>
    <w:rsid w:val="001F604F"/>
    <w:rsid w:val="001F61BD"/>
    <w:rsid w:val="001F6233"/>
    <w:rsid w:val="001F6393"/>
    <w:rsid w:val="001F6681"/>
    <w:rsid w:val="001F7421"/>
    <w:rsid w:val="001F7634"/>
    <w:rsid w:val="001F7821"/>
    <w:rsid w:val="001F78B1"/>
    <w:rsid w:val="001F7A8B"/>
    <w:rsid w:val="001F7CE8"/>
    <w:rsid w:val="001F7D64"/>
    <w:rsid w:val="00200193"/>
    <w:rsid w:val="0020071D"/>
    <w:rsid w:val="00200AD7"/>
    <w:rsid w:val="00200B27"/>
    <w:rsid w:val="00201279"/>
    <w:rsid w:val="00201938"/>
    <w:rsid w:val="0020262B"/>
    <w:rsid w:val="002031F7"/>
    <w:rsid w:val="002032E8"/>
    <w:rsid w:val="002033E0"/>
    <w:rsid w:val="002035B2"/>
    <w:rsid w:val="0020365F"/>
    <w:rsid w:val="002038BE"/>
    <w:rsid w:val="00203CD4"/>
    <w:rsid w:val="00203FD7"/>
    <w:rsid w:val="002044A1"/>
    <w:rsid w:val="00204504"/>
    <w:rsid w:val="0020451B"/>
    <w:rsid w:val="00204647"/>
    <w:rsid w:val="00204B28"/>
    <w:rsid w:val="00204EF1"/>
    <w:rsid w:val="002052F6"/>
    <w:rsid w:val="002060C8"/>
    <w:rsid w:val="0020623C"/>
    <w:rsid w:val="00207320"/>
    <w:rsid w:val="00210D86"/>
    <w:rsid w:val="00211247"/>
    <w:rsid w:val="00211615"/>
    <w:rsid w:val="00211E28"/>
    <w:rsid w:val="00211FFB"/>
    <w:rsid w:val="00212537"/>
    <w:rsid w:val="00212B38"/>
    <w:rsid w:val="00212B77"/>
    <w:rsid w:val="0021305D"/>
    <w:rsid w:val="002139D5"/>
    <w:rsid w:val="00213D75"/>
    <w:rsid w:val="00214A90"/>
    <w:rsid w:val="00214C6D"/>
    <w:rsid w:val="002151B3"/>
    <w:rsid w:val="002157B7"/>
    <w:rsid w:val="00215B6A"/>
    <w:rsid w:val="002163B4"/>
    <w:rsid w:val="002166C2"/>
    <w:rsid w:val="00216C41"/>
    <w:rsid w:val="00217498"/>
    <w:rsid w:val="0021782E"/>
    <w:rsid w:val="00220262"/>
    <w:rsid w:val="0022033D"/>
    <w:rsid w:val="00220A3B"/>
    <w:rsid w:val="00220B4D"/>
    <w:rsid w:val="00220D1D"/>
    <w:rsid w:val="00221F39"/>
    <w:rsid w:val="00222A5F"/>
    <w:rsid w:val="00222E20"/>
    <w:rsid w:val="00223085"/>
    <w:rsid w:val="002230DA"/>
    <w:rsid w:val="00223179"/>
    <w:rsid w:val="00223FF4"/>
    <w:rsid w:val="00224491"/>
    <w:rsid w:val="002245DB"/>
    <w:rsid w:val="002246EC"/>
    <w:rsid w:val="00224E3C"/>
    <w:rsid w:val="00224F41"/>
    <w:rsid w:val="0022544E"/>
    <w:rsid w:val="00225480"/>
    <w:rsid w:val="00225A8F"/>
    <w:rsid w:val="002262E0"/>
    <w:rsid w:val="00226AED"/>
    <w:rsid w:val="00226B18"/>
    <w:rsid w:val="00226C9A"/>
    <w:rsid w:val="00227A6F"/>
    <w:rsid w:val="00227B63"/>
    <w:rsid w:val="002301F7"/>
    <w:rsid w:val="0023044F"/>
    <w:rsid w:val="00231138"/>
    <w:rsid w:val="00231994"/>
    <w:rsid w:val="00231BB9"/>
    <w:rsid w:val="00231C46"/>
    <w:rsid w:val="0023276D"/>
    <w:rsid w:val="00233095"/>
    <w:rsid w:val="002332E4"/>
    <w:rsid w:val="00234264"/>
    <w:rsid w:val="002344FC"/>
    <w:rsid w:val="002345FB"/>
    <w:rsid w:val="00234875"/>
    <w:rsid w:val="00234F6D"/>
    <w:rsid w:val="00234F7B"/>
    <w:rsid w:val="0023557B"/>
    <w:rsid w:val="002356FF"/>
    <w:rsid w:val="00235BE0"/>
    <w:rsid w:val="0023604A"/>
    <w:rsid w:val="002363E0"/>
    <w:rsid w:val="00236EB4"/>
    <w:rsid w:val="0023712E"/>
    <w:rsid w:val="00237724"/>
    <w:rsid w:val="0023772D"/>
    <w:rsid w:val="00237B7C"/>
    <w:rsid w:val="00237DA7"/>
    <w:rsid w:val="00240281"/>
    <w:rsid w:val="00240DB8"/>
    <w:rsid w:val="00240F7D"/>
    <w:rsid w:val="002412CA"/>
    <w:rsid w:val="002417DA"/>
    <w:rsid w:val="00241A5B"/>
    <w:rsid w:val="00241B4E"/>
    <w:rsid w:val="00242249"/>
    <w:rsid w:val="00242382"/>
    <w:rsid w:val="00243511"/>
    <w:rsid w:val="00243686"/>
    <w:rsid w:val="00243AA7"/>
    <w:rsid w:val="00243BF2"/>
    <w:rsid w:val="00244235"/>
    <w:rsid w:val="002446ED"/>
    <w:rsid w:val="00244D65"/>
    <w:rsid w:val="00244E98"/>
    <w:rsid w:val="00245365"/>
    <w:rsid w:val="00245B68"/>
    <w:rsid w:val="00245E0E"/>
    <w:rsid w:val="00245E93"/>
    <w:rsid w:val="00246588"/>
    <w:rsid w:val="00246B1D"/>
    <w:rsid w:val="0024709A"/>
    <w:rsid w:val="002470E4"/>
    <w:rsid w:val="002472CA"/>
    <w:rsid w:val="002478B3"/>
    <w:rsid w:val="002478C5"/>
    <w:rsid w:val="002500FC"/>
    <w:rsid w:val="00250376"/>
    <w:rsid w:val="00250C06"/>
    <w:rsid w:val="00250DC1"/>
    <w:rsid w:val="00250F61"/>
    <w:rsid w:val="002513DB"/>
    <w:rsid w:val="0025142A"/>
    <w:rsid w:val="00251575"/>
    <w:rsid w:val="00251612"/>
    <w:rsid w:val="00251812"/>
    <w:rsid w:val="0025219D"/>
    <w:rsid w:val="002521D7"/>
    <w:rsid w:val="00252345"/>
    <w:rsid w:val="00252452"/>
    <w:rsid w:val="0025269F"/>
    <w:rsid w:val="00253E03"/>
    <w:rsid w:val="00254A1F"/>
    <w:rsid w:val="00255241"/>
    <w:rsid w:val="00255A2E"/>
    <w:rsid w:val="00255CEB"/>
    <w:rsid w:val="00256964"/>
    <w:rsid w:val="00256AFE"/>
    <w:rsid w:val="00256C46"/>
    <w:rsid w:val="00256D9B"/>
    <w:rsid w:val="00256E15"/>
    <w:rsid w:val="0025728A"/>
    <w:rsid w:val="00257B01"/>
    <w:rsid w:val="00257EE2"/>
    <w:rsid w:val="0026001F"/>
    <w:rsid w:val="002605C7"/>
    <w:rsid w:val="00260615"/>
    <w:rsid w:val="002606DE"/>
    <w:rsid w:val="002609C8"/>
    <w:rsid w:val="00260FD4"/>
    <w:rsid w:val="0026114F"/>
    <w:rsid w:val="00261D18"/>
    <w:rsid w:val="00262109"/>
    <w:rsid w:val="00262277"/>
    <w:rsid w:val="002626F8"/>
    <w:rsid w:val="002628B9"/>
    <w:rsid w:val="0026298A"/>
    <w:rsid w:val="002629CB"/>
    <w:rsid w:val="00262AD8"/>
    <w:rsid w:val="00262B5B"/>
    <w:rsid w:val="00262C8A"/>
    <w:rsid w:val="00263078"/>
    <w:rsid w:val="00263589"/>
    <w:rsid w:val="002638AA"/>
    <w:rsid w:val="0026437B"/>
    <w:rsid w:val="0026450C"/>
    <w:rsid w:val="002647C5"/>
    <w:rsid w:val="00264D2C"/>
    <w:rsid w:val="002653C8"/>
    <w:rsid w:val="002655E4"/>
    <w:rsid w:val="00265C47"/>
    <w:rsid w:val="00265FBD"/>
    <w:rsid w:val="0026604D"/>
    <w:rsid w:val="002662CD"/>
    <w:rsid w:val="002669DB"/>
    <w:rsid w:val="00266A7B"/>
    <w:rsid w:val="00266C62"/>
    <w:rsid w:val="00266C6E"/>
    <w:rsid w:val="00266D66"/>
    <w:rsid w:val="00267104"/>
    <w:rsid w:val="00267622"/>
    <w:rsid w:val="00267BD4"/>
    <w:rsid w:val="00270291"/>
    <w:rsid w:val="00270C4C"/>
    <w:rsid w:val="002710F5"/>
    <w:rsid w:val="00271194"/>
    <w:rsid w:val="00271415"/>
    <w:rsid w:val="002716E4"/>
    <w:rsid w:val="002717DA"/>
    <w:rsid w:val="00271B7C"/>
    <w:rsid w:val="00271DD3"/>
    <w:rsid w:val="00271F99"/>
    <w:rsid w:val="002721F8"/>
    <w:rsid w:val="00272997"/>
    <w:rsid w:val="0027299D"/>
    <w:rsid w:val="00272EC3"/>
    <w:rsid w:val="00273294"/>
    <w:rsid w:val="00273605"/>
    <w:rsid w:val="002746CC"/>
    <w:rsid w:val="00275331"/>
    <w:rsid w:val="00275E57"/>
    <w:rsid w:val="002768A3"/>
    <w:rsid w:val="00277253"/>
    <w:rsid w:val="00277590"/>
    <w:rsid w:val="00277F6B"/>
    <w:rsid w:val="002806B6"/>
    <w:rsid w:val="00280CBE"/>
    <w:rsid w:val="00281AC3"/>
    <w:rsid w:val="00281C66"/>
    <w:rsid w:val="00281F20"/>
    <w:rsid w:val="00282213"/>
    <w:rsid w:val="00282215"/>
    <w:rsid w:val="002823B3"/>
    <w:rsid w:val="002824DE"/>
    <w:rsid w:val="002828CC"/>
    <w:rsid w:val="0028296C"/>
    <w:rsid w:val="00282E38"/>
    <w:rsid w:val="002830A9"/>
    <w:rsid w:val="00283205"/>
    <w:rsid w:val="00283705"/>
    <w:rsid w:val="00283DF0"/>
    <w:rsid w:val="00283EC2"/>
    <w:rsid w:val="00284CC8"/>
    <w:rsid w:val="00285913"/>
    <w:rsid w:val="00285A27"/>
    <w:rsid w:val="00286A17"/>
    <w:rsid w:val="00286BBC"/>
    <w:rsid w:val="00286C85"/>
    <w:rsid w:val="00286D19"/>
    <w:rsid w:val="002873F4"/>
    <w:rsid w:val="00287499"/>
    <w:rsid w:val="002875AA"/>
    <w:rsid w:val="0028779F"/>
    <w:rsid w:val="00290041"/>
    <w:rsid w:val="00291523"/>
    <w:rsid w:val="002915F2"/>
    <w:rsid w:val="00291DC7"/>
    <w:rsid w:val="002925FC"/>
    <w:rsid w:val="002928AF"/>
    <w:rsid w:val="002928D9"/>
    <w:rsid w:val="00292EDC"/>
    <w:rsid w:val="00293061"/>
    <w:rsid w:val="002930F9"/>
    <w:rsid w:val="0029356C"/>
    <w:rsid w:val="002936DE"/>
    <w:rsid w:val="002939BA"/>
    <w:rsid w:val="00293B56"/>
    <w:rsid w:val="00293F06"/>
    <w:rsid w:val="00294828"/>
    <w:rsid w:val="00294EAC"/>
    <w:rsid w:val="00295010"/>
    <w:rsid w:val="0029520A"/>
    <w:rsid w:val="002959DA"/>
    <w:rsid w:val="00295CAD"/>
    <w:rsid w:val="00296824"/>
    <w:rsid w:val="00296C11"/>
    <w:rsid w:val="00297653"/>
    <w:rsid w:val="00297760"/>
    <w:rsid w:val="0029799B"/>
    <w:rsid w:val="00297B66"/>
    <w:rsid w:val="002A01D2"/>
    <w:rsid w:val="002A0F17"/>
    <w:rsid w:val="002A13FD"/>
    <w:rsid w:val="002A144F"/>
    <w:rsid w:val="002A2443"/>
    <w:rsid w:val="002A2F4A"/>
    <w:rsid w:val="002A3F80"/>
    <w:rsid w:val="002A4926"/>
    <w:rsid w:val="002A50AE"/>
    <w:rsid w:val="002A50F4"/>
    <w:rsid w:val="002A518D"/>
    <w:rsid w:val="002A51F5"/>
    <w:rsid w:val="002A5769"/>
    <w:rsid w:val="002A5815"/>
    <w:rsid w:val="002A5842"/>
    <w:rsid w:val="002A5980"/>
    <w:rsid w:val="002A5B87"/>
    <w:rsid w:val="002A5C6D"/>
    <w:rsid w:val="002A5EBE"/>
    <w:rsid w:val="002A606A"/>
    <w:rsid w:val="002A6557"/>
    <w:rsid w:val="002A6DD7"/>
    <w:rsid w:val="002A721A"/>
    <w:rsid w:val="002A722B"/>
    <w:rsid w:val="002A75A7"/>
    <w:rsid w:val="002A7888"/>
    <w:rsid w:val="002B07F8"/>
    <w:rsid w:val="002B0B4E"/>
    <w:rsid w:val="002B0DD8"/>
    <w:rsid w:val="002B1C3C"/>
    <w:rsid w:val="002B1D9A"/>
    <w:rsid w:val="002B2028"/>
    <w:rsid w:val="002B2211"/>
    <w:rsid w:val="002B2283"/>
    <w:rsid w:val="002B2423"/>
    <w:rsid w:val="002B45C1"/>
    <w:rsid w:val="002B47D1"/>
    <w:rsid w:val="002B49F1"/>
    <w:rsid w:val="002B5238"/>
    <w:rsid w:val="002B5702"/>
    <w:rsid w:val="002B5BCF"/>
    <w:rsid w:val="002B5C8E"/>
    <w:rsid w:val="002B6753"/>
    <w:rsid w:val="002B6826"/>
    <w:rsid w:val="002B6866"/>
    <w:rsid w:val="002B6DC5"/>
    <w:rsid w:val="002B76BB"/>
    <w:rsid w:val="002B7AFB"/>
    <w:rsid w:val="002C07A9"/>
    <w:rsid w:val="002C0DA3"/>
    <w:rsid w:val="002C1153"/>
    <w:rsid w:val="002C1891"/>
    <w:rsid w:val="002C2002"/>
    <w:rsid w:val="002C22AF"/>
    <w:rsid w:val="002C2496"/>
    <w:rsid w:val="002C2C42"/>
    <w:rsid w:val="002C2C83"/>
    <w:rsid w:val="002C333A"/>
    <w:rsid w:val="002C3868"/>
    <w:rsid w:val="002C3FE3"/>
    <w:rsid w:val="002C4894"/>
    <w:rsid w:val="002C4AD7"/>
    <w:rsid w:val="002C4BBA"/>
    <w:rsid w:val="002C54A0"/>
    <w:rsid w:val="002C5F1C"/>
    <w:rsid w:val="002C60A2"/>
    <w:rsid w:val="002C6CC0"/>
    <w:rsid w:val="002C6DEE"/>
    <w:rsid w:val="002C6E89"/>
    <w:rsid w:val="002C705D"/>
    <w:rsid w:val="002C7072"/>
    <w:rsid w:val="002C71C7"/>
    <w:rsid w:val="002C7CE6"/>
    <w:rsid w:val="002D0059"/>
    <w:rsid w:val="002D06A1"/>
    <w:rsid w:val="002D0E26"/>
    <w:rsid w:val="002D1179"/>
    <w:rsid w:val="002D14B1"/>
    <w:rsid w:val="002D195F"/>
    <w:rsid w:val="002D1A74"/>
    <w:rsid w:val="002D1BF6"/>
    <w:rsid w:val="002D2189"/>
    <w:rsid w:val="002D21F2"/>
    <w:rsid w:val="002D28CC"/>
    <w:rsid w:val="002D2C04"/>
    <w:rsid w:val="002D2D73"/>
    <w:rsid w:val="002D31D9"/>
    <w:rsid w:val="002D3668"/>
    <w:rsid w:val="002D3C84"/>
    <w:rsid w:val="002D40F5"/>
    <w:rsid w:val="002D456E"/>
    <w:rsid w:val="002D4A7D"/>
    <w:rsid w:val="002D5B7D"/>
    <w:rsid w:val="002D6CBA"/>
    <w:rsid w:val="002D7344"/>
    <w:rsid w:val="002D75FA"/>
    <w:rsid w:val="002D78C4"/>
    <w:rsid w:val="002E0C1F"/>
    <w:rsid w:val="002E1334"/>
    <w:rsid w:val="002E13DD"/>
    <w:rsid w:val="002E1AFF"/>
    <w:rsid w:val="002E1B5D"/>
    <w:rsid w:val="002E1E29"/>
    <w:rsid w:val="002E23BF"/>
    <w:rsid w:val="002E2C86"/>
    <w:rsid w:val="002E2CA2"/>
    <w:rsid w:val="002E2DB8"/>
    <w:rsid w:val="002E2FC2"/>
    <w:rsid w:val="002E30AB"/>
    <w:rsid w:val="002E3E5D"/>
    <w:rsid w:val="002E42E8"/>
    <w:rsid w:val="002E47A2"/>
    <w:rsid w:val="002E48E7"/>
    <w:rsid w:val="002E532B"/>
    <w:rsid w:val="002E5B9C"/>
    <w:rsid w:val="002E5EA8"/>
    <w:rsid w:val="002E6171"/>
    <w:rsid w:val="002E62AB"/>
    <w:rsid w:val="002E62C5"/>
    <w:rsid w:val="002E6993"/>
    <w:rsid w:val="002E6B42"/>
    <w:rsid w:val="002E7AC7"/>
    <w:rsid w:val="002F02D3"/>
    <w:rsid w:val="002F0548"/>
    <w:rsid w:val="002F064A"/>
    <w:rsid w:val="002F0BB8"/>
    <w:rsid w:val="002F0D82"/>
    <w:rsid w:val="002F1044"/>
    <w:rsid w:val="002F12D8"/>
    <w:rsid w:val="002F14C0"/>
    <w:rsid w:val="002F2464"/>
    <w:rsid w:val="002F2574"/>
    <w:rsid w:val="002F2822"/>
    <w:rsid w:val="002F28F5"/>
    <w:rsid w:val="002F2F57"/>
    <w:rsid w:val="002F38E5"/>
    <w:rsid w:val="002F3D16"/>
    <w:rsid w:val="002F47E3"/>
    <w:rsid w:val="002F49ED"/>
    <w:rsid w:val="002F4A70"/>
    <w:rsid w:val="002F54CA"/>
    <w:rsid w:val="002F56AA"/>
    <w:rsid w:val="002F5867"/>
    <w:rsid w:val="002F5ABF"/>
    <w:rsid w:val="002F5D0B"/>
    <w:rsid w:val="002F6055"/>
    <w:rsid w:val="002F6597"/>
    <w:rsid w:val="002F6712"/>
    <w:rsid w:val="002F6D9B"/>
    <w:rsid w:val="002F7A17"/>
    <w:rsid w:val="00301045"/>
    <w:rsid w:val="0030114A"/>
    <w:rsid w:val="003018BD"/>
    <w:rsid w:val="00302286"/>
    <w:rsid w:val="003039A4"/>
    <w:rsid w:val="00303CA9"/>
    <w:rsid w:val="00304107"/>
    <w:rsid w:val="003041B9"/>
    <w:rsid w:val="003041DF"/>
    <w:rsid w:val="003042E1"/>
    <w:rsid w:val="003044B8"/>
    <w:rsid w:val="00304645"/>
    <w:rsid w:val="00304C15"/>
    <w:rsid w:val="00304C92"/>
    <w:rsid w:val="00304E32"/>
    <w:rsid w:val="00305C46"/>
    <w:rsid w:val="00305E6B"/>
    <w:rsid w:val="00310EC1"/>
    <w:rsid w:val="003111EE"/>
    <w:rsid w:val="003115D9"/>
    <w:rsid w:val="0031179E"/>
    <w:rsid w:val="003125BA"/>
    <w:rsid w:val="003139EA"/>
    <w:rsid w:val="00313A2A"/>
    <w:rsid w:val="00313AA6"/>
    <w:rsid w:val="003140BC"/>
    <w:rsid w:val="00314216"/>
    <w:rsid w:val="00314370"/>
    <w:rsid w:val="00314655"/>
    <w:rsid w:val="003147F9"/>
    <w:rsid w:val="0031491C"/>
    <w:rsid w:val="003151EC"/>
    <w:rsid w:val="00315213"/>
    <w:rsid w:val="003152C4"/>
    <w:rsid w:val="00315373"/>
    <w:rsid w:val="003160BC"/>
    <w:rsid w:val="003161FA"/>
    <w:rsid w:val="0031664C"/>
    <w:rsid w:val="003167BF"/>
    <w:rsid w:val="00316967"/>
    <w:rsid w:val="00316A61"/>
    <w:rsid w:val="00316DDD"/>
    <w:rsid w:val="00316F00"/>
    <w:rsid w:val="00317356"/>
    <w:rsid w:val="00317553"/>
    <w:rsid w:val="00317D1C"/>
    <w:rsid w:val="00320A25"/>
    <w:rsid w:val="00320AD3"/>
    <w:rsid w:val="00320D87"/>
    <w:rsid w:val="00320E4D"/>
    <w:rsid w:val="003213B4"/>
    <w:rsid w:val="00322339"/>
    <w:rsid w:val="003224F8"/>
    <w:rsid w:val="003227B7"/>
    <w:rsid w:val="00322E38"/>
    <w:rsid w:val="00322FDF"/>
    <w:rsid w:val="00323142"/>
    <w:rsid w:val="00324B29"/>
    <w:rsid w:val="00326BFB"/>
    <w:rsid w:val="00327281"/>
    <w:rsid w:val="003274E0"/>
    <w:rsid w:val="00327BCC"/>
    <w:rsid w:val="003302D7"/>
    <w:rsid w:val="00330547"/>
    <w:rsid w:val="00330A1B"/>
    <w:rsid w:val="00330B70"/>
    <w:rsid w:val="00330EF8"/>
    <w:rsid w:val="0033103F"/>
    <w:rsid w:val="003315E6"/>
    <w:rsid w:val="003315E8"/>
    <w:rsid w:val="00331C9E"/>
    <w:rsid w:val="00331D78"/>
    <w:rsid w:val="0033283F"/>
    <w:rsid w:val="00333215"/>
    <w:rsid w:val="003338FC"/>
    <w:rsid w:val="00333DF5"/>
    <w:rsid w:val="0033442E"/>
    <w:rsid w:val="00334436"/>
    <w:rsid w:val="00334589"/>
    <w:rsid w:val="0033512F"/>
    <w:rsid w:val="003354DA"/>
    <w:rsid w:val="00335872"/>
    <w:rsid w:val="00335F27"/>
    <w:rsid w:val="00336FC1"/>
    <w:rsid w:val="00337113"/>
    <w:rsid w:val="00337353"/>
    <w:rsid w:val="00337900"/>
    <w:rsid w:val="00337E07"/>
    <w:rsid w:val="00340298"/>
    <w:rsid w:val="00340708"/>
    <w:rsid w:val="00340B8B"/>
    <w:rsid w:val="00340CCE"/>
    <w:rsid w:val="00340D71"/>
    <w:rsid w:val="0034111D"/>
    <w:rsid w:val="0034169A"/>
    <w:rsid w:val="00341A41"/>
    <w:rsid w:val="00341FDA"/>
    <w:rsid w:val="00342736"/>
    <w:rsid w:val="00342ACE"/>
    <w:rsid w:val="00342C0B"/>
    <w:rsid w:val="00342E33"/>
    <w:rsid w:val="0034327F"/>
    <w:rsid w:val="003434AD"/>
    <w:rsid w:val="00343896"/>
    <w:rsid w:val="003439E2"/>
    <w:rsid w:val="00343BD3"/>
    <w:rsid w:val="00343C52"/>
    <w:rsid w:val="00344A74"/>
    <w:rsid w:val="003450BA"/>
    <w:rsid w:val="003451FE"/>
    <w:rsid w:val="00345695"/>
    <w:rsid w:val="00345A4C"/>
    <w:rsid w:val="00345B26"/>
    <w:rsid w:val="00345EFE"/>
    <w:rsid w:val="00346B90"/>
    <w:rsid w:val="00346D0F"/>
    <w:rsid w:val="00346DD2"/>
    <w:rsid w:val="00346EDB"/>
    <w:rsid w:val="003474B9"/>
    <w:rsid w:val="00347BC4"/>
    <w:rsid w:val="00347FF5"/>
    <w:rsid w:val="00350081"/>
    <w:rsid w:val="003509F4"/>
    <w:rsid w:val="00350AB7"/>
    <w:rsid w:val="00350BD7"/>
    <w:rsid w:val="00350E0E"/>
    <w:rsid w:val="00350E12"/>
    <w:rsid w:val="003511E9"/>
    <w:rsid w:val="00351FC4"/>
    <w:rsid w:val="0035226E"/>
    <w:rsid w:val="0035258F"/>
    <w:rsid w:val="003531AC"/>
    <w:rsid w:val="003534C6"/>
    <w:rsid w:val="003534F9"/>
    <w:rsid w:val="003536F4"/>
    <w:rsid w:val="00353959"/>
    <w:rsid w:val="00353CA8"/>
    <w:rsid w:val="00353ECE"/>
    <w:rsid w:val="00354419"/>
    <w:rsid w:val="0035489E"/>
    <w:rsid w:val="003548A6"/>
    <w:rsid w:val="00354997"/>
    <w:rsid w:val="00354C40"/>
    <w:rsid w:val="00354C96"/>
    <w:rsid w:val="00354FF3"/>
    <w:rsid w:val="00355225"/>
    <w:rsid w:val="00355955"/>
    <w:rsid w:val="0035644A"/>
    <w:rsid w:val="00356A34"/>
    <w:rsid w:val="00356EB7"/>
    <w:rsid w:val="003577A1"/>
    <w:rsid w:val="00357D9A"/>
    <w:rsid w:val="00357EFD"/>
    <w:rsid w:val="00360973"/>
    <w:rsid w:val="00360D4B"/>
    <w:rsid w:val="003613A4"/>
    <w:rsid w:val="00361405"/>
    <w:rsid w:val="003616D9"/>
    <w:rsid w:val="003624C0"/>
    <w:rsid w:val="00362691"/>
    <w:rsid w:val="00362942"/>
    <w:rsid w:val="00366980"/>
    <w:rsid w:val="00366ADC"/>
    <w:rsid w:val="00366B1E"/>
    <w:rsid w:val="00366D8D"/>
    <w:rsid w:val="00367C0A"/>
    <w:rsid w:val="00367D79"/>
    <w:rsid w:val="00367F44"/>
    <w:rsid w:val="0037034B"/>
    <w:rsid w:val="00370657"/>
    <w:rsid w:val="00370826"/>
    <w:rsid w:val="00371233"/>
    <w:rsid w:val="003715FE"/>
    <w:rsid w:val="00371900"/>
    <w:rsid w:val="0037195E"/>
    <w:rsid w:val="00372D43"/>
    <w:rsid w:val="00373EBA"/>
    <w:rsid w:val="00374013"/>
    <w:rsid w:val="003741FE"/>
    <w:rsid w:val="00374E9C"/>
    <w:rsid w:val="00375412"/>
    <w:rsid w:val="003766CB"/>
    <w:rsid w:val="0037683F"/>
    <w:rsid w:val="003769A6"/>
    <w:rsid w:val="003802B8"/>
    <w:rsid w:val="00380324"/>
    <w:rsid w:val="0038045C"/>
    <w:rsid w:val="003804CD"/>
    <w:rsid w:val="0038069E"/>
    <w:rsid w:val="00380756"/>
    <w:rsid w:val="0038096C"/>
    <w:rsid w:val="00380D9A"/>
    <w:rsid w:val="00381093"/>
    <w:rsid w:val="003817F0"/>
    <w:rsid w:val="00382B69"/>
    <w:rsid w:val="00382C85"/>
    <w:rsid w:val="00384516"/>
    <w:rsid w:val="00384B60"/>
    <w:rsid w:val="00384CF0"/>
    <w:rsid w:val="00384EC3"/>
    <w:rsid w:val="003855E7"/>
    <w:rsid w:val="003857A9"/>
    <w:rsid w:val="00385C87"/>
    <w:rsid w:val="00386B34"/>
    <w:rsid w:val="00386FDC"/>
    <w:rsid w:val="003876B6"/>
    <w:rsid w:val="00387B5B"/>
    <w:rsid w:val="00387BE2"/>
    <w:rsid w:val="003909B9"/>
    <w:rsid w:val="00390D58"/>
    <w:rsid w:val="00391010"/>
    <w:rsid w:val="003912F7"/>
    <w:rsid w:val="00391D38"/>
    <w:rsid w:val="00391DFE"/>
    <w:rsid w:val="003925B8"/>
    <w:rsid w:val="00392636"/>
    <w:rsid w:val="00392741"/>
    <w:rsid w:val="00392A6A"/>
    <w:rsid w:val="00392DEA"/>
    <w:rsid w:val="00393077"/>
    <w:rsid w:val="003930C6"/>
    <w:rsid w:val="003937BB"/>
    <w:rsid w:val="00393D4F"/>
    <w:rsid w:val="00393ECD"/>
    <w:rsid w:val="00394009"/>
    <w:rsid w:val="0039410B"/>
    <w:rsid w:val="003955EE"/>
    <w:rsid w:val="003956AB"/>
    <w:rsid w:val="00395E1A"/>
    <w:rsid w:val="00396345"/>
    <w:rsid w:val="003968FF"/>
    <w:rsid w:val="00396D83"/>
    <w:rsid w:val="003976CD"/>
    <w:rsid w:val="003A025C"/>
    <w:rsid w:val="003A02C1"/>
    <w:rsid w:val="003A052B"/>
    <w:rsid w:val="003A1064"/>
    <w:rsid w:val="003A1EE5"/>
    <w:rsid w:val="003A1F9E"/>
    <w:rsid w:val="003A27A2"/>
    <w:rsid w:val="003A481C"/>
    <w:rsid w:val="003A4E91"/>
    <w:rsid w:val="003A5121"/>
    <w:rsid w:val="003A595F"/>
    <w:rsid w:val="003A5A50"/>
    <w:rsid w:val="003A5E42"/>
    <w:rsid w:val="003A65A9"/>
    <w:rsid w:val="003A6821"/>
    <w:rsid w:val="003A6B87"/>
    <w:rsid w:val="003A77A0"/>
    <w:rsid w:val="003B004E"/>
    <w:rsid w:val="003B0662"/>
    <w:rsid w:val="003B0F3B"/>
    <w:rsid w:val="003B1F4D"/>
    <w:rsid w:val="003B27DC"/>
    <w:rsid w:val="003B3094"/>
    <w:rsid w:val="003B3120"/>
    <w:rsid w:val="003B350C"/>
    <w:rsid w:val="003B392A"/>
    <w:rsid w:val="003B3B2E"/>
    <w:rsid w:val="003B41A0"/>
    <w:rsid w:val="003B4C2E"/>
    <w:rsid w:val="003B56B3"/>
    <w:rsid w:val="003B5847"/>
    <w:rsid w:val="003B6460"/>
    <w:rsid w:val="003B69C1"/>
    <w:rsid w:val="003B6A82"/>
    <w:rsid w:val="003B6BBB"/>
    <w:rsid w:val="003B6E0B"/>
    <w:rsid w:val="003B6F4C"/>
    <w:rsid w:val="003B6FAC"/>
    <w:rsid w:val="003B7BF2"/>
    <w:rsid w:val="003B7E1E"/>
    <w:rsid w:val="003C0BA2"/>
    <w:rsid w:val="003C120C"/>
    <w:rsid w:val="003C12EE"/>
    <w:rsid w:val="003C1E60"/>
    <w:rsid w:val="003C27AD"/>
    <w:rsid w:val="003C2A6B"/>
    <w:rsid w:val="003C30A5"/>
    <w:rsid w:val="003C35C5"/>
    <w:rsid w:val="003C39E7"/>
    <w:rsid w:val="003C429C"/>
    <w:rsid w:val="003C4793"/>
    <w:rsid w:val="003C58E3"/>
    <w:rsid w:val="003C6619"/>
    <w:rsid w:val="003C74C3"/>
    <w:rsid w:val="003C7A40"/>
    <w:rsid w:val="003C7D1B"/>
    <w:rsid w:val="003D0134"/>
    <w:rsid w:val="003D0BE2"/>
    <w:rsid w:val="003D0DAD"/>
    <w:rsid w:val="003D1468"/>
    <w:rsid w:val="003D17AE"/>
    <w:rsid w:val="003D18D1"/>
    <w:rsid w:val="003D1A47"/>
    <w:rsid w:val="003D1B2F"/>
    <w:rsid w:val="003D2162"/>
    <w:rsid w:val="003D219A"/>
    <w:rsid w:val="003D2367"/>
    <w:rsid w:val="003D2437"/>
    <w:rsid w:val="003D271B"/>
    <w:rsid w:val="003D2A2E"/>
    <w:rsid w:val="003D2BF3"/>
    <w:rsid w:val="003D2CF4"/>
    <w:rsid w:val="003D2F30"/>
    <w:rsid w:val="003D2F88"/>
    <w:rsid w:val="003D30E6"/>
    <w:rsid w:val="003D3669"/>
    <w:rsid w:val="003D371B"/>
    <w:rsid w:val="003D3F9A"/>
    <w:rsid w:val="003D4030"/>
    <w:rsid w:val="003D5342"/>
    <w:rsid w:val="003D53F1"/>
    <w:rsid w:val="003D5B03"/>
    <w:rsid w:val="003D5CA1"/>
    <w:rsid w:val="003D5F58"/>
    <w:rsid w:val="003D6299"/>
    <w:rsid w:val="003D745C"/>
    <w:rsid w:val="003D7AE2"/>
    <w:rsid w:val="003E03C3"/>
    <w:rsid w:val="003E0603"/>
    <w:rsid w:val="003E098B"/>
    <w:rsid w:val="003E0BAB"/>
    <w:rsid w:val="003E0E3E"/>
    <w:rsid w:val="003E15EB"/>
    <w:rsid w:val="003E1B78"/>
    <w:rsid w:val="003E1CAE"/>
    <w:rsid w:val="003E2479"/>
    <w:rsid w:val="003E2785"/>
    <w:rsid w:val="003E28FD"/>
    <w:rsid w:val="003E2923"/>
    <w:rsid w:val="003E2D04"/>
    <w:rsid w:val="003E2FD2"/>
    <w:rsid w:val="003E35CD"/>
    <w:rsid w:val="003E3E59"/>
    <w:rsid w:val="003E3F7A"/>
    <w:rsid w:val="003E4525"/>
    <w:rsid w:val="003E4753"/>
    <w:rsid w:val="003E4AF9"/>
    <w:rsid w:val="003E568A"/>
    <w:rsid w:val="003E5E80"/>
    <w:rsid w:val="003E60D1"/>
    <w:rsid w:val="003E60FC"/>
    <w:rsid w:val="003E647C"/>
    <w:rsid w:val="003E68CB"/>
    <w:rsid w:val="003E6B62"/>
    <w:rsid w:val="003E765A"/>
    <w:rsid w:val="003E7A2C"/>
    <w:rsid w:val="003E7D40"/>
    <w:rsid w:val="003F01AA"/>
    <w:rsid w:val="003F01FF"/>
    <w:rsid w:val="003F0DED"/>
    <w:rsid w:val="003F102C"/>
    <w:rsid w:val="003F1871"/>
    <w:rsid w:val="003F1930"/>
    <w:rsid w:val="003F1CA7"/>
    <w:rsid w:val="003F1FB5"/>
    <w:rsid w:val="003F25E6"/>
    <w:rsid w:val="003F2656"/>
    <w:rsid w:val="003F2B7A"/>
    <w:rsid w:val="003F2DFE"/>
    <w:rsid w:val="003F2F12"/>
    <w:rsid w:val="003F3D35"/>
    <w:rsid w:val="003F3E05"/>
    <w:rsid w:val="003F4510"/>
    <w:rsid w:val="003F4E74"/>
    <w:rsid w:val="003F505F"/>
    <w:rsid w:val="003F542C"/>
    <w:rsid w:val="003F5559"/>
    <w:rsid w:val="003F56AE"/>
    <w:rsid w:val="003F5A3C"/>
    <w:rsid w:val="003F5CF5"/>
    <w:rsid w:val="003F6182"/>
    <w:rsid w:val="003F636C"/>
    <w:rsid w:val="003F6EB4"/>
    <w:rsid w:val="003F725D"/>
    <w:rsid w:val="003F743E"/>
    <w:rsid w:val="003F7453"/>
    <w:rsid w:val="003F761A"/>
    <w:rsid w:val="003F7B04"/>
    <w:rsid w:val="003F7D0E"/>
    <w:rsid w:val="00400F9A"/>
    <w:rsid w:val="00401492"/>
    <w:rsid w:val="00402647"/>
    <w:rsid w:val="004028ED"/>
    <w:rsid w:val="00402F7B"/>
    <w:rsid w:val="00403957"/>
    <w:rsid w:val="00403AA5"/>
    <w:rsid w:val="004040C1"/>
    <w:rsid w:val="00404317"/>
    <w:rsid w:val="0040450C"/>
    <w:rsid w:val="0040452A"/>
    <w:rsid w:val="0040465D"/>
    <w:rsid w:val="0040470E"/>
    <w:rsid w:val="00404C38"/>
    <w:rsid w:val="00405126"/>
    <w:rsid w:val="00405265"/>
    <w:rsid w:val="00405846"/>
    <w:rsid w:val="00405F77"/>
    <w:rsid w:val="00405FCD"/>
    <w:rsid w:val="00406C3A"/>
    <w:rsid w:val="00406CC7"/>
    <w:rsid w:val="0040708B"/>
    <w:rsid w:val="00407FDE"/>
    <w:rsid w:val="00410631"/>
    <w:rsid w:val="004110D6"/>
    <w:rsid w:val="00411652"/>
    <w:rsid w:val="00411FE2"/>
    <w:rsid w:val="0041210C"/>
    <w:rsid w:val="00412523"/>
    <w:rsid w:val="00412F18"/>
    <w:rsid w:val="004130DE"/>
    <w:rsid w:val="00413253"/>
    <w:rsid w:val="004133DB"/>
    <w:rsid w:val="00413477"/>
    <w:rsid w:val="00413662"/>
    <w:rsid w:val="00413959"/>
    <w:rsid w:val="00413D55"/>
    <w:rsid w:val="0041424B"/>
    <w:rsid w:val="004143C2"/>
    <w:rsid w:val="00414981"/>
    <w:rsid w:val="00414DA1"/>
    <w:rsid w:val="0041593D"/>
    <w:rsid w:val="00415ED9"/>
    <w:rsid w:val="00415F2E"/>
    <w:rsid w:val="00415F9C"/>
    <w:rsid w:val="0041643F"/>
    <w:rsid w:val="004168B3"/>
    <w:rsid w:val="00416B1F"/>
    <w:rsid w:val="00416C31"/>
    <w:rsid w:val="00417CA7"/>
    <w:rsid w:val="0042095A"/>
    <w:rsid w:val="00420963"/>
    <w:rsid w:val="00420D00"/>
    <w:rsid w:val="00421BBC"/>
    <w:rsid w:val="00421C30"/>
    <w:rsid w:val="00421D88"/>
    <w:rsid w:val="00421E8B"/>
    <w:rsid w:val="00422C47"/>
    <w:rsid w:val="004233DA"/>
    <w:rsid w:val="004233E8"/>
    <w:rsid w:val="004234C8"/>
    <w:rsid w:val="00423A75"/>
    <w:rsid w:val="004245D7"/>
    <w:rsid w:val="0042461D"/>
    <w:rsid w:val="00424D5C"/>
    <w:rsid w:val="004250BF"/>
    <w:rsid w:val="0042533D"/>
    <w:rsid w:val="00425930"/>
    <w:rsid w:val="00425E02"/>
    <w:rsid w:val="004269F5"/>
    <w:rsid w:val="00426C52"/>
    <w:rsid w:val="00426D67"/>
    <w:rsid w:val="004273D3"/>
    <w:rsid w:val="00427CAB"/>
    <w:rsid w:val="00430183"/>
    <w:rsid w:val="004305CE"/>
    <w:rsid w:val="004307B9"/>
    <w:rsid w:val="00430966"/>
    <w:rsid w:val="00430B34"/>
    <w:rsid w:val="00430BBA"/>
    <w:rsid w:val="00430D39"/>
    <w:rsid w:val="00431261"/>
    <w:rsid w:val="00431DB9"/>
    <w:rsid w:val="0043259B"/>
    <w:rsid w:val="0043299E"/>
    <w:rsid w:val="00432B64"/>
    <w:rsid w:val="00432D28"/>
    <w:rsid w:val="00433095"/>
    <w:rsid w:val="00433168"/>
    <w:rsid w:val="00433FC7"/>
    <w:rsid w:val="00434071"/>
    <w:rsid w:val="00434128"/>
    <w:rsid w:val="0043443E"/>
    <w:rsid w:val="00434D26"/>
    <w:rsid w:val="004358F7"/>
    <w:rsid w:val="00435E21"/>
    <w:rsid w:val="00435FB0"/>
    <w:rsid w:val="004362AD"/>
    <w:rsid w:val="00436338"/>
    <w:rsid w:val="0043663A"/>
    <w:rsid w:val="00436B9C"/>
    <w:rsid w:val="00436D28"/>
    <w:rsid w:val="0044028C"/>
    <w:rsid w:val="00440398"/>
    <w:rsid w:val="004404D3"/>
    <w:rsid w:val="0044065C"/>
    <w:rsid w:val="00440C8F"/>
    <w:rsid w:val="00440F81"/>
    <w:rsid w:val="0044122E"/>
    <w:rsid w:val="0044171A"/>
    <w:rsid w:val="00441C3D"/>
    <w:rsid w:val="00441FE4"/>
    <w:rsid w:val="00442280"/>
    <w:rsid w:val="00442386"/>
    <w:rsid w:val="00442949"/>
    <w:rsid w:val="004429A8"/>
    <w:rsid w:val="00442BB1"/>
    <w:rsid w:val="00442BCE"/>
    <w:rsid w:val="00442E18"/>
    <w:rsid w:val="00442ED7"/>
    <w:rsid w:val="00442FF9"/>
    <w:rsid w:val="00443D2A"/>
    <w:rsid w:val="00444A62"/>
    <w:rsid w:val="00445299"/>
    <w:rsid w:val="00445609"/>
    <w:rsid w:val="004456CF"/>
    <w:rsid w:val="004458F8"/>
    <w:rsid w:val="00446794"/>
    <w:rsid w:val="00446BC4"/>
    <w:rsid w:val="00446CD5"/>
    <w:rsid w:val="00446F0D"/>
    <w:rsid w:val="00447429"/>
    <w:rsid w:val="00447B32"/>
    <w:rsid w:val="00447B8B"/>
    <w:rsid w:val="00447FD6"/>
    <w:rsid w:val="00450EAA"/>
    <w:rsid w:val="00451D40"/>
    <w:rsid w:val="0045270E"/>
    <w:rsid w:val="00452792"/>
    <w:rsid w:val="00452800"/>
    <w:rsid w:val="0045301F"/>
    <w:rsid w:val="00454183"/>
    <w:rsid w:val="004543C1"/>
    <w:rsid w:val="004545EA"/>
    <w:rsid w:val="00454AA1"/>
    <w:rsid w:val="00454AD6"/>
    <w:rsid w:val="00454DBF"/>
    <w:rsid w:val="0045505C"/>
    <w:rsid w:val="00455526"/>
    <w:rsid w:val="0045558B"/>
    <w:rsid w:val="00455BC6"/>
    <w:rsid w:val="0045643A"/>
    <w:rsid w:val="004566F9"/>
    <w:rsid w:val="00456791"/>
    <w:rsid w:val="00456D3D"/>
    <w:rsid w:val="00456EB7"/>
    <w:rsid w:val="00457411"/>
    <w:rsid w:val="0046045A"/>
    <w:rsid w:val="004608B9"/>
    <w:rsid w:val="004611FF"/>
    <w:rsid w:val="0046192F"/>
    <w:rsid w:val="00461D44"/>
    <w:rsid w:val="00462588"/>
    <w:rsid w:val="00462B68"/>
    <w:rsid w:val="004631C4"/>
    <w:rsid w:val="00464113"/>
    <w:rsid w:val="00464189"/>
    <w:rsid w:val="00464713"/>
    <w:rsid w:val="00464833"/>
    <w:rsid w:val="00464DD9"/>
    <w:rsid w:val="004651BA"/>
    <w:rsid w:val="004655DB"/>
    <w:rsid w:val="00466004"/>
    <w:rsid w:val="004661C8"/>
    <w:rsid w:val="00466940"/>
    <w:rsid w:val="00466AA7"/>
    <w:rsid w:val="00466C47"/>
    <w:rsid w:val="00466D6F"/>
    <w:rsid w:val="00467692"/>
    <w:rsid w:val="004677F6"/>
    <w:rsid w:val="00470A83"/>
    <w:rsid w:val="00470AAA"/>
    <w:rsid w:val="00470C3C"/>
    <w:rsid w:val="00471518"/>
    <w:rsid w:val="00471C1A"/>
    <w:rsid w:val="00471F41"/>
    <w:rsid w:val="00472548"/>
    <w:rsid w:val="0047375C"/>
    <w:rsid w:val="00474210"/>
    <w:rsid w:val="004745EA"/>
    <w:rsid w:val="004757AC"/>
    <w:rsid w:val="00475A76"/>
    <w:rsid w:val="00475B8B"/>
    <w:rsid w:val="00475C7C"/>
    <w:rsid w:val="004760E5"/>
    <w:rsid w:val="0047630A"/>
    <w:rsid w:val="00476781"/>
    <w:rsid w:val="004768A3"/>
    <w:rsid w:val="00476D61"/>
    <w:rsid w:val="0048007B"/>
    <w:rsid w:val="00480697"/>
    <w:rsid w:val="00480871"/>
    <w:rsid w:val="00480970"/>
    <w:rsid w:val="004812E5"/>
    <w:rsid w:val="0048140B"/>
    <w:rsid w:val="00481556"/>
    <w:rsid w:val="004825BE"/>
    <w:rsid w:val="0048283A"/>
    <w:rsid w:val="0048294C"/>
    <w:rsid w:val="00482EF3"/>
    <w:rsid w:val="00483780"/>
    <w:rsid w:val="0048385E"/>
    <w:rsid w:val="00484B75"/>
    <w:rsid w:val="00485567"/>
    <w:rsid w:val="004859ED"/>
    <w:rsid w:val="00485BE9"/>
    <w:rsid w:val="00486DE4"/>
    <w:rsid w:val="004875A7"/>
    <w:rsid w:val="00487609"/>
    <w:rsid w:val="004879B1"/>
    <w:rsid w:val="00487A12"/>
    <w:rsid w:val="00490112"/>
    <w:rsid w:val="0049029F"/>
    <w:rsid w:val="00490E02"/>
    <w:rsid w:val="00490E3E"/>
    <w:rsid w:val="00491170"/>
    <w:rsid w:val="004912A3"/>
    <w:rsid w:val="00491642"/>
    <w:rsid w:val="00491686"/>
    <w:rsid w:val="00491ACC"/>
    <w:rsid w:val="00491DB5"/>
    <w:rsid w:val="00491E06"/>
    <w:rsid w:val="00491F59"/>
    <w:rsid w:val="00492063"/>
    <w:rsid w:val="00492227"/>
    <w:rsid w:val="004923BB"/>
    <w:rsid w:val="00492F06"/>
    <w:rsid w:val="004931A6"/>
    <w:rsid w:val="0049389F"/>
    <w:rsid w:val="00494672"/>
    <w:rsid w:val="00494992"/>
    <w:rsid w:val="004952B9"/>
    <w:rsid w:val="0049581A"/>
    <w:rsid w:val="00495D2D"/>
    <w:rsid w:val="004965DA"/>
    <w:rsid w:val="00496B71"/>
    <w:rsid w:val="00496BD8"/>
    <w:rsid w:val="00497668"/>
    <w:rsid w:val="004A0548"/>
    <w:rsid w:val="004A0669"/>
    <w:rsid w:val="004A0832"/>
    <w:rsid w:val="004A09F9"/>
    <w:rsid w:val="004A19F1"/>
    <w:rsid w:val="004A28BB"/>
    <w:rsid w:val="004A2E87"/>
    <w:rsid w:val="004A3863"/>
    <w:rsid w:val="004A3BE5"/>
    <w:rsid w:val="004A3C57"/>
    <w:rsid w:val="004A47D0"/>
    <w:rsid w:val="004A4A74"/>
    <w:rsid w:val="004A4C37"/>
    <w:rsid w:val="004A4E8C"/>
    <w:rsid w:val="004A54AC"/>
    <w:rsid w:val="004A585D"/>
    <w:rsid w:val="004A5BDC"/>
    <w:rsid w:val="004A5E84"/>
    <w:rsid w:val="004A679C"/>
    <w:rsid w:val="004A68DC"/>
    <w:rsid w:val="004A6CE1"/>
    <w:rsid w:val="004A7079"/>
    <w:rsid w:val="004B0A24"/>
    <w:rsid w:val="004B0C0E"/>
    <w:rsid w:val="004B15AD"/>
    <w:rsid w:val="004B1AA9"/>
    <w:rsid w:val="004B204E"/>
    <w:rsid w:val="004B207B"/>
    <w:rsid w:val="004B20DB"/>
    <w:rsid w:val="004B2563"/>
    <w:rsid w:val="004B25A3"/>
    <w:rsid w:val="004B26B6"/>
    <w:rsid w:val="004B285B"/>
    <w:rsid w:val="004B2DC1"/>
    <w:rsid w:val="004B2F30"/>
    <w:rsid w:val="004B3072"/>
    <w:rsid w:val="004B31AF"/>
    <w:rsid w:val="004B37BC"/>
    <w:rsid w:val="004B3D21"/>
    <w:rsid w:val="004B4548"/>
    <w:rsid w:val="004B46F8"/>
    <w:rsid w:val="004B4F15"/>
    <w:rsid w:val="004B50D9"/>
    <w:rsid w:val="004B53AE"/>
    <w:rsid w:val="004B5762"/>
    <w:rsid w:val="004B59C6"/>
    <w:rsid w:val="004B5D0A"/>
    <w:rsid w:val="004B6519"/>
    <w:rsid w:val="004B6B63"/>
    <w:rsid w:val="004B6D9E"/>
    <w:rsid w:val="004B712A"/>
    <w:rsid w:val="004B7C90"/>
    <w:rsid w:val="004C02DF"/>
    <w:rsid w:val="004C07B2"/>
    <w:rsid w:val="004C0ED4"/>
    <w:rsid w:val="004C14F9"/>
    <w:rsid w:val="004C4171"/>
    <w:rsid w:val="004C4224"/>
    <w:rsid w:val="004C4A99"/>
    <w:rsid w:val="004C58F4"/>
    <w:rsid w:val="004C6394"/>
    <w:rsid w:val="004C6914"/>
    <w:rsid w:val="004C6A65"/>
    <w:rsid w:val="004C710F"/>
    <w:rsid w:val="004C7929"/>
    <w:rsid w:val="004C7E63"/>
    <w:rsid w:val="004D025D"/>
    <w:rsid w:val="004D0447"/>
    <w:rsid w:val="004D06BF"/>
    <w:rsid w:val="004D0F70"/>
    <w:rsid w:val="004D14EE"/>
    <w:rsid w:val="004D1F1F"/>
    <w:rsid w:val="004D2318"/>
    <w:rsid w:val="004D32B5"/>
    <w:rsid w:val="004D3550"/>
    <w:rsid w:val="004D380C"/>
    <w:rsid w:val="004D3F55"/>
    <w:rsid w:val="004D412C"/>
    <w:rsid w:val="004D45BC"/>
    <w:rsid w:val="004D4743"/>
    <w:rsid w:val="004D4A4D"/>
    <w:rsid w:val="004D5151"/>
    <w:rsid w:val="004D523B"/>
    <w:rsid w:val="004D537E"/>
    <w:rsid w:val="004D564F"/>
    <w:rsid w:val="004D642A"/>
    <w:rsid w:val="004D7182"/>
    <w:rsid w:val="004D76DE"/>
    <w:rsid w:val="004D77D0"/>
    <w:rsid w:val="004E041A"/>
    <w:rsid w:val="004E07C0"/>
    <w:rsid w:val="004E1A42"/>
    <w:rsid w:val="004E232C"/>
    <w:rsid w:val="004E252E"/>
    <w:rsid w:val="004E25C1"/>
    <w:rsid w:val="004E3B67"/>
    <w:rsid w:val="004E4244"/>
    <w:rsid w:val="004E458F"/>
    <w:rsid w:val="004E4CCA"/>
    <w:rsid w:val="004E58D5"/>
    <w:rsid w:val="004E5D39"/>
    <w:rsid w:val="004E62F8"/>
    <w:rsid w:val="004E64A5"/>
    <w:rsid w:val="004E695E"/>
    <w:rsid w:val="004E6A1F"/>
    <w:rsid w:val="004E6AB4"/>
    <w:rsid w:val="004E7189"/>
    <w:rsid w:val="004E7515"/>
    <w:rsid w:val="004E75BA"/>
    <w:rsid w:val="004E7926"/>
    <w:rsid w:val="004E7B82"/>
    <w:rsid w:val="004E7BDA"/>
    <w:rsid w:val="004E7FD1"/>
    <w:rsid w:val="004F013F"/>
    <w:rsid w:val="004F03E8"/>
    <w:rsid w:val="004F083E"/>
    <w:rsid w:val="004F08C1"/>
    <w:rsid w:val="004F0946"/>
    <w:rsid w:val="004F09B3"/>
    <w:rsid w:val="004F0A25"/>
    <w:rsid w:val="004F104D"/>
    <w:rsid w:val="004F23E9"/>
    <w:rsid w:val="004F31E2"/>
    <w:rsid w:val="004F325D"/>
    <w:rsid w:val="004F41EC"/>
    <w:rsid w:val="004F50EA"/>
    <w:rsid w:val="004F5360"/>
    <w:rsid w:val="004F57A5"/>
    <w:rsid w:val="004F58E1"/>
    <w:rsid w:val="004F69E9"/>
    <w:rsid w:val="004F6A67"/>
    <w:rsid w:val="004F6F03"/>
    <w:rsid w:val="004F7046"/>
    <w:rsid w:val="004F73A6"/>
    <w:rsid w:val="004F7AD4"/>
    <w:rsid w:val="0050048F"/>
    <w:rsid w:val="005007B6"/>
    <w:rsid w:val="00500A24"/>
    <w:rsid w:val="00501633"/>
    <w:rsid w:val="005022B6"/>
    <w:rsid w:val="00502584"/>
    <w:rsid w:val="00503038"/>
    <w:rsid w:val="0050346D"/>
    <w:rsid w:val="00503BB3"/>
    <w:rsid w:val="00503CAC"/>
    <w:rsid w:val="00503E9C"/>
    <w:rsid w:val="005048E7"/>
    <w:rsid w:val="00505397"/>
    <w:rsid w:val="005059A3"/>
    <w:rsid w:val="005060DA"/>
    <w:rsid w:val="0050612A"/>
    <w:rsid w:val="0050674D"/>
    <w:rsid w:val="00506C1A"/>
    <w:rsid w:val="00506FA4"/>
    <w:rsid w:val="00506FE4"/>
    <w:rsid w:val="00507489"/>
    <w:rsid w:val="00507704"/>
    <w:rsid w:val="00507BD2"/>
    <w:rsid w:val="00507F56"/>
    <w:rsid w:val="00507FD3"/>
    <w:rsid w:val="0051033B"/>
    <w:rsid w:val="00510AE7"/>
    <w:rsid w:val="00510D30"/>
    <w:rsid w:val="00510FB5"/>
    <w:rsid w:val="0051176D"/>
    <w:rsid w:val="00511855"/>
    <w:rsid w:val="00511A2B"/>
    <w:rsid w:val="00511C8C"/>
    <w:rsid w:val="00511DA0"/>
    <w:rsid w:val="00512147"/>
    <w:rsid w:val="0051265E"/>
    <w:rsid w:val="0051288B"/>
    <w:rsid w:val="00512ABE"/>
    <w:rsid w:val="00512F2D"/>
    <w:rsid w:val="00513304"/>
    <w:rsid w:val="005134B7"/>
    <w:rsid w:val="00513AA7"/>
    <w:rsid w:val="00513B62"/>
    <w:rsid w:val="005141D0"/>
    <w:rsid w:val="0051464A"/>
    <w:rsid w:val="00514EA7"/>
    <w:rsid w:val="0051519C"/>
    <w:rsid w:val="005158A7"/>
    <w:rsid w:val="005158CA"/>
    <w:rsid w:val="005159DD"/>
    <w:rsid w:val="00516392"/>
    <w:rsid w:val="005165C1"/>
    <w:rsid w:val="00516FA3"/>
    <w:rsid w:val="00517332"/>
    <w:rsid w:val="00517394"/>
    <w:rsid w:val="005173CE"/>
    <w:rsid w:val="0051746D"/>
    <w:rsid w:val="00517EC2"/>
    <w:rsid w:val="005209D3"/>
    <w:rsid w:val="00521728"/>
    <w:rsid w:val="005223BD"/>
    <w:rsid w:val="0052248A"/>
    <w:rsid w:val="005227D0"/>
    <w:rsid w:val="00522807"/>
    <w:rsid w:val="005229EB"/>
    <w:rsid w:val="005231B2"/>
    <w:rsid w:val="005231BB"/>
    <w:rsid w:val="0052327C"/>
    <w:rsid w:val="005232A7"/>
    <w:rsid w:val="00523617"/>
    <w:rsid w:val="005238A5"/>
    <w:rsid w:val="0052408A"/>
    <w:rsid w:val="005240E4"/>
    <w:rsid w:val="00524509"/>
    <w:rsid w:val="0052463D"/>
    <w:rsid w:val="00524E7D"/>
    <w:rsid w:val="00525325"/>
    <w:rsid w:val="005255CB"/>
    <w:rsid w:val="00526404"/>
    <w:rsid w:val="005267D1"/>
    <w:rsid w:val="00526901"/>
    <w:rsid w:val="005271E6"/>
    <w:rsid w:val="00527760"/>
    <w:rsid w:val="005278A7"/>
    <w:rsid w:val="005279DB"/>
    <w:rsid w:val="00527C69"/>
    <w:rsid w:val="005300D7"/>
    <w:rsid w:val="00530DEA"/>
    <w:rsid w:val="005310EA"/>
    <w:rsid w:val="00531966"/>
    <w:rsid w:val="00532160"/>
    <w:rsid w:val="00532556"/>
    <w:rsid w:val="005338AD"/>
    <w:rsid w:val="00535409"/>
    <w:rsid w:val="005356E0"/>
    <w:rsid w:val="00535A21"/>
    <w:rsid w:val="00535D1C"/>
    <w:rsid w:val="00536220"/>
    <w:rsid w:val="00536A88"/>
    <w:rsid w:val="00540ADE"/>
    <w:rsid w:val="00540D79"/>
    <w:rsid w:val="00540ECB"/>
    <w:rsid w:val="005414E5"/>
    <w:rsid w:val="0054222A"/>
    <w:rsid w:val="005425C5"/>
    <w:rsid w:val="0054306B"/>
    <w:rsid w:val="005433AF"/>
    <w:rsid w:val="0054350A"/>
    <w:rsid w:val="005435A6"/>
    <w:rsid w:val="0054398F"/>
    <w:rsid w:val="00543AC4"/>
    <w:rsid w:val="00543BC2"/>
    <w:rsid w:val="005441AD"/>
    <w:rsid w:val="00544700"/>
    <w:rsid w:val="00544944"/>
    <w:rsid w:val="005449C0"/>
    <w:rsid w:val="00544BD8"/>
    <w:rsid w:val="00544C31"/>
    <w:rsid w:val="005450DE"/>
    <w:rsid w:val="0054567F"/>
    <w:rsid w:val="00545AA5"/>
    <w:rsid w:val="00545C12"/>
    <w:rsid w:val="00545EBA"/>
    <w:rsid w:val="0054606B"/>
    <w:rsid w:val="00546DF0"/>
    <w:rsid w:val="00546FDC"/>
    <w:rsid w:val="0054707D"/>
    <w:rsid w:val="00547132"/>
    <w:rsid w:val="00547431"/>
    <w:rsid w:val="005477D7"/>
    <w:rsid w:val="00547E79"/>
    <w:rsid w:val="0055000C"/>
    <w:rsid w:val="00550124"/>
    <w:rsid w:val="005505C2"/>
    <w:rsid w:val="005512E6"/>
    <w:rsid w:val="00551638"/>
    <w:rsid w:val="00551ABB"/>
    <w:rsid w:val="00551C73"/>
    <w:rsid w:val="00552B10"/>
    <w:rsid w:val="00552EBE"/>
    <w:rsid w:val="00553372"/>
    <w:rsid w:val="00553820"/>
    <w:rsid w:val="00553C28"/>
    <w:rsid w:val="00553CB0"/>
    <w:rsid w:val="005554FD"/>
    <w:rsid w:val="0055562D"/>
    <w:rsid w:val="0055574A"/>
    <w:rsid w:val="005559CD"/>
    <w:rsid w:val="00555A82"/>
    <w:rsid w:val="00555D3C"/>
    <w:rsid w:val="00556455"/>
    <w:rsid w:val="00556E54"/>
    <w:rsid w:val="0055712A"/>
    <w:rsid w:val="0056003B"/>
    <w:rsid w:val="00560078"/>
    <w:rsid w:val="0056051D"/>
    <w:rsid w:val="00560586"/>
    <w:rsid w:val="0056086E"/>
    <w:rsid w:val="00560D2A"/>
    <w:rsid w:val="00561090"/>
    <w:rsid w:val="005610F5"/>
    <w:rsid w:val="0056124C"/>
    <w:rsid w:val="0056149C"/>
    <w:rsid w:val="00561EFD"/>
    <w:rsid w:val="005622B9"/>
    <w:rsid w:val="00562811"/>
    <w:rsid w:val="00562E42"/>
    <w:rsid w:val="0056337A"/>
    <w:rsid w:val="00563818"/>
    <w:rsid w:val="00563AD8"/>
    <w:rsid w:val="00563DDA"/>
    <w:rsid w:val="005644FC"/>
    <w:rsid w:val="00564B36"/>
    <w:rsid w:val="00564BF9"/>
    <w:rsid w:val="005653DE"/>
    <w:rsid w:val="00566216"/>
    <w:rsid w:val="005667E3"/>
    <w:rsid w:val="00566F08"/>
    <w:rsid w:val="00567368"/>
    <w:rsid w:val="005679C0"/>
    <w:rsid w:val="00567D3B"/>
    <w:rsid w:val="00567D6B"/>
    <w:rsid w:val="00570248"/>
    <w:rsid w:val="005702D2"/>
    <w:rsid w:val="00570562"/>
    <w:rsid w:val="00570D42"/>
    <w:rsid w:val="00571131"/>
    <w:rsid w:val="00571847"/>
    <w:rsid w:val="00573381"/>
    <w:rsid w:val="005745CF"/>
    <w:rsid w:val="005752E1"/>
    <w:rsid w:val="00575E2C"/>
    <w:rsid w:val="00576580"/>
    <w:rsid w:val="0057697D"/>
    <w:rsid w:val="00576A5F"/>
    <w:rsid w:val="0057715E"/>
    <w:rsid w:val="00577391"/>
    <w:rsid w:val="00577C86"/>
    <w:rsid w:val="00577E55"/>
    <w:rsid w:val="0058081D"/>
    <w:rsid w:val="00580F51"/>
    <w:rsid w:val="00581A29"/>
    <w:rsid w:val="00581DD1"/>
    <w:rsid w:val="00582D86"/>
    <w:rsid w:val="005836E9"/>
    <w:rsid w:val="00584310"/>
    <w:rsid w:val="005843DD"/>
    <w:rsid w:val="00584426"/>
    <w:rsid w:val="005844C2"/>
    <w:rsid w:val="00584C91"/>
    <w:rsid w:val="005854A5"/>
    <w:rsid w:val="00585BDB"/>
    <w:rsid w:val="00585D49"/>
    <w:rsid w:val="00585F1F"/>
    <w:rsid w:val="00585FB0"/>
    <w:rsid w:val="005865A9"/>
    <w:rsid w:val="00586AA2"/>
    <w:rsid w:val="00586AC5"/>
    <w:rsid w:val="00586AF3"/>
    <w:rsid w:val="005873D7"/>
    <w:rsid w:val="0058747B"/>
    <w:rsid w:val="0058753A"/>
    <w:rsid w:val="005876F7"/>
    <w:rsid w:val="00590030"/>
    <w:rsid w:val="00590127"/>
    <w:rsid w:val="005901BD"/>
    <w:rsid w:val="00590A6A"/>
    <w:rsid w:val="00590AF2"/>
    <w:rsid w:val="00591076"/>
    <w:rsid w:val="00591B20"/>
    <w:rsid w:val="00592321"/>
    <w:rsid w:val="005925DF"/>
    <w:rsid w:val="00592650"/>
    <w:rsid w:val="00593879"/>
    <w:rsid w:val="00593A58"/>
    <w:rsid w:val="00593E49"/>
    <w:rsid w:val="00594BB7"/>
    <w:rsid w:val="00595EFF"/>
    <w:rsid w:val="00595F50"/>
    <w:rsid w:val="00596060"/>
    <w:rsid w:val="00596266"/>
    <w:rsid w:val="0059665C"/>
    <w:rsid w:val="00596A05"/>
    <w:rsid w:val="00596A84"/>
    <w:rsid w:val="00596CB1"/>
    <w:rsid w:val="00597618"/>
    <w:rsid w:val="005979D9"/>
    <w:rsid w:val="005A0256"/>
    <w:rsid w:val="005A0651"/>
    <w:rsid w:val="005A24DB"/>
    <w:rsid w:val="005A2566"/>
    <w:rsid w:val="005A2B45"/>
    <w:rsid w:val="005A303B"/>
    <w:rsid w:val="005A3237"/>
    <w:rsid w:val="005A33C2"/>
    <w:rsid w:val="005A3C61"/>
    <w:rsid w:val="005A438C"/>
    <w:rsid w:val="005A4D32"/>
    <w:rsid w:val="005A50D4"/>
    <w:rsid w:val="005A53E1"/>
    <w:rsid w:val="005A5536"/>
    <w:rsid w:val="005A5975"/>
    <w:rsid w:val="005A63D1"/>
    <w:rsid w:val="005A6F1B"/>
    <w:rsid w:val="005A6F66"/>
    <w:rsid w:val="005A70AD"/>
    <w:rsid w:val="005A72FA"/>
    <w:rsid w:val="005A7592"/>
    <w:rsid w:val="005B0B74"/>
    <w:rsid w:val="005B17B9"/>
    <w:rsid w:val="005B1B82"/>
    <w:rsid w:val="005B2A09"/>
    <w:rsid w:val="005B2E35"/>
    <w:rsid w:val="005B30A8"/>
    <w:rsid w:val="005B31F3"/>
    <w:rsid w:val="005B32DB"/>
    <w:rsid w:val="005B36D3"/>
    <w:rsid w:val="005B3A3B"/>
    <w:rsid w:val="005B43A1"/>
    <w:rsid w:val="005B43AE"/>
    <w:rsid w:val="005B4A52"/>
    <w:rsid w:val="005B4C16"/>
    <w:rsid w:val="005B4C88"/>
    <w:rsid w:val="005B51A0"/>
    <w:rsid w:val="005B5400"/>
    <w:rsid w:val="005B5622"/>
    <w:rsid w:val="005B58DB"/>
    <w:rsid w:val="005B5AAE"/>
    <w:rsid w:val="005B5B0D"/>
    <w:rsid w:val="005B628E"/>
    <w:rsid w:val="005B64C0"/>
    <w:rsid w:val="005B712D"/>
    <w:rsid w:val="005B7BAB"/>
    <w:rsid w:val="005B7D79"/>
    <w:rsid w:val="005C00E8"/>
    <w:rsid w:val="005C052F"/>
    <w:rsid w:val="005C0BBD"/>
    <w:rsid w:val="005C15C2"/>
    <w:rsid w:val="005C18A6"/>
    <w:rsid w:val="005C1BD9"/>
    <w:rsid w:val="005C2103"/>
    <w:rsid w:val="005C31CA"/>
    <w:rsid w:val="005C4064"/>
    <w:rsid w:val="005C40F3"/>
    <w:rsid w:val="005C4A0B"/>
    <w:rsid w:val="005C4AF2"/>
    <w:rsid w:val="005C6439"/>
    <w:rsid w:val="005C661F"/>
    <w:rsid w:val="005C67E7"/>
    <w:rsid w:val="005C6B64"/>
    <w:rsid w:val="005C7510"/>
    <w:rsid w:val="005C7DAE"/>
    <w:rsid w:val="005C7E50"/>
    <w:rsid w:val="005D0D6F"/>
    <w:rsid w:val="005D0E8D"/>
    <w:rsid w:val="005D10B0"/>
    <w:rsid w:val="005D1435"/>
    <w:rsid w:val="005D178E"/>
    <w:rsid w:val="005D21CA"/>
    <w:rsid w:val="005D2266"/>
    <w:rsid w:val="005D22A2"/>
    <w:rsid w:val="005D2BE4"/>
    <w:rsid w:val="005D3D7C"/>
    <w:rsid w:val="005D43D2"/>
    <w:rsid w:val="005D4634"/>
    <w:rsid w:val="005D4EA5"/>
    <w:rsid w:val="005D4EE4"/>
    <w:rsid w:val="005D52AF"/>
    <w:rsid w:val="005D552D"/>
    <w:rsid w:val="005D5570"/>
    <w:rsid w:val="005D58CF"/>
    <w:rsid w:val="005D6457"/>
    <w:rsid w:val="005D6875"/>
    <w:rsid w:val="005D6C29"/>
    <w:rsid w:val="005D701F"/>
    <w:rsid w:val="005D72B0"/>
    <w:rsid w:val="005D7506"/>
    <w:rsid w:val="005D79FB"/>
    <w:rsid w:val="005E0172"/>
    <w:rsid w:val="005E08A1"/>
    <w:rsid w:val="005E0DCC"/>
    <w:rsid w:val="005E1EA1"/>
    <w:rsid w:val="005E2237"/>
    <w:rsid w:val="005E2B12"/>
    <w:rsid w:val="005E2BB2"/>
    <w:rsid w:val="005E2E61"/>
    <w:rsid w:val="005E2EE0"/>
    <w:rsid w:val="005E2EE6"/>
    <w:rsid w:val="005E32B9"/>
    <w:rsid w:val="005E3318"/>
    <w:rsid w:val="005E3D36"/>
    <w:rsid w:val="005E40CC"/>
    <w:rsid w:val="005E420A"/>
    <w:rsid w:val="005E5F09"/>
    <w:rsid w:val="005E60D8"/>
    <w:rsid w:val="005E6B49"/>
    <w:rsid w:val="005E6E44"/>
    <w:rsid w:val="005E6F1A"/>
    <w:rsid w:val="005E6F8C"/>
    <w:rsid w:val="005E7737"/>
    <w:rsid w:val="005E7E4A"/>
    <w:rsid w:val="005E7ECE"/>
    <w:rsid w:val="005F02B0"/>
    <w:rsid w:val="005F06B4"/>
    <w:rsid w:val="005F086D"/>
    <w:rsid w:val="005F11C1"/>
    <w:rsid w:val="005F1326"/>
    <w:rsid w:val="005F1331"/>
    <w:rsid w:val="005F13A2"/>
    <w:rsid w:val="005F19A7"/>
    <w:rsid w:val="005F2176"/>
    <w:rsid w:val="005F29F4"/>
    <w:rsid w:val="005F2B53"/>
    <w:rsid w:val="005F31AD"/>
    <w:rsid w:val="005F3300"/>
    <w:rsid w:val="005F3463"/>
    <w:rsid w:val="005F492F"/>
    <w:rsid w:val="005F5175"/>
    <w:rsid w:val="005F5472"/>
    <w:rsid w:val="005F58C1"/>
    <w:rsid w:val="005F5EC7"/>
    <w:rsid w:val="005F72F9"/>
    <w:rsid w:val="005F7314"/>
    <w:rsid w:val="005F7528"/>
    <w:rsid w:val="005F7DFA"/>
    <w:rsid w:val="00600064"/>
    <w:rsid w:val="006008F2"/>
    <w:rsid w:val="00600D06"/>
    <w:rsid w:val="00601544"/>
    <w:rsid w:val="006016F5"/>
    <w:rsid w:val="00601FF3"/>
    <w:rsid w:val="0060250C"/>
    <w:rsid w:val="00602DF4"/>
    <w:rsid w:val="00603700"/>
    <w:rsid w:val="0060414E"/>
    <w:rsid w:val="00604626"/>
    <w:rsid w:val="006047A3"/>
    <w:rsid w:val="00605E02"/>
    <w:rsid w:val="006061F6"/>
    <w:rsid w:val="00606214"/>
    <w:rsid w:val="0060638B"/>
    <w:rsid w:val="006068CB"/>
    <w:rsid w:val="00606EB7"/>
    <w:rsid w:val="006071BF"/>
    <w:rsid w:val="0060765F"/>
    <w:rsid w:val="00607B8D"/>
    <w:rsid w:val="00607D27"/>
    <w:rsid w:val="00610757"/>
    <w:rsid w:val="006108C6"/>
    <w:rsid w:val="00610A5E"/>
    <w:rsid w:val="00610F80"/>
    <w:rsid w:val="0061100E"/>
    <w:rsid w:val="0061135F"/>
    <w:rsid w:val="00611537"/>
    <w:rsid w:val="00611D07"/>
    <w:rsid w:val="00611F83"/>
    <w:rsid w:val="00612504"/>
    <w:rsid w:val="00612680"/>
    <w:rsid w:val="006126AC"/>
    <w:rsid w:val="006131AB"/>
    <w:rsid w:val="00613367"/>
    <w:rsid w:val="00613B48"/>
    <w:rsid w:val="00613B93"/>
    <w:rsid w:val="00614523"/>
    <w:rsid w:val="00614AD0"/>
    <w:rsid w:val="00615213"/>
    <w:rsid w:val="00615312"/>
    <w:rsid w:val="00615741"/>
    <w:rsid w:val="00615830"/>
    <w:rsid w:val="00615ADF"/>
    <w:rsid w:val="00615C11"/>
    <w:rsid w:val="00615CB7"/>
    <w:rsid w:val="00615D03"/>
    <w:rsid w:val="00616522"/>
    <w:rsid w:val="00617784"/>
    <w:rsid w:val="006179BB"/>
    <w:rsid w:val="00617B11"/>
    <w:rsid w:val="006202C3"/>
    <w:rsid w:val="00620450"/>
    <w:rsid w:val="006206A7"/>
    <w:rsid w:val="0062082B"/>
    <w:rsid w:val="006208E5"/>
    <w:rsid w:val="00620AFB"/>
    <w:rsid w:val="00620F3D"/>
    <w:rsid w:val="0062146F"/>
    <w:rsid w:val="0062163C"/>
    <w:rsid w:val="006217C0"/>
    <w:rsid w:val="00621A12"/>
    <w:rsid w:val="00621DC4"/>
    <w:rsid w:val="006221E9"/>
    <w:rsid w:val="00622880"/>
    <w:rsid w:val="006228B4"/>
    <w:rsid w:val="00622B61"/>
    <w:rsid w:val="00622D17"/>
    <w:rsid w:val="00622EFF"/>
    <w:rsid w:val="0062315E"/>
    <w:rsid w:val="00623458"/>
    <w:rsid w:val="00623A24"/>
    <w:rsid w:val="00623A74"/>
    <w:rsid w:val="00624050"/>
    <w:rsid w:val="0062438F"/>
    <w:rsid w:val="0062452D"/>
    <w:rsid w:val="00624716"/>
    <w:rsid w:val="00624B30"/>
    <w:rsid w:val="00624F6E"/>
    <w:rsid w:val="0062577B"/>
    <w:rsid w:val="006257A6"/>
    <w:rsid w:val="00625AA9"/>
    <w:rsid w:val="00625D99"/>
    <w:rsid w:val="00625E77"/>
    <w:rsid w:val="006260D0"/>
    <w:rsid w:val="006262CD"/>
    <w:rsid w:val="00626371"/>
    <w:rsid w:val="0062693C"/>
    <w:rsid w:val="00626AE6"/>
    <w:rsid w:val="00626CCA"/>
    <w:rsid w:val="006270E6"/>
    <w:rsid w:val="00627ABD"/>
    <w:rsid w:val="00627B57"/>
    <w:rsid w:val="006302C1"/>
    <w:rsid w:val="0063060A"/>
    <w:rsid w:val="0063090C"/>
    <w:rsid w:val="00630CD7"/>
    <w:rsid w:val="00630E02"/>
    <w:rsid w:val="00631536"/>
    <w:rsid w:val="00631ABD"/>
    <w:rsid w:val="006320A2"/>
    <w:rsid w:val="0063221B"/>
    <w:rsid w:val="006328A3"/>
    <w:rsid w:val="00632993"/>
    <w:rsid w:val="00632B3A"/>
    <w:rsid w:val="00632B5A"/>
    <w:rsid w:val="00632E9B"/>
    <w:rsid w:val="006335F1"/>
    <w:rsid w:val="00635190"/>
    <w:rsid w:val="006353BF"/>
    <w:rsid w:val="006360AD"/>
    <w:rsid w:val="0063698E"/>
    <w:rsid w:val="006379DC"/>
    <w:rsid w:val="00637F06"/>
    <w:rsid w:val="00640688"/>
    <w:rsid w:val="00640738"/>
    <w:rsid w:val="00640E84"/>
    <w:rsid w:val="006417DB"/>
    <w:rsid w:val="00641AB2"/>
    <w:rsid w:val="00641F70"/>
    <w:rsid w:val="00641F84"/>
    <w:rsid w:val="0064233F"/>
    <w:rsid w:val="006426E8"/>
    <w:rsid w:val="00642B46"/>
    <w:rsid w:val="00643A9C"/>
    <w:rsid w:val="00643C50"/>
    <w:rsid w:val="00644B44"/>
    <w:rsid w:val="00644D18"/>
    <w:rsid w:val="00644E4D"/>
    <w:rsid w:val="0064560E"/>
    <w:rsid w:val="00645AAB"/>
    <w:rsid w:val="00646639"/>
    <w:rsid w:val="00646BD4"/>
    <w:rsid w:val="00646D6E"/>
    <w:rsid w:val="00647506"/>
    <w:rsid w:val="006475A9"/>
    <w:rsid w:val="006476B3"/>
    <w:rsid w:val="006479DB"/>
    <w:rsid w:val="00647D60"/>
    <w:rsid w:val="00650024"/>
    <w:rsid w:val="00650408"/>
    <w:rsid w:val="00650D42"/>
    <w:rsid w:val="00650F88"/>
    <w:rsid w:val="00650FC7"/>
    <w:rsid w:val="0065125A"/>
    <w:rsid w:val="00652785"/>
    <w:rsid w:val="00652805"/>
    <w:rsid w:val="00652AEC"/>
    <w:rsid w:val="0065396C"/>
    <w:rsid w:val="0065396E"/>
    <w:rsid w:val="006539AA"/>
    <w:rsid w:val="00653C45"/>
    <w:rsid w:val="00653DA9"/>
    <w:rsid w:val="00653EFE"/>
    <w:rsid w:val="006542E2"/>
    <w:rsid w:val="00654752"/>
    <w:rsid w:val="00654E33"/>
    <w:rsid w:val="00654E4D"/>
    <w:rsid w:val="006551D0"/>
    <w:rsid w:val="006552A7"/>
    <w:rsid w:val="0065533E"/>
    <w:rsid w:val="006557DC"/>
    <w:rsid w:val="00655A8C"/>
    <w:rsid w:val="00656566"/>
    <w:rsid w:val="00656780"/>
    <w:rsid w:val="0065775E"/>
    <w:rsid w:val="00657B1D"/>
    <w:rsid w:val="00657F1A"/>
    <w:rsid w:val="00657FDD"/>
    <w:rsid w:val="00660C55"/>
    <w:rsid w:val="00660ED9"/>
    <w:rsid w:val="006611FB"/>
    <w:rsid w:val="00661792"/>
    <w:rsid w:val="0066188C"/>
    <w:rsid w:val="00662B69"/>
    <w:rsid w:val="0066315A"/>
    <w:rsid w:val="006637F2"/>
    <w:rsid w:val="006639D9"/>
    <w:rsid w:val="0066420D"/>
    <w:rsid w:val="0066485F"/>
    <w:rsid w:val="00665D06"/>
    <w:rsid w:val="00665E25"/>
    <w:rsid w:val="006660DF"/>
    <w:rsid w:val="006661A9"/>
    <w:rsid w:val="0066649D"/>
    <w:rsid w:val="006665A2"/>
    <w:rsid w:val="00666EE6"/>
    <w:rsid w:val="0066709F"/>
    <w:rsid w:val="00667490"/>
    <w:rsid w:val="0066768D"/>
    <w:rsid w:val="006677FE"/>
    <w:rsid w:val="00667844"/>
    <w:rsid w:val="00667A07"/>
    <w:rsid w:val="00670131"/>
    <w:rsid w:val="0067038D"/>
    <w:rsid w:val="00670607"/>
    <w:rsid w:val="00670B49"/>
    <w:rsid w:val="00671544"/>
    <w:rsid w:val="006716B4"/>
    <w:rsid w:val="00671B2E"/>
    <w:rsid w:val="00671D62"/>
    <w:rsid w:val="006727A6"/>
    <w:rsid w:val="00672B1C"/>
    <w:rsid w:val="00672F67"/>
    <w:rsid w:val="00673183"/>
    <w:rsid w:val="006738B2"/>
    <w:rsid w:val="00673CF2"/>
    <w:rsid w:val="00673D94"/>
    <w:rsid w:val="006743E1"/>
    <w:rsid w:val="006751E8"/>
    <w:rsid w:val="00675576"/>
    <w:rsid w:val="00675AEA"/>
    <w:rsid w:val="006760E8"/>
    <w:rsid w:val="006762E0"/>
    <w:rsid w:val="00676589"/>
    <w:rsid w:val="00676C72"/>
    <w:rsid w:val="006800B4"/>
    <w:rsid w:val="00680818"/>
    <w:rsid w:val="006809D7"/>
    <w:rsid w:val="00680A05"/>
    <w:rsid w:val="00681B2F"/>
    <w:rsid w:val="006828B4"/>
    <w:rsid w:val="00682953"/>
    <w:rsid w:val="00683468"/>
    <w:rsid w:val="006834BA"/>
    <w:rsid w:val="00683817"/>
    <w:rsid w:val="006838CF"/>
    <w:rsid w:val="00683989"/>
    <w:rsid w:val="00683F68"/>
    <w:rsid w:val="00684642"/>
    <w:rsid w:val="006849D1"/>
    <w:rsid w:val="00684AE4"/>
    <w:rsid w:val="006850C5"/>
    <w:rsid w:val="00685A2F"/>
    <w:rsid w:val="00685AE9"/>
    <w:rsid w:val="00685D42"/>
    <w:rsid w:val="0068648B"/>
    <w:rsid w:val="006864EB"/>
    <w:rsid w:val="00686AB5"/>
    <w:rsid w:val="00686DE2"/>
    <w:rsid w:val="00686F50"/>
    <w:rsid w:val="006870FE"/>
    <w:rsid w:val="00687863"/>
    <w:rsid w:val="0068790C"/>
    <w:rsid w:val="00687A21"/>
    <w:rsid w:val="00687AB0"/>
    <w:rsid w:val="00687C74"/>
    <w:rsid w:val="00687D01"/>
    <w:rsid w:val="0069005F"/>
    <w:rsid w:val="00690730"/>
    <w:rsid w:val="00690DA5"/>
    <w:rsid w:val="006912D1"/>
    <w:rsid w:val="006914C1"/>
    <w:rsid w:val="00691CFB"/>
    <w:rsid w:val="00691D62"/>
    <w:rsid w:val="006922C9"/>
    <w:rsid w:val="006924DC"/>
    <w:rsid w:val="00692857"/>
    <w:rsid w:val="00692B04"/>
    <w:rsid w:val="0069380B"/>
    <w:rsid w:val="00693ABC"/>
    <w:rsid w:val="006942DF"/>
    <w:rsid w:val="0069535F"/>
    <w:rsid w:val="006955EC"/>
    <w:rsid w:val="0069593E"/>
    <w:rsid w:val="0069679E"/>
    <w:rsid w:val="006967F2"/>
    <w:rsid w:val="00696CF3"/>
    <w:rsid w:val="0069729F"/>
    <w:rsid w:val="0069766C"/>
    <w:rsid w:val="00697CEC"/>
    <w:rsid w:val="006A021D"/>
    <w:rsid w:val="006A09D7"/>
    <w:rsid w:val="006A0F22"/>
    <w:rsid w:val="006A0F55"/>
    <w:rsid w:val="006A1E44"/>
    <w:rsid w:val="006A21F4"/>
    <w:rsid w:val="006A2EDB"/>
    <w:rsid w:val="006A3705"/>
    <w:rsid w:val="006A3882"/>
    <w:rsid w:val="006A3DFA"/>
    <w:rsid w:val="006A508C"/>
    <w:rsid w:val="006A5506"/>
    <w:rsid w:val="006A56C3"/>
    <w:rsid w:val="006A59E5"/>
    <w:rsid w:val="006A6424"/>
    <w:rsid w:val="006A661A"/>
    <w:rsid w:val="006A6B3F"/>
    <w:rsid w:val="006A70A2"/>
    <w:rsid w:val="006A761E"/>
    <w:rsid w:val="006A7AC7"/>
    <w:rsid w:val="006B0263"/>
    <w:rsid w:val="006B047C"/>
    <w:rsid w:val="006B0585"/>
    <w:rsid w:val="006B0775"/>
    <w:rsid w:val="006B0C4A"/>
    <w:rsid w:val="006B107B"/>
    <w:rsid w:val="006B1298"/>
    <w:rsid w:val="006B13F8"/>
    <w:rsid w:val="006B1BBC"/>
    <w:rsid w:val="006B1DF0"/>
    <w:rsid w:val="006B3270"/>
    <w:rsid w:val="006B333D"/>
    <w:rsid w:val="006B3AAC"/>
    <w:rsid w:val="006B409B"/>
    <w:rsid w:val="006B4130"/>
    <w:rsid w:val="006B4551"/>
    <w:rsid w:val="006B457B"/>
    <w:rsid w:val="006B45CF"/>
    <w:rsid w:val="006B4873"/>
    <w:rsid w:val="006B4D51"/>
    <w:rsid w:val="006B61B4"/>
    <w:rsid w:val="006B62B3"/>
    <w:rsid w:val="006B6636"/>
    <w:rsid w:val="006B6B60"/>
    <w:rsid w:val="006B766A"/>
    <w:rsid w:val="006B7898"/>
    <w:rsid w:val="006B7A55"/>
    <w:rsid w:val="006C0209"/>
    <w:rsid w:val="006C0234"/>
    <w:rsid w:val="006C0449"/>
    <w:rsid w:val="006C0AA0"/>
    <w:rsid w:val="006C181C"/>
    <w:rsid w:val="006C1B82"/>
    <w:rsid w:val="006C200F"/>
    <w:rsid w:val="006C3840"/>
    <w:rsid w:val="006C3DF7"/>
    <w:rsid w:val="006C4499"/>
    <w:rsid w:val="006C46D9"/>
    <w:rsid w:val="006C5172"/>
    <w:rsid w:val="006C5201"/>
    <w:rsid w:val="006C5728"/>
    <w:rsid w:val="006C6340"/>
    <w:rsid w:val="006C648C"/>
    <w:rsid w:val="006C6777"/>
    <w:rsid w:val="006C7AFF"/>
    <w:rsid w:val="006C7B67"/>
    <w:rsid w:val="006D00DD"/>
    <w:rsid w:val="006D0748"/>
    <w:rsid w:val="006D0899"/>
    <w:rsid w:val="006D0D40"/>
    <w:rsid w:val="006D0E8C"/>
    <w:rsid w:val="006D0EA0"/>
    <w:rsid w:val="006D1AD0"/>
    <w:rsid w:val="006D22EF"/>
    <w:rsid w:val="006D27B5"/>
    <w:rsid w:val="006D27C5"/>
    <w:rsid w:val="006D299D"/>
    <w:rsid w:val="006D39EE"/>
    <w:rsid w:val="006D3FAD"/>
    <w:rsid w:val="006D4CEF"/>
    <w:rsid w:val="006D4DA5"/>
    <w:rsid w:val="006D5302"/>
    <w:rsid w:val="006D53D1"/>
    <w:rsid w:val="006D53DF"/>
    <w:rsid w:val="006D5CEC"/>
    <w:rsid w:val="006D5EA8"/>
    <w:rsid w:val="006D5F5D"/>
    <w:rsid w:val="006D641B"/>
    <w:rsid w:val="006D6AF7"/>
    <w:rsid w:val="006D6FC9"/>
    <w:rsid w:val="006D7AA8"/>
    <w:rsid w:val="006D7C71"/>
    <w:rsid w:val="006E08F9"/>
    <w:rsid w:val="006E09CE"/>
    <w:rsid w:val="006E11C6"/>
    <w:rsid w:val="006E16B1"/>
    <w:rsid w:val="006E24F7"/>
    <w:rsid w:val="006E29CE"/>
    <w:rsid w:val="006E318E"/>
    <w:rsid w:val="006E3505"/>
    <w:rsid w:val="006E356F"/>
    <w:rsid w:val="006E3688"/>
    <w:rsid w:val="006E3C96"/>
    <w:rsid w:val="006E3DAF"/>
    <w:rsid w:val="006E3EA8"/>
    <w:rsid w:val="006E3F55"/>
    <w:rsid w:val="006E49C7"/>
    <w:rsid w:val="006E4B75"/>
    <w:rsid w:val="006E5DC5"/>
    <w:rsid w:val="006E5E69"/>
    <w:rsid w:val="006E6571"/>
    <w:rsid w:val="006E6659"/>
    <w:rsid w:val="006E6826"/>
    <w:rsid w:val="006E6C28"/>
    <w:rsid w:val="006F01E0"/>
    <w:rsid w:val="006F050B"/>
    <w:rsid w:val="006F0579"/>
    <w:rsid w:val="006F0899"/>
    <w:rsid w:val="006F102D"/>
    <w:rsid w:val="006F1065"/>
    <w:rsid w:val="006F1476"/>
    <w:rsid w:val="006F1B79"/>
    <w:rsid w:val="006F1FBD"/>
    <w:rsid w:val="006F230C"/>
    <w:rsid w:val="006F2AE0"/>
    <w:rsid w:val="006F2D7B"/>
    <w:rsid w:val="006F35D6"/>
    <w:rsid w:val="006F365F"/>
    <w:rsid w:val="006F3C6B"/>
    <w:rsid w:val="006F3EF1"/>
    <w:rsid w:val="006F4547"/>
    <w:rsid w:val="006F4735"/>
    <w:rsid w:val="006F488D"/>
    <w:rsid w:val="006F49EE"/>
    <w:rsid w:val="006F4F83"/>
    <w:rsid w:val="006F51AE"/>
    <w:rsid w:val="006F5737"/>
    <w:rsid w:val="006F64FA"/>
    <w:rsid w:val="006F6785"/>
    <w:rsid w:val="006F6AA7"/>
    <w:rsid w:val="006F6B58"/>
    <w:rsid w:val="006F6FFA"/>
    <w:rsid w:val="006F710F"/>
    <w:rsid w:val="006F7DFD"/>
    <w:rsid w:val="007007F5"/>
    <w:rsid w:val="00700C35"/>
    <w:rsid w:val="00700F56"/>
    <w:rsid w:val="00700FC9"/>
    <w:rsid w:val="00701144"/>
    <w:rsid w:val="00701348"/>
    <w:rsid w:val="007016DC"/>
    <w:rsid w:val="00701806"/>
    <w:rsid w:val="00701CEF"/>
    <w:rsid w:val="00701F2C"/>
    <w:rsid w:val="00702DA1"/>
    <w:rsid w:val="007039AC"/>
    <w:rsid w:val="00703A61"/>
    <w:rsid w:val="00703B92"/>
    <w:rsid w:val="0070467F"/>
    <w:rsid w:val="00704963"/>
    <w:rsid w:val="00704ABA"/>
    <w:rsid w:val="00704B3B"/>
    <w:rsid w:val="00704E53"/>
    <w:rsid w:val="00705608"/>
    <w:rsid w:val="0070584D"/>
    <w:rsid w:val="00705A99"/>
    <w:rsid w:val="00705BF6"/>
    <w:rsid w:val="0070621D"/>
    <w:rsid w:val="00706266"/>
    <w:rsid w:val="00706903"/>
    <w:rsid w:val="00707728"/>
    <w:rsid w:val="0071028E"/>
    <w:rsid w:val="0071030B"/>
    <w:rsid w:val="007103FB"/>
    <w:rsid w:val="007109C6"/>
    <w:rsid w:val="00710E3A"/>
    <w:rsid w:val="00711353"/>
    <w:rsid w:val="00711B9D"/>
    <w:rsid w:val="00712626"/>
    <w:rsid w:val="00712776"/>
    <w:rsid w:val="007130B7"/>
    <w:rsid w:val="007132C0"/>
    <w:rsid w:val="00713304"/>
    <w:rsid w:val="0071358E"/>
    <w:rsid w:val="0071361E"/>
    <w:rsid w:val="00714131"/>
    <w:rsid w:val="00714DC8"/>
    <w:rsid w:val="00714F0E"/>
    <w:rsid w:val="00715032"/>
    <w:rsid w:val="00715152"/>
    <w:rsid w:val="00715BF5"/>
    <w:rsid w:val="00715CE6"/>
    <w:rsid w:val="00715EA0"/>
    <w:rsid w:val="00715FFF"/>
    <w:rsid w:val="00716645"/>
    <w:rsid w:val="00716E34"/>
    <w:rsid w:val="007170CA"/>
    <w:rsid w:val="00717565"/>
    <w:rsid w:val="00717886"/>
    <w:rsid w:val="00720684"/>
    <w:rsid w:val="00720D9A"/>
    <w:rsid w:val="007211A1"/>
    <w:rsid w:val="007218F4"/>
    <w:rsid w:val="00721C47"/>
    <w:rsid w:val="00721ECE"/>
    <w:rsid w:val="007222F0"/>
    <w:rsid w:val="0072270C"/>
    <w:rsid w:val="00722F7D"/>
    <w:rsid w:val="00722FE2"/>
    <w:rsid w:val="0072378A"/>
    <w:rsid w:val="00724706"/>
    <w:rsid w:val="007249C2"/>
    <w:rsid w:val="0072543C"/>
    <w:rsid w:val="00725516"/>
    <w:rsid w:val="00725DEB"/>
    <w:rsid w:val="0072659F"/>
    <w:rsid w:val="007278D1"/>
    <w:rsid w:val="00730764"/>
    <w:rsid w:val="00730B1C"/>
    <w:rsid w:val="00730F9B"/>
    <w:rsid w:val="007315AE"/>
    <w:rsid w:val="00731884"/>
    <w:rsid w:val="0073247A"/>
    <w:rsid w:val="00732FF2"/>
    <w:rsid w:val="007339A9"/>
    <w:rsid w:val="00734F6F"/>
    <w:rsid w:val="0073544D"/>
    <w:rsid w:val="00735556"/>
    <w:rsid w:val="00735E12"/>
    <w:rsid w:val="00735F94"/>
    <w:rsid w:val="00736164"/>
    <w:rsid w:val="007363F4"/>
    <w:rsid w:val="00736CCE"/>
    <w:rsid w:val="00736ED0"/>
    <w:rsid w:val="00737119"/>
    <w:rsid w:val="007372C0"/>
    <w:rsid w:val="00737D21"/>
    <w:rsid w:val="0074019B"/>
    <w:rsid w:val="0074049E"/>
    <w:rsid w:val="007404C5"/>
    <w:rsid w:val="00740850"/>
    <w:rsid w:val="00740B1F"/>
    <w:rsid w:val="00740B3C"/>
    <w:rsid w:val="007422C8"/>
    <w:rsid w:val="007426BA"/>
    <w:rsid w:val="007427A0"/>
    <w:rsid w:val="00743C3C"/>
    <w:rsid w:val="00743CB8"/>
    <w:rsid w:val="00743F16"/>
    <w:rsid w:val="00744039"/>
    <w:rsid w:val="007440F7"/>
    <w:rsid w:val="00744952"/>
    <w:rsid w:val="00744A91"/>
    <w:rsid w:val="00744BE8"/>
    <w:rsid w:val="00744F63"/>
    <w:rsid w:val="00745213"/>
    <w:rsid w:val="007455E2"/>
    <w:rsid w:val="0074596A"/>
    <w:rsid w:val="00745DBE"/>
    <w:rsid w:val="0074612C"/>
    <w:rsid w:val="00746276"/>
    <w:rsid w:val="00746A2D"/>
    <w:rsid w:val="0074704F"/>
    <w:rsid w:val="00747713"/>
    <w:rsid w:val="007477EE"/>
    <w:rsid w:val="00747CCA"/>
    <w:rsid w:val="00750075"/>
    <w:rsid w:val="00750377"/>
    <w:rsid w:val="00751D99"/>
    <w:rsid w:val="007526F6"/>
    <w:rsid w:val="007533D6"/>
    <w:rsid w:val="00753698"/>
    <w:rsid w:val="0075410E"/>
    <w:rsid w:val="00754557"/>
    <w:rsid w:val="00754B92"/>
    <w:rsid w:val="00754F81"/>
    <w:rsid w:val="007557CC"/>
    <w:rsid w:val="00755953"/>
    <w:rsid w:val="00756271"/>
    <w:rsid w:val="00756751"/>
    <w:rsid w:val="0075697C"/>
    <w:rsid w:val="007569D3"/>
    <w:rsid w:val="00756ADD"/>
    <w:rsid w:val="00756E60"/>
    <w:rsid w:val="00756F38"/>
    <w:rsid w:val="0075707A"/>
    <w:rsid w:val="00757E1D"/>
    <w:rsid w:val="00760188"/>
    <w:rsid w:val="0076018A"/>
    <w:rsid w:val="00760326"/>
    <w:rsid w:val="00760329"/>
    <w:rsid w:val="0076046A"/>
    <w:rsid w:val="007607EC"/>
    <w:rsid w:val="00761219"/>
    <w:rsid w:val="00761798"/>
    <w:rsid w:val="00762419"/>
    <w:rsid w:val="007626FD"/>
    <w:rsid w:val="00762B6A"/>
    <w:rsid w:val="00762C23"/>
    <w:rsid w:val="00762FA6"/>
    <w:rsid w:val="00763694"/>
    <w:rsid w:val="00763ABB"/>
    <w:rsid w:val="00763B3F"/>
    <w:rsid w:val="00763FD4"/>
    <w:rsid w:val="00764266"/>
    <w:rsid w:val="007644D8"/>
    <w:rsid w:val="00764600"/>
    <w:rsid w:val="007647F0"/>
    <w:rsid w:val="00764C68"/>
    <w:rsid w:val="007658AF"/>
    <w:rsid w:val="0076623C"/>
    <w:rsid w:val="007676F4"/>
    <w:rsid w:val="00767AB3"/>
    <w:rsid w:val="00767E9D"/>
    <w:rsid w:val="0077126F"/>
    <w:rsid w:val="00771F4A"/>
    <w:rsid w:val="00772ED0"/>
    <w:rsid w:val="00773198"/>
    <w:rsid w:val="007731B8"/>
    <w:rsid w:val="00773C59"/>
    <w:rsid w:val="00773E21"/>
    <w:rsid w:val="00773F4E"/>
    <w:rsid w:val="007740A5"/>
    <w:rsid w:val="007746B3"/>
    <w:rsid w:val="007748F9"/>
    <w:rsid w:val="00775323"/>
    <w:rsid w:val="00775484"/>
    <w:rsid w:val="0077549B"/>
    <w:rsid w:val="00775563"/>
    <w:rsid w:val="0077581E"/>
    <w:rsid w:val="00775F8B"/>
    <w:rsid w:val="007761A5"/>
    <w:rsid w:val="00776AF6"/>
    <w:rsid w:val="00777111"/>
    <w:rsid w:val="0077749A"/>
    <w:rsid w:val="00777971"/>
    <w:rsid w:val="00777B00"/>
    <w:rsid w:val="00777B9F"/>
    <w:rsid w:val="00777F5E"/>
    <w:rsid w:val="007801C1"/>
    <w:rsid w:val="00780413"/>
    <w:rsid w:val="007807B0"/>
    <w:rsid w:val="007809F1"/>
    <w:rsid w:val="00780C3E"/>
    <w:rsid w:val="00781841"/>
    <w:rsid w:val="0078258F"/>
    <w:rsid w:val="00782756"/>
    <w:rsid w:val="00782AE6"/>
    <w:rsid w:val="00782B51"/>
    <w:rsid w:val="00782FBE"/>
    <w:rsid w:val="00783BAE"/>
    <w:rsid w:val="007840EA"/>
    <w:rsid w:val="007842BD"/>
    <w:rsid w:val="007843CE"/>
    <w:rsid w:val="007846CD"/>
    <w:rsid w:val="0078476F"/>
    <w:rsid w:val="00784B2A"/>
    <w:rsid w:val="00784C62"/>
    <w:rsid w:val="00784E1C"/>
    <w:rsid w:val="00785055"/>
    <w:rsid w:val="007850BC"/>
    <w:rsid w:val="007850FC"/>
    <w:rsid w:val="0078620C"/>
    <w:rsid w:val="00787A93"/>
    <w:rsid w:val="00787B6F"/>
    <w:rsid w:val="00787C1C"/>
    <w:rsid w:val="007901AE"/>
    <w:rsid w:val="007905DF"/>
    <w:rsid w:val="007906B7"/>
    <w:rsid w:val="00790CAF"/>
    <w:rsid w:val="00790E16"/>
    <w:rsid w:val="00791650"/>
    <w:rsid w:val="00791BC4"/>
    <w:rsid w:val="00792193"/>
    <w:rsid w:val="0079251B"/>
    <w:rsid w:val="00792933"/>
    <w:rsid w:val="00793081"/>
    <w:rsid w:val="007936B1"/>
    <w:rsid w:val="00793A20"/>
    <w:rsid w:val="007940B4"/>
    <w:rsid w:val="007941CD"/>
    <w:rsid w:val="0079422C"/>
    <w:rsid w:val="00795357"/>
    <w:rsid w:val="00796604"/>
    <w:rsid w:val="00796DD6"/>
    <w:rsid w:val="0079775F"/>
    <w:rsid w:val="00797D8F"/>
    <w:rsid w:val="00797F44"/>
    <w:rsid w:val="007A0663"/>
    <w:rsid w:val="007A12BD"/>
    <w:rsid w:val="007A1332"/>
    <w:rsid w:val="007A18FB"/>
    <w:rsid w:val="007A212F"/>
    <w:rsid w:val="007A2287"/>
    <w:rsid w:val="007A230F"/>
    <w:rsid w:val="007A2807"/>
    <w:rsid w:val="007A2948"/>
    <w:rsid w:val="007A2B59"/>
    <w:rsid w:val="007A2C08"/>
    <w:rsid w:val="007A3F30"/>
    <w:rsid w:val="007A40AA"/>
    <w:rsid w:val="007A484F"/>
    <w:rsid w:val="007A4DF7"/>
    <w:rsid w:val="007A4F19"/>
    <w:rsid w:val="007A593A"/>
    <w:rsid w:val="007A60B2"/>
    <w:rsid w:val="007A6171"/>
    <w:rsid w:val="007A650D"/>
    <w:rsid w:val="007A684C"/>
    <w:rsid w:val="007A6CA6"/>
    <w:rsid w:val="007A7022"/>
    <w:rsid w:val="007A7056"/>
    <w:rsid w:val="007A724D"/>
    <w:rsid w:val="007A72B0"/>
    <w:rsid w:val="007A74AE"/>
    <w:rsid w:val="007A7605"/>
    <w:rsid w:val="007A7818"/>
    <w:rsid w:val="007B017C"/>
    <w:rsid w:val="007B0491"/>
    <w:rsid w:val="007B0504"/>
    <w:rsid w:val="007B059A"/>
    <w:rsid w:val="007B06CF"/>
    <w:rsid w:val="007B0724"/>
    <w:rsid w:val="007B0976"/>
    <w:rsid w:val="007B0F4F"/>
    <w:rsid w:val="007B14CC"/>
    <w:rsid w:val="007B1DCA"/>
    <w:rsid w:val="007B237D"/>
    <w:rsid w:val="007B277B"/>
    <w:rsid w:val="007B2B57"/>
    <w:rsid w:val="007B2BD0"/>
    <w:rsid w:val="007B2F17"/>
    <w:rsid w:val="007B32E9"/>
    <w:rsid w:val="007B382C"/>
    <w:rsid w:val="007B548A"/>
    <w:rsid w:val="007B5B01"/>
    <w:rsid w:val="007B6098"/>
    <w:rsid w:val="007B684E"/>
    <w:rsid w:val="007B6CA0"/>
    <w:rsid w:val="007B6DA4"/>
    <w:rsid w:val="007B7A88"/>
    <w:rsid w:val="007B7B22"/>
    <w:rsid w:val="007B7C0B"/>
    <w:rsid w:val="007C0830"/>
    <w:rsid w:val="007C0C4C"/>
    <w:rsid w:val="007C0C6F"/>
    <w:rsid w:val="007C0F32"/>
    <w:rsid w:val="007C11D3"/>
    <w:rsid w:val="007C227F"/>
    <w:rsid w:val="007C2553"/>
    <w:rsid w:val="007C29FA"/>
    <w:rsid w:val="007C2EDF"/>
    <w:rsid w:val="007C2F4C"/>
    <w:rsid w:val="007C33DA"/>
    <w:rsid w:val="007C438B"/>
    <w:rsid w:val="007C4876"/>
    <w:rsid w:val="007C49B4"/>
    <w:rsid w:val="007C6153"/>
    <w:rsid w:val="007C67E6"/>
    <w:rsid w:val="007C7A3B"/>
    <w:rsid w:val="007C7AD1"/>
    <w:rsid w:val="007C7F1E"/>
    <w:rsid w:val="007D025E"/>
    <w:rsid w:val="007D03BE"/>
    <w:rsid w:val="007D16F8"/>
    <w:rsid w:val="007D17DC"/>
    <w:rsid w:val="007D1B26"/>
    <w:rsid w:val="007D2637"/>
    <w:rsid w:val="007D45BC"/>
    <w:rsid w:val="007D4C4C"/>
    <w:rsid w:val="007D5614"/>
    <w:rsid w:val="007D5A75"/>
    <w:rsid w:val="007D619B"/>
    <w:rsid w:val="007D72A9"/>
    <w:rsid w:val="007D72C0"/>
    <w:rsid w:val="007D72CE"/>
    <w:rsid w:val="007D7653"/>
    <w:rsid w:val="007D7934"/>
    <w:rsid w:val="007D7A7C"/>
    <w:rsid w:val="007D7AE6"/>
    <w:rsid w:val="007D7B8D"/>
    <w:rsid w:val="007E00D4"/>
    <w:rsid w:val="007E026A"/>
    <w:rsid w:val="007E048F"/>
    <w:rsid w:val="007E08B0"/>
    <w:rsid w:val="007E0971"/>
    <w:rsid w:val="007E0AD2"/>
    <w:rsid w:val="007E0B82"/>
    <w:rsid w:val="007E101A"/>
    <w:rsid w:val="007E10D0"/>
    <w:rsid w:val="007E119A"/>
    <w:rsid w:val="007E1227"/>
    <w:rsid w:val="007E16D1"/>
    <w:rsid w:val="007E1AFE"/>
    <w:rsid w:val="007E1BB6"/>
    <w:rsid w:val="007E233F"/>
    <w:rsid w:val="007E2A59"/>
    <w:rsid w:val="007E2B9A"/>
    <w:rsid w:val="007E3151"/>
    <w:rsid w:val="007E324E"/>
    <w:rsid w:val="007E32B9"/>
    <w:rsid w:val="007E34A0"/>
    <w:rsid w:val="007E34A9"/>
    <w:rsid w:val="007E34BC"/>
    <w:rsid w:val="007E35F3"/>
    <w:rsid w:val="007E369F"/>
    <w:rsid w:val="007E3954"/>
    <w:rsid w:val="007E3F4D"/>
    <w:rsid w:val="007E45DE"/>
    <w:rsid w:val="007E4A21"/>
    <w:rsid w:val="007E4C00"/>
    <w:rsid w:val="007E4C19"/>
    <w:rsid w:val="007E5125"/>
    <w:rsid w:val="007E5571"/>
    <w:rsid w:val="007E5A47"/>
    <w:rsid w:val="007E5FAA"/>
    <w:rsid w:val="007E6341"/>
    <w:rsid w:val="007E6995"/>
    <w:rsid w:val="007E742C"/>
    <w:rsid w:val="007E745B"/>
    <w:rsid w:val="007E74E3"/>
    <w:rsid w:val="007E7E59"/>
    <w:rsid w:val="007F129E"/>
    <w:rsid w:val="007F213F"/>
    <w:rsid w:val="007F2722"/>
    <w:rsid w:val="007F2856"/>
    <w:rsid w:val="007F2954"/>
    <w:rsid w:val="007F2A25"/>
    <w:rsid w:val="007F2A95"/>
    <w:rsid w:val="007F2C87"/>
    <w:rsid w:val="007F2E47"/>
    <w:rsid w:val="007F3114"/>
    <w:rsid w:val="007F3F8D"/>
    <w:rsid w:val="007F4226"/>
    <w:rsid w:val="007F4388"/>
    <w:rsid w:val="007F450A"/>
    <w:rsid w:val="007F4ABB"/>
    <w:rsid w:val="007F4E12"/>
    <w:rsid w:val="007F52C6"/>
    <w:rsid w:val="007F566C"/>
    <w:rsid w:val="007F6235"/>
    <w:rsid w:val="007F626C"/>
    <w:rsid w:val="007F67D1"/>
    <w:rsid w:val="007F68ED"/>
    <w:rsid w:val="007F6D3E"/>
    <w:rsid w:val="007F7393"/>
    <w:rsid w:val="007F76B3"/>
    <w:rsid w:val="007F7D2A"/>
    <w:rsid w:val="007F7DB9"/>
    <w:rsid w:val="00800436"/>
    <w:rsid w:val="008007B4"/>
    <w:rsid w:val="00801932"/>
    <w:rsid w:val="00801C2E"/>
    <w:rsid w:val="00801D3A"/>
    <w:rsid w:val="0080211A"/>
    <w:rsid w:val="00802141"/>
    <w:rsid w:val="00802368"/>
    <w:rsid w:val="00802E6F"/>
    <w:rsid w:val="00803305"/>
    <w:rsid w:val="00803826"/>
    <w:rsid w:val="008038D0"/>
    <w:rsid w:val="00803F39"/>
    <w:rsid w:val="00804361"/>
    <w:rsid w:val="00804671"/>
    <w:rsid w:val="00804882"/>
    <w:rsid w:val="00804941"/>
    <w:rsid w:val="00805044"/>
    <w:rsid w:val="00805414"/>
    <w:rsid w:val="00805937"/>
    <w:rsid w:val="00805BE1"/>
    <w:rsid w:val="00805CC0"/>
    <w:rsid w:val="00805E20"/>
    <w:rsid w:val="0080607F"/>
    <w:rsid w:val="00806153"/>
    <w:rsid w:val="008061FE"/>
    <w:rsid w:val="0080623A"/>
    <w:rsid w:val="0080679E"/>
    <w:rsid w:val="00806D56"/>
    <w:rsid w:val="00806F7F"/>
    <w:rsid w:val="0080714F"/>
    <w:rsid w:val="00807ADC"/>
    <w:rsid w:val="00807CDC"/>
    <w:rsid w:val="00807ECA"/>
    <w:rsid w:val="008108EE"/>
    <w:rsid w:val="00810B98"/>
    <w:rsid w:val="00810D05"/>
    <w:rsid w:val="00810F11"/>
    <w:rsid w:val="00811471"/>
    <w:rsid w:val="00811670"/>
    <w:rsid w:val="00811682"/>
    <w:rsid w:val="00811E8B"/>
    <w:rsid w:val="008120DE"/>
    <w:rsid w:val="00812406"/>
    <w:rsid w:val="0081301E"/>
    <w:rsid w:val="00813897"/>
    <w:rsid w:val="00813C22"/>
    <w:rsid w:val="00813DBF"/>
    <w:rsid w:val="008148D8"/>
    <w:rsid w:val="00814909"/>
    <w:rsid w:val="008151ED"/>
    <w:rsid w:val="00815922"/>
    <w:rsid w:val="008162BF"/>
    <w:rsid w:val="008169DE"/>
    <w:rsid w:val="00816AA7"/>
    <w:rsid w:val="00816B7F"/>
    <w:rsid w:val="00817043"/>
    <w:rsid w:val="008171AF"/>
    <w:rsid w:val="0081797B"/>
    <w:rsid w:val="0082003A"/>
    <w:rsid w:val="008200D3"/>
    <w:rsid w:val="008201D1"/>
    <w:rsid w:val="00820924"/>
    <w:rsid w:val="00821527"/>
    <w:rsid w:val="00821FF8"/>
    <w:rsid w:val="008220AD"/>
    <w:rsid w:val="0082255E"/>
    <w:rsid w:val="00822746"/>
    <w:rsid w:val="00822F87"/>
    <w:rsid w:val="0082316A"/>
    <w:rsid w:val="00823C1E"/>
    <w:rsid w:val="00824F04"/>
    <w:rsid w:val="00825249"/>
    <w:rsid w:val="008252D3"/>
    <w:rsid w:val="00825438"/>
    <w:rsid w:val="00825885"/>
    <w:rsid w:val="00826381"/>
    <w:rsid w:val="008263C1"/>
    <w:rsid w:val="00826497"/>
    <w:rsid w:val="0082658B"/>
    <w:rsid w:val="008267AC"/>
    <w:rsid w:val="00826D3E"/>
    <w:rsid w:val="008270CB"/>
    <w:rsid w:val="008271A6"/>
    <w:rsid w:val="008271F9"/>
    <w:rsid w:val="00827846"/>
    <w:rsid w:val="00830BCD"/>
    <w:rsid w:val="00830E9B"/>
    <w:rsid w:val="00830F8A"/>
    <w:rsid w:val="0083249C"/>
    <w:rsid w:val="008325AA"/>
    <w:rsid w:val="00832ECC"/>
    <w:rsid w:val="008330F6"/>
    <w:rsid w:val="008331E1"/>
    <w:rsid w:val="00833841"/>
    <w:rsid w:val="00833AC0"/>
    <w:rsid w:val="00833B13"/>
    <w:rsid w:val="00833B57"/>
    <w:rsid w:val="00833B96"/>
    <w:rsid w:val="008343E4"/>
    <w:rsid w:val="00834BE7"/>
    <w:rsid w:val="008353EA"/>
    <w:rsid w:val="00835692"/>
    <w:rsid w:val="00835C01"/>
    <w:rsid w:val="00835C8A"/>
    <w:rsid w:val="00835E64"/>
    <w:rsid w:val="00836016"/>
    <w:rsid w:val="00836411"/>
    <w:rsid w:val="00836509"/>
    <w:rsid w:val="0083650F"/>
    <w:rsid w:val="00836581"/>
    <w:rsid w:val="0083675F"/>
    <w:rsid w:val="00836D87"/>
    <w:rsid w:val="00836EF8"/>
    <w:rsid w:val="00837C34"/>
    <w:rsid w:val="00837EE7"/>
    <w:rsid w:val="00840087"/>
    <w:rsid w:val="0084019E"/>
    <w:rsid w:val="00840987"/>
    <w:rsid w:val="00840BF5"/>
    <w:rsid w:val="00841DE7"/>
    <w:rsid w:val="0084275D"/>
    <w:rsid w:val="00843098"/>
    <w:rsid w:val="008432F2"/>
    <w:rsid w:val="00843CB7"/>
    <w:rsid w:val="00843FC2"/>
    <w:rsid w:val="00844B5B"/>
    <w:rsid w:val="00845331"/>
    <w:rsid w:val="008457D2"/>
    <w:rsid w:val="00846651"/>
    <w:rsid w:val="00846691"/>
    <w:rsid w:val="008467CE"/>
    <w:rsid w:val="00846972"/>
    <w:rsid w:val="0084697F"/>
    <w:rsid w:val="00846C72"/>
    <w:rsid w:val="00846F67"/>
    <w:rsid w:val="00846F8E"/>
    <w:rsid w:val="00846F8F"/>
    <w:rsid w:val="00846FC4"/>
    <w:rsid w:val="008470EA"/>
    <w:rsid w:val="008473BA"/>
    <w:rsid w:val="00847C6A"/>
    <w:rsid w:val="008502B1"/>
    <w:rsid w:val="008507DB"/>
    <w:rsid w:val="008509BD"/>
    <w:rsid w:val="00851472"/>
    <w:rsid w:val="0085152C"/>
    <w:rsid w:val="008522A0"/>
    <w:rsid w:val="008525C6"/>
    <w:rsid w:val="008527A2"/>
    <w:rsid w:val="008527AF"/>
    <w:rsid w:val="008528C2"/>
    <w:rsid w:val="00852997"/>
    <w:rsid w:val="00852AEE"/>
    <w:rsid w:val="008531C1"/>
    <w:rsid w:val="00853966"/>
    <w:rsid w:val="00853D04"/>
    <w:rsid w:val="00853E2B"/>
    <w:rsid w:val="008542F2"/>
    <w:rsid w:val="008543B3"/>
    <w:rsid w:val="00854FCC"/>
    <w:rsid w:val="00855388"/>
    <w:rsid w:val="00855B28"/>
    <w:rsid w:val="00855E6A"/>
    <w:rsid w:val="00855F95"/>
    <w:rsid w:val="0085666F"/>
    <w:rsid w:val="00857254"/>
    <w:rsid w:val="00857498"/>
    <w:rsid w:val="00857A8F"/>
    <w:rsid w:val="00857BA4"/>
    <w:rsid w:val="00857BB0"/>
    <w:rsid w:val="008601B6"/>
    <w:rsid w:val="00860271"/>
    <w:rsid w:val="0086101D"/>
    <w:rsid w:val="00861507"/>
    <w:rsid w:val="0086152B"/>
    <w:rsid w:val="00861F94"/>
    <w:rsid w:val="0086249E"/>
    <w:rsid w:val="00862681"/>
    <w:rsid w:val="00863040"/>
    <w:rsid w:val="0086305C"/>
    <w:rsid w:val="0086325A"/>
    <w:rsid w:val="0086388A"/>
    <w:rsid w:val="008639B7"/>
    <w:rsid w:val="00863BAA"/>
    <w:rsid w:val="00863FCB"/>
    <w:rsid w:val="00864266"/>
    <w:rsid w:val="008643CE"/>
    <w:rsid w:val="00864BE7"/>
    <w:rsid w:val="00864C1F"/>
    <w:rsid w:val="008659C1"/>
    <w:rsid w:val="0086623C"/>
    <w:rsid w:val="0086631F"/>
    <w:rsid w:val="00866322"/>
    <w:rsid w:val="008664E5"/>
    <w:rsid w:val="00867361"/>
    <w:rsid w:val="00867C1E"/>
    <w:rsid w:val="008706FE"/>
    <w:rsid w:val="0087073B"/>
    <w:rsid w:val="00870C0D"/>
    <w:rsid w:val="00870E01"/>
    <w:rsid w:val="0087162A"/>
    <w:rsid w:val="0087182E"/>
    <w:rsid w:val="00871E9C"/>
    <w:rsid w:val="00871EB7"/>
    <w:rsid w:val="0087294A"/>
    <w:rsid w:val="00872B69"/>
    <w:rsid w:val="00872BAD"/>
    <w:rsid w:val="00872DC2"/>
    <w:rsid w:val="008730FE"/>
    <w:rsid w:val="0087338A"/>
    <w:rsid w:val="00873E3B"/>
    <w:rsid w:val="0087458B"/>
    <w:rsid w:val="008747C9"/>
    <w:rsid w:val="00874DFA"/>
    <w:rsid w:val="00874E2A"/>
    <w:rsid w:val="008758A4"/>
    <w:rsid w:val="00876EBB"/>
    <w:rsid w:val="00877974"/>
    <w:rsid w:val="00877B6C"/>
    <w:rsid w:val="00880244"/>
    <w:rsid w:val="00880515"/>
    <w:rsid w:val="00880CE3"/>
    <w:rsid w:val="0088132D"/>
    <w:rsid w:val="00881904"/>
    <w:rsid w:val="00881961"/>
    <w:rsid w:val="00881997"/>
    <w:rsid w:val="00881C7E"/>
    <w:rsid w:val="00882199"/>
    <w:rsid w:val="0088246B"/>
    <w:rsid w:val="00882996"/>
    <w:rsid w:val="008829DE"/>
    <w:rsid w:val="00882A25"/>
    <w:rsid w:val="00882EC7"/>
    <w:rsid w:val="008830AC"/>
    <w:rsid w:val="00883100"/>
    <w:rsid w:val="008833EB"/>
    <w:rsid w:val="00883B8C"/>
    <w:rsid w:val="00883DB6"/>
    <w:rsid w:val="00883DC5"/>
    <w:rsid w:val="008841F4"/>
    <w:rsid w:val="00884255"/>
    <w:rsid w:val="008846B0"/>
    <w:rsid w:val="00884CC3"/>
    <w:rsid w:val="0088546C"/>
    <w:rsid w:val="0088580C"/>
    <w:rsid w:val="00885CEC"/>
    <w:rsid w:val="00885D5A"/>
    <w:rsid w:val="00885DC9"/>
    <w:rsid w:val="00885DDD"/>
    <w:rsid w:val="00886114"/>
    <w:rsid w:val="008868F6"/>
    <w:rsid w:val="0088720D"/>
    <w:rsid w:val="008875CD"/>
    <w:rsid w:val="008901DC"/>
    <w:rsid w:val="00890737"/>
    <w:rsid w:val="0089178E"/>
    <w:rsid w:val="00891AE5"/>
    <w:rsid w:val="00892118"/>
    <w:rsid w:val="008923FA"/>
    <w:rsid w:val="008928CD"/>
    <w:rsid w:val="00892F82"/>
    <w:rsid w:val="0089305B"/>
    <w:rsid w:val="00893609"/>
    <w:rsid w:val="00893772"/>
    <w:rsid w:val="00893A82"/>
    <w:rsid w:val="00893BF2"/>
    <w:rsid w:val="00893F5A"/>
    <w:rsid w:val="0089411A"/>
    <w:rsid w:val="0089458F"/>
    <w:rsid w:val="00894C20"/>
    <w:rsid w:val="0089511F"/>
    <w:rsid w:val="008952D5"/>
    <w:rsid w:val="008952E2"/>
    <w:rsid w:val="00895B8B"/>
    <w:rsid w:val="00895ECF"/>
    <w:rsid w:val="0089616B"/>
    <w:rsid w:val="008964AD"/>
    <w:rsid w:val="00896F65"/>
    <w:rsid w:val="00897A94"/>
    <w:rsid w:val="008A010B"/>
    <w:rsid w:val="008A0398"/>
    <w:rsid w:val="008A075C"/>
    <w:rsid w:val="008A0BB6"/>
    <w:rsid w:val="008A0D95"/>
    <w:rsid w:val="008A0E6F"/>
    <w:rsid w:val="008A0F14"/>
    <w:rsid w:val="008A0FA9"/>
    <w:rsid w:val="008A19CB"/>
    <w:rsid w:val="008A1B9F"/>
    <w:rsid w:val="008A1FE5"/>
    <w:rsid w:val="008A20DA"/>
    <w:rsid w:val="008A2356"/>
    <w:rsid w:val="008A24A5"/>
    <w:rsid w:val="008A2B9C"/>
    <w:rsid w:val="008A2DF5"/>
    <w:rsid w:val="008A31A0"/>
    <w:rsid w:val="008A3975"/>
    <w:rsid w:val="008A448C"/>
    <w:rsid w:val="008A47E6"/>
    <w:rsid w:val="008A47E7"/>
    <w:rsid w:val="008A48DA"/>
    <w:rsid w:val="008A4953"/>
    <w:rsid w:val="008A49F3"/>
    <w:rsid w:val="008A4B51"/>
    <w:rsid w:val="008A4C89"/>
    <w:rsid w:val="008A58B3"/>
    <w:rsid w:val="008A5E8B"/>
    <w:rsid w:val="008A654F"/>
    <w:rsid w:val="008A6592"/>
    <w:rsid w:val="008A65D2"/>
    <w:rsid w:val="008A6692"/>
    <w:rsid w:val="008A6DA9"/>
    <w:rsid w:val="008A7047"/>
    <w:rsid w:val="008A78C7"/>
    <w:rsid w:val="008B01D1"/>
    <w:rsid w:val="008B0289"/>
    <w:rsid w:val="008B0705"/>
    <w:rsid w:val="008B10AC"/>
    <w:rsid w:val="008B162C"/>
    <w:rsid w:val="008B1C34"/>
    <w:rsid w:val="008B2124"/>
    <w:rsid w:val="008B22FA"/>
    <w:rsid w:val="008B26E7"/>
    <w:rsid w:val="008B2762"/>
    <w:rsid w:val="008B2B4E"/>
    <w:rsid w:val="008B2BD1"/>
    <w:rsid w:val="008B3053"/>
    <w:rsid w:val="008B32A3"/>
    <w:rsid w:val="008B45FD"/>
    <w:rsid w:val="008B5426"/>
    <w:rsid w:val="008B5A3A"/>
    <w:rsid w:val="008B5C32"/>
    <w:rsid w:val="008B6D4F"/>
    <w:rsid w:val="008B72D5"/>
    <w:rsid w:val="008B75D5"/>
    <w:rsid w:val="008B78CC"/>
    <w:rsid w:val="008B7A3F"/>
    <w:rsid w:val="008B7A53"/>
    <w:rsid w:val="008C04B3"/>
    <w:rsid w:val="008C04D2"/>
    <w:rsid w:val="008C099D"/>
    <w:rsid w:val="008C16EC"/>
    <w:rsid w:val="008C2270"/>
    <w:rsid w:val="008C28B5"/>
    <w:rsid w:val="008C35FC"/>
    <w:rsid w:val="008C3613"/>
    <w:rsid w:val="008C3D23"/>
    <w:rsid w:val="008C3D5B"/>
    <w:rsid w:val="008C3FE4"/>
    <w:rsid w:val="008C57F6"/>
    <w:rsid w:val="008C5939"/>
    <w:rsid w:val="008C61AF"/>
    <w:rsid w:val="008C61EE"/>
    <w:rsid w:val="008C67D7"/>
    <w:rsid w:val="008C6E54"/>
    <w:rsid w:val="008C7E0B"/>
    <w:rsid w:val="008D1414"/>
    <w:rsid w:val="008D1576"/>
    <w:rsid w:val="008D1AD3"/>
    <w:rsid w:val="008D1FFD"/>
    <w:rsid w:val="008D23F1"/>
    <w:rsid w:val="008D2BE5"/>
    <w:rsid w:val="008D2DC8"/>
    <w:rsid w:val="008D2DF0"/>
    <w:rsid w:val="008D331A"/>
    <w:rsid w:val="008D3858"/>
    <w:rsid w:val="008D3A1B"/>
    <w:rsid w:val="008D4720"/>
    <w:rsid w:val="008D4999"/>
    <w:rsid w:val="008D5089"/>
    <w:rsid w:val="008D553F"/>
    <w:rsid w:val="008D5855"/>
    <w:rsid w:val="008D58BF"/>
    <w:rsid w:val="008D5ADD"/>
    <w:rsid w:val="008D5D12"/>
    <w:rsid w:val="008D624C"/>
    <w:rsid w:val="008D64F4"/>
    <w:rsid w:val="008D688C"/>
    <w:rsid w:val="008D6B8E"/>
    <w:rsid w:val="008D6DFA"/>
    <w:rsid w:val="008D72A4"/>
    <w:rsid w:val="008D762C"/>
    <w:rsid w:val="008E021E"/>
    <w:rsid w:val="008E0364"/>
    <w:rsid w:val="008E11D0"/>
    <w:rsid w:val="008E124E"/>
    <w:rsid w:val="008E17AD"/>
    <w:rsid w:val="008E18D6"/>
    <w:rsid w:val="008E18E5"/>
    <w:rsid w:val="008E1E4D"/>
    <w:rsid w:val="008E22E5"/>
    <w:rsid w:val="008E28B2"/>
    <w:rsid w:val="008E2EAE"/>
    <w:rsid w:val="008E3652"/>
    <w:rsid w:val="008E386C"/>
    <w:rsid w:val="008E3F4B"/>
    <w:rsid w:val="008E4171"/>
    <w:rsid w:val="008E45EB"/>
    <w:rsid w:val="008E4722"/>
    <w:rsid w:val="008E4F22"/>
    <w:rsid w:val="008E5A2A"/>
    <w:rsid w:val="008E5A8A"/>
    <w:rsid w:val="008E5B72"/>
    <w:rsid w:val="008E5EBF"/>
    <w:rsid w:val="008E6548"/>
    <w:rsid w:val="008E6F0E"/>
    <w:rsid w:val="008E7389"/>
    <w:rsid w:val="008E7521"/>
    <w:rsid w:val="008E7554"/>
    <w:rsid w:val="008E7701"/>
    <w:rsid w:val="008E7EA8"/>
    <w:rsid w:val="008F18C9"/>
    <w:rsid w:val="008F2578"/>
    <w:rsid w:val="008F2CEB"/>
    <w:rsid w:val="008F33D3"/>
    <w:rsid w:val="008F3411"/>
    <w:rsid w:val="008F40FB"/>
    <w:rsid w:val="008F43B1"/>
    <w:rsid w:val="008F4467"/>
    <w:rsid w:val="008F4979"/>
    <w:rsid w:val="008F4AB0"/>
    <w:rsid w:val="008F5268"/>
    <w:rsid w:val="008F5AEA"/>
    <w:rsid w:val="008F5BB5"/>
    <w:rsid w:val="008F6499"/>
    <w:rsid w:val="008F71F1"/>
    <w:rsid w:val="008F76B9"/>
    <w:rsid w:val="008F7AF6"/>
    <w:rsid w:val="009004C8"/>
    <w:rsid w:val="00900597"/>
    <w:rsid w:val="00901146"/>
    <w:rsid w:val="009018B5"/>
    <w:rsid w:val="00901A2A"/>
    <w:rsid w:val="00901C78"/>
    <w:rsid w:val="00901F71"/>
    <w:rsid w:val="00902416"/>
    <w:rsid w:val="009025AC"/>
    <w:rsid w:val="00902877"/>
    <w:rsid w:val="00902F6E"/>
    <w:rsid w:val="00903636"/>
    <w:rsid w:val="009036D7"/>
    <w:rsid w:val="00903A46"/>
    <w:rsid w:val="00904204"/>
    <w:rsid w:val="0090485F"/>
    <w:rsid w:val="009052D0"/>
    <w:rsid w:val="0090548A"/>
    <w:rsid w:val="00905626"/>
    <w:rsid w:val="00905864"/>
    <w:rsid w:val="00905ECF"/>
    <w:rsid w:val="00906AF2"/>
    <w:rsid w:val="00906B15"/>
    <w:rsid w:val="00907832"/>
    <w:rsid w:val="009101DA"/>
    <w:rsid w:val="00910B1A"/>
    <w:rsid w:val="00911650"/>
    <w:rsid w:val="0091191B"/>
    <w:rsid w:val="00911964"/>
    <w:rsid w:val="009119EA"/>
    <w:rsid w:val="00911F9F"/>
    <w:rsid w:val="00912134"/>
    <w:rsid w:val="00912C31"/>
    <w:rsid w:val="00913411"/>
    <w:rsid w:val="00913AAA"/>
    <w:rsid w:val="00913DB9"/>
    <w:rsid w:val="00913E86"/>
    <w:rsid w:val="00914BD1"/>
    <w:rsid w:val="00914D0B"/>
    <w:rsid w:val="00915874"/>
    <w:rsid w:val="00915954"/>
    <w:rsid w:val="00915DD0"/>
    <w:rsid w:val="00915F52"/>
    <w:rsid w:val="0091633C"/>
    <w:rsid w:val="0091668D"/>
    <w:rsid w:val="009167CF"/>
    <w:rsid w:val="00916995"/>
    <w:rsid w:val="00917112"/>
    <w:rsid w:val="00917363"/>
    <w:rsid w:val="009175C5"/>
    <w:rsid w:val="00920359"/>
    <w:rsid w:val="00920FA2"/>
    <w:rsid w:val="0092129D"/>
    <w:rsid w:val="00921477"/>
    <w:rsid w:val="00922846"/>
    <w:rsid w:val="009229D1"/>
    <w:rsid w:val="00922AB1"/>
    <w:rsid w:val="00922F03"/>
    <w:rsid w:val="00922F09"/>
    <w:rsid w:val="00922F7C"/>
    <w:rsid w:val="00923588"/>
    <w:rsid w:val="00923FFB"/>
    <w:rsid w:val="0092415B"/>
    <w:rsid w:val="0092416C"/>
    <w:rsid w:val="009241BA"/>
    <w:rsid w:val="009244BC"/>
    <w:rsid w:val="0092450E"/>
    <w:rsid w:val="00924C8A"/>
    <w:rsid w:val="009251B3"/>
    <w:rsid w:val="00926000"/>
    <w:rsid w:val="009267F6"/>
    <w:rsid w:val="00926931"/>
    <w:rsid w:val="00926FF8"/>
    <w:rsid w:val="009276D4"/>
    <w:rsid w:val="009277BB"/>
    <w:rsid w:val="00927DC2"/>
    <w:rsid w:val="00927E8E"/>
    <w:rsid w:val="0093016A"/>
    <w:rsid w:val="00930192"/>
    <w:rsid w:val="009307DB"/>
    <w:rsid w:val="00930A5B"/>
    <w:rsid w:val="00930BEE"/>
    <w:rsid w:val="009311A0"/>
    <w:rsid w:val="00931309"/>
    <w:rsid w:val="009316B6"/>
    <w:rsid w:val="00931C2C"/>
    <w:rsid w:val="0093203A"/>
    <w:rsid w:val="00932382"/>
    <w:rsid w:val="00932627"/>
    <w:rsid w:val="009334F2"/>
    <w:rsid w:val="00933A3A"/>
    <w:rsid w:val="00934019"/>
    <w:rsid w:val="009340FD"/>
    <w:rsid w:val="00934430"/>
    <w:rsid w:val="00934AF8"/>
    <w:rsid w:val="0093501D"/>
    <w:rsid w:val="00935347"/>
    <w:rsid w:val="0093567E"/>
    <w:rsid w:val="0093569F"/>
    <w:rsid w:val="00936206"/>
    <w:rsid w:val="00936774"/>
    <w:rsid w:val="00936942"/>
    <w:rsid w:val="00936A25"/>
    <w:rsid w:val="00936AF5"/>
    <w:rsid w:val="00936EBE"/>
    <w:rsid w:val="00937351"/>
    <w:rsid w:val="00937867"/>
    <w:rsid w:val="009379BD"/>
    <w:rsid w:val="0094030F"/>
    <w:rsid w:val="00940370"/>
    <w:rsid w:val="009403BC"/>
    <w:rsid w:val="00940526"/>
    <w:rsid w:val="00940536"/>
    <w:rsid w:val="00940722"/>
    <w:rsid w:val="009407A4"/>
    <w:rsid w:val="00940841"/>
    <w:rsid w:val="00940A49"/>
    <w:rsid w:val="0094152D"/>
    <w:rsid w:val="00941FA3"/>
    <w:rsid w:val="00942D0B"/>
    <w:rsid w:val="00943126"/>
    <w:rsid w:val="00943146"/>
    <w:rsid w:val="009432F2"/>
    <w:rsid w:val="00944058"/>
    <w:rsid w:val="00944087"/>
    <w:rsid w:val="0094416C"/>
    <w:rsid w:val="00944176"/>
    <w:rsid w:val="00944A24"/>
    <w:rsid w:val="00944D25"/>
    <w:rsid w:val="009451B4"/>
    <w:rsid w:val="009452C7"/>
    <w:rsid w:val="009452EA"/>
    <w:rsid w:val="0094573F"/>
    <w:rsid w:val="00945896"/>
    <w:rsid w:val="009458B4"/>
    <w:rsid w:val="009458DF"/>
    <w:rsid w:val="00945A8B"/>
    <w:rsid w:val="00945C8F"/>
    <w:rsid w:val="00945FFE"/>
    <w:rsid w:val="00946726"/>
    <w:rsid w:val="00947014"/>
    <w:rsid w:val="009470A4"/>
    <w:rsid w:val="0094786F"/>
    <w:rsid w:val="009478A7"/>
    <w:rsid w:val="00947B16"/>
    <w:rsid w:val="00947F1D"/>
    <w:rsid w:val="009502CF"/>
    <w:rsid w:val="0095086E"/>
    <w:rsid w:val="00950B6C"/>
    <w:rsid w:val="00950EC1"/>
    <w:rsid w:val="00951063"/>
    <w:rsid w:val="0095176C"/>
    <w:rsid w:val="00951933"/>
    <w:rsid w:val="00951EFE"/>
    <w:rsid w:val="00951F34"/>
    <w:rsid w:val="00952052"/>
    <w:rsid w:val="009524F5"/>
    <w:rsid w:val="0095297C"/>
    <w:rsid w:val="00952AFA"/>
    <w:rsid w:val="00952BB3"/>
    <w:rsid w:val="009530EE"/>
    <w:rsid w:val="009539E8"/>
    <w:rsid w:val="00953D7F"/>
    <w:rsid w:val="0095407C"/>
    <w:rsid w:val="00954514"/>
    <w:rsid w:val="009549EA"/>
    <w:rsid w:val="0095523A"/>
    <w:rsid w:val="00955773"/>
    <w:rsid w:val="0095596C"/>
    <w:rsid w:val="00956099"/>
    <w:rsid w:val="00956434"/>
    <w:rsid w:val="009566FD"/>
    <w:rsid w:val="00957724"/>
    <w:rsid w:val="00957864"/>
    <w:rsid w:val="0095793C"/>
    <w:rsid w:val="00957EFE"/>
    <w:rsid w:val="00960E0F"/>
    <w:rsid w:val="00960E2A"/>
    <w:rsid w:val="00961A63"/>
    <w:rsid w:val="00961B6E"/>
    <w:rsid w:val="0096216E"/>
    <w:rsid w:val="00962421"/>
    <w:rsid w:val="00962867"/>
    <w:rsid w:val="00962C1A"/>
    <w:rsid w:val="009635B5"/>
    <w:rsid w:val="00963833"/>
    <w:rsid w:val="00963AFD"/>
    <w:rsid w:val="00963B09"/>
    <w:rsid w:val="00964215"/>
    <w:rsid w:val="00964364"/>
    <w:rsid w:val="0096486D"/>
    <w:rsid w:val="00965D5D"/>
    <w:rsid w:val="0096616A"/>
    <w:rsid w:val="009670F3"/>
    <w:rsid w:val="00967342"/>
    <w:rsid w:val="0096734E"/>
    <w:rsid w:val="009676FD"/>
    <w:rsid w:val="0097035B"/>
    <w:rsid w:val="00970B5B"/>
    <w:rsid w:val="00970C69"/>
    <w:rsid w:val="009714C2"/>
    <w:rsid w:val="00971CC1"/>
    <w:rsid w:val="009721B6"/>
    <w:rsid w:val="009722AF"/>
    <w:rsid w:val="009724A3"/>
    <w:rsid w:val="0097268E"/>
    <w:rsid w:val="00972768"/>
    <w:rsid w:val="00972A3B"/>
    <w:rsid w:val="00972FD1"/>
    <w:rsid w:val="0097338B"/>
    <w:rsid w:val="0097360C"/>
    <w:rsid w:val="00973B6C"/>
    <w:rsid w:val="00973C00"/>
    <w:rsid w:val="00973D2B"/>
    <w:rsid w:val="00974179"/>
    <w:rsid w:val="009742A7"/>
    <w:rsid w:val="00974A46"/>
    <w:rsid w:val="00974A74"/>
    <w:rsid w:val="00974E5B"/>
    <w:rsid w:val="0097500E"/>
    <w:rsid w:val="0097574D"/>
    <w:rsid w:val="00975A2C"/>
    <w:rsid w:val="00976374"/>
    <w:rsid w:val="00976523"/>
    <w:rsid w:val="0097653C"/>
    <w:rsid w:val="00976BD8"/>
    <w:rsid w:val="00976D5A"/>
    <w:rsid w:val="00976E8F"/>
    <w:rsid w:val="00976FD3"/>
    <w:rsid w:val="00977185"/>
    <w:rsid w:val="00977670"/>
    <w:rsid w:val="00977701"/>
    <w:rsid w:val="00977ED7"/>
    <w:rsid w:val="009815A7"/>
    <w:rsid w:val="009818C7"/>
    <w:rsid w:val="0098243D"/>
    <w:rsid w:val="009826E2"/>
    <w:rsid w:val="00982B14"/>
    <w:rsid w:val="00983611"/>
    <w:rsid w:val="00983863"/>
    <w:rsid w:val="00983C4D"/>
    <w:rsid w:val="00983C9F"/>
    <w:rsid w:val="00983D3D"/>
    <w:rsid w:val="00984324"/>
    <w:rsid w:val="00984BA4"/>
    <w:rsid w:val="00985DFF"/>
    <w:rsid w:val="0098606C"/>
    <w:rsid w:val="009865E8"/>
    <w:rsid w:val="0098683C"/>
    <w:rsid w:val="00986FFE"/>
    <w:rsid w:val="00987465"/>
    <w:rsid w:val="009874B2"/>
    <w:rsid w:val="00987730"/>
    <w:rsid w:val="00990472"/>
    <w:rsid w:val="0099048F"/>
    <w:rsid w:val="0099051B"/>
    <w:rsid w:val="00990561"/>
    <w:rsid w:val="009909A1"/>
    <w:rsid w:val="00990AE8"/>
    <w:rsid w:val="00990B77"/>
    <w:rsid w:val="00991DDC"/>
    <w:rsid w:val="00991F10"/>
    <w:rsid w:val="009924F8"/>
    <w:rsid w:val="00992568"/>
    <w:rsid w:val="00992898"/>
    <w:rsid w:val="00992E39"/>
    <w:rsid w:val="0099365F"/>
    <w:rsid w:val="00993ECF"/>
    <w:rsid w:val="009940EB"/>
    <w:rsid w:val="00994DF7"/>
    <w:rsid w:val="0099521B"/>
    <w:rsid w:val="00995241"/>
    <w:rsid w:val="0099569B"/>
    <w:rsid w:val="00995940"/>
    <w:rsid w:val="00995EF3"/>
    <w:rsid w:val="009961AA"/>
    <w:rsid w:val="009962E1"/>
    <w:rsid w:val="0099638B"/>
    <w:rsid w:val="0099664F"/>
    <w:rsid w:val="00996D5F"/>
    <w:rsid w:val="00996DDC"/>
    <w:rsid w:val="00996F70"/>
    <w:rsid w:val="00997418"/>
    <w:rsid w:val="0099767F"/>
    <w:rsid w:val="00997758"/>
    <w:rsid w:val="009978A4"/>
    <w:rsid w:val="009A0070"/>
    <w:rsid w:val="009A042E"/>
    <w:rsid w:val="009A094E"/>
    <w:rsid w:val="009A0CDE"/>
    <w:rsid w:val="009A0E59"/>
    <w:rsid w:val="009A1287"/>
    <w:rsid w:val="009A1BE7"/>
    <w:rsid w:val="009A1D78"/>
    <w:rsid w:val="009A1E89"/>
    <w:rsid w:val="009A1F06"/>
    <w:rsid w:val="009A2154"/>
    <w:rsid w:val="009A2B5D"/>
    <w:rsid w:val="009A2B79"/>
    <w:rsid w:val="009A2EBD"/>
    <w:rsid w:val="009A35C5"/>
    <w:rsid w:val="009A37F4"/>
    <w:rsid w:val="009A40EC"/>
    <w:rsid w:val="009A474C"/>
    <w:rsid w:val="009A47B4"/>
    <w:rsid w:val="009A4F77"/>
    <w:rsid w:val="009A546A"/>
    <w:rsid w:val="009A58EB"/>
    <w:rsid w:val="009A5A82"/>
    <w:rsid w:val="009A5AA5"/>
    <w:rsid w:val="009A5B09"/>
    <w:rsid w:val="009A5FEE"/>
    <w:rsid w:val="009A65CA"/>
    <w:rsid w:val="009A67C6"/>
    <w:rsid w:val="009A7021"/>
    <w:rsid w:val="009A71DE"/>
    <w:rsid w:val="009A7371"/>
    <w:rsid w:val="009A7389"/>
    <w:rsid w:val="009A7DD5"/>
    <w:rsid w:val="009A7F25"/>
    <w:rsid w:val="009A7F9E"/>
    <w:rsid w:val="009B0307"/>
    <w:rsid w:val="009B095E"/>
    <w:rsid w:val="009B0EE3"/>
    <w:rsid w:val="009B164D"/>
    <w:rsid w:val="009B167D"/>
    <w:rsid w:val="009B1D9B"/>
    <w:rsid w:val="009B200D"/>
    <w:rsid w:val="009B2109"/>
    <w:rsid w:val="009B2A60"/>
    <w:rsid w:val="009B2FD2"/>
    <w:rsid w:val="009B313C"/>
    <w:rsid w:val="009B34D6"/>
    <w:rsid w:val="009B35BC"/>
    <w:rsid w:val="009B3F85"/>
    <w:rsid w:val="009B4A68"/>
    <w:rsid w:val="009B4C7A"/>
    <w:rsid w:val="009B5326"/>
    <w:rsid w:val="009B553A"/>
    <w:rsid w:val="009B56B4"/>
    <w:rsid w:val="009B5A3E"/>
    <w:rsid w:val="009B5B88"/>
    <w:rsid w:val="009B6DBB"/>
    <w:rsid w:val="009B79F9"/>
    <w:rsid w:val="009C0959"/>
    <w:rsid w:val="009C0A34"/>
    <w:rsid w:val="009C1074"/>
    <w:rsid w:val="009C13ED"/>
    <w:rsid w:val="009C1562"/>
    <w:rsid w:val="009C169A"/>
    <w:rsid w:val="009C1D64"/>
    <w:rsid w:val="009C26D0"/>
    <w:rsid w:val="009C2794"/>
    <w:rsid w:val="009C29FA"/>
    <w:rsid w:val="009C2A10"/>
    <w:rsid w:val="009C2CB2"/>
    <w:rsid w:val="009C30DD"/>
    <w:rsid w:val="009C31A8"/>
    <w:rsid w:val="009C34A9"/>
    <w:rsid w:val="009C36E2"/>
    <w:rsid w:val="009C42D4"/>
    <w:rsid w:val="009C463C"/>
    <w:rsid w:val="009C4BAB"/>
    <w:rsid w:val="009C5A29"/>
    <w:rsid w:val="009C5EC9"/>
    <w:rsid w:val="009C60A4"/>
    <w:rsid w:val="009C70CC"/>
    <w:rsid w:val="009C721C"/>
    <w:rsid w:val="009D005C"/>
    <w:rsid w:val="009D0929"/>
    <w:rsid w:val="009D0B0C"/>
    <w:rsid w:val="009D0B51"/>
    <w:rsid w:val="009D0BE0"/>
    <w:rsid w:val="009D1539"/>
    <w:rsid w:val="009D1B1A"/>
    <w:rsid w:val="009D1B60"/>
    <w:rsid w:val="009D1FAE"/>
    <w:rsid w:val="009D20B2"/>
    <w:rsid w:val="009D3081"/>
    <w:rsid w:val="009D3293"/>
    <w:rsid w:val="009D329C"/>
    <w:rsid w:val="009D3325"/>
    <w:rsid w:val="009D3587"/>
    <w:rsid w:val="009D3694"/>
    <w:rsid w:val="009D40C3"/>
    <w:rsid w:val="009D4942"/>
    <w:rsid w:val="009D5A87"/>
    <w:rsid w:val="009D5B35"/>
    <w:rsid w:val="009D66C7"/>
    <w:rsid w:val="009D66D5"/>
    <w:rsid w:val="009E0728"/>
    <w:rsid w:val="009E0A00"/>
    <w:rsid w:val="009E0DF0"/>
    <w:rsid w:val="009E0E69"/>
    <w:rsid w:val="009E16E8"/>
    <w:rsid w:val="009E1782"/>
    <w:rsid w:val="009E1D1E"/>
    <w:rsid w:val="009E25F2"/>
    <w:rsid w:val="009E2CEF"/>
    <w:rsid w:val="009E3264"/>
    <w:rsid w:val="009E44E7"/>
    <w:rsid w:val="009E5119"/>
    <w:rsid w:val="009E6036"/>
    <w:rsid w:val="009E6438"/>
    <w:rsid w:val="009E6698"/>
    <w:rsid w:val="009E70B6"/>
    <w:rsid w:val="009E77C1"/>
    <w:rsid w:val="009E79C8"/>
    <w:rsid w:val="009F07BE"/>
    <w:rsid w:val="009F08A7"/>
    <w:rsid w:val="009F0C7D"/>
    <w:rsid w:val="009F10BE"/>
    <w:rsid w:val="009F17C7"/>
    <w:rsid w:val="009F22F8"/>
    <w:rsid w:val="009F2A18"/>
    <w:rsid w:val="009F3120"/>
    <w:rsid w:val="009F359D"/>
    <w:rsid w:val="009F361C"/>
    <w:rsid w:val="009F3BA6"/>
    <w:rsid w:val="009F46C0"/>
    <w:rsid w:val="009F49C2"/>
    <w:rsid w:val="009F4DE4"/>
    <w:rsid w:val="009F4EE7"/>
    <w:rsid w:val="009F5A77"/>
    <w:rsid w:val="009F615C"/>
    <w:rsid w:val="009F633C"/>
    <w:rsid w:val="009F63D3"/>
    <w:rsid w:val="009F6987"/>
    <w:rsid w:val="009F6A79"/>
    <w:rsid w:val="009F6ABB"/>
    <w:rsid w:val="009F76CB"/>
    <w:rsid w:val="009F77EE"/>
    <w:rsid w:val="00A00341"/>
    <w:rsid w:val="00A0038E"/>
    <w:rsid w:val="00A0043C"/>
    <w:rsid w:val="00A009E2"/>
    <w:rsid w:val="00A00E53"/>
    <w:rsid w:val="00A010C7"/>
    <w:rsid w:val="00A0234F"/>
    <w:rsid w:val="00A02CC1"/>
    <w:rsid w:val="00A02E71"/>
    <w:rsid w:val="00A03247"/>
    <w:rsid w:val="00A0339F"/>
    <w:rsid w:val="00A034EC"/>
    <w:rsid w:val="00A035B2"/>
    <w:rsid w:val="00A03ABE"/>
    <w:rsid w:val="00A04A4C"/>
    <w:rsid w:val="00A05536"/>
    <w:rsid w:val="00A05799"/>
    <w:rsid w:val="00A057AB"/>
    <w:rsid w:val="00A05811"/>
    <w:rsid w:val="00A05860"/>
    <w:rsid w:val="00A05DA5"/>
    <w:rsid w:val="00A06441"/>
    <w:rsid w:val="00A0662E"/>
    <w:rsid w:val="00A06770"/>
    <w:rsid w:val="00A06AEC"/>
    <w:rsid w:val="00A07116"/>
    <w:rsid w:val="00A0731A"/>
    <w:rsid w:val="00A07F3A"/>
    <w:rsid w:val="00A101E1"/>
    <w:rsid w:val="00A10357"/>
    <w:rsid w:val="00A1081D"/>
    <w:rsid w:val="00A10CD9"/>
    <w:rsid w:val="00A11183"/>
    <w:rsid w:val="00A12241"/>
    <w:rsid w:val="00A1244D"/>
    <w:rsid w:val="00A12BE0"/>
    <w:rsid w:val="00A138FE"/>
    <w:rsid w:val="00A13FB9"/>
    <w:rsid w:val="00A145B0"/>
    <w:rsid w:val="00A1462D"/>
    <w:rsid w:val="00A15043"/>
    <w:rsid w:val="00A15551"/>
    <w:rsid w:val="00A15C54"/>
    <w:rsid w:val="00A16350"/>
    <w:rsid w:val="00A16453"/>
    <w:rsid w:val="00A16894"/>
    <w:rsid w:val="00A16B24"/>
    <w:rsid w:val="00A16CA1"/>
    <w:rsid w:val="00A16E0F"/>
    <w:rsid w:val="00A17BE7"/>
    <w:rsid w:val="00A20679"/>
    <w:rsid w:val="00A22035"/>
    <w:rsid w:val="00A228AD"/>
    <w:rsid w:val="00A2343F"/>
    <w:rsid w:val="00A23620"/>
    <w:rsid w:val="00A236DC"/>
    <w:rsid w:val="00A238CA"/>
    <w:rsid w:val="00A2408A"/>
    <w:rsid w:val="00A240AB"/>
    <w:rsid w:val="00A253DE"/>
    <w:rsid w:val="00A25478"/>
    <w:rsid w:val="00A255A1"/>
    <w:rsid w:val="00A255FC"/>
    <w:rsid w:val="00A255FE"/>
    <w:rsid w:val="00A25627"/>
    <w:rsid w:val="00A25C3B"/>
    <w:rsid w:val="00A26472"/>
    <w:rsid w:val="00A26740"/>
    <w:rsid w:val="00A268D6"/>
    <w:rsid w:val="00A26C38"/>
    <w:rsid w:val="00A26CEA"/>
    <w:rsid w:val="00A26F3A"/>
    <w:rsid w:val="00A27231"/>
    <w:rsid w:val="00A2726E"/>
    <w:rsid w:val="00A2755C"/>
    <w:rsid w:val="00A27C0A"/>
    <w:rsid w:val="00A3033D"/>
    <w:rsid w:val="00A30822"/>
    <w:rsid w:val="00A31A04"/>
    <w:rsid w:val="00A3216B"/>
    <w:rsid w:val="00A321CE"/>
    <w:rsid w:val="00A32541"/>
    <w:rsid w:val="00A32C46"/>
    <w:rsid w:val="00A3301E"/>
    <w:rsid w:val="00A33A1C"/>
    <w:rsid w:val="00A33AF8"/>
    <w:rsid w:val="00A341DE"/>
    <w:rsid w:val="00A3476A"/>
    <w:rsid w:val="00A34E54"/>
    <w:rsid w:val="00A34E9D"/>
    <w:rsid w:val="00A35BAE"/>
    <w:rsid w:val="00A36125"/>
    <w:rsid w:val="00A36793"/>
    <w:rsid w:val="00A369D8"/>
    <w:rsid w:val="00A3703E"/>
    <w:rsid w:val="00A3725A"/>
    <w:rsid w:val="00A3760E"/>
    <w:rsid w:val="00A37FB2"/>
    <w:rsid w:val="00A40493"/>
    <w:rsid w:val="00A40571"/>
    <w:rsid w:val="00A40742"/>
    <w:rsid w:val="00A40853"/>
    <w:rsid w:val="00A41600"/>
    <w:rsid w:val="00A41C51"/>
    <w:rsid w:val="00A41CCA"/>
    <w:rsid w:val="00A42103"/>
    <w:rsid w:val="00A43C0A"/>
    <w:rsid w:val="00A4402F"/>
    <w:rsid w:val="00A44483"/>
    <w:rsid w:val="00A44A9A"/>
    <w:rsid w:val="00A44EB1"/>
    <w:rsid w:val="00A453AA"/>
    <w:rsid w:val="00A455D8"/>
    <w:rsid w:val="00A4563F"/>
    <w:rsid w:val="00A45A58"/>
    <w:rsid w:val="00A45EFD"/>
    <w:rsid w:val="00A467D2"/>
    <w:rsid w:val="00A4707F"/>
    <w:rsid w:val="00A4782C"/>
    <w:rsid w:val="00A479D4"/>
    <w:rsid w:val="00A50132"/>
    <w:rsid w:val="00A504C4"/>
    <w:rsid w:val="00A50846"/>
    <w:rsid w:val="00A508E3"/>
    <w:rsid w:val="00A5129F"/>
    <w:rsid w:val="00A5163C"/>
    <w:rsid w:val="00A52BC2"/>
    <w:rsid w:val="00A53209"/>
    <w:rsid w:val="00A5338C"/>
    <w:rsid w:val="00A539AF"/>
    <w:rsid w:val="00A539CA"/>
    <w:rsid w:val="00A53A4A"/>
    <w:rsid w:val="00A53A94"/>
    <w:rsid w:val="00A54126"/>
    <w:rsid w:val="00A547A9"/>
    <w:rsid w:val="00A54A01"/>
    <w:rsid w:val="00A55568"/>
    <w:rsid w:val="00A55B1B"/>
    <w:rsid w:val="00A568EB"/>
    <w:rsid w:val="00A56B06"/>
    <w:rsid w:val="00A56EBD"/>
    <w:rsid w:val="00A57F80"/>
    <w:rsid w:val="00A57FBD"/>
    <w:rsid w:val="00A60220"/>
    <w:rsid w:val="00A60497"/>
    <w:rsid w:val="00A6115E"/>
    <w:rsid w:val="00A6140C"/>
    <w:rsid w:val="00A61741"/>
    <w:rsid w:val="00A6194F"/>
    <w:rsid w:val="00A61B14"/>
    <w:rsid w:val="00A61F68"/>
    <w:rsid w:val="00A6290D"/>
    <w:rsid w:val="00A62C00"/>
    <w:rsid w:val="00A62FA5"/>
    <w:rsid w:val="00A63DED"/>
    <w:rsid w:val="00A63EF9"/>
    <w:rsid w:val="00A63F46"/>
    <w:rsid w:val="00A64233"/>
    <w:rsid w:val="00A642D0"/>
    <w:rsid w:val="00A6431C"/>
    <w:rsid w:val="00A643E0"/>
    <w:rsid w:val="00A6445A"/>
    <w:rsid w:val="00A64603"/>
    <w:rsid w:val="00A647D6"/>
    <w:rsid w:val="00A65057"/>
    <w:rsid w:val="00A65267"/>
    <w:rsid w:val="00A657A2"/>
    <w:rsid w:val="00A659E2"/>
    <w:rsid w:val="00A66672"/>
    <w:rsid w:val="00A66C01"/>
    <w:rsid w:val="00A66C9F"/>
    <w:rsid w:val="00A6703E"/>
    <w:rsid w:val="00A6739E"/>
    <w:rsid w:val="00A6759E"/>
    <w:rsid w:val="00A67AA6"/>
    <w:rsid w:val="00A67D4F"/>
    <w:rsid w:val="00A7038C"/>
    <w:rsid w:val="00A70818"/>
    <w:rsid w:val="00A710CE"/>
    <w:rsid w:val="00A71A85"/>
    <w:rsid w:val="00A71AA2"/>
    <w:rsid w:val="00A7262D"/>
    <w:rsid w:val="00A72692"/>
    <w:rsid w:val="00A72B1A"/>
    <w:rsid w:val="00A73462"/>
    <w:rsid w:val="00A73784"/>
    <w:rsid w:val="00A73791"/>
    <w:rsid w:val="00A73959"/>
    <w:rsid w:val="00A73C5C"/>
    <w:rsid w:val="00A73EBB"/>
    <w:rsid w:val="00A73F08"/>
    <w:rsid w:val="00A741B1"/>
    <w:rsid w:val="00A742FE"/>
    <w:rsid w:val="00A74790"/>
    <w:rsid w:val="00A74E01"/>
    <w:rsid w:val="00A74F99"/>
    <w:rsid w:val="00A74FE7"/>
    <w:rsid w:val="00A75CA5"/>
    <w:rsid w:val="00A75DD2"/>
    <w:rsid w:val="00A761B9"/>
    <w:rsid w:val="00A764E1"/>
    <w:rsid w:val="00A76D51"/>
    <w:rsid w:val="00A771BC"/>
    <w:rsid w:val="00A77517"/>
    <w:rsid w:val="00A77CF7"/>
    <w:rsid w:val="00A80540"/>
    <w:rsid w:val="00A8080F"/>
    <w:rsid w:val="00A80C0D"/>
    <w:rsid w:val="00A81CD9"/>
    <w:rsid w:val="00A81FB5"/>
    <w:rsid w:val="00A8226D"/>
    <w:rsid w:val="00A82938"/>
    <w:rsid w:val="00A8362C"/>
    <w:rsid w:val="00A83C0C"/>
    <w:rsid w:val="00A83E50"/>
    <w:rsid w:val="00A83FA8"/>
    <w:rsid w:val="00A83FAA"/>
    <w:rsid w:val="00A84054"/>
    <w:rsid w:val="00A84352"/>
    <w:rsid w:val="00A84638"/>
    <w:rsid w:val="00A84776"/>
    <w:rsid w:val="00A84F7F"/>
    <w:rsid w:val="00A85229"/>
    <w:rsid w:val="00A859C4"/>
    <w:rsid w:val="00A85B7A"/>
    <w:rsid w:val="00A862D4"/>
    <w:rsid w:val="00A86544"/>
    <w:rsid w:val="00A86562"/>
    <w:rsid w:val="00A8724A"/>
    <w:rsid w:val="00A874A0"/>
    <w:rsid w:val="00A876D1"/>
    <w:rsid w:val="00A87D70"/>
    <w:rsid w:val="00A90C2F"/>
    <w:rsid w:val="00A921DE"/>
    <w:rsid w:val="00A925CD"/>
    <w:rsid w:val="00A92E58"/>
    <w:rsid w:val="00A93362"/>
    <w:rsid w:val="00A93553"/>
    <w:rsid w:val="00A9589C"/>
    <w:rsid w:val="00A958AA"/>
    <w:rsid w:val="00A961F4"/>
    <w:rsid w:val="00A96503"/>
    <w:rsid w:val="00A9656E"/>
    <w:rsid w:val="00A96C3D"/>
    <w:rsid w:val="00A974E9"/>
    <w:rsid w:val="00A97E6B"/>
    <w:rsid w:val="00AA052B"/>
    <w:rsid w:val="00AA059B"/>
    <w:rsid w:val="00AA061C"/>
    <w:rsid w:val="00AA0A5B"/>
    <w:rsid w:val="00AA15FF"/>
    <w:rsid w:val="00AA1947"/>
    <w:rsid w:val="00AA2021"/>
    <w:rsid w:val="00AA20AF"/>
    <w:rsid w:val="00AA25B3"/>
    <w:rsid w:val="00AA2FC9"/>
    <w:rsid w:val="00AA3209"/>
    <w:rsid w:val="00AA39EC"/>
    <w:rsid w:val="00AA3F9A"/>
    <w:rsid w:val="00AA4AA6"/>
    <w:rsid w:val="00AA4E3E"/>
    <w:rsid w:val="00AA4E48"/>
    <w:rsid w:val="00AA58C5"/>
    <w:rsid w:val="00AA5981"/>
    <w:rsid w:val="00AA6277"/>
    <w:rsid w:val="00AA6542"/>
    <w:rsid w:val="00AA65CF"/>
    <w:rsid w:val="00AA7168"/>
    <w:rsid w:val="00AA72C8"/>
    <w:rsid w:val="00AA730A"/>
    <w:rsid w:val="00AA7601"/>
    <w:rsid w:val="00AA7629"/>
    <w:rsid w:val="00AA7B58"/>
    <w:rsid w:val="00AA7DA8"/>
    <w:rsid w:val="00AA7FA0"/>
    <w:rsid w:val="00AB0293"/>
    <w:rsid w:val="00AB0311"/>
    <w:rsid w:val="00AB095C"/>
    <w:rsid w:val="00AB0ED4"/>
    <w:rsid w:val="00AB1CFD"/>
    <w:rsid w:val="00AB1FC7"/>
    <w:rsid w:val="00AB2326"/>
    <w:rsid w:val="00AB2462"/>
    <w:rsid w:val="00AB2821"/>
    <w:rsid w:val="00AB2F94"/>
    <w:rsid w:val="00AB3022"/>
    <w:rsid w:val="00AB30DE"/>
    <w:rsid w:val="00AB3918"/>
    <w:rsid w:val="00AB3A93"/>
    <w:rsid w:val="00AB3AA8"/>
    <w:rsid w:val="00AB5460"/>
    <w:rsid w:val="00AB5545"/>
    <w:rsid w:val="00AB5741"/>
    <w:rsid w:val="00AB59E9"/>
    <w:rsid w:val="00AB5AB9"/>
    <w:rsid w:val="00AB616D"/>
    <w:rsid w:val="00AB6447"/>
    <w:rsid w:val="00AB678D"/>
    <w:rsid w:val="00AB7055"/>
    <w:rsid w:val="00AB7482"/>
    <w:rsid w:val="00AB759C"/>
    <w:rsid w:val="00AB7AEA"/>
    <w:rsid w:val="00AC0E59"/>
    <w:rsid w:val="00AC0FC1"/>
    <w:rsid w:val="00AC144B"/>
    <w:rsid w:val="00AC185D"/>
    <w:rsid w:val="00AC18AE"/>
    <w:rsid w:val="00AC1F0D"/>
    <w:rsid w:val="00AC29EF"/>
    <w:rsid w:val="00AC2FFE"/>
    <w:rsid w:val="00AC38C0"/>
    <w:rsid w:val="00AC3B26"/>
    <w:rsid w:val="00AC3EC6"/>
    <w:rsid w:val="00AC40E3"/>
    <w:rsid w:val="00AC5B1E"/>
    <w:rsid w:val="00AC64F4"/>
    <w:rsid w:val="00AC6706"/>
    <w:rsid w:val="00AC69E7"/>
    <w:rsid w:val="00AC7130"/>
    <w:rsid w:val="00AC719D"/>
    <w:rsid w:val="00AC7480"/>
    <w:rsid w:val="00AC748E"/>
    <w:rsid w:val="00AC796E"/>
    <w:rsid w:val="00AC7A26"/>
    <w:rsid w:val="00AC7E49"/>
    <w:rsid w:val="00AD02D9"/>
    <w:rsid w:val="00AD0787"/>
    <w:rsid w:val="00AD0B03"/>
    <w:rsid w:val="00AD0B04"/>
    <w:rsid w:val="00AD10C6"/>
    <w:rsid w:val="00AD129C"/>
    <w:rsid w:val="00AD1365"/>
    <w:rsid w:val="00AD16F0"/>
    <w:rsid w:val="00AD1AA3"/>
    <w:rsid w:val="00AD1C10"/>
    <w:rsid w:val="00AD2BA4"/>
    <w:rsid w:val="00AD2E1B"/>
    <w:rsid w:val="00AD3294"/>
    <w:rsid w:val="00AD3878"/>
    <w:rsid w:val="00AD3EEB"/>
    <w:rsid w:val="00AD4475"/>
    <w:rsid w:val="00AD487B"/>
    <w:rsid w:val="00AD4BE2"/>
    <w:rsid w:val="00AD4F16"/>
    <w:rsid w:val="00AD51FA"/>
    <w:rsid w:val="00AD53E2"/>
    <w:rsid w:val="00AD585D"/>
    <w:rsid w:val="00AD5EB9"/>
    <w:rsid w:val="00AD6468"/>
    <w:rsid w:val="00AD646C"/>
    <w:rsid w:val="00AD77CE"/>
    <w:rsid w:val="00AE1354"/>
    <w:rsid w:val="00AE1468"/>
    <w:rsid w:val="00AE191B"/>
    <w:rsid w:val="00AE1B1C"/>
    <w:rsid w:val="00AE1C42"/>
    <w:rsid w:val="00AE21CC"/>
    <w:rsid w:val="00AE2582"/>
    <w:rsid w:val="00AE2B03"/>
    <w:rsid w:val="00AE2B19"/>
    <w:rsid w:val="00AE2B95"/>
    <w:rsid w:val="00AE3DB4"/>
    <w:rsid w:val="00AE3F07"/>
    <w:rsid w:val="00AE3FC0"/>
    <w:rsid w:val="00AE4361"/>
    <w:rsid w:val="00AE472A"/>
    <w:rsid w:val="00AE4E43"/>
    <w:rsid w:val="00AE4E9F"/>
    <w:rsid w:val="00AE5361"/>
    <w:rsid w:val="00AE53FF"/>
    <w:rsid w:val="00AE5CA3"/>
    <w:rsid w:val="00AE5D07"/>
    <w:rsid w:val="00AE6427"/>
    <w:rsid w:val="00AE6A11"/>
    <w:rsid w:val="00AE7493"/>
    <w:rsid w:val="00AE7513"/>
    <w:rsid w:val="00AE7A57"/>
    <w:rsid w:val="00AF0D65"/>
    <w:rsid w:val="00AF11F7"/>
    <w:rsid w:val="00AF1491"/>
    <w:rsid w:val="00AF1C47"/>
    <w:rsid w:val="00AF1FFC"/>
    <w:rsid w:val="00AF247E"/>
    <w:rsid w:val="00AF2522"/>
    <w:rsid w:val="00AF2B76"/>
    <w:rsid w:val="00AF2B89"/>
    <w:rsid w:val="00AF3086"/>
    <w:rsid w:val="00AF31E0"/>
    <w:rsid w:val="00AF3571"/>
    <w:rsid w:val="00AF460A"/>
    <w:rsid w:val="00AF4781"/>
    <w:rsid w:val="00AF4A3A"/>
    <w:rsid w:val="00AF4C0C"/>
    <w:rsid w:val="00AF5780"/>
    <w:rsid w:val="00AF5CAC"/>
    <w:rsid w:val="00AF6499"/>
    <w:rsid w:val="00AF6538"/>
    <w:rsid w:val="00AF6632"/>
    <w:rsid w:val="00AF69A3"/>
    <w:rsid w:val="00AF6A40"/>
    <w:rsid w:val="00AF6CCE"/>
    <w:rsid w:val="00AF6E5A"/>
    <w:rsid w:val="00AF7253"/>
    <w:rsid w:val="00AF72E1"/>
    <w:rsid w:val="00AF79D3"/>
    <w:rsid w:val="00AF79E6"/>
    <w:rsid w:val="00B003F8"/>
    <w:rsid w:val="00B0053C"/>
    <w:rsid w:val="00B0072B"/>
    <w:rsid w:val="00B00CCD"/>
    <w:rsid w:val="00B00E79"/>
    <w:rsid w:val="00B00E8B"/>
    <w:rsid w:val="00B00F7A"/>
    <w:rsid w:val="00B0116C"/>
    <w:rsid w:val="00B01480"/>
    <w:rsid w:val="00B01A42"/>
    <w:rsid w:val="00B01A74"/>
    <w:rsid w:val="00B01B38"/>
    <w:rsid w:val="00B01CE9"/>
    <w:rsid w:val="00B02520"/>
    <w:rsid w:val="00B02EE7"/>
    <w:rsid w:val="00B038D7"/>
    <w:rsid w:val="00B03D87"/>
    <w:rsid w:val="00B04CFE"/>
    <w:rsid w:val="00B04D2B"/>
    <w:rsid w:val="00B0532A"/>
    <w:rsid w:val="00B055B8"/>
    <w:rsid w:val="00B060FD"/>
    <w:rsid w:val="00B06403"/>
    <w:rsid w:val="00B06667"/>
    <w:rsid w:val="00B06926"/>
    <w:rsid w:val="00B0696D"/>
    <w:rsid w:val="00B06B05"/>
    <w:rsid w:val="00B07FAE"/>
    <w:rsid w:val="00B1014E"/>
    <w:rsid w:val="00B103D6"/>
    <w:rsid w:val="00B1047A"/>
    <w:rsid w:val="00B10889"/>
    <w:rsid w:val="00B11283"/>
    <w:rsid w:val="00B115D5"/>
    <w:rsid w:val="00B127F2"/>
    <w:rsid w:val="00B12C3D"/>
    <w:rsid w:val="00B1387B"/>
    <w:rsid w:val="00B13A6F"/>
    <w:rsid w:val="00B14120"/>
    <w:rsid w:val="00B150E1"/>
    <w:rsid w:val="00B151C6"/>
    <w:rsid w:val="00B155A6"/>
    <w:rsid w:val="00B155BD"/>
    <w:rsid w:val="00B1561B"/>
    <w:rsid w:val="00B15969"/>
    <w:rsid w:val="00B16281"/>
    <w:rsid w:val="00B16647"/>
    <w:rsid w:val="00B1667F"/>
    <w:rsid w:val="00B16778"/>
    <w:rsid w:val="00B16AFB"/>
    <w:rsid w:val="00B16CA1"/>
    <w:rsid w:val="00B16EDC"/>
    <w:rsid w:val="00B1701F"/>
    <w:rsid w:val="00B175E8"/>
    <w:rsid w:val="00B17CEB"/>
    <w:rsid w:val="00B20114"/>
    <w:rsid w:val="00B20473"/>
    <w:rsid w:val="00B20861"/>
    <w:rsid w:val="00B2125B"/>
    <w:rsid w:val="00B214E7"/>
    <w:rsid w:val="00B2167A"/>
    <w:rsid w:val="00B216A1"/>
    <w:rsid w:val="00B220C7"/>
    <w:rsid w:val="00B223A6"/>
    <w:rsid w:val="00B2242A"/>
    <w:rsid w:val="00B22478"/>
    <w:rsid w:val="00B226EF"/>
    <w:rsid w:val="00B22885"/>
    <w:rsid w:val="00B22928"/>
    <w:rsid w:val="00B22E56"/>
    <w:rsid w:val="00B22E7F"/>
    <w:rsid w:val="00B23243"/>
    <w:rsid w:val="00B242DE"/>
    <w:rsid w:val="00B2457E"/>
    <w:rsid w:val="00B24C2E"/>
    <w:rsid w:val="00B24C86"/>
    <w:rsid w:val="00B24DD2"/>
    <w:rsid w:val="00B253D5"/>
    <w:rsid w:val="00B25755"/>
    <w:rsid w:val="00B258F2"/>
    <w:rsid w:val="00B260B3"/>
    <w:rsid w:val="00B26144"/>
    <w:rsid w:val="00B262EF"/>
    <w:rsid w:val="00B263ED"/>
    <w:rsid w:val="00B26525"/>
    <w:rsid w:val="00B267CC"/>
    <w:rsid w:val="00B2696B"/>
    <w:rsid w:val="00B276AA"/>
    <w:rsid w:val="00B27702"/>
    <w:rsid w:val="00B27CF6"/>
    <w:rsid w:val="00B27EE2"/>
    <w:rsid w:val="00B3061E"/>
    <w:rsid w:val="00B30D5F"/>
    <w:rsid w:val="00B31395"/>
    <w:rsid w:val="00B31624"/>
    <w:rsid w:val="00B322E1"/>
    <w:rsid w:val="00B328B1"/>
    <w:rsid w:val="00B3301F"/>
    <w:rsid w:val="00B3332A"/>
    <w:rsid w:val="00B338D5"/>
    <w:rsid w:val="00B33CE2"/>
    <w:rsid w:val="00B33DCE"/>
    <w:rsid w:val="00B3438D"/>
    <w:rsid w:val="00B3445D"/>
    <w:rsid w:val="00B34526"/>
    <w:rsid w:val="00B34750"/>
    <w:rsid w:val="00B34BC2"/>
    <w:rsid w:val="00B34EA7"/>
    <w:rsid w:val="00B34F91"/>
    <w:rsid w:val="00B35049"/>
    <w:rsid w:val="00B35419"/>
    <w:rsid w:val="00B35435"/>
    <w:rsid w:val="00B356CF"/>
    <w:rsid w:val="00B35C31"/>
    <w:rsid w:val="00B3696E"/>
    <w:rsid w:val="00B36992"/>
    <w:rsid w:val="00B36A7B"/>
    <w:rsid w:val="00B3703B"/>
    <w:rsid w:val="00B371BF"/>
    <w:rsid w:val="00B37248"/>
    <w:rsid w:val="00B372F6"/>
    <w:rsid w:val="00B3767A"/>
    <w:rsid w:val="00B379F6"/>
    <w:rsid w:val="00B37A58"/>
    <w:rsid w:val="00B37B83"/>
    <w:rsid w:val="00B37CA9"/>
    <w:rsid w:val="00B40613"/>
    <w:rsid w:val="00B40BE7"/>
    <w:rsid w:val="00B416CE"/>
    <w:rsid w:val="00B41749"/>
    <w:rsid w:val="00B419D9"/>
    <w:rsid w:val="00B41BFF"/>
    <w:rsid w:val="00B4270E"/>
    <w:rsid w:val="00B42A47"/>
    <w:rsid w:val="00B42BF9"/>
    <w:rsid w:val="00B43143"/>
    <w:rsid w:val="00B43329"/>
    <w:rsid w:val="00B43ADC"/>
    <w:rsid w:val="00B4450A"/>
    <w:rsid w:val="00B4468F"/>
    <w:rsid w:val="00B44887"/>
    <w:rsid w:val="00B44B9E"/>
    <w:rsid w:val="00B451BB"/>
    <w:rsid w:val="00B4541A"/>
    <w:rsid w:val="00B45B79"/>
    <w:rsid w:val="00B45BF3"/>
    <w:rsid w:val="00B4607F"/>
    <w:rsid w:val="00B460AC"/>
    <w:rsid w:val="00B4633D"/>
    <w:rsid w:val="00B46987"/>
    <w:rsid w:val="00B46FB8"/>
    <w:rsid w:val="00B475B0"/>
    <w:rsid w:val="00B47E63"/>
    <w:rsid w:val="00B50051"/>
    <w:rsid w:val="00B505A6"/>
    <w:rsid w:val="00B505C4"/>
    <w:rsid w:val="00B505FE"/>
    <w:rsid w:val="00B5071D"/>
    <w:rsid w:val="00B508E2"/>
    <w:rsid w:val="00B50F87"/>
    <w:rsid w:val="00B51064"/>
    <w:rsid w:val="00B511C2"/>
    <w:rsid w:val="00B51204"/>
    <w:rsid w:val="00B5158A"/>
    <w:rsid w:val="00B515C9"/>
    <w:rsid w:val="00B51C20"/>
    <w:rsid w:val="00B51E8E"/>
    <w:rsid w:val="00B51F94"/>
    <w:rsid w:val="00B5259D"/>
    <w:rsid w:val="00B528D6"/>
    <w:rsid w:val="00B528F5"/>
    <w:rsid w:val="00B52BC0"/>
    <w:rsid w:val="00B52D13"/>
    <w:rsid w:val="00B52D6E"/>
    <w:rsid w:val="00B542AF"/>
    <w:rsid w:val="00B54A3E"/>
    <w:rsid w:val="00B54A67"/>
    <w:rsid w:val="00B54E89"/>
    <w:rsid w:val="00B55002"/>
    <w:rsid w:val="00B55844"/>
    <w:rsid w:val="00B55B05"/>
    <w:rsid w:val="00B55B40"/>
    <w:rsid w:val="00B55D1A"/>
    <w:rsid w:val="00B560D6"/>
    <w:rsid w:val="00B56607"/>
    <w:rsid w:val="00B56927"/>
    <w:rsid w:val="00B56BBC"/>
    <w:rsid w:val="00B56C89"/>
    <w:rsid w:val="00B57063"/>
    <w:rsid w:val="00B57254"/>
    <w:rsid w:val="00B572C0"/>
    <w:rsid w:val="00B57630"/>
    <w:rsid w:val="00B57973"/>
    <w:rsid w:val="00B60011"/>
    <w:rsid w:val="00B602D9"/>
    <w:rsid w:val="00B604F0"/>
    <w:rsid w:val="00B60BA7"/>
    <w:rsid w:val="00B60C7F"/>
    <w:rsid w:val="00B60CD9"/>
    <w:rsid w:val="00B60DBC"/>
    <w:rsid w:val="00B6135D"/>
    <w:rsid w:val="00B6167D"/>
    <w:rsid w:val="00B6177A"/>
    <w:rsid w:val="00B61F75"/>
    <w:rsid w:val="00B62897"/>
    <w:rsid w:val="00B62F95"/>
    <w:rsid w:val="00B6313E"/>
    <w:rsid w:val="00B6356D"/>
    <w:rsid w:val="00B636D5"/>
    <w:rsid w:val="00B63CDA"/>
    <w:rsid w:val="00B63F4F"/>
    <w:rsid w:val="00B63F94"/>
    <w:rsid w:val="00B64773"/>
    <w:rsid w:val="00B648A3"/>
    <w:rsid w:val="00B648DA"/>
    <w:rsid w:val="00B6531E"/>
    <w:rsid w:val="00B65465"/>
    <w:rsid w:val="00B656AC"/>
    <w:rsid w:val="00B65874"/>
    <w:rsid w:val="00B65F76"/>
    <w:rsid w:val="00B66414"/>
    <w:rsid w:val="00B6676F"/>
    <w:rsid w:val="00B676BF"/>
    <w:rsid w:val="00B67910"/>
    <w:rsid w:val="00B70B54"/>
    <w:rsid w:val="00B70FBF"/>
    <w:rsid w:val="00B71C6E"/>
    <w:rsid w:val="00B721BD"/>
    <w:rsid w:val="00B7240F"/>
    <w:rsid w:val="00B73171"/>
    <w:rsid w:val="00B73350"/>
    <w:rsid w:val="00B734FF"/>
    <w:rsid w:val="00B7357D"/>
    <w:rsid w:val="00B740CF"/>
    <w:rsid w:val="00B744A6"/>
    <w:rsid w:val="00B74732"/>
    <w:rsid w:val="00B75B41"/>
    <w:rsid w:val="00B75C7E"/>
    <w:rsid w:val="00B765A3"/>
    <w:rsid w:val="00B7666A"/>
    <w:rsid w:val="00B76748"/>
    <w:rsid w:val="00B7734C"/>
    <w:rsid w:val="00B77375"/>
    <w:rsid w:val="00B7757D"/>
    <w:rsid w:val="00B775D3"/>
    <w:rsid w:val="00B8029C"/>
    <w:rsid w:val="00B803BD"/>
    <w:rsid w:val="00B808A9"/>
    <w:rsid w:val="00B80955"/>
    <w:rsid w:val="00B81669"/>
    <w:rsid w:val="00B817AA"/>
    <w:rsid w:val="00B81976"/>
    <w:rsid w:val="00B81B9A"/>
    <w:rsid w:val="00B82536"/>
    <w:rsid w:val="00B82A1E"/>
    <w:rsid w:val="00B8331B"/>
    <w:rsid w:val="00B8335F"/>
    <w:rsid w:val="00B83D7C"/>
    <w:rsid w:val="00B8421F"/>
    <w:rsid w:val="00B8457F"/>
    <w:rsid w:val="00B845B2"/>
    <w:rsid w:val="00B855C9"/>
    <w:rsid w:val="00B85769"/>
    <w:rsid w:val="00B859D7"/>
    <w:rsid w:val="00B85CE4"/>
    <w:rsid w:val="00B85DD7"/>
    <w:rsid w:val="00B86113"/>
    <w:rsid w:val="00B867BE"/>
    <w:rsid w:val="00B86B9B"/>
    <w:rsid w:val="00B86E58"/>
    <w:rsid w:val="00B86FBE"/>
    <w:rsid w:val="00B93883"/>
    <w:rsid w:val="00B93B40"/>
    <w:rsid w:val="00B93E32"/>
    <w:rsid w:val="00B94004"/>
    <w:rsid w:val="00B9428F"/>
    <w:rsid w:val="00B944AF"/>
    <w:rsid w:val="00B949D3"/>
    <w:rsid w:val="00B949D4"/>
    <w:rsid w:val="00B94A3D"/>
    <w:rsid w:val="00B94FA9"/>
    <w:rsid w:val="00B94FB1"/>
    <w:rsid w:val="00B94FCA"/>
    <w:rsid w:val="00B95DB8"/>
    <w:rsid w:val="00B95DEA"/>
    <w:rsid w:val="00B95ECD"/>
    <w:rsid w:val="00B9659F"/>
    <w:rsid w:val="00B966DA"/>
    <w:rsid w:val="00B96AEE"/>
    <w:rsid w:val="00B96B10"/>
    <w:rsid w:val="00B96CCB"/>
    <w:rsid w:val="00B96D18"/>
    <w:rsid w:val="00B96F31"/>
    <w:rsid w:val="00B96FD5"/>
    <w:rsid w:val="00B970F8"/>
    <w:rsid w:val="00B9761A"/>
    <w:rsid w:val="00B97A63"/>
    <w:rsid w:val="00B97D5A"/>
    <w:rsid w:val="00BA0BF0"/>
    <w:rsid w:val="00BA0D40"/>
    <w:rsid w:val="00BA102E"/>
    <w:rsid w:val="00BA13DB"/>
    <w:rsid w:val="00BA199B"/>
    <w:rsid w:val="00BA20B3"/>
    <w:rsid w:val="00BA22BF"/>
    <w:rsid w:val="00BA2D0B"/>
    <w:rsid w:val="00BA2D74"/>
    <w:rsid w:val="00BA362A"/>
    <w:rsid w:val="00BA3900"/>
    <w:rsid w:val="00BA3BA8"/>
    <w:rsid w:val="00BA4589"/>
    <w:rsid w:val="00BA4770"/>
    <w:rsid w:val="00BA49CF"/>
    <w:rsid w:val="00BA4A15"/>
    <w:rsid w:val="00BA4B72"/>
    <w:rsid w:val="00BA4D10"/>
    <w:rsid w:val="00BA506B"/>
    <w:rsid w:val="00BA6290"/>
    <w:rsid w:val="00BA6500"/>
    <w:rsid w:val="00BA6C57"/>
    <w:rsid w:val="00BA6E43"/>
    <w:rsid w:val="00BA707D"/>
    <w:rsid w:val="00BA72C0"/>
    <w:rsid w:val="00BA7599"/>
    <w:rsid w:val="00BA75A7"/>
    <w:rsid w:val="00BA75F8"/>
    <w:rsid w:val="00BA7801"/>
    <w:rsid w:val="00BA7996"/>
    <w:rsid w:val="00BB0809"/>
    <w:rsid w:val="00BB0F84"/>
    <w:rsid w:val="00BB1145"/>
    <w:rsid w:val="00BB1465"/>
    <w:rsid w:val="00BB21B1"/>
    <w:rsid w:val="00BB2245"/>
    <w:rsid w:val="00BB2370"/>
    <w:rsid w:val="00BB2676"/>
    <w:rsid w:val="00BB2D31"/>
    <w:rsid w:val="00BB308C"/>
    <w:rsid w:val="00BB316A"/>
    <w:rsid w:val="00BB3425"/>
    <w:rsid w:val="00BB3966"/>
    <w:rsid w:val="00BB454E"/>
    <w:rsid w:val="00BB47FE"/>
    <w:rsid w:val="00BB4D57"/>
    <w:rsid w:val="00BB4F6E"/>
    <w:rsid w:val="00BB53BD"/>
    <w:rsid w:val="00BB55CB"/>
    <w:rsid w:val="00BB5612"/>
    <w:rsid w:val="00BB56BD"/>
    <w:rsid w:val="00BB5E02"/>
    <w:rsid w:val="00BB5F1C"/>
    <w:rsid w:val="00BB6262"/>
    <w:rsid w:val="00BB7090"/>
    <w:rsid w:val="00BB7829"/>
    <w:rsid w:val="00BC0079"/>
    <w:rsid w:val="00BC0678"/>
    <w:rsid w:val="00BC08D9"/>
    <w:rsid w:val="00BC0F41"/>
    <w:rsid w:val="00BC10E9"/>
    <w:rsid w:val="00BC1185"/>
    <w:rsid w:val="00BC16C6"/>
    <w:rsid w:val="00BC19AF"/>
    <w:rsid w:val="00BC1B8A"/>
    <w:rsid w:val="00BC1D98"/>
    <w:rsid w:val="00BC1F7A"/>
    <w:rsid w:val="00BC2766"/>
    <w:rsid w:val="00BC3608"/>
    <w:rsid w:val="00BC3706"/>
    <w:rsid w:val="00BC3B67"/>
    <w:rsid w:val="00BC3F64"/>
    <w:rsid w:val="00BC41F9"/>
    <w:rsid w:val="00BC4B8F"/>
    <w:rsid w:val="00BC5731"/>
    <w:rsid w:val="00BC58DA"/>
    <w:rsid w:val="00BC62A1"/>
    <w:rsid w:val="00BC6472"/>
    <w:rsid w:val="00BC677D"/>
    <w:rsid w:val="00BC6991"/>
    <w:rsid w:val="00BC7FBA"/>
    <w:rsid w:val="00BD002F"/>
    <w:rsid w:val="00BD0059"/>
    <w:rsid w:val="00BD0E93"/>
    <w:rsid w:val="00BD0ECC"/>
    <w:rsid w:val="00BD0F5A"/>
    <w:rsid w:val="00BD11C2"/>
    <w:rsid w:val="00BD133C"/>
    <w:rsid w:val="00BD16AC"/>
    <w:rsid w:val="00BD1973"/>
    <w:rsid w:val="00BD1C10"/>
    <w:rsid w:val="00BD1DA0"/>
    <w:rsid w:val="00BD239D"/>
    <w:rsid w:val="00BD2F32"/>
    <w:rsid w:val="00BD322C"/>
    <w:rsid w:val="00BD396D"/>
    <w:rsid w:val="00BD3A2F"/>
    <w:rsid w:val="00BD3BA6"/>
    <w:rsid w:val="00BD3BC9"/>
    <w:rsid w:val="00BD3EE9"/>
    <w:rsid w:val="00BD457B"/>
    <w:rsid w:val="00BD47E5"/>
    <w:rsid w:val="00BD4C64"/>
    <w:rsid w:val="00BD5690"/>
    <w:rsid w:val="00BD57BF"/>
    <w:rsid w:val="00BD5CA2"/>
    <w:rsid w:val="00BD5E91"/>
    <w:rsid w:val="00BD62BB"/>
    <w:rsid w:val="00BD6DD6"/>
    <w:rsid w:val="00BD7E16"/>
    <w:rsid w:val="00BD7FE6"/>
    <w:rsid w:val="00BE06D0"/>
    <w:rsid w:val="00BE0826"/>
    <w:rsid w:val="00BE0FB3"/>
    <w:rsid w:val="00BE159D"/>
    <w:rsid w:val="00BE2014"/>
    <w:rsid w:val="00BE2BCC"/>
    <w:rsid w:val="00BE2FA6"/>
    <w:rsid w:val="00BE3674"/>
    <w:rsid w:val="00BE3A58"/>
    <w:rsid w:val="00BE3D74"/>
    <w:rsid w:val="00BE419B"/>
    <w:rsid w:val="00BE498D"/>
    <w:rsid w:val="00BE4A02"/>
    <w:rsid w:val="00BE4FC4"/>
    <w:rsid w:val="00BE5040"/>
    <w:rsid w:val="00BE52A8"/>
    <w:rsid w:val="00BE5A63"/>
    <w:rsid w:val="00BE601F"/>
    <w:rsid w:val="00BE61A9"/>
    <w:rsid w:val="00BE65B4"/>
    <w:rsid w:val="00BE6730"/>
    <w:rsid w:val="00BE6908"/>
    <w:rsid w:val="00BE6DD2"/>
    <w:rsid w:val="00BE6FE4"/>
    <w:rsid w:val="00BE70C2"/>
    <w:rsid w:val="00BE727E"/>
    <w:rsid w:val="00BE7380"/>
    <w:rsid w:val="00BF11F5"/>
    <w:rsid w:val="00BF1343"/>
    <w:rsid w:val="00BF15AD"/>
    <w:rsid w:val="00BF1E87"/>
    <w:rsid w:val="00BF2D33"/>
    <w:rsid w:val="00BF2E0A"/>
    <w:rsid w:val="00BF2EF2"/>
    <w:rsid w:val="00BF3704"/>
    <w:rsid w:val="00BF3765"/>
    <w:rsid w:val="00BF3807"/>
    <w:rsid w:val="00BF39A3"/>
    <w:rsid w:val="00BF3C79"/>
    <w:rsid w:val="00BF3D22"/>
    <w:rsid w:val="00BF45AC"/>
    <w:rsid w:val="00BF48C5"/>
    <w:rsid w:val="00BF59D2"/>
    <w:rsid w:val="00BF66DB"/>
    <w:rsid w:val="00BF6A14"/>
    <w:rsid w:val="00BF6B4D"/>
    <w:rsid w:val="00BF6C35"/>
    <w:rsid w:val="00BF76F7"/>
    <w:rsid w:val="00BF7F83"/>
    <w:rsid w:val="00C0077C"/>
    <w:rsid w:val="00C008A9"/>
    <w:rsid w:val="00C0096E"/>
    <w:rsid w:val="00C00B63"/>
    <w:rsid w:val="00C02256"/>
    <w:rsid w:val="00C022F6"/>
    <w:rsid w:val="00C02777"/>
    <w:rsid w:val="00C027D3"/>
    <w:rsid w:val="00C031DB"/>
    <w:rsid w:val="00C03243"/>
    <w:rsid w:val="00C03722"/>
    <w:rsid w:val="00C03DEC"/>
    <w:rsid w:val="00C03F18"/>
    <w:rsid w:val="00C04116"/>
    <w:rsid w:val="00C04644"/>
    <w:rsid w:val="00C0466D"/>
    <w:rsid w:val="00C04A20"/>
    <w:rsid w:val="00C04BAD"/>
    <w:rsid w:val="00C0504A"/>
    <w:rsid w:val="00C05074"/>
    <w:rsid w:val="00C05DB3"/>
    <w:rsid w:val="00C06494"/>
    <w:rsid w:val="00C066A1"/>
    <w:rsid w:val="00C06D03"/>
    <w:rsid w:val="00C07DCE"/>
    <w:rsid w:val="00C07DD3"/>
    <w:rsid w:val="00C07E73"/>
    <w:rsid w:val="00C07F64"/>
    <w:rsid w:val="00C10905"/>
    <w:rsid w:val="00C10B64"/>
    <w:rsid w:val="00C11275"/>
    <w:rsid w:val="00C1147E"/>
    <w:rsid w:val="00C11555"/>
    <w:rsid w:val="00C11AAB"/>
    <w:rsid w:val="00C11B69"/>
    <w:rsid w:val="00C12190"/>
    <w:rsid w:val="00C12575"/>
    <w:rsid w:val="00C12A93"/>
    <w:rsid w:val="00C13107"/>
    <w:rsid w:val="00C1359C"/>
    <w:rsid w:val="00C135AA"/>
    <w:rsid w:val="00C138D2"/>
    <w:rsid w:val="00C13B8E"/>
    <w:rsid w:val="00C1448B"/>
    <w:rsid w:val="00C14879"/>
    <w:rsid w:val="00C14982"/>
    <w:rsid w:val="00C14AAD"/>
    <w:rsid w:val="00C1516F"/>
    <w:rsid w:val="00C15496"/>
    <w:rsid w:val="00C15589"/>
    <w:rsid w:val="00C15BB8"/>
    <w:rsid w:val="00C16173"/>
    <w:rsid w:val="00C1634C"/>
    <w:rsid w:val="00C1668A"/>
    <w:rsid w:val="00C17B99"/>
    <w:rsid w:val="00C17D1A"/>
    <w:rsid w:val="00C17FAB"/>
    <w:rsid w:val="00C17FC7"/>
    <w:rsid w:val="00C20D75"/>
    <w:rsid w:val="00C20EAB"/>
    <w:rsid w:val="00C20F32"/>
    <w:rsid w:val="00C21175"/>
    <w:rsid w:val="00C218C8"/>
    <w:rsid w:val="00C23176"/>
    <w:rsid w:val="00C23BBE"/>
    <w:rsid w:val="00C243A8"/>
    <w:rsid w:val="00C244E2"/>
    <w:rsid w:val="00C246DD"/>
    <w:rsid w:val="00C249DB"/>
    <w:rsid w:val="00C2529C"/>
    <w:rsid w:val="00C25820"/>
    <w:rsid w:val="00C25846"/>
    <w:rsid w:val="00C25906"/>
    <w:rsid w:val="00C26491"/>
    <w:rsid w:val="00C268B1"/>
    <w:rsid w:val="00C26A36"/>
    <w:rsid w:val="00C26DAB"/>
    <w:rsid w:val="00C26E55"/>
    <w:rsid w:val="00C27158"/>
    <w:rsid w:val="00C273AD"/>
    <w:rsid w:val="00C2792E"/>
    <w:rsid w:val="00C27B05"/>
    <w:rsid w:val="00C3028D"/>
    <w:rsid w:val="00C3092B"/>
    <w:rsid w:val="00C314C2"/>
    <w:rsid w:val="00C32009"/>
    <w:rsid w:val="00C32AF5"/>
    <w:rsid w:val="00C32E3A"/>
    <w:rsid w:val="00C32F72"/>
    <w:rsid w:val="00C33601"/>
    <w:rsid w:val="00C3361A"/>
    <w:rsid w:val="00C346E6"/>
    <w:rsid w:val="00C35327"/>
    <w:rsid w:val="00C35370"/>
    <w:rsid w:val="00C35D6A"/>
    <w:rsid w:val="00C35E57"/>
    <w:rsid w:val="00C366F4"/>
    <w:rsid w:val="00C36B30"/>
    <w:rsid w:val="00C36D3B"/>
    <w:rsid w:val="00C36E01"/>
    <w:rsid w:val="00C3700C"/>
    <w:rsid w:val="00C37200"/>
    <w:rsid w:val="00C37790"/>
    <w:rsid w:val="00C40D06"/>
    <w:rsid w:val="00C40D8D"/>
    <w:rsid w:val="00C40DF8"/>
    <w:rsid w:val="00C4156A"/>
    <w:rsid w:val="00C415F5"/>
    <w:rsid w:val="00C41D2A"/>
    <w:rsid w:val="00C423BE"/>
    <w:rsid w:val="00C42A9C"/>
    <w:rsid w:val="00C42AE3"/>
    <w:rsid w:val="00C42CD6"/>
    <w:rsid w:val="00C42D42"/>
    <w:rsid w:val="00C42E22"/>
    <w:rsid w:val="00C42E5A"/>
    <w:rsid w:val="00C42FDD"/>
    <w:rsid w:val="00C43173"/>
    <w:rsid w:val="00C432C6"/>
    <w:rsid w:val="00C43ED6"/>
    <w:rsid w:val="00C44CC1"/>
    <w:rsid w:val="00C45C00"/>
    <w:rsid w:val="00C45E32"/>
    <w:rsid w:val="00C45FAD"/>
    <w:rsid w:val="00C461F9"/>
    <w:rsid w:val="00C4658A"/>
    <w:rsid w:val="00C4678F"/>
    <w:rsid w:val="00C475FD"/>
    <w:rsid w:val="00C5060D"/>
    <w:rsid w:val="00C50993"/>
    <w:rsid w:val="00C518C8"/>
    <w:rsid w:val="00C51C5E"/>
    <w:rsid w:val="00C51D51"/>
    <w:rsid w:val="00C51EB2"/>
    <w:rsid w:val="00C51EE2"/>
    <w:rsid w:val="00C51F66"/>
    <w:rsid w:val="00C52F2E"/>
    <w:rsid w:val="00C53612"/>
    <w:rsid w:val="00C5378C"/>
    <w:rsid w:val="00C53CED"/>
    <w:rsid w:val="00C545F5"/>
    <w:rsid w:val="00C54A04"/>
    <w:rsid w:val="00C54B9D"/>
    <w:rsid w:val="00C54F39"/>
    <w:rsid w:val="00C55220"/>
    <w:rsid w:val="00C55292"/>
    <w:rsid w:val="00C56073"/>
    <w:rsid w:val="00C563AB"/>
    <w:rsid w:val="00C566B4"/>
    <w:rsid w:val="00C56A0E"/>
    <w:rsid w:val="00C56CB3"/>
    <w:rsid w:val="00C5737F"/>
    <w:rsid w:val="00C577FA"/>
    <w:rsid w:val="00C60871"/>
    <w:rsid w:val="00C61037"/>
    <w:rsid w:val="00C61218"/>
    <w:rsid w:val="00C620F4"/>
    <w:rsid w:val="00C63193"/>
    <w:rsid w:val="00C6360E"/>
    <w:rsid w:val="00C63647"/>
    <w:rsid w:val="00C638AD"/>
    <w:rsid w:val="00C646E8"/>
    <w:rsid w:val="00C648B9"/>
    <w:rsid w:val="00C64975"/>
    <w:rsid w:val="00C64B79"/>
    <w:rsid w:val="00C6500E"/>
    <w:rsid w:val="00C65071"/>
    <w:rsid w:val="00C655ED"/>
    <w:rsid w:val="00C6592F"/>
    <w:rsid w:val="00C660A2"/>
    <w:rsid w:val="00C66A6D"/>
    <w:rsid w:val="00C66AEE"/>
    <w:rsid w:val="00C670BC"/>
    <w:rsid w:val="00C6714F"/>
    <w:rsid w:val="00C67499"/>
    <w:rsid w:val="00C67745"/>
    <w:rsid w:val="00C678F9"/>
    <w:rsid w:val="00C701C4"/>
    <w:rsid w:val="00C70297"/>
    <w:rsid w:val="00C702AF"/>
    <w:rsid w:val="00C71723"/>
    <w:rsid w:val="00C7184B"/>
    <w:rsid w:val="00C71884"/>
    <w:rsid w:val="00C7194F"/>
    <w:rsid w:val="00C720A0"/>
    <w:rsid w:val="00C735BC"/>
    <w:rsid w:val="00C73BA8"/>
    <w:rsid w:val="00C743B2"/>
    <w:rsid w:val="00C7465C"/>
    <w:rsid w:val="00C74DBB"/>
    <w:rsid w:val="00C74E07"/>
    <w:rsid w:val="00C74F24"/>
    <w:rsid w:val="00C7532F"/>
    <w:rsid w:val="00C756F8"/>
    <w:rsid w:val="00C7596C"/>
    <w:rsid w:val="00C75B42"/>
    <w:rsid w:val="00C764F3"/>
    <w:rsid w:val="00C767AB"/>
    <w:rsid w:val="00C76E17"/>
    <w:rsid w:val="00C775AB"/>
    <w:rsid w:val="00C77775"/>
    <w:rsid w:val="00C805E9"/>
    <w:rsid w:val="00C806C1"/>
    <w:rsid w:val="00C81201"/>
    <w:rsid w:val="00C81447"/>
    <w:rsid w:val="00C81496"/>
    <w:rsid w:val="00C815E2"/>
    <w:rsid w:val="00C8166B"/>
    <w:rsid w:val="00C81D2E"/>
    <w:rsid w:val="00C81DDF"/>
    <w:rsid w:val="00C82607"/>
    <w:rsid w:val="00C828AD"/>
    <w:rsid w:val="00C828EC"/>
    <w:rsid w:val="00C82926"/>
    <w:rsid w:val="00C82CC6"/>
    <w:rsid w:val="00C82D1B"/>
    <w:rsid w:val="00C82E8C"/>
    <w:rsid w:val="00C833E9"/>
    <w:rsid w:val="00C83D41"/>
    <w:rsid w:val="00C841A2"/>
    <w:rsid w:val="00C845E8"/>
    <w:rsid w:val="00C849A9"/>
    <w:rsid w:val="00C84B60"/>
    <w:rsid w:val="00C84D6D"/>
    <w:rsid w:val="00C854C0"/>
    <w:rsid w:val="00C855E2"/>
    <w:rsid w:val="00C85996"/>
    <w:rsid w:val="00C859E3"/>
    <w:rsid w:val="00C85CD0"/>
    <w:rsid w:val="00C85EED"/>
    <w:rsid w:val="00C85F15"/>
    <w:rsid w:val="00C85F8B"/>
    <w:rsid w:val="00C8615B"/>
    <w:rsid w:val="00C86D96"/>
    <w:rsid w:val="00C87122"/>
    <w:rsid w:val="00C872C3"/>
    <w:rsid w:val="00C87AB9"/>
    <w:rsid w:val="00C87AD8"/>
    <w:rsid w:val="00C87CB8"/>
    <w:rsid w:val="00C9020C"/>
    <w:rsid w:val="00C902ED"/>
    <w:rsid w:val="00C90D6B"/>
    <w:rsid w:val="00C90EC8"/>
    <w:rsid w:val="00C9125B"/>
    <w:rsid w:val="00C91864"/>
    <w:rsid w:val="00C91EA0"/>
    <w:rsid w:val="00C91F89"/>
    <w:rsid w:val="00C924B1"/>
    <w:rsid w:val="00C9260B"/>
    <w:rsid w:val="00C92736"/>
    <w:rsid w:val="00C927A0"/>
    <w:rsid w:val="00C939CA"/>
    <w:rsid w:val="00C940C9"/>
    <w:rsid w:val="00C94613"/>
    <w:rsid w:val="00C94635"/>
    <w:rsid w:val="00C94A7B"/>
    <w:rsid w:val="00C94B36"/>
    <w:rsid w:val="00C94BA5"/>
    <w:rsid w:val="00C94D66"/>
    <w:rsid w:val="00C94E70"/>
    <w:rsid w:val="00C953BA"/>
    <w:rsid w:val="00C95520"/>
    <w:rsid w:val="00C9568A"/>
    <w:rsid w:val="00C967F1"/>
    <w:rsid w:val="00C96968"/>
    <w:rsid w:val="00C96C0F"/>
    <w:rsid w:val="00C96CC5"/>
    <w:rsid w:val="00C976AF"/>
    <w:rsid w:val="00C97E2C"/>
    <w:rsid w:val="00CA0A16"/>
    <w:rsid w:val="00CA0B8E"/>
    <w:rsid w:val="00CA16BE"/>
    <w:rsid w:val="00CA1C03"/>
    <w:rsid w:val="00CA1C76"/>
    <w:rsid w:val="00CA2323"/>
    <w:rsid w:val="00CA2367"/>
    <w:rsid w:val="00CA26E4"/>
    <w:rsid w:val="00CA2C49"/>
    <w:rsid w:val="00CA2EA4"/>
    <w:rsid w:val="00CA37D9"/>
    <w:rsid w:val="00CA38C3"/>
    <w:rsid w:val="00CA3E9A"/>
    <w:rsid w:val="00CA4274"/>
    <w:rsid w:val="00CA4324"/>
    <w:rsid w:val="00CA4AF5"/>
    <w:rsid w:val="00CA4C62"/>
    <w:rsid w:val="00CA4CB5"/>
    <w:rsid w:val="00CA4E5E"/>
    <w:rsid w:val="00CA500F"/>
    <w:rsid w:val="00CA5215"/>
    <w:rsid w:val="00CA565D"/>
    <w:rsid w:val="00CA569A"/>
    <w:rsid w:val="00CA575B"/>
    <w:rsid w:val="00CA5849"/>
    <w:rsid w:val="00CA6817"/>
    <w:rsid w:val="00CA6E00"/>
    <w:rsid w:val="00CA710F"/>
    <w:rsid w:val="00CA7138"/>
    <w:rsid w:val="00CA719F"/>
    <w:rsid w:val="00CA7425"/>
    <w:rsid w:val="00CA79F8"/>
    <w:rsid w:val="00CA7F23"/>
    <w:rsid w:val="00CB021C"/>
    <w:rsid w:val="00CB0512"/>
    <w:rsid w:val="00CB05D3"/>
    <w:rsid w:val="00CB0AF4"/>
    <w:rsid w:val="00CB1186"/>
    <w:rsid w:val="00CB1341"/>
    <w:rsid w:val="00CB178A"/>
    <w:rsid w:val="00CB1B64"/>
    <w:rsid w:val="00CB1DBB"/>
    <w:rsid w:val="00CB1F57"/>
    <w:rsid w:val="00CB2900"/>
    <w:rsid w:val="00CB2B86"/>
    <w:rsid w:val="00CB32BA"/>
    <w:rsid w:val="00CB3850"/>
    <w:rsid w:val="00CB39AC"/>
    <w:rsid w:val="00CB3DB4"/>
    <w:rsid w:val="00CB4D2A"/>
    <w:rsid w:val="00CB4FA0"/>
    <w:rsid w:val="00CB55C3"/>
    <w:rsid w:val="00CB5750"/>
    <w:rsid w:val="00CB5DA0"/>
    <w:rsid w:val="00CB5E1C"/>
    <w:rsid w:val="00CB6582"/>
    <w:rsid w:val="00CB69E0"/>
    <w:rsid w:val="00CB781E"/>
    <w:rsid w:val="00CB7EBE"/>
    <w:rsid w:val="00CC13ED"/>
    <w:rsid w:val="00CC143F"/>
    <w:rsid w:val="00CC1592"/>
    <w:rsid w:val="00CC17F4"/>
    <w:rsid w:val="00CC1C5D"/>
    <w:rsid w:val="00CC2156"/>
    <w:rsid w:val="00CC21A7"/>
    <w:rsid w:val="00CC24A6"/>
    <w:rsid w:val="00CC2B9B"/>
    <w:rsid w:val="00CC305A"/>
    <w:rsid w:val="00CC36B2"/>
    <w:rsid w:val="00CC427A"/>
    <w:rsid w:val="00CC5618"/>
    <w:rsid w:val="00CC570A"/>
    <w:rsid w:val="00CC59DF"/>
    <w:rsid w:val="00CC5CA9"/>
    <w:rsid w:val="00CC5D7C"/>
    <w:rsid w:val="00CC6374"/>
    <w:rsid w:val="00CC72B2"/>
    <w:rsid w:val="00CC7400"/>
    <w:rsid w:val="00CC74EE"/>
    <w:rsid w:val="00CC7515"/>
    <w:rsid w:val="00CC77F5"/>
    <w:rsid w:val="00CC78B1"/>
    <w:rsid w:val="00CD0722"/>
    <w:rsid w:val="00CD0E39"/>
    <w:rsid w:val="00CD12B1"/>
    <w:rsid w:val="00CD15FF"/>
    <w:rsid w:val="00CD1E8A"/>
    <w:rsid w:val="00CD26B8"/>
    <w:rsid w:val="00CD288B"/>
    <w:rsid w:val="00CD3547"/>
    <w:rsid w:val="00CD369A"/>
    <w:rsid w:val="00CD411E"/>
    <w:rsid w:val="00CD41BB"/>
    <w:rsid w:val="00CD46E0"/>
    <w:rsid w:val="00CD4F4A"/>
    <w:rsid w:val="00CD5525"/>
    <w:rsid w:val="00CD5534"/>
    <w:rsid w:val="00CD5739"/>
    <w:rsid w:val="00CD5F19"/>
    <w:rsid w:val="00CD60EB"/>
    <w:rsid w:val="00CD76F2"/>
    <w:rsid w:val="00CE01D4"/>
    <w:rsid w:val="00CE0FC5"/>
    <w:rsid w:val="00CE223A"/>
    <w:rsid w:val="00CE2A1A"/>
    <w:rsid w:val="00CE479F"/>
    <w:rsid w:val="00CE4AC4"/>
    <w:rsid w:val="00CE4C67"/>
    <w:rsid w:val="00CE4F25"/>
    <w:rsid w:val="00CE52C4"/>
    <w:rsid w:val="00CE54CD"/>
    <w:rsid w:val="00CE5ED0"/>
    <w:rsid w:val="00CE5FE0"/>
    <w:rsid w:val="00CE6620"/>
    <w:rsid w:val="00CE7558"/>
    <w:rsid w:val="00CE7C8D"/>
    <w:rsid w:val="00CE7FEB"/>
    <w:rsid w:val="00CF09E7"/>
    <w:rsid w:val="00CF105C"/>
    <w:rsid w:val="00CF1B0B"/>
    <w:rsid w:val="00CF1B95"/>
    <w:rsid w:val="00CF1DC2"/>
    <w:rsid w:val="00CF1EDB"/>
    <w:rsid w:val="00CF2074"/>
    <w:rsid w:val="00CF2180"/>
    <w:rsid w:val="00CF281C"/>
    <w:rsid w:val="00CF2B07"/>
    <w:rsid w:val="00CF2B53"/>
    <w:rsid w:val="00CF2D8A"/>
    <w:rsid w:val="00CF3A80"/>
    <w:rsid w:val="00CF3B5B"/>
    <w:rsid w:val="00CF4A91"/>
    <w:rsid w:val="00CF4D58"/>
    <w:rsid w:val="00CF4DFF"/>
    <w:rsid w:val="00CF4F3B"/>
    <w:rsid w:val="00CF501E"/>
    <w:rsid w:val="00CF51C7"/>
    <w:rsid w:val="00CF5DA5"/>
    <w:rsid w:val="00CF6797"/>
    <w:rsid w:val="00CF7123"/>
    <w:rsid w:val="00CF75ED"/>
    <w:rsid w:val="00CF77A3"/>
    <w:rsid w:val="00CF7A23"/>
    <w:rsid w:val="00CF7ECA"/>
    <w:rsid w:val="00D006E0"/>
    <w:rsid w:val="00D0086A"/>
    <w:rsid w:val="00D00BDA"/>
    <w:rsid w:val="00D00C38"/>
    <w:rsid w:val="00D01CB6"/>
    <w:rsid w:val="00D021DB"/>
    <w:rsid w:val="00D02658"/>
    <w:rsid w:val="00D0293F"/>
    <w:rsid w:val="00D02C05"/>
    <w:rsid w:val="00D02F48"/>
    <w:rsid w:val="00D03468"/>
    <w:rsid w:val="00D03BE9"/>
    <w:rsid w:val="00D0416D"/>
    <w:rsid w:val="00D04D38"/>
    <w:rsid w:val="00D052BE"/>
    <w:rsid w:val="00D05737"/>
    <w:rsid w:val="00D0640F"/>
    <w:rsid w:val="00D064A0"/>
    <w:rsid w:val="00D0748E"/>
    <w:rsid w:val="00D07902"/>
    <w:rsid w:val="00D07BA6"/>
    <w:rsid w:val="00D07C39"/>
    <w:rsid w:val="00D10221"/>
    <w:rsid w:val="00D1052D"/>
    <w:rsid w:val="00D107E0"/>
    <w:rsid w:val="00D10F28"/>
    <w:rsid w:val="00D11013"/>
    <w:rsid w:val="00D117B4"/>
    <w:rsid w:val="00D11D30"/>
    <w:rsid w:val="00D11E06"/>
    <w:rsid w:val="00D1249C"/>
    <w:rsid w:val="00D1350C"/>
    <w:rsid w:val="00D13642"/>
    <w:rsid w:val="00D14590"/>
    <w:rsid w:val="00D15A27"/>
    <w:rsid w:val="00D1611A"/>
    <w:rsid w:val="00D16142"/>
    <w:rsid w:val="00D1732D"/>
    <w:rsid w:val="00D176D2"/>
    <w:rsid w:val="00D17B18"/>
    <w:rsid w:val="00D202D8"/>
    <w:rsid w:val="00D20E50"/>
    <w:rsid w:val="00D20F31"/>
    <w:rsid w:val="00D21903"/>
    <w:rsid w:val="00D22066"/>
    <w:rsid w:val="00D227BD"/>
    <w:rsid w:val="00D22AA0"/>
    <w:rsid w:val="00D22B09"/>
    <w:rsid w:val="00D23FF8"/>
    <w:rsid w:val="00D243FD"/>
    <w:rsid w:val="00D250B7"/>
    <w:rsid w:val="00D2626B"/>
    <w:rsid w:val="00D26578"/>
    <w:rsid w:val="00D267BD"/>
    <w:rsid w:val="00D272BC"/>
    <w:rsid w:val="00D27739"/>
    <w:rsid w:val="00D27A09"/>
    <w:rsid w:val="00D27FF7"/>
    <w:rsid w:val="00D309D8"/>
    <w:rsid w:val="00D30CD9"/>
    <w:rsid w:val="00D30DC9"/>
    <w:rsid w:val="00D31A12"/>
    <w:rsid w:val="00D32289"/>
    <w:rsid w:val="00D32A1A"/>
    <w:rsid w:val="00D32BA6"/>
    <w:rsid w:val="00D32C72"/>
    <w:rsid w:val="00D330E7"/>
    <w:rsid w:val="00D33280"/>
    <w:rsid w:val="00D332E7"/>
    <w:rsid w:val="00D33427"/>
    <w:rsid w:val="00D334DF"/>
    <w:rsid w:val="00D3365A"/>
    <w:rsid w:val="00D34031"/>
    <w:rsid w:val="00D344C9"/>
    <w:rsid w:val="00D34FDC"/>
    <w:rsid w:val="00D352D3"/>
    <w:rsid w:val="00D356EF"/>
    <w:rsid w:val="00D35A6A"/>
    <w:rsid w:val="00D35DF0"/>
    <w:rsid w:val="00D36410"/>
    <w:rsid w:val="00D3665A"/>
    <w:rsid w:val="00D36C52"/>
    <w:rsid w:val="00D36D60"/>
    <w:rsid w:val="00D37387"/>
    <w:rsid w:val="00D373F3"/>
    <w:rsid w:val="00D37C7D"/>
    <w:rsid w:val="00D40A28"/>
    <w:rsid w:val="00D40A78"/>
    <w:rsid w:val="00D40DA8"/>
    <w:rsid w:val="00D4125B"/>
    <w:rsid w:val="00D41871"/>
    <w:rsid w:val="00D418B5"/>
    <w:rsid w:val="00D41BA6"/>
    <w:rsid w:val="00D42C2D"/>
    <w:rsid w:val="00D42F61"/>
    <w:rsid w:val="00D43628"/>
    <w:rsid w:val="00D44A5F"/>
    <w:rsid w:val="00D44EAE"/>
    <w:rsid w:val="00D45E57"/>
    <w:rsid w:val="00D45E6D"/>
    <w:rsid w:val="00D4661B"/>
    <w:rsid w:val="00D47216"/>
    <w:rsid w:val="00D47694"/>
    <w:rsid w:val="00D47B63"/>
    <w:rsid w:val="00D50BE7"/>
    <w:rsid w:val="00D50DDF"/>
    <w:rsid w:val="00D511F7"/>
    <w:rsid w:val="00D51694"/>
    <w:rsid w:val="00D516C9"/>
    <w:rsid w:val="00D5216B"/>
    <w:rsid w:val="00D525A6"/>
    <w:rsid w:val="00D5346D"/>
    <w:rsid w:val="00D5366B"/>
    <w:rsid w:val="00D53BEA"/>
    <w:rsid w:val="00D53C2C"/>
    <w:rsid w:val="00D54095"/>
    <w:rsid w:val="00D5501B"/>
    <w:rsid w:val="00D55B59"/>
    <w:rsid w:val="00D55B79"/>
    <w:rsid w:val="00D55B7C"/>
    <w:rsid w:val="00D56322"/>
    <w:rsid w:val="00D5647A"/>
    <w:rsid w:val="00D5651A"/>
    <w:rsid w:val="00D56534"/>
    <w:rsid w:val="00D5671F"/>
    <w:rsid w:val="00D56BAE"/>
    <w:rsid w:val="00D56EFE"/>
    <w:rsid w:val="00D570D2"/>
    <w:rsid w:val="00D5722F"/>
    <w:rsid w:val="00D57A3D"/>
    <w:rsid w:val="00D57E2B"/>
    <w:rsid w:val="00D57F18"/>
    <w:rsid w:val="00D600C7"/>
    <w:rsid w:val="00D6079D"/>
    <w:rsid w:val="00D60E00"/>
    <w:rsid w:val="00D61026"/>
    <w:rsid w:val="00D61931"/>
    <w:rsid w:val="00D61F34"/>
    <w:rsid w:val="00D627A7"/>
    <w:rsid w:val="00D62865"/>
    <w:rsid w:val="00D62E00"/>
    <w:rsid w:val="00D63875"/>
    <w:rsid w:val="00D63A9F"/>
    <w:rsid w:val="00D64423"/>
    <w:rsid w:val="00D6485B"/>
    <w:rsid w:val="00D64AC6"/>
    <w:rsid w:val="00D64CC6"/>
    <w:rsid w:val="00D64EAD"/>
    <w:rsid w:val="00D6506D"/>
    <w:rsid w:val="00D6557C"/>
    <w:rsid w:val="00D6582F"/>
    <w:rsid w:val="00D65D98"/>
    <w:rsid w:val="00D66513"/>
    <w:rsid w:val="00D66547"/>
    <w:rsid w:val="00D665B1"/>
    <w:rsid w:val="00D6682B"/>
    <w:rsid w:val="00D6695D"/>
    <w:rsid w:val="00D67716"/>
    <w:rsid w:val="00D6789F"/>
    <w:rsid w:val="00D70429"/>
    <w:rsid w:val="00D7083B"/>
    <w:rsid w:val="00D71157"/>
    <w:rsid w:val="00D71553"/>
    <w:rsid w:val="00D71FCD"/>
    <w:rsid w:val="00D7201F"/>
    <w:rsid w:val="00D7282E"/>
    <w:rsid w:val="00D72A66"/>
    <w:rsid w:val="00D73113"/>
    <w:rsid w:val="00D73754"/>
    <w:rsid w:val="00D73AE2"/>
    <w:rsid w:val="00D73BDA"/>
    <w:rsid w:val="00D7409B"/>
    <w:rsid w:val="00D74222"/>
    <w:rsid w:val="00D74477"/>
    <w:rsid w:val="00D74D7B"/>
    <w:rsid w:val="00D754FA"/>
    <w:rsid w:val="00D75C26"/>
    <w:rsid w:val="00D75C3E"/>
    <w:rsid w:val="00D76449"/>
    <w:rsid w:val="00D76600"/>
    <w:rsid w:val="00D76B77"/>
    <w:rsid w:val="00D7737D"/>
    <w:rsid w:val="00D778B8"/>
    <w:rsid w:val="00D77AE6"/>
    <w:rsid w:val="00D80158"/>
    <w:rsid w:val="00D8029E"/>
    <w:rsid w:val="00D802EC"/>
    <w:rsid w:val="00D80495"/>
    <w:rsid w:val="00D80F6C"/>
    <w:rsid w:val="00D810E8"/>
    <w:rsid w:val="00D81D57"/>
    <w:rsid w:val="00D8247D"/>
    <w:rsid w:val="00D82AB4"/>
    <w:rsid w:val="00D82E95"/>
    <w:rsid w:val="00D83351"/>
    <w:rsid w:val="00D83AA6"/>
    <w:rsid w:val="00D84711"/>
    <w:rsid w:val="00D84ACC"/>
    <w:rsid w:val="00D84B6F"/>
    <w:rsid w:val="00D84C9A"/>
    <w:rsid w:val="00D85069"/>
    <w:rsid w:val="00D8506F"/>
    <w:rsid w:val="00D8586E"/>
    <w:rsid w:val="00D85BB7"/>
    <w:rsid w:val="00D85CA2"/>
    <w:rsid w:val="00D85DDA"/>
    <w:rsid w:val="00D86399"/>
    <w:rsid w:val="00D863B6"/>
    <w:rsid w:val="00D86646"/>
    <w:rsid w:val="00D86F08"/>
    <w:rsid w:val="00D86F5E"/>
    <w:rsid w:val="00D873A9"/>
    <w:rsid w:val="00D87E76"/>
    <w:rsid w:val="00D9029E"/>
    <w:rsid w:val="00D906CE"/>
    <w:rsid w:val="00D906EA"/>
    <w:rsid w:val="00D910D6"/>
    <w:rsid w:val="00D915B0"/>
    <w:rsid w:val="00D91E79"/>
    <w:rsid w:val="00D920F5"/>
    <w:rsid w:val="00D920FE"/>
    <w:rsid w:val="00D92515"/>
    <w:rsid w:val="00D925C9"/>
    <w:rsid w:val="00D92ABF"/>
    <w:rsid w:val="00D92CA6"/>
    <w:rsid w:val="00D93FEE"/>
    <w:rsid w:val="00D94450"/>
    <w:rsid w:val="00D944A8"/>
    <w:rsid w:val="00D94A5E"/>
    <w:rsid w:val="00D94B43"/>
    <w:rsid w:val="00D94B8C"/>
    <w:rsid w:val="00D94CAF"/>
    <w:rsid w:val="00D95B10"/>
    <w:rsid w:val="00D95B12"/>
    <w:rsid w:val="00D95B6D"/>
    <w:rsid w:val="00D95CAF"/>
    <w:rsid w:val="00D95F30"/>
    <w:rsid w:val="00D96142"/>
    <w:rsid w:val="00D9755F"/>
    <w:rsid w:val="00D97C03"/>
    <w:rsid w:val="00D97EB3"/>
    <w:rsid w:val="00DA0535"/>
    <w:rsid w:val="00DA125F"/>
    <w:rsid w:val="00DA126F"/>
    <w:rsid w:val="00DA1489"/>
    <w:rsid w:val="00DA1BD0"/>
    <w:rsid w:val="00DA1FC2"/>
    <w:rsid w:val="00DA2A1A"/>
    <w:rsid w:val="00DA31B2"/>
    <w:rsid w:val="00DA3AF0"/>
    <w:rsid w:val="00DA4780"/>
    <w:rsid w:val="00DA49A0"/>
    <w:rsid w:val="00DA55CC"/>
    <w:rsid w:val="00DA5972"/>
    <w:rsid w:val="00DA654A"/>
    <w:rsid w:val="00DA69C4"/>
    <w:rsid w:val="00DB04EC"/>
    <w:rsid w:val="00DB0A0C"/>
    <w:rsid w:val="00DB102C"/>
    <w:rsid w:val="00DB1150"/>
    <w:rsid w:val="00DB11EE"/>
    <w:rsid w:val="00DB126D"/>
    <w:rsid w:val="00DB1B43"/>
    <w:rsid w:val="00DB2DD9"/>
    <w:rsid w:val="00DB38BC"/>
    <w:rsid w:val="00DB3958"/>
    <w:rsid w:val="00DB3CA1"/>
    <w:rsid w:val="00DB3EC3"/>
    <w:rsid w:val="00DB4296"/>
    <w:rsid w:val="00DB4AD2"/>
    <w:rsid w:val="00DB5E07"/>
    <w:rsid w:val="00DB6401"/>
    <w:rsid w:val="00DB6637"/>
    <w:rsid w:val="00DB68E9"/>
    <w:rsid w:val="00DB6F11"/>
    <w:rsid w:val="00DB777F"/>
    <w:rsid w:val="00DB79BB"/>
    <w:rsid w:val="00DC00F2"/>
    <w:rsid w:val="00DC0375"/>
    <w:rsid w:val="00DC04F2"/>
    <w:rsid w:val="00DC1BFE"/>
    <w:rsid w:val="00DC248C"/>
    <w:rsid w:val="00DC3474"/>
    <w:rsid w:val="00DC3620"/>
    <w:rsid w:val="00DC3855"/>
    <w:rsid w:val="00DC3B3D"/>
    <w:rsid w:val="00DC3B58"/>
    <w:rsid w:val="00DC3C87"/>
    <w:rsid w:val="00DC4251"/>
    <w:rsid w:val="00DC462B"/>
    <w:rsid w:val="00DC4858"/>
    <w:rsid w:val="00DC49F7"/>
    <w:rsid w:val="00DC55F0"/>
    <w:rsid w:val="00DC56EE"/>
    <w:rsid w:val="00DC58D2"/>
    <w:rsid w:val="00DC5A08"/>
    <w:rsid w:val="00DC5B7A"/>
    <w:rsid w:val="00DC5C3A"/>
    <w:rsid w:val="00DC68D5"/>
    <w:rsid w:val="00DC71DD"/>
    <w:rsid w:val="00DC73C5"/>
    <w:rsid w:val="00DC75AB"/>
    <w:rsid w:val="00DC7CB4"/>
    <w:rsid w:val="00DC7F8A"/>
    <w:rsid w:val="00DD08C5"/>
    <w:rsid w:val="00DD09FC"/>
    <w:rsid w:val="00DD0C54"/>
    <w:rsid w:val="00DD1056"/>
    <w:rsid w:val="00DD13A3"/>
    <w:rsid w:val="00DD274F"/>
    <w:rsid w:val="00DD3151"/>
    <w:rsid w:val="00DD333F"/>
    <w:rsid w:val="00DD3840"/>
    <w:rsid w:val="00DD3F74"/>
    <w:rsid w:val="00DD43C8"/>
    <w:rsid w:val="00DD48C4"/>
    <w:rsid w:val="00DD5BA6"/>
    <w:rsid w:val="00DD5F98"/>
    <w:rsid w:val="00DD5FFF"/>
    <w:rsid w:val="00DD7313"/>
    <w:rsid w:val="00DD7412"/>
    <w:rsid w:val="00DD7BFC"/>
    <w:rsid w:val="00DD7E71"/>
    <w:rsid w:val="00DE03C1"/>
    <w:rsid w:val="00DE079F"/>
    <w:rsid w:val="00DE089F"/>
    <w:rsid w:val="00DE09D9"/>
    <w:rsid w:val="00DE0B37"/>
    <w:rsid w:val="00DE0C84"/>
    <w:rsid w:val="00DE12F7"/>
    <w:rsid w:val="00DE187E"/>
    <w:rsid w:val="00DE1FC0"/>
    <w:rsid w:val="00DE2746"/>
    <w:rsid w:val="00DE2B3F"/>
    <w:rsid w:val="00DE32DB"/>
    <w:rsid w:val="00DE35FB"/>
    <w:rsid w:val="00DE3604"/>
    <w:rsid w:val="00DE3A20"/>
    <w:rsid w:val="00DE490F"/>
    <w:rsid w:val="00DE4BF6"/>
    <w:rsid w:val="00DE4E69"/>
    <w:rsid w:val="00DE4ECE"/>
    <w:rsid w:val="00DE51B7"/>
    <w:rsid w:val="00DE54A4"/>
    <w:rsid w:val="00DE6577"/>
    <w:rsid w:val="00DE6747"/>
    <w:rsid w:val="00DE6884"/>
    <w:rsid w:val="00DE68BF"/>
    <w:rsid w:val="00DE6AD9"/>
    <w:rsid w:val="00DE6C40"/>
    <w:rsid w:val="00DE6E2C"/>
    <w:rsid w:val="00DE7048"/>
    <w:rsid w:val="00DE70A5"/>
    <w:rsid w:val="00DE7FF2"/>
    <w:rsid w:val="00DF03E9"/>
    <w:rsid w:val="00DF0DCA"/>
    <w:rsid w:val="00DF11CD"/>
    <w:rsid w:val="00DF24FC"/>
    <w:rsid w:val="00DF25B9"/>
    <w:rsid w:val="00DF2908"/>
    <w:rsid w:val="00DF2DE6"/>
    <w:rsid w:val="00DF3669"/>
    <w:rsid w:val="00DF3F29"/>
    <w:rsid w:val="00DF40F4"/>
    <w:rsid w:val="00DF4829"/>
    <w:rsid w:val="00DF5135"/>
    <w:rsid w:val="00DF51AB"/>
    <w:rsid w:val="00DF54B4"/>
    <w:rsid w:val="00DF554F"/>
    <w:rsid w:val="00DF6006"/>
    <w:rsid w:val="00DF6212"/>
    <w:rsid w:val="00DF6309"/>
    <w:rsid w:val="00DF6913"/>
    <w:rsid w:val="00DF702B"/>
    <w:rsid w:val="00DF7036"/>
    <w:rsid w:val="00DF709C"/>
    <w:rsid w:val="00E01A71"/>
    <w:rsid w:val="00E01C65"/>
    <w:rsid w:val="00E02228"/>
    <w:rsid w:val="00E02590"/>
    <w:rsid w:val="00E025E7"/>
    <w:rsid w:val="00E02946"/>
    <w:rsid w:val="00E02A03"/>
    <w:rsid w:val="00E02C82"/>
    <w:rsid w:val="00E02E88"/>
    <w:rsid w:val="00E03252"/>
    <w:rsid w:val="00E036FD"/>
    <w:rsid w:val="00E03804"/>
    <w:rsid w:val="00E03CDF"/>
    <w:rsid w:val="00E04017"/>
    <w:rsid w:val="00E0419F"/>
    <w:rsid w:val="00E04A3F"/>
    <w:rsid w:val="00E05826"/>
    <w:rsid w:val="00E0615D"/>
    <w:rsid w:val="00E06DF5"/>
    <w:rsid w:val="00E07063"/>
    <w:rsid w:val="00E07788"/>
    <w:rsid w:val="00E07E4F"/>
    <w:rsid w:val="00E1007E"/>
    <w:rsid w:val="00E1014A"/>
    <w:rsid w:val="00E105A5"/>
    <w:rsid w:val="00E10AC8"/>
    <w:rsid w:val="00E10D54"/>
    <w:rsid w:val="00E1141D"/>
    <w:rsid w:val="00E135F1"/>
    <w:rsid w:val="00E1367B"/>
    <w:rsid w:val="00E13D9A"/>
    <w:rsid w:val="00E14B2B"/>
    <w:rsid w:val="00E14D29"/>
    <w:rsid w:val="00E14D54"/>
    <w:rsid w:val="00E16907"/>
    <w:rsid w:val="00E16B74"/>
    <w:rsid w:val="00E16DFF"/>
    <w:rsid w:val="00E2007F"/>
    <w:rsid w:val="00E207E1"/>
    <w:rsid w:val="00E20E30"/>
    <w:rsid w:val="00E20EE0"/>
    <w:rsid w:val="00E21E93"/>
    <w:rsid w:val="00E23318"/>
    <w:rsid w:val="00E233C3"/>
    <w:rsid w:val="00E23523"/>
    <w:rsid w:val="00E23BC1"/>
    <w:rsid w:val="00E24444"/>
    <w:rsid w:val="00E24627"/>
    <w:rsid w:val="00E24766"/>
    <w:rsid w:val="00E25095"/>
    <w:rsid w:val="00E25C5E"/>
    <w:rsid w:val="00E26034"/>
    <w:rsid w:val="00E262ED"/>
    <w:rsid w:val="00E278B5"/>
    <w:rsid w:val="00E27A42"/>
    <w:rsid w:val="00E3019A"/>
    <w:rsid w:val="00E305D5"/>
    <w:rsid w:val="00E30883"/>
    <w:rsid w:val="00E30CFB"/>
    <w:rsid w:val="00E310DC"/>
    <w:rsid w:val="00E312BA"/>
    <w:rsid w:val="00E3186C"/>
    <w:rsid w:val="00E31E34"/>
    <w:rsid w:val="00E31F18"/>
    <w:rsid w:val="00E32823"/>
    <w:rsid w:val="00E32F91"/>
    <w:rsid w:val="00E331FC"/>
    <w:rsid w:val="00E3377D"/>
    <w:rsid w:val="00E33836"/>
    <w:rsid w:val="00E33AAE"/>
    <w:rsid w:val="00E34334"/>
    <w:rsid w:val="00E34530"/>
    <w:rsid w:val="00E34A4B"/>
    <w:rsid w:val="00E34F1D"/>
    <w:rsid w:val="00E35806"/>
    <w:rsid w:val="00E3593F"/>
    <w:rsid w:val="00E35950"/>
    <w:rsid w:val="00E36335"/>
    <w:rsid w:val="00E36D1B"/>
    <w:rsid w:val="00E37A39"/>
    <w:rsid w:val="00E37A84"/>
    <w:rsid w:val="00E40632"/>
    <w:rsid w:val="00E41ADE"/>
    <w:rsid w:val="00E41BAC"/>
    <w:rsid w:val="00E42242"/>
    <w:rsid w:val="00E42676"/>
    <w:rsid w:val="00E42D40"/>
    <w:rsid w:val="00E42F70"/>
    <w:rsid w:val="00E438DE"/>
    <w:rsid w:val="00E441D1"/>
    <w:rsid w:val="00E44268"/>
    <w:rsid w:val="00E446B9"/>
    <w:rsid w:val="00E44B98"/>
    <w:rsid w:val="00E46114"/>
    <w:rsid w:val="00E47112"/>
    <w:rsid w:val="00E476C0"/>
    <w:rsid w:val="00E477CA"/>
    <w:rsid w:val="00E47D56"/>
    <w:rsid w:val="00E47EBB"/>
    <w:rsid w:val="00E50498"/>
    <w:rsid w:val="00E5091D"/>
    <w:rsid w:val="00E50BF6"/>
    <w:rsid w:val="00E510D8"/>
    <w:rsid w:val="00E5111A"/>
    <w:rsid w:val="00E511A3"/>
    <w:rsid w:val="00E5162E"/>
    <w:rsid w:val="00E51929"/>
    <w:rsid w:val="00E51AA6"/>
    <w:rsid w:val="00E51C25"/>
    <w:rsid w:val="00E521DE"/>
    <w:rsid w:val="00E52905"/>
    <w:rsid w:val="00E5298D"/>
    <w:rsid w:val="00E53919"/>
    <w:rsid w:val="00E54A53"/>
    <w:rsid w:val="00E54EED"/>
    <w:rsid w:val="00E550FF"/>
    <w:rsid w:val="00E5552C"/>
    <w:rsid w:val="00E556D5"/>
    <w:rsid w:val="00E56383"/>
    <w:rsid w:val="00E56B72"/>
    <w:rsid w:val="00E5701B"/>
    <w:rsid w:val="00E57BC8"/>
    <w:rsid w:val="00E609AC"/>
    <w:rsid w:val="00E60A05"/>
    <w:rsid w:val="00E60A0B"/>
    <w:rsid w:val="00E6103A"/>
    <w:rsid w:val="00E613A6"/>
    <w:rsid w:val="00E616E5"/>
    <w:rsid w:val="00E620C4"/>
    <w:rsid w:val="00E62642"/>
    <w:rsid w:val="00E62778"/>
    <w:rsid w:val="00E628C4"/>
    <w:rsid w:val="00E62935"/>
    <w:rsid w:val="00E62A5C"/>
    <w:rsid w:val="00E62ADE"/>
    <w:rsid w:val="00E62F76"/>
    <w:rsid w:val="00E63B6E"/>
    <w:rsid w:val="00E63E1D"/>
    <w:rsid w:val="00E644E5"/>
    <w:rsid w:val="00E64770"/>
    <w:rsid w:val="00E64976"/>
    <w:rsid w:val="00E64C95"/>
    <w:rsid w:val="00E65014"/>
    <w:rsid w:val="00E652EE"/>
    <w:rsid w:val="00E65A02"/>
    <w:rsid w:val="00E65FBB"/>
    <w:rsid w:val="00E66123"/>
    <w:rsid w:val="00E66688"/>
    <w:rsid w:val="00E667CB"/>
    <w:rsid w:val="00E66B00"/>
    <w:rsid w:val="00E66F6D"/>
    <w:rsid w:val="00E7033D"/>
    <w:rsid w:val="00E7042D"/>
    <w:rsid w:val="00E705F4"/>
    <w:rsid w:val="00E7081F"/>
    <w:rsid w:val="00E71460"/>
    <w:rsid w:val="00E715AA"/>
    <w:rsid w:val="00E71E11"/>
    <w:rsid w:val="00E72D6F"/>
    <w:rsid w:val="00E7329A"/>
    <w:rsid w:val="00E73C7D"/>
    <w:rsid w:val="00E73F04"/>
    <w:rsid w:val="00E74945"/>
    <w:rsid w:val="00E750C1"/>
    <w:rsid w:val="00E7524B"/>
    <w:rsid w:val="00E75907"/>
    <w:rsid w:val="00E7664F"/>
    <w:rsid w:val="00E76681"/>
    <w:rsid w:val="00E766F0"/>
    <w:rsid w:val="00E769D5"/>
    <w:rsid w:val="00E76BB9"/>
    <w:rsid w:val="00E76C48"/>
    <w:rsid w:val="00E76CBF"/>
    <w:rsid w:val="00E77245"/>
    <w:rsid w:val="00E775A9"/>
    <w:rsid w:val="00E779E3"/>
    <w:rsid w:val="00E77A6A"/>
    <w:rsid w:val="00E80295"/>
    <w:rsid w:val="00E803E3"/>
    <w:rsid w:val="00E80A6E"/>
    <w:rsid w:val="00E81024"/>
    <w:rsid w:val="00E82614"/>
    <w:rsid w:val="00E82688"/>
    <w:rsid w:val="00E82CE9"/>
    <w:rsid w:val="00E838FB"/>
    <w:rsid w:val="00E83B66"/>
    <w:rsid w:val="00E83F08"/>
    <w:rsid w:val="00E83F5C"/>
    <w:rsid w:val="00E84249"/>
    <w:rsid w:val="00E843D6"/>
    <w:rsid w:val="00E845A7"/>
    <w:rsid w:val="00E84748"/>
    <w:rsid w:val="00E847D1"/>
    <w:rsid w:val="00E84C2D"/>
    <w:rsid w:val="00E84CB8"/>
    <w:rsid w:val="00E85CDC"/>
    <w:rsid w:val="00E863ED"/>
    <w:rsid w:val="00E866A3"/>
    <w:rsid w:val="00E869F7"/>
    <w:rsid w:val="00E87869"/>
    <w:rsid w:val="00E87BB0"/>
    <w:rsid w:val="00E902D2"/>
    <w:rsid w:val="00E90367"/>
    <w:rsid w:val="00E90429"/>
    <w:rsid w:val="00E90C36"/>
    <w:rsid w:val="00E91323"/>
    <w:rsid w:val="00E91E33"/>
    <w:rsid w:val="00E9214B"/>
    <w:rsid w:val="00E922A5"/>
    <w:rsid w:val="00E92DBA"/>
    <w:rsid w:val="00E93373"/>
    <w:rsid w:val="00E936AC"/>
    <w:rsid w:val="00E9382B"/>
    <w:rsid w:val="00E93B46"/>
    <w:rsid w:val="00E93CB6"/>
    <w:rsid w:val="00E942FE"/>
    <w:rsid w:val="00E945D1"/>
    <w:rsid w:val="00E9468B"/>
    <w:rsid w:val="00E946C9"/>
    <w:rsid w:val="00E958FB"/>
    <w:rsid w:val="00E95F7F"/>
    <w:rsid w:val="00E96096"/>
    <w:rsid w:val="00E96340"/>
    <w:rsid w:val="00E96553"/>
    <w:rsid w:val="00E97027"/>
    <w:rsid w:val="00E97F62"/>
    <w:rsid w:val="00EA0026"/>
    <w:rsid w:val="00EA0102"/>
    <w:rsid w:val="00EA0847"/>
    <w:rsid w:val="00EA10F6"/>
    <w:rsid w:val="00EA1770"/>
    <w:rsid w:val="00EA1772"/>
    <w:rsid w:val="00EA17E8"/>
    <w:rsid w:val="00EA1857"/>
    <w:rsid w:val="00EA1A25"/>
    <w:rsid w:val="00EA1D2A"/>
    <w:rsid w:val="00EA284D"/>
    <w:rsid w:val="00EA299E"/>
    <w:rsid w:val="00EA2AA2"/>
    <w:rsid w:val="00EA2D9D"/>
    <w:rsid w:val="00EA3097"/>
    <w:rsid w:val="00EA323E"/>
    <w:rsid w:val="00EA3B84"/>
    <w:rsid w:val="00EA3C3C"/>
    <w:rsid w:val="00EA41A1"/>
    <w:rsid w:val="00EA42C4"/>
    <w:rsid w:val="00EA477C"/>
    <w:rsid w:val="00EA485F"/>
    <w:rsid w:val="00EA50EC"/>
    <w:rsid w:val="00EA55D2"/>
    <w:rsid w:val="00EA589E"/>
    <w:rsid w:val="00EA5976"/>
    <w:rsid w:val="00EA59BA"/>
    <w:rsid w:val="00EA6077"/>
    <w:rsid w:val="00EA6625"/>
    <w:rsid w:val="00EA6929"/>
    <w:rsid w:val="00EA6A13"/>
    <w:rsid w:val="00EA724D"/>
    <w:rsid w:val="00EA75D2"/>
    <w:rsid w:val="00EA7F9C"/>
    <w:rsid w:val="00EB0DF0"/>
    <w:rsid w:val="00EB0E28"/>
    <w:rsid w:val="00EB117E"/>
    <w:rsid w:val="00EB118B"/>
    <w:rsid w:val="00EB1393"/>
    <w:rsid w:val="00EB14E9"/>
    <w:rsid w:val="00EB1967"/>
    <w:rsid w:val="00EB1B12"/>
    <w:rsid w:val="00EB1C8E"/>
    <w:rsid w:val="00EB206F"/>
    <w:rsid w:val="00EB22D8"/>
    <w:rsid w:val="00EB232E"/>
    <w:rsid w:val="00EB24D2"/>
    <w:rsid w:val="00EB255C"/>
    <w:rsid w:val="00EB2A76"/>
    <w:rsid w:val="00EB2AAD"/>
    <w:rsid w:val="00EB2C2D"/>
    <w:rsid w:val="00EB2CE1"/>
    <w:rsid w:val="00EB2D3A"/>
    <w:rsid w:val="00EB2E1C"/>
    <w:rsid w:val="00EB322A"/>
    <w:rsid w:val="00EB341D"/>
    <w:rsid w:val="00EB3715"/>
    <w:rsid w:val="00EB4789"/>
    <w:rsid w:val="00EB4ADC"/>
    <w:rsid w:val="00EB4B0A"/>
    <w:rsid w:val="00EB4B29"/>
    <w:rsid w:val="00EB550B"/>
    <w:rsid w:val="00EB5A40"/>
    <w:rsid w:val="00EB5E18"/>
    <w:rsid w:val="00EB6405"/>
    <w:rsid w:val="00EB6415"/>
    <w:rsid w:val="00EB64C6"/>
    <w:rsid w:val="00EB6789"/>
    <w:rsid w:val="00EB67A0"/>
    <w:rsid w:val="00EB69BE"/>
    <w:rsid w:val="00EB6CD4"/>
    <w:rsid w:val="00EB73DB"/>
    <w:rsid w:val="00EB75E9"/>
    <w:rsid w:val="00EB79A8"/>
    <w:rsid w:val="00EB7A73"/>
    <w:rsid w:val="00EB7F94"/>
    <w:rsid w:val="00EC04D4"/>
    <w:rsid w:val="00EC07C8"/>
    <w:rsid w:val="00EC0AD5"/>
    <w:rsid w:val="00EC0D7F"/>
    <w:rsid w:val="00EC1A03"/>
    <w:rsid w:val="00EC1B75"/>
    <w:rsid w:val="00EC1E71"/>
    <w:rsid w:val="00EC23BE"/>
    <w:rsid w:val="00EC2623"/>
    <w:rsid w:val="00EC2C6B"/>
    <w:rsid w:val="00EC2EF6"/>
    <w:rsid w:val="00EC2FF3"/>
    <w:rsid w:val="00EC391C"/>
    <w:rsid w:val="00EC4418"/>
    <w:rsid w:val="00EC4837"/>
    <w:rsid w:val="00EC49C5"/>
    <w:rsid w:val="00EC4EB3"/>
    <w:rsid w:val="00EC5CF5"/>
    <w:rsid w:val="00EC6199"/>
    <w:rsid w:val="00EC6B01"/>
    <w:rsid w:val="00EC6CF0"/>
    <w:rsid w:val="00EC6CF9"/>
    <w:rsid w:val="00EC70C7"/>
    <w:rsid w:val="00EC7655"/>
    <w:rsid w:val="00EC76E2"/>
    <w:rsid w:val="00EC7B7F"/>
    <w:rsid w:val="00ED0100"/>
    <w:rsid w:val="00ED0765"/>
    <w:rsid w:val="00ED0A30"/>
    <w:rsid w:val="00ED0C8B"/>
    <w:rsid w:val="00ED0CF8"/>
    <w:rsid w:val="00ED0D2B"/>
    <w:rsid w:val="00ED17CF"/>
    <w:rsid w:val="00ED1A82"/>
    <w:rsid w:val="00ED236F"/>
    <w:rsid w:val="00ED2A1C"/>
    <w:rsid w:val="00ED2D2F"/>
    <w:rsid w:val="00ED3613"/>
    <w:rsid w:val="00ED3817"/>
    <w:rsid w:val="00ED39D7"/>
    <w:rsid w:val="00ED3F3F"/>
    <w:rsid w:val="00ED41D6"/>
    <w:rsid w:val="00ED4235"/>
    <w:rsid w:val="00ED434D"/>
    <w:rsid w:val="00ED453B"/>
    <w:rsid w:val="00ED464B"/>
    <w:rsid w:val="00ED4B04"/>
    <w:rsid w:val="00ED4B32"/>
    <w:rsid w:val="00ED504F"/>
    <w:rsid w:val="00ED50E3"/>
    <w:rsid w:val="00ED53F7"/>
    <w:rsid w:val="00ED5A5E"/>
    <w:rsid w:val="00ED5EE7"/>
    <w:rsid w:val="00ED69BF"/>
    <w:rsid w:val="00ED6F0B"/>
    <w:rsid w:val="00ED7D6E"/>
    <w:rsid w:val="00EE0126"/>
    <w:rsid w:val="00EE0B94"/>
    <w:rsid w:val="00EE0D01"/>
    <w:rsid w:val="00EE15BA"/>
    <w:rsid w:val="00EE17F5"/>
    <w:rsid w:val="00EE2B47"/>
    <w:rsid w:val="00EE37B5"/>
    <w:rsid w:val="00EE3810"/>
    <w:rsid w:val="00EE462B"/>
    <w:rsid w:val="00EE49F6"/>
    <w:rsid w:val="00EE4D6F"/>
    <w:rsid w:val="00EE5433"/>
    <w:rsid w:val="00EE547C"/>
    <w:rsid w:val="00EE5920"/>
    <w:rsid w:val="00EE5A92"/>
    <w:rsid w:val="00EE5AE9"/>
    <w:rsid w:val="00EE5BFE"/>
    <w:rsid w:val="00EE6C61"/>
    <w:rsid w:val="00EE6D55"/>
    <w:rsid w:val="00EE7B30"/>
    <w:rsid w:val="00EE7FFC"/>
    <w:rsid w:val="00EF0332"/>
    <w:rsid w:val="00EF03AF"/>
    <w:rsid w:val="00EF0C1B"/>
    <w:rsid w:val="00EF13EA"/>
    <w:rsid w:val="00EF2019"/>
    <w:rsid w:val="00EF227C"/>
    <w:rsid w:val="00EF2C48"/>
    <w:rsid w:val="00EF30D7"/>
    <w:rsid w:val="00EF37A4"/>
    <w:rsid w:val="00EF38DA"/>
    <w:rsid w:val="00EF3BC3"/>
    <w:rsid w:val="00EF427A"/>
    <w:rsid w:val="00EF466B"/>
    <w:rsid w:val="00EF4F29"/>
    <w:rsid w:val="00EF51D3"/>
    <w:rsid w:val="00EF5286"/>
    <w:rsid w:val="00EF57A1"/>
    <w:rsid w:val="00EF58D3"/>
    <w:rsid w:val="00EF6427"/>
    <w:rsid w:val="00EF6598"/>
    <w:rsid w:val="00EF6B55"/>
    <w:rsid w:val="00EF7AA4"/>
    <w:rsid w:val="00EF7E9E"/>
    <w:rsid w:val="00F00E43"/>
    <w:rsid w:val="00F00E89"/>
    <w:rsid w:val="00F01251"/>
    <w:rsid w:val="00F014E0"/>
    <w:rsid w:val="00F01633"/>
    <w:rsid w:val="00F0170E"/>
    <w:rsid w:val="00F026D1"/>
    <w:rsid w:val="00F0300F"/>
    <w:rsid w:val="00F033A4"/>
    <w:rsid w:val="00F034C0"/>
    <w:rsid w:val="00F03EA1"/>
    <w:rsid w:val="00F03FC9"/>
    <w:rsid w:val="00F0446D"/>
    <w:rsid w:val="00F0447D"/>
    <w:rsid w:val="00F04544"/>
    <w:rsid w:val="00F05127"/>
    <w:rsid w:val="00F0542D"/>
    <w:rsid w:val="00F05CA2"/>
    <w:rsid w:val="00F0614A"/>
    <w:rsid w:val="00F06189"/>
    <w:rsid w:val="00F0627F"/>
    <w:rsid w:val="00F06AFB"/>
    <w:rsid w:val="00F06B9F"/>
    <w:rsid w:val="00F06C86"/>
    <w:rsid w:val="00F0726B"/>
    <w:rsid w:val="00F07525"/>
    <w:rsid w:val="00F07679"/>
    <w:rsid w:val="00F07C16"/>
    <w:rsid w:val="00F07C31"/>
    <w:rsid w:val="00F07CC6"/>
    <w:rsid w:val="00F10DEE"/>
    <w:rsid w:val="00F10E6F"/>
    <w:rsid w:val="00F11223"/>
    <w:rsid w:val="00F11523"/>
    <w:rsid w:val="00F12429"/>
    <w:rsid w:val="00F127B0"/>
    <w:rsid w:val="00F137DD"/>
    <w:rsid w:val="00F13A72"/>
    <w:rsid w:val="00F13F80"/>
    <w:rsid w:val="00F13FE3"/>
    <w:rsid w:val="00F141B0"/>
    <w:rsid w:val="00F1455C"/>
    <w:rsid w:val="00F14665"/>
    <w:rsid w:val="00F14AD2"/>
    <w:rsid w:val="00F14E9D"/>
    <w:rsid w:val="00F15350"/>
    <w:rsid w:val="00F15573"/>
    <w:rsid w:val="00F15600"/>
    <w:rsid w:val="00F15A53"/>
    <w:rsid w:val="00F16197"/>
    <w:rsid w:val="00F167F0"/>
    <w:rsid w:val="00F1681A"/>
    <w:rsid w:val="00F16F1F"/>
    <w:rsid w:val="00F17DAC"/>
    <w:rsid w:val="00F20BBF"/>
    <w:rsid w:val="00F20F85"/>
    <w:rsid w:val="00F21499"/>
    <w:rsid w:val="00F21A5B"/>
    <w:rsid w:val="00F21E31"/>
    <w:rsid w:val="00F224B1"/>
    <w:rsid w:val="00F22B94"/>
    <w:rsid w:val="00F22E95"/>
    <w:rsid w:val="00F23282"/>
    <w:rsid w:val="00F246EF"/>
    <w:rsid w:val="00F253FF"/>
    <w:rsid w:val="00F254ED"/>
    <w:rsid w:val="00F25751"/>
    <w:rsid w:val="00F25B50"/>
    <w:rsid w:val="00F26C99"/>
    <w:rsid w:val="00F26E2C"/>
    <w:rsid w:val="00F26FCD"/>
    <w:rsid w:val="00F275C0"/>
    <w:rsid w:val="00F27787"/>
    <w:rsid w:val="00F277B1"/>
    <w:rsid w:val="00F3086C"/>
    <w:rsid w:val="00F30C6F"/>
    <w:rsid w:val="00F3173C"/>
    <w:rsid w:val="00F319D7"/>
    <w:rsid w:val="00F31D73"/>
    <w:rsid w:val="00F320C7"/>
    <w:rsid w:val="00F322DF"/>
    <w:rsid w:val="00F32C14"/>
    <w:rsid w:val="00F32E36"/>
    <w:rsid w:val="00F330C6"/>
    <w:rsid w:val="00F33166"/>
    <w:rsid w:val="00F334F7"/>
    <w:rsid w:val="00F33639"/>
    <w:rsid w:val="00F33A96"/>
    <w:rsid w:val="00F33BE3"/>
    <w:rsid w:val="00F3464F"/>
    <w:rsid w:val="00F34668"/>
    <w:rsid w:val="00F347D0"/>
    <w:rsid w:val="00F35108"/>
    <w:rsid w:val="00F35384"/>
    <w:rsid w:val="00F3681A"/>
    <w:rsid w:val="00F37336"/>
    <w:rsid w:val="00F37775"/>
    <w:rsid w:val="00F3786A"/>
    <w:rsid w:val="00F37B1F"/>
    <w:rsid w:val="00F4018F"/>
    <w:rsid w:val="00F401F3"/>
    <w:rsid w:val="00F40508"/>
    <w:rsid w:val="00F40935"/>
    <w:rsid w:val="00F41204"/>
    <w:rsid w:val="00F41248"/>
    <w:rsid w:val="00F41710"/>
    <w:rsid w:val="00F41F91"/>
    <w:rsid w:val="00F422FD"/>
    <w:rsid w:val="00F42CA9"/>
    <w:rsid w:val="00F43094"/>
    <w:rsid w:val="00F4355D"/>
    <w:rsid w:val="00F43A88"/>
    <w:rsid w:val="00F43EE2"/>
    <w:rsid w:val="00F440EA"/>
    <w:rsid w:val="00F44730"/>
    <w:rsid w:val="00F44A91"/>
    <w:rsid w:val="00F453C6"/>
    <w:rsid w:val="00F4561C"/>
    <w:rsid w:val="00F45E1E"/>
    <w:rsid w:val="00F463B5"/>
    <w:rsid w:val="00F469A7"/>
    <w:rsid w:val="00F469AA"/>
    <w:rsid w:val="00F46CC2"/>
    <w:rsid w:val="00F46DC1"/>
    <w:rsid w:val="00F4705D"/>
    <w:rsid w:val="00F47124"/>
    <w:rsid w:val="00F47366"/>
    <w:rsid w:val="00F473F4"/>
    <w:rsid w:val="00F475BC"/>
    <w:rsid w:val="00F50327"/>
    <w:rsid w:val="00F50391"/>
    <w:rsid w:val="00F50476"/>
    <w:rsid w:val="00F5151E"/>
    <w:rsid w:val="00F51C7F"/>
    <w:rsid w:val="00F51F73"/>
    <w:rsid w:val="00F52269"/>
    <w:rsid w:val="00F52ACC"/>
    <w:rsid w:val="00F52FC0"/>
    <w:rsid w:val="00F52FF7"/>
    <w:rsid w:val="00F531AA"/>
    <w:rsid w:val="00F533A9"/>
    <w:rsid w:val="00F53E27"/>
    <w:rsid w:val="00F5409F"/>
    <w:rsid w:val="00F540B2"/>
    <w:rsid w:val="00F54C9B"/>
    <w:rsid w:val="00F5540F"/>
    <w:rsid w:val="00F554EB"/>
    <w:rsid w:val="00F555E8"/>
    <w:rsid w:val="00F55CCE"/>
    <w:rsid w:val="00F5660C"/>
    <w:rsid w:val="00F56854"/>
    <w:rsid w:val="00F568D7"/>
    <w:rsid w:val="00F56D38"/>
    <w:rsid w:val="00F57807"/>
    <w:rsid w:val="00F57C87"/>
    <w:rsid w:val="00F57F06"/>
    <w:rsid w:val="00F6022B"/>
    <w:rsid w:val="00F626B2"/>
    <w:rsid w:val="00F63270"/>
    <w:rsid w:val="00F639A5"/>
    <w:rsid w:val="00F63D0A"/>
    <w:rsid w:val="00F63F5A"/>
    <w:rsid w:val="00F641EF"/>
    <w:rsid w:val="00F646CB"/>
    <w:rsid w:val="00F65CA7"/>
    <w:rsid w:val="00F65DC4"/>
    <w:rsid w:val="00F65EDD"/>
    <w:rsid w:val="00F65F1F"/>
    <w:rsid w:val="00F6636D"/>
    <w:rsid w:val="00F66401"/>
    <w:rsid w:val="00F66AE8"/>
    <w:rsid w:val="00F66B6D"/>
    <w:rsid w:val="00F66EDF"/>
    <w:rsid w:val="00F672B5"/>
    <w:rsid w:val="00F674DF"/>
    <w:rsid w:val="00F67815"/>
    <w:rsid w:val="00F67C0A"/>
    <w:rsid w:val="00F67C17"/>
    <w:rsid w:val="00F70726"/>
    <w:rsid w:val="00F70958"/>
    <w:rsid w:val="00F70F29"/>
    <w:rsid w:val="00F70FBC"/>
    <w:rsid w:val="00F71305"/>
    <w:rsid w:val="00F723DE"/>
    <w:rsid w:val="00F7270A"/>
    <w:rsid w:val="00F73410"/>
    <w:rsid w:val="00F73678"/>
    <w:rsid w:val="00F73865"/>
    <w:rsid w:val="00F7394D"/>
    <w:rsid w:val="00F73E04"/>
    <w:rsid w:val="00F73E3A"/>
    <w:rsid w:val="00F74191"/>
    <w:rsid w:val="00F741BA"/>
    <w:rsid w:val="00F7423F"/>
    <w:rsid w:val="00F747C4"/>
    <w:rsid w:val="00F749E4"/>
    <w:rsid w:val="00F74A7A"/>
    <w:rsid w:val="00F74D37"/>
    <w:rsid w:val="00F74EEF"/>
    <w:rsid w:val="00F75151"/>
    <w:rsid w:val="00F751EE"/>
    <w:rsid w:val="00F757DA"/>
    <w:rsid w:val="00F758CF"/>
    <w:rsid w:val="00F75929"/>
    <w:rsid w:val="00F75985"/>
    <w:rsid w:val="00F75A6B"/>
    <w:rsid w:val="00F76144"/>
    <w:rsid w:val="00F76AFE"/>
    <w:rsid w:val="00F771F1"/>
    <w:rsid w:val="00F7780D"/>
    <w:rsid w:val="00F7787B"/>
    <w:rsid w:val="00F77F81"/>
    <w:rsid w:val="00F80241"/>
    <w:rsid w:val="00F80509"/>
    <w:rsid w:val="00F80734"/>
    <w:rsid w:val="00F8094F"/>
    <w:rsid w:val="00F80D10"/>
    <w:rsid w:val="00F80FA6"/>
    <w:rsid w:val="00F80FD3"/>
    <w:rsid w:val="00F811F2"/>
    <w:rsid w:val="00F8139F"/>
    <w:rsid w:val="00F8172F"/>
    <w:rsid w:val="00F81833"/>
    <w:rsid w:val="00F81A21"/>
    <w:rsid w:val="00F81A8D"/>
    <w:rsid w:val="00F81B2B"/>
    <w:rsid w:val="00F81C0A"/>
    <w:rsid w:val="00F81DD0"/>
    <w:rsid w:val="00F81EED"/>
    <w:rsid w:val="00F834B4"/>
    <w:rsid w:val="00F8382B"/>
    <w:rsid w:val="00F847E7"/>
    <w:rsid w:val="00F84F0E"/>
    <w:rsid w:val="00F855BC"/>
    <w:rsid w:val="00F86078"/>
    <w:rsid w:val="00F8627E"/>
    <w:rsid w:val="00F86749"/>
    <w:rsid w:val="00F86817"/>
    <w:rsid w:val="00F86846"/>
    <w:rsid w:val="00F869C1"/>
    <w:rsid w:val="00F86AC2"/>
    <w:rsid w:val="00F86B44"/>
    <w:rsid w:val="00F86B92"/>
    <w:rsid w:val="00F86D44"/>
    <w:rsid w:val="00F873CE"/>
    <w:rsid w:val="00F87DC8"/>
    <w:rsid w:val="00F87FE2"/>
    <w:rsid w:val="00F90493"/>
    <w:rsid w:val="00F90A95"/>
    <w:rsid w:val="00F90BFF"/>
    <w:rsid w:val="00F911F5"/>
    <w:rsid w:val="00F91470"/>
    <w:rsid w:val="00F91620"/>
    <w:rsid w:val="00F91A1B"/>
    <w:rsid w:val="00F91A6D"/>
    <w:rsid w:val="00F91AEF"/>
    <w:rsid w:val="00F91BA0"/>
    <w:rsid w:val="00F92B16"/>
    <w:rsid w:val="00F92FF1"/>
    <w:rsid w:val="00F931A4"/>
    <w:rsid w:val="00F931C6"/>
    <w:rsid w:val="00F93B98"/>
    <w:rsid w:val="00F93EBB"/>
    <w:rsid w:val="00F9412A"/>
    <w:rsid w:val="00F942C6"/>
    <w:rsid w:val="00F94809"/>
    <w:rsid w:val="00F948B7"/>
    <w:rsid w:val="00F95457"/>
    <w:rsid w:val="00F95765"/>
    <w:rsid w:val="00F95C7C"/>
    <w:rsid w:val="00F96BC1"/>
    <w:rsid w:val="00F96D0D"/>
    <w:rsid w:val="00F96FE4"/>
    <w:rsid w:val="00F970A9"/>
    <w:rsid w:val="00F970DD"/>
    <w:rsid w:val="00F972F2"/>
    <w:rsid w:val="00F973AD"/>
    <w:rsid w:val="00F97672"/>
    <w:rsid w:val="00F97819"/>
    <w:rsid w:val="00F979E6"/>
    <w:rsid w:val="00F97C21"/>
    <w:rsid w:val="00FA01BF"/>
    <w:rsid w:val="00FA04F9"/>
    <w:rsid w:val="00FA08A2"/>
    <w:rsid w:val="00FA0D33"/>
    <w:rsid w:val="00FA0EDF"/>
    <w:rsid w:val="00FA163A"/>
    <w:rsid w:val="00FA1915"/>
    <w:rsid w:val="00FA229B"/>
    <w:rsid w:val="00FA243D"/>
    <w:rsid w:val="00FA27DE"/>
    <w:rsid w:val="00FA29EB"/>
    <w:rsid w:val="00FA2A46"/>
    <w:rsid w:val="00FA2C0E"/>
    <w:rsid w:val="00FA2CBD"/>
    <w:rsid w:val="00FA2CF7"/>
    <w:rsid w:val="00FA2EF1"/>
    <w:rsid w:val="00FA39E9"/>
    <w:rsid w:val="00FA3A9F"/>
    <w:rsid w:val="00FA4137"/>
    <w:rsid w:val="00FA46AC"/>
    <w:rsid w:val="00FA4ABF"/>
    <w:rsid w:val="00FA554F"/>
    <w:rsid w:val="00FA5B0A"/>
    <w:rsid w:val="00FA5B38"/>
    <w:rsid w:val="00FA65F5"/>
    <w:rsid w:val="00FA664F"/>
    <w:rsid w:val="00FA6759"/>
    <w:rsid w:val="00FA6C1C"/>
    <w:rsid w:val="00FA6CDA"/>
    <w:rsid w:val="00FA709C"/>
    <w:rsid w:val="00FA70F5"/>
    <w:rsid w:val="00FA7B40"/>
    <w:rsid w:val="00FA7E0F"/>
    <w:rsid w:val="00FB03F5"/>
    <w:rsid w:val="00FB0582"/>
    <w:rsid w:val="00FB0C62"/>
    <w:rsid w:val="00FB0E25"/>
    <w:rsid w:val="00FB1063"/>
    <w:rsid w:val="00FB2569"/>
    <w:rsid w:val="00FB2718"/>
    <w:rsid w:val="00FB2722"/>
    <w:rsid w:val="00FB2D1F"/>
    <w:rsid w:val="00FB364D"/>
    <w:rsid w:val="00FB3A45"/>
    <w:rsid w:val="00FB3BE0"/>
    <w:rsid w:val="00FB3CA9"/>
    <w:rsid w:val="00FB40CC"/>
    <w:rsid w:val="00FB43B8"/>
    <w:rsid w:val="00FB4C27"/>
    <w:rsid w:val="00FB507F"/>
    <w:rsid w:val="00FB6028"/>
    <w:rsid w:val="00FB618B"/>
    <w:rsid w:val="00FB6529"/>
    <w:rsid w:val="00FB661E"/>
    <w:rsid w:val="00FB6C4C"/>
    <w:rsid w:val="00FB79D3"/>
    <w:rsid w:val="00FC053F"/>
    <w:rsid w:val="00FC07D0"/>
    <w:rsid w:val="00FC08AF"/>
    <w:rsid w:val="00FC0B77"/>
    <w:rsid w:val="00FC0F29"/>
    <w:rsid w:val="00FC16A6"/>
    <w:rsid w:val="00FC198A"/>
    <w:rsid w:val="00FC214D"/>
    <w:rsid w:val="00FC2578"/>
    <w:rsid w:val="00FC262A"/>
    <w:rsid w:val="00FC2A50"/>
    <w:rsid w:val="00FC320E"/>
    <w:rsid w:val="00FC4248"/>
    <w:rsid w:val="00FC5FCB"/>
    <w:rsid w:val="00FC5FE3"/>
    <w:rsid w:val="00FC672F"/>
    <w:rsid w:val="00FC717C"/>
    <w:rsid w:val="00FC7385"/>
    <w:rsid w:val="00FC75F2"/>
    <w:rsid w:val="00FC7767"/>
    <w:rsid w:val="00FC7D2A"/>
    <w:rsid w:val="00FD0006"/>
    <w:rsid w:val="00FD10ED"/>
    <w:rsid w:val="00FD1174"/>
    <w:rsid w:val="00FD11AD"/>
    <w:rsid w:val="00FD1364"/>
    <w:rsid w:val="00FD1447"/>
    <w:rsid w:val="00FD1B60"/>
    <w:rsid w:val="00FD1CD8"/>
    <w:rsid w:val="00FD1CF4"/>
    <w:rsid w:val="00FD2400"/>
    <w:rsid w:val="00FD31C1"/>
    <w:rsid w:val="00FD3365"/>
    <w:rsid w:val="00FD3685"/>
    <w:rsid w:val="00FD3752"/>
    <w:rsid w:val="00FD375C"/>
    <w:rsid w:val="00FD37DA"/>
    <w:rsid w:val="00FD46CB"/>
    <w:rsid w:val="00FD487A"/>
    <w:rsid w:val="00FD52BD"/>
    <w:rsid w:val="00FD57F1"/>
    <w:rsid w:val="00FD5E34"/>
    <w:rsid w:val="00FD61BC"/>
    <w:rsid w:val="00FD6650"/>
    <w:rsid w:val="00FD66FD"/>
    <w:rsid w:val="00FD67F8"/>
    <w:rsid w:val="00FD6CC3"/>
    <w:rsid w:val="00FD70B6"/>
    <w:rsid w:val="00FD7BC8"/>
    <w:rsid w:val="00FD7C12"/>
    <w:rsid w:val="00FE012B"/>
    <w:rsid w:val="00FE0391"/>
    <w:rsid w:val="00FE0798"/>
    <w:rsid w:val="00FE09F5"/>
    <w:rsid w:val="00FE100C"/>
    <w:rsid w:val="00FE1246"/>
    <w:rsid w:val="00FE13DD"/>
    <w:rsid w:val="00FE1685"/>
    <w:rsid w:val="00FE1D9E"/>
    <w:rsid w:val="00FE1DCA"/>
    <w:rsid w:val="00FE219C"/>
    <w:rsid w:val="00FE279C"/>
    <w:rsid w:val="00FE2B56"/>
    <w:rsid w:val="00FE2BAE"/>
    <w:rsid w:val="00FE2C82"/>
    <w:rsid w:val="00FE37DE"/>
    <w:rsid w:val="00FE3990"/>
    <w:rsid w:val="00FE3A2A"/>
    <w:rsid w:val="00FE3A4D"/>
    <w:rsid w:val="00FE41ED"/>
    <w:rsid w:val="00FE4622"/>
    <w:rsid w:val="00FE47A1"/>
    <w:rsid w:val="00FE48F4"/>
    <w:rsid w:val="00FE4C77"/>
    <w:rsid w:val="00FE4DE5"/>
    <w:rsid w:val="00FE500F"/>
    <w:rsid w:val="00FE53CC"/>
    <w:rsid w:val="00FE5793"/>
    <w:rsid w:val="00FE6061"/>
    <w:rsid w:val="00FE65DB"/>
    <w:rsid w:val="00FE6D8E"/>
    <w:rsid w:val="00FE70D9"/>
    <w:rsid w:val="00FE72CD"/>
    <w:rsid w:val="00FE7660"/>
    <w:rsid w:val="00FE78FE"/>
    <w:rsid w:val="00FE7C26"/>
    <w:rsid w:val="00FF04BC"/>
    <w:rsid w:val="00FF0F2F"/>
    <w:rsid w:val="00FF1137"/>
    <w:rsid w:val="00FF1326"/>
    <w:rsid w:val="00FF209F"/>
    <w:rsid w:val="00FF2D14"/>
    <w:rsid w:val="00FF311D"/>
    <w:rsid w:val="00FF33D6"/>
    <w:rsid w:val="00FF3D56"/>
    <w:rsid w:val="00FF3D6A"/>
    <w:rsid w:val="00FF44A1"/>
    <w:rsid w:val="00FF4AAF"/>
    <w:rsid w:val="00FF4C08"/>
    <w:rsid w:val="00FF4D1F"/>
    <w:rsid w:val="00FF4D8B"/>
    <w:rsid w:val="00FF4FC9"/>
    <w:rsid w:val="00FF55A0"/>
    <w:rsid w:val="00FF58EC"/>
    <w:rsid w:val="00FF5E57"/>
    <w:rsid w:val="00FF60D6"/>
    <w:rsid w:val="00FF6312"/>
    <w:rsid w:val="00FF65D6"/>
    <w:rsid w:val="00FF6953"/>
    <w:rsid w:val="00FF718B"/>
    <w:rsid w:val="00FF7DE2"/>
    <w:rsid w:val="00FF7F20"/>
    <w:rsid w:val="16205955"/>
    <w:rsid w:val="271648C2"/>
    <w:rsid w:val="2FCD425C"/>
    <w:rsid w:val="482F8134"/>
    <w:rsid w:val="5583EB7F"/>
    <w:rsid w:val="6982C30D"/>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454419D5"/>
  <w15:chartTrackingRefBased/>
  <w15:docId w15:val="{16C2D3E5-A5FF-4BC1-A0E9-211DB1B59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qFormat/>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1,Footnote Text Char Char,Footnote Text Char1,Footnote Text Char2,Footnote Text Char2 Char Char,Footnote Text Char2 Char1 Char1 Char Char,Footnote Text Char3 Char1 Char Char,Footnote Text... + Italic,f,fn,f "/>
    <w:link w:val="FootnoteTextChar"/>
    <w:qFormat/>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R"/>
    <w:qFormat/>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unhideWhenUsed/>
    <w:rPr>
      <w:color w:val="605E5C"/>
      <w:shd w:val="clear" w:color="auto" w:fill="E1DFDD"/>
    </w:rPr>
  </w:style>
  <w:style w:type="character" w:customStyle="1" w:styleId="FootnoteTextChar">
    <w:name w:val="Footnote Text Char"/>
    <w:aliases w:val="ALTS FOOTNOTE Char,ALTS FOOTNOTE Char1 Char,Footnote Text Char Char Char,Footnote Text Char1 Char,Footnote Text Char2 Char,Footnote Text Char2 Char Char Char,Footnote Text Char2 Char1 Char1 Char Char Char,f Char,fn Char,f  Char"/>
    <w:basedOn w:val="DefaultParagraphFont"/>
    <w:link w:val="FootnoteText"/>
    <w:locked/>
    <w:rsid w:val="00F35108"/>
  </w:style>
  <w:style w:type="character" w:customStyle="1" w:styleId="ParaNumChar">
    <w:name w:val="ParaNum Char"/>
    <w:link w:val="ParaNum"/>
    <w:locked/>
    <w:rsid w:val="00F35108"/>
    <w:rPr>
      <w:snapToGrid w:val="0"/>
      <w:kern w:val="28"/>
      <w:sz w:val="22"/>
    </w:rPr>
  </w:style>
  <w:style w:type="character" w:styleId="CommentReference">
    <w:name w:val="annotation reference"/>
    <w:basedOn w:val="DefaultParagraphFont"/>
    <w:uiPriority w:val="99"/>
    <w:semiHidden/>
    <w:unhideWhenUsed/>
    <w:rsid w:val="00F35108"/>
    <w:rPr>
      <w:sz w:val="16"/>
      <w:szCs w:val="16"/>
    </w:rPr>
  </w:style>
  <w:style w:type="paragraph" w:styleId="CommentText">
    <w:name w:val="annotation text"/>
    <w:basedOn w:val="Normal"/>
    <w:link w:val="CommentTextChar"/>
    <w:uiPriority w:val="99"/>
    <w:unhideWhenUsed/>
    <w:rsid w:val="00F35108"/>
    <w:rPr>
      <w:sz w:val="20"/>
    </w:rPr>
  </w:style>
  <w:style w:type="character" w:customStyle="1" w:styleId="CommentTextChar">
    <w:name w:val="Comment Text Char"/>
    <w:basedOn w:val="DefaultParagraphFont"/>
    <w:link w:val="CommentText"/>
    <w:uiPriority w:val="99"/>
    <w:rsid w:val="00F35108"/>
    <w:rPr>
      <w:snapToGrid w:val="0"/>
      <w:kern w:val="28"/>
    </w:rPr>
  </w:style>
  <w:style w:type="paragraph" w:styleId="CommentSubject">
    <w:name w:val="annotation subject"/>
    <w:basedOn w:val="CommentText"/>
    <w:next w:val="CommentText"/>
    <w:link w:val="CommentSubjectChar"/>
    <w:uiPriority w:val="99"/>
    <w:semiHidden/>
    <w:unhideWhenUsed/>
    <w:rsid w:val="00F35108"/>
    <w:rPr>
      <w:b/>
      <w:bCs/>
    </w:rPr>
  </w:style>
  <w:style w:type="character" w:customStyle="1" w:styleId="CommentSubjectChar">
    <w:name w:val="Comment Subject Char"/>
    <w:basedOn w:val="CommentTextChar"/>
    <w:link w:val="CommentSubject"/>
    <w:uiPriority w:val="99"/>
    <w:semiHidden/>
    <w:rsid w:val="00F35108"/>
    <w:rPr>
      <w:b/>
      <w:bCs/>
      <w:snapToGrid w:val="0"/>
      <w:kern w:val="28"/>
    </w:rPr>
  </w:style>
  <w:style w:type="paragraph" w:styleId="Revision">
    <w:name w:val="Revision"/>
    <w:hidden/>
    <w:uiPriority w:val="99"/>
    <w:semiHidden/>
    <w:rsid w:val="00391DFE"/>
    <w:rPr>
      <w:snapToGrid w:val="0"/>
      <w:kern w:val="28"/>
      <w:sz w:val="22"/>
    </w:rPr>
  </w:style>
  <w:style w:type="character" w:styleId="FollowedHyperlink">
    <w:name w:val="FollowedHyperlink"/>
    <w:basedOn w:val="DefaultParagraphFont"/>
    <w:uiPriority w:val="99"/>
    <w:semiHidden/>
    <w:unhideWhenUsed/>
    <w:rsid w:val="00846972"/>
    <w:rPr>
      <w:color w:val="96607D" w:themeColor="followedHyperlink"/>
      <w:u w:val="single"/>
    </w:rPr>
  </w:style>
  <w:style w:type="paragraph" w:styleId="ListParagraph">
    <w:name w:val="List Paragraph"/>
    <w:basedOn w:val="Normal"/>
    <w:link w:val="ListParagraphChar"/>
    <w:uiPriority w:val="34"/>
    <w:qFormat/>
    <w:rsid w:val="00962421"/>
    <w:pPr>
      <w:widowControl/>
      <w:numPr>
        <w:numId w:val="9"/>
      </w:numPr>
      <w:spacing w:after="160" w:line="259" w:lineRule="auto"/>
      <w:contextualSpacing/>
    </w:pPr>
    <w:rPr>
      <w:rFonts w:eastAsia="Calibri"/>
      <w:snapToGrid/>
      <w:kern w:val="0"/>
      <w:szCs w:val="22"/>
    </w:rPr>
  </w:style>
  <w:style w:type="character" w:customStyle="1" w:styleId="ListParagraphChar">
    <w:name w:val="List Paragraph Char"/>
    <w:link w:val="ListParagraph"/>
    <w:uiPriority w:val="34"/>
    <w:rsid w:val="00962421"/>
    <w:rPr>
      <w:rFonts w:eastAsia="Calibri"/>
      <w:sz w:val="22"/>
      <w:szCs w:val="22"/>
    </w:rPr>
  </w:style>
  <w:style w:type="character" w:customStyle="1" w:styleId="normaltextrun">
    <w:name w:val="normaltextrun"/>
    <w:basedOn w:val="DefaultParagraphFont"/>
    <w:rsid w:val="00BA362A"/>
  </w:style>
  <w:style w:type="paragraph" w:customStyle="1" w:styleId="pf0">
    <w:name w:val="pf0"/>
    <w:basedOn w:val="Normal"/>
    <w:rsid w:val="00B0532A"/>
    <w:pPr>
      <w:widowControl/>
      <w:spacing w:before="100" w:beforeAutospacing="1" w:after="100" w:afterAutospacing="1"/>
    </w:pPr>
    <w:rPr>
      <w:snapToGrid/>
      <w:kern w:val="0"/>
      <w:sz w:val="24"/>
      <w:szCs w:val="24"/>
    </w:rPr>
  </w:style>
  <w:style w:type="character" w:customStyle="1" w:styleId="cf01">
    <w:name w:val="cf01"/>
    <w:basedOn w:val="DefaultParagraphFont"/>
    <w:rsid w:val="00B0532A"/>
    <w:rPr>
      <w:rFonts w:ascii="Segoe UI" w:hAnsi="Segoe UI" w:cs="Segoe UI" w:hint="default"/>
      <w:sz w:val="18"/>
      <w:szCs w:val="18"/>
    </w:rPr>
  </w:style>
  <w:style w:type="character" w:customStyle="1" w:styleId="ParaNumChar2">
    <w:name w:val="ParaNum Char2"/>
    <w:rsid w:val="00D3665A"/>
    <w:rPr>
      <w:snapToGrid w:val="0"/>
      <w:kern w:val="28"/>
      <w:sz w:val="22"/>
    </w:rPr>
  </w:style>
  <w:style w:type="paragraph" w:customStyle="1" w:styleId="footnotedescription">
    <w:name w:val="footnote description"/>
    <w:next w:val="Normal"/>
    <w:link w:val="footnotedescriptionChar"/>
    <w:hidden/>
    <w:rsid w:val="005223BD"/>
    <w:pPr>
      <w:spacing w:after="51" w:line="254" w:lineRule="auto"/>
      <w:ind w:right="37"/>
    </w:pPr>
    <w:rPr>
      <w:color w:val="000000"/>
      <w:szCs w:val="22"/>
    </w:rPr>
  </w:style>
  <w:style w:type="character" w:customStyle="1" w:styleId="footnotedescriptionChar">
    <w:name w:val="footnote description Char"/>
    <w:link w:val="footnotedescription"/>
    <w:rsid w:val="005223BD"/>
    <w:rPr>
      <w:color w:val="000000"/>
      <w:szCs w:val="22"/>
    </w:rPr>
  </w:style>
  <w:style w:type="character" w:customStyle="1" w:styleId="footnotemark">
    <w:name w:val="footnote mark"/>
    <w:hidden/>
    <w:rsid w:val="005223BD"/>
    <w:rPr>
      <w:rFonts w:ascii="Times New Roman" w:eastAsia="Times New Roman" w:hAnsi="Times New Roman" w:cs="Times New Roman"/>
      <w:color w:val="000000"/>
      <w:sz w:val="20"/>
      <w:vertAlign w:val="superscript"/>
    </w:rPr>
  </w:style>
  <w:style w:type="character" w:styleId="Mention">
    <w:name w:val="Mention"/>
    <w:basedOn w:val="DefaultParagraphFont"/>
    <w:uiPriority w:val="99"/>
    <w:unhideWhenUsed/>
    <w:rsid w:val="00142E7E"/>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2.xml" /><Relationship Id="rId11" Type="http://schemas.openxmlformats.org/officeDocument/2006/relationships/footer" Target="footer3.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supplychain/coveredlist" TargetMode="External" /><Relationship Id="rId7" Type="http://schemas.openxmlformats.org/officeDocument/2006/relationships/header" Target="header1.xml" /><Relationship Id="rId8" Type="http://schemas.openxmlformats.org/officeDocument/2006/relationships/footer" Target="footer1.xml" /><Relationship Id="rId9" Type="http://schemas.openxmlformats.org/officeDocument/2006/relationships/footer" Target="footer2.xml" /></Relationships>
</file>

<file path=word/_rels/footnotes.xml.rels><?xml version="1.0" encoding="utf-8" standalone="yes"?><Relationships xmlns="http://schemas.openxmlformats.org/package/2006/relationships"><Relationship Id="rId1" Type="http://schemas.openxmlformats.org/officeDocument/2006/relationships/hyperlink" Target="https://www.fcc.gov/supplychain/coveredlist" TargetMode="Externa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