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3F171B6D" w14:textId="0A60F7C3">
      <w:pPr>
        <w:jc w:val="right"/>
        <w:rPr>
          <w:b/>
          <w:sz w:val="24"/>
        </w:rPr>
      </w:pPr>
      <w:r>
        <w:rPr>
          <w:b/>
          <w:sz w:val="24"/>
        </w:rPr>
        <w:t>DA 2</w:t>
      </w:r>
      <w:r w:rsidR="001B2D0B">
        <w:rPr>
          <w:b/>
          <w:sz w:val="24"/>
        </w:rPr>
        <w:t>6</w:t>
      </w:r>
      <w:r>
        <w:rPr>
          <w:b/>
          <w:sz w:val="24"/>
        </w:rPr>
        <w:t>-</w:t>
      </w:r>
      <w:r w:rsidR="00567153">
        <w:rPr>
          <w:b/>
          <w:sz w:val="24"/>
        </w:rPr>
        <w:t>636</w:t>
      </w:r>
    </w:p>
    <w:p w:rsidR="00BA3BA8" w14:paraId="74840477" w14:textId="0E83869D">
      <w:pPr>
        <w:spacing w:before="60"/>
        <w:jc w:val="right"/>
        <w:rPr>
          <w:b/>
          <w:sz w:val="24"/>
        </w:rPr>
      </w:pPr>
      <w:r>
        <w:rPr>
          <w:b/>
          <w:sz w:val="24"/>
        </w:rPr>
        <w:t>Released</w:t>
      </w:r>
      <w:r>
        <w:rPr>
          <w:b/>
          <w:sz w:val="24"/>
        </w:rPr>
        <w:t xml:space="preserve">:  </w:t>
      </w:r>
      <w:r w:rsidR="004E4636">
        <w:rPr>
          <w:b/>
          <w:sz w:val="24"/>
        </w:rPr>
        <w:t>Ju</w:t>
      </w:r>
      <w:r w:rsidR="00EB69A0">
        <w:rPr>
          <w:b/>
          <w:sz w:val="24"/>
        </w:rPr>
        <w:t>ne</w:t>
      </w:r>
      <w:r w:rsidR="001B2D0B">
        <w:rPr>
          <w:b/>
          <w:sz w:val="24"/>
        </w:rPr>
        <w:t xml:space="preserve"> </w:t>
      </w:r>
      <w:r w:rsidR="00EB69A0">
        <w:rPr>
          <w:b/>
          <w:sz w:val="24"/>
        </w:rPr>
        <w:t>25</w:t>
      </w:r>
      <w:r w:rsidR="00087ED8">
        <w:rPr>
          <w:b/>
          <w:sz w:val="24"/>
        </w:rPr>
        <w:t>, 202</w:t>
      </w:r>
      <w:r w:rsidR="001B2D0B">
        <w:rPr>
          <w:b/>
          <w:sz w:val="24"/>
        </w:rPr>
        <w:t>6</w:t>
      </w:r>
    </w:p>
    <w:p w:rsidR="00BA3BA8" w14:paraId="07AC45EA" w14:textId="77777777">
      <w:pPr>
        <w:jc w:val="right"/>
        <w:rPr>
          <w:sz w:val="24"/>
        </w:rPr>
      </w:pPr>
    </w:p>
    <w:p w:rsidR="007B4B2A" w:rsidP="00F765B6" w14:paraId="7E578173" w14:textId="3A8CD8B4">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FILED FOR THE TRANSFER OF CONTROL OF</w:t>
      </w:r>
      <w:r w:rsidR="008F23B7">
        <w:rPr>
          <w:b/>
          <w:bCs/>
          <w:szCs w:val="22"/>
        </w:rPr>
        <w:t xml:space="preserve"> </w:t>
      </w:r>
      <w:r w:rsidR="00694198">
        <w:rPr>
          <w:b/>
          <w:bCs/>
          <w:szCs w:val="22"/>
        </w:rPr>
        <w:t>WIDEOPENWEST</w:t>
      </w:r>
      <w:r w:rsidR="007D6C65">
        <w:rPr>
          <w:b/>
          <w:bCs/>
          <w:szCs w:val="22"/>
        </w:rPr>
        <w:t>, INC.</w:t>
      </w:r>
      <w:r w:rsidR="00AE72F6">
        <w:rPr>
          <w:b/>
          <w:bCs/>
          <w:szCs w:val="22"/>
        </w:rPr>
        <w:t xml:space="preserve"> </w:t>
      </w:r>
      <w:r w:rsidR="002215DE">
        <w:rPr>
          <w:b/>
          <w:bCs/>
          <w:szCs w:val="22"/>
        </w:rPr>
        <w:t xml:space="preserve">AND </w:t>
      </w:r>
      <w:r w:rsidR="004F7ABC">
        <w:rPr>
          <w:b/>
          <w:bCs/>
          <w:szCs w:val="22"/>
        </w:rPr>
        <w:t xml:space="preserve">OTHER </w:t>
      </w:r>
      <w:r w:rsidR="00D93A0E">
        <w:rPr>
          <w:b/>
          <w:bCs/>
          <w:szCs w:val="22"/>
        </w:rPr>
        <w:t xml:space="preserve">CERTAIN </w:t>
      </w:r>
      <w:r w:rsidR="002215DE">
        <w:rPr>
          <w:b/>
          <w:bCs/>
          <w:szCs w:val="22"/>
        </w:rPr>
        <w:t xml:space="preserve">SUBSIDIARIES </w:t>
      </w:r>
      <w:r>
        <w:rPr>
          <w:b/>
          <w:bCs/>
          <w:szCs w:val="22"/>
        </w:rPr>
        <w:t xml:space="preserve">OF </w:t>
      </w:r>
    </w:p>
    <w:p w:rsidR="00F765B6" w:rsidP="007B4B2A" w14:paraId="72D2665E" w14:textId="26AE3733">
      <w:pPr>
        <w:jc w:val="center"/>
        <w:rPr>
          <w:b/>
          <w:bCs/>
          <w:szCs w:val="22"/>
        </w:rPr>
      </w:pPr>
      <w:r w:rsidRPr="00AE72F6">
        <w:rPr>
          <w:b/>
          <w:bCs/>
          <w:szCs w:val="22"/>
        </w:rPr>
        <w:t>DIGITALBRIDGE GROUP, INC</w:t>
      </w:r>
      <w:r w:rsidRPr="00A92E38">
        <w:rPr>
          <w:b/>
          <w:bCs/>
          <w:szCs w:val="22"/>
        </w:rPr>
        <w:t>.</w:t>
      </w:r>
      <w:r>
        <w:rPr>
          <w:b/>
          <w:bCs/>
          <w:szCs w:val="22"/>
        </w:rPr>
        <w:t xml:space="preserve"> </w:t>
      </w:r>
      <w:r w:rsidR="00A92E38">
        <w:rPr>
          <w:b/>
          <w:bCs/>
          <w:szCs w:val="22"/>
        </w:rPr>
        <w:t xml:space="preserve">TO </w:t>
      </w:r>
      <w:r w:rsidRPr="00AE72F6" w:rsidR="00AE72F6">
        <w:rPr>
          <w:b/>
          <w:bCs/>
          <w:szCs w:val="22"/>
        </w:rPr>
        <w:t>DUNCAN HOLDCO LLC</w:t>
      </w:r>
    </w:p>
    <w:p w:rsidR="00F765B6" w:rsidRPr="00DB3CBC" w:rsidP="00F765B6" w14:paraId="0CAE2AB9" w14:textId="77777777">
      <w:pPr>
        <w:jc w:val="center"/>
        <w:rPr>
          <w:b/>
          <w:bCs/>
          <w:szCs w:val="22"/>
        </w:rPr>
      </w:pPr>
    </w:p>
    <w:p w:rsidR="00BA3BA8" w:rsidP="00F765B6" w14:paraId="4434B72A" w14:textId="269F63F6">
      <w:pPr>
        <w:jc w:val="center"/>
        <w:rPr>
          <w:b/>
          <w:bCs/>
          <w:szCs w:val="22"/>
        </w:rPr>
      </w:pPr>
      <w:r w:rsidRPr="00DB3CBC">
        <w:rPr>
          <w:b/>
          <w:szCs w:val="22"/>
        </w:rPr>
        <w:t>STREAMLINED PLEADING CYCLE ESTABLISHED</w:t>
      </w:r>
    </w:p>
    <w:p w:rsidR="00F765B6" w:rsidRPr="00F765B6" w:rsidP="00F765B6" w14:paraId="60BE1411" w14:textId="77777777">
      <w:pPr>
        <w:jc w:val="center"/>
        <w:rPr>
          <w:b/>
          <w:bCs/>
          <w:szCs w:val="22"/>
        </w:rPr>
      </w:pPr>
    </w:p>
    <w:p w:rsidR="00BA3BA8" w14:paraId="3563A964" w14:textId="479216F6">
      <w:pPr>
        <w:jc w:val="center"/>
        <w:rPr>
          <w:b/>
          <w:sz w:val="24"/>
        </w:rPr>
      </w:pPr>
      <w:r>
        <w:rPr>
          <w:b/>
          <w:sz w:val="24"/>
        </w:rPr>
        <w:t>WC Docket No. 2</w:t>
      </w:r>
      <w:r w:rsidR="001B2D0B">
        <w:rPr>
          <w:b/>
          <w:sz w:val="24"/>
        </w:rPr>
        <w:t>6</w:t>
      </w:r>
      <w:r>
        <w:rPr>
          <w:b/>
          <w:sz w:val="24"/>
        </w:rPr>
        <w:t>-</w:t>
      </w:r>
      <w:r w:rsidR="00BE2011">
        <w:rPr>
          <w:b/>
          <w:sz w:val="24"/>
        </w:rPr>
        <w:t>4</w:t>
      </w:r>
      <w:r w:rsidR="00476A67">
        <w:rPr>
          <w:b/>
          <w:sz w:val="24"/>
        </w:rPr>
        <w:t>0</w:t>
      </w:r>
    </w:p>
    <w:p w:rsidR="00087ED8" w:rsidP="00087ED8" w14:paraId="7E2B515C" w14:textId="77777777">
      <w:pPr>
        <w:rPr>
          <w:b/>
          <w:szCs w:val="22"/>
        </w:rPr>
      </w:pPr>
    </w:p>
    <w:p w:rsidR="00087ED8" w:rsidRPr="00AD440B" w:rsidP="00087ED8" w14:paraId="317736F9" w14:textId="2258ED40">
      <w:pPr>
        <w:rPr>
          <w:b/>
          <w:szCs w:val="22"/>
        </w:rPr>
      </w:pPr>
      <w:r w:rsidRPr="00AD440B">
        <w:rPr>
          <w:b/>
          <w:szCs w:val="22"/>
        </w:rPr>
        <w:t>Comments Due</w:t>
      </w:r>
      <w:r w:rsidRPr="00AD440B">
        <w:rPr>
          <w:b/>
          <w:szCs w:val="22"/>
        </w:rPr>
        <w:t xml:space="preserve">:  </w:t>
      </w:r>
      <w:r w:rsidR="004E4636">
        <w:rPr>
          <w:b/>
          <w:szCs w:val="22"/>
        </w:rPr>
        <w:t>July</w:t>
      </w:r>
      <w:r w:rsidR="00AE72F6">
        <w:rPr>
          <w:b/>
          <w:szCs w:val="22"/>
        </w:rPr>
        <w:t xml:space="preserve"> </w:t>
      </w:r>
      <w:r w:rsidR="004811B7">
        <w:rPr>
          <w:b/>
          <w:szCs w:val="22"/>
        </w:rPr>
        <w:t>9</w:t>
      </w:r>
      <w:r w:rsidRPr="00AD440B">
        <w:rPr>
          <w:b/>
          <w:szCs w:val="22"/>
        </w:rPr>
        <w:t>, 202</w:t>
      </w:r>
      <w:r w:rsidR="00AE72F6">
        <w:rPr>
          <w:b/>
          <w:szCs w:val="22"/>
        </w:rPr>
        <w:t>6</w:t>
      </w:r>
      <w:r w:rsidRPr="00AD440B">
        <w:rPr>
          <w:b/>
          <w:szCs w:val="22"/>
        </w:rPr>
        <w:t xml:space="preserve"> </w:t>
      </w:r>
    </w:p>
    <w:p w:rsidR="00087ED8" w:rsidP="00087ED8" w14:paraId="4584CF30" w14:textId="58B1C9AE">
      <w:pPr>
        <w:tabs>
          <w:tab w:val="left" w:pos="6366"/>
        </w:tabs>
        <w:rPr>
          <w:b/>
          <w:szCs w:val="22"/>
        </w:rPr>
      </w:pPr>
      <w:r w:rsidRPr="00AD440B">
        <w:rPr>
          <w:b/>
          <w:szCs w:val="22"/>
        </w:rPr>
        <w:t>Reply Comment</w:t>
      </w:r>
      <w:r>
        <w:rPr>
          <w:b/>
          <w:szCs w:val="22"/>
        </w:rPr>
        <w:t>s</w:t>
      </w:r>
      <w:r w:rsidRPr="00AD440B">
        <w:rPr>
          <w:b/>
          <w:szCs w:val="22"/>
        </w:rPr>
        <w:t xml:space="preserve"> Due</w:t>
      </w:r>
      <w:r w:rsidRPr="00AD440B">
        <w:rPr>
          <w:b/>
          <w:szCs w:val="22"/>
        </w:rPr>
        <w:t xml:space="preserve">:  </w:t>
      </w:r>
      <w:r w:rsidR="004E4636">
        <w:rPr>
          <w:b/>
          <w:szCs w:val="22"/>
        </w:rPr>
        <w:t>July</w:t>
      </w:r>
      <w:r w:rsidR="00AE72F6">
        <w:rPr>
          <w:b/>
          <w:szCs w:val="22"/>
        </w:rPr>
        <w:t xml:space="preserve"> </w:t>
      </w:r>
      <w:r w:rsidR="004811B7">
        <w:rPr>
          <w:b/>
          <w:szCs w:val="22"/>
        </w:rPr>
        <w:t>16</w:t>
      </w:r>
      <w:r w:rsidRPr="00AD440B">
        <w:rPr>
          <w:b/>
          <w:szCs w:val="22"/>
        </w:rPr>
        <w:t>, 202</w:t>
      </w:r>
      <w:r w:rsidR="00AE72F6">
        <w:rPr>
          <w:b/>
          <w:szCs w:val="22"/>
        </w:rPr>
        <w:t>6</w:t>
      </w:r>
    </w:p>
    <w:p w:rsidR="00087ED8" w:rsidP="00087ED8" w14:paraId="56DDC2CF" w14:textId="77777777">
      <w:pPr>
        <w:rPr>
          <w:b/>
          <w:sz w:val="24"/>
        </w:rPr>
      </w:pPr>
    </w:p>
    <w:p w:rsidR="00F765B6" w:rsidP="001D3DFF" w14:paraId="69D3C2D8" w14:textId="39463A27">
      <w:pPr>
        <w:autoSpaceDE w:val="0"/>
        <w:autoSpaceDN w:val="0"/>
        <w:adjustRightInd w:val="0"/>
        <w:spacing w:after="120"/>
        <w:ind w:firstLine="720"/>
        <w:rPr>
          <w:szCs w:val="22"/>
        </w:rPr>
      </w:pPr>
      <w:r w:rsidRPr="00FD7EE2">
        <w:rPr>
          <w:szCs w:val="22"/>
        </w:rPr>
        <w:t xml:space="preserve">By this Public Notice, the Wireline Competition Bureau </w:t>
      </w:r>
      <w:r w:rsidR="00A9577B">
        <w:rPr>
          <w:szCs w:val="22"/>
        </w:rPr>
        <w:t xml:space="preserve">(Bureau) </w:t>
      </w:r>
      <w:r w:rsidRPr="00FD7EE2">
        <w:rPr>
          <w:szCs w:val="22"/>
        </w:rPr>
        <w:t>seeks comment from interested parties on an application</w:t>
      </w:r>
      <w:r>
        <w:rPr>
          <w:rStyle w:val="FootnoteReference"/>
          <w:szCs w:val="22"/>
        </w:rPr>
        <w:footnoteReference w:id="3"/>
      </w:r>
      <w:r w:rsidRPr="00FD7EE2">
        <w:rPr>
          <w:szCs w:val="22"/>
        </w:rPr>
        <w:t xml:space="preserve"> filed by </w:t>
      </w:r>
      <w:bookmarkStart w:id="2" w:name="_Hlk73713070"/>
      <w:bookmarkStart w:id="3" w:name="_Hlk67917977"/>
      <w:r w:rsidRPr="001E7F56" w:rsidR="001E7F56">
        <w:rPr>
          <w:szCs w:val="22"/>
        </w:rPr>
        <w:t>DigitalBridge</w:t>
      </w:r>
      <w:r w:rsidRPr="001E7F56" w:rsidR="001E7F56">
        <w:rPr>
          <w:szCs w:val="22"/>
        </w:rPr>
        <w:t xml:space="preserve"> Group, Inc. (</w:t>
      </w:r>
      <w:r w:rsidRPr="001E7F56" w:rsidR="001E7F56">
        <w:rPr>
          <w:szCs w:val="22"/>
        </w:rPr>
        <w:t>DigitalBridge</w:t>
      </w:r>
      <w:r w:rsidRPr="001E7F56" w:rsidR="001E7F56">
        <w:rPr>
          <w:szCs w:val="22"/>
        </w:rPr>
        <w:t>)</w:t>
      </w:r>
      <w:r w:rsidR="001E7F56">
        <w:rPr>
          <w:szCs w:val="22"/>
        </w:rPr>
        <w:t>,</w:t>
      </w:r>
      <w:r w:rsidR="009A13F1">
        <w:rPr>
          <w:szCs w:val="22"/>
        </w:rPr>
        <w:t xml:space="preserve"> </w:t>
      </w:r>
      <w:r w:rsidRPr="001E7F56" w:rsidR="001E7F56">
        <w:rPr>
          <w:szCs w:val="22"/>
        </w:rPr>
        <w:t>Knology</w:t>
      </w:r>
      <w:r w:rsidRPr="001E7F56" w:rsidR="001E7F56">
        <w:rPr>
          <w:szCs w:val="22"/>
        </w:rPr>
        <w:t xml:space="preserve"> of the Valley, Inc.</w:t>
      </w:r>
      <w:r w:rsidR="00B43C31">
        <w:rPr>
          <w:szCs w:val="22"/>
        </w:rPr>
        <w:t xml:space="preserve"> (</w:t>
      </w:r>
      <w:r w:rsidR="00B43C31">
        <w:rPr>
          <w:szCs w:val="22"/>
        </w:rPr>
        <w:t>Knology</w:t>
      </w:r>
      <w:r w:rsidR="00B43C31">
        <w:rPr>
          <w:szCs w:val="22"/>
        </w:rPr>
        <w:t xml:space="preserve"> Valley)</w:t>
      </w:r>
      <w:r w:rsidR="001E7F56">
        <w:rPr>
          <w:szCs w:val="22"/>
        </w:rPr>
        <w:t xml:space="preserve">, </w:t>
      </w:r>
      <w:r w:rsidRPr="001E7F56" w:rsidR="001E7F56">
        <w:rPr>
          <w:szCs w:val="22"/>
        </w:rPr>
        <w:t>Valley Telephone Company, LLC</w:t>
      </w:r>
      <w:r w:rsidR="0067358D">
        <w:rPr>
          <w:szCs w:val="22"/>
        </w:rPr>
        <w:t xml:space="preserve"> (</w:t>
      </w:r>
      <w:r w:rsidR="00FA68E7">
        <w:rPr>
          <w:szCs w:val="22"/>
        </w:rPr>
        <w:t>Valley</w:t>
      </w:r>
      <w:r w:rsidR="00B43C31">
        <w:rPr>
          <w:szCs w:val="22"/>
        </w:rPr>
        <w:t xml:space="preserve"> Telephone</w:t>
      </w:r>
      <w:r w:rsidR="00FA68E7">
        <w:rPr>
          <w:szCs w:val="22"/>
        </w:rPr>
        <w:t>)</w:t>
      </w:r>
      <w:r w:rsidR="001E7F56">
        <w:rPr>
          <w:szCs w:val="22"/>
        </w:rPr>
        <w:t>,</w:t>
      </w:r>
      <w:r w:rsidRPr="001E7F56" w:rsidR="001E7F56">
        <w:rPr>
          <w:szCs w:val="22"/>
        </w:rPr>
        <w:t xml:space="preserve"> </w:t>
      </w:r>
      <w:r w:rsidRPr="001E7F56" w:rsidR="001E7F56">
        <w:rPr>
          <w:szCs w:val="22"/>
        </w:rPr>
        <w:t>Knology</w:t>
      </w:r>
      <w:r w:rsidRPr="001E7F56" w:rsidR="001E7F56">
        <w:rPr>
          <w:szCs w:val="22"/>
        </w:rPr>
        <w:t xml:space="preserve"> Total Communications, Inc.</w:t>
      </w:r>
      <w:r w:rsidR="00A401F0">
        <w:rPr>
          <w:szCs w:val="22"/>
        </w:rPr>
        <w:t xml:space="preserve"> (</w:t>
      </w:r>
      <w:r w:rsidR="00A401F0">
        <w:rPr>
          <w:szCs w:val="22"/>
        </w:rPr>
        <w:t>Knology</w:t>
      </w:r>
      <w:r w:rsidR="00A401F0">
        <w:rPr>
          <w:szCs w:val="22"/>
        </w:rPr>
        <w:t xml:space="preserve"> TC)</w:t>
      </w:r>
      <w:r w:rsidR="001E7F56">
        <w:rPr>
          <w:szCs w:val="22"/>
        </w:rPr>
        <w:t>,</w:t>
      </w:r>
      <w:r w:rsidRPr="001E7F56" w:rsidR="001E7F56">
        <w:rPr>
          <w:szCs w:val="22"/>
        </w:rPr>
        <w:t xml:space="preserve"> and</w:t>
      </w:r>
      <w:r w:rsidR="001E7F56">
        <w:rPr>
          <w:szCs w:val="22"/>
        </w:rPr>
        <w:t xml:space="preserve"> </w:t>
      </w:r>
      <w:r w:rsidRPr="001E7F56" w:rsidR="001E7F56">
        <w:rPr>
          <w:szCs w:val="22"/>
        </w:rPr>
        <w:t>Knology</w:t>
      </w:r>
      <w:r w:rsidRPr="001E7F56" w:rsidR="001E7F56">
        <w:rPr>
          <w:szCs w:val="22"/>
        </w:rPr>
        <w:t xml:space="preserve"> of Florida,</w:t>
      </w:r>
      <w:r w:rsidR="001E7F56">
        <w:rPr>
          <w:szCs w:val="22"/>
        </w:rPr>
        <w:t xml:space="preserve"> </w:t>
      </w:r>
      <w:r w:rsidRPr="001E7F56" w:rsidR="001E7F56">
        <w:rPr>
          <w:szCs w:val="22"/>
        </w:rPr>
        <w:t xml:space="preserve">LLC (d/b/a </w:t>
      </w:r>
      <w:r w:rsidRPr="001E7F56" w:rsidR="001E7F56">
        <w:rPr>
          <w:szCs w:val="22"/>
        </w:rPr>
        <w:t>Knology</w:t>
      </w:r>
      <w:r w:rsidRPr="001E7F56" w:rsidR="001E7F56">
        <w:rPr>
          <w:szCs w:val="22"/>
        </w:rPr>
        <w:t xml:space="preserve"> of Florida, Inc.)</w:t>
      </w:r>
      <w:r w:rsidR="00FA68E7">
        <w:rPr>
          <w:szCs w:val="22"/>
        </w:rPr>
        <w:t xml:space="preserve"> (</w:t>
      </w:r>
      <w:r w:rsidR="00FA68E7">
        <w:rPr>
          <w:szCs w:val="22"/>
        </w:rPr>
        <w:t>Knology</w:t>
      </w:r>
      <w:r w:rsidR="00FA68E7">
        <w:rPr>
          <w:szCs w:val="22"/>
        </w:rPr>
        <w:t xml:space="preserve"> Florida)</w:t>
      </w:r>
      <w:r w:rsidRPr="001E7F56" w:rsidR="001E7F56">
        <w:rPr>
          <w:szCs w:val="22"/>
        </w:rPr>
        <w:t xml:space="preserve"> (collectively the Licensees and together</w:t>
      </w:r>
      <w:r w:rsidR="001E7F56">
        <w:rPr>
          <w:szCs w:val="22"/>
        </w:rPr>
        <w:t xml:space="preserve"> </w:t>
      </w:r>
      <w:r w:rsidRPr="001E7F56" w:rsidR="001E7F56">
        <w:rPr>
          <w:szCs w:val="22"/>
        </w:rPr>
        <w:t xml:space="preserve">with </w:t>
      </w:r>
      <w:r w:rsidRPr="001E7F56" w:rsidR="001E7F56">
        <w:rPr>
          <w:szCs w:val="22"/>
        </w:rPr>
        <w:t>WideOpenWest</w:t>
      </w:r>
      <w:r w:rsidRPr="001E7F56" w:rsidR="001E7F56">
        <w:rPr>
          <w:szCs w:val="22"/>
        </w:rPr>
        <w:t>, Inc., WOW</w:t>
      </w:r>
      <w:r w:rsidR="00030F20">
        <w:rPr>
          <w:szCs w:val="22"/>
        </w:rPr>
        <w:t xml:space="preserve"> Parent</w:t>
      </w:r>
      <w:r w:rsidRPr="001E7F56" w:rsidR="001E7F56">
        <w:rPr>
          <w:szCs w:val="22"/>
        </w:rPr>
        <w:t>)</w:t>
      </w:r>
      <w:r w:rsidR="001E7F56">
        <w:rPr>
          <w:szCs w:val="22"/>
        </w:rPr>
        <w:t xml:space="preserve">, </w:t>
      </w:r>
      <w:r w:rsidRPr="001E7F56" w:rsidR="001E7F56">
        <w:rPr>
          <w:szCs w:val="22"/>
        </w:rPr>
        <w:t>and Duncan Holdco LLC (Duncan</w:t>
      </w:r>
      <w:r w:rsidR="001E7F56">
        <w:rPr>
          <w:szCs w:val="22"/>
        </w:rPr>
        <w:t xml:space="preserve">) </w:t>
      </w:r>
      <w:r w:rsidRPr="008001A8" w:rsidR="008001A8">
        <w:rPr>
          <w:szCs w:val="22"/>
        </w:rPr>
        <w:t>(</w:t>
      </w:r>
      <w:r w:rsidR="00DE581E">
        <w:rPr>
          <w:szCs w:val="22"/>
        </w:rPr>
        <w:t xml:space="preserve">Duncan and WOW </w:t>
      </w:r>
      <w:r w:rsidR="008B4A04">
        <w:rPr>
          <w:szCs w:val="22"/>
        </w:rPr>
        <w:t xml:space="preserve">Parent, </w:t>
      </w:r>
      <w:r w:rsidRPr="00B83D65" w:rsidR="00B83D65">
        <w:rPr>
          <w:szCs w:val="22"/>
        </w:rPr>
        <w:t>together</w:t>
      </w:r>
      <w:r w:rsidR="0003015C">
        <w:rPr>
          <w:szCs w:val="22"/>
        </w:rPr>
        <w:t>,</w:t>
      </w:r>
      <w:r w:rsidRPr="00FD7EE2">
        <w:rPr>
          <w:szCs w:val="22"/>
        </w:rPr>
        <w:t xml:space="preserve"> Applicants), pursuant to section 214(a) of the</w:t>
      </w:r>
      <w:r w:rsidR="00002E74">
        <w:rPr>
          <w:szCs w:val="22"/>
        </w:rPr>
        <w:t xml:space="preserve"> </w:t>
      </w:r>
      <w:r w:rsidRPr="00FD7EE2">
        <w:rPr>
          <w:szCs w:val="22"/>
        </w:rPr>
        <w:t>Communications Act of 1934, as amended, and sectio</w:t>
      </w:r>
      <w:r w:rsidRPr="002E63E2">
        <w:rPr>
          <w:szCs w:val="22"/>
        </w:rPr>
        <w:t>n</w:t>
      </w:r>
      <w:r w:rsidRPr="00FD7EE2">
        <w:rPr>
          <w:szCs w:val="22"/>
        </w:rPr>
        <w:t xml:space="preserve"> 63.04 of the Commission’s rules</w:t>
      </w:r>
      <w:r w:rsidR="002B0310">
        <w:rPr>
          <w:szCs w:val="22"/>
        </w:rPr>
        <w:t>.</w:t>
      </w:r>
      <w:r>
        <w:rPr>
          <w:rStyle w:val="FootnoteReference"/>
          <w:szCs w:val="22"/>
        </w:rPr>
        <w:footnoteReference w:id="4"/>
      </w:r>
      <w:r w:rsidRPr="00FD7EE2">
        <w:rPr>
          <w:szCs w:val="22"/>
        </w:rPr>
        <w:t xml:space="preserve"> </w:t>
      </w:r>
      <w:bookmarkEnd w:id="2"/>
      <w:bookmarkEnd w:id="3"/>
      <w:r w:rsidR="002B0310">
        <w:rPr>
          <w:szCs w:val="22"/>
        </w:rPr>
        <w:t xml:space="preserve">The Application </w:t>
      </w:r>
      <w:r w:rsidRPr="00FD7EE2">
        <w:rPr>
          <w:szCs w:val="22"/>
        </w:rPr>
        <w:t>request</w:t>
      </w:r>
      <w:r w:rsidR="002B0310">
        <w:rPr>
          <w:szCs w:val="22"/>
        </w:rPr>
        <w:t>s</w:t>
      </w:r>
      <w:r w:rsidRPr="00FD7EE2">
        <w:rPr>
          <w:szCs w:val="22"/>
        </w:rPr>
        <w:t xml:space="preserve"> Commission </w:t>
      </w:r>
      <w:r w:rsidRPr="001E6249" w:rsidR="001E6249">
        <w:rPr>
          <w:szCs w:val="22"/>
        </w:rPr>
        <w:t>consent to transfer control of Licensees</w:t>
      </w:r>
      <w:r w:rsidR="00D20977">
        <w:rPr>
          <w:szCs w:val="22"/>
        </w:rPr>
        <w:t>, which are</w:t>
      </w:r>
      <w:r w:rsidRPr="00CE73E3" w:rsidR="00D20977">
        <w:rPr>
          <w:szCs w:val="22"/>
        </w:rPr>
        <w:t xml:space="preserve"> </w:t>
      </w:r>
      <w:r w:rsidR="00D20977">
        <w:rPr>
          <w:szCs w:val="22"/>
        </w:rPr>
        <w:t>indirectly and jointly controlled by the following entities</w:t>
      </w:r>
      <w:r w:rsidRPr="00CE73E3" w:rsidR="00D20977">
        <w:rPr>
          <w:szCs w:val="22"/>
        </w:rPr>
        <w:t xml:space="preserve">: (1) </w:t>
      </w:r>
      <w:r w:rsidRPr="00CE73E3" w:rsidR="00D20977">
        <w:rPr>
          <w:szCs w:val="22"/>
        </w:rPr>
        <w:t>DigitalBridge</w:t>
      </w:r>
      <w:r w:rsidRPr="00CE73E3" w:rsidR="00D20977">
        <w:rPr>
          <w:szCs w:val="22"/>
        </w:rPr>
        <w:t xml:space="preserve"> Partners III, LP (DBP III)</w:t>
      </w:r>
      <w:r w:rsidR="001538AD">
        <w:rPr>
          <w:szCs w:val="22"/>
        </w:rPr>
        <w:t xml:space="preserve"> (63% equity interest)</w:t>
      </w:r>
      <w:r w:rsidR="001A6BC7">
        <w:rPr>
          <w:szCs w:val="22"/>
        </w:rPr>
        <w:t>;</w:t>
      </w:r>
      <w:r>
        <w:rPr>
          <w:rStyle w:val="FootnoteReference"/>
          <w:szCs w:val="22"/>
        </w:rPr>
        <w:footnoteReference w:id="5"/>
      </w:r>
      <w:r w:rsidRPr="00CE73E3" w:rsidR="00D20977">
        <w:rPr>
          <w:szCs w:val="22"/>
        </w:rPr>
        <w:t xml:space="preserve"> and (2) Crestview</w:t>
      </w:r>
      <w:r w:rsidR="00D20977">
        <w:rPr>
          <w:szCs w:val="22"/>
        </w:rPr>
        <w:t xml:space="preserve"> </w:t>
      </w:r>
      <w:r w:rsidRPr="00CE73E3" w:rsidR="00D20977">
        <w:rPr>
          <w:szCs w:val="22"/>
        </w:rPr>
        <w:t>W1 Holdings, L.P., a Delaware limited partnership (Crestview W1), and other affiliated entities</w:t>
      </w:r>
      <w:r w:rsidR="00D20977">
        <w:rPr>
          <w:szCs w:val="22"/>
        </w:rPr>
        <w:t xml:space="preserve"> </w:t>
      </w:r>
      <w:r w:rsidRPr="00CE73E3" w:rsidR="00D20977">
        <w:rPr>
          <w:szCs w:val="22"/>
        </w:rPr>
        <w:t>(collectively Crestview III),</w:t>
      </w:r>
      <w:r>
        <w:rPr>
          <w:rStyle w:val="FootnoteReference"/>
          <w:szCs w:val="22"/>
        </w:rPr>
        <w:footnoteReference w:id="6"/>
      </w:r>
      <w:r w:rsidRPr="00CE73E3" w:rsidR="00D20977">
        <w:rPr>
          <w:szCs w:val="22"/>
        </w:rPr>
        <w:t xml:space="preserve"> </w:t>
      </w:r>
      <w:r w:rsidR="001538AD">
        <w:rPr>
          <w:szCs w:val="22"/>
        </w:rPr>
        <w:t>(37% equity interest)</w:t>
      </w:r>
      <w:r w:rsidRPr="00286FE6" w:rsidR="00D20977">
        <w:rPr>
          <w:szCs w:val="22"/>
        </w:rPr>
        <w:t>,</w:t>
      </w:r>
      <w:r>
        <w:rPr>
          <w:rStyle w:val="FootnoteReference"/>
          <w:szCs w:val="22"/>
        </w:rPr>
        <w:footnoteReference w:id="7"/>
      </w:r>
      <w:r w:rsidR="00566D27">
        <w:rPr>
          <w:szCs w:val="22"/>
        </w:rPr>
        <w:t xml:space="preserve"> </w:t>
      </w:r>
      <w:r w:rsidRPr="001E6249" w:rsidR="001E6249">
        <w:rPr>
          <w:szCs w:val="22"/>
        </w:rPr>
        <w:t xml:space="preserve">to </w:t>
      </w:r>
      <w:r w:rsidRPr="001D3DFF" w:rsidR="001D3DFF">
        <w:rPr>
          <w:szCs w:val="22"/>
        </w:rPr>
        <w:t>Duncan</w:t>
      </w:r>
      <w:r w:rsidR="00993071">
        <w:rPr>
          <w:szCs w:val="22"/>
        </w:rPr>
        <w:t>,</w:t>
      </w:r>
      <w:r w:rsidR="001D3DFF">
        <w:rPr>
          <w:szCs w:val="22"/>
        </w:rPr>
        <w:t xml:space="preserve"> a</w:t>
      </w:r>
      <w:r w:rsidRPr="001D3DFF" w:rsidR="001D3DFF">
        <w:rPr>
          <w:szCs w:val="22"/>
        </w:rPr>
        <w:t>nd its indirect</w:t>
      </w:r>
      <w:r w:rsidR="001D3DFF">
        <w:rPr>
          <w:szCs w:val="22"/>
        </w:rPr>
        <w:t xml:space="preserve"> </w:t>
      </w:r>
      <w:r w:rsidRPr="001D3DFF" w:rsidR="001D3DFF">
        <w:rPr>
          <w:szCs w:val="22"/>
        </w:rPr>
        <w:t>parent company SoftBank Group Corp. (SoftBank)</w:t>
      </w:r>
      <w:r w:rsidR="009478BF">
        <w:rPr>
          <w:szCs w:val="22"/>
        </w:rPr>
        <w:t>, a Japanese</w:t>
      </w:r>
      <w:r w:rsidR="00467F7E">
        <w:rPr>
          <w:szCs w:val="22"/>
        </w:rPr>
        <w:t xml:space="preserve"> </w:t>
      </w:r>
      <w:r w:rsidR="00421FCB">
        <w:rPr>
          <w:szCs w:val="22"/>
        </w:rPr>
        <w:t>corporation</w:t>
      </w:r>
      <w:r w:rsidR="00ED6CD1">
        <w:rPr>
          <w:szCs w:val="22"/>
        </w:rPr>
        <w:t>,</w:t>
      </w:r>
      <w:r>
        <w:rPr>
          <w:rStyle w:val="FootnoteReference"/>
          <w:szCs w:val="22"/>
        </w:rPr>
        <w:footnoteReference w:id="8"/>
      </w:r>
      <w:r w:rsidR="0028072D">
        <w:rPr>
          <w:szCs w:val="22"/>
        </w:rPr>
        <w:t xml:space="preserve"> </w:t>
      </w:r>
      <w:r w:rsidR="00977231">
        <w:rPr>
          <w:szCs w:val="22"/>
        </w:rPr>
        <w:t xml:space="preserve">as the result of Duncan acquiring control of </w:t>
      </w:r>
      <w:r w:rsidR="00977231">
        <w:rPr>
          <w:szCs w:val="22"/>
        </w:rPr>
        <w:t>DigitalBridge</w:t>
      </w:r>
      <w:r w:rsidR="00977231">
        <w:rPr>
          <w:szCs w:val="22"/>
        </w:rPr>
        <w:t xml:space="preserve">, and thereby acquiring </w:t>
      </w:r>
      <w:r w:rsidR="00977231">
        <w:rPr>
          <w:szCs w:val="22"/>
        </w:rPr>
        <w:t>DigitalBridge’s</w:t>
      </w:r>
      <w:r w:rsidR="00977231">
        <w:rPr>
          <w:szCs w:val="22"/>
        </w:rPr>
        <w:t xml:space="preserve"> interest in </w:t>
      </w:r>
      <w:r w:rsidR="004B5035">
        <w:rPr>
          <w:szCs w:val="22"/>
        </w:rPr>
        <w:t>WOW Parent</w:t>
      </w:r>
      <w:r w:rsidR="00972F2B">
        <w:rPr>
          <w:szCs w:val="22"/>
        </w:rPr>
        <w:t xml:space="preserve">, and thus </w:t>
      </w:r>
      <w:r w:rsidR="00977231">
        <w:rPr>
          <w:szCs w:val="22"/>
        </w:rPr>
        <w:t>the Licensees.</w:t>
      </w:r>
      <w:r>
        <w:rPr>
          <w:rStyle w:val="FootnoteReference"/>
          <w:szCs w:val="22"/>
        </w:rPr>
        <w:footnoteReference w:id="9"/>
      </w:r>
      <w:r w:rsidR="0028072D">
        <w:rPr>
          <w:szCs w:val="22"/>
        </w:rPr>
        <w:t xml:space="preserve">  </w:t>
      </w:r>
    </w:p>
    <w:p w:rsidR="00E85B28" w:rsidP="00034352" w14:paraId="3C2BF9CA" w14:textId="6A1DD9FB">
      <w:pPr>
        <w:autoSpaceDE w:val="0"/>
        <w:autoSpaceDN w:val="0"/>
        <w:adjustRightInd w:val="0"/>
        <w:spacing w:after="120"/>
        <w:ind w:firstLine="720"/>
        <w:rPr>
          <w:szCs w:val="22"/>
        </w:rPr>
      </w:pPr>
      <w:r w:rsidRPr="00E85B28">
        <w:rPr>
          <w:szCs w:val="22"/>
        </w:rPr>
        <w:t>DigitalBridge</w:t>
      </w:r>
      <w:r>
        <w:rPr>
          <w:szCs w:val="22"/>
        </w:rPr>
        <w:t xml:space="preserve">, </w:t>
      </w:r>
      <w:r w:rsidRPr="00E85B28">
        <w:rPr>
          <w:szCs w:val="22"/>
        </w:rPr>
        <w:t>a Maryland corporation</w:t>
      </w:r>
      <w:r w:rsidR="00CE73E3">
        <w:rPr>
          <w:szCs w:val="22"/>
        </w:rPr>
        <w:t xml:space="preserve">, </w:t>
      </w:r>
      <w:r w:rsidRPr="00CE73E3" w:rsidR="00CE73E3">
        <w:rPr>
          <w:szCs w:val="22"/>
        </w:rPr>
        <w:t>is a</w:t>
      </w:r>
      <w:r w:rsidR="009F044B">
        <w:rPr>
          <w:szCs w:val="22"/>
        </w:rPr>
        <w:t xml:space="preserve"> publicly-traded </w:t>
      </w:r>
      <w:r w:rsidRPr="00CE73E3" w:rsidR="00CE73E3">
        <w:rPr>
          <w:szCs w:val="22"/>
        </w:rPr>
        <w:t xml:space="preserve">asset management firm </w:t>
      </w:r>
      <w:r w:rsidR="00AC0907">
        <w:rPr>
          <w:szCs w:val="22"/>
        </w:rPr>
        <w:t xml:space="preserve">that </w:t>
      </w:r>
      <w:r w:rsidR="004F52B9">
        <w:rPr>
          <w:szCs w:val="22"/>
        </w:rPr>
        <w:t xml:space="preserve">indirectly </w:t>
      </w:r>
      <w:r w:rsidR="001D7DD4">
        <w:rPr>
          <w:szCs w:val="22"/>
        </w:rPr>
        <w:t>and joint</w:t>
      </w:r>
      <w:r w:rsidR="00106D1D">
        <w:rPr>
          <w:szCs w:val="22"/>
        </w:rPr>
        <w:t xml:space="preserve">ly </w:t>
      </w:r>
      <w:r w:rsidR="00AC0907">
        <w:rPr>
          <w:szCs w:val="22"/>
        </w:rPr>
        <w:t xml:space="preserve">controls the </w:t>
      </w:r>
      <w:r w:rsidRPr="00B12887" w:rsidR="002100A9">
        <w:rPr>
          <w:szCs w:val="22"/>
        </w:rPr>
        <w:t>Licensees</w:t>
      </w:r>
      <w:r w:rsidR="00AC0907">
        <w:rPr>
          <w:szCs w:val="22"/>
        </w:rPr>
        <w:t>, which are</w:t>
      </w:r>
      <w:r w:rsidRPr="00B12887" w:rsidR="002100A9">
        <w:rPr>
          <w:szCs w:val="22"/>
        </w:rPr>
        <w:t xml:space="preserve"> </w:t>
      </w:r>
      <w:r w:rsidR="00972F2B">
        <w:rPr>
          <w:szCs w:val="22"/>
        </w:rPr>
        <w:t xml:space="preserve">the </w:t>
      </w:r>
      <w:r w:rsidRPr="00B12887" w:rsidR="002100A9">
        <w:rPr>
          <w:szCs w:val="22"/>
        </w:rPr>
        <w:t xml:space="preserve">operating subsidiaries of WOW Parent, a </w:t>
      </w:r>
      <w:r w:rsidR="00134145">
        <w:rPr>
          <w:szCs w:val="22"/>
        </w:rPr>
        <w:t xml:space="preserve">Delaware </w:t>
      </w:r>
      <w:r w:rsidRPr="00030F20" w:rsidR="002100A9">
        <w:rPr>
          <w:szCs w:val="22"/>
        </w:rPr>
        <w:t>holding company</w:t>
      </w:r>
      <w:r w:rsidR="00030F20">
        <w:rPr>
          <w:szCs w:val="22"/>
        </w:rPr>
        <w:t>.</w:t>
      </w:r>
      <w:r>
        <w:rPr>
          <w:rStyle w:val="FootnoteReference"/>
          <w:szCs w:val="22"/>
        </w:rPr>
        <w:footnoteReference w:id="10"/>
      </w:r>
      <w:r w:rsidR="0028072D">
        <w:rPr>
          <w:szCs w:val="22"/>
        </w:rPr>
        <w:t xml:space="preserve"> </w:t>
      </w:r>
      <w:r w:rsidRPr="00B12887" w:rsidR="002100A9">
        <w:rPr>
          <w:szCs w:val="22"/>
        </w:rPr>
        <w:t xml:space="preserve"> </w:t>
      </w:r>
      <w:r w:rsidR="00822E76">
        <w:rPr>
          <w:szCs w:val="22"/>
        </w:rPr>
        <w:t>Knology</w:t>
      </w:r>
      <w:r w:rsidR="00822E76">
        <w:rPr>
          <w:szCs w:val="22"/>
        </w:rPr>
        <w:t xml:space="preserve"> Valley, a Georgia corporation, is an incumbent local exchange carrier (LEC) serving rural communities in Chamber County, Alabama and in Harris County and Troup County, Georgia.</w:t>
      </w:r>
      <w:r>
        <w:rPr>
          <w:rStyle w:val="FootnoteReference"/>
          <w:szCs w:val="22"/>
        </w:rPr>
        <w:footnoteReference w:id="11"/>
      </w:r>
      <w:r w:rsidR="00822E76">
        <w:rPr>
          <w:szCs w:val="22"/>
        </w:rPr>
        <w:t xml:space="preserve">  Valley Telephone, an Alabama limited liability company, provides services as an incumbent LEC to rural communities in Chambers County and Lee County in Alabama.</w:t>
      </w:r>
      <w:r>
        <w:rPr>
          <w:rStyle w:val="FootnoteReference"/>
          <w:szCs w:val="22"/>
        </w:rPr>
        <w:footnoteReference w:id="12"/>
      </w:r>
      <w:r w:rsidR="00822E76">
        <w:rPr>
          <w:szCs w:val="22"/>
        </w:rPr>
        <w:t xml:space="preserve">  </w:t>
      </w:r>
      <w:r w:rsidR="00822E76">
        <w:rPr>
          <w:szCs w:val="22"/>
        </w:rPr>
        <w:t>Knology</w:t>
      </w:r>
      <w:r w:rsidR="00822E76">
        <w:rPr>
          <w:szCs w:val="22"/>
        </w:rPr>
        <w:t xml:space="preserve"> TC, an Alabama corporation, is an incumbent LEC serving rural communicates in Houston County in Alabama.</w:t>
      </w:r>
      <w:r>
        <w:rPr>
          <w:rStyle w:val="FootnoteReference"/>
          <w:szCs w:val="22"/>
        </w:rPr>
        <w:footnoteReference w:id="13"/>
      </w:r>
      <w:r w:rsidR="00822E76">
        <w:rPr>
          <w:szCs w:val="22"/>
        </w:rPr>
        <w:t xml:space="preserve">  </w:t>
      </w:r>
      <w:r w:rsidR="00822E76">
        <w:rPr>
          <w:szCs w:val="22"/>
        </w:rPr>
        <w:t>Knology</w:t>
      </w:r>
      <w:r w:rsidR="00822E76">
        <w:rPr>
          <w:szCs w:val="22"/>
        </w:rPr>
        <w:t xml:space="preserve"> Florida, a Florida limited liability company, provides services as a competitive LEC in Florida.</w:t>
      </w:r>
      <w:r>
        <w:rPr>
          <w:rStyle w:val="FootnoteReference"/>
          <w:szCs w:val="22"/>
        </w:rPr>
        <w:footnoteReference w:id="14"/>
      </w:r>
      <w:r w:rsidR="0028072D">
        <w:rPr>
          <w:szCs w:val="22"/>
        </w:rPr>
        <w:t xml:space="preserve">  </w:t>
      </w:r>
    </w:p>
    <w:p w:rsidR="00286FE6" w:rsidP="00286FE6" w14:paraId="697FD31A" w14:textId="32F9CE8B">
      <w:pPr>
        <w:autoSpaceDE w:val="0"/>
        <w:autoSpaceDN w:val="0"/>
        <w:adjustRightInd w:val="0"/>
        <w:spacing w:after="120"/>
        <w:ind w:firstLine="720"/>
        <w:rPr>
          <w:szCs w:val="22"/>
        </w:rPr>
      </w:pPr>
      <w:r w:rsidRPr="008A1884">
        <w:rPr>
          <w:szCs w:val="22"/>
        </w:rPr>
        <w:t xml:space="preserve">Duncan, a Delaware limited liability company and an indirect </w:t>
      </w:r>
      <w:r w:rsidRPr="008A1884">
        <w:rPr>
          <w:szCs w:val="22"/>
        </w:rPr>
        <w:t>wholly</w:t>
      </w:r>
      <w:r w:rsidRPr="008A1884" w:rsidR="00276E3C">
        <w:rPr>
          <w:szCs w:val="22"/>
        </w:rPr>
        <w:t>-</w:t>
      </w:r>
      <w:r w:rsidRPr="008A1884">
        <w:rPr>
          <w:szCs w:val="22"/>
        </w:rPr>
        <w:t>owned</w:t>
      </w:r>
      <w:r w:rsidRPr="008A1884">
        <w:rPr>
          <w:szCs w:val="22"/>
        </w:rPr>
        <w:t xml:space="preserve"> subsidiary of SoftBank, is a vehicle established for SoftBank</w:t>
      </w:r>
      <w:r w:rsidR="007059B2">
        <w:rPr>
          <w:szCs w:val="22"/>
        </w:rPr>
        <w:t>’s</w:t>
      </w:r>
      <w:r w:rsidRPr="008A1884">
        <w:rPr>
          <w:szCs w:val="22"/>
        </w:rPr>
        <w:t xml:space="preserve"> investments in the United States.</w:t>
      </w:r>
      <w:r>
        <w:rPr>
          <w:rStyle w:val="FootnoteReference"/>
          <w:szCs w:val="22"/>
        </w:rPr>
        <w:footnoteReference w:id="15"/>
      </w:r>
      <w:r w:rsidRPr="008A1884">
        <w:rPr>
          <w:szCs w:val="22"/>
        </w:rPr>
        <w:t xml:space="preserve">  </w:t>
      </w:r>
      <w:r w:rsidR="00A35453">
        <w:rPr>
          <w:szCs w:val="22"/>
        </w:rPr>
        <w:t xml:space="preserve">Applicants state that </w:t>
      </w:r>
      <w:r w:rsidR="00C9135E">
        <w:rPr>
          <w:szCs w:val="22"/>
        </w:rPr>
        <w:t>“SoftBank (and thus Duncan) is not aware of any co</w:t>
      </w:r>
      <w:r w:rsidR="0061774B">
        <w:rPr>
          <w:szCs w:val="22"/>
        </w:rPr>
        <w:t>rporate affiliates that actively provide domestic interstate telecommunications service</w:t>
      </w:r>
      <w:r w:rsidR="00FA7AEC">
        <w:rPr>
          <w:szCs w:val="22"/>
        </w:rPr>
        <w:t>.”</w:t>
      </w:r>
      <w:r w:rsidR="00D85D9E">
        <w:rPr>
          <w:szCs w:val="22"/>
        </w:rPr>
        <w:t xml:space="preserve"> </w:t>
      </w:r>
      <w:r>
        <w:rPr>
          <w:rStyle w:val="FootnoteReference"/>
          <w:szCs w:val="22"/>
        </w:rPr>
        <w:footnoteReference w:id="16"/>
      </w:r>
      <w:r w:rsidR="00FA7AEC">
        <w:rPr>
          <w:szCs w:val="22"/>
        </w:rPr>
        <w:t xml:space="preserve">  </w:t>
      </w:r>
      <w:r w:rsidRPr="008A1884">
        <w:rPr>
          <w:szCs w:val="22"/>
        </w:rPr>
        <w:t xml:space="preserve">Duncan’s investment in </w:t>
      </w:r>
      <w:r w:rsidRPr="008A1884">
        <w:rPr>
          <w:szCs w:val="22"/>
        </w:rPr>
        <w:t>DigitalBridge</w:t>
      </w:r>
      <w:r w:rsidRPr="008A1884">
        <w:rPr>
          <w:szCs w:val="22"/>
        </w:rPr>
        <w:t xml:space="preserve"> will be held indirectly through intermediate entities</w:t>
      </w:r>
      <w:r w:rsidR="00DD7DAE">
        <w:rPr>
          <w:szCs w:val="22"/>
        </w:rPr>
        <w:t xml:space="preserve"> </w:t>
      </w:r>
      <w:r w:rsidRPr="008A1884">
        <w:rPr>
          <w:szCs w:val="22"/>
        </w:rPr>
        <w:t>established for SoftBank</w:t>
      </w:r>
      <w:r w:rsidR="00213F57">
        <w:rPr>
          <w:szCs w:val="22"/>
        </w:rPr>
        <w:t>’s</w:t>
      </w:r>
      <w:r w:rsidRPr="008A1884">
        <w:rPr>
          <w:szCs w:val="22"/>
        </w:rPr>
        <w:t xml:space="preserve"> investments in the United States that have no independent operations of their own.</w:t>
      </w:r>
      <w:r>
        <w:rPr>
          <w:rStyle w:val="FootnoteReference"/>
          <w:szCs w:val="22"/>
        </w:rPr>
        <w:footnoteReference w:id="17"/>
      </w:r>
      <w:r w:rsidRPr="008A1884" w:rsidR="00E05748">
        <w:rPr>
          <w:szCs w:val="22"/>
        </w:rPr>
        <w:t xml:space="preserve">  </w:t>
      </w:r>
      <w:r w:rsidRPr="008A1884" w:rsidR="00C22F98">
        <w:rPr>
          <w:szCs w:val="22"/>
        </w:rPr>
        <w:t xml:space="preserve">The following Japanese entity and </w:t>
      </w:r>
      <w:r w:rsidRPr="008A1884" w:rsidR="00E44F22">
        <w:rPr>
          <w:szCs w:val="22"/>
        </w:rPr>
        <w:t xml:space="preserve">citizen </w:t>
      </w:r>
      <w:r w:rsidRPr="008A1884" w:rsidR="004A5367">
        <w:rPr>
          <w:szCs w:val="22"/>
        </w:rPr>
        <w:t xml:space="preserve">of Japan </w:t>
      </w:r>
      <w:r w:rsidRPr="008A1884" w:rsidR="00E44F22">
        <w:rPr>
          <w:szCs w:val="22"/>
        </w:rPr>
        <w:t xml:space="preserve">hold a ten percent or greater interest in Softbank: </w:t>
      </w:r>
      <w:r w:rsidRPr="008A1884" w:rsidR="00CA313F">
        <w:rPr>
          <w:szCs w:val="22"/>
        </w:rPr>
        <w:t>The Master Trust Bank of Japan, Ltd. (17.12% equity</w:t>
      </w:r>
      <w:r w:rsidR="003552F2">
        <w:rPr>
          <w:szCs w:val="22"/>
        </w:rPr>
        <w:t xml:space="preserve"> and </w:t>
      </w:r>
      <w:r w:rsidRPr="008A1884" w:rsidR="00C7276B">
        <w:rPr>
          <w:szCs w:val="22"/>
        </w:rPr>
        <w:t>voting interest</w:t>
      </w:r>
      <w:r w:rsidRPr="008A1884" w:rsidR="00CA313F">
        <w:rPr>
          <w:szCs w:val="22"/>
        </w:rPr>
        <w:t>)</w:t>
      </w:r>
      <w:r w:rsidRPr="008A1884" w:rsidR="00C7276B">
        <w:rPr>
          <w:szCs w:val="22"/>
        </w:rPr>
        <w:t xml:space="preserve">; </w:t>
      </w:r>
      <w:r w:rsidRPr="008A1884" w:rsidR="00575F79">
        <w:rPr>
          <w:szCs w:val="22"/>
        </w:rPr>
        <w:t>Masayoshi Son (29.95%</w:t>
      </w:r>
      <w:r w:rsidRPr="008A1884" w:rsidR="009939C1">
        <w:rPr>
          <w:szCs w:val="22"/>
        </w:rPr>
        <w:t xml:space="preserve"> </w:t>
      </w:r>
      <w:r w:rsidRPr="008A1884" w:rsidR="00CD3AE5">
        <w:rPr>
          <w:szCs w:val="22"/>
        </w:rPr>
        <w:t xml:space="preserve">voting interest, </w:t>
      </w:r>
      <w:r w:rsidR="004D2315">
        <w:rPr>
          <w:szCs w:val="22"/>
        </w:rPr>
        <w:t>29.95</w:t>
      </w:r>
      <w:r w:rsidRPr="008A1884" w:rsidR="00CD3AE5">
        <w:rPr>
          <w:szCs w:val="22"/>
        </w:rPr>
        <w:t>% equity interest).</w:t>
      </w:r>
      <w:r>
        <w:rPr>
          <w:rStyle w:val="FootnoteReference"/>
          <w:szCs w:val="22"/>
        </w:rPr>
        <w:footnoteReference w:id="18"/>
      </w:r>
      <w:r w:rsidR="00CD3AE5">
        <w:rPr>
          <w:szCs w:val="22"/>
        </w:rPr>
        <w:t xml:space="preserve"> </w:t>
      </w:r>
    </w:p>
    <w:p w:rsidR="00C416C3" w:rsidP="005B1AE3" w14:paraId="0039DE6B" w14:textId="5631BF36">
      <w:pPr>
        <w:autoSpaceDE w:val="0"/>
        <w:autoSpaceDN w:val="0"/>
        <w:adjustRightInd w:val="0"/>
        <w:spacing w:after="120"/>
        <w:ind w:firstLine="720"/>
      </w:pPr>
      <w:bookmarkStart w:id="5" w:name="TOChere"/>
      <w:r>
        <w:t xml:space="preserve">Applicants state that </w:t>
      </w:r>
      <w:r w:rsidR="009B0011">
        <w:t>o</w:t>
      </w:r>
      <w:r w:rsidR="005B1AE3">
        <w:t xml:space="preserve">n December 29, 2025, </w:t>
      </w:r>
      <w:r w:rsidR="005B1AE3">
        <w:t>DigitalBridge</w:t>
      </w:r>
      <w:r w:rsidR="005B1AE3">
        <w:t>, its operating subsidiary</w:t>
      </w:r>
      <w:r w:rsidR="00702A28">
        <w:t>,</w:t>
      </w:r>
      <w:r w:rsidR="005B1AE3">
        <w:t xml:space="preserve"> </w:t>
      </w:r>
      <w:r w:rsidR="005B1AE3">
        <w:t>DigitalBridge</w:t>
      </w:r>
      <w:r w:rsidR="005B1AE3">
        <w:t xml:space="preserve"> Operating Company, LLC (DBOC), Duncan, Duncan Sub I Inc. (Merger Sub I), and Duncan Sub II LLC (Merger Sub II) entered into an Agreement and Plan of Merger (the Agreement) pursuant to which Duncan will indirectly acquire a controlling interest in </w:t>
      </w:r>
      <w:r w:rsidR="005B1AE3">
        <w:t>DigitalBridge</w:t>
      </w:r>
      <w:r w:rsidR="005B1AE3">
        <w:t xml:space="preserve"> and DBOC, through two </w:t>
      </w:r>
      <w:r w:rsidR="0069320E">
        <w:t>“</w:t>
      </w:r>
      <w:r w:rsidR="005B1AE3">
        <w:t>coordinated reverse subsidiary mergers</w:t>
      </w:r>
      <w:r w:rsidR="00160AEB">
        <w:t>,</w:t>
      </w:r>
      <w:r w:rsidR="0069320E">
        <w:t>”</w:t>
      </w:r>
      <w:r w:rsidR="005B1AE3">
        <w:t xml:space="preserve"> with each target entity surviving the applicable merger.</w:t>
      </w:r>
      <w:r>
        <w:rPr>
          <w:rStyle w:val="FootnoteReference"/>
        </w:rPr>
        <w:footnoteReference w:id="19"/>
      </w:r>
      <w:r w:rsidR="005B1AE3">
        <w:t xml:space="preserve"> </w:t>
      </w:r>
      <w:r w:rsidR="00ED4BD0">
        <w:t xml:space="preserve"> </w:t>
      </w:r>
      <w:r w:rsidR="005B1AE3">
        <w:t xml:space="preserve">As a result of these mergers, each of </w:t>
      </w:r>
      <w:r w:rsidR="005B1AE3">
        <w:t>DigitalBridge</w:t>
      </w:r>
      <w:r w:rsidR="005B1AE3">
        <w:t xml:space="preserve"> and DBOC will become indirect subsidiaries of SoftBank</w:t>
      </w:r>
      <w:r w:rsidR="00140B52">
        <w:t xml:space="preserve">, with DBOC remaining a direct subsidiary of </w:t>
      </w:r>
      <w:r w:rsidR="00140B52">
        <w:t>DigitalBridge</w:t>
      </w:r>
      <w:r w:rsidR="006B733E">
        <w:t>.</w:t>
      </w:r>
      <w:r>
        <w:rPr>
          <w:rStyle w:val="FootnoteReference"/>
        </w:rPr>
        <w:footnoteReference w:id="20"/>
      </w:r>
      <w:r>
        <w:t xml:space="preserve">  </w:t>
      </w:r>
      <w:r w:rsidR="001C66A4">
        <w:t>Applicants state that</w:t>
      </w:r>
      <w:r w:rsidR="001A23F0">
        <w:t>, post-transaction, “</w:t>
      </w:r>
      <w:r w:rsidR="00C748DE">
        <w:t>DigitalBridge</w:t>
      </w:r>
      <w:r w:rsidR="00C748DE">
        <w:t xml:space="preserve"> is expected to operate as a separately managed</w:t>
      </w:r>
      <w:r w:rsidR="00A44371">
        <w:t xml:space="preserve"> </w:t>
      </w:r>
      <w:r w:rsidR="00355C13">
        <w:t>platform</w:t>
      </w:r>
      <w:r w:rsidR="00A44371">
        <w:t>.</w:t>
      </w:r>
      <w:r w:rsidR="00355C13">
        <w:t>”</w:t>
      </w:r>
      <w:r>
        <w:rPr>
          <w:rStyle w:val="FootnoteReference"/>
        </w:rPr>
        <w:footnoteReference w:id="21"/>
      </w:r>
      <w:r w:rsidR="000F6992">
        <w:t xml:space="preserve">  </w:t>
      </w:r>
      <w:r w:rsidR="00556714">
        <w:t xml:space="preserve">Thus, </w:t>
      </w:r>
      <w:r w:rsidR="00556714">
        <w:t>a</w:t>
      </w:r>
      <w:r w:rsidR="001E2E84">
        <w:t xml:space="preserve">fter consummation of the proposed transaction, Licensees will remain indirectly and jointly owned </w:t>
      </w:r>
      <w:r w:rsidR="004320F8">
        <w:t xml:space="preserve">by </w:t>
      </w:r>
      <w:r w:rsidR="00E60558">
        <w:t>their</w:t>
      </w:r>
      <w:r w:rsidR="003B0814">
        <w:t xml:space="preserve"> </w:t>
      </w:r>
      <w:r w:rsidR="004320F8">
        <w:t xml:space="preserve">current owners, </w:t>
      </w:r>
      <w:r w:rsidR="00314824">
        <w:t>DigitalBridge</w:t>
      </w:r>
      <w:r w:rsidR="00314824">
        <w:t xml:space="preserve"> and Crestview</w:t>
      </w:r>
      <w:r w:rsidR="00E15EDB">
        <w:t xml:space="preserve"> (and their </w:t>
      </w:r>
      <w:r w:rsidR="00FB3BB7">
        <w:t>affiliates)</w:t>
      </w:r>
      <w:r w:rsidR="00C15B89">
        <w:t xml:space="preserve">, </w:t>
      </w:r>
      <w:r w:rsidR="00FB3BB7">
        <w:t xml:space="preserve">but </w:t>
      </w:r>
      <w:r w:rsidR="004320F8">
        <w:t>with Duncan</w:t>
      </w:r>
      <w:r w:rsidR="003B0814">
        <w:t xml:space="preserve">, and </w:t>
      </w:r>
      <w:r w:rsidR="003117B3">
        <w:t>ultimately</w:t>
      </w:r>
      <w:r w:rsidR="003B0814">
        <w:t xml:space="preserve"> SoftBank, </w:t>
      </w:r>
      <w:r w:rsidR="00B227CF">
        <w:t xml:space="preserve">holding </w:t>
      </w:r>
      <w:r w:rsidR="00B227CF">
        <w:t>DigitalBridge</w:t>
      </w:r>
      <w:r w:rsidR="00EB54D6">
        <w:t>.</w:t>
      </w:r>
      <w:r>
        <w:rPr>
          <w:rStyle w:val="FootnoteReference"/>
        </w:rPr>
        <w:footnoteReference w:id="22"/>
      </w:r>
      <w:r w:rsidR="00EB54D6">
        <w:t xml:space="preserve">  </w:t>
      </w:r>
    </w:p>
    <w:p w:rsidR="0029254A" w:rsidRPr="00D16F6B" w:rsidP="0029254A" w14:paraId="616AA775" w14:textId="77777777">
      <w:pPr>
        <w:autoSpaceDE w:val="0"/>
        <w:autoSpaceDN w:val="0"/>
        <w:adjustRightInd w:val="0"/>
        <w:spacing w:after="120"/>
        <w:ind w:firstLine="720"/>
        <w:rPr>
          <w:szCs w:val="22"/>
        </w:rPr>
      </w:pPr>
      <w:r w:rsidRPr="00364AE4">
        <w:t>Applicants assert that grant of the Application would serve the public interest, convenience, and necessity.</w:t>
      </w:r>
      <w:r>
        <w:rPr>
          <w:rStyle w:val="FootnoteReference"/>
        </w:rPr>
        <w:footnoteReference w:id="23"/>
      </w:r>
      <w:r>
        <w:t xml:space="preserve">  </w:t>
      </w:r>
      <w:r w:rsidRPr="00177DAD">
        <w:t>We accept the Application for streamlined</w:t>
      </w:r>
      <w:r w:rsidRPr="003925A7">
        <w:t xml:space="preserve"> processing</w:t>
      </w:r>
      <w:r>
        <w:rPr>
          <w:bCs/>
        </w:rPr>
        <w:t xml:space="preserve"> </w:t>
      </w:r>
      <w:r w:rsidRPr="52D3F29C">
        <w:t>under section 63.03(</w:t>
      </w:r>
      <w:r>
        <w:t>b)</w:t>
      </w:r>
      <w:r w:rsidRPr="00800E93">
        <w:rPr>
          <w:bCs/>
        </w:rPr>
        <w:t>(</w:t>
      </w:r>
      <w:r>
        <w:t>1</w:t>
      </w:r>
      <w:r w:rsidRPr="00800E93">
        <w:rPr>
          <w:bCs/>
        </w:rPr>
        <w:t>)</w:t>
      </w:r>
      <w:r>
        <w:rPr>
          <w:bCs/>
        </w:rPr>
        <w:t>(ii)</w:t>
      </w:r>
      <w:r w:rsidRPr="00800E93">
        <w:rPr>
          <w:bCs/>
        </w:rPr>
        <w:t xml:space="preserve"> </w:t>
      </w:r>
      <w:r w:rsidRPr="52D3F29C">
        <w:t>of the Commission’s rules.</w:t>
      </w:r>
      <w:r>
        <w:rPr>
          <w:vertAlign w:val="superscript"/>
        </w:rPr>
        <w:footnoteReference w:id="24"/>
      </w:r>
    </w:p>
    <w:bookmarkEnd w:id="5"/>
    <w:p w:rsidR="00703B04" w:rsidRPr="00703B04" w:rsidP="00703B04" w14:paraId="1A938F6C" w14:textId="4D815AAD">
      <w:pPr>
        <w:ind w:firstLine="720"/>
        <w:rPr>
          <w:bCs/>
          <w:szCs w:val="22"/>
        </w:rPr>
      </w:pPr>
      <w:r w:rsidRPr="004811B7">
        <w:rPr>
          <w:bCs/>
          <w:szCs w:val="22"/>
          <w:u w:val="single"/>
        </w:rPr>
        <w:t>No Referral to Executive Branch Agencies:</w:t>
      </w:r>
      <w:r w:rsidRPr="004811B7">
        <w:rPr>
          <w:b/>
          <w:bCs/>
          <w:szCs w:val="22"/>
        </w:rPr>
        <w:t xml:space="preserve">  </w:t>
      </w:r>
      <w:r w:rsidRPr="004811B7">
        <w:rPr>
          <w:bCs/>
          <w:szCs w:val="22"/>
        </w:rPr>
        <w:t xml:space="preserve">The Commission determined in the </w:t>
      </w:r>
      <w:r w:rsidRPr="004811B7">
        <w:rPr>
          <w:bCs/>
          <w:i/>
          <w:iCs/>
          <w:szCs w:val="22"/>
        </w:rPr>
        <w:t>Executive Branch Review Process Order</w:t>
      </w:r>
      <w:r w:rsidRPr="004811B7">
        <w:rPr>
          <w:bCs/>
          <w:szCs w:val="22"/>
        </w:rPr>
        <w:t xml:space="preserve"> that it would not routinely refer to the Executive Branch “standalone applications to transfer control of domestic section 214 authority.”</w:t>
      </w:r>
      <w:r>
        <w:rPr>
          <w:bCs/>
          <w:szCs w:val="22"/>
          <w:vertAlign w:val="superscript"/>
        </w:rPr>
        <w:footnoteReference w:id="25"/>
      </w:r>
      <w:r w:rsidRPr="004811B7">
        <w:rPr>
          <w:bCs/>
          <w:szCs w:val="22"/>
        </w:rPr>
        <w:t xml:space="preserve">  The Commission, however, retains the discretion to refer a domestic-only section 214 transaction should it find that a particular application may raise national security, law enforcement, foreign policy, or trade policy concerns for which it would benefit from the advice of the Executive Branch.</w:t>
      </w:r>
      <w:r>
        <w:rPr>
          <w:bCs/>
          <w:szCs w:val="22"/>
          <w:vertAlign w:val="superscript"/>
        </w:rPr>
        <w:footnoteReference w:id="26"/>
      </w:r>
      <w:r w:rsidRPr="004811B7">
        <w:rPr>
          <w:bCs/>
          <w:szCs w:val="22"/>
        </w:rPr>
        <w:t xml:space="preserve">  Applicants state that the Application involves the transfer of control of </w:t>
      </w:r>
      <w:r w:rsidRPr="004811B7" w:rsidR="00B37703">
        <w:rPr>
          <w:bCs/>
          <w:szCs w:val="22"/>
        </w:rPr>
        <w:t>licensees</w:t>
      </w:r>
      <w:r w:rsidRPr="004811B7">
        <w:rPr>
          <w:bCs/>
          <w:szCs w:val="22"/>
        </w:rPr>
        <w:t xml:space="preserve"> that only </w:t>
      </w:r>
      <w:r w:rsidR="00E60558">
        <w:rPr>
          <w:bCs/>
          <w:szCs w:val="22"/>
        </w:rPr>
        <w:t>have</w:t>
      </w:r>
      <w:r w:rsidRPr="004811B7" w:rsidR="00B37703">
        <w:rPr>
          <w:bCs/>
          <w:szCs w:val="22"/>
        </w:rPr>
        <w:t xml:space="preserve"> </w:t>
      </w:r>
      <w:r w:rsidRPr="004811B7">
        <w:rPr>
          <w:bCs/>
          <w:szCs w:val="22"/>
        </w:rPr>
        <w:t xml:space="preserve">domestic section 214 authority and that, consistent with the decision in the </w:t>
      </w:r>
      <w:r w:rsidRPr="004811B7">
        <w:rPr>
          <w:bCs/>
          <w:i/>
          <w:iCs/>
          <w:szCs w:val="22"/>
        </w:rPr>
        <w:t>Executive Branch Review Process Order</w:t>
      </w:r>
      <w:r w:rsidRPr="004811B7">
        <w:rPr>
          <w:bCs/>
          <w:szCs w:val="22"/>
        </w:rPr>
        <w:t>, the Application does not require a referral to the Executive Branch.</w:t>
      </w:r>
      <w:r>
        <w:rPr>
          <w:bCs/>
          <w:szCs w:val="22"/>
          <w:vertAlign w:val="superscript"/>
        </w:rPr>
        <w:footnoteReference w:id="27"/>
      </w:r>
      <w:r w:rsidRPr="004811B7">
        <w:rPr>
          <w:bCs/>
          <w:szCs w:val="22"/>
        </w:rPr>
        <w:t xml:space="preserve">  We do not find any special circumstances that warrant referral of this Application to the Executive Branch agencies.  While we are not referring the Application, we will provide a courtesy copy of this public notice to the Executive Branch agencies.</w:t>
      </w:r>
      <w:r>
        <w:rPr>
          <w:bCs/>
          <w:szCs w:val="22"/>
          <w:vertAlign w:val="superscript"/>
        </w:rPr>
        <w:footnoteReference w:id="28"/>
      </w:r>
    </w:p>
    <w:p w:rsidR="00703B04" w:rsidP="00046F29" w14:paraId="3EA32D26" w14:textId="77777777">
      <w:pPr>
        <w:ind w:left="720"/>
        <w:rPr>
          <w:szCs w:val="22"/>
        </w:rPr>
      </w:pPr>
    </w:p>
    <w:p w:rsidR="009A6574" w:rsidP="00046F29" w14:paraId="23CF3FBE" w14:textId="76807370">
      <w:pPr>
        <w:ind w:left="720"/>
        <w:rPr>
          <w:szCs w:val="22"/>
        </w:rPr>
      </w:pPr>
      <w:r w:rsidRPr="009A6574">
        <w:rPr>
          <w:szCs w:val="22"/>
        </w:rPr>
        <w:t xml:space="preserve">Domestic Section 214 </w:t>
      </w:r>
      <w:r w:rsidR="002F5E68">
        <w:rPr>
          <w:szCs w:val="22"/>
        </w:rPr>
        <w:t xml:space="preserve">Application </w:t>
      </w:r>
      <w:r w:rsidR="003860DB">
        <w:rPr>
          <w:szCs w:val="22"/>
        </w:rPr>
        <w:t xml:space="preserve">Filed </w:t>
      </w:r>
      <w:r w:rsidRPr="009A6574">
        <w:rPr>
          <w:szCs w:val="22"/>
        </w:rPr>
        <w:t xml:space="preserve">for the Transfer of Control of </w:t>
      </w:r>
      <w:r w:rsidR="00E60558">
        <w:rPr>
          <w:szCs w:val="22"/>
        </w:rPr>
        <w:t>WideOpenWest</w:t>
      </w:r>
      <w:r w:rsidR="00E60558">
        <w:rPr>
          <w:szCs w:val="22"/>
        </w:rPr>
        <w:t xml:space="preserve">, Inc. </w:t>
      </w:r>
      <w:r w:rsidRPr="00723D69" w:rsidR="00723D69">
        <w:rPr>
          <w:szCs w:val="22"/>
        </w:rPr>
        <w:t xml:space="preserve">and </w:t>
      </w:r>
      <w:r w:rsidR="00E60558">
        <w:rPr>
          <w:szCs w:val="22"/>
        </w:rPr>
        <w:t xml:space="preserve">Other </w:t>
      </w:r>
      <w:r w:rsidR="008E2EAB">
        <w:rPr>
          <w:szCs w:val="22"/>
        </w:rPr>
        <w:t xml:space="preserve">Certain </w:t>
      </w:r>
      <w:r w:rsidRPr="00723D69" w:rsidR="00723D69">
        <w:rPr>
          <w:szCs w:val="22"/>
        </w:rPr>
        <w:t xml:space="preserve">Subsidiaries </w:t>
      </w:r>
      <w:r w:rsidR="00E60558">
        <w:rPr>
          <w:szCs w:val="22"/>
        </w:rPr>
        <w:t xml:space="preserve">of </w:t>
      </w:r>
      <w:r w:rsidRPr="00723D69" w:rsidR="00E60558">
        <w:rPr>
          <w:szCs w:val="22"/>
        </w:rPr>
        <w:t>DigitalBridge</w:t>
      </w:r>
      <w:r w:rsidRPr="00723D69" w:rsidR="00E60558">
        <w:rPr>
          <w:szCs w:val="22"/>
        </w:rPr>
        <w:t xml:space="preserve"> Group, Inc. </w:t>
      </w:r>
      <w:r w:rsidRPr="00723D69" w:rsidR="00723D69">
        <w:rPr>
          <w:szCs w:val="22"/>
        </w:rPr>
        <w:t>to Duncan Holdco LLC</w:t>
      </w:r>
      <w:r w:rsidR="00046F29">
        <w:rPr>
          <w:szCs w:val="22"/>
        </w:rPr>
        <w:t>,</w:t>
      </w:r>
      <w:r w:rsidRPr="009A6574">
        <w:rPr>
          <w:szCs w:val="22"/>
        </w:rPr>
        <w:t xml:space="preserve"> WC Docket No. 2</w:t>
      </w:r>
      <w:r w:rsidR="00723D69">
        <w:rPr>
          <w:szCs w:val="22"/>
        </w:rPr>
        <w:t>6</w:t>
      </w:r>
      <w:r w:rsidRPr="009A6574">
        <w:rPr>
          <w:szCs w:val="22"/>
        </w:rPr>
        <w:t>-</w:t>
      </w:r>
      <w:r w:rsidR="00BE2011">
        <w:rPr>
          <w:szCs w:val="22"/>
        </w:rPr>
        <w:t>40</w:t>
      </w:r>
      <w:r w:rsidRPr="009A6574">
        <w:rPr>
          <w:szCs w:val="22"/>
        </w:rPr>
        <w:t xml:space="preserve"> (filed</w:t>
      </w:r>
      <w:r w:rsidR="00046F29">
        <w:rPr>
          <w:szCs w:val="22"/>
        </w:rPr>
        <w:t xml:space="preserve"> </w:t>
      </w:r>
      <w:r w:rsidR="00723D69">
        <w:rPr>
          <w:szCs w:val="22"/>
        </w:rPr>
        <w:t>Feb</w:t>
      </w:r>
      <w:r w:rsidR="00657DDE">
        <w:rPr>
          <w:szCs w:val="22"/>
        </w:rPr>
        <w:t xml:space="preserve">. </w:t>
      </w:r>
      <w:r w:rsidR="00723D69">
        <w:rPr>
          <w:szCs w:val="22"/>
        </w:rPr>
        <w:t>18</w:t>
      </w:r>
      <w:r w:rsidRPr="009A6574">
        <w:rPr>
          <w:szCs w:val="22"/>
        </w:rPr>
        <w:t>, 202</w:t>
      </w:r>
      <w:r w:rsidR="00723D69">
        <w:rPr>
          <w:szCs w:val="22"/>
        </w:rPr>
        <w:t>6</w:t>
      </w:r>
      <w:r w:rsidRPr="009A6574">
        <w:rPr>
          <w:szCs w:val="22"/>
        </w:rPr>
        <w:t>).</w:t>
      </w:r>
    </w:p>
    <w:p w:rsidR="001E5FA4" w:rsidRPr="009A6574" w:rsidP="001E5FA4" w14:paraId="28849A2C" w14:textId="77777777">
      <w:pPr>
        <w:ind w:left="720"/>
        <w:rPr>
          <w:szCs w:val="22"/>
        </w:rPr>
      </w:pPr>
    </w:p>
    <w:p w:rsidR="009A6574" w:rsidRPr="009A6574" w:rsidP="009A6574" w14:paraId="60CD2467" w14:textId="77777777">
      <w:pPr>
        <w:keepNext/>
        <w:autoSpaceDE w:val="0"/>
        <w:autoSpaceDN w:val="0"/>
        <w:adjustRightInd w:val="0"/>
        <w:spacing w:after="120"/>
        <w:rPr>
          <w:szCs w:val="22"/>
        </w:rPr>
      </w:pPr>
      <w:r w:rsidRPr="009A6574">
        <w:rPr>
          <w:b/>
          <w:szCs w:val="22"/>
          <w:u w:val="single"/>
        </w:rPr>
        <w:t>GENERAL INFORMATION</w:t>
      </w:r>
    </w:p>
    <w:p w:rsidR="00DD0F03" w:rsidRPr="007D6E06" w:rsidP="00DD0F03" w14:paraId="25CF21EF" w14:textId="77777777">
      <w:pPr>
        <w:autoSpaceDE w:val="0"/>
        <w:autoSpaceDN w:val="0"/>
        <w:adjustRightInd w:val="0"/>
        <w:spacing w:after="120"/>
        <w:ind w:firstLine="720"/>
        <w:rPr>
          <w:bCs/>
          <w:szCs w:val="22"/>
        </w:rPr>
      </w:pPr>
      <w:r w:rsidRPr="007D6E06">
        <w:rPr>
          <w:szCs w:val="22"/>
        </w:rPr>
        <w:t xml:space="preserve">The transfer of control identified herein has been found, upon initial review, to be acceptable for filing as a streamlined application.  The Commission reserves the right to return any transfer application if, upon further examination, it is determined to be defective and not in conformance with the Commission’s rules and </w:t>
      </w:r>
      <w:r w:rsidRPr="00E77236">
        <w:rPr>
          <w:szCs w:val="22"/>
        </w:rPr>
        <w:t>policies.  Interested parties may file comments</w:t>
      </w:r>
      <w:r w:rsidRPr="00E77236">
        <w:rPr>
          <w:bCs/>
          <w:szCs w:val="22"/>
        </w:rPr>
        <w:t xml:space="preserve"> and reply comments on or before the dates indicated on the first page of this document.  Pursuant to section 63.52 of the Commission’s rules, 47 CFR § 63.52, commenters must serve a copy of comments on the Applicants no later than the above comment filing date.  Unless</w:t>
      </w:r>
      <w:r w:rsidRPr="007D6E06">
        <w:rPr>
          <w:bCs/>
          <w:szCs w:val="22"/>
        </w:rPr>
        <w:t xml:space="preserve"> otherwise notified by the Commission, the Applicants may transfer control on the 31st day after the date of this notice.</w:t>
      </w:r>
    </w:p>
    <w:p w:rsidR="00DD0F03" w:rsidRPr="007D6E06" w:rsidP="00DD0F03" w14:paraId="1655A3EB" w14:textId="77777777">
      <w:pPr>
        <w:autoSpaceDE w:val="0"/>
        <w:autoSpaceDN w:val="0"/>
        <w:adjustRightInd w:val="0"/>
        <w:spacing w:after="120"/>
        <w:ind w:firstLine="720"/>
        <w:rPr>
          <w:szCs w:val="22"/>
        </w:rPr>
      </w:pPr>
      <w:r w:rsidRPr="007D6E06">
        <w:rPr>
          <w:szCs w:val="22"/>
        </w:rPr>
        <w:t xml:space="preserve">Pursuant to section 63.03 of the Commission’s rules, 47 CFR § 63.03, interested parties </w:t>
      </w:r>
      <w:r>
        <w:rPr>
          <w:szCs w:val="22"/>
        </w:rPr>
        <w:t>must</w:t>
      </w:r>
      <w:r w:rsidRPr="007D6E06">
        <w:rPr>
          <w:szCs w:val="22"/>
        </w:rPr>
        <w:t xml:space="preserve"> file </w:t>
      </w:r>
      <w:r>
        <w:rPr>
          <w:szCs w:val="22"/>
        </w:rPr>
        <w:t>comments</w:t>
      </w:r>
      <w:r w:rsidRPr="007D6E06">
        <w:rPr>
          <w:szCs w:val="22"/>
        </w:rPr>
        <w:t xml:space="preserve"> using the Commission’s Electronic Comment Filing System (ECFS):  </w:t>
      </w:r>
      <w:hyperlink r:id="rId6" w:history="1">
        <w:r w:rsidRPr="004702D2">
          <w:rPr>
            <w:rStyle w:val="Hyperlink"/>
          </w:rPr>
          <w:t>https://www.fcc.gov/ecfs</w:t>
        </w:r>
      </w:hyperlink>
      <w:r w:rsidRPr="007D6E06">
        <w:rPr>
          <w:szCs w:val="22"/>
        </w:rPr>
        <w:t>.</w:t>
      </w:r>
    </w:p>
    <w:p w:rsidR="00DD0F03" w:rsidRPr="007D6E06" w:rsidP="00DD0F03" w14:paraId="6E7E3CE5" w14:textId="77777777">
      <w:pPr>
        <w:autoSpaceDE w:val="0"/>
        <w:autoSpaceDN w:val="0"/>
        <w:adjustRightInd w:val="0"/>
        <w:spacing w:after="120"/>
        <w:ind w:firstLine="720"/>
        <w:rPr>
          <w:szCs w:val="22"/>
        </w:rPr>
      </w:pPr>
      <w:r w:rsidRPr="007D6E06">
        <w:rPr>
          <w:szCs w:val="22"/>
        </w:rPr>
        <w:t xml:space="preserve">People with Disabilities:  To request materials in accessible formats for people with disabilities (braille, large print, electronic files, audio format), send an e-mail to </w:t>
      </w:r>
      <w:hyperlink r:id="rId7" w:history="1">
        <w:r w:rsidRPr="007D6E06">
          <w:rPr>
            <w:color w:val="0000FF"/>
            <w:szCs w:val="22"/>
            <w:u w:val="single"/>
          </w:rPr>
          <w:t>fcc504@fcc.gov</w:t>
        </w:r>
      </w:hyperlink>
      <w:r w:rsidRPr="007D6E06">
        <w:rPr>
          <w:szCs w:val="22"/>
        </w:rPr>
        <w:t xml:space="preserve"> or call the </w:t>
      </w:r>
      <w:r w:rsidRPr="007D6E06">
        <w:rPr>
          <w:szCs w:val="22"/>
        </w:rPr>
        <w:t>Consumer &amp; Governmental Affairs Bureau at 202-418-0530 (voice)</w:t>
      </w:r>
      <w:r>
        <w:rPr>
          <w:szCs w:val="22"/>
        </w:rPr>
        <w:t>.</w:t>
      </w:r>
    </w:p>
    <w:p w:rsidR="00DD0F03" w:rsidRPr="00F411D7" w:rsidP="00DD0F03" w14:paraId="7BF304D0" w14:textId="77777777">
      <w:pPr>
        <w:autoSpaceDE w:val="0"/>
        <w:autoSpaceDN w:val="0"/>
        <w:adjustRightInd w:val="0"/>
        <w:spacing w:after="120"/>
        <w:ind w:firstLine="720"/>
        <w:rPr>
          <w:b/>
          <w:szCs w:val="22"/>
        </w:rPr>
      </w:pPr>
      <w:r w:rsidRPr="003B1C20">
        <w:rPr>
          <w:b/>
          <w:szCs w:val="22"/>
        </w:rPr>
        <w:t>In addition, e-mail one copy of each pleading to each of the following:</w:t>
      </w:r>
    </w:p>
    <w:p w:rsidR="00DD0F03" w:rsidRPr="00891326" w:rsidP="00DD0F03" w14:paraId="350CA7DC" w14:textId="77777777">
      <w:pPr>
        <w:numPr>
          <w:ilvl w:val="0"/>
          <w:numId w:val="7"/>
        </w:numPr>
        <w:autoSpaceDE w:val="0"/>
        <w:autoSpaceDN w:val="0"/>
        <w:adjustRightInd w:val="0"/>
        <w:spacing w:after="120"/>
        <w:rPr>
          <w:szCs w:val="22"/>
        </w:rPr>
      </w:pPr>
      <w:r>
        <w:rPr>
          <w:szCs w:val="22"/>
        </w:rPr>
        <w:t>Dennis Johnson</w:t>
      </w:r>
      <w:r w:rsidRPr="009A6574">
        <w:rPr>
          <w:szCs w:val="22"/>
        </w:rPr>
        <w:t xml:space="preserve">, Competition Policy Division, Wireline Competition Bureau, </w:t>
      </w:r>
      <w:hyperlink r:id="rId8" w:history="1">
        <w:r w:rsidRPr="007703E2">
          <w:rPr>
            <w:rStyle w:val="Hyperlink"/>
            <w:szCs w:val="22"/>
          </w:rPr>
          <w:t>dennis.johnson@fcc.gov</w:t>
        </w:r>
      </w:hyperlink>
      <w:r>
        <w:t>;</w:t>
      </w:r>
    </w:p>
    <w:p w:rsidR="00DD0F03" w:rsidP="00DD0F03" w14:paraId="419065FC" w14:textId="77777777">
      <w:pPr>
        <w:numPr>
          <w:ilvl w:val="0"/>
          <w:numId w:val="7"/>
        </w:numPr>
        <w:autoSpaceDE w:val="0"/>
        <w:autoSpaceDN w:val="0"/>
        <w:adjustRightInd w:val="0"/>
        <w:spacing w:after="120"/>
        <w:rPr>
          <w:szCs w:val="22"/>
        </w:rPr>
      </w:pPr>
      <w:r>
        <w:rPr>
          <w:szCs w:val="22"/>
        </w:rPr>
        <w:t>Brenda Villanueva</w:t>
      </w:r>
      <w:r w:rsidRPr="00B5153D">
        <w:rPr>
          <w:szCs w:val="22"/>
        </w:rPr>
        <w:t xml:space="preserve">, </w:t>
      </w:r>
      <w:r>
        <w:rPr>
          <w:szCs w:val="22"/>
        </w:rPr>
        <w:t xml:space="preserve">Telecommunications Access Division, </w:t>
      </w:r>
      <w:r w:rsidRPr="00B5153D">
        <w:rPr>
          <w:szCs w:val="22"/>
        </w:rPr>
        <w:t>Office of International Affairs,</w:t>
      </w:r>
      <w:r>
        <w:rPr>
          <w:szCs w:val="22"/>
        </w:rPr>
        <w:t xml:space="preserve"> </w:t>
      </w:r>
      <w:hyperlink r:id="rId9" w:history="1">
        <w:r w:rsidRPr="004E3575">
          <w:rPr>
            <w:rStyle w:val="Hyperlink"/>
            <w:szCs w:val="22"/>
          </w:rPr>
          <w:t>brenda.villanueva@fcc.gov</w:t>
        </w:r>
      </w:hyperlink>
      <w:r>
        <w:t>;</w:t>
      </w:r>
      <w:r w:rsidRPr="0013447C">
        <w:rPr>
          <w:szCs w:val="22"/>
        </w:rPr>
        <w:t xml:space="preserve"> and</w:t>
      </w:r>
    </w:p>
    <w:p w:rsidR="00DD0F03" w:rsidRPr="00216951" w:rsidP="00DD0F03" w14:paraId="5BA53DD3" w14:textId="77777777">
      <w:pPr>
        <w:numPr>
          <w:ilvl w:val="0"/>
          <w:numId w:val="7"/>
        </w:numPr>
        <w:autoSpaceDE w:val="0"/>
        <w:autoSpaceDN w:val="0"/>
        <w:adjustRightInd w:val="0"/>
        <w:spacing w:after="120"/>
        <w:rPr>
          <w:szCs w:val="22"/>
        </w:rPr>
      </w:pPr>
      <w:r w:rsidRPr="00216951">
        <w:rPr>
          <w:szCs w:val="22"/>
        </w:rPr>
        <w:t xml:space="preserve">Jim Bird, Office of General Counsel, </w:t>
      </w:r>
      <w:hyperlink r:id="rId10">
        <w:r w:rsidRPr="00216951">
          <w:rPr>
            <w:color w:val="0000FF"/>
            <w:szCs w:val="22"/>
            <w:u w:val="single"/>
          </w:rPr>
          <w:t>jim.bird@fcc.gov</w:t>
        </w:r>
      </w:hyperlink>
      <w:r w:rsidRPr="00216951">
        <w:rPr>
          <w:szCs w:val="22"/>
        </w:rPr>
        <w:t>.</w:t>
      </w:r>
    </w:p>
    <w:p w:rsidR="00DD0F03" w:rsidP="00DD0F03" w14:paraId="6D41BA37" w14:textId="77777777">
      <w:pPr>
        <w:autoSpaceDE w:val="0"/>
        <w:autoSpaceDN w:val="0"/>
        <w:adjustRightInd w:val="0"/>
        <w:spacing w:after="120"/>
        <w:ind w:firstLine="720"/>
        <w:rPr>
          <w:szCs w:val="22"/>
        </w:rPr>
      </w:pPr>
      <w:r w:rsidRPr="007D6E06">
        <w:rPr>
          <w:szCs w:val="22"/>
        </w:rPr>
        <w:t xml:space="preserve">The proceeding in this Notice shall be treated as a “permit-but-disclose” proceeding in accordance with the Commission’s </w:t>
      </w:r>
      <w:r w:rsidRPr="007D6E06">
        <w:rPr>
          <w:i/>
          <w:szCs w:val="22"/>
        </w:rPr>
        <w:t xml:space="preserve">ex </w:t>
      </w:r>
      <w:r w:rsidRPr="007D6E06">
        <w:rPr>
          <w:i/>
          <w:szCs w:val="22"/>
        </w:rPr>
        <w:t>parte</w:t>
      </w:r>
      <w:r w:rsidRPr="007D6E06">
        <w:rPr>
          <w:szCs w:val="22"/>
        </w:rPr>
        <w:t xml:space="preserve"> rules.  </w:t>
      </w:r>
      <w:r w:rsidRPr="007D6E06">
        <w:rPr>
          <w:szCs w:val="22"/>
        </w:rPr>
        <w:t>Persons</w:t>
      </w:r>
      <w:r w:rsidRPr="007D6E06">
        <w:rPr>
          <w:szCs w:val="22"/>
        </w:rPr>
        <w:t xml:space="preserve"> making </w:t>
      </w:r>
      <w:r w:rsidRPr="007D6E06">
        <w:rPr>
          <w:i/>
          <w:szCs w:val="22"/>
        </w:rPr>
        <w:t xml:space="preserve">ex </w:t>
      </w:r>
      <w:r w:rsidRPr="007D6E06">
        <w:rPr>
          <w:i/>
          <w:szCs w:val="22"/>
        </w:rPr>
        <w:t>parte</w:t>
      </w:r>
      <w:r w:rsidRPr="007D6E06">
        <w:rPr>
          <w:szCs w:val="22"/>
        </w:rPr>
        <w:t xml:space="preserve"> presentations must file a copy of any written presentation or a memorandum summarizing any oral presentation within two business days after the presentation (unless a different deadline applicable to the Sunshine period applies).  </w:t>
      </w:r>
      <w:r w:rsidRPr="007D6E06">
        <w:rPr>
          <w:szCs w:val="22"/>
        </w:rPr>
        <w:t>Persons</w:t>
      </w:r>
      <w:r w:rsidRPr="007D6E06">
        <w:rPr>
          <w:szCs w:val="22"/>
        </w:rPr>
        <w:t xml:space="preserve"> making oral </w:t>
      </w:r>
      <w:r w:rsidRPr="007D6E06">
        <w:rPr>
          <w:i/>
          <w:szCs w:val="22"/>
        </w:rPr>
        <w:t xml:space="preserve">ex </w:t>
      </w:r>
      <w:r w:rsidRPr="007D6E06">
        <w:rPr>
          <w:i/>
          <w:szCs w:val="22"/>
        </w:rPr>
        <w:t>parte</w:t>
      </w:r>
      <w:r w:rsidRPr="007D6E06">
        <w:rPr>
          <w:szCs w:val="22"/>
        </w:rPr>
        <w:t xml:space="preserve"> presentations are reminded </w:t>
      </w:r>
      <w:r w:rsidRPr="007D6E06">
        <w:rPr>
          <w:szCs w:val="22"/>
        </w:rPr>
        <w:t>that memoranda</w:t>
      </w:r>
      <w:r w:rsidRPr="007D6E06">
        <w:rPr>
          <w:szCs w:val="22"/>
        </w:rPr>
        <w:t xml:space="preserve"> summarizing the presentation must (1) list all </w:t>
      </w:r>
      <w:r w:rsidRPr="007D6E06">
        <w:rPr>
          <w:szCs w:val="22"/>
        </w:rPr>
        <w:t>persons</w:t>
      </w:r>
      <w:r w:rsidRPr="007D6E06">
        <w:rPr>
          <w:szCs w:val="22"/>
        </w:rPr>
        <w:t xml:space="preserve"> attending or otherwise participating in the meeting at which the </w:t>
      </w:r>
      <w:r w:rsidRPr="007D6E06">
        <w:rPr>
          <w:i/>
          <w:szCs w:val="22"/>
        </w:rPr>
        <w:t xml:space="preserve">ex </w:t>
      </w:r>
      <w:r w:rsidRPr="007D6E06">
        <w:rPr>
          <w:i/>
          <w:szCs w:val="22"/>
        </w:rPr>
        <w:t>parte</w:t>
      </w:r>
      <w:r w:rsidRPr="007D6E06">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7D6E06">
        <w:rPr>
          <w:i/>
          <w:szCs w:val="22"/>
        </w:rPr>
        <w:t xml:space="preserve">ex </w:t>
      </w:r>
      <w:r w:rsidRPr="007D6E06">
        <w:rPr>
          <w:i/>
          <w:szCs w:val="22"/>
        </w:rPr>
        <w:t>parte</w:t>
      </w:r>
      <w:r w:rsidRPr="007D6E06">
        <w:rPr>
          <w:szCs w:val="22"/>
        </w:rPr>
        <w:t xml:space="preserve"> meetings are deemed to be written </w:t>
      </w:r>
      <w:r w:rsidRPr="007D6E06">
        <w:rPr>
          <w:i/>
          <w:szCs w:val="22"/>
        </w:rPr>
        <w:t xml:space="preserve">ex </w:t>
      </w:r>
      <w:r w:rsidRPr="007D6E06">
        <w:rPr>
          <w:i/>
          <w:szCs w:val="22"/>
        </w:rPr>
        <w:t>parte</w:t>
      </w:r>
      <w:r w:rsidRPr="007D6E06">
        <w:rPr>
          <w:szCs w:val="22"/>
        </w:rPr>
        <w:t xml:space="preserve"> presentations and must be filed consistent with rule 1.1206(b), 47 CFR § 1.1206(b).  Participants in this proceeding should familiarize themselves with the Commission’s </w:t>
      </w:r>
      <w:r w:rsidRPr="007D6E06">
        <w:rPr>
          <w:i/>
          <w:szCs w:val="22"/>
        </w:rPr>
        <w:t xml:space="preserve">ex </w:t>
      </w:r>
      <w:r w:rsidRPr="007D6E06">
        <w:rPr>
          <w:i/>
          <w:szCs w:val="22"/>
        </w:rPr>
        <w:t>parte</w:t>
      </w:r>
      <w:r w:rsidRPr="007D6E06">
        <w:rPr>
          <w:szCs w:val="22"/>
        </w:rPr>
        <w:t xml:space="preserve"> rules.</w:t>
      </w:r>
    </w:p>
    <w:p w:rsidR="00DD0F03" w:rsidRPr="00940311" w:rsidP="00DD0F03" w14:paraId="0D91C5C5" w14:textId="77777777">
      <w:pPr>
        <w:autoSpaceDE w:val="0"/>
        <w:autoSpaceDN w:val="0"/>
        <w:adjustRightInd w:val="0"/>
        <w:spacing w:after="120"/>
        <w:ind w:firstLine="720"/>
        <w:rPr>
          <w:szCs w:val="22"/>
        </w:rPr>
      </w:pPr>
      <w:r w:rsidRPr="52D3F29C">
        <w:t>To allow the Commission to consider fully all substantive issues regarding the application in as timely and efficient a manner as possible, petitioners and commenters should raise all issues in their initial filings.  New issues may not be raised in responses or replies.</w:t>
      </w:r>
      <w:r>
        <w:rPr>
          <w:vertAlign w:val="superscript"/>
        </w:rPr>
        <w:footnoteReference w:id="29"/>
      </w:r>
      <w:r w:rsidRPr="52D3F29C">
        <w:t xml:space="preserve">  A party or interested person seeking to raise a new issue after the pleading cycle has closed must show good cause why it was not possible for </w:t>
      </w:r>
      <w:r w:rsidRPr="52D3F29C">
        <w:t>it</w:t>
      </w:r>
      <w:r w:rsidRPr="52D3F29C">
        <w:t xml:space="preserve"> to have raised the issue previously.  Submissions after the pleading cycle </w:t>
      </w:r>
      <w:r w:rsidRPr="52D3F29C">
        <w:t>has</w:t>
      </w:r>
      <w:r w:rsidRPr="52D3F29C">
        <w:t xml:space="preserve"> closed that seek to raise new issues based on new facts or newly discovered facts should be filed within 15 days after such facts are discovered.  Absent such a showing of good cause, any issues not timely raised may be disregarded by the Commission.  </w:t>
      </w:r>
    </w:p>
    <w:p w:rsidR="00DD0F03" w:rsidP="00DD0F03" w14:paraId="2C5CDEB9" w14:textId="77777777">
      <w:pPr>
        <w:autoSpaceDE w:val="0"/>
        <w:autoSpaceDN w:val="0"/>
        <w:adjustRightInd w:val="0"/>
        <w:spacing w:after="120"/>
        <w:ind w:firstLine="720"/>
      </w:pPr>
      <w:r w:rsidRPr="009A6574">
        <w:rPr>
          <w:szCs w:val="22"/>
        </w:rPr>
        <w:t xml:space="preserve">For further information, please contact </w:t>
      </w:r>
      <w:r>
        <w:rPr>
          <w:szCs w:val="22"/>
        </w:rPr>
        <w:t>Dennis Johnson</w:t>
      </w:r>
      <w:r w:rsidRPr="009A6574">
        <w:rPr>
          <w:szCs w:val="22"/>
        </w:rPr>
        <w:t xml:space="preserve">, Competition Policy Division, Wireline Competition Bureau, at </w:t>
      </w:r>
      <w:r w:rsidRPr="009A6574">
        <w:t>(202) 418-</w:t>
      </w:r>
      <w:r>
        <w:t>0809.</w:t>
      </w:r>
    </w:p>
    <w:p w:rsidR="00DD0F03" w:rsidP="00DD0F03" w14:paraId="01D935FA" w14:textId="77777777">
      <w:pPr>
        <w:autoSpaceDE w:val="0"/>
        <w:autoSpaceDN w:val="0"/>
        <w:adjustRightInd w:val="0"/>
        <w:spacing w:after="120"/>
        <w:ind w:firstLine="720"/>
      </w:pPr>
    </w:p>
    <w:p w:rsidR="004E4636" w:rsidRPr="009A6574" w:rsidP="00FA1BB4" w14:paraId="3A24AC41" w14:textId="77777777">
      <w:pPr>
        <w:autoSpaceDE w:val="0"/>
        <w:autoSpaceDN w:val="0"/>
        <w:adjustRightInd w:val="0"/>
        <w:spacing w:after="120"/>
        <w:ind w:firstLine="720"/>
        <w:rPr>
          <w:szCs w:val="22"/>
        </w:rPr>
      </w:pPr>
    </w:p>
    <w:p w:rsidR="009A6574" w:rsidRPr="00100CF5" w:rsidP="00100CF5" w14:paraId="0EF7F7CD" w14:textId="56E745C8">
      <w:pPr>
        <w:autoSpaceDE w:val="0"/>
        <w:autoSpaceDN w:val="0"/>
        <w:adjustRightInd w:val="0"/>
        <w:jc w:val="center"/>
        <w:rPr>
          <w:color w:val="000000"/>
          <w:szCs w:val="22"/>
        </w:rPr>
      </w:pPr>
      <w:r w:rsidRPr="009A6574">
        <w:rPr>
          <w:b/>
          <w:szCs w:val="22"/>
        </w:rPr>
        <w:t>-FCC-</w:t>
      </w:r>
    </w:p>
    <w:sectPr>
      <w:headerReference w:type="default" r:id="rId11"/>
      <w:footerReference w:type="even" r:id="rId12"/>
      <w:footerReference w:type="default" r:id="rId13"/>
      <w:headerReference w:type="first" r:id="rId14"/>
      <w:footerReference w:type="first" r:id="rId15"/>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F7760A" w14:paraId="7FD5BB55" w14:textId="77777777">
      <w:pPr>
        <w:spacing w:line="20" w:lineRule="exact"/>
      </w:pPr>
    </w:p>
  </w:endnote>
  <w:endnote w:type="continuationSeparator" w:id="1">
    <w:p w:rsidR="00F7760A" w14:paraId="763C3D71" w14:textId="77777777">
      <w:r>
        <w:t xml:space="preserve"> </w:t>
      </w:r>
    </w:p>
  </w:endnote>
  <w:endnote w:type="continuationNotice" w:id="2">
    <w:p w:rsidR="00F7760A" w14:paraId="36D0F26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3F7D93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06556FC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4D5708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DB919B9"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7760A" w14:paraId="3A9F9A58" w14:textId="77777777">
      <w:r>
        <w:separator/>
      </w:r>
    </w:p>
  </w:footnote>
  <w:footnote w:type="continuationSeparator" w:id="1">
    <w:p w:rsidR="00F7760A" w14:paraId="0FA62C28" w14:textId="77777777">
      <w:pPr>
        <w:rPr>
          <w:sz w:val="20"/>
        </w:rPr>
      </w:pPr>
      <w:r>
        <w:rPr>
          <w:sz w:val="20"/>
        </w:rPr>
        <w:t xml:space="preserve">(Continued from previous page)  </w:t>
      </w:r>
      <w:r>
        <w:rPr>
          <w:sz w:val="20"/>
        </w:rPr>
        <w:separator/>
      </w:r>
    </w:p>
  </w:footnote>
  <w:footnote w:type="continuationNotice" w:id="2">
    <w:p w:rsidR="00F7760A" w14:paraId="01FC22A1" w14:textId="77777777">
      <w:pPr>
        <w:jc w:val="right"/>
        <w:rPr>
          <w:sz w:val="20"/>
        </w:rPr>
      </w:pPr>
      <w:r>
        <w:rPr>
          <w:sz w:val="20"/>
        </w:rPr>
        <w:t>(</w:t>
      </w:r>
      <w:r>
        <w:rPr>
          <w:sz w:val="20"/>
        </w:rPr>
        <w:t>continued</w:t>
      </w:r>
      <w:r>
        <w:rPr>
          <w:sz w:val="20"/>
        </w:rPr>
        <w:t>….)</w:t>
      </w:r>
    </w:p>
  </w:footnote>
  <w:footnote w:id="3">
    <w:p w:rsidR="00152875" w:rsidRPr="00152875" w14:paraId="6BCAB6F0" w14:textId="4DDEF8BA">
      <w:pPr>
        <w:pStyle w:val="FootnoteText"/>
      </w:pPr>
      <w:r w:rsidRPr="00152875">
        <w:rPr>
          <w:rStyle w:val="FootnoteReference"/>
          <w:sz w:val="20"/>
        </w:rPr>
        <w:footnoteRef/>
      </w:r>
      <w:r w:rsidRPr="00152875">
        <w:t xml:space="preserve"> Domestic Section 214 Application for the </w:t>
      </w:r>
      <w:bookmarkStart w:id="0" w:name="_Hlk193461235"/>
      <w:r w:rsidRPr="00152875">
        <w:t xml:space="preserve">Transfer of Control of </w:t>
      </w:r>
      <w:bookmarkStart w:id="1" w:name="_Hlk207797656"/>
      <w:r w:rsidRPr="001E7F56" w:rsidR="001E7F56">
        <w:t>DigitalBridge</w:t>
      </w:r>
      <w:r w:rsidRPr="001E7F56" w:rsidR="001E7F56">
        <w:t xml:space="preserve"> Group</w:t>
      </w:r>
      <w:r w:rsidRPr="00152875">
        <w:t>, Inc</w:t>
      </w:r>
      <w:r w:rsidR="00F967AE">
        <w:t xml:space="preserve">. </w:t>
      </w:r>
      <w:r w:rsidR="00EF29AE">
        <w:t>and its Subsidiaries</w:t>
      </w:r>
      <w:r w:rsidRPr="00152875">
        <w:t xml:space="preserve"> to </w:t>
      </w:r>
      <w:r w:rsidRPr="001E7F56" w:rsidR="001E7F56">
        <w:t>Duncan Holdco LLC</w:t>
      </w:r>
      <w:bookmarkEnd w:id="1"/>
      <w:r w:rsidRPr="00152875">
        <w:t xml:space="preserve">, </w:t>
      </w:r>
      <w:bookmarkEnd w:id="0"/>
      <w:r w:rsidRPr="00152875">
        <w:t>WC Docket No. 2</w:t>
      </w:r>
      <w:r w:rsidR="001E7F56">
        <w:t>6</w:t>
      </w:r>
      <w:r w:rsidRPr="00152875">
        <w:t>-</w:t>
      </w:r>
      <w:r w:rsidR="002A3C21">
        <w:t>40</w:t>
      </w:r>
      <w:r w:rsidRPr="00152875">
        <w:t xml:space="preserve"> (filed </w:t>
      </w:r>
      <w:r w:rsidR="001E7F56">
        <w:t>Feb.</w:t>
      </w:r>
      <w:r w:rsidRPr="00152875">
        <w:t xml:space="preserve"> </w:t>
      </w:r>
      <w:r w:rsidR="001E7F56">
        <w:t>18</w:t>
      </w:r>
      <w:r w:rsidRPr="00152875">
        <w:t>, 202</w:t>
      </w:r>
      <w:r w:rsidR="00907C66">
        <w:t>6</w:t>
      </w:r>
      <w:r w:rsidRPr="00152875">
        <w:t>) (Application).</w:t>
      </w:r>
      <w:r w:rsidR="00907C66">
        <w:t xml:space="preserve">  </w:t>
      </w:r>
      <w:r w:rsidRPr="00152875">
        <w:t>Any action on the Application is without prejudice to Commission action on other related, pending applications.</w:t>
      </w:r>
    </w:p>
  </w:footnote>
  <w:footnote w:id="4">
    <w:p w:rsidR="00087ED8" w:rsidRPr="005240CD" w:rsidP="00087ED8" w14:paraId="6CA89F55" w14:textId="0A749A9B">
      <w:pPr>
        <w:pStyle w:val="FootnoteText"/>
      </w:pPr>
      <w:r w:rsidRPr="005240CD">
        <w:rPr>
          <w:rStyle w:val="FootnoteReference"/>
          <w:sz w:val="20"/>
        </w:rPr>
        <w:footnoteRef/>
      </w:r>
      <w:r w:rsidRPr="005240CD">
        <w:t xml:space="preserve"> </w:t>
      </w:r>
      <w:r w:rsidRPr="005240CD">
        <w:rPr>
          <w:i/>
        </w:rPr>
        <w:t>See</w:t>
      </w:r>
      <w:r w:rsidRPr="005240CD">
        <w:t xml:space="preserve"> 47 U.S.C. § 214(a); 47 CFR § 63.04.</w:t>
      </w:r>
    </w:p>
  </w:footnote>
  <w:footnote w:id="5">
    <w:p w:rsidR="004719E0" w14:paraId="6A875995" w14:textId="5B70BA68">
      <w:pPr>
        <w:pStyle w:val="FootnoteText"/>
      </w:pPr>
      <w:r>
        <w:rPr>
          <w:rStyle w:val="FootnoteReference"/>
        </w:rPr>
        <w:footnoteRef/>
      </w:r>
      <w:r>
        <w:t xml:space="preserve"> </w:t>
      </w:r>
      <w:r w:rsidR="001A6BC7">
        <w:t xml:space="preserve">DBP III is </w:t>
      </w:r>
      <w:r w:rsidRPr="00CE73E3" w:rsidR="001A6BC7">
        <w:rPr>
          <w:szCs w:val="22"/>
        </w:rPr>
        <w:t>a Delaware limited</w:t>
      </w:r>
      <w:r w:rsidR="001A6BC7">
        <w:rPr>
          <w:szCs w:val="22"/>
        </w:rPr>
        <w:t xml:space="preserve"> </w:t>
      </w:r>
      <w:r w:rsidRPr="00CE73E3" w:rsidR="001A6BC7">
        <w:rPr>
          <w:szCs w:val="22"/>
        </w:rPr>
        <w:t>partnership</w:t>
      </w:r>
      <w:r w:rsidR="001A6BC7">
        <w:rPr>
          <w:szCs w:val="22"/>
        </w:rPr>
        <w:t xml:space="preserve"> and</w:t>
      </w:r>
      <w:r w:rsidRPr="00CE73E3" w:rsidR="001A6BC7">
        <w:rPr>
          <w:szCs w:val="22"/>
        </w:rPr>
        <w:t xml:space="preserve"> private equity fund managed</w:t>
      </w:r>
      <w:r w:rsidR="001A6BC7">
        <w:rPr>
          <w:szCs w:val="22"/>
        </w:rPr>
        <w:t xml:space="preserve"> </w:t>
      </w:r>
      <w:r w:rsidRPr="00CE73E3" w:rsidR="001A6BC7">
        <w:rPr>
          <w:szCs w:val="22"/>
        </w:rPr>
        <w:t xml:space="preserve">by an affiliate of </w:t>
      </w:r>
      <w:r w:rsidRPr="00CE73E3" w:rsidR="001A6BC7">
        <w:rPr>
          <w:szCs w:val="22"/>
        </w:rPr>
        <w:t>DigitalBridge</w:t>
      </w:r>
      <w:r w:rsidR="001A6BC7">
        <w:rPr>
          <w:szCs w:val="22"/>
        </w:rPr>
        <w:t xml:space="preserve">. </w:t>
      </w:r>
      <w:r w:rsidR="00D358BE">
        <w:rPr>
          <w:szCs w:val="22"/>
        </w:rPr>
        <w:t>Application at 2.</w:t>
      </w:r>
    </w:p>
  </w:footnote>
  <w:footnote w:id="6">
    <w:p w:rsidR="00A80EAC" w14:paraId="2DAAD894" w14:textId="4E689202">
      <w:pPr>
        <w:pStyle w:val="FootnoteText"/>
      </w:pPr>
      <w:r>
        <w:rPr>
          <w:rStyle w:val="FootnoteReference"/>
        </w:rPr>
        <w:footnoteRef/>
      </w:r>
      <w:r>
        <w:t xml:space="preserve"> </w:t>
      </w:r>
      <w:r w:rsidR="001E7C90">
        <w:t xml:space="preserve">Crestview W1 and Crestview III are </w:t>
      </w:r>
      <w:r w:rsidR="007A0BF4">
        <w:rPr>
          <w:szCs w:val="22"/>
        </w:rPr>
        <w:t>both</w:t>
      </w:r>
      <w:r w:rsidRPr="00CE73E3">
        <w:rPr>
          <w:szCs w:val="22"/>
        </w:rPr>
        <w:t xml:space="preserve"> owned by private equity funds managed by Crestview</w:t>
      </w:r>
      <w:r w:rsidRPr="00286FE6">
        <w:t xml:space="preserve"> </w:t>
      </w:r>
      <w:r w:rsidRPr="00286FE6">
        <w:rPr>
          <w:szCs w:val="22"/>
        </w:rPr>
        <w:t>Advisors, L.L.C. (Crestview)</w:t>
      </w:r>
      <w:r>
        <w:rPr>
          <w:szCs w:val="22"/>
        </w:rPr>
        <w:t>,</w:t>
      </w:r>
      <w:r w:rsidRPr="00286FE6">
        <w:rPr>
          <w:szCs w:val="22"/>
        </w:rPr>
        <w:t xml:space="preserve"> a New York-based private equity firm</w:t>
      </w:r>
      <w:r w:rsidR="001E7C90">
        <w:rPr>
          <w:szCs w:val="22"/>
        </w:rPr>
        <w:t>.</w:t>
      </w:r>
      <w:r w:rsidR="009346F3">
        <w:rPr>
          <w:szCs w:val="22"/>
        </w:rPr>
        <w:t xml:space="preserve">  </w:t>
      </w:r>
      <w:r w:rsidRPr="009346F3" w:rsidR="009346F3">
        <w:rPr>
          <w:i/>
          <w:iCs/>
          <w:szCs w:val="22"/>
        </w:rPr>
        <w:t>Id.</w:t>
      </w:r>
      <w:r w:rsidR="009346F3">
        <w:rPr>
          <w:szCs w:val="22"/>
        </w:rPr>
        <w:t xml:space="preserve"> at 2-3.</w:t>
      </w:r>
    </w:p>
  </w:footnote>
  <w:footnote w:id="7">
    <w:p w:rsidR="00D20977" w:rsidP="00D20977" w14:paraId="41D1F934" w14:textId="77777777">
      <w:pPr>
        <w:pStyle w:val="FootnoteText"/>
      </w:pPr>
      <w:r w:rsidRPr="00734777">
        <w:rPr>
          <w:rStyle w:val="FootnoteReference"/>
        </w:rPr>
        <w:footnoteRef/>
      </w:r>
      <w:r w:rsidRPr="00734777">
        <w:t xml:space="preserve"> Application at 2-3</w:t>
      </w:r>
      <w:r>
        <w:t xml:space="preserve">, </w:t>
      </w:r>
      <w:r>
        <w:t>Exh</w:t>
      </w:r>
      <w:r>
        <w:t xml:space="preserve">. A, </w:t>
      </w:r>
      <w:r>
        <w:t>Exh</w:t>
      </w:r>
      <w:r>
        <w:t>. B (Pre- and Post-Transaction Corporate Ownership Structure Charts)</w:t>
      </w:r>
      <w:r w:rsidRPr="00734777">
        <w:t>.</w:t>
      </w:r>
      <w:r>
        <w:t xml:space="preserve">  </w:t>
      </w:r>
    </w:p>
  </w:footnote>
  <w:footnote w:id="8">
    <w:p w:rsidR="00421FCB" w14:paraId="01810A9C" w14:textId="16F47FDD">
      <w:pPr>
        <w:pStyle w:val="FootnoteText"/>
      </w:pPr>
      <w:r>
        <w:rPr>
          <w:rStyle w:val="FootnoteReference"/>
        </w:rPr>
        <w:footnoteRef/>
      </w:r>
      <w:r>
        <w:t xml:space="preserve"> </w:t>
      </w:r>
      <w:r w:rsidRPr="00876D07" w:rsidR="00876D07">
        <w:rPr>
          <w:i/>
          <w:iCs/>
        </w:rPr>
        <w:t>Id</w:t>
      </w:r>
      <w:r w:rsidR="00876D07">
        <w:t>.</w:t>
      </w:r>
      <w:r w:rsidR="00B450A3">
        <w:t xml:space="preserve"> at </w:t>
      </w:r>
      <w:r w:rsidR="007D3529">
        <w:t xml:space="preserve">4, </w:t>
      </w:r>
      <w:r w:rsidR="00B450A3">
        <w:t>Exh</w:t>
      </w:r>
      <w:r w:rsidR="00B450A3">
        <w:t>. A (Pre- and Post-Close Ownership of Licensees).</w:t>
      </w:r>
    </w:p>
  </w:footnote>
  <w:footnote w:id="9">
    <w:p w:rsidR="00BF7BAE" w14:paraId="70C94BAA" w14:textId="7DF8CE8F">
      <w:pPr>
        <w:pStyle w:val="FootnoteText"/>
      </w:pPr>
      <w:r>
        <w:rPr>
          <w:rStyle w:val="FootnoteReference"/>
        </w:rPr>
        <w:footnoteRef/>
      </w:r>
      <w:r>
        <w:t xml:space="preserve"> </w:t>
      </w:r>
      <w:r>
        <w:t>DigitalBridge</w:t>
      </w:r>
      <w:r>
        <w:t xml:space="preserve"> and Duncan are parties to another pending application seeking consent for the transfer of certain other subsidiaries of </w:t>
      </w:r>
      <w:r>
        <w:t>DigitalBridge</w:t>
      </w:r>
      <w:r>
        <w:t xml:space="preserve">, including Zayo Group and its subsidiaries and Crown Castle Operating Company’s fiber network business, to Duncan.  Joint Application for the Transfer of Control of </w:t>
      </w:r>
      <w:r w:rsidR="009465A1">
        <w:t>DigitalBridge</w:t>
      </w:r>
      <w:r w:rsidR="009465A1">
        <w:t xml:space="preserve"> Group, Inc.</w:t>
      </w:r>
      <w:r w:rsidR="002A3C21">
        <w:t xml:space="preserve"> </w:t>
      </w:r>
      <w:r w:rsidR="00E60558">
        <w:t xml:space="preserve">and its Subsidiaries </w:t>
      </w:r>
      <w:r>
        <w:t>to Duncan Holdco LLC., WC Docket No. 26-</w:t>
      </w:r>
      <w:r w:rsidR="005112C9">
        <w:t>56</w:t>
      </w:r>
      <w:r>
        <w:t xml:space="preserve"> (filed Mar. </w:t>
      </w:r>
      <w:r w:rsidR="00E60558">
        <w:t>6</w:t>
      </w:r>
      <w:r>
        <w:t xml:space="preserve">, 2026).  </w:t>
      </w:r>
      <w:r w:rsidRPr="00B90A13">
        <w:rPr>
          <w:szCs w:val="22"/>
        </w:rPr>
        <w:t xml:space="preserve">Applicants state that Crestview has no affiliates that provide domestic telecommunications services.  </w:t>
      </w:r>
      <w:r w:rsidRPr="00276E3C">
        <w:t>Application</w:t>
      </w:r>
      <w:r w:rsidRPr="00B90A13">
        <w:t xml:space="preserve"> at 10, n.4.</w:t>
      </w:r>
    </w:p>
  </w:footnote>
  <w:footnote w:id="10">
    <w:p w:rsidR="002F21BD" w14:paraId="1D1CCF98" w14:textId="0FB10BE9">
      <w:pPr>
        <w:pStyle w:val="FootnoteText"/>
      </w:pPr>
      <w:r>
        <w:rPr>
          <w:rStyle w:val="FootnoteReference"/>
        </w:rPr>
        <w:footnoteRef/>
      </w:r>
      <w:r>
        <w:t xml:space="preserve"> </w:t>
      </w:r>
      <w:r w:rsidRPr="00A93630" w:rsidR="00A93630">
        <w:rPr>
          <w:i/>
          <w:iCs/>
        </w:rPr>
        <w:t>Id.</w:t>
      </w:r>
      <w:r w:rsidR="00F1013A">
        <w:t xml:space="preserve"> at </w:t>
      </w:r>
      <w:r w:rsidR="00226F8D">
        <w:t xml:space="preserve">2, </w:t>
      </w:r>
      <w:r w:rsidR="00F1013A">
        <w:t>Exh</w:t>
      </w:r>
      <w:r w:rsidR="00F1013A">
        <w:t>. A</w:t>
      </w:r>
      <w:r w:rsidR="00226F8D">
        <w:t>.</w:t>
      </w:r>
    </w:p>
  </w:footnote>
  <w:footnote w:id="11">
    <w:p w:rsidR="00822E76" w:rsidP="00822E76" w14:paraId="150672FC" w14:textId="60FC096A">
      <w:pPr>
        <w:pStyle w:val="FootnoteText"/>
      </w:pPr>
      <w:r>
        <w:rPr>
          <w:rStyle w:val="FootnoteReference"/>
        </w:rPr>
        <w:footnoteRef/>
      </w:r>
      <w:r>
        <w:t xml:space="preserve"> </w:t>
      </w:r>
      <w:r w:rsidRPr="00E16228" w:rsidR="00E16228">
        <w:rPr>
          <w:i/>
          <w:iCs/>
        </w:rPr>
        <w:t>Id</w:t>
      </w:r>
      <w:r w:rsidR="00E16228">
        <w:t>.</w:t>
      </w:r>
      <w:r>
        <w:t xml:space="preserve"> at </w:t>
      </w:r>
      <w:r w:rsidR="00E16228">
        <w:t>5</w:t>
      </w:r>
      <w:r>
        <w:t xml:space="preserve">.  Applicants state that </w:t>
      </w:r>
      <w:r>
        <w:t>Knology</w:t>
      </w:r>
      <w:r>
        <w:t xml:space="preserve"> Valley is designated as an eligible telecommunication carrier (ETC) in Alabama and Georgia, receives Connect America Fund Broadband Loop Support (CAF BLS) and Connect America Fund Intercarrier Compensation Recovery (CAF ICC), and participates in the Lifeline program.  </w:t>
      </w:r>
      <w:r w:rsidRPr="00C32393">
        <w:t>Application</w:t>
      </w:r>
      <w:r>
        <w:t xml:space="preserve"> at </w:t>
      </w:r>
      <w:r w:rsidR="002E6B2C">
        <w:t>5</w:t>
      </w:r>
      <w:r>
        <w:t xml:space="preserve">; </w:t>
      </w:r>
      <w:r w:rsidR="00355FA5">
        <w:t>16</w:t>
      </w:r>
      <w:r w:rsidR="00BC7C62">
        <w:t>-17</w:t>
      </w:r>
      <w:r>
        <w:t>.</w:t>
      </w:r>
    </w:p>
  </w:footnote>
  <w:footnote w:id="12">
    <w:p w:rsidR="00822E76" w:rsidP="00822E76" w14:paraId="3375F854" w14:textId="45813484">
      <w:pPr>
        <w:pStyle w:val="FootnoteText"/>
      </w:pPr>
      <w:r>
        <w:rPr>
          <w:rStyle w:val="FootnoteReference"/>
        </w:rPr>
        <w:footnoteRef/>
      </w:r>
      <w:r>
        <w:t xml:space="preserve"> </w:t>
      </w:r>
      <w:r w:rsidRPr="0038642B" w:rsidR="0038642B">
        <w:rPr>
          <w:i/>
          <w:iCs/>
        </w:rPr>
        <w:t>Id.</w:t>
      </w:r>
      <w:r>
        <w:t xml:space="preserve"> at </w:t>
      </w:r>
      <w:r w:rsidR="0038642B">
        <w:t>5</w:t>
      </w:r>
      <w:r>
        <w:t xml:space="preserve">.  </w:t>
      </w:r>
      <w:bookmarkStart w:id="4" w:name="_Hlk209774443"/>
      <w:r>
        <w:t xml:space="preserve">Applicants state that Valley Telephone is designated as an ETC in Georgia and participates in the Lifeline program.  </w:t>
      </w:r>
      <w:r w:rsidRPr="00D807A2">
        <w:rPr>
          <w:i/>
          <w:iCs/>
        </w:rPr>
        <w:t>Id.</w:t>
      </w:r>
      <w:r>
        <w:t xml:space="preserve"> at 1</w:t>
      </w:r>
      <w:r w:rsidR="00EA326A">
        <w:t>, 17</w:t>
      </w:r>
      <w:r>
        <w:t xml:space="preserve">. </w:t>
      </w:r>
    </w:p>
    <w:bookmarkEnd w:id="4"/>
  </w:footnote>
  <w:footnote w:id="13">
    <w:p w:rsidR="00822E76" w:rsidP="00822E76" w14:paraId="4FC46CA1" w14:textId="7C262AB2">
      <w:pPr>
        <w:pStyle w:val="FootnoteText"/>
      </w:pPr>
      <w:r>
        <w:rPr>
          <w:rStyle w:val="FootnoteReference"/>
        </w:rPr>
        <w:footnoteRef/>
      </w:r>
      <w:r>
        <w:t xml:space="preserve"> </w:t>
      </w:r>
      <w:r w:rsidRPr="002256DE" w:rsidR="002256DE">
        <w:rPr>
          <w:i/>
          <w:iCs/>
        </w:rPr>
        <w:t>Id</w:t>
      </w:r>
      <w:r w:rsidR="002256DE">
        <w:t>.</w:t>
      </w:r>
      <w:r w:rsidRPr="00FE07A6">
        <w:t xml:space="preserve"> at </w:t>
      </w:r>
      <w:r w:rsidR="00792E4B">
        <w:t>5</w:t>
      </w:r>
      <w:r w:rsidRPr="00FE07A6">
        <w:t>.</w:t>
      </w:r>
      <w:r>
        <w:t xml:space="preserve">  Applicants state that </w:t>
      </w:r>
      <w:r>
        <w:t>Knology</w:t>
      </w:r>
      <w:r>
        <w:t xml:space="preserve"> TC is designated as an ETC in Alabama, receives CAF BLS, </w:t>
      </w:r>
      <w:r w:rsidR="008A5963">
        <w:t>High-Cost</w:t>
      </w:r>
      <w:r w:rsidR="00162532">
        <w:t xml:space="preserve"> Loop support</w:t>
      </w:r>
      <w:r>
        <w:t xml:space="preserve">, and </w:t>
      </w:r>
      <w:r w:rsidR="00162532">
        <w:t>CAF ICC</w:t>
      </w:r>
      <w:r>
        <w:t xml:space="preserve">, and participates in the Lifeline program.  </w:t>
      </w:r>
      <w:r w:rsidRPr="002C01A4">
        <w:rPr>
          <w:i/>
          <w:iCs/>
        </w:rPr>
        <w:t>Id.</w:t>
      </w:r>
      <w:r>
        <w:t xml:space="preserve"> at 1</w:t>
      </w:r>
      <w:r w:rsidR="000B3E2D">
        <w:t>7</w:t>
      </w:r>
      <w:r>
        <w:t xml:space="preserve">. </w:t>
      </w:r>
    </w:p>
  </w:footnote>
  <w:footnote w:id="14">
    <w:p w:rsidR="00822E76" w:rsidP="00822E76" w14:paraId="3D884C95" w14:textId="462F8578">
      <w:pPr>
        <w:pStyle w:val="FootnoteText"/>
      </w:pPr>
      <w:r>
        <w:rPr>
          <w:rStyle w:val="FootnoteReference"/>
        </w:rPr>
        <w:footnoteRef/>
      </w:r>
      <w:r>
        <w:t xml:space="preserve"> </w:t>
      </w:r>
      <w:r w:rsidRPr="002256DE" w:rsidR="002256DE">
        <w:rPr>
          <w:i/>
          <w:iCs/>
        </w:rPr>
        <w:t>Id.</w:t>
      </w:r>
      <w:r w:rsidRPr="00264590">
        <w:t xml:space="preserve"> at </w:t>
      </w:r>
      <w:r w:rsidR="003974BF">
        <w:t>5</w:t>
      </w:r>
      <w:r w:rsidRPr="000038D9">
        <w:t>.</w:t>
      </w:r>
      <w:r>
        <w:t xml:space="preserve">  Applicants state that </w:t>
      </w:r>
      <w:r>
        <w:t>Knology</w:t>
      </w:r>
      <w:r>
        <w:t xml:space="preserve"> Florida is designated as an ETC in Florida and participates in the Lifeline program.  Application at 16.</w:t>
      </w:r>
      <w:r w:rsidR="00B46BE4">
        <w:t xml:space="preserve">  </w:t>
      </w:r>
    </w:p>
  </w:footnote>
  <w:footnote w:id="15">
    <w:p w:rsidR="00276E3C" w14:paraId="1B4A1879" w14:textId="0ACB8CF4">
      <w:pPr>
        <w:pStyle w:val="FootnoteText"/>
      </w:pPr>
      <w:r>
        <w:rPr>
          <w:rStyle w:val="FootnoteReference"/>
        </w:rPr>
        <w:footnoteRef/>
      </w:r>
      <w:r>
        <w:t xml:space="preserve"> </w:t>
      </w:r>
      <w:r w:rsidRPr="00076001" w:rsidR="00076001">
        <w:rPr>
          <w:i/>
          <w:iCs/>
        </w:rPr>
        <w:t>Id</w:t>
      </w:r>
      <w:r w:rsidR="00076001">
        <w:t>.</w:t>
      </w:r>
      <w:r>
        <w:t xml:space="preserve"> at 4.</w:t>
      </w:r>
      <w:r w:rsidR="008B349B">
        <w:t xml:space="preserve">  </w:t>
      </w:r>
      <w:r w:rsidRPr="008A1884" w:rsidR="008B349B">
        <w:rPr>
          <w:szCs w:val="22"/>
        </w:rPr>
        <w:t xml:space="preserve">Duncan is a holding company </w:t>
      </w:r>
      <w:r w:rsidR="008B349B">
        <w:rPr>
          <w:szCs w:val="22"/>
        </w:rPr>
        <w:t xml:space="preserve">that does not provide telecommunications services.  </w:t>
      </w:r>
      <w:r w:rsidRPr="004F6B08" w:rsidR="008B349B">
        <w:rPr>
          <w:i/>
          <w:iCs/>
        </w:rPr>
        <w:t>Id.</w:t>
      </w:r>
      <w:r w:rsidR="008B349B">
        <w:t xml:space="preserve"> at 12.</w:t>
      </w:r>
    </w:p>
  </w:footnote>
  <w:footnote w:id="16">
    <w:p w:rsidR="00FA7AEC" w14:paraId="5599C162" w14:textId="1594B636">
      <w:pPr>
        <w:pStyle w:val="FootnoteText"/>
      </w:pPr>
      <w:r>
        <w:rPr>
          <w:rStyle w:val="FootnoteReference"/>
        </w:rPr>
        <w:footnoteRef/>
      </w:r>
      <w:r>
        <w:t xml:space="preserve"> </w:t>
      </w:r>
      <w:r w:rsidRPr="00FA7AEC">
        <w:rPr>
          <w:i/>
          <w:iCs/>
        </w:rPr>
        <w:t>Id.</w:t>
      </w:r>
      <w:r w:rsidR="00885582">
        <w:rPr>
          <w:i/>
          <w:iCs/>
        </w:rPr>
        <w:t xml:space="preserve"> </w:t>
      </w:r>
      <w:r w:rsidRPr="00885582" w:rsidR="00885582">
        <w:t>at 12, n.7.</w:t>
      </w:r>
      <w:r w:rsidR="00E60558">
        <w:t xml:space="preserve">  Neither Duncan nor its affiliates receive high-cost support.  </w:t>
      </w:r>
      <w:r w:rsidRPr="009C33CF" w:rsidR="00E60558">
        <w:rPr>
          <w:i/>
          <w:iCs/>
        </w:rPr>
        <w:t>Id.</w:t>
      </w:r>
    </w:p>
  </w:footnote>
  <w:footnote w:id="17">
    <w:p w:rsidR="00E05748" w:rsidRPr="001C3EB2" w14:paraId="5C90CACC" w14:textId="00440578">
      <w:pPr>
        <w:pStyle w:val="FootnoteText"/>
      </w:pPr>
      <w:r>
        <w:rPr>
          <w:rStyle w:val="FootnoteReference"/>
        </w:rPr>
        <w:footnoteRef/>
      </w:r>
      <w:r>
        <w:t xml:space="preserve"> </w:t>
      </w:r>
      <w:r w:rsidRPr="00E05748">
        <w:rPr>
          <w:i/>
          <w:iCs/>
        </w:rPr>
        <w:t>Id.</w:t>
      </w:r>
      <w:r w:rsidR="001C3EB2">
        <w:rPr>
          <w:i/>
          <w:iCs/>
        </w:rPr>
        <w:t xml:space="preserve"> </w:t>
      </w:r>
      <w:r w:rsidRPr="001C3EB2" w:rsidR="001C3EB2">
        <w:t>at 14.</w:t>
      </w:r>
    </w:p>
  </w:footnote>
  <w:footnote w:id="18">
    <w:p w:rsidR="00971985" w14:paraId="22A2930F" w14:textId="06C7A5EE">
      <w:pPr>
        <w:pStyle w:val="FootnoteText"/>
      </w:pPr>
      <w:r>
        <w:rPr>
          <w:rStyle w:val="FootnoteReference"/>
        </w:rPr>
        <w:footnoteRef/>
      </w:r>
      <w:r>
        <w:t xml:space="preserve"> </w:t>
      </w:r>
      <w:r w:rsidRPr="002778D4" w:rsidR="004B6C42">
        <w:rPr>
          <w:i/>
          <w:iCs/>
        </w:rPr>
        <w:t>Id</w:t>
      </w:r>
      <w:r w:rsidR="004B6C42">
        <w:t xml:space="preserve">. at </w:t>
      </w:r>
      <w:r w:rsidR="00595781">
        <w:t xml:space="preserve">4, </w:t>
      </w:r>
      <w:r w:rsidR="004B6C42">
        <w:t>Exh</w:t>
      </w:r>
      <w:r w:rsidR="004B6C42">
        <w:t>. A</w:t>
      </w:r>
      <w:r w:rsidR="00595781">
        <w:t xml:space="preserve">, </w:t>
      </w:r>
      <w:r w:rsidR="002778D4">
        <w:t>Exh</w:t>
      </w:r>
      <w:r w:rsidR="002778D4">
        <w:t>. B.</w:t>
      </w:r>
      <w:r w:rsidR="006B3C79">
        <w:t xml:space="preserve">  Applicants state that no </w:t>
      </w:r>
      <w:r w:rsidR="00C43FAA">
        <w:t xml:space="preserve">other individual shareholder holds a ten percent or greater interest in SoftBank.  </w:t>
      </w:r>
      <w:r w:rsidRPr="003216F2" w:rsidR="003216F2">
        <w:rPr>
          <w:i/>
          <w:iCs/>
        </w:rPr>
        <w:t>Id.</w:t>
      </w:r>
      <w:r w:rsidR="003216F2">
        <w:t xml:space="preserve"> at </w:t>
      </w:r>
      <w:r w:rsidR="003216F2">
        <w:t>Exh</w:t>
      </w:r>
      <w:r w:rsidR="003216F2">
        <w:t xml:space="preserve">. A. </w:t>
      </w:r>
    </w:p>
  </w:footnote>
  <w:footnote w:id="19">
    <w:p w:rsidR="0026004F" w14:paraId="1FBC5212" w14:textId="687554DB">
      <w:pPr>
        <w:pStyle w:val="FootnoteText"/>
      </w:pPr>
      <w:r>
        <w:rPr>
          <w:rStyle w:val="FootnoteReference"/>
        </w:rPr>
        <w:footnoteRef/>
      </w:r>
      <w:r>
        <w:t xml:space="preserve"> </w:t>
      </w:r>
      <w:r w:rsidRPr="001226B6" w:rsidR="001226B6">
        <w:rPr>
          <w:i/>
          <w:iCs/>
        </w:rPr>
        <w:t xml:space="preserve">Id. </w:t>
      </w:r>
      <w:r w:rsidR="001226B6">
        <w:t>at 6.</w:t>
      </w:r>
    </w:p>
  </w:footnote>
  <w:footnote w:id="20">
    <w:p w:rsidR="00CD1DB1" w:rsidRPr="00E4743F" w14:paraId="0C19D98A" w14:textId="2B432DF0">
      <w:pPr>
        <w:pStyle w:val="FootnoteText"/>
      </w:pPr>
      <w:r>
        <w:rPr>
          <w:rStyle w:val="FootnoteReference"/>
        </w:rPr>
        <w:footnoteRef/>
      </w:r>
      <w:r>
        <w:t xml:space="preserve"> </w:t>
      </w:r>
      <w:r w:rsidRPr="00CD1DB1">
        <w:rPr>
          <w:i/>
          <w:iCs/>
        </w:rPr>
        <w:t>Id.</w:t>
      </w:r>
      <w:r w:rsidR="003E4AB8">
        <w:rPr>
          <w:i/>
          <w:iCs/>
        </w:rPr>
        <w:t xml:space="preserve">  </w:t>
      </w:r>
    </w:p>
  </w:footnote>
  <w:footnote w:id="21">
    <w:p w:rsidR="004651F9" w14:paraId="5FFA8FAD" w14:textId="52047FEA">
      <w:pPr>
        <w:pStyle w:val="FootnoteText"/>
      </w:pPr>
      <w:r>
        <w:rPr>
          <w:rStyle w:val="FootnoteReference"/>
        </w:rPr>
        <w:footnoteRef/>
      </w:r>
      <w:r>
        <w:t xml:space="preserve"> </w:t>
      </w:r>
      <w:r w:rsidRPr="00A44371" w:rsidR="00210565">
        <w:rPr>
          <w:i/>
          <w:iCs/>
        </w:rPr>
        <w:t>Id.</w:t>
      </w:r>
    </w:p>
  </w:footnote>
  <w:footnote w:id="22">
    <w:p w:rsidR="000465D6" w14:paraId="08DDF95C" w14:textId="081418D5">
      <w:pPr>
        <w:pStyle w:val="FootnoteText"/>
      </w:pPr>
      <w:r>
        <w:rPr>
          <w:rStyle w:val="FootnoteReference"/>
        </w:rPr>
        <w:footnoteRef/>
      </w:r>
      <w:r>
        <w:t xml:space="preserve"> </w:t>
      </w:r>
      <w:r w:rsidRPr="000465D6">
        <w:rPr>
          <w:i/>
          <w:iCs/>
        </w:rPr>
        <w:t>Id.</w:t>
      </w:r>
      <w:r>
        <w:t xml:space="preserve"> at 7.</w:t>
      </w:r>
      <w:r w:rsidR="00917CCE">
        <w:t xml:space="preserve">  </w:t>
      </w:r>
      <w:r w:rsidR="00C66E4B">
        <w:t>Applicants state that Crestview III</w:t>
      </w:r>
      <w:r w:rsidR="00DD0F4B">
        <w:t xml:space="preserve"> and D</w:t>
      </w:r>
      <w:r w:rsidR="003E53C6">
        <w:t>BP III will retain their limited partnership equity interests in WOW Parent post-</w:t>
      </w:r>
      <w:r w:rsidR="00896EBD">
        <w:t>transaction</w:t>
      </w:r>
      <w:r w:rsidR="003E53C6">
        <w:t>.</w:t>
      </w:r>
      <w:r w:rsidR="00896EBD">
        <w:t xml:space="preserve">  </w:t>
      </w:r>
      <w:r w:rsidRPr="00896EBD" w:rsidR="00896EBD">
        <w:rPr>
          <w:i/>
          <w:iCs/>
        </w:rPr>
        <w:t xml:space="preserve">Id. </w:t>
      </w:r>
      <w:r w:rsidR="00896EBD">
        <w:t xml:space="preserve">at 6.  </w:t>
      </w:r>
    </w:p>
  </w:footnote>
  <w:footnote w:id="23">
    <w:p w:rsidR="0029254A" w:rsidRPr="003C1347" w:rsidP="0029254A" w14:paraId="53A71A14" w14:textId="620F7673">
      <w:pPr>
        <w:pStyle w:val="FootnoteText"/>
      </w:pPr>
      <w:r w:rsidRPr="003C1347">
        <w:rPr>
          <w:rStyle w:val="FootnoteReference"/>
          <w:sz w:val="20"/>
        </w:rPr>
        <w:footnoteRef/>
      </w:r>
      <w:r w:rsidRPr="003C1347">
        <w:t xml:space="preserve"> </w:t>
      </w:r>
      <w:r w:rsidRPr="003C1347">
        <w:rPr>
          <w:i/>
          <w:iCs/>
        </w:rPr>
        <w:t>Id.</w:t>
      </w:r>
      <w:r w:rsidRPr="003C1347">
        <w:t xml:space="preserve"> at </w:t>
      </w:r>
      <w:r>
        <w:t>12</w:t>
      </w:r>
      <w:r w:rsidR="008A75DD">
        <w:t>-15</w:t>
      </w:r>
      <w:r w:rsidRPr="003C1347">
        <w:t>.</w:t>
      </w:r>
    </w:p>
  </w:footnote>
  <w:footnote w:id="24">
    <w:p w:rsidR="0029254A" w:rsidRPr="003C1347" w:rsidP="0029254A" w14:paraId="4CA064A8" w14:textId="77777777">
      <w:pPr>
        <w:pStyle w:val="FootnoteText"/>
      </w:pPr>
      <w:r w:rsidRPr="003C1347">
        <w:rPr>
          <w:rStyle w:val="FootnoteReference"/>
          <w:sz w:val="20"/>
        </w:rPr>
        <w:footnoteRef/>
      </w:r>
      <w:r w:rsidRPr="003C1347">
        <w:t xml:space="preserve"> 47 CFR § 63.03(b)(</w:t>
      </w:r>
      <w:r>
        <w:t>1</w:t>
      </w:r>
      <w:r w:rsidRPr="003C1347">
        <w:t>)</w:t>
      </w:r>
      <w:r>
        <w:t>(ii)</w:t>
      </w:r>
      <w:r w:rsidRPr="003C1347">
        <w:t>.</w:t>
      </w:r>
    </w:p>
  </w:footnote>
  <w:footnote w:id="25">
    <w:p w:rsidR="00703B04" w:rsidRPr="00210404" w:rsidP="00703B04" w14:paraId="45531148" w14:textId="77777777">
      <w:pPr>
        <w:spacing w:after="120"/>
        <w:rPr>
          <w:sz w:val="20"/>
        </w:rPr>
      </w:pPr>
      <w:r w:rsidRPr="00210404">
        <w:rPr>
          <w:rStyle w:val="FootnoteReference"/>
          <w:sz w:val="20"/>
        </w:rPr>
        <w:footnoteRef/>
      </w:r>
      <w:r w:rsidRPr="00210404">
        <w:rPr>
          <w:sz w:val="20"/>
        </w:rPr>
        <w:t xml:space="preserve"> </w:t>
      </w:r>
      <w:r w:rsidRPr="00210404">
        <w:rPr>
          <w:i/>
          <w:iCs/>
          <w:color w:val="020100"/>
          <w:sz w:val="20"/>
        </w:rPr>
        <w:t>Process Reform for Executive Branch Review of Certain FCC Applications and Petitions Involving Foreign Ownership</w:t>
      </w:r>
      <w:r w:rsidRPr="00210404">
        <w:rPr>
          <w:color w:val="020100"/>
          <w:sz w:val="20"/>
        </w:rPr>
        <w:t>, IB Docket No. 16-155, Report and Order, 35 FCC Rcd 10927, 10936, para. 25 (2020) (</w:t>
      </w:r>
      <w:r w:rsidRPr="00210404">
        <w:rPr>
          <w:i/>
          <w:iCs/>
          <w:color w:val="020100"/>
          <w:sz w:val="20"/>
        </w:rPr>
        <w:t>Executive Branch Review Process Order</w:t>
      </w:r>
      <w:r w:rsidRPr="00210404">
        <w:rPr>
          <w:color w:val="020100"/>
          <w:sz w:val="20"/>
        </w:rPr>
        <w:t xml:space="preserve">).  </w:t>
      </w:r>
    </w:p>
  </w:footnote>
  <w:footnote w:id="26">
    <w:p w:rsidR="00703B04" w:rsidRPr="00210404" w:rsidP="00703B04" w14:paraId="1ECAE202" w14:textId="77777777">
      <w:pPr>
        <w:spacing w:after="120"/>
        <w:rPr>
          <w:sz w:val="20"/>
        </w:rPr>
      </w:pPr>
      <w:r w:rsidRPr="00210404">
        <w:rPr>
          <w:rStyle w:val="FootnoteReference"/>
          <w:sz w:val="20"/>
        </w:rPr>
        <w:footnoteRef/>
      </w:r>
      <w:r w:rsidRPr="00210404">
        <w:rPr>
          <w:sz w:val="20"/>
        </w:rPr>
        <w:t xml:space="preserve"> </w:t>
      </w:r>
      <w:r w:rsidRPr="00210404">
        <w:rPr>
          <w:i/>
          <w:iCs/>
          <w:sz w:val="20"/>
        </w:rPr>
        <w:t>Id</w:t>
      </w:r>
      <w:r w:rsidRPr="00210404">
        <w:rPr>
          <w:sz w:val="20"/>
        </w:rPr>
        <w:t>.</w:t>
      </w:r>
    </w:p>
  </w:footnote>
  <w:footnote w:id="27">
    <w:p w:rsidR="00703B04" w:rsidRPr="00210404" w:rsidP="00703B04" w14:paraId="684D1AF3" w14:textId="30020263">
      <w:pPr>
        <w:spacing w:after="120"/>
        <w:rPr>
          <w:sz w:val="20"/>
        </w:rPr>
      </w:pPr>
      <w:r w:rsidRPr="00210404">
        <w:rPr>
          <w:rStyle w:val="FootnoteReference"/>
          <w:sz w:val="20"/>
        </w:rPr>
        <w:footnoteRef/>
      </w:r>
      <w:r w:rsidRPr="00210404">
        <w:rPr>
          <w:sz w:val="20"/>
        </w:rPr>
        <w:t xml:space="preserve"> Application at </w:t>
      </w:r>
      <w:r>
        <w:rPr>
          <w:sz w:val="20"/>
        </w:rPr>
        <w:t>1</w:t>
      </w:r>
      <w:r w:rsidR="003852F9">
        <w:rPr>
          <w:sz w:val="20"/>
        </w:rPr>
        <w:t>5</w:t>
      </w:r>
      <w:r w:rsidR="00F377A2">
        <w:rPr>
          <w:sz w:val="20"/>
        </w:rPr>
        <w:t>-16</w:t>
      </w:r>
      <w:r>
        <w:rPr>
          <w:sz w:val="20"/>
        </w:rPr>
        <w:t>.</w:t>
      </w:r>
    </w:p>
  </w:footnote>
  <w:footnote w:id="28">
    <w:p w:rsidR="00703B04" w:rsidRPr="00210404" w:rsidP="00703B04" w14:paraId="710FCD44" w14:textId="77777777">
      <w:pPr>
        <w:spacing w:after="120"/>
        <w:rPr>
          <w:sz w:val="20"/>
        </w:rPr>
      </w:pPr>
      <w:r w:rsidRPr="00210404">
        <w:rPr>
          <w:rStyle w:val="FootnoteReference"/>
          <w:sz w:val="20"/>
        </w:rPr>
        <w:footnoteRef/>
      </w:r>
      <w:r w:rsidRPr="00210404">
        <w:rPr>
          <w:sz w:val="20"/>
        </w:rPr>
        <w:t xml:space="preserve"> </w:t>
      </w:r>
      <w:r w:rsidRPr="00210404">
        <w:rPr>
          <w:i/>
          <w:iCs/>
          <w:sz w:val="20"/>
        </w:rPr>
        <w:t>See</w:t>
      </w:r>
      <w:r w:rsidRPr="00210404">
        <w:rPr>
          <w:sz w:val="20"/>
        </w:rPr>
        <w:t xml:space="preserve"> </w:t>
      </w:r>
      <w:r w:rsidRPr="00210404">
        <w:rPr>
          <w:i/>
          <w:iCs/>
          <w:sz w:val="20"/>
        </w:rPr>
        <w:t>Executive Branch Review Process Order</w:t>
      </w:r>
      <w:r w:rsidRPr="00210404">
        <w:rPr>
          <w:sz w:val="20"/>
        </w:rPr>
        <w:t xml:space="preserve">, 35 FCC Rcd at 10941, para. 36 n.99; </w:t>
      </w:r>
      <w:r w:rsidRPr="00210404">
        <w:rPr>
          <w:i/>
          <w:iCs/>
          <w:sz w:val="20"/>
        </w:rPr>
        <w:t>see also id</w:t>
      </w:r>
      <w:r w:rsidRPr="00210404">
        <w:rPr>
          <w:sz w:val="20"/>
        </w:rPr>
        <w:t>. at 10939, para</w:t>
      </w:r>
      <w:r>
        <w:rPr>
          <w:sz w:val="20"/>
        </w:rPr>
        <w:t>.</w:t>
      </w:r>
      <w:r w:rsidRPr="00210404">
        <w:rPr>
          <w:sz w:val="20"/>
        </w:rPr>
        <w:t xml:space="preserve"> 30 n.81.</w:t>
      </w:r>
    </w:p>
  </w:footnote>
  <w:footnote w:id="29">
    <w:p w:rsidR="00DD0F03" w:rsidRPr="001E796C" w:rsidP="00DD0F03" w14:paraId="04F87856" w14:textId="77777777">
      <w:pPr>
        <w:pStyle w:val="FootnoteText"/>
      </w:pPr>
      <w:r w:rsidRPr="001E796C">
        <w:rPr>
          <w:rStyle w:val="FootnoteReference"/>
        </w:rPr>
        <w:footnoteRef/>
      </w:r>
      <w:r w:rsidRPr="001E796C">
        <w:t xml:space="preserve"> </w:t>
      </w:r>
      <w:r w:rsidRPr="001E796C">
        <w:rPr>
          <w:i/>
        </w:rPr>
        <w:t>See</w:t>
      </w:r>
      <w:r w:rsidRPr="001E796C">
        <w:t xml:space="preserve"> 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E7FCBA3" w14:textId="7F0BF60B">
    <w:pPr>
      <w:tabs>
        <w:tab w:val="center" w:pos="4680"/>
        <w:tab w:val="right" w:pos="9360"/>
      </w:tabs>
    </w:pPr>
    <w:r>
      <w:rPr>
        <w:b/>
      </w:rPr>
      <w:tab/>
      <w:t>Federal Communications Commission</w:t>
    </w:r>
    <w:r>
      <w:rPr>
        <w:b/>
      </w:rPr>
      <w:tab/>
    </w:r>
    <w:r w:rsidR="009A6574">
      <w:rPr>
        <w:b/>
      </w:rPr>
      <w:t>DA 2</w:t>
    </w:r>
    <w:r w:rsidR="002F6D68">
      <w:rPr>
        <w:b/>
      </w:rPr>
      <w:t>6</w:t>
    </w:r>
    <w:r w:rsidR="009A6574">
      <w:rPr>
        <w:b/>
      </w:rPr>
      <w:t>-</w:t>
    </w:r>
    <w:r w:rsidR="00567153">
      <w:rPr>
        <w:b/>
      </w:rPr>
      <w:t>636</w:t>
    </w:r>
  </w:p>
  <w:p w:rsidR="00BA3BA8" w14:paraId="47B3F9FE" w14:textId="02D68A6B">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E8A4D94"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FBD0559" w14:textId="37959955">
    <w:pPr>
      <w:pStyle w:val="Header"/>
    </w:pPr>
    <w:r>
      <w:rPr>
        <w:noProof/>
      </w:rPr>
      <w:drawing>
        <wp:inline distT="0" distB="0" distL="0" distR="0">
          <wp:extent cx="5949950"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995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7">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30445072">
    <w:abstractNumId w:val="2"/>
  </w:num>
  <w:num w:numId="2" w16cid:durableId="10450596">
    <w:abstractNumId w:val="6"/>
  </w:num>
  <w:num w:numId="3" w16cid:durableId="1446579033">
    <w:abstractNumId w:val="4"/>
  </w:num>
  <w:num w:numId="4" w16cid:durableId="301204587">
    <w:abstractNumId w:val="5"/>
  </w:num>
  <w:num w:numId="5" w16cid:durableId="444347286">
    <w:abstractNumId w:val="3"/>
  </w:num>
  <w:num w:numId="6" w16cid:durableId="1088965938">
    <w:abstractNumId w:val="0"/>
  </w:num>
  <w:num w:numId="7" w16cid:durableId="2096245613">
    <w:abstractNumId w:val="7"/>
  </w:num>
  <w:num w:numId="8" w16cid:durableId="823476080">
    <w:abstractNumId w:val="1"/>
  </w:num>
  <w:num w:numId="9" w16cid:durableId="183160307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7ED8"/>
    <w:rsid w:val="0000029E"/>
    <w:rsid w:val="00000B06"/>
    <w:rsid w:val="00002E74"/>
    <w:rsid w:val="000038D9"/>
    <w:rsid w:val="00004948"/>
    <w:rsid w:val="00004AAB"/>
    <w:rsid w:val="00004E27"/>
    <w:rsid w:val="00005B46"/>
    <w:rsid w:val="00007F5A"/>
    <w:rsid w:val="00012118"/>
    <w:rsid w:val="00012F17"/>
    <w:rsid w:val="00017BB3"/>
    <w:rsid w:val="00024446"/>
    <w:rsid w:val="0003015C"/>
    <w:rsid w:val="00030F20"/>
    <w:rsid w:val="00031AD7"/>
    <w:rsid w:val="00034352"/>
    <w:rsid w:val="00036266"/>
    <w:rsid w:val="000362A1"/>
    <w:rsid w:val="00037EBE"/>
    <w:rsid w:val="00041462"/>
    <w:rsid w:val="00042BB8"/>
    <w:rsid w:val="000465D6"/>
    <w:rsid w:val="00046BE3"/>
    <w:rsid w:val="00046C1F"/>
    <w:rsid w:val="00046F29"/>
    <w:rsid w:val="0004702F"/>
    <w:rsid w:val="000471AB"/>
    <w:rsid w:val="00051728"/>
    <w:rsid w:val="0005299F"/>
    <w:rsid w:val="000535A1"/>
    <w:rsid w:val="00054236"/>
    <w:rsid w:val="000556E3"/>
    <w:rsid w:val="00061291"/>
    <w:rsid w:val="00063429"/>
    <w:rsid w:val="00063E6F"/>
    <w:rsid w:val="00064C9C"/>
    <w:rsid w:val="0006688D"/>
    <w:rsid w:val="000712F4"/>
    <w:rsid w:val="00072908"/>
    <w:rsid w:val="00076001"/>
    <w:rsid w:val="00077798"/>
    <w:rsid w:val="00081986"/>
    <w:rsid w:val="00087ED8"/>
    <w:rsid w:val="00090590"/>
    <w:rsid w:val="00095FCC"/>
    <w:rsid w:val="00097F57"/>
    <w:rsid w:val="000A33FC"/>
    <w:rsid w:val="000B0D38"/>
    <w:rsid w:val="000B3E2D"/>
    <w:rsid w:val="000B4827"/>
    <w:rsid w:val="000C0301"/>
    <w:rsid w:val="000C0F2B"/>
    <w:rsid w:val="000C3005"/>
    <w:rsid w:val="000C3B67"/>
    <w:rsid w:val="000C4A0B"/>
    <w:rsid w:val="000D0B4C"/>
    <w:rsid w:val="000D2157"/>
    <w:rsid w:val="000D2A51"/>
    <w:rsid w:val="000D5986"/>
    <w:rsid w:val="000E1B9C"/>
    <w:rsid w:val="000E22A0"/>
    <w:rsid w:val="000E3B87"/>
    <w:rsid w:val="000F38FE"/>
    <w:rsid w:val="000F3A6C"/>
    <w:rsid w:val="000F60A6"/>
    <w:rsid w:val="000F6199"/>
    <w:rsid w:val="000F6992"/>
    <w:rsid w:val="00100CF5"/>
    <w:rsid w:val="00100D1B"/>
    <w:rsid w:val="00106D1D"/>
    <w:rsid w:val="0010711E"/>
    <w:rsid w:val="00113228"/>
    <w:rsid w:val="00115417"/>
    <w:rsid w:val="00117461"/>
    <w:rsid w:val="00120429"/>
    <w:rsid w:val="00122500"/>
    <w:rsid w:val="001226B6"/>
    <w:rsid w:val="0012560A"/>
    <w:rsid w:val="00127E62"/>
    <w:rsid w:val="001304FF"/>
    <w:rsid w:val="00134145"/>
    <w:rsid w:val="0013447C"/>
    <w:rsid w:val="00135BDE"/>
    <w:rsid w:val="00140B52"/>
    <w:rsid w:val="00151CFA"/>
    <w:rsid w:val="00152042"/>
    <w:rsid w:val="001527F5"/>
    <w:rsid w:val="00152875"/>
    <w:rsid w:val="001538AD"/>
    <w:rsid w:val="001609E6"/>
    <w:rsid w:val="00160AEB"/>
    <w:rsid w:val="00162532"/>
    <w:rsid w:val="001646A7"/>
    <w:rsid w:val="0017198F"/>
    <w:rsid w:val="00177993"/>
    <w:rsid w:val="00177DAD"/>
    <w:rsid w:val="001835C8"/>
    <w:rsid w:val="00186E3B"/>
    <w:rsid w:val="00186ECF"/>
    <w:rsid w:val="00193605"/>
    <w:rsid w:val="0019745A"/>
    <w:rsid w:val="001A16F7"/>
    <w:rsid w:val="001A23F0"/>
    <w:rsid w:val="001A6BC7"/>
    <w:rsid w:val="001B2D0B"/>
    <w:rsid w:val="001C2D0A"/>
    <w:rsid w:val="001C2D1F"/>
    <w:rsid w:val="001C320E"/>
    <w:rsid w:val="001C3EB2"/>
    <w:rsid w:val="001C66A4"/>
    <w:rsid w:val="001D0EEA"/>
    <w:rsid w:val="001D3DFF"/>
    <w:rsid w:val="001D52C0"/>
    <w:rsid w:val="001D7DD4"/>
    <w:rsid w:val="001E1179"/>
    <w:rsid w:val="001E2E84"/>
    <w:rsid w:val="001E5FA4"/>
    <w:rsid w:val="001E6249"/>
    <w:rsid w:val="001E6703"/>
    <w:rsid w:val="001E796C"/>
    <w:rsid w:val="001E7C90"/>
    <w:rsid w:val="001E7F56"/>
    <w:rsid w:val="001F0E87"/>
    <w:rsid w:val="001F128C"/>
    <w:rsid w:val="001F38E1"/>
    <w:rsid w:val="001F79F3"/>
    <w:rsid w:val="00202C57"/>
    <w:rsid w:val="002038FE"/>
    <w:rsid w:val="00205D50"/>
    <w:rsid w:val="002100A9"/>
    <w:rsid w:val="00210404"/>
    <w:rsid w:val="00210565"/>
    <w:rsid w:val="002110B1"/>
    <w:rsid w:val="00211274"/>
    <w:rsid w:val="002138AA"/>
    <w:rsid w:val="00213F57"/>
    <w:rsid w:val="002155E6"/>
    <w:rsid w:val="00216951"/>
    <w:rsid w:val="00220043"/>
    <w:rsid w:val="002215DE"/>
    <w:rsid w:val="00221A0B"/>
    <w:rsid w:val="00222508"/>
    <w:rsid w:val="00223624"/>
    <w:rsid w:val="00224009"/>
    <w:rsid w:val="002256DE"/>
    <w:rsid w:val="00226C6A"/>
    <w:rsid w:val="00226F8D"/>
    <w:rsid w:val="00227F1C"/>
    <w:rsid w:val="0023260B"/>
    <w:rsid w:val="00234D09"/>
    <w:rsid w:val="00234E1B"/>
    <w:rsid w:val="00234F46"/>
    <w:rsid w:val="002378B1"/>
    <w:rsid w:val="00241C32"/>
    <w:rsid w:val="00242810"/>
    <w:rsid w:val="00251F14"/>
    <w:rsid w:val="0026004F"/>
    <w:rsid w:val="00261FEA"/>
    <w:rsid w:val="00262130"/>
    <w:rsid w:val="00263146"/>
    <w:rsid w:val="00263F0F"/>
    <w:rsid w:val="00264590"/>
    <w:rsid w:val="00272E2F"/>
    <w:rsid w:val="00275745"/>
    <w:rsid w:val="00276E3C"/>
    <w:rsid w:val="002778D4"/>
    <w:rsid w:val="0028072D"/>
    <w:rsid w:val="0028099D"/>
    <w:rsid w:val="002850A5"/>
    <w:rsid w:val="00286FE6"/>
    <w:rsid w:val="002908F9"/>
    <w:rsid w:val="0029254A"/>
    <w:rsid w:val="002925CB"/>
    <w:rsid w:val="0029337E"/>
    <w:rsid w:val="002936B5"/>
    <w:rsid w:val="00293790"/>
    <w:rsid w:val="00294C94"/>
    <w:rsid w:val="00294FFC"/>
    <w:rsid w:val="00296394"/>
    <w:rsid w:val="002A00CF"/>
    <w:rsid w:val="002A25E9"/>
    <w:rsid w:val="002A3C21"/>
    <w:rsid w:val="002B0310"/>
    <w:rsid w:val="002C01A4"/>
    <w:rsid w:val="002C6511"/>
    <w:rsid w:val="002C6804"/>
    <w:rsid w:val="002D0821"/>
    <w:rsid w:val="002D1F7E"/>
    <w:rsid w:val="002D348A"/>
    <w:rsid w:val="002D6333"/>
    <w:rsid w:val="002E124C"/>
    <w:rsid w:val="002E63E2"/>
    <w:rsid w:val="002E68DD"/>
    <w:rsid w:val="002E6B2C"/>
    <w:rsid w:val="002E721C"/>
    <w:rsid w:val="002F0AA2"/>
    <w:rsid w:val="002F0E63"/>
    <w:rsid w:val="002F21BD"/>
    <w:rsid w:val="002F3AA1"/>
    <w:rsid w:val="002F4BBA"/>
    <w:rsid w:val="002F564D"/>
    <w:rsid w:val="002F5B0C"/>
    <w:rsid w:val="002F5E68"/>
    <w:rsid w:val="002F6D68"/>
    <w:rsid w:val="00306AD0"/>
    <w:rsid w:val="00306ED8"/>
    <w:rsid w:val="00310069"/>
    <w:rsid w:val="003117B3"/>
    <w:rsid w:val="00314824"/>
    <w:rsid w:val="003216F2"/>
    <w:rsid w:val="00324DF0"/>
    <w:rsid w:val="00331BDC"/>
    <w:rsid w:val="0033236C"/>
    <w:rsid w:val="00332514"/>
    <w:rsid w:val="0033704B"/>
    <w:rsid w:val="00343094"/>
    <w:rsid w:val="003448B1"/>
    <w:rsid w:val="00350801"/>
    <w:rsid w:val="00350DD0"/>
    <w:rsid w:val="00352067"/>
    <w:rsid w:val="00353F87"/>
    <w:rsid w:val="003552F2"/>
    <w:rsid w:val="00355C13"/>
    <w:rsid w:val="00355FA5"/>
    <w:rsid w:val="00356CEA"/>
    <w:rsid w:val="00357FFE"/>
    <w:rsid w:val="0036025D"/>
    <w:rsid w:val="00362095"/>
    <w:rsid w:val="003638AC"/>
    <w:rsid w:val="003648C1"/>
    <w:rsid w:val="00364AE4"/>
    <w:rsid w:val="003668F6"/>
    <w:rsid w:val="00367402"/>
    <w:rsid w:val="003710C8"/>
    <w:rsid w:val="00373A38"/>
    <w:rsid w:val="00374E30"/>
    <w:rsid w:val="00375D7E"/>
    <w:rsid w:val="00376CBB"/>
    <w:rsid w:val="00377323"/>
    <w:rsid w:val="00377BF8"/>
    <w:rsid w:val="00382E62"/>
    <w:rsid w:val="003852F9"/>
    <w:rsid w:val="003860DB"/>
    <w:rsid w:val="0038642B"/>
    <w:rsid w:val="0039199D"/>
    <w:rsid w:val="00392119"/>
    <w:rsid w:val="003925A7"/>
    <w:rsid w:val="00394E4C"/>
    <w:rsid w:val="0039504B"/>
    <w:rsid w:val="003971E3"/>
    <w:rsid w:val="003974BF"/>
    <w:rsid w:val="003A06CA"/>
    <w:rsid w:val="003A3EF1"/>
    <w:rsid w:val="003A4CE3"/>
    <w:rsid w:val="003A721A"/>
    <w:rsid w:val="003A77F9"/>
    <w:rsid w:val="003B0814"/>
    <w:rsid w:val="003B1989"/>
    <w:rsid w:val="003B1C20"/>
    <w:rsid w:val="003B2A52"/>
    <w:rsid w:val="003B3F71"/>
    <w:rsid w:val="003B41B9"/>
    <w:rsid w:val="003B7C23"/>
    <w:rsid w:val="003C1347"/>
    <w:rsid w:val="003C3E13"/>
    <w:rsid w:val="003C4ADD"/>
    <w:rsid w:val="003C5EB7"/>
    <w:rsid w:val="003C636A"/>
    <w:rsid w:val="003D1D8A"/>
    <w:rsid w:val="003D206C"/>
    <w:rsid w:val="003D2139"/>
    <w:rsid w:val="003E4AB8"/>
    <w:rsid w:val="003E53C6"/>
    <w:rsid w:val="003E62D3"/>
    <w:rsid w:val="003E7453"/>
    <w:rsid w:val="003E7E10"/>
    <w:rsid w:val="003F562F"/>
    <w:rsid w:val="00402569"/>
    <w:rsid w:val="00405079"/>
    <w:rsid w:val="004052BF"/>
    <w:rsid w:val="00406B3D"/>
    <w:rsid w:val="00407B16"/>
    <w:rsid w:val="0041095F"/>
    <w:rsid w:val="00410DEF"/>
    <w:rsid w:val="00412235"/>
    <w:rsid w:val="0041559F"/>
    <w:rsid w:val="004176C3"/>
    <w:rsid w:val="00421FCB"/>
    <w:rsid w:val="00422657"/>
    <w:rsid w:val="0042386B"/>
    <w:rsid w:val="00425017"/>
    <w:rsid w:val="004257C9"/>
    <w:rsid w:val="004279D4"/>
    <w:rsid w:val="00430183"/>
    <w:rsid w:val="004320F8"/>
    <w:rsid w:val="004348D1"/>
    <w:rsid w:val="004353B8"/>
    <w:rsid w:val="00436681"/>
    <w:rsid w:val="00437A9D"/>
    <w:rsid w:val="0044022C"/>
    <w:rsid w:val="0044101E"/>
    <w:rsid w:val="00444E6D"/>
    <w:rsid w:val="00445179"/>
    <w:rsid w:val="00445802"/>
    <w:rsid w:val="00446296"/>
    <w:rsid w:val="00447F39"/>
    <w:rsid w:val="00450153"/>
    <w:rsid w:val="00452260"/>
    <w:rsid w:val="00452274"/>
    <w:rsid w:val="0045249B"/>
    <w:rsid w:val="004547AC"/>
    <w:rsid w:val="00455999"/>
    <w:rsid w:val="00455E6E"/>
    <w:rsid w:val="004565CF"/>
    <w:rsid w:val="00460354"/>
    <w:rsid w:val="004651F9"/>
    <w:rsid w:val="00466EAA"/>
    <w:rsid w:val="00467F7E"/>
    <w:rsid w:val="004702D2"/>
    <w:rsid w:val="004719E0"/>
    <w:rsid w:val="00472299"/>
    <w:rsid w:val="0047356B"/>
    <w:rsid w:val="004759AD"/>
    <w:rsid w:val="00476A67"/>
    <w:rsid w:val="004774CD"/>
    <w:rsid w:val="00480E3A"/>
    <w:rsid w:val="004811B7"/>
    <w:rsid w:val="00481AA6"/>
    <w:rsid w:val="00484899"/>
    <w:rsid w:val="00490240"/>
    <w:rsid w:val="00493540"/>
    <w:rsid w:val="00493EBD"/>
    <w:rsid w:val="004960BB"/>
    <w:rsid w:val="00496474"/>
    <w:rsid w:val="004A0F85"/>
    <w:rsid w:val="004A194E"/>
    <w:rsid w:val="004A275F"/>
    <w:rsid w:val="004A312C"/>
    <w:rsid w:val="004A5367"/>
    <w:rsid w:val="004A656E"/>
    <w:rsid w:val="004B0798"/>
    <w:rsid w:val="004B4321"/>
    <w:rsid w:val="004B445B"/>
    <w:rsid w:val="004B5035"/>
    <w:rsid w:val="004B6C42"/>
    <w:rsid w:val="004C4E77"/>
    <w:rsid w:val="004D18E2"/>
    <w:rsid w:val="004D1C23"/>
    <w:rsid w:val="004D2315"/>
    <w:rsid w:val="004D2749"/>
    <w:rsid w:val="004D41EF"/>
    <w:rsid w:val="004D43A8"/>
    <w:rsid w:val="004D73DE"/>
    <w:rsid w:val="004E0DF2"/>
    <w:rsid w:val="004E3575"/>
    <w:rsid w:val="004E4636"/>
    <w:rsid w:val="004E68F9"/>
    <w:rsid w:val="004E6E04"/>
    <w:rsid w:val="004F0544"/>
    <w:rsid w:val="004F52B9"/>
    <w:rsid w:val="004F6B08"/>
    <w:rsid w:val="004F7ABC"/>
    <w:rsid w:val="005036CD"/>
    <w:rsid w:val="00507F3A"/>
    <w:rsid w:val="005112C9"/>
    <w:rsid w:val="00512F61"/>
    <w:rsid w:val="00514099"/>
    <w:rsid w:val="00520D46"/>
    <w:rsid w:val="0052256B"/>
    <w:rsid w:val="005240CD"/>
    <w:rsid w:val="00537CAF"/>
    <w:rsid w:val="00542B69"/>
    <w:rsid w:val="005437C2"/>
    <w:rsid w:val="00543D0D"/>
    <w:rsid w:val="00543F4F"/>
    <w:rsid w:val="00547C2C"/>
    <w:rsid w:val="005539EC"/>
    <w:rsid w:val="00555BE6"/>
    <w:rsid w:val="00556714"/>
    <w:rsid w:val="005613BD"/>
    <w:rsid w:val="00561F16"/>
    <w:rsid w:val="00563CCE"/>
    <w:rsid w:val="00564646"/>
    <w:rsid w:val="00566D27"/>
    <w:rsid w:val="00567153"/>
    <w:rsid w:val="005674AF"/>
    <w:rsid w:val="00570245"/>
    <w:rsid w:val="00575F79"/>
    <w:rsid w:val="005772D2"/>
    <w:rsid w:val="00581178"/>
    <w:rsid w:val="00583484"/>
    <w:rsid w:val="0058357C"/>
    <w:rsid w:val="0058557F"/>
    <w:rsid w:val="005868AE"/>
    <w:rsid w:val="005917FD"/>
    <w:rsid w:val="00595407"/>
    <w:rsid w:val="00595781"/>
    <w:rsid w:val="00597AA8"/>
    <w:rsid w:val="00597D45"/>
    <w:rsid w:val="005A3EAB"/>
    <w:rsid w:val="005A5F30"/>
    <w:rsid w:val="005A6C29"/>
    <w:rsid w:val="005A71B2"/>
    <w:rsid w:val="005B1AE3"/>
    <w:rsid w:val="005B6C08"/>
    <w:rsid w:val="005C3A2C"/>
    <w:rsid w:val="005C3F9E"/>
    <w:rsid w:val="005C40CC"/>
    <w:rsid w:val="005C5728"/>
    <w:rsid w:val="005D2ACB"/>
    <w:rsid w:val="005D54C9"/>
    <w:rsid w:val="005D6116"/>
    <w:rsid w:val="005D681D"/>
    <w:rsid w:val="005E1085"/>
    <w:rsid w:val="005E434A"/>
    <w:rsid w:val="005E695B"/>
    <w:rsid w:val="005F0D1D"/>
    <w:rsid w:val="005F1E10"/>
    <w:rsid w:val="005F6F3A"/>
    <w:rsid w:val="005F7DAE"/>
    <w:rsid w:val="005F7FB1"/>
    <w:rsid w:val="00600F4C"/>
    <w:rsid w:val="006061A9"/>
    <w:rsid w:val="00606340"/>
    <w:rsid w:val="006117E4"/>
    <w:rsid w:val="00611912"/>
    <w:rsid w:val="00615DB4"/>
    <w:rsid w:val="00616B73"/>
    <w:rsid w:val="006170BC"/>
    <w:rsid w:val="0061774B"/>
    <w:rsid w:val="00617E52"/>
    <w:rsid w:val="006245A5"/>
    <w:rsid w:val="00627E7A"/>
    <w:rsid w:val="0063041B"/>
    <w:rsid w:val="00634A02"/>
    <w:rsid w:val="00640260"/>
    <w:rsid w:val="00642A6C"/>
    <w:rsid w:val="006466EF"/>
    <w:rsid w:val="0065127F"/>
    <w:rsid w:val="00654756"/>
    <w:rsid w:val="00655AF0"/>
    <w:rsid w:val="00657DDE"/>
    <w:rsid w:val="00660C00"/>
    <w:rsid w:val="00661599"/>
    <w:rsid w:val="00661FC7"/>
    <w:rsid w:val="00664D5D"/>
    <w:rsid w:val="00667C4C"/>
    <w:rsid w:val="006702ED"/>
    <w:rsid w:val="00672155"/>
    <w:rsid w:val="006721EA"/>
    <w:rsid w:val="00672942"/>
    <w:rsid w:val="0067358D"/>
    <w:rsid w:val="00675BDA"/>
    <w:rsid w:val="00676CC4"/>
    <w:rsid w:val="00680877"/>
    <w:rsid w:val="00682CCE"/>
    <w:rsid w:val="006842EF"/>
    <w:rsid w:val="0068569A"/>
    <w:rsid w:val="00690B02"/>
    <w:rsid w:val="006924C6"/>
    <w:rsid w:val="0069320E"/>
    <w:rsid w:val="006936F0"/>
    <w:rsid w:val="00694198"/>
    <w:rsid w:val="006962CD"/>
    <w:rsid w:val="006A01A1"/>
    <w:rsid w:val="006A5873"/>
    <w:rsid w:val="006A73A6"/>
    <w:rsid w:val="006B008F"/>
    <w:rsid w:val="006B0890"/>
    <w:rsid w:val="006B1CD4"/>
    <w:rsid w:val="006B3C79"/>
    <w:rsid w:val="006B4D7E"/>
    <w:rsid w:val="006B733E"/>
    <w:rsid w:val="006C2885"/>
    <w:rsid w:val="006C3085"/>
    <w:rsid w:val="006C6BB4"/>
    <w:rsid w:val="006C7C8D"/>
    <w:rsid w:val="006D10FC"/>
    <w:rsid w:val="006D15F7"/>
    <w:rsid w:val="006D2C98"/>
    <w:rsid w:val="006D2D69"/>
    <w:rsid w:val="006D348D"/>
    <w:rsid w:val="006D4255"/>
    <w:rsid w:val="006D5EEC"/>
    <w:rsid w:val="006E1093"/>
    <w:rsid w:val="006E6AC1"/>
    <w:rsid w:val="006E7014"/>
    <w:rsid w:val="006F0A89"/>
    <w:rsid w:val="006F27F7"/>
    <w:rsid w:val="006F3A8F"/>
    <w:rsid w:val="006F5527"/>
    <w:rsid w:val="006F711A"/>
    <w:rsid w:val="00702A28"/>
    <w:rsid w:val="00703B04"/>
    <w:rsid w:val="007059B2"/>
    <w:rsid w:val="00710499"/>
    <w:rsid w:val="00710844"/>
    <w:rsid w:val="007114AA"/>
    <w:rsid w:val="007124CF"/>
    <w:rsid w:val="00712C6E"/>
    <w:rsid w:val="007137E6"/>
    <w:rsid w:val="007171D1"/>
    <w:rsid w:val="00720D0B"/>
    <w:rsid w:val="00721E64"/>
    <w:rsid w:val="007220C5"/>
    <w:rsid w:val="00722941"/>
    <w:rsid w:val="00723D69"/>
    <w:rsid w:val="00724BD7"/>
    <w:rsid w:val="00725203"/>
    <w:rsid w:val="00726B19"/>
    <w:rsid w:val="00734777"/>
    <w:rsid w:val="0073551E"/>
    <w:rsid w:val="0073555A"/>
    <w:rsid w:val="00741B07"/>
    <w:rsid w:val="0074215A"/>
    <w:rsid w:val="007440F7"/>
    <w:rsid w:val="0074610C"/>
    <w:rsid w:val="00746336"/>
    <w:rsid w:val="00747093"/>
    <w:rsid w:val="0075199B"/>
    <w:rsid w:val="0075211C"/>
    <w:rsid w:val="00755682"/>
    <w:rsid w:val="00760916"/>
    <w:rsid w:val="007672DB"/>
    <w:rsid w:val="007703E2"/>
    <w:rsid w:val="00773C82"/>
    <w:rsid w:val="00780B05"/>
    <w:rsid w:val="007878A8"/>
    <w:rsid w:val="007909D2"/>
    <w:rsid w:val="00792E4B"/>
    <w:rsid w:val="00792E9C"/>
    <w:rsid w:val="007A0B1C"/>
    <w:rsid w:val="007A0BF4"/>
    <w:rsid w:val="007A76A8"/>
    <w:rsid w:val="007B24B5"/>
    <w:rsid w:val="007B4B2A"/>
    <w:rsid w:val="007B5B90"/>
    <w:rsid w:val="007B75D8"/>
    <w:rsid w:val="007B768E"/>
    <w:rsid w:val="007C1FB2"/>
    <w:rsid w:val="007C38DB"/>
    <w:rsid w:val="007C44E2"/>
    <w:rsid w:val="007C47E9"/>
    <w:rsid w:val="007C54E0"/>
    <w:rsid w:val="007D3529"/>
    <w:rsid w:val="007D6C65"/>
    <w:rsid w:val="007D6E06"/>
    <w:rsid w:val="007E1909"/>
    <w:rsid w:val="007E214C"/>
    <w:rsid w:val="007E3401"/>
    <w:rsid w:val="007E5A46"/>
    <w:rsid w:val="007E6069"/>
    <w:rsid w:val="007E6694"/>
    <w:rsid w:val="007F246A"/>
    <w:rsid w:val="007F3C64"/>
    <w:rsid w:val="007F4E90"/>
    <w:rsid w:val="007F513E"/>
    <w:rsid w:val="007F6F0D"/>
    <w:rsid w:val="008001A8"/>
    <w:rsid w:val="00800E93"/>
    <w:rsid w:val="0080308F"/>
    <w:rsid w:val="008031E5"/>
    <w:rsid w:val="008032C0"/>
    <w:rsid w:val="00803554"/>
    <w:rsid w:val="00805043"/>
    <w:rsid w:val="00811C21"/>
    <w:rsid w:val="00814A65"/>
    <w:rsid w:val="00815E52"/>
    <w:rsid w:val="00822232"/>
    <w:rsid w:val="00822E76"/>
    <w:rsid w:val="00822EC1"/>
    <w:rsid w:val="008321F1"/>
    <w:rsid w:val="008333A8"/>
    <w:rsid w:val="00835D73"/>
    <w:rsid w:val="008409C3"/>
    <w:rsid w:val="008439AC"/>
    <w:rsid w:val="00843A26"/>
    <w:rsid w:val="00843FBB"/>
    <w:rsid w:val="008446C4"/>
    <w:rsid w:val="00847C00"/>
    <w:rsid w:val="008505D1"/>
    <w:rsid w:val="00853C59"/>
    <w:rsid w:val="00853F70"/>
    <w:rsid w:val="00857922"/>
    <w:rsid w:val="00861C4C"/>
    <w:rsid w:val="00864686"/>
    <w:rsid w:val="00867B91"/>
    <w:rsid w:val="008758E4"/>
    <w:rsid w:val="00876D07"/>
    <w:rsid w:val="0088540B"/>
    <w:rsid w:val="00885582"/>
    <w:rsid w:val="00887B3E"/>
    <w:rsid w:val="00890BB3"/>
    <w:rsid w:val="00890BD8"/>
    <w:rsid w:val="00891326"/>
    <w:rsid w:val="00895ADF"/>
    <w:rsid w:val="00896AED"/>
    <w:rsid w:val="00896EBD"/>
    <w:rsid w:val="008A1884"/>
    <w:rsid w:val="008A50AF"/>
    <w:rsid w:val="008A5963"/>
    <w:rsid w:val="008A5D66"/>
    <w:rsid w:val="008A6019"/>
    <w:rsid w:val="008A75DD"/>
    <w:rsid w:val="008A7F49"/>
    <w:rsid w:val="008B349B"/>
    <w:rsid w:val="008B45FF"/>
    <w:rsid w:val="008B49CB"/>
    <w:rsid w:val="008B4A04"/>
    <w:rsid w:val="008C2810"/>
    <w:rsid w:val="008C52B0"/>
    <w:rsid w:val="008C5979"/>
    <w:rsid w:val="008C6141"/>
    <w:rsid w:val="008C6B76"/>
    <w:rsid w:val="008D153D"/>
    <w:rsid w:val="008D51AC"/>
    <w:rsid w:val="008E2EAB"/>
    <w:rsid w:val="008E4291"/>
    <w:rsid w:val="008E6D53"/>
    <w:rsid w:val="008E7B71"/>
    <w:rsid w:val="008F0133"/>
    <w:rsid w:val="008F23B7"/>
    <w:rsid w:val="008F2464"/>
    <w:rsid w:val="008F63C2"/>
    <w:rsid w:val="0090068E"/>
    <w:rsid w:val="0090085B"/>
    <w:rsid w:val="00900CA7"/>
    <w:rsid w:val="00907C66"/>
    <w:rsid w:val="00912578"/>
    <w:rsid w:val="0091360C"/>
    <w:rsid w:val="00916FF2"/>
    <w:rsid w:val="00917CCE"/>
    <w:rsid w:val="00922504"/>
    <w:rsid w:val="00927FFD"/>
    <w:rsid w:val="00930A4F"/>
    <w:rsid w:val="00932416"/>
    <w:rsid w:val="009346F3"/>
    <w:rsid w:val="00935292"/>
    <w:rsid w:val="00940311"/>
    <w:rsid w:val="00942823"/>
    <w:rsid w:val="009436BA"/>
    <w:rsid w:val="009465A1"/>
    <w:rsid w:val="009478BF"/>
    <w:rsid w:val="00947A1D"/>
    <w:rsid w:val="00950691"/>
    <w:rsid w:val="0095786E"/>
    <w:rsid w:val="00960457"/>
    <w:rsid w:val="00961640"/>
    <w:rsid w:val="00963BDF"/>
    <w:rsid w:val="0096724E"/>
    <w:rsid w:val="00967FA7"/>
    <w:rsid w:val="00970436"/>
    <w:rsid w:val="00970AB4"/>
    <w:rsid w:val="00971985"/>
    <w:rsid w:val="00972BB5"/>
    <w:rsid w:val="00972F2B"/>
    <w:rsid w:val="009730D0"/>
    <w:rsid w:val="00975B47"/>
    <w:rsid w:val="00975E64"/>
    <w:rsid w:val="00977231"/>
    <w:rsid w:val="00985D43"/>
    <w:rsid w:val="0098781C"/>
    <w:rsid w:val="00990D27"/>
    <w:rsid w:val="00993071"/>
    <w:rsid w:val="00993789"/>
    <w:rsid w:val="009939C1"/>
    <w:rsid w:val="00994AAA"/>
    <w:rsid w:val="0099513E"/>
    <w:rsid w:val="00997C1E"/>
    <w:rsid w:val="009A13F1"/>
    <w:rsid w:val="009A32C6"/>
    <w:rsid w:val="009A6574"/>
    <w:rsid w:val="009B0011"/>
    <w:rsid w:val="009B490D"/>
    <w:rsid w:val="009B49A4"/>
    <w:rsid w:val="009B535C"/>
    <w:rsid w:val="009B7388"/>
    <w:rsid w:val="009C0A7D"/>
    <w:rsid w:val="009C1A73"/>
    <w:rsid w:val="009C33CF"/>
    <w:rsid w:val="009C3BAA"/>
    <w:rsid w:val="009C5D15"/>
    <w:rsid w:val="009D3A0F"/>
    <w:rsid w:val="009D5D5A"/>
    <w:rsid w:val="009D6CF4"/>
    <w:rsid w:val="009E1FC1"/>
    <w:rsid w:val="009E22D1"/>
    <w:rsid w:val="009E2983"/>
    <w:rsid w:val="009E365C"/>
    <w:rsid w:val="009E59B5"/>
    <w:rsid w:val="009E7758"/>
    <w:rsid w:val="009F044B"/>
    <w:rsid w:val="009F08E4"/>
    <w:rsid w:val="009F15A6"/>
    <w:rsid w:val="009F17E3"/>
    <w:rsid w:val="009F1985"/>
    <w:rsid w:val="009F19EB"/>
    <w:rsid w:val="009F4B25"/>
    <w:rsid w:val="009F5EB3"/>
    <w:rsid w:val="009F6080"/>
    <w:rsid w:val="00A009F5"/>
    <w:rsid w:val="00A03198"/>
    <w:rsid w:val="00A134B8"/>
    <w:rsid w:val="00A13A21"/>
    <w:rsid w:val="00A17504"/>
    <w:rsid w:val="00A178D6"/>
    <w:rsid w:val="00A20679"/>
    <w:rsid w:val="00A2079E"/>
    <w:rsid w:val="00A20944"/>
    <w:rsid w:val="00A21F9F"/>
    <w:rsid w:val="00A258FE"/>
    <w:rsid w:val="00A32BB9"/>
    <w:rsid w:val="00A32F3F"/>
    <w:rsid w:val="00A35453"/>
    <w:rsid w:val="00A37D78"/>
    <w:rsid w:val="00A401F0"/>
    <w:rsid w:val="00A403AF"/>
    <w:rsid w:val="00A42F86"/>
    <w:rsid w:val="00A43A21"/>
    <w:rsid w:val="00A44371"/>
    <w:rsid w:val="00A47F22"/>
    <w:rsid w:val="00A50211"/>
    <w:rsid w:val="00A5379D"/>
    <w:rsid w:val="00A55FE7"/>
    <w:rsid w:val="00A560DD"/>
    <w:rsid w:val="00A56168"/>
    <w:rsid w:val="00A5726A"/>
    <w:rsid w:val="00A62D56"/>
    <w:rsid w:val="00A70C25"/>
    <w:rsid w:val="00A7217E"/>
    <w:rsid w:val="00A72ADD"/>
    <w:rsid w:val="00A76DAD"/>
    <w:rsid w:val="00A7746C"/>
    <w:rsid w:val="00A80EAC"/>
    <w:rsid w:val="00A833D8"/>
    <w:rsid w:val="00A84410"/>
    <w:rsid w:val="00A92E38"/>
    <w:rsid w:val="00A93630"/>
    <w:rsid w:val="00A9577B"/>
    <w:rsid w:val="00A97494"/>
    <w:rsid w:val="00AA37AC"/>
    <w:rsid w:val="00AA395F"/>
    <w:rsid w:val="00AA4927"/>
    <w:rsid w:val="00AA5F16"/>
    <w:rsid w:val="00AA7DB8"/>
    <w:rsid w:val="00AB1312"/>
    <w:rsid w:val="00AC0588"/>
    <w:rsid w:val="00AC0907"/>
    <w:rsid w:val="00AC24E2"/>
    <w:rsid w:val="00AC77DA"/>
    <w:rsid w:val="00AD36F3"/>
    <w:rsid w:val="00AD3735"/>
    <w:rsid w:val="00AD440B"/>
    <w:rsid w:val="00AD61BC"/>
    <w:rsid w:val="00AD72DE"/>
    <w:rsid w:val="00AD7754"/>
    <w:rsid w:val="00AE27C3"/>
    <w:rsid w:val="00AE5AF8"/>
    <w:rsid w:val="00AE72F6"/>
    <w:rsid w:val="00AF110D"/>
    <w:rsid w:val="00AF2080"/>
    <w:rsid w:val="00AF6C91"/>
    <w:rsid w:val="00B10761"/>
    <w:rsid w:val="00B12510"/>
    <w:rsid w:val="00B12887"/>
    <w:rsid w:val="00B142E6"/>
    <w:rsid w:val="00B14550"/>
    <w:rsid w:val="00B161BE"/>
    <w:rsid w:val="00B16DA2"/>
    <w:rsid w:val="00B227CF"/>
    <w:rsid w:val="00B23E3B"/>
    <w:rsid w:val="00B24A61"/>
    <w:rsid w:val="00B26BE8"/>
    <w:rsid w:val="00B26C49"/>
    <w:rsid w:val="00B27E32"/>
    <w:rsid w:val="00B317F7"/>
    <w:rsid w:val="00B340BB"/>
    <w:rsid w:val="00B3627E"/>
    <w:rsid w:val="00B36883"/>
    <w:rsid w:val="00B37703"/>
    <w:rsid w:val="00B41D08"/>
    <w:rsid w:val="00B43470"/>
    <w:rsid w:val="00B43C31"/>
    <w:rsid w:val="00B450A3"/>
    <w:rsid w:val="00B46BE4"/>
    <w:rsid w:val="00B47CAC"/>
    <w:rsid w:val="00B5153D"/>
    <w:rsid w:val="00B52BAA"/>
    <w:rsid w:val="00B5558E"/>
    <w:rsid w:val="00B570DF"/>
    <w:rsid w:val="00B60B2A"/>
    <w:rsid w:val="00B62C35"/>
    <w:rsid w:val="00B65942"/>
    <w:rsid w:val="00B72C93"/>
    <w:rsid w:val="00B7733D"/>
    <w:rsid w:val="00B83D65"/>
    <w:rsid w:val="00B90A13"/>
    <w:rsid w:val="00B91092"/>
    <w:rsid w:val="00B92646"/>
    <w:rsid w:val="00B933D7"/>
    <w:rsid w:val="00B93645"/>
    <w:rsid w:val="00B93C0A"/>
    <w:rsid w:val="00BA0A27"/>
    <w:rsid w:val="00BA2D02"/>
    <w:rsid w:val="00BA3BA8"/>
    <w:rsid w:val="00BA740E"/>
    <w:rsid w:val="00BA764B"/>
    <w:rsid w:val="00BB69BF"/>
    <w:rsid w:val="00BB7385"/>
    <w:rsid w:val="00BC04F1"/>
    <w:rsid w:val="00BC3763"/>
    <w:rsid w:val="00BC7C62"/>
    <w:rsid w:val="00BE0052"/>
    <w:rsid w:val="00BE2011"/>
    <w:rsid w:val="00BE3034"/>
    <w:rsid w:val="00BE3148"/>
    <w:rsid w:val="00BE6327"/>
    <w:rsid w:val="00BF0A80"/>
    <w:rsid w:val="00BF33D5"/>
    <w:rsid w:val="00BF3FBD"/>
    <w:rsid w:val="00BF7BAE"/>
    <w:rsid w:val="00C11922"/>
    <w:rsid w:val="00C129A5"/>
    <w:rsid w:val="00C12C66"/>
    <w:rsid w:val="00C15B89"/>
    <w:rsid w:val="00C2228E"/>
    <w:rsid w:val="00C22F98"/>
    <w:rsid w:val="00C24A7F"/>
    <w:rsid w:val="00C2790C"/>
    <w:rsid w:val="00C30E0F"/>
    <w:rsid w:val="00C32393"/>
    <w:rsid w:val="00C34852"/>
    <w:rsid w:val="00C35F4C"/>
    <w:rsid w:val="00C36566"/>
    <w:rsid w:val="00C36F65"/>
    <w:rsid w:val="00C416C3"/>
    <w:rsid w:val="00C43FAA"/>
    <w:rsid w:val="00C44387"/>
    <w:rsid w:val="00C44AAE"/>
    <w:rsid w:val="00C45315"/>
    <w:rsid w:val="00C567B3"/>
    <w:rsid w:val="00C56963"/>
    <w:rsid w:val="00C60B2F"/>
    <w:rsid w:val="00C618CA"/>
    <w:rsid w:val="00C631D5"/>
    <w:rsid w:val="00C66E4B"/>
    <w:rsid w:val="00C7276B"/>
    <w:rsid w:val="00C72BF7"/>
    <w:rsid w:val="00C74762"/>
    <w:rsid w:val="00C748DE"/>
    <w:rsid w:val="00C766A5"/>
    <w:rsid w:val="00C810B7"/>
    <w:rsid w:val="00C82BF0"/>
    <w:rsid w:val="00C84B3F"/>
    <w:rsid w:val="00C8738C"/>
    <w:rsid w:val="00C90947"/>
    <w:rsid w:val="00C9135E"/>
    <w:rsid w:val="00C934D7"/>
    <w:rsid w:val="00C93608"/>
    <w:rsid w:val="00C97309"/>
    <w:rsid w:val="00CA313F"/>
    <w:rsid w:val="00CB3B8D"/>
    <w:rsid w:val="00CB3CB7"/>
    <w:rsid w:val="00CB4323"/>
    <w:rsid w:val="00CC165A"/>
    <w:rsid w:val="00CC3076"/>
    <w:rsid w:val="00CC49AD"/>
    <w:rsid w:val="00CC59C5"/>
    <w:rsid w:val="00CD1DB1"/>
    <w:rsid w:val="00CD2E15"/>
    <w:rsid w:val="00CD3AE5"/>
    <w:rsid w:val="00CD75AA"/>
    <w:rsid w:val="00CE6D0B"/>
    <w:rsid w:val="00CE73E3"/>
    <w:rsid w:val="00CF2109"/>
    <w:rsid w:val="00CF2988"/>
    <w:rsid w:val="00CF78A3"/>
    <w:rsid w:val="00D003E5"/>
    <w:rsid w:val="00D16F6B"/>
    <w:rsid w:val="00D20977"/>
    <w:rsid w:val="00D21ADC"/>
    <w:rsid w:val="00D21E19"/>
    <w:rsid w:val="00D22F0D"/>
    <w:rsid w:val="00D24F57"/>
    <w:rsid w:val="00D26CD8"/>
    <w:rsid w:val="00D26FCC"/>
    <w:rsid w:val="00D27221"/>
    <w:rsid w:val="00D3166B"/>
    <w:rsid w:val="00D32898"/>
    <w:rsid w:val="00D332C7"/>
    <w:rsid w:val="00D358BE"/>
    <w:rsid w:val="00D35959"/>
    <w:rsid w:val="00D40DF4"/>
    <w:rsid w:val="00D42674"/>
    <w:rsid w:val="00D442AD"/>
    <w:rsid w:val="00D51530"/>
    <w:rsid w:val="00D51988"/>
    <w:rsid w:val="00D55105"/>
    <w:rsid w:val="00D55D6B"/>
    <w:rsid w:val="00D61CFF"/>
    <w:rsid w:val="00D66B58"/>
    <w:rsid w:val="00D67B07"/>
    <w:rsid w:val="00D703C3"/>
    <w:rsid w:val="00D73DAB"/>
    <w:rsid w:val="00D754C9"/>
    <w:rsid w:val="00D80708"/>
    <w:rsid w:val="00D807A2"/>
    <w:rsid w:val="00D819DB"/>
    <w:rsid w:val="00D84D8E"/>
    <w:rsid w:val="00D85107"/>
    <w:rsid w:val="00D85D9E"/>
    <w:rsid w:val="00D85FEE"/>
    <w:rsid w:val="00D86188"/>
    <w:rsid w:val="00D92355"/>
    <w:rsid w:val="00D92A44"/>
    <w:rsid w:val="00D93A0E"/>
    <w:rsid w:val="00D948D4"/>
    <w:rsid w:val="00D95483"/>
    <w:rsid w:val="00DA0A04"/>
    <w:rsid w:val="00DA1C48"/>
    <w:rsid w:val="00DA3B0F"/>
    <w:rsid w:val="00DA6DCD"/>
    <w:rsid w:val="00DA7D94"/>
    <w:rsid w:val="00DB133B"/>
    <w:rsid w:val="00DB3CBC"/>
    <w:rsid w:val="00DB3F48"/>
    <w:rsid w:val="00DB7732"/>
    <w:rsid w:val="00DC5376"/>
    <w:rsid w:val="00DD0752"/>
    <w:rsid w:val="00DD0F03"/>
    <w:rsid w:val="00DD0F4B"/>
    <w:rsid w:val="00DD16D9"/>
    <w:rsid w:val="00DD171B"/>
    <w:rsid w:val="00DD2109"/>
    <w:rsid w:val="00DD57CE"/>
    <w:rsid w:val="00DD6D33"/>
    <w:rsid w:val="00DD76D3"/>
    <w:rsid w:val="00DD79FB"/>
    <w:rsid w:val="00DD7DAE"/>
    <w:rsid w:val="00DE3D67"/>
    <w:rsid w:val="00DE3EAF"/>
    <w:rsid w:val="00DE581E"/>
    <w:rsid w:val="00DE609A"/>
    <w:rsid w:val="00DE694C"/>
    <w:rsid w:val="00DF16C8"/>
    <w:rsid w:val="00DF5A0E"/>
    <w:rsid w:val="00E02EA8"/>
    <w:rsid w:val="00E0550E"/>
    <w:rsid w:val="00E05748"/>
    <w:rsid w:val="00E05DBD"/>
    <w:rsid w:val="00E0751C"/>
    <w:rsid w:val="00E14FA7"/>
    <w:rsid w:val="00E15EDB"/>
    <w:rsid w:val="00E16228"/>
    <w:rsid w:val="00E16542"/>
    <w:rsid w:val="00E168F9"/>
    <w:rsid w:val="00E16D39"/>
    <w:rsid w:val="00E20B14"/>
    <w:rsid w:val="00E223D3"/>
    <w:rsid w:val="00E36A31"/>
    <w:rsid w:val="00E37A1F"/>
    <w:rsid w:val="00E41FC5"/>
    <w:rsid w:val="00E42688"/>
    <w:rsid w:val="00E4407B"/>
    <w:rsid w:val="00E44F22"/>
    <w:rsid w:val="00E4743F"/>
    <w:rsid w:val="00E56BF7"/>
    <w:rsid w:val="00E60558"/>
    <w:rsid w:val="00E63466"/>
    <w:rsid w:val="00E64176"/>
    <w:rsid w:val="00E750CE"/>
    <w:rsid w:val="00E75CB7"/>
    <w:rsid w:val="00E7675B"/>
    <w:rsid w:val="00E77236"/>
    <w:rsid w:val="00E83957"/>
    <w:rsid w:val="00E85B28"/>
    <w:rsid w:val="00E862D2"/>
    <w:rsid w:val="00E917D5"/>
    <w:rsid w:val="00E941CF"/>
    <w:rsid w:val="00E9713E"/>
    <w:rsid w:val="00EA326A"/>
    <w:rsid w:val="00EA4CCF"/>
    <w:rsid w:val="00EA534F"/>
    <w:rsid w:val="00EA753A"/>
    <w:rsid w:val="00EA77D8"/>
    <w:rsid w:val="00EA7D56"/>
    <w:rsid w:val="00EB0CC2"/>
    <w:rsid w:val="00EB54D6"/>
    <w:rsid w:val="00EB69A0"/>
    <w:rsid w:val="00EC0A70"/>
    <w:rsid w:val="00EC13A8"/>
    <w:rsid w:val="00EC4BB0"/>
    <w:rsid w:val="00EC5C18"/>
    <w:rsid w:val="00ED029F"/>
    <w:rsid w:val="00ED27CA"/>
    <w:rsid w:val="00ED2A66"/>
    <w:rsid w:val="00ED3CBB"/>
    <w:rsid w:val="00ED4BD0"/>
    <w:rsid w:val="00ED4CB6"/>
    <w:rsid w:val="00ED5781"/>
    <w:rsid w:val="00ED6CD1"/>
    <w:rsid w:val="00ED6F3B"/>
    <w:rsid w:val="00ED7555"/>
    <w:rsid w:val="00EE0A65"/>
    <w:rsid w:val="00EE1EC8"/>
    <w:rsid w:val="00EE231C"/>
    <w:rsid w:val="00EE248D"/>
    <w:rsid w:val="00EE2528"/>
    <w:rsid w:val="00EE3268"/>
    <w:rsid w:val="00EE3AA3"/>
    <w:rsid w:val="00EE3AED"/>
    <w:rsid w:val="00EF038F"/>
    <w:rsid w:val="00EF29AE"/>
    <w:rsid w:val="00EF466B"/>
    <w:rsid w:val="00EF53AB"/>
    <w:rsid w:val="00EF6D42"/>
    <w:rsid w:val="00F03EA1"/>
    <w:rsid w:val="00F1013A"/>
    <w:rsid w:val="00F12819"/>
    <w:rsid w:val="00F13628"/>
    <w:rsid w:val="00F13F7B"/>
    <w:rsid w:val="00F22165"/>
    <w:rsid w:val="00F24605"/>
    <w:rsid w:val="00F305F3"/>
    <w:rsid w:val="00F36961"/>
    <w:rsid w:val="00F36FDE"/>
    <w:rsid w:val="00F37544"/>
    <w:rsid w:val="00F377A2"/>
    <w:rsid w:val="00F40EAF"/>
    <w:rsid w:val="00F411D7"/>
    <w:rsid w:val="00F505F3"/>
    <w:rsid w:val="00F53FA8"/>
    <w:rsid w:val="00F56B64"/>
    <w:rsid w:val="00F611F1"/>
    <w:rsid w:val="00F616C5"/>
    <w:rsid w:val="00F6176D"/>
    <w:rsid w:val="00F75BA9"/>
    <w:rsid w:val="00F765B6"/>
    <w:rsid w:val="00F772B4"/>
    <w:rsid w:val="00F7760A"/>
    <w:rsid w:val="00F77A26"/>
    <w:rsid w:val="00F81040"/>
    <w:rsid w:val="00F92238"/>
    <w:rsid w:val="00F94C49"/>
    <w:rsid w:val="00F95BD2"/>
    <w:rsid w:val="00F967AE"/>
    <w:rsid w:val="00F97C00"/>
    <w:rsid w:val="00F97CF5"/>
    <w:rsid w:val="00FA0905"/>
    <w:rsid w:val="00FA1A93"/>
    <w:rsid w:val="00FA1BB4"/>
    <w:rsid w:val="00FA2C96"/>
    <w:rsid w:val="00FA68E7"/>
    <w:rsid w:val="00FA7AEC"/>
    <w:rsid w:val="00FA7CA1"/>
    <w:rsid w:val="00FB1411"/>
    <w:rsid w:val="00FB3BB7"/>
    <w:rsid w:val="00FB7764"/>
    <w:rsid w:val="00FC0869"/>
    <w:rsid w:val="00FC490A"/>
    <w:rsid w:val="00FC5E16"/>
    <w:rsid w:val="00FC605B"/>
    <w:rsid w:val="00FC6F39"/>
    <w:rsid w:val="00FC7C69"/>
    <w:rsid w:val="00FD6FEE"/>
    <w:rsid w:val="00FD7EE2"/>
    <w:rsid w:val="00FE0417"/>
    <w:rsid w:val="00FE07A6"/>
    <w:rsid w:val="00FE3775"/>
    <w:rsid w:val="00FE76A8"/>
    <w:rsid w:val="00FF5086"/>
    <w:rsid w:val="52D3F29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D6FAB69"/>
  <w15:chartTrackingRefBased/>
  <w15:docId w15:val="{9122BCF7-6A29-4126-BB4D-CB3F443D4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087ED8"/>
  </w:style>
  <w:style w:type="character" w:styleId="CommentReference">
    <w:name w:val="annotation reference"/>
    <w:uiPriority w:val="99"/>
    <w:semiHidden/>
    <w:unhideWhenUsed/>
    <w:rsid w:val="009C3BAA"/>
    <w:rPr>
      <w:sz w:val="16"/>
      <w:szCs w:val="16"/>
    </w:rPr>
  </w:style>
  <w:style w:type="paragraph" w:styleId="CommentText">
    <w:name w:val="annotation text"/>
    <w:basedOn w:val="Normal"/>
    <w:link w:val="CommentTextChar"/>
    <w:uiPriority w:val="99"/>
    <w:unhideWhenUsed/>
    <w:rsid w:val="009C3BAA"/>
    <w:rPr>
      <w:sz w:val="20"/>
    </w:rPr>
  </w:style>
  <w:style w:type="character" w:customStyle="1" w:styleId="CommentTextChar">
    <w:name w:val="Comment Text Char"/>
    <w:link w:val="CommentText"/>
    <w:uiPriority w:val="99"/>
    <w:rsid w:val="009C3BAA"/>
    <w:rPr>
      <w:snapToGrid w:val="0"/>
      <w:kern w:val="28"/>
    </w:rPr>
  </w:style>
  <w:style w:type="paragraph" w:styleId="CommentSubject">
    <w:name w:val="annotation subject"/>
    <w:basedOn w:val="CommentText"/>
    <w:next w:val="CommentText"/>
    <w:link w:val="CommentSubjectChar"/>
    <w:uiPriority w:val="99"/>
    <w:semiHidden/>
    <w:unhideWhenUsed/>
    <w:rsid w:val="009C3BAA"/>
    <w:rPr>
      <w:b/>
      <w:bCs/>
    </w:rPr>
  </w:style>
  <w:style w:type="character" w:customStyle="1" w:styleId="CommentSubjectChar">
    <w:name w:val="Comment Subject Char"/>
    <w:link w:val="CommentSubject"/>
    <w:uiPriority w:val="99"/>
    <w:semiHidden/>
    <w:rsid w:val="009C3BAA"/>
    <w:rPr>
      <w:b/>
      <w:bCs/>
      <w:snapToGrid w:val="0"/>
      <w:kern w:val="28"/>
    </w:rPr>
  </w:style>
  <w:style w:type="paragraph" w:styleId="Revision">
    <w:name w:val="Revision"/>
    <w:hidden/>
    <w:uiPriority w:val="99"/>
    <w:semiHidden/>
    <w:rsid w:val="00C35F4C"/>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im.bird@fcc.gov" TargetMode="External" /><Relationship Id="rId11" Type="http://schemas.openxmlformats.org/officeDocument/2006/relationships/header" Target="header1.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2.xml" /><Relationship Id="rId15" Type="http://schemas.openxmlformats.org/officeDocument/2006/relationships/footer" Target="footer3.xml" /><Relationship Id="rId16" Type="http://schemas.openxmlformats.org/officeDocument/2006/relationships/theme" Target="theme/theme1.xml" /><Relationship Id="rId17" Type="http://schemas.openxmlformats.org/officeDocument/2006/relationships/numbering" Target="numbering.xml" /><Relationship Id="rId18"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dennis.johnson@fcc.gov" TargetMode="External" /><Relationship Id="rId9" Type="http://schemas.openxmlformats.org/officeDocument/2006/relationships/hyperlink" Target="mailto:brenda.villanueva@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