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5B71C1" w:rsidP="000246FA" w14:paraId="24CA1F06" w14:textId="77777777">
      <w:pPr>
        <w:jc w:val="center"/>
        <w:rPr>
          <w:b/>
        </w:rPr>
      </w:pPr>
      <w:r w:rsidRPr="0070224F">
        <w:rPr>
          <w:rFonts w:ascii="Times New Roman Bold" w:hAnsi="Times New Roman Bold"/>
          <w:b/>
          <w:kern w:val="0"/>
          <w:szCs w:val="22"/>
        </w:rPr>
        <w:t>Before</w:t>
      </w:r>
      <w:r>
        <w:rPr>
          <w:b/>
        </w:rPr>
        <w:t xml:space="preserve"> the</w:t>
      </w:r>
    </w:p>
    <w:p w:rsidR="005B71C1" w:rsidP="005B71C1" w14:paraId="7914DE60" w14:textId="77777777">
      <w:pPr>
        <w:pStyle w:val="StyleBoldCentered"/>
      </w:pPr>
      <w:r>
        <w:t>F</w:t>
      </w:r>
      <w:r>
        <w:rPr>
          <w:caps w:val="0"/>
        </w:rPr>
        <w:t>ederal Communications Commission</w:t>
      </w:r>
    </w:p>
    <w:p w:rsidR="005B71C1" w:rsidP="005B71C1" w14:paraId="30A407BB" w14:textId="77777777">
      <w:pPr>
        <w:pStyle w:val="StyleBoldCentered"/>
      </w:pPr>
      <w:r>
        <w:rPr>
          <w:caps w:val="0"/>
        </w:rPr>
        <w:t>Washington, D.C. 20554</w:t>
      </w:r>
    </w:p>
    <w:p w:rsidR="005B71C1" w:rsidP="005B71C1" w14:paraId="1FC95858" w14:textId="77777777"/>
    <w:p w:rsidR="005B71C1" w:rsidP="005B71C1" w14:paraId="0A4EDF6B" w14:textId="77777777"/>
    <w:tbl>
      <w:tblPr>
        <w:tblW w:w="0" w:type="auto"/>
        <w:tblLayout w:type="fixed"/>
        <w:tblLook w:val="0000"/>
      </w:tblPr>
      <w:tblGrid>
        <w:gridCol w:w="4698"/>
        <w:gridCol w:w="630"/>
        <w:gridCol w:w="4248"/>
      </w:tblGrid>
      <w:tr w14:paraId="4080C346" w14:textId="77777777">
        <w:tblPrEx>
          <w:tblW w:w="0" w:type="auto"/>
          <w:tblLayout w:type="fixed"/>
          <w:tblLook w:val="0000"/>
        </w:tblPrEx>
        <w:tc>
          <w:tcPr>
            <w:tcW w:w="4698" w:type="dxa"/>
          </w:tcPr>
          <w:p w:rsidR="005B71C1" w14:paraId="0EDDCF3C" w14:textId="77777777">
            <w:pPr>
              <w:tabs>
                <w:tab w:val="center" w:pos="4680"/>
              </w:tabs>
              <w:suppressAutoHyphens/>
              <w:rPr>
                <w:spacing w:val="-2"/>
              </w:rPr>
            </w:pPr>
            <w:r>
              <w:rPr>
                <w:spacing w:val="-2"/>
              </w:rPr>
              <w:t>In the Matter of</w:t>
            </w:r>
          </w:p>
          <w:p w:rsidR="005B71C1" w14:paraId="6E63EF96" w14:textId="77777777">
            <w:pPr>
              <w:tabs>
                <w:tab w:val="center" w:pos="4680"/>
              </w:tabs>
              <w:suppressAutoHyphens/>
              <w:rPr>
                <w:spacing w:val="-2"/>
              </w:rPr>
            </w:pPr>
          </w:p>
          <w:p w:rsidR="005B71C1" w14:paraId="41171C7E" w14:textId="77777777">
            <w:pPr>
              <w:tabs>
                <w:tab w:val="center" w:pos="4680"/>
              </w:tabs>
              <w:suppressAutoHyphens/>
              <w:rPr>
                <w:spacing w:val="-2"/>
              </w:rPr>
            </w:pPr>
            <w:r>
              <w:rPr>
                <w:spacing w:val="-2"/>
              </w:rPr>
              <w:t>Application of Section 333 of the Communications Act to the Testing of Counter-Unmanned Aircraft Systems Technologies</w:t>
            </w:r>
          </w:p>
          <w:p w:rsidR="00836019" w14:paraId="6999CBAD" w14:textId="77777777">
            <w:pPr>
              <w:tabs>
                <w:tab w:val="center" w:pos="4680"/>
              </w:tabs>
              <w:suppressAutoHyphens/>
              <w:rPr>
                <w:spacing w:val="-2"/>
              </w:rPr>
            </w:pPr>
          </w:p>
          <w:p w:rsidR="00836019" w:rsidP="00836019" w14:paraId="120BA409" w14:textId="77777777">
            <w:pPr>
              <w:tabs>
                <w:tab w:val="center" w:pos="4680"/>
              </w:tabs>
              <w:suppressAutoHyphens/>
              <w:rPr>
                <w:spacing w:val="-2"/>
              </w:rPr>
            </w:pPr>
            <w:r>
              <w:rPr>
                <w:spacing w:val="-2"/>
              </w:rPr>
              <w:t>Unleashing American Drone Dominance</w:t>
            </w:r>
          </w:p>
          <w:p w:rsidR="00836019" w:rsidP="00836019" w14:paraId="63A0A949" w14:textId="77777777">
            <w:pPr>
              <w:tabs>
                <w:tab w:val="center" w:pos="4680"/>
              </w:tabs>
              <w:suppressAutoHyphens/>
              <w:rPr>
                <w:spacing w:val="-2"/>
              </w:rPr>
            </w:pPr>
          </w:p>
          <w:p w:rsidR="00836019" w:rsidRPr="007115F7" w14:paraId="0AEB2F94" w14:textId="77777777">
            <w:pPr>
              <w:tabs>
                <w:tab w:val="center" w:pos="4680"/>
              </w:tabs>
              <w:suppressAutoHyphens/>
              <w:rPr>
                <w:spacing w:val="-2"/>
              </w:rPr>
            </w:pPr>
          </w:p>
        </w:tc>
        <w:tc>
          <w:tcPr>
            <w:tcW w:w="630" w:type="dxa"/>
          </w:tcPr>
          <w:p w:rsidR="005B71C1" w14:paraId="7B8CEB66" w14:textId="77777777">
            <w:pPr>
              <w:tabs>
                <w:tab w:val="center" w:pos="4680"/>
              </w:tabs>
              <w:suppressAutoHyphens/>
              <w:rPr>
                <w:b/>
                <w:spacing w:val="-2"/>
              </w:rPr>
            </w:pPr>
            <w:r>
              <w:rPr>
                <w:b/>
                <w:spacing w:val="-2"/>
              </w:rPr>
              <w:t>)</w:t>
            </w:r>
          </w:p>
          <w:p w:rsidR="005B71C1" w14:paraId="682F8F74" w14:textId="77777777">
            <w:pPr>
              <w:tabs>
                <w:tab w:val="center" w:pos="4680"/>
              </w:tabs>
              <w:suppressAutoHyphens/>
              <w:rPr>
                <w:b/>
                <w:spacing w:val="-2"/>
              </w:rPr>
            </w:pPr>
            <w:r>
              <w:rPr>
                <w:b/>
                <w:spacing w:val="-2"/>
              </w:rPr>
              <w:t>)</w:t>
            </w:r>
          </w:p>
          <w:p w:rsidR="005B71C1" w14:paraId="039F4876" w14:textId="77777777">
            <w:pPr>
              <w:tabs>
                <w:tab w:val="center" w:pos="4680"/>
              </w:tabs>
              <w:suppressAutoHyphens/>
              <w:rPr>
                <w:b/>
                <w:spacing w:val="-2"/>
              </w:rPr>
            </w:pPr>
            <w:r>
              <w:rPr>
                <w:b/>
                <w:spacing w:val="-2"/>
              </w:rPr>
              <w:t>)</w:t>
            </w:r>
          </w:p>
          <w:p w:rsidR="005B71C1" w14:paraId="10AB78E3" w14:textId="77777777">
            <w:pPr>
              <w:tabs>
                <w:tab w:val="center" w:pos="4680"/>
              </w:tabs>
              <w:suppressAutoHyphens/>
              <w:rPr>
                <w:b/>
                <w:spacing w:val="-2"/>
              </w:rPr>
            </w:pPr>
            <w:r>
              <w:rPr>
                <w:b/>
                <w:spacing w:val="-2"/>
              </w:rPr>
              <w:t>)</w:t>
            </w:r>
          </w:p>
          <w:p w:rsidR="005B71C1" w14:paraId="3F899B90" w14:textId="77777777">
            <w:pPr>
              <w:tabs>
                <w:tab w:val="center" w:pos="4680"/>
              </w:tabs>
              <w:suppressAutoHyphens/>
              <w:rPr>
                <w:b/>
                <w:spacing w:val="-2"/>
              </w:rPr>
            </w:pPr>
            <w:r>
              <w:rPr>
                <w:b/>
                <w:spacing w:val="-2"/>
              </w:rPr>
              <w:t>)</w:t>
            </w:r>
          </w:p>
          <w:p w:rsidR="00836019" w:rsidP="00836019" w14:paraId="0DD42172" w14:textId="77777777">
            <w:pPr>
              <w:tabs>
                <w:tab w:val="center" w:pos="4680"/>
              </w:tabs>
              <w:suppressAutoHyphens/>
              <w:rPr>
                <w:b/>
                <w:spacing w:val="-2"/>
              </w:rPr>
            </w:pPr>
            <w:r>
              <w:rPr>
                <w:b/>
                <w:spacing w:val="-2"/>
              </w:rPr>
              <w:t>)</w:t>
            </w:r>
          </w:p>
          <w:p w:rsidR="00836019" w:rsidP="00836019" w14:paraId="717A588F" w14:textId="77777777">
            <w:pPr>
              <w:tabs>
                <w:tab w:val="center" w:pos="4680"/>
              </w:tabs>
              <w:suppressAutoHyphens/>
              <w:rPr>
                <w:b/>
                <w:spacing w:val="-2"/>
              </w:rPr>
            </w:pPr>
            <w:r>
              <w:rPr>
                <w:b/>
                <w:spacing w:val="-2"/>
              </w:rPr>
              <w:t>)</w:t>
            </w:r>
          </w:p>
          <w:p w:rsidR="00836019" w14:paraId="3BF51867" w14:textId="77777777">
            <w:pPr>
              <w:tabs>
                <w:tab w:val="center" w:pos="4680"/>
              </w:tabs>
              <w:suppressAutoHyphens/>
              <w:rPr>
                <w:b/>
                <w:spacing w:val="-2"/>
              </w:rPr>
            </w:pPr>
          </w:p>
          <w:p w:rsidR="00836019" w:rsidRPr="005C637C" w14:paraId="1D4961C7" w14:textId="0237480A">
            <w:pPr>
              <w:tabs>
                <w:tab w:val="center" w:pos="4680"/>
              </w:tabs>
              <w:suppressAutoHyphens/>
              <w:rPr>
                <w:b/>
                <w:spacing w:val="-2"/>
              </w:rPr>
            </w:pPr>
          </w:p>
        </w:tc>
        <w:tc>
          <w:tcPr>
            <w:tcW w:w="4248" w:type="dxa"/>
          </w:tcPr>
          <w:p w:rsidR="005B71C1" w14:paraId="2338C372" w14:textId="77777777">
            <w:pPr>
              <w:tabs>
                <w:tab w:val="center" w:pos="4680"/>
              </w:tabs>
              <w:suppressAutoHyphens/>
              <w:rPr>
                <w:spacing w:val="-2"/>
              </w:rPr>
            </w:pPr>
          </w:p>
          <w:p w:rsidR="005B71C1" w:rsidP="008C6C4D" w14:paraId="53AEB013" w14:textId="77777777">
            <w:pPr>
              <w:tabs>
                <w:tab w:val="center" w:pos="4680"/>
              </w:tabs>
              <w:suppressAutoHyphens/>
              <w:rPr>
                <w:spacing w:val="-2"/>
              </w:rPr>
            </w:pPr>
          </w:p>
          <w:p w:rsidR="005B71C1" w14:paraId="16726B97" w14:textId="77777777">
            <w:pPr>
              <w:tabs>
                <w:tab w:val="center" w:pos="4680"/>
              </w:tabs>
              <w:suppressAutoHyphens/>
              <w:rPr>
                <w:spacing w:val="-2"/>
              </w:rPr>
            </w:pPr>
          </w:p>
          <w:p w:rsidR="005D7DA1" w14:paraId="4EFF951B" w14:textId="77777777">
            <w:pPr>
              <w:tabs>
                <w:tab w:val="center" w:pos="4680"/>
              </w:tabs>
              <w:suppressAutoHyphens/>
              <w:rPr>
                <w:spacing w:val="-2"/>
              </w:rPr>
            </w:pPr>
          </w:p>
          <w:p w:rsidR="005D7DA1" w14:paraId="12DFB8CE" w14:textId="77777777">
            <w:pPr>
              <w:tabs>
                <w:tab w:val="center" w:pos="4680"/>
              </w:tabs>
              <w:suppressAutoHyphens/>
              <w:rPr>
                <w:spacing w:val="-2"/>
              </w:rPr>
            </w:pPr>
          </w:p>
          <w:p w:rsidR="005D7DA1" w14:paraId="19D1E5DF" w14:textId="77777777">
            <w:pPr>
              <w:tabs>
                <w:tab w:val="center" w:pos="4680"/>
              </w:tabs>
              <w:suppressAutoHyphens/>
              <w:rPr>
                <w:spacing w:val="-2"/>
              </w:rPr>
            </w:pPr>
          </w:p>
          <w:p w:rsidR="005D7DA1" w:rsidP="005D7DA1" w14:paraId="5C95624F" w14:textId="77777777">
            <w:pPr>
              <w:tabs>
                <w:tab w:val="center" w:pos="4680"/>
              </w:tabs>
              <w:suppressAutoHyphens/>
              <w:rPr>
                <w:spacing w:val="-2"/>
              </w:rPr>
            </w:pPr>
            <w:r>
              <w:rPr>
                <w:spacing w:val="-2"/>
              </w:rPr>
              <w:t>GN Docket No. 26-74</w:t>
            </w:r>
          </w:p>
          <w:p w:rsidR="005D7DA1" w14:paraId="6FA5A390" w14:textId="44A086E0">
            <w:pPr>
              <w:tabs>
                <w:tab w:val="center" w:pos="4680"/>
              </w:tabs>
              <w:suppressAutoHyphens/>
              <w:rPr>
                <w:spacing w:val="-2"/>
              </w:rPr>
            </w:pPr>
          </w:p>
        </w:tc>
      </w:tr>
    </w:tbl>
    <w:p w:rsidR="005B71C1" w:rsidP="005B71C1" w14:paraId="26D026ED" w14:textId="77777777"/>
    <w:p w:rsidR="005B71C1" w:rsidP="005B71C1" w14:paraId="1A722B6A" w14:textId="09D33F60">
      <w:pPr>
        <w:pStyle w:val="StyleBoldCentered"/>
      </w:pPr>
      <w:r>
        <w:t xml:space="preserve">Declaratory </w:t>
      </w:r>
      <w:r w:rsidR="00332664">
        <w:t>Ruling</w:t>
      </w:r>
    </w:p>
    <w:p w:rsidR="005B71C1" w:rsidP="005B71C1" w14:paraId="28F848C4" w14:textId="77777777">
      <w:pPr>
        <w:tabs>
          <w:tab w:val="left" w:pos="-720"/>
        </w:tabs>
        <w:suppressAutoHyphens/>
        <w:spacing w:line="227" w:lineRule="auto"/>
        <w:rPr>
          <w:spacing w:val="-2"/>
        </w:rPr>
      </w:pPr>
    </w:p>
    <w:p w:rsidR="005B71C1" w:rsidP="005B71C1" w14:paraId="580C5713" w14:textId="07FF2F13">
      <w:pPr>
        <w:tabs>
          <w:tab w:val="left" w:pos="720"/>
          <w:tab w:val="right" w:pos="9360"/>
        </w:tabs>
        <w:suppressAutoHyphens/>
        <w:spacing w:line="227" w:lineRule="auto"/>
        <w:rPr>
          <w:spacing w:val="-2"/>
        </w:rPr>
      </w:pPr>
      <w:r w:rsidRPr="00DA44DE">
        <w:rPr>
          <w:b/>
          <w:spacing w:val="-2"/>
        </w:rPr>
        <w:t xml:space="preserve">Adopted:  </w:t>
      </w:r>
      <w:r w:rsidRPr="00DA44DE" w:rsidR="007B0EDB">
        <w:rPr>
          <w:b/>
          <w:spacing w:val="-2"/>
        </w:rPr>
        <w:t>July</w:t>
      </w:r>
      <w:r w:rsidRPr="00DA44DE" w:rsidR="00332664">
        <w:rPr>
          <w:b/>
          <w:spacing w:val="-2"/>
        </w:rPr>
        <w:t xml:space="preserve"> </w:t>
      </w:r>
      <w:r w:rsidRPr="00DA44DE" w:rsidR="00DA44DE">
        <w:rPr>
          <w:b/>
          <w:spacing w:val="-2"/>
        </w:rPr>
        <w:t>2</w:t>
      </w:r>
      <w:r w:rsidRPr="00DA44DE" w:rsidR="00332664">
        <w:rPr>
          <w:b/>
          <w:spacing w:val="-2"/>
        </w:rPr>
        <w:t>, 2026</w:t>
      </w:r>
      <w:r w:rsidRPr="00DA44DE">
        <w:rPr>
          <w:b/>
          <w:spacing w:val="-2"/>
        </w:rPr>
        <w:tab/>
        <w:t xml:space="preserve">Released:  </w:t>
      </w:r>
      <w:r w:rsidRPr="00DA44DE" w:rsidR="007B0EDB">
        <w:rPr>
          <w:b/>
          <w:spacing w:val="-2"/>
        </w:rPr>
        <w:t xml:space="preserve">July </w:t>
      </w:r>
      <w:r w:rsidRPr="00DA44DE" w:rsidR="00DA44DE">
        <w:rPr>
          <w:b/>
          <w:spacing w:val="-2"/>
        </w:rPr>
        <w:t>2</w:t>
      </w:r>
      <w:r w:rsidRPr="00DA44DE" w:rsidR="00332664">
        <w:rPr>
          <w:b/>
          <w:spacing w:val="-2"/>
        </w:rPr>
        <w:t>, 2026</w:t>
      </w:r>
    </w:p>
    <w:p w:rsidR="005B71C1" w:rsidP="005B71C1" w14:paraId="6C7565DE" w14:textId="77777777"/>
    <w:p w:rsidR="005B71C1" w:rsidRPr="008C6C4D" w:rsidP="005B71C1" w14:paraId="6ED1DA0D" w14:textId="77777777">
      <w:pPr>
        <w:rPr>
          <w:spacing w:val="-2"/>
        </w:rPr>
      </w:pPr>
      <w:r>
        <w:t xml:space="preserve">By the </w:t>
      </w:r>
      <w:r w:rsidRPr="008C6C4D">
        <w:rPr>
          <w:spacing w:val="-2"/>
        </w:rPr>
        <w:t>Chief, Wireless Telecommunications Bureau</w:t>
      </w:r>
      <w:r w:rsidR="006F5C5E">
        <w:rPr>
          <w:spacing w:val="-2"/>
        </w:rPr>
        <w:t xml:space="preserve"> and the Chief, Office of Engineering and Technology</w:t>
      </w:r>
      <w:r>
        <w:rPr>
          <w:spacing w:val="-2"/>
        </w:rPr>
        <w:t>:</w:t>
      </w:r>
    </w:p>
    <w:p w:rsidR="005B71C1" w:rsidP="005B71C1" w14:paraId="03A70DDA" w14:textId="77777777">
      <w:pPr>
        <w:rPr>
          <w:spacing w:val="-2"/>
        </w:rPr>
      </w:pPr>
    </w:p>
    <w:p w:rsidR="005B71C1" w:rsidP="005B71C1" w14:paraId="3ACB11AD" w14:textId="77777777">
      <w:pPr>
        <w:pStyle w:val="Heading1"/>
      </w:pPr>
      <w:r>
        <w:t>introduction</w:t>
      </w:r>
    </w:p>
    <w:p w:rsidR="005B71C1" w:rsidP="008C6C4D" w14:paraId="1B71FD81" w14:textId="7626F812">
      <w:pPr>
        <w:pStyle w:val="ParaNum"/>
        <w:tabs>
          <w:tab w:val="num" w:pos="360"/>
          <w:tab w:val="clear" w:pos="1080"/>
        </w:tabs>
      </w:pPr>
      <w:r>
        <w:t>In this Declaratory Ruling, we clarify the circumstances under which non-federal entities may test signal jammers to disable or disrupt radio communications used to control unmanned aircraft systems (UAS) without violating the statutory prohibition against causing willful or malicious interference.  This clarification will facilitate the private development of technologies that will help protect the public from the unlawful or dangerous use of UAS, consistent with the policies in the recent Restoring American Airspace Sovereignty Executive Order (</w:t>
      </w:r>
      <w:r>
        <w:rPr>
          <w:i/>
          <w:iCs/>
        </w:rPr>
        <w:t>Airspace Sovereignty EO</w:t>
      </w:r>
      <w:r>
        <w:t xml:space="preserve">).  We emphasize that this </w:t>
      </w:r>
      <w:r w:rsidR="00ED00A4">
        <w:t>declaratory ruling</w:t>
      </w:r>
      <w:r w:rsidRPr="00B64960" w:rsidR="00ED00A4">
        <w:t xml:space="preserve"> </w:t>
      </w:r>
      <w:r>
        <w:t xml:space="preserve">addresses only the testing of UAS signal jammers pursuant to an FCC authorization.  </w:t>
      </w:r>
    </w:p>
    <w:p w:rsidR="005B71C1" w:rsidP="005B71C1" w14:paraId="7F1707AA" w14:textId="77777777">
      <w:pPr>
        <w:pStyle w:val="Heading1"/>
      </w:pPr>
      <w:r>
        <w:t>background</w:t>
      </w:r>
    </w:p>
    <w:p w:rsidR="005B71C1" w:rsidP="008C6C4D" w14:paraId="318E01BD" w14:textId="28A38FBF">
      <w:pPr>
        <w:pStyle w:val="ParaNum"/>
        <w:tabs>
          <w:tab w:val="num" w:pos="360"/>
          <w:tab w:val="clear" w:pos="1080"/>
        </w:tabs>
      </w:pPr>
      <w:r>
        <w:t>Unlawful UAS operations within U.S. airspace, particularly when carried out by foreign adversaries and criminal organizations, pose a growing threat to national security, including critical infrastructure, mass gatherings, and military and sensitive government installations.</w:t>
      </w:r>
      <w:r>
        <w:rPr>
          <w:rStyle w:val="FootnoteReference"/>
        </w:rPr>
        <w:footnoteReference w:id="3"/>
      </w:r>
      <w:r>
        <w:t xml:space="preserve">  To address this threat, the </w:t>
      </w:r>
      <w:r>
        <w:rPr>
          <w:i/>
          <w:iCs/>
        </w:rPr>
        <w:t>Airspace Sovereignty EO</w:t>
      </w:r>
      <w:r>
        <w:t xml:space="preserve"> ordered the creation of a task force to develop and propose solutions to UAS threats, and directed that certain actions be taken to build and operationalize the federal government’s </w:t>
      </w:r>
      <w:r w:rsidR="00BC4A4E">
        <w:t>c</w:t>
      </w:r>
      <w:r w:rsidR="004C1742">
        <w:t>ounter-</w:t>
      </w:r>
      <w:r w:rsidR="006C15A0">
        <w:t>UAS (</w:t>
      </w:r>
      <w:r>
        <w:t>C-UAS</w:t>
      </w:r>
      <w:r w:rsidR="006C15A0">
        <w:t>)</w:t>
      </w:r>
      <w:r>
        <w:t xml:space="preserve"> capacity.</w:t>
      </w:r>
      <w:r>
        <w:rPr>
          <w:rStyle w:val="FootnoteReference"/>
        </w:rPr>
        <w:footnoteReference w:id="4"/>
      </w:r>
    </w:p>
    <w:p w:rsidR="005B71C1" w:rsidP="008C6C4D" w14:paraId="2FE5889A" w14:textId="10453ADD">
      <w:pPr>
        <w:pStyle w:val="ParaNum"/>
        <w:tabs>
          <w:tab w:val="clear" w:pos="1080"/>
        </w:tabs>
      </w:pPr>
      <w:r>
        <w:t>I</w:t>
      </w:r>
      <w:r w:rsidRPr="00E56F53">
        <w:t xml:space="preserve">n response to the policies and directives </w:t>
      </w:r>
      <w:r>
        <w:t xml:space="preserve">adopted by </w:t>
      </w:r>
      <w:r w:rsidRPr="00E56F53">
        <w:t xml:space="preserve">the </w:t>
      </w:r>
      <w:r>
        <w:rPr>
          <w:i/>
          <w:iCs/>
        </w:rPr>
        <w:t>Airspace Sovereignty EO</w:t>
      </w:r>
      <w:r w:rsidRPr="00E56F53">
        <w:t>,</w:t>
      </w:r>
      <w:r>
        <w:t xml:space="preserve"> we anticipate that private entities may </w:t>
      </w:r>
      <w:r w:rsidR="62FA2A2F">
        <w:t xml:space="preserve">continue to </w:t>
      </w:r>
      <w:r>
        <w:t xml:space="preserve">seek authorization from the Commission to enable the </w:t>
      </w:r>
      <w:r>
        <w:t>development</w:t>
      </w:r>
      <w:r w:rsidR="00E47195">
        <w:t>,</w:t>
      </w:r>
      <w:r>
        <w:t xml:space="preserve"> testing</w:t>
      </w:r>
      <w:r w:rsidR="00E47195">
        <w:t>, and demonstration</w:t>
      </w:r>
      <w:r>
        <w:t xml:space="preserve"> of C-UAS equipment for eventual use by the federal government</w:t>
      </w:r>
      <w:r w:rsidR="007E5268">
        <w:t xml:space="preserve"> or </w:t>
      </w:r>
      <w:r w:rsidR="00354483">
        <w:t xml:space="preserve">by </w:t>
      </w:r>
      <w:r w:rsidR="00B839D8">
        <w:t>state, local, tribal, and territorial (</w:t>
      </w:r>
      <w:r w:rsidR="00332664">
        <w:t>SL</w:t>
      </w:r>
      <w:r w:rsidR="00000824">
        <w:t>T</w:t>
      </w:r>
      <w:r w:rsidR="00332664">
        <w:t>T</w:t>
      </w:r>
      <w:r w:rsidR="00B839D8">
        <w:t>) authorities</w:t>
      </w:r>
      <w:r w:rsidR="00A86C4C">
        <w:t xml:space="preserve"> </w:t>
      </w:r>
      <w:r w:rsidR="00354483">
        <w:t xml:space="preserve">under the </w:t>
      </w:r>
      <w:r w:rsidR="00DB64AC">
        <w:t>SAFER SKIES Act</w:t>
      </w:r>
      <w:r w:rsidR="00747C17">
        <w:t>.</w:t>
      </w:r>
      <w:r>
        <w:rPr>
          <w:rStyle w:val="FootnoteReference"/>
        </w:rPr>
        <w:footnoteReference w:id="5"/>
      </w:r>
      <w:r w:rsidR="00332664">
        <w:rPr>
          <w:rStyle w:val="FootnoteReference"/>
        </w:rPr>
        <w:t xml:space="preserve"> </w:t>
      </w:r>
      <w:r w:rsidRPr="008C6C4D" w:rsidR="00D93E39">
        <w:t xml:space="preserve"> </w:t>
      </w:r>
      <w:r w:rsidR="00747C17">
        <w:t xml:space="preserve"> We further anticipate that</w:t>
      </w:r>
      <w:r w:rsidR="00D93E39">
        <w:t xml:space="preserve"> </w:t>
      </w:r>
      <w:r w:rsidR="003B0DA3">
        <w:t xml:space="preserve">such equipment </w:t>
      </w:r>
      <w:r w:rsidR="00D93E39">
        <w:t xml:space="preserve">may include </w:t>
      </w:r>
      <w:r>
        <w:t xml:space="preserve">radio frequency (RF) jamming technologies designed to enable authorized actors </w:t>
      </w:r>
      <w:r w:rsidRPr="00811793">
        <w:t xml:space="preserve">to </w:t>
      </w:r>
      <w:r w:rsidRPr="00996495">
        <w:t>interfere</w:t>
      </w:r>
      <w:r>
        <w:t xml:space="preserve"> with a drone operator’s wireless control over the drone.  </w:t>
      </w:r>
      <w:r w:rsidR="007D31C4">
        <w:t xml:space="preserve">On April 1, 2026, the </w:t>
      </w:r>
      <w:r w:rsidR="00861C27">
        <w:t xml:space="preserve">Commission </w:t>
      </w:r>
      <w:r w:rsidR="005C4D14">
        <w:t xml:space="preserve">issued a Public Notice seeking comment on </w:t>
      </w:r>
      <w:r w:rsidR="00DC01AD">
        <w:t xml:space="preserve">the companion </w:t>
      </w:r>
      <w:r w:rsidRPr="00F7273D" w:rsidR="006A62EA">
        <w:rPr>
          <w:i/>
          <w:iCs/>
        </w:rPr>
        <w:t>Unleashing Drone Dominance EO</w:t>
      </w:r>
      <w:r w:rsidR="00DC01AD">
        <w:t>,</w:t>
      </w:r>
      <w:r>
        <w:rPr>
          <w:rStyle w:val="FootnoteReference"/>
        </w:rPr>
        <w:footnoteReference w:id="6"/>
      </w:r>
      <w:r w:rsidR="00DC01AD">
        <w:t xml:space="preserve"> </w:t>
      </w:r>
      <w:r w:rsidR="008C6038">
        <w:t xml:space="preserve">where the Commission </w:t>
      </w:r>
      <w:r w:rsidR="00CA4DB3">
        <w:t>acknowledg</w:t>
      </w:r>
      <w:r w:rsidR="008C6038">
        <w:t>ed</w:t>
      </w:r>
      <w:r w:rsidR="00CA4DB3">
        <w:t xml:space="preserve"> </w:t>
      </w:r>
      <w:r w:rsidR="005C5EE5">
        <w:t xml:space="preserve">that </w:t>
      </w:r>
      <w:r w:rsidR="00936E19">
        <w:t>it</w:t>
      </w:r>
      <w:r w:rsidR="005C5EE5">
        <w:t>s</w:t>
      </w:r>
      <w:r w:rsidR="00DC01AD">
        <w:t xml:space="preserve"> </w:t>
      </w:r>
      <w:r w:rsidR="00CA4DB3">
        <w:t>“current</w:t>
      </w:r>
      <w:r w:rsidR="005C5EE5">
        <w:t xml:space="preserve"> [experimental licensing]</w:t>
      </w:r>
      <w:r w:rsidR="00CA4DB3">
        <w:t xml:space="preserve"> rules limit Counter-UAS to research and development purposes—not for operational mitigation or enforcement</w:t>
      </w:r>
      <w:r w:rsidR="00DC01AD">
        <w:t>.</w:t>
      </w:r>
      <w:r w:rsidR="00CA4DB3">
        <w:t>”</w:t>
      </w:r>
      <w:r>
        <w:rPr>
          <w:rStyle w:val="FootnoteReference"/>
        </w:rPr>
        <w:footnoteReference w:id="7"/>
      </w:r>
      <w:r w:rsidR="00265D07">
        <w:t xml:space="preserve">  </w:t>
      </w:r>
      <w:r>
        <w:t>Section 333 of the Communications Act as amended (Act) provides that “[n]o person shall willfully or maliciously interfere with or cause interference to any radio communications of any station licensed or authorized by or under this chapter or operated by the United States Government.”</w:t>
      </w:r>
      <w:r>
        <w:rPr>
          <w:rStyle w:val="FootnoteReference"/>
        </w:rPr>
        <w:footnoteReference w:id="8"/>
      </w:r>
    </w:p>
    <w:p w:rsidR="005B71C1" w:rsidP="008C6C4D" w14:paraId="13B646BA" w14:textId="7CE5BA6A">
      <w:pPr>
        <w:pStyle w:val="ParaNum"/>
        <w:tabs>
          <w:tab w:val="num" w:pos="360"/>
          <w:tab w:val="clear" w:pos="1080"/>
        </w:tabs>
      </w:pPr>
      <w:r>
        <w:t>We recognize that section 333 may create legal uncertainty regarding RF jamming for C-UAS testing by non-federal entities.  The Commission may issue a declaratory ruling to terminate a controversy or remove uncertainty.</w:t>
      </w:r>
      <w:r>
        <w:rPr>
          <w:rStyle w:val="FootnoteReference"/>
        </w:rPr>
        <w:footnoteReference w:id="9"/>
      </w:r>
      <w:r>
        <w:t xml:space="preserve">  Accordingly, to promote the testing and development of equipment that will enable the U.S. government to protect key facilities, the military, the public, and the nation, we take this opportunity to clarify how the prohibition against willful or malicious interference under section 333 of the Act applies in the context of the testing by non-federal entities of certain C-UAS technologies intended </w:t>
      </w:r>
      <w:r w:rsidRPr="001D455A">
        <w:t xml:space="preserve">for </w:t>
      </w:r>
      <w:r w:rsidRPr="00996495">
        <w:t>federal use</w:t>
      </w:r>
      <w:r w:rsidRPr="001D455A">
        <w:t>.</w:t>
      </w:r>
      <w:r>
        <w:rPr>
          <w:rStyle w:val="FootnoteReference"/>
        </w:rPr>
        <w:footnoteReference w:id="10"/>
      </w:r>
      <w:r>
        <w:t xml:space="preserve">  </w:t>
      </w:r>
      <w:r w:rsidRPr="00DA44DE" w:rsidR="00705F71">
        <w:t xml:space="preserve">In a companion </w:t>
      </w:r>
      <w:r w:rsidRPr="00DA44DE" w:rsidR="00961D66">
        <w:t>ruling</w:t>
      </w:r>
      <w:r w:rsidR="00961D66">
        <w:t xml:space="preserve">, </w:t>
      </w:r>
      <w:r w:rsidR="00D423AD">
        <w:t xml:space="preserve">we </w:t>
      </w:r>
      <w:r w:rsidR="00C04AB4">
        <w:t>take additional steps</w:t>
      </w:r>
      <w:r w:rsidR="00C86CD2">
        <w:t xml:space="preserve"> to </w:t>
      </w:r>
      <w:r w:rsidR="002A2EA0">
        <w:t>remove uncertainty regarding the application of section 333 to C-UAS</w:t>
      </w:r>
      <w:r w:rsidR="00A00FE5">
        <w:t xml:space="preserve"> jamming</w:t>
      </w:r>
      <w:r w:rsidR="00C04AB4">
        <w:t xml:space="preserve">, </w:t>
      </w:r>
      <w:r w:rsidR="00ED58AB">
        <w:t>c</w:t>
      </w:r>
      <w:r w:rsidR="00D423AD">
        <w:t>onfirm</w:t>
      </w:r>
      <w:r w:rsidR="00C04AB4">
        <w:t>ing</w:t>
      </w:r>
      <w:r w:rsidR="00D423AD">
        <w:t xml:space="preserve"> that the federal government itself is entirely exempt from the application of section 333, and clarify</w:t>
      </w:r>
      <w:r w:rsidR="00C04AB4">
        <w:t>ing</w:t>
      </w:r>
      <w:r w:rsidR="00D423AD">
        <w:t xml:space="preserve"> conditions under which non-federal entities </w:t>
      </w:r>
      <w:r w:rsidR="00BA69D7">
        <w:t xml:space="preserve">engaged in either C-UAS testing or operations </w:t>
      </w:r>
      <w:r w:rsidR="00D423AD">
        <w:t xml:space="preserve">on behalf of </w:t>
      </w:r>
      <w:r w:rsidR="00D8768F">
        <w:t xml:space="preserve">or under the oversight of </w:t>
      </w:r>
      <w:r w:rsidR="00D423AD">
        <w:t>the federal government</w:t>
      </w:r>
      <w:r w:rsidR="00A874B5">
        <w:t>, including</w:t>
      </w:r>
      <w:r w:rsidR="007B5C1C">
        <w:t xml:space="preserve"> state, local, tribal, and territorial law enforcement and correctional agency personnel engaging in C-UAS mitigation under the authority of the SAFER SKIES Act</w:t>
      </w:r>
      <w:r>
        <w:rPr>
          <w:rStyle w:val="FootnoteReference"/>
        </w:rPr>
        <w:footnoteReference w:id="11"/>
      </w:r>
      <w:r w:rsidR="007B5C1C">
        <w:t xml:space="preserve"> and federal contractors,</w:t>
      </w:r>
      <w:r w:rsidR="00D423AD">
        <w:t xml:space="preserve"> may receive the benefit of the federal government’s </w:t>
      </w:r>
      <w:r w:rsidR="00BA69D7">
        <w:t xml:space="preserve">section 333 </w:t>
      </w:r>
      <w:r w:rsidR="00D423AD">
        <w:t>exemption</w:t>
      </w:r>
      <w:r w:rsidR="00433601">
        <w:t>.</w:t>
      </w:r>
      <w:r>
        <w:rPr>
          <w:rStyle w:val="FootnoteReference"/>
        </w:rPr>
        <w:footnoteReference w:id="12"/>
      </w:r>
    </w:p>
    <w:p w:rsidR="005B71C1" w:rsidP="005B71C1" w14:paraId="52C40BAF" w14:textId="77777777">
      <w:pPr>
        <w:pStyle w:val="Heading1"/>
      </w:pPr>
      <w:r>
        <w:t>discussion</w:t>
      </w:r>
    </w:p>
    <w:p w:rsidR="005B71C1" w:rsidP="002D4176" w14:paraId="460128AB" w14:textId="70FB9642">
      <w:pPr>
        <w:pStyle w:val="ParaNum"/>
        <w:widowControl/>
        <w:tabs>
          <w:tab w:val="num" w:pos="360"/>
          <w:tab w:val="clear" w:pos="1080"/>
        </w:tabs>
      </w:pPr>
      <w:r>
        <w:t>The FCC has described r</w:t>
      </w:r>
      <w:r>
        <w:t xml:space="preserve">adio signal jamming </w:t>
      </w:r>
      <w:r>
        <w:t>a</w:t>
      </w:r>
      <w:r>
        <w:t>s the purposeful disruption of electronic devices, equipment, or systems via RF interference.</w:t>
      </w:r>
      <w:r>
        <w:rPr>
          <w:rStyle w:val="FootnoteReference"/>
        </w:rPr>
        <w:footnoteReference w:id="13"/>
      </w:r>
      <w:r>
        <w:t xml:space="preserve">  </w:t>
      </w:r>
      <w:r>
        <w:t xml:space="preserve">It appears that stakeholders have interpreted </w:t>
      </w:r>
      <w:r>
        <w:t>s</w:t>
      </w:r>
      <w:r w:rsidRPr="00B57DF3">
        <w:t xml:space="preserve">ection 333 </w:t>
      </w:r>
      <w:r>
        <w:t xml:space="preserve">of the Act </w:t>
      </w:r>
      <w:r>
        <w:t xml:space="preserve">as </w:t>
      </w:r>
      <w:r w:rsidRPr="00B57DF3">
        <w:t>generally prohibit</w:t>
      </w:r>
      <w:r>
        <w:t>ing covered persons from</w:t>
      </w:r>
      <w:r>
        <w:t xml:space="preserve"> engaging in</w:t>
      </w:r>
      <w:r w:rsidRPr="00B57DF3">
        <w:t xml:space="preserve"> jamming </w:t>
      </w:r>
      <w:r>
        <w:t xml:space="preserve">or </w:t>
      </w:r>
      <w:r w:rsidRPr="00B57DF3">
        <w:t xml:space="preserve">other forms of </w:t>
      </w:r>
      <w:r>
        <w:t xml:space="preserve">intentional interference with authorized </w:t>
      </w:r>
      <w:r w:rsidRPr="00B57DF3">
        <w:t>RF</w:t>
      </w:r>
      <w:r>
        <w:t>-based communications</w:t>
      </w:r>
      <w:r w:rsidRPr="00B57DF3">
        <w:t>.</w:t>
      </w:r>
      <w:r>
        <w:rPr>
          <w:rStyle w:val="FootnoteReference"/>
        </w:rPr>
        <w:footnoteReference w:id="14"/>
      </w:r>
      <w:r>
        <w:t xml:space="preserve">  We clarify, however, that </w:t>
      </w:r>
      <w:r w:rsidRPr="00B57DF3">
        <w:t>a</w:t>
      </w:r>
      <w:r>
        <w:t xml:space="preserve"> party </w:t>
      </w:r>
      <w:r w:rsidRPr="00B57DF3">
        <w:t>with a</w:t>
      </w:r>
      <w:r>
        <w:t>n</w:t>
      </w:r>
      <w:r w:rsidRPr="00B57DF3">
        <w:t xml:space="preserve"> </w:t>
      </w:r>
      <w:r>
        <w:t xml:space="preserve">FCC </w:t>
      </w:r>
      <w:r w:rsidRPr="00B57DF3">
        <w:t>authorization to test C</w:t>
      </w:r>
      <w:r>
        <w:t>-</w:t>
      </w:r>
      <w:r w:rsidRPr="00B57DF3">
        <w:t xml:space="preserve">UAS </w:t>
      </w:r>
      <w:r>
        <w:t xml:space="preserve">signal jamming </w:t>
      </w:r>
      <w:r w:rsidRPr="00B57DF3">
        <w:t xml:space="preserve">does not “willfully or maliciously interfere with or cause interference to” authorized radio communications in violation of </w:t>
      </w:r>
      <w:r>
        <w:t>s</w:t>
      </w:r>
      <w:r w:rsidRPr="00B57DF3">
        <w:t xml:space="preserve">ection 333 </w:t>
      </w:r>
      <w:r>
        <w:t xml:space="preserve">when it intentionally disrupts communications between ground and airborne UAS stations </w:t>
      </w:r>
      <w:r w:rsidRPr="00B57DF3">
        <w:t>that the licensee has authorization to control</w:t>
      </w:r>
      <w:r>
        <w:t>.</w:t>
      </w:r>
      <w:r>
        <w:rPr>
          <w:rStyle w:val="FootnoteReference"/>
        </w:rPr>
        <w:footnoteReference w:id="15"/>
      </w:r>
      <w:r>
        <w:t xml:space="preserve">  We note that </w:t>
      </w:r>
      <w:r w:rsidR="00757DFC">
        <w:t xml:space="preserve">such </w:t>
      </w:r>
      <w:r w:rsidR="009B24FE">
        <w:t xml:space="preserve">experimental </w:t>
      </w:r>
      <w:r w:rsidR="00757DFC">
        <w:t xml:space="preserve">testing </w:t>
      </w:r>
      <w:r w:rsidR="00BA615F">
        <w:t xml:space="preserve">must be </w:t>
      </w:r>
      <w:r w:rsidRPr="00B57DF3">
        <w:t xml:space="preserve">conducted </w:t>
      </w:r>
      <w:r>
        <w:t xml:space="preserve">under and fully compliant with applicable rules and license parameters and conditions, which will serve to limit the risk of </w:t>
      </w:r>
      <w:r w:rsidRPr="00B57DF3">
        <w:t xml:space="preserve">potential interference with any other </w:t>
      </w:r>
      <w:r>
        <w:t>authorized radio communications</w:t>
      </w:r>
      <w:r w:rsidRPr="00B57DF3">
        <w:t>.</w:t>
      </w:r>
      <w:r>
        <w:t xml:space="preserve">  </w:t>
      </w:r>
    </w:p>
    <w:p w:rsidR="005B71C1" w:rsidP="002D4176" w14:paraId="3581F7C5" w14:textId="1F39FADF">
      <w:pPr>
        <w:pStyle w:val="ParaNum"/>
        <w:tabs>
          <w:tab w:val="num" w:pos="360"/>
          <w:tab w:val="clear" w:pos="1080"/>
        </w:tabs>
      </w:pPr>
      <w:r>
        <w:t>We find that this interpretation of section 333 is supported by the regulatory definition of “interference” under section 2.1 of the Commission’s rules.  This definition has been codified in the rules since 1984, was based on generally accepted definitions from the International Telecommunication Union (ITU), and would have influenced Congress’s understanding of the term when it adopted section 333 in 1990.</w:t>
      </w:r>
      <w:r>
        <w:rPr>
          <w:rStyle w:val="FootnoteReference"/>
        </w:rPr>
        <w:footnoteReference w:id="16"/>
      </w:r>
      <w:r>
        <w:t xml:space="preserve">  Section 2.1 of the Commission’s rules defines “interference” as “[t]</w:t>
      </w:r>
      <w:r w:rsidRPr="00024897">
        <w:t>he effect of unwanted energy due to one or a combination of emissions, radiations, or inductions upon reception in a radiocommunication system, manifested by any performance degradation, misinterpretation, or loss of information which could be extracted in the absence of such unwanted energy.</w:t>
      </w:r>
      <w:r>
        <w:t>”</w:t>
      </w:r>
      <w:r>
        <w:rPr>
          <w:rStyle w:val="FootnoteReference"/>
        </w:rPr>
        <w:footnoteReference w:id="17"/>
      </w:r>
      <w:r>
        <w:t xml:space="preserve">  Where all relevant stations are under a licensee’s direct control, the energy that the licensee transmits to intentionally disrupt communications between these stations would not be “unwanted” and, accordingly, we find that it does not constitute interference under section 333.  </w:t>
      </w:r>
      <w:r w:rsidRPr="1427B0F8">
        <w:rPr>
          <w:rStyle w:val="FootnoteReference"/>
        </w:rPr>
        <w:t xml:space="preserve"> </w:t>
      </w:r>
    </w:p>
    <w:p w:rsidR="003E30FB" w:rsidRPr="00984896" w:rsidP="002D4176" w14:paraId="38F1ECA1" w14:textId="2CA39058">
      <w:pPr>
        <w:pStyle w:val="ParaNum"/>
        <w:tabs>
          <w:tab w:val="num" w:pos="360"/>
          <w:tab w:val="clear" w:pos="1080"/>
        </w:tabs>
      </w:pPr>
      <w:r>
        <w:rPr>
          <w:rFonts w:eastAsia="Calibri"/>
          <w:snapToGrid/>
          <w:kern w:val="0"/>
          <w:szCs w:val="22"/>
        </w:rPr>
        <w:t>We find that t</w:t>
      </w:r>
      <w:r w:rsidRPr="002F1532">
        <w:rPr>
          <w:rFonts w:eastAsia="Calibri"/>
          <w:snapToGrid/>
          <w:kern w:val="0"/>
          <w:szCs w:val="22"/>
        </w:rPr>
        <w:t xml:space="preserve">he legislative history of </w:t>
      </w:r>
      <w:r>
        <w:rPr>
          <w:rFonts w:eastAsia="Calibri"/>
          <w:snapToGrid/>
          <w:kern w:val="0"/>
          <w:szCs w:val="22"/>
        </w:rPr>
        <w:t>s</w:t>
      </w:r>
      <w:r w:rsidRPr="002F1532">
        <w:rPr>
          <w:rFonts w:eastAsia="Calibri"/>
          <w:snapToGrid/>
          <w:kern w:val="0"/>
          <w:szCs w:val="22"/>
        </w:rPr>
        <w:t xml:space="preserve">ection 333 </w:t>
      </w:r>
      <w:r>
        <w:rPr>
          <w:rFonts w:eastAsia="Calibri"/>
          <w:snapToGrid/>
          <w:kern w:val="0"/>
          <w:szCs w:val="22"/>
        </w:rPr>
        <w:t xml:space="preserve">further supports our conclusion.  The House Report for the legislation adding section 333 to the Act explained </w:t>
      </w:r>
      <w:r w:rsidRPr="002F1532">
        <w:rPr>
          <w:rFonts w:eastAsia="Calibri"/>
          <w:snapToGrid/>
          <w:kern w:val="0"/>
          <w:szCs w:val="22"/>
        </w:rPr>
        <w:t xml:space="preserve">that Congress was motivated to </w:t>
      </w:r>
      <w:r>
        <w:rPr>
          <w:rFonts w:eastAsia="Calibri"/>
          <w:snapToGrid/>
          <w:kern w:val="0"/>
          <w:szCs w:val="22"/>
        </w:rPr>
        <w:t xml:space="preserve">adopt the provision </w:t>
      </w:r>
      <w:r w:rsidRPr="002F1532">
        <w:rPr>
          <w:rFonts w:eastAsia="Calibri"/>
          <w:snapToGrid/>
          <w:kern w:val="0"/>
          <w:szCs w:val="22"/>
        </w:rPr>
        <w:t xml:space="preserve">in order to strengthen the Commission’s </w:t>
      </w:r>
      <w:r>
        <w:rPr>
          <w:rFonts w:eastAsia="Calibri"/>
          <w:snapToGrid/>
          <w:kern w:val="0"/>
          <w:szCs w:val="22"/>
        </w:rPr>
        <w:t>role</w:t>
      </w:r>
      <w:r w:rsidRPr="002F1532">
        <w:rPr>
          <w:rFonts w:eastAsia="Calibri"/>
          <w:snapToGrid/>
          <w:kern w:val="0"/>
          <w:szCs w:val="22"/>
        </w:rPr>
        <w:t xml:space="preserve"> in combatting</w:t>
      </w:r>
      <w:r>
        <w:rPr>
          <w:rFonts w:eastAsia="Calibri"/>
          <w:snapToGrid/>
          <w:kern w:val="0"/>
          <w:szCs w:val="22"/>
        </w:rPr>
        <w:t xml:space="preserve"> “a substantial increase in willful and malicious interference to radio communications in various radio services” such as the Amateur and Maritime services, and further noted that federal agencies were </w:t>
      </w:r>
      <w:r w:rsidRPr="00771DF6">
        <w:t>also</w:t>
      </w:r>
      <w:r>
        <w:rPr>
          <w:rFonts w:eastAsia="Calibri"/>
          <w:snapToGrid/>
          <w:kern w:val="0"/>
          <w:szCs w:val="22"/>
        </w:rPr>
        <w:t xml:space="preserve"> “encountering willful and malicious interference to their communications and have requested Commission assistance.”</w:t>
      </w:r>
      <w:r>
        <w:rPr>
          <w:rStyle w:val="FootnoteReference"/>
          <w:rFonts w:eastAsia="Calibri"/>
          <w:snapToGrid/>
          <w:kern w:val="0"/>
          <w:szCs w:val="22"/>
        </w:rPr>
        <w:footnoteReference w:id="18"/>
      </w:r>
      <w:r>
        <w:rPr>
          <w:rFonts w:eastAsia="Calibri"/>
          <w:snapToGrid/>
          <w:kern w:val="0"/>
          <w:szCs w:val="22"/>
        </w:rPr>
        <w:t xml:space="preserve">  It observed that “[w]</w:t>
      </w:r>
      <w:r>
        <w:rPr>
          <w:rFonts w:eastAsia="Calibri"/>
          <w:snapToGrid/>
          <w:kern w:val="0"/>
          <w:szCs w:val="22"/>
        </w:rPr>
        <w:t>hile</w:t>
      </w:r>
      <w:r>
        <w:rPr>
          <w:rFonts w:eastAsia="Calibri"/>
          <w:snapToGrid/>
          <w:kern w:val="0"/>
          <w:szCs w:val="22"/>
        </w:rPr>
        <w:t xml:space="preserve"> such intentional and malicious interference to radio operations has primarily occurred in the radio services mentioned above, more isolated instances of deliberate and malicious interference to radio operations and signals in other services, including public safety, private land mobile, and cable television, also appear to be increasing.”</w:t>
      </w:r>
      <w:r>
        <w:rPr>
          <w:rStyle w:val="FootnoteReference"/>
          <w:rFonts w:eastAsia="Calibri"/>
          <w:snapToGrid/>
          <w:kern w:val="0"/>
          <w:szCs w:val="22"/>
        </w:rPr>
        <w:footnoteReference w:id="19"/>
      </w:r>
      <w:r w:rsidRPr="002F1532">
        <w:rPr>
          <w:rFonts w:eastAsia="Calibri"/>
          <w:snapToGrid/>
          <w:kern w:val="0"/>
          <w:szCs w:val="22"/>
        </w:rPr>
        <w:t xml:space="preserve"> </w:t>
      </w:r>
      <w:r>
        <w:rPr>
          <w:rFonts w:eastAsia="Calibri"/>
          <w:snapToGrid/>
          <w:kern w:val="0"/>
          <w:szCs w:val="22"/>
        </w:rPr>
        <w:t xml:space="preserve"> The House Report noted, as examples of the prohibited conduct, specific</w:t>
      </w:r>
      <w:r w:rsidRPr="002F1532">
        <w:rPr>
          <w:rFonts w:eastAsia="Calibri"/>
          <w:snapToGrid/>
          <w:kern w:val="0"/>
          <w:szCs w:val="22"/>
        </w:rPr>
        <w:t xml:space="preserve"> abuses such as “intentional jamming, deliberate transmission on top of the transmissions of authorized operators already using specific frequencies in order to obstruct their communications, repeated interruptions, and the use and transmission of whistles, tapes, records, or other types of noisemaking devices to interfere with the communications or radio signals of other stations.”</w:t>
      </w:r>
      <w:r>
        <w:rPr>
          <w:rFonts w:eastAsia="Calibri"/>
          <w:snapToGrid/>
          <w:kern w:val="0"/>
          <w:szCs w:val="22"/>
          <w:vertAlign w:val="superscript"/>
        </w:rPr>
        <w:footnoteReference w:id="20"/>
      </w:r>
      <w:r w:rsidRPr="002F1532">
        <w:rPr>
          <w:rFonts w:eastAsia="Calibri"/>
          <w:snapToGrid/>
          <w:kern w:val="0"/>
          <w:szCs w:val="22"/>
        </w:rPr>
        <w:t xml:space="preserve"> </w:t>
      </w:r>
      <w:r>
        <w:rPr>
          <w:rFonts w:eastAsia="Calibri"/>
          <w:snapToGrid/>
          <w:kern w:val="0"/>
          <w:szCs w:val="22"/>
        </w:rPr>
        <w:t xml:space="preserve"> It emphasized that, p</w:t>
      </w:r>
      <w:r w:rsidRPr="002F1532">
        <w:rPr>
          <w:rFonts w:eastAsia="Calibri"/>
          <w:snapToGrid/>
          <w:kern w:val="0"/>
          <w:szCs w:val="22"/>
        </w:rPr>
        <w:t>reviously,</w:t>
      </w:r>
      <w:r>
        <w:rPr>
          <w:rFonts w:eastAsia="Calibri"/>
          <w:snapToGrid/>
          <w:kern w:val="0"/>
          <w:szCs w:val="22"/>
        </w:rPr>
        <w:t xml:space="preserve"> to address these abuses,</w:t>
      </w:r>
      <w:r w:rsidRPr="002F1532">
        <w:rPr>
          <w:rFonts w:eastAsia="Calibri"/>
          <w:snapToGrid/>
          <w:kern w:val="0"/>
          <w:szCs w:val="22"/>
        </w:rPr>
        <w:t xml:space="preserve"> “the Commission [was] forced to rely upon the more </w:t>
      </w:r>
      <w:r w:rsidRPr="002F1532">
        <w:rPr>
          <w:rFonts w:eastAsia="Calibri"/>
          <w:snapToGrid/>
          <w:kern w:val="0"/>
          <w:szCs w:val="22"/>
        </w:rPr>
        <w:t>limited licensed operator provision of the Act concerning interference.”</w:t>
      </w:r>
      <w:r>
        <w:rPr>
          <w:rFonts w:eastAsia="Calibri"/>
          <w:snapToGrid/>
          <w:kern w:val="0"/>
          <w:szCs w:val="22"/>
          <w:vertAlign w:val="superscript"/>
        </w:rPr>
        <w:footnoteReference w:id="21"/>
      </w:r>
      <w:r w:rsidRPr="002F1532">
        <w:rPr>
          <w:rFonts w:eastAsia="Calibri"/>
          <w:snapToGrid/>
          <w:kern w:val="0"/>
          <w:szCs w:val="22"/>
        </w:rPr>
        <w:t xml:space="preserve"> </w:t>
      </w:r>
      <w:r>
        <w:rPr>
          <w:rFonts w:eastAsia="Calibri"/>
          <w:snapToGrid/>
          <w:kern w:val="0"/>
          <w:szCs w:val="22"/>
        </w:rPr>
        <w:t xml:space="preserve"> The House Report concluded that the added provision, “in addition to elevating the gravity of such violations, will increase public awareness of the prohibition against this particularly disruptive type of violation.”</w:t>
      </w:r>
      <w:r>
        <w:rPr>
          <w:rStyle w:val="FootnoteReference"/>
          <w:rFonts w:eastAsia="Calibri"/>
          <w:snapToGrid/>
          <w:kern w:val="0"/>
          <w:szCs w:val="22"/>
        </w:rPr>
        <w:footnoteReference w:id="22"/>
      </w:r>
      <w:r w:rsidRPr="002F1532">
        <w:rPr>
          <w:rFonts w:eastAsia="Calibri"/>
          <w:snapToGrid/>
          <w:kern w:val="0"/>
          <w:szCs w:val="22"/>
        </w:rPr>
        <w:t xml:space="preserve"> </w:t>
      </w:r>
      <w:r>
        <w:rPr>
          <w:rFonts w:eastAsia="Calibri"/>
          <w:snapToGrid/>
          <w:kern w:val="0"/>
          <w:szCs w:val="22"/>
        </w:rPr>
        <w:t xml:space="preserve"> The discussion reflects that t</w:t>
      </w:r>
      <w:r w:rsidRPr="002F1532">
        <w:rPr>
          <w:rFonts w:eastAsia="Calibri"/>
          <w:snapToGrid/>
          <w:kern w:val="0"/>
          <w:szCs w:val="22"/>
        </w:rPr>
        <w:t xml:space="preserve">he addition of </w:t>
      </w:r>
      <w:r>
        <w:rPr>
          <w:rFonts w:eastAsia="Calibri"/>
          <w:snapToGrid/>
          <w:kern w:val="0"/>
          <w:szCs w:val="22"/>
        </w:rPr>
        <w:t>s</w:t>
      </w:r>
      <w:r w:rsidRPr="002F1532">
        <w:rPr>
          <w:rFonts w:eastAsia="Calibri"/>
          <w:snapToGrid/>
          <w:kern w:val="0"/>
          <w:szCs w:val="22"/>
        </w:rPr>
        <w:t xml:space="preserve">ection 333 was intended to strengthen </w:t>
      </w:r>
      <w:r>
        <w:rPr>
          <w:rFonts w:eastAsia="Calibri"/>
          <w:snapToGrid/>
          <w:kern w:val="0"/>
          <w:szCs w:val="22"/>
        </w:rPr>
        <w:t xml:space="preserve">the Commission’s </w:t>
      </w:r>
      <w:r w:rsidRPr="002F1532">
        <w:rPr>
          <w:rFonts w:eastAsia="Calibri"/>
          <w:snapToGrid/>
          <w:kern w:val="0"/>
          <w:szCs w:val="22"/>
        </w:rPr>
        <w:t xml:space="preserve">enforcement efforts </w:t>
      </w:r>
      <w:r>
        <w:rPr>
          <w:rFonts w:eastAsia="Calibri"/>
          <w:snapToGrid/>
          <w:kern w:val="0"/>
          <w:szCs w:val="22"/>
        </w:rPr>
        <w:t>to address</w:t>
      </w:r>
      <w:r w:rsidRPr="002F1532">
        <w:rPr>
          <w:rFonts w:eastAsia="Calibri"/>
          <w:snapToGrid/>
          <w:kern w:val="0"/>
          <w:szCs w:val="22"/>
        </w:rPr>
        <w:t xml:space="preserve"> </w:t>
      </w:r>
      <w:r>
        <w:rPr>
          <w:rFonts w:eastAsia="Calibri"/>
          <w:snapToGrid/>
          <w:kern w:val="0"/>
          <w:szCs w:val="22"/>
        </w:rPr>
        <w:t>disruption of authorized wireless services</w:t>
      </w:r>
      <w:r w:rsidRPr="002F1532">
        <w:rPr>
          <w:rFonts w:eastAsia="Calibri"/>
          <w:snapToGrid/>
          <w:kern w:val="0"/>
          <w:szCs w:val="22"/>
        </w:rPr>
        <w:t xml:space="preserve">.  </w:t>
      </w:r>
    </w:p>
    <w:p w:rsidR="004451A4" w:rsidP="002D4176" w14:paraId="198FA56E" w14:textId="7EC05477">
      <w:pPr>
        <w:pStyle w:val="ParaNum"/>
        <w:tabs>
          <w:tab w:val="num" w:pos="360"/>
          <w:tab w:val="clear" w:pos="1080"/>
        </w:tabs>
      </w:pPr>
      <w:r>
        <w:t>We emphasize that this Declaratory Ruling</w:t>
      </w:r>
      <w:r w:rsidRPr="00B64960">
        <w:t xml:space="preserve"> </w:t>
      </w:r>
      <w:r>
        <w:t xml:space="preserve">addresses only the narrow circumstance of testing of C-UAS signal jammers intended for federal </w:t>
      </w:r>
      <w:r w:rsidR="00F10514">
        <w:t xml:space="preserve">or SLTT </w:t>
      </w:r>
      <w:r>
        <w:t xml:space="preserve">use pursuant to an FCC authorization, and </w:t>
      </w:r>
      <w:r w:rsidRPr="00B64960">
        <w:t xml:space="preserve">only clarifies </w:t>
      </w:r>
      <w:r>
        <w:t xml:space="preserve">when such testing </w:t>
      </w:r>
      <w:r w:rsidR="006F6232">
        <w:t xml:space="preserve">will not be deemed as violating </w:t>
      </w:r>
      <w:r>
        <w:t>s</w:t>
      </w:r>
      <w:r w:rsidRPr="00B64960">
        <w:t>ection 333</w:t>
      </w:r>
      <w:r>
        <w:t xml:space="preserve"> of the Act.</w:t>
      </w:r>
      <w:r>
        <w:rPr>
          <w:rStyle w:val="FootnoteReference"/>
        </w:rPr>
        <w:footnoteReference w:id="23"/>
      </w:r>
      <w:r>
        <w:t xml:space="preserve">  </w:t>
      </w:r>
      <w:r w:rsidRPr="00190C40">
        <w:t xml:space="preserve">In some cases, geographic licenses (that were previously auctioned and have been returned to the FCC) are in the FCC’s inventory and have no current licensee.  These instances are one example of how an experimenter could limit spectrum and geography of a test to remain in compliance with </w:t>
      </w:r>
      <w:r>
        <w:t>s</w:t>
      </w:r>
      <w:r w:rsidRPr="00190C40">
        <w:t xml:space="preserve">ection 333.  For example, there are no licensees today for: </w:t>
      </w:r>
      <w:r>
        <w:t xml:space="preserve"> </w:t>
      </w:r>
      <w:r w:rsidRPr="00190C40">
        <w:t>600 MHz Block G, PEA332  - Bennettsville, SC; AWS (1710-1755 MHz and 2110-2155 MHz) Block A, CMA332 - Arkansas 9 – Polk; 700 MHz Lower C Block, CMA723 - Puerto Rico 1 – Rincon; and PCS Block C5, BTA359 - Portsmouth, OH.</w:t>
      </w:r>
    </w:p>
    <w:p w:rsidR="005B71C1" w:rsidP="002D4176" w14:paraId="037C73E5" w14:textId="608948DF">
      <w:pPr>
        <w:pStyle w:val="ParaNum"/>
        <w:tabs>
          <w:tab w:val="num" w:pos="360"/>
          <w:tab w:val="clear" w:pos="1080"/>
        </w:tabs>
      </w:pPr>
      <w:r>
        <w:t xml:space="preserve">Additionally, we note that any C-UAS testing conducted under our experimental licensing rules </w:t>
      </w:r>
      <w:r w:rsidR="00CD080F">
        <w:t xml:space="preserve">will be limited to </w:t>
      </w:r>
      <w:r w:rsidR="002E4EAC">
        <w:t>device development, testing, demonstrations, and customer evaluation</w:t>
      </w:r>
      <w:r>
        <w:t>.</w:t>
      </w:r>
      <w:r>
        <w:rPr>
          <w:rStyle w:val="FootnoteReference"/>
        </w:rPr>
        <w:footnoteReference w:id="24"/>
      </w:r>
      <w:r>
        <w:t xml:space="preserve">  Moreover, nothing in this ruling should be read to permit commercial operation,</w:t>
      </w:r>
      <w:r w:rsidR="00685222">
        <w:t xml:space="preserve"> and the clarity provided </w:t>
      </w:r>
      <w:r w:rsidR="00892FB4">
        <w:t xml:space="preserve">herein </w:t>
      </w:r>
      <w:r w:rsidR="00685222">
        <w:t xml:space="preserve">pertains solely to </w:t>
      </w:r>
      <w:r w:rsidR="00892FB4">
        <w:t>section 333 of the Act.</w:t>
      </w:r>
      <w:r>
        <w:t xml:space="preserve">  </w:t>
      </w:r>
      <w:r w:rsidRPr="00B64960">
        <w:t xml:space="preserve">All other </w:t>
      </w:r>
      <w:r>
        <w:t xml:space="preserve">statutory provisions and </w:t>
      </w:r>
      <w:r w:rsidRPr="00B64960">
        <w:t>rules</w:t>
      </w:r>
      <w:r>
        <w:t>, including part 5 rules</w:t>
      </w:r>
      <w:r w:rsidRPr="00B64960">
        <w:t xml:space="preserve"> prohibiting experimental stations from causing harmful interference</w:t>
      </w:r>
      <w:r>
        <w:t xml:space="preserve"> </w:t>
      </w:r>
      <w:r w:rsidRPr="008A2131">
        <w:t>to any station operating in accordance with the Table of Frequency Allocation</w:t>
      </w:r>
      <w:r w:rsidRPr="00B64960">
        <w:t xml:space="preserve"> and limiting </w:t>
      </w:r>
      <w:r>
        <w:t xml:space="preserve">experimental stations’ </w:t>
      </w:r>
      <w:r w:rsidRPr="00B64960">
        <w:t>interference protection rights</w:t>
      </w:r>
      <w:r>
        <w:t>,</w:t>
      </w:r>
      <w:r w:rsidRPr="00B64960">
        <w:t xml:space="preserve"> remain in force.</w:t>
      </w:r>
      <w:r>
        <w:rPr>
          <w:rStyle w:val="FootnoteReference"/>
        </w:rPr>
        <w:footnoteReference w:id="25"/>
      </w:r>
      <w:r>
        <w:t xml:space="preserve">  </w:t>
      </w:r>
    </w:p>
    <w:p w:rsidR="005B71C1" w:rsidP="002D4176" w14:paraId="5876D9D4" w14:textId="0DC41710">
      <w:pPr>
        <w:pStyle w:val="ParaNum"/>
        <w:tabs>
          <w:tab w:val="num" w:pos="360"/>
          <w:tab w:val="clear" w:pos="1080"/>
        </w:tabs>
      </w:pPr>
      <w:r>
        <w:t xml:space="preserve">In sum, we find that section 333 is </w:t>
      </w:r>
      <w:r w:rsidRPr="00881A41">
        <w:t>satisfied insofar that:</w:t>
      </w:r>
      <w:r w:rsidRPr="00881A41">
        <w:t xml:space="preserve"> </w:t>
      </w:r>
      <w:r w:rsidRPr="00AA76B7" w:rsidR="00881A41">
        <w:t>(1) RF signal jamming is conducted solely for purposes of the testing of C-UAS or C-UAS immunity for federal or SLTT use; (2) the same non-</w:t>
      </w:r>
      <w:r w:rsidR="0080619B">
        <w:t>f</w:t>
      </w:r>
      <w:r w:rsidRPr="002D4176" w:rsidR="00881A41">
        <w:t>ederal</w:t>
      </w:r>
      <w:r w:rsidRPr="00AA76B7" w:rsidR="00881A41">
        <w:t xml:space="preserve"> entity controls and operates both the jamming equipment and the equipment to be jammed; and (3) </w:t>
      </w:r>
      <w:r w:rsidR="004D011C">
        <w:t xml:space="preserve">the </w:t>
      </w:r>
      <w:r w:rsidRPr="00AA76B7" w:rsidR="00881A41">
        <w:t>non-</w:t>
      </w:r>
      <w:r w:rsidR="0080619B">
        <w:t>f</w:t>
      </w:r>
      <w:r w:rsidRPr="002D4176" w:rsidR="00881A41">
        <w:t>ederal</w:t>
      </w:r>
      <w:r w:rsidRPr="00AA76B7" w:rsidR="00881A41">
        <w:t xml:space="preserve"> entity does not cause harmful interference to any station</w:t>
      </w:r>
      <w:r w:rsidR="00A53469">
        <w:t xml:space="preserve"> licensed or authorized by the Commission or operated by the United States government</w:t>
      </w:r>
      <w:r w:rsidRPr="00AA76B7" w:rsidR="00881A41">
        <w:t xml:space="preserve">.  In addition to satisfying section 333’s requirements: (1) the </w:t>
      </w:r>
      <w:r w:rsidR="00BB7CF4">
        <w:t>non-</w:t>
      </w:r>
      <w:r w:rsidR="008A3260">
        <w:t>f</w:t>
      </w:r>
      <w:r w:rsidR="00BB7CF4">
        <w:t xml:space="preserve">ederal </w:t>
      </w:r>
      <w:r w:rsidRPr="00AA76B7" w:rsidR="00881A41">
        <w:t xml:space="preserve">entity must obtain an experimental authorization for such testing pursuant to the Commission’s rules and procedures; and (2) the </w:t>
      </w:r>
      <w:r w:rsidR="00BB7CF4">
        <w:t>non-</w:t>
      </w:r>
      <w:r w:rsidR="008A3260">
        <w:t>f</w:t>
      </w:r>
      <w:r w:rsidR="00BB7CF4">
        <w:t xml:space="preserve">ederal </w:t>
      </w:r>
      <w:r w:rsidRPr="00AA76B7" w:rsidR="00881A41">
        <w:t xml:space="preserve">entity must fully comply with all applicable rules, conditions, </w:t>
      </w:r>
      <w:r w:rsidR="008A3260">
        <w:t xml:space="preserve">and </w:t>
      </w:r>
      <w:r w:rsidRPr="00AA76B7" w:rsidR="00881A41">
        <w:t>requirements of that testing authorization</w:t>
      </w:r>
      <w:r w:rsidR="00AB5C99">
        <w:t>.</w:t>
      </w:r>
      <w:r w:rsidRPr="00881A41">
        <w:t xml:space="preserve"> </w:t>
      </w:r>
      <w:r w:rsidR="0080619B">
        <w:t xml:space="preserve"> </w:t>
      </w:r>
      <w:r w:rsidRPr="00881A41">
        <w:t xml:space="preserve">The Office </w:t>
      </w:r>
      <w:r>
        <w:t>of Engineering and Technology</w:t>
      </w:r>
      <w:r w:rsidRPr="00781D4F">
        <w:t xml:space="preserve"> will publish guidance </w:t>
      </w:r>
      <w:r>
        <w:t xml:space="preserve">on how </w:t>
      </w:r>
      <w:r w:rsidRPr="00781D4F">
        <w:t xml:space="preserve">applicants </w:t>
      </w:r>
      <w:r>
        <w:t>may obtain the necessary authorization and provide the relevant documentation to ensure compliance with the scope of this Declaratory Ruling.</w:t>
      </w:r>
      <w:r w:rsidRPr="00781D4F">
        <w:t xml:space="preserve">  </w:t>
      </w:r>
    </w:p>
    <w:p w:rsidR="005B71C1" w:rsidP="005B71C1" w14:paraId="628F7859" w14:textId="77777777">
      <w:pPr>
        <w:pStyle w:val="Heading1"/>
      </w:pPr>
      <w:r>
        <w:t>ordering clauses</w:t>
      </w:r>
    </w:p>
    <w:p w:rsidR="005B71C1" w:rsidP="008C6C4D" w14:paraId="3508E279" w14:textId="77777777">
      <w:pPr>
        <w:pStyle w:val="ParaNum"/>
        <w:tabs>
          <w:tab w:val="num" w:pos="360"/>
          <w:tab w:val="clear" w:pos="1080"/>
        </w:tabs>
      </w:pPr>
      <w:r>
        <w:t>Accordingly, IT IS ORDERED that, pursuant to sections 303 and 333 of the Communications Act of 1934, as amended, 47 U.S.C. §§ 303, 333, sections 0.131, 0.331, and 1.2 of the Commission’s rules, 47 CFR §§ 0.131, 0.331, 1.2, and section 5(e) of the Administrative Procedure Act, 5 U.S.C. § 554(e), this Declaratory Ruling IS ADOPTED.</w:t>
      </w:r>
    </w:p>
    <w:p w:rsidR="005B71C1" w:rsidP="008C6C4D" w14:paraId="30E50444" w14:textId="77777777">
      <w:pPr>
        <w:pStyle w:val="ParaNum"/>
        <w:keepNext/>
        <w:widowControl/>
        <w:tabs>
          <w:tab w:val="num" w:pos="360"/>
          <w:tab w:val="clear" w:pos="1080"/>
        </w:tabs>
      </w:pPr>
      <w:r>
        <w:t>IT IS FURTHER ORDERED that this Declaratory Ruling IS EFFECTIVE upon release of this document.</w:t>
      </w:r>
      <w:r w:rsidRPr="003F384B" w:rsidR="003F384B">
        <w:tab/>
      </w:r>
      <w:r w:rsidRPr="003F384B" w:rsidR="003F384B">
        <w:tab/>
      </w:r>
      <w:r w:rsidRPr="003F384B" w:rsidR="003F384B">
        <w:tab/>
      </w:r>
      <w:r w:rsidRPr="003F384B" w:rsidR="003F384B">
        <w:tab/>
      </w:r>
      <w:r w:rsidRPr="003F384B" w:rsidR="003F384B">
        <w:tab/>
      </w:r>
      <w:r w:rsidRPr="003F384B" w:rsidR="003F384B">
        <w:tab/>
      </w:r>
    </w:p>
    <w:p w:rsidR="005B71C1" w:rsidP="008C6C4D" w14:paraId="5CE1630B" w14:textId="77777777">
      <w:pPr>
        <w:pStyle w:val="ParaNum"/>
        <w:keepNext/>
        <w:widowControl/>
        <w:numPr>
          <w:ilvl w:val="0"/>
          <w:numId w:val="0"/>
        </w:numPr>
        <w:tabs>
          <w:tab w:val="num" w:pos="360"/>
        </w:tabs>
      </w:pPr>
    </w:p>
    <w:p w:rsidR="005B71C1" w:rsidP="008C6C4D" w14:paraId="4DA17BA1" w14:textId="77777777">
      <w:pPr>
        <w:pStyle w:val="ParaNum"/>
        <w:keepNext/>
        <w:widowControl/>
        <w:numPr>
          <w:ilvl w:val="0"/>
          <w:numId w:val="0"/>
        </w:numPr>
        <w:ind w:left="4320"/>
      </w:pPr>
      <w:r>
        <w:t>FEDERAL COMMUNICATIONS COMMISSION</w:t>
      </w:r>
    </w:p>
    <w:p w:rsidR="005B71C1" w:rsidP="008C6C4D" w14:paraId="4710B923" w14:textId="77777777">
      <w:pPr>
        <w:keepNext/>
        <w:widowControl/>
      </w:pPr>
    </w:p>
    <w:p w:rsidR="005B71C1" w:rsidP="008C6C4D" w14:paraId="679B51E6" w14:textId="77777777">
      <w:pPr>
        <w:keepNext/>
        <w:widowControl/>
      </w:pPr>
    </w:p>
    <w:p w:rsidR="005B71C1" w:rsidP="008C6C4D" w14:paraId="4CA1CAC2" w14:textId="77777777">
      <w:pPr>
        <w:keepNext/>
        <w:widowControl/>
      </w:pPr>
    </w:p>
    <w:p w:rsidR="003F384B" w:rsidRPr="003F384B" w:rsidP="00BF44B3" w14:paraId="413C3455" w14:textId="77777777">
      <w:pPr>
        <w:keepNext/>
        <w:widowControl/>
      </w:pPr>
    </w:p>
    <w:p w:rsidR="005B71C1" w:rsidP="008C6C4D" w14:paraId="75EC4506" w14:textId="77777777">
      <w:pPr>
        <w:keepNext/>
        <w:widowControl/>
      </w:pPr>
      <w:r w:rsidRPr="003F384B">
        <w:tab/>
      </w:r>
      <w:r w:rsidRPr="003F384B">
        <w:tab/>
      </w:r>
      <w:r w:rsidRPr="003F384B">
        <w:tab/>
      </w:r>
      <w:r w:rsidRPr="003F384B">
        <w:tab/>
      </w:r>
      <w:r w:rsidRPr="003F384B">
        <w:tab/>
      </w:r>
      <w:r w:rsidRPr="003F384B">
        <w:tab/>
      </w:r>
      <w:r>
        <w:t>Joel Taubenblatt</w:t>
      </w:r>
    </w:p>
    <w:p w:rsidR="005B71C1" w:rsidRPr="00B04B85" w:rsidP="008C6C4D" w14:paraId="0420DB23" w14:textId="77777777">
      <w:pPr>
        <w:keepNext/>
        <w:widowControl/>
      </w:pPr>
      <w:r w:rsidRPr="003F384B">
        <w:tab/>
      </w:r>
      <w:r w:rsidRPr="003F384B">
        <w:tab/>
      </w:r>
      <w:r w:rsidRPr="003F384B">
        <w:tab/>
      </w:r>
      <w:r w:rsidRPr="003F384B">
        <w:tab/>
      </w:r>
      <w:r w:rsidRPr="003F384B">
        <w:tab/>
      </w:r>
      <w:r w:rsidRPr="003F384B">
        <w:tab/>
      </w:r>
      <w:r>
        <w:t>Chief, Wireless Telecommunications Bureau</w:t>
      </w:r>
    </w:p>
    <w:p w:rsidR="00CA1368" w:rsidP="00BF44B3" w14:paraId="70FDCC9A" w14:textId="4A895616">
      <w:pPr>
        <w:keepNext/>
        <w:widowControl/>
      </w:pPr>
      <w:r>
        <w:tab/>
      </w:r>
      <w:r>
        <w:tab/>
      </w:r>
      <w:r>
        <w:tab/>
      </w:r>
      <w:r>
        <w:tab/>
      </w:r>
      <w:r>
        <w:tab/>
      </w:r>
      <w:r>
        <w:tab/>
      </w:r>
    </w:p>
    <w:p w:rsidR="00CA1368" w:rsidP="003F384B" w14:paraId="67F4E9E8" w14:textId="77777777">
      <w:pPr>
        <w:keepNext/>
      </w:pPr>
    </w:p>
    <w:p w:rsidR="00CA1368" w:rsidP="003F384B" w14:paraId="1524BE19" w14:textId="77777777">
      <w:pPr>
        <w:keepNext/>
      </w:pPr>
    </w:p>
    <w:p w:rsidR="00CA1368" w:rsidP="003F384B" w14:paraId="3EBBB067" w14:textId="1EA34FD1">
      <w:pPr>
        <w:keepNext/>
      </w:pPr>
    </w:p>
    <w:p w:rsidR="00CA1368" w:rsidRPr="003F384B" w:rsidP="003F384B" w14:paraId="49526CB8" w14:textId="77777777">
      <w:pPr>
        <w:keepNext/>
      </w:pPr>
    </w:p>
    <w:p w:rsidR="00332664" w:rsidP="00BF44B3" w14:paraId="495DACC6" w14:textId="4FB940BC">
      <w:pPr>
        <w:keepNext/>
      </w:pPr>
      <w:r>
        <w:tab/>
      </w:r>
      <w:r>
        <w:tab/>
      </w:r>
      <w:r>
        <w:tab/>
      </w:r>
      <w:r>
        <w:tab/>
      </w:r>
      <w:r>
        <w:tab/>
      </w:r>
      <w:r>
        <w:tab/>
        <w:t xml:space="preserve">Andrew </w:t>
      </w:r>
      <w:r w:rsidR="00F16582">
        <w:t xml:space="preserve">C. </w:t>
      </w:r>
      <w:r>
        <w:t>Hendrickson</w:t>
      </w:r>
    </w:p>
    <w:p w:rsidR="00412FC5" w:rsidRPr="005B71C1" w:rsidP="008C6C4D" w14:paraId="291F76B2" w14:textId="77777777">
      <w:pPr>
        <w:keepNext/>
      </w:pPr>
      <w:r>
        <w:tab/>
      </w:r>
      <w:r>
        <w:tab/>
      </w:r>
      <w:r>
        <w:tab/>
      </w:r>
      <w:r>
        <w:tab/>
      </w:r>
      <w:r>
        <w:tab/>
      </w:r>
      <w:r>
        <w:tab/>
        <w:t xml:space="preserve">Chief, </w:t>
      </w:r>
      <w:r w:rsidR="00BF44B3">
        <w:t>Office of Engineering and Technology</w:t>
      </w: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54FDB" w14:paraId="2D404ADE" w14:textId="77777777">
      <w:pPr>
        <w:spacing w:line="20" w:lineRule="exact"/>
      </w:pPr>
    </w:p>
  </w:endnote>
  <w:endnote w:type="continuationSeparator" w:id="1">
    <w:p w:rsidR="00D54FDB" w14:paraId="068D774D" w14:textId="77777777">
      <w:r>
        <w:t xml:space="preserve"> </w:t>
      </w:r>
    </w:p>
  </w:endnote>
  <w:endnote w:type="continuationNotice" w:id="2">
    <w:p w:rsidR="00D54FDB" w14:paraId="6DA2260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Bold">
    <w:panose1 w:val="02020803070505020304"/>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30384F1B"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7B3F912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2D4176" w14:paraId="3CB5524F" w14:textId="256FC35D">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3DEFE68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54FDB" w14:paraId="5A02E2C5" w14:textId="77777777">
      <w:r>
        <w:separator/>
      </w:r>
    </w:p>
  </w:footnote>
  <w:footnote w:type="continuationSeparator" w:id="1">
    <w:p w:rsidR="00D54FDB" w:rsidP="00C721AC" w14:paraId="32BD6E28" w14:textId="77777777">
      <w:pPr>
        <w:spacing w:before="120"/>
        <w:rPr>
          <w:sz w:val="20"/>
        </w:rPr>
      </w:pPr>
      <w:r>
        <w:rPr>
          <w:sz w:val="20"/>
        </w:rPr>
        <w:t xml:space="preserve">(Continued from previous page)  </w:t>
      </w:r>
      <w:r>
        <w:rPr>
          <w:sz w:val="20"/>
        </w:rPr>
        <w:separator/>
      </w:r>
    </w:p>
  </w:footnote>
  <w:footnote w:type="continuationNotice" w:id="2">
    <w:p w:rsidR="00D54FDB" w:rsidP="00C721AC" w14:paraId="7D430338" w14:textId="77777777">
      <w:pPr>
        <w:jc w:val="right"/>
        <w:rPr>
          <w:sz w:val="20"/>
        </w:rPr>
      </w:pPr>
      <w:r>
        <w:rPr>
          <w:sz w:val="20"/>
        </w:rPr>
        <w:t>(continued….)</w:t>
      </w:r>
    </w:p>
  </w:footnote>
  <w:footnote w:id="3">
    <w:p w:rsidR="005B71C1" w:rsidRPr="00C25E7A" w:rsidP="005B71C1" w14:paraId="53C7E9BE" w14:textId="77777777">
      <w:pPr>
        <w:pStyle w:val="FootnoteText"/>
      </w:pPr>
      <w:r>
        <w:rPr>
          <w:rStyle w:val="FootnoteReference"/>
        </w:rPr>
        <w:footnoteRef/>
      </w:r>
      <w:r>
        <w:t xml:space="preserve"> </w:t>
      </w:r>
      <w:r>
        <w:rPr>
          <w:i/>
          <w:iCs/>
        </w:rPr>
        <w:t xml:space="preserve">See </w:t>
      </w:r>
      <w:r w:rsidRPr="00C25E7A">
        <w:t>Executive Order 14305</w:t>
      </w:r>
      <w:r>
        <w:t xml:space="preserve"> of June 6, 2025, Restoring American Airspace Sovereignty, </w:t>
      </w:r>
      <w:r w:rsidRPr="00735A63">
        <w:t>90 F</w:t>
      </w:r>
      <w:r>
        <w:t>ed. Reg.</w:t>
      </w:r>
      <w:r w:rsidRPr="00735A63">
        <w:t xml:space="preserve"> 24719</w:t>
      </w:r>
      <w:r>
        <w:t>, 24719 (June 11, 2025) (</w:t>
      </w:r>
      <w:r w:rsidRPr="003A68EE">
        <w:rPr>
          <w:i/>
          <w:iCs/>
        </w:rPr>
        <w:t>Airspace Sovereignty EO</w:t>
      </w:r>
      <w:r>
        <w:t>).</w:t>
      </w:r>
    </w:p>
  </w:footnote>
  <w:footnote w:id="4">
    <w:p w:rsidR="005B71C1" w:rsidRPr="00716176" w:rsidP="005B71C1" w14:paraId="375EF906" w14:textId="25D40394">
      <w:pPr>
        <w:pStyle w:val="FootnoteText"/>
      </w:pPr>
      <w:r>
        <w:rPr>
          <w:rStyle w:val="FootnoteReference"/>
        </w:rPr>
        <w:footnoteRef/>
      </w:r>
      <w:r>
        <w:t xml:space="preserve"> </w:t>
      </w:r>
      <w:r>
        <w:rPr>
          <w:i/>
          <w:iCs/>
        </w:rPr>
        <w:t>See id.</w:t>
      </w:r>
      <w:r>
        <w:t xml:space="preserve"> at 24719-21.  </w:t>
      </w:r>
      <w:r>
        <w:t xml:space="preserve">We note that </w:t>
      </w:r>
      <w:r>
        <w:t xml:space="preserve">“Congress has exclusively authorized the Departments of Defense, Energy, Justice, and Homeland Security to engage in limited UAS detection and mitigation activities to counter UAS presenting a credible threat to covered facilities or assets, notwithstanding certain otherwise potentially applicable federal criminal laws[.]”  FAA, DOJ, FCC, and DHS, </w:t>
      </w:r>
      <w:r w:rsidRPr="005D0CDA">
        <w:rPr>
          <w:i/>
        </w:rPr>
        <w:t>Advisory on the Application of Federal Laws to the Acquisition and Use of Technologies to Detect and Mitigate Unmanned Aircraft Systems</w:t>
      </w:r>
      <w:r>
        <w:t xml:space="preserve">, at 2 (Aug. 2020), </w:t>
      </w:r>
      <w:hyperlink r:id="rId1" w:history="1">
        <w:r w:rsidRPr="004E0FA5">
          <w:rPr>
            <w:rStyle w:val="Hyperlink"/>
          </w:rPr>
          <w:t>https://docs.fcc.gov/public/attachments/DOC-366222A1.pdf</w:t>
        </w:r>
      </w:hyperlink>
      <w:r w:rsidR="00A7024F">
        <w:t xml:space="preserve">; </w:t>
      </w:r>
      <w:r w:rsidR="00A7024F">
        <w:rPr>
          <w:i/>
          <w:iCs/>
        </w:rPr>
        <w:t xml:space="preserve">see also </w:t>
      </w:r>
      <w:r w:rsidRPr="00F7273D" w:rsidR="007B6D53">
        <w:t xml:space="preserve">SAFER SKIES Act of 2025, Pub. L. No. 119-213, § 2, 139 Stat. 1582 (2025) </w:t>
      </w:r>
      <w:r w:rsidR="001E3CB2">
        <w:t>(SAFER SKIES Act</w:t>
      </w:r>
      <w:r w:rsidR="007B6D53">
        <w:t xml:space="preserve">) </w:t>
      </w:r>
      <w:r w:rsidRPr="00F7273D" w:rsidR="007B6D53">
        <w:t>(codified as amended at 6 U.S.C. § 124n</w:t>
      </w:r>
      <w:r w:rsidR="007B6D53">
        <w:t>)</w:t>
      </w:r>
      <w:r w:rsidR="00B07756">
        <w:t xml:space="preserve"> (</w:t>
      </w:r>
      <w:r w:rsidR="00FB34F0">
        <w:t>permitting</w:t>
      </w:r>
      <w:r w:rsidR="00B07756">
        <w:t xml:space="preserve"> </w:t>
      </w:r>
      <w:r w:rsidR="00F4434E">
        <w:t>s</w:t>
      </w:r>
      <w:r w:rsidR="00B07756">
        <w:t xml:space="preserve">tate, </w:t>
      </w:r>
      <w:r w:rsidR="00F4434E">
        <w:t>l</w:t>
      </w:r>
      <w:r w:rsidR="00B07756">
        <w:t xml:space="preserve">ocal, </w:t>
      </w:r>
      <w:r w:rsidR="00F73FAE">
        <w:t>t</w:t>
      </w:r>
      <w:r w:rsidR="00207EB7">
        <w:t xml:space="preserve">ribal, and </w:t>
      </w:r>
      <w:r w:rsidR="00F4434E">
        <w:t>t</w:t>
      </w:r>
      <w:r w:rsidR="00A15A84">
        <w:t>erritorial</w:t>
      </w:r>
      <w:r w:rsidR="00207EB7">
        <w:t xml:space="preserve"> </w:t>
      </w:r>
      <w:r w:rsidR="00562CCC">
        <w:t xml:space="preserve">(SLTT) </w:t>
      </w:r>
      <w:r w:rsidR="00207EB7">
        <w:t>law enforcement</w:t>
      </w:r>
      <w:r w:rsidR="00A15A84">
        <w:t xml:space="preserve"> </w:t>
      </w:r>
      <w:r w:rsidR="00E4487A">
        <w:t xml:space="preserve">to </w:t>
      </w:r>
      <w:r w:rsidR="00F4434E">
        <w:t>conduct</w:t>
      </w:r>
      <w:r w:rsidR="00031A54">
        <w:t xml:space="preserve"> </w:t>
      </w:r>
      <w:r w:rsidR="007D7748">
        <w:t xml:space="preserve">certain </w:t>
      </w:r>
      <w:r w:rsidR="00031A54">
        <w:t xml:space="preserve">C-UAS operations </w:t>
      </w:r>
      <w:r w:rsidR="009B46D9">
        <w:t xml:space="preserve">pursuant to </w:t>
      </w:r>
      <w:r w:rsidR="00886D5D">
        <w:t xml:space="preserve">specific </w:t>
      </w:r>
      <w:r w:rsidR="00961DAE">
        <w:t>statutory criteria</w:t>
      </w:r>
      <w:r w:rsidR="00E47195">
        <w:t xml:space="preserve">, </w:t>
      </w:r>
      <w:r w:rsidR="009E1EDD">
        <w:t xml:space="preserve">and subject to </w:t>
      </w:r>
      <w:r w:rsidR="00E47195">
        <w:t xml:space="preserve">federal training </w:t>
      </w:r>
      <w:r w:rsidR="005063C6">
        <w:t>and certification requirements</w:t>
      </w:r>
      <w:r w:rsidR="00A15A84">
        <w:t>).</w:t>
      </w:r>
    </w:p>
  </w:footnote>
  <w:footnote w:id="5">
    <w:p w:rsidR="00D93E39" w:rsidP="00D93E39" w14:paraId="7DB645A2" w14:textId="3BB29F18">
      <w:pPr>
        <w:pStyle w:val="FootnoteText"/>
      </w:pPr>
      <w:r>
        <w:rPr>
          <w:rStyle w:val="FootnoteReference"/>
        </w:rPr>
        <w:footnoteRef/>
      </w:r>
      <w:r>
        <w:t xml:space="preserve"> </w:t>
      </w:r>
      <w:r w:rsidR="008D1D2D">
        <w:rPr>
          <w:i/>
          <w:iCs/>
        </w:rPr>
        <w:t xml:space="preserve">See supra </w:t>
      </w:r>
      <w:r w:rsidR="008D1D2D">
        <w:t xml:space="preserve">n.2.  </w:t>
      </w:r>
      <w:r>
        <w:t>Since the publication of the Executive Orders, the Commission has granted a limited number of C-UAS experimental licenses for testing, research and development, design, and demonstration purposes.</w:t>
      </w:r>
    </w:p>
  </w:footnote>
  <w:footnote w:id="6">
    <w:p w:rsidR="00D663BB" w14:paraId="4B821542" w14:textId="55051B09">
      <w:pPr>
        <w:pStyle w:val="FootnoteText"/>
      </w:pPr>
      <w:r>
        <w:rPr>
          <w:rStyle w:val="FootnoteReference"/>
        </w:rPr>
        <w:footnoteRef/>
      </w:r>
      <w:r>
        <w:t xml:space="preserve"> </w:t>
      </w:r>
      <w:r w:rsidRPr="00F7273D" w:rsidR="00A63116">
        <w:rPr>
          <w:i/>
          <w:iCs/>
        </w:rPr>
        <w:t>Unleashing American Drone Dominance</w:t>
      </w:r>
      <w:r w:rsidRPr="00A63116" w:rsidR="00A63116">
        <w:t xml:space="preserve">, Exec. Order 14307, 90 Fed. Reg. 24727 (June 6, 2025), </w:t>
      </w:r>
      <w:hyperlink r:id="rId2" w:history="1">
        <w:r w:rsidRPr="00292293" w:rsidR="00000824">
          <w:rPr>
            <w:rStyle w:val="Hyperlink"/>
          </w:rPr>
          <w:t>https://www.whitehouse.gov/presidentialactions/2025/06/unleashing-american-drone-dominance/</w:t>
        </w:r>
      </w:hyperlink>
      <w:r w:rsidR="00332664">
        <w:t>.</w:t>
      </w:r>
    </w:p>
  </w:footnote>
  <w:footnote w:id="7">
    <w:p w:rsidR="00E41B3A" w14:paraId="61D55B56" w14:textId="3FEAFED0">
      <w:pPr>
        <w:pStyle w:val="FootnoteText"/>
      </w:pPr>
      <w:r>
        <w:rPr>
          <w:rStyle w:val="FootnoteReference"/>
        </w:rPr>
        <w:footnoteRef/>
      </w:r>
      <w:r>
        <w:t xml:space="preserve"> </w:t>
      </w:r>
      <w:r w:rsidR="00035EE0">
        <w:rPr>
          <w:i/>
          <w:iCs/>
        </w:rPr>
        <w:t xml:space="preserve">FCC Seeks Comment on </w:t>
      </w:r>
      <w:r w:rsidRPr="00493612" w:rsidR="00493612">
        <w:rPr>
          <w:i/>
          <w:iCs/>
        </w:rPr>
        <w:t>Unleashing American Drone Dominance</w:t>
      </w:r>
      <w:r w:rsidRPr="00493612" w:rsidR="00493612">
        <w:t>, GN Docket No. 26-74,</w:t>
      </w:r>
      <w:r w:rsidR="00493612">
        <w:t xml:space="preserve"> et al.</w:t>
      </w:r>
      <w:r w:rsidRPr="00493612" w:rsidR="00493612">
        <w:t xml:space="preserve">, Public Notice, </w:t>
      </w:r>
      <w:r w:rsidR="00A7732B">
        <w:t xml:space="preserve">DA 26-314, </w:t>
      </w:r>
      <w:r w:rsidRPr="008051EF" w:rsidR="008051EF">
        <w:t>91 FR 20441</w:t>
      </w:r>
      <w:r w:rsidR="008051EF">
        <w:t xml:space="preserve">, </w:t>
      </w:r>
      <w:r w:rsidR="00193828">
        <w:t>44</w:t>
      </w:r>
      <w:r w:rsidRPr="00493612" w:rsidR="00493612">
        <w:t xml:space="preserve"> (</w:t>
      </w:r>
      <w:r w:rsidR="00EA5D18">
        <w:t>WTB</w:t>
      </w:r>
      <w:r w:rsidRPr="00493612" w:rsidR="00493612">
        <w:t>/OET 2026)</w:t>
      </w:r>
      <w:r w:rsidR="00EA5D18">
        <w:t>.</w:t>
      </w:r>
    </w:p>
  </w:footnote>
  <w:footnote w:id="8">
    <w:p w:rsidR="005B71C1" w:rsidRPr="00B06E9D" w:rsidP="005B71C1" w14:paraId="588B2BA2" w14:textId="1AE658C7">
      <w:pPr>
        <w:pStyle w:val="FootnoteText"/>
        <w:rPr>
          <w:i/>
          <w:iCs/>
        </w:rPr>
      </w:pPr>
      <w:r>
        <w:rPr>
          <w:rStyle w:val="FootnoteReference"/>
        </w:rPr>
        <w:footnoteRef/>
      </w:r>
      <w:r>
        <w:t xml:space="preserve"> </w:t>
      </w:r>
      <w:r>
        <w:rPr>
          <w:i/>
          <w:iCs/>
        </w:rPr>
        <w:t xml:space="preserve">See </w:t>
      </w:r>
      <w:r>
        <w:t>47 U.S.C. § 333.</w:t>
      </w:r>
    </w:p>
  </w:footnote>
  <w:footnote w:id="9">
    <w:p w:rsidR="005B71C1" w:rsidRPr="00F87E70" w:rsidP="005B71C1" w14:paraId="5519C772" w14:textId="77777777">
      <w:pPr>
        <w:pStyle w:val="FootnoteText"/>
      </w:pPr>
      <w:r>
        <w:rPr>
          <w:rStyle w:val="FootnoteReference"/>
        </w:rPr>
        <w:footnoteRef/>
      </w:r>
      <w:r>
        <w:t xml:space="preserve"> </w:t>
      </w:r>
      <w:r>
        <w:rPr>
          <w:i/>
          <w:iCs/>
        </w:rPr>
        <w:t xml:space="preserve">See </w:t>
      </w:r>
      <w:r>
        <w:t xml:space="preserve">47 CFR § 1.2(a); </w:t>
      </w:r>
      <w:r>
        <w:rPr>
          <w:i/>
          <w:iCs/>
        </w:rPr>
        <w:t xml:space="preserve">see also </w:t>
      </w:r>
      <w:r>
        <w:t>5 U.S.C. § 554(e).</w:t>
      </w:r>
    </w:p>
  </w:footnote>
  <w:footnote w:id="10">
    <w:p w:rsidR="005B71C1" w:rsidP="005B71C1" w14:paraId="59053169" w14:textId="77777777">
      <w:pPr>
        <w:pStyle w:val="FootnoteText"/>
      </w:pPr>
      <w:r>
        <w:rPr>
          <w:rStyle w:val="FootnoteReference"/>
        </w:rPr>
        <w:footnoteRef/>
      </w:r>
      <w:r>
        <w:t xml:space="preserve"> We note that authorized testing may also involve the use of jamming technologies in order to test UAS immunity to such attacks.  Our clarification applies equally and to the same extent to such situations.</w:t>
      </w:r>
    </w:p>
  </w:footnote>
  <w:footnote w:id="11">
    <w:p w:rsidR="007B5C1C" w:rsidRPr="00404210" w:rsidP="007B5C1C" w14:paraId="2817F809" w14:textId="77777777">
      <w:pPr>
        <w:pStyle w:val="FootnoteText"/>
        <w:rPr>
          <w:i/>
          <w:iCs/>
        </w:rPr>
      </w:pPr>
      <w:r>
        <w:rPr>
          <w:rStyle w:val="FootnoteReference"/>
        </w:rPr>
        <w:footnoteRef/>
      </w:r>
      <w:r>
        <w:t xml:space="preserve"> </w:t>
      </w:r>
      <w:r>
        <w:rPr>
          <w:i/>
          <w:iCs/>
        </w:rPr>
        <w:t xml:space="preserve">See </w:t>
      </w:r>
      <w:r w:rsidRPr="00404210">
        <w:t>National Defense Authorization Act for Fiscal Year 2026, Pub. L. No. 119-60, §§ 8601-8607, 139 Stat. 718, 1938-45 (2025) (SAFER SKIES Act) (codified in large part at 6 U.S.C. § 124n).</w:t>
      </w:r>
    </w:p>
  </w:footnote>
  <w:footnote w:id="12">
    <w:p w:rsidR="0090135E" w:rsidRPr="002D4176" w14:paraId="2C7F4F4C" w14:textId="4ADD4DFD">
      <w:pPr>
        <w:pStyle w:val="FootnoteText"/>
        <w:rPr>
          <w:i/>
          <w:iCs/>
        </w:rPr>
      </w:pPr>
      <w:r>
        <w:rPr>
          <w:rStyle w:val="FootnoteReference"/>
        </w:rPr>
        <w:footnoteRef/>
      </w:r>
      <w:r>
        <w:t xml:space="preserve"> </w:t>
      </w:r>
      <w:r w:rsidRPr="0096270A" w:rsidR="006926AA">
        <w:rPr>
          <w:i/>
          <w:iCs/>
        </w:rPr>
        <w:t xml:space="preserve">Application of Section 333 of the Communications Act to Development or Operations of Counter-Unmanned Aircraft Systems for the Federal Government and under the SAFER SKIES Act, </w:t>
      </w:r>
      <w:r w:rsidRPr="0096270A" w:rsidR="006926AA">
        <w:t>GN Docket No. 26-74, Declaratory Ruling, DA 26-</w:t>
      </w:r>
      <w:r w:rsidRPr="0096270A" w:rsidR="0096270A">
        <w:t>655</w:t>
      </w:r>
      <w:r w:rsidRPr="0096270A" w:rsidR="006926AA">
        <w:rPr>
          <w:i/>
          <w:iCs/>
        </w:rPr>
        <w:t xml:space="preserve"> </w:t>
      </w:r>
      <w:r w:rsidRPr="0096270A" w:rsidR="006926AA">
        <w:t xml:space="preserve">(WTB July </w:t>
      </w:r>
      <w:r w:rsidRPr="0096270A" w:rsidR="0096270A">
        <w:t>2</w:t>
      </w:r>
      <w:r w:rsidRPr="0096270A" w:rsidR="006926AA">
        <w:t>, 2026)</w:t>
      </w:r>
      <w:r w:rsidRPr="0096270A" w:rsidR="002F23C2">
        <w:t>.</w:t>
      </w:r>
    </w:p>
  </w:footnote>
  <w:footnote w:id="13">
    <w:p w:rsidR="005B71C1" w:rsidRPr="00A16632" w:rsidP="005B71C1" w14:paraId="3745708C" w14:textId="77777777">
      <w:pPr>
        <w:pStyle w:val="FootnoteText"/>
        <w:rPr>
          <w:i/>
          <w:iCs/>
        </w:rPr>
      </w:pPr>
      <w:r>
        <w:rPr>
          <w:rStyle w:val="FootnoteReference"/>
        </w:rPr>
        <w:footnoteRef/>
      </w:r>
      <w:r>
        <w:t xml:space="preserve"> </w:t>
      </w:r>
      <w:r>
        <w:rPr>
          <w:i/>
          <w:iCs/>
        </w:rPr>
        <w:t>See Promoting Technological Solutions to Combat Contraband Wireless Device Use in Correctional Facilities et al.</w:t>
      </w:r>
      <w:r>
        <w:t>, GN Docket No. 13-111, Notice of Proposed Rulemaking, 28 FCC Rcd 6603, 6614, para. 18 (2013) (</w:t>
      </w:r>
      <w:r>
        <w:rPr>
          <w:i/>
          <w:iCs/>
        </w:rPr>
        <w:t>Contraband NPRM</w:t>
      </w:r>
      <w:r>
        <w:t>).</w:t>
      </w:r>
      <w:r>
        <w:rPr>
          <w:i/>
          <w:iCs/>
        </w:rPr>
        <w:t xml:space="preserve"> </w:t>
      </w:r>
    </w:p>
  </w:footnote>
  <w:footnote w:id="14">
    <w:p w:rsidR="005B71C1" w:rsidRPr="00B453D0" w:rsidP="005B71C1" w14:paraId="7DFB77CF" w14:textId="77777777">
      <w:pPr>
        <w:pStyle w:val="FootnoteText"/>
      </w:pPr>
      <w:r>
        <w:rPr>
          <w:rStyle w:val="FootnoteReference"/>
        </w:rPr>
        <w:footnoteRef/>
      </w:r>
      <w:r>
        <w:t xml:space="preserve"> </w:t>
      </w:r>
      <w:r>
        <w:rPr>
          <w:i/>
          <w:iCs/>
        </w:rPr>
        <w:t>See C.T.S. Technology Co., Limited, et al.</w:t>
      </w:r>
      <w:r>
        <w:t xml:space="preserve">, Notice of Apparent Liability for Forfeiture and Order, 29 FCC Rcd 8107, 8111, para. 12 (2014), </w:t>
      </w:r>
      <w:r>
        <w:rPr>
          <w:i/>
          <w:iCs/>
        </w:rPr>
        <w:t>forfeiture ordered</w:t>
      </w:r>
      <w:r>
        <w:t xml:space="preserve">, 31 FCC Rcd 6126 (2016); </w:t>
      </w:r>
      <w:r>
        <w:rPr>
          <w:i/>
          <w:iCs/>
        </w:rPr>
        <w:t>Contraband NPRM</w:t>
      </w:r>
      <w:r>
        <w:t>, 28 FCC Rcd at 6614, para. 19;</w:t>
      </w:r>
      <w:r>
        <w:rPr>
          <w:i/>
          <w:iCs/>
        </w:rPr>
        <w:t xml:space="preserve"> see also </w:t>
      </w:r>
      <w:r w:rsidRPr="001955D7">
        <w:rPr>
          <w:i/>
          <w:iCs/>
        </w:rPr>
        <w:t>R</w:t>
      </w:r>
      <w:r>
        <w:rPr>
          <w:i/>
          <w:iCs/>
        </w:rPr>
        <w:t>avi’s Import Warehouse, Inc., Dallas, Texas</w:t>
      </w:r>
      <w:r>
        <w:t xml:space="preserve">, Memorandum Opinion and Order, 37 FCC Rcd 1575, 1575, para. 3 (2022) (holding that federal law, including section 333, prohibits signal jamming in the United States and its territories).    </w:t>
      </w:r>
    </w:p>
  </w:footnote>
  <w:footnote w:id="15">
    <w:p w:rsidR="005B71C1" w:rsidP="005B71C1" w14:paraId="33302EF2" w14:textId="77777777">
      <w:pPr>
        <w:pStyle w:val="FootnoteText"/>
      </w:pPr>
      <w:r>
        <w:rPr>
          <w:rStyle w:val="FootnoteReference"/>
        </w:rPr>
        <w:footnoteRef/>
      </w:r>
      <w:r>
        <w:t xml:space="preserve"> We note that nothing in our interpretation relates to the testing of equipment for jamming of global navigation satellite systems.</w:t>
      </w:r>
    </w:p>
  </w:footnote>
  <w:footnote w:id="16">
    <w:p w:rsidR="005B71C1" w:rsidRPr="00997438" w:rsidP="005B71C1" w14:paraId="5A85BF5F" w14:textId="77777777">
      <w:pPr>
        <w:pStyle w:val="FootnoteText"/>
        <w:rPr>
          <w:i/>
          <w:iCs/>
        </w:rPr>
      </w:pPr>
      <w:r>
        <w:rPr>
          <w:rStyle w:val="FootnoteReference"/>
        </w:rPr>
        <w:footnoteRef/>
      </w:r>
      <w:r>
        <w:t xml:space="preserve"> </w:t>
      </w:r>
      <w:r>
        <w:rPr>
          <w:i/>
          <w:iCs/>
        </w:rPr>
        <w:t xml:space="preserve">See </w:t>
      </w:r>
      <w:r>
        <w:t xml:space="preserve">47 CFR § 2.1(c); </w:t>
      </w:r>
      <w:r>
        <w:rPr>
          <w:i/>
          <w:iCs/>
        </w:rPr>
        <w:t>cf. Service Rules for Advanced Wireless Services</w:t>
      </w:r>
      <w:r w:rsidRPr="00C82662">
        <w:t xml:space="preserve"> </w:t>
      </w:r>
      <w:r w:rsidRPr="00C82662">
        <w:rPr>
          <w:i/>
          <w:iCs/>
        </w:rPr>
        <w:t>Service Rules for Advanced Wireless Services H</w:t>
      </w:r>
      <w:r>
        <w:rPr>
          <w:i/>
          <w:iCs/>
        </w:rPr>
        <w:t xml:space="preserve"> </w:t>
      </w:r>
      <w:r w:rsidRPr="00C82662">
        <w:rPr>
          <w:i/>
          <w:iCs/>
        </w:rPr>
        <w:t>Block—Implementing Section 6401 of the Middle</w:t>
      </w:r>
      <w:r>
        <w:rPr>
          <w:i/>
          <w:iCs/>
        </w:rPr>
        <w:t xml:space="preserve"> </w:t>
      </w:r>
      <w:r w:rsidRPr="00C82662">
        <w:rPr>
          <w:i/>
          <w:iCs/>
        </w:rPr>
        <w:t>Class Tax Relief and Job Creation Act of 2012</w:t>
      </w:r>
      <w:r>
        <w:rPr>
          <w:i/>
          <w:iCs/>
        </w:rPr>
        <w:t xml:space="preserve"> </w:t>
      </w:r>
      <w:r w:rsidRPr="00C82662">
        <w:rPr>
          <w:i/>
          <w:iCs/>
        </w:rPr>
        <w:t>Related to the 1915-1920 MHz and 1995-2000</w:t>
      </w:r>
      <w:r>
        <w:rPr>
          <w:i/>
          <w:iCs/>
        </w:rPr>
        <w:t xml:space="preserve"> </w:t>
      </w:r>
      <w:r w:rsidRPr="00C82662">
        <w:rPr>
          <w:i/>
          <w:iCs/>
        </w:rPr>
        <w:t>MHz Bands</w:t>
      </w:r>
      <w:r>
        <w:t xml:space="preserve">, WT Docket No. 12-357, Report and Order, 28 FCC Rcd 9483, 9492-93, paras. 18-19 (2013) (drawing on section 2.1 definitions of “harmful interference” and “interference” to interpret the term “harmful interference” as used in 2012 legislation).  </w:t>
      </w:r>
    </w:p>
  </w:footnote>
  <w:footnote w:id="17">
    <w:p w:rsidR="005B71C1" w:rsidRPr="00024897" w:rsidP="005B71C1" w14:paraId="580B87F6" w14:textId="77777777">
      <w:pPr>
        <w:pStyle w:val="FootnoteText"/>
      </w:pPr>
      <w:r>
        <w:rPr>
          <w:rStyle w:val="FootnoteReference"/>
        </w:rPr>
        <w:footnoteRef/>
      </w:r>
      <w:r>
        <w:t xml:space="preserve"> </w:t>
      </w:r>
      <w:r>
        <w:rPr>
          <w:i/>
          <w:iCs/>
        </w:rPr>
        <w:t xml:space="preserve">See </w:t>
      </w:r>
      <w:r>
        <w:t xml:space="preserve">47 CFR § 2.1(c).  </w:t>
      </w:r>
    </w:p>
  </w:footnote>
  <w:footnote w:id="18">
    <w:p w:rsidR="005B71C1" w:rsidP="005B71C1" w14:paraId="4D6BCA26" w14:textId="77777777">
      <w:pPr>
        <w:pStyle w:val="FootnoteText"/>
      </w:pPr>
      <w:r>
        <w:rPr>
          <w:rStyle w:val="FootnoteReference"/>
        </w:rPr>
        <w:footnoteRef/>
      </w:r>
      <w:r>
        <w:t xml:space="preserve"> </w:t>
      </w:r>
      <w:r w:rsidRPr="00825700">
        <w:t>H.R. Rep. No. 101-316, 101</w:t>
      </w:r>
      <w:r w:rsidRPr="00825700">
        <w:rPr>
          <w:vertAlign w:val="superscript"/>
        </w:rPr>
        <w:t>st</w:t>
      </w:r>
      <w:r w:rsidRPr="00825700">
        <w:t xml:space="preserve"> Cong., 1</w:t>
      </w:r>
      <w:r w:rsidRPr="00825700">
        <w:rPr>
          <w:vertAlign w:val="superscript"/>
        </w:rPr>
        <w:t>st</w:t>
      </w:r>
      <w:r w:rsidRPr="00825700">
        <w:t xml:space="preserve"> Sess. 8 (1990)</w:t>
      </w:r>
      <w:r>
        <w:t>.</w:t>
      </w:r>
    </w:p>
  </w:footnote>
  <w:footnote w:id="19">
    <w:p w:rsidR="005B71C1" w:rsidRPr="009F66E4" w:rsidP="005B71C1" w14:paraId="3B36EF38" w14:textId="77777777">
      <w:pPr>
        <w:pStyle w:val="FootnoteText"/>
        <w:rPr>
          <w:i/>
          <w:iCs/>
        </w:rPr>
      </w:pPr>
      <w:r>
        <w:rPr>
          <w:rStyle w:val="FootnoteReference"/>
        </w:rPr>
        <w:footnoteRef/>
      </w:r>
      <w:r>
        <w:t xml:space="preserve"> </w:t>
      </w:r>
      <w:r>
        <w:rPr>
          <w:i/>
          <w:iCs/>
        </w:rPr>
        <w:t>Id.</w:t>
      </w:r>
    </w:p>
  </w:footnote>
  <w:footnote w:id="20">
    <w:p w:rsidR="005B71C1" w:rsidRPr="00B856BE" w:rsidP="005B71C1" w14:paraId="458401E6" w14:textId="77777777">
      <w:pPr>
        <w:pStyle w:val="FootnoteText"/>
      </w:pPr>
      <w:r w:rsidRPr="00825700">
        <w:rPr>
          <w:rStyle w:val="FootnoteReference"/>
        </w:rPr>
        <w:footnoteRef/>
      </w:r>
      <w:r w:rsidRPr="00825700">
        <w:t xml:space="preserve"> </w:t>
      </w:r>
      <w:r>
        <w:rPr>
          <w:i/>
          <w:iCs/>
        </w:rPr>
        <w:t>Id.</w:t>
      </w:r>
      <w:r>
        <w:t xml:space="preserve"> </w:t>
      </w:r>
    </w:p>
  </w:footnote>
  <w:footnote w:id="21">
    <w:p w:rsidR="005B71C1" w:rsidRPr="00825700" w:rsidP="005B71C1" w14:paraId="7449A420" w14:textId="77777777">
      <w:pPr>
        <w:pStyle w:val="FootnoteText"/>
      </w:pPr>
      <w:r w:rsidRPr="00825700">
        <w:rPr>
          <w:rStyle w:val="FootnoteReference"/>
        </w:rPr>
        <w:footnoteRef/>
      </w:r>
      <w:r w:rsidRPr="00825700">
        <w:t xml:space="preserve"> </w:t>
      </w:r>
      <w:r>
        <w:rPr>
          <w:i/>
          <w:iCs/>
        </w:rPr>
        <w:t>I</w:t>
      </w:r>
      <w:r w:rsidRPr="00825700">
        <w:rPr>
          <w:i/>
        </w:rPr>
        <w:t>d.</w:t>
      </w:r>
      <w:r w:rsidRPr="00825700">
        <w:t xml:space="preserve"> </w:t>
      </w:r>
    </w:p>
  </w:footnote>
  <w:footnote w:id="22">
    <w:p w:rsidR="005B71C1" w:rsidRPr="00415F1F" w:rsidP="005B71C1" w14:paraId="482A5C15" w14:textId="77777777">
      <w:pPr>
        <w:pStyle w:val="FootnoteText"/>
      </w:pPr>
      <w:r>
        <w:rPr>
          <w:rStyle w:val="FootnoteReference"/>
        </w:rPr>
        <w:footnoteRef/>
      </w:r>
      <w:r>
        <w:t xml:space="preserve"> </w:t>
      </w:r>
      <w:r>
        <w:rPr>
          <w:i/>
          <w:iCs/>
        </w:rPr>
        <w:t>Id.</w:t>
      </w:r>
      <w:r>
        <w:t xml:space="preserve"> at 9.</w:t>
      </w:r>
    </w:p>
  </w:footnote>
  <w:footnote w:id="23">
    <w:p w:rsidR="005B71C1" w:rsidP="005B71C1" w14:paraId="1C1B603B" w14:textId="77777777">
      <w:pPr>
        <w:pStyle w:val="FootnoteText"/>
      </w:pPr>
      <w:r>
        <w:rPr>
          <w:rStyle w:val="FootnoteReference"/>
        </w:rPr>
        <w:footnoteRef/>
      </w:r>
      <w:r>
        <w:t xml:space="preserve"> For example, this Declaratory Ruling does not address the scope of federal criminal statutes such as the Aircraft Sabotage Act, </w:t>
      </w:r>
      <w:r w:rsidRPr="00CB6CC2">
        <w:rPr>
          <w:i/>
          <w:iCs/>
        </w:rPr>
        <w:t>see</w:t>
      </w:r>
      <w:r>
        <w:t xml:space="preserve"> 18 U.S.C. </w:t>
      </w:r>
      <w:r w:rsidRPr="001977AC">
        <w:t>§ 32</w:t>
      </w:r>
      <w:r>
        <w:t xml:space="preserve">.  </w:t>
      </w:r>
    </w:p>
  </w:footnote>
  <w:footnote w:id="24">
    <w:p w:rsidR="001B1224" w14:paraId="0D0D7784" w14:textId="2B08499E">
      <w:pPr>
        <w:pStyle w:val="FootnoteText"/>
      </w:pPr>
      <w:r>
        <w:rPr>
          <w:rStyle w:val="FootnoteReference"/>
        </w:rPr>
        <w:footnoteRef/>
      </w:r>
      <w:r>
        <w:t xml:space="preserve"> Although 47 CFR Part 5 contains </w:t>
      </w:r>
      <w:r w:rsidR="009E1E29">
        <w:t>limited mar</w:t>
      </w:r>
      <w:r w:rsidR="00A23DF9">
        <w:t>ket trial</w:t>
      </w:r>
      <w:r w:rsidR="00E7355D">
        <w:t xml:space="preserve"> opportunities for certain types of experimental licenses,</w:t>
      </w:r>
      <w:r w:rsidR="00A23DF9">
        <w:t xml:space="preserve"> </w:t>
      </w:r>
      <w:r w:rsidR="0095569D">
        <w:t xml:space="preserve">we </w:t>
      </w:r>
      <w:r w:rsidR="00135D27">
        <w:t xml:space="preserve">are not permitting such operations </w:t>
      </w:r>
      <w:r w:rsidR="004B7B62">
        <w:t xml:space="preserve">for </w:t>
      </w:r>
      <w:r w:rsidR="008324EB">
        <w:t>C-</w:t>
      </w:r>
      <w:r w:rsidR="004B7B62">
        <w:t>UAS</w:t>
      </w:r>
      <w:r w:rsidR="00B67BB0">
        <w:t xml:space="preserve"> </w:t>
      </w:r>
      <w:r w:rsidR="00775CB0">
        <w:t xml:space="preserve">as </w:t>
      </w:r>
      <w:r w:rsidR="005D3501">
        <w:t xml:space="preserve">such devices are not intended </w:t>
      </w:r>
      <w:r w:rsidR="0058412D">
        <w:t>for use by the general public</w:t>
      </w:r>
      <w:r w:rsidR="00424095">
        <w:t xml:space="preserve"> </w:t>
      </w:r>
      <w:r w:rsidR="004774CA">
        <w:t xml:space="preserve">to provide </w:t>
      </w:r>
      <w:r w:rsidR="00424095">
        <w:t>service</w:t>
      </w:r>
      <w:r w:rsidR="004774CA">
        <w:t>s</w:t>
      </w:r>
      <w:r w:rsidR="00424095">
        <w:t xml:space="preserve"> for hire</w:t>
      </w:r>
      <w:r w:rsidR="004774CA">
        <w:t xml:space="preserve"> (47 CFR § 5.</w:t>
      </w:r>
      <w:r w:rsidR="0017123A">
        <w:t>602a)</w:t>
      </w:r>
      <w:r w:rsidR="00FF36FE">
        <w:t>.</w:t>
      </w:r>
    </w:p>
  </w:footnote>
  <w:footnote w:id="25">
    <w:p w:rsidR="005B71C1" w:rsidP="005B71C1" w14:paraId="61477FAA" w14:textId="77777777">
      <w:pPr>
        <w:pStyle w:val="FootnoteText"/>
      </w:pPr>
      <w:r>
        <w:rPr>
          <w:rStyle w:val="FootnoteReference"/>
        </w:rPr>
        <w:footnoteRef/>
      </w:r>
      <w:r>
        <w:t xml:space="preserve"> 47 CFR § 5.84.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227873A" w14:textId="7321F67E">
    <w:pPr>
      <w:pStyle w:val="Header"/>
      <w:rPr>
        <w:b w:val="0"/>
      </w:rPr>
    </w:pPr>
    <w:r>
      <w:tab/>
      <w:t>Federal Communications Commission</w:t>
    </w:r>
    <w:r>
      <w:tab/>
    </w:r>
    <w:r w:rsidRPr="00DA44DE" w:rsidR="003F384B">
      <w:t xml:space="preserve">DA </w:t>
    </w:r>
    <w:r w:rsidRPr="00DA44DE" w:rsidR="00586C56">
      <w:t>26</w:t>
    </w:r>
    <w:r w:rsidRPr="00DA44DE" w:rsidR="003F384B">
      <w:t>-</w:t>
    </w:r>
    <w:r w:rsidRPr="00DA44DE" w:rsidR="00DA44DE">
      <w:t>654</w:t>
    </w:r>
  </w:p>
  <w:p w:rsidR="00D25FB5" w14:paraId="317B8F3E" w14:textId="6A44A2D1">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D25FB5" w14:paraId="6C3308D3"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0D0AC72" w14:textId="68C7E6E4">
    <w:pPr>
      <w:pStyle w:val="Header"/>
      <w:rPr>
        <w:b w:val="0"/>
      </w:rPr>
    </w:pPr>
    <w:r>
      <w:rPr>
        <w:noProof/>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tab/>
      <w:t>Federal Communications Commission</w:t>
    </w:r>
    <w:r>
      <w:tab/>
    </w:r>
    <w:r w:rsidR="00332664">
      <w:rPr>
        <w:spacing w:val="-2"/>
      </w:rPr>
      <w:t xml:space="preserve">DA </w:t>
    </w:r>
    <w:r w:rsidR="00586C56">
      <w:rPr>
        <w:spacing w:val="-2"/>
      </w:rPr>
      <w:t>26</w:t>
    </w:r>
    <w:r w:rsidR="00332664">
      <w:rPr>
        <w:spacing w:val="-2"/>
      </w:rPr>
      <w:t>-</w:t>
    </w:r>
    <w:r w:rsidR="002C3597">
      <w:rPr>
        <w:spacing w:val="-2"/>
      </w:rPr>
      <w:t>654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C8A1021"/>
    <w:multiLevelType w:val="hybridMultilevel"/>
    <w:tmpl w:val="B8148C96"/>
    <w:lvl w:ilvl="0">
      <w:start w:val="1"/>
      <w:numFmt w:val="decimal"/>
      <w:lvlText w:val="%1)"/>
      <w:lvlJc w:val="left"/>
      <w:pPr>
        <w:ind w:left="720" w:hanging="360"/>
      </w:pPr>
      <w:rPr>
        <w:rFonts w:ascii="Times New Roman Bold" w:hAnsi="Times New Roman Bold"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155686885">
    <w:abstractNumId w:val="2"/>
  </w:num>
  <w:num w:numId="2" w16cid:durableId="1730570815">
    <w:abstractNumId w:val="6"/>
  </w:num>
  <w:num w:numId="3" w16cid:durableId="1374111284">
    <w:abstractNumId w:val="4"/>
  </w:num>
  <w:num w:numId="4" w16cid:durableId="110325504">
    <w:abstractNumId w:val="5"/>
  </w:num>
  <w:num w:numId="5" w16cid:durableId="591552181">
    <w:abstractNumId w:val="3"/>
  </w:num>
  <w:num w:numId="6" w16cid:durableId="281499592">
    <w:abstractNumId w:val="0"/>
  </w:num>
  <w:num w:numId="7" w16cid:durableId="13886458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DE3"/>
    <w:rsid w:val="00000824"/>
    <w:rsid w:val="00006C98"/>
    <w:rsid w:val="00006F40"/>
    <w:rsid w:val="0001276B"/>
    <w:rsid w:val="00014C43"/>
    <w:rsid w:val="000156C0"/>
    <w:rsid w:val="00022F88"/>
    <w:rsid w:val="000246FA"/>
    <w:rsid w:val="00024897"/>
    <w:rsid w:val="00025B8C"/>
    <w:rsid w:val="000300EA"/>
    <w:rsid w:val="00031A54"/>
    <w:rsid w:val="00032A26"/>
    <w:rsid w:val="00035B91"/>
    <w:rsid w:val="00035EE0"/>
    <w:rsid w:val="00036039"/>
    <w:rsid w:val="00037F90"/>
    <w:rsid w:val="000457B7"/>
    <w:rsid w:val="00047688"/>
    <w:rsid w:val="00054885"/>
    <w:rsid w:val="0005504E"/>
    <w:rsid w:val="00070448"/>
    <w:rsid w:val="00071E79"/>
    <w:rsid w:val="00081B2B"/>
    <w:rsid w:val="00082460"/>
    <w:rsid w:val="000857B4"/>
    <w:rsid w:val="000875BF"/>
    <w:rsid w:val="000951BA"/>
    <w:rsid w:val="00096D8C"/>
    <w:rsid w:val="000B20FA"/>
    <w:rsid w:val="000C030C"/>
    <w:rsid w:val="000C0B65"/>
    <w:rsid w:val="000D0A64"/>
    <w:rsid w:val="000D11D3"/>
    <w:rsid w:val="000D20F4"/>
    <w:rsid w:val="000D7C9A"/>
    <w:rsid w:val="000E05FE"/>
    <w:rsid w:val="000E0E60"/>
    <w:rsid w:val="000E3605"/>
    <w:rsid w:val="000E3D42"/>
    <w:rsid w:val="00100CEA"/>
    <w:rsid w:val="00103A91"/>
    <w:rsid w:val="0011005A"/>
    <w:rsid w:val="00113AFA"/>
    <w:rsid w:val="00122BD5"/>
    <w:rsid w:val="00125A10"/>
    <w:rsid w:val="001315DA"/>
    <w:rsid w:val="00133F79"/>
    <w:rsid w:val="00134237"/>
    <w:rsid w:val="00135D27"/>
    <w:rsid w:val="001406B0"/>
    <w:rsid w:val="00142A23"/>
    <w:rsid w:val="00151575"/>
    <w:rsid w:val="0017123A"/>
    <w:rsid w:val="001757D5"/>
    <w:rsid w:val="001814A3"/>
    <w:rsid w:val="001825E1"/>
    <w:rsid w:val="00182A20"/>
    <w:rsid w:val="00182AC2"/>
    <w:rsid w:val="00186AFE"/>
    <w:rsid w:val="00190C40"/>
    <w:rsid w:val="00193828"/>
    <w:rsid w:val="00194049"/>
    <w:rsid w:val="00194A66"/>
    <w:rsid w:val="001955D7"/>
    <w:rsid w:val="0019596E"/>
    <w:rsid w:val="001962B8"/>
    <w:rsid w:val="001977AC"/>
    <w:rsid w:val="001A2115"/>
    <w:rsid w:val="001A618E"/>
    <w:rsid w:val="001A6724"/>
    <w:rsid w:val="001B1224"/>
    <w:rsid w:val="001B245B"/>
    <w:rsid w:val="001B472E"/>
    <w:rsid w:val="001B6565"/>
    <w:rsid w:val="001C5AEA"/>
    <w:rsid w:val="001D1B09"/>
    <w:rsid w:val="001D455A"/>
    <w:rsid w:val="001D4BB3"/>
    <w:rsid w:val="001D551D"/>
    <w:rsid w:val="001D6BCF"/>
    <w:rsid w:val="001D70C7"/>
    <w:rsid w:val="001D77E2"/>
    <w:rsid w:val="001E01CA"/>
    <w:rsid w:val="001E3CB2"/>
    <w:rsid w:val="001F6CC0"/>
    <w:rsid w:val="00206783"/>
    <w:rsid w:val="00206D6C"/>
    <w:rsid w:val="002070F3"/>
    <w:rsid w:val="00207542"/>
    <w:rsid w:val="00207EB7"/>
    <w:rsid w:val="0021037B"/>
    <w:rsid w:val="002146FC"/>
    <w:rsid w:val="00227C28"/>
    <w:rsid w:val="0023043C"/>
    <w:rsid w:val="002316FF"/>
    <w:rsid w:val="00232922"/>
    <w:rsid w:val="00235ACC"/>
    <w:rsid w:val="0024064A"/>
    <w:rsid w:val="00243413"/>
    <w:rsid w:val="0024477C"/>
    <w:rsid w:val="00246D78"/>
    <w:rsid w:val="00246FDC"/>
    <w:rsid w:val="002470EE"/>
    <w:rsid w:val="00251115"/>
    <w:rsid w:val="0025655A"/>
    <w:rsid w:val="00260CBD"/>
    <w:rsid w:val="0026128D"/>
    <w:rsid w:val="002625A4"/>
    <w:rsid w:val="00265D07"/>
    <w:rsid w:val="00273C0A"/>
    <w:rsid w:val="002748B2"/>
    <w:rsid w:val="00275CF5"/>
    <w:rsid w:val="00281FF2"/>
    <w:rsid w:val="0028301F"/>
    <w:rsid w:val="00283F66"/>
    <w:rsid w:val="002842F7"/>
    <w:rsid w:val="00284A07"/>
    <w:rsid w:val="00284EE0"/>
    <w:rsid w:val="00285017"/>
    <w:rsid w:val="0028751C"/>
    <w:rsid w:val="00292293"/>
    <w:rsid w:val="00294B20"/>
    <w:rsid w:val="002A2D2E"/>
    <w:rsid w:val="002A2EA0"/>
    <w:rsid w:val="002A6568"/>
    <w:rsid w:val="002B1DA7"/>
    <w:rsid w:val="002B2A41"/>
    <w:rsid w:val="002C00E8"/>
    <w:rsid w:val="002C1E5E"/>
    <w:rsid w:val="002C2916"/>
    <w:rsid w:val="002C3597"/>
    <w:rsid w:val="002D227D"/>
    <w:rsid w:val="002D4176"/>
    <w:rsid w:val="002D652B"/>
    <w:rsid w:val="002E1F7C"/>
    <w:rsid w:val="002E22C7"/>
    <w:rsid w:val="002E4B56"/>
    <w:rsid w:val="002E4EAC"/>
    <w:rsid w:val="002F0720"/>
    <w:rsid w:val="002F1532"/>
    <w:rsid w:val="002F1E61"/>
    <w:rsid w:val="002F23C2"/>
    <w:rsid w:val="00300A75"/>
    <w:rsid w:val="00303C14"/>
    <w:rsid w:val="00303FFD"/>
    <w:rsid w:val="00315934"/>
    <w:rsid w:val="00315A8A"/>
    <w:rsid w:val="00331999"/>
    <w:rsid w:val="00332664"/>
    <w:rsid w:val="0034304E"/>
    <w:rsid w:val="00343749"/>
    <w:rsid w:val="00344F09"/>
    <w:rsid w:val="00345698"/>
    <w:rsid w:val="00354483"/>
    <w:rsid w:val="00354AA6"/>
    <w:rsid w:val="00356141"/>
    <w:rsid w:val="0035740E"/>
    <w:rsid w:val="003600B5"/>
    <w:rsid w:val="0036337C"/>
    <w:rsid w:val="0036577C"/>
    <w:rsid w:val="003660ED"/>
    <w:rsid w:val="00366D81"/>
    <w:rsid w:val="0037666A"/>
    <w:rsid w:val="00383B1D"/>
    <w:rsid w:val="00383D5C"/>
    <w:rsid w:val="00386DD2"/>
    <w:rsid w:val="00387DF6"/>
    <w:rsid w:val="0039126A"/>
    <w:rsid w:val="00392883"/>
    <w:rsid w:val="00393168"/>
    <w:rsid w:val="003934EA"/>
    <w:rsid w:val="003A06D9"/>
    <w:rsid w:val="003A20FD"/>
    <w:rsid w:val="003A67FD"/>
    <w:rsid w:val="003A68EE"/>
    <w:rsid w:val="003B0550"/>
    <w:rsid w:val="003B0DA3"/>
    <w:rsid w:val="003B186B"/>
    <w:rsid w:val="003B23A4"/>
    <w:rsid w:val="003B6690"/>
    <w:rsid w:val="003B694F"/>
    <w:rsid w:val="003C36C9"/>
    <w:rsid w:val="003D49B6"/>
    <w:rsid w:val="003D73C5"/>
    <w:rsid w:val="003E24D6"/>
    <w:rsid w:val="003E30FB"/>
    <w:rsid w:val="003E6D87"/>
    <w:rsid w:val="003E7F63"/>
    <w:rsid w:val="003F171C"/>
    <w:rsid w:val="003F2161"/>
    <w:rsid w:val="003F384B"/>
    <w:rsid w:val="003F5A5C"/>
    <w:rsid w:val="004033B9"/>
    <w:rsid w:val="00404210"/>
    <w:rsid w:val="00407904"/>
    <w:rsid w:val="00412FC5"/>
    <w:rsid w:val="00415F1F"/>
    <w:rsid w:val="00420E38"/>
    <w:rsid w:val="00421C3C"/>
    <w:rsid w:val="00422276"/>
    <w:rsid w:val="00424095"/>
    <w:rsid w:val="004242F1"/>
    <w:rsid w:val="00430F4D"/>
    <w:rsid w:val="00431EEE"/>
    <w:rsid w:val="00433601"/>
    <w:rsid w:val="00436FCC"/>
    <w:rsid w:val="004424A9"/>
    <w:rsid w:val="004436FD"/>
    <w:rsid w:val="00443BE7"/>
    <w:rsid w:val="004451A4"/>
    <w:rsid w:val="00445A00"/>
    <w:rsid w:val="00450C17"/>
    <w:rsid w:val="00451B0F"/>
    <w:rsid w:val="00452CC2"/>
    <w:rsid w:val="00454649"/>
    <w:rsid w:val="00456C1C"/>
    <w:rsid w:val="00463BDC"/>
    <w:rsid w:val="00465850"/>
    <w:rsid w:val="00470DAB"/>
    <w:rsid w:val="00470E6D"/>
    <w:rsid w:val="00473869"/>
    <w:rsid w:val="00473EE6"/>
    <w:rsid w:val="0047725E"/>
    <w:rsid w:val="004774CA"/>
    <w:rsid w:val="004811EE"/>
    <w:rsid w:val="00483760"/>
    <w:rsid w:val="00493612"/>
    <w:rsid w:val="00494F96"/>
    <w:rsid w:val="00496E8F"/>
    <w:rsid w:val="004A14CA"/>
    <w:rsid w:val="004A34D0"/>
    <w:rsid w:val="004A5AAA"/>
    <w:rsid w:val="004A6443"/>
    <w:rsid w:val="004A64ED"/>
    <w:rsid w:val="004B181B"/>
    <w:rsid w:val="004B316B"/>
    <w:rsid w:val="004B75BF"/>
    <w:rsid w:val="004B7B62"/>
    <w:rsid w:val="004C0B0A"/>
    <w:rsid w:val="004C124F"/>
    <w:rsid w:val="004C1742"/>
    <w:rsid w:val="004C2EE3"/>
    <w:rsid w:val="004D011C"/>
    <w:rsid w:val="004D4D69"/>
    <w:rsid w:val="004E0FA5"/>
    <w:rsid w:val="004E1F06"/>
    <w:rsid w:val="004E1FAE"/>
    <w:rsid w:val="004E4A22"/>
    <w:rsid w:val="004E4FB4"/>
    <w:rsid w:val="004E6275"/>
    <w:rsid w:val="004E66E8"/>
    <w:rsid w:val="004F0973"/>
    <w:rsid w:val="004F2BFF"/>
    <w:rsid w:val="004F6726"/>
    <w:rsid w:val="00501141"/>
    <w:rsid w:val="005027F1"/>
    <w:rsid w:val="005063C6"/>
    <w:rsid w:val="00510633"/>
    <w:rsid w:val="00511968"/>
    <w:rsid w:val="0051315E"/>
    <w:rsid w:val="00514EE4"/>
    <w:rsid w:val="00516663"/>
    <w:rsid w:val="00522E32"/>
    <w:rsid w:val="005250BF"/>
    <w:rsid w:val="00531CF0"/>
    <w:rsid w:val="00532977"/>
    <w:rsid w:val="00533984"/>
    <w:rsid w:val="005343B9"/>
    <w:rsid w:val="00536DC7"/>
    <w:rsid w:val="005378DA"/>
    <w:rsid w:val="00540F8E"/>
    <w:rsid w:val="005435ED"/>
    <w:rsid w:val="00547A86"/>
    <w:rsid w:val="0055614C"/>
    <w:rsid w:val="00560D05"/>
    <w:rsid w:val="00562CCC"/>
    <w:rsid w:val="005653F9"/>
    <w:rsid w:val="005660A0"/>
    <w:rsid w:val="00566D06"/>
    <w:rsid w:val="00573C7C"/>
    <w:rsid w:val="00583C3E"/>
    <w:rsid w:val="0058412D"/>
    <w:rsid w:val="00586C56"/>
    <w:rsid w:val="005916B5"/>
    <w:rsid w:val="00591F08"/>
    <w:rsid w:val="00592344"/>
    <w:rsid w:val="00594EF9"/>
    <w:rsid w:val="00596D81"/>
    <w:rsid w:val="005976FF"/>
    <w:rsid w:val="005A5F6B"/>
    <w:rsid w:val="005B4EE8"/>
    <w:rsid w:val="005B71C1"/>
    <w:rsid w:val="005B7A54"/>
    <w:rsid w:val="005B7F13"/>
    <w:rsid w:val="005C09B8"/>
    <w:rsid w:val="005C4D14"/>
    <w:rsid w:val="005C5EE5"/>
    <w:rsid w:val="005C637C"/>
    <w:rsid w:val="005D0984"/>
    <w:rsid w:val="005D0CDA"/>
    <w:rsid w:val="005D3501"/>
    <w:rsid w:val="005D5008"/>
    <w:rsid w:val="005D57BE"/>
    <w:rsid w:val="005D7DA1"/>
    <w:rsid w:val="005E0025"/>
    <w:rsid w:val="005E14C2"/>
    <w:rsid w:val="005F0D7E"/>
    <w:rsid w:val="005F0DAF"/>
    <w:rsid w:val="005F3092"/>
    <w:rsid w:val="005F5EDA"/>
    <w:rsid w:val="00607BA5"/>
    <w:rsid w:val="00610796"/>
    <w:rsid w:val="00611674"/>
    <w:rsid w:val="0061180A"/>
    <w:rsid w:val="00612025"/>
    <w:rsid w:val="0061670A"/>
    <w:rsid w:val="006203BE"/>
    <w:rsid w:val="006216A0"/>
    <w:rsid w:val="00621F92"/>
    <w:rsid w:val="006224C6"/>
    <w:rsid w:val="00624E40"/>
    <w:rsid w:val="00625646"/>
    <w:rsid w:val="0062684D"/>
    <w:rsid w:val="00626EB6"/>
    <w:rsid w:val="006332A6"/>
    <w:rsid w:val="0063468B"/>
    <w:rsid w:val="00635FB1"/>
    <w:rsid w:val="00640BB1"/>
    <w:rsid w:val="00651969"/>
    <w:rsid w:val="00655D03"/>
    <w:rsid w:val="0065748F"/>
    <w:rsid w:val="00660416"/>
    <w:rsid w:val="00665E16"/>
    <w:rsid w:val="006736EC"/>
    <w:rsid w:val="00674083"/>
    <w:rsid w:val="00683388"/>
    <w:rsid w:val="00683F84"/>
    <w:rsid w:val="00685222"/>
    <w:rsid w:val="00690E4E"/>
    <w:rsid w:val="006926AA"/>
    <w:rsid w:val="006A59AA"/>
    <w:rsid w:val="006A62EA"/>
    <w:rsid w:val="006A6A81"/>
    <w:rsid w:val="006B4FC9"/>
    <w:rsid w:val="006B5AAE"/>
    <w:rsid w:val="006B602B"/>
    <w:rsid w:val="006C0A00"/>
    <w:rsid w:val="006C15A0"/>
    <w:rsid w:val="006C6E60"/>
    <w:rsid w:val="006C7092"/>
    <w:rsid w:val="006C77DD"/>
    <w:rsid w:val="006D49AB"/>
    <w:rsid w:val="006E0FB5"/>
    <w:rsid w:val="006E1CD6"/>
    <w:rsid w:val="006F133F"/>
    <w:rsid w:val="006F243B"/>
    <w:rsid w:val="006F5701"/>
    <w:rsid w:val="006F5C5E"/>
    <w:rsid w:val="006F6232"/>
    <w:rsid w:val="006F7393"/>
    <w:rsid w:val="006F7804"/>
    <w:rsid w:val="0070224F"/>
    <w:rsid w:val="00705F71"/>
    <w:rsid w:val="007115F7"/>
    <w:rsid w:val="00714986"/>
    <w:rsid w:val="00716176"/>
    <w:rsid w:val="00724801"/>
    <w:rsid w:val="007256EC"/>
    <w:rsid w:val="00725D04"/>
    <w:rsid w:val="00730AAE"/>
    <w:rsid w:val="00735A63"/>
    <w:rsid w:val="00737682"/>
    <w:rsid w:val="00737A74"/>
    <w:rsid w:val="007423AC"/>
    <w:rsid w:val="0074551F"/>
    <w:rsid w:val="00747C17"/>
    <w:rsid w:val="00751041"/>
    <w:rsid w:val="0075205D"/>
    <w:rsid w:val="00757DFC"/>
    <w:rsid w:val="007653B0"/>
    <w:rsid w:val="007700CE"/>
    <w:rsid w:val="00771DF6"/>
    <w:rsid w:val="00774FC1"/>
    <w:rsid w:val="00775CB0"/>
    <w:rsid w:val="007774BB"/>
    <w:rsid w:val="00781D4F"/>
    <w:rsid w:val="007844D6"/>
    <w:rsid w:val="0078459F"/>
    <w:rsid w:val="00785689"/>
    <w:rsid w:val="00790787"/>
    <w:rsid w:val="007916BE"/>
    <w:rsid w:val="00792F30"/>
    <w:rsid w:val="00793410"/>
    <w:rsid w:val="007966E0"/>
    <w:rsid w:val="00796B97"/>
    <w:rsid w:val="0079754B"/>
    <w:rsid w:val="007A1E6D"/>
    <w:rsid w:val="007B03C1"/>
    <w:rsid w:val="007B0EB2"/>
    <w:rsid w:val="007B0EDB"/>
    <w:rsid w:val="007B1DC5"/>
    <w:rsid w:val="007B5C1C"/>
    <w:rsid w:val="007B6D53"/>
    <w:rsid w:val="007B7989"/>
    <w:rsid w:val="007C0FAC"/>
    <w:rsid w:val="007D22DE"/>
    <w:rsid w:val="007D2624"/>
    <w:rsid w:val="007D27C5"/>
    <w:rsid w:val="007D31C4"/>
    <w:rsid w:val="007D56F6"/>
    <w:rsid w:val="007D7748"/>
    <w:rsid w:val="007E4B5F"/>
    <w:rsid w:val="007E4E59"/>
    <w:rsid w:val="007E5268"/>
    <w:rsid w:val="008051EF"/>
    <w:rsid w:val="0080619B"/>
    <w:rsid w:val="00806F31"/>
    <w:rsid w:val="00810536"/>
    <w:rsid w:val="00810B6F"/>
    <w:rsid w:val="00811793"/>
    <w:rsid w:val="00822CE0"/>
    <w:rsid w:val="00825290"/>
    <w:rsid w:val="00825700"/>
    <w:rsid w:val="00831F50"/>
    <w:rsid w:val="008324EB"/>
    <w:rsid w:val="00836019"/>
    <w:rsid w:val="0083698C"/>
    <w:rsid w:val="0084165D"/>
    <w:rsid w:val="00841AB1"/>
    <w:rsid w:val="0084762E"/>
    <w:rsid w:val="00850D1B"/>
    <w:rsid w:val="00855C2E"/>
    <w:rsid w:val="00861C27"/>
    <w:rsid w:val="00864CC0"/>
    <w:rsid w:val="008723AC"/>
    <w:rsid w:val="00873FF3"/>
    <w:rsid w:val="008757DB"/>
    <w:rsid w:val="00881367"/>
    <w:rsid w:val="00881A41"/>
    <w:rsid w:val="00882A37"/>
    <w:rsid w:val="00886D5D"/>
    <w:rsid w:val="00892FB4"/>
    <w:rsid w:val="008942F4"/>
    <w:rsid w:val="008A2131"/>
    <w:rsid w:val="008A3260"/>
    <w:rsid w:val="008A3F26"/>
    <w:rsid w:val="008A4C7E"/>
    <w:rsid w:val="008A50C7"/>
    <w:rsid w:val="008B34B6"/>
    <w:rsid w:val="008B5407"/>
    <w:rsid w:val="008B6F60"/>
    <w:rsid w:val="008C0159"/>
    <w:rsid w:val="008C4FF8"/>
    <w:rsid w:val="008C53FE"/>
    <w:rsid w:val="008C6038"/>
    <w:rsid w:val="008C68F1"/>
    <w:rsid w:val="008C6C4D"/>
    <w:rsid w:val="008D148E"/>
    <w:rsid w:val="008D1D2D"/>
    <w:rsid w:val="008D3CB2"/>
    <w:rsid w:val="008E16B0"/>
    <w:rsid w:val="008E4864"/>
    <w:rsid w:val="008E6024"/>
    <w:rsid w:val="008E66E7"/>
    <w:rsid w:val="0090135E"/>
    <w:rsid w:val="00910C91"/>
    <w:rsid w:val="00914818"/>
    <w:rsid w:val="00916306"/>
    <w:rsid w:val="00920057"/>
    <w:rsid w:val="00921803"/>
    <w:rsid w:val="009228BF"/>
    <w:rsid w:val="0092472B"/>
    <w:rsid w:val="00926503"/>
    <w:rsid w:val="00926AC3"/>
    <w:rsid w:val="009309FC"/>
    <w:rsid w:val="00936E19"/>
    <w:rsid w:val="00937776"/>
    <w:rsid w:val="0094032E"/>
    <w:rsid w:val="00950449"/>
    <w:rsid w:val="00950C57"/>
    <w:rsid w:val="0095569D"/>
    <w:rsid w:val="00955E38"/>
    <w:rsid w:val="0096006A"/>
    <w:rsid w:val="00961D66"/>
    <w:rsid w:val="00961DAE"/>
    <w:rsid w:val="0096270A"/>
    <w:rsid w:val="00963153"/>
    <w:rsid w:val="00964233"/>
    <w:rsid w:val="0096505E"/>
    <w:rsid w:val="009706C0"/>
    <w:rsid w:val="009726D8"/>
    <w:rsid w:val="00974870"/>
    <w:rsid w:val="009752A9"/>
    <w:rsid w:val="0097557E"/>
    <w:rsid w:val="0098297E"/>
    <w:rsid w:val="00984896"/>
    <w:rsid w:val="00991481"/>
    <w:rsid w:val="0099304E"/>
    <w:rsid w:val="009958CD"/>
    <w:rsid w:val="00996495"/>
    <w:rsid w:val="00996522"/>
    <w:rsid w:val="00996548"/>
    <w:rsid w:val="00997438"/>
    <w:rsid w:val="009A6E3D"/>
    <w:rsid w:val="009A76E4"/>
    <w:rsid w:val="009B24FE"/>
    <w:rsid w:val="009B46D9"/>
    <w:rsid w:val="009B4E56"/>
    <w:rsid w:val="009D14FB"/>
    <w:rsid w:val="009D552F"/>
    <w:rsid w:val="009D7308"/>
    <w:rsid w:val="009E1E29"/>
    <w:rsid w:val="009E1EDD"/>
    <w:rsid w:val="009E2F0B"/>
    <w:rsid w:val="009E6C53"/>
    <w:rsid w:val="009E72F8"/>
    <w:rsid w:val="009F4794"/>
    <w:rsid w:val="009F66E4"/>
    <w:rsid w:val="009F76DB"/>
    <w:rsid w:val="00A00FE5"/>
    <w:rsid w:val="00A05891"/>
    <w:rsid w:val="00A07A0A"/>
    <w:rsid w:val="00A10BB7"/>
    <w:rsid w:val="00A114A7"/>
    <w:rsid w:val="00A15A84"/>
    <w:rsid w:val="00A16632"/>
    <w:rsid w:val="00A20E59"/>
    <w:rsid w:val="00A21B45"/>
    <w:rsid w:val="00A234E2"/>
    <w:rsid w:val="00A23DF9"/>
    <w:rsid w:val="00A32C3B"/>
    <w:rsid w:val="00A33D14"/>
    <w:rsid w:val="00A37572"/>
    <w:rsid w:val="00A40218"/>
    <w:rsid w:val="00A45F4F"/>
    <w:rsid w:val="00A504AC"/>
    <w:rsid w:val="00A50EEE"/>
    <w:rsid w:val="00A53469"/>
    <w:rsid w:val="00A54F0B"/>
    <w:rsid w:val="00A56BA6"/>
    <w:rsid w:val="00A600A9"/>
    <w:rsid w:val="00A623F6"/>
    <w:rsid w:val="00A63116"/>
    <w:rsid w:val="00A7024F"/>
    <w:rsid w:val="00A715CB"/>
    <w:rsid w:val="00A71673"/>
    <w:rsid w:val="00A72A03"/>
    <w:rsid w:val="00A7404E"/>
    <w:rsid w:val="00A75AF5"/>
    <w:rsid w:val="00A7732B"/>
    <w:rsid w:val="00A803F5"/>
    <w:rsid w:val="00A83813"/>
    <w:rsid w:val="00A86900"/>
    <w:rsid w:val="00A86C4C"/>
    <w:rsid w:val="00A86D0D"/>
    <w:rsid w:val="00A874B5"/>
    <w:rsid w:val="00A907F3"/>
    <w:rsid w:val="00A91467"/>
    <w:rsid w:val="00A94A0B"/>
    <w:rsid w:val="00A95369"/>
    <w:rsid w:val="00A97648"/>
    <w:rsid w:val="00AA55B7"/>
    <w:rsid w:val="00AA5B9E"/>
    <w:rsid w:val="00AA76B7"/>
    <w:rsid w:val="00AB2407"/>
    <w:rsid w:val="00AB53DF"/>
    <w:rsid w:val="00AB5C99"/>
    <w:rsid w:val="00AC06B4"/>
    <w:rsid w:val="00AC101F"/>
    <w:rsid w:val="00AC2ECD"/>
    <w:rsid w:val="00AC5FBB"/>
    <w:rsid w:val="00AD2953"/>
    <w:rsid w:val="00AD4F30"/>
    <w:rsid w:val="00AD5A78"/>
    <w:rsid w:val="00AE04D7"/>
    <w:rsid w:val="00AE213D"/>
    <w:rsid w:val="00AE3BBB"/>
    <w:rsid w:val="00AE6971"/>
    <w:rsid w:val="00AE70AA"/>
    <w:rsid w:val="00AF061A"/>
    <w:rsid w:val="00AF0CFC"/>
    <w:rsid w:val="00AF12A7"/>
    <w:rsid w:val="00AF3D24"/>
    <w:rsid w:val="00B00909"/>
    <w:rsid w:val="00B04B85"/>
    <w:rsid w:val="00B06E9D"/>
    <w:rsid w:val="00B07756"/>
    <w:rsid w:val="00B07E5C"/>
    <w:rsid w:val="00B1706C"/>
    <w:rsid w:val="00B179CA"/>
    <w:rsid w:val="00B17A38"/>
    <w:rsid w:val="00B17F7A"/>
    <w:rsid w:val="00B2305A"/>
    <w:rsid w:val="00B24943"/>
    <w:rsid w:val="00B4217B"/>
    <w:rsid w:val="00B453D0"/>
    <w:rsid w:val="00B51190"/>
    <w:rsid w:val="00B52F19"/>
    <w:rsid w:val="00B54490"/>
    <w:rsid w:val="00B57AB3"/>
    <w:rsid w:val="00B57DF3"/>
    <w:rsid w:val="00B64960"/>
    <w:rsid w:val="00B6643A"/>
    <w:rsid w:val="00B67BB0"/>
    <w:rsid w:val="00B731F4"/>
    <w:rsid w:val="00B7334E"/>
    <w:rsid w:val="00B739C6"/>
    <w:rsid w:val="00B811F7"/>
    <w:rsid w:val="00B839D8"/>
    <w:rsid w:val="00B856BE"/>
    <w:rsid w:val="00B91D63"/>
    <w:rsid w:val="00B9282C"/>
    <w:rsid w:val="00B94230"/>
    <w:rsid w:val="00B945A9"/>
    <w:rsid w:val="00BA0131"/>
    <w:rsid w:val="00BA5804"/>
    <w:rsid w:val="00BA5DC6"/>
    <w:rsid w:val="00BA615F"/>
    <w:rsid w:val="00BA6196"/>
    <w:rsid w:val="00BA69D7"/>
    <w:rsid w:val="00BA6FF7"/>
    <w:rsid w:val="00BB0725"/>
    <w:rsid w:val="00BB377B"/>
    <w:rsid w:val="00BB5123"/>
    <w:rsid w:val="00BB72FE"/>
    <w:rsid w:val="00BB7CF4"/>
    <w:rsid w:val="00BB7DBD"/>
    <w:rsid w:val="00BC3F9B"/>
    <w:rsid w:val="00BC4347"/>
    <w:rsid w:val="00BC4A4E"/>
    <w:rsid w:val="00BC61E1"/>
    <w:rsid w:val="00BC6D8C"/>
    <w:rsid w:val="00BD0ACA"/>
    <w:rsid w:val="00BD30A7"/>
    <w:rsid w:val="00BD7B4D"/>
    <w:rsid w:val="00BE456E"/>
    <w:rsid w:val="00BE4C7B"/>
    <w:rsid w:val="00BE5187"/>
    <w:rsid w:val="00BE78A7"/>
    <w:rsid w:val="00BF1F72"/>
    <w:rsid w:val="00BF44B3"/>
    <w:rsid w:val="00BF5E5E"/>
    <w:rsid w:val="00C0039A"/>
    <w:rsid w:val="00C018EB"/>
    <w:rsid w:val="00C03FC9"/>
    <w:rsid w:val="00C04AB4"/>
    <w:rsid w:val="00C07DC6"/>
    <w:rsid w:val="00C108F1"/>
    <w:rsid w:val="00C11939"/>
    <w:rsid w:val="00C12A51"/>
    <w:rsid w:val="00C23C58"/>
    <w:rsid w:val="00C25450"/>
    <w:rsid w:val="00C2545D"/>
    <w:rsid w:val="00C25E7A"/>
    <w:rsid w:val="00C263A8"/>
    <w:rsid w:val="00C305E0"/>
    <w:rsid w:val="00C34006"/>
    <w:rsid w:val="00C349C1"/>
    <w:rsid w:val="00C3680B"/>
    <w:rsid w:val="00C36B4C"/>
    <w:rsid w:val="00C37BD2"/>
    <w:rsid w:val="00C40FFC"/>
    <w:rsid w:val="00C426B1"/>
    <w:rsid w:val="00C43EDD"/>
    <w:rsid w:val="00C44551"/>
    <w:rsid w:val="00C46227"/>
    <w:rsid w:val="00C522ED"/>
    <w:rsid w:val="00C5694B"/>
    <w:rsid w:val="00C56D35"/>
    <w:rsid w:val="00C605A0"/>
    <w:rsid w:val="00C6141A"/>
    <w:rsid w:val="00C62302"/>
    <w:rsid w:val="00C64017"/>
    <w:rsid w:val="00C65C06"/>
    <w:rsid w:val="00C66160"/>
    <w:rsid w:val="00C70B11"/>
    <w:rsid w:val="00C721AC"/>
    <w:rsid w:val="00C76164"/>
    <w:rsid w:val="00C8107C"/>
    <w:rsid w:val="00C81138"/>
    <w:rsid w:val="00C82662"/>
    <w:rsid w:val="00C86CD2"/>
    <w:rsid w:val="00C875A5"/>
    <w:rsid w:val="00C90D6A"/>
    <w:rsid w:val="00C920E6"/>
    <w:rsid w:val="00CA1368"/>
    <w:rsid w:val="00CA1867"/>
    <w:rsid w:val="00CA247E"/>
    <w:rsid w:val="00CA4DB3"/>
    <w:rsid w:val="00CA6D21"/>
    <w:rsid w:val="00CA751C"/>
    <w:rsid w:val="00CB1045"/>
    <w:rsid w:val="00CB661E"/>
    <w:rsid w:val="00CB6CC2"/>
    <w:rsid w:val="00CC32E6"/>
    <w:rsid w:val="00CC72B6"/>
    <w:rsid w:val="00CD080F"/>
    <w:rsid w:val="00CE19DE"/>
    <w:rsid w:val="00CE33C7"/>
    <w:rsid w:val="00CE7AAA"/>
    <w:rsid w:val="00CF2544"/>
    <w:rsid w:val="00CF2575"/>
    <w:rsid w:val="00CF2C1A"/>
    <w:rsid w:val="00CF7B6C"/>
    <w:rsid w:val="00D0005B"/>
    <w:rsid w:val="00D00ED0"/>
    <w:rsid w:val="00D0218D"/>
    <w:rsid w:val="00D06A93"/>
    <w:rsid w:val="00D11CAE"/>
    <w:rsid w:val="00D17334"/>
    <w:rsid w:val="00D20D38"/>
    <w:rsid w:val="00D21976"/>
    <w:rsid w:val="00D21BED"/>
    <w:rsid w:val="00D22920"/>
    <w:rsid w:val="00D22D18"/>
    <w:rsid w:val="00D25FB5"/>
    <w:rsid w:val="00D2636B"/>
    <w:rsid w:val="00D335C9"/>
    <w:rsid w:val="00D35E94"/>
    <w:rsid w:val="00D36D95"/>
    <w:rsid w:val="00D41E7D"/>
    <w:rsid w:val="00D420C8"/>
    <w:rsid w:val="00D423AD"/>
    <w:rsid w:val="00D44223"/>
    <w:rsid w:val="00D46210"/>
    <w:rsid w:val="00D466B6"/>
    <w:rsid w:val="00D53DE3"/>
    <w:rsid w:val="00D54EBA"/>
    <w:rsid w:val="00D54FDB"/>
    <w:rsid w:val="00D55876"/>
    <w:rsid w:val="00D57D06"/>
    <w:rsid w:val="00D617F8"/>
    <w:rsid w:val="00D663BB"/>
    <w:rsid w:val="00D67595"/>
    <w:rsid w:val="00D70F7E"/>
    <w:rsid w:val="00D7769D"/>
    <w:rsid w:val="00D8457E"/>
    <w:rsid w:val="00D87291"/>
    <w:rsid w:val="00D8768F"/>
    <w:rsid w:val="00D90767"/>
    <w:rsid w:val="00D93E39"/>
    <w:rsid w:val="00D965E1"/>
    <w:rsid w:val="00D96670"/>
    <w:rsid w:val="00D976CF"/>
    <w:rsid w:val="00DA2529"/>
    <w:rsid w:val="00DA44DE"/>
    <w:rsid w:val="00DA5FFD"/>
    <w:rsid w:val="00DA69CF"/>
    <w:rsid w:val="00DB130A"/>
    <w:rsid w:val="00DB1803"/>
    <w:rsid w:val="00DB2EBB"/>
    <w:rsid w:val="00DB303A"/>
    <w:rsid w:val="00DB3461"/>
    <w:rsid w:val="00DB543A"/>
    <w:rsid w:val="00DB64AC"/>
    <w:rsid w:val="00DC01AD"/>
    <w:rsid w:val="00DC10A1"/>
    <w:rsid w:val="00DC5CD5"/>
    <w:rsid w:val="00DC655F"/>
    <w:rsid w:val="00DC66ED"/>
    <w:rsid w:val="00DC75AE"/>
    <w:rsid w:val="00DD07F2"/>
    <w:rsid w:val="00DD0B59"/>
    <w:rsid w:val="00DD14C0"/>
    <w:rsid w:val="00DD3CDC"/>
    <w:rsid w:val="00DD614A"/>
    <w:rsid w:val="00DD6289"/>
    <w:rsid w:val="00DD7C1E"/>
    <w:rsid w:val="00DD7EBD"/>
    <w:rsid w:val="00DD7F74"/>
    <w:rsid w:val="00DE004F"/>
    <w:rsid w:val="00DE033D"/>
    <w:rsid w:val="00DE6794"/>
    <w:rsid w:val="00DF1ACC"/>
    <w:rsid w:val="00DF2BB5"/>
    <w:rsid w:val="00DF3ED0"/>
    <w:rsid w:val="00DF62B6"/>
    <w:rsid w:val="00E007E5"/>
    <w:rsid w:val="00E07225"/>
    <w:rsid w:val="00E0734B"/>
    <w:rsid w:val="00E12BFB"/>
    <w:rsid w:val="00E1696D"/>
    <w:rsid w:val="00E23035"/>
    <w:rsid w:val="00E2656A"/>
    <w:rsid w:val="00E2682D"/>
    <w:rsid w:val="00E35F62"/>
    <w:rsid w:val="00E37E7E"/>
    <w:rsid w:val="00E41B3A"/>
    <w:rsid w:val="00E4487A"/>
    <w:rsid w:val="00E47195"/>
    <w:rsid w:val="00E5409F"/>
    <w:rsid w:val="00E5499D"/>
    <w:rsid w:val="00E56B94"/>
    <w:rsid w:val="00E56F53"/>
    <w:rsid w:val="00E61101"/>
    <w:rsid w:val="00E6769F"/>
    <w:rsid w:val="00E71955"/>
    <w:rsid w:val="00E73484"/>
    <w:rsid w:val="00E7355D"/>
    <w:rsid w:val="00E84791"/>
    <w:rsid w:val="00E85EE7"/>
    <w:rsid w:val="00E96719"/>
    <w:rsid w:val="00E97E1E"/>
    <w:rsid w:val="00EA0F94"/>
    <w:rsid w:val="00EA3D93"/>
    <w:rsid w:val="00EA5D18"/>
    <w:rsid w:val="00EA70E2"/>
    <w:rsid w:val="00EB03E8"/>
    <w:rsid w:val="00EB420E"/>
    <w:rsid w:val="00ED00A4"/>
    <w:rsid w:val="00ED0F59"/>
    <w:rsid w:val="00ED3A56"/>
    <w:rsid w:val="00ED5437"/>
    <w:rsid w:val="00ED58AB"/>
    <w:rsid w:val="00EE033B"/>
    <w:rsid w:val="00EE6488"/>
    <w:rsid w:val="00EE72B9"/>
    <w:rsid w:val="00EF1EC2"/>
    <w:rsid w:val="00F021FA"/>
    <w:rsid w:val="00F10514"/>
    <w:rsid w:val="00F138E2"/>
    <w:rsid w:val="00F163FF"/>
    <w:rsid w:val="00F16582"/>
    <w:rsid w:val="00F23229"/>
    <w:rsid w:val="00F23843"/>
    <w:rsid w:val="00F26DA4"/>
    <w:rsid w:val="00F26ED2"/>
    <w:rsid w:val="00F277FA"/>
    <w:rsid w:val="00F31364"/>
    <w:rsid w:val="00F33A2B"/>
    <w:rsid w:val="00F35C83"/>
    <w:rsid w:val="00F37556"/>
    <w:rsid w:val="00F37E65"/>
    <w:rsid w:val="00F4434E"/>
    <w:rsid w:val="00F47161"/>
    <w:rsid w:val="00F50802"/>
    <w:rsid w:val="00F51744"/>
    <w:rsid w:val="00F53B99"/>
    <w:rsid w:val="00F61A29"/>
    <w:rsid w:val="00F62E97"/>
    <w:rsid w:val="00F64209"/>
    <w:rsid w:val="00F7273D"/>
    <w:rsid w:val="00F73FAE"/>
    <w:rsid w:val="00F77DAD"/>
    <w:rsid w:val="00F80C84"/>
    <w:rsid w:val="00F83911"/>
    <w:rsid w:val="00F87E70"/>
    <w:rsid w:val="00F92BA8"/>
    <w:rsid w:val="00F93BF5"/>
    <w:rsid w:val="00FA0B4B"/>
    <w:rsid w:val="00FA20A3"/>
    <w:rsid w:val="00FA2BEB"/>
    <w:rsid w:val="00FA3991"/>
    <w:rsid w:val="00FB0312"/>
    <w:rsid w:val="00FB24AC"/>
    <w:rsid w:val="00FB34F0"/>
    <w:rsid w:val="00FB57CE"/>
    <w:rsid w:val="00FC01F0"/>
    <w:rsid w:val="00FD2594"/>
    <w:rsid w:val="00FD4538"/>
    <w:rsid w:val="00FD4F16"/>
    <w:rsid w:val="00FE224B"/>
    <w:rsid w:val="00FE2507"/>
    <w:rsid w:val="00FE2869"/>
    <w:rsid w:val="00FE3009"/>
    <w:rsid w:val="00FF2106"/>
    <w:rsid w:val="00FF36FE"/>
    <w:rsid w:val="00FF4B0D"/>
    <w:rsid w:val="1427B0F8"/>
    <w:rsid w:val="315CD15B"/>
    <w:rsid w:val="62FA2A2F"/>
    <w:rsid w:val="6F7FE62C"/>
    <w:rsid w:val="7412C0DD"/>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328F15F0"/>
  <w15:chartTrackingRefBased/>
  <w15:docId w15:val="{673D66B8-1324-4E63-8AC6-A7F7C6FA4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5B71C1"/>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2D4176"/>
    <w:pPr>
      <w:numPr>
        <w:numId w:val="2"/>
      </w:numPr>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1 Char,rrfootnote Char Char,Style 5 Char Char,Footnote Text Char Char Char,Footnote Text Char1 Char Char Char,Footnote Text Char Char Char Char Char,Footnote Text Char1 Char Char Char Char Char,fn,Styl,f,fn Ch"/>
    <w:link w:val="FootnoteTextChar"/>
    <w:uiPriority w:val="99"/>
    <w:qFormat/>
    <w:rsid w:val="000E3D42"/>
    <w:pPr>
      <w:spacing w:after="120"/>
    </w:pPr>
  </w:style>
  <w:style w:type="character" w:styleId="FootnoteReference">
    <w:name w:val="footnote reference"/>
    <w:uiPriority w:val="99"/>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Heading1Char">
    <w:name w:val="Heading 1 Char"/>
    <w:link w:val="Heading1"/>
    <w:rsid w:val="005B71C1"/>
    <w:rPr>
      <w:rFonts w:ascii="Times New Roman Bold" w:hAnsi="Times New Roman Bold"/>
      <w:b/>
      <w:caps/>
      <w:snapToGrid w:val="0"/>
      <w:kern w:val="28"/>
      <w:sz w:val="22"/>
    </w:rPr>
  </w:style>
  <w:style w:type="character" w:customStyle="1" w:styleId="FootnoteTextChar">
    <w:name w:val="Footnote Text Char"/>
    <w:aliases w:val="Footnote Text Char1 Char Char,rrfootnote Char Char Char,Style 5 Char Char Char,Footnote Text Char Char Char Char,Footnote Text Char1 Char Char Char Char,Footnote Text Char Char Char Char Char Char,fn Char,Styl Char,f Char,fn Ch Char"/>
    <w:basedOn w:val="DefaultParagraphFont"/>
    <w:link w:val="FootnoteText"/>
    <w:uiPriority w:val="99"/>
    <w:rsid w:val="005B71C1"/>
  </w:style>
  <w:style w:type="character" w:styleId="CommentReference">
    <w:name w:val="annotation reference"/>
    <w:uiPriority w:val="99"/>
    <w:unhideWhenUsed/>
    <w:rsid w:val="005B71C1"/>
    <w:rPr>
      <w:sz w:val="16"/>
      <w:szCs w:val="16"/>
    </w:rPr>
  </w:style>
  <w:style w:type="paragraph" w:styleId="CommentText">
    <w:name w:val="annotation text"/>
    <w:basedOn w:val="Normal"/>
    <w:link w:val="CommentTextChar"/>
    <w:uiPriority w:val="99"/>
    <w:unhideWhenUsed/>
    <w:rsid w:val="005B71C1"/>
    <w:pPr>
      <w:widowControl/>
      <w:spacing w:after="160"/>
    </w:pPr>
    <w:rPr>
      <w:rFonts w:ascii="Aptos" w:eastAsia="Aptos" w:hAnsi="Aptos" w:cs="Arial"/>
      <w:snapToGrid/>
      <w:kern w:val="2"/>
      <w:sz w:val="20"/>
    </w:rPr>
  </w:style>
  <w:style w:type="character" w:customStyle="1" w:styleId="CommentTextChar">
    <w:name w:val="Comment Text Char"/>
    <w:link w:val="CommentText"/>
    <w:uiPriority w:val="99"/>
    <w:rsid w:val="005B71C1"/>
    <w:rPr>
      <w:rFonts w:ascii="Aptos" w:eastAsia="Aptos" w:hAnsi="Aptos" w:cs="Arial"/>
      <w:kern w:val="2"/>
    </w:rPr>
  </w:style>
  <w:style w:type="paragraph" w:styleId="Revision">
    <w:name w:val="Revision"/>
    <w:hidden/>
    <w:uiPriority w:val="99"/>
    <w:semiHidden/>
    <w:rsid w:val="006F6232"/>
    <w:rPr>
      <w:snapToGrid w:val="0"/>
      <w:kern w:val="28"/>
      <w:sz w:val="22"/>
    </w:rPr>
  </w:style>
  <w:style w:type="paragraph" w:styleId="CommentSubject">
    <w:name w:val="annotation subject"/>
    <w:basedOn w:val="CommentText"/>
    <w:next w:val="CommentText"/>
    <w:link w:val="CommentSubjectChar"/>
    <w:rsid w:val="00393168"/>
    <w:pPr>
      <w:widowControl w:val="0"/>
      <w:spacing w:after="0"/>
    </w:pPr>
    <w:rPr>
      <w:rFonts w:ascii="Times New Roman" w:eastAsia="Times New Roman" w:hAnsi="Times New Roman" w:cs="Times New Roman"/>
      <w:b/>
      <w:bCs/>
      <w:snapToGrid w:val="0"/>
      <w:kern w:val="28"/>
    </w:rPr>
  </w:style>
  <w:style w:type="character" w:customStyle="1" w:styleId="CommentSubjectChar">
    <w:name w:val="Comment Subject Char"/>
    <w:link w:val="CommentSubject"/>
    <w:rsid w:val="00393168"/>
    <w:rPr>
      <w:rFonts w:ascii="Aptos" w:eastAsia="Aptos" w:hAnsi="Aptos" w:cs="Arial"/>
      <w:b/>
      <w:bCs/>
      <w:snapToGrid w:val="0"/>
      <w:kern w:val="28"/>
    </w:rPr>
  </w:style>
  <w:style w:type="character" w:styleId="FollowedHyperlink">
    <w:name w:val="FollowedHyperlink"/>
    <w:rsid w:val="0025655A"/>
    <w:rPr>
      <w:color w:val="96607D"/>
      <w:u w:val="single"/>
    </w:rPr>
  </w:style>
  <w:style w:type="character" w:styleId="Mention">
    <w:name w:val="Mention"/>
    <w:uiPriority w:val="99"/>
    <w:unhideWhenUsed/>
    <w:rsid w:val="00D466B6"/>
    <w:rPr>
      <w:color w:val="2B579A"/>
      <w:shd w:val="clear" w:color="auto" w:fill="E1DFDD"/>
    </w:rPr>
  </w:style>
  <w:style w:type="character" w:styleId="UnresolvedMention">
    <w:name w:val="Unresolved Mention"/>
    <w:basedOn w:val="DefaultParagraphFont"/>
    <w:uiPriority w:val="99"/>
    <w:semiHidden/>
    <w:unhideWhenUsed/>
    <w:rsid w:val="00AA76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docs.fcc.gov/public/attachments/DOC-366222A1.pdf" TargetMode="External" /><Relationship Id="rId2" Type="http://schemas.openxmlformats.org/officeDocument/2006/relationships/hyperlink" Target="https://www.whitehouse.gov/presidentialactions/2025/06/unleashing-american-drone-dominance/"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