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F15969" w:rsidRPr="00F15969" w:rsidP="00F15969" w14:paraId="330797DA" w14:textId="4DDE64D2">
      <w:pPr>
        <w:tabs>
          <w:tab w:val="left" w:pos="6480"/>
        </w:tabs>
        <w:spacing w:after="120"/>
        <w:contextualSpacing/>
        <w:rPr>
          <w:iCs/>
          <w:szCs w:val="22"/>
        </w:rPr>
      </w:pPr>
      <w:r>
        <w:rPr>
          <w:szCs w:val="22"/>
        </w:rPr>
        <w:tab/>
      </w:r>
      <w:r w:rsidRPr="00F15969">
        <w:rPr>
          <w:iCs/>
          <w:szCs w:val="22"/>
        </w:rPr>
        <w:t xml:space="preserve">DA </w:t>
      </w:r>
      <w:r w:rsidR="002B0CCC">
        <w:rPr>
          <w:iCs/>
          <w:szCs w:val="22"/>
        </w:rPr>
        <w:t>26-65</w:t>
      </w:r>
    </w:p>
    <w:p w:rsidR="00F15969" w:rsidRPr="00F15969" w:rsidP="00F15969" w14:paraId="4559474F" w14:textId="77777777">
      <w:pPr>
        <w:tabs>
          <w:tab w:val="left" w:pos="6480"/>
        </w:tabs>
        <w:spacing w:after="120"/>
        <w:contextualSpacing/>
        <w:rPr>
          <w:bCs/>
          <w:i/>
          <w:szCs w:val="22"/>
        </w:rPr>
      </w:pPr>
      <w:r w:rsidRPr="00F15969">
        <w:rPr>
          <w:i/>
          <w:szCs w:val="22"/>
        </w:rPr>
        <w:tab/>
        <w:t xml:space="preserve">In Reply Refer to: </w:t>
      </w:r>
    </w:p>
    <w:p w:rsidR="00B8038B" w:rsidP="00363EA6" w14:paraId="518A32C5" w14:textId="77777777">
      <w:pPr>
        <w:tabs>
          <w:tab w:val="left" w:pos="6480"/>
        </w:tabs>
        <w:spacing w:after="120"/>
        <w:contextualSpacing/>
        <w:rPr>
          <w:szCs w:val="22"/>
        </w:rPr>
      </w:pPr>
      <w:r w:rsidRPr="00F15969">
        <w:rPr>
          <w:bCs/>
          <w:i/>
          <w:szCs w:val="22"/>
        </w:rPr>
        <w:tab/>
      </w:r>
      <w:r w:rsidRPr="00F15969">
        <w:rPr>
          <w:szCs w:val="22"/>
        </w:rPr>
        <w:t>1800B3-CEG</w:t>
      </w:r>
    </w:p>
    <w:p w:rsidR="00226EF4" w:rsidP="00363EA6" w14:paraId="3EE8A6D4" w14:textId="4F77A38C">
      <w:pPr>
        <w:tabs>
          <w:tab w:val="left" w:pos="6480"/>
        </w:tabs>
        <w:spacing w:after="120"/>
        <w:contextualSpacing/>
        <w:rPr>
          <w:szCs w:val="22"/>
        </w:rPr>
      </w:pPr>
      <w:r>
        <w:rPr>
          <w:szCs w:val="22"/>
        </w:rPr>
        <w:tab/>
      </w:r>
      <w:r w:rsidR="002B0CCC">
        <w:rPr>
          <w:szCs w:val="22"/>
        </w:rPr>
        <w:t>January 20, 2026</w:t>
      </w:r>
    </w:p>
    <w:p w:rsidR="00BC1483" w:rsidP="00363EA6" w14:paraId="3EB0C019" w14:textId="210E5BE8">
      <w:pPr>
        <w:spacing w:after="120"/>
        <w:contextualSpacing/>
      </w:pPr>
      <w:r>
        <w:t>Holy Mother Mary</w:t>
      </w:r>
    </w:p>
    <w:p w:rsidR="00C1593A" w:rsidRPr="002249E4" w:rsidP="00226EF4" w14:paraId="381A3EAA" w14:textId="2E009C87">
      <w:pPr>
        <w:contextualSpacing/>
      </w:pPr>
      <w:r w:rsidRPr="002249E4">
        <w:t xml:space="preserve">c/o </w:t>
      </w:r>
      <w:r w:rsidRPr="002249E4" w:rsidR="004472A2">
        <w:t>Dennis J. Kelly, Esq.</w:t>
      </w:r>
    </w:p>
    <w:p w:rsidR="0062195A" w:rsidRPr="002249E4" w:rsidP="00226EF4" w14:paraId="2960B512" w14:textId="44BA44BD">
      <w:r w:rsidRPr="002249E4">
        <w:t>30628 Detroit Road, Box 278</w:t>
      </w:r>
    </w:p>
    <w:p w:rsidR="001967D8" w:rsidP="00363EA6" w14:paraId="58B7A3D0" w14:textId="70517438">
      <w:pPr>
        <w:pStyle w:val="NormalWeb"/>
        <w:shd w:val="clear" w:color="auto" w:fill="FFFFFF"/>
        <w:spacing w:before="0" w:beforeAutospacing="0" w:after="120" w:afterAutospacing="0"/>
      </w:pPr>
      <w:r w:rsidRPr="002249E4">
        <w:rPr>
          <w:szCs w:val="22"/>
        </w:rPr>
        <w:t>Westlake, OH 44145</w:t>
      </w:r>
      <w:r>
        <w:tab/>
      </w:r>
    </w:p>
    <w:p w:rsidR="00D80284" w:rsidP="00363EA6" w14:paraId="0DEAB14B" w14:textId="79E98B84">
      <w:pPr>
        <w:pStyle w:val="NormalWeb"/>
        <w:shd w:val="clear" w:color="auto" w:fill="FFFFFF"/>
        <w:spacing w:before="0" w:beforeAutospacing="0" w:after="120" w:afterAutospacing="0"/>
        <w:contextualSpacing/>
      </w:pPr>
      <w:r>
        <w:t xml:space="preserve">Albert </w:t>
      </w:r>
      <w:r w:rsidR="009814C4">
        <w:t xml:space="preserve">Adam </w:t>
      </w:r>
      <w:r>
        <w:t>David</w:t>
      </w:r>
    </w:p>
    <w:p w:rsidR="00D80284" w:rsidP="00C63ACF" w14:paraId="7CF9FA7B" w14:textId="5BD1357C">
      <w:pPr>
        <w:pStyle w:val="NormalWeb"/>
        <w:shd w:val="clear" w:color="auto" w:fill="FFFFFF"/>
        <w:spacing w:before="0" w:beforeAutospacing="0" w:after="0" w:afterAutospacing="0"/>
        <w:contextualSpacing/>
      </w:pPr>
      <w:r>
        <w:t>1337 Linden Rd</w:t>
      </w:r>
    </w:p>
    <w:p w:rsidR="00D80284" w:rsidRPr="00C63ACF" w:rsidP="00363EA6" w14:paraId="3596918B" w14:textId="6E41580A">
      <w:pPr>
        <w:pStyle w:val="NormalWeb"/>
        <w:shd w:val="clear" w:color="auto" w:fill="FFFFFF"/>
        <w:spacing w:before="0" w:beforeAutospacing="0" w:after="120" w:afterAutospacing="0"/>
        <w:rPr>
          <w:szCs w:val="22"/>
        </w:rPr>
      </w:pPr>
      <w:r>
        <w:t>Homewood, IL 60430</w:t>
      </w:r>
    </w:p>
    <w:p w:rsidR="00AD1E51" w:rsidRPr="00AD1E51" w:rsidP="00363EA6" w14:paraId="28FE9CB6" w14:textId="1BEE6024">
      <w:pPr>
        <w:widowControl w:val="0"/>
        <w:spacing w:after="120"/>
        <w:ind w:left="5760" w:hanging="720"/>
        <w:rPr>
          <w:szCs w:val="22"/>
        </w:rPr>
      </w:pPr>
      <w:r w:rsidRPr="00476A28">
        <w:rPr>
          <w:szCs w:val="22"/>
        </w:rPr>
        <w:t>Re</w:t>
      </w:r>
      <w:bookmarkStart w:id="0" w:name="_Hlk62581650"/>
      <w:bookmarkStart w:id="1" w:name="_Hlk18670527"/>
      <w:r w:rsidRPr="00476A28">
        <w:rPr>
          <w:szCs w:val="22"/>
        </w:rPr>
        <w:t>:</w:t>
      </w:r>
      <w:r w:rsidRPr="005634FF">
        <w:rPr>
          <w:b/>
          <w:bCs/>
          <w:szCs w:val="22"/>
        </w:rPr>
        <w:t xml:space="preserve">  </w:t>
      </w:r>
      <w:r w:rsidRPr="005634FF">
        <w:rPr>
          <w:b/>
          <w:bCs/>
          <w:szCs w:val="22"/>
        </w:rPr>
        <w:tab/>
      </w:r>
      <w:bookmarkEnd w:id="0"/>
      <w:bookmarkEnd w:id="1"/>
      <w:r w:rsidR="00332E48">
        <w:rPr>
          <w:b/>
          <w:bCs/>
          <w:szCs w:val="22"/>
        </w:rPr>
        <w:t>Holy Mother Mary</w:t>
      </w:r>
      <w:r w:rsidR="00ED7502">
        <w:rPr>
          <w:b/>
          <w:bCs/>
          <w:szCs w:val="22"/>
        </w:rPr>
        <w:tab/>
      </w:r>
    </w:p>
    <w:p w:rsidR="00E744D7" w:rsidRPr="000A4B36" w:rsidP="00E744D7" w14:paraId="5BE93764" w14:textId="27A00F3A">
      <w:pPr>
        <w:spacing w:after="120"/>
        <w:ind w:left="5040" w:firstLine="720"/>
        <w:contextualSpacing/>
      </w:pPr>
      <w:r>
        <w:t xml:space="preserve">New LPFM, </w:t>
      </w:r>
      <w:r w:rsidR="00332E48">
        <w:t>Cascade, Iowa</w:t>
      </w:r>
    </w:p>
    <w:p w:rsidR="00E744D7" w:rsidRPr="000A4B36" w:rsidP="00E744D7" w14:paraId="1CFED42B" w14:textId="1BEB6FB0">
      <w:pPr>
        <w:spacing w:after="120"/>
        <w:contextualSpacing/>
      </w:pPr>
      <w:r w:rsidRPr="000A4B36">
        <w:tab/>
      </w:r>
      <w:r w:rsidRPr="000A4B36">
        <w:tab/>
      </w:r>
      <w:r w:rsidRPr="000A4B36">
        <w:tab/>
      </w:r>
      <w:r w:rsidRPr="000A4B36">
        <w:tab/>
      </w:r>
      <w:r w:rsidRPr="000A4B36">
        <w:tab/>
      </w:r>
      <w:r w:rsidRPr="000A4B36">
        <w:tab/>
      </w:r>
      <w:r w:rsidRPr="000A4B36">
        <w:tab/>
      </w:r>
      <w:r w:rsidRPr="000A4B36">
        <w:tab/>
        <w:t xml:space="preserve">Facility ID No. </w:t>
      </w:r>
      <w:r w:rsidRPr="00332E48" w:rsidR="00332E48">
        <w:t>786456</w:t>
      </w:r>
    </w:p>
    <w:p w:rsidR="00322721" w:rsidP="00E744D7" w14:paraId="66C22CCB" w14:textId="2ED08FE8">
      <w:pPr>
        <w:spacing w:after="120"/>
      </w:pPr>
      <w:r w:rsidRPr="000A4B36">
        <w:tab/>
      </w:r>
      <w:r w:rsidRPr="000A4B36">
        <w:tab/>
      </w:r>
      <w:r w:rsidRPr="000A4B36">
        <w:tab/>
      </w:r>
      <w:r w:rsidRPr="000A4B36">
        <w:tab/>
      </w:r>
      <w:r w:rsidRPr="000A4B36">
        <w:tab/>
      </w:r>
      <w:r w:rsidRPr="000A4B36">
        <w:tab/>
      </w:r>
      <w:r w:rsidRPr="000A4B36">
        <w:tab/>
      </w:r>
      <w:r w:rsidRPr="000A4B36">
        <w:tab/>
      </w:r>
      <w:r>
        <w:t xml:space="preserve">Application </w:t>
      </w:r>
      <w:r w:rsidRPr="000A4B36">
        <w:t xml:space="preserve">File No. </w:t>
      </w:r>
      <w:r w:rsidRPr="00F23856" w:rsidR="00F23856">
        <w:t>232660</w:t>
      </w:r>
    </w:p>
    <w:p w:rsidR="00C63ACF" w:rsidRPr="00C63ACF" w:rsidP="00C63ACF" w14:paraId="6D6D75E1" w14:textId="47A57763">
      <w:pPr>
        <w:widowControl w:val="0"/>
        <w:spacing w:after="120"/>
        <w:ind w:left="5040" w:firstLine="720"/>
        <w:rPr>
          <w:b/>
          <w:bCs/>
          <w:szCs w:val="22"/>
        </w:rPr>
      </w:pPr>
      <w:r>
        <w:rPr>
          <w:b/>
          <w:bCs/>
          <w:szCs w:val="22"/>
        </w:rPr>
        <w:t>Petition for Reconsideration</w:t>
      </w:r>
    </w:p>
    <w:p w:rsidR="00C63ACF" w:rsidRPr="00A47BC0" w:rsidP="00C63ACF" w14:paraId="1B503BF1" w14:textId="71ACB988">
      <w:pPr>
        <w:tabs>
          <w:tab w:val="left" w:pos="0"/>
        </w:tabs>
        <w:suppressAutoHyphens/>
        <w:spacing w:after="120"/>
        <w:ind w:left="5040" w:hanging="5040"/>
        <w:rPr>
          <w:szCs w:val="22"/>
        </w:rPr>
      </w:pPr>
      <w:r w:rsidRPr="00A47BC0">
        <w:rPr>
          <w:szCs w:val="22"/>
        </w:rPr>
        <w:t xml:space="preserve">Dear </w:t>
      </w:r>
      <w:r>
        <w:rPr>
          <w:szCs w:val="22"/>
        </w:rPr>
        <w:t>Applicant and Objector</w:t>
      </w:r>
      <w:r w:rsidRPr="00A47BC0">
        <w:rPr>
          <w:szCs w:val="22"/>
        </w:rPr>
        <w:t>:</w:t>
      </w:r>
    </w:p>
    <w:p w:rsidR="00132FF8" w:rsidP="00132FF8" w14:paraId="7AC59E9D" w14:textId="203D3471">
      <w:pPr>
        <w:spacing w:after="120"/>
        <w:ind w:firstLine="720"/>
        <w:rPr>
          <w:szCs w:val="22"/>
        </w:rPr>
      </w:pPr>
      <w:r w:rsidRPr="00A47BC0">
        <w:rPr>
          <w:szCs w:val="22"/>
        </w:rPr>
        <w:t>We ha</w:t>
      </w:r>
      <w:r>
        <w:rPr>
          <w:szCs w:val="22"/>
        </w:rPr>
        <w:t xml:space="preserve">ve before us </w:t>
      </w:r>
      <w:r w:rsidR="004D06EA">
        <w:rPr>
          <w:szCs w:val="22"/>
        </w:rPr>
        <w:t>a petition for reconsideration (</w:t>
      </w:r>
      <w:r w:rsidR="00EB376A">
        <w:rPr>
          <w:szCs w:val="22"/>
        </w:rPr>
        <w:t xml:space="preserve">Second </w:t>
      </w:r>
      <w:r w:rsidR="004D06EA">
        <w:rPr>
          <w:szCs w:val="22"/>
        </w:rPr>
        <w:t>Petition)</w:t>
      </w:r>
      <w:r>
        <w:rPr>
          <w:rStyle w:val="FootnoteReference"/>
          <w:szCs w:val="22"/>
        </w:rPr>
        <w:footnoteReference w:id="3"/>
      </w:r>
      <w:r w:rsidR="004D06EA">
        <w:rPr>
          <w:szCs w:val="22"/>
        </w:rPr>
        <w:t xml:space="preserve"> of </w:t>
      </w:r>
      <w:r w:rsidR="007940F0">
        <w:rPr>
          <w:szCs w:val="22"/>
        </w:rPr>
        <w:t xml:space="preserve">the dismissal of </w:t>
      </w:r>
      <w:r>
        <w:rPr>
          <w:szCs w:val="22"/>
        </w:rPr>
        <w:t xml:space="preserve">the above-referenced application (Application) </w:t>
      </w:r>
      <w:r w:rsidR="00EA351F">
        <w:rPr>
          <w:szCs w:val="22"/>
        </w:rPr>
        <w:t>for a new low power FM (LPFM) station at Cascade, Iowa</w:t>
      </w:r>
      <w:r w:rsidR="00B067EB">
        <w:rPr>
          <w:szCs w:val="22"/>
        </w:rPr>
        <w:t xml:space="preserve"> (Station)</w:t>
      </w:r>
      <w:r w:rsidR="00AE4E0B">
        <w:rPr>
          <w:szCs w:val="22"/>
        </w:rPr>
        <w:t>,</w:t>
      </w:r>
      <w:r w:rsidR="007940F0">
        <w:rPr>
          <w:szCs w:val="22"/>
        </w:rPr>
        <w:t xml:space="preserve"> filed by Holy Mother Mary (HMM) on </w:t>
      </w:r>
      <w:r w:rsidR="00693013">
        <w:rPr>
          <w:szCs w:val="22"/>
        </w:rPr>
        <w:t>March 11, 2025</w:t>
      </w:r>
      <w:r>
        <w:rPr>
          <w:szCs w:val="22"/>
        </w:rPr>
        <w:t>.</w:t>
      </w:r>
      <w:r>
        <w:rPr>
          <w:rStyle w:val="FootnoteReference"/>
          <w:szCs w:val="22"/>
        </w:rPr>
        <w:footnoteReference w:id="4"/>
      </w:r>
      <w:r>
        <w:rPr>
          <w:szCs w:val="22"/>
        </w:rPr>
        <w:t xml:space="preserve">  </w:t>
      </w:r>
      <w:r>
        <w:rPr>
          <w:szCs w:val="22"/>
        </w:rPr>
        <w:t>For the reasons set forth below, we deny the Second Petition.</w:t>
      </w:r>
    </w:p>
    <w:p w:rsidR="00602ECC" w:rsidP="00C41CD5" w14:paraId="22870506" w14:textId="1A9C8675">
      <w:pPr>
        <w:spacing w:after="120"/>
        <w:ind w:firstLine="720"/>
        <w:rPr>
          <w:bCs/>
          <w:snapToGrid w:val="0"/>
          <w:color w:val="000000"/>
          <w:kern w:val="28"/>
          <w:szCs w:val="22"/>
        </w:rPr>
      </w:pPr>
      <w:r w:rsidRPr="00716CA0">
        <w:rPr>
          <w:b/>
          <w:bCs/>
          <w:szCs w:val="22"/>
        </w:rPr>
        <w:t>Background.</w:t>
      </w:r>
      <w:r>
        <w:rPr>
          <w:b/>
          <w:bCs/>
          <w:szCs w:val="22"/>
        </w:rPr>
        <w:t xml:space="preserve">  </w:t>
      </w:r>
      <w:r w:rsidRPr="002D677C" w:rsidR="00842E27">
        <w:rPr>
          <w:bCs/>
          <w:snapToGrid w:val="0"/>
          <w:color w:val="000000"/>
          <w:kern w:val="28"/>
          <w:szCs w:val="22"/>
        </w:rPr>
        <w:t xml:space="preserve">The Application was filed on December </w:t>
      </w:r>
      <w:r w:rsidR="00842E27">
        <w:rPr>
          <w:bCs/>
          <w:snapToGrid w:val="0"/>
          <w:color w:val="000000"/>
          <w:kern w:val="28"/>
          <w:szCs w:val="22"/>
        </w:rPr>
        <w:t>13</w:t>
      </w:r>
      <w:r w:rsidRPr="002D677C" w:rsidR="00842E27">
        <w:rPr>
          <w:bCs/>
          <w:snapToGrid w:val="0"/>
          <w:color w:val="000000"/>
          <w:kern w:val="28"/>
          <w:szCs w:val="22"/>
        </w:rPr>
        <w:t xml:space="preserve">, 2023, during the 2023 </w:t>
      </w:r>
      <w:r w:rsidR="000058A0">
        <w:rPr>
          <w:bCs/>
          <w:snapToGrid w:val="0"/>
          <w:color w:val="000000"/>
          <w:kern w:val="28"/>
          <w:szCs w:val="22"/>
        </w:rPr>
        <w:t xml:space="preserve">new </w:t>
      </w:r>
      <w:r w:rsidRPr="002D677C" w:rsidR="00842E27">
        <w:rPr>
          <w:bCs/>
          <w:snapToGrid w:val="0"/>
          <w:color w:val="000000"/>
          <w:kern w:val="28"/>
          <w:szCs w:val="22"/>
        </w:rPr>
        <w:t>LPFM filing window.</w:t>
      </w:r>
      <w:r>
        <w:rPr>
          <w:bCs/>
          <w:snapToGrid w:val="0"/>
          <w:color w:val="000000"/>
          <w:kern w:val="28"/>
          <w:szCs w:val="22"/>
          <w:vertAlign w:val="superscript"/>
        </w:rPr>
        <w:footnoteReference w:id="5"/>
      </w:r>
      <w:r w:rsidRPr="002D677C" w:rsidR="00842E27">
        <w:rPr>
          <w:bCs/>
          <w:snapToGrid w:val="0"/>
          <w:color w:val="000000"/>
          <w:kern w:val="28"/>
          <w:szCs w:val="22"/>
        </w:rPr>
        <w:t xml:space="preserve">  </w:t>
      </w:r>
      <w:r w:rsidR="002611E2">
        <w:rPr>
          <w:bCs/>
          <w:snapToGrid w:val="0"/>
          <w:color w:val="000000"/>
          <w:kern w:val="28"/>
          <w:szCs w:val="22"/>
        </w:rPr>
        <w:t xml:space="preserve">On </w:t>
      </w:r>
      <w:r w:rsidR="00A222F6">
        <w:rPr>
          <w:bCs/>
          <w:snapToGrid w:val="0"/>
          <w:color w:val="000000"/>
          <w:kern w:val="28"/>
          <w:szCs w:val="22"/>
        </w:rPr>
        <w:t xml:space="preserve">January 23, 2024, the Audio Division, Media Bureau (Bureau) dismissed the Application for failure to </w:t>
      </w:r>
      <w:r w:rsidR="00446866">
        <w:rPr>
          <w:bCs/>
          <w:snapToGrid w:val="0"/>
          <w:color w:val="000000"/>
          <w:kern w:val="28"/>
          <w:szCs w:val="22"/>
        </w:rPr>
        <w:t xml:space="preserve">satisfy the </w:t>
      </w:r>
      <w:r w:rsidR="00893BE8">
        <w:rPr>
          <w:bCs/>
          <w:snapToGrid w:val="0"/>
          <w:color w:val="000000"/>
          <w:kern w:val="28"/>
          <w:szCs w:val="22"/>
        </w:rPr>
        <w:t>spacing</w:t>
      </w:r>
      <w:r w:rsidR="00446866">
        <w:rPr>
          <w:bCs/>
          <w:snapToGrid w:val="0"/>
          <w:color w:val="000000"/>
          <w:kern w:val="28"/>
          <w:szCs w:val="22"/>
        </w:rPr>
        <w:t xml:space="preserve"> requirements with respect to </w:t>
      </w:r>
      <w:r w:rsidR="007E3F27">
        <w:rPr>
          <w:bCs/>
          <w:snapToGrid w:val="0"/>
          <w:color w:val="000000"/>
          <w:kern w:val="28"/>
          <w:szCs w:val="22"/>
        </w:rPr>
        <w:t xml:space="preserve">a </w:t>
      </w:r>
      <w:r w:rsidR="00446866">
        <w:rPr>
          <w:bCs/>
          <w:snapToGrid w:val="0"/>
          <w:color w:val="000000"/>
          <w:kern w:val="28"/>
          <w:szCs w:val="22"/>
        </w:rPr>
        <w:t>co-channel vacant allotment on Channel 254A in Asbury, Iowa.</w:t>
      </w:r>
      <w:r>
        <w:rPr>
          <w:rStyle w:val="FootnoteReference"/>
          <w:bCs/>
          <w:snapToGrid w:val="0"/>
          <w:color w:val="000000"/>
          <w:kern w:val="28"/>
          <w:szCs w:val="22"/>
        </w:rPr>
        <w:footnoteReference w:id="6"/>
      </w:r>
      <w:r w:rsidR="009E3EFA">
        <w:rPr>
          <w:bCs/>
          <w:snapToGrid w:val="0"/>
          <w:color w:val="000000"/>
          <w:kern w:val="28"/>
          <w:szCs w:val="22"/>
        </w:rPr>
        <w:t xml:space="preserve">  </w:t>
      </w:r>
      <w:r w:rsidR="00AF6C36">
        <w:rPr>
          <w:bCs/>
          <w:snapToGrid w:val="0"/>
          <w:color w:val="000000"/>
          <w:kern w:val="28"/>
          <w:szCs w:val="22"/>
        </w:rPr>
        <w:t xml:space="preserve">In the </w:t>
      </w:r>
      <w:r w:rsidR="00AF6C36">
        <w:rPr>
          <w:bCs/>
          <w:i/>
          <w:iCs/>
          <w:snapToGrid w:val="0"/>
          <w:color w:val="000000"/>
          <w:kern w:val="28"/>
          <w:szCs w:val="22"/>
        </w:rPr>
        <w:t>First Dismissal Letter</w:t>
      </w:r>
      <w:r w:rsidR="00AF6C36">
        <w:rPr>
          <w:bCs/>
          <w:snapToGrid w:val="0"/>
          <w:color w:val="000000"/>
          <w:kern w:val="28"/>
          <w:szCs w:val="22"/>
        </w:rPr>
        <w:t>, the</w:t>
      </w:r>
      <w:r w:rsidR="00AF6C36">
        <w:rPr>
          <w:bCs/>
          <w:i/>
          <w:iCs/>
          <w:snapToGrid w:val="0"/>
          <w:color w:val="000000"/>
          <w:kern w:val="28"/>
          <w:szCs w:val="22"/>
        </w:rPr>
        <w:t xml:space="preserve"> </w:t>
      </w:r>
      <w:r w:rsidR="00893BE8">
        <w:rPr>
          <w:bCs/>
          <w:snapToGrid w:val="0"/>
          <w:color w:val="000000"/>
          <w:kern w:val="28"/>
          <w:szCs w:val="22"/>
        </w:rPr>
        <w:t xml:space="preserve">Bureau </w:t>
      </w:r>
      <w:r w:rsidR="00E9187A">
        <w:rPr>
          <w:bCs/>
          <w:snapToGrid w:val="0"/>
          <w:color w:val="000000"/>
          <w:kern w:val="28"/>
          <w:szCs w:val="22"/>
        </w:rPr>
        <w:t>stated</w:t>
      </w:r>
      <w:r w:rsidR="00893BE8">
        <w:rPr>
          <w:bCs/>
          <w:snapToGrid w:val="0"/>
          <w:color w:val="000000"/>
          <w:kern w:val="28"/>
          <w:szCs w:val="22"/>
        </w:rPr>
        <w:t xml:space="preserve"> that</w:t>
      </w:r>
      <w:r w:rsidR="0028092E">
        <w:rPr>
          <w:bCs/>
          <w:snapToGrid w:val="0"/>
          <w:color w:val="000000"/>
          <w:kern w:val="28"/>
          <w:szCs w:val="22"/>
        </w:rPr>
        <w:t>,</w:t>
      </w:r>
      <w:r w:rsidR="00893BE8">
        <w:rPr>
          <w:bCs/>
          <w:snapToGrid w:val="0"/>
          <w:color w:val="000000"/>
          <w:kern w:val="28"/>
          <w:szCs w:val="22"/>
        </w:rPr>
        <w:t xml:space="preserve"> </w:t>
      </w:r>
      <w:r w:rsidR="00E9187A">
        <w:rPr>
          <w:bCs/>
          <w:snapToGrid w:val="0"/>
          <w:color w:val="000000"/>
          <w:kern w:val="28"/>
          <w:szCs w:val="22"/>
        </w:rPr>
        <w:t>pursuant to</w:t>
      </w:r>
      <w:r w:rsidR="00A23C5B">
        <w:rPr>
          <w:bCs/>
          <w:snapToGrid w:val="0"/>
          <w:color w:val="000000"/>
          <w:kern w:val="28"/>
          <w:szCs w:val="22"/>
        </w:rPr>
        <w:t xml:space="preserve"> section 73.87</w:t>
      </w:r>
      <w:r w:rsidR="008A23B6">
        <w:rPr>
          <w:bCs/>
          <w:snapToGrid w:val="0"/>
          <w:color w:val="000000"/>
          <w:kern w:val="28"/>
          <w:szCs w:val="22"/>
        </w:rPr>
        <w:t>0</w:t>
      </w:r>
      <w:r w:rsidR="00A23C5B">
        <w:rPr>
          <w:bCs/>
          <w:snapToGrid w:val="0"/>
          <w:color w:val="000000"/>
          <w:kern w:val="28"/>
          <w:szCs w:val="22"/>
        </w:rPr>
        <w:t>(c) of the Commission’s rules (Rules)</w:t>
      </w:r>
      <w:r w:rsidR="0028092E">
        <w:rPr>
          <w:bCs/>
          <w:snapToGrid w:val="0"/>
          <w:color w:val="000000"/>
          <w:kern w:val="28"/>
          <w:szCs w:val="22"/>
        </w:rPr>
        <w:t xml:space="preserve">, </w:t>
      </w:r>
      <w:r w:rsidR="00B376F0">
        <w:rPr>
          <w:bCs/>
          <w:snapToGrid w:val="0"/>
          <w:color w:val="000000"/>
          <w:kern w:val="28"/>
          <w:szCs w:val="22"/>
        </w:rPr>
        <w:t xml:space="preserve">HMM </w:t>
      </w:r>
      <w:r w:rsidR="005D142B">
        <w:rPr>
          <w:bCs/>
          <w:snapToGrid w:val="0"/>
          <w:color w:val="000000"/>
          <w:kern w:val="28"/>
          <w:szCs w:val="22"/>
        </w:rPr>
        <w:t>could not amend</w:t>
      </w:r>
      <w:r w:rsidR="0028092E">
        <w:rPr>
          <w:bCs/>
          <w:snapToGrid w:val="0"/>
          <w:color w:val="000000"/>
          <w:kern w:val="28"/>
          <w:szCs w:val="22"/>
        </w:rPr>
        <w:t xml:space="preserve"> to correct this short-spacing</w:t>
      </w:r>
      <w:r w:rsidR="00A23C5B">
        <w:rPr>
          <w:bCs/>
          <w:snapToGrid w:val="0"/>
          <w:color w:val="000000"/>
          <w:kern w:val="28"/>
          <w:szCs w:val="22"/>
        </w:rPr>
        <w:t>.</w:t>
      </w:r>
      <w:r>
        <w:rPr>
          <w:rStyle w:val="FootnoteReference"/>
          <w:bCs/>
          <w:snapToGrid w:val="0"/>
          <w:color w:val="000000"/>
          <w:kern w:val="28"/>
          <w:szCs w:val="22"/>
        </w:rPr>
        <w:footnoteReference w:id="7"/>
      </w:r>
      <w:r w:rsidR="00A23C5B">
        <w:rPr>
          <w:bCs/>
          <w:snapToGrid w:val="0"/>
          <w:color w:val="000000"/>
          <w:kern w:val="28"/>
          <w:szCs w:val="22"/>
        </w:rPr>
        <w:t xml:space="preserve">  </w:t>
      </w:r>
      <w:r w:rsidR="009E3EFA">
        <w:rPr>
          <w:bCs/>
          <w:snapToGrid w:val="0"/>
          <w:color w:val="000000"/>
          <w:kern w:val="28"/>
          <w:szCs w:val="22"/>
        </w:rPr>
        <w:t>On</w:t>
      </w:r>
      <w:r w:rsidR="00F80EA3">
        <w:rPr>
          <w:bCs/>
          <w:snapToGrid w:val="0"/>
          <w:color w:val="000000"/>
          <w:kern w:val="28"/>
          <w:szCs w:val="22"/>
        </w:rPr>
        <w:t xml:space="preserve"> February 23, 2024, </w:t>
      </w:r>
      <w:r w:rsidR="00E070F4">
        <w:rPr>
          <w:bCs/>
          <w:snapToGrid w:val="0"/>
          <w:color w:val="000000"/>
          <w:kern w:val="28"/>
          <w:szCs w:val="22"/>
        </w:rPr>
        <w:t>HMM</w:t>
      </w:r>
      <w:r w:rsidR="009E3EFA">
        <w:rPr>
          <w:bCs/>
          <w:snapToGrid w:val="0"/>
          <w:color w:val="000000"/>
          <w:kern w:val="28"/>
          <w:szCs w:val="22"/>
        </w:rPr>
        <w:t xml:space="preserve"> filed a petition for reconsideration </w:t>
      </w:r>
      <w:r w:rsidR="00373C14">
        <w:rPr>
          <w:bCs/>
          <w:snapToGrid w:val="0"/>
          <w:color w:val="000000"/>
          <w:kern w:val="28"/>
          <w:szCs w:val="22"/>
        </w:rPr>
        <w:t>(First Petition)</w:t>
      </w:r>
      <w:r w:rsidR="000A0226">
        <w:rPr>
          <w:bCs/>
          <w:snapToGrid w:val="0"/>
          <w:color w:val="000000"/>
          <w:kern w:val="28"/>
          <w:szCs w:val="22"/>
        </w:rPr>
        <w:t xml:space="preserve"> accompanied by a proposal to</w:t>
      </w:r>
      <w:r w:rsidR="00A10152">
        <w:rPr>
          <w:bCs/>
          <w:snapToGrid w:val="0"/>
          <w:color w:val="000000"/>
          <w:kern w:val="28"/>
          <w:szCs w:val="22"/>
        </w:rPr>
        <w:t xml:space="preserve"> </w:t>
      </w:r>
      <w:r w:rsidR="005E5C72">
        <w:rPr>
          <w:bCs/>
          <w:snapToGrid w:val="0"/>
          <w:color w:val="000000"/>
          <w:kern w:val="28"/>
          <w:szCs w:val="22"/>
        </w:rPr>
        <w:t xml:space="preserve">resolve the short-spacing by </w:t>
      </w:r>
      <w:r w:rsidR="00A10152">
        <w:rPr>
          <w:bCs/>
          <w:snapToGrid w:val="0"/>
          <w:color w:val="000000"/>
          <w:kern w:val="28"/>
          <w:szCs w:val="22"/>
        </w:rPr>
        <w:t>mov</w:t>
      </w:r>
      <w:r w:rsidR="005E5C72">
        <w:rPr>
          <w:bCs/>
          <w:snapToGrid w:val="0"/>
          <w:color w:val="000000"/>
          <w:kern w:val="28"/>
          <w:szCs w:val="22"/>
        </w:rPr>
        <w:t>ing</w:t>
      </w:r>
      <w:r w:rsidR="00A10152">
        <w:rPr>
          <w:bCs/>
          <w:snapToGrid w:val="0"/>
          <w:color w:val="000000"/>
          <w:kern w:val="28"/>
          <w:szCs w:val="22"/>
        </w:rPr>
        <w:t xml:space="preserve"> the Station</w:t>
      </w:r>
      <w:r w:rsidR="000A0226">
        <w:rPr>
          <w:bCs/>
          <w:snapToGrid w:val="0"/>
          <w:color w:val="000000"/>
          <w:kern w:val="28"/>
          <w:szCs w:val="22"/>
        </w:rPr>
        <w:t xml:space="preserve"> to a non-adjacent channel</w:t>
      </w:r>
      <w:r w:rsidR="000D1128">
        <w:rPr>
          <w:bCs/>
          <w:snapToGrid w:val="0"/>
          <w:color w:val="000000"/>
          <w:kern w:val="28"/>
          <w:szCs w:val="22"/>
        </w:rPr>
        <w:t>.</w:t>
      </w:r>
      <w:r>
        <w:rPr>
          <w:rStyle w:val="FootnoteReference"/>
          <w:bCs/>
          <w:snapToGrid w:val="0"/>
          <w:color w:val="000000"/>
          <w:kern w:val="28"/>
          <w:szCs w:val="22"/>
        </w:rPr>
        <w:footnoteReference w:id="8"/>
      </w:r>
      <w:r w:rsidR="00727182">
        <w:rPr>
          <w:bCs/>
          <w:snapToGrid w:val="0"/>
          <w:color w:val="000000"/>
          <w:kern w:val="28"/>
          <w:szCs w:val="22"/>
        </w:rPr>
        <w:t xml:space="preserve">  </w:t>
      </w:r>
      <w:r w:rsidR="00060AB3">
        <w:rPr>
          <w:bCs/>
          <w:snapToGrid w:val="0"/>
          <w:color w:val="000000"/>
          <w:kern w:val="28"/>
          <w:szCs w:val="22"/>
        </w:rPr>
        <w:t xml:space="preserve">In the </w:t>
      </w:r>
      <w:r w:rsidR="00036B4B">
        <w:rPr>
          <w:bCs/>
          <w:snapToGrid w:val="0"/>
          <w:color w:val="000000"/>
          <w:kern w:val="28"/>
          <w:szCs w:val="22"/>
        </w:rPr>
        <w:t xml:space="preserve">First </w:t>
      </w:r>
      <w:r w:rsidR="00060AB3">
        <w:rPr>
          <w:bCs/>
          <w:snapToGrid w:val="0"/>
          <w:color w:val="000000"/>
          <w:kern w:val="28"/>
          <w:szCs w:val="22"/>
        </w:rPr>
        <w:t xml:space="preserve">Petition, </w:t>
      </w:r>
      <w:r w:rsidR="00E070F4">
        <w:rPr>
          <w:bCs/>
          <w:snapToGrid w:val="0"/>
          <w:color w:val="000000"/>
          <w:kern w:val="28"/>
          <w:szCs w:val="22"/>
        </w:rPr>
        <w:t>HMM</w:t>
      </w:r>
      <w:r w:rsidR="00060AB3">
        <w:rPr>
          <w:bCs/>
          <w:snapToGrid w:val="0"/>
          <w:color w:val="000000"/>
          <w:kern w:val="28"/>
          <w:szCs w:val="22"/>
        </w:rPr>
        <w:t xml:space="preserve"> argued that it should not be barred from filing a curative amendment because section 73.870(c)</w:t>
      </w:r>
      <w:r w:rsidR="00F51E0F">
        <w:t xml:space="preserve"> </w:t>
      </w:r>
      <w:r w:rsidR="00060AB3">
        <w:t>d</w:t>
      </w:r>
      <w:r w:rsidR="008B2C90">
        <w:t>oes</w:t>
      </w:r>
      <w:r w:rsidR="00060AB3">
        <w:t xml:space="preserve"> not apply to </w:t>
      </w:r>
      <w:r w:rsidR="001C453F">
        <w:t xml:space="preserve">applications that </w:t>
      </w:r>
      <w:r w:rsidR="001C453F">
        <w:t xml:space="preserve">are </w:t>
      </w:r>
      <w:r w:rsidR="00060AB3">
        <w:t>short</w:t>
      </w:r>
      <w:r w:rsidR="004E19D2">
        <w:t>-</w:t>
      </w:r>
      <w:r w:rsidR="00060AB3">
        <w:t>spac</w:t>
      </w:r>
      <w:r w:rsidR="001C453F">
        <w:t>ed</w:t>
      </w:r>
      <w:r w:rsidR="00060AB3">
        <w:t xml:space="preserve"> to vacant allotments, only </w:t>
      </w:r>
      <w:r w:rsidR="001C453F">
        <w:t>short</w:t>
      </w:r>
      <w:r w:rsidR="004E19D2">
        <w:t>-</w:t>
      </w:r>
      <w:r w:rsidR="001C453F">
        <w:t xml:space="preserve">spacing involving </w:t>
      </w:r>
      <w:r w:rsidR="00060AB3">
        <w:t>“applications and facilities.”</w:t>
      </w:r>
      <w:r>
        <w:rPr>
          <w:rStyle w:val="FootnoteReference"/>
        </w:rPr>
        <w:footnoteReference w:id="9"/>
      </w:r>
      <w:r w:rsidR="00060AB3">
        <w:t xml:space="preserve">  </w:t>
      </w:r>
      <w:r w:rsidR="005C6CB5">
        <w:rPr>
          <w:bCs/>
          <w:snapToGrid w:val="0"/>
          <w:color w:val="000000"/>
          <w:kern w:val="28"/>
          <w:szCs w:val="22"/>
        </w:rPr>
        <w:t>On</w:t>
      </w:r>
      <w:r w:rsidR="006E5525">
        <w:rPr>
          <w:bCs/>
          <w:snapToGrid w:val="0"/>
          <w:color w:val="000000"/>
          <w:kern w:val="28"/>
          <w:szCs w:val="22"/>
        </w:rPr>
        <w:t xml:space="preserve"> </w:t>
      </w:r>
      <w:r w:rsidR="00727182">
        <w:rPr>
          <w:bCs/>
          <w:snapToGrid w:val="0"/>
          <w:color w:val="000000"/>
          <w:kern w:val="28"/>
          <w:szCs w:val="22"/>
        </w:rPr>
        <w:t xml:space="preserve">July 25, 2024, </w:t>
      </w:r>
      <w:r w:rsidR="00567168">
        <w:rPr>
          <w:bCs/>
          <w:snapToGrid w:val="0"/>
          <w:color w:val="000000"/>
          <w:kern w:val="28"/>
          <w:szCs w:val="22"/>
        </w:rPr>
        <w:t>the Bureau issued</w:t>
      </w:r>
      <w:r w:rsidR="005C6CB5">
        <w:rPr>
          <w:bCs/>
          <w:snapToGrid w:val="0"/>
          <w:color w:val="000000"/>
          <w:kern w:val="28"/>
          <w:szCs w:val="22"/>
        </w:rPr>
        <w:t xml:space="preserve"> the </w:t>
      </w:r>
      <w:r w:rsidR="006E5525">
        <w:rPr>
          <w:bCs/>
          <w:i/>
          <w:iCs/>
          <w:snapToGrid w:val="0"/>
          <w:color w:val="000000"/>
          <w:kern w:val="28"/>
          <w:szCs w:val="22"/>
        </w:rPr>
        <w:t>Reconsideration Letter</w:t>
      </w:r>
      <w:r w:rsidR="006E5525">
        <w:rPr>
          <w:bCs/>
          <w:snapToGrid w:val="0"/>
          <w:color w:val="000000"/>
          <w:kern w:val="28"/>
          <w:szCs w:val="22"/>
        </w:rPr>
        <w:t>,</w:t>
      </w:r>
      <w:r w:rsidR="006E5525">
        <w:rPr>
          <w:bCs/>
          <w:i/>
          <w:iCs/>
          <w:snapToGrid w:val="0"/>
          <w:color w:val="000000"/>
          <w:kern w:val="28"/>
          <w:szCs w:val="22"/>
        </w:rPr>
        <w:t xml:space="preserve"> </w:t>
      </w:r>
      <w:r w:rsidR="004E19D2">
        <w:rPr>
          <w:bCs/>
          <w:snapToGrid w:val="0"/>
          <w:color w:val="000000"/>
          <w:kern w:val="28"/>
          <w:szCs w:val="22"/>
        </w:rPr>
        <w:t>agreeing</w:t>
      </w:r>
      <w:r w:rsidR="006E5525">
        <w:rPr>
          <w:bCs/>
          <w:snapToGrid w:val="0"/>
          <w:color w:val="000000"/>
          <w:kern w:val="28"/>
          <w:szCs w:val="22"/>
        </w:rPr>
        <w:t xml:space="preserve"> with HMM that</w:t>
      </w:r>
      <w:r w:rsidR="00B64CE4">
        <w:rPr>
          <w:bCs/>
          <w:snapToGrid w:val="0"/>
          <w:color w:val="000000"/>
          <w:kern w:val="28"/>
          <w:szCs w:val="22"/>
        </w:rPr>
        <w:t xml:space="preserve"> section 73.870(c) does not </w:t>
      </w:r>
      <w:r w:rsidR="006E5525">
        <w:rPr>
          <w:bCs/>
          <w:snapToGrid w:val="0"/>
          <w:color w:val="000000"/>
          <w:kern w:val="28"/>
          <w:szCs w:val="22"/>
        </w:rPr>
        <w:t xml:space="preserve">apply to </w:t>
      </w:r>
      <w:r w:rsidR="001953B3">
        <w:rPr>
          <w:bCs/>
          <w:snapToGrid w:val="0"/>
          <w:color w:val="000000"/>
          <w:kern w:val="28"/>
          <w:szCs w:val="22"/>
        </w:rPr>
        <w:t xml:space="preserve">dismissals based on short-spacing to </w:t>
      </w:r>
      <w:r w:rsidR="00B64CE4">
        <w:rPr>
          <w:bCs/>
          <w:snapToGrid w:val="0"/>
          <w:color w:val="000000"/>
          <w:kern w:val="28"/>
          <w:szCs w:val="22"/>
        </w:rPr>
        <w:t>vacant allotments</w:t>
      </w:r>
      <w:r w:rsidR="00185A34">
        <w:rPr>
          <w:bCs/>
          <w:snapToGrid w:val="0"/>
          <w:color w:val="000000"/>
          <w:kern w:val="28"/>
          <w:szCs w:val="22"/>
        </w:rPr>
        <w:t>.</w:t>
      </w:r>
      <w:r>
        <w:rPr>
          <w:rStyle w:val="FootnoteReference"/>
          <w:bCs/>
          <w:snapToGrid w:val="0"/>
          <w:color w:val="000000"/>
          <w:kern w:val="28"/>
          <w:szCs w:val="22"/>
        </w:rPr>
        <w:footnoteReference w:id="10"/>
      </w:r>
      <w:r w:rsidR="00185A34">
        <w:rPr>
          <w:bCs/>
          <w:snapToGrid w:val="0"/>
          <w:color w:val="000000"/>
          <w:kern w:val="28"/>
          <w:szCs w:val="22"/>
        </w:rPr>
        <w:t xml:space="preserve">  The Bureau</w:t>
      </w:r>
      <w:r w:rsidR="00122502">
        <w:rPr>
          <w:bCs/>
          <w:snapToGrid w:val="0"/>
          <w:color w:val="000000"/>
          <w:kern w:val="28"/>
          <w:szCs w:val="22"/>
        </w:rPr>
        <w:t xml:space="preserve"> </w:t>
      </w:r>
      <w:r w:rsidR="008D1395">
        <w:rPr>
          <w:bCs/>
          <w:snapToGrid w:val="0"/>
          <w:color w:val="000000"/>
          <w:kern w:val="28"/>
          <w:szCs w:val="22"/>
        </w:rPr>
        <w:t>thus</w:t>
      </w:r>
      <w:r w:rsidR="00741163">
        <w:rPr>
          <w:bCs/>
          <w:snapToGrid w:val="0"/>
          <w:color w:val="000000"/>
          <w:kern w:val="28"/>
          <w:szCs w:val="22"/>
        </w:rPr>
        <w:t xml:space="preserve"> </w:t>
      </w:r>
      <w:r w:rsidR="00891888">
        <w:rPr>
          <w:bCs/>
          <w:snapToGrid w:val="0"/>
          <w:color w:val="000000"/>
          <w:kern w:val="28"/>
          <w:szCs w:val="22"/>
        </w:rPr>
        <w:t xml:space="preserve">reinstated the Application and </w:t>
      </w:r>
      <w:r w:rsidR="00257025">
        <w:rPr>
          <w:bCs/>
          <w:snapToGrid w:val="0"/>
          <w:color w:val="000000"/>
          <w:kern w:val="28"/>
          <w:szCs w:val="22"/>
        </w:rPr>
        <w:t>provid</w:t>
      </w:r>
      <w:r w:rsidR="00185A34">
        <w:rPr>
          <w:bCs/>
          <w:snapToGrid w:val="0"/>
          <w:color w:val="000000"/>
          <w:kern w:val="28"/>
          <w:szCs w:val="22"/>
        </w:rPr>
        <w:t>ed</w:t>
      </w:r>
      <w:r w:rsidR="00257025">
        <w:rPr>
          <w:bCs/>
          <w:snapToGrid w:val="0"/>
          <w:color w:val="000000"/>
          <w:kern w:val="28"/>
          <w:szCs w:val="22"/>
        </w:rPr>
        <w:t xml:space="preserve"> HMM </w:t>
      </w:r>
      <w:r w:rsidR="002B3CAE">
        <w:rPr>
          <w:bCs/>
          <w:snapToGrid w:val="0"/>
          <w:color w:val="000000"/>
          <w:kern w:val="28"/>
          <w:szCs w:val="22"/>
        </w:rPr>
        <w:t xml:space="preserve">30 days to </w:t>
      </w:r>
      <w:r w:rsidR="00661419">
        <w:rPr>
          <w:bCs/>
          <w:snapToGrid w:val="0"/>
          <w:color w:val="000000"/>
          <w:kern w:val="28"/>
          <w:szCs w:val="22"/>
        </w:rPr>
        <w:t xml:space="preserve">cure the </w:t>
      </w:r>
      <w:r w:rsidR="005826AD">
        <w:rPr>
          <w:bCs/>
          <w:snapToGrid w:val="0"/>
          <w:color w:val="000000"/>
          <w:kern w:val="28"/>
          <w:szCs w:val="22"/>
        </w:rPr>
        <w:t>spacing defect</w:t>
      </w:r>
      <w:r w:rsidR="00412532">
        <w:rPr>
          <w:bCs/>
          <w:snapToGrid w:val="0"/>
          <w:color w:val="000000"/>
          <w:kern w:val="28"/>
          <w:szCs w:val="22"/>
        </w:rPr>
        <w:t xml:space="preserve"> </w:t>
      </w:r>
      <w:r w:rsidR="00852B4B">
        <w:rPr>
          <w:bCs/>
          <w:snapToGrid w:val="0"/>
          <w:color w:val="000000"/>
          <w:kern w:val="28"/>
          <w:szCs w:val="22"/>
        </w:rPr>
        <w:t>under</w:t>
      </w:r>
      <w:r w:rsidR="00646DA1">
        <w:rPr>
          <w:bCs/>
          <w:snapToGrid w:val="0"/>
          <w:color w:val="000000"/>
          <w:kern w:val="28"/>
          <w:szCs w:val="22"/>
        </w:rPr>
        <w:t xml:space="preserve"> </w:t>
      </w:r>
      <w:r w:rsidR="00412532">
        <w:rPr>
          <w:bCs/>
          <w:snapToGrid w:val="0"/>
          <w:color w:val="000000"/>
          <w:kern w:val="28"/>
          <w:szCs w:val="22"/>
        </w:rPr>
        <w:t xml:space="preserve">the Commission’s </w:t>
      </w:r>
      <w:r w:rsidR="00412532">
        <w:rPr>
          <w:bCs/>
          <w:i/>
          <w:iCs/>
          <w:snapToGrid w:val="0"/>
          <w:color w:val="000000"/>
          <w:kern w:val="28"/>
          <w:szCs w:val="22"/>
        </w:rPr>
        <w:t xml:space="preserve">nunc pro tunc </w:t>
      </w:r>
      <w:r w:rsidR="00852B4B">
        <w:rPr>
          <w:bCs/>
          <w:snapToGrid w:val="0"/>
          <w:color w:val="000000"/>
          <w:kern w:val="28"/>
          <w:szCs w:val="22"/>
        </w:rPr>
        <w:t xml:space="preserve">amendment </w:t>
      </w:r>
      <w:r w:rsidR="00412532">
        <w:rPr>
          <w:bCs/>
          <w:snapToGrid w:val="0"/>
          <w:color w:val="000000"/>
          <w:kern w:val="28"/>
          <w:szCs w:val="22"/>
        </w:rPr>
        <w:t>policy</w:t>
      </w:r>
      <w:r w:rsidR="00AC1617">
        <w:rPr>
          <w:bCs/>
          <w:snapToGrid w:val="0"/>
          <w:color w:val="000000"/>
          <w:kern w:val="28"/>
          <w:szCs w:val="22"/>
        </w:rPr>
        <w:t>.</w:t>
      </w:r>
      <w:r>
        <w:rPr>
          <w:rStyle w:val="FootnoteReference"/>
          <w:bCs/>
          <w:snapToGrid w:val="0"/>
          <w:color w:val="000000"/>
          <w:kern w:val="28"/>
          <w:szCs w:val="22"/>
        </w:rPr>
        <w:footnoteReference w:id="11"/>
      </w:r>
      <w:r w:rsidR="00117803">
        <w:rPr>
          <w:bCs/>
          <w:snapToGrid w:val="0"/>
          <w:color w:val="000000"/>
          <w:kern w:val="28"/>
          <w:szCs w:val="22"/>
        </w:rPr>
        <w:t xml:space="preserve"> </w:t>
      </w:r>
      <w:r w:rsidR="00AC1617">
        <w:rPr>
          <w:bCs/>
          <w:snapToGrid w:val="0"/>
          <w:color w:val="000000"/>
          <w:kern w:val="28"/>
          <w:szCs w:val="22"/>
        </w:rPr>
        <w:t xml:space="preserve"> </w:t>
      </w:r>
      <w:r w:rsidR="008D1395">
        <w:rPr>
          <w:bCs/>
          <w:snapToGrid w:val="0"/>
          <w:color w:val="000000"/>
          <w:kern w:val="28"/>
          <w:szCs w:val="22"/>
        </w:rPr>
        <w:t xml:space="preserve">In the </w:t>
      </w:r>
      <w:r w:rsidR="008D1395">
        <w:rPr>
          <w:bCs/>
          <w:i/>
          <w:iCs/>
          <w:snapToGrid w:val="0"/>
          <w:color w:val="000000"/>
          <w:kern w:val="28"/>
          <w:szCs w:val="22"/>
        </w:rPr>
        <w:t>Reconsideration Letter</w:t>
      </w:r>
      <w:r w:rsidR="008D1395">
        <w:rPr>
          <w:bCs/>
          <w:snapToGrid w:val="0"/>
          <w:color w:val="000000"/>
          <w:kern w:val="28"/>
          <w:szCs w:val="22"/>
        </w:rPr>
        <w:t>, the Bureau also</w:t>
      </w:r>
      <w:r w:rsidR="008D1395">
        <w:rPr>
          <w:bCs/>
          <w:i/>
          <w:iCs/>
          <w:snapToGrid w:val="0"/>
          <w:color w:val="000000"/>
          <w:kern w:val="28"/>
          <w:szCs w:val="22"/>
        </w:rPr>
        <w:t xml:space="preserve"> </w:t>
      </w:r>
      <w:r w:rsidR="00CC101B">
        <w:rPr>
          <w:bCs/>
          <w:snapToGrid w:val="0"/>
          <w:color w:val="000000"/>
          <w:kern w:val="28"/>
          <w:szCs w:val="22"/>
        </w:rPr>
        <w:t xml:space="preserve">warned </w:t>
      </w:r>
      <w:r w:rsidR="00414E12">
        <w:rPr>
          <w:bCs/>
          <w:snapToGrid w:val="0"/>
          <w:color w:val="000000"/>
          <w:kern w:val="28"/>
          <w:szCs w:val="22"/>
        </w:rPr>
        <w:t>HMM</w:t>
      </w:r>
      <w:r w:rsidR="001F07CA">
        <w:rPr>
          <w:bCs/>
          <w:snapToGrid w:val="0"/>
          <w:color w:val="000000"/>
          <w:kern w:val="28"/>
          <w:szCs w:val="22"/>
        </w:rPr>
        <w:t xml:space="preserve"> </w:t>
      </w:r>
      <w:r w:rsidR="003A1487">
        <w:rPr>
          <w:bCs/>
          <w:snapToGrid w:val="0"/>
          <w:color w:val="000000"/>
          <w:kern w:val="28"/>
          <w:szCs w:val="22"/>
        </w:rPr>
        <w:t>that</w:t>
      </w:r>
      <w:r w:rsidR="008F5BFD">
        <w:rPr>
          <w:bCs/>
          <w:snapToGrid w:val="0"/>
          <w:color w:val="000000"/>
          <w:kern w:val="28"/>
          <w:szCs w:val="22"/>
        </w:rPr>
        <w:t xml:space="preserve">, </w:t>
      </w:r>
      <w:r w:rsidR="00AC3039">
        <w:rPr>
          <w:bCs/>
          <w:snapToGrid w:val="0"/>
          <w:color w:val="000000"/>
          <w:kern w:val="28"/>
          <w:szCs w:val="22"/>
        </w:rPr>
        <w:t>as set out in</w:t>
      </w:r>
      <w:r w:rsidR="008F5BFD">
        <w:rPr>
          <w:bCs/>
          <w:snapToGrid w:val="0"/>
          <w:color w:val="000000"/>
          <w:kern w:val="28"/>
          <w:szCs w:val="22"/>
        </w:rPr>
        <w:t xml:space="preserve"> the </w:t>
      </w:r>
      <w:r w:rsidR="00AC3039">
        <w:rPr>
          <w:bCs/>
          <w:i/>
          <w:iCs/>
          <w:snapToGrid w:val="0"/>
          <w:color w:val="000000"/>
          <w:kern w:val="28"/>
          <w:szCs w:val="22"/>
        </w:rPr>
        <w:t>Guidance Public Notice</w:t>
      </w:r>
      <w:r w:rsidR="00AC3039">
        <w:rPr>
          <w:bCs/>
          <w:snapToGrid w:val="0"/>
          <w:color w:val="000000"/>
          <w:kern w:val="28"/>
          <w:szCs w:val="22"/>
        </w:rPr>
        <w:t>,</w:t>
      </w:r>
      <w:r w:rsidR="003A1487">
        <w:rPr>
          <w:bCs/>
          <w:snapToGrid w:val="0"/>
          <w:color w:val="000000"/>
          <w:kern w:val="28"/>
          <w:szCs w:val="22"/>
        </w:rPr>
        <w:t xml:space="preserve"> it would not </w:t>
      </w:r>
      <w:r w:rsidR="00AC3039">
        <w:rPr>
          <w:bCs/>
          <w:snapToGrid w:val="0"/>
          <w:color w:val="000000"/>
          <w:kern w:val="28"/>
          <w:szCs w:val="22"/>
        </w:rPr>
        <w:t>accept a</w:t>
      </w:r>
      <w:r w:rsidR="00470F84">
        <w:rPr>
          <w:bCs/>
          <w:snapToGrid w:val="0"/>
          <w:color w:val="000000"/>
          <w:kern w:val="28"/>
          <w:szCs w:val="22"/>
        </w:rPr>
        <w:t xml:space="preserve"> curative amendment involving a </w:t>
      </w:r>
      <w:r w:rsidR="008D1395">
        <w:rPr>
          <w:bCs/>
          <w:snapToGrid w:val="0"/>
          <w:color w:val="000000"/>
          <w:kern w:val="28"/>
          <w:szCs w:val="22"/>
        </w:rPr>
        <w:t xml:space="preserve">prohibited </w:t>
      </w:r>
      <w:r w:rsidR="000C694A">
        <w:rPr>
          <w:bCs/>
          <w:snapToGrid w:val="0"/>
          <w:color w:val="000000"/>
          <w:kern w:val="28"/>
          <w:szCs w:val="22"/>
        </w:rPr>
        <w:t xml:space="preserve">major </w:t>
      </w:r>
      <w:r w:rsidR="008D1395">
        <w:rPr>
          <w:bCs/>
          <w:snapToGrid w:val="0"/>
          <w:color w:val="000000"/>
          <w:kern w:val="28"/>
          <w:szCs w:val="22"/>
        </w:rPr>
        <w:t xml:space="preserve">change </w:t>
      </w:r>
      <w:r w:rsidR="00470F84">
        <w:rPr>
          <w:bCs/>
          <w:snapToGrid w:val="0"/>
          <w:color w:val="000000"/>
          <w:kern w:val="28"/>
          <w:szCs w:val="22"/>
        </w:rPr>
        <w:t xml:space="preserve">to a </w:t>
      </w:r>
      <w:r w:rsidR="001E2C34">
        <w:rPr>
          <w:bCs/>
          <w:snapToGrid w:val="0"/>
          <w:color w:val="000000"/>
          <w:kern w:val="28"/>
          <w:szCs w:val="22"/>
        </w:rPr>
        <w:t>non-adjacent channel.</w:t>
      </w:r>
      <w:r>
        <w:rPr>
          <w:rStyle w:val="FootnoteReference"/>
          <w:bCs/>
          <w:snapToGrid w:val="0"/>
          <w:color w:val="000000"/>
          <w:kern w:val="28"/>
          <w:szCs w:val="22"/>
        </w:rPr>
        <w:footnoteReference w:id="12"/>
      </w:r>
      <w:r w:rsidR="001E2C34">
        <w:rPr>
          <w:bCs/>
          <w:snapToGrid w:val="0"/>
          <w:color w:val="000000"/>
          <w:kern w:val="28"/>
          <w:szCs w:val="22"/>
        </w:rPr>
        <w:t xml:space="preserve">  </w:t>
      </w:r>
    </w:p>
    <w:p w:rsidR="006525E9" w:rsidRPr="00064908" w:rsidP="00064908" w14:paraId="748322B0" w14:textId="1D3684A5">
      <w:pPr>
        <w:spacing w:after="120"/>
        <w:ind w:firstLine="720"/>
        <w:rPr>
          <w:szCs w:val="22"/>
        </w:rPr>
      </w:pPr>
      <w:r>
        <w:rPr>
          <w:bCs/>
          <w:snapToGrid w:val="0"/>
          <w:color w:val="000000"/>
          <w:kern w:val="28"/>
          <w:szCs w:val="22"/>
        </w:rPr>
        <w:t xml:space="preserve">On </w:t>
      </w:r>
      <w:r w:rsidR="00BE3D13">
        <w:rPr>
          <w:bCs/>
          <w:snapToGrid w:val="0"/>
          <w:color w:val="000000"/>
          <w:kern w:val="28"/>
          <w:szCs w:val="22"/>
        </w:rPr>
        <w:t xml:space="preserve">August 23, 2024, </w:t>
      </w:r>
      <w:r w:rsidR="00E070F4">
        <w:rPr>
          <w:bCs/>
          <w:snapToGrid w:val="0"/>
          <w:color w:val="000000"/>
          <w:kern w:val="28"/>
          <w:szCs w:val="22"/>
        </w:rPr>
        <w:t>HMM</w:t>
      </w:r>
      <w:r w:rsidR="00C66144">
        <w:rPr>
          <w:bCs/>
          <w:snapToGrid w:val="0"/>
          <w:color w:val="000000"/>
          <w:kern w:val="28"/>
          <w:szCs w:val="22"/>
        </w:rPr>
        <w:t xml:space="preserve"> filed </w:t>
      </w:r>
      <w:r w:rsidR="00F97029">
        <w:rPr>
          <w:bCs/>
          <w:snapToGrid w:val="0"/>
          <w:color w:val="000000"/>
          <w:kern w:val="28"/>
          <w:szCs w:val="22"/>
        </w:rPr>
        <w:t xml:space="preserve">an </w:t>
      </w:r>
      <w:r w:rsidR="00C66144">
        <w:rPr>
          <w:bCs/>
          <w:snapToGrid w:val="0"/>
          <w:color w:val="000000"/>
          <w:kern w:val="28"/>
          <w:szCs w:val="22"/>
        </w:rPr>
        <w:t xml:space="preserve">amendment </w:t>
      </w:r>
      <w:r w:rsidR="00CB3B6F">
        <w:rPr>
          <w:bCs/>
          <w:snapToGrid w:val="0"/>
          <w:color w:val="000000"/>
          <w:kern w:val="28"/>
          <w:szCs w:val="22"/>
        </w:rPr>
        <w:t xml:space="preserve">proposing </w:t>
      </w:r>
      <w:r w:rsidR="00C42AB9">
        <w:rPr>
          <w:bCs/>
          <w:snapToGrid w:val="0"/>
          <w:color w:val="000000"/>
          <w:kern w:val="28"/>
          <w:szCs w:val="22"/>
        </w:rPr>
        <w:t xml:space="preserve">a </w:t>
      </w:r>
      <w:r w:rsidR="00B927C2">
        <w:rPr>
          <w:bCs/>
          <w:snapToGrid w:val="0"/>
          <w:color w:val="000000"/>
          <w:kern w:val="28"/>
          <w:szCs w:val="22"/>
        </w:rPr>
        <w:t xml:space="preserve">second-adjacent channel </w:t>
      </w:r>
      <w:r w:rsidR="00C42AB9">
        <w:rPr>
          <w:bCs/>
          <w:snapToGrid w:val="0"/>
          <w:color w:val="000000"/>
          <w:kern w:val="28"/>
          <w:szCs w:val="22"/>
        </w:rPr>
        <w:t>change</w:t>
      </w:r>
      <w:r w:rsidR="0094117C">
        <w:rPr>
          <w:bCs/>
          <w:snapToGrid w:val="0"/>
          <w:color w:val="000000"/>
          <w:kern w:val="28"/>
          <w:szCs w:val="22"/>
        </w:rPr>
        <w:t xml:space="preserve"> to Channel</w:t>
      </w:r>
      <w:r w:rsidR="00F22BCC">
        <w:rPr>
          <w:bCs/>
          <w:snapToGrid w:val="0"/>
          <w:color w:val="000000"/>
          <w:kern w:val="28"/>
          <w:szCs w:val="22"/>
        </w:rPr>
        <w:t xml:space="preserve"> 252</w:t>
      </w:r>
      <w:r w:rsidR="005572B6">
        <w:rPr>
          <w:bCs/>
          <w:snapToGrid w:val="0"/>
          <w:color w:val="000000"/>
          <w:kern w:val="28"/>
          <w:szCs w:val="22"/>
        </w:rPr>
        <w:t xml:space="preserve">.  To accommodate this </w:t>
      </w:r>
      <w:r w:rsidR="0094117C">
        <w:rPr>
          <w:bCs/>
          <w:snapToGrid w:val="0"/>
          <w:color w:val="000000"/>
          <w:kern w:val="28"/>
          <w:szCs w:val="22"/>
        </w:rPr>
        <w:t xml:space="preserve">second-adjacent </w:t>
      </w:r>
      <w:r w:rsidR="005572B6">
        <w:rPr>
          <w:bCs/>
          <w:snapToGrid w:val="0"/>
          <w:color w:val="000000"/>
          <w:kern w:val="28"/>
          <w:szCs w:val="22"/>
        </w:rPr>
        <w:t xml:space="preserve">channel change, </w:t>
      </w:r>
      <w:r w:rsidR="005A7834">
        <w:rPr>
          <w:bCs/>
          <w:snapToGrid w:val="0"/>
          <w:color w:val="000000"/>
          <w:kern w:val="28"/>
          <w:szCs w:val="22"/>
        </w:rPr>
        <w:t>HMM request</w:t>
      </w:r>
      <w:r w:rsidR="00924583">
        <w:rPr>
          <w:bCs/>
          <w:snapToGrid w:val="0"/>
          <w:color w:val="000000"/>
          <w:kern w:val="28"/>
          <w:szCs w:val="22"/>
        </w:rPr>
        <w:t>ed</w:t>
      </w:r>
      <w:r w:rsidR="005A7834">
        <w:rPr>
          <w:bCs/>
          <w:snapToGrid w:val="0"/>
          <w:color w:val="000000"/>
          <w:kern w:val="28"/>
          <w:szCs w:val="22"/>
        </w:rPr>
        <w:t xml:space="preserve"> </w:t>
      </w:r>
      <w:r w:rsidR="00E303A8">
        <w:rPr>
          <w:bCs/>
          <w:snapToGrid w:val="0"/>
          <w:color w:val="000000"/>
          <w:kern w:val="28"/>
          <w:szCs w:val="22"/>
        </w:rPr>
        <w:t xml:space="preserve">two waivers: (1) </w:t>
      </w:r>
      <w:r w:rsidR="005A7834">
        <w:rPr>
          <w:bCs/>
          <w:snapToGrid w:val="0"/>
          <w:color w:val="000000"/>
          <w:kern w:val="28"/>
          <w:szCs w:val="22"/>
        </w:rPr>
        <w:t>waiver</w:t>
      </w:r>
      <w:r w:rsidR="002E3A7C">
        <w:rPr>
          <w:bCs/>
          <w:snapToGrid w:val="0"/>
          <w:color w:val="000000"/>
          <w:kern w:val="28"/>
          <w:szCs w:val="22"/>
        </w:rPr>
        <w:t xml:space="preserve"> </w:t>
      </w:r>
      <w:r w:rsidR="00B66CC2">
        <w:rPr>
          <w:bCs/>
          <w:snapToGrid w:val="0"/>
          <w:color w:val="000000"/>
          <w:kern w:val="28"/>
          <w:szCs w:val="22"/>
        </w:rPr>
        <w:t xml:space="preserve">of </w:t>
      </w:r>
      <w:r w:rsidR="001F266D">
        <w:rPr>
          <w:bCs/>
          <w:snapToGrid w:val="0"/>
          <w:color w:val="000000"/>
          <w:kern w:val="28"/>
          <w:szCs w:val="22"/>
        </w:rPr>
        <w:t xml:space="preserve">the minimum power requirement </w:t>
      </w:r>
      <w:r w:rsidR="008E4CCD">
        <w:rPr>
          <w:bCs/>
          <w:snapToGrid w:val="0"/>
          <w:color w:val="000000"/>
          <w:kern w:val="28"/>
          <w:szCs w:val="22"/>
        </w:rPr>
        <w:t xml:space="preserve">set out in </w:t>
      </w:r>
      <w:r w:rsidR="00B66CC2">
        <w:rPr>
          <w:bCs/>
          <w:snapToGrid w:val="0"/>
          <w:color w:val="000000"/>
          <w:kern w:val="28"/>
          <w:szCs w:val="22"/>
        </w:rPr>
        <w:t>section 73.811(b)</w:t>
      </w:r>
      <w:r w:rsidR="00E55B23">
        <w:rPr>
          <w:bCs/>
          <w:snapToGrid w:val="0"/>
          <w:color w:val="000000"/>
          <w:kern w:val="28"/>
          <w:szCs w:val="22"/>
        </w:rPr>
        <w:t>;</w:t>
      </w:r>
      <w:r>
        <w:rPr>
          <w:rStyle w:val="FootnoteReference"/>
          <w:bCs/>
          <w:snapToGrid w:val="0"/>
          <w:color w:val="000000"/>
          <w:kern w:val="28"/>
          <w:szCs w:val="22"/>
        </w:rPr>
        <w:footnoteReference w:id="13"/>
      </w:r>
      <w:r w:rsidR="008E4CCD">
        <w:rPr>
          <w:bCs/>
          <w:snapToGrid w:val="0"/>
          <w:color w:val="000000"/>
          <w:kern w:val="28"/>
          <w:szCs w:val="22"/>
        </w:rPr>
        <w:t xml:space="preserve"> and (2)</w:t>
      </w:r>
      <w:r w:rsidR="00E26293">
        <w:rPr>
          <w:bCs/>
          <w:snapToGrid w:val="0"/>
          <w:color w:val="000000"/>
          <w:kern w:val="28"/>
          <w:szCs w:val="22"/>
        </w:rPr>
        <w:t xml:space="preserve"> </w:t>
      </w:r>
      <w:r w:rsidR="008E4CCD">
        <w:rPr>
          <w:bCs/>
          <w:snapToGrid w:val="0"/>
          <w:color w:val="000000"/>
          <w:kern w:val="28"/>
          <w:szCs w:val="22"/>
        </w:rPr>
        <w:t>waiver of the spacing requirement set out in section 73.807</w:t>
      </w:r>
      <w:r w:rsidR="00E55B23">
        <w:rPr>
          <w:bCs/>
          <w:snapToGrid w:val="0"/>
          <w:color w:val="000000"/>
          <w:kern w:val="28"/>
          <w:szCs w:val="22"/>
        </w:rPr>
        <w:t>.</w:t>
      </w:r>
      <w:r>
        <w:rPr>
          <w:rStyle w:val="FootnoteReference"/>
          <w:bCs/>
          <w:snapToGrid w:val="0"/>
          <w:color w:val="000000"/>
          <w:kern w:val="28"/>
          <w:szCs w:val="22"/>
        </w:rPr>
        <w:footnoteReference w:id="14"/>
      </w:r>
      <w:r w:rsidR="00C46368">
        <w:rPr>
          <w:bCs/>
          <w:snapToGrid w:val="0"/>
          <w:color w:val="000000"/>
          <w:kern w:val="28"/>
          <w:szCs w:val="22"/>
        </w:rPr>
        <w:t xml:space="preserve"> </w:t>
      </w:r>
      <w:r w:rsidR="003636AF">
        <w:rPr>
          <w:bCs/>
          <w:snapToGrid w:val="0"/>
          <w:color w:val="000000"/>
          <w:kern w:val="28"/>
          <w:szCs w:val="22"/>
        </w:rPr>
        <w:t xml:space="preserve"> </w:t>
      </w:r>
      <w:r w:rsidR="002E44A6">
        <w:rPr>
          <w:bCs/>
          <w:snapToGrid w:val="0"/>
          <w:color w:val="000000"/>
          <w:kern w:val="28"/>
          <w:szCs w:val="22"/>
        </w:rPr>
        <w:t>In the alternative</w:t>
      </w:r>
      <w:r w:rsidR="00C033F3">
        <w:rPr>
          <w:bCs/>
          <w:snapToGrid w:val="0"/>
          <w:color w:val="000000"/>
          <w:kern w:val="28"/>
          <w:szCs w:val="22"/>
        </w:rPr>
        <w:t xml:space="preserve">, </w:t>
      </w:r>
      <w:r w:rsidR="00E070F4">
        <w:rPr>
          <w:bCs/>
          <w:snapToGrid w:val="0"/>
          <w:color w:val="000000"/>
          <w:kern w:val="28"/>
          <w:szCs w:val="22"/>
        </w:rPr>
        <w:t>HMM</w:t>
      </w:r>
      <w:r w:rsidR="0012049E">
        <w:rPr>
          <w:bCs/>
          <w:snapToGrid w:val="0"/>
          <w:color w:val="000000"/>
          <w:kern w:val="28"/>
          <w:szCs w:val="22"/>
        </w:rPr>
        <w:t xml:space="preserve"> </w:t>
      </w:r>
      <w:r w:rsidR="008D1395">
        <w:rPr>
          <w:bCs/>
          <w:snapToGrid w:val="0"/>
          <w:color w:val="000000"/>
          <w:kern w:val="28"/>
          <w:szCs w:val="22"/>
        </w:rPr>
        <w:t xml:space="preserve">again </w:t>
      </w:r>
      <w:r w:rsidR="00C51531">
        <w:rPr>
          <w:bCs/>
          <w:snapToGrid w:val="0"/>
          <w:color w:val="000000"/>
          <w:kern w:val="28"/>
          <w:szCs w:val="22"/>
        </w:rPr>
        <w:t>requested</w:t>
      </w:r>
      <w:r w:rsidR="00684CB2">
        <w:rPr>
          <w:bCs/>
          <w:snapToGrid w:val="0"/>
          <w:color w:val="000000"/>
          <w:kern w:val="28"/>
          <w:szCs w:val="22"/>
        </w:rPr>
        <w:t xml:space="preserve"> to be allowed to make</w:t>
      </w:r>
      <w:r w:rsidR="000B1445">
        <w:rPr>
          <w:szCs w:val="22"/>
        </w:rPr>
        <w:t xml:space="preserve"> a </w:t>
      </w:r>
      <w:r w:rsidR="000C694A">
        <w:rPr>
          <w:szCs w:val="22"/>
        </w:rPr>
        <w:t>major amendment</w:t>
      </w:r>
      <w:r w:rsidR="000B1445">
        <w:rPr>
          <w:szCs w:val="22"/>
        </w:rPr>
        <w:t xml:space="preserve"> </w:t>
      </w:r>
      <w:r w:rsidR="00C033F3">
        <w:rPr>
          <w:szCs w:val="22"/>
        </w:rPr>
        <w:t xml:space="preserve">to non-adjacent </w:t>
      </w:r>
      <w:r w:rsidR="00D624CB">
        <w:rPr>
          <w:szCs w:val="22"/>
        </w:rPr>
        <w:t>C</w:t>
      </w:r>
      <w:r w:rsidR="00C033F3">
        <w:rPr>
          <w:szCs w:val="22"/>
        </w:rPr>
        <w:t>hannel</w:t>
      </w:r>
      <w:r w:rsidR="00D624CB">
        <w:rPr>
          <w:szCs w:val="22"/>
        </w:rPr>
        <w:t xml:space="preserve"> 228</w:t>
      </w:r>
      <w:r w:rsidR="00536444">
        <w:rPr>
          <w:szCs w:val="22"/>
        </w:rPr>
        <w:t>,</w:t>
      </w:r>
      <w:r w:rsidR="003211CB">
        <w:rPr>
          <w:szCs w:val="22"/>
        </w:rPr>
        <w:t xml:space="preserve"> </w:t>
      </w:r>
      <w:r w:rsidR="00C033F3">
        <w:rPr>
          <w:bCs/>
          <w:snapToGrid w:val="0"/>
          <w:color w:val="000000"/>
          <w:kern w:val="28"/>
          <w:szCs w:val="22"/>
        </w:rPr>
        <w:t>cit</w:t>
      </w:r>
      <w:r w:rsidR="00536444">
        <w:rPr>
          <w:bCs/>
          <w:snapToGrid w:val="0"/>
          <w:color w:val="000000"/>
          <w:kern w:val="28"/>
          <w:szCs w:val="22"/>
        </w:rPr>
        <w:t>ing</w:t>
      </w:r>
      <w:r w:rsidR="00C033F3">
        <w:rPr>
          <w:bCs/>
          <w:snapToGrid w:val="0"/>
          <w:color w:val="000000"/>
          <w:kern w:val="28"/>
          <w:szCs w:val="22"/>
        </w:rPr>
        <w:t xml:space="preserve"> to</w:t>
      </w:r>
      <w:r w:rsidR="001E2AFF">
        <w:rPr>
          <w:bCs/>
          <w:snapToGrid w:val="0"/>
          <w:color w:val="000000"/>
          <w:kern w:val="28"/>
          <w:szCs w:val="22"/>
        </w:rPr>
        <w:t xml:space="preserve"> </w:t>
      </w:r>
      <w:r w:rsidR="00C033F3">
        <w:rPr>
          <w:bCs/>
          <w:i/>
          <w:iCs/>
          <w:snapToGrid w:val="0"/>
          <w:color w:val="000000"/>
          <w:kern w:val="28"/>
          <w:szCs w:val="22"/>
        </w:rPr>
        <w:t>Diocese of Portland</w:t>
      </w:r>
      <w:r w:rsidR="00C033F3">
        <w:rPr>
          <w:bCs/>
          <w:snapToGrid w:val="0"/>
          <w:color w:val="000000"/>
          <w:kern w:val="28"/>
          <w:szCs w:val="22"/>
        </w:rPr>
        <w:t xml:space="preserve"> as precedent for an applicant </w:t>
      </w:r>
      <w:r w:rsidR="00867ED7">
        <w:rPr>
          <w:bCs/>
          <w:snapToGrid w:val="0"/>
          <w:color w:val="000000"/>
          <w:kern w:val="28"/>
          <w:szCs w:val="22"/>
        </w:rPr>
        <w:t xml:space="preserve">being allowed to correct erroneous technical information in its application </w:t>
      </w:r>
      <w:r w:rsidR="005D5257">
        <w:rPr>
          <w:bCs/>
          <w:snapToGrid w:val="0"/>
          <w:color w:val="000000"/>
          <w:kern w:val="28"/>
          <w:szCs w:val="22"/>
        </w:rPr>
        <w:t>through</w:t>
      </w:r>
      <w:r w:rsidR="00076E3A">
        <w:rPr>
          <w:bCs/>
          <w:snapToGrid w:val="0"/>
          <w:color w:val="000000"/>
          <w:kern w:val="28"/>
          <w:szCs w:val="22"/>
        </w:rPr>
        <w:t xml:space="preserve"> a waiver </w:t>
      </w:r>
      <w:r w:rsidR="00B64170">
        <w:rPr>
          <w:bCs/>
          <w:snapToGrid w:val="0"/>
          <w:color w:val="000000"/>
          <w:kern w:val="28"/>
          <w:szCs w:val="22"/>
        </w:rPr>
        <w:t xml:space="preserve">of the </w:t>
      </w:r>
      <w:r w:rsidR="00B962EA">
        <w:rPr>
          <w:bCs/>
          <w:snapToGrid w:val="0"/>
          <w:color w:val="000000"/>
          <w:kern w:val="28"/>
          <w:szCs w:val="22"/>
        </w:rPr>
        <w:t xml:space="preserve">prohibition on </w:t>
      </w:r>
      <w:r w:rsidR="00B64170">
        <w:rPr>
          <w:bCs/>
          <w:snapToGrid w:val="0"/>
          <w:color w:val="000000"/>
          <w:kern w:val="28"/>
          <w:szCs w:val="22"/>
        </w:rPr>
        <w:t xml:space="preserve">major </w:t>
      </w:r>
      <w:r w:rsidR="00B40CA6">
        <w:rPr>
          <w:bCs/>
          <w:snapToGrid w:val="0"/>
          <w:color w:val="000000"/>
          <w:kern w:val="28"/>
          <w:szCs w:val="22"/>
        </w:rPr>
        <w:t>amendment</w:t>
      </w:r>
      <w:r w:rsidR="005D5257">
        <w:rPr>
          <w:bCs/>
          <w:snapToGrid w:val="0"/>
          <w:color w:val="000000"/>
          <w:kern w:val="28"/>
          <w:szCs w:val="22"/>
        </w:rPr>
        <w:t>s</w:t>
      </w:r>
      <w:r w:rsidR="00C033F3">
        <w:rPr>
          <w:bCs/>
          <w:snapToGrid w:val="0"/>
          <w:color w:val="000000"/>
          <w:kern w:val="28"/>
          <w:szCs w:val="22"/>
        </w:rPr>
        <w:t>.</w:t>
      </w:r>
      <w:r>
        <w:rPr>
          <w:rStyle w:val="FootnoteReference"/>
          <w:bCs/>
          <w:snapToGrid w:val="0"/>
          <w:color w:val="000000"/>
          <w:kern w:val="28"/>
          <w:szCs w:val="22"/>
        </w:rPr>
        <w:footnoteReference w:id="15"/>
      </w:r>
      <w:r w:rsidR="00C033F3">
        <w:rPr>
          <w:bCs/>
          <w:snapToGrid w:val="0"/>
          <w:color w:val="000000"/>
          <w:kern w:val="28"/>
          <w:szCs w:val="22"/>
        </w:rPr>
        <w:t xml:space="preserve"> </w:t>
      </w:r>
      <w:r w:rsidR="00C033F3">
        <w:rPr>
          <w:bCs/>
          <w:i/>
          <w:iCs/>
          <w:snapToGrid w:val="0"/>
          <w:color w:val="000000"/>
          <w:kern w:val="28"/>
          <w:szCs w:val="22"/>
        </w:rPr>
        <w:t xml:space="preserve"> </w:t>
      </w:r>
    </w:p>
    <w:p w:rsidR="00B244E5" w:rsidRPr="00B244E5" w:rsidP="00132FF8" w14:paraId="7D94C82C" w14:textId="23833FB9">
      <w:pPr>
        <w:spacing w:after="120"/>
        <w:ind w:firstLine="720"/>
      </w:pPr>
      <w:r>
        <w:rPr>
          <w:szCs w:val="22"/>
        </w:rPr>
        <w:t xml:space="preserve">On February 14, 2025, </w:t>
      </w:r>
      <w:r w:rsidR="00D0291B">
        <w:rPr>
          <w:szCs w:val="22"/>
        </w:rPr>
        <w:t xml:space="preserve">in </w:t>
      </w:r>
      <w:r>
        <w:rPr>
          <w:szCs w:val="22"/>
        </w:rPr>
        <w:t xml:space="preserve">the </w:t>
      </w:r>
      <w:r>
        <w:rPr>
          <w:i/>
          <w:iCs/>
          <w:szCs w:val="22"/>
        </w:rPr>
        <w:t>Second Dismissal Letter</w:t>
      </w:r>
      <w:r>
        <w:rPr>
          <w:szCs w:val="22"/>
        </w:rPr>
        <w:t xml:space="preserve">, the Bureau denied HMM’s request for waivers </w:t>
      </w:r>
      <w:r w:rsidR="00B063EF">
        <w:rPr>
          <w:szCs w:val="22"/>
        </w:rPr>
        <w:t>of the minimum power</w:t>
      </w:r>
      <w:r w:rsidR="00D501D7">
        <w:rPr>
          <w:szCs w:val="22"/>
        </w:rPr>
        <w:t xml:space="preserve">, spacing, and </w:t>
      </w:r>
      <w:r w:rsidR="0024655A">
        <w:rPr>
          <w:szCs w:val="22"/>
        </w:rPr>
        <w:t>minor amendment</w:t>
      </w:r>
      <w:r w:rsidR="00D501D7">
        <w:rPr>
          <w:szCs w:val="22"/>
        </w:rPr>
        <w:t xml:space="preserve"> rules</w:t>
      </w:r>
      <w:r w:rsidR="00963350">
        <w:rPr>
          <w:szCs w:val="22"/>
        </w:rPr>
        <w:t xml:space="preserve">.  Regarding the </w:t>
      </w:r>
      <w:r w:rsidR="0024655A">
        <w:rPr>
          <w:szCs w:val="22"/>
        </w:rPr>
        <w:t>minor amendment</w:t>
      </w:r>
      <w:r w:rsidR="00963350">
        <w:rPr>
          <w:szCs w:val="22"/>
        </w:rPr>
        <w:t xml:space="preserve"> rule specifically, the Bureau </w:t>
      </w:r>
      <w:r w:rsidR="00C85327">
        <w:rPr>
          <w:szCs w:val="22"/>
        </w:rPr>
        <w:t xml:space="preserve">rejected </w:t>
      </w:r>
      <w:r w:rsidR="008D1395">
        <w:rPr>
          <w:szCs w:val="22"/>
        </w:rPr>
        <w:t>“HMM’s circular argument that we should waive the LPFM major change amendment prohibition because it has ‘constricted HMM’s ability to amend.’”</w:t>
      </w:r>
      <w:r>
        <w:rPr>
          <w:rStyle w:val="FootnoteReference"/>
          <w:szCs w:val="22"/>
        </w:rPr>
        <w:footnoteReference w:id="16"/>
      </w:r>
      <w:r w:rsidR="008D1395">
        <w:rPr>
          <w:szCs w:val="22"/>
        </w:rPr>
        <w:t xml:space="preserve">  It explained that,</w:t>
      </w:r>
      <w:r>
        <w:rPr>
          <w:szCs w:val="22"/>
        </w:rPr>
        <w:t xml:space="preserve"> </w:t>
      </w:r>
      <w:r w:rsidR="00DD2EA7">
        <w:rPr>
          <w:szCs w:val="22"/>
        </w:rPr>
        <w:t>“</w:t>
      </w:r>
      <w:r w:rsidR="008D1395">
        <w:rPr>
          <w:szCs w:val="22"/>
        </w:rPr>
        <w:t>[t]</w:t>
      </w:r>
      <w:r>
        <w:rPr>
          <w:szCs w:val="22"/>
        </w:rPr>
        <w:t xml:space="preserve">he </w:t>
      </w:r>
      <w:r w:rsidR="00DD2EA7">
        <w:rPr>
          <w:szCs w:val="22"/>
        </w:rPr>
        <w:t xml:space="preserve">prohibition on </w:t>
      </w:r>
      <w:r w:rsidR="000C694A">
        <w:rPr>
          <w:szCs w:val="22"/>
        </w:rPr>
        <w:t>major</w:t>
      </w:r>
      <w:r w:rsidR="00DD2EA7">
        <w:rPr>
          <w:szCs w:val="22"/>
        </w:rPr>
        <w:t xml:space="preserve"> amendments</w:t>
      </w:r>
      <w:r w:rsidRPr="00AA7F80" w:rsidR="00DD2EA7">
        <w:rPr>
          <w:szCs w:val="22"/>
        </w:rPr>
        <w:t xml:space="preserve"> </w:t>
      </w:r>
      <w:r w:rsidR="00DD2EA7">
        <w:rPr>
          <w:szCs w:val="22"/>
        </w:rPr>
        <w:t xml:space="preserve">to pending new LPFM applications is a </w:t>
      </w:r>
      <w:r w:rsidR="00DD2EA7">
        <w:t>rule of general applicability to which all new LPFM applicants are subject.”</w:t>
      </w:r>
      <w:r>
        <w:rPr>
          <w:rStyle w:val="FootnoteReference"/>
        </w:rPr>
        <w:footnoteReference w:id="17"/>
      </w:r>
      <w:r w:rsidR="001C7610">
        <w:t xml:space="preserve">  The Bureau</w:t>
      </w:r>
      <w:r w:rsidR="002B546D">
        <w:t xml:space="preserve"> also</w:t>
      </w:r>
      <w:r w:rsidR="001C7610">
        <w:t xml:space="preserve"> rejected </w:t>
      </w:r>
      <w:r w:rsidR="005609FD">
        <w:t>HMM</w:t>
      </w:r>
      <w:r w:rsidR="001C7610">
        <w:t xml:space="preserve">’s comparison to </w:t>
      </w:r>
      <w:r w:rsidR="001C7610">
        <w:rPr>
          <w:i/>
          <w:iCs/>
        </w:rPr>
        <w:t>Diocese of Portland</w:t>
      </w:r>
      <w:r w:rsidR="001C7610">
        <w:t>, explaining that</w:t>
      </w:r>
      <w:r w:rsidR="002E34B4">
        <w:t xml:space="preserve"> </w:t>
      </w:r>
      <w:r w:rsidR="00134DFC">
        <w:t xml:space="preserve">that case involved </w:t>
      </w:r>
      <w:r w:rsidR="00A23CFF">
        <w:t xml:space="preserve">a typographical error and that the </w:t>
      </w:r>
      <w:r w:rsidR="000C694A">
        <w:t>major amendment</w:t>
      </w:r>
      <w:r w:rsidR="00A23CFF">
        <w:t xml:space="preserve"> was only permitted because of an ambiguity in the </w:t>
      </w:r>
      <w:r w:rsidR="00D624CB">
        <w:t>then-</w:t>
      </w:r>
      <w:r w:rsidR="00A23CFF">
        <w:t>applicable law.</w:t>
      </w:r>
      <w:r>
        <w:rPr>
          <w:rStyle w:val="FootnoteReference"/>
        </w:rPr>
        <w:footnoteReference w:id="18"/>
      </w:r>
      <w:r w:rsidR="0017192A">
        <w:t xml:space="preserve">  </w:t>
      </w:r>
      <w:r w:rsidR="00145051">
        <w:t>The Bureau emphasized that</w:t>
      </w:r>
      <w:r w:rsidR="00794D0B">
        <w:t xml:space="preserve"> </w:t>
      </w:r>
      <w:r w:rsidR="002E34B4">
        <w:rPr>
          <w:i/>
          <w:iCs/>
        </w:rPr>
        <w:t>Diocese of Portland</w:t>
      </w:r>
      <w:r w:rsidR="00145051">
        <w:t xml:space="preserve"> clarified that</w:t>
      </w:r>
      <w:r w:rsidR="0017192A">
        <w:t xml:space="preserve"> all applicants must provide accurate technical information </w:t>
      </w:r>
      <w:r w:rsidR="00794D0B">
        <w:t>going forward</w:t>
      </w:r>
      <w:r w:rsidR="00134DFC">
        <w:t xml:space="preserve"> or </w:t>
      </w:r>
      <w:r w:rsidR="00DB75A9">
        <w:t xml:space="preserve">face </w:t>
      </w:r>
      <w:r w:rsidR="00DB75A9">
        <w:t>dismissal</w:t>
      </w:r>
      <w:r w:rsidR="0017192A">
        <w:t>.</w:t>
      </w:r>
      <w:r>
        <w:t xml:space="preserve"> </w:t>
      </w:r>
      <w:r w:rsidRPr="00132FF8">
        <w:rPr>
          <w:szCs w:val="22"/>
        </w:rPr>
        <w:t xml:space="preserve"> </w:t>
      </w:r>
      <w:r>
        <w:rPr>
          <w:szCs w:val="22"/>
        </w:rPr>
        <w:t>For these reasons, the Bureau dismissed the Application for failure to satisfy the minimum power and spacing requirements for new LPFM stations.</w:t>
      </w:r>
      <w:r>
        <w:rPr>
          <w:rStyle w:val="FootnoteReference"/>
          <w:szCs w:val="22"/>
        </w:rPr>
        <w:footnoteReference w:id="19"/>
      </w:r>
      <w:r>
        <w:rPr>
          <w:szCs w:val="22"/>
        </w:rPr>
        <w:t xml:space="preserve">  </w:t>
      </w:r>
    </w:p>
    <w:p w:rsidR="00B46BF1" w:rsidP="005C2F52" w14:paraId="79A3DE4B" w14:textId="4A0F6D04">
      <w:pPr>
        <w:spacing w:after="120"/>
        <w:ind w:firstLine="720"/>
        <w:rPr>
          <w:szCs w:val="22"/>
        </w:rPr>
      </w:pPr>
      <w:r>
        <w:rPr>
          <w:szCs w:val="22"/>
        </w:rPr>
        <w:t>On March 11, 2025</w:t>
      </w:r>
      <w:r w:rsidR="00186F0A">
        <w:rPr>
          <w:szCs w:val="22"/>
        </w:rPr>
        <w:t xml:space="preserve">, </w:t>
      </w:r>
      <w:r w:rsidR="005609FD">
        <w:rPr>
          <w:szCs w:val="22"/>
        </w:rPr>
        <w:t>HMM</w:t>
      </w:r>
      <w:r w:rsidR="001E00FB">
        <w:rPr>
          <w:szCs w:val="22"/>
        </w:rPr>
        <w:t xml:space="preserve"> filed the </w:t>
      </w:r>
      <w:r w:rsidR="00824D43">
        <w:rPr>
          <w:szCs w:val="22"/>
        </w:rPr>
        <w:t xml:space="preserve">Second </w:t>
      </w:r>
      <w:r w:rsidR="001E00FB">
        <w:rPr>
          <w:szCs w:val="22"/>
        </w:rPr>
        <w:t>Petition, arguing</w:t>
      </w:r>
      <w:r w:rsidR="002B546D">
        <w:rPr>
          <w:szCs w:val="22"/>
        </w:rPr>
        <w:t xml:space="preserve"> for the first time</w:t>
      </w:r>
      <w:r w:rsidR="001E00FB">
        <w:rPr>
          <w:szCs w:val="22"/>
        </w:rPr>
        <w:t xml:space="preserve"> that</w:t>
      </w:r>
      <w:r w:rsidR="00B244E5">
        <w:rPr>
          <w:szCs w:val="22"/>
        </w:rPr>
        <w:t xml:space="preserve"> the </w:t>
      </w:r>
      <w:r w:rsidR="00794D0B">
        <w:rPr>
          <w:szCs w:val="22"/>
        </w:rPr>
        <w:t xml:space="preserve">Commission lacks statutory authority to prohibit </w:t>
      </w:r>
      <w:r w:rsidR="00D624CB">
        <w:rPr>
          <w:szCs w:val="22"/>
        </w:rPr>
        <w:t xml:space="preserve">the filing of </w:t>
      </w:r>
      <w:r w:rsidR="000C694A">
        <w:rPr>
          <w:szCs w:val="22"/>
        </w:rPr>
        <w:t>major amendment</w:t>
      </w:r>
      <w:r w:rsidR="00794D0B">
        <w:rPr>
          <w:szCs w:val="22"/>
        </w:rPr>
        <w:t>s to pending new LPFM applications</w:t>
      </w:r>
      <w:r w:rsidR="0092026B">
        <w:rPr>
          <w:szCs w:val="22"/>
        </w:rPr>
        <w:t xml:space="preserve"> and </w:t>
      </w:r>
      <w:r w:rsidR="00B504DC">
        <w:rPr>
          <w:szCs w:val="22"/>
        </w:rPr>
        <w:t xml:space="preserve">that </w:t>
      </w:r>
      <w:r w:rsidR="0092026B">
        <w:rPr>
          <w:szCs w:val="22"/>
        </w:rPr>
        <w:t>its refu</w:t>
      </w:r>
      <w:r w:rsidR="00355197">
        <w:rPr>
          <w:szCs w:val="22"/>
        </w:rPr>
        <w:t xml:space="preserve">sal to </w:t>
      </w:r>
      <w:r w:rsidR="00073779">
        <w:rPr>
          <w:szCs w:val="22"/>
        </w:rPr>
        <w:t>accept</w:t>
      </w:r>
      <w:r w:rsidR="002443CF">
        <w:rPr>
          <w:szCs w:val="22"/>
        </w:rPr>
        <w:t xml:space="preserve"> a </w:t>
      </w:r>
      <w:r w:rsidR="000C694A">
        <w:rPr>
          <w:szCs w:val="22"/>
        </w:rPr>
        <w:t>major amendment</w:t>
      </w:r>
      <w:r w:rsidR="002443CF">
        <w:rPr>
          <w:szCs w:val="22"/>
        </w:rPr>
        <w:t xml:space="preserve"> </w:t>
      </w:r>
      <w:r w:rsidR="00073779">
        <w:rPr>
          <w:szCs w:val="22"/>
        </w:rPr>
        <w:t>in this case</w:t>
      </w:r>
      <w:r w:rsidR="002443CF">
        <w:rPr>
          <w:szCs w:val="22"/>
        </w:rPr>
        <w:t xml:space="preserve"> is “a patent violation” of </w:t>
      </w:r>
      <w:r w:rsidR="00E7767A">
        <w:rPr>
          <w:szCs w:val="22"/>
        </w:rPr>
        <w:t xml:space="preserve">section </w:t>
      </w:r>
      <w:r w:rsidR="00A44BCD">
        <w:rPr>
          <w:szCs w:val="22"/>
        </w:rPr>
        <w:t>706(2)(A)</w:t>
      </w:r>
      <w:r w:rsidR="0092026B">
        <w:rPr>
          <w:szCs w:val="22"/>
        </w:rPr>
        <w:t xml:space="preserve"> of the </w:t>
      </w:r>
      <w:r w:rsidR="00C70D8F">
        <w:rPr>
          <w:szCs w:val="22"/>
        </w:rPr>
        <w:t>Administrative Procedures Act</w:t>
      </w:r>
      <w:r w:rsidR="00EE2433">
        <w:rPr>
          <w:szCs w:val="22"/>
        </w:rPr>
        <w:t>,</w:t>
      </w:r>
      <w:r w:rsidR="009868A4">
        <w:rPr>
          <w:szCs w:val="22"/>
        </w:rPr>
        <w:t xml:space="preserve"> </w:t>
      </w:r>
      <w:r w:rsidR="00EE2433">
        <w:rPr>
          <w:szCs w:val="22"/>
        </w:rPr>
        <w:t>which</w:t>
      </w:r>
      <w:r w:rsidR="009868A4">
        <w:rPr>
          <w:szCs w:val="22"/>
        </w:rPr>
        <w:t xml:space="preserve"> requires courts to “hold unlawful and set aside agency action, findings, and conclusions found to be</w:t>
      </w:r>
      <w:r w:rsidR="00A87B9A">
        <w:rPr>
          <w:szCs w:val="22"/>
        </w:rPr>
        <w:t xml:space="preserve"> . . . arbitrary, capricious, an abuse of discretion, or otherwise not in accordance with law</w:t>
      </w:r>
      <w:r w:rsidR="009868A4">
        <w:rPr>
          <w:szCs w:val="22"/>
        </w:rPr>
        <w:t>.”</w:t>
      </w:r>
      <w:r>
        <w:rPr>
          <w:rStyle w:val="FootnoteReference"/>
          <w:szCs w:val="22"/>
        </w:rPr>
        <w:footnoteReference w:id="20"/>
      </w:r>
      <w:r w:rsidR="00B270B0">
        <w:rPr>
          <w:szCs w:val="22"/>
        </w:rPr>
        <w:t xml:space="preserve">  </w:t>
      </w:r>
      <w:r w:rsidR="00145051">
        <w:rPr>
          <w:szCs w:val="22"/>
        </w:rPr>
        <w:t xml:space="preserve">HMM’s argument relies </w:t>
      </w:r>
      <w:r w:rsidR="005A42BF">
        <w:rPr>
          <w:szCs w:val="22"/>
        </w:rPr>
        <w:t>primarily</w:t>
      </w:r>
      <w:r w:rsidR="00145051">
        <w:rPr>
          <w:szCs w:val="22"/>
        </w:rPr>
        <w:t xml:space="preserve"> on</w:t>
      </w:r>
      <w:r w:rsidR="0092026B">
        <w:rPr>
          <w:szCs w:val="22"/>
        </w:rPr>
        <w:t xml:space="preserve"> the</w:t>
      </w:r>
      <w:r w:rsidR="00CC66AB">
        <w:rPr>
          <w:szCs w:val="22"/>
        </w:rPr>
        <w:t xml:space="preserve"> </w:t>
      </w:r>
      <w:r w:rsidR="0092026B">
        <w:rPr>
          <w:szCs w:val="22"/>
        </w:rPr>
        <w:t>Supreme Court</w:t>
      </w:r>
      <w:r w:rsidR="00CC66AB">
        <w:rPr>
          <w:szCs w:val="22"/>
        </w:rPr>
        <w:t>’s 2024</w:t>
      </w:r>
      <w:r w:rsidR="0092026B">
        <w:rPr>
          <w:szCs w:val="22"/>
        </w:rPr>
        <w:t xml:space="preserve"> </w:t>
      </w:r>
      <w:r w:rsidR="00320073">
        <w:rPr>
          <w:szCs w:val="22"/>
        </w:rPr>
        <w:t xml:space="preserve">holding in </w:t>
      </w:r>
      <w:r w:rsidR="0092026B">
        <w:rPr>
          <w:i/>
          <w:iCs/>
          <w:szCs w:val="22"/>
        </w:rPr>
        <w:t>Loper Bright Enterprises v. Raimondo</w:t>
      </w:r>
      <w:r w:rsidR="0092026B">
        <w:rPr>
          <w:szCs w:val="22"/>
        </w:rPr>
        <w:t>.</w:t>
      </w:r>
      <w:r>
        <w:rPr>
          <w:rStyle w:val="FootnoteReference"/>
          <w:szCs w:val="22"/>
        </w:rPr>
        <w:footnoteReference w:id="21"/>
      </w:r>
      <w:r w:rsidR="0092026B">
        <w:rPr>
          <w:szCs w:val="22"/>
        </w:rPr>
        <w:t xml:space="preserve">  In </w:t>
      </w:r>
      <w:r w:rsidR="0092026B">
        <w:rPr>
          <w:i/>
          <w:iCs/>
          <w:szCs w:val="22"/>
        </w:rPr>
        <w:t>Loper Bright</w:t>
      </w:r>
      <w:r w:rsidR="0092026B">
        <w:rPr>
          <w:szCs w:val="22"/>
        </w:rPr>
        <w:t>, the Supreme Court overturned the doctrine known as “</w:t>
      </w:r>
      <w:r w:rsidR="0092026B">
        <w:rPr>
          <w:i/>
          <w:iCs/>
          <w:szCs w:val="22"/>
        </w:rPr>
        <w:t xml:space="preserve">Chevron </w:t>
      </w:r>
      <w:r w:rsidR="0092026B">
        <w:rPr>
          <w:szCs w:val="22"/>
        </w:rPr>
        <w:t>deference,” which required federal courts to defer to an agency’s interpretation of congressional statutes that are “silent or ambiguous with respect to the specific issue” presented</w:t>
      </w:r>
      <w:r w:rsidR="00CC66AB">
        <w:rPr>
          <w:szCs w:val="22"/>
        </w:rPr>
        <w:t>.</w:t>
      </w:r>
      <w:r>
        <w:rPr>
          <w:rStyle w:val="FootnoteReference"/>
          <w:szCs w:val="22"/>
        </w:rPr>
        <w:footnoteReference w:id="22"/>
      </w:r>
      <w:r w:rsidR="0092026B">
        <w:rPr>
          <w:szCs w:val="22"/>
        </w:rPr>
        <w:t xml:space="preserve"> </w:t>
      </w:r>
      <w:r w:rsidR="00CC66AB">
        <w:rPr>
          <w:szCs w:val="22"/>
        </w:rPr>
        <w:t xml:space="preserve"> It </w:t>
      </w:r>
      <w:r w:rsidR="005E4EA4">
        <w:rPr>
          <w:szCs w:val="22"/>
        </w:rPr>
        <w:t>stated</w:t>
      </w:r>
      <w:r w:rsidR="0092026B">
        <w:rPr>
          <w:szCs w:val="22"/>
        </w:rPr>
        <w:t xml:space="preserve"> that “the Administrative Procedure Act requires courts to exercise their independent judgment in deciding whether an agency has acted within its statutory authority, and may not defer to an agency interpretation of the law simply because a statute is ambiguous.”</w:t>
      </w:r>
      <w:r>
        <w:rPr>
          <w:rStyle w:val="FootnoteReference"/>
          <w:szCs w:val="22"/>
        </w:rPr>
        <w:footnoteReference w:id="23"/>
      </w:r>
      <w:r w:rsidR="00A20D2C">
        <w:rPr>
          <w:szCs w:val="22"/>
        </w:rPr>
        <w:t xml:space="preserve">  </w:t>
      </w:r>
    </w:p>
    <w:p w:rsidR="005C2F52" w:rsidP="005C2F52" w14:paraId="03356CC7" w14:textId="03FADE7B">
      <w:pPr>
        <w:spacing w:after="120"/>
        <w:ind w:firstLine="720"/>
        <w:rPr>
          <w:szCs w:val="22"/>
        </w:rPr>
      </w:pPr>
      <w:r>
        <w:rPr>
          <w:szCs w:val="22"/>
        </w:rPr>
        <w:t xml:space="preserve">According to HMM, </w:t>
      </w:r>
      <w:r w:rsidR="001A29BE">
        <w:rPr>
          <w:i/>
          <w:iCs/>
          <w:szCs w:val="22"/>
        </w:rPr>
        <w:t xml:space="preserve">Loper Bright </w:t>
      </w:r>
      <w:r w:rsidR="001A29BE">
        <w:rPr>
          <w:szCs w:val="22"/>
        </w:rPr>
        <w:t xml:space="preserve">applies here because </w:t>
      </w:r>
      <w:r w:rsidR="00E80405">
        <w:rPr>
          <w:szCs w:val="22"/>
        </w:rPr>
        <w:t>“Congress never gave the FCC a specific law to prevent the type of curative amendment we wanted to make in February 2024 when we sought leave to amend from Channel 254 to Channel 228.</w:t>
      </w:r>
      <w:r w:rsidR="008B4C65">
        <w:rPr>
          <w:szCs w:val="22"/>
        </w:rPr>
        <w:t xml:space="preserve"> . . We fin</w:t>
      </w:r>
      <w:r w:rsidR="000F786C">
        <w:rPr>
          <w:szCs w:val="22"/>
        </w:rPr>
        <w:t>d no authority for the Commission or the Audio Division not to grant leave for HMM to make its February 2024 amendment.</w:t>
      </w:r>
      <w:r w:rsidR="00E80405">
        <w:rPr>
          <w:szCs w:val="22"/>
        </w:rPr>
        <w:t>”</w:t>
      </w:r>
      <w:r>
        <w:rPr>
          <w:rStyle w:val="FootnoteReference"/>
          <w:szCs w:val="22"/>
        </w:rPr>
        <w:footnoteReference w:id="24"/>
      </w:r>
      <w:r w:rsidR="00A44BCD">
        <w:rPr>
          <w:szCs w:val="22"/>
        </w:rPr>
        <w:t xml:space="preserve"> </w:t>
      </w:r>
      <w:r w:rsidR="00BB74A0">
        <w:rPr>
          <w:szCs w:val="22"/>
        </w:rPr>
        <w:t xml:space="preserve"> </w:t>
      </w:r>
      <w:r w:rsidR="00257C6E">
        <w:rPr>
          <w:szCs w:val="22"/>
        </w:rPr>
        <w:t xml:space="preserve">According to HMM, </w:t>
      </w:r>
      <w:r w:rsidR="00C70D8F">
        <w:rPr>
          <w:szCs w:val="22"/>
        </w:rPr>
        <w:t xml:space="preserve">section </w:t>
      </w:r>
      <w:r w:rsidR="00FD53FD">
        <w:rPr>
          <w:szCs w:val="22"/>
        </w:rPr>
        <w:t xml:space="preserve">309(g) of the </w:t>
      </w:r>
      <w:r w:rsidR="00A87451">
        <w:rPr>
          <w:szCs w:val="22"/>
        </w:rPr>
        <w:t>Communications Act of 1934</w:t>
      </w:r>
      <w:r w:rsidR="00E7625A">
        <w:rPr>
          <w:szCs w:val="22"/>
        </w:rPr>
        <w:t>, as amended (</w:t>
      </w:r>
      <w:r w:rsidR="00FD53FD">
        <w:rPr>
          <w:szCs w:val="22"/>
        </w:rPr>
        <w:t>Act</w:t>
      </w:r>
      <w:r w:rsidR="00E7625A">
        <w:rPr>
          <w:szCs w:val="22"/>
        </w:rPr>
        <w:t>)</w:t>
      </w:r>
      <w:r w:rsidR="00FD53FD">
        <w:rPr>
          <w:szCs w:val="22"/>
        </w:rPr>
        <w:t>,</w:t>
      </w:r>
      <w:r>
        <w:rPr>
          <w:rStyle w:val="FootnoteReference"/>
          <w:szCs w:val="22"/>
        </w:rPr>
        <w:footnoteReference w:id="25"/>
      </w:r>
      <w:r w:rsidR="00FD53FD">
        <w:rPr>
          <w:szCs w:val="22"/>
        </w:rPr>
        <w:t xml:space="preserve"> which </w:t>
      </w:r>
      <w:r w:rsidR="00145051">
        <w:rPr>
          <w:szCs w:val="22"/>
        </w:rPr>
        <w:t>authorizes the Commission to</w:t>
      </w:r>
      <w:r w:rsidR="00FD53FD">
        <w:rPr>
          <w:szCs w:val="22"/>
        </w:rPr>
        <w:t xml:space="preserve"> </w:t>
      </w:r>
      <w:r w:rsidR="00145051">
        <w:rPr>
          <w:szCs w:val="22"/>
        </w:rPr>
        <w:t>“</w:t>
      </w:r>
      <w:r w:rsidR="00FD53FD">
        <w:rPr>
          <w:szCs w:val="22"/>
        </w:rPr>
        <w:t>adopt reasonable classifications of applications and amendments in order to effectuate the purposes of this section”</w:t>
      </w:r>
      <w:r>
        <w:rPr>
          <w:rStyle w:val="FootnoteReference"/>
          <w:szCs w:val="22"/>
        </w:rPr>
        <w:footnoteReference w:id="26"/>
      </w:r>
      <w:r w:rsidR="009A1317">
        <w:rPr>
          <w:szCs w:val="22"/>
        </w:rPr>
        <w:t xml:space="preserve"> is “ambiguous” and </w:t>
      </w:r>
      <w:r w:rsidR="00BE2EAD">
        <w:rPr>
          <w:szCs w:val="22"/>
        </w:rPr>
        <w:t>“does not give the FCC express authority to dismiss applications such as that filed by HMM.”</w:t>
      </w:r>
      <w:r>
        <w:rPr>
          <w:rStyle w:val="FootnoteReference"/>
          <w:szCs w:val="22"/>
        </w:rPr>
        <w:footnoteReference w:id="27"/>
      </w:r>
      <w:r w:rsidR="00BA0AF8">
        <w:rPr>
          <w:szCs w:val="22"/>
        </w:rPr>
        <w:t xml:space="preserve">  Finally, HMM c</w:t>
      </w:r>
      <w:r w:rsidR="00257C6E">
        <w:rPr>
          <w:szCs w:val="22"/>
        </w:rPr>
        <w:t xml:space="preserve">ontends </w:t>
      </w:r>
      <w:r w:rsidR="00BA0AF8">
        <w:rPr>
          <w:szCs w:val="22"/>
        </w:rPr>
        <w:t xml:space="preserve">that it lacked </w:t>
      </w:r>
      <w:r w:rsidR="00081293">
        <w:rPr>
          <w:szCs w:val="22"/>
        </w:rPr>
        <w:t xml:space="preserve">clear notice of the </w:t>
      </w:r>
      <w:r w:rsidR="000C694A">
        <w:rPr>
          <w:szCs w:val="22"/>
        </w:rPr>
        <w:t>major amendment</w:t>
      </w:r>
      <w:r w:rsidR="00081293">
        <w:rPr>
          <w:szCs w:val="22"/>
        </w:rPr>
        <w:t xml:space="preserve"> r</w:t>
      </w:r>
      <w:r>
        <w:rPr>
          <w:szCs w:val="22"/>
        </w:rPr>
        <w:t xml:space="preserve">estriction </w:t>
      </w:r>
      <w:r w:rsidR="00055B85">
        <w:rPr>
          <w:szCs w:val="22"/>
        </w:rPr>
        <w:t>for</w:t>
      </w:r>
      <w:r>
        <w:rPr>
          <w:szCs w:val="22"/>
        </w:rPr>
        <w:t xml:space="preserve"> new LPFM applications</w:t>
      </w:r>
      <w:r w:rsidR="00081293">
        <w:rPr>
          <w:szCs w:val="22"/>
        </w:rPr>
        <w:t>.</w:t>
      </w:r>
      <w:r>
        <w:rPr>
          <w:rStyle w:val="FootnoteReference"/>
          <w:szCs w:val="22"/>
        </w:rPr>
        <w:footnoteReference w:id="28"/>
      </w:r>
      <w:r w:rsidR="002B454E">
        <w:rPr>
          <w:szCs w:val="22"/>
        </w:rPr>
        <w:t xml:space="preserve">  </w:t>
      </w:r>
      <w:r w:rsidR="005856E3">
        <w:rPr>
          <w:szCs w:val="22"/>
        </w:rPr>
        <w:t>For these reasons</w:t>
      </w:r>
      <w:r w:rsidR="002B454E">
        <w:rPr>
          <w:szCs w:val="22"/>
        </w:rPr>
        <w:t xml:space="preserve">, </w:t>
      </w:r>
      <w:r w:rsidR="005856E3">
        <w:rPr>
          <w:szCs w:val="22"/>
        </w:rPr>
        <w:t xml:space="preserve">HMM </w:t>
      </w:r>
      <w:r w:rsidR="002B454E">
        <w:rPr>
          <w:szCs w:val="22"/>
        </w:rPr>
        <w:t xml:space="preserve">concludes, </w:t>
      </w:r>
      <w:r w:rsidR="000763FC">
        <w:rPr>
          <w:szCs w:val="22"/>
        </w:rPr>
        <w:t xml:space="preserve">it </w:t>
      </w:r>
      <w:r>
        <w:rPr>
          <w:szCs w:val="22"/>
        </w:rPr>
        <w:t xml:space="preserve">must </w:t>
      </w:r>
      <w:r w:rsidR="000763FC">
        <w:rPr>
          <w:szCs w:val="22"/>
        </w:rPr>
        <w:t>be permitted to file a</w:t>
      </w:r>
      <w:r w:rsidR="00055B85">
        <w:rPr>
          <w:szCs w:val="22"/>
        </w:rPr>
        <w:t xml:space="preserve"> </w:t>
      </w:r>
      <w:r w:rsidR="000C694A">
        <w:rPr>
          <w:szCs w:val="22"/>
        </w:rPr>
        <w:t>major amendment</w:t>
      </w:r>
      <w:r w:rsidR="000763FC">
        <w:rPr>
          <w:szCs w:val="22"/>
        </w:rPr>
        <w:t xml:space="preserve"> specifying Channel 228 in lieu of Channel 254.</w:t>
      </w:r>
      <w:r>
        <w:rPr>
          <w:rStyle w:val="FootnoteReference"/>
          <w:szCs w:val="22"/>
        </w:rPr>
        <w:footnoteReference w:id="29"/>
      </w:r>
      <w:r w:rsidR="004D6035">
        <w:rPr>
          <w:szCs w:val="22"/>
        </w:rPr>
        <w:t xml:space="preserve">  </w:t>
      </w:r>
    </w:p>
    <w:p w:rsidR="00B218F3" w:rsidP="000A0CD7" w14:paraId="223A68FE" w14:textId="12DA90A2">
      <w:pPr>
        <w:spacing w:after="120"/>
        <w:ind w:firstLine="720"/>
        <w:rPr>
          <w:color w:val="000000"/>
          <w:szCs w:val="22"/>
        </w:rPr>
      </w:pPr>
      <w:r w:rsidRPr="002B7C49">
        <w:rPr>
          <w:b/>
          <w:bCs/>
          <w:color w:val="000000"/>
          <w:szCs w:val="22"/>
        </w:rPr>
        <w:t>Discussion.</w:t>
      </w:r>
      <w:r w:rsidRPr="002B7C49">
        <w:rPr>
          <w:color w:val="000000"/>
          <w:szCs w:val="22"/>
        </w:rPr>
        <w:t xml:space="preserve">  </w:t>
      </w:r>
      <w:r w:rsidRPr="002B7C49">
        <w:rPr>
          <w:szCs w:val="22"/>
        </w:rPr>
        <w:t xml:space="preserve">The Commission will consider a </w:t>
      </w:r>
      <w:bookmarkStart w:id="3" w:name="SR;772"/>
      <w:bookmarkStart w:id="4" w:name="SearchTerm"/>
      <w:bookmarkEnd w:id="3"/>
      <w:r w:rsidRPr="002B7C49">
        <w:rPr>
          <w:szCs w:val="22"/>
        </w:rPr>
        <w:t>petition for reconsideration</w:t>
      </w:r>
      <w:bookmarkStart w:id="5" w:name="SR;774"/>
      <w:bookmarkEnd w:id="4"/>
      <w:bookmarkEnd w:id="5"/>
      <w:r w:rsidRPr="002B7C49">
        <w:rPr>
          <w:szCs w:val="22"/>
        </w:rPr>
        <w:t xml:space="preserve"> only when the petitioner shows either a material error in the Commission's original order</w:t>
      </w:r>
      <w:r w:rsidR="006A711D">
        <w:rPr>
          <w:szCs w:val="22"/>
        </w:rPr>
        <w:t xml:space="preserve">, relies on facts or arguments which relate to events which have occurred or circumstances which have changed since the last opportunity to present such matters to the Commission, or relies on facts or arguments unknown to petitioner </w:t>
      </w:r>
      <w:r w:rsidR="00A07FA6">
        <w:rPr>
          <w:szCs w:val="22"/>
        </w:rPr>
        <w:t xml:space="preserve">and could not have been </w:t>
      </w:r>
      <w:r w:rsidR="00A07FA6">
        <w:rPr>
          <w:szCs w:val="22"/>
        </w:rPr>
        <w:t xml:space="preserve">learned through the exercise of ordinary diligence prior to </w:t>
      </w:r>
      <w:r w:rsidR="00E30D7D">
        <w:rPr>
          <w:szCs w:val="22"/>
        </w:rPr>
        <w:t>the last opportunity to present such facts or arguments</w:t>
      </w:r>
      <w:r w:rsidRPr="002B7C49">
        <w:rPr>
          <w:szCs w:val="22"/>
        </w:rPr>
        <w:t>.</w:t>
      </w:r>
      <w:bookmarkStart w:id="6" w:name="FN[FN11]"/>
      <w:bookmarkEnd w:id="6"/>
      <w:r>
        <w:rPr>
          <w:szCs w:val="22"/>
          <w:vertAlign w:val="superscript"/>
        </w:rPr>
        <w:footnoteReference w:id="30"/>
      </w:r>
      <w:r w:rsidR="00C94AD0">
        <w:rPr>
          <w:szCs w:val="22"/>
          <w:vertAlign w:val="superscript"/>
        </w:rPr>
        <w:t xml:space="preserve"> </w:t>
      </w:r>
      <w:r w:rsidR="00C94AD0">
        <w:rPr>
          <w:color w:val="000000"/>
          <w:szCs w:val="22"/>
        </w:rPr>
        <w:t xml:space="preserve"> HMM </w:t>
      </w:r>
      <w:r w:rsidR="00307059">
        <w:rPr>
          <w:color w:val="000000"/>
          <w:szCs w:val="22"/>
        </w:rPr>
        <w:t>has not met</w:t>
      </w:r>
      <w:r w:rsidR="00C94AD0">
        <w:rPr>
          <w:color w:val="000000"/>
          <w:szCs w:val="22"/>
        </w:rPr>
        <w:t xml:space="preserve"> this burden.</w:t>
      </w:r>
      <w:r>
        <w:rPr>
          <w:rStyle w:val="FootnoteReference"/>
          <w:color w:val="000000"/>
          <w:szCs w:val="22"/>
        </w:rPr>
        <w:footnoteReference w:id="31"/>
      </w:r>
      <w:r w:rsidR="009B1CCC">
        <w:rPr>
          <w:color w:val="000000"/>
          <w:szCs w:val="22"/>
        </w:rPr>
        <w:t xml:space="preserve">  </w:t>
      </w:r>
    </w:p>
    <w:p w:rsidR="007B3F89" w:rsidP="005028F6" w14:paraId="508C64F9" w14:textId="06B02EEB">
      <w:pPr>
        <w:spacing w:after="120"/>
        <w:ind w:firstLine="720"/>
        <w:rPr>
          <w:color w:val="000000"/>
          <w:szCs w:val="22"/>
        </w:rPr>
      </w:pPr>
      <w:r>
        <w:rPr>
          <w:color w:val="000000"/>
          <w:szCs w:val="22"/>
        </w:rPr>
        <w:t xml:space="preserve">The rule </w:t>
      </w:r>
      <w:r w:rsidR="00CD30B0">
        <w:rPr>
          <w:color w:val="000000"/>
          <w:szCs w:val="22"/>
        </w:rPr>
        <w:t xml:space="preserve">governing </w:t>
      </w:r>
      <w:r w:rsidR="00E3688F">
        <w:rPr>
          <w:color w:val="000000"/>
          <w:szCs w:val="22"/>
        </w:rPr>
        <w:t xml:space="preserve">LPFM </w:t>
      </w:r>
      <w:r w:rsidR="00AE691A">
        <w:rPr>
          <w:color w:val="000000"/>
          <w:szCs w:val="22"/>
        </w:rPr>
        <w:t xml:space="preserve">channel change </w:t>
      </w:r>
      <w:r w:rsidR="002535A6">
        <w:rPr>
          <w:color w:val="000000"/>
          <w:szCs w:val="22"/>
        </w:rPr>
        <w:t>request</w:t>
      </w:r>
      <w:r w:rsidR="00E3688F">
        <w:rPr>
          <w:color w:val="000000"/>
          <w:szCs w:val="22"/>
        </w:rPr>
        <w:t>s</w:t>
      </w:r>
      <w:r w:rsidR="002535A6">
        <w:rPr>
          <w:color w:val="000000"/>
          <w:szCs w:val="22"/>
        </w:rPr>
        <w:t xml:space="preserve"> </w:t>
      </w:r>
      <w:r>
        <w:rPr>
          <w:color w:val="000000"/>
          <w:szCs w:val="22"/>
        </w:rPr>
        <w:t>is section 73.</w:t>
      </w:r>
      <w:r w:rsidR="00153F95">
        <w:rPr>
          <w:color w:val="000000"/>
          <w:szCs w:val="22"/>
        </w:rPr>
        <w:t>871</w:t>
      </w:r>
      <w:r w:rsidR="00BF6C30">
        <w:rPr>
          <w:color w:val="000000"/>
          <w:szCs w:val="22"/>
        </w:rPr>
        <w:t>(c)</w:t>
      </w:r>
      <w:r w:rsidR="008A49E0">
        <w:rPr>
          <w:color w:val="000000"/>
          <w:szCs w:val="22"/>
        </w:rPr>
        <w:t xml:space="preserve">, which </w:t>
      </w:r>
      <w:r w:rsidR="00B653E5">
        <w:rPr>
          <w:color w:val="000000"/>
          <w:szCs w:val="22"/>
        </w:rPr>
        <w:t>provides</w:t>
      </w:r>
      <w:r w:rsidR="00142BED">
        <w:rPr>
          <w:color w:val="000000"/>
          <w:szCs w:val="22"/>
        </w:rPr>
        <w:t>,</w:t>
      </w:r>
      <w:r w:rsidR="008A49E0">
        <w:rPr>
          <w:color w:val="000000"/>
          <w:szCs w:val="22"/>
        </w:rPr>
        <w:t xml:space="preserve"> </w:t>
      </w:r>
      <w:r w:rsidR="00651714">
        <w:rPr>
          <w:color w:val="000000"/>
          <w:szCs w:val="22"/>
        </w:rPr>
        <w:t>“</w:t>
      </w:r>
      <w:r w:rsidR="00142BED">
        <w:rPr>
          <w:color w:val="000000"/>
          <w:szCs w:val="22"/>
        </w:rPr>
        <w:t>O</w:t>
      </w:r>
      <w:r w:rsidRPr="00651714" w:rsidR="00651714">
        <w:rPr>
          <w:color w:val="000000"/>
          <w:szCs w:val="22"/>
        </w:rPr>
        <w:t>nly minor amendments to new and major change applications will be accepted after the close of the pertinent filing window.</w:t>
      </w:r>
      <w:r w:rsidR="00651714">
        <w:rPr>
          <w:color w:val="000000"/>
          <w:szCs w:val="22"/>
        </w:rPr>
        <w:t>”</w:t>
      </w:r>
      <w:r>
        <w:rPr>
          <w:rStyle w:val="FootnoteReference"/>
          <w:color w:val="000000"/>
          <w:szCs w:val="22"/>
        </w:rPr>
        <w:footnoteReference w:id="32"/>
      </w:r>
      <w:r w:rsidR="00805F0E">
        <w:rPr>
          <w:color w:val="000000"/>
          <w:szCs w:val="22"/>
        </w:rPr>
        <w:t xml:space="preserve">  Section 73.871(c)</w:t>
      </w:r>
      <w:r w:rsidR="00B653E5">
        <w:rPr>
          <w:color w:val="000000"/>
          <w:szCs w:val="22"/>
        </w:rPr>
        <w:t xml:space="preserve"> </w:t>
      </w:r>
      <w:r w:rsidR="00805F0E">
        <w:rPr>
          <w:color w:val="000000"/>
          <w:szCs w:val="22"/>
        </w:rPr>
        <w:t>def</w:t>
      </w:r>
      <w:r w:rsidR="00DC50AD">
        <w:rPr>
          <w:color w:val="000000"/>
          <w:szCs w:val="22"/>
        </w:rPr>
        <w:t xml:space="preserve">ines minor amendments as </w:t>
      </w:r>
      <w:r w:rsidR="001E79D7">
        <w:rPr>
          <w:color w:val="000000"/>
          <w:szCs w:val="22"/>
        </w:rPr>
        <w:t>certain site relocations</w:t>
      </w:r>
      <w:r w:rsidR="00640863">
        <w:rPr>
          <w:color w:val="000000"/>
          <w:szCs w:val="22"/>
        </w:rPr>
        <w:t xml:space="preserve">, ownership changes, </w:t>
      </w:r>
      <w:r w:rsidR="00227983">
        <w:rPr>
          <w:color w:val="000000"/>
          <w:szCs w:val="22"/>
        </w:rPr>
        <w:t xml:space="preserve">time-sharing agreements, </w:t>
      </w:r>
      <w:r w:rsidR="006658A7">
        <w:rPr>
          <w:color w:val="000000"/>
          <w:szCs w:val="22"/>
        </w:rPr>
        <w:t>and</w:t>
      </w:r>
      <w:r w:rsidRPr="006658A7" w:rsidR="006658A7">
        <w:rPr>
          <w:color w:val="000000"/>
          <w:szCs w:val="22"/>
        </w:rPr>
        <w:t xml:space="preserve"> changes in general and/or legal information</w:t>
      </w:r>
      <w:r w:rsidR="006658A7">
        <w:rPr>
          <w:color w:val="000000"/>
          <w:szCs w:val="22"/>
        </w:rPr>
        <w:t xml:space="preserve">.  It </w:t>
      </w:r>
      <w:r w:rsidR="00AE691A">
        <w:rPr>
          <w:color w:val="000000"/>
          <w:szCs w:val="22"/>
        </w:rPr>
        <w:t>excludes</w:t>
      </w:r>
      <w:r w:rsidR="00DC6843">
        <w:rPr>
          <w:color w:val="000000"/>
          <w:szCs w:val="22"/>
        </w:rPr>
        <w:t xml:space="preserve"> </w:t>
      </w:r>
      <w:r w:rsidR="00AE691A">
        <w:rPr>
          <w:color w:val="000000"/>
          <w:szCs w:val="22"/>
        </w:rPr>
        <w:t xml:space="preserve">all </w:t>
      </w:r>
      <w:r w:rsidR="00101729">
        <w:rPr>
          <w:color w:val="000000"/>
          <w:szCs w:val="22"/>
        </w:rPr>
        <w:t>channel changes</w:t>
      </w:r>
      <w:r w:rsidR="00AE691A">
        <w:rPr>
          <w:color w:val="000000"/>
          <w:szCs w:val="22"/>
        </w:rPr>
        <w:t xml:space="preserve"> from the list of minor amendments</w:t>
      </w:r>
      <w:r w:rsidR="00101729">
        <w:rPr>
          <w:color w:val="000000"/>
          <w:szCs w:val="22"/>
        </w:rPr>
        <w:t>.</w:t>
      </w:r>
      <w:r w:rsidR="00D70709">
        <w:rPr>
          <w:color w:val="000000"/>
          <w:szCs w:val="22"/>
        </w:rPr>
        <w:t xml:space="preserve">  </w:t>
      </w:r>
      <w:r w:rsidR="00B36FA6">
        <w:rPr>
          <w:color w:val="000000"/>
          <w:szCs w:val="22"/>
        </w:rPr>
        <w:t xml:space="preserve">The Commission adopted this rule in </w:t>
      </w:r>
      <w:r w:rsidR="000543A8">
        <w:rPr>
          <w:color w:val="000000"/>
          <w:szCs w:val="22"/>
        </w:rPr>
        <w:t>2001, in</w:t>
      </w:r>
      <w:r w:rsidR="00B36FA6">
        <w:rPr>
          <w:color w:val="000000"/>
          <w:szCs w:val="22"/>
        </w:rPr>
        <w:t xml:space="preserve"> </w:t>
      </w:r>
      <w:r w:rsidR="00AE691A">
        <w:rPr>
          <w:color w:val="000000"/>
          <w:szCs w:val="22"/>
        </w:rPr>
        <w:t xml:space="preserve">the </w:t>
      </w:r>
      <w:r w:rsidR="005028F6">
        <w:rPr>
          <w:i/>
          <w:iCs/>
          <w:color w:val="000000"/>
          <w:szCs w:val="22"/>
        </w:rPr>
        <w:t>LPFM Second Report and Order</w:t>
      </w:r>
      <w:r w:rsidR="000543A8">
        <w:rPr>
          <w:color w:val="000000"/>
          <w:szCs w:val="22"/>
        </w:rPr>
        <w:t>,</w:t>
      </w:r>
      <w:r>
        <w:rPr>
          <w:rStyle w:val="FootnoteReference"/>
          <w:color w:val="000000"/>
          <w:szCs w:val="22"/>
        </w:rPr>
        <w:footnoteReference w:id="33"/>
      </w:r>
      <w:r w:rsidR="00241114">
        <w:rPr>
          <w:color w:val="000000"/>
          <w:szCs w:val="22"/>
        </w:rPr>
        <w:t xml:space="preserve"> and</w:t>
      </w:r>
      <w:r w:rsidR="00A1706E">
        <w:rPr>
          <w:color w:val="000000"/>
          <w:szCs w:val="22"/>
        </w:rPr>
        <w:t xml:space="preserve"> cited</w:t>
      </w:r>
      <w:r w:rsidR="00D76DEC">
        <w:rPr>
          <w:color w:val="000000"/>
          <w:szCs w:val="22"/>
        </w:rPr>
        <w:t xml:space="preserve"> it repeatedly </w:t>
      </w:r>
      <w:r w:rsidR="00A61D33">
        <w:rPr>
          <w:color w:val="000000"/>
          <w:szCs w:val="22"/>
        </w:rPr>
        <w:t xml:space="preserve">in </w:t>
      </w:r>
      <w:r w:rsidR="00AE691A">
        <w:rPr>
          <w:color w:val="000000"/>
          <w:szCs w:val="22"/>
        </w:rPr>
        <w:t xml:space="preserve">the 2023 new LPFM filing window </w:t>
      </w:r>
      <w:r w:rsidR="00B255E2">
        <w:rPr>
          <w:color w:val="000000"/>
          <w:szCs w:val="22"/>
        </w:rPr>
        <w:t>public notices</w:t>
      </w:r>
      <w:r w:rsidR="00CE7ACB">
        <w:rPr>
          <w:color w:val="000000"/>
          <w:szCs w:val="22"/>
        </w:rPr>
        <w:t>, including</w:t>
      </w:r>
      <w:r w:rsidR="00241114">
        <w:rPr>
          <w:color w:val="000000"/>
          <w:szCs w:val="22"/>
        </w:rPr>
        <w:t xml:space="preserve"> the </w:t>
      </w:r>
      <w:r w:rsidR="00CE7ACB">
        <w:rPr>
          <w:i/>
          <w:iCs/>
          <w:color w:val="000000"/>
          <w:szCs w:val="22"/>
        </w:rPr>
        <w:t>Guidance Public Notice</w:t>
      </w:r>
      <w:r w:rsidR="00CE7ACB">
        <w:rPr>
          <w:color w:val="000000"/>
          <w:szCs w:val="22"/>
        </w:rPr>
        <w:t>,</w:t>
      </w:r>
      <w:r>
        <w:rPr>
          <w:rStyle w:val="FootnoteReference"/>
          <w:color w:val="000000"/>
          <w:szCs w:val="22"/>
        </w:rPr>
        <w:footnoteReference w:id="34"/>
      </w:r>
      <w:r w:rsidR="00CE7ACB">
        <w:rPr>
          <w:color w:val="000000"/>
          <w:szCs w:val="22"/>
        </w:rPr>
        <w:t xml:space="preserve"> </w:t>
      </w:r>
      <w:r w:rsidR="002E251E">
        <w:rPr>
          <w:color w:val="000000"/>
          <w:szCs w:val="22"/>
        </w:rPr>
        <w:t xml:space="preserve">the </w:t>
      </w:r>
      <w:r w:rsidRPr="002E251E" w:rsidR="002E251E">
        <w:rPr>
          <w:i/>
          <w:iCs/>
          <w:color w:val="000000"/>
          <w:szCs w:val="22"/>
        </w:rPr>
        <w:t>MX Public Notice</w:t>
      </w:r>
      <w:r w:rsidR="002E251E">
        <w:rPr>
          <w:color w:val="000000"/>
          <w:szCs w:val="22"/>
        </w:rPr>
        <w:t>,</w:t>
      </w:r>
      <w:r w:rsidRPr="002E251E" w:rsidR="002E251E">
        <w:rPr>
          <w:rStyle w:val="FootnoteReference"/>
          <w:color w:val="000000"/>
          <w:szCs w:val="22"/>
        </w:rPr>
        <w:t xml:space="preserve"> </w:t>
      </w:r>
      <w:r>
        <w:rPr>
          <w:rStyle w:val="FootnoteReference"/>
          <w:color w:val="000000"/>
          <w:szCs w:val="22"/>
        </w:rPr>
        <w:footnoteReference w:id="35"/>
      </w:r>
      <w:r w:rsidR="002E251E">
        <w:rPr>
          <w:i/>
          <w:iCs/>
          <w:color w:val="000000"/>
          <w:szCs w:val="22"/>
        </w:rPr>
        <w:t xml:space="preserve"> </w:t>
      </w:r>
      <w:r w:rsidRPr="002E251E" w:rsidR="002E251E">
        <w:rPr>
          <w:color w:val="000000"/>
          <w:szCs w:val="22"/>
        </w:rPr>
        <w:t>and the</w:t>
      </w:r>
      <w:r w:rsidR="002E251E">
        <w:rPr>
          <w:i/>
          <w:iCs/>
          <w:color w:val="000000"/>
          <w:szCs w:val="22"/>
        </w:rPr>
        <w:t xml:space="preserve"> Tentative </w:t>
      </w:r>
      <w:r w:rsidR="00CE7ACB">
        <w:rPr>
          <w:i/>
          <w:iCs/>
          <w:color w:val="000000"/>
          <w:szCs w:val="22"/>
        </w:rPr>
        <w:t>Selectee Public Notice</w:t>
      </w:r>
      <w:r>
        <w:rPr>
          <w:rStyle w:val="FootnoteReference"/>
          <w:color w:val="000000"/>
          <w:szCs w:val="22"/>
        </w:rPr>
        <w:footnoteReference w:id="36"/>
      </w:r>
      <w:r w:rsidR="00CE7ACB">
        <w:rPr>
          <w:color w:val="000000"/>
          <w:szCs w:val="22"/>
        </w:rPr>
        <w:t xml:space="preserve"> </w:t>
      </w:r>
      <w:r w:rsidR="00A3787A">
        <w:rPr>
          <w:color w:val="000000"/>
          <w:szCs w:val="22"/>
        </w:rPr>
        <w:t xml:space="preserve">(collectively, LPFM Public Notices). </w:t>
      </w:r>
      <w:r w:rsidR="005028F6">
        <w:rPr>
          <w:color w:val="000000"/>
          <w:szCs w:val="22"/>
        </w:rPr>
        <w:t xml:space="preserve">  </w:t>
      </w:r>
    </w:p>
    <w:p w:rsidR="001B2BB3" w:rsidP="00E755C3" w14:paraId="725D093E" w14:textId="4A35B6DA">
      <w:pPr>
        <w:spacing w:after="120"/>
        <w:ind w:firstLine="720"/>
        <w:rPr>
          <w:color w:val="000000"/>
          <w:szCs w:val="22"/>
        </w:rPr>
      </w:pPr>
      <w:r>
        <w:rPr>
          <w:color w:val="000000"/>
          <w:szCs w:val="22"/>
        </w:rPr>
        <w:t xml:space="preserve">In the </w:t>
      </w:r>
      <w:r w:rsidR="00CE15DA">
        <w:rPr>
          <w:color w:val="000000"/>
          <w:szCs w:val="22"/>
        </w:rPr>
        <w:t xml:space="preserve">Second </w:t>
      </w:r>
      <w:r>
        <w:rPr>
          <w:color w:val="000000"/>
          <w:szCs w:val="22"/>
        </w:rPr>
        <w:t xml:space="preserve">Petition, </w:t>
      </w:r>
      <w:r w:rsidR="005028F6">
        <w:rPr>
          <w:color w:val="000000"/>
          <w:szCs w:val="22"/>
        </w:rPr>
        <w:t xml:space="preserve">HMM </w:t>
      </w:r>
      <w:r w:rsidR="002A49C1">
        <w:rPr>
          <w:color w:val="000000"/>
          <w:szCs w:val="22"/>
        </w:rPr>
        <w:t xml:space="preserve">does not dispute the Bureau’s waiver analysis but rather challenges the statutory authority for the LPFM minor amendment rule itself.  While </w:t>
      </w:r>
      <w:r w:rsidR="00E9118E">
        <w:rPr>
          <w:color w:val="000000"/>
          <w:szCs w:val="22"/>
        </w:rPr>
        <w:t>HMM</w:t>
      </w:r>
      <w:r w:rsidR="002A49C1">
        <w:rPr>
          <w:color w:val="000000"/>
          <w:szCs w:val="22"/>
        </w:rPr>
        <w:t xml:space="preserve"> </w:t>
      </w:r>
      <w:r w:rsidR="005028F6">
        <w:rPr>
          <w:color w:val="000000"/>
          <w:szCs w:val="22"/>
        </w:rPr>
        <w:t>does not</w:t>
      </w:r>
      <w:r>
        <w:rPr>
          <w:color w:val="000000"/>
          <w:szCs w:val="22"/>
        </w:rPr>
        <w:t xml:space="preserve"> mention</w:t>
      </w:r>
      <w:r w:rsidR="00D81121">
        <w:rPr>
          <w:color w:val="000000"/>
          <w:szCs w:val="22"/>
        </w:rPr>
        <w:t xml:space="preserve"> </w:t>
      </w:r>
      <w:r w:rsidR="00F35603">
        <w:rPr>
          <w:color w:val="000000"/>
          <w:szCs w:val="22"/>
        </w:rPr>
        <w:t>section 73.871</w:t>
      </w:r>
      <w:r w:rsidR="00652109">
        <w:rPr>
          <w:color w:val="000000"/>
          <w:szCs w:val="22"/>
        </w:rPr>
        <w:t>(c)</w:t>
      </w:r>
      <w:r w:rsidR="00D95731">
        <w:rPr>
          <w:color w:val="000000"/>
          <w:szCs w:val="22"/>
        </w:rPr>
        <w:t>,</w:t>
      </w:r>
      <w:r w:rsidR="006C5A65">
        <w:rPr>
          <w:color w:val="000000"/>
          <w:szCs w:val="22"/>
        </w:rPr>
        <w:t xml:space="preserve"> let alone</w:t>
      </w:r>
      <w:r w:rsidR="00E67262">
        <w:rPr>
          <w:color w:val="000000"/>
          <w:szCs w:val="22"/>
        </w:rPr>
        <w:t xml:space="preserve"> </w:t>
      </w:r>
      <w:r w:rsidR="00D95731">
        <w:rPr>
          <w:color w:val="000000"/>
          <w:szCs w:val="22"/>
        </w:rPr>
        <w:t xml:space="preserve">discuss </w:t>
      </w:r>
      <w:r w:rsidR="00AE691A">
        <w:rPr>
          <w:color w:val="000000"/>
          <w:szCs w:val="22"/>
        </w:rPr>
        <w:t xml:space="preserve">the validity of its </w:t>
      </w:r>
      <w:r w:rsidR="00F35603">
        <w:rPr>
          <w:color w:val="000000"/>
          <w:szCs w:val="22"/>
        </w:rPr>
        <w:t xml:space="preserve">adoption in the </w:t>
      </w:r>
      <w:r w:rsidR="005028F6">
        <w:rPr>
          <w:i/>
          <w:iCs/>
          <w:color w:val="000000"/>
          <w:szCs w:val="22"/>
        </w:rPr>
        <w:t>Second LPFM Report and Order</w:t>
      </w:r>
      <w:r w:rsidR="00D81121">
        <w:rPr>
          <w:color w:val="000000"/>
          <w:szCs w:val="22"/>
        </w:rPr>
        <w:t xml:space="preserve"> </w:t>
      </w:r>
      <w:r w:rsidR="00F35603">
        <w:rPr>
          <w:color w:val="000000"/>
          <w:szCs w:val="22"/>
        </w:rPr>
        <w:t xml:space="preserve">or its application in </w:t>
      </w:r>
      <w:r w:rsidR="00D81121">
        <w:rPr>
          <w:color w:val="000000"/>
          <w:szCs w:val="22"/>
        </w:rPr>
        <w:t xml:space="preserve">the </w:t>
      </w:r>
      <w:r w:rsidR="00E755C3">
        <w:rPr>
          <w:color w:val="000000"/>
          <w:szCs w:val="22"/>
        </w:rPr>
        <w:t xml:space="preserve">LPFM </w:t>
      </w:r>
      <w:r w:rsidR="009B2A22">
        <w:rPr>
          <w:color w:val="000000"/>
          <w:szCs w:val="22"/>
        </w:rPr>
        <w:t>P</w:t>
      </w:r>
      <w:r w:rsidR="00E755C3">
        <w:rPr>
          <w:color w:val="000000"/>
          <w:szCs w:val="22"/>
        </w:rPr>
        <w:t xml:space="preserve">ublic </w:t>
      </w:r>
      <w:r w:rsidR="009B2A22">
        <w:rPr>
          <w:color w:val="000000"/>
          <w:szCs w:val="22"/>
        </w:rPr>
        <w:t>N</w:t>
      </w:r>
      <w:r w:rsidR="00E755C3">
        <w:rPr>
          <w:color w:val="000000"/>
          <w:szCs w:val="22"/>
        </w:rPr>
        <w:t>otices</w:t>
      </w:r>
      <w:r w:rsidR="00E9118E">
        <w:rPr>
          <w:color w:val="000000"/>
          <w:szCs w:val="22"/>
        </w:rPr>
        <w:t>, it</w:t>
      </w:r>
      <w:r w:rsidR="005028F6">
        <w:rPr>
          <w:color w:val="000000"/>
          <w:szCs w:val="22"/>
        </w:rPr>
        <w:t xml:space="preserve"> takes the </w:t>
      </w:r>
      <w:r w:rsidR="00645B60">
        <w:rPr>
          <w:color w:val="000000"/>
          <w:szCs w:val="22"/>
        </w:rPr>
        <w:t xml:space="preserve">broad </w:t>
      </w:r>
      <w:r w:rsidR="005028F6">
        <w:rPr>
          <w:color w:val="000000"/>
          <w:szCs w:val="22"/>
        </w:rPr>
        <w:t>position that</w:t>
      </w:r>
      <w:r w:rsidR="00C81F8A">
        <w:rPr>
          <w:color w:val="000000"/>
          <w:szCs w:val="22"/>
        </w:rPr>
        <w:t xml:space="preserve"> </w:t>
      </w:r>
      <w:r w:rsidR="00C70D8F">
        <w:rPr>
          <w:color w:val="000000"/>
          <w:szCs w:val="22"/>
        </w:rPr>
        <w:t xml:space="preserve">section </w:t>
      </w:r>
      <w:r w:rsidR="00C81F8A">
        <w:rPr>
          <w:color w:val="000000"/>
          <w:szCs w:val="22"/>
        </w:rPr>
        <w:t xml:space="preserve">309(g) does not provide a statutory basis for the </w:t>
      </w:r>
      <w:r w:rsidR="00932059">
        <w:rPr>
          <w:color w:val="000000"/>
          <w:szCs w:val="22"/>
        </w:rPr>
        <w:t xml:space="preserve">prohibition on </w:t>
      </w:r>
      <w:r w:rsidR="00C81F8A">
        <w:rPr>
          <w:color w:val="000000"/>
          <w:szCs w:val="22"/>
        </w:rPr>
        <w:t>LPFM major amendment</w:t>
      </w:r>
      <w:r w:rsidR="00932059">
        <w:rPr>
          <w:color w:val="000000"/>
          <w:szCs w:val="22"/>
        </w:rPr>
        <w:t>s</w:t>
      </w:r>
      <w:r w:rsidR="00C81F8A">
        <w:rPr>
          <w:color w:val="000000"/>
          <w:szCs w:val="22"/>
        </w:rPr>
        <w:t xml:space="preserve"> because it is </w:t>
      </w:r>
      <w:r w:rsidR="00C81F8A">
        <w:rPr>
          <w:szCs w:val="22"/>
        </w:rPr>
        <w:t>“ambiguous” and “does not give the FCC express authority to dismiss applications such as that filed by HMM.”</w:t>
      </w:r>
      <w:r>
        <w:rPr>
          <w:rStyle w:val="FootnoteReference"/>
          <w:szCs w:val="22"/>
        </w:rPr>
        <w:footnoteReference w:id="37"/>
      </w:r>
      <w:r w:rsidR="00C81F8A">
        <w:rPr>
          <w:color w:val="000000"/>
          <w:szCs w:val="22"/>
        </w:rPr>
        <w:t xml:space="preserve"> </w:t>
      </w:r>
      <w:r w:rsidR="00FE3C53">
        <w:rPr>
          <w:color w:val="000000"/>
          <w:szCs w:val="22"/>
        </w:rPr>
        <w:t xml:space="preserve"> In addition, according to HMM, </w:t>
      </w:r>
      <w:r w:rsidR="005028F6">
        <w:rPr>
          <w:color w:val="000000"/>
          <w:szCs w:val="22"/>
        </w:rPr>
        <w:t>“</w:t>
      </w:r>
      <w:r w:rsidR="005028F6">
        <w:rPr>
          <w:i/>
          <w:iCs/>
          <w:color w:val="000000"/>
          <w:szCs w:val="22"/>
        </w:rPr>
        <w:t xml:space="preserve">Loper Bright </w:t>
      </w:r>
      <w:r w:rsidR="005028F6">
        <w:rPr>
          <w:color w:val="000000"/>
          <w:szCs w:val="22"/>
        </w:rPr>
        <w:t>brings most of the Commission’s rules, policies and procedures into legal question” and “Congress never gave the FCC a specific law to prevent the type of curative amendment we wanted . . .”</w:t>
      </w:r>
      <w:r>
        <w:rPr>
          <w:rStyle w:val="FootnoteReference"/>
          <w:color w:val="000000"/>
          <w:szCs w:val="22"/>
        </w:rPr>
        <w:footnoteReference w:id="38"/>
      </w:r>
      <w:r w:rsidR="005028F6">
        <w:rPr>
          <w:color w:val="000000"/>
          <w:szCs w:val="22"/>
        </w:rPr>
        <w:t xml:space="preserve">  </w:t>
      </w:r>
    </w:p>
    <w:p w:rsidR="005C132E" w:rsidP="009A71D5" w14:paraId="7ECCCDE3" w14:textId="70E26D52">
      <w:pPr>
        <w:spacing w:after="120"/>
        <w:ind w:firstLine="720"/>
      </w:pPr>
      <w:r>
        <w:rPr>
          <w:color w:val="000000"/>
          <w:szCs w:val="22"/>
        </w:rPr>
        <w:t xml:space="preserve">HMM’s </w:t>
      </w:r>
      <w:r w:rsidR="00C70D8F">
        <w:rPr>
          <w:color w:val="000000"/>
          <w:szCs w:val="22"/>
        </w:rPr>
        <w:t>s</w:t>
      </w:r>
      <w:r>
        <w:rPr>
          <w:color w:val="000000"/>
          <w:szCs w:val="22"/>
        </w:rPr>
        <w:t xml:space="preserve">ection 309(g) </w:t>
      </w:r>
      <w:r w:rsidR="007148DB">
        <w:rPr>
          <w:color w:val="000000"/>
          <w:szCs w:val="22"/>
        </w:rPr>
        <w:t xml:space="preserve">argument is untimely and unfounded.  </w:t>
      </w:r>
      <w:r w:rsidR="009971DF">
        <w:rPr>
          <w:color w:val="000000"/>
          <w:szCs w:val="22"/>
        </w:rPr>
        <w:t xml:space="preserve">The </w:t>
      </w:r>
      <w:r w:rsidR="00932059">
        <w:rPr>
          <w:color w:val="000000"/>
          <w:szCs w:val="22"/>
        </w:rPr>
        <w:t xml:space="preserve">statutory </w:t>
      </w:r>
      <w:r w:rsidR="009971DF">
        <w:rPr>
          <w:color w:val="000000"/>
          <w:szCs w:val="22"/>
        </w:rPr>
        <w:t xml:space="preserve">deadline for challenging the statutory basis of section </w:t>
      </w:r>
      <w:r w:rsidR="007028B5">
        <w:rPr>
          <w:color w:val="000000"/>
          <w:szCs w:val="22"/>
        </w:rPr>
        <w:t>73.871(c)</w:t>
      </w:r>
      <w:r w:rsidR="00FA20C2">
        <w:rPr>
          <w:color w:val="000000"/>
          <w:szCs w:val="22"/>
        </w:rPr>
        <w:t>, which was adopted in 2001,</w:t>
      </w:r>
      <w:r w:rsidR="007028B5">
        <w:rPr>
          <w:color w:val="000000"/>
          <w:szCs w:val="22"/>
        </w:rPr>
        <w:t xml:space="preserve"> </w:t>
      </w:r>
      <w:r w:rsidR="009C6829">
        <w:rPr>
          <w:color w:val="000000"/>
          <w:szCs w:val="22"/>
        </w:rPr>
        <w:t>passed</w:t>
      </w:r>
      <w:r w:rsidR="007028B5">
        <w:rPr>
          <w:color w:val="000000"/>
          <w:szCs w:val="22"/>
        </w:rPr>
        <w:t xml:space="preserve"> </w:t>
      </w:r>
      <w:r w:rsidR="009C6829">
        <w:rPr>
          <w:color w:val="000000"/>
          <w:szCs w:val="22"/>
        </w:rPr>
        <w:t>decades ago</w:t>
      </w:r>
      <w:r w:rsidR="007028B5">
        <w:rPr>
          <w:color w:val="000000"/>
          <w:szCs w:val="22"/>
        </w:rPr>
        <w:t>.</w:t>
      </w:r>
      <w:r>
        <w:rPr>
          <w:rStyle w:val="FootnoteReference"/>
          <w:color w:val="000000"/>
          <w:szCs w:val="22"/>
        </w:rPr>
        <w:footnoteReference w:id="39"/>
      </w:r>
      <w:r w:rsidR="00A678AC">
        <w:rPr>
          <w:color w:val="000000"/>
          <w:szCs w:val="22"/>
        </w:rPr>
        <w:t xml:space="preserve"> </w:t>
      </w:r>
      <w:r w:rsidR="007D2368">
        <w:rPr>
          <w:color w:val="000000"/>
          <w:szCs w:val="22"/>
        </w:rPr>
        <w:t xml:space="preserve"> </w:t>
      </w:r>
      <w:r w:rsidR="00861DF9">
        <w:rPr>
          <w:color w:val="000000"/>
          <w:szCs w:val="22"/>
        </w:rPr>
        <w:t xml:space="preserve">Therefore, this argument is procedurally inadmissible as a basis for reconsideration.  </w:t>
      </w:r>
      <w:r w:rsidR="00396F16">
        <w:rPr>
          <w:color w:val="000000"/>
          <w:szCs w:val="22"/>
        </w:rPr>
        <w:t>Furthermore,</w:t>
      </w:r>
      <w:r w:rsidR="00861DF9">
        <w:rPr>
          <w:color w:val="000000"/>
          <w:szCs w:val="22"/>
        </w:rPr>
        <w:t xml:space="preserve"> the LPFM </w:t>
      </w:r>
      <w:r w:rsidR="0024655A">
        <w:rPr>
          <w:color w:val="000000"/>
          <w:szCs w:val="22"/>
        </w:rPr>
        <w:t>minor</w:t>
      </w:r>
      <w:r w:rsidR="00C8602E">
        <w:rPr>
          <w:color w:val="000000"/>
          <w:szCs w:val="22"/>
        </w:rPr>
        <w:t xml:space="preserve"> amendment rule</w:t>
      </w:r>
      <w:r w:rsidR="00F74EB2">
        <w:rPr>
          <w:color w:val="000000"/>
          <w:szCs w:val="22"/>
        </w:rPr>
        <w:t xml:space="preserve"> </w:t>
      </w:r>
      <w:r w:rsidR="00396F16">
        <w:rPr>
          <w:color w:val="000000"/>
          <w:szCs w:val="22"/>
        </w:rPr>
        <w:t>falls squarely</w:t>
      </w:r>
      <w:r w:rsidR="00F74EB2">
        <w:rPr>
          <w:color w:val="000000"/>
          <w:szCs w:val="22"/>
        </w:rPr>
        <w:t xml:space="preserve"> within the Commission’s </w:t>
      </w:r>
      <w:r w:rsidR="0040123F">
        <w:rPr>
          <w:color w:val="000000"/>
          <w:szCs w:val="22"/>
        </w:rPr>
        <w:t>fundamental</w:t>
      </w:r>
      <w:r w:rsidR="00F74EB2">
        <w:rPr>
          <w:color w:val="000000"/>
          <w:szCs w:val="22"/>
        </w:rPr>
        <w:t xml:space="preserve"> authority to </w:t>
      </w:r>
      <w:r w:rsidR="003007D2">
        <w:rPr>
          <w:color w:val="000000"/>
          <w:szCs w:val="22"/>
        </w:rPr>
        <w:t xml:space="preserve">make rules </w:t>
      </w:r>
      <w:r w:rsidR="00197ED3">
        <w:rPr>
          <w:color w:val="000000"/>
          <w:szCs w:val="22"/>
        </w:rPr>
        <w:t>governing</w:t>
      </w:r>
      <w:r w:rsidR="003007D2">
        <w:rPr>
          <w:color w:val="000000"/>
          <w:szCs w:val="22"/>
        </w:rPr>
        <w:t xml:space="preserve"> the </w:t>
      </w:r>
      <w:r w:rsidR="00F74EB2">
        <w:rPr>
          <w:color w:val="000000"/>
          <w:szCs w:val="22"/>
        </w:rPr>
        <w:t>assign</w:t>
      </w:r>
      <w:r w:rsidR="003007D2">
        <w:rPr>
          <w:color w:val="000000"/>
          <w:szCs w:val="22"/>
        </w:rPr>
        <w:t xml:space="preserve">ment of </w:t>
      </w:r>
      <w:r w:rsidR="0040123F">
        <w:rPr>
          <w:color w:val="000000"/>
          <w:szCs w:val="22"/>
        </w:rPr>
        <w:t>radio frequencies.  T</w:t>
      </w:r>
      <w:r w:rsidRPr="00E11908" w:rsidR="00E11908">
        <w:rPr>
          <w:color w:val="000000"/>
          <w:szCs w:val="22"/>
        </w:rPr>
        <w:t>he Communications Act of 1934 tasks the Commission with regulating “all the channels of radio transmission”</w:t>
      </w:r>
      <w:r w:rsidR="008F5811">
        <w:rPr>
          <w:color w:val="000000"/>
          <w:szCs w:val="22"/>
        </w:rPr>
        <w:t xml:space="preserve"> </w:t>
      </w:r>
      <w:r w:rsidR="00C76535">
        <w:rPr>
          <w:color w:val="000000"/>
          <w:szCs w:val="22"/>
        </w:rPr>
        <w:t>and “</w:t>
      </w:r>
      <w:r w:rsidR="00C76535">
        <w:rPr>
          <w:color w:val="000000"/>
          <w:szCs w:val="22"/>
        </w:rPr>
        <w:t>provid</w:t>
      </w:r>
      <w:r w:rsidR="00C76535">
        <w:rPr>
          <w:color w:val="000000"/>
          <w:szCs w:val="22"/>
        </w:rPr>
        <w:t>[</w:t>
      </w:r>
      <w:r w:rsidR="00C76535">
        <w:rPr>
          <w:color w:val="000000"/>
          <w:szCs w:val="22"/>
        </w:rPr>
        <w:t>ing</w:t>
      </w:r>
      <w:r w:rsidR="00C76535">
        <w:rPr>
          <w:color w:val="000000"/>
          <w:szCs w:val="22"/>
        </w:rPr>
        <w:t>] for the use of such channels</w:t>
      </w:r>
      <w:r w:rsidR="00642110">
        <w:rPr>
          <w:color w:val="000000"/>
          <w:szCs w:val="22"/>
        </w:rPr>
        <w:t xml:space="preserve"> . . . under licenses granted by Federal authority . . .”</w:t>
      </w:r>
      <w:r>
        <w:rPr>
          <w:rStyle w:val="FootnoteReference"/>
          <w:color w:val="000000"/>
          <w:szCs w:val="22"/>
        </w:rPr>
        <w:footnoteReference w:id="40"/>
      </w:r>
      <w:r w:rsidR="00642110">
        <w:rPr>
          <w:color w:val="000000"/>
          <w:szCs w:val="22"/>
        </w:rPr>
        <w:t xml:space="preserve">  Section </w:t>
      </w:r>
      <w:r w:rsidR="007D2368">
        <w:rPr>
          <w:color w:val="000000"/>
          <w:szCs w:val="22"/>
        </w:rPr>
        <w:t xml:space="preserve">309 </w:t>
      </w:r>
      <w:r w:rsidR="000622A3">
        <w:rPr>
          <w:color w:val="000000"/>
          <w:szCs w:val="22"/>
        </w:rPr>
        <w:t xml:space="preserve">of the Act </w:t>
      </w:r>
      <w:r w:rsidR="00BC7257">
        <w:rPr>
          <w:color w:val="000000"/>
          <w:szCs w:val="22"/>
        </w:rPr>
        <w:t xml:space="preserve">sets forth </w:t>
      </w:r>
      <w:r w:rsidR="00642110">
        <w:rPr>
          <w:color w:val="000000"/>
          <w:szCs w:val="22"/>
        </w:rPr>
        <w:t xml:space="preserve">the </w:t>
      </w:r>
      <w:r w:rsidR="00BC7257">
        <w:rPr>
          <w:color w:val="000000"/>
          <w:szCs w:val="22"/>
        </w:rPr>
        <w:t>procedur</w:t>
      </w:r>
      <w:r w:rsidR="002B131C">
        <w:rPr>
          <w:color w:val="000000"/>
          <w:szCs w:val="22"/>
        </w:rPr>
        <w:t>al framework</w:t>
      </w:r>
      <w:r w:rsidR="00BC7257">
        <w:rPr>
          <w:color w:val="000000"/>
          <w:szCs w:val="22"/>
        </w:rPr>
        <w:t xml:space="preserve"> for obtaining</w:t>
      </w:r>
      <w:r w:rsidR="00680B71">
        <w:rPr>
          <w:color w:val="000000"/>
          <w:szCs w:val="22"/>
        </w:rPr>
        <w:t xml:space="preserve"> </w:t>
      </w:r>
      <w:r w:rsidR="00642110">
        <w:rPr>
          <w:color w:val="000000"/>
          <w:szCs w:val="22"/>
        </w:rPr>
        <w:t>such license</w:t>
      </w:r>
      <w:r w:rsidR="00510A5A">
        <w:rPr>
          <w:color w:val="000000"/>
          <w:szCs w:val="22"/>
        </w:rPr>
        <w:t>s</w:t>
      </w:r>
      <w:r w:rsidR="000B4DE8">
        <w:rPr>
          <w:color w:val="000000"/>
          <w:szCs w:val="22"/>
        </w:rPr>
        <w:t>.</w:t>
      </w:r>
      <w:r>
        <w:rPr>
          <w:rStyle w:val="FootnoteReference"/>
          <w:color w:val="000000"/>
          <w:szCs w:val="22"/>
        </w:rPr>
        <w:footnoteReference w:id="41"/>
      </w:r>
      <w:r w:rsidR="0027615A">
        <w:rPr>
          <w:color w:val="000000"/>
          <w:szCs w:val="22"/>
        </w:rPr>
        <w:t xml:space="preserve">  It </w:t>
      </w:r>
      <w:r w:rsidR="002B546D">
        <w:rPr>
          <w:color w:val="000000"/>
          <w:szCs w:val="22"/>
        </w:rPr>
        <w:t xml:space="preserve">sets forth the crucial distinction </w:t>
      </w:r>
      <w:r w:rsidR="0027615A">
        <w:rPr>
          <w:color w:val="000000"/>
          <w:szCs w:val="22"/>
        </w:rPr>
        <w:t>between major and minor</w:t>
      </w:r>
      <w:r w:rsidR="00E71407">
        <w:rPr>
          <w:color w:val="000000"/>
          <w:szCs w:val="22"/>
        </w:rPr>
        <w:t xml:space="preserve"> applications and</w:t>
      </w:r>
      <w:r w:rsidR="0027615A">
        <w:rPr>
          <w:color w:val="000000"/>
          <w:szCs w:val="22"/>
        </w:rPr>
        <w:t xml:space="preserve"> </w:t>
      </w:r>
      <w:r w:rsidR="00472E30">
        <w:rPr>
          <w:color w:val="000000"/>
          <w:szCs w:val="22"/>
        </w:rPr>
        <w:t>amendments</w:t>
      </w:r>
      <w:r w:rsidR="00E729EE">
        <w:rPr>
          <w:color w:val="000000"/>
          <w:szCs w:val="22"/>
        </w:rPr>
        <w:t xml:space="preserve"> and exempts</w:t>
      </w:r>
      <w:r w:rsidR="00472E30">
        <w:rPr>
          <w:color w:val="000000"/>
          <w:szCs w:val="22"/>
        </w:rPr>
        <w:t xml:space="preserve"> </w:t>
      </w:r>
      <w:r w:rsidR="00E71407">
        <w:rPr>
          <w:color w:val="000000"/>
          <w:szCs w:val="22"/>
        </w:rPr>
        <w:t>minor applications and amendments</w:t>
      </w:r>
      <w:r w:rsidR="00472E30">
        <w:rPr>
          <w:color w:val="000000"/>
          <w:szCs w:val="22"/>
        </w:rPr>
        <w:t xml:space="preserve"> from</w:t>
      </w:r>
      <w:r w:rsidR="00F271C3">
        <w:rPr>
          <w:color w:val="000000"/>
          <w:szCs w:val="22"/>
        </w:rPr>
        <w:t xml:space="preserve">, e.g., </w:t>
      </w:r>
      <w:r w:rsidR="00472E30">
        <w:rPr>
          <w:color w:val="000000"/>
          <w:szCs w:val="22"/>
        </w:rPr>
        <w:t>the statutory 30-day public notice and waiting period requirement</w:t>
      </w:r>
      <w:r w:rsidR="00A27256">
        <w:rPr>
          <w:color w:val="000000"/>
          <w:szCs w:val="22"/>
        </w:rPr>
        <w:t>.</w:t>
      </w:r>
      <w:r>
        <w:rPr>
          <w:rStyle w:val="FootnoteReference"/>
          <w:color w:val="000000"/>
          <w:szCs w:val="22"/>
        </w:rPr>
        <w:footnoteReference w:id="42"/>
      </w:r>
      <w:r w:rsidR="007B328E">
        <w:rPr>
          <w:color w:val="000000"/>
          <w:szCs w:val="22"/>
        </w:rPr>
        <w:t xml:space="preserve">  </w:t>
      </w:r>
      <w:r w:rsidR="005A6BDF">
        <w:rPr>
          <w:color w:val="000000"/>
          <w:szCs w:val="22"/>
        </w:rPr>
        <w:t>Section 309(g)</w:t>
      </w:r>
      <w:r w:rsidR="00691F86">
        <w:rPr>
          <w:color w:val="000000"/>
          <w:szCs w:val="22"/>
        </w:rPr>
        <w:t xml:space="preserve"> </w:t>
      </w:r>
      <w:r w:rsidR="005A6BDF">
        <w:rPr>
          <w:color w:val="000000"/>
          <w:szCs w:val="22"/>
        </w:rPr>
        <w:t>authorize</w:t>
      </w:r>
      <w:r w:rsidR="00C56BC0">
        <w:rPr>
          <w:color w:val="000000"/>
          <w:szCs w:val="22"/>
        </w:rPr>
        <w:t>s</w:t>
      </w:r>
      <w:r w:rsidR="005A6BDF">
        <w:rPr>
          <w:color w:val="000000"/>
          <w:szCs w:val="22"/>
        </w:rPr>
        <w:t xml:space="preserve"> the Commission to “</w:t>
      </w:r>
      <w:r w:rsidRPr="00145051" w:rsidR="00EB6436">
        <w:t xml:space="preserve">adopt reasonable classifications of applications </w:t>
      </w:r>
      <w:r w:rsidRPr="005A6BDF" w:rsidR="00EB6436">
        <w:t>and amendments</w:t>
      </w:r>
      <w:r w:rsidRPr="008364BE" w:rsidR="00EB6436">
        <w:rPr>
          <w:i/>
          <w:iCs/>
        </w:rPr>
        <w:t xml:space="preserve"> </w:t>
      </w:r>
      <w:r w:rsidRPr="00145051" w:rsidR="00EB6436">
        <w:t>in order to effectuate the purposes of this section</w:t>
      </w:r>
      <w:r w:rsidR="00EB6436">
        <w:t>.”</w:t>
      </w:r>
      <w:r>
        <w:rPr>
          <w:rStyle w:val="FootnoteReference"/>
        </w:rPr>
        <w:footnoteReference w:id="43"/>
      </w:r>
      <w:r w:rsidR="00A052E1">
        <w:t xml:space="preserve">  </w:t>
      </w:r>
      <w:r w:rsidR="00AE691A">
        <w:t>T</w:t>
      </w:r>
      <w:r w:rsidR="00E525FD">
        <w:t xml:space="preserve">he Commission has </w:t>
      </w:r>
      <w:r w:rsidR="00D92BF3">
        <w:t>adopted</w:t>
      </w:r>
      <w:r w:rsidR="00436DE5">
        <w:t xml:space="preserve"> </w:t>
      </w:r>
      <w:r w:rsidR="00AE691A">
        <w:t xml:space="preserve">multiple </w:t>
      </w:r>
      <w:r w:rsidR="00436DE5">
        <w:t>rules</w:t>
      </w:r>
      <w:r w:rsidR="00D92BF3">
        <w:t xml:space="preserve"> </w:t>
      </w:r>
      <w:r w:rsidR="00AE691A">
        <w:t xml:space="preserve">under </w:t>
      </w:r>
      <w:r w:rsidR="00C70D8F">
        <w:t xml:space="preserve">section </w:t>
      </w:r>
      <w:r w:rsidR="00AE691A">
        <w:t xml:space="preserve">309(g), </w:t>
      </w:r>
      <w:r w:rsidR="00E525FD">
        <w:t>classif</w:t>
      </w:r>
      <w:r w:rsidR="00D92BF3">
        <w:t>ying</w:t>
      </w:r>
      <w:r w:rsidR="001B5D68">
        <w:t xml:space="preserve"> major and minor </w:t>
      </w:r>
      <w:r w:rsidR="0046223C">
        <w:t xml:space="preserve">applications and amendments </w:t>
      </w:r>
      <w:r w:rsidR="00AE691A">
        <w:t>in various</w:t>
      </w:r>
      <w:r w:rsidR="006423AF">
        <w:t xml:space="preserve"> </w:t>
      </w:r>
      <w:r w:rsidR="001B5D68">
        <w:t>services.</w:t>
      </w:r>
      <w:r>
        <w:rPr>
          <w:rStyle w:val="FootnoteReference"/>
        </w:rPr>
        <w:footnoteReference w:id="44"/>
      </w:r>
      <w:r w:rsidR="001B5D68">
        <w:t xml:space="preserve">  </w:t>
      </w:r>
      <w:r w:rsidR="00652109">
        <w:t xml:space="preserve">Defining </w:t>
      </w:r>
      <w:r w:rsidR="00C13DB9">
        <w:t xml:space="preserve">a </w:t>
      </w:r>
      <w:r w:rsidR="0033646B">
        <w:t>channel change as</w:t>
      </w:r>
      <w:r w:rsidR="00C13DB9">
        <w:t xml:space="preserve"> a</w:t>
      </w:r>
      <w:r w:rsidR="004F6DC7">
        <w:t xml:space="preserve"> </w:t>
      </w:r>
      <w:r w:rsidR="0033646B">
        <w:t>major</w:t>
      </w:r>
      <w:r w:rsidR="004F6DC7">
        <w:t xml:space="preserve"> amendment</w:t>
      </w:r>
      <w:r w:rsidR="00652109">
        <w:t xml:space="preserve"> to</w:t>
      </w:r>
      <w:r w:rsidR="00C13DB9">
        <w:t xml:space="preserve"> a</w:t>
      </w:r>
      <w:r w:rsidR="002B546D">
        <w:t xml:space="preserve"> </w:t>
      </w:r>
      <w:r w:rsidR="0046223C">
        <w:t xml:space="preserve">pending </w:t>
      </w:r>
      <w:r w:rsidR="002B546D">
        <w:t>new LPFM applica</w:t>
      </w:r>
      <w:r w:rsidR="00652109">
        <w:t>tion</w:t>
      </w:r>
      <w:r w:rsidR="002B546D">
        <w:t xml:space="preserve"> </w:t>
      </w:r>
      <w:r w:rsidR="0033646B">
        <w:t xml:space="preserve">is </w:t>
      </w:r>
      <w:r w:rsidR="00AE691A">
        <w:t>one such</w:t>
      </w:r>
      <w:r w:rsidR="0033646B">
        <w:t xml:space="preserve"> reasonable classification.  </w:t>
      </w:r>
    </w:p>
    <w:p w:rsidR="00990AB6" w:rsidP="009A71D5" w14:paraId="4E5C8B62" w14:textId="1516A993">
      <w:pPr>
        <w:spacing w:after="120"/>
        <w:ind w:firstLine="720"/>
      </w:pPr>
      <w:r>
        <w:t>When it adopted section 73.</w:t>
      </w:r>
      <w:r w:rsidR="00A929D9">
        <w:t>871</w:t>
      </w:r>
      <w:r w:rsidR="00652109">
        <w:t>(c)</w:t>
      </w:r>
      <w:r w:rsidR="00A929D9">
        <w:t>, the Commission</w:t>
      </w:r>
      <w:r w:rsidR="00FF4389">
        <w:t xml:space="preserve"> explained</w:t>
      </w:r>
      <w:r w:rsidR="00A929D9">
        <w:t xml:space="preserve"> the </w:t>
      </w:r>
      <w:r w:rsidR="00652109">
        <w:t xml:space="preserve">purpose of </w:t>
      </w:r>
      <w:r w:rsidR="00A929D9">
        <w:t>th</w:t>
      </w:r>
      <w:r w:rsidR="005C132E">
        <w:t>e</w:t>
      </w:r>
      <w:r w:rsidR="00A929D9">
        <w:t xml:space="preserve"> </w:t>
      </w:r>
      <w:r w:rsidR="005C132E">
        <w:t xml:space="preserve">LPFM minor change </w:t>
      </w:r>
      <w:r w:rsidR="00A929D9">
        <w:t>classification</w:t>
      </w:r>
      <w:r w:rsidR="00652109">
        <w:t>:</w:t>
      </w:r>
      <w:r w:rsidR="000C36C3">
        <w:t xml:space="preserve"> “</w:t>
      </w:r>
      <w:r w:rsidRPr="000C36C3" w:rsidR="000C36C3">
        <w:t xml:space="preserve">Providing an opportunity to amend to different channels after the close of a window </w:t>
      </w:r>
      <w:r w:rsidRPr="000C36C3" w:rsidR="000C36C3">
        <w:t>would make staff determinations of mutual exclusivity and the administration of the selection procedure for mutually exclusive applications inherently subject to duplicative reevaluations.</w:t>
      </w:r>
      <w:r w:rsidR="004D3D83">
        <w:t>”</w:t>
      </w:r>
      <w:r>
        <w:rPr>
          <w:rStyle w:val="FootnoteReference"/>
        </w:rPr>
        <w:footnoteReference w:id="45"/>
      </w:r>
      <w:r w:rsidR="002B546D">
        <w:t xml:space="preserve">  </w:t>
      </w:r>
      <w:r w:rsidR="008B10B0">
        <w:t xml:space="preserve">We affirm this reasoning and </w:t>
      </w:r>
      <w:r w:rsidR="00652109">
        <w:t xml:space="preserve">will not require </w:t>
      </w:r>
      <w:r w:rsidR="008B10B0">
        <w:t xml:space="preserve">Bureau processing staff to </w:t>
      </w:r>
      <w:r w:rsidR="00C65519">
        <w:t>reevaluate</w:t>
      </w:r>
      <w:r w:rsidR="008B10B0">
        <w:t xml:space="preserve"> the Application</w:t>
      </w:r>
      <w:r w:rsidR="00C65519">
        <w:t xml:space="preserve"> </w:t>
      </w:r>
      <w:r w:rsidR="00652109">
        <w:t>using</w:t>
      </w:r>
      <w:r w:rsidR="00C65519">
        <w:t xml:space="preserve"> a new</w:t>
      </w:r>
      <w:r w:rsidR="002B546D">
        <w:t xml:space="preserve"> non-adjacent</w:t>
      </w:r>
      <w:r w:rsidR="00C65519">
        <w:t xml:space="preserve"> channel</w:t>
      </w:r>
      <w:r w:rsidR="008B10B0">
        <w:t xml:space="preserve">, </w:t>
      </w:r>
      <w:r w:rsidR="00C65519">
        <w:t>which would entail</w:t>
      </w:r>
      <w:r w:rsidR="008B10B0">
        <w:t xml:space="preserve"> </w:t>
      </w:r>
      <w:r w:rsidR="002B546D">
        <w:t xml:space="preserve">not only </w:t>
      </w:r>
      <w:r w:rsidR="00652109">
        <w:t>repeating the</w:t>
      </w:r>
      <w:r w:rsidR="00C65519">
        <w:t xml:space="preserve"> technical review regarding, e.g., spacing compliance</w:t>
      </w:r>
      <w:r w:rsidR="002B546D">
        <w:t>,</w:t>
      </w:r>
      <w:r w:rsidR="00C65519">
        <w:t xml:space="preserve"> but also a</w:t>
      </w:r>
      <w:r w:rsidR="00652109">
        <w:t xml:space="preserve"> fresh</w:t>
      </w:r>
      <w:r w:rsidR="00C65519">
        <w:t xml:space="preserve"> determination of</w:t>
      </w:r>
      <w:r w:rsidR="008B10B0">
        <w:t xml:space="preserve"> whether </w:t>
      </w:r>
      <w:r w:rsidR="00C65519">
        <w:t xml:space="preserve">the </w:t>
      </w:r>
      <w:r w:rsidR="00652109">
        <w:t xml:space="preserve">amended </w:t>
      </w:r>
      <w:r w:rsidR="00C65519">
        <w:t>Application</w:t>
      </w:r>
      <w:r w:rsidR="008B10B0">
        <w:t xml:space="preserve"> would be part of a</w:t>
      </w:r>
      <w:r w:rsidR="00C65519">
        <w:t xml:space="preserve"> new, </w:t>
      </w:r>
      <w:r w:rsidR="008B10B0">
        <w:t>existing</w:t>
      </w:r>
      <w:r w:rsidR="00C65519">
        <w:t>,</w:t>
      </w:r>
      <w:r w:rsidR="008B10B0">
        <w:t xml:space="preserve"> or</w:t>
      </w:r>
      <w:r w:rsidR="00C65519">
        <w:t xml:space="preserve"> already-</w:t>
      </w:r>
      <w:r w:rsidR="008B10B0">
        <w:t xml:space="preserve">resolved MX group.  </w:t>
      </w:r>
      <w:r w:rsidR="002B546D">
        <w:t xml:space="preserve">Such </w:t>
      </w:r>
      <w:r w:rsidR="00652109">
        <w:t xml:space="preserve">a </w:t>
      </w:r>
      <w:r w:rsidR="002B546D">
        <w:t>duplicative reevaluation</w:t>
      </w:r>
      <w:r w:rsidR="00652109">
        <w:t xml:space="preserve"> would be</w:t>
      </w:r>
      <w:r w:rsidR="002B546D">
        <w:t xml:space="preserve"> the precise harm the Commission sought to avoid when it adopted section 73.871</w:t>
      </w:r>
      <w:r w:rsidR="00652109">
        <w:t>(c)</w:t>
      </w:r>
      <w:r w:rsidR="002B546D">
        <w:t xml:space="preserve">. </w:t>
      </w:r>
      <w:r w:rsidR="00C65519">
        <w:t xml:space="preserve"> </w:t>
      </w:r>
    </w:p>
    <w:p w:rsidR="00A814CD" w:rsidRPr="00A64B99" w:rsidP="00A814CD" w14:paraId="5E45D6B3" w14:textId="3988CD90">
      <w:pPr>
        <w:spacing w:after="120"/>
        <w:ind w:firstLine="720"/>
        <w:rPr>
          <w:color w:val="000000"/>
          <w:szCs w:val="22"/>
        </w:rPr>
      </w:pPr>
      <w:r>
        <w:rPr>
          <w:color w:val="000000"/>
          <w:szCs w:val="22"/>
        </w:rPr>
        <w:t xml:space="preserve">Nor are we persuaded that </w:t>
      </w:r>
      <w:r>
        <w:rPr>
          <w:i/>
          <w:iCs/>
          <w:color w:val="000000"/>
          <w:szCs w:val="22"/>
        </w:rPr>
        <w:t xml:space="preserve">Loper Bright </w:t>
      </w:r>
      <w:r>
        <w:rPr>
          <w:color w:val="000000"/>
          <w:szCs w:val="22"/>
        </w:rPr>
        <w:t>constitute</w:t>
      </w:r>
      <w:r w:rsidR="0046223C">
        <w:rPr>
          <w:color w:val="000000"/>
          <w:szCs w:val="22"/>
        </w:rPr>
        <w:t>s</w:t>
      </w:r>
      <w:r>
        <w:rPr>
          <w:color w:val="000000"/>
          <w:szCs w:val="22"/>
        </w:rPr>
        <w:t xml:space="preserve"> changed circumstances warranting reconsideration under section 1.106(b)(2) of the </w:t>
      </w:r>
      <w:r w:rsidR="00C70D8F">
        <w:rPr>
          <w:color w:val="000000"/>
          <w:szCs w:val="22"/>
        </w:rPr>
        <w:t>R</w:t>
      </w:r>
      <w:r>
        <w:rPr>
          <w:color w:val="000000"/>
          <w:szCs w:val="22"/>
        </w:rPr>
        <w:t xml:space="preserve">ules.  In </w:t>
      </w:r>
      <w:r>
        <w:rPr>
          <w:i/>
          <w:iCs/>
          <w:color w:val="000000"/>
          <w:szCs w:val="22"/>
        </w:rPr>
        <w:t>Loper Bright</w:t>
      </w:r>
      <w:r>
        <w:rPr>
          <w:color w:val="000000"/>
          <w:szCs w:val="22"/>
        </w:rPr>
        <w:t>, the Supreme Court did not eliminate</w:t>
      </w:r>
      <w:r w:rsidR="00C274E3">
        <w:rPr>
          <w:color w:val="000000"/>
          <w:szCs w:val="22"/>
        </w:rPr>
        <w:t xml:space="preserve"> or</w:t>
      </w:r>
      <w:r>
        <w:rPr>
          <w:color w:val="000000"/>
          <w:szCs w:val="22"/>
        </w:rPr>
        <w:t xml:space="preserve"> change the LPFM </w:t>
      </w:r>
      <w:r w:rsidR="0024655A">
        <w:rPr>
          <w:color w:val="000000"/>
          <w:szCs w:val="22"/>
        </w:rPr>
        <w:t>minor amendment</w:t>
      </w:r>
      <w:r>
        <w:rPr>
          <w:color w:val="000000"/>
          <w:szCs w:val="22"/>
        </w:rPr>
        <w:t xml:space="preserve"> rule, which remains in full force and effect.  Therefore, </w:t>
      </w:r>
      <w:r>
        <w:rPr>
          <w:i/>
          <w:iCs/>
          <w:color w:val="000000"/>
          <w:szCs w:val="22"/>
        </w:rPr>
        <w:t xml:space="preserve">Loper Bright </w:t>
      </w:r>
      <w:r>
        <w:rPr>
          <w:color w:val="000000"/>
          <w:szCs w:val="22"/>
        </w:rPr>
        <w:t xml:space="preserve">does not provide a basis for reconsidering the Bureau’s action in </w:t>
      </w:r>
      <w:r w:rsidR="007A1473">
        <w:rPr>
          <w:color w:val="000000"/>
          <w:szCs w:val="22"/>
        </w:rPr>
        <w:t xml:space="preserve">applying </w:t>
      </w:r>
      <w:r w:rsidR="00FF3BD1">
        <w:rPr>
          <w:color w:val="000000"/>
          <w:szCs w:val="22"/>
        </w:rPr>
        <w:t xml:space="preserve">section 73.871(c) and </w:t>
      </w:r>
      <w:r>
        <w:rPr>
          <w:color w:val="000000"/>
          <w:szCs w:val="22"/>
        </w:rPr>
        <w:t>dismissing the Application.  It is necessary and well established that an agency must follow its own rules.</w:t>
      </w:r>
      <w:r>
        <w:rPr>
          <w:rStyle w:val="FootnoteReference"/>
          <w:color w:val="000000"/>
          <w:szCs w:val="22"/>
        </w:rPr>
        <w:footnoteReference w:id="46"/>
      </w:r>
      <w:r>
        <w:rPr>
          <w:color w:val="000000"/>
          <w:szCs w:val="22"/>
        </w:rPr>
        <w:t xml:space="preserve">  </w:t>
      </w:r>
      <w:r w:rsidR="00FF3BD1">
        <w:rPr>
          <w:color w:val="000000"/>
          <w:szCs w:val="22"/>
        </w:rPr>
        <w:t>W</w:t>
      </w:r>
      <w:r>
        <w:rPr>
          <w:color w:val="000000"/>
          <w:szCs w:val="22"/>
        </w:rPr>
        <w:t xml:space="preserve">hen processing the Application, Bureau staff was obliged to either apply the LPFM </w:t>
      </w:r>
      <w:r w:rsidR="0024655A">
        <w:rPr>
          <w:color w:val="000000"/>
          <w:szCs w:val="22"/>
        </w:rPr>
        <w:t>minor amendment</w:t>
      </w:r>
      <w:r>
        <w:rPr>
          <w:color w:val="000000"/>
          <w:szCs w:val="22"/>
        </w:rPr>
        <w:t xml:space="preserve"> rule or waive it.  The Bureau analyzed HMM’s waiver request under the waiver standard set out in section 1.3 of the Rules and </w:t>
      </w:r>
      <w:r>
        <w:rPr>
          <w:i/>
          <w:iCs/>
          <w:color w:val="000000"/>
          <w:szCs w:val="22"/>
        </w:rPr>
        <w:t>WAIT Radio.</w:t>
      </w:r>
      <w:r>
        <w:rPr>
          <w:rStyle w:val="FootnoteReference"/>
          <w:color w:val="000000"/>
          <w:szCs w:val="22"/>
        </w:rPr>
        <w:footnoteReference w:id="47"/>
      </w:r>
      <w:r w:rsidRPr="00E61126">
        <w:rPr>
          <w:color w:val="000000"/>
          <w:szCs w:val="22"/>
        </w:rPr>
        <w:t xml:space="preserve"> </w:t>
      </w:r>
      <w:r>
        <w:rPr>
          <w:szCs w:val="22"/>
        </w:rPr>
        <w:t xml:space="preserve"> Under this standard, waiver is appropriate only if both (1</w:t>
      </w:r>
      <w:r w:rsidRPr="00F81B8C">
        <w:rPr>
          <w:szCs w:val="22"/>
        </w:rPr>
        <w:t>) special circumstances warrant a deviatio</w:t>
      </w:r>
      <w:r>
        <w:rPr>
          <w:szCs w:val="22"/>
        </w:rPr>
        <w:t>n from the general rule, and (2</w:t>
      </w:r>
      <w:r w:rsidRPr="00F81B8C">
        <w:rPr>
          <w:szCs w:val="22"/>
        </w:rPr>
        <w:t>) such deviation better serves the public interest.</w:t>
      </w:r>
      <w:r>
        <w:rPr>
          <w:rStyle w:val="FootnoteReference"/>
          <w:szCs w:val="22"/>
        </w:rPr>
        <w:footnoteReference w:id="48"/>
      </w:r>
      <w:r w:rsidRPr="00F81B8C">
        <w:rPr>
          <w:szCs w:val="22"/>
        </w:rPr>
        <w:t xml:space="preserve"> </w:t>
      </w:r>
      <w:r>
        <w:rPr>
          <w:szCs w:val="22"/>
        </w:rPr>
        <w:t xml:space="preserve"> Because the Bureau found that HMM had not shown special circumstances warranting waiver of the prohibition on major amendments</w:t>
      </w:r>
      <w:r w:rsidRPr="00AA7F80">
        <w:rPr>
          <w:szCs w:val="22"/>
        </w:rPr>
        <w:t xml:space="preserve"> </w:t>
      </w:r>
      <w:r>
        <w:rPr>
          <w:szCs w:val="22"/>
        </w:rPr>
        <w:t>to pending new LPFM applications, it properly dismissed</w:t>
      </w:r>
      <w:r>
        <w:rPr>
          <w:color w:val="000000"/>
          <w:szCs w:val="22"/>
        </w:rPr>
        <w:t xml:space="preserve"> the Application for failure to satisfy the relevant minimum power and spacing requirements.  </w:t>
      </w:r>
    </w:p>
    <w:p w:rsidR="007559BC" w:rsidP="009A71D5" w14:paraId="454DFCFF" w14:textId="7828A358">
      <w:pPr>
        <w:spacing w:after="120"/>
        <w:ind w:firstLine="720"/>
        <w:rPr>
          <w:color w:val="000000"/>
          <w:szCs w:val="22"/>
        </w:rPr>
      </w:pPr>
      <w:r>
        <w:t xml:space="preserve">Finally, </w:t>
      </w:r>
      <w:r w:rsidR="00990AB6">
        <w:t xml:space="preserve">HMM’s contention that it lacked notice of the LPFM </w:t>
      </w:r>
      <w:r w:rsidR="0024655A">
        <w:t>minor amendment</w:t>
      </w:r>
      <w:r w:rsidR="00990AB6">
        <w:t xml:space="preserve"> </w:t>
      </w:r>
      <w:r w:rsidR="00684F79">
        <w:t>rule</w:t>
      </w:r>
      <w:r w:rsidR="00C13DB9">
        <w:t xml:space="preserve"> </w:t>
      </w:r>
      <w:r>
        <w:t>is unavailing</w:t>
      </w:r>
      <w:r w:rsidR="00990AB6">
        <w:t xml:space="preserve">.  All </w:t>
      </w:r>
      <w:r w:rsidR="00C13DB9">
        <w:t>a</w:t>
      </w:r>
      <w:r w:rsidR="00990AB6">
        <w:t>pplicants have a duty to know and comply with the Commission’s rules, case law, statutes, and any other sources of applicable law.</w:t>
      </w:r>
      <w:r>
        <w:rPr>
          <w:rStyle w:val="FootnoteReference"/>
        </w:rPr>
        <w:footnoteReference w:id="49"/>
      </w:r>
      <w:r w:rsidR="00990AB6">
        <w:t xml:space="preserve">  </w:t>
      </w:r>
      <w:r w:rsidR="004D1038">
        <w:t>Section 73.871</w:t>
      </w:r>
      <w:r w:rsidR="007C4897">
        <w:t>(c)</w:t>
      </w:r>
      <w:r w:rsidR="004D1038">
        <w:t xml:space="preserve"> </w:t>
      </w:r>
      <w:r w:rsidR="007C4897">
        <w:t xml:space="preserve">has been published in the Commission’s Rules since </w:t>
      </w:r>
      <w:r w:rsidR="00DC68AA">
        <w:t xml:space="preserve">2001.  </w:t>
      </w:r>
      <w:r w:rsidR="00990AB6">
        <w:t>HMM had ample opportunit</w:t>
      </w:r>
      <w:r w:rsidR="00C13DB9">
        <w:t>ies</w:t>
      </w:r>
      <w:r w:rsidR="00990AB6">
        <w:t xml:space="preserve"> to submit a </w:t>
      </w:r>
      <w:r w:rsidR="00C13DB9">
        <w:t>rule-compliant</w:t>
      </w:r>
      <w:r w:rsidR="00990AB6">
        <w:t xml:space="preserve"> application</w:t>
      </w:r>
      <w:r w:rsidR="00C13DB9">
        <w:t xml:space="preserve">, </w:t>
      </w:r>
      <w:r w:rsidR="00990AB6">
        <w:t>including the opportunity to specify a new channel at any point</w:t>
      </w:r>
      <w:r w:rsidR="00990AB6">
        <w:rPr>
          <w:color w:val="000000"/>
          <w:szCs w:val="22"/>
        </w:rPr>
        <w:t xml:space="preserve"> during the new LPFM filing window.</w:t>
      </w:r>
      <w:r>
        <w:rPr>
          <w:rStyle w:val="FootnoteReference"/>
          <w:color w:val="000000"/>
          <w:szCs w:val="22"/>
        </w:rPr>
        <w:footnoteReference w:id="50"/>
      </w:r>
      <w:r w:rsidR="00D036D5">
        <w:rPr>
          <w:color w:val="000000"/>
          <w:szCs w:val="22"/>
        </w:rPr>
        <w:t xml:space="preserve">  Its failure to do so does not warrant the relief requested in the Second Petition. </w:t>
      </w:r>
    </w:p>
    <w:p w:rsidR="005D6E1D" w:rsidP="00872E4F" w14:paraId="189B915C" w14:textId="2396A02B">
      <w:pPr>
        <w:spacing w:after="120"/>
        <w:ind w:firstLine="720"/>
        <w:rPr>
          <w:szCs w:val="22"/>
        </w:rPr>
      </w:pPr>
      <w:r w:rsidRPr="00620C22">
        <w:rPr>
          <w:b/>
          <w:szCs w:val="22"/>
        </w:rPr>
        <w:t>Conclusion.</w:t>
      </w:r>
      <w:r w:rsidRPr="00A47BC0">
        <w:rPr>
          <w:b/>
          <w:szCs w:val="22"/>
        </w:rPr>
        <w:t xml:space="preserve"> </w:t>
      </w:r>
      <w:r>
        <w:rPr>
          <w:b/>
          <w:szCs w:val="22"/>
        </w:rPr>
        <w:t xml:space="preserve"> </w:t>
      </w:r>
      <w:r>
        <w:rPr>
          <w:szCs w:val="22"/>
        </w:rPr>
        <w:t>For the reasons stated above</w:t>
      </w:r>
      <w:r w:rsidRPr="0079500D">
        <w:rPr>
          <w:szCs w:val="22"/>
        </w:rPr>
        <w:t xml:space="preserve">, </w:t>
      </w:r>
      <w:r>
        <w:rPr>
          <w:szCs w:val="22"/>
        </w:rPr>
        <w:t>IT IS ORDERED</w:t>
      </w:r>
      <w:r w:rsidRPr="0079500D">
        <w:rPr>
          <w:szCs w:val="22"/>
        </w:rPr>
        <w:t xml:space="preserve"> that </w:t>
      </w:r>
      <w:r w:rsidR="00CE15DA">
        <w:rPr>
          <w:szCs w:val="22"/>
        </w:rPr>
        <w:t xml:space="preserve">the </w:t>
      </w:r>
      <w:r w:rsidR="00C65519">
        <w:rPr>
          <w:szCs w:val="22"/>
        </w:rPr>
        <w:t xml:space="preserve">petition for reconsideration filed </w:t>
      </w:r>
      <w:r w:rsidR="00CE15DA">
        <w:rPr>
          <w:szCs w:val="22"/>
        </w:rPr>
        <w:t>by Holy Mother Mary on</w:t>
      </w:r>
      <w:r w:rsidR="00CE15DA">
        <w:t xml:space="preserve"> Mar</w:t>
      </w:r>
      <w:r w:rsidR="0046223C">
        <w:t>ch</w:t>
      </w:r>
      <w:r w:rsidR="00CE15DA">
        <w:t xml:space="preserve"> 11, 2025</w:t>
      </w:r>
      <w:r w:rsidRPr="00CE15DA" w:rsidR="00CE15DA">
        <w:t xml:space="preserve"> </w:t>
      </w:r>
      <w:r w:rsidR="00CE15DA">
        <w:t>(Pleading File No. 267832), IS</w:t>
      </w:r>
      <w:r>
        <w:rPr>
          <w:szCs w:val="22"/>
        </w:rPr>
        <w:t xml:space="preserve"> DENIED</w:t>
      </w:r>
      <w:r w:rsidR="00CE15DA">
        <w:rPr>
          <w:szCs w:val="22"/>
        </w:rPr>
        <w:t>.</w:t>
      </w:r>
    </w:p>
    <w:p w:rsidR="008A5EB0" w:rsidP="005D6E1D" w14:paraId="3CAEC9B8" w14:textId="7A2FF8D0">
      <w:pPr>
        <w:tabs>
          <w:tab w:val="left" w:pos="4680"/>
        </w:tabs>
        <w:suppressAutoHyphens/>
        <w:contextualSpacing/>
        <w:rPr>
          <w:szCs w:val="22"/>
        </w:rPr>
      </w:pPr>
      <w:r>
        <w:rPr>
          <w:szCs w:val="22"/>
        </w:rPr>
        <w:tab/>
      </w:r>
      <w:r w:rsidRPr="003D4BCE" w:rsidR="00533B3B">
        <w:rPr>
          <w:szCs w:val="22"/>
        </w:rPr>
        <w:t>Sincerely,</w:t>
      </w:r>
    </w:p>
    <w:p w:rsidR="008A5EB0" w:rsidP="005D6E1D" w14:paraId="20C6C981" w14:textId="77777777">
      <w:pPr>
        <w:tabs>
          <w:tab w:val="left" w:pos="4680"/>
        </w:tabs>
        <w:suppressAutoHyphens/>
        <w:contextualSpacing/>
        <w:rPr>
          <w:szCs w:val="22"/>
        </w:rPr>
      </w:pPr>
    </w:p>
    <w:p w:rsidR="00336DDF" w:rsidP="005D6E1D" w14:paraId="58332974" w14:textId="77777777">
      <w:pPr>
        <w:tabs>
          <w:tab w:val="left" w:pos="4680"/>
        </w:tabs>
        <w:suppressAutoHyphens/>
        <w:contextualSpacing/>
        <w:rPr>
          <w:szCs w:val="22"/>
        </w:rPr>
      </w:pPr>
    </w:p>
    <w:p w:rsidR="0072281C" w:rsidRPr="003D4BCE" w:rsidP="005D6E1D" w14:paraId="7E572EF9" w14:textId="77777777">
      <w:pPr>
        <w:tabs>
          <w:tab w:val="left" w:pos="4680"/>
        </w:tabs>
        <w:suppressAutoHyphens/>
        <w:contextualSpacing/>
        <w:rPr>
          <w:szCs w:val="22"/>
        </w:rPr>
      </w:pPr>
    </w:p>
    <w:p w:rsidR="00684FEE" w:rsidRPr="00FF24DF" w:rsidP="005D6E1D" w14:paraId="052D29D1" w14:textId="77777777">
      <w:pPr>
        <w:tabs>
          <w:tab w:val="left" w:pos="4680"/>
        </w:tabs>
        <w:suppressAutoHyphens/>
        <w:contextualSpacing/>
        <w:rPr>
          <w:szCs w:val="22"/>
        </w:rPr>
      </w:pPr>
      <w:r w:rsidRPr="00100C9F">
        <w:rPr>
          <w:szCs w:val="22"/>
        </w:rPr>
        <w:tab/>
        <w:t>Albert Shuldiner</w:t>
      </w:r>
    </w:p>
    <w:p w:rsidR="00684FEE" w:rsidRPr="00FF24DF" w:rsidP="005D6E1D" w14:paraId="30A9E322" w14:textId="77777777">
      <w:pPr>
        <w:pStyle w:val="EndnoteText"/>
        <w:widowControl/>
        <w:tabs>
          <w:tab w:val="left" w:pos="4680"/>
        </w:tabs>
        <w:suppressAutoHyphens/>
        <w:contextualSpacing/>
        <w:rPr>
          <w:rFonts w:ascii="Times New Roman" w:hAnsi="Times New Roman"/>
          <w:snapToGrid/>
          <w:szCs w:val="22"/>
        </w:rPr>
      </w:pPr>
      <w:r w:rsidRPr="00FF24DF">
        <w:rPr>
          <w:rFonts w:ascii="Times New Roman" w:hAnsi="Times New Roman"/>
          <w:snapToGrid/>
          <w:szCs w:val="22"/>
        </w:rPr>
        <w:tab/>
        <w:t>Chief, Audio Division</w:t>
      </w:r>
    </w:p>
    <w:p w:rsidR="000343BF" w:rsidRPr="006F37E3" w:rsidP="006F37E3" w14:paraId="5DCA8E7F" w14:textId="43BA915C">
      <w:pPr>
        <w:tabs>
          <w:tab w:val="left" w:pos="3960"/>
          <w:tab w:val="left" w:pos="4680"/>
        </w:tabs>
        <w:contextualSpacing/>
        <w:rPr>
          <w:szCs w:val="22"/>
        </w:rPr>
      </w:pPr>
      <w:r w:rsidRPr="00FF24DF">
        <w:rPr>
          <w:szCs w:val="22"/>
        </w:rPr>
        <w:tab/>
      </w:r>
      <w:r w:rsidRPr="00FF24DF">
        <w:rPr>
          <w:szCs w:val="22"/>
        </w:rPr>
        <w:tab/>
        <w:t>Media Bureau</w:t>
      </w:r>
    </w:p>
    <w:sectPr w:rsidSect="00373583">
      <w:footerReference w:type="default" r:id="rId5"/>
      <w:headerReference w:type="first" r:id="rId6"/>
      <w:footerReference w:type="first" r:id="rId7"/>
      <w:type w:val="continuous"/>
      <w:pgSz w:w="12240" w:h="15840"/>
      <w:pgMar w:top="1440" w:right="1152" w:bottom="1440" w:left="1440" w:header="576"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51B" w:rsidP="00FB0C7D" w14:paraId="2A74DB1F" w14:textId="77777777">
    <w:pPr>
      <w:pStyle w:val="Footer"/>
      <w:jc w:val="center"/>
      <w:rPr>
        <w:sz w:val="20"/>
        <w:szCs w:val="20"/>
      </w:rPr>
    </w:pPr>
    <w:r w:rsidRPr="00FB0C7D">
      <w:rPr>
        <w:sz w:val="20"/>
        <w:szCs w:val="20"/>
      </w:rPr>
      <w:fldChar w:fldCharType="begin"/>
    </w:r>
    <w:r w:rsidRPr="00FB0C7D">
      <w:rPr>
        <w:sz w:val="20"/>
        <w:szCs w:val="20"/>
      </w:rPr>
      <w:instrText xml:space="preserve"> PAGE   \* MERGEFORMAT </w:instrText>
    </w:r>
    <w:r w:rsidRPr="00FB0C7D">
      <w:rPr>
        <w:sz w:val="20"/>
        <w:szCs w:val="20"/>
      </w:rPr>
      <w:fldChar w:fldCharType="separate"/>
    </w:r>
    <w:r w:rsidRPr="00FB0C7D">
      <w:rPr>
        <w:sz w:val="20"/>
        <w:szCs w:val="20"/>
      </w:rPr>
      <w:t>2</w:t>
    </w:r>
    <w:r w:rsidRPr="00FB0C7D">
      <w:rPr>
        <w:noProof/>
        <w:sz w:val="20"/>
        <w:szCs w:val="20"/>
      </w:rPr>
      <w:fldChar w:fldCharType="end"/>
    </w:r>
  </w:p>
  <w:p w:rsidR="00FB0C7D" w:rsidP="00FB0C7D" w14:paraId="6006FBBE" w14:textId="77777777">
    <w:pPr>
      <w:pStyle w:val="Footer"/>
      <w:jc w:val="center"/>
      <w:rPr>
        <w:sz w:val="20"/>
        <w:szCs w:val="20"/>
      </w:rPr>
    </w:pPr>
  </w:p>
  <w:p w:rsidR="00FB0C7D" w:rsidP="00FB0C7D" w14:paraId="06F48CCE" w14:textId="77777777">
    <w:pPr>
      <w:pStyle w:val="Footer"/>
      <w:jc w:val="center"/>
      <w:rPr>
        <w:sz w:val="20"/>
        <w:szCs w:val="20"/>
      </w:rPr>
    </w:pPr>
  </w:p>
  <w:p w:rsidR="00FB0C7D" w:rsidP="00FB0C7D" w14:paraId="6ECA7A13" w14:textId="77777777">
    <w:pPr>
      <w:pStyle w:val="Footer"/>
      <w:jc w:val="center"/>
      <w:rPr>
        <w:sz w:val="20"/>
        <w:szCs w:val="20"/>
      </w:rPr>
    </w:pPr>
  </w:p>
  <w:p w:rsidR="00FB0C7D" w:rsidRPr="00FB0C7D" w:rsidP="00FB0C7D" w14:paraId="68BA106E" w14:textId="7777777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51B" w:rsidP="00FB0C7D" w14:paraId="5E4B5326" w14:textId="77777777">
    <w:pPr>
      <w:pStyle w:val="Footer"/>
      <w:spacing w:after="480"/>
      <w:jc w:val="center"/>
    </w:pPr>
  </w:p>
  <w:p w:rsidR="0021051B" w14:paraId="0AC1C5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4F85" w14:paraId="747EB52B" w14:textId="77777777">
      <w:r>
        <w:separator/>
      </w:r>
    </w:p>
  </w:footnote>
  <w:footnote w:type="continuationSeparator" w:id="1">
    <w:p w:rsidR="00034F85" w14:paraId="60DDA8E2" w14:textId="77777777">
      <w:r>
        <w:continuationSeparator/>
      </w:r>
    </w:p>
  </w:footnote>
  <w:footnote w:type="continuationNotice" w:id="2">
    <w:p w:rsidR="00034F85" w14:paraId="768C64E6" w14:textId="77777777"/>
  </w:footnote>
  <w:footnote w:id="3">
    <w:p w:rsidR="00C65519" w14:paraId="2078A1C9" w14:textId="693DEB12">
      <w:pPr>
        <w:pStyle w:val="FootnoteText"/>
      </w:pPr>
      <w:r>
        <w:rPr>
          <w:rStyle w:val="FootnoteReference"/>
        </w:rPr>
        <w:footnoteRef/>
      </w:r>
      <w:r>
        <w:t xml:space="preserve"> Pleading File No. </w:t>
      </w:r>
      <w:r w:rsidR="00CE15DA">
        <w:t>267832 (filed Mar. 11, 2025).</w:t>
      </w:r>
    </w:p>
  </w:footnote>
  <w:footnote w:id="4">
    <w:p w:rsidR="00693013" w:rsidRPr="003B4B7B" w14:paraId="36BE926B" w14:textId="72031649">
      <w:pPr>
        <w:pStyle w:val="FootnoteText"/>
      </w:pPr>
      <w:r>
        <w:rPr>
          <w:rStyle w:val="FootnoteReference"/>
        </w:rPr>
        <w:footnoteRef/>
      </w:r>
      <w:r>
        <w:t xml:space="preserve"> </w:t>
      </w:r>
      <w:r w:rsidR="008E3CE6">
        <w:rPr>
          <w:i/>
          <w:iCs/>
        </w:rPr>
        <w:t xml:space="preserve">See </w:t>
      </w:r>
      <w:r w:rsidRPr="0024655A" w:rsidR="008E3CE6">
        <w:rPr>
          <w:i/>
          <w:iCs/>
        </w:rPr>
        <w:t>Holy Mother Mary</w:t>
      </w:r>
      <w:r w:rsidR="008E3CE6">
        <w:t xml:space="preserve">, </w:t>
      </w:r>
      <w:r w:rsidR="00976A4C">
        <w:t xml:space="preserve">Letter Decision, </w:t>
      </w:r>
      <w:r w:rsidR="00C70D8F">
        <w:t>40 FCC Rcd 1260</w:t>
      </w:r>
      <w:r w:rsidR="003B4B7B">
        <w:t xml:space="preserve"> (</w:t>
      </w:r>
      <w:r w:rsidR="00C70D8F">
        <w:t>MB</w:t>
      </w:r>
      <w:r w:rsidR="003B4B7B">
        <w:t xml:space="preserve"> 2025) (</w:t>
      </w:r>
      <w:r w:rsidR="003B4B7B">
        <w:rPr>
          <w:i/>
          <w:iCs/>
        </w:rPr>
        <w:t>Second Dismissal Letter</w:t>
      </w:r>
      <w:r w:rsidR="003B4B7B">
        <w:t xml:space="preserve">). </w:t>
      </w:r>
    </w:p>
  </w:footnote>
  <w:footnote w:id="5">
    <w:p w:rsidR="00842E27" w:rsidP="00842E27" w14:paraId="5ECB092C" w14:textId="18401941">
      <w:pPr>
        <w:pStyle w:val="FootnoteText"/>
      </w:pPr>
      <w:r>
        <w:rPr>
          <w:rStyle w:val="FootnoteReference"/>
        </w:rPr>
        <w:footnoteRef/>
      </w:r>
      <w:r>
        <w:t xml:space="preserve"> </w:t>
      </w:r>
      <w:r>
        <w:rPr>
          <w:i/>
          <w:iCs/>
        </w:rPr>
        <w:t>See generally, Media Bureau Announces Filing Procedures and Requirements for November 1 – November 8, 2023, Low Power FM Filing Window</w:t>
      </w:r>
      <w:r>
        <w:t xml:space="preserve">, Public Notice, </w:t>
      </w:r>
      <w:r w:rsidR="008F6B89">
        <w:t>38 FCC Rcd 6660</w:t>
      </w:r>
      <w:r>
        <w:t xml:space="preserve"> (MB 2023) (</w:t>
      </w:r>
      <w:r w:rsidRPr="00E546F1">
        <w:rPr>
          <w:i/>
          <w:iCs/>
        </w:rPr>
        <w:t>Procedures Public Notice</w:t>
      </w:r>
      <w:r>
        <w:t xml:space="preserve">).  Based on a request from LPFM advocates, the Bureau subsequently delayed the window until December 6, 2023.  </w:t>
      </w:r>
      <w:r w:rsidRPr="00A13F4E">
        <w:rPr>
          <w:i/>
          <w:iCs/>
        </w:rPr>
        <w:t>Media Bureau Announces Revised Dates for LPFM New Station Application</w:t>
      </w:r>
      <w:r>
        <w:rPr>
          <w:i/>
          <w:iCs/>
        </w:rPr>
        <w:t xml:space="preserve"> Filing Window</w:t>
      </w:r>
      <w:r>
        <w:t xml:space="preserve">, Public Notice, </w:t>
      </w:r>
      <w:r w:rsidR="008F6B89">
        <w:t>38 FCC Rcd 9589</w:t>
      </w:r>
      <w:r>
        <w:t xml:space="preserve"> (MB 2023).  The Bureau subsequently extended the close of the window until December 15, 2023.  </w:t>
      </w:r>
      <w:r>
        <w:rPr>
          <w:i/>
          <w:iCs/>
        </w:rPr>
        <w:t>Media Bureau Announces Extension of LPFM New Station Application Filing Window</w:t>
      </w:r>
      <w:r>
        <w:t xml:space="preserve">, Public Notice, </w:t>
      </w:r>
      <w:r w:rsidR="008F6B89">
        <w:t>38 FCC Rcd 11882</w:t>
      </w:r>
      <w:r>
        <w:t xml:space="preserve"> (MB 2023).</w:t>
      </w:r>
    </w:p>
  </w:footnote>
  <w:footnote w:id="6">
    <w:p w:rsidR="00446866" w:rsidP="006A1E22" w14:paraId="3D79E36B" w14:textId="7754B48C">
      <w:pPr>
        <w:pStyle w:val="FootnoteText"/>
      </w:pPr>
      <w:r>
        <w:rPr>
          <w:rStyle w:val="FootnoteReference"/>
        </w:rPr>
        <w:footnoteRef/>
      </w:r>
      <w:r>
        <w:t xml:space="preserve"> </w:t>
      </w:r>
      <w:r w:rsidR="006A1E22">
        <w:rPr>
          <w:i/>
          <w:iCs/>
        </w:rPr>
        <w:t xml:space="preserve">See </w:t>
      </w:r>
      <w:r w:rsidRPr="006A1E22" w:rsidR="006A1E22">
        <w:rPr>
          <w:i/>
          <w:iCs/>
        </w:rPr>
        <w:t xml:space="preserve">Actions, </w:t>
      </w:r>
      <w:r w:rsidRPr="006A1E22" w:rsidR="006A1E22">
        <w:t xml:space="preserve">Public Notice, Report No. PN-2-240125-01 (MB Jan. 25, 2024) </w:t>
      </w:r>
      <w:r w:rsidR="00A30CB0">
        <w:t>(</w:t>
      </w:r>
      <w:r w:rsidR="00534B39">
        <w:rPr>
          <w:i/>
          <w:iCs/>
        </w:rPr>
        <w:t>First Dismissal Letter</w:t>
      </w:r>
      <w:r w:rsidR="00A30CB0">
        <w:t>)</w:t>
      </w:r>
      <w:r w:rsidRPr="006A1E22" w:rsidR="006A1E22">
        <w:rPr>
          <w:i/>
          <w:iCs/>
        </w:rPr>
        <w:t>.</w:t>
      </w:r>
      <w:r w:rsidR="006A1E22">
        <w:rPr>
          <w:i/>
          <w:iCs/>
        </w:rPr>
        <w:t xml:space="preserve">  </w:t>
      </w:r>
      <w:r>
        <w:t xml:space="preserve">Specifically, the required spacing was 67 kilometers but </w:t>
      </w:r>
      <w:r w:rsidR="00DF683E">
        <w:t>HMM’s</w:t>
      </w:r>
      <w:r w:rsidR="00A83DF6">
        <w:t xml:space="preserve"> proposed spacing was 29 kilometers. </w:t>
      </w:r>
    </w:p>
  </w:footnote>
  <w:footnote w:id="7">
    <w:p w:rsidR="008A23B6" w:rsidRPr="008A23B6" w14:paraId="7CD3E932" w14:textId="250F3C9A">
      <w:pPr>
        <w:pStyle w:val="FootnoteText"/>
      </w:pPr>
      <w:r>
        <w:rPr>
          <w:rStyle w:val="FootnoteReference"/>
        </w:rPr>
        <w:footnoteRef/>
      </w:r>
      <w:r>
        <w:t xml:space="preserve"> </w:t>
      </w:r>
      <w:r w:rsidR="002945C8">
        <w:rPr>
          <w:i/>
          <w:iCs/>
        </w:rPr>
        <w:t>Id.</w:t>
      </w:r>
      <w:r w:rsidR="002945C8">
        <w:t xml:space="preserve"> (citing</w:t>
      </w:r>
      <w:r>
        <w:rPr>
          <w:i/>
          <w:iCs/>
        </w:rPr>
        <w:t xml:space="preserve"> </w:t>
      </w:r>
      <w:r>
        <w:t>47 CFR § 73.87</w:t>
      </w:r>
      <w:r w:rsidR="002945C8">
        <w:t>0</w:t>
      </w:r>
      <w:r>
        <w:t>(c)</w:t>
      </w:r>
      <w:r w:rsidR="00F51E0F">
        <w:t xml:space="preserve"> (prohibiting new LPFM applicants from amending to cure spacing defects)</w:t>
      </w:r>
      <w:r w:rsidR="002945C8">
        <w:t>)</w:t>
      </w:r>
      <w:r>
        <w:t xml:space="preserve">. </w:t>
      </w:r>
    </w:p>
  </w:footnote>
  <w:footnote w:id="8">
    <w:p w:rsidR="000D1128" w14:paraId="242C3C99" w14:textId="19C36782">
      <w:pPr>
        <w:pStyle w:val="FootnoteText"/>
      </w:pPr>
      <w:r>
        <w:rPr>
          <w:rStyle w:val="FootnoteReference"/>
        </w:rPr>
        <w:footnoteRef/>
      </w:r>
      <w:r>
        <w:t xml:space="preserve"> Pleading File No. </w:t>
      </w:r>
      <w:r w:rsidR="00727182">
        <w:t>239730</w:t>
      </w:r>
      <w:r w:rsidR="005F787F">
        <w:t xml:space="preserve"> (First Petition)</w:t>
      </w:r>
      <w:r w:rsidR="0094117C">
        <w:t xml:space="preserve"> (proposing to move from Channel 254 to non-adjacent Channel 228)</w:t>
      </w:r>
      <w:r w:rsidR="00727182">
        <w:t>.</w:t>
      </w:r>
    </w:p>
  </w:footnote>
  <w:footnote w:id="9">
    <w:p w:rsidR="00D77546" w14:paraId="677DB385" w14:textId="24B4AA4A">
      <w:pPr>
        <w:pStyle w:val="FootnoteText"/>
      </w:pPr>
      <w:r>
        <w:rPr>
          <w:rStyle w:val="FootnoteReference"/>
        </w:rPr>
        <w:footnoteRef/>
      </w:r>
      <w:r>
        <w:t xml:space="preserve"> </w:t>
      </w:r>
      <w:r w:rsidR="00A52EAF">
        <w:t xml:space="preserve">First </w:t>
      </w:r>
      <w:r w:rsidR="00564F71">
        <w:t xml:space="preserve">Petition at </w:t>
      </w:r>
      <w:r w:rsidR="008E5FB5">
        <w:t>3-4.</w:t>
      </w:r>
    </w:p>
  </w:footnote>
  <w:footnote w:id="10">
    <w:p w:rsidR="00185A34" w:rsidRPr="00185A34" w14:paraId="6B46BC6E" w14:textId="02A6658C">
      <w:pPr>
        <w:pStyle w:val="FootnoteText"/>
      </w:pPr>
      <w:r>
        <w:rPr>
          <w:rStyle w:val="FootnoteReference"/>
        </w:rPr>
        <w:footnoteRef/>
      </w:r>
      <w:r>
        <w:t xml:space="preserve"> </w:t>
      </w:r>
      <w:r>
        <w:rPr>
          <w:i/>
          <w:iCs/>
        </w:rPr>
        <w:t>Id</w:t>
      </w:r>
      <w:r>
        <w:t xml:space="preserve">. </w:t>
      </w:r>
    </w:p>
  </w:footnote>
  <w:footnote w:id="11">
    <w:p w:rsidR="00412532" w:rsidRPr="003E0779" w14:paraId="40D744BC" w14:textId="30E123B9">
      <w:pPr>
        <w:pStyle w:val="FootnoteText"/>
      </w:pPr>
      <w:r>
        <w:rPr>
          <w:rStyle w:val="FootnoteReference"/>
        </w:rPr>
        <w:footnoteRef/>
      </w:r>
      <w:r>
        <w:t xml:space="preserve"> </w:t>
      </w:r>
      <w:r w:rsidR="003E0779">
        <w:t xml:space="preserve">The </w:t>
      </w:r>
      <w:r w:rsidR="003E0779">
        <w:rPr>
          <w:i/>
          <w:iCs/>
        </w:rPr>
        <w:t xml:space="preserve">nunc pro tunc </w:t>
      </w:r>
      <w:r w:rsidR="003E0779">
        <w:t xml:space="preserve">policy allows applicants to file a single curative amendment accompanied by a petition for reconsideration within 30 days of dismissal.  </w:t>
      </w:r>
      <w:r w:rsidR="003E0779">
        <w:rPr>
          <w:i/>
          <w:iCs/>
        </w:rPr>
        <w:t>See generally</w:t>
      </w:r>
      <w:r w:rsidR="003E0779">
        <w:t xml:space="preserve">, </w:t>
      </w:r>
      <w:r w:rsidRPr="007E1F65" w:rsidR="003936EC">
        <w:rPr>
          <w:i/>
          <w:iCs/>
        </w:rPr>
        <w:t>Commission States Future Policy on Incomplete and Patently Defective AM and FM Construction Permit Applications</w:t>
      </w:r>
      <w:r w:rsidR="003936EC">
        <w:t xml:space="preserve">, </w:t>
      </w:r>
      <w:r w:rsidRPr="006B6596" w:rsidR="006B6596">
        <w:t>Public Notice, 56 RR 2d 776 (1984), recon. denied, 57 RR 2d 1603 (1985) (as subsequently published in the Federal Register, 49 Fed. Reg. 47331 (Dec. 3, 1984))</w:t>
      </w:r>
      <w:r w:rsidR="00656B07">
        <w:t xml:space="preserve"> (</w:t>
      </w:r>
      <w:r w:rsidR="00656B07">
        <w:rPr>
          <w:i/>
          <w:iCs/>
        </w:rPr>
        <w:t>Nunc Pro Tunc P</w:t>
      </w:r>
      <w:r w:rsidR="008B4845">
        <w:rPr>
          <w:i/>
          <w:iCs/>
        </w:rPr>
        <w:t>ublic Notice</w:t>
      </w:r>
      <w:r w:rsidR="0065319F">
        <w:t>)</w:t>
      </w:r>
      <w:r w:rsidR="00377FA6">
        <w:t>.</w:t>
      </w:r>
    </w:p>
  </w:footnote>
  <w:footnote w:id="12">
    <w:p w:rsidR="001E2C34" w:rsidRPr="001E2C34" w:rsidP="00666E08" w14:paraId="7DF1B116" w14:textId="1FCD29DC">
      <w:pPr>
        <w:pStyle w:val="FootnoteText"/>
      </w:pPr>
      <w:r>
        <w:rPr>
          <w:rStyle w:val="FootnoteReference"/>
        </w:rPr>
        <w:footnoteRef/>
      </w:r>
      <w:r>
        <w:t xml:space="preserve"> </w:t>
      </w:r>
      <w:r w:rsidR="005720F5">
        <w:rPr>
          <w:i/>
          <w:iCs/>
        </w:rPr>
        <w:t>Holy Mother Mary</w:t>
      </w:r>
      <w:r w:rsidR="005720F5">
        <w:t xml:space="preserve">, Letter Decision, </w:t>
      </w:r>
      <w:r w:rsidR="00C70D8F">
        <w:t>39 FCC Rcd 8433</w:t>
      </w:r>
      <w:r w:rsidR="005720F5">
        <w:t xml:space="preserve"> (MB 2024) (</w:t>
      </w:r>
      <w:r w:rsidR="005720F5">
        <w:rPr>
          <w:i/>
          <w:iCs/>
        </w:rPr>
        <w:t>Reconsideration Letter</w:t>
      </w:r>
      <w:r w:rsidR="005720F5">
        <w:t xml:space="preserve">) at 2-3 </w:t>
      </w:r>
      <w:r w:rsidR="00634592">
        <w:t>(citing</w:t>
      </w:r>
      <w:r w:rsidR="00666E08">
        <w:t xml:space="preserve"> </w:t>
      </w:r>
      <w:r w:rsidRPr="00666E08" w:rsidR="0000495B">
        <w:rPr>
          <w:i/>
          <w:iCs/>
        </w:rPr>
        <w:t>Media Bureau Provides Guidance on the Processing of Schedule 318 Applications Filed in the LPFM Window</w:t>
      </w:r>
      <w:r w:rsidR="0000495B">
        <w:t xml:space="preserve">, Public Notice, </w:t>
      </w:r>
      <w:r w:rsidRPr="000F23B6" w:rsidR="0000495B">
        <w:t>39 FCC Rcd 966</w:t>
      </w:r>
      <w:r w:rsidR="0000495B">
        <w:t>, 968 (MB 2024) (</w:t>
      </w:r>
      <w:r w:rsidR="001F1E76">
        <w:rPr>
          <w:i/>
          <w:iCs/>
        </w:rPr>
        <w:t>Guidance Public Notice</w:t>
      </w:r>
      <w:r w:rsidR="00B06386">
        <w:t>)</w:t>
      </w:r>
      <w:r w:rsidR="00EB3964">
        <w:t>)</w:t>
      </w:r>
      <w:r w:rsidR="00B06386">
        <w:t>.</w:t>
      </w:r>
    </w:p>
  </w:footnote>
  <w:footnote w:id="13">
    <w:p w:rsidR="002D3022" w14:paraId="2AE319C4" w14:textId="4558D67E">
      <w:pPr>
        <w:pStyle w:val="FootnoteText"/>
      </w:pPr>
      <w:r>
        <w:rPr>
          <w:rStyle w:val="FootnoteReference"/>
        </w:rPr>
        <w:footnoteRef/>
      </w:r>
      <w:r>
        <w:t xml:space="preserve"> </w:t>
      </w:r>
      <w:r>
        <w:rPr>
          <w:i/>
          <w:iCs/>
        </w:rPr>
        <w:t xml:space="preserve">See </w:t>
      </w:r>
      <w:r>
        <w:t xml:space="preserve">47 CFR § 73.811(b) (providing that an LPFM station </w:t>
      </w:r>
      <w:r>
        <w:rPr>
          <w:bCs/>
          <w:snapToGrid w:val="0"/>
          <w:color w:val="000000"/>
          <w:kern w:val="28"/>
          <w:szCs w:val="22"/>
        </w:rPr>
        <w:t>“may not operate with facilities less than 50 watts ERP at 30 meters HAAT or the equivalent necessary to produce a 60 dBu contour that extends at least 4.7 kilometers”).</w:t>
      </w:r>
    </w:p>
  </w:footnote>
  <w:footnote w:id="14">
    <w:p w:rsidR="002D3022" w14:paraId="5EEEC4E9" w14:textId="6B2DA342">
      <w:pPr>
        <w:pStyle w:val="FootnoteText"/>
      </w:pPr>
      <w:r>
        <w:rPr>
          <w:rStyle w:val="FootnoteReference"/>
        </w:rPr>
        <w:footnoteRef/>
      </w:r>
      <w:r>
        <w:t xml:space="preserve"> </w:t>
      </w:r>
      <w:r w:rsidR="00E55B23">
        <w:t>Application,</w:t>
      </w:r>
      <w:r w:rsidRPr="008D3C77" w:rsidR="00E55B23">
        <w:t xml:space="preserve"> </w:t>
      </w:r>
      <w:r w:rsidR="00E55B23">
        <w:t>Exh</w:t>
      </w:r>
      <w:r w:rsidR="00E55B23">
        <w:t xml:space="preserve">. entitled “Waiver Exhibit” (Waiver Requests) at 1-2; </w:t>
      </w:r>
      <w:r>
        <w:t xml:space="preserve">47 CFR § 73.807 (requiring a 100 kilometers minimum distance separation rather than the </w:t>
      </w:r>
      <w:r>
        <w:rPr>
          <w:bCs/>
          <w:snapToGrid w:val="0"/>
          <w:color w:val="000000"/>
          <w:kern w:val="28"/>
          <w:szCs w:val="22"/>
        </w:rPr>
        <w:t>64-kilometer distance separation HMM proposed).</w:t>
      </w:r>
    </w:p>
  </w:footnote>
  <w:footnote w:id="15">
    <w:p w:rsidR="00C033F3" w:rsidP="00C033F3" w14:paraId="74F776BC" w14:textId="36038AAC">
      <w:pPr>
        <w:pStyle w:val="FootnoteText"/>
      </w:pPr>
      <w:r>
        <w:rPr>
          <w:rStyle w:val="FootnoteReference"/>
        </w:rPr>
        <w:footnoteRef/>
      </w:r>
      <w:r>
        <w:t xml:space="preserve"> Waiver Request</w:t>
      </w:r>
      <w:r w:rsidR="00F161DD">
        <w:t>s</w:t>
      </w:r>
      <w:r>
        <w:t xml:space="preserve"> at 2</w:t>
      </w:r>
      <w:r w:rsidR="004D1B8C">
        <w:t>-4</w:t>
      </w:r>
      <w:r w:rsidR="00DE4252">
        <w:t xml:space="preserve"> (citing </w:t>
      </w:r>
      <w:r w:rsidR="00DE4252">
        <w:rPr>
          <w:i/>
          <w:iCs/>
        </w:rPr>
        <w:t>Roman Catholic Diocese of Portland, Maine</w:t>
      </w:r>
      <w:r w:rsidR="00DE4252">
        <w:t>, Memorandum Opinion and Order, 29 FCC Rcd 15068</w:t>
      </w:r>
      <w:r w:rsidR="00CA4877">
        <w:t>, 15069, para. 2</w:t>
      </w:r>
      <w:r w:rsidR="006420AE">
        <w:t xml:space="preserve"> (2014)</w:t>
      </w:r>
      <w:r w:rsidR="00792CBD">
        <w:t xml:space="preserve"> </w:t>
      </w:r>
      <w:r w:rsidR="00BD2E2B">
        <w:t>(</w:t>
      </w:r>
      <w:r w:rsidR="00BD2E2B">
        <w:rPr>
          <w:i/>
          <w:iCs/>
        </w:rPr>
        <w:t>Diocese of Portland</w:t>
      </w:r>
      <w:r w:rsidR="00BD2E2B">
        <w:t>)</w:t>
      </w:r>
      <w:r w:rsidR="006420AE">
        <w:t xml:space="preserve"> (</w:t>
      </w:r>
      <w:r w:rsidR="008D1395">
        <w:t xml:space="preserve">citing the prohibition on major amendments set out in 47 CFR § 73.3573 and </w:t>
      </w:r>
      <w:r w:rsidR="006420AE">
        <w:t xml:space="preserve">allowing </w:t>
      </w:r>
      <w:r w:rsidR="00AA7224">
        <w:t xml:space="preserve">a </w:t>
      </w:r>
      <w:r w:rsidR="00E55B23">
        <w:t xml:space="preserve">new </w:t>
      </w:r>
      <w:r w:rsidR="00AA7224">
        <w:t xml:space="preserve">full service NCE </w:t>
      </w:r>
      <w:r w:rsidR="006420AE">
        <w:t xml:space="preserve">applicant that </w:t>
      </w:r>
      <w:r w:rsidR="00E55B23">
        <w:t xml:space="preserve">had </w:t>
      </w:r>
      <w:r w:rsidR="006420AE">
        <w:t xml:space="preserve">entered </w:t>
      </w:r>
      <w:r w:rsidR="000F6BCF">
        <w:t xml:space="preserve">conflicting ASR numbers and </w:t>
      </w:r>
      <w:r w:rsidR="0073764F">
        <w:t>site</w:t>
      </w:r>
      <w:r w:rsidR="00B70963">
        <w:t xml:space="preserve"> coordinates to file a major amendment resolving the discrepancy “</w:t>
      </w:r>
      <w:r w:rsidR="00003F2A">
        <w:t xml:space="preserve">based solely on </w:t>
      </w:r>
      <w:r w:rsidR="008610F6">
        <w:t>an apparent ambiguity in the state of the decisional law in this area” and announcing that</w:t>
      </w:r>
      <w:r w:rsidR="00CA4877">
        <w:t xml:space="preserve"> future applicants will be processed “solely on the site coordinates provided by the applicant . . . without reference to any other information submitted in the application”</w:t>
      </w:r>
      <w:r w:rsidR="0073764F">
        <w:t>)</w:t>
      </w:r>
      <w:r w:rsidR="00CA4877">
        <w:t>)</w:t>
      </w:r>
      <w:r>
        <w:t xml:space="preserve">. </w:t>
      </w:r>
    </w:p>
  </w:footnote>
  <w:footnote w:id="16">
    <w:p w:rsidR="008D1395" w:rsidRPr="008D1395" w14:paraId="0A30972D" w14:textId="020D184C">
      <w:pPr>
        <w:pStyle w:val="FootnoteText"/>
      </w:pPr>
      <w:r>
        <w:rPr>
          <w:rStyle w:val="FootnoteReference"/>
        </w:rPr>
        <w:footnoteRef/>
      </w:r>
      <w:r>
        <w:t xml:space="preserve"> </w:t>
      </w:r>
      <w:r>
        <w:rPr>
          <w:i/>
          <w:iCs/>
        </w:rPr>
        <w:t>Second Dismissal Letter</w:t>
      </w:r>
      <w:r>
        <w:t xml:space="preserve"> at 4-5.</w:t>
      </w:r>
    </w:p>
  </w:footnote>
  <w:footnote w:id="17">
    <w:p w:rsidR="00DD2EA7" w:rsidRPr="00DD2EA7" w14:paraId="5528B87C" w14:textId="6CBE6F16">
      <w:pPr>
        <w:pStyle w:val="FootnoteText"/>
      </w:pPr>
      <w:r>
        <w:rPr>
          <w:rStyle w:val="FootnoteReference"/>
        </w:rPr>
        <w:footnoteRef/>
      </w:r>
      <w:r>
        <w:t xml:space="preserve"> </w:t>
      </w:r>
      <w:r w:rsidR="000604D8">
        <w:rPr>
          <w:i/>
          <w:iCs/>
        </w:rPr>
        <w:t>Id.</w:t>
      </w:r>
      <w:r w:rsidR="000604D8">
        <w:t xml:space="preserve"> at </w:t>
      </w:r>
      <w:r w:rsidR="005809F3">
        <w:t xml:space="preserve">4. </w:t>
      </w:r>
    </w:p>
  </w:footnote>
  <w:footnote w:id="18">
    <w:p w:rsidR="00A23CFF" w:rsidRPr="00A23CFF" w14:paraId="713DBAD5" w14:textId="20CF4BD1">
      <w:pPr>
        <w:pStyle w:val="FootnoteText"/>
      </w:pPr>
      <w:r>
        <w:rPr>
          <w:rStyle w:val="FootnoteReference"/>
        </w:rPr>
        <w:footnoteRef/>
      </w:r>
      <w:r>
        <w:t xml:space="preserve"> </w:t>
      </w:r>
      <w:r w:rsidR="000604D8">
        <w:rPr>
          <w:i/>
          <w:iCs/>
        </w:rPr>
        <w:t>Id.</w:t>
      </w:r>
      <w:r w:rsidR="000604D8">
        <w:t xml:space="preserve"> at</w:t>
      </w:r>
      <w:r>
        <w:t xml:space="preserve"> 5.</w:t>
      </w:r>
    </w:p>
  </w:footnote>
  <w:footnote w:id="19">
    <w:p w:rsidR="00132FF8" w:rsidRPr="00CD066C" w:rsidP="00132FF8" w14:paraId="2FC4C737" w14:textId="4779F840">
      <w:pPr>
        <w:pStyle w:val="FootnoteText"/>
      </w:pPr>
      <w:r>
        <w:rPr>
          <w:rStyle w:val="FootnoteReference"/>
        </w:rPr>
        <w:footnoteRef/>
      </w:r>
      <w:r>
        <w:t xml:space="preserve"> </w:t>
      </w:r>
      <w:r w:rsidR="000604D8">
        <w:rPr>
          <w:i/>
          <w:iCs/>
        </w:rPr>
        <w:t>Id.</w:t>
      </w:r>
      <w:r w:rsidR="000604D8">
        <w:t xml:space="preserve"> at </w:t>
      </w:r>
      <w:r>
        <w:t xml:space="preserve">1. </w:t>
      </w:r>
    </w:p>
  </w:footnote>
  <w:footnote w:id="20">
    <w:p w:rsidR="00B270B0" w:rsidP="00B270B0" w14:paraId="5CBEF212" w14:textId="53F41BD6">
      <w:pPr>
        <w:pStyle w:val="FootnoteText"/>
      </w:pPr>
      <w:r>
        <w:rPr>
          <w:rStyle w:val="FootnoteReference"/>
        </w:rPr>
        <w:footnoteRef/>
      </w:r>
      <w:r>
        <w:t xml:space="preserve"> </w:t>
      </w:r>
      <w:r w:rsidR="00824D43">
        <w:t xml:space="preserve">Second </w:t>
      </w:r>
      <w:r>
        <w:t>Petition at 4 (citing 5 U.S.C. § 706(2)(A)).</w:t>
      </w:r>
      <w:r w:rsidRPr="00B270B0">
        <w:t xml:space="preserve"> </w:t>
      </w:r>
    </w:p>
  </w:footnote>
  <w:footnote w:id="21">
    <w:p w:rsidR="0092026B" w:rsidRPr="00167CF9" w:rsidP="0092026B" w14:paraId="1A04282C" w14:textId="77777777">
      <w:pPr>
        <w:pStyle w:val="FootnoteText"/>
      </w:pPr>
      <w:r>
        <w:rPr>
          <w:rStyle w:val="FootnoteReference"/>
        </w:rPr>
        <w:footnoteRef/>
      </w:r>
      <w:r>
        <w:t xml:space="preserve"> </w:t>
      </w:r>
      <w:r>
        <w:rPr>
          <w:i/>
          <w:iCs/>
        </w:rPr>
        <w:t>Loper Bright Enterprises v. Raimondo</w:t>
      </w:r>
      <w:r>
        <w:t>, 603 U.S. 369 (2024) (</w:t>
      </w:r>
      <w:r>
        <w:rPr>
          <w:i/>
          <w:iCs/>
        </w:rPr>
        <w:t>Loper Bright</w:t>
      </w:r>
      <w:r>
        <w:t xml:space="preserve">). </w:t>
      </w:r>
    </w:p>
  </w:footnote>
  <w:footnote w:id="22">
    <w:p w:rsidR="0092026B" w:rsidRPr="001D7FAC" w:rsidP="0092026B" w14:paraId="2C85DE8D" w14:textId="77777777">
      <w:pPr>
        <w:pStyle w:val="FootnoteText"/>
      </w:pPr>
      <w:r>
        <w:rPr>
          <w:rStyle w:val="FootnoteReference"/>
        </w:rPr>
        <w:footnoteRef/>
      </w:r>
      <w:r>
        <w:t xml:space="preserve"> </w:t>
      </w:r>
      <w:r>
        <w:rPr>
          <w:i/>
          <w:iCs/>
        </w:rPr>
        <w:t xml:space="preserve">See Loper Bright </w:t>
      </w:r>
      <w:r>
        <w:t xml:space="preserve">at 14 (quoting </w:t>
      </w:r>
      <w:r>
        <w:rPr>
          <w:i/>
          <w:iCs/>
        </w:rPr>
        <w:t>Chevron, U.S.A. v. Nat. Res. Def. Council, Inc.</w:t>
      </w:r>
      <w:r>
        <w:t>, 467 U.S. 837, 843 (1984) (</w:t>
      </w:r>
      <w:r>
        <w:rPr>
          <w:i/>
          <w:iCs/>
        </w:rPr>
        <w:t>Chevron</w:t>
      </w:r>
      <w:r>
        <w:t xml:space="preserve">)). </w:t>
      </w:r>
    </w:p>
  </w:footnote>
  <w:footnote w:id="23">
    <w:p w:rsidR="0092026B" w:rsidRPr="00962047" w:rsidP="0092026B" w14:paraId="26B79467" w14:textId="736971F6">
      <w:pPr>
        <w:pStyle w:val="FootnoteText"/>
      </w:pPr>
      <w:r>
        <w:rPr>
          <w:rStyle w:val="FootnoteReference"/>
        </w:rPr>
        <w:footnoteRef/>
      </w:r>
      <w:r>
        <w:t xml:space="preserve"> </w:t>
      </w:r>
      <w:r>
        <w:rPr>
          <w:i/>
          <w:iCs/>
        </w:rPr>
        <w:t xml:space="preserve">Loper Bright </w:t>
      </w:r>
      <w:r>
        <w:t xml:space="preserve">at 14-18 (citing 5 U.S.C. § 551 </w:t>
      </w:r>
      <w:r>
        <w:rPr>
          <w:i/>
          <w:iCs/>
        </w:rPr>
        <w:t>et seq.</w:t>
      </w:r>
      <w:r>
        <w:t xml:space="preserve">). </w:t>
      </w:r>
    </w:p>
  </w:footnote>
  <w:footnote w:id="24">
    <w:p w:rsidR="00E80405" w14:paraId="1E128B48" w14:textId="50838E41">
      <w:pPr>
        <w:pStyle w:val="FootnoteText"/>
      </w:pPr>
      <w:r>
        <w:rPr>
          <w:rStyle w:val="FootnoteReference"/>
        </w:rPr>
        <w:footnoteRef/>
      </w:r>
      <w:r>
        <w:t xml:space="preserve"> </w:t>
      </w:r>
      <w:bookmarkStart w:id="2" w:name="_Hlk202954084"/>
      <w:r w:rsidR="000F71DE">
        <w:t xml:space="preserve">Second </w:t>
      </w:r>
      <w:bookmarkEnd w:id="2"/>
      <w:r w:rsidR="00F75318">
        <w:t>Petition at 5.</w:t>
      </w:r>
    </w:p>
  </w:footnote>
  <w:footnote w:id="25">
    <w:p w:rsidR="00E7625A" w14:paraId="29733AF8" w14:textId="730FB936">
      <w:pPr>
        <w:pStyle w:val="FootnoteText"/>
      </w:pPr>
      <w:r>
        <w:rPr>
          <w:rStyle w:val="FootnoteReference"/>
        </w:rPr>
        <w:footnoteRef/>
      </w:r>
      <w:r>
        <w:t xml:space="preserve"> 47 U.S.C. § 309(g).</w:t>
      </w:r>
    </w:p>
  </w:footnote>
  <w:footnote w:id="26">
    <w:p w:rsidR="00FD53FD" w14:paraId="293DA239" w14:textId="1FDC3C8E">
      <w:pPr>
        <w:pStyle w:val="FootnoteText"/>
      </w:pPr>
      <w:r>
        <w:rPr>
          <w:rStyle w:val="FootnoteReference"/>
        </w:rPr>
        <w:footnoteRef/>
      </w:r>
      <w:r>
        <w:t xml:space="preserve"> </w:t>
      </w:r>
      <w:r w:rsidR="000F71DE">
        <w:t xml:space="preserve">Second </w:t>
      </w:r>
      <w:r>
        <w:t>Petition at 5-6</w:t>
      </w:r>
      <w:r w:rsidR="009A1317">
        <w:t xml:space="preserve">. </w:t>
      </w:r>
    </w:p>
  </w:footnote>
  <w:footnote w:id="27">
    <w:p w:rsidR="00BE2EAD" w14:paraId="60F49D15" w14:textId="042046C8">
      <w:pPr>
        <w:pStyle w:val="FootnoteText"/>
      </w:pPr>
      <w:r>
        <w:rPr>
          <w:rStyle w:val="FootnoteReference"/>
        </w:rPr>
        <w:footnoteRef/>
      </w:r>
      <w:r>
        <w:t xml:space="preserve"> </w:t>
      </w:r>
      <w:r w:rsidR="00E8069C">
        <w:rPr>
          <w:i/>
          <w:iCs/>
        </w:rPr>
        <w:t>Id.</w:t>
      </w:r>
      <w:r>
        <w:t xml:space="preserve"> at 6</w:t>
      </w:r>
      <w:r w:rsidR="00B921B7">
        <w:t xml:space="preserve">. </w:t>
      </w:r>
    </w:p>
  </w:footnote>
  <w:footnote w:id="28">
    <w:p w:rsidR="00081293" w14:paraId="4F8C8F6E" w14:textId="7AFFE0EF">
      <w:pPr>
        <w:pStyle w:val="FootnoteText"/>
      </w:pPr>
      <w:r>
        <w:rPr>
          <w:rStyle w:val="FootnoteReference"/>
        </w:rPr>
        <w:footnoteRef/>
      </w:r>
      <w:r>
        <w:t xml:space="preserve"> </w:t>
      </w:r>
      <w:r w:rsidR="00E8069C">
        <w:rPr>
          <w:i/>
          <w:iCs/>
        </w:rPr>
        <w:t>Id.</w:t>
      </w:r>
      <w:r w:rsidR="00E8069C">
        <w:t xml:space="preserve"> at </w:t>
      </w:r>
      <w:r>
        <w:t xml:space="preserve">6-7. </w:t>
      </w:r>
    </w:p>
  </w:footnote>
  <w:footnote w:id="29">
    <w:p w:rsidR="000763FC" w14:paraId="4F41E5D9" w14:textId="55B7CFA2">
      <w:pPr>
        <w:pStyle w:val="FootnoteText"/>
      </w:pPr>
      <w:r>
        <w:rPr>
          <w:rStyle w:val="FootnoteReference"/>
        </w:rPr>
        <w:footnoteRef/>
      </w:r>
      <w:r>
        <w:t xml:space="preserve"> </w:t>
      </w:r>
      <w:r w:rsidR="00E8069C">
        <w:rPr>
          <w:i/>
          <w:iCs/>
        </w:rPr>
        <w:t>Id.</w:t>
      </w:r>
      <w:r w:rsidR="00E8069C">
        <w:t xml:space="preserve"> at </w:t>
      </w:r>
      <w:r>
        <w:t>7.</w:t>
      </w:r>
    </w:p>
  </w:footnote>
  <w:footnote w:id="30">
    <w:p w:rsidR="005C2F52" w:rsidRPr="007A19B0" w:rsidP="005C2F52" w14:paraId="0D942665" w14:textId="77777777">
      <w:pPr>
        <w:pStyle w:val="FootnoteText"/>
        <w:rPr>
          <w:color w:val="000000"/>
        </w:rPr>
      </w:pPr>
      <w:r w:rsidRPr="007A19B0">
        <w:rPr>
          <w:rStyle w:val="FootnoteReference"/>
          <w:color w:val="000000"/>
        </w:rPr>
        <w:footnoteRef/>
      </w:r>
      <w:r w:rsidRPr="007A19B0">
        <w:rPr>
          <w:color w:val="000000"/>
        </w:rPr>
        <w:t xml:space="preserve"> 47 CFR § 1.106(c), (d); </w:t>
      </w:r>
      <w:r w:rsidRPr="007A19B0">
        <w:rPr>
          <w:i/>
          <w:iCs/>
          <w:color w:val="000000"/>
        </w:rPr>
        <w:t>WWIZ, Inc.,</w:t>
      </w:r>
      <w:r w:rsidRPr="007A19B0">
        <w:rPr>
          <w:color w:val="000000"/>
        </w:rPr>
        <w:t xml:space="preserve"> Memorandum Opinion and Order, 37 FCC 685, 686 (1964).</w:t>
      </w:r>
    </w:p>
  </w:footnote>
  <w:footnote w:id="31">
    <w:p w:rsidR="00C806EA" w:rsidRPr="00AA58CB" w14:paraId="13B2AB9A" w14:textId="2B1CC427">
      <w:pPr>
        <w:pStyle w:val="FootnoteText"/>
      </w:pPr>
      <w:r>
        <w:rPr>
          <w:rStyle w:val="FootnoteReference"/>
        </w:rPr>
        <w:footnoteRef/>
      </w:r>
      <w:r>
        <w:t xml:space="preserve"> In addition, HMM does not meet the specific criteria for reconsideration </w:t>
      </w:r>
      <w:r>
        <w:rPr>
          <w:i/>
          <w:iCs/>
        </w:rPr>
        <w:t>nunc pro tunc</w:t>
      </w:r>
      <w:r>
        <w:t xml:space="preserve">, for two reasons.  First, </w:t>
      </w:r>
      <w:r w:rsidR="00302B74">
        <w:t>a channel change is not a “relatively minor curative amendment</w:t>
      </w:r>
      <w:r w:rsidR="00790402">
        <w:t>.</w:t>
      </w:r>
      <w:r w:rsidR="00302B74">
        <w:t xml:space="preserve">”  </w:t>
      </w:r>
      <w:r w:rsidR="00302B74">
        <w:rPr>
          <w:i/>
          <w:iCs/>
        </w:rPr>
        <w:t xml:space="preserve">See </w:t>
      </w:r>
      <w:r w:rsidR="007A3C1C">
        <w:rPr>
          <w:i/>
          <w:iCs/>
        </w:rPr>
        <w:t>Nunc Pro Tunc Public Notice</w:t>
      </w:r>
      <w:r w:rsidR="007A3C1C">
        <w:t xml:space="preserve">, 49 Fed. Reg. at 47331; </w:t>
      </w:r>
      <w:r w:rsidR="00302B74">
        <w:t>47 CFR § 73.871(c)</w:t>
      </w:r>
      <w:r w:rsidR="007A3C1C">
        <w:t>.</w:t>
      </w:r>
      <w:r w:rsidR="005219C7">
        <w:t xml:space="preserve">  Second,</w:t>
      </w:r>
      <w:r w:rsidR="00D93A86">
        <w:t xml:space="preserve"> the</w:t>
      </w:r>
      <w:r w:rsidR="00D56385">
        <w:t xml:space="preserve"> </w:t>
      </w:r>
      <w:r w:rsidR="00CE15DA">
        <w:t xml:space="preserve">Second </w:t>
      </w:r>
      <w:r w:rsidR="00D56385">
        <w:t xml:space="preserve">Petition </w:t>
      </w:r>
      <w:r w:rsidR="00D93A86">
        <w:t xml:space="preserve">is </w:t>
      </w:r>
      <w:r w:rsidR="000920C4">
        <w:t>HMM’s second—arguably third</w:t>
      </w:r>
      <w:r w:rsidR="00F90F29">
        <w:t xml:space="preserve"> counting the attachment to the First Petition</w:t>
      </w:r>
      <w:r w:rsidR="00790402">
        <w:t>—</w:t>
      </w:r>
      <w:r w:rsidR="00E55B23">
        <w:t xml:space="preserve">attempt at </w:t>
      </w:r>
      <w:r w:rsidR="000920C4">
        <w:t>a curative amendment</w:t>
      </w:r>
      <w:r w:rsidR="00E55B23">
        <w:t xml:space="preserve"> of its Application</w:t>
      </w:r>
      <w:r w:rsidR="00AE691A">
        <w:t xml:space="preserve"> post-dismissal</w:t>
      </w:r>
      <w:r w:rsidR="0069363E">
        <w:t xml:space="preserve">. </w:t>
      </w:r>
      <w:r w:rsidR="00790402">
        <w:t xml:space="preserve"> </w:t>
      </w:r>
      <w:r w:rsidR="006079F9">
        <w:rPr>
          <w:i/>
          <w:iCs/>
        </w:rPr>
        <w:t>See</w:t>
      </w:r>
      <w:r w:rsidR="004B7B4E">
        <w:rPr>
          <w:i/>
          <w:iCs/>
        </w:rPr>
        <w:t xml:space="preserve"> Guidance Public Notice</w:t>
      </w:r>
      <w:r w:rsidR="004B7B4E">
        <w:t xml:space="preserve">, </w:t>
      </w:r>
      <w:r w:rsidR="00970CB1">
        <w:t>39 FCC Rcd at 971 (“</w:t>
      </w:r>
      <w:r w:rsidRPr="001342A6" w:rsidR="001342A6">
        <w:t xml:space="preserve">LPFM applicants whose applications are dismissed on other grounds will have </w:t>
      </w:r>
      <w:r w:rsidRPr="00F90F29" w:rsidR="001342A6">
        <w:rPr>
          <w:i/>
          <w:iCs/>
        </w:rPr>
        <w:t>one opportunity</w:t>
      </w:r>
      <w:r w:rsidRPr="001342A6" w:rsidR="001342A6">
        <w:t xml:space="preserve"> to file a minor curative amendment to its application and a petition for reconsideration, requesting reinstatement of the application</w:t>
      </w:r>
      <w:r w:rsidRPr="00CE15DA" w:rsidR="001342A6">
        <w:rPr>
          <w:i/>
          <w:iCs/>
        </w:rPr>
        <w:t xml:space="preserve"> nunc</w:t>
      </w:r>
      <w:r w:rsidRPr="001342A6" w:rsidR="001342A6">
        <w:rPr>
          <w:i/>
          <w:iCs/>
        </w:rPr>
        <w:t xml:space="preserve"> pro tunc</w:t>
      </w:r>
      <w:r w:rsidRPr="001342A6" w:rsidR="001342A6">
        <w:t>.</w:t>
      </w:r>
      <w:r w:rsidR="001342A6">
        <w:t>”)</w:t>
      </w:r>
      <w:r w:rsidR="00F90F29">
        <w:t xml:space="preserve"> (emphasis added)</w:t>
      </w:r>
      <w:r w:rsidR="009D37FD">
        <w:t xml:space="preserve">; </w:t>
      </w:r>
      <w:r w:rsidR="0069363E">
        <w:rPr>
          <w:i/>
          <w:iCs/>
        </w:rPr>
        <w:t>Nunc</w:t>
      </w:r>
      <w:r w:rsidRPr="005E76DD" w:rsidR="0069363E">
        <w:rPr>
          <w:i/>
          <w:iCs/>
        </w:rPr>
        <w:t xml:space="preserve"> Pro Tunc </w:t>
      </w:r>
      <w:r w:rsidR="0069363E">
        <w:rPr>
          <w:i/>
          <w:iCs/>
        </w:rPr>
        <w:t>Public Notice</w:t>
      </w:r>
      <w:r w:rsidRPr="008736ED" w:rsidR="0069363E">
        <w:t>, 49 Fed. Reg. at 47331</w:t>
      </w:r>
      <w:r w:rsidR="006F1AD8">
        <w:t xml:space="preserve"> (“[I]f </w:t>
      </w:r>
      <w:r w:rsidRPr="009237E4" w:rsidR="006F1AD8">
        <w:t xml:space="preserve">the same application is returned or dismissed a second time, it will not be afforded </w:t>
      </w:r>
      <w:r w:rsidRPr="002531B9" w:rsidR="006F1AD8">
        <w:rPr>
          <w:i/>
          <w:iCs/>
        </w:rPr>
        <w:t xml:space="preserve">nunc pro tunc </w:t>
      </w:r>
      <w:r w:rsidRPr="009237E4" w:rsidR="006F1AD8">
        <w:t>reconsideration rights.”</w:t>
      </w:r>
      <w:r w:rsidR="006F1AD8">
        <w:t>)</w:t>
      </w:r>
      <w:r w:rsidR="001342A6">
        <w:t>)</w:t>
      </w:r>
      <w:r w:rsidRPr="008736ED" w:rsidR="0069363E">
        <w:t>.</w:t>
      </w:r>
      <w:r w:rsidR="00CE15DA">
        <w:t xml:space="preserve">  </w:t>
      </w:r>
      <w:r w:rsidR="00605F68">
        <w:t>While we</w:t>
      </w:r>
      <w:r w:rsidR="00B1419D">
        <w:t xml:space="preserve"> have</w:t>
      </w:r>
      <w:r w:rsidR="00605F68">
        <w:t xml:space="preserve"> concerns </w:t>
      </w:r>
      <w:r w:rsidR="00CE15DA">
        <w:t xml:space="preserve">that HMM’s reliance on </w:t>
      </w:r>
      <w:r w:rsidR="00B1419D">
        <w:rPr>
          <w:i/>
          <w:iCs/>
        </w:rPr>
        <w:t>Loper Bright</w:t>
      </w:r>
      <w:r w:rsidR="00F90F29">
        <w:t>—</w:t>
      </w:r>
      <w:r w:rsidR="00B1419D">
        <w:t>with</w:t>
      </w:r>
      <w:r w:rsidR="00F90F29">
        <w:t xml:space="preserve"> scant </w:t>
      </w:r>
      <w:r w:rsidR="00605F68">
        <w:t xml:space="preserve">connection to the </w:t>
      </w:r>
      <w:r w:rsidR="00B1419D">
        <w:t>specific rule at issue</w:t>
      </w:r>
      <w:r w:rsidR="00F90F29">
        <w:t>—</w:t>
      </w:r>
      <w:r w:rsidR="00B1419D">
        <w:t xml:space="preserve">could be </w:t>
      </w:r>
      <w:r w:rsidR="00605F68">
        <w:t xml:space="preserve">viewed </w:t>
      </w:r>
      <w:r w:rsidR="00B1419D">
        <w:t xml:space="preserve">as an attempt to circumvent the </w:t>
      </w:r>
      <w:r w:rsidR="00B1419D">
        <w:rPr>
          <w:i/>
          <w:iCs/>
        </w:rPr>
        <w:t xml:space="preserve">nunc pro tunc </w:t>
      </w:r>
      <w:r w:rsidR="00B1419D">
        <w:t xml:space="preserve">policy’s prohibition on </w:t>
      </w:r>
      <w:r w:rsidR="00B64E32">
        <w:t xml:space="preserve">a </w:t>
      </w:r>
      <w:r w:rsidR="00B1419D">
        <w:t xml:space="preserve">second </w:t>
      </w:r>
      <w:r w:rsidR="00B64E32">
        <w:t xml:space="preserve">opportunity to file a minor curative </w:t>
      </w:r>
      <w:r w:rsidR="00B1419D">
        <w:t>amendment</w:t>
      </w:r>
      <w:r w:rsidR="00605F68">
        <w:t>, we narrowly conclude that its arguments warrant consideration</w:t>
      </w:r>
      <w:r w:rsidR="00F90F29">
        <w:t xml:space="preserve"> as relying on “events that have occurred or circumstances which have changed”</w:t>
      </w:r>
      <w:r w:rsidR="00605F68">
        <w:t xml:space="preserve"> under 1.106</w:t>
      </w:r>
      <w:r w:rsidR="00F90F29">
        <w:t>(b)(2)(i)</w:t>
      </w:r>
      <w:r w:rsidR="00B1419D">
        <w:t xml:space="preserve">.  </w:t>
      </w:r>
      <w:r w:rsidR="00CE15DA">
        <w:t xml:space="preserve"> </w:t>
      </w:r>
    </w:p>
  </w:footnote>
  <w:footnote w:id="32">
    <w:p w:rsidR="00651714" w14:paraId="7F3A3BE9" w14:textId="4EE04FB9">
      <w:pPr>
        <w:pStyle w:val="FootnoteText"/>
      </w:pPr>
      <w:r>
        <w:rPr>
          <w:rStyle w:val="FootnoteReference"/>
        </w:rPr>
        <w:footnoteRef/>
      </w:r>
      <w:r>
        <w:t xml:space="preserve"> 47 CFR </w:t>
      </w:r>
      <w:r w:rsidR="00805F0E">
        <w:t>§ 73.871(c).</w:t>
      </w:r>
    </w:p>
  </w:footnote>
  <w:footnote w:id="33">
    <w:p w:rsidR="000543A8" w:rsidRPr="00311A48" w:rsidP="000543A8" w14:paraId="05518EBB" w14:textId="421E74AE">
      <w:pPr>
        <w:pStyle w:val="FootnoteText"/>
      </w:pPr>
      <w:r>
        <w:rPr>
          <w:rStyle w:val="FootnoteReference"/>
        </w:rPr>
        <w:footnoteRef/>
      </w:r>
      <w:r>
        <w:t xml:space="preserve"> </w:t>
      </w:r>
      <w:r>
        <w:rPr>
          <w:i/>
          <w:iCs/>
        </w:rPr>
        <w:t>Creation of a Low Power Radio Service</w:t>
      </w:r>
      <w:r>
        <w:t>, Second Report and Order, 16 FCC Rcd 8026, 8028, paras. 5-7 (2001) (</w:t>
      </w:r>
      <w:r>
        <w:rPr>
          <w:i/>
          <w:iCs/>
        </w:rPr>
        <w:t>LPFM Second Report and Order</w:t>
      </w:r>
      <w:r>
        <w:t xml:space="preserve">). In the </w:t>
      </w:r>
      <w:r>
        <w:rPr>
          <w:i/>
          <w:iCs/>
        </w:rPr>
        <w:t>LPFM Second Report and Order</w:t>
      </w:r>
      <w:r>
        <w:t xml:space="preserve">, the Commission stated that the “minor amendment rule is a rule of procedure to which notice and comment requirements are inapplicable.”  </w:t>
      </w:r>
      <w:r>
        <w:rPr>
          <w:i/>
          <w:iCs/>
        </w:rPr>
        <w:t>LPFM Second Report and Order</w:t>
      </w:r>
      <w:r>
        <w:t>, 16 FCC Rcd at 8031 (citing 5 U</w:t>
      </w:r>
      <w:r w:rsidR="00F90F29">
        <w:t>.</w:t>
      </w:r>
      <w:r>
        <w:t>S</w:t>
      </w:r>
      <w:r w:rsidR="00F90F29">
        <w:t>.</w:t>
      </w:r>
      <w:r>
        <w:t>C</w:t>
      </w:r>
      <w:r w:rsidR="00F90F29">
        <w:t>.</w:t>
      </w:r>
      <w:r>
        <w:t xml:space="preserve"> § 553(b)(3)(A) and</w:t>
      </w:r>
      <w:r>
        <w:rPr>
          <w:i/>
          <w:iCs/>
        </w:rPr>
        <w:t xml:space="preserve"> JEM </w:t>
      </w:r>
      <w:r>
        <w:rPr>
          <w:i/>
          <w:iCs/>
        </w:rPr>
        <w:t>B’casting</w:t>
      </w:r>
      <w:r>
        <w:rPr>
          <w:i/>
          <w:iCs/>
        </w:rPr>
        <w:t xml:space="preserve"> v. FCC</w:t>
      </w:r>
      <w:r>
        <w:t xml:space="preserve">, 22 F.3d 320 (D.C. Cir. 1994)). </w:t>
      </w:r>
    </w:p>
  </w:footnote>
  <w:footnote w:id="34">
    <w:p w:rsidR="00A61D33" w:rsidRPr="00A61D33" w14:paraId="7C1B3B07" w14:textId="184D43D1">
      <w:pPr>
        <w:pStyle w:val="FootnoteText"/>
      </w:pPr>
      <w:r>
        <w:rPr>
          <w:rStyle w:val="FootnoteReference"/>
        </w:rPr>
        <w:footnoteRef/>
      </w:r>
      <w:r>
        <w:t xml:space="preserve"> </w:t>
      </w:r>
      <w:r>
        <w:rPr>
          <w:i/>
          <w:iCs/>
        </w:rPr>
        <w:t>Guidance Public Notice</w:t>
      </w:r>
      <w:r>
        <w:t>, 39 FCC Rcd at 969.</w:t>
      </w:r>
    </w:p>
  </w:footnote>
  <w:footnote w:id="35">
    <w:p w:rsidR="002E251E" w:rsidRPr="00B255E2" w:rsidP="002E251E" w14:paraId="7F1BC8C0" w14:textId="77777777">
      <w:pPr>
        <w:pStyle w:val="FootnoteText"/>
      </w:pPr>
      <w:r>
        <w:rPr>
          <w:rStyle w:val="FootnoteReference"/>
        </w:rPr>
        <w:footnoteRef/>
      </w:r>
      <w:r>
        <w:t xml:space="preserve"> </w:t>
      </w:r>
      <w:r>
        <w:rPr>
          <w:i/>
          <w:iCs/>
        </w:rPr>
        <w:t>Commission Identifies Groups of Mutually Exclusive Applications Submitted in the December 2023 LPFM Filing Window – Opens Window to Accept Settlements and Technical Amendments</w:t>
      </w:r>
      <w:r>
        <w:t>, Public Notice, 39 FCC Rcd 2355, 2358 (MB 2024) (</w:t>
      </w:r>
      <w:r>
        <w:rPr>
          <w:i/>
          <w:iCs/>
        </w:rPr>
        <w:t>MX Public Notice</w:t>
      </w:r>
      <w:r>
        <w:t xml:space="preserve">). </w:t>
      </w:r>
    </w:p>
  </w:footnote>
  <w:footnote w:id="36">
    <w:p w:rsidR="00800EC9" w:rsidRPr="00800EC9" w14:paraId="3ED3F6B8" w14:textId="626ADB4F">
      <w:pPr>
        <w:pStyle w:val="FootnoteText"/>
      </w:pPr>
      <w:r>
        <w:rPr>
          <w:rStyle w:val="FootnoteReference"/>
        </w:rPr>
        <w:footnoteRef/>
      </w:r>
      <w:r>
        <w:t xml:space="preserve"> </w:t>
      </w:r>
      <w:r w:rsidRPr="00800EC9">
        <w:rPr>
          <w:i/>
          <w:iCs/>
        </w:rPr>
        <w:t>Commission Identifies Tentative Selectees in 93 Groups of Mutually Exclusive Applications Submitted in the December 2023 LPFM Window</w:t>
      </w:r>
      <w:r w:rsidRPr="00800EC9">
        <w:t xml:space="preserve">, Public Notice, </w:t>
      </w:r>
      <w:r w:rsidR="006E21AE">
        <w:t>39 FCC Rcd 12006, 1201</w:t>
      </w:r>
      <w:r w:rsidR="003C33F3">
        <w:t>6</w:t>
      </w:r>
      <w:r w:rsidR="006E21AE">
        <w:t>, n.76</w:t>
      </w:r>
      <w:r w:rsidRPr="00800EC9">
        <w:t xml:space="preserve"> (2024)</w:t>
      </w:r>
      <w:r>
        <w:t xml:space="preserve"> (</w:t>
      </w:r>
      <w:r w:rsidRPr="002E251E" w:rsidR="002E251E">
        <w:rPr>
          <w:i/>
          <w:iCs/>
        </w:rPr>
        <w:t xml:space="preserve">Tentative </w:t>
      </w:r>
      <w:r>
        <w:rPr>
          <w:i/>
          <w:iCs/>
        </w:rPr>
        <w:t>Selectee Public Notice</w:t>
      </w:r>
      <w:r>
        <w:t>).</w:t>
      </w:r>
    </w:p>
  </w:footnote>
  <w:footnote w:id="37">
    <w:p w:rsidR="00C81F8A" w:rsidP="00C81F8A" w14:paraId="2676DF72" w14:textId="77777777">
      <w:pPr>
        <w:pStyle w:val="FootnoteText"/>
      </w:pPr>
      <w:r>
        <w:rPr>
          <w:rStyle w:val="FootnoteReference"/>
        </w:rPr>
        <w:footnoteRef/>
      </w:r>
      <w:r>
        <w:t xml:space="preserve"> Second Petition at 6. </w:t>
      </w:r>
    </w:p>
  </w:footnote>
  <w:footnote w:id="38">
    <w:p w:rsidR="005028F6" w:rsidP="005028F6" w14:paraId="07870A5B" w14:textId="742AC8BD">
      <w:pPr>
        <w:pStyle w:val="FootnoteText"/>
      </w:pPr>
      <w:r>
        <w:rPr>
          <w:rStyle w:val="FootnoteReference"/>
        </w:rPr>
        <w:footnoteRef/>
      </w:r>
      <w:r>
        <w:t xml:space="preserve"> </w:t>
      </w:r>
      <w:r w:rsidR="00336DDF">
        <w:rPr>
          <w:i/>
          <w:iCs/>
        </w:rPr>
        <w:t>Id.</w:t>
      </w:r>
      <w:r>
        <w:t xml:space="preserve"> at 5. </w:t>
      </w:r>
    </w:p>
  </w:footnote>
  <w:footnote w:id="39">
    <w:p w:rsidR="00932059" w14:paraId="5B1E87B4" w14:textId="36FBB976">
      <w:pPr>
        <w:pStyle w:val="FootnoteText"/>
      </w:pPr>
      <w:r>
        <w:rPr>
          <w:rStyle w:val="FootnoteReference"/>
        </w:rPr>
        <w:footnoteRef/>
      </w:r>
      <w:r>
        <w:t xml:space="preserve"> </w:t>
      </w:r>
      <w:r w:rsidR="00113116">
        <w:t>47 U.S.C. § 405 (“</w:t>
      </w:r>
      <w:r w:rsidRPr="00FA20C2" w:rsidR="00FA20C2">
        <w:t>A petition for reconsideration must be filed within thirty days from the date upon which public notice is given of the order, decision, report, or action complained of.</w:t>
      </w:r>
      <w:r w:rsidR="00FA20C2">
        <w:t>”).</w:t>
      </w:r>
    </w:p>
  </w:footnote>
  <w:footnote w:id="40">
    <w:p w:rsidR="008F5811" w:rsidP="008B10B0" w14:paraId="566B8006" w14:textId="020E6539">
      <w:pPr>
        <w:pStyle w:val="FootnoteText"/>
      </w:pPr>
      <w:r>
        <w:rPr>
          <w:rStyle w:val="FootnoteReference"/>
        </w:rPr>
        <w:footnoteRef/>
      </w:r>
      <w:r>
        <w:t xml:space="preserve"> 47 U.S.C. § 301</w:t>
      </w:r>
      <w:r w:rsidR="004E4BDE">
        <w:t>.</w:t>
      </w:r>
      <w:r w:rsidRPr="004E4BDE" w:rsidR="004E4BDE">
        <w:rPr>
          <w:i/>
          <w:iCs/>
        </w:rPr>
        <w:t xml:space="preserve"> </w:t>
      </w:r>
      <w:r w:rsidR="00717941">
        <w:rPr>
          <w:i/>
          <w:iCs/>
        </w:rPr>
        <w:t xml:space="preserve"> </w:t>
      </w:r>
      <w:r w:rsidR="004E4BDE">
        <w:rPr>
          <w:i/>
          <w:iCs/>
        </w:rPr>
        <w:t>See also, e.g., Northstar Wireless, LLC v. FCC</w:t>
      </w:r>
      <w:r w:rsidR="004E4BDE">
        <w:t>, 38 F.4</w:t>
      </w:r>
      <w:r w:rsidRPr="004C3C61" w:rsidR="004E4BDE">
        <w:rPr>
          <w:vertAlign w:val="superscript"/>
        </w:rPr>
        <w:t>th</w:t>
      </w:r>
      <w:r w:rsidR="004E4BDE">
        <w:t xml:space="preserve"> 190 (D.C. Cir. 2022) (“</w:t>
      </w:r>
      <w:r w:rsidRPr="000026F2" w:rsidR="004E4BDE">
        <w:t xml:space="preserve">Because transmissions can interfere with one another when they are broadcast in the same portions of spectrum, the Commission awards licenses to operate in specific frequency ranges, or </w:t>
      </w:r>
      <w:r w:rsidR="004E4BDE">
        <w:t>‘</w:t>
      </w:r>
      <w:r w:rsidRPr="000026F2" w:rsidR="004E4BDE">
        <w:t>bands.</w:t>
      </w:r>
      <w:r w:rsidR="004E4BDE">
        <w:t>’’) (internal quotations and citations omitted).</w:t>
      </w:r>
      <w:r w:rsidR="00A929D9">
        <w:t xml:space="preserve">  As a </w:t>
      </w:r>
      <w:r w:rsidR="00A929D9">
        <w:rPr>
          <w:color w:val="000000"/>
          <w:szCs w:val="22"/>
        </w:rPr>
        <w:t>procedural rule relating to the assignment of broadcast frequencies, section 73.871</w:t>
      </w:r>
      <w:r w:rsidR="00652109">
        <w:rPr>
          <w:color w:val="000000"/>
          <w:szCs w:val="22"/>
        </w:rPr>
        <w:t xml:space="preserve">(c) </w:t>
      </w:r>
      <w:r w:rsidR="00A929D9">
        <w:rPr>
          <w:color w:val="000000"/>
          <w:szCs w:val="22"/>
        </w:rPr>
        <w:t>also falls squarely within the Commission’s fundamental mandate to ensure a “</w:t>
      </w:r>
      <w:r w:rsidR="00A929D9">
        <w:t xml:space="preserve">fair, efficient, and equitable" distribution of radio service nationwide.  </w:t>
      </w:r>
      <w:r w:rsidR="00A929D9">
        <w:rPr>
          <w:i/>
          <w:iCs/>
        </w:rPr>
        <w:t xml:space="preserve">See </w:t>
      </w:r>
      <w:r w:rsidR="00A929D9">
        <w:t>47 U.S.C. § 309(c)(1).</w:t>
      </w:r>
      <w:r w:rsidR="008B10B0">
        <w:t xml:space="preserve">  Other core mandates that are implicated in this case are 47 U.S.C. § 154(i) (“The Commission may perform any and all acts, make such rules and regulations, and issue such orders, not inconsistent with this chapter, as may be necessary in the execution of its functions”) and 47 U.S.C. §§ 303(c) (authorizing the Commission to assign frequencies for each individual station) and (r) (authorizing the Commission generally to “make such rules and regulations and prescribe such restrictions and conditions, not inconsistent with law, as may be necessary to carry out the provisions of this chapter . . .”).</w:t>
      </w:r>
    </w:p>
  </w:footnote>
  <w:footnote w:id="41">
    <w:p w:rsidR="000B4DE8" w:rsidRPr="000B4DE8" w14:paraId="44B41133" w14:textId="41DCA3FA">
      <w:pPr>
        <w:pStyle w:val="FootnoteText"/>
      </w:pPr>
      <w:r>
        <w:rPr>
          <w:rStyle w:val="FootnoteReference"/>
        </w:rPr>
        <w:footnoteRef/>
      </w:r>
      <w:r>
        <w:t xml:space="preserve"> 47 </w:t>
      </w:r>
      <w:r w:rsidR="00717941">
        <w:t>U.S.C.</w:t>
      </w:r>
      <w:r>
        <w:t xml:space="preserve"> §</w:t>
      </w:r>
      <w:r w:rsidR="0026182B">
        <w:t xml:space="preserve"> 309.  </w:t>
      </w:r>
      <w:r>
        <w:rPr>
          <w:i/>
          <w:iCs/>
        </w:rPr>
        <w:t>See also</w:t>
      </w:r>
      <w:r>
        <w:t xml:space="preserve">, 47 </w:t>
      </w:r>
      <w:r w:rsidR="00717941">
        <w:t>U.S.C.</w:t>
      </w:r>
      <w:r>
        <w:t xml:space="preserve"> § 308 (b) (“</w:t>
      </w:r>
      <w:r w:rsidRPr="000B4DE8">
        <w:t>All applications for station licenses, or modifications or renewals thereof, shall set forth such facts as the Commission by regulation may prescribe as to the citizenship, character, and financial, technical, and other qualifications of the applicant to operate the station; the ownership and location of the proposed station and of the stations, if any, with which it is proposed to communicate; the frequencies and the power desired to be used; the hours of the day or other periods of time during which it is proposed to operate the station; the purposes for which the station is to be used; and such other information as it may require.</w:t>
      </w:r>
      <w:r>
        <w:t>”).</w:t>
      </w:r>
    </w:p>
  </w:footnote>
  <w:footnote w:id="42">
    <w:p w:rsidR="00A27256" w:rsidRPr="002B546D" w14:paraId="49FB0DA3" w14:textId="4139D573">
      <w:pPr>
        <w:pStyle w:val="FootnoteText"/>
      </w:pPr>
      <w:r>
        <w:rPr>
          <w:rStyle w:val="FootnoteReference"/>
        </w:rPr>
        <w:footnoteRef/>
      </w:r>
      <w:r>
        <w:t xml:space="preserve"> </w:t>
      </w:r>
      <w:r w:rsidR="002B546D">
        <w:rPr>
          <w:i/>
          <w:iCs/>
        </w:rPr>
        <w:t xml:space="preserve">See </w:t>
      </w:r>
      <w:r w:rsidR="002B546D">
        <w:t>47 U.S.C. §</w:t>
      </w:r>
      <w:r w:rsidR="0046223C">
        <w:t>§</w:t>
      </w:r>
      <w:r w:rsidR="002B546D">
        <w:t xml:space="preserve"> 309(b)</w:t>
      </w:r>
      <w:r w:rsidR="0046223C">
        <w:t>, (c)</w:t>
      </w:r>
      <w:r w:rsidR="002B546D">
        <w:t xml:space="preserve">. </w:t>
      </w:r>
    </w:p>
  </w:footnote>
  <w:footnote w:id="43">
    <w:p w:rsidR="00A052E1" w:rsidRPr="00DB384F" w14:paraId="1C374F13" w14:textId="41B03317">
      <w:pPr>
        <w:pStyle w:val="FootnoteText"/>
      </w:pPr>
      <w:r>
        <w:rPr>
          <w:rStyle w:val="FootnoteReference"/>
        </w:rPr>
        <w:footnoteRef/>
      </w:r>
      <w:r>
        <w:t xml:space="preserve"> </w:t>
      </w:r>
      <w:r w:rsidR="009C091A">
        <w:t xml:space="preserve"> 47 U.S.C. § 309(g)); </w:t>
      </w:r>
      <w:r w:rsidR="009C091A">
        <w:rPr>
          <w:i/>
          <w:iCs/>
        </w:rPr>
        <w:t>s</w:t>
      </w:r>
      <w:r w:rsidR="00DB384F">
        <w:rPr>
          <w:i/>
          <w:iCs/>
        </w:rPr>
        <w:t>ee</w:t>
      </w:r>
      <w:r w:rsidR="002658B9">
        <w:rPr>
          <w:i/>
          <w:iCs/>
        </w:rPr>
        <w:t>, e.g.,</w:t>
      </w:r>
      <w:r w:rsidR="00DB384F">
        <w:rPr>
          <w:i/>
          <w:iCs/>
        </w:rPr>
        <w:t xml:space="preserve"> Amendment of the Commission’s Rules for Implementation of its Cable Operations and</w:t>
      </w:r>
      <w:r w:rsidR="008F487D">
        <w:rPr>
          <w:i/>
          <w:iCs/>
        </w:rPr>
        <w:t xml:space="preserve"> Licensing System</w:t>
      </w:r>
      <w:r w:rsidR="00DB384F">
        <w:t xml:space="preserve">, </w:t>
      </w:r>
      <w:r w:rsidR="00B4635D">
        <w:t>Report and Order</w:t>
      </w:r>
      <w:r w:rsidR="004B6E39">
        <w:t xml:space="preserve">, </w:t>
      </w:r>
      <w:r w:rsidR="00DB384F">
        <w:t>1</w:t>
      </w:r>
      <w:r w:rsidR="00B4635D">
        <w:t>8</w:t>
      </w:r>
      <w:r w:rsidR="00DB384F">
        <w:t xml:space="preserve"> FCC Rcd </w:t>
      </w:r>
      <w:r w:rsidR="00B4635D">
        <w:t>5162</w:t>
      </w:r>
      <w:r w:rsidR="00DB384F">
        <w:t xml:space="preserve">, </w:t>
      </w:r>
      <w:r w:rsidR="00B4635D">
        <w:t>5168</w:t>
      </w:r>
      <w:r w:rsidR="00DB384F">
        <w:t xml:space="preserve">, para. </w:t>
      </w:r>
      <w:r w:rsidR="00C43B1C">
        <w:t>23</w:t>
      </w:r>
      <w:r w:rsidR="004B6E39">
        <w:t xml:space="preserve"> (200</w:t>
      </w:r>
      <w:r w:rsidR="00B4635D">
        <w:t>3</w:t>
      </w:r>
      <w:r w:rsidR="004B6E39">
        <w:t>)</w:t>
      </w:r>
      <w:r w:rsidR="00B67619">
        <w:t xml:space="preserve"> (“The Commission is authorized to adopt rules classifying amendments as either major or minor”)</w:t>
      </w:r>
      <w:r w:rsidR="002658B9">
        <w:t xml:space="preserve"> (citing 47 U.S.C. § 309(g)).</w:t>
      </w:r>
      <w:r w:rsidR="00B67619">
        <w:t xml:space="preserve"> </w:t>
      </w:r>
    </w:p>
  </w:footnote>
  <w:footnote w:id="44">
    <w:p w:rsidR="001B5D68" w:rsidRPr="001B5D68" w14:paraId="2A6BE974" w14:textId="7C4BD350">
      <w:pPr>
        <w:pStyle w:val="FootnoteText"/>
      </w:pPr>
      <w:r>
        <w:rPr>
          <w:rStyle w:val="FootnoteReference"/>
        </w:rPr>
        <w:footnoteRef/>
      </w:r>
      <w:r>
        <w:t xml:space="preserve"> </w:t>
      </w:r>
      <w:r>
        <w:rPr>
          <w:i/>
          <w:iCs/>
        </w:rPr>
        <w:t>See, e.g.</w:t>
      </w:r>
      <w:r>
        <w:t xml:space="preserve">, 47 </w:t>
      </w:r>
      <w:r w:rsidR="00414EAE">
        <w:t>CFR §</w:t>
      </w:r>
      <w:r w:rsidR="00AE691A">
        <w:t>§</w:t>
      </w:r>
      <w:r w:rsidR="00414EAE">
        <w:t xml:space="preserve"> 73.3573</w:t>
      </w:r>
      <w:r w:rsidR="00F627E0">
        <w:t>(a)</w:t>
      </w:r>
      <w:r w:rsidR="00AE691A">
        <w:t xml:space="preserve"> and</w:t>
      </w:r>
      <w:r w:rsidR="008A3EAB">
        <w:t xml:space="preserve"> 73.3522</w:t>
      </w:r>
      <w:r w:rsidR="00F627E0">
        <w:t xml:space="preserve"> (classifying </w:t>
      </w:r>
      <w:r w:rsidR="00AB7913">
        <w:t xml:space="preserve">and establishing procedures for </w:t>
      </w:r>
      <w:r w:rsidR="00983EB9">
        <w:t>major and minor</w:t>
      </w:r>
      <w:r w:rsidR="008A3EAB">
        <w:t xml:space="preserve"> amendments</w:t>
      </w:r>
      <w:r w:rsidR="00983EB9">
        <w:t xml:space="preserve"> </w:t>
      </w:r>
      <w:r w:rsidR="00717941">
        <w:t xml:space="preserve">to pending applications </w:t>
      </w:r>
      <w:r w:rsidR="00983EB9">
        <w:t>in the FM service)</w:t>
      </w:r>
      <w:r w:rsidR="00436DE5">
        <w:t xml:space="preserve">; </w:t>
      </w:r>
      <w:r w:rsidR="00BC7831">
        <w:t xml:space="preserve">47 CFR § </w:t>
      </w:r>
      <w:r w:rsidR="00946BF0">
        <w:t>78.109 (classifying</w:t>
      </w:r>
      <w:r w:rsidR="00AB7913">
        <w:t xml:space="preserve"> and establishing procedures for</w:t>
      </w:r>
      <w:r w:rsidR="00946BF0">
        <w:t xml:space="preserve"> major and minor change</w:t>
      </w:r>
      <w:r w:rsidR="00717941">
        <w:t xml:space="preserve"> applications</w:t>
      </w:r>
      <w:r w:rsidR="00946BF0">
        <w:t xml:space="preserve"> in the </w:t>
      </w:r>
      <w:r w:rsidR="00BC7831">
        <w:t>cable television relay</w:t>
      </w:r>
      <w:r w:rsidR="00946BF0">
        <w:t xml:space="preserve"> service); 47 CFR § 74.1233 (classifying major and minor change</w:t>
      </w:r>
      <w:r w:rsidR="00717941">
        <w:t xml:space="preserve"> applications</w:t>
      </w:r>
      <w:r w:rsidR="00946BF0">
        <w:t xml:space="preserve"> in the FM translator service)</w:t>
      </w:r>
      <w:r w:rsidR="006D4F73">
        <w:t>; 47 CFR §</w:t>
      </w:r>
      <w:r w:rsidR="00E71407">
        <w:t>§</w:t>
      </w:r>
      <w:r w:rsidR="006D4F73">
        <w:t xml:space="preserve"> 1.929</w:t>
      </w:r>
      <w:r w:rsidR="00993BEB">
        <w:t>, 1.947</w:t>
      </w:r>
      <w:r w:rsidR="006D4F73">
        <w:t xml:space="preserve"> (classifying </w:t>
      </w:r>
      <w:r w:rsidR="00993BEB">
        <w:t xml:space="preserve">and establishing procedures for </w:t>
      </w:r>
      <w:r w:rsidR="006D4F73">
        <w:t xml:space="preserve">major and minor </w:t>
      </w:r>
      <w:r w:rsidR="00582D96">
        <w:t xml:space="preserve">filings in the wireless services); </w:t>
      </w:r>
      <w:r w:rsidR="00C75A04">
        <w:t>47 CFR § 73.3522 (</w:t>
      </w:r>
      <w:r w:rsidR="00BA3B9F">
        <w:t>47 CFR § 7</w:t>
      </w:r>
      <w:r w:rsidR="00B23FA9">
        <w:t>3.3572</w:t>
      </w:r>
      <w:r w:rsidR="005E4A01">
        <w:t xml:space="preserve"> (classifying and establishing procedures for major and minor </w:t>
      </w:r>
      <w:r w:rsidR="00B23FA9">
        <w:t>amendment</w:t>
      </w:r>
      <w:r w:rsidR="00777C02">
        <w:t>s</w:t>
      </w:r>
      <w:r w:rsidR="00B23FA9">
        <w:t xml:space="preserve"> to </w:t>
      </w:r>
      <w:r w:rsidR="00717941">
        <w:t xml:space="preserve">pending </w:t>
      </w:r>
      <w:r w:rsidR="00B23FA9">
        <w:t>TV</w:t>
      </w:r>
      <w:r w:rsidR="00777C02">
        <w:t xml:space="preserve"> </w:t>
      </w:r>
      <w:r w:rsidR="00604CCD">
        <w:t>station</w:t>
      </w:r>
      <w:r w:rsidR="00777C02">
        <w:t xml:space="preserve"> applications</w:t>
      </w:r>
      <w:r w:rsidR="00604CCD">
        <w:t xml:space="preserve">). </w:t>
      </w:r>
      <w:r w:rsidR="00B57307">
        <w:t xml:space="preserve"> Notably, the Act does not requires that the Commission apply uniform processing rules to all radio services.  The Commission retains the discretion to develop and apply processing policies tailored to the unique characteristics of each service, particularly for processing applications submitted during filing windows. </w:t>
      </w:r>
      <w:r w:rsidRPr="00B57307" w:rsidR="00B57307">
        <w:rPr>
          <w:i/>
          <w:iCs/>
        </w:rPr>
        <w:t xml:space="preserve"> </w:t>
      </w:r>
      <w:r w:rsidR="00B57307">
        <w:rPr>
          <w:i/>
          <w:iCs/>
        </w:rPr>
        <w:t>See Clifford Brown Jazz Foundation</w:t>
      </w:r>
      <w:r w:rsidR="00B57307">
        <w:t>, Memorandum Opinion and Order, 29 FCC Rcd 13258, 13259 (2014) (citing</w:t>
      </w:r>
      <w:r w:rsidR="00B57307">
        <w:rPr>
          <w:i/>
          <w:iCs/>
        </w:rPr>
        <w:t xml:space="preserve"> </w:t>
      </w:r>
      <w:r w:rsidRPr="00BF0AA7" w:rsidR="00B57307">
        <w:t>47 U.S.C. §§ 154(i) and (j)</w:t>
      </w:r>
      <w:r w:rsidR="00B57307">
        <w:t>)</w:t>
      </w:r>
      <w:r w:rsidRPr="00BF0AA7" w:rsidR="00B57307">
        <w:t>.</w:t>
      </w:r>
    </w:p>
  </w:footnote>
  <w:footnote w:id="45">
    <w:p w:rsidR="004D3D83" w:rsidRPr="004D3D83" w14:paraId="7616C63D" w14:textId="0A2FF275">
      <w:pPr>
        <w:pStyle w:val="FootnoteText"/>
      </w:pPr>
      <w:r>
        <w:rPr>
          <w:rStyle w:val="FootnoteReference"/>
        </w:rPr>
        <w:footnoteRef/>
      </w:r>
      <w:r>
        <w:t xml:space="preserve"> </w:t>
      </w:r>
      <w:r>
        <w:rPr>
          <w:i/>
          <w:iCs/>
        </w:rPr>
        <w:t>LPFM Second Report and Order</w:t>
      </w:r>
      <w:r>
        <w:t xml:space="preserve">, 16 FCC Rcd at 8028, para. 6. </w:t>
      </w:r>
    </w:p>
  </w:footnote>
  <w:footnote w:id="46">
    <w:p w:rsidR="00A814CD" w:rsidRPr="00893BD0" w:rsidP="00A814CD" w14:paraId="583BE831" w14:textId="77777777">
      <w:pPr>
        <w:pStyle w:val="FootnoteText"/>
      </w:pPr>
      <w:r>
        <w:rPr>
          <w:rStyle w:val="FootnoteReference"/>
        </w:rPr>
        <w:footnoteRef/>
      </w:r>
      <w:r>
        <w:t xml:space="preserve"> </w:t>
      </w:r>
      <w:r>
        <w:rPr>
          <w:i/>
          <w:iCs/>
        </w:rPr>
        <w:t>See, e.g.,</w:t>
      </w:r>
      <w:r w:rsidRPr="00893BD0">
        <w:rPr>
          <w:i/>
          <w:iCs/>
        </w:rPr>
        <w:t xml:space="preserve"> </w:t>
      </w:r>
      <w:r>
        <w:rPr>
          <w:i/>
          <w:iCs/>
        </w:rPr>
        <w:t>Alegria I, Inc. v. FCC</w:t>
      </w:r>
      <w:r>
        <w:t xml:space="preserve">, 905 F.2d 471, 474 (D.C. Cir. 1990) (citing </w:t>
      </w:r>
      <w:r>
        <w:rPr>
          <w:i/>
          <w:iCs/>
        </w:rPr>
        <w:t>Reuters Ltd. v. FCC</w:t>
      </w:r>
      <w:r>
        <w:t xml:space="preserve">, 781 F.2d 946, 950-51 (D.C. Cir. 1986)). </w:t>
      </w:r>
    </w:p>
  </w:footnote>
  <w:footnote w:id="47">
    <w:p w:rsidR="00A814CD" w:rsidP="00A814CD" w14:paraId="0D477BAB" w14:textId="77777777">
      <w:pPr>
        <w:pStyle w:val="FootnoteText"/>
      </w:pPr>
      <w:r>
        <w:rPr>
          <w:rStyle w:val="FootnoteReference"/>
        </w:rPr>
        <w:footnoteRef/>
      </w:r>
      <w:r>
        <w:t xml:space="preserve"> </w:t>
      </w:r>
      <w:r>
        <w:rPr>
          <w:i/>
          <w:iCs/>
        </w:rPr>
        <w:t xml:space="preserve">See </w:t>
      </w:r>
      <w:r w:rsidRPr="00D75554">
        <w:t>47 CFR § 1.3</w:t>
      </w:r>
      <w:r>
        <w:t xml:space="preserve">; </w:t>
      </w:r>
      <w:r w:rsidRPr="00C73E83">
        <w:rPr>
          <w:i/>
        </w:rPr>
        <w:t>WAIT Radio v. FCC</w:t>
      </w:r>
      <w:r w:rsidRPr="00C73E83">
        <w:t>, 418 F.2d 1153, 1157</w:t>
      </w:r>
      <w:r>
        <w:t>, para. 2</w:t>
      </w:r>
      <w:r w:rsidRPr="00C73E83">
        <w:t xml:space="preserve"> (D.C. Cir. 1969)</w:t>
      </w:r>
      <w:r w:rsidRPr="00D75554">
        <w:t>.</w:t>
      </w:r>
    </w:p>
  </w:footnote>
  <w:footnote w:id="48">
    <w:p w:rsidR="00A814CD" w:rsidRPr="00D75554" w:rsidP="00A814CD" w14:paraId="0A5FF6C3" w14:textId="77777777">
      <w:pPr>
        <w:pStyle w:val="FootnoteText"/>
      </w:pPr>
      <w:r w:rsidRPr="00D75554">
        <w:rPr>
          <w:rStyle w:val="FootnoteReference"/>
        </w:rPr>
        <w:footnoteRef/>
      </w:r>
      <w:r w:rsidRPr="00D75554">
        <w:t xml:space="preserve"> </w:t>
      </w:r>
      <w:r w:rsidRPr="00D75554">
        <w:rPr>
          <w:i/>
        </w:rPr>
        <w:t>NetworkIP</w:t>
      </w:r>
      <w:r w:rsidRPr="00D75554">
        <w:rPr>
          <w:i/>
        </w:rPr>
        <w:t>, LLC v. FCC</w:t>
      </w:r>
      <w:r w:rsidRPr="00D75554">
        <w:t>, 548 F.3d</w:t>
      </w:r>
      <w:r>
        <w:t xml:space="preserve"> 116, 125-128 (D.C. Cir. 2008) (citing </w:t>
      </w:r>
      <w:r w:rsidRPr="00D75554">
        <w:rPr>
          <w:i/>
        </w:rPr>
        <w:t>Northeast Cellular</w:t>
      </w:r>
      <w:r>
        <w:rPr>
          <w:i/>
        </w:rPr>
        <w:t xml:space="preserve"> Telephone Co.</w:t>
      </w:r>
      <w:r w:rsidRPr="00D75554">
        <w:t xml:space="preserve">, 897 F.2d </w:t>
      </w:r>
      <w:r>
        <w:t>1164,</w:t>
      </w:r>
      <w:r w:rsidRPr="00D75554">
        <w:t xml:space="preserve"> 1166</w:t>
      </w:r>
      <w:r>
        <w:t xml:space="preserve"> (1990))</w:t>
      </w:r>
      <w:r w:rsidRPr="00D75554">
        <w:t>.</w:t>
      </w:r>
    </w:p>
  </w:footnote>
  <w:footnote w:id="49">
    <w:p w:rsidR="00990AB6" w:rsidP="00990AB6" w14:paraId="5AC96516" w14:textId="09128BFC">
      <w:pPr>
        <w:pStyle w:val="FootnoteText"/>
      </w:pPr>
      <w:r>
        <w:rPr>
          <w:rStyle w:val="FootnoteReference"/>
        </w:rPr>
        <w:footnoteRef/>
      </w:r>
      <w:r>
        <w:t xml:space="preserve"> </w:t>
      </w:r>
      <w:r w:rsidRPr="005B518F">
        <w:rPr>
          <w:i/>
          <w:iCs/>
        </w:rPr>
        <w:t>See, e.g., Adrian Abramovitch, Marketing Strategy Leaders, Inc. and Marketing Leaders, Inc.</w:t>
      </w:r>
      <w:r w:rsidRPr="005B518F">
        <w:t>, Forfeiture Order, 33 FCC Rcd 4663, 4674, para. 32</w:t>
      </w:r>
      <w:r w:rsidR="00D036D5">
        <w:t xml:space="preserve">, </w:t>
      </w:r>
      <w:r w:rsidRPr="005B518F">
        <w:t>n.79 (2018)</w:t>
      </w:r>
      <w:r w:rsidR="00D036D5">
        <w:t xml:space="preserve">; </w:t>
      </w:r>
      <w:r w:rsidRPr="005B518F">
        <w:rPr>
          <w:i/>
          <w:iCs/>
        </w:rPr>
        <w:t>PTT Phone Cards, Inc.</w:t>
      </w:r>
      <w:r w:rsidRPr="005B518F">
        <w:t>, Forfeiture Order, 30 FCC Rcd 14701, 14704, para. 10 (2015); </w:t>
      </w:r>
      <w:r w:rsidRPr="001B090C">
        <w:rPr>
          <w:i/>
          <w:iCs/>
        </w:rPr>
        <w:t>Southern California</w:t>
      </w:r>
      <w:r w:rsidR="00D036D5">
        <w:rPr>
          <w:i/>
          <w:iCs/>
        </w:rPr>
        <w:t xml:space="preserve"> </w:t>
      </w:r>
      <w:r w:rsidR="00D036D5">
        <w:rPr>
          <w:i/>
          <w:iCs/>
        </w:rPr>
        <w:t>B’</w:t>
      </w:r>
      <w:r w:rsidRPr="001B090C">
        <w:rPr>
          <w:i/>
          <w:iCs/>
        </w:rPr>
        <w:t>casting</w:t>
      </w:r>
      <w:r w:rsidRPr="001B090C">
        <w:rPr>
          <w:i/>
          <w:iCs/>
        </w:rPr>
        <w:t xml:space="preserve"> Co.</w:t>
      </w:r>
      <w:r w:rsidRPr="001B090C">
        <w:t xml:space="preserve">, Memorandum Opinion and Order, 6 FCC Rcd 4387, </w:t>
      </w:r>
      <w:r w:rsidR="00652109">
        <w:t xml:space="preserve">4387 </w:t>
      </w:r>
      <w:r w:rsidRPr="001B090C">
        <w:t>para 3</w:t>
      </w:r>
      <w:r w:rsidR="00652109">
        <w:t>.</w:t>
      </w:r>
      <w:r w:rsidRPr="001B090C">
        <w:t xml:space="preserve"> (1991)</w:t>
      </w:r>
      <w:r w:rsidR="00652109">
        <w:t>.</w:t>
      </w:r>
    </w:p>
  </w:footnote>
  <w:footnote w:id="50">
    <w:p w:rsidR="00990AB6" w:rsidRPr="00305CD2" w:rsidP="00990AB6" w14:paraId="7C2B8C16" w14:textId="77777777">
      <w:pPr>
        <w:pStyle w:val="FootnoteText"/>
      </w:pPr>
      <w:r>
        <w:rPr>
          <w:rStyle w:val="FootnoteReference"/>
        </w:rPr>
        <w:footnoteRef/>
      </w:r>
      <w:r>
        <w:t xml:space="preserve"> </w:t>
      </w:r>
      <w:r>
        <w:rPr>
          <w:i/>
          <w:iCs/>
        </w:rPr>
        <w:t xml:space="preserve">See </w:t>
      </w:r>
      <w:r>
        <w:t>47 CFR § 73.871(a) (“</w:t>
      </w:r>
      <w:r w:rsidRPr="00305CD2">
        <w:t>New and major change applications may be amended without limitation during the pertinent filing window.</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051B" w:rsidP="0021051B" w14:paraId="580FF2DE" w14:textId="77777777">
    <w:pPr>
      <w:pStyle w:val="Header"/>
      <w:spacing w:before="360" w:line="228" w:lineRule="auto"/>
      <w:ind w:firstLine="1440"/>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9525" b="9525"/>
          <wp:wrapTight wrapText="bothSides">
            <wp:wrapPolygon>
              <wp:start x="6562" y="0"/>
              <wp:lineTo x="0" y="3281"/>
              <wp:lineTo x="0" y="14765"/>
              <wp:lineTo x="1094" y="18046"/>
              <wp:lineTo x="6015" y="21327"/>
              <wp:lineTo x="6562" y="21327"/>
              <wp:lineTo x="14765" y="21327"/>
              <wp:lineTo x="15311" y="21327"/>
              <wp:lineTo x="20233" y="18046"/>
              <wp:lineTo x="21327" y="14765"/>
              <wp:lineTo x="21327" y="3281"/>
              <wp:lineTo x="14765" y="0"/>
              <wp:lineTo x="6562" y="0"/>
            </wp:wrapPolygon>
          </wp:wrapTight>
          <wp:docPr id="320264466" name="Picture 32026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64466"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CG Times (W1)" w:hAnsi="CG Times (W1)"/>
        <w:sz w:val="28"/>
      </w:rPr>
      <w:t xml:space="preserve">     Federal Communications Commission</w:t>
    </w:r>
  </w:p>
  <w:p w:rsidR="008A6A54" w:rsidP="0021051B" w14:paraId="7A99BDF8" w14:textId="77777777">
    <w:pPr>
      <w:tabs>
        <w:tab w:val="center" w:pos="4680"/>
        <w:tab w:val="left" w:pos="8400"/>
      </w:tabs>
      <w:rPr>
        <w:rFonts w:ascii="CG Times (W1)" w:hAnsi="CG Times (W1)"/>
        <w:sz w:val="28"/>
      </w:rPr>
    </w:pPr>
    <w:r>
      <w:rPr>
        <w:rFonts w:ascii="CG Times (W1)" w:hAnsi="CG Times (W1)"/>
        <w:sz w:val="28"/>
      </w:rPr>
      <w:tab/>
      <w:t>Washington, D.C. 20554</w:t>
    </w:r>
  </w:p>
  <w:p w:rsidR="0021051B" w:rsidRPr="0082175F" w:rsidP="0021051B" w14:paraId="76E50CD5" w14:textId="5F4128B6">
    <w:pPr>
      <w:tabs>
        <w:tab w:val="center" w:pos="4680"/>
        <w:tab w:val="left" w:pos="8400"/>
      </w:tabs>
      <w:rPr>
        <w:rFonts w:ascii="CG Times (W1)" w:hAnsi="CG Times (W1)"/>
        <w:sz w:val="28"/>
      </w:rPr>
    </w:pPr>
    <w:r>
      <w:rPr>
        <w:rFonts w:ascii="CG Times (W1)" w:hAnsi="CG Times (W1)"/>
        <w:sz w:val="28"/>
      </w:rPr>
      <w:tab/>
    </w:r>
    <w:r w:rsidRPr="008A6A54" w:rsidR="005326E1">
      <w:rPr>
        <w:rFonts w:ascii="CG Times (W1)" w:hAnsi="CG Times (W1)"/>
        <w:sz w:val="24"/>
      </w:rPr>
      <w:tab/>
    </w:r>
  </w:p>
  <w:p w:rsidR="0021051B" w:rsidP="0021051B" w14:paraId="4C2A2D95" w14:textId="18F16D44">
    <w:pPr>
      <w:pStyle w:val="Header"/>
      <w:jc w:val="center"/>
    </w:pPr>
    <w:r>
      <w:t>January 20,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26"/>
    <w:rsid w:val="000004F3"/>
    <w:rsid w:val="00000692"/>
    <w:rsid w:val="00000816"/>
    <w:rsid w:val="00000CB8"/>
    <w:rsid w:val="000011C7"/>
    <w:rsid w:val="000026F2"/>
    <w:rsid w:val="000027B9"/>
    <w:rsid w:val="000028F6"/>
    <w:rsid w:val="00003AC9"/>
    <w:rsid w:val="00003BD6"/>
    <w:rsid w:val="00003F2A"/>
    <w:rsid w:val="0000467A"/>
    <w:rsid w:val="0000495B"/>
    <w:rsid w:val="00004D12"/>
    <w:rsid w:val="000058A0"/>
    <w:rsid w:val="00006099"/>
    <w:rsid w:val="00006287"/>
    <w:rsid w:val="00006FC8"/>
    <w:rsid w:val="00007301"/>
    <w:rsid w:val="00007D00"/>
    <w:rsid w:val="00007DB2"/>
    <w:rsid w:val="00010317"/>
    <w:rsid w:val="00010C7F"/>
    <w:rsid w:val="0001167B"/>
    <w:rsid w:val="00011904"/>
    <w:rsid w:val="00011E5D"/>
    <w:rsid w:val="000132E2"/>
    <w:rsid w:val="00013B81"/>
    <w:rsid w:val="000141D6"/>
    <w:rsid w:val="00014245"/>
    <w:rsid w:val="00014382"/>
    <w:rsid w:val="0001458C"/>
    <w:rsid w:val="000154F5"/>
    <w:rsid w:val="0001658C"/>
    <w:rsid w:val="000168D0"/>
    <w:rsid w:val="00016F66"/>
    <w:rsid w:val="000176FA"/>
    <w:rsid w:val="00017BE9"/>
    <w:rsid w:val="00017E1D"/>
    <w:rsid w:val="00020A48"/>
    <w:rsid w:val="00020ABA"/>
    <w:rsid w:val="00020DCD"/>
    <w:rsid w:val="0002100A"/>
    <w:rsid w:val="00021B3E"/>
    <w:rsid w:val="00021CEB"/>
    <w:rsid w:val="00022118"/>
    <w:rsid w:val="0002309F"/>
    <w:rsid w:val="00023166"/>
    <w:rsid w:val="00023508"/>
    <w:rsid w:val="00023B45"/>
    <w:rsid w:val="00023F91"/>
    <w:rsid w:val="00024733"/>
    <w:rsid w:val="00024C67"/>
    <w:rsid w:val="00025C1E"/>
    <w:rsid w:val="00026506"/>
    <w:rsid w:val="000269E3"/>
    <w:rsid w:val="00026BB2"/>
    <w:rsid w:val="00026C71"/>
    <w:rsid w:val="000279DA"/>
    <w:rsid w:val="00027F04"/>
    <w:rsid w:val="00030748"/>
    <w:rsid w:val="00030E23"/>
    <w:rsid w:val="0003125D"/>
    <w:rsid w:val="00031F98"/>
    <w:rsid w:val="0003212C"/>
    <w:rsid w:val="0003254C"/>
    <w:rsid w:val="00033EE5"/>
    <w:rsid w:val="00034285"/>
    <w:rsid w:val="000343BF"/>
    <w:rsid w:val="00034F85"/>
    <w:rsid w:val="00034FC7"/>
    <w:rsid w:val="000364A0"/>
    <w:rsid w:val="00036596"/>
    <w:rsid w:val="000367C4"/>
    <w:rsid w:val="000368DA"/>
    <w:rsid w:val="00036A6D"/>
    <w:rsid w:val="00036B4B"/>
    <w:rsid w:val="00037555"/>
    <w:rsid w:val="00037B76"/>
    <w:rsid w:val="000401F5"/>
    <w:rsid w:val="000404AF"/>
    <w:rsid w:val="000407B0"/>
    <w:rsid w:val="0004171E"/>
    <w:rsid w:val="00041A39"/>
    <w:rsid w:val="00041CC1"/>
    <w:rsid w:val="00041EFD"/>
    <w:rsid w:val="00042030"/>
    <w:rsid w:val="00042625"/>
    <w:rsid w:val="0004275C"/>
    <w:rsid w:val="00042DA7"/>
    <w:rsid w:val="00043317"/>
    <w:rsid w:val="000469DC"/>
    <w:rsid w:val="00046F10"/>
    <w:rsid w:val="0004721B"/>
    <w:rsid w:val="00047EE4"/>
    <w:rsid w:val="000527BF"/>
    <w:rsid w:val="000537B2"/>
    <w:rsid w:val="000543A8"/>
    <w:rsid w:val="00054BC6"/>
    <w:rsid w:val="00054D5E"/>
    <w:rsid w:val="000552BD"/>
    <w:rsid w:val="00055940"/>
    <w:rsid w:val="00055982"/>
    <w:rsid w:val="00055A80"/>
    <w:rsid w:val="00055B85"/>
    <w:rsid w:val="00055F66"/>
    <w:rsid w:val="00056A13"/>
    <w:rsid w:val="000579F5"/>
    <w:rsid w:val="000604D8"/>
    <w:rsid w:val="00060AB3"/>
    <w:rsid w:val="00060DC6"/>
    <w:rsid w:val="000612D2"/>
    <w:rsid w:val="000616F1"/>
    <w:rsid w:val="00061798"/>
    <w:rsid w:val="00061915"/>
    <w:rsid w:val="000622A3"/>
    <w:rsid w:val="0006288E"/>
    <w:rsid w:val="000630FA"/>
    <w:rsid w:val="00064627"/>
    <w:rsid w:val="00064908"/>
    <w:rsid w:val="0006509C"/>
    <w:rsid w:val="00065A26"/>
    <w:rsid w:val="00065E1E"/>
    <w:rsid w:val="000663A6"/>
    <w:rsid w:val="0006771C"/>
    <w:rsid w:val="000679D9"/>
    <w:rsid w:val="00070FEC"/>
    <w:rsid w:val="00070FF2"/>
    <w:rsid w:val="0007143D"/>
    <w:rsid w:val="00071AC3"/>
    <w:rsid w:val="00071F25"/>
    <w:rsid w:val="0007247D"/>
    <w:rsid w:val="0007269F"/>
    <w:rsid w:val="00072A06"/>
    <w:rsid w:val="00073094"/>
    <w:rsid w:val="00073779"/>
    <w:rsid w:val="00073797"/>
    <w:rsid w:val="000738DB"/>
    <w:rsid w:val="00074063"/>
    <w:rsid w:val="00074AD2"/>
    <w:rsid w:val="000750AC"/>
    <w:rsid w:val="000763FC"/>
    <w:rsid w:val="00076567"/>
    <w:rsid w:val="00076678"/>
    <w:rsid w:val="00076A5C"/>
    <w:rsid w:val="00076AEB"/>
    <w:rsid w:val="00076E3A"/>
    <w:rsid w:val="00076FA4"/>
    <w:rsid w:val="000773F5"/>
    <w:rsid w:val="00077685"/>
    <w:rsid w:val="00077766"/>
    <w:rsid w:val="00077D17"/>
    <w:rsid w:val="0008096A"/>
    <w:rsid w:val="00081293"/>
    <w:rsid w:val="0008140F"/>
    <w:rsid w:val="000818B6"/>
    <w:rsid w:val="00081970"/>
    <w:rsid w:val="000819BF"/>
    <w:rsid w:val="000822D7"/>
    <w:rsid w:val="0008313B"/>
    <w:rsid w:val="000836ED"/>
    <w:rsid w:val="00083D95"/>
    <w:rsid w:val="0008473B"/>
    <w:rsid w:val="0008480C"/>
    <w:rsid w:val="00085031"/>
    <w:rsid w:val="000856E7"/>
    <w:rsid w:val="00086489"/>
    <w:rsid w:val="00086DDE"/>
    <w:rsid w:val="00087598"/>
    <w:rsid w:val="00087679"/>
    <w:rsid w:val="000905DC"/>
    <w:rsid w:val="00090704"/>
    <w:rsid w:val="00090CAA"/>
    <w:rsid w:val="00091234"/>
    <w:rsid w:val="0009147C"/>
    <w:rsid w:val="000915E4"/>
    <w:rsid w:val="00091842"/>
    <w:rsid w:val="00091B27"/>
    <w:rsid w:val="000920C4"/>
    <w:rsid w:val="000921CD"/>
    <w:rsid w:val="000931C5"/>
    <w:rsid w:val="00094223"/>
    <w:rsid w:val="000948B8"/>
    <w:rsid w:val="00095344"/>
    <w:rsid w:val="00095CA4"/>
    <w:rsid w:val="00095F2B"/>
    <w:rsid w:val="000960D1"/>
    <w:rsid w:val="000964BA"/>
    <w:rsid w:val="00096A7C"/>
    <w:rsid w:val="000974CD"/>
    <w:rsid w:val="00097750"/>
    <w:rsid w:val="00097D02"/>
    <w:rsid w:val="000A0226"/>
    <w:rsid w:val="000A0B10"/>
    <w:rsid w:val="000A0CD7"/>
    <w:rsid w:val="000A1014"/>
    <w:rsid w:val="000A1743"/>
    <w:rsid w:val="000A18FC"/>
    <w:rsid w:val="000A1B4C"/>
    <w:rsid w:val="000A1DF2"/>
    <w:rsid w:val="000A23B1"/>
    <w:rsid w:val="000A2B32"/>
    <w:rsid w:val="000A2CA6"/>
    <w:rsid w:val="000A2E0F"/>
    <w:rsid w:val="000A3308"/>
    <w:rsid w:val="000A3F27"/>
    <w:rsid w:val="000A4B0F"/>
    <w:rsid w:val="000A4B36"/>
    <w:rsid w:val="000A4E97"/>
    <w:rsid w:val="000A4EC1"/>
    <w:rsid w:val="000A676A"/>
    <w:rsid w:val="000A6F26"/>
    <w:rsid w:val="000A74B5"/>
    <w:rsid w:val="000A78E9"/>
    <w:rsid w:val="000A7ECA"/>
    <w:rsid w:val="000B089B"/>
    <w:rsid w:val="000B0B5F"/>
    <w:rsid w:val="000B0B91"/>
    <w:rsid w:val="000B0CFC"/>
    <w:rsid w:val="000B0DF8"/>
    <w:rsid w:val="000B0FAC"/>
    <w:rsid w:val="000B1380"/>
    <w:rsid w:val="000B1445"/>
    <w:rsid w:val="000B1FFE"/>
    <w:rsid w:val="000B23F5"/>
    <w:rsid w:val="000B2682"/>
    <w:rsid w:val="000B2883"/>
    <w:rsid w:val="000B2F22"/>
    <w:rsid w:val="000B3551"/>
    <w:rsid w:val="000B36B2"/>
    <w:rsid w:val="000B3CBD"/>
    <w:rsid w:val="000B40D0"/>
    <w:rsid w:val="000B4351"/>
    <w:rsid w:val="000B45B6"/>
    <w:rsid w:val="000B47AF"/>
    <w:rsid w:val="000B49BA"/>
    <w:rsid w:val="000B4AE4"/>
    <w:rsid w:val="000B4DE8"/>
    <w:rsid w:val="000B56DF"/>
    <w:rsid w:val="000B5EBC"/>
    <w:rsid w:val="000B617B"/>
    <w:rsid w:val="000B6681"/>
    <w:rsid w:val="000B6E5D"/>
    <w:rsid w:val="000B704A"/>
    <w:rsid w:val="000B749B"/>
    <w:rsid w:val="000B7583"/>
    <w:rsid w:val="000B79E7"/>
    <w:rsid w:val="000C0B65"/>
    <w:rsid w:val="000C0B8A"/>
    <w:rsid w:val="000C0CBD"/>
    <w:rsid w:val="000C2409"/>
    <w:rsid w:val="000C25FA"/>
    <w:rsid w:val="000C36C3"/>
    <w:rsid w:val="000C3B20"/>
    <w:rsid w:val="000C3B7B"/>
    <w:rsid w:val="000C4136"/>
    <w:rsid w:val="000C4406"/>
    <w:rsid w:val="000C4F82"/>
    <w:rsid w:val="000C554A"/>
    <w:rsid w:val="000C558E"/>
    <w:rsid w:val="000C694A"/>
    <w:rsid w:val="000C6E3B"/>
    <w:rsid w:val="000D0E14"/>
    <w:rsid w:val="000D0E37"/>
    <w:rsid w:val="000D1128"/>
    <w:rsid w:val="000D1180"/>
    <w:rsid w:val="000D138D"/>
    <w:rsid w:val="000D17C8"/>
    <w:rsid w:val="000D23D3"/>
    <w:rsid w:val="000D248D"/>
    <w:rsid w:val="000D276F"/>
    <w:rsid w:val="000D3FC1"/>
    <w:rsid w:val="000D454B"/>
    <w:rsid w:val="000D52C2"/>
    <w:rsid w:val="000D7139"/>
    <w:rsid w:val="000D7199"/>
    <w:rsid w:val="000D7245"/>
    <w:rsid w:val="000D76B0"/>
    <w:rsid w:val="000D7728"/>
    <w:rsid w:val="000D7E10"/>
    <w:rsid w:val="000D7F99"/>
    <w:rsid w:val="000E1173"/>
    <w:rsid w:val="000E1705"/>
    <w:rsid w:val="000E1BA3"/>
    <w:rsid w:val="000E1F9B"/>
    <w:rsid w:val="000E28F2"/>
    <w:rsid w:val="000E3006"/>
    <w:rsid w:val="000E35E1"/>
    <w:rsid w:val="000E4726"/>
    <w:rsid w:val="000E591E"/>
    <w:rsid w:val="000E5D57"/>
    <w:rsid w:val="000F0CAE"/>
    <w:rsid w:val="000F1072"/>
    <w:rsid w:val="000F16A8"/>
    <w:rsid w:val="000F1718"/>
    <w:rsid w:val="000F17B5"/>
    <w:rsid w:val="000F23B6"/>
    <w:rsid w:val="000F2E1B"/>
    <w:rsid w:val="000F32ED"/>
    <w:rsid w:val="000F3761"/>
    <w:rsid w:val="000F3BAA"/>
    <w:rsid w:val="000F3F61"/>
    <w:rsid w:val="000F469A"/>
    <w:rsid w:val="000F4AFF"/>
    <w:rsid w:val="000F4C32"/>
    <w:rsid w:val="000F4CA3"/>
    <w:rsid w:val="000F59A8"/>
    <w:rsid w:val="000F6BCF"/>
    <w:rsid w:val="000F71DE"/>
    <w:rsid w:val="000F786C"/>
    <w:rsid w:val="000F7B7A"/>
    <w:rsid w:val="0010089F"/>
    <w:rsid w:val="00100C9F"/>
    <w:rsid w:val="00100D92"/>
    <w:rsid w:val="00100EF1"/>
    <w:rsid w:val="00100F69"/>
    <w:rsid w:val="00101729"/>
    <w:rsid w:val="001018FD"/>
    <w:rsid w:val="001021F5"/>
    <w:rsid w:val="00103302"/>
    <w:rsid w:val="0010331D"/>
    <w:rsid w:val="00103336"/>
    <w:rsid w:val="00103CFA"/>
    <w:rsid w:val="00104813"/>
    <w:rsid w:val="00105287"/>
    <w:rsid w:val="001065AF"/>
    <w:rsid w:val="00107725"/>
    <w:rsid w:val="00107A16"/>
    <w:rsid w:val="00107A6B"/>
    <w:rsid w:val="00110647"/>
    <w:rsid w:val="00110986"/>
    <w:rsid w:val="00111151"/>
    <w:rsid w:val="00111449"/>
    <w:rsid w:val="00111D71"/>
    <w:rsid w:val="001125E4"/>
    <w:rsid w:val="00113116"/>
    <w:rsid w:val="00113F82"/>
    <w:rsid w:val="00115628"/>
    <w:rsid w:val="00115971"/>
    <w:rsid w:val="00115ACA"/>
    <w:rsid w:val="00115B01"/>
    <w:rsid w:val="00115B23"/>
    <w:rsid w:val="00115C3A"/>
    <w:rsid w:val="00115C42"/>
    <w:rsid w:val="001160FA"/>
    <w:rsid w:val="001164E1"/>
    <w:rsid w:val="00117756"/>
    <w:rsid w:val="00117803"/>
    <w:rsid w:val="0011783D"/>
    <w:rsid w:val="0012049E"/>
    <w:rsid w:val="001207BF"/>
    <w:rsid w:val="00120C26"/>
    <w:rsid w:val="0012194F"/>
    <w:rsid w:val="00121A04"/>
    <w:rsid w:val="001223E0"/>
    <w:rsid w:val="00122502"/>
    <w:rsid w:val="001226F3"/>
    <w:rsid w:val="00123502"/>
    <w:rsid w:val="00123C6A"/>
    <w:rsid w:val="0012415A"/>
    <w:rsid w:val="001243EA"/>
    <w:rsid w:val="00124AE7"/>
    <w:rsid w:val="001252C3"/>
    <w:rsid w:val="00125A59"/>
    <w:rsid w:val="00125EDF"/>
    <w:rsid w:val="001262A6"/>
    <w:rsid w:val="00126E0C"/>
    <w:rsid w:val="0012733A"/>
    <w:rsid w:val="00127AE4"/>
    <w:rsid w:val="00127F45"/>
    <w:rsid w:val="00127FF9"/>
    <w:rsid w:val="0013056B"/>
    <w:rsid w:val="00130FCB"/>
    <w:rsid w:val="00131A31"/>
    <w:rsid w:val="00131A48"/>
    <w:rsid w:val="001321CF"/>
    <w:rsid w:val="00132973"/>
    <w:rsid w:val="00132AB0"/>
    <w:rsid w:val="00132AB8"/>
    <w:rsid w:val="00132DD8"/>
    <w:rsid w:val="00132E00"/>
    <w:rsid w:val="00132ED0"/>
    <w:rsid w:val="00132FF8"/>
    <w:rsid w:val="0013318B"/>
    <w:rsid w:val="00133E80"/>
    <w:rsid w:val="00134081"/>
    <w:rsid w:val="001342A6"/>
    <w:rsid w:val="00134DFC"/>
    <w:rsid w:val="001351AA"/>
    <w:rsid w:val="0013577B"/>
    <w:rsid w:val="00136A52"/>
    <w:rsid w:val="00137000"/>
    <w:rsid w:val="00137566"/>
    <w:rsid w:val="00140359"/>
    <w:rsid w:val="00140FA3"/>
    <w:rsid w:val="0014137F"/>
    <w:rsid w:val="00141E26"/>
    <w:rsid w:val="00141ED4"/>
    <w:rsid w:val="00142200"/>
    <w:rsid w:val="00142641"/>
    <w:rsid w:val="0014293C"/>
    <w:rsid w:val="00142BAA"/>
    <w:rsid w:val="00142BED"/>
    <w:rsid w:val="00142D13"/>
    <w:rsid w:val="001431DC"/>
    <w:rsid w:val="001440A3"/>
    <w:rsid w:val="00144110"/>
    <w:rsid w:val="00145051"/>
    <w:rsid w:val="001453AA"/>
    <w:rsid w:val="00145C1C"/>
    <w:rsid w:val="00145FC6"/>
    <w:rsid w:val="0014601E"/>
    <w:rsid w:val="00146709"/>
    <w:rsid w:val="00147235"/>
    <w:rsid w:val="00147A07"/>
    <w:rsid w:val="00147A77"/>
    <w:rsid w:val="00147EFD"/>
    <w:rsid w:val="001517C5"/>
    <w:rsid w:val="0015187F"/>
    <w:rsid w:val="0015230D"/>
    <w:rsid w:val="00152DFE"/>
    <w:rsid w:val="00153196"/>
    <w:rsid w:val="00153714"/>
    <w:rsid w:val="00153AD2"/>
    <w:rsid w:val="00153F95"/>
    <w:rsid w:val="001542CF"/>
    <w:rsid w:val="0015470C"/>
    <w:rsid w:val="00155545"/>
    <w:rsid w:val="00155A85"/>
    <w:rsid w:val="00155CA3"/>
    <w:rsid w:val="00155EE0"/>
    <w:rsid w:val="00156A1A"/>
    <w:rsid w:val="00156F21"/>
    <w:rsid w:val="0016010C"/>
    <w:rsid w:val="00160B5F"/>
    <w:rsid w:val="00161364"/>
    <w:rsid w:val="00161E4B"/>
    <w:rsid w:val="00162075"/>
    <w:rsid w:val="0016210F"/>
    <w:rsid w:val="001626D1"/>
    <w:rsid w:val="00162A4E"/>
    <w:rsid w:val="001632AC"/>
    <w:rsid w:val="0016396C"/>
    <w:rsid w:val="001642AC"/>
    <w:rsid w:val="0016441B"/>
    <w:rsid w:val="00166C7E"/>
    <w:rsid w:val="00166D7F"/>
    <w:rsid w:val="00167061"/>
    <w:rsid w:val="001674F9"/>
    <w:rsid w:val="00167CF9"/>
    <w:rsid w:val="00170120"/>
    <w:rsid w:val="0017192A"/>
    <w:rsid w:val="00172677"/>
    <w:rsid w:val="001732C4"/>
    <w:rsid w:val="0017361F"/>
    <w:rsid w:val="00174305"/>
    <w:rsid w:val="001743B8"/>
    <w:rsid w:val="0017478D"/>
    <w:rsid w:val="00175936"/>
    <w:rsid w:val="00175D4B"/>
    <w:rsid w:val="0017639A"/>
    <w:rsid w:val="001765DD"/>
    <w:rsid w:val="001766DA"/>
    <w:rsid w:val="00176C26"/>
    <w:rsid w:val="00176C78"/>
    <w:rsid w:val="001771A3"/>
    <w:rsid w:val="00177335"/>
    <w:rsid w:val="001807DA"/>
    <w:rsid w:val="00180C53"/>
    <w:rsid w:val="00180DB4"/>
    <w:rsid w:val="00182F1E"/>
    <w:rsid w:val="00182F97"/>
    <w:rsid w:val="0018375D"/>
    <w:rsid w:val="00183FFD"/>
    <w:rsid w:val="0018408C"/>
    <w:rsid w:val="001844A7"/>
    <w:rsid w:val="00184555"/>
    <w:rsid w:val="0018595B"/>
    <w:rsid w:val="00185A34"/>
    <w:rsid w:val="00185BDE"/>
    <w:rsid w:val="0018674E"/>
    <w:rsid w:val="00186F0A"/>
    <w:rsid w:val="00187246"/>
    <w:rsid w:val="0018789D"/>
    <w:rsid w:val="00187974"/>
    <w:rsid w:val="00190200"/>
    <w:rsid w:val="001906AC"/>
    <w:rsid w:val="001908BE"/>
    <w:rsid w:val="00191B04"/>
    <w:rsid w:val="00191C55"/>
    <w:rsid w:val="00192119"/>
    <w:rsid w:val="00192409"/>
    <w:rsid w:val="00193214"/>
    <w:rsid w:val="001953B3"/>
    <w:rsid w:val="001954FC"/>
    <w:rsid w:val="001956B3"/>
    <w:rsid w:val="00195D21"/>
    <w:rsid w:val="001967D8"/>
    <w:rsid w:val="001971B5"/>
    <w:rsid w:val="00197ED3"/>
    <w:rsid w:val="001A10AB"/>
    <w:rsid w:val="001A1427"/>
    <w:rsid w:val="001A1A96"/>
    <w:rsid w:val="001A1DA4"/>
    <w:rsid w:val="001A2265"/>
    <w:rsid w:val="001A29BE"/>
    <w:rsid w:val="001A3631"/>
    <w:rsid w:val="001A38B2"/>
    <w:rsid w:val="001A3EE9"/>
    <w:rsid w:val="001A4A51"/>
    <w:rsid w:val="001A4ED0"/>
    <w:rsid w:val="001A50E8"/>
    <w:rsid w:val="001A5B38"/>
    <w:rsid w:val="001A5E34"/>
    <w:rsid w:val="001A6CC7"/>
    <w:rsid w:val="001A6E48"/>
    <w:rsid w:val="001A726E"/>
    <w:rsid w:val="001A76DB"/>
    <w:rsid w:val="001A7A2F"/>
    <w:rsid w:val="001A7A7B"/>
    <w:rsid w:val="001B084D"/>
    <w:rsid w:val="001B090C"/>
    <w:rsid w:val="001B13A8"/>
    <w:rsid w:val="001B15F2"/>
    <w:rsid w:val="001B1EBC"/>
    <w:rsid w:val="001B2839"/>
    <w:rsid w:val="001B2BB3"/>
    <w:rsid w:val="001B336C"/>
    <w:rsid w:val="001B5211"/>
    <w:rsid w:val="001B5321"/>
    <w:rsid w:val="001B5D68"/>
    <w:rsid w:val="001B68C7"/>
    <w:rsid w:val="001B74B7"/>
    <w:rsid w:val="001C0CB8"/>
    <w:rsid w:val="001C1D4E"/>
    <w:rsid w:val="001C1E09"/>
    <w:rsid w:val="001C22DB"/>
    <w:rsid w:val="001C2BFA"/>
    <w:rsid w:val="001C2C4D"/>
    <w:rsid w:val="001C3E20"/>
    <w:rsid w:val="001C444E"/>
    <w:rsid w:val="001C453F"/>
    <w:rsid w:val="001C57B4"/>
    <w:rsid w:val="001C5EF0"/>
    <w:rsid w:val="001C6468"/>
    <w:rsid w:val="001C6A25"/>
    <w:rsid w:val="001C6EEB"/>
    <w:rsid w:val="001C6F9C"/>
    <w:rsid w:val="001C70FE"/>
    <w:rsid w:val="001C7490"/>
    <w:rsid w:val="001C7610"/>
    <w:rsid w:val="001C77A8"/>
    <w:rsid w:val="001C7BB0"/>
    <w:rsid w:val="001C7EDD"/>
    <w:rsid w:val="001D04CA"/>
    <w:rsid w:val="001D10BE"/>
    <w:rsid w:val="001D11B9"/>
    <w:rsid w:val="001D1371"/>
    <w:rsid w:val="001D14CA"/>
    <w:rsid w:val="001D2660"/>
    <w:rsid w:val="001D2873"/>
    <w:rsid w:val="001D2FBE"/>
    <w:rsid w:val="001D3095"/>
    <w:rsid w:val="001D3145"/>
    <w:rsid w:val="001D32D2"/>
    <w:rsid w:val="001D385D"/>
    <w:rsid w:val="001D498E"/>
    <w:rsid w:val="001D4B37"/>
    <w:rsid w:val="001D5154"/>
    <w:rsid w:val="001D52B0"/>
    <w:rsid w:val="001D5DCB"/>
    <w:rsid w:val="001D6489"/>
    <w:rsid w:val="001D6ABB"/>
    <w:rsid w:val="001D6E57"/>
    <w:rsid w:val="001D717D"/>
    <w:rsid w:val="001D74CA"/>
    <w:rsid w:val="001D7530"/>
    <w:rsid w:val="001D7FAC"/>
    <w:rsid w:val="001E00FB"/>
    <w:rsid w:val="001E08E7"/>
    <w:rsid w:val="001E14D3"/>
    <w:rsid w:val="001E20E9"/>
    <w:rsid w:val="001E240F"/>
    <w:rsid w:val="001E24D6"/>
    <w:rsid w:val="001E25D0"/>
    <w:rsid w:val="001E2AFF"/>
    <w:rsid w:val="001E2C34"/>
    <w:rsid w:val="001E47D8"/>
    <w:rsid w:val="001E48D9"/>
    <w:rsid w:val="001E4979"/>
    <w:rsid w:val="001E5433"/>
    <w:rsid w:val="001E60E5"/>
    <w:rsid w:val="001E7478"/>
    <w:rsid w:val="001E7922"/>
    <w:rsid w:val="001E79D7"/>
    <w:rsid w:val="001F06C0"/>
    <w:rsid w:val="001F07CA"/>
    <w:rsid w:val="001F07FE"/>
    <w:rsid w:val="001F08C4"/>
    <w:rsid w:val="001F1369"/>
    <w:rsid w:val="001F1604"/>
    <w:rsid w:val="001F16E6"/>
    <w:rsid w:val="001F18E5"/>
    <w:rsid w:val="001F1CDF"/>
    <w:rsid w:val="001F1E76"/>
    <w:rsid w:val="001F241D"/>
    <w:rsid w:val="001F266D"/>
    <w:rsid w:val="001F2AF4"/>
    <w:rsid w:val="001F2C7B"/>
    <w:rsid w:val="001F3E68"/>
    <w:rsid w:val="001F4986"/>
    <w:rsid w:val="001F4E54"/>
    <w:rsid w:val="001F5300"/>
    <w:rsid w:val="001F625B"/>
    <w:rsid w:val="001F752E"/>
    <w:rsid w:val="001F7676"/>
    <w:rsid w:val="001F7683"/>
    <w:rsid w:val="001F7864"/>
    <w:rsid w:val="001F7C8D"/>
    <w:rsid w:val="00200130"/>
    <w:rsid w:val="00202183"/>
    <w:rsid w:val="002031F6"/>
    <w:rsid w:val="00203353"/>
    <w:rsid w:val="00203445"/>
    <w:rsid w:val="00203756"/>
    <w:rsid w:val="00203C91"/>
    <w:rsid w:val="00203F81"/>
    <w:rsid w:val="002042D4"/>
    <w:rsid w:val="00204DE0"/>
    <w:rsid w:val="00204FDD"/>
    <w:rsid w:val="00205239"/>
    <w:rsid w:val="00205FAB"/>
    <w:rsid w:val="002062D6"/>
    <w:rsid w:val="00206F15"/>
    <w:rsid w:val="0020743D"/>
    <w:rsid w:val="00207D32"/>
    <w:rsid w:val="00210288"/>
    <w:rsid w:val="0021051B"/>
    <w:rsid w:val="00210867"/>
    <w:rsid w:val="002119E5"/>
    <w:rsid w:val="0021244A"/>
    <w:rsid w:val="002124BD"/>
    <w:rsid w:val="00212553"/>
    <w:rsid w:val="00212B73"/>
    <w:rsid w:val="00212BAF"/>
    <w:rsid w:val="00212C6F"/>
    <w:rsid w:val="002134BE"/>
    <w:rsid w:val="0021390B"/>
    <w:rsid w:val="00215E9D"/>
    <w:rsid w:val="00216CB1"/>
    <w:rsid w:val="00216D8A"/>
    <w:rsid w:val="00217EA6"/>
    <w:rsid w:val="00220C1B"/>
    <w:rsid w:val="00220C34"/>
    <w:rsid w:val="00220CD2"/>
    <w:rsid w:val="00220F4A"/>
    <w:rsid w:val="00221ED5"/>
    <w:rsid w:val="00222F95"/>
    <w:rsid w:val="002233C8"/>
    <w:rsid w:val="002233F1"/>
    <w:rsid w:val="00223B46"/>
    <w:rsid w:val="002249E4"/>
    <w:rsid w:val="00225230"/>
    <w:rsid w:val="0022535E"/>
    <w:rsid w:val="0022645A"/>
    <w:rsid w:val="002268AE"/>
    <w:rsid w:val="00226973"/>
    <w:rsid w:val="00226EF4"/>
    <w:rsid w:val="0022742F"/>
    <w:rsid w:val="0022775A"/>
    <w:rsid w:val="00227983"/>
    <w:rsid w:val="002301CD"/>
    <w:rsid w:val="002309A6"/>
    <w:rsid w:val="002314C4"/>
    <w:rsid w:val="00231ED3"/>
    <w:rsid w:val="00232775"/>
    <w:rsid w:val="002327B1"/>
    <w:rsid w:val="0023281C"/>
    <w:rsid w:val="002328DA"/>
    <w:rsid w:val="00233090"/>
    <w:rsid w:val="00233E88"/>
    <w:rsid w:val="0023485B"/>
    <w:rsid w:val="00234D61"/>
    <w:rsid w:val="00234E4C"/>
    <w:rsid w:val="002350C2"/>
    <w:rsid w:val="00235C1A"/>
    <w:rsid w:val="00235EF8"/>
    <w:rsid w:val="00236228"/>
    <w:rsid w:val="00236A85"/>
    <w:rsid w:val="00237486"/>
    <w:rsid w:val="0024021B"/>
    <w:rsid w:val="00241114"/>
    <w:rsid w:val="002421E6"/>
    <w:rsid w:val="00242251"/>
    <w:rsid w:val="00242A17"/>
    <w:rsid w:val="002442A2"/>
    <w:rsid w:val="002443CF"/>
    <w:rsid w:val="00244E32"/>
    <w:rsid w:val="00245D34"/>
    <w:rsid w:val="00245E8A"/>
    <w:rsid w:val="002461E5"/>
    <w:rsid w:val="00246371"/>
    <w:rsid w:val="00246525"/>
    <w:rsid w:val="0024655A"/>
    <w:rsid w:val="00246593"/>
    <w:rsid w:val="0024683C"/>
    <w:rsid w:val="00246D7A"/>
    <w:rsid w:val="00246F7F"/>
    <w:rsid w:val="00247F36"/>
    <w:rsid w:val="002501A4"/>
    <w:rsid w:val="00251AD8"/>
    <w:rsid w:val="0025210D"/>
    <w:rsid w:val="00252E72"/>
    <w:rsid w:val="00253113"/>
    <w:rsid w:val="002531B9"/>
    <w:rsid w:val="002533E3"/>
    <w:rsid w:val="0025353B"/>
    <w:rsid w:val="002535A6"/>
    <w:rsid w:val="002538E6"/>
    <w:rsid w:val="00253A02"/>
    <w:rsid w:val="002544E5"/>
    <w:rsid w:val="002547F1"/>
    <w:rsid w:val="00254E69"/>
    <w:rsid w:val="002554EA"/>
    <w:rsid w:val="00255B20"/>
    <w:rsid w:val="002561D5"/>
    <w:rsid w:val="00256593"/>
    <w:rsid w:val="00256659"/>
    <w:rsid w:val="00256AC9"/>
    <w:rsid w:val="00257025"/>
    <w:rsid w:val="0025729B"/>
    <w:rsid w:val="002578D6"/>
    <w:rsid w:val="00257C6E"/>
    <w:rsid w:val="00257CA7"/>
    <w:rsid w:val="00257F00"/>
    <w:rsid w:val="0026036C"/>
    <w:rsid w:val="00260929"/>
    <w:rsid w:val="00260951"/>
    <w:rsid w:val="002611E2"/>
    <w:rsid w:val="0026182B"/>
    <w:rsid w:val="00261A69"/>
    <w:rsid w:val="0026222C"/>
    <w:rsid w:val="002629A1"/>
    <w:rsid w:val="00263142"/>
    <w:rsid w:val="00263919"/>
    <w:rsid w:val="00263E20"/>
    <w:rsid w:val="00264847"/>
    <w:rsid w:val="002658B9"/>
    <w:rsid w:val="002663B3"/>
    <w:rsid w:val="002667CB"/>
    <w:rsid w:val="00266DF5"/>
    <w:rsid w:val="00266E6B"/>
    <w:rsid w:val="00267469"/>
    <w:rsid w:val="00267A61"/>
    <w:rsid w:val="00267ED9"/>
    <w:rsid w:val="002706FA"/>
    <w:rsid w:val="002711EB"/>
    <w:rsid w:val="0027162D"/>
    <w:rsid w:val="00271658"/>
    <w:rsid w:val="002723A2"/>
    <w:rsid w:val="0027299C"/>
    <w:rsid w:val="00272DDF"/>
    <w:rsid w:val="00272E08"/>
    <w:rsid w:val="0027307C"/>
    <w:rsid w:val="00273098"/>
    <w:rsid w:val="00274508"/>
    <w:rsid w:val="002753C5"/>
    <w:rsid w:val="002753F5"/>
    <w:rsid w:val="002759A6"/>
    <w:rsid w:val="0027615A"/>
    <w:rsid w:val="002763D4"/>
    <w:rsid w:val="002806C0"/>
    <w:rsid w:val="0028092E"/>
    <w:rsid w:val="00281714"/>
    <w:rsid w:val="00281A43"/>
    <w:rsid w:val="0028258B"/>
    <w:rsid w:val="00282A29"/>
    <w:rsid w:val="0028338D"/>
    <w:rsid w:val="002839E2"/>
    <w:rsid w:val="00284603"/>
    <w:rsid w:val="00284B24"/>
    <w:rsid w:val="00285012"/>
    <w:rsid w:val="00285446"/>
    <w:rsid w:val="002866BD"/>
    <w:rsid w:val="002871C4"/>
    <w:rsid w:val="002873FC"/>
    <w:rsid w:val="00287C97"/>
    <w:rsid w:val="00287F3B"/>
    <w:rsid w:val="00290EA1"/>
    <w:rsid w:val="00291053"/>
    <w:rsid w:val="00291337"/>
    <w:rsid w:val="00291C3F"/>
    <w:rsid w:val="0029252C"/>
    <w:rsid w:val="002928D3"/>
    <w:rsid w:val="002929CE"/>
    <w:rsid w:val="00292AE3"/>
    <w:rsid w:val="00292EEF"/>
    <w:rsid w:val="002932C6"/>
    <w:rsid w:val="0029364C"/>
    <w:rsid w:val="00294071"/>
    <w:rsid w:val="002945C8"/>
    <w:rsid w:val="00294837"/>
    <w:rsid w:val="00294C30"/>
    <w:rsid w:val="0029507D"/>
    <w:rsid w:val="00295891"/>
    <w:rsid w:val="00296491"/>
    <w:rsid w:val="00296E98"/>
    <w:rsid w:val="002974B9"/>
    <w:rsid w:val="002975B2"/>
    <w:rsid w:val="002976EE"/>
    <w:rsid w:val="00297DD9"/>
    <w:rsid w:val="00297E2C"/>
    <w:rsid w:val="002A036C"/>
    <w:rsid w:val="002A17F4"/>
    <w:rsid w:val="002A25F7"/>
    <w:rsid w:val="002A3606"/>
    <w:rsid w:val="002A453F"/>
    <w:rsid w:val="002A49C1"/>
    <w:rsid w:val="002A4DC0"/>
    <w:rsid w:val="002A50F6"/>
    <w:rsid w:val="002A5F25"/>
    <w:rsid w:val="002A640C"/>
    <w:rsid w:val="002A6702"/>
    <w:rsid w:val="002A6BCD"/>
    <w:rsid w:val="002A6E02"/>
    <w:rsid w:val="002A6E73"/>
    <w:rsid w:val="002A7A5C"/>
    <w:rsid w:val="002A7C27"/>
    <w:rsid w:val="002B0554"/>
    <w:rsid w:val="002B0CCC"/>
    <w:rsid w:val="002B131C"/>
    <w:rsid w:val="002B156D"/>
    <w:rsid w:val="002B1CF5"/>
    <w:rsid w:val="002B1DAC"/>
    <w:rsid w:val="002B28FF"/>
    <w:rsid w:val="002B2B52"/>
    <w:rsid w:val="002B2CFA"/>
    <w:rsid w:val="002B3117"/>
    <w:rsid w:val="002B361E"/>
    <w:rsid w:val="002B3CAE"/>
    <w:rsid w:val="002B454E"/>
    <w:rsid w:val="002B461E"/>
    <w:rsid w:val="002B501B"/>
    <w:rsid w:val="002B527D"/>
    <w:rsid w:val="002B546D"/>
    <w:rsid w:val="002B5761"/>
    <w:rsid w:val="002B58B6"/>
    <w:rsid w:val="002B70ED"/>
    <w:rsid w:val="002B7BE5"/>
    <w:rsid w:val="002B7C49"/>
    <w:rsid w:val="002C0174"/>
    <w:rsid w:val="002C0313"/>
    <w:rsid w:val="002C0B2E"/>
    <w:rsid w:val="002C0C2B"/>
    <w:rsid w:val="002C0D8A"/>
    <w:rsid w:val="002C11D7"/>
    <w:rsid w:val="002C1BC8"/>
    <w:rsid w:val="002C2423"/>
    <w:rsid w:val="002C29D9"/>
    <w:rsid w:val="002C2E20"/>
    <w:rsid w:val="002C4D24"/>
    <w:rsid w:val="002C4DB1"/>
    <w:rsid w:val="002C5A7A"/>
    <w:rsid w:val="002C5C74"/>
    <w:rsid w:val="002C6DD5"/>
    <w:rsid w:val="002C7A5F"/>
    <w:rsid w:val="002C7BF2"/>
    <w:rsid w:val="002C7C81"/>
    <w:rsid w:val="002D04C0"/>
    <w:rsid w:val="002D079A"/>
    <w:rsid w:val="002D0F75"/>
    <w:rsid w:val="002D1327"/>
    <w:rsid w:val="002D1E7D"/>
    <w:rsid w:val="002D1F92"/>
    <w:rsid w:val="002D2305"/>
    <w:rsid w:val="002D249F"/>
    <w:rsid w:val="002D2812"/>
    <w:rsid w:val="002D2F5A"/>
    <w:rsid w:val="002D3022"/>
    <w:rsid w:val="002D313B"/>
    <w:rsid w:val="002D4907"/>
    <w:rsid w:val="002D52EF"/>
    <w:rsid w:val="002D5BAD"/>
    <w:rsid w:val="002D63EE"/>
    <w:rsid w:val="002D677C"/>
    <w:rsid w:val="002D725F"/>
    <w:rsid w:val="002D7746"/>
    <w:rsid w:val="002E1C46"/>
    <w:rsid w:val="002E2080"/>
    <w:rsid w:val="002E21A4"/>
    <w:rsid w:val="002E251E"/>
    <w:rsid w:val="002E2522"/>
    <w:rsid w:val="002E34B4"/>
    <w:rsid w:val="002E3691"/>
    <w:rsid w:val="002E3A7C"/>
    <w:rsid w:val="002E3CE8"/>
    <w:rsid w:val="002E3D84"/>
    <w:rsid w:val="002E4096"/>
    <w:rsid w:val="002E4376"/>
    <w:rsid w:val="002E44A6"/>
    <w:rsid w:val="002E4E19"/>
    <w:rsid w:val="002E5D59"/>
    <w:rsid w:val="002E6C69"/>
    <w:rsid w:val="002E6C95"/>
    <w:rsid w:val="002E6D97"/>
    <w:rsid w:val="002E7774"/>
    <w:rsid w:val="002E7ADB"/>
    <w:rsid w:val="002F01EE"/>
    <w:rsid w:val="002F0461"/>
    <w:rsid w:val="002F146A"/>
    <w:rsid w:val="002F1988"/>
    <w:rsid w:val="002F25B7"/>
    <w:rsid w:val="002F27C7"/>
    <w:rsid w:val="002F333C"/>
    <w:rsid w:val="002F3E4F"/>
    <w:rsid w:val="002F41AC"/>
    <w:rsid w:val="002F45CF"/>
    <w:rsid w:val="002F46AE"/>
    <w:rsid w:val="002F4901"/>
    <w:rsid w:val="002F4C42"/>
    <w:rsid w:val="002F5B3C"/>
    <w:rsid w:val="002F735C"/>
    <w:rsid w:val="002F7AA3"/>
    <w:rsid w:val="002F7CA5"/>
    <w:rsid w:val="002F7D46"/>
    <w:rsid w:val="003007D2"/>
    <w:rsid w:val="00300F95"/>
    <w:rsid w:val="003013F6"/>
    <w:rsid w:val="00301521"/>
    <w:rsid w:val="00301BB5"/>
    <w:rsid w:val="003024EA"/>
    <w:rsid w:val="00302B74"/>
    <w:rsid w:val="00302E74"/>
    <w:rsid w:val="00302EA8"/>
    <w:rsid w:val="0030340A"/>
    <w:rsid w:val="00303B56"/>
    <w:rsid w:val="00303ECD"/>
    <w:rsid w:val="003042A1"/>
    <w:rsid w:val="003057BC"/>
    <w:rsid w:val="00305CD2"/>
    <w:rsid w:val="00306F92"/>
    <w:rsid w:val="00307059"/>
    <w:rsid w:val="0030706C"/>
    <w:rsid w:val="00307814"/>
    <w:rsid w:val="00310925"/>
    <w:rsid w:val="003112C0"/>
    <w:rsid w:val="00311A48"/>
    <w:rsid w:val="00312FF3"/>
    <w:rsid w:val="0031337E"/>
    <w:rsid w:val="00313586"/>
    <w:rsid w:val="00314571"/>
    <w:rsid w:val="003149CF"/>
    <w:rsid w:val="00314B38"/>
    <w:rsid w:val="00314FBC"/>
    <w:rsid w:val="003153AA"/>
    <w:rsid w:val="003155C7"/>
    <w:rsid w:val="00315620"/>
    <w:rsid w:val="00315A50"/>
    <w:rsid w:val="00315E1A"/>
    <w:rsid w:val="00316878"/>
    <w:rsid w:val="00316CC7"/>
    <w:rsid w:val="0031776D"/>
    <w:rsid w:val="00317850"/>
    <w:rsid w:val="00320073"/>
    <w:rsid w:val="003200CB"/>
    <w:rsid w:val="003211CB"/>
    <w:rsid w:val="00321221"/>
    <w:rsid w:val="003218B5"/>
    <w:rsid w:val="00321F33"/>
    <w:rsid w:val="0032248F"/>
    <w:rsid w:val="00322721"/>
    <w:rsid w:val="00322BF9"/>
    <w:rsid w:val="00322C01"/>
    <w:rsid w:val="003230CC"/>
    <w:rsid w:val="00324FB1"/>
    <w:rsid w:val="003252AB"/>
    <w:rsid w:val="00325558"/>
    <w:rsid w:val="0032595E"/>
    <w:rsid w:val="00325A69"/>
    <w:rsid w:val="003264FF"/>
    <w:rsid w:val="0032696A"/>
    <w:rsid w:val="00326ADB"/>
    <w:rsid w:val="00327BD1"/>
    <w:rsid w:val="00330239"/>
    <w:rsid w:val="003304AF"/>
    <w:rsid w:val="00330556"/>
    <w:rsid w:val="00330AF2"/>
    <w:rsid w:val="0033180E"/>
    <w:rsid w:val="003318DD"/>
    <w:rsid w:val="00331D87"/>
    <w:rsid w:val="00331FBE"/>
    <w:rsid w:val="00332E48"/>
    <w:rsid w:val="0033327A"/>
    <w:rsid w:val="003332F4"/>
    <w:rsid w:val="003335AC"/>
    <w:rsid w:val="00333701"/>
    <w:rsid w:val="00333D10"/>
    <w:rsid w:val="0033460C"/>
    <w:rsid w:val="003346B4"/>
    <w:rsid w:val="003347D4"/>
    <w:rsid w:val="00334F5C"/>
    <w:rsid w:val="0033646B"/>
    <w:rsid w:val="00336B92"/>
    <w:rsid w:val="00336BC7"/>
    <w:rsid w:val="00336DDF"/>
    <w:rsid w:val="0033796D"/>
    <w:rsid w:val="00337FB4"/>
    <w:rsid w:val="0034001D"/>
    <w:rsid w:val="0034048B"/>
    <w:rsid w:val="003406CD"/>
    <w:rsid w:val="00340931"/>
    <w:rsid w:val="00340B7D"/>
    <w:rsid w:val="00341262"/>
    <w:rsid w:val="00341DCB"/>
    <w:rsid w:val="00342622"/>
    <w:rsid w:val="00342CF4"/>
    <w:rsid w:val="00343277"/>
    <w:rsid w:val="003435D8"/>
    <w:rsid w:val="003437D0"/>
    <w:rsid w:val="00344686"/>
    <w:rsid w:val="00344BEF"/>
    <w:rsid w:val="00344C5B"/>
    <w:rsid w:val="003451A4"/>
    <w:rsid w:val="00345402"/>
    <w:rsid w:val="00346624"/>
    <w:rsid w:val="00346794"/>
    <w:rsid w:val="00347263"/>
    <w:rsid w:val="00347422"/>
    <w:rsid w:val="00347E23"/>
    <w:rsid w:val="003505EB"/>
    <w:rsid w:val="00350E24"/>
    <w:rsid w:val="003514AA"/>
    <w:rsid w:val="003519E4"/>
    <w:rsid w:val="003522A6"/>
    <w:rsid w:val="00352503"/>
    <w:rsid w:val="00353D2C"/>
    <w:rsid w:val="003544CF"/>
    <w:rsid w:val="00354CED"/>
    <w:rsid w:val="00354ED2"/>
    <w:rsid w:val="0035514E"/>
    <w:rsid w:val="00355197"/>
    <w:rsid w:val="0035691A"/>
    <w:rsid w:val="00356D10"/>
    <w:rsid w:val="003579BC"/>
    <w:rsid w:val="00357A88"/>
    <w:rsid w:val="00360508"/>
    <w:rsid w:val="0036087E"/>
    <w:rsid w:val="0036091F"/>
    <w:rsid w:val="003614F1"/>
    <w:rsid w:val="00362A02"/>
    <w:rsid w:val="00362B39"/>
    <w:rsid w:val="00362CB8"/>
    <w:rsid w:val="00362DF7"/>
    <w:rsid w:val="0036310E"/>
    <w:rsid w:val="003636AF"/>
    <w:rsid w:val="00363A9A"/>
    <w:rsid w:val="00363EA6"/>
    <w:rsid w:val="003645EF"/>
    <w:rsid w:val="003648A8"/>
    <w:rsid w:val="003651A5"/>
    <w:rsid w:val="0036554A"/>
    <w:rsid w:val="003657A7"/>
    <w:rsid w:val="0036595F"/>
    <w:rsid w:val="00365D49"/>
    <w:rsid w:val="00365F53"/>
    <w:rsid w:val="0036697F"/>
    <w:rsid w:val="003672E2"/>
    <w:rsid w:val="0036731A"/>
    <w:rsid w:val="00367902"/>
    <w:rsid w:val="00367A6F"/>
    <w:rsid w:val="00367D8B"/>
    <w:rsid w:val="0037038A"/>
    <w:rsid w:val="003709AC"/>
    <w:rsid w:val="00370D06"/>
    <w:rsid w:val="00371C21"/>
    <w:rsid w:val="00371CBA"/>
    <w:rsid w:val="00372444"/>
    <w:rsid w:val="00372448"/>
    <w:rsid w:val="00372B80"/>
    <w:rsid w:val="00373525"/>
    <w:rsid w:val="00373583"/>
    <w:rsid w:val="00373C14"/>
    <w:rsid w:val="003742D9"/>
    <w:rsid w:val="0037471C"/>
    <w:rsid w:val="003752A6"/>
    <w:rsid w:val="00376254"/>
    <w:rsid w:val="00376AC9"/>
    <w:rsid w:val="00377790"/>
    <w:rsid w:val="00377B70"/>
    <w:rsid w:val="00377E0C"/>
    <w:rsid w:val="00377FA6"/>
    <w:rsid w:val="00380633"/>
    <w:rsid w:val="003811EE"/>
    <w:rsid w:val="00381667"/>
    <w:rsid w:val="00382547"/>
    <w:rsid w:val="003832E9"/>
    <w:rsid w:val="00383527"/>
    <w:rsid w:val="00383764"/>
    <w:rsid w:val="00385425"/>
    <w:rsid w:val="00385E01"/>
    <w:rsid w:val="00386B03"/>
    <w:rsid w:val="0038747F"/>
    <w:rsid w:val="00387556"/>
    <w:rsid w:val="0038773F"/>
    <w:rsid w:val="00387DA4"/>
    <w:rsid w:val="003902A7"/>
    <w:rsid w:val="00391530"/>
    <w:rsid w:val="00391C99"/>
    <w:rsid w:val="00391C9C"/>
    <w:rsid w:val="0039200E"/>
    <w:rsid w:val="003923C4"/>
    <w:rsid w:val="00392671"/>
    <w:rsid w:val="003933B3"/>
    <w:rsid w:val="003936EC"/>
    <w:rsid w:val="00393B89"/>
    <w:rsid w:val="003943EC"/>
    <w:rsid w:val="00394BB5"/>
    <w:rsid w:val="0039638E"/>
    <w:rsid w:val="00396EC7"/>
    <w:rsid w:val="00396F16"/>
    <w:rsid w:val="00397613"/>
    <w:rsid w:val="00397A03"/>
    <w:rsid w:val="003A0199"/>
    <w:rsid w:val="003A02C3"/>
    <w:rsid w:val="003A076F"/>
    <w:rsid w:val="003A0F24"/>
    <w:rsid w:val="003A11CF"/>
    <w:rsid w:val="003A1487"/>
    <w:rsid w:val="003A22DE"/>
    <w:rsid w:val="003A29FB"/>
    <w:rsid w:val="003A2A21"/>
    <w:rsid w:val="003A3126"/>
    <w:rsid w:val="003A3237"/>
    <w:rsid w:val="003A34AC"/>
    <w:rsid w:val="003A4796"/>
    <w:rsid w:val="003A49B1"/>
    <w:rsid w:val="003A4E46"/>
    <w:rsid w:val="003A50D2"/>
    <w:rsid w:val="003A53BA"/>
    <w:rsid w:val="003A5B97"/>
    <w:rsid w:val="003A5D7F"/>
    <w:rsid w:val="003A5FE9"/>
    <w:rsid w:val="003A6448"/>
    <w:rsid w:val="003A6A4E"/>
    <w:rsid w:val="003A7160"/>
    <w:rsid w:val="003A7B5C"/>
    <w:rsid w:val="003A7DDF"/>
    <w:rsid w:val="003B12D1"/>
    <w:rsid w:val="003B199D"/>
    <w:rsid w:val="003B2070"/>
    <w:rsid w:val="003B32D5"/>
    <w:rsid w:val="003B375E"/>
    <w:rsid w:val="003B3A7A"/>
    <w:rsid w:val="003B3AAF"/>
    <w:rsid w:val="003B3D71"/>
    <w:rsid w:val="003B445D"/>
    <w:rsid w:val="003B4B7B"/>
    <w:rsid w:val="003B4E7B"/>
    <w:rsid w:val="003B5341"/>
    <w:rsid w:val="003B540D"/>
    <w:rsid w:val="003B5A9F"/>
    <w:rsid w:val="003B603D"/>
    <w:rsid w:val="003B73D8"/>
    <w:rsid w:val="003B7514"/>
    <w:rsid w:val="003C0C29"/>
    <w:rsid w:val="003C1A72"/>
    <w:rsid w:val="003C2E38"/>
    <w:rsid w:val="003C2F48"/>
    <w:rsid w:val="003C33F3"/>
    <w:rsid w:val="003C37F0"/>
    <w:rsid w:val="003C38DA"/>
    <w:rsid w:val="003C3957"/>
    <w:rsid w:val="003C4039"/>
    <w:rsid w:val="003C4CAA"/>
    <w:rsid w:val="003C4CE7"/>
    <w:rsid w:val="003C6930"/>
    <w:rsid w:val="003C6E74"/>
    <w:rsid w:val="003C7245"/>
    <w:rsid w:val="003C7333"/>
    <w:rsid w:val="003C7B65"/>
    <w:rsid w:val="003C7BE7"/>
    <w:rsid w:val="003D07F3"/>
    <w:rsid w:val="003D0FA3"/>
    <w:rsid w:val="003D153E"/>
    <w:rsid w:val="003D1A4A"/>
    <w:rsid w:val="003D2F47"/>
    <w:rsid w:val="003D3210"/>
    <w:rsid w:val="003D37B3"/>
    <w:rsid w:val="003D4151"/>
    <w:rsid w:val="003D4BCE"/>
    <w:rsid w:val="003D5B38"/>
    <w:rsid w:val="003D5C95"/>
    <w:rsid w:val="003D5E15"/>
    <w:rsid w:val="003D628E"/>
    <w:rsid w:val="003D652A"/>
    <w:rsid w:val="003D6609"/>
    <w:rsid w:val="003D6B7B"/>
    <w:rsid w:val="003D7D40"/>
    <w:rsid w:val="003E00B1"/>
    <w:rsid w:val="003E0484"/>
    <w:rsid w:val="003E0779"/>
    <w:rsid w:val="003E141D"/>
    <w:rsid w:val="003E1BE7"/>
    <w:rsid w:val="003E28D3"/>
    <w:rsid w:val="003E2B3A"/>
    <w:rsid w:val="003E2D55"/>
    <w:rsid w:val="003E3F04"/>
    <w:rsid w:val="003E3F55"/>
    <w:rsid w:val="003E4144"/>
    <w:rsid w:val="003E5C6D"/>
    <w:rsid w:val="003E63F1"/>
    <w:rsid w:val="003E7783"/>
    <w:rsid w:val="003F038B"/>
    <w:rsid w:val="003F03A0"/>
    <w:rsid w:val="003F03E8"/>
    <w:rsid w:val="003F0718"/>
    <w:rsid w:val="003F0E2C"/>
    <w:rsid w:val="003F1929"/>
    <w:rsid w:val="003F1AC2"/>
    <w:rsid w:val="003F1CDA"/>
    <w:rsid w:val="003F1DF9"/>
    <w:rsid w:val="003F2164"/>
    <w:rsid w:val="003F3527"/>
    <w:rsid w:val="003F537B"/>
    <w:rsid w:val="003F5720"/>
    <w:rsid w:val="003F6266"/>
    <w:rsid w:val="003F6920"/>
    <w:rsid w:val="00400817"/>
    <w:rsid w:val="00400B63"/>
    <w:rsid w:val="004011CF"/>
    <w:rsid w:val="0040123F"/>
    <w:rsid w:val="00401915"/>
    <w:rsid w:val="00401CD3"/>
    <w:rsid w:val="0040239E"/>
    <w:rsid w:val="004027FB"/>
    <w:rsid w:val="00402A84"/>
    <w:rsid w:val="004034AD"/>
    <w:rsid w:val="004038EB"/>
    <w:rsid w:val="00403A73"/>
    <w:rsid w:val="0040406C"/>
    <w:rsid w:val="0040411F"/>
    <w:rsid w:val="00404A4B"/>
    <w:rsid w:val="004052EB"/>
    <w:rsid w:val="004057A6"/>
    <w:rsid w:val="00405897"/>
    <w:rsid w:val="00405A79"/>
    <w:rsid w:val="0040601D"/>
    <w:rsid w:val="00406294"/>
    <w:rsid w:val="00406CB3"/>
    <w:rsid w:val="00406CCC"/>
    <w:rsid w:val="00406D8F"/>
    <w:rsid w:val="004072FD"/>
    <w:rsid w:val="00407819"/>
    <w:rsid w:val="00407939"/>
    <w:rsid w:val="0040798A"/>
    <w:rsid w:val="004108CA"/>
    <w:rsid w:val="0041095A"/>
    <w:rsid w:val="0041100D"/>
    <w:rsid w:val="00412379"/>
    <w:rsid w:val="00412532"/>
    <w:rsid w:val="00412D86"/>
    <w:rsid w:val="004131BB"/>
    <w:rsid w:val="00413342"/>
    <w:rsid w:val="00413500"/>
    <w:rsid w:val="00414E12"/>
    <w:rsid w:val="00414EAE"/>
    <w:rsid w:val="00414F0E"/>
    <w:rsid w:val="00415639"/>
    <w:rsid w:val="0041666A"/>
    <w:rsid w:val="004167BB"/>
    <w:rsid w:val="00416E7B"/>
    <w:rsid w:val="00417A9C"/>
    <w:rsid w:val="00417EF0"/>
    <w:rsid w:val="00420295"/>
    <w:rsid w:val="004203F3"/>
    <w:rsid w:val="0042057D"/>
    <w:rsid w:val="0042066A"/>
    <w:rsid w:val="004220E7"/>
    <w:rsid w:val="0042372B"/>
    <w:rsid w:val="004249A8"/>
    <w:rsid w:val="00424AAD"/>
    <w:rsid w:val="0042505D"/>
    <w:rsid w:val="0042531E"/>
    <w:rsid w:val="00425399"/>
    <w:rsid w:val="004258FF"/>
    <w:rsid w:val="00425FB9"/>
    <w:rsid w:val="00426872"/>
    <w:rsid w:val="00427202"/>
    <w:rsid w:val="00427217"/>
    <w:rsid w:val="00427328"/>
    <w:rsid w:val="0042732D"/>
    <w:rsid w:val="00427339"/>
    <w:rsid w:val="00427FC6"/>
    <w:rsid w:val="0043042C"/>
    <w:rsid w:val="00430616"/>
    <w:rsid w:val="00430CEC"/>
    <w:rsid w:val="00431247"/>
    <w:rsid w:val="00431EBA"/>
    <w:rsid w:val="00431F67"/>
    <w:rsid w:val="00432507"/>
    <w:rsid w:val="00432B9C"/>
    <w:rsid w:val="004336F9"/>
    <w:rsid w:val="00433FF4"/>
    <w:rsid w:val="00434437"/>
    <w:rsid w:val="00434486"/>
    <w:rsid w:val="00434B9E"/>
    <w:rsid w:val="0043534D"/>
    <w:rsid w:val="00435D88"/>
    <w:rsid w:val="00436311"/>
    <w:rsid w:val="0043697E"/>
    <w:rsid w:val="004369EA"/>
    <w:rsid w:val="00436DE5"/>
    <w:rsid w:val="00437354"/>
    <w:rsid w:val="0043768C"/>
    <w:rsid w:val="00440486"/>
    <w:rsid w:val="004407A6"/>
    <w:rsid w:val="004407F5"/>
    <w:rsid w:val="00440F70"/>
    <w:rsid w:val="004427C0"/>
    <w:rsid w:val="00442ABB"/>
    <w:rsid w:val="00443547"/>
    <w:rsid w:val="0044384E"/>
    <w:rsid w:val="00443BF5"/>
    <w:rsid w:val="0044429D"/>
    <w:rsid w:val="0044503A"/>
    <w:rsid w:val="00445055"/>
    <w:rsid w:val="004455C9"/>
    <w:rsid w:val="00445799"/>
    <w:rsid w:val="00445D4A"/>
    <w:rsid w:val="00445FDB"/>
    <w:rsid w:val="00446866"/>
    <w:rsid w:val="004472A2"/>
    <w:rsid w:val="004473DB"/>
    <w:rsid w:val="004512A4"/>
    <w:rsid w:val="004519B1"/>
    <w:rsid w:val="004523D8"/>
    <w:rsid w:val="00452C8F"/>
    <w:rsid w:val="00452F8D"/>
    <w:rsid w:val="0045387A"/>
    <w:rsid w:val="0045407A"/>
    <w:rsid w:val="0045506B"/>
    <w:rsid w:val="00455733"/>
    <w:rsid w:val="00455758"/>
    <w:rsid w:val="004558EC"/>
    <w:rsid w:val="00455CB4"/>
    <w:rsid w:val="00457AAA"/>
    <w:rsid w:val="0046099B"/>
    <w:rsid w:val="0046200A"/>
    <w:rsid w:val="0046223C"/>
    <w:rsid w:val="00462326"/>
    <w:rsid w:val="00462403"/>
    <w:rsid w:val="0046272A"/>
    <w:rsid w:val="00463455"/>
    <w:rsid w:val="00463F5E"/>
    <w:rsid w:val="00464544"/>
    <w:rsid w:val="00464DEA"/>
    <w:rsid w:val="004663C2"/>
    <w:rsid w:val="00466D31"/>
    <w:rsid w:val="0046754C"/>
    <w:rsid w:val="00467E5A"/>
    <w:rsid w:val="00470639"/>
    <w:rsid w:val="00470BD6"/>
    <w:rsid w:val="00470F84"/>
    <w:rsid w:val="0047119F"/>
    <w:rsid w:val="00471DE4"/>
    <w:rsid w:val="00471E8F"/>
    <w:rsid w:val="00471F85"/>
    <w:rsid w:val="00472B11"/>
    <w:rsid w:val="00472E30"/>
    <w:rsid w:val="004731BF"/>
    <w:rsid w:val="004733E6"/>
    <w:rsid w:val="0047349A"/>
    <w:rsid w:val="0047368F"/>
    <w:rsid w:val="00473F0D"/>
    <w:rsid w:val="00474915"/>
    <w:rsid w:val="00474E36"/>
    <w:rsid w:val="00476649"/>
    <w:rsid w:val="00476756"/>
    <w:rsid w:val="00476A28"/>
    <w:rsid w:val="0047709F"/>
    <w:rsid w:val="004774CF"/>
    <w:rsid w:val="0047767E"/>
    <w:rsid w:val="004776B1"/>
    <w:rsid w:val="00477F23"/>
    <w:rsid w:val="004802B9"/>
    <w:rsid w:val="004802D7"/>
    <w:rsid w:val="00480768"/>
    <w:rsid w:val="00480B4E"/>
    <w:rsid w:val="00480B6B"/>
    <w:rsid w:val="00480EA5"/>
    <w:rsid w:val="004817BD"/>
    <w:rsid w:val="00481ACE"/>
    <w:rsid w:val="0048276D"/>
    <w:rsid w:val="00482CA6"/>
    <w:rsid w:val="00482DBB"/>
    <w:rsid w:val="00482EA3"/>
    <w:rsid w:val="004833CD"/>
    <w:rsid w:val="0048373A"/>
    <w:rsid w:val="00483C8C"/>
    <w:rsid w:val="004845B4"/>
    <w:rsid w:val="00484B7D"/>
    <w:rsid w:val="00484DA5"/>
    <w:rsid w:val="00484E22"/>
    <w:rsid w:val="00485012"/>
    <w:rsid w:val="00485050"/>
    <w:rsid w:val="004852DB"/>
    <w:rsid w:val="00485453"/>
    <w:rsid w:val="004859C7"/>
    <w:rsid w:val="00485A9F"/>
    <w:rsid w:val="00486773"/>
    <w:rsid w:val="004871EA"/>
    <w:rsid w:val="00487954"/>
    <w:rsid w:val="00487DCF"/>
    <w:rsid w:val="00490910"/>
    <w:rsid w:val="00490F13"/>
    <w:rsid w:val="00491571"/>
    <w:rsid w:val="00491B36"/>
    <w:rsid w:val="00491E4B"/>
    <w:rsid w:val="00493960"/>
    <w:rsid w:val="00493D0D"/>
    <w:rsid w:val="004944A6"/>
    <w:rsid w:val="00494588"/>
    <w:rsid w:val="0049504D"/>
    <w:rsid w:val="0049508E"/>
    <w:rsid w:val="004953E6"/>
    <w:rsid w:val="00495507"/>
    <w:rsid w:val="00495961"/>
    <w:rsid w:val="004962E2"/>
    <w:rsid w:val="0049652F"/>
    <w:rsid w:val="004970FA"/>
    <w:rsid w:val="00497949"/>
    <w:rsid w:val="004979B5"/>
    <w:rsid w:val="00497D47"/>
    <w:rsid w:val="004A0A0C"/>
    <w:rsid w:val="004A1542"/>
    <w:rsid w:val="004A16A7"/>
    <w:rsid w:val="004A18BE"/>
    <w:rsid w:val="004A1EA2"/>
    <w:rsid w:val="004A2382"/>
    <w:rsid w:val="004A2501"/>
    <w:rsid w:val="004A253C"/>
    <w:rsid w:val="004A26ED"/>
    <w:rsid w:val="004A32D7"/>
    <w:rsid w:val="004A3411"/>
    <w:rsid w:val="004A502F"/>
    <w:rsid w:val="004A5442"/>
    <w:rsid w:val="004A5F6C"/>
    <w:rsid w:val="004A651E"/>
    <w:rsid w:val="004A69C5"/>
    <w:rsid w:val="004A6C03"/>
    <w:rsid w:val="004A6C1F"/>
    <w:rsid w:val="004A6D29"/>
    <w:rsid w:val="004A6DB1"/>
    <w:rsid w:val="004A7933"/>
    <w:rsid w:val="004A7A57"/>
    <w:rsid w:val="004B0220"/>
    <w:rsid w:val="004B0C3B"/>
    <w:rsid w:val="004B249E"/>
    <w:rsid w:val="004B4BCB"/>
    <w:rsid w:val="004B4DA8"/>
    <w:rsid w:val="004B52DD"/>
    <w:rsid w:val="004B5890"/>
    <w:rsid w:val="004B601F"/>
    <w:rsid w:val="004B63AF"/>
    <w:rsid w:val="004B6E39"/>
    <w:rsid w:val="004B7B4E"/>
    <w:rsid w:val="004C0EC3"/>
    <w:rsid w:val="004C12A1"/>
    <w:rsid w:val="004C196F"/>
    <w:rsid w:val="004C237A"/>
    <w:rsid w:val="004C2E16"/>
    <w:rsid w:val="004C3753"/>
    <w:rsid w:val="004C3942"/>
    <w:rsid w:val="004C3C61"/>
    <w:rsid w:val="004C3D4C"/>
    <w:rsid w:val="004C3D8C"/>
    <w:rsid w:val="004C4F0B"/>
    <w:rsid w:val="004C5273"/>
    <w:rsid w:val="004C5CBB"/>
    <w:rsid w:val="004C61CD"/>
    <w:rsid w:val="004C6415"/>
    <w:rsid w:val="004C6DDE"/>
    <w:rsid w:val="004D044D"/>
    <w:rsid w:val="004D06EA"/>
    <w:rsid w:val="004D0C50"/>
    <w:rsid w:val="004D1038"/>
    <w:rsid w:val="004D1135"/>
    <w:rsid w:val="004D1B8C"/>
    <w:rsid w:val="004D2520"/>
    <w:rsid w:val="004D25CF"/>
    <w:rsid w:val="004D2DA1"/>
    <w:rsid w:val="004D3D83"/>
    <w:rsid w:val="004D3E88"/>
    <w:rsid w:val="004D3F85"/>
    <w:rsid w:val="004D4B04"/>
    <w:rsid w:val="004D6035"/>
    <w:rsid w:val="004D6C24"/>
    <w:rsid w:val="004D6CFF"/>
    <w:rsid w:val="004D6D49"/>
    <w:rsid w:val="004E01A6"/>
    <w:rsid w:val="004E0397"/>
    <w:rsid w:val="004E04A8"/>
    <w:rsid w:val="004E0C03"/>
    <w:rsid w:val="004E0E3F"/>
    <w:rsid w:val="004E13BB"/>
    <w:rsid w:val="004E185F"/>
    <w:rsid w:val="004E19D2"/>
    <w:rsid w:val="004E1A8F"/>
    <w:rsid w:val="004E1F23"/>
    <w:rsid w:val="004E1F6A"/>
    <w:rsid w:val="004E2AEA"/>
    <w:rsid w:val="004E2BBA"/>
    <w:rsid w:val="004E31F6"/>
    <w:rsid w:val="004E32DF"/>
    <w:rsid w:val="004E4BDE"/>
    <w:rsid w:val="004E504A"/>
    <w:rsid w:val="004E5072"/>
    <w:rsid w:val="004E5168"/>
    <w:rsid w:val="004E58A0"/>
    <w:rsid w:val="004E60B5"/>
    <w:rsid w:val="004E612E"/>
    <w:rsid w:val="004E6331"/>
    <w:rsid w:val="004E6BD8"/>
    <w:rsid w:val="004E78D4"/>
    <w:rsid w:val="004E7D23"/>
    <w:rsid w:val="004F05DC"/>
    <w:rsid w:val="004F068C"/>
    <w:rsid w:val="004F1280"/>
    <w:rsid w:val="004F1B25"/>
    <w:rsid w:val="004F1D84"/>
    <w:rsid w:val="004F2A81"/>
    <w:rsid w:val="004F31AB"/>
    <w:rsid w:val="004F3251"/>
    <w:rsid w:val="004F337C"/>
    <w:rsid w:val="004F3D83"/>
    <w:rsid w:val="004F4685"/>
    <w:rsid w:val="004F4F95"/>
    <w:rsid w:val="004F5F9B"/>
    <w:rsid w:val="004F6515"/>
    <w:rsid w:val="004F6DC7"/>
    <w:rsid w:val="004F7473"/>
    <w:rsid w:val="004F7682"/>
    <w:rsid w:val="004F7AF9"/>
    <w:rsid w:val="004F7B17"/>
    <w:rsid w:val="004F7E8D"/>
    <w:rsid w:val="004F7EF0"/>
    <w:rsid w:val="0050015C"/>
    <w:rsid w:val="00500623"/>
    <w:rsid w:val="00500C8D"/>
    <w:rsid w:val="00502048"/>
    <w:rsid w:val="005028F6"/>
    <w:rsid w:val="005030BB"/>
    <w:rsid w:val="005034E4"/>
    <w:rsid w:val="00503C9F"/>
    <w:rsid w:val="005048E1"/>
    <w:rsid w:val="005054BE"/>
    <w:rsid w:val="0050551D"/>
    <w:rsid w:val="005060A6"/>
    <w:rsid w:val="00506D86"/>
    <w:rsid w:val="0050706E"/>
    <w:rsid w:val="00507349"/>
    <w:rsid w:val="005076D9"/>
    <w:rsid w:val="00507716"/>
    <w:rsid w:val="00507989"/>
    <w:rsid w:val="0051092A"/>
    <w:rsid w:val="00510A5A"/>
    <w:rsid w:val="00512199"/>
    <w:rsid w:val="00512491"/>
    <w:rsid w:val="00513127"/>
    <w:rsid w:val="005132CB"/>
    <w:rsid w:val="005134A5"/>
    <w:rsid w:val="005146B4"/>
    <w:rsid w:val="00514A91"/>
    <w:rsid w:val="00514D96"/>
    <w:rsid w:val="00515D26"/>
    <w:rsid w:val="00515FC6"/>
    <w:rsid w:val="005160F0"/>
    <w:rsid w:val="00516223"/>
    <w:rsid w:val="00516437"/>
    <w:rsid w:val="005165A0"/>
    <w:rsid w:val="00517525"/>
    <w:rsid w:val="00517B99"/>
    <w:rsid w:val="00517F61"/>
    <w:rsid w:val="00520068"/>
    <w:rsid w:val="005212BE"/>
    <w:rsid w:val="005219C7"/>
    <w:rsid w:val="00521B14"/>
    <w:rsid w:val="00521BDA"/>
    <w:rsid w:val="00522173"/>
    <w:rsid w:val="00522177"/>
    <w:rsid w:val="00522507"/>
    <w:rsid w:val="0052262E"/>
    <w:rsid w:val="00522C8C"/>
    <w:rsid w:val="00522EB0"/>
    <w:rsid w:val="005234D0"/>
    <w:rsid w:val="00523917"/>
    <w:rsid w:val="0052459F"/>
    <w:rsid w:val="00524F25"/>
    <w:rsid w:val="0052524C"/>
    <w:rsid w:val="005267AA"/>
    <w:rsid w:val="00526FB6"/>
    <w:rsid w:val="00527E9F"/>
    <w:rsid w:val="005305BA"/>
    <w:rsid w:val="005306AE"/>
    <w:rsid w:val="00530F3D"/>
    <w:rsid w:val="00531AD3"/>
    <w:rsid w:val="0053205F"/>
    <w:rsid w:val="005323CA"/>
    <w:rsid w:val="005324A2"/>
    <w:rsid w:val="005326E1"/>
    <w:rsid w:val="005328D0"/>
    <w:rsid w:val="00533536"/>
    <w:rsid w:val="00533B3B"/>
    <w:rsid w:val="00534B39"/>
    <w:rsid w:val="00534B41"/>
    <w:rsid w:val="005351A5"/>
    <w:rsid w:val="00535E08"/>
    <w:rsid w:val="00536444"/>
    <w:rsid w:val="005367BD"/>
    <w:rsid w:val="005368F3"/>
    <w:rsid w:val="00536C96"/>
    <w:rsid w:val="00537B80"/>
    <w:rsid w:val="00537F27"/>
    <w:rsid w:val="005406CF"/>
    <w:rsid w:val="00540C46"/>
    <w:rsid w:val="00540C78"/>
    <w:rsid w:val="005415E5"/>
    <w:rsid w:val="00541C2B"/>
    <w:rsid w:val="0054230D"/>
    <w:rsid w:val="00542B12"/>
    <w:rsid w:val="00542B52"/>
    <w:rsid w:val="00542D94"/>
    <w:rsid w:val="00543994"/>
    <w:rsid w:val="00544139"/>
    <w:rsid w:val="00544780"/>
    <w:rsid w:val="00545155"/>
    <w:rsid w:val="005459E3"/>
    <w:rsid w:val="005463FD"/>
    <w:rsid w:val="00546D45"/>
    <w:rsid w:val="005472C1"/>
    <w:rsid w:val="00547AC1"/>
    <w:rsid w:val="00547CB1"/>
    <w:rsid w:val="00547E13"/>
    <w:rsid w:val="0055041C"/>
    <w:rsid w:val="00550822"/>
    <w:rsid w:val="00550CC0"/>
    <w:rsid w:val="00550E7F"/>
    <w:rsid w:val="005515DD"/>
    <w:rsid w:val="005523AB"/>
    <w:rsid w:val="005529BE"/>
    <w:rsid w:val="00552C0E"/>
    <w:rsid w:val="005530D1"/>
    <w:rsid w:val="00554FC3"/>
    <w:rsid w:val="00555E16"/>
    <w:rsid w:val="00555F8F"/>
    <w:rsid w:val="00556541"/>
    <w:rsid w:val="005572B6"/>
    <w:rsid w:val="005572CE"/>
    <w:rsid w:val="00560416"/>
    <w:rsid w:val="00560460"/>
    <w:rsid w:val="005609FD"/>
    <w:rsid w:val="00561443"/>
    <w:rsid w:val="00561F19"/>
    <w:rsid w:val="005630DA"/>
    <w:rsid w:val="005633F1"/>
    <w:rsid w:val="005634FF"/>
    <w:rsid w:val="00563FFA"/>
    <w:rsid w:val="005644B4"/>
    <w:rsid w:val="00564F71"/>
    <w:rsid w:val="00565491"/>
    <w:rsid w:val="00565715"/>
    <w:rsid w:val="0056669D"/>
    <w:rsid w:val="00566D13"/>
    <w:rsid w:val="00567168"/>
    <w:rsid w:val="00570913"/>
    <w:rsid w:val="005712A7"/>
    <w:rsid w:val="0057206F"/>
    <w:rsid w:val="005720F5"/>
    <w:rsid w:val="00572140"/>
    <w:rsid w:val="005726D0"/>
    <w:rsid w:val="00573583"/>
    <w:rsid w:val="0057369E"/>
    <w:rsid w:val="00573B5D"/>
    <w:rsid w:val="00574749"/>
    <w:rsid w:val="00574E72"/>
    <w:rsid w:val="00574EDD"/>
    <w:rsid w:val="0057577F"/>
    <w:rsid w:val="0057586C"/>
    <w:rsid w:val="00575A6A"/>
    <w:rsid w:val="00575B25"/>
    <w:rsid w:val="0057666D"/>
    <w:rsid w:val="00576949"/>
    <w:rsid w:val="00576ADA"/>
    <w:rsid w:val="00577121"/>
    <w:rsid w:val="00577F60"/>
    <w:rsid w:val="00580045"/>
    <w:rsid w:val="00580582"/>
    <w:rsid w:val="005809F3"/>
    <w:rsid w:val="00582186"/>
    <w:rsid w:val="00582638"/>
    <w:rsid w:val="005826AD"/>
    <w:rsid w:val="00582828"/>
    <w:rsid w:val="00582D96"/>
    <w:rsid w:val="005845F3"/>
    <w:rsid w:val="00584EDE"/>
    <w:rsid w:val="00585437"/>
    <w:rsid w:val="005856E3"/>
    <w:rsid w:val="005856E7"/>
    <w:rsid w:val="00585EB2"/>
    <w:rsid w:val="00585F7D"/>
    <w:rsid w:val="0058626F"/>
    <w:rsid w:val="005863E7"/>
    <w:rsid w:val="00586837"/>
    <w:rsid w:val="005875C7"/>
    <w:rsid w:val="00587A1E"/>
    <w:rsid w:val="00587BD4"/>
    <w:rsid w:val="005909FB"/>
    <w:rsid w:val="00590E4F"/>
    <w:rsid w:val="0059149D"/>
    <w:rsid w:val="0059228A"/>
    <w:rsid w:val="00592AD1"/>
    <w:rsid w:val="00594210"/>
    <w:rsid w:val="005946E6"/>
    <w:rsid w:val="00594F70"/>
    <w:rsid w:val="00594F84"/>
    <w:rsid w:val="00595023"/>
    <w:rsid w:val="005967B3"/>
    <w:rsid w:val="0059735A"/>
    <w:rsid w:val="00597819"/>
    <w:rsid w:val="00597B31"/>
    <w:rsid w:val="00597E9A"/>
    <w:rsid w:val="00597F4B"/>
    <w:rsid w:val="005A0328"/>
    <w:rsid w:val="005A12EF"/>
    <w:rsid w:val="005A1AFC"/>
    <w:rsid w:val="005A2400"/>
    <w:rsid w:val="005A2A16"/>
    <w:rsid w:val="005A2F8A"/>
    <w:rsid w:val="005A3346"/>
    <w:rsid w:val="005A3C47"/>
    <w:rsid w:val="005A3CB1"/>
    <w:rsid w:val="005A3E59"/>
    <w:rsid w:val="005A42BF"/>
    <w:rsid w:val="005A4D5B"/>
    <w:rsid w:val="005A5B11"/>
    <w:rsid w:val="005A5BA2"/>
    <w:rsid w:val="005A6071"/>
    <w:rsid w:val="005A6BDF"/>
    <w:rsid w:val="005A7834"/>
    <w:rsid w:val="005A7C31"/>
    <w:rsid w:val="005A7EB9"/>
    <w:rsid w:val="005B0E7A"/>
    <w:rsid w:val="005B218F"/>
    <w:rsid w:val="005B25DF"/>
    <w:rsid w:val="005B2EE5"/>
    <w:rsid w:val="005B324F"/>
    <w:rsid w:val="005B337A"/>
    <w:rsid w:val="005B3EFB"/>
    <w:rsid w:val="005B3FBA"/>
    <w:rsid w:val="005B4AA0"/>
    <w:rsid w:val="005B4C2E"/>
    <w:rsid w:val="005B4FB9"/>
    <w:rsid w:val="005B510C"/>
    <w:rsid w:val="005B518F"/>
    <w:rsid w:val="005B5D87"/>
    <w:rsid w:val="005B60B1"/>
    <w:rsid w:val="005B6B39"/>
    <w:rsid w:val="005B776F"/>
    <w:rsid w:val="005B77EE"/>
    <w:rsid w:val="005B7EA9"/>
    <w:rsid w:val="005C0A1E"/>
    <w:rsid w:val="005C132E"/>
    <w:rsid w:val="005C18AA"/>
    <w:rsid w:val="005C1EA0"/>
    <w:rsid w:val="005C28B1"/>
    <w:rsid w:val="005C2F52"/>
    <w:rsid w:val="005C3874"/>
    <w:rsid w:val="005C3E7A"/>
    <w:rsid w:val="005C4DC9"/>
    <w:rsid w:val="005C4FC7"/>
    <w:rsid w:val="005C557F"/>
    <w:rsid w:val="005C5C7D"/>
    <w:rsid w:val="005C6CB5"/>
    <w:rsid w:val="005C7778"/>
    <w:rsid w:val="005D0598"/>
    <w:rsid w:val="005D06EC"/>
    <w:rsid w:val="005D08F2"/>
    <w:rsid w:val="005D0D7E"/>
    <w:rsid w:val="005D0DE5"/>
    <w:rsid w:val="005D0F07"/>
    <w:rsid w:val="005D12BB"/>
    <w:rsid w:val="005D142B"/>
    <w:rsid w:val="005D1902"/>
    <w:rsid w:val="005D2121"/>
    <w:rsid w:val="005D267A"/>
    <w:rsid w:val="005D2FD5"/>
    <w:rsid w:val="005D3398"/>
    <w:rsid w:val="005D3AD8"/>
    <w:rsid w:val="005D5257"/>
    <w:rsid w:val="005D5588"/>
    <w:rsid w:val="005D5880"/>
    <w:rsid w:val="005D5B88"/>
    <w:rsid w:val="005D6E1D"/>
    <w:rsid w:val="005D739D"/>
    <w:rsid w:val="005E0049"/>
    <w:rsid w:val="005E03AA"/>
    <w:rsid w:val="005E1C95"/>
    <w:rsid w:val="005E2A2E"/>
    <w:rsid w:val="005E3985"/>
    <w:rsid w:val="005E3CDC"/>
    <w:rsid w:val="005E4257"/>
    <w:rsid w:val="005E4A01"/>
    <w:rsid w:val="005E4EA4"/>
    <w:rsid w:val="005E555A"/>
    <w:rsid w:val="005E5C72"/>
    <w:rsid w:val="005E5DED"/>
    <w:rsid w:val="005E668E"/>
    <w:rsid w:val="005E6BBE"/>
    <w:rsid w:val="005E6F8E"/>
    <w:rsid w:val="005E7078"/>
    <w:rsid w:val="005E75DD"/>
    <w:rsid w:val="005E76DD"/>
    <w:rsid w:val="005E7D58"/>
    <w:rsid w:val="005E7F37"/>
    <w:rsid w:val="005F0139"/>
    <w:rsid w:val="005F04C9"/>
    <w:rsid w:val="005F0BE7"/>
    <w:rsid w:val="005F1484"/>
    <w:rsid w:val="005F14FF"/>
    <w:rsid w:val="005F19F7"/>
    <w:rsid w:val="005F2920"/>
    <w:rsid w:val="005F35E9"/>
    <w:rsid w:val="005F3659"/>
    <w:rsid w:val="005F3730"/>
    <w:rsid w:val="005F4156"/>
    <w:rsid w:val="005F474C"/>
    <w:rsid w:val="005F4980"/>
    <w:rsid w:val="005F5249"/>
    <w:rsid w:val="005F5BF5"/>
    <w:rsid w:val="005F5FBF"/>
    <w:rsid w:val="005F662B"/>
    <w:rsid w:val="005F6B53"/>
    <w:rsid w:val="005F787F"/>
    <w:rsid w:val="005F7884"/>
    <w:rsid w:val="005F7F88"/>
    <w:rsid w:val="00600146"/>
    <w:rsid w:val="00600347"/>
    <w:rsid w:val="006003AD"/>
    <w:rsid w:val="00600753"/>
    <w:rsid w:val="0060126E"/>
    <w:rsid w:val="006017C2"/>
    <w:rsid w:val="00601965"/>
    <w:rsid w:val="00601EE8"/>
    <w:rsid w:val="00602851"/>
    <w:rsid w:val="00602ECC"/>
    <w:rsid w:val="00603853"/>
    <w:rsid w:val="00603ED2"/>
    <w:rsid w:val="006041A8"/>
    <w:rsid w:val="00604351"/>
    <w:rsid w:val="006046F7"/>
    <w:rsid w:val="00604CCD"/>
    <w:rsid w:val="00604D2F"/>
    <w:rsid w:val="00604D77"/>
    <w:rsid w:val="00604F85"/>
    <w:rsid w:val="006052D5"/>
    <w:rsid w:val="00605F68"/>
    <w:rsid w:val="006079B1"/>
    <w:rsid w:val="006079F9"/>
    <w:rsid w:val="006102B0"/>
    <w:rsid w:val="00610EFF"/>
    <w:rsid w:val="00611406"/>
    <w:rsid w:val="00611883"/>
    <w:rsid w:val="00611DF6"/>
    <w:rsid w:val="00611EA5"/>
    <w:rsid w:val="0061206F"/>
    <w:rsid w:val="00612112"/>
    <w:rsid w:val="006121CF"/>
    <w:rsid w:val="00612406"/>
    <w:rsid w:val="00612592"/>
    <w:rsid w:val="006133D8"/>
    <w:rsid w:val="006135F7"/>
    <w:rsid w:val="00613C9A"/>
    <w:rsid w:val="00614252"/>
    <w:rsid w:val="00614306"/>
    <w:rsid w:val="00614A26"/>
    <w:rsid w:val="00615015"/>
    <w:rsid w:val="00615419"/>
    <w:rsid w:val="00615515"/>
    <w:rsid w:val="006155DD"/>
    <w:rsid w:val="0061689A"/>
    <w:rsid w:val="00616AA4"/>
    <w:rsid w:val="00617AC0"/>
    <w:rsid w:val="00620117"/>
    <w:rsid w:val="00620C22"/>
    <w:rsid w:val="0062195A"/>
    <w:rsid w:val="0062285F"/>
    <w:rsid w:val="00622A25"/>
    <w:rsid w:val="00622D78"/>
    <w:rsid w:val="006234DD"/>
    <w:rsid w:val="00623610"/>
    <w:rsid w:val="0062384B"/>
    <w:rsid w:val="0062426D"/>
    <w:rsid w:val="006249EA"/>
    <w:rsid w:val="006259C3"/>
    <w:rsid w:val="00625CD5"/>
    <w:rsid w:val="0062653C"/>
    <w:rsid w:val="00626638"/>
    <w:rsid w:val="00627E99"/>
    <w:rsid w:val="00630C69"/>
    <w:rsid w:val="00631373"/>
    <w:rsid w:val="00631619"/>
    <w:rsid w:val="00631D58"/>
    <w:rsid w:val="00632406"/>
    <w:rsid w:val="00632B23"/>
    <w:rsid w:val="006330F3"/>
    <w:rsid w:val="006331C1"/>
    <w:rsid w:val="006332AC"/>
    <w:rsid w:val="0063331C"/>
    <w:rsid w:val="00633587"/>
    <w:rsid w:val="00634592"/>
    <w:rsid w:val="00634EF3"/>
    <w:rsid w:val="00634F7A"/>
    <w:rsid w:val="006351F0"/>
    <w:rsid w:val="006358CB"/>
    <w:rsid w:val="00635BE3"/>
    <w:rsid w:val="00635DC8"/>
    <w:rsid w:val="00637951"/>
    <w:rsid w:val="0064046A"/>
    <w:rsid w:val="00640863"/>
    <w:rsid w:val="00641D7D"/>
    <w:rsid w:val="00641EF5"/>
    <w:rsid w:val="006420AE"/>
    <w:rsid w:val="00642110"/>
    <w:rsid w:val="006423AF"/>
    <w:rsid w:val="00642A95"/>
    <w:rsid w:val="00642B34"/>
    <w:rsid w:val="00642B68"/>
    <w:rsid w:val="0064338D"/>
    <w:rsid w:val="00643828"/>
    <w:rsid w:val="00643FD0"/>
    <w:rsid w:val="00644972"/>
    <w:rsid w:val="00644D4D"/>
    <w:rsid w:val="00645052"/>
    <w:rsid w:val="0064513F"/>
    <w:rsid w:val="0064539A"/>
    <w:rsid w:val="006459FD"/>
    <w:rsid w:val="00645A96"/>
    <w:rsid w:val="00645B60"/>
    <w:rsid w:val="00646DA1"/>
    <w:rsid w:val="00646DAF"/>
    <w:rsid w:val="00646DFA"/>
    <w:rsid w:val="00647624"/>
    <w:rsid w:val="00647BD9"/>
    <w:rsid w:val="006501D6"/>
    <w:rsid w:val="00650BCA"/>
    <w:rsid w:val="0065130D"/>
    <w:rsid w:val="00651714"/>
    <w:rsid w:val="00651772"/>
    <w:rsid w:val="006517AE"/>
    <w:rsid w:val="0065187E"/>
    <w:rsid w:val="00652109"/>
    <w:rsid w:val="00652286"/>
    <w:rsid w:val="006525E9"/>
    <w:rsid w:val="0065319F"/>
    <w:rsid w:val="0065384C"/>
    <w:rsid w:val="00653E18"/>
    <w:rsid w:val="0065486E"/>
    <w:rsid w:val="0065499F"/>
    <w:rsid w:val="00654A2D"/>
    <w:rsid w:val="00654C18"/>
    <w:rsid w:val="006554D4"/>
    <w:rsid w:val="006557F2"/>
    <w:rsid w:val="00655984"/>
    <w:rsid w:val="00656562"/>
    <w:rsid w:val="00656AB3"/>
    <w:rsid w:val="00656B07"/>
    <w:rsid w:val="0065710C"/>
    <w:rsid w:val="006573CD"/>
    <w:rsid w:val="00657CF6"/>
    <w:rsid w:val="0066002A"/>
    <w:rsid w:val="006604EE"/>
    <w:rsid w:val="00660E2C"/>
    <w:rsid w:val="00660F9F"/>
    <w:rsid w:val="0066122B"/>
    <w:rsid w:val="00661419"/>
    <w:rsid w:val="00661899"/>
    <w:rsid w:val="00661FBA"/>
    <w:rsid w:val="00661FF0"/>
    <w:rsid w:val="006620F2"/>
    <w:rsid w:val="0066240F"/>
    <w:rsid w:val="00662C7B"/>
    <w:rsid w:val="006637FD"/>
    <w:rsid w:val="00663B22"/>
    <w:rsid w:val="00663D8A"/>
    <w:rsid w:val="00664534"/>
    <w:rsid w:val="006658A7"/>
    <w:rsid w:val="00666968"/>
    <w:rsid w:val="00666CF2"/>
    <w:rsid w:val="00666D8D"/>
    <w:rsid w:val="00666E08"/>
    <w:rsid w:val="006673E4"/>
    <w:rsid w:val="00667A37"/>
    <w:rsid w:val="00667CBD"/>
    <w:rsid w:val="006701ED"/>
    <w:rsid w:val="006703A2"/>
    <w:rsid w:val="00670732"/>
    <w:rsid w:val="00670853"/>
    <w:rsid w:val="00670F0A"/>
    <w:rsid w:val="00671311"/>
    <w:rsid w:val="00672166"/>
    <w:rsid w:val="00672263"/>
    <w:rsid w:val="006722A9"/>
    <w:rsid w:val="0067260A"/>
    <w:rsid w:val="0067264B"/>
    <w:rsid w:val="006726DF"/>
    <w:rsid w:val="00674CB5"/>
    <w:rsid w:val="00675A2C"/>
    <w:rsid w:val="00676619"/>
    <w:rsid w:val="00676F5F"/>
    <w:rsid w:val="00676FC3"/>
    <w:rsid w:val="00677831"/>
    <w:rsid w:val="00680B71"/>
    <w:rsid w:val="00680ED5"/>
    <w:rsid w:val="0068109F"/>
    <w:rsid w:val="00682963"/>
    <w:rsid w:val="006829A1"/>
    <w:rsid w:val="00683133"/>
    <w:rsid w:val="00683680"/>
    <w:rsid w:val="0068398F"/>
    <w:rsid w:val="00683DAC"/>
    <w:rsid w:val="00684224"/>
    <w:rsid w:val="00684330"/>
    <w:rsid w:val="006844A0"/>
    <w:rsid w:val="006845DA"/>
    <w:rsid w:val="00684778"/>
    <w:rsid w:val="00684968"/>
    <w:rsid w:val="00684CB2"/>
    <w:rsid w:val="00684F79"/>
    <w:rsid w:val="00684FEE"/>
    <w:rsid w:val="00685049"/>
    <w:rsid w:val="00685424"/>
    <w:rsid w:val="006858F8"/>
    <w:rsid w:val="006901A4"/>
    <w:rsid w:val="00691085"/>
    <w:rsid w:val="006918EC"/>
    <w:rsid w:val="00691F86"/>
    <w:rsid w:val="006923D2"/>
    <w:rsid w:val="006926F8"/>
    <w:rsid w:val="00692C79"/>
    <w:rsid w:val="00692D9F"/>
    <w:rsid w:val="00692F14"/>
    <w:rsid w:val="00693013"/>
    <w:rsid w:val="006931ED"/>
    <w:rsid w:val="006935C1"/>
    <w:rsid w:val="0069363E"/>
    <w:rsid w:val="0069409C"/>
    <w:rsid w:val="00694729"/>
    <w:rsid w:val="00695DAD"/>
    <w:rsid w:val="006966DB"/>
    <w:rsid w:val="0069698B"/>
    <w:rsid w:val="006969D2"/>
    <w:rsid w:val="00696A78"/>
    <w:rsid w:val="006974D2"/>
    <w:rsid w:val="00697851"/>
    <w:rsid w:val="006979C3"/>
    <w:rsid w:val="00697F59"/>
    <w:rsid w:val="006A0B86"/>
    <w:rsid w:val="006A12B2"/>
    <w:rsid w:val="006A19EB"/>
    <w:rsid w:val="006A1DC7"/>
    <w:rsid w:val="006A1E22"/>
    <w:rsid w:val="006A1F55"/>
    <w:rsid w:val="006A2383"/>
    <w:rsid w:val="006A2A72"/>
    <w:rsid w:val="006A386C"/>
    <w:rsid w:val="006A3DBE"/>
    <w:rsid w:val="006A429E"/>
    <w:rsid w:val="006A4857"/>
    <w:rsid w:val="006A4A34"/>
    <w:rsid w:val="006A504B"/>
    <w:rsid w:val="006A563F"/>
    <w:rsid w:val="006A59FA"/>
    <w:rsid w:val="006A711D"/>
    <w:rsid w:val="006A7921"/>
    <w:rsid w:val="006A7997"/>
    <w:rsid w:val="006B0742"/>
    <w:rsid w:val="006B07F1"/>
    <w:rsid w:val="006B0F12"/>
    <w:rsid w:val="006B1272"/>
    <w:rsid w:val="006B23B6"/>
    <w:rsid w:val="006B2A57"/>
    <w:rsid w:val="006B2E9F"/>
    <w:rsid w:val="006B3FC6"/>
    <w:rsid w:val="006B41E6"/>
    <w:rsid w:val="006B420C"/>
    <w:rsid w:val="006B50B9"/>
    <w:rsid w:val="006B57E5"/>
    <w:rsid w:val="006B6038"/>
    <w:rsid w:val="006B6596"/>
    <w:rsid w:val="006B663B"/>
    <w:rsid w:val="006B678B"/>
    <w:rsid w:val="006B6B24"/>
    <w:rsid w:val="006B744F"/>
    <w:rsid w:val="006B7F4D"/>
    <w:rsid w:val="006C0503"/>
    <w:rsid w:val="006C05F6"/>
    <w:rsid w:val="006C0BE0"/>
    <w:rsid w:val="006C100D"/>
    <w:rsid w:val="006C1566"/>
    <w:rsid w:val="006C15D9"/>
    <w:rsid w:val="006C185B"/>
    <w:rsid w:val="006C19BD"/>
    <w:rsid w:val="006C22FC"/>
    <w:rsid w:val="006C2C1E"/>
    <w:rsid w:val="006C2F00"/>
    <w:rsid w:val="006C4C86"/>
    <w:rsid w:val="006C5807"/>
    <w:rsid w:val="006C5A65"/>
    <w:rsid w:val="006C6798"/>
    <w:rsid w:val="006C67E3"/>
    <w:rsid w:val="006C6B76"/>
    <w:rsid w:val="006C6CC3"/>
    <w:rsid w:val="006C7293"/>
    <w:rsid w:val="006C73D4"/>
    <w:rsid w:val="006C7717"/>
    <w:rsid w:val="006D0200"/>
    <w:rsid w:val="006D1D65"/>
    <w:rsid w:val="006D21DB"/>
    <w:rsid w:val="006D25F3"/>
    <w:rsid w:val="006D26FD"/>
    <w:rsid w:val="006D3580"/>
    <w:rsid w:val="006D36BF"/>
    <w:rsid w:val="006D3726"/>
    <w:rsid w:val="006D3B93"/>
    <w:rsid w:val="006D430F"/>
    <w:rsid w:val="006D4E56"/>
    <w:rsid w:val="006D4EEA"/>
    <w:rsid w:val="006D4F73"/>
    <w:rsid w:val="006D50F0"/>
    <w:rsid w:val="006D5516"/>
    <w:rsid w:val="006D5B07"/>
    <w:rsid w:val="006D5F31"/>
    <w:rsid w:val="006D5FDA"/>
    <w:rsid w:val="006D617F"/>
    <w:rsid w:val="006D6D27"/>
    <w:rsid w:val="006D6D86"/>
    <w:rsid w:val="006D7007"/>
    <w:rsid w:val="006D704C"/>
    <w:rsid w:val="006E1EDC"/>
    <w:rsid w:val="006E20EA"/>
    <w:rsid w:val="006E21AE"/>
    <w:rsid w:val="006E2E5F"/>
    <w:rsid w:val="006E3306"/>
    <w:rsid w:val="006E33FB"/>
    <w:rsid w:val="006E38C4"/>
    <w:rsid w:val="006E3D18"/>
    <w:rsid w:val="006E3FFB"/>
    <w:rsid w:val="006E445D"/>
    <w:rsid w:val="006E4474"/>
    <w:rsid w:val="006E47CF"/>
    <w:rsid w:val="006E5525"/>
    <w:rsid w:val="006E6487"/>
    <w:rsid w:val="006E6A5D"/>
    <w:rsid w:val="006E6C3B"/>
    <w:rsid w:val="006E7CDC"/>
    <w:rsid w:val="006F1277"/>
    <w:rsid w:val="006F1AD8"/>
    <w:rsid w:val="006F242A"/>
    <w:rsid w:val="006F2519"/>
    <w:rsid w:val="006F273A"/>
    <w:rsid w:val="006F30A9"/>
    <w:rsid w:val="006F37E3"/>
    <w:rsid w:val="006F3ABE"/>
    <w:rsid w:val="006F3C98"/>
    <w:rsid w:val="006F468E"/>
    <w:rsid w:val="006F4705"/>
    <w:rsid w:val="006F4B19"/>
    <w:rsid w:val="006F4FE0"/>
    <w:rsid w:val="006F5014"/>
    <w:rsid w:val="006F503D"/>
    <w:rsid w:val="006F5CEA"/>
    <w:rsid w:val="006F68B9"/>
    <w:rsid w:val="006F69F5"/>
    <w:rsid w:val="006F6CAC"/>
    <w:rsid w:val="006F7A3F"/>
    <w:rsid w:val="006F7B9E"/>
    <w:rsid w:val="006F7C96"/>
    <w:rsid w:val="006F7E86"/>
    <w:rsid w:val="007002C4"/>
    <w:rsid w:val="007005F1"/>
    <w:rsid w:val="00701C42"/>
    <w:rsid w:val="0070219E"/>
    <w:rsid w:val="007021AF"/>
    <w:rsid w:val="007028AD"/>
    <w:rsid w:val="007028B5"/>
    <w:rsid w:val="00703A17"/>
    <w:rsid w:val="00703E95"/>
    <w:rsid w:val="007048F6"/>
    <w:rsid w:val="00704F92"/>
    <w:rsid w:val="0070554E"/>
    <w:rsid w:val="00705ADB"/>
    <w:rsid w:val="00705F2D"/>
    <w:rsid w:val="00706748"/>
    <w:rsid w:val="00706A26"/>
    <w:rsid w:val="00707102"/>
    <w:rsid w:val="00707A72"/>
    <w:rsid w:val="00707E17"/>
    <w:rsid w:val="00710C96"/>
    <w:rsid w:val="00710F71"/>
    <w:rsid w:val="00710FAA"/>
    <w:rsid w:val="00711190"/>
    <w:rsid w:val="00711F6B"/>
    <w:rsid w:val="007124D1"/>
    <w:rsid w:val="007129EE"/>
    <w:rsid w:val="00712C4C"/>
    <w:rsid w:val="00713D78"/>
    <w:rsid w:val="00713E8B"/>
    <w:rsid w:val="007148DB"/>
    <w:rsid w:val="00715269"/>
    <w:rsid w:val="007154B0"/>
    <w:rsid w:val="007156F6"/>
    <w:rsid w:val="00715EC1"/>
    <w:rsid w:val="00716499"/>
    <w:rsid w:val="00716CA0"/>
    <w:rsid w:val="00717941"/>
    <w:rsid w:val="00717C25"/>
    <w:rsid w:val="00720A1A"/>
    <w:rsid w:val="00720B5D"/>
    <w:rsid w:val="00721542"/>
    <w:rsid w:val="007216F3"/>
    <w:rsid w:val="00721A58"/>
    <w:rsid w:val="0072281C"/>
    <w:rsid w:val="00722A37"/>
    <w:rsid w:val="00722A70"/>
    <w:rsid w:val="00722EC9"/>
    <w:rsid w:val="007238A5"/>
    <w:rsid w:val="00723B5F"/>
    <w:rsid w:val="00724FD7"/>
    <w:rsid w:val="00724FDE"/>
    <w:rsid w:val="00725000"/>
    <w:rsid w:val="0072550D"/>
    <w:rsid w:val="00725B08"/>
    <w:rsid w:val="00725B53"/>
    <w:rsid w:val="0072635A"/>
    <w:rsid w:val="00726D36"/>
    <w:rsid w:val="00727182"/>
    <w:rsid w:val="00727A26"/>
    <w:rsid w:val="007303A6"/>
    <w:rsid w:val="00730CF0"/>
    <w:rsid w:val="007315E6"/>
    <w:rsid w:val="00736AAE"/>
    <w:rsid w:val="00737279"/>
    <w:rsid w:val="0073764F"/>
    <w:rsid w:val="00741163"/>
    <w:rsid w:val="00741C12"/>
    <w:rsid w:val="00741C3A"/>
    <w:rsid w:val="00741E11"/>
    <w:rsid w:val="0074258A"/>
    <w:rsid w:val="00742E52"/>
    <w:rsid w:val="00743358"/>
    <w:rsid w:val="0074366B"/>
    <w:rsid w:val="00743F7E"/>
    <w:rsid w:val="007445FF"/>
    <w:rsid w:val="007446F0"/>
    <w:rsid w:val="0074501B"/>
    <w:rsid w:val="00745337"/>
    <w:rsid w:val="00745412"/>
    <w:rsid w:val="00745685"/>
    <w:rsid w:val="0074593E"/>
    <w:rsid w:val="00745D89"/>
    <w:rsid w:val="00745E03"/>
    <w:rsid w:val="0074650C"/>
    <w:rsid w:val="0074667C"/>
    <w:rsid w:val="00746CC6"/>
    <w:rsid w:val="00747110"/>
    <w:rsid w:val="007471F6"/>
    <w:rsid w:val="00747A30"/>
    <w:rsid w:val="00750BA2"/>
    <w:rsid w:val="00750F33"/>
    <w:rsid w:val="00751A5A"/>
    <w:rsid w:val="00751F13"/>
    <w:rsid w:val="007522D5"/>
    <w:rsid w:val="00752849"/>
    <w:rsid w:val="007529E0"/>
    <w:rsid w:val="00752E7E"/>
    <w:rsid w:val="00753DD1"/>
    <w:rsid w:val="00753FAB"/>
    <w:rsid w:val="007541B6"/>
    <w:rsid w:val="00754AD2"/>
    <w:rsid w:val="007559BC"/>
    <w:rsid w:val="00756054"/>
    <w:rsid w:val="00757621"/>
    <w:rsid w:val="00757FB3"/>
    <w:rsid w:val="007613D9"/>
    <w:rsid w:val="00762134"/>
    <w:rsid w:val="00762453"/>
    <w:rsid w:val="00762FD0"/>
    <w:rsid w:val="00762FE7"/>
    <w:rsid w:val="00763A18"/>
    <w:rsid w:val="00763A27"/>
    <w:rsid w:val="00763BDB"/>
    <w:rsid w:val="00763CE9"/>
    <w:rsid w:val="00764342"/>
    <w:rsid w:val="00764A47"/>
    <w:rsid w:val="00764B61"/>
    <w:rsid w:val="00764BB6"/>
    <w:rsid w:val="0076507D"/>
    <w:rsid w:val="00765D2B"/>
    <w:rsid w:val="0076639F"/>
    <w:rsid w:val="00766A05"/>
    <w:rsid w:val="00766D7D"/>
    <w:rsid w:val="007677FA"/>
    <w:rsid w:val="007679D4"/>
    <w:rsid w:val="0077045D"/>
    <w:rsid w:val="0077067E"/>
    <w:rsid w:val="00770746"/>
    <w:rsid w:val="007707F3"/>
    <w:rsid w:val="007708EE"/>
    <w:rsid w:val="00770C0D"/>
    <w:rsid w:val="00770E8A"/>
    <w:rsid w:val="00772D76"/>
    <w:rsid w:val="00773C1B"/>
    <w:rsid w:val="00773D71"/>
    <w:rsid w:val="0077428D"/>
    <w:rsid w:val="00774385"/>
    <w:rsid w:val="00774526"/>
    <w:rsid w:val="0077485A"/>
    <w:rsid w:val="00774DC6"/>
    <w:rsid w:val="00774DF8"/>
    <w:rsid w:val="00774E64"/>
    <w:rsid w:val="0077519B"/>
    <w:rsid w:val="007751E9"/>
    <w:rsid w:val="0077538A"/>
    <w:rsid w:val="00775904"/>
    <w:rsid w:val="007766A5"/>
    <w:rsid w:val="00777328"/>
    <w:rsid w:val="00777C02"/>
    <w:rsid w:val="00777FA5"/>
    <w:rsid w:val="00780CBF"/>
    <w:rsid w:val="0078127C"/>
    <w:rsid w:val="00781652"/>
    <w:rsid w:val="007818F0"/>
    <w:rsid w:val="00782188"/>
    <w:rsid w:val="00784080"/>
    <w:rsid w:val="007844C4"/>
    <w:rsid w:val="0078463E"/>
    <w:rsid w:val="00784903"/>
    <w:rsid w:val="00784AA8"/>
    <w:rsid w:val="00784B63"/>
    <w:rsid w:val="00784E9B"/>
    <w:rsid w:val="00785062"/>
    <w:rsid w:val="0078547A"/>
    <w:rsid w:val="0078578F"/>
    <w:rsid w:val="007858AA"/>
    <w:rsid w:val="007859EB"/>
    <w:rsid w:val="007861F9"/>
    <w:rsid w:val="00786C90"/>
    <w:rsid w:val="00786D1F"/>
    <w:rsid w:val="00786E4C"/>
    <w:rsid w:val="00787894"/>
    <w:rsid w:val="00787AF9"/>
    <w:rsid w:val="007900B2"/>
    <w:rsid w:val="0079025A"/>
    <w:rsid w:val="00790337"/>
    <w:rsid w:val="00790402"/>
    <w:rsid w:val="00790A6C"/>
    <w:rsid w:val="00790D22"/>
    <w:rsid w:val="00792378"/>
    <w:rsid w:val="00792CBD"/>
    <w:rsid w:val="007935AC"/>
    <w:rsid w:val="007940F0"/>
    <w:rsid w:val="00794D0B"/>
    <w:rsid w:val="0079500D"/>
    <w:rsid w:val="007966BB"/>
    <w:rsid w:val="00796969"/>
    <w:rsid w:val="00796A2C"/>
    <w:rsid w:val="00796C51"/>
    <w:rsid w:val="00796FCA"/>
    <w:rsid w:val="00797D96"/>
    <w:rsid w:val="007A03B9"/>
    <w:rsid w:val="007A0604"/>
    <w:rsid w:val="007A1340"/>
    <w:rsid w:val="007A1473"/>
    <w:rsid w:val="007A17AE"/>
    <w:rsid w:val="007A19B0"/>
    <w:rsid w:val="007A1B93"/>
    <w:rsid w:val="007A2817"/>
    <w:rsid w:val="007A2BDF"/>
    <w:rsid w:val="007A31A1"/>
    <w:rsid w:val="007A3447"/>
    <w:rsid w:val="007A38DE"/>
    <w:rsid w:val="007A39F7"/>
    <w:rsid w:val="007A3C1C"/>
    <w:rsid w:val="007A3E3F"/>
    <w:rsid w:val="007A3EEE"/>
    <w:rsid w:val="007A427A"/>
    <w:rsid w:val="007A43D1"/>
    <w:rsid w:val="007A4BD0"/>
    <w:rsid w:val="007A4DB9"/>
    <w:rsid w:val="007A5051"/>
    <w:rsid w:val="007A5D77"/>
    <w:rsid w:val="007A6430"/>
    <w:rsid w:val="007A78C5"/>
    <w:rsid w:val="007B09B5"/>
    <w:rsid w:val="007B1A59"/>
    <w:rsid w:val="007B2588"/>
    <w:rsid w:val="007B328E"/>
    <w:rsid w:val="007B33E4"/>
    <w:rsid w:val="007B3B74"/>
    <w:rsid w:val="007B3F89"/>
    <w:rsid w:val="007B4ACD"/>
    <w:rsid w:val="007B522B"/>
    <w:rsid w:val="007B6397"/>
    <w:rsid w:val="007B6665"/>
    <w:rsid w:val="007B68DF"/>
    <w:rsid w:val="007B6944"/>
    <w:rsid w:val="007B6DF3"/>
    <w:rsid w:val="007C09B3"/>
    <w:rsid w:val="007C0D94"/>
    <w:rsid w:val="007C0ECC"/>
    <w:rsid w:val="007C0FC6"/>
    <w:rsid w:val="007C1876"/>
    <w:rsid w:val="007C1D61"/>
    <w:rsid w:val="007C26DA"/>
    <w:rsid w:val="007C2832"/>
    <w:rsid w:val="007C3557"/>
    <w:rsid w:val="007C4897"/>
    <w:rsid w:val="007C4D66"/>
    <w:rsid w:val="007C52B5"/>
    <w:rsid w:val="007C53F9"/>
    <w:rsid w:val="007C6F95"/>
    <w:rsid w:val="007C79EF"/>
    <w:rsid w:val="007C7AF3"/>
    <w:rsid w:val="007C7C75"/>
    <w:rsid w:val="007C7CC3"/>
    <w:rsid w:val="007C7DE5"/>
    <w:rsid w:val="007C7E77"/>
    <w:rsid w:val="007D05C5"/>
    <w:rsid w:val="007D0914"/>
    <w:rsid w:val="007D1577"/>
    <w:rsid w:val="007D1707"/>
    <w:rsid w:val="007D2368"/>
    <w:rsid w:val="007D37CF"/>
    <w:rsid w:val="007D38DE"/>
    <w:rsid w:val="007D42F0"/>
    <w:rsid w:val="007D4FAD"/>
    <w:rsid w:val="007D5657"/>
    <w:rsid w:val="007D5CF1"/>
    <w:rsid w:val="007D60B2"/>
    <w:rsid w:val="007D67C2"/>
    <w:rsid w:val="007D6A37"/>
    <w:rsid w:val="007D6A96"/>
    <w:rsid w:val="007D6C23"/>
    <w:rsid w:val="007E04EA"/>
    <w:rsid w:val="007E04EB"/>
    <w:rsid w:val="007E0C67"/>
    <w:rsid w:val="007E14B4"/>
    <w:rsid w:val="007E1B64"/>
    <w:rsid w:val="007E1F65"/>
    <w:rsid w:val="007E2F91"/>
    <w:rsid w:val="007E3485"/>
    <w:rsid w:val="007E361C"/>
    <w:rsid w:val="007E3624"/>
    <w:rsid w:val="007E3A11"/>
    <w:rsid w:val="007E3F27"/>
    <w:rsid w:val="007E42CD"/>
    <w:rsid w:val="007E4C05"/>
    <w:rsid w:val="007E52A9"/>
    <w:rsid w:val="007E57BE"/>
    <w:rsid w:val="007E625E"/>
    <w:rsid w:val="007E6532"/>
    <w:rsid w:val="007E6BB5"/>
    <w:rsid w:val="007E6E1D"/>
    <w:rsid w:val="007E738C"/>
    <w:rsid w:val="007E7CA8"/>
    <w:rsid w:val="007E7E0D"/>
    <w:rsid w:val="007E7E65"/>
    <w:rsid w:val="007F01F1"/>
    <w:rsid w:val="007F03A2"/>
    <w:rsid w:val="007F0E52"/>
    <w:rsid w:val="007F155B"/>
    <w:rsid w:val="007F182F"/>
    <w:rsid w:val="007F1A40"/>
    <w:rsid w:val="007F1ED2"/>
    <w:rsid w:val="007F2356"/>
    <w:rsid w:val="007F289C"/>
    <w:rsid w:val="007F3028"/>
    <w:rsid w:val="007F3477"/>
    <w:rsid w:val="007F374C"/>
    <w:rsid w:val="007F3AE2"/>
    <w:rsid w:val="007F4062"/>
    <w:rsid w:val="007F5612"/>
    <w:rsid w:val="007F58E6"/>
    <w:rsid w:val="007F6F86"/>
    <w:rsid w:val="007F77CC"/>
    <w:rsid w:val="007F7F49"/>
    <w:rsid w:val="00800EC9"/>
    <w:rsid w:val="0080142B"/>
    <w:rsid w:val="0080174E"/>
    <w:rsid w:val="00801D97"/>
    <w:rsid w:val="00802A9B"/>
    <w:rsid w:val="00803205"/>
    <w:rsid w:val="00803AE5"/>
    <w:rsid w:val="00803E4F"/>
    <w:rsid w:val="008044D5"/>
    <w:rsid w:val="00804921"/>
    <w:rsid w:val="00805141"/>
    <w:rsid w:val="00805CA2"/>
    <w:rsid w:val="00805F0E"/>
    <w:rsid w:val="0080627D"/>
    <w:rsid w:val="0080640B"/>
    <w:rsid w:val="008072DB"/>
    <w:rsid w:val="00807BDA"/>
    <w:rsid w:val="0081076B"/>
    <w:rsid w:val="0081081A"/>
    <w:rsid w:val="00811129"/>
    <w:rsid w:val="0081179D"/>
    <w:rsid w:val="0081207D"/>
    <w:rsid w:val="0081224B"/>
    <w:rsid w:val="00812457"/>
    <w:rsid w:val="0081255C"/>
    <w:rsid w:val="0081290A"/>
    <w:rsid w:val="008131E6"/>
    <w:rsid w:val="00813786"/>
    <w:rsid w:val="008137E5"/>
    <w:rsid w:val="00813D24"/>
    <w:rsid w:val="00813FD0"/>
    <w:rsid w:val="008141C7"/>
    <w:rsid w:val="008144CF"/>
    <w:rsid w:val="00815D6A"/>
    <w:rsid w:val="00816F03"/>
    <w:rsid w:val="00816FEA"/>
    <w:rsid w:val="008171BD"/>
    <w:rsid w:val="0082031F"/>
    <w:rsid w:val="00820637"/>
    <w:rsid w:val="00820C5A"/>
    <w:rsid w:val="00820DDB"/>
    <w:rsid w:val="008216A8"/>
    <w:rsid w:val="008216CA"/>
    <w:rsid w:val="0082175F"/>
    <w:rsid w:val="00821CF5"/>
    <w:rsid w:val="00822F8C"/>
    <w:rsid w:val="008231D2"/>
    <w:rsid w:val="00823887"/>
    <w:rsid w:val="00824197"/>
    <w:rsid w:val="00824B2E"/>
    <w:rsid w:val="00824D43"/>
    <w:rsid w:val="00825A26"/>
    <w:rsid w:val="00826355"/>
    <w:rsid w:val="008275B8"/>
    <w:rsid w:val="0083030B"/>
    <w:rsid w:val="00830321"/>
    <w:rsid w:val="0083092D"/>
    <w:rsid w:val="00830DDC"/>
    <w:rsid w:val="00830EAE"/>
    <w:rsid w:val="00831F36"/>
    <w:rsid w:val="00832260"/>
    <w:rsid w:val="00832298"/>
    <w:rsid w:val="00832901"/>
    <w:rsid w:val="00832AD8"/>
    <w:rsid w:val="00832BA7"/>
    <w:rsid w:val="00833894"/>
    <w:rsid w:val="00833F63"/>
    <w:rsid w:val="00834058"/>
    <w:rsid w:val="0083429E"/>
    <w:rsid w:val="0083436A"/>
    <w:rsid w:val="008349F0"/>
    <w:rsid w:val="008351B5"/>
    <w:rsid w:val="00836124"/>
    <w:rsid w:val="008364BE"/>
    <w:rsid w:val="008366AD"/>
    <w:rsid w:val="008369B5"/>
    <w:rsid w:val="0083756A"/>
    <w:rsid w:val="008411BC"/>
    <w:rsid w:val="00841850"/>
    <w:rsid w:val="008424D6"/>
    <w:rsid w:val="00842961"/>
    <w:rsid w:val="008429C8"/>
    <w:rsid w:val="00842E27"/>
    <w:rsid w:val="00842E66"/>
    <w:rsid w:val="008434DC"/>
    <w:rsid w:val="00843AD6"/>
    <w:rsid w:val="00844320"/>
    <w:rsid w:val="008443AB"/>
    <w:rsid w:val="00844725"/>
    <w:rsid w:val="008449AB"/>
    <w:rsid w:val="0084538D"/>
    <w:rsid w:val="00845591"/>
    <w:rsid w:val="00845E69"/>
    <w:rsid w:val="008474F7"/>
    <w:rsid w:val="0084780E"/>
    <w:rsid w:val="008478BC"/>
    <w:rsid w:val="0085065D"/>
    <w:rsid w:val="00850EF0"/>
    <w:rsid w:val="008523EE"/>
    <w:rsid w:val="0085258B"/>
    <w:rsid w:val="00852B09"/>
    <w:rsid w:val="00852B4B"/>
    <w:rsid w:val="00852EFF"/>
    <w:rsid w:val="00853508"/>
    <w:rsid w:val="0085395B"/>
    <w:rsid w:val="00853A0A"/>
    <w:rsid w:val="00853CBA"/>
    <w:rsid w:val="0085497A"/>
    <w:rsid w:val="00855100"/>
    <w:rsid w:val="00855607"/>
    <w:rsid w:val="008559BD"/>
    <w:rsid w:val="0085656C"/>
    <w:rsid w:val="00856846"/>
    <w:rsid w:val="0086085A"/>
    <w:rsid w:val="008610F6"/>
    <w:rsid w:val="00861DF9"/>
    <w:rsid w:val="00861EAD"/>
    <w:rsid w:val="008623C4"/>
    <w:rsid w:val="00862433"/>
    <w:rsid w:val="008634AD"/>
    <w:rsid w:val="00863B32"/>
    <w:rsid w:val="0086457D"/>
    <w:rsid w:val="008649A2"/>
    <w:rsid w:val="00864AC2"/>
    <w:rsid w:val="00865791"/>
    <w:rsid w:val="00865C37"/>
    <w:rsid w:val="008669AF"/>
    <w:rsid w:val="00867407"/>
    <w:rsid w:val="00867715"/>
    <w:rsid w:val="00867774"/>
    <w:rsid w:val="00867ED7"/>
    <w:rsid w:val="00867F14"/>
    <w:rsid w:val="00870078"/>
    <w:rsid w:val="0087025F"/>
    <w:rsid w:val="00870840"/>
    <w:rsid w:val="00871ADB"/>
    <w:rsid w:val="00871CE3"/>
    <w:rsid w:val="008720A0"/>
    <w:rsid w:val="008724B7"/>
    <w:rsid w:val="00872DF2"/>
    <w:rsid w:val="00872E4F"/>
    <w:rsid w:val="00872E8F"/>
    <w:rsid w:val="008736ED"/>
    <w:rsid w:val="00873E04"/>
    <w:rsid w:val="008743D9"/>
    <w:rsid w:val="00875F10"/>
    <w:rsid w:val="00876C0B"/>
    <w:rsid w:val="00876E17"/>
    <w:rsid w:val="00877257"/>
    <w:rsid w:val="008779E5"/>
    <w:rsid w:val="00877C67"/>
    <w:rsid w:val="00877E23"/>
    <w:rsid w:val="00880413"/>
    <w:rsid w:val="00880FEA"/>
    <w:rsid w:val="0088158E"/>
    <w:rsid w:val="0088189B"/>
    <w:rsid w:val="00881AF0"/>
    <w:rsid w:val="00881DE9"/>
    <w:rsid w:val="0088248F"/>
    <w:rsid w:val="00882536"/>
    <w:rsid w:val="00883021"/>
    <w:rsid w:val="00883376"/>
    <w:rsid w:val="008834C7"/>
    <w:rsid w:val="00884D63"/>
    <w:rsid w:val="00884DCA"/>
    <w:rsid w:val="00885943"/>
    <w:rsid w:val="00885D26"/>
    <w:rsid w:val="0088688B"/>
    <w:rsid w:val="00886ABD"/>
    <w:rsid w:val="00887075"/>
    <w:rsid w:val="008871D5"/>
    <w:rsid w:val="00887B37"/>
    <w:rsid w:val="00890188"/>
    <w:rsid w:val="0089078F"/>
    <w:rsid w:val="00890C75"/>
    <w:rsid w:val="008910C8"/>
    <w:rsid w:val="00891888"/>
    <w:rsid w:val="00892A15"/>
    <w:rsid w:val="00892BE4"/>
    <w:rsid w:val="0089361B"/>
    <w:rsid w:val="00893BD0"/>
    <w:rsid w:val="00893BE8"/>
    <w:rsid w:val="00893DBC"/>
    <w:rsid w:val="0089480A"/>
    <w:rsid w:val="00894B8C"/>
    <w:rsid w:val="008953AB"/>
    <w:rsid w:val="00895C61"/>
    <w:rsid w:val="008962B6"/>
    <w:rsid w:val="008968F7"/>
    <w:rsid w:val="00896E4E"/>
    <w:rsid w:val="00897321"/>
    <w:rsid w:val="00897594"/>
    <w:rsid w:val="008A097D"/>
    <w:rsid w:val="008A13BA"/>
    <w:rsid w:val="008A1B89"/>
    <w:rsid w:val="008A1E8C"/>
    <w:rsid w:val="008A23B6"/>
    <w:rsid w:val="008A27B9"/>
    <w:rsid w:val="008A2823"/>
    <w:rsid w:val="008A3452"/>
    <w:rsid w:val="008A3BBC"/>
    <w:rsid w:val="008A3EAB"/>
    <w:rsid w:val="008A4429"/>
    <w:rsid w:val="008A49E0"/>
    <w:rsid w:val="008A564E"/>
    <w:rsid w:val="008A58C6"/>
    <w:rsid w:val="008A5EB0"/>
    <w:rsid w:val="008A66A2"/>
    <w:rsid w:val="008A6831"/>
    <w:rsid w:val="008A6A54"/>
    <w:rsid w:val="008A6F0C"/>
    <w:rsid w:val="008A7A0C"/>
    <w:rsid w:val="008B0B53"/>
    <w:rsid w:val="008B0D33"/>
    <w:rsid w:val="008B0D3F"/>
    <w:rsid w:val="008B10B0"/>
    <w:rsid w:val="008B138E"/>
    <w:rsid w:val="008B14EE"/>
    <w:rsid w:val="008B15BD"/>
    <w:rsid w:val="008B1756"/>
    <w:rsid w:val="008B1895"/>
    <w:rsid w:val="008B1A26"/>
    <w:rsid w:val="008B1A5D"/>
    <w:rsid w:val="008B2C90"/>
    <w:rsid w:val="008B3FE3"/>
    <w:rsid w:val="008B427C"/>
    <w:rsid w:val="008B430E"/>
    <w:rsid w:val="008B4845"/>
    <w:rsid w:val="008B49DC"/>
    <w:rsid w:val="008B4C65"/>
    <w:rsid w:val="008B5526"/>
    <w:rsid w:val="008B6678"/>
    <w:rsid w:val="008C04C1"/>
    <w:rsid w:val="008C05CE"/>
    <w:rsid w:val="008C069E"/>
    <w:rsid w:val="008C1073"/>
    <w:rsid w:val="008C156D"/>
    <w:rsid w:val="008C1620"/>
    <w:rsid w:val="008C17F6"/>
    <w:rsid w:val="008C1FA7"/>
    <w:rsid w:val="008C2025"/>
    <w:rsid w:val="008C2470"/>
    <w:rsid w:val="008C2593"/>
    <w:rsid w:val="008C2789"/>
    <w:rsid w:val="008C314E"/>
    <w:rsid w:val="008C36FC"/>
    <w:rsid w:val="008C3ADD"/>
    <w:rsid w:val="008C4E41"/>
    <w:rsid w:val="008C59EB"/>
    <w:rsid w:val="008C5DD8"/>
    <w:rsid w:val="008C64F4"/>
    <w:rsid w:val="008C6A0F"/>
    <w:rsid w:val="008C6AA7"/>
    <w:rsid w:val="008C6EF2"/>
    <w:rsid w:val="008C7255"/>
    <w:rsid w:val="008D02E7"/>
    <w:rsid w:val="008D030F"/>
    <w:rsid w:val="008D0B95"/>
    <w:rsid w:val="008D0CAB"/>
    <w:rsid w:val="008D10DA"/>
    <w:rsid w:val="008D1395"/>
    <w:rsid w:val="008D1B3B"/>
    <w:rsid w:val="008D20F9"/>
    <w:rsid w:val="008D236E"/>
    <w:rsid w:val="008D2657"/>
    <w:rsid w:val="008D27A1"/>
    <w:rsid w:val="008D28A8"/>
    <w:rsid w:val="008D3C77"/>
    <w:rsid w:val="008D4358"/>
    <w:rsid w:val="008D4D8C"/>
    <w:rsid w:val="008D4EF0"/>
    <w:rsid w:val="008D537A"/>
    <w:rsid w:val="008D5432"/>
    <w:rsid w:val="008D5A18"/>
    <w:rsid w:val="008D5C00"/>
    <w:rsid w:val="008D5C64"/>
    <w:rsid w:val="008D705B"/>
    <w:rsid w:val="008D7A36"/>
    <w:rsid w:val="008D7A93"/>
    <w:rsid w:val="008E01CD"/>
    <w:rsid w:val="008E0536"/>
    <w:rsid w:val="008E0577"/>
    <w:rsid w:val="008E0B51"/>
    <w:rsid w:val="008E1CB4"/>
    <w:rsid w:val="008E238A"/>
    <w:rsid w:val="008E23F5"/>
    <w:rsid w:val="008E2A41"/>
    <w:rsid w:val="008E377B"/>
    <w:rsid w:val="008E3CE6"/>
    <w:rsid w:val="008E4CCD"/>
    <w:rsid w:val="008E5FB5"/>
    <w:rsid w:val="008F018D"/>
    <w:rsid w:val="008F0A4B"/>
    <w:rsid w:val="008F0E12"/>
    <w:rsid w:val="008F0E41"/>
    <w:rsid w:val="008F0FD4"/>
    <w:rsid w:val="008F16CF"/>
    <w:rsid w:val="008F1B30"/>
    <w:rsid w:val="008F1D25"/>
    <w:rsid w:val="008F211D"/>
    <w:rsid w:val="008F2194"/>
    <w:rsid w:val="008F2BD2"/>
    <w:rsid w:val="008F41A3"/>
    <w:rsid w:val="008F420A"/>
    <w:rsid w:val="008F43E8"/>
    <w:rsid w:val="008F44AE"/>
    <w:rsid w:val="008F487D"/>
    <w:rsid w:val="008F4C10"/>
    <w:rsid w:val="008F4DDB"/>
    <w:rsid w:val="008F5811"/>
    <w:rsid w:val="008F59AF"/>
    <w:rsid w:val="008F5BFD"/>
    <w:rsid w:val="008F5DC8"/>
    <w:rsid w:val="008F658E"/>
    <w:rsid w:val="008F66B5"/>
    <w:rsid w:val="008F6B89"/>
    <w:rsid w:val="008F75F5"/>
    <w:rsid w:val="008F7A65"/>
    <w:rsid w:val="008F7FC3"/>
    <w:rsid w:val="00900506"/>
    <w:rsid w:val="00900651"/>
    <w:rsid w:val="009006A8"/>
    <w:rsid w:val="00900796"/>
    <w:rsid w:val="009009FF"/>
    <w:rsid w:val="0090119F"/>
    <w:rsid w:val="00901D70"/>
    <w:rsid w:val="00903102"/>
    <w:rsid w:val="00903554"/>
    <w:rsid w:val="00903B07"/>
    <w:rsid w:val="009064F2"/>
    <w:rsid w:val="009066C7"/>
    <w:rsid w:val="009068E4"/>
    <w:rsid w:val="009100B5"/>
    <w:rsid w:val="0091014B"/>
    <w:rsid w:val="009105E1"/>
    <w:rsid w:val="009108AC"/>
    <w:rsid w:val="00910F50"/>
    <w:rsid w:val="009111EA"/>
    <w:rsid w:val="0091171D"/>
    <w:rsid w:val="00911E33"/>
    <w:rsid w:val="00911E53"/>
    <w:rsid w:val="00912503"/>
    <w:rsid w:val="00912688"/>
    <w:rsid w:val="0091275B"/>
    <w:rsid w:val="00912836"/>
    <w:rsid w:val="0091325A"/>
    <w:rsid w:val="00913357"/>
    <w:rsid w:val="00913DC4"/>
    <w:rsid w:val="009141EF"/>
    <w:rsid w:val="009148FC"/>
    <w:rsid w:val="00914AB9"/>
    <w:rsid w:val="0091637C"/>
    <w:rsid w:val="00916E41"/>
    <w:rsid w:val="0091720E"/>
    <w:rsid w:val="00917380"/>
    <w:rsid w:val="0091739F"/>
    <w:rsid w:val="00917819"/>
    <w:rsid w:val="009201F4"/>
    <w:rsid w:val="0092026B"/>
    <w:rsid w:val="00920610"/>
    <w:rsid w:val="00921452"/>
    <w:rsid w:val="00921A4A"/>
    <w:rsid w:val="00922034"/>
    <w:rsid w:val="009222BF"/>
    <w:rsid w:val="009223D8"/>
    <w:rsid w:val="009225AC"/>
    <w:rsid w:val="00923498"/>
    <w:rsid w:val="009237E4"/>
    <w:rsid w:val="00923E00"/>
    <w:rsid w:val="00923E9C"/>
    <w:rsid w:val="00924583"/>
    <w:rsid w:val="00925981"/>
    <w:rsid w:val="00925EF2"/>
    <w:rsid w:val="00926086"/>
    <w:rsid w:val="009262C2"/>
    <w:rsid w:val="009273B0"/>
    <w:rsid w:val="0092742C"/>
    <w:rsid w:val="009276F3"/>
    <w:rsid w:val="00927941"/>
    <w:rsid w:val="00927CDA"/>
    <w:rsid w:val="009300FB"/>
    <w:rsid w:val="00930753"/>
    <w:rsid w:val="0093085C"/>
    <w:rsid w:val="009308C0"/>
    <w:rsid w:val="00930D2C"/>
    <w:rsid w:val="0093129C"/>
    <w:rsid w:val="009312C1"/>
    <w:rsid w:val="009312F0"/>
    <w:rsid w:val="00931430"/>
    <w:rsid w:val="00932059"/>
    <w:rsid w:val="00932499"/>
    <w:rsid w:val="009329BB"/>
    <w:rsid w:val="00933157"/>
    <w:rsid w:val="0093380A"/>
    <w:rsid w:val="009339BA"/>
    <w:rsid w:val="00933FB9"/>
    <w:rsid w:val="00933FFE"/>
    <w:rsid w:val="0093418B"/>
    <w:rsid w:val="00935F5E"/>
    <w:rsid w:val="009360BA"/>
    <w:rsid w:val="0093614A"/>
    <w:rsid w:val="00937BA2"/>
    <w:rsid w:val="009402CC"/>
    <w:rsid w:val="00940B3D"/>
    <w:rsid w:val="0094111F"/>
    <w:rsid w:val="00941161"/>
    <w:rsid w:val="0094117C"/>
    <w:rsid w:val="00941752"/>
    <w:rsid w:val="00941AE1"/>
    <w:rsid w:val="00942947"/>
    <w:rsid w:val="00942AA6"/>
    <w:rsid w:val="00942B0F"/>
    <w:rsid w:val="00943484"/>
    <w:rsid w:val="0094418C"/>
    <w:rsid w:val="009444F4"/>
    <w:rsid w:val="00944B88"/>
    <w:rsid w:val="009459FC"/>
    <w:rsid w:val="009464F6"/>
    <w:rsid w:val="00946B97"/>
    <w:rsid w:val="00946B9E"/>
    <w:rsid w:val="00946BF0"/>
    <w:rsid w:val="00946EFA"/>
    <w:rsid w:val="009471DD"/>
    <w:rsid w:val="00947E73"/>
    <w:rsid w:val="009503C9"/>
    <w:rsid w:val="00950D21"/>
    <w:rsid w:val="00950E4D"/>
    <w:rsid w:val="00950F6B"/>
    <w:rsid w:val="00952912"/>
    <w:rsid w:val="00952AD5"/>
    <w:rsid w:val="00953B8A"/>
    <w:rsid w:val="00954BDE"/>
    <w:rsid w:val="00954BF3"/>
    <w:rsid w:val="00954DBB"/>
    <w:rsid w:val="00954DF8"/>
    <w:rsid w:val="009555D7"/>
    <w:rsid w:val="0095587E"/>
    <w:rsid w:val="009565F3"/>
    <w:rsid w:val="0095733B"/>
    <w:rsid w:val="00960B85"/>
    <w:rsid w:val="00960C1D"/>
    <w:rsid w:val="00960E2C"/>
    <w:rsid w:val="00961239"/>
    <w:rsid w:val="00961AC1"/>
    <w:rsid w:val="00961CDD"/>
    <w:rsid w:val="00962047"/>
    <w:rsid w:val="00962D12"/>
    <w:rsid w:val="0096323B"/>
    <w:rsid w:val="00963350"/>
    <w:rsid w:val="00964419"/>
    <w:rsid w:val="00964AEF"/>
    <w:rsid w:val="00964D18"/>
    <w:rsid w:val="00964F27"/>
    <w:rsid w:val="00964F9C"/>
    <w:rsid w:val="0096515E"/>
    <w:rsid w:val="009665C8"/>
    <w:rsid w:val="009679E7"/>
    <w:rsid w:val="00967DC9"/>
    <w:rsid w:val="00967EA3"/>
    <w:rsid w:val="009708B9"/>
    <w:rsid w:val="00970CB1"/>
    <w:rsid w:val="00970D68"/>
    <w:rsid w:val="0097162C"/>
    <w:rsid w:val="00971998"/>
    <w:rsid w:val="00971A70"/>
    <w:rsid w:val="00971C97"/>
    <w:rsid w:val="00972222"/>
    <w:rsid w:val="00972291"/>
    <w:rsid w:val="00972D89"/>
    <w:rsid w:val="00973F1B"/>
    <w:rsid w:val="0097430C"/>
    <w:rsid w:val="009752D7"/>
    <w:rsid w:val="0097573C"/>
    <w:rsid w:val="00976119"/>
    <w:rsid w:val="00976127"/>
    <w:rsid w:val="00976A4C"/>
    <w:rsid w:val="00976F24"/>
    <w:rsid w:val="00977909"/>
    <w:rsid w:val="00977AC2"/>
    <w:rsid w:val="00977D04"/>
    <w:rsid w:val="00977E85"/>
    <w:rsid w:val="00980DA1"/>
    <w:rsid w:val="00981025"/>
    <w:rsid w:val="009814C4"/>
    <w:rsid w:val="00982222"/>
    <w:rsid w:val="00982AC3"/>
    <w:rsid w:val="0098305F"/>
    <w:rsid w:val="00983736"/>
    <w:rsid w:val="00983EB9"/>
    <w:rsid w:val="00983FA4"/>
    <w:rsid w:val="00984F71"/>
    <w:rsid w:val="009854C5"/>
    <w:rsid w:val="00985831"/>
    <w:rsid w:val="009858B0"/>
    <w:rsid w:val="0098660D"/>
    <w:rsid w:val="009868A4"/>
    <w:rsid w:val="0098723A"/>
    <w:rsid w:val="009874C5"/>
    <w:rsid w:val="009876CB"/>
    <w:rsid w:val="00987BDB"/>
    <w:rsid w:val="00987BF7"/>
    <w:rsid w:val="00990A1B"/>
    <w:rsid w:val="00990AB6"/>
    <w:rsid w:val="00990C72"/>
    <w:rsid w:val="0099148A"/>
    <w:rsid w:val="009918B1"/>
    <w:rsid w:val="00993BEB"/>
    <w:rsid w:val="0099408E"/>
    <w:rsid w:val="00994C78"/>
    <w:rsid w:val="00996AFE"/>
    <w:rsid w:val="009971DF"/>
    <w:rsid w:val="009976B6"/>
    <w:rsid w:val="009A0636"/>
    <w:rsid w:val="009A067A"/>
    <w:rsid w:val="009A07C7"/>
    <w:rsid w:val="009A1317"/>
    <w:rsid w:val="009A1D6A"/>
    <w:rsid w:val="009A22EE"/>
    <w:rsid w:val="009A258E"/>
    <w:rsid w:val="009A2B57"/>
    <w:rsid w:val="009A2F2C"/>
    <w:rsid w:val="009A3715"/>
    <w:rsid w:val="009A38AA"/>
    <w:rsid w:val="009A3A4F"/>
    <w:rsid w:val="009A4245"/>
    <w:rsid w:val="009A438E"/>
    <w:rsid w:val="009A481B"/>
    <w:rsid w:val="009A4CC5"/>
    <w:rsid w:val="009A502F"/>
    <w:rsid w:val="009A5C44"/>
    <w:rsid w:val="009A5FB6"/>
    <w:rsid w:val="009A6660"/>
    <w:rsid w:val="009A6DA5"/>
    <w:rsid w:val="009A7143"/>
    <w:rsid w:val="009A71D5"/>
    <w:rsid w:val="009A7840"/>
    <w:rsid w:val="009B04E3"/>
    <w:rsid w:val="009B0B9D"/>
    <w:rsid w:val="009B0E0D"/>
    <w:rsid w:val="009B1159"/>
    <w:rsid w:val="009B15F7"/>
    <w:rsid w:val="009B1C6E"/>
    <w:rsid w:val="009B1CCC"/>
    <w:rsid w:val="009B2204"/>
    <w:rsid w:val="009B2277"/>
    <w:rsid w:val="009B262B"/>
    <w:rsid w:val="009B26F0"/>
    <w:rsid w:val="009B270C"/>
    <w:rsid w:val="009B297D"/>
    <w:rsid w:val="009B2A22"/>
    <w:rsid w:val="009B2FC9"/>
    <w:rsid w:val="009B3FA7"/>
    <w:rsid w:val="009B45CB"/>
    <w:rsid w:val="009B68AA"/>
    <w:rsid w:val="009B68BC"/>
    <w:rsid w:val="009B7AC7"/>
    <w:rsid w:val="009B7DBF"/>
    <w:rsid w:val="009C0697"/>
    <w:rsid w:val="009C0732"/>
    <w:rsid w:val="009C091A"/>
    <w:rsid w:val="009C0980"/>
    <w:rsid w:val="009C0C4A"/>
    <w:rsid w:val="009C1033"/>
    <w:rsid w:val="009C151F"/>
    <w:rsid w:val="009C15E6"/>
    <w:rsid w:val="009C1910"/>
    <w:rsid w:val="009C212B"/>
    <w:rsid w:val="009C2753"/>
    <w:rsid w:val="009C2A52"/>
    <w:rsid w:val="009C3510"/>
    <w:rsid w:val="009C48FA"/>
    <w:rsid w:val="009C4ADB"/>
    <w:rsid w:val="009C4AED"/>
    <w:rsid w:val="009C6829"/>
    <w:rsid w:val="009C6C9A"/>
    <w:rsid w:val="009C6CBA"/>
    <w:rsid w:val="009C6CCD"/>
    <w:rsid w:val="009C731E"/>
    <w:rsid w:val="009C7640"/>
    <w:rsid w:val="009D03C6"/>
    <w:rsid w:val="009D04F5"/>
    <w:rsid w:val="009D0A61"/>
    <w:rsid w:val="009D121E"/>
    <w:rsid w:val="009D1C89"/>
    <w:rsid w:val="009D239F"/>
    <w:rsid w:val="009D2924"/>
    <w:rsid w:val="009D32A7"/>
    <w:rsid w:val="009D345E"/>
    <w:rsid w:val="009D37FD"/>
    <w:rsid w:val="009D4662"/>
    <w:rsid w:val="009D6E99"/>
    <w:rsid w:val="009D7013"/>
    <w:rsid w:val="009D7257"/>
    <w:rsid w:val="009D72DB"/>
    <w:rsid w:val="009D78ED"/>
    <w:rsid w:val="009D7F8F"/>
    <w:rsid w:val="009E02C1"/>
    <w:rsid w:val="009E08BA"/>
    <w:rsid w:val="009E0D2A"/>
    <w:rsid w:val="009E2A5B"/>
    <w:rsid w:val="009E2E6C"/>
    <w:rsid w:val="009E2EB1"/>
    <w:rsid w:val="009E3EFA"/>
    <w:rsid w:val="009E4697"/>
    <w:rsid w:val="009E4727"/>
    <w:rsid w:val="009E4D8C"/>
    <w:rsid w:val="009E58F6"/>
    <w:rsid w:val="009E5CB4"/>
    <w:rsid w:val="009E6394"/>
    <w:rsid w:val="009E6DB8"/>
    <w:rsid w:val="009E77D9"/>
    <w:rsid w:val="009E78E6"/>
    <w:rsid w:val="009F0804"/>
    <w:rsid w:val="009F0C9B"/>
    <w:rsid w:val="009F1093"/>
    <w:rsid w:val="009F128F"/>
    <w:rsid w:val="009F16CE"/>
    <w:rsid w:val="009F1B31"/>
    <w:rsid w:val="009F220C"/>
    <w:rsid w:val="009F2564"/>
    <w:rsid w:val="009F2EE3"/>
    <w:rsid w:val="009F3376"/>
    <w:rsid w:val="009F408E"/>
    <w:rsid w:val="009F51EF"/>
    <w:rsid w:val="009F578B"/>
    <w:rsid w:val="009F5876"/>
    <w:rsid w:val="009F5BB9"/>
    <w:rsid w:val="009F5BD9"/>
    <w:rsid w:val="009F5D9F"/>
    <w:rsid w:val="009F6555"/>
    <w:rsid w:val="009F68C5"/>
    <w:rsid w:val="009F77A8"/>
    <w:rsid w:val="009F79FF"/>
    <w:rsid w:val="009F7E60"/>
    <w:rsid w:val="00A0014E"/>
    <w:rsid w:val="00A00305"/>
    <w:rsid w:val="00A007D1"/>
    <w:rsid w:val="00A0196D"/>
    <w:rsid w:val="00A01E0F"/>
    <w:rsid w:val="00A02CA8"/>
    <w:rsid w:val="00A030FE"/>
    <w:rsid w:val="00A0407B"/>
    <w:rsid w:val="00A0427D"/>
    <w:rsid w:val="00A048C9"/>
    <w:rsid w:val="00A04F8C"/>
    <w:rsid w:val="00A052E1"/>
    <w:rsid w:val="00A06014"/>
    <w:rsid w:val="00A0628A"/>
    <w:rsid w:val="00A06512"/>
    <w:rsid w:val="00A072ED"/>
    <w:rsid w:val="00A07A63"/>
    <w:rsid w:val="00A07E1D"/>
    <w:rsid w:val="00A07FA6"/>
    <w:rsid w:val="00A10152"/>
    <w:rsid w:val="00A109DA"/>
    <w:rsid w:val="00A1144E"/>
    <w:rsid w:val="00A11540"/>
    <w:rsid w:val="00A12957"/>
    <w:rsid w:val="00A12A4C"/>
    <w:rsid w:val="00A131F8"/>
    <w:rsid w:val="00A1371D"/>
    <w:rsid w:val="00A13D86"/>
    <w:rsid w:val="00A13F4E"/>
    <w:rsid w:val="00A14B59"/>
    <w:rsid w:val="00A14B6C"/>
    <w:rsid w:val="00A14E4A"/>
    <w:rsid w:val="00A158BA"/>
    <w:rsid w:val="00A16169"/>
    <w:rsid w:val="00A16991"/>
    <w:rsid w:val="00A16CE7"/>
    <w:rsid w:val="00A1706E"/>
    <w:rsid w:val="00A17664"/>
    <w:rsid w:val="00A20683"/>
    <w:rsid w:val="00A20B84"/>
    <w:rsid w:val="00A20D2C"/>
    <w:rsid w:val="00A21FD5"/>
    <w:rsid w:val="00A22125"/>
    <w:rsid w:val="00A222F6"/>
    <w:rsid w:val="00A23C5B"/>
    <w:rsid w:val="00A23CFF"/>
    <w:rsid w:val="00A23DE3"/>
    <w:rsid w:val="00A2447F"/>
    <w:rsid w:val="00A2495B"/>
    <w:rsid w:val="00A25C51"/>
    <w:rsid w:val="00A2633A"/>
    <w:rsid w:val="00A26816"/>
    <w:rsid w:val="00A26DFA"/>
    <w:rsid w:val="00A26EDD"/>
    <w:rsid w:val="00A27256"/>
    <w:rsid w:val="00A27BDF"/>
    <w:rsid w:val="00A27E60"/>
    <w:rsid w:val="00A27F8E"/>
    <w:rsid w:val="00A3008F"/>
    <w:rsid w:val="00A30BD5"/>
    <w:rsid w:val="00A30CB0"/>
    <w:rsid w:val="00A30DB7"/>
    <w:rsid w:val="00A31947"/>
    <w:rsid w:val="00A32212"/>
    <w:rsid w:val="00A33C8D"/>
    <w:rsid w:val="00A33D52"/>
    <w:rsid w:val="00A34A44"/>
    <w:rsid w:val="00A3523B"/>
    <w:rsid w:val="00A358D7"/>
    <w:rsid w:val="00A35B13"/>
    <w:rsid w:val="00A35E47"/>
    <w:rsid w:val="00A36A44"/>
    <w:rsid w:val="00A3713E"/>
    <w:rsid w:val="00A3787A"/>
    <w:rsid w:val="00A37C22"/>
    <w:rsid w:val="00A37E4D"/>
    <w:rsid w:val="00A406FB"/>
    <w:rsid w:val="00A40741"/>
    <w:rsid w:val="00A40CDB"/>
    <w:rsid w:val="00A40DE7"/>
    <w:rsid w:val="00A41A38"/>
    <w:rsid w:val="00A41EDD"/>
    <w:rsid w:val="00A42411"/>
    <w:rsid w:val="00A424B1"/>
    <w:rsid w:val="00A42746"/>
    <w:rsid w:val="00A42ACA"/>
    <w:rsid w:val="00A42CDF"/>
    <w:rsid w:val="00A43AC5"/>
    <w:rsid w:val="00A44BCD"/>
    <w:rsid w:val="00A45B9B"/>
    <w:rsid w:val="00A462A5"/>
    <w:rsid w:val="00A46C8F"/>
    <w:rsid w:val="00A46D72"/>
    <w:rsid w:val="00A47502"/>
    <w:rsid w:val="00A4772B"/>
    <w:rsid w:val="00A47BC0"/>
    <w:rsid w:val="00A47E89"/>
    <w:rsid w:val="00A50463"/>
    <w:rsid w:val="00A50FDE"/>
    <w:rsid w:val="00A512D9"/>
    <w:rsid w:val="00A513FD"/>
    <w:rsid w:val="00A51E97"/>
    <w:rsid w:val="00A51F84"/>
    <w:rsid w:val="00A52EAF"/>
    <w:rsid w:val="00A538F1"/>
    <w:rsid w:val="00A53963"/>
    <w:rsid w:val="00A53DB3"/>
    <w:rsid w:val="00A53E03"/>
    <w:rsid w:val="00A547FD"/>
    <w:rsid w:val="00A54C62"/>
    <w:rsid w:val="00A54CF4"/>
    <w:rsid w:val="00A5520D"/>
    <w:rsid w:val="00A558EB"/>
    <w:rsid w:val="00A561D1"/>
    <w:rsid w:val="00A5647F"/>
    <w:rsid w:val="00A567C8"/>
    <w:rsid w:val="00A56CCA"/>
    <w:rsid w:val="00A57154"/>
    <w:rsid w:val="00A5732D"/>
    <w:rsid w:val="00A57879"/>
    <w:rsid w:val="00A57D5C"/>
    <w:rsid w:val="00A60616"/>
    <w:rsid w:val="00A60648"/>
    <w:rsid w:val="00A60757"/>
    <w:rsid w:val="00A60CFC"/>
    <w:rsid w:val="00A61B6A"/>
    <w:rsid w:val="00A61D33"/>
    <w:rsid w:val="00A622B8"/>
    <w:rsid w:val="00A6241C"/>
    <w:rsid w:val="00A62CD0"/>
    <w:rsid w:val="00A62DCD"/>
    <w:rsid w:val="00A6320C"/>
    <w:rsid w:val="00A63D23"/>
    <w:rsid w:val="00A640D7"/>
    <w:rsid w:val="00A64A83"/>
    <w:rsid w:val="00A64B99"/>
    <w:rsid w:val="00A651AA"/>
    <w:rsid w:val="00A6544D"/>
    <w:rsid w:val="00A65CA9"/>
    <w:rsid w:val="00A65F73"/>
    <w:rsid w:val="00A662B5"/>
    <w:rsid w:val="00A66A96"/>
    <w:rsid w:val="00A66DAE"/>
    <w:rsid w:val="00A67145"/>
    <w:rsid w:val="00A6759F"/>
    <w:rsid w:val="00A678AC"/>
    <w:rsid w:val="00A67993"/>
    <w:rsid w:val="00A67B18"/>
    <w:rsid w:val="00A704C6"/>
    <w:rsid w:val="00A7051C"/>
    <w:rsid w:val="00A7086F"/>
    <w:rsid w:val="00A708F6"/>
    <w:rsid w:val="00A70BA7"/>
    <w:rsid w:val="00A72B9B"/>
    <w:rsid w:val="00A72CA2"/>
    <w:rsid w:val="00A73D5F"/>
    <w:rsid w:val="00A740B9"/>
    <w:rsid w:val="00A74FF6"/>
    <w:rsid w:val="00A75A06"/>
    <w:rsid w:val="00A76673"/>
    <w:rsid w:val="00A76B16"/>
    <w:rsid w:val="00A7728A"/>
    <w:rsid w:val="00A77C4C"/>
    <w:rsid w:val="00A80D14"/>
    <w:rsid w:val="00A814CD"/>
    <w:rsid w:val="00A818C7"/>
    <w:rsid w:val="00A81FE6"/>
    <w:rsid w:val="00A821C1"/>
    <w:rsid w:val="00A82AA3"/>
    <w:rsid w:val="00A82E4D"/>
    <w:rsid w:val="00A83106"/>
    <w:rsid w:val="00A83186"/>
    <w:rsid w:val="00A8394F"/>
    <w:rsid w:val="00A839D5"/>
    <w:rsid w:val="00A83A06"/>
    <w:rsid w:val="00A83DF6"/>
    <w:rsid w:val="00A83F00"/>
    <w:rsid w:val="00A847AA"/>
    <w:rsid w:val="00A851DF"/>
    <w:rsid w:val="00A85818"/>
    <w:rsid w:val="00A86210"/>
    <w:rsid w:val="00A862C2"/>
    <w:rsid w:val="00A864CF"/>
    <w:rsid w:val="00A86CB5"/>
    <w:rsid w:val="00A86E36"/>
    <w:rsid w:val="00A87451"/>
    <w:rsid w:val="00A87B9A"/>
    <w:rsid w:val="00A87F97"/>
    <w:rsid w:val="00A90C1D"/>
    <w:rsid w:val="00A90E4D"/>
    <w:rsid w:val="00A927CA"/>
    <w:rsid w:val="00A929D9"/>
    <w:rsid w:val="00A93104"/>
    <w:rsid w:val="00A935DE"/>
    <w:rsid w:val="00A93C74"/>
    <w:rsid w:val="00A95ED3"/>
    <w:rsid w:val="00A961AC"/>
    <w:rsid w:val="00A96994"/>
    <w:rsid w:val="00AA0B2A"/>
    <w:rsid w:val="00AA1416"/>
    <w:rsid w:val="00AA231D"/>
    <w:rsid w:val="00AA249F"/>
    <w:rsid w:val="00AA27C2"/>
    <w:rsid w:val="00AA35D4"/>
    <w:rsid w:val="00AA39BB"/>
    <w:rsid w:val="00AA3D32"/>
    <w:rsid w:val="00AA3D6D"/>
    <w:rsid w:val="00AA3F29"/>
    <w:rsid w:val="00AA4DEF"/>
    <w:rsid w:val="00AA4E01"/>
    <w:rsid w:val="00AA58CB"/>
    <w:rsid w:val="00AA5B1D"/>
    <w:rsid w:val="00AA632B"/>
    <w:rsid w:val="00AA6702"/>
    <w:rsid w:val="00AA69D1"/>
    <w:rsid w:val="00AA7224"/>
    <w:rsid w:val="00AA7F80"/>
    <w:rsid w:val="00AB0477"/>
    <w:rsid w:val="00AB056F"/>
    <w:rsid w:val="00AB0660"/>
    <w:rsid w:val="00AB0814"/>
    <w:rsid w:val="00AB0A5C"/>
    <w:rsid w:val="00AB1059"/>
    <w:rsid w:val="00AB1FEA"/>
    <w:rsid w:val="00AB433C"/>
    <w:rsid w:val="00AB468B"/>
    <w:rsid w:val="00AB479B"/>
    <w:rsid w:val="00AB5657"/>
    <w:rsid w:val="00AB57EA"/>
    <w:rsid w:val="00AB5B53"/>
    <w:rsid w:val="00AB62D1"/>
    <w:rsid w:val="00AB6567"/>
    <w:rsid w:val="00AB7913"/>
    <w:rsid w:val="00AB7E79"/>
    <w:rsid w:val="00AC04FA"/>
    <w:rsid w:val="00AC0861"/>
    <w:rsid w:val="00AC0922"/>
    <w:rsid w:val="00AC1434"/>
    <w:rsid w:val="00AC1617"/>
    <w:rsid w:val="00AC266C"/>
    <w:rsid w:val="00AC27DF"/>
    <w:rsid w:val="00AC3039"/>
    <w:rsid w:val="00AC3AA6"/>
    <w:rsid w:val="00AC466B"/>
    <w:rsid w:val="00AC4C5B"/>
    <w:rsid w:val="00AC5042"/>
    <w:rsid w:val="00AC58B5"/>
    <w:rsid w:val="00AD0822"/>
    <w:rsid w:val="00AD1E51"/>
    <w:rsid w:val="00AD241A"/>
    <w:rsid w:val="00AD28F0"/>
    <w:rsid w:val="00AD3455"/>
    <w:rsid w:val="00AD3547"/>
    <w:rsid w:val="00AD3A8C"/>
    <w:rsid w:val="00AD4971"/>
    <w:rsid w:val="00AD4A8E"/>
    <w:rsid w:val="00AD4F6E"/>
    <w:rsid w:val="00AD504A"/>
    <w:rsid w:val="00AD53A8"/>
    <w:rsid w:val="00AD5C6F"/>
    <w:rsid w:val="00AD6054"/>
    <w:rsid w:val="00AD66AE"/>
    <w:rsid w:val="00AD6AA1"/>
    <w:rsid w:val="00AD6F76"/>
    <w:rsid w:val="00AE02B2"/>
    <w:rsid w:val="00AE05D7"/>
    <w:rsid w:val="00AE0A93"/>
    <w:rsid w:val="00AE0CFB"/>
    <w:rsid w:val="00AE0E24"/>
    <w:rsid w:val="00AE1E1F"/>
    <w:rsid w:val="00AE28F1"/>
    <w:rsid w:val="00AE2A07"/>
    <w:rsid w:val="00AE30C2"/>
    <w:rsid w:val="00AE3AE5"/>
    <w:rsid w:val="00AE4E0B"/>
    <w:rsid w:val="00AE5031"/>
    <w:rsid w:val="00AE51D3"/>
    <w:rsid w:val="00AE553D"/>
    <w:rsid w:val="00AE691A"/>
    <w:rsid w:val="00AE7ABC"/>
    <w:rsid w:val="00AF0C1D"/>
    <w:rsid w:val="00AF1804"/>
    <w:rsid w:val="00AF2409"/>
    <w:rsid w:val="00AF29C8"/>
    <w:rsid w:val="00AF324B"/>
    <w:rsid w:val="00AF338C"/>
    <w:rsid w:val="00AF43BC"/>
    <w:rsid w:val="00AF4D4F"/>
    <w:rsid w:val="00AF4EC8"/>
    <w:rsid w:val="00AF59F3"/>
    <w:rsid w:val="00AF5B07"/>
    <w:rsid w:val="00AF5B41"/>
    <w:rsid w:val="00AF5DF6"/>
    <w:rsid w:val="00AF6492"/>
    <w:rsid w:val="00AF6916"/>
    <w:rsid w:val="00AF6C36"/>
    <w:rsid w:val="00AF7721"/>
    <w:rsid w:val="00AF7AA8"/>
    <w:rsid w:val="00B00889"/>
    <w:rsid w:val="00B00C95"/>
    <w:rsid w:val="00B011A9"/>
    <w:rsid w:val="00B013B8"/>
    <w:rsid w:val="00B013FA"/>
    <w:rsid w:val="00B01779"/>
    <w:rsid w:val="00B0273E"/>
    <w:rsid w:val="00B02C07"/>
    <w:rsid w:val="00B02EE4"/>
    <w:rsid w:val="00B03CF8"/>
    <w:rsid w:val="00B04201"/>
    <w:rsid w:val="00B04957"/>
    <w:rsid w:val="00B05000"/>
    <w:rsid w:val="00B05118"/>
    <w:rsid w:val="00B05235"/>
    <w:rsid w:val="00B06369"/>
    <w:rsid w:val="00B06386"/>
    <w:rsid w:val="00B063EF"/>
    <w:rsid w:val="00B06441"/>
    <w:rsid w:val="00B0657D"/>
    <w:rsid w:val="00B067EB"/>
    <w:rsid w:val="00B06D3E"/>
    <w:rsid w:val="00B07771"/>
    <w:rsid w:val="00B07DFD"/>
    <w:rsid w:val="00B1000C"/>
    <w:rsid w:val="00B10525"/>
    <w:rsid w:val="00B107C0"/>
    <w:rsid w:val="00B10C83"/>
    <w:rsid w:val="00B110EF"/>
    <w:rsid w:val="00B111F4"/>
    <w:rsid w:val="00B11488"/>
    <w:rsid w:val="00B1202A"/>
    <w:rsid w:val="00B12928"/>
    <w:rsid w:val="00B12AD3"/>
    <w:rsid w:val="00B12DD5"/>
    <w:rsid w:val="00B13985"/>
    <w:rsid w:val="00B1419D"/>
    <w:rsid w:val="00B14299"/>
    <w:rsid w:val="00B14717"/>
    <w:rsid w:val="00B14989"/>
    <w:rsid w:val="00B14B1F"/>
    <w:rsid w:val="00B14C04"/>
    <w:rsid w:val="00B1548D"/>
    <w:rsid w:val="00B17F01"/>
    <w:rsid w:val="00B20012"/>
    <w:rsid w:val="00B20655"/>
    <w:rsid w:val="00B2093C"/>
    <w:rsid w:val="00B20AE2"/>
    <w:rsid w:val="00B21864"/>
    <w:rsid w:val="00B218F3"/>
    <w:rsid w:val="00B21D14"/>
    <w:rsid w:val="00B23486"/>
    <w:rsid w:val="00B239C6"/>
    <w:rsid w:val="00B23FA9"/>
    <w:rsid w:val="00B244E5"/>
    <w:rsid w:val="00B2513D"/>
    <w:rsid w:val="00B255E2"/>
    <w:rsid w:val="00B25B42"/>
    <w:rsid w:val="00B25CE0"/>
    <w:rsid w:val="00B26990"/>
    <w:rsid w:val="00B26EA9"/>
    <w:rsid w:val="00B270B0"/>
    <w:rsid w:val="00B2775D"/>
    <w:rsid w:val="00B27B51"/>
    <w:rsid w:val="00B303CD"/>
    <w:rsid w:val="00B31067"/>
    <w:rsid w:val="00B310E1"/>
    <w:rsid w:val="00B31F7F"/>
    <w:rsid w:val="00B3205D"/>
    <w:rsid w:val="00B32AFF"/>
    <w:rsid w:val="00B33186"/>
    <w:rsid w:val="00B34C5E"/>
    <w:rsid w:val="00B36A67"/>
    <w:rsid w:val="00B36C49"/>
    <w:rsid w:val="00B36C89"/>
    <w:rsid w:val="00B36FA6"/>
    <w:rsid w:val="00B376F0"/>
    <w:rsid w:val="00B37842"/>
    <w:rsid w:val="00B4082C"/>
    <w:rsid w:val="00B40CA6"/>
    <w:rsid w:val="00B4129F"/>
    <w:rsid w:val="00B41388"/>
    <w:rsid w:val="00B4149E"/>
    <w:rsid w:val="00B416D0"/>
    <w:rsid w:val="00B41CE9"/>
    <w:rsid w:val="00B4328A"/>
    <w:rsid w:val="00B44AC2"/>
    <w:rsid w:val="00B45437"/>
    <w:rsid w:val="00B455C5"/>
    <w:rsid w:val="00B456CC"/>
    <w:rsid w:val="00B458A3"/>
    <w:rsid w:val="00B45DA7"/>
    <w:rsid w:val="00B4619B"/>
    <w:rsid w:val="00B462B6"/>
    <w:rsid w:val="00B4635D"/>
    <w:rsid w:val="00B46576"/>
    <w:rsid w:val="00B465A9"/>
    <w:rsid w:val="00B469AD"/>
    <w:rsid w:val="00B46BF1"/>
    <w:rsid w:val="00B46D15"/>
    <w:rsid w:val="00B46ED7"/>
    <w:rsid w:val="00B474C3"/>
    <w:rsid w:val="00B474F1"/>
    <w:rsid w:val="00B476DA"/>
    <w:rsid w:val="00B5007E"/>
    <w:rsid w:val="00B504DC"/>
    <w:rsid w:val="00B51A48"/>
    <w:rsid w:val="00B51B1D"/>
    <w:rsid w:val="00B51C3F"/>
    <w:rsid w:val="00B5225E"/>
    <w:rsid w:val="00B5290C"/>
    <w:rsid w:val="00B53152"/>
    <w:rsid w:val="00B53677"/>
    <w:rsid w:val="00B53D20"/>
    <w:rsid w:val="00B53F99"/>
    <w:rsid w:val="00B54B17"/>
    <w:rsid w:val="00B55D2C"/>
    <w:rsid w:val="00B55D68"/>
    <w:rsid w:val="00B570D5"/>
    <w:rsid w:val="00B57307"/>
    <w:rsid w:val="00B574F6"/>
    <w:rsid w:val="00B57582"/>
    <w:rsid w:val="00B57EC8"/>
    <w:rsid w:val="00B6009E"/>
    <w:rsid w:val="00B60EF6"/>
    <w:rsid w:val="00B6135E"/>
    <w:rsid w:val="00B6189C"/>
    <w:rsid w:val="00B61D8C"/>
    <w:rsid w:val="00B626DB"/>
    <w:rsid w:val="00B62C58"/>
    <w:rsid w:val="00B63262"/>
    <w:rsid w:val="00B636E3"/>
    <w:rsid w:val="00B63897"/>
    <w:rsid w:val="00B63BFE"/>
    <w:rsid w:val="00B64170"/>
    <w:rsid w:val="00B642CA"/>
    <w:rsid w:val="00B64762"/>
    <w:rsid w:val="00B64CE4"/>
    <w:rsid w:val="00B64E32"/>
    <w:rsid w:val="00B64F08"/>
    <w:rsid w:val="00B64F14"/>
    <w:rsid w:val="00B653E5"/>
    <w:rsid w:val="00B65869"/>
    <w:rsid w:val="00B65B95"/>
    <w:rsid w:val="00B66622"/>
    <w:rsid w:val="00B66CC2"/>
    <w:rsid w:val="00B66F56"/>
    <w:rsid w:val="00B6716E"/>
    <w:rsid w:val="00B67619"/>
    <w:rsid w:val="00B679B8"/>
    <w:rsid w:val="00B67AD3"/>
    <w:rsid w:val="00B700D3"/>
    <w:rsid w:val="00B703B8"/>
    <w:rsid w:val="00B70963"/>
    <w:rsid w:val="00B71956"/>
    <w:rsid w:val="00B719C9"/>
    <w:rsid w:val="00B728F4"/>
    <w:rsid w:val="00B72DCE"/>
    <w:rsid w:val="00B73130"/>
    <w:rsid w:val="00B733C1"/>
    <w:rsid w:val="00B73CFF"/>
    <w:rsid w:val="00B74809"/>
    <w:rsid w:val="00B7607A"/>
    <w:rsid w:val="00B76B7C"/>
    <w:rsid w:val="00B76BF8"/>
    <w:rsid w:val="00B77015"/>
    <w:rsid w:val="00B77071"/>
    <w:rsid w:val="00B775A6"/>
    <w:rsid w:val="00B80093"/>
    <w:rsid w:val="00B8038B"/>
    <w:rsid w:val="00B80950"/>
    <w:rsid w:val="00B80C3E"/>
    <w:rsid w:val="00B81395"/>
    <w:rsid w:val="00B81707"/>
    <w:rsid w:val="00B81796"/>
    <w:rsid w:val="00B81F40"/>
    <w:rsid w:val="00B833A2"/>
    <w:rsid w:val="00B835C3"/>
    <w:rsid w:val="00B83991"/>
    <w:rsid w:val="00B83CD9"/>
    <w:rsid w:val="00B84A33"/>
    <w:rsid w:val="00B853A9"/>
    <w:rsid w:val="00B858A8"/>
    <w:rsid w:val="00B8648B"/>
    <w:rsid w:val="00B87110"/>
    <w:rsid w:val="00B87115"/>
    <w:rsid w:val="00B8719C"/>
    <w:rsid w:val="00B871E0"/>
    <w:rsid w:val="00B8763B"/>
    <w:rsid w:val="00B877B4"/>
    <w:rsid w:val="00B87A45"/>
    <w:rsid w:val="00B87ECB"/>
    <w:rsid w:val="00B90738"/>
    <w:rsid w:val="00B90F78"/>
    <w:rsid w:val="00B91521"/>
    <w:rsid w:val="00B921B7"/>
    <w:rsid w:val="00B927C2"/>
    <w:rsid w:val="00B92D26"/>
    <w:rsid w:val="00B9302A"/>
    <w:rsid w:val="00B93C31"/>
    <w:rsid w:val="00B9411D"/>
    <w:rsid w:val="00B9436F"/>
    <w:rsid w:val="00B94BC5"/>
    <w:rsid w:val="00B957B3"/>
    <w:rsid w:val="00B95910"/>
    <w:rsid w:val="00B95E32"/>
    <w:rsid w:val="00B962EA"/>
    <w:rsid w:val="00B9697A"/>
    <w:rsid w:val="00B973ED"/>
    <w:rsid w:val="00B97AF6"/>
    <w:rsid w:val="00B97B55"/>
    <w:rsid w:val="00B97E47"/>
    <w:rsid w:val="00BA04B6"/>
    <w:rsid w:val="00BA0AF8"/>
    <w:rsid w:val="00BA0C1D"/>
    <w:rsid w:val="00BA1587"/>
    <w:rsid w:val="00BA3067"/>
    <w:rsid w:val="00BA3078"/>
    <w:rsid w:val="00BA328E"/>
    <w:rsid w:val="00BA37A1"/>
    <w:rsid w:val="00BA3B9F"/>
    <w:rsid w:val="00BA472F"/>
    <w:rsid w:val="00BB0775"/>
    <w:rsid w:val="00BB0EC9"/>
    <w:rsid w:val="00BB169E"/>
    <w:rsid w:val="00BB1C98"/>
    <w:rsid w:val="00BB2680"/>
    <w:rsid w:val="00BB3E7E"/>
    <w:rsid w:val="00BB4216"/>
    <w:rsid w:val="00BB4559"/>
    <w:rsid w:val="00BB46D7"/>
    <w:rsid w:val="00BB4A78"/>
    <w:rsid w:val="00BB53F1"/>
    <w:rsid w:val="00BB5FFF"/>
    <w:rsid w:val="00BB6211"/>
    <w:rsid w:val="00BB6ACB"/>
    <w:rsid w:val="00BB74A0"/>
    <w:rsid w:val="00BC099D"/>
    <w:rsid w:val="00BC1075"/>
    <w:rsid w:val="00BC1483"/>
    <w:rsid w:val="00BC1730"/>
    <w:rsid w:val="00BC2FDD"/>
    <w:rsid w:val="00BC34C5"/>
    <w:rsid w:val="00BC3616"/>
    <w:rsid w:val="00BC42C5"/>
    <w:rsid w:val="00BC4D4B"/>
    <w:rsid w:val="00BC52BF"/>
    <w:rsid w:val="00BC53EB"/>
    <w:rsid w:val="00BC57C7"/>
    <w:rsid w:val="00BC5C5A"/>
    <w:rsid w:val="00BC6D45"/>
    <w:rsid w:val="00BC6EBE"/>
    <w:rsid w:val="00BC7257"/>
    <w:rsid w:val="00BC7831"/>
    <w:rsid w:val="00BC7885"/>
    <w:rsid w:val="00BC7C5F"/>
    <w:rsid w:val="00BD0002"/>
    <w:rsid w:val="00BD0990"/>
    <w:rsid w:val="00BD0A3C"/>
    <w:rsid w:val="00BD21C7"/>
    <w:rsid w:val="00BD2E2B"/>
    <w:rsid w:val="00BD3153"/>
    <w:rsid w:val="00BD3768"/>
    <w:rsid w:val="00BD43B9"/>
    <w:rsid w:val="00BD50C8"/>
    <w:rsid w:val="00BD598D"/>
    <w:rsid w:val="00BD5F41"/>
    <w:rsid w:val="00BD6D9B"/>
    <w:rsid w:val="00BD7EC6"/>
    <w:rsid w:val="00BE09EB"/>
    <w:rsid w:val="00BE0FCE"/>
    <w:rsid w:val="00BE126F"/>
    <w:rsid w:val="00BE1E9C"/>
    <w:rsid w:val="00BE2204"/>
    <w:rsid w:val="00BE25C8"/>
    <w:rsid w:val="00BE2EAD"/>
    <w:rsid w:val="00BE2FE5"/>
    <w:rsid w:val="00BE300C"/>
    <w:rsid w:val="00BE378F"/>
    <w:rsid w:val="00BE3D13"/>
    <w:rsid w:val="00BE4237"/>
    <w:rsid w:val="00BE43D9"/>
    <w:rsid w:val="00BE4F63"/>
    <w:rsid w:val="00BE5D9E"/>
    <w:rsid w:val="00BE671B"/>
    <w:rsid w:val="00BE795B"/>
    <w:rsid w:val="00BE7AA7"/>
    <w:rsid w:val="00BE7E68"/>
    <w:rsid w:val="00BF0AA7"/>
    <w:rsid w:val="00BF0F5D"/>
    <w:rsid w:val="00BF12FB"/>
    <w:rsid w:val="00BF2AF5"/>
    <w:rsid w:val="00BF2FB9"/>
    <w:rsid w:val="00BF30D3"/>
    <w:rsid w:val="00BF3A22"/>
    <w:rsid w:val="00BF3DE8"/>
    <w:rsid w:val="00BF4629"/>
    <w:rsid w:val="00BF4D18"/>
    <w:rsid w:val="00BF54E2"/>
    <w:rsid w:val="00BF562B"/>
    <w:rsid w:val="00BF5F32"/>
    <w:rsid w:val="00BF6C30"/>
    <w:rsid w:val="00BF74BF"/>
    <w:rsid w:val="00BF7564"/>
    <w:rsid w:val="00C00386"/>
    <w:rsid w:val="00C00C7B"/>
    <w:rsid w:val="00C010A0"/>
    <w:rsid w:val="00C01215"/>
    <w:rsid w:val="00C01B00"/>
    <w:rsid w:val="00C01BCE"/>
    <w:rsid w:val="00C02394"/>
    <w:rsid w:val="00C02A5D"/>
    <w:rsid w:val="00C033F3"/>
    <w:rsid w:val="00C037F2"/>
    <w:rsid w:val="00C03959"/>
    <w:rsid w:val="00C03A64"/>
    <w:rsid w:val="00C04743"/>
    <w:rsid w:val="00C04751"/>
    <w:rsid w:val="00C060E8"/>
    <w:rsid w:val="00C069BF"/>
    <w:rsid w:val="00C06BBF"/>
    <w:rsid w:val="00C06C40"/>
    <w:rsid w:val="00C06E48"/>
    <w:rsid w:val="00C06F52"/>
    <w:rsid w:val="00C071B9"/>
    <w:rsid w:val="00C0748A"/>
    <w:rsid w:val="00C07DAD"/>
    <w:rsid w:val="00C10E78"/>
    <w:rsid w:val="00C11257"/>
    <w:rsid w:val="00C11709"/>
    <w:rsid w:val="00C12858"/>
    <w:rsid w:val="00C12C34"/>
    <w:rsid w:val="00C12F1A"/>
    <w:rsid w:val="00C12F6B"/>
    <w:rsid w:val="00C13DB9"/>
    <w:rsid w:val="00C13DCE"/>
    <w:rsid w:val="00C13F16"/>
    <w:rsid w:val="00C1447F"/>
    <w:rsid w:val="00C156A4"/>
    <w:rsid w:val="00C1593A"/>
    <w:rsid w:val="00C15B4B"/>
    <w:rsid w:val="00C16439"/>
    <w:rsid w:val="00C16E20"/>
    <w:rsid w:val="00C16F5E"/>
    <w:rsid w:val="00C172C7"/>
    <w:rsid w:val="00C20312"/>
    <w:rsid w:val="00C20974"/>
    <w:rsid w:val="00C21185"/>
    <w:rsid w:val="00C21F42"/>
    <w:rsid w:val="00C221AB"/>
    <w:rsid w:val="00C222B5"/>
    <w:rsid w:val="00C22D56"/>
    <w:rsid w:val="00C238EF"/>
    <w:rsid w:val="00C23DDF"/>
    <w:rsid w:val="00C24EAC"/>
    <w:rsid w:val="00C251AE"/>
    <w:rsid w:val="00C255BD"/>
    <w:rsid w:val="00C25E69"/>
    <w:rsid w:val="00C267A8"/>
    <w:rsid w:val="00C274E3"/>
    <w:rsid w:val="00C277DB"/>
    <w:rsid w:val="00C31B8E"/>
    <w:rsid w:val="00C31BAB"/>
    <w:rsid w:val="00C32B4B"/>
    <w:rsid w:val="00C3336F"/>
    <w:rsid w:val="00C34569"/>
    <w:rsid w:val="00C34807"/>
    <w:rsid w:val="00C350AB"/>
    <w:rsid w:val="00C351ED"/>
    <w:rsid w:val="00C352AA"/>
    <w:rsid w:val="00C358AE"/>
    <w:rsid w:val="00C359C2"/>
    <w:rsid w:val="00C35BFA"/>
    <w:rsid w:val="00C36B09"/>
    <w:rsid w:val="00C37722"/>
    <w:rsid w:val="00C37A34"/>
    <w:rsid w:val="00C40663"/>
    <w:rsid w:val="00C408A3"/>
    <w:rsid w:val="00C413B2"/>
    <w:rsid w:val="00C415EE"/>
    <w:rsid w:val="00C418DF"/>
    <w:rsid w:val="00C41C98"/>
    <w:rsid w:val="00C41CD5"/>
    <w:rsid w:val="00C420E4"/>
    <w:rsid w:val="00C4215B"/>
    <w:rsid w:val="00C42432"/>
    <w:rsid w:val="00C425D4"/>
    <w:rsid w:val="00C42AB9"/>
    <w:rsid w:val="00C430CB"/>
    <w:rsid w:val="00C43B1C"/>
    <w:rsid w:val="00C43CCA"/>
    <w:rsid w:val="00C4411E"/>
    <w:rsid w:val="00C4489A"/>
    <w:rsid w:val="00C4549E"/>
    <w:rsid w:val="00C459BF"/>
    <w:rsid w:val="00C45BE5"/>
    <w:rsid w:val="00C45EA0"/>
    <w:rsid w:val="00C46368"/>
    <w:rsid w:val="00C467A9"/>
    <w:rsid w:val="00C468A1"/>
    <w:rsid w:val="00C46900"/>
    <w:rsid w:val="00C46E4D"/>
    <w:rsid w:val="00C46FE3"/>
    <w:rsid w:val="00C47852"/>
    <w:rsid w:val="00C47B31"/>
    <w:rsid w:val="00C47DE3"/>
    <w:rsid w:val="00C510CC"/>
    <w:rsid w:val="00C51531"/>
    <w:rsid w:val="00C51E27"/>
    <w:rsid w:val="00C521E5"/>
    <w:rsid w:val="00C52FFE"/>
    <w:rsid w:val="00C534A4"/>
    <w:rsid w:val="00C5378D"/>
    <w:rsid w:val="00C53888"/>
    <w:rsid w:val="00C54162"/>
    <w:rsid w:val="00C54A9D"/>
    <w:rsid w:val="00C54D2B"/>
    <w:rsid w:val="00C558D0"/>
    <w:rsid w:val="00C5695D"/>
    <w:rsid w:val="00C56BB7"/>
    <w:rsid w:val="00C56BC0"/>
    <w:rsid w:val="00C579D2"/>
    <w:rsid w:val="00C57A3A"/>
    <w:rsid w:val="00C57E66"/>
    <w:rsid w:val="00C60175"/>
    <w:rsid w:val="00C60228"/>
    <w:rsid w:val="00C62D23"/>
    <w:rsid w:val="00C62DC5"/>
    <w:rsid w:val="00C62F15"/>
    <w:rsid w:val="00C632A8"/>
    <w:rsid w:val="00C63ACF"/>
    <w:rsid w:val="00C63B8A"/>
    <w:rsid w:val="00C63F64"/>
    <w:rsid w:val="00C650AC"/>
    <w:rsid w:val="00C652AF"/>
    <w:rsid w:val="00C65492"/>
    <w:rsid w:val="00C654BA"/>
    <w:rsid w:val="00C654BF"/>
    <w:rsid w:val="00C65519"/>
    <w:rsid w:val="00C65842"/>
    <w:rsid w:val="00C65CF3"/>
    <w:rsid w:val="00C66144"/>
    <w:rsid w:val="00C66DFB"/>
    <w:rsid w:val="00C6713C"/>
    <w:rsid w:val="00C674E2"/>
    <w:rsid w:val="00C6759E"/>
    <w:rsid w:val="00C67E59"/>
    <w:rsid w:val="00C70009"/>
    <w:rsid w:val="00C70169"/>
    <w:rsid w:val="00C70D8F"/>
    <w:rsid w:val="00C71081"/>
    <w:rsid w:val="00C7275F"/>
    <w:rsid w:val="00C739FD"/>
    <w:rsid w:val="00C73C94"/>
    <w:rsid w:val="00C73E83"/>
    <w:rsid w:val="00C74295"/>
    <w:rsid w:val="00C7570A"/>
    <w:rsid w:val="00C75A04"/>
    <w:rsid w:val="00C75AAE"/>
    <w:rsid w:val="00C76535"/>
    <w:rsid w:val="00C769B3"/>
    <w:rsid w:val="00C76A5F"/>
    <w:rsid w:val="00C76C45"/>
    <w:rsid w:val="00C76E79"/>
    <w:rsid w:val="00C76EA1"/>
    <w:rsid w:val="00C77339"/>
    <w:rsid w:val="00C77C75"/>
    <w:rsid w:val="00C806C8"/>
    <w:rsid w:val="00C806EA"/>
    <w:rsid w:val="00C81572"/>
    <w:rsid w:val="00C81F8A"/>
    <w:rsid w:val="00C82D25"/>
    <w:rsid w:val="00C82FE8"/>
    <w:rsid w:val="00C83246"/>
    <w:rsid w:val="00C83380"/>
    <w:rsid w:val="00C83BA9"/>
    <w:rsid w:val="00C83D33"/>
    <w:rsid w:val="00C841EB"/>
    <w:rsid w:val="00C84FE4"/>
    <w:rsid w:val="00C85327"/>
    <w:rsid w:val="00C85CEF"/>
    <w:rsid w:val="00C8602E"/>
    <w:rsid w:val="00C87820"/>
    <w:rsid w:val="00C87DC2"/>
    <w:rsid w:val="00C87EA9"/>
    <w:rsid w:val="00C90AC6"/>
    <w:rsid w:val="00C912BA"/>
    <w:rsid w:val="00C926FE"/>
    <w:rsid w:val="00C927C0"/>
    <w:rsid w:val="00C92A9E"/>
    <w:rsid w:val="00C93455"/>
    <w:rsid w:val="00C9353C"/>
    <w:rsid w:val="00C93B5C"/>
    <w:rsid w:val="00C94AD0"/>
    <w:rsid w:val="00C95C3B"/>
    <w:rsid w:val="00C9673C"/>
    <w:rsid w:val="00C969EB"/>
    <w:rsid w:val="00C9710A"/>
    <w:rsid w:val="00C97A26"/>
    <w:rsid w:val="00CA063E"/>
    <w:rsid w:val="00CA1A94"/>
    <w:rsid w:val="00CA2481"/>
    <w:rsid w:val="00CA37AC"/>
    <w:rsid w:val="00CA3A03"/>
    <w:rsid w:val="00CA3B67"/>
    <w:rsid w:val="00CA3EB4"/>
    <w:rsid w:val="00CA45CA"/>
    <w:rsid w:val="00CA4877"/>
    <w:rsid w:val="00CA4BC6"/>
    <w:rsid w:val="00CA4D66"/>
    <w:rsid w:val="00CA556C"/>
    <w:rsid w:val="00CA5767"/>
    <w:rsid w:val="00CA593E"/>
    <w:rsid w:val="00CA6758"/>
    <w:rsid w:val="00CA7000"/>
    <w:rsid w:val="00CA702B"/>
    <w:rsid w:val="00CA76E1"/>
    <w:rsid w:val="00CA7B1E"/>
    <w:rsid w:val="00CA7FE2"/>
    <w:rsid w:val="00CB0938"/>
    <w:rsid w:val="00CB172C"/>
    <w:rsid w:val="00CB1950"/>
    <w:rsid w:val="00CB1BBB"/>
    <w:rsid w:val="00CB2148"/>
    <w:rsid w:val="00CB21D8"/>
    <w:rsid w:val="00CB2FD1"/>
    <w:rsid w:val="00CB33C5"/>
    <w:rsid w:val="00CB3B6F"/>
    <w:rsid w:val="00CB4EA5"/>
    <w:rsid w:val="00CB5AA3"/>
    <w:rsid w:val="00CB5E3F"/>
    <w:rsid w:val="00CB61A3"/>
    <w:rsid w:val="00CB63D2"/>
    <w:rsid w:val="00CB6825"/>
    <w:rsid w:val="00CB696A"/>
    <w:rsid w:val="00CB74B3"/>
    <w:rsid w:val="00CC07D6"/>
    <w:rsid w:val="00CC09C3"/>
    <w:rsid w:val="00CC101B"/>
    <w:rsid w:val="00CC136D"/>
    <w:rsid w:val="00CC1C08"/>
    <w:rsid w:val="00CC1CBF"/>
    <w:rsid w:val="00CC1FA8"/>
    <w:rsid w:val="00CC2AAA"/>
    <w:rsid w:val="00CC2F81"/>
    <w:rsid w:val="00CC4699"/>
    <w:rsid w:val="00CC47C7"/>
    <w:rsid w:val="00CC4B86"/>
    <w:rsid w:val="00CC4BF5"/>
    <w:rsid w:val="00CC4E82"/>
    <w:rsid w:val="00CC513A"/>
    <w:rsid w:val="00CC5164"/>
    <w:rsid w:val="00CC62ED"/>
    <w:rsid w:val="00CC66AB"/>
    <w:rsid w:val="00CC7695"/>
    <w:rsid w:val="00CD030D"/>
    <w:rsid w:val="00CD048A"/>
    <w:rsid w:val="00CD05AD"/>
    <w:rsid w:val="00CD066C"/>
    <w:rsid w:val="00CD0A12"/>
    <w:rsid w:val="00CD0C79"/>
    <w:rsid w:val="00CD1CD4"/>
    <w:rsid w:val="00CD229E"/>
    <w:rsid w:val="00CD2D38"/>
    <w:rsid w:val="00CD3012"/>
    <w:rsid w:val="00CD30B0"/>
    <w:rsid w:val="00CD3577"/>
    <w:rsid w:val="00CD3807"/>
    <w:rsid w:val="00CD3B88"/>
    <w:rsid w:val="00CD4F8C"/>
    <w:rsid w:val="00CD5967"/>
    <w:rsid w:val="00CD714A"/>
    <w:rsid w:val="00CD7B0B"/>
    <w:rsid w:val="00CE0272"/>
    <w:rsid w:val="00CE0FB6"/>
    <w:rsid w:val="00CE15DA"/>
    <w:rsid w:val="00CE2065"/>
    <w:rsid w:val="00CE2D98"/>
    <w:rsid w:val="00CE3734"/>
    <w:rsid w:val="00CE4632"/>
    <w:rsid w:val="00CE472F"/>
    <w:rsid w:val="00CE487D"/>
    <w:rsid w:val="00CE649E"/>
    <w:rsid w:val="00CE65D1"/>
    <w:rsid w:val="00CE6A81"/>
    <w:rsid w:val="00CE6E5C"/>
    <w:rsid w:val="00CE6FBB"/>
    <w:rsid w:val="00CE7ACB"/>
    <w:rsid w:val="00CE7B6B"/>
    <w:rsid w:val="00CE7D89"/>
    <w:rsid w:val="00CE7DA2"/>
    <w:rsid w:val="00CE7FC6"/>
    <w:rsid w:val="00CF0217"/>
    <w:rsid w:val="00CF06ED"/>
    <w:rsid w:val="00CF135C"/>
    <w:rsid w:val="00CF166B"/>
    <w:rsid w:val="00CF1C78"/>
    <w:rsid w:val="00CF2265"/>
    <w:rsid w:val="00CF24E3"/>
    <w:rsid w:val="00CF2854"/>
    <w:rsid w:val="00CF2E6A"/>
    <w:rsid w:val="00CF3372"/>
    <w:rsid w:val="00CF515E"/>
    <w:rsid w:val="00CF560C"/>
    <w:rsid w:val="00CF5622"/>
    <w:rsid w:val="00CF5773"/>
    <w:rsid w:val="00CF5D1C"/>
    <w:rsid w:val="00CF5F36"/>
    <w:rsid w:val="00CF6225"/>
    <w:rsid w:val="00CF6908"/>
    <w:rsid w:val="00CF72F4"/>
    <w:rsid w:val="00CF73B4"/>
    <w:rsid w:val="00CF7C35"/>
    <w:rsid w:val="00D00204"/>
    <w:rsid w:val="00D00402"/>
    <w:rsid w:val="00D00561"/>
    <w:rsid w:val="00D00BEE"/>
    <w:rsid w:val="00D00CB7"/>
    <w:rsid w:val="00D0103D"/>
    <w:rsid w:val="00D011B5"/>
    <w:rsid w:val="00D0291B"/>
    <w:rsid w:val="00D0304B"/>
    <w:rsid w:val="00D030BD"/>
    <w:rsid w:val="00D036D5"/>
    <w:rsid w:val="00D045E7"/>
    <w:rsid w:val="00D05CFF"/>
    <w:rsid w:val="00D05FC5"/>
    <w:rsid w:val="00D06391"/>
    <w:rsid w:val="00D063DB"/>
    <w:rsid w:val="00D06A8F"/>
    <w:rsid w:val="00D07336"/>
    <w:rsid w:val="00D07D2F"/>
    <w:rsid w:val="00D10761"/>
    <w:rsid w:val="00D10E8B"/>
    <w:rsid w:val="00D11A2E"/>
    <w:rsid w:val="00D12277"/>
    <w:rsid w:val="00D12713"/>
    <w:rsid w:val="00D12B27"/>
    <w:rsid w:val="00D131C8"/>
    <w:rsid w:val="00D1321A"/>
    <w:rsid w:val="00D132A7"/>
    <w:rsid w:val="00D14D0D"/>
    <w:rsid w:val="00D14E2E"/>
    <w:rsid w:val="00D15150"/>
    <w:rsid w:val="00D1680C"/>
    <w:rsid w:val="00D1743A"/>
    <w:rsid w:val="00D1771E"/>
    <w:rsid w:val="00D17C3F"/>
    <w:rsid w:val="00D17CE0"/>
    <w:rsid w:val="00D20371"/>
    <w:rsid w:val="00D205CB"/>
    <w:rsid w:val="00D22546"/>
    <w:rsid w:val="00D22593"/>
    <w:rsid w:val="00D230A6"/>
    <w:rsid w:val="00D23700"/>
    <w:rsid w:val="00D239D5"/>
    <w:rsid w:val="00D23CBB"/>
    <w:rsid w:val="00D2497C"/>
    <w:rsid w:val="00D25041"/>
    <w:rsid w:val="00D2552E"/>
    <w:rsid w:val="00D25B09"/>
    <w:rsid w:val="00D25E3A"/>
    <w:rsid w:val="00D25F82"/>
    <w:rsid w:val="00D263C9"/>
    <w:rsid w:val="00D26F03"/>
    <w:rsid w:val="00D278A5"/>
    <w:rsid w:val="00D27D8B"/>
    <w:rsid w:val="00D27DE5"/>
    <w:rsid w:val="00D3055E"/>
    <w:rsid w:val="00D305AB"/>
    <w:rsid w:val="00D3186E"/>
    <w:rsid w:val="00D32C5E"/>
    <w:rsid w:val="00D3328E"/>
    <w:rsid w:val="00D333E4"/>
    <w:rsid w:val="00D33651"/>
    <w:rsid w:val="00D33695"/>
    <w:rsid w:val="00D336F4"/>
    <w:rsid w:val="00D339CA"/>
    <w:rsid w:val="00D33D19"/>
    <w:rsid w:val="00D3431B"/>
    <w:rsid w:val="00D34B0D"/>
    <w:rsid w:val="00D35114"/>
    <w:rsid w:val="00D3514A"/>
    <w:rsid w:val="00D358B2"/>
    <w:rsid w:val="00D35A0D"/>
    <w:rsid w:val="00D35F89"/>
    <w:rsid w:val="00D3647C"/>
    <w:rsid w:val="00D36DBD"/>
    <w:rsid w:val="00D37403"/>
    <w:rsid w:val="00D41305"/>
    <w:rsid w:val="00D41480"/>
    <w:rsid w:val="00D41A16"/>
    <w:rsid w:val="00D4358E"/>
    <w:rsid w:val="00D441CE"/>
    <w:rsid w:val="00D4432E"/>
    <w:rsid w:val="00D45CB7"/>
    <w:rsid w:val="00D4643B"/>
    <w:rsid w:val="00D47535"/>
    <w:rsid w:val="00D47AD8"/>
    <w:rsid w:val="00D47E56"/>
    <w:rsid w:val="00D501D7"/>
    <w:rsid w:val="00D51AEC"/>
    <w:rsid w:val="00D51ECA"/>
    <w:rsid w:val="00D52E50"/>
    <w:rsid w:val="00D52E77"/>
    <w:rsid w:val="00D53307"/>
    <w:rsid w:val="00D5356B"/>
    <w:rsid w:val="00D53CFF"/>
    <w:rsid w:val="00D5569E"/>
    <w:rsid w:val="00D55778"/>
    <w:rsid w:val="00D557DF"/>
    <w:rsid w:val="00D5602B"/>
    <w:rsid w:val="00D5635C"/>
    <w:rsid w:val="00D56385"/>
    <w:rsid w:val="00D56591"/>
    <w:rsid w:val="00D567F1"/>
    <w:rsid w:val="00D571B0"/>
    <w:rsid w:val="00D574FB"/>
    <w:rsid w:val="00D57556"/>
    <w:rsid w:val="00D57885"/>
    <w:rsid w:val="00D602FA"/>
    <w:rsid w:val="00D60DB0"/>
    <w:rsid w:val="00D61086"/>
    <w:rsid w:val="00D616F7"/>
    <w:rsid w:val="00D619B0"/>
    <w:rsid w:val="00D624CB"/>
    <w:rsid w:val="00D6254B"/>
    <w:rsid w:val="00D62659"/>
    <w:rsid w:val="00D62C5C"/>
    <w:rsid w:val="00D63596"/>
    <w:rsid w:val="00D635A5"/>
    <w:rsid w:val="00D646A6"/>
    <w:rsid w:val="00D647E8"/>
    <w:rsid w:val="00D652AA"/>
    <w:rsid w:val="00D65645"/>
    <w:rsid w:val="00D65D15"/>
    <w:rsid w:val="00D6675D"/>
    <w:rsid w:val="00D67989"/>
    <w:rsid w:val="00D70500"/>
    <w:rsid w:val="00D70709"/>
    <w:rsid w:val="00D70E7A"/>
    <w:rsid w:val="00D7104C"/>
    <w:rsid w:val="00D729D4"/>
    <w:rsid w:val="00D73143"/>
    <w:rsid w:val="00D734C5"/>
    <w:rsid w:val="00D740B1"/>
    <w:rsid w:val="00D745D7"/>
    <w:rsid w:val="00D75554"/>
    <w:rsid w:val="00D7556E"/>
    <w:rsid w:val="00D7626D"/>
    <w:rsid w:val="00D76DEC"/>
    <w:rsid w:val="00D77546"/>
    <w:rsid w:val="00D778E3"/>
    <w:rsid w:val="00D80284"/>
    <w:rsid w:val="00D806E1"/>
    <w:rsid w:val="00D81121"/>
    <w:rsid w:val="00D8166C"/>
    <w:rsid w:val="00D8211A"/>
    <w:rsid w:val="00D824FC"/>
    <w:rsid w:val="00D82656"/>
    <w:rsid w:val="00D83643"/>
    <w:rsid w:val="00D8399A"/>
    <w:rsid w:val="00D83B4F"/>
    <w:rsid w:val="00D84398"/>
    <w:rsid w:val="00D84C8F"/>
    <w:rsid w:val="00D86330"/>
    <w:rsid w:val="00D87B38"/>
    <w:rsid w:val="00D90572"/>
    <w:rsid w:val="00D90ACF"/>
    <w:rsid w:val="00D9106E"/>
    <w:rsid w:val="00D9162F"/>
    <w:rsid w:val="00D91C4C"/>
    <w:rsid w:val="00D921A7"/>
    <w:rsid w:val="00D92395"/>
    <w:rsid w:val="00D92830"/>
    <w:rsid w:val="00D92BF3"/>
    <w:rsid w:val="00D93A86"/>
    <w:rsid w:val="00D93FF2"/>
    <w:rsid w:val="00D94B0F"/>
    <w:rsid w:val="00D94C94"/>
    <w:rsid w:val="00D95731"/>
    <w:rsid w:val="00D95A04"/>
    <w:rsid w:val="00D95D23"/>
    <w:rsid w:val="00D96220"/>
    <w:rsid w:val="00D96D34"/>
    <w:rsid w:val="00D97121"/>
    <w:rsid w:val="00D971DC"/>
    <w:rsid w:val="00D972B8"/>
    <w:rsid w:val="00DA047B"/>
    <w:rsid w:val="00DA048F"/>
    <w:rsid w:val="00DA2DDD"/>
    <w:rsid w:val="00DA31AE"/>
    <w:rsid w:val="00DA3AC0"/>
    <w:rsid w:val="00DA5588"/>
    <w:rsid w:val="00DA5AA7"/>
    <w:rsid w:val="00DA69A9"/>
    <w:rsid w:val="00DA69F2"/>
    <w:rsid w:val="00DA6B29"/>
    <w:rsid w:val="00DA745B"/>
    <w:rsid w:val="00DA7872"/>
    <w:rsid w:val="00DA7BDE"/>
    <w:rsid w:val="00DB036A"/>
    <w:rsid w:val="00DB04B4"/>
    <w:rsid w:val="00DB0692"/>
    <w:rsid w:val="00DB14A2"/>
    <w:rsid w:val="00DB1AD8"/>
    <w:rsid w:val="00DB2A85"/>
    <w:rsid w:val="00DB384F"/>
    <w:rsid w:val="00DB3B20"/>
    <w:rsid w:val="00DB3EDF"/>
    <w:rsid w:val="00DB4340"/>
    <w:rsid w:val="00DB4F40"/>
    <w:rsid w:val="00DB5900"/>
    <w:rsid w:val="00DB5C78"/>
    <w:rsid w:val="00DB6003"/>
    <w:rsid w:val="00DB6EE5"/>
    <w:rsid w:val="00DB75A3"/>
    <w:rsid w:val="00DB75A9"/>
    <w:rsid w:val="00DB787F"/>
    <w:rsid w:val="00DB7ACB"/>
    <w:rsid w:val="00DC01DA"/>
    <w:rsid w:val="00DC0920"/>
    <w:rsid w:val="00DC0B50"/>
    <w:rsid w:val="00DC2D54"/>
    <w:rsid w:val="00DC3EAC"/>
    <w:rsid w:val="00DC430C"/>
    <w:rsid w:val="00DC4A41"/>
    <w:rsid w:val="00DC50AD"/>
    <w:rsid w:val="00DC595B"/>
    <w:rsid w:val="00DC6843"/>
    <w:rsid w:val="00DC68AA"/>
    <w:rsid w:val="00DC70D2"/>
    <w:rsid w:val="00DC7C1D"/>
    <w:rsid w:val="00DC7ED4"/>
    <w:rsid w:val="00DD06AF"/>
    <w:rsid w:val="00DD09CC"/>
    <w:rsid w:val="00DD0B57"/>
    <w:rsid w:val="00DD0D6F"/>
    <w:rsid w:val="00DD1055"/>
    <w:rsid w:val="00DD1796"/>
    <w:rsid w:val="00DD1949"/>
    <w:rsid w:val="00DD29CD"/>
    <w:rsid w:val="00DD2EA7"/>
    <w:rsid w:val="00DD3A28"/>
    <w:rsid w:val="00DD3C0C"/>
    <w:rsid w:val="00DD3C7D"/>
    <w:rsid w:val="00DD52F6"/>
    <w:rsid w:val="00DD6302"/>
    <w:rsid w:val="00DD65BC"/>
    <w:rsid w:val="00DD6691"/>
    <w:rsid w:val="00DD7795"/>
    <w:rsid w:val="00DE11EC"/>
    <w:rsid w:val="00DE1724"/>
    <w:rsid w:val="00DE1813"/>
    <w:rsid w:val="00DE1A12"/>
    <w:rsid w:val="00DE2D3D"/>
    <w:rsid w:val="00DE2D60"/>
    <w:rsid w:val="00DE309E"/>
    <w:rsid w:val="00DE3779"/>
    <w:rsid w:val="00DE4252"/>
    <w:rsid w:val="00DE5065"/>
    <w:rsid w:val="00DE5226"/>
    <w:rsid w:val="00DE687B"/>
    <w:rsid w:val="00DE7CA9"/>
    <w:rsid w:val="00DE7D78"/>
    <w:rsid w:val="00DE7DDE"/>
    <w:rsid w:val="00DF0251"/>
    <w:rsid w:val="00DF10D1"/>
    <w:rsid w:val="00DF129D"/>
    <w:rsid w:val="00DF1DB5"/>
    <w:rsid w:val="00DF1FDD"/>
    <w:rsid w:val="00DF2B1A"/>
    <w:rsid w:val="00DF2B63"/>
    <w:rsid w:val="00DF31BB"/>
    <w:rsid w:val="00DF3991"/>
    <w:rsid w:val="00DF39A0"/>
    <w:rsid w:val="00DF3CB1"/>
    <w:rsid w:val="00DF4624"/>
    <w:rsid w:val="00DF4701"/>
    <w:rsid w:val="00DF4BB2"/>
    <w:rsid w:val="00DF4F11"/>
    <w:rsid w:val="00DF5114"/>
    <w:rsid w:val="00DF683E"/>
    <w:rsid w:val="00DF6C5D"/>
    <w:rsid w:val="00E001D4"/>
    <w:rsid w:val="00E0083C"/>
    <w:rsid w:val="00E01381"/>
    <w:rsid w:val="00E01C63"/>
    <w:rsid w:val="00E0303D"/>
    <w:rsid w:val="00E03210"/>
    <w:rsid w:val="00E03ADA"/>
    <w:rsid w:val="00E03EA3"/>
    <w:rsid w:val="00E04055"/>
    <w:rsid w:val="00E04246"/>
    <w:rsid w:val="00E04DA3"/>
    <w:rsid w:val="00E04EC2"/>
    <w:rsid w:val="00E04F1A"/>
    <w:rsid w:val="00E0519D"/>
    <w:rsid w:val="00E051B7"/>
    <w:rsid w:val="00E056D8"/>
    <w:rsid w:val="00E05D29"/>
    <w:rsid w:val="00E06433"/>
    <w:rsid w:val="00E06A77"/>
    <w:rsid w:val="00E070F4"/>
    <w:rsid w:val="00E10033"/>
    <w:rsid w:val="00E1006A"/>
    <w:rsid w:val="00E104C6"/>
    <w:rsid w:val="00E10794"/>
    <w:rsid w:val="00E10F55"/>
    <w:rsid w:val="00E115DB"/>
    <w:rsid w:val="00E11638"/>
    <w:rsid w:val="00E11908"/>
    <w:rsid w:val="00E119C9"/>
    <w:rsid w:val="00E12C76"/>
    <w:rsid w:val="00E1379C"/>
    <w:rsid w:val="00E14B6A"/>
    <w:rsid w:val="00E15117"/>
    <w:rsid w:val="00E151EB"/>
    <w:rsid w:val="00E15C69"/>
    <w:rsid w:val="00E1608C"/>
    <w:rsid w:val="00E16267"/>
    <w:rsid w:val="00E173D4"/>
    <w:rsid w:val="00E175A6"/>
    <w:rsid w:val="00E1787D"/>
    <w:rsid w:val="00E17D8A"/>
    <w:rsid w:val="00E17EB7"/>
    <w:rsid w:val="00E20429"/>
    <w:rsid w:val="00E20465"/>
    <w:rsid w:val="00E20642"/>
    <w:rsid w:val="00E206DC"/>
    <w:rsid w:val="00E207A2"/>
    <w:rsid w:val="00E21863"/>
    <w:rsid w:val="00E221C1"/>
    <w:rsid w:val="00E22A6C"/>
    <w:rsid w:val="00E23BC4"/>
    <w:rsid w:val="00E23BFC"/>
    <w:rsid w:val="00E2432A"/>
    <w:rsid w:val="00E24E17"/>
    <w:rsid w:val="00E25186"/>
    <w:rsid w:val="00E256C6"/>
    <w:rsid w:val="00E2589B"/>
    <w:rsid w:val="00E26293"/>
    <w:rsid w:val="00E26310"/>
    <w:rsid w:val="00E26843"/>
    <w:rsid w:val="00E26894"/>
    <w:rsid w:val="00E26D3E"/>
    <w:rsid w:val="00E26F26"/>
    <w:rsid w:val="00E26FBF"/>
    <w:rsid w:val="00E2725C"/>
    <w:rsid w:val="00E272EF"/>
    <w:rsid w:val="00E273FA"/>
    <w:rsid w:val="00E27A4B"/>
    <w:rsid w:val="00E3008E"/>
    <w:rsid w:val="00E300AA"/>
    <w:rsid w:val="00E303A8"/>
    <w:rsid w:val="00E30A6E"/>
    <w:rsid w:val="00E30D7D"/>
    <w:rsid w:val="00E31F14"/>
    <w:rsid w:val="00E32642"/>
    <w:rsid w:val="00E329EB"/>
    <w:rsid w:val="00E32AC0"/>
    <w:rsid w:val="00E32D34"/>
    <w:rsid w:val="00E330F3"/>
    <w:rsid w:val="00E33E89"/>
    <w:rsid w:val="00E342DB"/>
    <w:rsid w:val="00E3462B"/>
    <w:rsid w:val="00E34E72"/>
    <w:rsid w:val="00E3688F"/>
    <w:rsid w:val="00E368FA"/>
    <w:rsid w:val="00E36AE8"/>
    <w:rsid w:val="00E36E13"/>
    <w:rsid w:val="00E36FBB"/>
    <w:rsid w:val="00E37649"/>
    <w:rsid w:val="00E37B6D"/>
    <w:rsid w:val="00E42AFC"/>
    <w:rsid w:val="00E42B09"/>
    <w:rsid w:val="00E43453"/>
    <w:rsid w:val="00E436EA"/>
    <w:rsid w:val="00E44746"/>
    <w:rsid w:val="00E44C61"/>
    <w:rsid w:val="00E45520"/>
    <w:rsid w:val="00E458B7"/>
    <w:rsid w:val="00E45AA8"/>
    <w:rsid w:val="00E45EB6"/>
    <w:rsid w:val="00E4612D"/>
    <w:rsid w:val="00E46410"/>
    <w:rsid w:val="00E465F0"/>
    <w:rsid w:val="00E468FA"/>
    <w:rsid w:val="00E46F81"/>
    <w:rsid w:val="00E47042"/>
    <w:rsid w:val="00E472CE"/>
    <w:rsid w:val="00E47BBA"/>
    <w:rsid w:val="00E505BE"/>
    <w:rsid w:val="00E50A7E"/>
    <w:rsid w:val="00E50F08"/>
    <w:rsid w:val="00E515AC"/>
    <w:rsid w:val="00E516DF"/>
    <w:rsid w:val="00E51C20"/>
    <w:rsid w:val="00E525FD"/>
    <w:rsid w:val="00E52E0A"/>
    <w:rsid w:val="00E52F70"/>
    <w:rsid w:val="00E54172"/>
    <w:rsid w:val="00E546F1"/>
    <w:rsid w:val="00E553B6"/>
    <w:rsid w:val="00E55B23"/>
    <w:rsid w:val="00E55F0F"/>
    <w:rsid w:val="00E561B9"/>
    <w:rsid w:val="00E56231"/>
    <w:rsid w:val="00E56ED5"/>
    <w:rsid w:val="00E5791F"/>
    <w:rsid w:val="00E57A08"/>
    <w:rsid w:val="00E57F87"/>
    <w:rsid w:val="00E60A2E"/>
    <w:rsid w:val="00E60B0E"/>
    <w:rsid w:val="00E60CC1"/>
    <w:rsid w:val="00E61126"/>
    <w:rsid w:val="00E6143D"/>
    <w:rsid w:val="00E61734"/>
    <w:rsid w:val="00E61B9A"/>
    <w:rsid w:val="00E61C4C"/>
    <w:rsid w:val="00E61EAB"/>
    <w:rsid w:val="00E62230"/>
    <w:rsid w:val="00E62524"/>
    <w:rsid w:val="00E627D0"/>
    <w:rsid w:val="00E63718"/>
    <w:rsid w:val="00E63C35"/>
    <w:rsid w:val="00E64636"/>
    <w:rsid w:val="00E6491C"/>
    <w:rsid w:val="00E6523B"/>
    <w:rsid w:val="00E653D7"/>
    <w:rsid w:val="00E660EA"/>
    <w:rsid w:val="00E67262"/>
    <w:rsid w:val="00E67AC6"/>
    <w:rsid w:val="00E70198"/>
    <w:rsid w:val="00E70A3B"/>
    <w:rsid w:val="00E70C11"/>
    <w:rsid w:val="00E70EF2"/>
    <w:rsid w:val="00E71250"/>
    <w:rsid w:val="00E713C4"/>
    <w:rsid w:val="00E71407"/>
    <w:rsid w:val="00E722BC"/>
    <w:rsid w:val="00E72357"/>
    <w:rsid w:val="00E72412"/>
    <w:rsid w:val="00E724F9"/>
    <w:rsid w:val="00E72659"/>
    <w:rsid w:val="00E726A7"/>
    <w:rsid w:val="00E72754"/>
    <w:rsid w:val="00E727B4"/>
    <w:rsid w:val="00E72858"/>
    <w:rsid w:val="00E729EE"/>
    <w:rsid w:val="00E72A0B"/>
    <w:rsid w:val="00E72D9F"/>
    <w:rsid w:val="00E7362B"/>
    <w:rsid w:val="00E736DE"/>
    <w:rsid w:val="00E744D7"/>
    <w:rsid w:val="00E744FE"/>
    <w:rsid w:val="00E7554A"/>
    <w:rsid w:val="00E755C3"/>
    <w:rsid w:val="00E7625A"/>
    <w:rsid w:val="00E76B25"/>
    <w:rsid w:val="00E770F2"/>
    <w:rsid w:val="00E7767A"/>
    <w:rsid w:val="00E77709"/>
    <w:rsid w:val="00E77C6A"/>
    <w:rsid w:val="00E80109"/>
    <w:rsid w:val="00E80405"/>
    <w:rsid w:val="00E8069C"/>
    <w:rsid w:val="00E80970"/>
    <w:rsid w:val="00E80E52"/>
    <w:rsid w:val="00E81323"/>
    <w:rsid w:val="00E827DE"/>
    <w:rsid w:val="00E8332B"/>
    <w:rsid w:val="00E83637"/>
    <w:rsid w:val="00E83BF9"/>
    <w:rsid w:val="00E84F8E"/>
    <w:rsid w:val="00E85019"/>
    <w:rsid w:val="00E85156"/>
    <w:rsid w:val="00E85205"/>
    <w:rsid w:val="00E8599B"/>
    <w:rsid w:val="00E86004"/>
    <w:rsid w:val="00E861C0"/>
    <w:rsid w:val="00E86389"/>
    <w:rsid w:val="00E86793"/>
    <w:rsid w:val="00E86A29"/>
    <w:rsid w:val="00E871AF"/>
    <w:rsid w:val="00E90041"/>
    <w:rsid w:val="00E90C14"/>
    <w:rsid w:val="00E90DC9"/>
    <w:rsid w:val="00E9118E"/>
    <w:rsid w:val="00E91705"/>
    <w:rsid w:val="00E9187A"/>
    <w:rsid w:val="00E92342"/>
    <w:rsid w:val="00E9291D"/>
    <w:rsid w:val="00E93CCC"/>
    <w:rsid w:val="00E940D2"/>
    <w:rsid w:val="00E94940"/>
    <w:rsid w:val="00E94A80"/>
    <w:rsid w:val="00E94F04"/>
    <w:rsid w:val="00E952AA"/>
    <w:rsid w:val="00E958DE"/>
    <w:rsid w:val="00E95B64"/>
    <w:rsid w:val="00E95B9B"/>
    <w:rsid w:val="00E96C91"/>
    <w:rsid w:val="00E97535"/>
    <w:rsid w:val="00E97802"/>
    <w:rsid w:val="00E97C77"/>
    <w:rsid w:val="00EA0748"/>
    <w:rsid w:val="00EA0812"/>
    <w:rsid w:val="00EA0EE8"/>
    <w:rsid w:val="00EA1625"/>
    <w:rsid w:val="00EA1B47"/>
    <w:rsid w:val="00EA2004"/>
    <w:rsid w:val="00EA2047"/>
    <w:rsid w:val="00EA212A"/>
    <w:rsid w:val="00EA2133"/>
    <w:rsid w:val="00EA351F"/>
    <w:rsid w:val="00EA3E31"/>
    <w:rsid w:val="00EA4102"/>
    <w:rsid w:val="00EA422F"/>
    <w:rsid w:val="00EA44CC"/>
    <w:rsid w:val="00EA4BD2"/>
    <w:rsid w:val="00EA4DFD"/>
    <w:rsid w:val="00EA6143"/>
    <w:rsid w:val="00EA656F"/>
    <w:rsid w:val="00EA68D7"/>
    <w:rsid w:val="00EA6E90"/>
    <w:rsid w:val="00EA7116"/>
    <w:rsid w:val="00EA7A93"/>
    <w:rsid w:val="00EA7D60"/>
    <w:rsid w:val="00EB0414"/>
    <w:rsid w:val="00EB0F49"/>
    <w:rsid w:val="00EB0FFD"/>
    <w:rsid w:val="00EB135E"/>
    <w:rsid w:val="00EB1C91"/>
    <w:rsid w:val="00EB268F"/>
    <w:rsid w:val="00EB2995"/>
    <w:rsid w:val="00EB29E0"/>
    <w:rsid w:val="00EB2F2F"/>
    <w:rsid w:val="00EB376A"/>
    <w:rsid w:val="00EB37B6"/>
    <w:rsid w:val="00EB3964"/>
    <w:rsid w:val="00EB4752"/>
    <w:rsid w:val="00EB557B"/>
    <w:rsid w:val="00EB5679"/>
    <w:rsid w:val="00EB5ED4"/>
    <w:rsid w:val="00EB6436"/>
    <w:rsid w:val="00EB65D3"/>
    <w:rsid w:val="00EB7478"/>
    <w:rsid w:val="00EB764E"/>
    <w:rsid w:val="00EC084B"/>
    <w:rsid w:val="00EC092D"/>
    <w:rsid w:val="00EC0C97"/>
    <w:rsid w:val="00EC247E"/>
    <w:rsid w:val="00EC3710"/>
    <w:rsid w:val="00EC3E2A"/>
    <w:rsid w:val="00EC43A3"/>
    <w:rsid w:val="00EC4565"/>
    <w:rsid w:val="00EC4AED"/>
    <w:rsid w:val="00EC4EE8"/>
    <w:rsid w:val="00EC5414"/>
    <w:rsid w:val="00EC5573"/>
    <w:rsid w:val="00EC5BE5"/>
    <w:rsid w:val="00EC6D27"/>
    <w:rsid w:val="00EC7D36"/>
    <w:rsid w:val="00ED08D6"/>
    <w:rsid w:val="00ED09C3"/>
    <w:rsid w:val="00ED0CC0"/>
    <w:rsid w:val="00ED0D4B"/>
    <w:rsid w:val="00ED195E"/>
    <w:rsid w:val="00ED21CD"/>
    <w:rsid w:val="00ED28C9"/>
    <w:rsid w:val="00ED2A9F"/>
    <w:rsid w:val="00ED2B65"/>
    <w:rsid w:val="00ED31E5"/>
    <w:rsid w:val="00ED34EB"/>
    <w:rsid w:val="00ED458F"/>
    <w:rsid w:val="00ED5BEE"/>
    <w:rsid w:val="00ED5EFD"/>
    <w:rsid w:val="00ED601F"/>
    <w:rsid w:val="00ED65D0"/>
    <w:rsid w:val="00ED6754"/>
    <w:rsid w:val="00ED72B0"/>
    <w:rsid w:val="00ED7502"/>
    <w:rsid w:val="00ED7548"/>
    <w:rsid w:val="00EE080D"/>
    <w:rsid w:val="00EE0FCA"/>
    <w:rsid w:val="00EE1767"/>
    <w:rsid w:val="00EE1811"/>
    <w:rsid w:val="00EE19B2"/>
    <w:rsid w:val="00EE1A30"/>
    <w:rsid w:val="00EE2433"/>
    <w:rsid w:val="00EE2849"/>
    <w:rsid w:val="00EE2960"/>
    <w:rsid w:val="00EE2D3A"/>
    <w:rsid w:val="00EE320E"/>
    <w:rsid w:val="00EE360E"/>
    <w:rsid w:val="00EE3BA3"/>
    <w:rsid w:val="00EE41E8"/>
    <w:rsid w:val="00EE4A12"/>
    <w:rsid w:val="00EE4FD3"/>
    <w:rsid w:val="00EE55BC"/>
    <w:rsid w:val="00EE5C90"/>
    <w:rsid w:val="00EE6582"/>
    <w:rsid w:val="00EE6808"/>
    <w:rsid w:val="00EE6BB4"/>
    <w:rsid w:val="00EE6D60"/>
    <w:rsid w:val="00EE7CB7"/>
    <w:rsid w:val="00EF06C3"/>
    <w:rsid w:val="00EF1159"/>
    <w:rsid w:val="00EF1FD3"/>
    <w:rsid w:val="00EF36C8"/>
    <w:rsid w:val="00EF3AB6"/>
    <w:rsid w:val="00EF3DC7"/>
    <w:rsid w:val="00EF3E15"/>
    <w:rsid w:val="00EF475F"/>
    <w:rsid w:val="00EF4E75"/>
    <w:rsid w:val="00EF5424"/>
    <w:rsid w:val="00EF5775"/>
    <w:rsid w:val="00EF586B"/>
    <w:rsid w:val="00EF6293"/>
    <w:rsid w:val="00EF6781"/>
    <w:rsid w:val="00EF73C9"/>
    <w:rsid w:val="00EF744A"/>
    <w:rsid w:val="00EF7A08"/>
    <w:rsid w:val="00EF7F07"/>
    <w:rsid w:val="00F004E0"/>
    <w:rsid w:val="00F009CE"/>
    <w:rsid w:val="00F01043"/>
    <w:rsid w:val="00F01B3C"/>
    <w:rsid w:val="00F01B78"/>
    <w:rsid w:val="00F0262E"/>
    <w:rsid w:val="00F044CC"/>
    <w:rsid w:val="00F04C9E"/>
    <w:rsid w:val="00F050F2"/>
    <w:rsid w:val="00F05232"/>
    <w:rsid w:val="00F058A7"/>
    <w:rsid w:val="00F058E3"/>
    <w:rsid w:val="00F058E4"/>
    <w:rsid w:val="00F06A6E"/>
    <w:rsid w:val="00F06CAC"/>
    <w:rsid w:val="00F074F3"/>
    <w:rsid w:val="00F07C52"/>
    <w:rsid w:val="00F07D65"/>
    <w:rsid w:val="00F101DE"/>
    <w:rsid w:val="00F103C2"/>
    <w:rsid w:val="00F10E06"/>
    <w:rsid w:val="00F11071"/>
    <w:rsid w:val="00F117EC"/>
    <w:rsid w:val="00F117FC"/>
    <w:rsid w:val="00F11D14"/>
    <w:rsid w:val="00F121D2"/>
    <w:rsid w:val="00F12D72"/>
    <w:rsid w:val="00F12DCF"/>
    <w:rsid w:val="00F14956"/>
    <w:rsid w:val="00F15610"/>
    <w:rsid w:val="00F15969"/>
    <w:rsid w:val="00F15AFD"/>
    <w:rsid w:val="00F161DD"/>
    <w:rsid w:val="00F17483"/>
    <w:rsid w:val="00F17A98"/>
    <w:rsid w:val="00F17DAB"/>
    <w:rsid w:val="00F2122A"/>
    <w:rsid w:val="00F216A9"/>
    <w:rsid w:val="00F21A33"/>
    <w:rsid w:val="00F2206E"/>
    <w:rsid w:val="00F22BCC"/>
    <w:rsid w:val="00F23738"/>
    <w:rsid w:val="00F23856"/>
    <w:rsid w:val="00F238AE"/>
    <w:rsid w:val="00F24023"/>
    <w:rsid w:val="00F24A80"/>
    <w:rsid w:val="00F2580B"/>
    <w:rsid w:val="00F260DE"/>
    <w:rsid w:val="00F271C3"/>
    <w:rsid w:val="00F2729D"/>
    <w:rsid w:val="00F274FB"/>
    <w:rsid w:val="00F27D7C"/>
    <w:rsid w:val="00F27F64"/>
    <w:rsid w:val="00F27FB3"/>
    <w:rsid w:val="00F31297"/>
    <w:rsid w:val="00F3200A"/>
    <w:rsid w:val="00F3215C"/>
    <w:rsid w:val="00F33FE1"/>
    <w:rsid w:val="00F34176"/>
    <w:rsid w:val="00F3472F"/>
    <w:rsid w:val="00F349D2"/>
    <w:rsid w:val="00F349E6"/>
    <w:rsid w:val="00F35516"/>
    <w:rsid w:val="00F35603"/>
    <w:rsid w:val="00F35825"/>
    <w:rsid w:val="00F358B4"/>
    <w:rsid w:val="00F3669D"/>
    <w:rsid w:val="00F36865"/>
    <w:rsid w:val="00F36E1C"/>
    <w:rsid w:val="00F37E21"/>
    <w:rsid w:val="00F40220"/>
    <w:rsid w:val="00F410BB"/>
    <w:rsid w:val="00F427C1"/>
    <w:rsid w:val="00F42E09"/>
    <w:rsid w:val="00F43F75"/>
    <w:rsid w:val="00F440DF"/>
    <w:rsid w:val="00F4471E"/>
    <w:rsid w:val="00F44A70"/>
    <w:rsid w:val="00F44C99"/>
    <w:rsid w:val="00F44E09"/>
    <w:rsid w:val="00F458A1"/>
    <w:rsid w:val="00F45D81"/>
    <w:rsid w:val="00F46A98"/>
    <w:rsid w:val="00F471F4"/>
    <w:rsid w:val="00F504E0"/>
    <w:rsid w:val="00F5070E"/>
    <w:rsid w:val="00F51704"/>
    <w:rsid w:val="00F51A5F"/>
    <w:rsid w:val="00F51E0F"/>
    <w:rsid w:val="00F54830"/>
    <w:rsid w:val="00F54AE8"/>
    <w:rsid w:val="00F55965"/>
    <w:rsid w:val="00F55F82"/>
    <w:rsid w:val="00F56852"/>
    <w:rsid w:val="00F57389"/>
    <w:rsid w:val="00F57A61"/>
    <w:rsid w:val="00F57BC7"/>
    <w:rsid w:val="00F6136A"/>
    <w:rsid w:val="00F615A2"/>
    <w:rsid w:val="00F61C8F"/>
    <w:rsid w:val="00F61F79"/>
    <w:rsid w:val="00F6215F"/>
    <w:rsid w:val="00F62369"/>
    <w:rsid w:val="00F625CA"/>
    <w:rsid w:val="00F627E0"/>
    <w:rsid w:val="00F62C59"/>
    <w:rsid w:val="00F62ED4"/>
    <w:rsid w:val="00F62FEC"/>
    <w:rsid w:val="00F639ED"/>
    <w:rsid w:val="00F63BC8"/>
    <w:rsid w:val="00F63C5C"/>
    <w:rsid w:val="00F63D15"/>
    <w:rsid w:val="00F647A3"/>
    <w:rsid w:val="00F647AE"/>
    <w:rsid w:val="00F6623C"/>
    <w:rsid w:val="00F667FD"/>
    <w:rsid w:val="00F6682F"/>
    <w:rsid w:val="00F672B9"/>
    <w:rsid w:val="00F67319"/>
    <w:rsid w:val="00F67812"/>
    <w:rsid w:val="00F6786D"/>
    <w:rsid w:val="00F67C15"/>
    <w:rsid w:val="00F67E57"/>
    <w:rsid w:val="00F705EF"/>
    <w:rsid w:val="00F706EE"/>
    <w:rsid w:val="00F71CE0"/>
    <w:rsid w:val="00F721F5"/>
    <w:rsid w:val="00F72775"/>
    <w:rsid w:val="00F729CF"/>
    <w:rsid w:val="00F72F25"/>
    <w:rsid w:val="00F7377B"/>
    <w:rsid w:val="00F738A4"/>
    <w:rsid w:val="00F73FE8"/>
    <w:rsid w:val="00F74491"/>
    <w:rsid w:val="00F74EB2"/>
    <w:rsid w:val="00F750AE"/>
    <w:rsid w:val="00F75318"/>
    <w:rsid w:val="00F756BD"/>
    <w:rsid w:val="00F75EAC"/>
    <w:rsid w:val="00F76473"/>
    <w:rsid w:val="00F76EE7"/>
    <w:rsid w:val="00F7711E"/>
    <w:rsid w:val="00F77F4C"/>
    <w:rsid w:val="00F80EA3"/>
    <w:rsid w:val="00F81B8C"/>
    <w:rsid w:val="00F81DBA"/>
    <w:rsid w:val="00F8217B"/>
    <w:rsid w:val="00F827B8"/>
    <w:rsid w:val="00F83346"/>
    <w:rsid w:val="00F83A88"/>
    <w:rsid w:val="00F84488"/>
    <w:rsid w:val="00F846EA"/>
    <w:rsid w:val="00F84A83"/>
    <w:rsid w:val="00F84EE6"/>
    <w:rsid w:val="00F85233"/>
    <w:rsid w:val="00F85626"/>
    <w:rsid w:val="00F85D43"/>
    <w:rsid w:val="00F85E06"/>
    <w:rsid w:val="00F863A3"/>
    <w:rsid w:val="00F8657A"/>
    <w:rsid w:val="00F8692F"/>
    <w:rsid w:val="00F86D2A"/>
    <w:rsid w:val="00F870AA"/>
    <w:rsid w:val="00F87124"/>
    <w:rsid w:val="00F87325"/>
    <w:rsid w:val="00F875CD"/>
    <w:rsid w:val="00F876CE"/>
    <w:rsid w:val="00F879B7"/>
    <w:rsid w:val="00F879F5"/>
    <w:rsid w:val="00F90F29"/>
    <w:rsid w:val="00F924A8"/>
    <w:rsid w:val="00F92F27"/>
    <w:rsid w:val="00F93D63"/>
    <w:rsid w:val="00F93DFA"/>
    <w:rsid w:val="00F9401C"/>
    <w:rsid w:val="00F943CB"/>
    <w:rsid w:val="00F94DD7"/>
    <w:rsid w:val="00F9519E"/>
    <w:rsid w:val="00F9551E"/>
    <w:rsid w:val="00F96C8D"/>
    <w:rsid w:val="00F97029"/>
    <w:rsid w:val="00F977FF"/>
    <w:rsid w:val="00F9782F"/>
    <w:rsid w:val="00F97FDE"/>
    <w:rsid w:val="00FA00A7"/>
    <w:rsid w:val="00FA06E2"/>
    <w:rsid w:val="00FA0B9E"/>
    <w:rsid w:val="00FA1027"/>
    <w:rsid w:val="00FA1F43"/>
    <w:rsid w:val="00FA20C2"/>
    <w:rsid w:val="00FA2F81"/>
    <w:rsid w:val="00FA3795"/>
    <w:rsid w:val="00FA3884"/>
    <w:rsid w:val="00FA4719"/>
    <w:rsid w:val="00FA49EA"/>
    <w:rsid w:val="00FA52AE"/>
    <w:rsid w:val="00FA55D6"/>
    <w:rsid w:val="00FA5679"/>
    <w:rsid w:val="00FA5D25"/>
    <w:rsid w:val="00FA64BF"/>
    <w:rsid w:val="00FA6550"/>
    <w:rsid w:val="00FA68F3"/>
    <w:rsid w:val="00FA6948"/>
    <w:rsid w:val="00FA7410"/>
    <w:rsid w:val="00FA7562"/>
    <w:rsid w:val="00FA75DC"/>
    <w:rsid w:val="00FA7D91"/>
    <w:rsid w:val="00FA7E7D"/>
    <w:rsid w:val="00FB0C7D"/>
    <w:rsid w:val="00FB0D06"/>
    <w:rsid w:val="00FB0E48"/>
    <w:rsid w:val="00FB16D0"/>
    <w:rsid w:val="00FB18C1"/>
    <w:rsid w:val="00FB1B02"/>
    <w:rsid w:val="00FB30AF"/>
    <w:rsid w:val="00FB321C"/>
    <w:rsid w:val="00FB35A6"/>
    <w:rsid w:val="00FB45BB"/>
    <w:rsid w:val="00FB52C4"/>
    <w:rsid w:val="00FB628E"/>
    <w:rsid w:val="00FB63FD"/>
    <w:rsid w:val="00FB660E"/>
    <w:rsid w:val="00FB668C"/>
    <w:rsid w:val="00FB6FBD"/>
    <w:rsid w:val="00FC08DA"/>
    <w:rsid w:val="00FC10A8"/>
    <w:rsid w:val="00FC17DD"/>
    <w:rsid w:val="00FC291C"/>
    <w:rsid w:val="00FC2CFC"/>
    <w:rsid w:val="00FC3E1C"/>
    <w:rsid w:val="00FC44BF"/>
    <w:rsid w:val="00FC49AD"/>
    <w:rsid w:val="00FC58CC"/>
    <w:rsid w:val="00FC70C4"/>
    <w:rsid w:val="00FC72B6"/>
    <w:rsid w:val="00FC738E"/>
    <w:rsid w:val="00FC75C3"/>
    <w:rsid w:val="00FC7A8A"/>
    <w:rsid w:val="00FC7B89"/>
    <w:rsid w:val="00FC7C20"/>
    <w:rsid w:val="00FC7EB3"/>
    <w:rsid w:val="00FD04B0"/>
    <w:rsid w:val="00FD04BB"/>
    <w:rsid w:val="00FD0CC8"/>
    <w:rsid w:val="00FD274C"/>
    <w:rsid w:val="00FD27B0"/>
    <w:rsid w:val="00FD280C"/>
    <w:rsid w:val="00FD32A3"/>
    <w:rsid w:val="00FD3A57"/>
    <w:rsid w:val="00FD3BF0"/>
    <w:rsid w:val="00FD3D4C"/>
    <w:rsid w:val="00FD3E9B"/>
    <w:rsid w:val="00FD4094"/>
    <w:rsid w:val="00FD482E"/>
    <w:rsid w:val="00FD48B9"/>
    <w:rsid w:val="00FD52ED"/>
    <w:rsid w:val="00FD53FD"/>
    <w:rsid w:val="00FD574B"/>
    <w:rsid w:val="00FD579F"/>
    <w:rsid w:val="00FD5E00"/>
    <w:rsid w:val="00FD5F26"/>
    <w:rsid w:val="00FD6092"/>
    <w:rsid w:val="00FD72B6"/>
    <w:rsid w:val="00FD7876"/>
    <w:rsid w:val="00FD7D9D"/>
    <w:rsid w:val="00FE066E"/>
    <w:rsid w:val="00FE11F8"/>
    <w:rsid w:val="00FE1E33"/>
    <w:rsid w:val="00FE2ADC"/>
    <w:rsid w:val="00FE3085"/>
    <w:rsid w:val="00FE339A"/>
    <w:rsid w:val="00FE341B"/>
    <w:rsid w:val="00FE35DF"/>
    <w:rsid w:val="00FE381E"/>
    <w:rsid w:val="00FE3AF8"/>
    <w:rsid w:val="00FE3C53"/>
    <w:rsid w:val="00FE3C5B"/>
    <w:rsid w:val="00FE46E1"/>
    <w:rsid w:val="00FE5865"/>
    <w:rsid w:val="00FE6226"/>
    <w:rsid w:val="00FE6749"/>
    <w:rsid w:val="00FE6E53"/>
    <w:rsid w:val="00FE6E77"/>
    <w:rsid w:val="00FE714B"/>
    <w:rsid w:val="00FE729B"/>
    <w:rsid w:val="00FE7316"/>
    <w:rsid w:val="00FE74A6"/>
    <w:rsid w:val="00FE78AC"/>
    <w:rsid w:val="00FE7C11"/>
    <w:rsid w:val="00FF0229"/>
    <w:rsid w:val="00FF02AA"/>
    <w:rsid w:val="00FF1243"/>
    <w:rsid w:val="00FF14EE"/>
    <w:rsid w:val="00FF1538"/>
    <w:rsid w:val="00FF16FD"/>
    <w:rsid w:val="00FF170E"/>
    <w:rsid w:val="00FF17D8"/>
    <w:rsid w:val="00FF18F1"/>
    <w:rsid w:val="00FF1FF1"/>
    <w:rsid w:val="00FF2042"/>
    <w:rsid w:val="00FF20ED"/>
    <w:rsid w:val="00FF21C8"/>
    <w:rsid w:val="00FF24DF"/>
    <w:rsid w:val="00FF2A54"/>
    <w:rsid w:val="00FF2B25"/>
    <w:rsid w:val="00FF3BD1"/>
    <w:rsid w:val="00FF41E0"/>
    <w:rsid w:val="00FF427E"/>
    <w:rsid w:val="00FF4389"/>
    <w:rsid w:val="00FF4490"/>
    <w:rsid w:val="00FF4551"/>
    <w:rsid w:val="00FF4710"/>
    <w:rsid w:val="00FF47E5"/>
    <w:rsid w:val="00FF5622"/>
    <w:rsid w:val="00FF57E4"/>
    <w:rsid w:val="00FF5A6A"/>
    <w:rsid w:val="00FF5CB1"/>
    <w:rsid w:val="00FF676E"/>
    <w:rsid w:val="00FF6F86"/>
    <w:rsid w:val="00FF73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E95F2E"/>
  <w15:docId w15:val="{C7E2A65C-6DEC-43F1-AD6C-FD660AF7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249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5FFF"/>
    <w:pPr>
      <w:jc w:val="center"/>
    </w:pPr>
    <w:rPr>
      <w:rFonts w:ascii="CG Times" w:hAnsi="CG Times"/>
      <w:sz w:val="28"/>
      <w:szCs w:val="20"/>
    </w:rPr>
  </w:style>
  <w:style w:type="paragraph" w:styleId="EndnoteText">
    <w:name w:val="endnote text"/>
    <w:basedOn w:val="Normal"/>
    <w:semiHidden/>
    <w:rsid w:val="003F038B"/>
    <w:pPr>
      <w:widowControl w:val="0"/>
    </w:pPr>
    <w:rPr>
      <w:rFonts w:ascii="Courier" w:hAnsi="Courier"/>
      <w:snapToGrid w:val="0"/>
      <w:szCs w:val="20"/>
    </w:rPr>
  </w:style>
  <w:style w:type="paragraph" w:styleId="BalloonText">
    <w:name w:val="Balloon Text"/>
    <w:basedOn w:val="Normal"/>
    <w:semiHidden/>
    <w:rsid w:val="00DB75A3"/>
    <w:rPr>
      <w:rFonts w:ascii="Tahoma" w:hAnsi="Tahoma" w:cs="Tahoma"/>
      <w:sz w:val="16"/>
      <w:szCs w:val="16"/>
    </w:rPr>
  </w:style>
  <w:style w:type="paragraph" w:styleId="FootnoteText">
    <w:name w:val="footnote text"/>
    <w:aliases w:val="ALTS FOOTNOT,Footnote Text Char Char6 Char,Footnote Text Char Char6 Char Char1 Char1,Footnote Text Char1,Footnote Text Char2 Char3,Footnote Text Char4 Char2 Char Char Char Char,Footnote Text Char6 Char,Footnote Text Char6 Char Char Char,fn"/>
    <w:basedOn w:val="Normal"/>
    <w:link w:val="FootnoteTextChar"/>
    <w:qFormat/>
    <w:rsid w:val="000B2F22"/>
    <w:pPr>
      <w:spacing w:after="120"/>
    </w:pPr>
    <w:rPr>
      <w:sz w:val="20"/>
      <w:szCs w:val="20"/>
    </w:rPr>
  </w:style>
  <w:style w:type="character" w:styleId="FootnoteReference">
    <w:name w:val="footnote reference"/>
    <w:aliases w:val="(NECG) Footnote Reference,Appel note de bas de p,FR,Footnote Reference/,Footnote Reference1,Style 12,Style 124,Style 13,Style 17,Style 3,Style 34,Style 4,Style 6,Style 7,Style 9,fr,o,-E Funotenzeichen,A,Ref,Style 1,Style 20,callout"/>
    <w:basedOn w:val="DefaultParagraphFont"/>
    <w:rsid w:val="006D617F"/>
    <w:rPr>
      <w:vertAlign w:val="superscript"/>
    </w:rPr>
  </w:style>
  <w:style w:type="paragraph" w:styleId="Header">
    <w:name w:val="header"/>
    <w:basedOn w:val="Normal"/>
    <w:link w:val="HeaderChar"/>
    <w:rsid w:val="006D3580"/>
    <w:pPr>
      <w:tabs>
        <w:tab w:val="center" w:pos="4680"/>
        <w:tab w:val="right" w:pos="9360"/>
      </w:tabs>
    </w:pPr>
  </w:style>
  <w:style w:type="character" w:customStyle="1" w:styleId="HeaderChar">
    <w:name w:val="Header Char"/>
    <w:basedOn w:val="DefaultParagraphFont"/>
    <w:link w:val="Header"/>
    <w:rsid w:val="006D3580"/>
    <w:rPr>
      <w:sz w:val="24"/>
      <w:szCs w:val="24"/>
    </w:rPr>
  </w:style>
  <w:style w:type="paragraph" w:styleId="Footer">
    <w:name w:val="footer"/>
    <w:basedOn w:val="Normal"/>
    <w:link w:val="FooterChar"/>
    <w:rsid w:val="006D3580"/>
    <w:pPr>
      <w:tabs>
        <w:tab w:val="center" w:pos="4680"/>
        <w:tab w:val="right" w:pos="9360"/>
      </w:tabs>
    </w:pPr>
  </w:style>
  <w:style w:type="character" w:customStyle="1" w:styleId="FooterChar">
    <w:name w:val="Footer Char"/>
    <w:basedOn w:val="DefaultParagraphFont"/>
    <w:link w:val="Footer"/>
    <w:rsid w:val="006D3580"/>
    <w:rPr>
      <w:sz w:val="24"/>
      <w:szCs w:val="24"/>
    </w:rPr>
  </w:style>
  <w:style w:type="character" w:styleId="Hyperlink">
    <w:name w:val="Hyperlink"/>
    <w:basedOn w:val="DefaultParagraphFont"/>
    <w:unhideWhenUsed/>
    <w:rsid w:val="0085497A"/>
    <w:rPr>
      <w:color w:val="0000FF" w:themeColor="hyperlink"/>
      <w:u w:val="single"/>
    </w:rPr>
  </w:style>
  <w:style w:type="character" w:customStyle="1" w:styleId="FootnoteTextChar">
    <w:name w:val="Footnote Text Char"/>
    <w:aliases w:val="ALTS FOOTNOT Char,Footnote Text Char Char6 Char Char,Footnote Text Char Char6 Char Char1 Char1 Char,Footnote Text Char1 Char,Footnote Text Char2 Char3 Char,Footnote Text Char4 Char2 Char Char Char Char Char,fn Char1"/>
    <w:basedOn w:val="DefaultParagraphFont"/>
    <w:link w:val="FootnoteText"/>
    <w:rsid w:val="000B2F22"/>
  </w:style>
  <w:style w:type="character" w:styleId="UnresolvedMention">
    <w:name w:val="Unresolved Mention"/>
    <w:basedOn w:val="DefaultParagraphFont"/>
    <w:uiPriority w:val="99"/>
    <w:semiHidden/>
    <w:unhideWhenUsed/>
    <w:rsid w:val="00D26F03"/>
    <w:rPr>
      <w:color w:val="605E5C"/>
      <w:shd w:val="clear" w:color="auto" w:fill="E1DFDD"/>
    </w:rPr>
  </w:style>
  <w:style w:type="character" w:styleId="CommentReference">
    <w:name w:val="annotation reference"/>
    <w:basedOn w:val="DefaultParagraphFont"/>
    <w:semiHidden/>
    <w:unhideWhenUsed/>
    <w:rsid w:val="00BC3616"/>
    <w:rPr>
      <w:sz w:val="16"/>
      <w:szCs w:val="16"/>
    </w:rPr>
  </w:style>
  <w:style w:type="paragraph" w:styleId="CommentText">
    <w:name w:val="annotation text"/>
    <w:basedOn w:val="Normal"/>
    <w:link w:val="CommentTextChar"/>
    <w:unhideWhenUsed/>
    <w:rsid w:val="00BC3616"/>
    <w:rPr>
      <w:sz w:val="20"/>
      <w:szCs w:val="20"/>
    </w:rPr>
  </w:style>
  <w:style w:type="character" w:customStyle="1" w:styleId="CommentTextChar">
    <w:name w:val="Comment Text Char"/>
    <w:basedOn w:val="DefaultParagraphFont"/>
    <w:link w:val="CommentText"/>
    <w:rsid w:val="00BC3616"/>
  </w:style>
  <w:style w:type="paragraph" w:styleId="CommentSubject">
    <w:name w:val="annotation subject"/>
    <w:basedOn w:val="CommentText"/>
    <w:next w:val="CommentText"/>
    <w:link w:val="CommentSubjectChar"/>
    <w:semiHidden/>
    <w:unhideWhenUsed/>
    <w:rsid w:val="00BC3616"/>
    <w:rPr>
      <w:b/>
      <w:bCs/>
    </w:rPr>
  </w:style>
  <w:style w:type="character" w:customStyle="1" w:styleId="CommentSubjectChar">
    <w:name w:val="Comment Subject Char"/>
    <w:basedOn w:val="CommentTextChar"/>
    <w:link w:val="CommentSubject"/>
    <w:semiHidden/>
    <w:rsid w:val="00BC3616"/>
    <w:rPr>
      <w:b/>
      <w:bCs/>
    </w:rPr>
  </w:style>
  <w:style w:type="paragraph" w:styleId="NormalWeb">
    <w:name w:val="Normal (Web)"/>
    <w:basedOn w:val="Normal"/>
    <w:uiPriority w:val="99"/>
    <w:unhideWhenUsed/>
    <w:rsid w:val="00111449"/>
    <w:pPr>
      <w:spacing w:before="100" w:beforeAutospacing="1" w:after="100" w:afterAutospacing="1"/>
    </w:pPr>
  </w:style>
  <w:style w:type="character" w:customStyle="1" w:styleId="cohl">
    <w:name w:val="co_hl"/>
    <w:basedOn w:val="DefaultParagraphFont"/>
    <w:rsid w:val="00B02C07"/>
  </w:style>
  <w:style w:type="paragraph" w:styleId="Revision">
    <w:name w:val="Revision"/>
    <w:hidden/>
    <w:uiPriority w:val="99"/>
    <w:semiHidden/>
    <w:rsid w:val="00A406FB"/>
    <w:rPr>
      <w:sz w:val="24"/>
      <w:szCs w:val="24"/>
    </w:rPr>
  </w:style>
  <w:style w:type="character" w:styleId="FollowedHyperlink">
    <w:name w:val="FollowedHyperlink"/>
    <w:basedOn w:val="DefaultParagraphFont"/>
    <w:semiHidden/>
    <w:unhideWhenUsed/>
    <w:rsid w:val="0098660D"/>
    <w:rPr>
      <w:color w:val="800080" w:themeColor="followedHyperlink"/>
      <w:u w:val="single"/>
    </w:rPr>
  </w:style>
  <w:style w:type="character" w:customStyle="1" w:styleId="cf01">
    <w:name w:val="cf01"/>
    <w:basedOn w:val="DefaultParagraphFont"/>
    <w:rsid w:val="00C420E4"/>
    <w:rPr>
      <w:rFonts w:ascii="Segoe UI" w:hAnsi="Segoe UI" w:cs="Segoe UI" w:hint="default"/>
      <w:sz w:val="18"/>
      <w:szCs w:val="18"/>
    </w:rPr>
  </w:style>
  <w:style w:type="character" w:styleId="SubtleEmphasis">
    <w:name w:val="Subtle Emphasis"/>
    <w:basedOn w:val="DefaultParagraphFont"/>
    <w:uiPriority w:val="19"/>
    <w:qFormat/>
    <w:rsid w:val="006B23B6"/>
    <w:rPr>
      <w:i/>
      <w:iCs/>
      <w:color w:val="404040" w:themeColor="text1" w:themeTint="BF"/>
    </w:rPr>
  </w:style>
  <w:style w:type="character" w:customStyle="1" w:styleId="FootnoteTextChar2">
    <w:name w:val="Footnote Text Char2"/>
    <w:aliases w:val="Footnote Text Char Char Char,Footnote Text Char Char Char4 Char Char Char Char,Footnote Text Char1 Char Char Char,Footnote Text Char1 Char1,Footnote Text Char4 Char1 Char Char Char Char,Footnote Text Char7 Char Char Char Char,fn Char"/>
    <w:rsid w:val="00282A29"/>
    <w:rPr>
      <w:lang w:val="en-US" w:eastAsia="en-US" w:bidi="ar-SA"/>
    </w:rPr>
  </w:style>
  <w:style w:type="character" w:styleId="Emphasis">
    <w:name w:val="Emphasis"/>
    <w:basedOn w:val="DefaultParagraphFont"/>
    <w:uiPriority w:val="20"/>
    <w:qFormat/>
    <w:rsid w:val="0033327A"/>
    <w:rPr>
      <w:i/>
      <w:iCs/>
    </w:rPr>
  </w:style>
  <w:style w:type="character" w:customStyle="1" w:styleId="coconcept4146">
    <w:name w:val="co_concept_41_46"/>
    <w:basedOn w:val="DefaultParagraphFont"/>
    <w:rsid w:val="0033327A"/>
  </w:style>
  <w:style w:type="character" w:customStyle="1" w:styleId="cosearchterm">
    <w:name w:val="co_searchterm"/>
    <w:rsid w:val="00A6241C"/>
  </w:style>
  <w:style w:type="character" w:styleId="EndnoteReference">
    <w:name w:val="endnote reference"/>
    <w:basedOn w:val="DefaultParagraphFont"/>
    <w:semiHidden/>
    <w:unhideWhenUsed/>
    <w:rsid w:val="00E206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