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A3BA8" w14:paraId="5E6FC826" w14:textId="77777777">
      <w:pPr>
        <w:jc w:val="right"/>
        <w:rPr>
          <w:sz w:val="24"/>
        </w:rPr>
      </w:pPr>
    </w:p>
    <w:p w:rsidR="00BA3BA8" w14:paraId="18FDEF70" w14:textId="5729ABD8">
      <w:pPr>
        <w:jc w:val="right"/>
        <w:rPr>
          <w:b/>
          <w:sz w:val="24"/>
        </w:rPr>
      </w:pPr>
      <w:r>
        <w:rPr>
          <w:b/>
          <w:sz w:val="24"/>
        </w:rPr>
        <w:t>DA 26-677</w:t>
      </w:r>
    </w:p>
    <w:p w:rsidR="00BA3BA8" w14:paraId="60D76CAF" w14:textId="1863762D">
      <w:pPr>
        <w:spacing w:before="60"/>
        <w:jc w:val="right"/>
        <w:rPr>
          <w:b/>
          <w:sz w:val="24"/>
        </w:rPr>
      </w:pPr>
      <w:r>
        <w:rPr>
          <w:b/>
          <w:sz w:val="24"/>
        </w:rPr>
        <w:t xml:space="preserve">Released:  </w:t>
      </w:r>
      <w:r w:rsidR="00B37016">
        <w:rPr>
          <w:b/>
          <w:sz w:val="24"/>
        </w:rPr>
        <w:t>July 7, 2026</w:t>
      </w:r>
    </w:p>
    <w:p w:rsidR="00B37016" w:rsidRPr="00F13EDF" w:rsidP="00B37016" w14:paraId="08F42E54" w14:textId="77777777">
      <w:pPr>
        <w:rPr>
          <w:szCs w:val="22"/>
        </w:rPr>
      </w:pPr>
    </w:p>
    <w:p w:rsidR="00B37016" w:rsidRPr="00F13EDF" w:rsidP="00B37016" w14:paraId="1AA1FF18" w14:textId="77777777">
      <w:pPr>
        <w:spacing w:after="240"/>
        <w:jc w:val="center"/>
        <w:rPr>
          <w:rFonts w:ascii="Times New Roman Bold" w:hAnsi="Times New Roman Bold"/>
          <w:b/>
          <w:caps/>
        </w:rPr>
      </w:pPr>
      <w:r w:rsidRPr="60D30C22">
        <w:rPr>
          <w:rFonts w:ascii="Times New Roman Bold" w:hAnsi="Times New Roman Bold"/>
          <w:b/>
          <w:caps/>
        </w:rPr>
        <w:t xml:space="preserve">Wireline competition Bureau </w:t>
      </w:r>
      <w:r>
        <w:rPr>
          <w:rFonts w:ascii="Times New Roman Bold" w:hAnsi="Times New Roman Bold"/>
          <w:b/>
          <w:caps/>
        </w:rPr>
        <w:t>Reminds Rural Digital Opportunity Fund carriers of September 1 Fabric Challenge filing date, directs carriers to challenge process resources, and provides guidance on Compliance issues</w:t>
      </w:r>
    </w:p>
    <w:p w:rsidR="00B37016" w:rsidRPr="00C0431E" w:rsidP="00B37016" w14:paraId="53C4067F" w14:textId="77777777">
      <w:pPr>
        <w:pStyle w:val="paragraph"/>
        <w:spacing w:before="0" w:beforeAutospacing="0" w:after="0" w:afterAutospacing="0"/>
        <w:jc w:val="center"/>
        <w:textAlignment w:val="baseline"/>
        <w:rPr>
          <w:rFonts w:ascii="Segoe UI" w:hAnsi="Segoe UI" w:cs="Segoe UI"/>
          <w:sz w:val="22"/>
          <w:szCs w:val="22"/>
        </w:rPr>
      </w:pPr>
      <w:r w:rsidRPr="00C0431E">
        <w:rPr>
          <w:rStyle w:val="normaltextrun"/>
          <w:b/>
          <w:bCs/>
          <w:sz w:val="22"/>
          <w:szCs w:val="22"/>
        </w:rPr>
        <w:t>AU Docket No. 20-34</w:t>
      </w:r>
    </w:p>
    <w:p w:rsidR="00B37016" w:rsidRPr="00C0431E" w:rsidP="00B37016" w14:paraId="223A1A9E" w14:textId="77777777">
      <w:pPr>
        <w:pStyle w:val="paragraph"/>
        <w:spacing w:before="0" w:beforeAutospacing="0" w:after="0" w:afterAutospacing="0"/>
        <w:jc w:val="center"/>
        <w:textAlignment w:val="baseline"/>
        <w:rPr>
          <w:rFonts w:ascii="Segoe UI" w:hAnsi="Segoe UI" w:cs="Segoe UI"/>
          <w:sz w:val="22"/>
          <w:szCs w:val="22"/>
        </w:rPr>
      </w:pPr>
      <w:r w:rsidRPr="00C0431E">
        <w:rPr>
          <w:rStyle w:val="normaltextrun"/>
          <w:b/>
          <w:bCs/>
          <w:sz w:val="22"/>
          <w:szCs w:val="22"/>
        </w:rPr>
        <w:t>WC Docket No. 19-126</w:t>
      </w:r>
    </w:p>
    <w:p w:rsidR="00B37016" w:rsidRPr="00C0431E" w:rsidP="00B37016" w14:paraId="2A1BE921" w14:textId="77777777">
      <w:pPr>
        <w:jc w:val="center"/>
        <w:rPr>
          <w:b/>
          <w:szCs w:val="22"/>
        </w:rPr>
      </w:pPr>
      <w:r w:rsidRPr="00C0431E">
        <w:rPr>
          <w:b/>
          <w:szCs w:val="22"/>
        </w:rPr>
        <w:t>WC Docket No. 10-90</w:t>
      </w:r>
    </w:p>
    <w:p w:rsidR="00B37016" w:rsidRPr="00F13EDF" w:rsidP="00B37016" w14:paraId="0BCB66A4" w14:textId="77777777">
      <w:pPr>
        <w:jc w:val="center"/>
        <w:rPr>
          <w:b/>
          <w:szCs w:val="22"/>
        </w:rPr>
      </w:pPr>
    </w:p>
    <w:p w:rsidR="00B37016" w:rsidP="00B37016" w14:paraId="152D5847" w14:textId="77777777">
      <w:pPr>
        <w:widowControl/>
        <w:tabs>
          <w:tab w:val="left" w:pos="8910"/>
        </w:tabs>
        <w:spacing w:after="120" w:line="259" w:lineRule="auto"/>
        <w:ind w:firstLine="720"/>
      </w:pPr>
      <w:r w:rsidRPr="00F13EDF">
        <w:t>By this Public Notice, the Wireline Competition Bureau (</w:t>
      </w:r>
      <w:r>
        <w:t>Bureau</w:t>
      </w:r>
      <w:r w:rsidRPr="00F13EDF">
        <w:t xml:space="preserve">) </w:t>
      </w:r>
      <w:r>
        <w:t>provides further information and guidance related to the Commission’s framework for adjusting required Rural Digital Opportunity Fund (RDOF) location totals based on the December 2026 (version 10) Broadband Serviceable Location (BSLs) Fabric (Fabric).</w:t>
      </w:r>
      <w:r>
        <w:rPr>
          <w:rStyle w:val="FootnoteReference"/>
        </w:rPr>
        <w:footnoteReference w:id="3"/>
      </w:r>
    </w:p>
    <w:p w:rsidR="00B37016" w:rsidP="00B37016" w14:paraId="07A06633" w14:textId="77777777">
      <w:pPr>
        <w:widowControl/>
        <w:tabs>
          <w:tab w:val="left" w:pos="8910"/>
        </w:tabs>
        <w:spacing w:after="120" w:line="259" w:lineRule="auto"/>
        <w:ind w:firstLine="720"/>
      </w:pPr>
      <w:r>
        <w:rPr>
          <w:i/>
          <w:iCs/>
        </w:rPr>
        <w:t xml:space="preserve">Fabric </w:t>
      </w:r>
      <w:r w:rsidRPr="00B62C17">
        <w:rPr>
          <w:i/>
          <w:iCs/>
        </w:rPr>
        <w:t>Challenge Process.</w:t>
      </w:r>
      <w:r>
        <w:t xml:space="preserve">  </w:t>
      </w:r>
      <w:r w:rsidRPr="00797070">
        <w:rPr>
          <w:b/>
          <w:bCs/>
        </w:rPr>
        <w:t>We remind RDOF carriers that challenges to the Fabric (e.g., to add or remove BSLs</w:t>
      </w:r>
      <w:r>
        <w:rPr>
          <w:b/>
          <w:bCs/>
        </w:rPr>
        <w:t>,</w:t>
      </w:r>
      <w:r w:rsidRPr="00797070">
        <w:rPr>
          <w:b/>
          <w:bCs/>
        </w:rPr>
        <w:t xml:space="preserve"> </w:t>
      </w:r>
      <w:r>
        <w:rPr>
          <w:b/>
          <w:bCs/>
        </w:rPr>
        <w:t>modify</w:t>
      </w:r>
      <w:r w:rsidRPr="00797070">
        <w:rPr>
          <w:b/>
          <w:bCs/>
        </w:rPr>
        <w:t xml:space="preserve"> unit counts</w:t>
      </w:r>
      <w:r>
        <w:rPr>
          <w:b/>
          <w:bCs/>
        </w:rPr>
        <w:t xml:space="preserve"> associated with BSLs</w:t>
      </w:r>
      <w:r w:rsidRPr="00797070">
        <w:rPr>
          <w:b/>
          <w:bCs/>
        </w:rPr>
        <w:t xml:space="preserve">) </w:t>
      </w:r>
      <w:r>
        <w:rPr>
          <w:b/>
          <w:bCs/>
        </w:rPr>
        <w:t>must</w:t>
      </w:r>
      <w:r w:rsidRPr="00797070">
        <w:rPr>
          <w:b/>
          <w:bCs/>
        </w:rPr>
        <w:t xml:space="preserve"> </w:t>
      </w:r>
      <w:r>
        <w:rPr>
          <w:b/>
          <w:bCs/>
        </w:rPr>
        <w:t>be</w:t>
      </w:r>
      <w:r w:rsidRPr="00797070">
        <w:rPr>
          <w:b/>
          <w:bCs/>
        </w:rPr>
        <w:t xml:space="preserve"> filed by September 1, </w:t>
      </w:r>
      <w:r>
        <w:rPr>
          <w:b/>
          <w:bCs/>
        </w:rPr>
        <w:t xml:space="preserve">2026, in order to </w:t>
      </w:r>
      <w:r w:rsidRPr="001600F4">
        <w:rPr>
          <w:rFonts w:eastAsia="TimesNewRomanPSMT"/>
          <w:b/>
        </w:rPr>
        <w:t xml:space="preserve">be considered for inclusion in the </w:t>
      </w:r>
      <w:r w:rsidRPr="00797070">
        <w:rPr>
          <w:b/>
          <w:bCs/>
        </w:rPr>
        <w:t>December 2026 Fabric</w:t>
      </w:r>
      <w:r>
        <w:t>.</w:t>
      </w:r>
      <w:r>
        <w:rPr>
          <w:rStyle w:val="FootnoteReference"/>
        </w:rPr>
        <w:footnoteReference w:id="4"/>
      </w:r>
      <w:r>
        <w:t xml:space="preserve">  In January 2025, the Bureau put carriers on notice that</w:t>
      </w:r>
      <w:r w:rsidRPr="0035617C">
        <w:t xml:space="preserve"> </w:t>
      </w:r>
      <w:r>
        <w:t xml:space="preserve">the results of </w:t>
      </w:r>
      <w:r w:rsidRPr="0035617C">
        <w:t xml:space="preserve">any outstanding or pending challenges that were filed but not incorporated in the December 2026 Fabric will not be </w:t>
      </w:r>
      <w:r>
        <w:t xml:space="preserve">incorporated into the </w:t>
      </w:r>
      <w:r w:rsidRPr="0035617C">
        <w:t xml:space="preserve">final </w:t>
      </w:r>
      <w:r>
        <w:t>RDOF list.</w:t>
      </w:r>
      <w:r>
        <w:rPr>
          <w:rStyle w:val="FootnoteReference"/>
        </w:rPr>
        <w:footnoteReference w:id="5"/>
      </w:r>
      <w:r>
        <w:t xml:space="preserve">  Accordingly, we highly encourage RDOF carriers to file Fabric challenges </w:t>
      </w:r>
      <w:r>
        <w:t xml:space="preserve">as soon as possible </w:t>
      </w:r>
      <w:r>
        <w:t xml:space="preserve">and no later than September 1.  </w:t>
      </w:r>
    </w:p>
    <w:p w:rsidR="00B37016" w:rsidP="00B37016" w14:paraId="2F7D742A" w14:textId="77777777">
      <w:pPr>
        <w:widowControl/>
        <w:tabs>
          <w:tab w:val="left" w:pos="8910"/>
        </w:tabs>
        <w:spacing w:after="120" w:line="259" w:lineRule="auto"/>
        <w:ind w:firstLine="720"/>
      </w:pPr>
      <w:r>
        <w:t>The Broadband Data Task Force recently announced that the June 2026 (version 9) Fabric is available to licensees.</w:t>
      </w:r>
      <w:r>
        <w:rPr>
          <w:rStyle w:val="FootnoteReference"/>
        </w:rPr>
        <w:footnoteReference w:id="6"/>
      </w:r>
      <w:r>
        <w:t xml:space="preserve">  The High-Cost Universal Broadband (HUBB) portal will not be updated to reflect the June 2026 Fabric and the Bureau will not be releasing interim RDOF lists based on the June 2026 Fabric.  Instead, we will update the HUBB and release updated RDOF lists when the December 2026 Fabric becomes available.  However, RDOF carriers should review the June 2026 Fabric and file </w:t>
      </w:r>
      <w:r>
        <w:t xml:space="preserve">challenges to the extent they identify any inaccuracies in their service areas.  Providers who are already licensees of the Fabric received an email from </w:t>
      </w:r>
      <w:r>
        <w:t>CostQuest</w:t>
      </w:r>
      <w:r>
        <w:t xml:space="preserve">, the FCC’s Fabric contractor, providing them with links to access the June 2026 Fabric data.  Providers that have not entered into a license agreement with </w:t>
      </w:r>
      <w:r>
        <w:t>CostQuest</w:t>
      </w:r>
      <w:r>
        <w:t xml:space="preserve"> for Fabric data may do so by following the instructions for obtaining access to the Fabric in the Broadband Data Collection (BDC) Help Center.</w:t>
      </w:r>
      <w:r>
        <w:rPr>
          <w:rStyle w:val="FootnoteReference"/>
        </w:rPr>
        <w:footnoteReference w:id="7"/>
      </w:r>
      <w:r>
        <w:t xml:space="preserve">  </w:t>
      </w:r>
    </w:p>
    <w:p w:rsidR="00B37016" w:rsidP="00B37016" w14:paraId="7ADE4D97" w14:textId="77777777">
      <w:pPr>
        <w:widowControl/>
        <w:tabs>
          <w:tab w:val="left" w:pos="8910"/>
        </w:tabs>
        <w:spacing w:after="120" w:line="259" w:lineRule="auto"/>
        <w:ind w:firstLine="720"/>
      </w:pPr>
      <w:r>
        <w:t>The Commission recently made support resources available through the BDC Help Center to assist carriers with reconciling their internal data with Fabric data.</w:t>
      </w:r>
      <w:r>
        <w:rPr>
          <w:rStyle w:val="FootnoteReference"/>
        </w:rPr>
        <w:footnoteReference w:id="8"/>
      </w:r>
      <w:r>
        <w:t xml:space="preserve">  </w:t>
      </w:r>
      <w:r w:rsidRPr="00EA753B">
        <w:t xml:space="preserve">Please visit </w:t>
      </w:r>
      <w:hyperlink r:id="rId6" w:history="1">
        <w:r w:rsidRPr="004A5512">
          <w:rPr>
            <w:rStyle w:val="Hyperlink"/>
          </w:rPr>
          <w:t>https://help.bdc.fcc.gov/hc/en-us</w:t>
        </w:r>
      </w:hyperlink>
      <w:r>
        <w:t xml:space="preserve"> </w:t>
      </w:r>
      <w:r w:rsidRPr="00EA753B">
        <w:t>regularly for updates and new support resources.</w:t>
      </w:r>
      <w:r>
        <w:t xml:space="preserve">  Carriers that have questions about the Fabric challenge process can contact the BDC team by initiating a request with the Help Center at </w:t>
      </w:r>
      <w:hyperlink r:id="rId7" w:history="1">
        <w:r w:rsidRPr="008D0064">
          <w:rPr>
            <w:rStyle w:val="Hyperlink"/>
          </w:rPr>
          <w:t>https://help.bdc.fcc.gov/hc/en-us/requests/new</w:t>
        </w:r>
      </w:hyperlink>
      <w:r>
        <w:t xml:space="preserve"> or by emailing </w:t>
      </w:r>
      <w:hyperlink r:id="rId8" w:history="1">
        <w:r w:rsidRPr="008D0064">
          <w:rPr>
            <w:rStyle w:val="Hyperlink"/>
          </w:rPr>
          <w:t>BroadbandDataInquiries@fcc.gov</w:t>
        </w:r>
      </w:hyperlink>
      <w:r>
        <w:t>.</w:t>
      </w:r>
    </w:p>
    <w:p w:rsidR="00B37016" w:rsidP="00B37016" w14:paraId="3D538DFF" w14:textId="77777777">
      <w:pPr>
        <w:widowControl/>
        <w:tabs>
          <w:tab w:val="left" w:pos="8910"/>
        </w:tabs>
        <w:spacing w:after="120" w:line="259" w:lineRule="auto"/>
        <w:ind w:firstLine="720"/>
      </w:pPr>
      <w:r w:rsidRPr="69CB9FF2">
        <w:rPr>
          <w:i/>
          <w:iCs/>
        </w:rPr>
        <w:t>Timing of Final RDOF Lists.</w:t>
      </w:r>
      <w:r>
        <w:t xml:space="preserve">  The Bureau previously explained that we would announce adjusted location totals for each RDOF carrier within a reasonable time after the December 2026 Fabric is made available to licensees.</w:t>
      </w:r>
      <w:r>
        <w:rPr>
          <w:rStyle w:val="FootnoteReference"/>
        </w:rPr>
        <w:footnoteReference w:id="9"/>
      </w:r>
      <w:r>
        <w:t xml:space="preserve">  We anticipate that we will post location lists based on the December 2026 Fabric in January 2027, and USAC will update the HUBB to reflect these location lists around the same time.  We expect to release a public notice in or around May 2027 adopting these lists as the final RDOF location lists, adjusted location totals, and any authorized support adjustments.  More information about the timeline for transitioning to the Fabric is available at:  </w:t>
      </w:r>
      <w:hyperlink r:id="rId9">
        <w:r w:rsidRPr="69CB9FF2">
          <w:rPr>
            <w:rStyle w:val="Hyperlink"/>
          </w:rPr>
          <w:t>https://www.fcc.gov/wireline-competition/HUBB-Transition</w:t>
        </w:r>
      </w:hyperlink>
      <w:r>
        <w:t xml:space="preserve">.  </w:t>
      </w:r>
    </w:p>
    <w:p w:rsidR="00B37016" w:rsidP="00B37016" w14:paraId="497B3818" w14:textId="77777777">
      <w:pPr>
        <w:widowControl/>
        <w:tabs>
          <w:tab w:val="left" w:pos="8910"/>
        </w:tabs>
        <w:spacing w:after="120" w:line="259" w:lineRule="auto"/>
        <w:ind w:firstLine="720"/>
      </w:pPr>
      <w:r>
        <w:t xml:space="preserve">In this public notice </w:t>
      </w:r>
      <w:r w:rsidRPr="00425D75">
        <w:t>the term “location” refer</w:t>
      </w:r>
      <w:r>
        <w:t>s</w:t>
      </w:r>
      <w:r w:rsidRPr="00425D75">
        <w:t xml:space="preserve"> to the total number of units associated with BSLs in a carrier’s service area.</w:t>
      </w:r>
    </w:p>
    <w:p w:rsidR="00B37016" w:rsidP="00B37016" w14:paraId="1723BD00" w14:textId="77777777">
      <w:pPr>
        <w:widowControl/>
        <w:tabs>
          <w:tab w:val="left" w:pos="8910"/>
        </w:tabs>
        <w:spacing w:after="120" w:line="259" w:lineRule="auto"/>
        <w:ind w:firstLine="720"/>
      </w:pPr>
      <w:r>
        <w:t xml:space="preserve">Carriers that have fewer locations on the December 2026 Fabric than estimated by the Connect America Cost Model (CAM) (model-estimated) shall submit a notification in ECFS in WC Docket Nos. 10-90 and 19-126 and AU Docket No. 20-34 by March 1, 2027, and may </w:t>
      </w:r>
      <w:r w:rsidRPr="00985D19">
        <w:t xml:space="preserve">incorporate the Fabric by reference by certifying that there are fewer locations identified in the latest version of the Fabric in </w:t>
      </w:r>
      <w:r>
        <w:t xml:space="preserve">their </w:t>
      </w:r>
      <w:r w:rsidRPr="00985D19">
        <w:t>relevant service area</w:t>
      </w:r>
      <w:r>
        <w:t>s</w:t>
      </w:r>
      <w:r w:rsidRPr="00985D19">
        <w:t xml:space="preserve"> than the carrier’s model estimated locations total.</w:t>
      </w:r>
      <w:r>
        <w:rPr>
          <w:rStyle w:val="FootnoteReference"/>
        </w:rPr>
        <w:footnoteReference w:id="10"/>
      </w:r>
      <w:r>
        <w:t xml:space="preserve">  </w:t>
      </w:r>
    </w:p>
    <w:p w:rsidR="00B37016" w:rsidP="00B37016" w14:paraId="51165907" w14:textId="77777777">
      <w:pPr>
        <w:widowControl/>
        <w:tabs>
          <w:tab w:val="left" w:pos="8910"/>
        </w:tabs>
        <w:spacing w:after="120" w:line="259" w:lineRule="auto"/>
        <w:ind w:firstLine="720"/>
      </w:pPr>
      <w:r w:rsidRPr="000B22BE">
        <w:rPr>
          <w:i/>
          <w:iCs/>
        </w:rPr>
        <w:t>Interim Service Milestones.</w:t>
      </w:r>
      <w:r>
        <w:t xml:space="preserve">  The 40%, 60%, and 80% interim service milestones for all RDOF carriers will continue to be based on the model-estimated number of locations at the time of authorization.</w:t>
      </w:r>
      <w:r>
        <w:rPr>
          <w:rStyle w:val="FootnoteReference"/>
        </w:rPr>
        <w:footnoteReference w:id="11"/>
      </w:r>
      <w:r>
        <w:t xml:space="preserve">  That is, if an RDOF carrier was originally authorized to offer the required service to 100 model-estimated locations, it will be required to offer the required service to 80 locations to meet the 80% </w:t>
      </w:r>
      <w:r>
        <w:t xml:space="preserve">service milestone, regardless of how many actual locations there are in the service area based on the Fabric.  </w:t>
      </w:r>
    </w:p>
    <w:p w:rsidR="00B37016" w:rsidP="00B37016" w14:paraId="61624BF0" w14:textId="77777777">
      <w:pPr>
        <w:widowControl/>
        <w:tabs>
          <w:tab w:val="left" w:pos="8910"/>
        </w:tabs>
        <w:spacing w:after="120" w:line="259" w:lineRule="auto"/>
        <w:ind w:firstLine="720"/>
      </w:pPr>
      <w:r>
        <w:t>If a carrier offers the required service to all actual locations</w:t>
      </w:r>
      <w:r>
        <w:t xml:space="preserve"> </w:t>
      </w:r>
      <w:r>
        <w:t xml:space="preserve">in its service area and there are not enough actual locations for the carrier to meet an interim service milestone, the carrier should request a verification from USAC to demonstrate that it offers the required service to all locations based on the June 2026 Fabric or the December 2026 Fabric, whichever is the latest available version of the Fabric.  Verifications can be requested by emailing </w:t>
      </w:r>
      <w:hyperlink r:id="rId10">
        <w:r w:rsidRPr="69CB9FF2">
          <w:rPr>
            <w:rStyle w:val="Hyperlink"/>
          </w:rPr>
          <w:t>HCverifications@usac.org</w:t>
        </w:r>
      </w:hyperlink>
      <w:r>
        <w:t>.  If a carrier offers the required service to all actual locations, but the carrier believes the June 2026 Fabric is inaccurate (e.g., the Fabric includes BSLs that the carrier believes are not actually BSLs, BSLs have an associated</w:t>
      </w:r>
      <w:r>
        <w:t xml:space="preserve"> </w:t>
      </w:r>
      <w:r>
        <w:t xml:space="preserve">unit count that the carrier believes is incorrect), the carrier must be able to demonstrate to USAC that it has submitted challenges to the Fabric for those BSLs before USAC will initiate a verification.  USAC will not complete its verification and find the carrier offers the required service to 100% of locations until the carrier is able to demonstrate that the challenges were resolved in the carrier’s favor.  </w:t>
      </w:r>
    </w:p>
    <w:p w:rsidR="00B37016" w:rsidP="00B37016" w14:paraId="130833B2" w14:textId="77777777">
      <w:pPr>
        <w:widowControl/>
        <w:tabs>
          <w:tab w:val="left" w:pos="8910"/>
        </w:tabs>
        <w:spacing w:after="120" w:line="259" w:lineRule="auto"/>
        <w:ind w:firstLine="720"/>
      </w:pPr>
      <w:r>
        <w:t xml:space="preserve">Once USAC has completed its verification and has determined the carrier offers the required service to all actual locations in its RDOF service area, the carrier must file a petition seeking waiver of any applicable interim service milestones (i.e., 40%, 60% and/or 80%).  The Bureau will find good cause to grant the waiver </w:t>
      </w:r>
      <w:r w:rsidRPr="00ED5B7B">
        <w:t xml:space="preserve">if the </w:t>
      </w:r>
      <w:r>
        <w:t>carrier has successfully completed USAC’s verification process and has been found to be offering the required service to 100% of actual locations.</w:t>
      </w:r>
      <w:r>
        <w:rPr>
          <w:rStyle w:val="FootnoteReference"/>
        </w:rPr>
        <w:footnoteReference w:id="12"/>
      </w:r>
      <w:r>
        <w:t xml:space="preserve">  If the waiver is granted, the carrier must monitor the Fabric.  At the end of the one-year cure period following its sixth year 100% service milestone, the carrier must either offer the required service to all locations in its service area based on the December 2026 Fabric </w:t>
      </w:r>
      <w:r w:rsidRPr="004B5D5F">
        <w:t xml:space="preserve">if there are fewer locations in the carrier’s service area than originally </w:t>
      </w:r>
      <w:r>
        <w:t>model-</w:t>
      </w:r>
      <w:r w:rsidRPr="004B5D5F">
        <w:t>estimated</w:t>
      </w:r>
      <w:r>
        <w:t xml:space="preserve"> or offer the required service to</w:t>
      </w:r>
      <w:r w:rsidRPr="004B5D5F">
        <w:t xml:space="preserve"> the number of </w:t>
      </w:r>
      <w:r>
        <w:t>model-estimated locations</w:t>
      </w:r>
      <w:r w:rsidRPr="004B5D5F">
        <w:t xml:space="preserve"> if there are the same number or more locations in the carrier’s service area </w:t>
      </w:r>
      <w:r>
        <w:t xml:space="preserve">based on the December 2026 Fabric </w:t>
      </w:r>
      <w:r w:rsidRPr="004B5D5F">
        <w:t xml:space="preserve">than </w:t>
      </w:r>
      <w:r>
        <w:t xml:space="preserve">in the </w:t>
      </w:r>
      <w:r w:rsidRPr="004B5D5F">
        <w:t xml:space="preserve">original </w:t>
      </w:r>
      <w:r>
        <w:t>model-</w:t>
      </w:r>
      <w:r w:rsidRPr="004B5D5F">
        <w:t>estimate.</w:t>
      </w:r>
      <w:r>
        <w:rPr>
          <w:rStyle w:val="FootnoteReference"/>
        </w:rPr>
        <w:footnoteReference w:id="13"/>
      </w:r>
    </w:p>
    <w:p w:rsidR="00B37016" w:rsidP="00B37016" w14:paraId="3CB3F0A8" w14:textId="77777777">
      <w:pPr>
        <w:widowControl/>
        <w:tabs>
          <w:tab w:val="left" w:pos="8910"/>
        </w:tabs>
        <w:spacing w:after="120" w:line="259" w:lineRule="auto"/>
        <w:ind w:firstLine="720"/>
      </w:pPr>
      <w:r w:rsidRPr="00B67BE7">
        <w:rPr>
          <w:i/>
          <w:iCs/>
        </w:rPr>
        <w:t>Final Service Milestones.</w:t>
      </w:r>
      <w:r w:rsidRPr="003229B9">
        <w:rPr>
          <w:i/>
        </w:rPr>
        <w:t xml:space="preserve"> </w:t>
      </w:r>
      <w:r w:rsidRPr="00B67BE7">
        <w:t xml:space="preserve"> </w:t>
      </w:r>
      <w:r>
        <w:t xml:space="preserve">More guidance regarding the calculations for the support recovery and non-compliance support adjustments after the sixth year and eighth year 100% service milestones is forthcoming.  Here, we provide guidance regarding the timing for the support recovery and non-compliance adjustments.  </w:t>
      </w:r>
    </w:p>
    <w:p w:rsidR="00B37016" w:rsidP="00B37016" w14:paraId="5E243153" w14:textId="77777777">
      <w:pPr>
        <w:widowControl/>
        <w:tabs>
          <w:tab w:val="left" w:pos="8910"/>
        </w:tabs>
        <w:spacing w:after="120" w:line="259" w:lineRule="auto"/>
        <w:ind w:firstLine="720"/>
      </w:pPr>
      <w:r>
        <w:t>After the conclusion of the one-year cure period following the sixth year 100% service milestone,</w:t>
      </w:r>
      <w:r>
        <w:rPr>
          <w:rStyle w:val="FootnoteReference"/>
        </w:rPr>
        <w:footnoteReference w:id="14"/>
      </w:r>
      <w:r>
        <w:t xml:space="preserve"> the Commission will initiate support recovery pursuant to section 54.806(c)(1)(</w:t>
      </w:r>
      <w:r>
        <w:t>i</w:t>
      </w:r>
      <w:r>
        <w:t>) for any RDOF carriers that do not offer the required service to:  1) 100% of the adjusted location total for carriers that have an adjusted location total that is less than their original authorized model-estimated total, or 2) 100% of their original authorized model-estimated total for carriers that have an adjusted location total that is equal to or more than their original authorized model-estimated total.</w:t>
      </w:r>
      <w:r>
        <w:rPr>
          <w:rStyle w:val="FootnoteReference"/>
        </w:rPr>
        <w:footnoteReference w:id="15"/>
      </w:r>
      <w:r>
        <w:t xml:space="preserve">  The support recovery will be initiated after the March 1, 2029 HUBB reporting deadline (for carriers authorized in 2021) and March </w:t>
      </w:r>
      <w:r>
        <w:t>1, 2030 HUBB reporting deadline (for carriers authorized in 2022/2023).</w:t>
      </w:r>
      <w:r>
        <w:rPr>
          <w:rStyle w:val="FootnoteReference"/>
        </w:rPr>
        <w:footnoteReference w:id="16"/>
      </w:r>
      <w:r>
        <w:t xml:space="preserve">  Specifically, the carrier will receive a letter from the Bureau describing the calculation for the support recovery and then the Bureau will direct USAC to send an invoice that the carrier must pay within six months.  Once a carrier has timely paid the required support recovery, it will be permitted to close out its letter of credit.</w:t>
      </w:r>
      <w:r>
        <w:rPr>
          <w:rStyle w:val="FootnoteReference"/>
        </w:rPr>
        <w:footnoteReference w:id="17"/>
      </w:r>
      <w:r>
        <w:t xml:space="preserve">  I</w:t>
      </w:r>
      <w:r w:rsidRPr="00E434FD">
        <w:t xml:space="preserve">f at the end of six months the carrier has not fully repaid the required amount, </w:t>
      </w:r>
      <w:r>
        <w:t>the Bureau</w:t>
      </w:r>
      <w:r w:rsidRPr="00E434FD">
        <w:t xml:space="preserve"> will issue a letter to that effect and USAC will draw on the letter of credit to recover all of the </w:t>
      </w:r>
      <w:r>
        <w:t xml:space="preserve">unpaid </w:t>
      </w:r>
      <w:r w:rsidRPr="00E434FD">
        <w:t xml:space="preserve">support </w:t>
      </w:r>
      <w:r>
        <w:t xml:space="preserve">recovery </w:t>
      </w:r>
      <w:r w:rsidRPr="00E434FD">
        <w:t>covered by the letter of credit.</w:t>
      </w:r>
      <w:r>
        <w:rPr>
          <w:rStyle w:val="FootnoteReference"/>
        </w:rPr>
        <w:footnoteReference w:id="18"/>
      </w:r>
      <w:r>
        <w:t xml:space="preserve">  </w:t>
      </w:r>
    </w:p>
    <w:p w:rsidR="00B37016" w:rsidP="00B37016" w14:paraId="2D852441" w14:textId="77777777">
      <w:pPr>
        <w:widowControl/>
        <w:tabs>
          <w:tab w:val="left" w:pos="8910"/>
        </w:tabs>
        <w:spacing w:after="120" w:line="259" w:lineRule="auto"/>
        <w:ind w:firstLine="720"/>
      </w:pPr>
      <w:r>
        <w:t>Carriers that have an adjusted location total that exceeds their original authorized model-estimated total have two more years to offer the required service to the additional locations.</w:t>
      </w:r>
      <w:r>
        <w:rPr>
          <w:rStyle w:val="FootnoteReference"/>
        </w:rPr>
        <w:footnoteReference w:id="19"/>
      </w:r>
      <w:r>
        <w:t xml:space="preserve">  After the conclusion of the one-year cure period following the eighth year service milestone,</w:t>
      </w:r>
      <w:r>
        <w:rPr>
          <w:rStyle w:val="FootnoteReference"/>
        </w:rPr>
        <w:footnoteReference w:id="20"/>
      </w:r>
      <w:r>
        <w:t xml:space="preserve"> the Bureau will initiate support recovery pursuant to section 54.806(c)(1)(ii) for RDOF carriers that did not offer the required service to 100% of their additional locations.</w:t>
      </w:r>
      <w:r>
        <w:rPr>
          <w:rStyle w:val="FootnoteReference"/>
        </w:rPr>
        <w:footnoteReference w:id="21"/>
      </w:r>
      <w:r>
        <w:t xml:space="preserve">  The carrier will receive a letter from the Bureau describing the calculation for the support recovery and then the Bureau will direct USAC to send an invoice that the carrier must pay within six months.  Carriers that do not make a timely payment will be subject to non-compliance measures.</w:t>
      </w:r>
      <w:r>
        <w:rPr>
          <w:rStyle w:val="FootnoteReference"/>
        </w:rPr>
        <w:footnoteReference w:id="22"/>
      </w:r>
      <w:r>
        <w:t xml:space="preserve"> </w:t>
      </w:r>
    </w:p>
    <w:p w:rsidR="00B37016" w:rsidRPr="008E5FCB" w:rsidP="00B37016" w14:paraId="67CCA90D" w14:textId="77777777">
      <w:pPr>
        <w:widowControl/>
        <w:tabs>
          <w:tab w:val="left" w:pos="8910"/>
        </w:tabs>
        <w:spacing w:after="120" w:line="259" w:lineRule="auto"/>
        <w:ind w:firstLine="720"/>
      </w:pPr>
      <w:r>
        <w:t>In addition to initiating support recovery for carriers that do not offer the required service to the required number of locations by the sixth year and eighth year service milestones, the Bureau will also reduce such carrier’s ongoing support on a pro rata basis to account for the required number of locations to which they do not offer the required service, as those locations will not be included in the carrier’s list of RDOF locations reported in the HUBB and are ineligible for further support going forward.</w:t>
      </w:r>
      <w:r>
        <w:rPr>
          <w:rStyle w:val="FootnoteReference"/>
        </w:rPr>
        <w:footnoteReference w:id="23"/>
      </w:r>
      <w:r>
        <w:t xml:space="preserve">  </w:t>
      </w:r>
      <w:r w:rsidRPr="4B3492DA">
        <w:t>Such adjustments will be made after the March 1</w:t>
      </w:r>
      <w:r w:rsidRPr="008D0385">
        <w:t>st</w:t>
      </w:r>
      <w:r w:rsidRPr="4B3492DA">
        <w:t xml:space="preserve"> filing deadline that follows the </w:t>
      </w:r>
      <w:r>
        <w:t xml:space="preserve">applicable </w:t>
      </w:r>
      <w:r w:rsidRPr="4B3492DA">
        <w:t>one-year cure period</w:t>
      </w:r>
      <w:r>
        <w:t xml:space="preserve"> and </w:t>
      </w:r>
      <w:r w:rsidRPr="4B3492DA">
        <w:t xml:space="preserve">will be retroactively applied to any payments made after </w:t>
      </w:r>
      <w:r>
        <w:t>the sixth and eighth year 100% service milestones</w:t>
      </w:r>
      <w:r w:rsidRPr="4B3492DA">
        <w:t>.</w:t>
      </w:r>
      <w:r w:rsidRPr="008D0385">
        <w:t xml:space="preserve">  </w:t>
      </w:r>
      <w:r>
        <w:t>To the extent feasible, USAC will pro rate RDOF carriers’ future support disbursements to implement this adjustment, but if the RDOF carrier does not have enough remaining support to cover the adjustments, USAC may recover support in a lump sum.</w:t>
      </w:r>
    </w:p>
    <w:p w:rsidR="00B37016" w:rsidP="00B37016" w14:paraId="317E56F4" w14:textId="77777777">
      <w:pPr>
        <w:spacing w:after="120" w:line="259" w:lineRule="auto"/>
        <w:ind w:firstLine="720"/>
        <w:rPr>
          <w:bCs/>
          <w:szCs w:val="22"/>
        </w:rPr>
      </w:pPr>
      <w:r w:rsidRPr="0099098B">
        <w:rPr>
          <w:bCs/>
          <w:i/>
          <w:iCs/>
          <w:szCs w:val="22"/>
        </w:rPr>
        <w:t>RDOF Locations Unreasonable to Serve</w:t>
      </w:r>
      <w:r>
        <w:rPr>
          <w:bCs/>
          <w:szCs w:val="22"/>
        </w:rPr>
        <w:t xml:space="preserve"> </w:t>
      </w:r>
      <w:r w:rsidRPr="00574E3B">
        <w:rPr>
          <w:bCs/>
          <w:i/>
          <w:iCs/>
          <w:szCs w:val="22"/>
        </w:rPr>
        <w:t>Process</w:t>
      </w:r>
      <w:r>
        <w:rPr>
          <w:bCs/>
          <w:szCs w:val="22"/>
        </w:rPr>
        <w:t xml:space="preserve">.  In the </w:t>
      </w:r>
      <w:r w:rsidRPr="003628F1">
        <w:rPr>
          <w:bCs/>
          <w:i/>
          <w:iCs/>
          <w:szCs w:val="22"/>
        </w:rPr>
        <w:t>High-Cost Fabric Order</w:t>
      </w:r>
      <w:r>
        <w:rPr>
          <w:bCs/>
          <w:szCs w:val="22"/>
        </w:rPr>
        <w:t>, the Bureau adopted a process for carriers that are required to deploy to more locations than their original authorized model-estimated location total to demonstrate that there are locations in their service areas that are unreasonable to serve beyond their minimum originally authorized model-estimated number of locations.</w:t>
      </w:r>
      <w:r>
        <w:rPr>
          <w:rStyle w:val="FootnoteReference"/>
          <w:bCs/>
          <w:szCs w:val="22"/>
        </w:rPr>
        <w:footnoteReference w:id="24"/>
      </w:r>
      <w:r>
        <w:rPr>
          <w:bCs/>
          <w:szCs w:val="22"/>
        </w:rPr>
        <w:t xml:space="preserve">  As the Bureau previously explained, we do not expect to routinely grant requests to exclude </w:t>
      </w:r>
      <w:r>
        <w:rPr>
          <w:bCs/>
          <w:szCs w:val="22"/>
        </w:rPr>
        <w:t>locations from a carrier’s new location total, particularly given that carriers had the responsibility to conduct due diligence prior to bidding and the Commission expected RDOF carriers would offer the required service throughout their entire service areas.</w:t>
      </w:r>
      <w:r>
        <w:rPr>
          <w:rStyle w:val="FootnoteReference"/>
          <w:bCs/>
          <w:szCs w:val="22"/>
        </w:rPr>
        <w:footnoteReference w:id="25"/>
      </w:r>
      <w:r>
        <w:rPr>
          <w:bCs/>
          <w:szCs w:val="22"/>
        </w:rPr>
        <w:t xml:space="preserve">  Accordingly, the Bureau will subject carriers that make such requests to a rigorous, thorough, and searching review.</w:t>
      </w:r>
      <w:r>
        <w:rPr>
          <w:rStyle w:val="FootnoteReference"/>
          <w:bCs/>
          <w:szCs w:val="22"/>
        </w:rPr>
        <w:footnoteReference w:id="26"/>
      </w:r>
      <w:r>
        <w:rPr>
          <w:bCs/>
          <w:szCs w:val="22"/>
        </w:rPr>
        <w:t xml:space="preserve">  </w:t>
      </w:r>
    </w:p>
    <w:p w:rsidR="00B37016" w:rsidP="00B37016" w14:paraId="56DA9273" w14:textId="77777777">
      <w:pPr>
        <w:spacing w:after="120" w:line="259" w:lineRule="auto"/>
        <w:ind w:firstLine="720"/>
        <w:rPr>
          <w:bCs/>
          <w:szCs w:val="22"/>
        </w:rPr>
      </w:pPr>
      <w:r w:rsidRPr="69CB9FF2">
        <w:t>The Bureau and USAC will be setting up a system to collect these requests</w:t>
      </w:r>
      <w:r>
        <w:rPr>
          <w:bCs/>
          <w:szCs w:val="22"/>
        </w:rPr>
        <w:t xml:space="preserve">.  </w:t>
      </w:r>
      <w:r w:rsidRPr="69CB9FF2">
        <w:t>We anticipate that we will make the system available for</w:t>
      </w:r>
      <w:r>
        <w:rPr>
          <w:bCs/>
          <w:szCs w:val="22"/>
        </w:rPr>
        <w:t xml:space="preserve"> </w:t>
      </w:r>
      <w:r w:rsidRPr="69CB9FF2">
        <w:t>eligible</w:t>
      </w:r>
      <w:r>
        <w:rPr>
          <w:bCs/>
          <w:szCs w:val="22"/>
        </w:rPr>
        <w:t xml:space="preserve"> </w:t>
      </w:r>
      <w:r w:rsidRPr="69CB9FF2">
        <w:t xml:space="preserve">carriers to submit requests when we release a public notice in or around May 2027 adopting the final RDOF location lists, adjusted location totals, and any support adjustments. </w:t>
      </w:r>
      <w:r>
        <w:rPr>
          <w:bCs/>
          <w:szCs w:val="22"/>
        </w:rPr>
        <w:t xml:space="preserve"> </w:t>
      </w:r>
      <w:r w:rsidRPr="69CB9FF2">
        <w:t xml:space="preserve">At that time, carriers will have six months to submit </w:t>
      </w:r>
      <w:r>
        <w:t xml:space="preserve">a </w:t>
      </w:r>
      <w:r w:rsidRPr="69CB9FF2">
        <w:t>request</w:t>
      </w:r>
      <w:r>
        <w:t>(</w:t>
      </w:r>
      <w:r w:rsidRPr="69CB9FF2">
        <w:t>s</w:t>
      </w:r>
      <w:r>
        <w:t>) that a location is unreasonable to serve</w:t>
      </w:r>
      <w:r w:rsidRPr="69CB9FF2">
        <w:t>.</w:t>
      </w:r>
      <w:r>
        <w:rPr>
          <w:rStyle w:val="FootnoteReference"/>
        </w:rPr>
        <w:footnoteReference w:id="27"/>
      </w:r>
      <w:r>
        <w:rPr>
          <w:bCs/>
          <w:szCs w:val="22"/>
        </w:rPr>
        <w:t xml:space="preserve">  </w:t>
      </w:r>
      <w:r w:rsidRPr="69CB9FF2">
        <w:t xml:space="preserve">Carriers that have adjusted location totals that </w:t>
      </w:r>
      <w:r>
        <w:t xml:space="preserve">are </w:t>
      </w:r>
      <w:r w:rsidRPr="69CB9FF2">
        <w:t>equal</w:t>
      </w:r>
      <w:r>
        <w:t xml:space="preserve"> to</w:t>
      </w:r>
      <w:r w:rsidRPr="69CB9FF2">
        <w:t xml:space="preserve"> or less than their original authorized model-estimated location totals will not be able to access the system.  More information about this process is forthcoming.</w:t>
      </w:r>
      <w:r>
        <w:rPr>
          <w:bCs/>
          <w:szCs w:val="22"/>
        </w:rPr>
        <w:t xml:space="preserve"> </w:t>
      </w:r>
      <w:r>
        <w:rPr>
          <w:bCs/>
          <w:szCs w:val="22"/>
        </w:rPr>
        <w:br/>
      </w:r>
    </w:p>
    <w:p w:rsidR="00B37016" w:rsidRPr="0024769C" w:rsidP="00B37016" w14:paraId="1A312E61" w14:textId="77777777">
      <w:pPr>
        <w:spacing w:after="120" w:line="259" w:lineRule="auto"/>
        <w:ind w:firstLine="720"/>
        <w:jc w:val="center"/>
        <w:rPr>
          <w:b/>
        </w:rPr>
      </w:pPr>
      <w:r w:rsidRPr="00964E43">
        <w:rPr>
          <w:b/>
        </w:rPr>
        <w:t xml:space="preserve">Anticipated Timeline for Fabric Releases, RDOF Final </w:t>
      </w:r>
      <w:r>
        <w:rPr>
          <w:b/>
        </w:rPr>
        <w:t xml:space="preserve">Location </w:t>
      </w:r>
      <w:r w:rsidRPr="00964E43">
        <w:rPr>
          <w:b/>
        </w:rPr>
        <w:t>Lists, and RDOF Unreasonable to Serve Locations Process</w:t>
      </w:r>
    </w:p>
    <w:tbl>
      <w:tblPr>
        <w:tblStyle w:val="TableGrid"/>
        <w:tblW w:w="0" w:type="auto"/>
        <w:tblLook w:val="04A0"/>
      </w:tblPr>
      <w:tblGrid>
        <w:gridCol w:w="2155"/>
        <w:gridCol w:w="7195"/>
      </w:tblGrid>
      <w:tr w14:paraId="3ACA01C8" w14:textId="77777777" w:rsidTr="00E57B20">
        <w:tblPrEx>
          <w:tblW w:w="0" w:type="auto"/>
          <w:tblLook w:val="04A0"/>
        </w:tblPrEx>
        <w:tc>
          <w:tcPr>
            <w:tcW w:w="2155" w:type="dxa"/>
          </w:tcPr>
          <w:p w:rsidR="00B37016" w:rsidRPr="009068A7" w:rsidP="00E57B20" w14:paraId="6BCD0897" w14:textId="77777777">
            <w:pPr>
              <w:spacing w:after="120" w:line="259" w:lineRule="auto"/>
              <w:jc w:val="center"/>
            </w:pPr>
            <w:r>
              <w:t>By June 30, 2026</w:t>
            </w:r>
          </w:p>
        </w:tc>
        <w:tc>
          <w:tcPr>
            <w:tcW w:w="7195" w:type="dxa"/>
          </w:tcPr>
          <w:p w:rsidR="00B37016" w:rsidP="00E57B20" w14:paraId="33CF8264" w14:textId="77777777">
            <w:pPr>
              <w:spacing w:after="120" w:line="259" w:lineRule="auto"/>
            </w:pPr>
            <w:r>
              <w:t>June 2026 Fabric released to licensees</w:t>
            </w:r>
          </w:p>
        </w:tc>
      </w:tr>
      <w:tr w14:paraId="36F5FD96" w14:textId="77777777" w:rsidTr="00E57B20">
        <w:tblPrEx>
          <w:tblW w:w="0" w:type="auto"/>
          <w:tblLook w:val="04A0"/>
        </w:tblPrEx>
        <w:tc>
          <w:tcPr>
            <w:tcW w:w="2155" w:type="dxa"/>
          </w:tcPr>
          <w:p w:rsidR="00B37016" w:rsidP="00E57B20" w14:paraId="72B32C1F" w14:textId="77777777">
            <w:pPr>
              <w:spacing w:after="120" w:line="259" w:lineRule="auto"/>
              <w:jc w:val="center"/>
            </w:pPr>
            <w:r>
              <w:t>September 1, 2026</w:t>
            </w:r>
          </w:p>
        </w:tc>
        <w:tc>
          <w:tcPr>
            <w:tcW w:w="7195" w:type="dxa"/>
          </w:tcPr>
          <w:p w:rsidR="00B37016" w:rsidRPr="0050132F" w:rsidP="00E57B20" w14:paraId="5EB092A0" w14:textId="77777777">
            <w:pPr>
              <w:spacing w:after="120" w:line="259" w:lineRule="auto"/>
            </w:pPr>
            <w:r>
              <w:t>Fabric c</w:t>
            </w:r>
            <w:r w:rsidRPr="00964E43">
              <w:t xml:space="preserve">hallenges </w:t>
            </w:r>
            <w:r>
              <w:t xml:space="preserve">must be </w:t>
            </w:r>
            <w:r w:rsidRPr="00964E43">
              <w:t xml:space="preserve">filed by this date </w:t>
            </w:r>
            <w:r>
              <w:t>in order</w:t>
            </w:r>
            <w:r w:rsidRPr="00964E43">
              <w:t xml:space="preserve"> to be </w:t>
            </w:r>
            <w:r>
              <w:t>considered for inclusion in</w:t>
            </w:r>
            <w:r w:rsidRPr="00964E43">
              <w:t xml:space="preserve"> the December 2026 Fabric</w:t>
            </w:r>
          </w:p>
        </w:tc>
      </w:tr>
      <w:tr w14:paraId="74C4BEFD" w14:textId="77777777" w:rsidTr="00E57B20">
        <w:tblPrEx>
          <w:tblW w:w="0" w:type="auto"/>
          <w:tblLook w:val="04A0"/>
        </w:tblPrEx>
        <w:tc>
          <w:tcPr>
            <w:tcW w:w="2155" w:type="dxa"/>
          </w:tcPr>
          <w:p w:rsidR="00B37016" w:rsidP="00E57B20" w14:paraId="160E27D4" w14:textId="77777777">
            <w:pPr>
              <w:spacing w:after="120" w:line="259" w:lineRule="auto"/>
              <w:jc w:val="center"/>
            </w:pPr>
            <w:r>
              <w:t>December 2026</w:t>
            </w:r>
          </w:p>
        </w:tc>
        <w:tc>
          <w:tcPr>
            <w:tcW w:w="7195" w:type="dxa"/>
          </w:tcPr>
          <w:p w:rsidR="00B37016" w:rsidP="00E57B20" w14:paraId="381ABCAB" w14:textId="77777777">
            <w:pPr>
              <w:spacing w:after="120" w:line="259" w:lineRule="auto"/>
            </w:pPr>
            <w:r>
              <w:t>December 2026 Fabric released to licensees; December 31, 2026 is also the 60% service milestone for carriers authorized in 2022/2023 and 80% service milestone for carriers authorized in 2021, based on the model-estimated location total</w:t>
            </w:r>
          </w:p>
        </w:tc>
      </w:tr>
      <w:tr w14:paraId="57B9066B" w14:textId="77777777" w:rsidTr="00E57B20">
        <w:tblPrEx>
          <w:tblW w:w="0" w:type="auto"/>
          <w:tblLook w:val="04A0"/>
        </w:tblPrEx>
        <w:tc>
          <w:tcPr>
            <w:tcW w:w="2155" w:type="dxa"/>
          </w:tcPr>
          <w:p w:rsidR="00B37016" w:rsidP="00E57B20" w14:paraId="3ADFEC11" w14:textId="77777777">
            <w:pPr>
              <w:spacing w:after="120" w:line="259" w:lineRule="auto"/>
              <w:jc w:val="center"/>
            </w:pPr>
            <w:r>
              <w:t>January 2027</w:t>
            </w:r>
          </w:p>
        </w:tc>
        <w:tc>
          <w:tcPr>
            <w:tcW w:w="7195" w:type="dxa"/>
          </w:tcPr>
          <w:p w:rsidR="00B37016" w:rsidP="00E57B20" w14:paraId="3B702144" w14:textId="77777777">
            <w:pPr>
              <w:spacing w:after="120" w:line="259" w:lineRule="auto"/>
            </w:pPr>
            <w:r>
              <w:t>Bureau posts RDOF lists based on December 2026 Fabric on FCC’s website; HUBB is updated with December 2026 Fabric lists</w:t>
            </w:r>
          </w:p>
        </w:tc>
      </w:tr>
      <w:tr w14:paraId="24C7466D" w14:textId="77777777" w:rsidTr="00E57B20">
        <w:tblPrEx>
          <w:tblW w:w="0" w:type="auto"/>
          <w:tblLook w:val="04A0"/>
        </w:tblPrEx>
        <w:tc>
          <w:tcPr>
            <w:tcW w:w="2155" w:type="dxa"/>
          </w:tcPr>
          <w:p w:rsidR="00B37016" w:rsidP="00E57B20" w14:paraId="7038131B" w14:textId="77777777">
            <w:pPr>
              <w:spacing w:after="120" w:line="259" w:lineRule="auto"/>
              <w:jc w:val="center"/>
            </w:pPr>
            <w:r>
              <w:t>March 1, 2027</w:t>
            </w:r>
          </w:p>
        </w:tc>
        <w:tc>
          <w:tcPr>
            <w:tcW w:w="7195" w:type="dxa"/>
          </w:tcPr>
          <w:p w:rsidR="00B37016" w:rsidP="00E57B20" w14:paraId="3241E3A7" w14:textId="77777777">
            <w:pPr>
              <w:spacing w:after="120" w:line="259" w:lineRule="auto"/>
            </w:pPr>
            <w:r>
              <w:t xml:space="preserve">HUBB filing deadline; Deadline for carriers with fewer locations than model-estimated to submit notification to Bureau </w:t>
            </w:r>
          </w:p>
        </w:tc>
      </w:tr>
      <w:tr w14:paraId="129E12E9" w14:textId="77777777" w:rsidTr="00E57B20">
        <w:tblPrEx>
          <w:tblW w:w="0" w:type="auto"/>
          <w:tblLook w:val="04A0"/>
        </w:tblPrEx>
        <w:tc>
          <w:tcPr>
            <w:tcW w:w="2155" w:type="dxa"/>
          </w:tcPr>
          <w:p w:rsidR="00B37016" w:rsidP="00E57B20" w14:paraId="0BE58563" w14:textId="77777777">
            <w:pPr>
              <w:spacing w:after="120" w:line="259" w:lineRule="auto"/>
              <w:jc w:val="center"/>
            </w:pPr>
            <w:r>
              <w:t>In or around May 2027</w:t>
            </w:r>
          </w:p>
        </w:tc>
        <w:tc>
          <w:tcPr>
            <w:tcW w:w="7195" w:type="dxa"/>
          </w:tcPr>
          <w:p w:rsidR="00B37016" w:rsidP="00E57B20" w14:paraId="7F3AECDF" w14:textId="77777777">
            <w:pPr>
              <w:spacing w:after="120" w:line="259" w:lineRule="auto"/>
            </w:pPr>
            <w:r>
              <w:t>Bureau adopts final RDOF location lists, adjusted location totals, and adjusted support amounts; Window opens for eligible RDOF carriers to submit RDOF Unreasonable to Serve Locations Process requests</w:t>
            </w:r>
          </w:p>
        </w:tc>
      </w:tr>
      <w:tr w14:paraId="2A7310BA" w14:textId="77777777" w:rsidTr="00E57B20">
        <w:tblPrEx>
          <w:tblW w:w="0" w:type="auto"/>
          <w:tblLook w:val="04A0"/>
        </w:tblPrEx>
        <w:tc>
          <w:tcPr>
            <w:tcW w:w="2155" w:type="dxa"/>
          </w:tcPr>
          <w:p w:rsidR="00B37016" w:rsidP="00E57B20" w14:paraId="55483DB3" w14:textId="77777777">
            <w:pPr>
              <w:spacing w:after="120" w:line="259" w:lineRule="auto"/>
              <w:jc w:val="center"/>
            </w:pPr>
            <w:r>
              <w:t>Six months post-adoption of RDOF final location lists</w:t>
            </w:r>
          </w:p>
        </w:tc>
        <w:tc>
          <w:tcPr>
            <w:tcW w:w="7195" w:type="dxa"/>
          </w:tcPr>
          <w:p w:rsidR="00B37016" w:rsidP="00E57B20" w14:paraId="4F73D9B0" w14:textId="77777777">
            <w:pPr>
              <w:spacing w:after="120" w:line="259" w:lineRule="auto"/>
            </w:pPr>
            <w:r>
              <w:t>Window for eligible carriers to submit RDOF Unreasonable to Serve Locations Process requests closes</w:t>
            </w:r>
          </w:p>
        </w:tc>
      </w:tr>
    </w:tbl>
    <w:p w:rsidR="00B37016" w:rsidP="00B37016" w14:paraId="1B55769B" w14:textId="77777777">
      <w:pPr>
        <w:spacing w:after="120" w:line="259" w:lineRule="auto"/>
        <w:ind w:firstLine="720"/>
        <w:jc w:val="center"/>
      </w:pPr>
    </w:p>
    <w:p w:rsidR="00B37016" w:rsidP="00B37016" w14:paraId="38B3D347" w14:textId="77777777">
      <w:pPr>
        <w:spacing w:after="120" w:line="259" w:lineRule="auto"/>
        <w:ind w:firstLine="720"/>
        <w:rPr>
          <w:bCs/>
          <w:szCs w:val="22"/>
        </w:rPr>
      </w:pPr>
      <w:r>
        <w:t xml:space="preserve">The table above provides Bureau’s anticipated timeline, but we advise carriers to check the HUBB Transition webpage, </w:t>
      </w:r>
      <w:hyperlink r:id="rId9" w:history="1">
        <w:r w:rsidRPr="00A844F1">
          <w:rPr>
            <w:rStyle w:val="Hyperlink"/>
          </w:rPr>
          <w:t>https://www.fcc.gov/wireline-competition/HUBB-Transition</w:t>
        </w:r>
      </w:hyperlink>
      <w:r>
        <w:t>, for any updates and all future dates, including timing for support recovery.</w:t>
      </w:r>
    </w:p>
    <w:p w:rsidR="00BA3BA8" w:rsidP="00806514" w14:paraId="25CF5153" w14:textId="7CF3F6EA">
      <w:pPr>
        <w:widowControl/>
        <w:jc w:val="center"/>
      </w:pPr>
      <w:r w:rsidRPr="00F13EDF">
        <w:rPr>
          <w:b/>
        </w:rPr>
        <w:t>-FCC-</w:t>
      </w:r>
    </w:p>
    <w:sectPr>
      <w:headerReference w:type="default" r:id="rId11"/>
      <w:footerReference w:type="even" r:id="rId12"/>
      <w:footerReference w:type="default" r:id="rId13"/>
      <w:headerReference w:type="first" r:id="rId14"/>
      <w:footerReference w:type="first" r:id="rId15"/>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2A2FB9" w14:paraId="19C088E6" w14:textId="77777777">
      <w:pPr>
        <w:spacing w:line="20" w:lineRule="exact"/>
      </w:pPr>
    </w:p>
  </w:endnote>
  <w:endnote w:type="continuationSeparator" w:id="1">
    <w:p w:rsidR="002A2FB9" w14:paraId="4FF76DA6" w14:textId="77777777">
      <w:r>
        <w:t xml:space="preserve"> </w:t>
      </w:r>
    </w:p>
  </w:endnote>
  <w:endnote w:type="continuationNotice" w:id="2">
    <w:p w:rsidR="002A2FB9" w14:paraId="57715783"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altName w:val="Times New Roman"/>
    <w:panose1 w:val="02020803070505020304"/>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NewRomanPSMT">
    <w:altName w:val="Times New Roman"/>
    <w:panose1 w:val="00000000000000000000"/>
    <w:charset w:val="00"/>
    <w:family w:val="swiss"/>
    <w:notTrueType/>
    <w:pitch w:val="default"/>
    <w:sig w:usb0="00000003" w:usb1="00000000" w:usb2="00000000" w:usb3="00000000" w:csb0="00000001"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6301D5DE"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58769644"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49DEADC8"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17931A48"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2A2FB9" w14:paraId="082848E1" w14:textId="77777777">
      <w:r>
        <w:separator/>
      </w:r>
    </w:p>
  </w:footnote>
  <w:footnote w:type="continuationSeparator" w:id="1">
    <w:p w:rsidR="002A2FB9" w14:paraId="3A3AE68F" w14:textId="77777777">
      <w:pPr>
        <w:rPr>
          <w:sz w:val="20"/>
        </w:rPr>
      </w:pPr>
      <w:r>
        <w:rPr>
          <w:sz w:val="20"/>
        </w:rPr>
        <w:t xml:space="preserve">(Continued from previous page)  </w:t>
      </w:r>
      <w:r>
        <w:rPr>
          <w:sz w:val="20"/>
        </w:rPr>
        <w:separator/>
      </w:r>
    </w:p>
  </w:footnote>
  <w:footnote w:type="continuationNotice" w:id="2">
    <w:p w:rsidR="002A2FB9" w14:paraId="5C5D8ABC" w14:textId="77777777">
      <w:pPr>
        <w:jc w:val="right"/>
        <w:rPr>
          <w:sz w:val="20"/>
        </w:rPr>
      </w:pPr>
      <w:r>
        <w:rPr>
          <w:sz w:val="20"/>
        </w:rPr>
        <w:t>(continued….)</w:t>
      </w:r>
    </w:p>
  </w:footnote>
  <w:footnote w:id="3">
    <w:p w:rsidR="00B37016" w:rsidP="00B37016" w14:paraId="23EB4FC2" w14:textId="77777777">
      <w:pPr>
        <w:pStyle w:val="FootnoteText"/>
      </w:pPr>
      <w:r>
        <w:rPr>
          <w:rStyle w:val="FootnoteReference"/>
        </w:rPr>
        <w:footnoteRef/>
      </w:r>
      <w:r>
        <w:t xml:space="preserve"> The Commission directed the Bureau to use an updated data source to determine the actual number of locations on the ground and publish adjusted location counts for RDOF carriers prior to the sixth year service milestone.  </w:t>
      </w:r>
      <w:r w:rsidRPr="00A9225F">
        <w:rPr>
          <w:i/>
          <w:iCs/>
        </w:rPr>
        <w:t>Rural Digital Opportunity Fund et al.</w:t>
      </w:r>
      <w:r>
        <w:t xml:space="preserve">, WC Docket No. 19-126 et al., Report and Order, 35 FCC </w:t>
      </w:r>
      <w:r>
        <w:t>Rcd</w:t>
      </w:r>
      <w:r>
        <w:t xml:space="preserve"> 686, 709-11, paras. 45-52 (2020) (</w:t>
      </w:r>
      <w:r w:rsidRPr="00B73FA0">
        <w:rPr>
          <w:i/>
          <w:iCs/>
        </w:rPr>
        <w:t>RDOF Order</w:t>
      </w:r>
      <w:r>
        <w:t xml:space="preserve">).  In January 2025, the Bureau adopted the December 2026 Fabric as the source for the adjusted location counts.  </w:t>
      </w:r>
      <w:r w:rsidRPr="009A2AFF">
        <w:rPr>
          <w:i/>
          <w:iCs/>
        </w:rPr>
        <w:t>Connect America Fund et al.</w:t>
      </w:r>
      <w:r>
        <w:t xml:space="preserve">, WC Docket No. 10-90 et al., Order, 40 FCC </w:t>
      </w:r>
      <w:r>
        <w:t>Rcd</w:t>
      </w:r>
      <w:r>
        <w:t xml:space="preserve"> 281, 284-85, 291-92, paras. 9, 25 (WCB 2025) (</w:t>
      </w:r>
      <w:r w:rsidRPr="00173D8F">
        <w:rPr>
          <w:i/>
          <w:iCs/>
        </w:rPr>
        <w:t>High-Cost Fabric Order</w:t>
      </w:r>
      <w:r>
        <w:t>).</w:t>
      </w:r>
    </w:p>
  </w:footnote>
  <w:footnote w:id="4">
    <w:p w:rsidR="00B37016" w:rsidP="00B37016" w14:paraId="155F92CE" w14:textId="77777777">
      <w:pPr>
        <w:pStyle w:val="FootnoteText"/>
      </w:pPr>
      <w:r>
        <w:rPr>
          <w:rStyle w:val="FootnoteReference"/>
        </w:rPr>
        <w:footnoteRef/>
      </w:r>
      <w:r>
        <w:t xml:space="preserve"> FCC, </w:t>
      </w:r>
      <w:r w:rsidRPr="00FD6200">
        <w:rPr>
          <w:i/>
          <w:iCs/>
        </w:rPr>
        <w:t>Broadband Data Collection</w:t>
      </w:r>
      <w:r>
        <w:t xml:space="preserve">, </w:t>
      </w:r>
      <w:hyperlink r:id="rId1" w:history="1">
        <w:r w:rsidRPr="008C28AF">
          <w:rPr>
            <w:rStyle w:val="Hyperlink"/>
          </w:rPr>
          <w:t>https://www.fcc.gov/BroadbandData</w:t>
        </w:r>
      </w:hyperlink>
      <w:r>
        <w:t xml:space="preserve"> (last visited July 7, 2026); </w:t>
      </w:r>
      <w:r w:rsidRPr="00F65AC5">
        <w:rPr>
          <w:i/>
          <w:iCs/>
        </w:rPr>
        <w:t xml:space="preserve">Broadband Data Task Force and Office of Economics and Analytics Announce Opening of Broadband Data Collection Filing Window, Fabric Challenge Deadline, and </w:t>
      </w:r>
      <w:r>
        <w:rPr>
          <w:i/>
          <w:iCs/>
        </w:rPr>
        <w:t xml:space="preserve">BDC </w:t>
      </w:r>
      <w:r w:rsidRPr="00F65AC5">
        <w:rPr>
          <w:i/>
          <w:iCs/>
        </w:rPr>
        <w:t>Data Archival Policy</w:t>
      </w:r>
      <w:r>
        <w:t>, WC Docket Nos. 11-10, 19-195, Public Notice, DA 26-630, at 3 (BDTF/OEA June 26, 2026) (</w:t>
      </w:r>
      <w:r w:rsidRPr="008D07A7">
        <w:rPr>
          <w:i/>
          <w:iCs/>
        </w:rPr>
        <w:t>June 2026 Fabric Public Notice</w:t>
      </w:r>
      <w:r>
        <w:t xml:space="preserve">). </w:t>
      </w:r>
    </w:p>
  </w:footnote>
  <w:footnote w:id="5">
    <w:p w:rsidR="00B37016" w:rsidP="00B37016" w14:paraId="0E8FADB3" w14:textId="77777777">
      <w:pPr>
        <w:pStyle w:val="FootnoteText"/>
      </w:pPr>
      <w:r>
        <w:rPr>
          <w:rStyle w:val="FootnoteReference"/>
        </w:rPr>
        <w:footnoteRef/>
      </w:r>
      <w:r>
        <w:t xml:space="preserve"> </w:t>
      </w:r>
      <w:r w:rsidRPr="00A552A8">
        <w:rPr>
          <w:i/>
          <w:iCs/>
        </w:rPr>
        <w:t>High-Cost Fabric Order</w:t>
      </w:r>
      <w:r>
        <w:t xml:space="preserve">, 40 FCC </w:t>
      </w:r>
      <w:r>
        <w:t>Rcd</w:t>
      </w:r>
      <w:r>
        <w:t xml:space="preserve"> at 292, para. 25.</w:t>
      </w:r>
    </w:p>
  </w:footnote>
  <w:footnote w:id="6">
    <w:p w:rsidR="00B37016" w:rsidP="00B37016" w14:paraId="39075CBB" w14:textId="77777777">
      <w:pPr>
        <w:pStyle w:val="FootnoteText"/>
      </w:pPr>
      <w:r>
        <w:rPr>
          <w:rStyle w:val="FootnoteReference"/>
        </w:rPr>
        <w:footnoteRef/>
      </w:r>
      <w:r>
        <w:t xml:space="preserve"> </w:t>
      </w:r>
      <w:r>
        <w:rPr>
          <w:i/>
          <w:iCs/>
        </w:rPr>
        <w:t>June 2026 Fabric Public Notice</w:t>
      </w:r>
      <w:r>
        <w:t xml:space="preserve"> at 3.</w:t>
      </w:r>
    </w:p>
  </w:footnote>
  <w:footnote w:id="7">
    <w:p w:rsidR="00B37016" w:rsidP="00B37016" w14:paraId="6A7D4E51" w14:textId="77777777">
      <w:pPr>
        <w:pStyle w:val="FootnoteText"/>
      </w:pPr>
      <w:r>
        <w:rPr>
          <w:rStyle w:val="FootnoteReference"/>
        </w:rPr>
        <w:footnoteRef/>
      </w:r>
      <w:r>
        <w:t xml:space="preserve"> FCC, </w:t>
      </w:r>
      <w:r w:rsidRPr="00D6758D">
        <w:rPr>
          <w:i/>
          <w:iCs/>
        </w:rPr>
        <w:t>Broadband Data Collection Help Center</w:t>
      </w:r>
      <w:r>
        <w:t xml:space="preserve">, “The Location Fabric,” </w:t>
      </w:r>
      <w:hyperlink r:id="rId2" w:history="1">
        <w:r w:rsidRPr="008C28AF">
          <w:rPr>
            <w:rStyle w:val="Hyperlink"/>
          </w:rPr>
          <w:t>https://help.bdc.fcc.gov/hc/en-us/categories/10275178002075-The-Location-Fabric</w:t>
        </w:r>
      </w:hyperlink>
      <w:r>
        <w:t xml:space="preserve"> (last visited July 7, 2026).</w:t>
      </w:r>
    </w:p>
  </w:footnote>
  <w:footnote w:id="8">
    <w:p w:rsidR="00B37016" w:rsidRPr="0079428D" w:rsidP="00B37016" w14:paraId="64327834" w14:textId="77777777">
      <w:pPr>
        <w:pStyle w:val="FootnoteText"/>
      </w:pPr>
      <w:r>
        <w:rPr>
          <w:rStyle w:val="FootnoteReference"/>
        </w:rPr>
        <w:footnoteRef/>
      </w:r>
      <w:r>
        <w:t xml:space="preserve"> </w:t>
      </w:r>
      <w:r>
        <w:rPr>
          <w:i/>
          <w:iCs/>
        </w:rPr>
        <w:t xml:space="preserve">See </w:t>
      </w:r>
      <w:r>
        <w:t xml:space="preserve">FCC, </w:t>
      </w:r>
      <w:r>
        <w:rPr>
          <w:i/>
          <w:iCs/>
        </w:rPr>
        <w:t>Broadband Data Collection Help Center</w:t>
      </w:r>
      <w:r>
        <w:t xml:space="preserve">, “How to Align Your Location Data to the Broadband Serviceable Location Fabric,” </w:t>
      </w:r>
      <w:hyperlink r:id="rId3" w:history="1">
        <w:r w:rsidRPr="008D0064">
          <w:rPr>
            <w:rStyle w:val="Hyperlink"/>
          </w:rPr>
          <w:t>https://help.bdc.fcc.gov/hc/en-us/articles/48535890138907-How-to-Align-Your-Location-Data-to-the-Broadband-Serviceable-Location-Fabric</w:t>
        </w:r>
      </w:hyperlink>
      <w:r>
        <w:t xml:space="preserve"> (last updated May 13, 2026).</w:t>
      </w:r>
    </w:p>
  </w:footnote>
  <w:footnote w:id="9">
    <w:p w:rsidR="00B37016" w:rsidP="00B37016" w14:paraId="7F3A499D" w14:textId="77777777">
      <w:pPr>
        <w:pStyle w:val="FootnoteText"/>
      </w:pPr>
      <w:r>
        <w:rPr>
          <w:rStyle w:val="FootnoteReference"/>
        </w:rPr>
        <w:footnoteRef/>
      </w:r>
      <w:r>
        <w:t xml:space="preserve"> </w:t>
      </w:r>
      <w:r w:rsidRPr="00A552A8">
        <w:rPr>
          <w:i/>
          <w:iCs/>
        </w:rPr>
        <w:t>High-Cost Fabric Order</w:t>
      </w:r>
      <w:r>
        <w:t xml:space="preserve">, 40 FCC </w:t>
      </w:r>
      <w:r>
        <w:t>Rcd</w:t>
      </w:r>
      <w:r>
        <w:t xml:space="preserve"> at 291-92, para. 25.  </w:t>
      </w:r>
    </w:p>
  </w:footnote>
  <w:footnote w:id="10">
    <w:p w:rsidR="00B37016" w:rsidP="00B37016" w14:paraId="7A270D5C" w14:textId="77777777">
      <w:pPr>
        <w:pStyle w:val="FootnoteText"/>
      </w:pPr>
      <w:r>
        <w:rPr>
          <w:rStyle w:val="FootnoteReference"/>
        </w:rPr>
        <w:footnoteRef/>
      </w:r>
      <w:r>
        <w:t xml:space="preserve"> 47 CFR § 54.802(c)(1)(ii); </w:t>
      </w:r>
      <w:r w:rsidRPr="00935CAA">
        <w:rPr>
          <w:i/>
          <w:iCs/>
        </w:rPr>
        <w:t>RDOF Order</w:t>
      </w:r>
      <w:r>
        <w:t xml:space="preserve">, 35 FCC </w:t>
      </w:r>
      <w:r>
        <w:t>Rcd</w:t>
      </w:r>
      <w:r>
        <w:t xml:space="preserve"> at 711, para. 51; </w:t>
      </w:r>
      <w:r w:rsidRPr="00A552A8">
        <w:rPr>
          <w:i/>
          <w:iCs/>
        </w:rPr>
        <w:t>High-Cost Fabric Order</w:t>
      </w:r>
      <w:r>
        <w:t xml:space="preserve">, 40 FCC </w:t>
      </w:r>
      <w:r>
        <w:t>Rcd</w:t>
      </w:r>
      <w:r>
        <w:t xml:space="preserve"> at 298-99, para. 41.  </w:t>
      </w:r>
    </w:p>
  </w:footnote>
  <w:footnote w:id="11">
    <w:p w:rsidR="00B37016" w:rsidP="00B37016" w14:paraId="4738700B" w14:textId="77777777">
      <w:pPr>
        <w:pStyle w:val="FootnoteText"/>
      </w:pPr>
      <w:r>
        <w:rPr>
          <w:rStyle w:val="FootnoteReference"/>
        </w:rPr>
        <w:footnoteRef/>
      </w:r>
      <w:r>
        <w:t xml:space="preserve"> 47 CFR § 54.802(c)(1); </w:t>
      </w:r>
      <w:r w:rsidRPr="00331F6C">
        <w:rPr>
          <w:i/>
          <w:iCs/>
        </w:rPr>
        <w:t>RDOF Order</w:t>
      </w:r>
      <w:r>
        <w:t xml:space="preserve">, 35 FCC </w:t>
      </w:r>
      <w:r>
        <w:t>Rcd</w:t>
      </w:r>
      <w:r>
        <w:t xml:space="preserve"> at 709, para. 45.  If a carrier has transferred a portion of its RDOF support and obligations through a section 214 transaction, the Bureau will use the carrier’s remaining required model-estimated location total to calculate service milestones.  47 U.S.C. § 214(a), 47 CFR §§ 63.03, 63.04.  If a carrier has defaulted on certain census block groups early, we will use the carrier’s original authorized model-estimated location total unless the Bureau has granted the carrier a waiver to pay a portion of its support recovery early and the carrier has timely paid the associated support recovery</w:t>
      </w:r>
      <w:r w:rsidRPr="00704988">
        <w:rPr>
          <w:i/>
          <w:iCs/>
        </w:rPr>
        <w:t>.  See, e.g.</w:t>
      </w:r>
      <w:r>
        <w:t xml:space="preserve">, </w:t>
      </w:r>
      <w:r w:rsidRPr="00704988">
        <w:rPr>
          <w:i/>
          <w:iCs/>
        </w:rPr>
        <w:t>Connect America Fund et al.</w:t>
      </w:r>
      <w:r>
        <w:t xml:space="preserve">, WC Docket No. 10-90 et al., Order, 39 FCC </w:t>
      </w:r>
      <w:r>
        <w:t>Rcd</w:t>
      </w:r>
      <w:r>
        <w:t xml:space="preserve"> 12627 (WCB 2024) (</w:t>
      </w:r>
      <w:r w:rsidRPr="00384BF5">
        <w:rPr>
          <w:i/>
          <w:iCs/>
        </w:rPr>
        <w:t>RTC Early Support Recovery Order</w:t>
      </w:r>
      <w:r>
        <w:t xml:space="preserve">).  </w:t>
      </w:r>
    </w:p>
  </w:footnote>
  <w:footnote w:id="12">
    <w:p w:rsidR="00B37016" w:rsidP="00B37016" w14:paraId="5B2F25F1" w14:textId="77777777">
      <w:pPr>
        <w:pStyle w:val="FootnoteText"/>
      </w:pPr>
      <w:r>
        <w:rPr>
          <w:rStyle w:val="FootnoteReference"/>
        </w:rPr>
        <w:footnoteRef/>
      </w:r>
      <w:r>
        <w:t xml:space="preserve"> </w:t>
      </w:r>
      <w:r w:rsidRPr="000B2D69">
        <w:rPr>
          <w:i/>
          <w:iCs/>
        </w:rPr>
        <w:t>High-Cost Fabric Order</w:t>
      </w:r>
      <w:r>
        <w:t xml:space="preserve">, 40 FCC </w:t>
      </w:r>
      <w:r>
        <w:t>Rcd</w:t>
      </w:r>
      <w:r>
        <w:t xml:space="preserve"> at 300-01, para. 45.  </w:t>
      </w:r>
      <w:r w:rsidRPr="00964E43">
        <w:rPr>
          <w:i/>
          <w:iCs/>
        </w:rPr>
        <w:t>See, e.g.</w:t>
      </w:r>
      <w:r>
        <w:t xml:space="preserve">, </w:t>
      </w:r>
      <w:r>
        <w:rPr>
          <w:i/>
          <w:iCs/>
        </w:rPr>
        <w:t xml:space="preserve">Streamlined Resolution of Requests Related to Actions by the Universal Service Administrative </w:t>
      </w:r>
      <w:r w:rsidRPr="00FB5D30">
        <w:rPr>
          <w:i/>
          <w:iCs/>
        </w:rPr>
        <w:t>Company</w:t>
      </w:r>
      <w:r>
        <w:t xml:space="preserve">, WC Docket No. 10-90 et al., Public Notice, DA 26-497, </w:t>
      </w:r>
      <w:r w:rsidRPr="00FB5D30">
        <w:t>at</w:t>
      </w:r>
      <w:r>
        <w:t xml:space="preserve"> 25 &amp; n.42 (WCB June 1, 2026) (granting a RDOF carrier’s petition for waiver of the 60% and 80% RDOF service milestones after it was verified to have served 100% of existing locations in its RDOF service area).</w:t>
      </w:r>
    </w:p>
  </w:footnote>
  <w:footnote w:id="13">
    <w:p w:rsidR="00B37016" w:rsidP="00B37016" w14:paraId="3ACF877C" w14:textId="77777777">
      <w:pPr>
        <w:pStyle w:val="FootnoteText"/>
      </w:pPr>
      <w:r>
        <w:rPr>
          <w:rStyle w:val="FootnoteReference"/>
        </w:rPr>
        <w:footnoteRef/>
      </w:r>
      <w:r>
        <w:t xml:space="preserve"> </w:t>
      </w:r>
      <w:r w:rsidRPr="000B2D69">
        <w:rPr>
          <w:i/>
          <w:iCs/>
        </w:rPr>
        <w:t>High-Cost Fabric Order</w:t>
      </w:r>
      <w:r>
        <w:t xml:space="preserve">, 40 FCC </w:t>
      </w:r>
      <w:r>
        <w:t>Rcd</w:t>
      </w:r>
      <w:r>
        <w:t xml:space="preserve"> at 299-300, para. 44.</w:t>
      </w:r>
    </w:p>
  </w:footnote>
  <w:footnote w:id="14">
    <w:p w:rsidR="00B37016" w:rsidP="00B37016" w14:paraId="468D8054" w14:textId="77777777">
      <w:pPr>
        <w:pStyle w:val="FootnoteText"/>
      </w:pPr>
      <w:r>
        <w:rPr>
          <w:rStyle w:val="FootnoteReference"/>
        </w:rPr>
        <w:footnoteRef/>
      </w:r>
      <w:r>
        <w:t xml:space="preserve"> For carriers authorized in 2021, the sixth year 100% service milestone is December 31, 2027 and the cure period ends December 31, 2028.  For carriers authorized in 2022 and 2023, the sixth year 100% service milestone is December 31, 2028 and the cure period ends December 31, 2029.  </w:t>
      </w:r>
    </w:p>
  </w:footnote>
  <w:footnote w:id="15">
    <w:p w:rsidR="00B37016" w:rsidP="00B37016" w14:paraId="3D810004" w14:textId="77777777">
      <w:pPr>
        <w:pStyle w:val="FootnoteText"/>
      </w:pPr>
      <w:r>
        <w:rPr>
          <w:rStyle w:val="FootnoteReference"/>
        </w:rPr>
        <w:footnoteRef/>
      </w:r>
      <w:r>
        <w:t xml:space="preserve"> 47 CFR § 54.806(c)(1)(</w:t>
      </w:r>
      <w:r>
        <w:t>i</w:t>
      </w:r>
      <w:r>
        <w:t xml:space="preserve">); </w:t>
      </w:r>
      <w:r w:rsidRPr="009B36C5">
        <w:rPr>
          <w:i/>
          <w:iCs/>
        </w:rPr>
        <w:t>RDOF Order</w:t>
      </w:r>
      <w:r>
        <w:t xml:space="preserve">, 35 FCC </w:t>
      </w:r>
      <w:r>
        <w:t>Rcd</w:t>
      </w:r>
      <w:r>
        <w:t xml:space="preserve"> at 715, para 60.  </w:t>
      </w:r>
    </w:p>
  </w:footnote>
  <w:footnote w:id="16">
    <w:p w:rsidR="00B37016" w:rsidP="00B37016" w14:paraId="18EA69B4" w14:textId="77777777">
      <w:pPr>
        <w:pStyle w:val="FootnoteText"/>
      </w:pPr>
      <w:r>
        <w:rPr>
          <w:rStyle w:val="FootnoteReference"/>
        </w:rPr>
        <w:footnoteRef/>
      </w:r>
      <w:r>
        <w:t xml:space="preserve"> 47 CFR § 54.316(c).</w:t>
      </w:r>
    </w:p>
  </w:footnote>
  <w:footnote w:id="17">
    <w:p w:rsidR="00B37016" w:rsidP="00B37016" w14:paraId="73E5E678" w14:textId="77777777">
      <w:pPr>
        <w:pStyle w:val="FootnoteText"/>
      </w:pPr>
      <w:r>
        <w:rPr>
          <w:rStyle w:val="FootnoteReference"/>
        </w:rPr>
        <w:footnoteRef/>
      </w:r>
      <w:r>
        <w:t xml:space="preserve"> </w:t>
      </w:r>
      <w:r w:rsidRPr="000B2D69">
        <w:rPr>
          <w:i/>
          <w:iCs/>
        </w:rPr>
        <w:t>High-Cost Fabric Order</w:t>
      </w:r>
      <w:r>
        <w:t xml:space="preserve">, 40 FCC </w:t>
      </w:r>
      <w:r>
        <w:t>Rcd</w:t>
      </w:r>
      <w:r>
        <w:t xml:space="preserve"> at 299, para. 42.</w:t>
      </w:r>
    </w:p>
  </w:footnote>
  <w:footnote w:id="18">
    <w:p w:rsidR="00B37016" w:rsidP="00B37016" w14:paraId="55C77FC1" w14:textId="77777777">
      <w:pPr>
        <w:pStyle w:val="FootnoteText"/>
      </w:pPr>
      <w:r>
        <w:rPr>
          <w:rStyle w:val="FootnoteReference"/>
        </w:rPr>
        <w:footnoteRef/>
      </w:r>
      <w:r>
        <w:t xml:space="preserve"> 47 CFR § 54.804(c)(4)(</w:t>
      </w:r>
      <w:r>
        <w:t>i</w:t>
      </w:r>
      <w:r>
        <w:t xml:space="preserve">); </w:t>
      </w:r>
      <w:r w:rsidRPr="006C1D6F">
        <w:rPr>
          <w:i/>
          <w:iCs/>
        </w:rPr>
        <w:t>RDOF Order</w:t>
      </w:r>
      <w:r>
        <w:t xml:space="preserve">, 35 FCC </w:t>
      </w:r>
      <w:r>
        <w:t>Rcd</w:t>
      </w:r>
      <w:r>
        <w:t xml:space="preserve"> at 715, para. 63.</w:t>
      </w:r>
    </w:p>
  </w:footnote>
  <w:footnote w:id="19">
    <w:p w:rsidR="00B37016" w:rsidP="00B37016" w14:paraId="617CFA2F" w14:textId="77777777">
      <w:pPr>
        <w:pStyle w:val="FootnoteText"/>
      </w:pPr>
      <w:r>
        <w:rPr>
          <w:rStyle w:val="FootnoteReference"/>
        </w:rPr>
        <w:footnoteRef/>
      </w:r>
      <w:r>
        <w:t xml:space="preserve"> 47 CFR § 54.802(c)(1)(</w:t>
      </w:r>
      <w:r>
        <w:t>i</w:t>
      </w:r>
      <w:r>
        <w:t xml:space="preserve">); </w:t>
      </w:r>
      <w:r w:rsidRPr="006C1D6F">
        <w:rPr>
          <w:i/>
          <w:iCs/>
        </w:rPr>
        <w:t>RDOF Order</w:t>
      </w:r>
      <w:r>
        <w:t xml:space="preserve">, 35 FCC </w:t>
      </w:r>
      <w:r>
        <w:t>Rcd</w:t>
      </w:r>
      <w:r>
        <w:t xml:space="preserve"> at 710, para. 49.</w:t>
      </w:r>
    </w:p>
  </w:footnote>
  <w:footnote w:id="20">
    <w:p w:rsidR="00B37016" w:rsidP="00B37016" w14:paraId="1296CC92" w14:textId="77777777">
      <w:pPr>
        <w:pStyle w:val="FootnoteText"/>
      </w:pPr>
      <w:r>
        <w:rPr>
          <w:rStyle w:val="FootnoteReference"/>
        </w:rPr>
        <w:footnoteRef/>
      </w:r>
      <w:r>
        <w:t xml:space="preserve"> For carriers authorized in 2021, the eighth year 100% service milestone is December 31, 2029 and the cure period ends December 31, 2030.  For carriers authorized in 2022 and 2023, the eighth year 100% service milestone is December 31, 2030 and the cure period ends December 31, 2031.  </w:t>
      </w:r>
    </w:p>
  </w:footnote>
  <w:footnote w:id="21">
    <w:p w:rsidR="00B37016" w:rsidP="00B37016" w14:paraId="3E32BB4E" w14:textId="77777777">
      <w:pPr>
        <w:pStyle w:val="FootnoteText"/>
      </w:pPr>
      <w:r>
        <w:rPr>
          <w:rStyle w:val="FootnoteReference"/>
        </w:rPr>
        <w:footnoteRef/>
      </w:r>
      <w:r>
        <w:t xml:space="preserve"> 47 CFR § 54.806(c)(1)(ii); </w:t>
      </w:r>
      <w:r w:rsidRPr="006C1D6F">
        <w:rPr>
          <w:i/>
          <w:iCs/>
        </w:rPr>
        <w:t>RDOF Order</w:t>
      </w:r>
      <w:r>
        <w:t xml:space="preserve">, 35 FCC </w:t>
      </w:r>
      <w:r>
        <w:t>Rcd</w:t>
      </w:r>
      <w:r>
        <w:t xml:space="preserve"> at 715, para. 61.  </w:t>
      </w:r>
    </w:p>
  </w:footnote>
  <w:footnote w:id="22">
    <w:p w:rsidR="00B37016" w:rsidP="00B37016" w14:paraId="3B487701" w14:textId="77777777">
      <w:pPr>
        <w:pStyle w:val="FootnoteText"/>
      </w:pPr>
      <w:r>
        <w:rPr>
          <w:rStyle w:val="FootnoteReference"/>
        </w:rPr>
        <w:footnoteRef/>
      </w:r>
      <w:r>
        <w:t xml:space="preserve"> </w:t>
      </w:r>
      <w:r w:rsidRPr="00942517">
        <w:rPr>
          <w:i/>
          <w:iCs/>
        </w:rPr>
        <w:t>See, e.g.</w:t>
      </w:r>
      <w:r>
        <w:t xml:space="preserve">, 47 CFR § 54.320(c); </w:t>
      </w:r>
      <w:r w:rsidRPr="00C46FB9">
        <w:rPr>
          <w:i/>
          <w:iCs/>
        </w:rPr>
        <w:t>RDOF Order</w:t>
      </w:r>
      <w:r>
        <w:t xml:space="preserve">, 35 FCC </w:t>
      </w:r>
      <w:r>
        <w:t>Rcd</w:t>
      </w:r>
      <w:r>
        <w:t xml:space="preserve"> at 715, para. 63; </w:t>
      </w:r>
      <w:r w:rsidRPr="004267C3">
        <w:rPr>
          <w:i/>
          <w:iCs/>
        </w:rPr>
        <w:t>High-Cost Fabric Order</w:t>
      </w:r>
      <w:r>
        <w:t xml:space="preserve">, 40 FCC </w:t>
      </w:r>
      <w:r>
        <w:t>Rcd</w:t>
      </w:r>
      <w:r>
        <w:t xml:space="preserve"> at 301, para. 45. </w:t>
      </w:r>
    </w:p>
  </w:footnote>
  <w:footnote w:id="23">
    <w:p w:rsidR="00B37016" w:rsidP="00B37016" w14:paraId="660A28C5" w14:textId="77777777">
      <w:pPr>
        <w:pStyle w:val="FootnoteText"/>
      </w:pPr>
      <w:r>
        <w:rPr>
          <w:rStyle w:val="FootnoteReference"/>
        </w:rPr>
        <w:footnoteRef/>
      </w:r>
      <w:r>
        <w:t xml:space="preserve"> 47 CFR § 54.320(c); </w:t>
      </w:r>
      <w:r w:rsidRPr="0046339E">
        <w:rPr>
          <w:i/>
          <w:iCs/>
        </w:rPr>
        <w:t>RDOF Order</w:t>
      </w:r>
      <w:r>
        <w:t xml:space="preserve">, 35 FCC </w:t>
      </w:r>
      <w:r>
        <w:t>Rcd</w:t>
      </w:r>
      <w:r>
        <w:t xml:space="preserve"> at 715-16, para. 63.</w:t>
      </w:r>
    </w:p>
  </w:footnote>
  <w:footnote w:id="24">
    <w:p w:rsidR="00B37016" w:rsidP="00B37016" w14:paraId="2ECAEB61" w14:textId="77777777">
      <w:pPr>
        <w:pStyle w:val="FootnoteText"/>
      </w:pPr>
      <w:r>
        <w:rPr>
          <w:rStyle w:val="FootnoteReference"/>
        </w:rPr>
        <w:footnoteRef/>
      </w:r>
      <w:r>
        <w:t xml:space="preserve"> </w:t>
      </w:r>
      <w:r w:rsidRPr="004C0C10">
        <w:rPr>
          <w:i/>
          <w:iCs/>
        </w:rPr>
        <w:t>High-Cost Fabric Order</w:t>
      </w:r>
      <w:r>
        <w:t xml:space="preserve">, 40 FCC </w:t>
      </w:r>
      <w:r>
        <w:t>Rcd</w:t>
      </w:r>
      <w:r>
        <w:t xml:space="preserve"> at 295-98, paras. 33-39.  </w:t>
      </w:r>
      <w:r w:rsidRPr="00B56BD7">
        <w:rPr>
          <w:i/>
          <w:iCs/>
        </w:rPr>
        <w:t>See also RDOF Order</w:t>
      </w:r>
      <w:r>
        <w:t xml:space="preserve">, 35 FCC </w:t>
      </w:r>
      <w:r>
        <w:t>Rcd</w:t>
      </w:r>
      <w:r>
        <w:t xml:space="preserve"> at 710-11, para. 50.</w:t>
      </w:r>
    </w:p>
  </w:footnote>
  <w:footnote w:id="25">
    <w:p w:rsidR="00B37016" w:rsidP="00B37016" w14:paraId="39B4AB99" w14:textId="77777777">
      <w:pPr>
        <w:pStyle w:val="FootnoteText"/>
      </w:pPr>
      <w:r>
        <w:rPr>
          <w:rStyle w:val="FootnoteReference"/>
        </w:rPr>
        <w:footnoteRef/>
      </w:r>
      <w:r>
        <w:t xml:space="preserve"> </w:t>
      </w:r>
      <w:r w:rsidRPr="004C0C10">
        <w:rPr>
          <w:i/>
          <w:iCs/>
        </w:rPr>
        <w:t>High-Cost Fabric Order</w:t>
      </w:r>
      <w:r>
        <w:t xml:space="preserve">, 40 FCC </w:t>
      </w:r>
      <w:r>
        <w:t>Rcd</w:t>
      </w:r>
      <w:r>
        <w:t xml:space="preserve"> at 296-97, paras. 34-36; </w:t>
      </w:r>
      <w:r w:rsidRPr="00280888">
        <w:rPr>
          <w:i/>
          <w:iCs/>
        </w:rPr>
        <w:t>RDOF Order</w:t>
      </w:r>
      <w:r>
        <w:t xml:space="preserve">, 35 FCC </w:t>
      </w:r>
      <w:r>
        <w:t>Rcd</w:t>
      </w:r>
      <w:r>
        <w:t xml:space="preserve"> at 710, para. 47 (explaining the Commission “</w:t>
      </w:r>
      <w:r>
        <w:t>requir</w:t>
      </w:r>
      <w:r>
        <w:t>[ed] build-out to the entire designated area even in light of the possibility that location numbers could change”).</w:t>
      </w:r>
    </w:p>
  </w:footnote>
  <w:footnote w:id="26">
    <w:p w:rsidR="00B37016" w:rsidP="00B37016" w14:paraId="6327F1BC" w14:textId="77777777">
      <w:pPr>
        <w:pStyle w:val="FootnoteText"/>
      </w:pPr>
      <w:r>
        <w:rPr>
          <w:rStyle w:val="FootnoteReference"/>
        </w:rPr>
        <w:footnoteRef/>
      </w:r>
      <w:r>
        <w:t xml:space="preserve"> </w:t>
      </w:r>
      <w:r w:rsidRPr="004C0C10">
        <w:rPr>
          <w:i/>
          <w:iCs/>
        </w:rPr>
        <w:t>High-Cost Fabric Order</w:t>
      </w:r>
      <w:r>
        <w:t xml:space="preserve">, 40 FCC </w:t>
      </w:r>
      <w:r>
        <w:t>Rcd</w:t>
      </w:r>
      <w:r>
        <w:t xml:space="preserve"> at 296-97, paras. 34-36.</w:t>
      </w:r>
    </w:p>
  </w:footnote>
  <w:footnote w:id="27">
    <w:p w:rsidR="00B37016" w:rsidP="00B37016" w14:paraId="0E719B62" w14:textId="77777777">
      <w:pPr>
        <w:pStyle w:val="FootnoteText"/>
      </w:pPr>
      <w:r>
        <w:rPr>
          <w:rStyle w:val="FootnoteReference"/>
        </w:rPr>
        <w:footnoteRef/>
      </w:r>
      <w:r>
        <w:t xml:space="preserve"> </w:t>
      </w:r>
      <w:r w:rsidRPr="00125BFA">
        <w:rPr>
          <w:i/>
          <w:iCs/>
        </w:rPr>
        <w:t>Id.</w:t>
      </w:r>
      <w:r>
        <w:t xml:space="preserve"> at 297, para. 37.</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2CF42546" w14:textId="750EB98F">
    <w:pPr>
      <w:tabs>
        <w:tab w:val="center" w:pos="4680"/>
        <w:tab w:val="right" w:pos="9360"/>
      </w:tabs>
    </w:pPr>
    <w:r>
      <w:rPr>
        <w:b/>
      </w:rPr>
      <w:tab/>
      <w:t>Federal Communications Commission</w:t>
    </w:r>
    <w:r>
      <w:rPr>
        <w:b/>
      </w:rPr>
      <w:tab/>
    </w:r>
    <w:r w:rsidR="00B37016">
      <w:rPr>
        <w:b/>
      </w:rPr>
      <w:t>DA 26-677</w:t>
    </w:r>
  </w:p>
  <w:p w:rsidR="00BA3BA8" w14:paraId="2D46CB91" w14:textId="77777777">
    <w:pPr>
      <w:tabs>
        <w:tab w:val="left" w:pos="-720"/>
      </w:tabs>
      <w:suppressAutoHyphens/>
      <w:spacing w:line="19" w:lineRule="exact"/>
      <w:rPr>
        <w:spacing w:val="-2"/>
      </w:rPr>
    </w:pPr>
    <w:r>
      <w:rPr>
        <w:noProof/>
      </w:rPr>
      <w:pict>
        <v:rect id="Rectangle 15" o:spid="_x0000_s2049" style="width:468pt;height:0.95pt;margin-top:0;margin-left:0;mso-position-horizontal-relative:margin;position:absolute;visibility:visible;z-index:-251658240" o:allowincell="f" fillcolor="black" stroked="f" strokeweight="0.05pt">
          <w10:wrap anchorx="margin"/>
        </v:rect>
      </w:pict>
    </w:r>
  </w:p>
  <w:p w:rsidR="00BA3BA8" w14:paraId="0FFC4B0D"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4B7D6EEC" w14:textId="77777777">
    <w:pPr>
      <w:pStyle w:val="Head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050" type="#_x0000_t75" style="width:468.6pt;height:112.8pt">
          <v:imagedata r:id="rId1" o:title="PN Portrait pic"/>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D180CED0"/>
    <w:lvl w:ilvl="0">
      <w:start w:val="1"/>
      <w:numFmt w:val="decimal"/>
      <w:pStyle w:val="ParaNum"/>
      <w:lvlText w:val="%1."/>
      <w:lvlJc w:val="left"/>
      <w:pPr>
        <w:tabs>
          <w:tab w:val="num" w:pos="1080"/>
        </w:tabs>
        <w:ind w:left="0" w:firstLine="720"/>
      </w:pPr>
    </w:lvl>
  </w:abstractNum>
  <w:num w:numId="1" w16cid:durableId="1356728628">
    <w:abstractNumId w:val="1"/>
  </w:num>
  <w:num w:numId="2" w16cid:durableId="1030423034">
    <w:abstractNumId w:val="5"/>
  </w:num>
  <w:num w:numId="3" w16cid:durableId="1871648024">
    <w:abstractNumId w:val="3"/>
  </w:num>
  <w:num w:numId="4" w16cid:durableId="1917010767">
    <w:abstractNumId w:val="4"/>
  </w:num>
  <w:num w:numId="5" w16cid:durableId="1711107658">
    <w:abstractNumId w:val="2"/>
  </w:num>
  <w:num w:numId="6" w16cid:durableId="163756540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7016"/>
    <w:rsid w:val="000B22BE"/>
    <w:rsid w:val="000B2D69"/>
    <w:rsid w:val="00125BFA"/>
    <w:rsid w:val="001600F4"/>
    <w:rsid w:val="00173D8F"/>
    <w:rsid w:val="0024769C"/>
    <w:rsid w:val="00280888"/>
    <w:rsid w:val="002A2FB9"/>
    <w:rsid w:val="003229B9"/>
    <w:rsid w:val="00331F6C"/>
    <w:rsid w:val="0035617C"/>
    <w:rsid w:val="003628F1"/>
    <w:rsid w:val="00384BF5"/>
    <w:rsid w:val="00425D75"/>
    <w:rsid w:val="004267C3"/>
    <w:rsid w:val="00430183"/>
    <w:rsid w:val="0046339E"/>
    <w:rsid w:val="004A5512"/>
    <w:rsid w:val="004B5D5F"/>
    <w:rsid w:val="004C0C10"/>
    <w:rsid w:val="0050132F"/>
    <w:rsid w:val="00574E3B"/>
    <w:rsid w:val="006C1D6F"/>
    <w:rsid w:val="00704988"/>
    <w:rsid w:val="0079428D"/>
    <w:rsid w:val="00797070"/>
    <w:rsid w:val="00806514"/>
    <w:rsid w:val="008C28AF"/>
    <w:rsid w:val="008D0064"/>
    <w:rsid w:val="008D0385"/>
    <w:rsid w:val="008D07A7"/>
    <w:rsid w:val="008E5FCB"/>
    <w:rsid w:val="009068A7"/>
    <w:rsid w:val="00935CAA"/>
    <w:rsid w:val="00942517"/>
    <w:rsid w:val="00964E43"/>
    <w:rsid w:val="00985D19"/>
    <w:rsid w:val="0099098B"/>
    <w:rsid w:val="009A2AFF"/>
    <w:rsid w:val="009B36C5"/>
    <w:rsid w:val="00A20679"/>
    <w:rsid w:val="00A552A8"/>
    <w:rsid w:val="00A844F1"/>
    <w:rsid w:val="00A9225F"/>
    <w:rsid w:val="00B37016"/>
    <w:rsid w:val="00B56BD7"/>
    <w:rsid w:val="00B62C17"/>
    <w:rsid w:val="00B67BE7"/>
    <w:rsid w:val="00B73FA0"/>
    <w:rsid w:val="00BA3BA8"/>
    <w:rsid w:val="00C0431E"/>
    <w:rsid w:val="00C46FB9"/>
    <w:rsid w:val="00D6758D"/>
    <w:rsid w:val="00E434FD"/>
    <w:rsid w:val="00E57B20"/>
    <w:rsid w:val="00EA753B"/>
    <w:rsid w:val="00ED5B7B"/>
    <w:rsid w:val="00EF466B"/>
    <w:rsid w:val="00F03EA1"/>
    <w:rsid w:val="00F13EDF"/>
    <w:rsid w:val="00F65AC5"/>
    <w:rsid w:val="00FB5D30"/>
    <w:rsid w:val="00FD6200"/>
    <w:rsid w:val="4B3492DA"/>
    <w:rsid w:val="60D30C22"/>
    <w:rsid w:val="69CB9FF2"/>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0F23AE60"/>
  <w15:chartTrackingRefBased/>
  <w15:docId w15:val="{C6DD834B-1243-419E-8EA6-B3E9DE297A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ParaNum">
    <w:name w:val="ParaNum"/>
    <w:basedOn w:val="Normal"/>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E Cha,ALTS FOOTNOTE Char Char,ALTS FOOTNOTE Char Char Char Char,Footnote Text Char Char,Footnote Text Char Char Char Char,Footnote Text Char1,Footnote Text Char1 Char Char,f,fn Char,fn Char Char,fn Char Char Char Char,fn Char1"/>
    <w:link w:val="FootnoteTextChar"/>
    <w:uiPriority w:val="99"/>
    <w:qFormat/>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uiPriority w:val="99"/>
    <w:qFormat/>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uiPriority w:val="99"/>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character" w:customStyle="1" w:styleId="FootnoteTextChar">
    <w:name w:val="Footnote Text Char"/>
    <w:aliases w:val="ALTS FOOTNOTE Cha Char,ALTS FOOTNOTE Char Char Char,ALTS FOOTNOTE Char Char Char Char Char,Footnote Text Char Char Char,Footnote Text Char Char Char Char Char,Footnote Text Char1 Char,Footnote Text Char1 Char Char Char,f Char"/>
    <w:basedOn w:val="DefaultParagraphFont"/>
    <w:link w:val="FootnoteText"/>
    <w:uiPriority w:val="99"/>
    <w:rsid w:val="00B37016"/>
  </w:style>
  <w:style w:type="paragraph" w:customStyle="1" w:styleId="paragraph">
    <w:name w:val="paragraph"/>
    <w:basedOn w:val="Normal"/>
    <w:rsid w:val="00B37016"/>
    <w:pPr>
      <w:widowControl/>
      <w:spacing w:before="100" w:beforeAutospacing="1" w:after="100" w:afterAutospacing="1"/>
    </w:pPr>
    <w:rPr>
      <w:snapToGrid/>
      <w:kern w:val="0"/>
      <w:sz w:val="24"/>
      <w:szCs w:val="24"/>
    </w:rPr>
  </w:style>
  <w:style w:type="character" w:customStyle="1" w:styleId="normaltextrun">
    <w:name w:val="normaltextrun"/>
    <w:basedOn w:val="DefaultParagraphFont"/>
    <w:rsid w:val="00B37016"/>
  </w:style>
  <w:style w:type="table" w:styleId="TableGrid">
    <w:name w:val="Table Grid"/>
    <w:basedOn w:val="TableNormal"/>
    <w:uiPriority w:val="59"/>
    <w:rsid w:val="00B3701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mailto:HCverifications@usac.org" TargetMode="External" /><Relationship Id="rId11" Type="http://schemas.openxmlformats.org/officeDocument/2006/relationships/header" Target="header1.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2.xml" /><Relationship Id="rId15" Type="http://schemas.openxmlformats.org/officeDocument/2006/relationships/footer" Target="footer3.xml" /><Relationship Id="rId16" Type="http://schemas.openxmlformats.org/officeDocument/2006/relationships/theme" Target="theme/theme1.xml" /><Relationship Id="rId17" Type="http://schemas.openxmlformats.org/officeDocument/2006/relationships/numbering" Target="numbering.xml" /><Relationship Id="rId18"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s://help.bdc.fcc.gov/hc/en-us" TargetMode="External" /><Relationship Id="rId7" Type="http://schemas.openxmlformats.org/officeDocument/2006/relationships/hyperlink" Target="https://help.bdc.fcc.gov/hc/en-us/requests/new" TargetMode="External" /><Relationship Id="rId8" Type="http://schemas.openxmlformats.org/officeDocument/2006/relationships/hyperlink" Target="mailto:BroadbandDataInquiries@fcc.gov" TargetMode="External" /><Relationship Id="rId9" Type="http://schemas.openxmlformats.org/officeDocument/2006/relationships/hyperlink" Target="https://www.fcc.gov/wireline-competition/HUBB-Transition"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www.fcc.gov/BroadbandData" TargetMode="External" /><Relationship Id="rId2" Type="http://schemas.openxmlformats.org/officeDocument/2006/relationships/hyperlink" Target="https://help.bdc.fcc.gov/hc/en-us/categories/10275178002075-The-Location-Fabric" TargetMode="External" /><Relationship Id="rId3" Type="http://schemas.openxmlformats.org/officeDocument/2006/relationships/hyperlink" Target="https://help.bdc.fcc.gov/hc/en-us/articles/48535890138907-How-to-Align-Your-Location-Data-to-the-Broadband-Serviceable-Location-Fabric"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