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3F620C92" w14:textId="77777777">
      <w:pPr>
        <w:jc w:val="right"/>
        <w:rPr>
          <w:sz w:val="24"/>
        </w:rPr>
      </w:pPr>
    </w:p>
    <w:p w:rsidR="00BA3BA8" w14:paraId="3A9877E4" w14:textId="5B787024">
      <w:pPr>
        <w:jc w:val="right"/>
        <w:rPr>
          <w:b/>
          <w:sz w:val="24"/>
        </w:rPr>
      </w:pPr>
      <w:r>
        <w:rPr>
          <w:b/>
          <w:sz w:val="24"/>
        </w:rPr>
        <w:t xml:space="preserve">DA </w:t>
      </w:r>
      <w:r w:rsidR="00EE32B6">
        <w:rPr>
          <w:b/>
          <w:sz w:val="24"/>
        </w:rPr>
        <w:t>26</w:t>
      </w:r>
      <w:r w:rsidR="00815D46">
        <w:rPr>
          <w:b/>
          <w:sz w:val="24"/>
        </w:rPr>
        <w:t>-</w:t>
      </w:r>
      <w:r w:rsidR="00EE32B6">
        <w:rPr>
          <w:b/>
          <w:sz w:val="24"/>
        </w:rPr>
        <w:t>689</w:t>
      </w:r>
    </w:p>
    <w:p w:rsidR="00BA3BA8" w14:paraId="063C436B" w14:textId="67685A26">
      <w:pPr>
        <w:spacing w:before="60"/>
        <w:jc w:val="right"/>
        <w:rPr>
          <w:b/>
          <w:sz w:val="24"/>
        </w:rPr>
      </w:pPr>
      <w:r>
        <w:rPr>
          <w:b/>
          <w:sz w:val="24"/>
        </w:rPr>
        <w:t>Released</w:t>
      </w:r>
      <w:r>
        <w:rPr>
          <w:b/>
          <w:sz w:val="24"/>
        </w:rPr>
        <w:t xml:space="preserve">:  </w:t>
      </w:r>
      <w:r w:rsidR="007036B1">
        <w:rPr>
          <w:b/>
          <w:sz w:val="24"/>
        </w:rPr>
        <w:t>July</w:t>
      </w:r>
      <w:r w:rsidR="007036B1">
        <w:rPr>
          <w:b/>
          <w:sz w:val="24"/>
        </w:rPr>
        <w:t xml:space="preserve"> </w:t>
      </w:r>
      <w:r w:rsidR="00EE32B6">
        <w:rPr>
          <w:b/>
          <w:sz w:val="24"/>
        </w:rPr>
        <w:t>8</w:t>
      </w:r>
      <w:r w:rsidR="00220533">
        <w:rPr>
          <w:b/>
          <w:sz w:val="24"/>
        </w:rPr>
        <w:t>, 202</w:t>
      </w:r>
      <w:r w:rsidR="00566305">
        <w:rPr>
          <w:b/>
          <w:sz w:val="24"/>
        </w:rPr>
        <w:t>6</w:t>
      </w:r>
    </w:p>
    <w:p w:rsidR="00BA3BA8" w14:paraId="50F30E53" w14:textId="77777777">
      <w:pPr>
        <w:jc w:val="right"/>
        <w:rPr>
          <w:sz w:val="24"/>
        </w:rPr>
      </w:pPr>
    </w:p>
    <w:p w:rsidR="00220533" w:rsidP="0076623B" w14:paraId="7683E783" w14:textId="0028B425">
      <w:pPr>
        <w:jc w:val="center"/>
        <w:rPr>
          <w:rFonts w:ascii="Times New Roman Bold" w:hAnsi="Times New Roman Bold"/>
          <w:b/>
          <w:caps/>
          <w:sz w:val="24"/>
        </w:rPr>
      </w:pPr>
      <w:r>
        <w:rPr>
          <w:rFonts w:ascii="Times New Roman Bold" w:hAnsi="Times New Roman Bold"/>
          <w:b/>
          <w:caps/>
          <w:sz w:val="24"/>
        </w:rPr>
        <w:t>Wireline competition Bureau seeks Comment on</w:t>
      </w:r>
    </w:p>
    <w:p w:rsidR="00E35C2C" w:rsidP="00CE0B54" w14:paraId="453A54AC" w14:textId="77777777">
      <w:pPr>
        <w:jc w:val="center"/>
        <w:rPr>
          <w:rFonts w:ascii="Times New Roman Bold" w:hAnsi="Times New Roman Bold"/>
          <w:b/>
          <w:caps/>
          <w:sz w:val="24"/>
        </w:rPr>
      </w:pPr>
      <w:r>
        <w:rPr>
          <w:rFonts w:ascii="Times New Roman Bold" w:hAnsi="Times New Roman Bold"/>
          <w:b/>
          <w:caps/>
          <w:sz w:val="24"/>
        </w:rPr>
        <w:t>Petition</w:t>
      </w:r>
      <w:r w:rsidR="007036B1">
        <w:rPr>
          <w:rFonts w:ascii="Times New Roman Bold" w:hAnsi="Times New Roman Bold"/>
          <w:b/>
          <w:caps/>
          <w:sz w:val="24"/>
        </w:rPr>
        <w:t>S</w:t>
      </w:r>
      <w:r>
        <w:rPr>
          <w:rFonts w:ascii="Times New Roman Bold" w:hAnsi="Times New Roman Bold"/>
          <w:b/>
          <w:caps/>
          <w:sz w:val="24"/>
        </w:rPr>
        <w:t xml:space="preserve"> for </w:t>
      </w:r>
      <w:r w:rsidR="00297F44">
        <w:rPr>
          <w:rFonts w:ascii="Times New Roman Bold" w:hAnsi="Times New Roman Bold"/>
          <w:b/>
          <w:caps/>
          <w:sz w:val="24"/>
        </w:rPr>
        <w:t xml:space="preserve">PREEMPTION AND </w:t>
      </w:r>
      <w:r>
        <w:rPr>
          <w:rFonts w:ascii="Times New Roman Bold" w:hAnsi="Times New Roman Bold"/>
          <w:b/>
          <w:caps/>
          <w:sz w:val="24"/>
        </w:rPr>
        <w:t xml:space="preserve">Declaratory Ruling FILED </w:t>
      </w:r>
    </w:p>
    <w:p w:rsidR="00BA3BA8" w:rsidP="00CE0B54" w14:paraId="177977AC" w14:textId="52F612C1">
      <w:pPr>
        <w:jc w:val="center"/>
        <w:rPr>
          <w:rFonts w:ascii="Times New Roman Bold" w:hAnsi="Times New Roman Bold"/>
          <w:b/>
          <w:caps/>
          <w:sz w:val="24"/>
        </w:rPr>
      </w:pPr>
      <w:r>
        <w:rPr>
          <w:rFonts w:ascii="Times New Roman Bold" w:hAnsi="Times New Roman Bold"/>
          <w:b/>
          <w:caps/>
          <w:sz w:val="24"/>
        </w:rPr>
        <w:t>PURSUANT TO SECTION 253 OF THE COMMUNICATIONS ACT</w:t>
      </w:r>
    </w:p>
    <w:p w:rsidR="0076623B" w:rsidP="0076623B" w14:paraId="29C6ABCE" w14:textId="77777777">
      <w:pPr>
        <w:jc w:val="center"/>
        <w:rPr>
          <w:rFonts w:ascii="Times New Roman Bold" w:hAnsi="Times New Roman Bold"/>
          <w:b/>
          <w:caps/>
          <w:sz w:val="24"/>
        </w:rPr>
      </w:pPr>
    </w:p>
    <w:p w:rsidR="00E35C2C" w14:paraId="70C4D6B7" w14:textId="251DCEF5">
      <w:pPr>
        <w:jc w:val="center"/>
        <w:rPr>
          <w:b/>
          <w:sz w:val="24"/>
        </w:rPr>
      </w:pPr>
      <w:r>
        <w:rPr>
          <w:b/>
          <w:sz w:val="24"/>
        </w:rPr>
        <w:t>WC Docket No. 2</w:t>
      </w:r>
      <w:r w:rsidR="00EC1BAB">
        <w:rPr>
          <w:b/>
          <w:sz w:val="24"/>
        </w:rPr>
        <w:t>6</w:t>
      </w:r>
      <w:r>
        <w:rPr>
          <w:b/>
          <w:sz w:val="24"/>
        </w:rPr>
        <w:t>-</w:t>
      </w:r>
      <w:r w:rsidR="003C62B7">
        <w:rPr>
          <w:b/>
          <w:sz w:val="24"/>
        </w:rPr>
        <w:t>166</w:t>
      </w:r>
    </w:p>
    <w:p w:rsidR="00BA3BA8" w14:paraId="136C26C2" w14:textId="2D4DB230">
      <w:pPr>
        <w:jc w:val="center"/>
        <w:rPr>
          <w:b/>
          <w:sz w:val="24"/>
        </w:rPr>
      </w:pPr>
      <w:r>
        <w:rPr>
          <w:b/>
          <w:sz w:val="24"/>
        </w:rPr>
        <w:t>WC Docket No.</w:t>
      </w:r>
      <w:r w:rsidR="003C62B7">
        <w:rPr>
          <w:b/>
          <w:sz w:val="24"/>
        </w:rPr>
        <w:t xml:space="preserve"> </w:t>
      </w:r>
      <w:r w:rsidR="007036B1">
        <w:rPr>
          <w:b/>
          <w:sz w:val="24"/>
        </w:rPr>
        <w:t>26-</w:t>
      </w:r>
      <w:r w:rsidR="003C62B7">
        <w:rPr>
          <w:b/>
          <w:sz w:val="24"/>
        </w:rPr>
        <w:t>167</w:t>
      </w:r>
    </w:p>
    <w:p w:rsidR="00BA3BA8" w14:paraId="37178BA3" w14:textId="77777777">
      <w:bookmarkStart w:id="0" w:name="TOChere"/>
    </w:p>
    <w:p w:rsidR="00220533" w:rsidRPr="000A2255" w:rsidP="00220533" w14:paraId="409E6AF8" w14:textId="764E1BCA">
      <w:pPr>
        <w:rPr>
          <w:b/>
          <w:bCs/>
          <w:sz w:val="24"/>
        </w:rPr>
      </w:pPr>
      <w:r w:rsidRPr="000A2255">
        <w:rPr>
          <w:b/>
          <w:bCs/>
          <w:sz w:val="24"/>
        </w:rPr>
        <w:t xml:space="preserve">Comments Due: </w:t>
      </w:r>
      <w:r w:rsidR="007036B1">
        <w:rPr>
          <w:b/>
          <w:bCs/>
          <w:sz w:val="24"/>
        </w:rPr>
        <w:t xml:space="preserve">August </w:t>
      </w:r>
      <w:r w:rsidR="001B67DF">
        <w:rPr>
          <w:b/>
          <w:bCs/>
          <w:sz w:val="24"/>
        </w:rPr>
        <w:t>24</w:t>
      </w:r>
      <w:r w:rsidRPr="000A2255">
        <w:rPr>
          <w:b/>
          <w:bCs/>
          <w:sz w:val="24"/>
        </w:rPr>
        <w:t>, 202</w:t>
      </w:r>
      <w:r w:rsidR="000264C7">
        <w:rPr>
          <w:b/>
          <w:bCs/>
          <w:sz w:val="24"/>
        </w:rPr>
        <w:t>6</w:t>
      </w:r>
    </w:p>
    <w:p w:rsidR="00220533" w:rsidRPr="000A2255" w:rsidP="00220533" w14:paraId="187A8663" w14:textId="40C5F309">
      <w:pPr>
        <w:rPr>
          <w:b/>
          <w:bCs/>
          <w:sz w:val="24"/>
        </w:rPr>
      </w:pPr>
      <w:r w:rsidRPr="000A2255">
        <w:rPr>
          <w:b/>
          <w:bCs/>
          <w:sz w:val="24"/>
        </w:rPr>
        <w:t xml:space="preserve">Reply Comments Due: </w:t>
      </w:r>
      <w:r w:rsidR="007036B1">
        <w:rPr>
          <w:b/>
          <w:bCs/>
          <w:sz w:val="24"/>
        </w:rPr>
        <w:t xml:space="preserve">September </w:t>
      </w:r>
      <w:r w:rsidR="0079484B">
        <w:rPr>
          <w:b/>
          <w:bCs/>
          <w:sz w:val="24"/>
        </w:rPr>
        <w:t>23</w:t>
      </w:r>
      <w:r w:rsidRPr="000A2255">
        <w:rPr>
          <w:b/>
          <w:bCs/>
          <w:sz w:val="24"/>
        </w:rPr>
        <w:t>, 202</w:t>
      </w:r>
      <w:r w:rsidR="000264C7">
        <w:rPr>
          <w:b/>
          <w:bCs/>
          <w:sz w:val="24"/>
        </w:rPr>
        <w:t>6</w:t>
      </w:r>
    </w:p>
    <w:p w:rsidR="00220533" w:rsidRPr="000A2255" w:rsidP="00220533" w14:paraId="2F8232B9" w14:textId="77777777">
      <w:pPr>
        <w:rPr>
          <w:sz w:val="24"/>
        </w:rPr>
      </w:pPr>
    </w:p>
    <w:p w:rsidR="00741A5A" w:rsidP="00C0565D" w14:paraId="15E12F97" w14:textId="6735F3C0">
      <w:pPr>
        <w:widowControl/>
        <w:autoSpaceDE w:val="0"/>
        <w:autoSpaceDN w:val="0"/>
        <w:adjustRightInd w:val="0"/>
        <w:spacing w:after="200"/>
        <w:ind w:firstLine="720"/>
        <w:rPr>
          <w:szCs w:val="22"/>
        </w:rPr>
      </w:pPr>
      <w:r>
        <w:rPr>
          <w:szCs w:val="22"/>
        </w:rPr>
        <w:t>T</w:t>
      </w:r>
      <w:r w:rsidRPr="000A2255" w:rsidR="00220533">
        <w:rPr>
          <w:szCs w:val="22"/>
        </w:rPr>
        <w:t xml:space="preserve">he Wireline Competition Bureau seeks comment on </w:t>
      </w:r>
      <w:r w:rsidR="007036B1">
        <w:rPr>
          <w:szCs w:val="22"/>
        </w:rPr>
        <w:t>two</w:t>
      </w:r>
      <w:r w:rsidRPr="000A2255" w:rsidR="00220533">
        <w:rPr>
          <w:szCs w:val="22"/>
        </w:rPr>
        <w:t xml:space="preserve"> petition</w:t>
      </w:r>
      <w:r w:rsidR="007036B1">
        <w:rPr>
          <w:szCs w:val="22"/>
        </w:rPr>
        <w:t>s</w:t>
      </w:r>
      <w:r w:rsidRPr="000A2255" w:rsidR="00220533">
        <w:rPr>
          <w:szCs w:val="22"/>
        </w:rPr>
        <w:t xml:space="preserve"> for </w:t>
      </w:r>
      <w:r w:rsidR="00D03DDB">
        <w:rPr>
          <w:szCs w:val="22"/>
        </w:rPr>
        <w:t xml:space="preserve">preemption and </w:t>
      </w:r>
      <w:r w:rsidRPr="000A2255" w:rsidR="00220533">
        <w:rPr>
          <w:szCs w:val="22"/>
        </w:rPr>
        <w:t>declaratory ruling filed</w:t>
      </w:r>
      <w:r w:rsidR="00220533">
        <w:rPr>
          <w:szCs w:val="22"/>
        </w:rPr>
        <w:t xml:space="preserve"> pursuant to </w:t>
      </w:r>
      <w:r w:rsidR="002365AE">
        <w:rPr>
          <w:szCs w:val="22"/>
        </w:rPr>
        <w:t>S</w:t>
      </w:r>
      <w:r w:rsidR="00220533">
        <w:rPr>
          <w:szCs w:val="22"/>
        </w:rPr>
        <w:t>ection 253(d) of the Communications Act (Act).</w:t>
      </w:r>
      <w:r>
        <w:rPr>
          <w:rStyle w:val="FootnoteReference"/>
          <w:szCs w:val="22"/>
        </w:rPr>
        <w:footnoteReference w:id="3"/>
      </w:r>
      <w:r w:rsidR="00220533">
        <w:rPr>
          <w:szCs w:val="22"/>
        </w:rPr>
        <w:t xml:space="preserve">  The</w:t>
      </w:r>
      <w:r w:rsidR="005239B6">
        <w:rPr>
          <w:szCs w:val="22"/>
        </w:rPr>
        <w:t xml:space="preserve"> first petition </w:t>
      </w:r>
      <w:r w:rsidR="00217DCE">
        <w:rPr>
          <w:szCs w:val="22"/>
        </w:rPr>
        <w:t xml:space="preserve">was filed by </w:t>
      </w:r>
      <w:r w:rsidR="00F954C4">
        <w:rPr>
          <w:szCs w:val="22"/>
        </w:rPr>
        <w:t>Gateway Infrastructure, LLC d/b/a Gateway Fiber (Gateway</w:t>
      </w:r>
      <w:r w:rsidR="00DB0A6D">
        <w:rPr>
          <w:szCs w:val="22"/>
        </w:rPr>
        <w:t xml:space="preserve"> Fiber</w:t>
      </w:r>
      <w:r w:rsidR="00F954C4">
        <w:rPr>
          <w:szCs w:val="22"/>
        </w:rPr>
        <w:t>)</w:t>
      </w:r>
      <w:r>
        <w:rPr>
          <w:szCs w:val="22"/>
        </w:rPr>
        <w:t xml:space="preserve"> </w:t>
      </w:r>
      <w:r w:rsidR="00FC2A8A">
        <w:rPr>
          <w:szCs w:val="22"/>
        </w:rPr>
        <w:t xml:space="preserve">and </w:t>
      </w:r>
      <w:r w:rsidR="00F05540">
        <w:rPr>
          <w:szCs w:val="22"/>
        </w:rPr>
        <w:t>asks the Commission to preempt</w:t>
      </w:r>
      <w:r w:rsidR="00420D1D">
        <w:rPr>
          <w:szCs w:val="22"/>
        </w:rPr>
        <w:t xml:space="preserve"> “the City of Maple Grove, Minnesota . . . from imposing and requiring a cable communications system franchise agreement . . . as a predicate to issue public right-of-way use permits.”</w:t>
      </w:r>
      <w:r>
        <w:rPr>
          <w:rStyle w:val="FootnoteReference"/>
        </w:rPr>
        <w:footnoteReference w:id="4"/>
      </w:r>
      <w:r w:rsidR="00A7140B">
        <w:rPr>
          <w:szCs w:val="22"/>
        </w:rPr>
        <w:t xml:space="preserve">  The second petition was filed by </w:t>
      </w:r>
      <w:r w:rsidR="00F05540">
        <w:rPr>
          <w:szCs w:val="22"/>
        </w:rPr>
        <w:t>Lumos Fiber of Ohio, LLC (Lumos</w:t>
      </w:r>
      <w:r w:rsidR="00DB0A6D">
        <w:rPr>
          <w:szCs w:val="22"/>
        </w:rPr>
        <w:t xml:space="preserve"> Fiber</w:t>
      </w:r>
      <w:r w:rsidR="00F05540">
        <w:rPr>
          <w:szCs w:val="22"/>
        </w:rPr>
        <w:t>)</w:t>
      </w:r>
      <w:r w:rsidR="00100D1B">
        <w:rPr>
          <w:szCs w:val="22"/>
        </w:rPr>
        <w:t xml:space="preserve"> and asks the Commission to preempt</w:t>
      </w:r>
      <w:r w:rsidR="00244985">
        <w:rPr>
          <w:szCs w:val="22"/>
        </w:rPr>
        <w:t xml:space="preserve"> requirements imposed on its </w:t>
      </w:r>
      <w:r w:rsidR="00017886">
        <w:rPr>
          <w:szCs w:val="22"/>
        </w:rPr>
        <w:t xml:space="preserve">requests </w:t>
      </w:r>
      <w:r w:rsidR="002C7684">
        <w:rPr>
          <w:szCs w:val="22"/>
        </w:rPr>
        <w:t>for right-of-way permits</w:t>
      </w:r>
      <w:r w:rsidR="00244985">
        <w:rPr>
          <w:szCs w:val="22"/>
        </w:rPr>
        <w:t xml:space="preserve"> </w:t>
      </w:r>
      <w:r w:rsidR="002C7684">
        <w:rPr>
          <w:szCs w:val="22"/>
        </w:rPr>
        <w:t>by</w:t>
      </w:r>
      <w:r w:rsidR="00244985">
        <w:rPr>
          <w:szCs w:val="22"/>
        </w:rPr>
        <w:t xml:space="preserve"> two Ohio counties.</w:t>
      </w:r>
      <w:r>
        <w:rPr>
          <w:rStyle w:val="FootnoteReference"/>
          <w:szCs w:val="22"/>
        </w:rPr>
        <w:footnoteReference w:id="5"/>
      </w:r>
      <w:r w:rsidR="00244985">
        <w:rPr>
          <w:szCs w:val="22"/>
        </w:rPr>
        <w:t xml:space="preserve">  Specifically, Lumos Fiber asks that the Commission preempt</w:t>
      </w:r>
      <w:r w:rsidR="00100D1B">
        <w:rPr>
          <w:szCs w:val="22"/>
        </w:rPr>
        <w:t xml:space="preserve">: (1) per-foot construction charges, inspection fees, and </w:t>
      </w:r>
      <w:r w:rsidR="00220219">
        <w:rPr>
          <w:szCs w:val="22"/>
        </w:rPr>
        <w:t xml:space="preserve">a </w:t>
      </w:r>
      <w:r w:rsidR="00100D1B">
        <w:rPr>
          <w:szCs w:val="22"/>
        </w:rPr>
        <w:t>professional survey requirement imposed by Stark County</w:t>
      </w:r>
      <w:r w:rsidR="00DD6478">
        <w:rPr>
          <w:szCs w:val="22"/>
        </w:rPr>
        <w:t>, Ohio;</w:t>
      </w:r>
      <w:r w:rsidR="00217785">
        <w:rPr>
          <w:szCs w:val="22"/>
        </w:rPr>
        <w:t xml:space="preserve"> and (2) </w:t>
      </w:r>
      <w:r w:rsidR="00E45296">
        <w:rPr>
          <w:szCs w:val="22"/>
        </w:rPr>
        <w:t xml:space="preserve">a professional survey requirement imposed </w:t>
      </w:r>
      <w:r w:rsidR="000C3A73">
        <w:rPr>
          <w:szCs w:val="22"/>
        </w:rPr>
        <w:t>by Mahoning County, Ohio</w:t>
      </w:r>
      <w:r w:rsidR="007A3B99">
        <w:rPr>
          <w:szCs w:val="22"/>
        </w:rPr>
        <w:t>.</w:t>
      </w:r>
      <w:r>
        <w:rPr>
          <w:rStyle w:val="FootnoteReference"/>
          <w:szCs w:val="22"/>
        </w:rPr>
        <w:footnoteReference w:id="6"/>
      </w:r>
      <w:r w:rsidR="00A72652">
        <w:rPr>
          <w:szCs w:val="22"/>
        </w:rPr>
        <w:t xml:space="preserve">  </w:t>
      </w:r>
      <w:r w:rsidR="00913928">
        <w:rPr>
          <w:szCs w:val="22"/>
        </w:rPr>
        <w:t xml:space="preserve">Gateway Fiber and Lumos Fiber </w:t>
      </w:r>
      <w:r w:rsidR="00A72652">
        <w:rPr>
          <w:szCs w:val="22"/>
        </w:rPr>
        <w:t>argue that the requirements</w:t>
      </w:r>
      <w:r w:rsidR="00913928">
        <w:rPr>
          <w:szCs w:val="22"/>
        </w:rPr>
        <w:t xml:space="preserve"> challenged by their </w:t>
      </w:r>
      <w:r w:rsidR="002365AE">
        <w:rPr>
          <w:szCs w:val="22"/>
        </w:rPr>
        <w:t xml:space="preserve">respective </w:t>
      </w:r>
      <w:r w:rsidR="00913928">
        <w:rPr>
          <w:szCs w:val="22"/>
        </w:rPr>
        <w:t>petitions</w:t>
      </w:r>
      <w:r w:rsidR="00A72652">
        <w:rPr>
          <w:szCs w:val="22"/>
        </w:rPr>
        <w:t xml:space="preserve"> violat</w:t>
      </w:r>
      <w:r w:rsidR="00B5543D">
        <w:rPr>
          <w:szCs w:val="22"/>
        </w:rPr>
        <w:t>e</w:t>
      </w:r>
      <w:r w:rsidR="00A72652">
        <w:rPr>
          <w:szCs w:val="22"/>
        </w:rPr>
        <w:t xml:space="preserve"> Section 253 of the Communications Act.</w:t>
      </w:r>
      <w:r>
        <w:rPr>
          <w:rStyle w:val="FootnoteReference"/>
          <w:szCs w:val="22"/>
        </w:rPr>
        <w:footnoteReference w:id="7"/>
      </w:r>
    </w:p>
    <w:p w:rsidR="00220533" w:rsidRPr="00443249" w:rsidP="00220533" w14:paraId="34FB727C" w14:textId="2D0510A1">
      <w:pPr>
        <w:widowControl/>
        <w:autoSpaceDE w:val="0"/>
        <w:autoSpaceDN w:val="0"/>
        <w:adjustRightInd w:val="0"/>
        <w:spacing w:after="200"/>
        <w:ind w:firstLine="720"/>
        <w:rPr>
          <w:rFonts w:eastAsia="Calibri"/>
          <w:color w:val="000000"/>
          <w:szCs w:val="22"/>
        </w:rPr>
      </w:pPr>
      <w:r>
        <w:rPr>
          <w:rFonts w:eastAsia="Calibri"/>
          <w:color w:val="000000"/>
          <w:szCs w:val="22"/>
        </w:rPr>
        <w:t>Interested parties may file comments or oppositions to the</w:t>
      </w:r>
      <w:r w:rsidR="003D4C4A">
        <w:rPr>
          <w:rFonts w:eastAsia="Calibri"/>
          <w:color w:val="000000"/>
          <w:szCs w:val="22"/>
        </w:rPr>
        <w:t xml:space="preserve"> </w:t>
      </w:r>
      <w:r>
        <w:rPr>
          <w:rFonts w:eastAsia="Calibri"/>
          <w:color w:val="000000"/>
          <w:szCs w:val="22"/>
        </w:rPr>
        <w:t>Petition</w:t>
      </w:r>
      <w:r w:rsidR="00945CDD">
        <w:rPr>
          <w:rFonts w:eastAsia="Calibri"/>
          <w:color w:val="000000"/>
          <w:szCs w:val="22"/>
        </w:rPr>
        <w:t>s</w:t>
      </w:r>
      <w:r>
        <w:rPr>
          <w:rFonts w:eastAsia="Calibri"/>
          <w:color w:val="000000"/>
          <w:szCs w:val="22"/>
        </w:rPr>
        <w:t xml:space="preserve"> on or before </w:t>
      </w:r>
      <w:r w:rsidR="00A86981">
        <w:rPr>
          <w:rFonts w:eastAsia="Calibri"/>
          <w:b/>
          <w:color w:val="000000"/>
          <w:szCs w:val="22"/>
        </w:rPr>
        <w:t xml:space="preserve">August </w:t>
      </w:r>
      <w:r w:rsidR="001B67DF">
        <w:rPr>
          <w:rFonts w:eastAsia="Calibri"/>
          <w:b/>
          <w:color w:val="000000"/>
          <w:szCs w:val="22"/>
        </w:rPr>
        <w:t>24</w:t>
      </w:r>
      <w:r w:rsidRPr="00EB46B4">
        <w:rPr>
          <w:rFonts w:eastAsia="Calibri"/>
          <w:b/>
          <w:color w:val="000000"/>
          <w:szCs w:val="22"/>
        </w:rPr>
        <w:t xml:space="preserve">, </w:t>
      </w:r>
      <w:r w:rsidRPr="00EB46B4">
        <w:rPr>
          <w:rFonts w:eastAsia="Calibri"/>
          <w:b/>
          <w:color w:val="000000"/>
          <w:szCs w:val="22"/>
        </w:rPr>
        <w:t>20</w:t>
      </w:r>
      <w:r>
        <w:rPr>
          <w:rFonts w:eastAsia="Calibri"/>
          <w:b/>
          <w:color w:val="000000"/>
          <w:szCs w:val="22"/>
        </w:rPr>
        <w:t>2</w:t>
      </w:r>
      <w:r w:rsidR="005B79A8">
        <w:rPr>
          <w:rFonts w:eastAsia="Calibri"/>
          <w:b/>
          <w:color w:val="000000"/>
          <w:szCs w:val="22"/>
        </w:rPr>
        <w:t>6</w:t>
      </w:r>
      <w:r>
        <w:rPr>
          <w:rFonts w:eastAsia="Calibri"/>
          <w:color w:val="000000"/>
          <w:szCs w:val="22"/>
        </w:rPr>
        <w:t xml:space="preserve"> and reply </w:t>
      </w:r>
      <w:r w:rsidRPr="00B61403">
        <w:rPr>
          <w:szCs w:val="22"/>
        </w:rPr>
        <w:t>comments</w:t>
      </w:r>
      <w:r>
        <w:rPr>
          <w:rFonts w:eastAsia="Calibri"/>
          <w:color w:val="000000"/>
          <w:szCs w:val="22"/>
        </w:rPr>
        <w:t xml:space="preserve"> on or before </w:t>
      </w:r>
      <w:r w:rsidR="00A86981">
        <w:rPr>
          <w:rFonts w:eastAsia="Calibri"/>
          <w:b/>
          <w:bCs/>
          <w:color w:val="000000"/>
          <w:szCs w:val="22"/>
        </w:rPr>
        <w:t xml:space="preserve">September </w:t>
      </w:r>
      <w:r w:rsidR="0079484B">
        <w:rPr>
          <w:rFonts w:eastAsia="Calibri"/>
          <w:b/>
          <w:bCs/>
          <w:color w:val="000000"/>
          <w:szCs w:val="22"/>
        </w:rPr>
        <w:t>23</w:t>
      </w:r>
      <w:r>
        <w:rPr>
          <w:rFonts w:eastAsia="Calibri"/>
          <w:b/>
          <w:color w:val="000000"/>
          <w:szCs w:val="22"/>
        </w:rPr>
        <w:t>, 202</w:t>
      </w:r>
      <w:r w:rsidR="005B79A8">
        <w:rPr>
          <w:rFonts w:eastAsia="Calibri"/>
          <w:b/>
          <w:color w:val="000000"/>
          <w:szCs w:val="22"/>
        </w:rPr>
        <w:t>6</w:t>
      </w:r>
      <w:r>
        <w:rPr>
          <w:rFonts w:eastAsia="Calibri"/>
          <w:color w:val="000000"/>
          <w:szCs w:val="22"/>
        </w:rPr>
        <w:t xml:space="preserve">.  </w:t>
      </w:r>
      <w:r>
        <w:t xml:space="preserve">All comments or </w:t>
      </w:r>
      <w:r>
        <w:t>oppositions</w:t>
      </w:r>
      <w:r w:rsidR="00AD3B6A">
        <w:t xml:space="preserve"> addressing the Gateway Fiber Petition</w:t>
      </w:r>
      <w:r>
        <w:t xml:space="preserve"> must</w:t>
      </w:r>
      <w:r w:rsidR="00AD3B6A">
        <w:t xml:space="preserve"> reference WC Docket No. 26-</w:t>
      </w:r>
      <w:r w:rsidR="003C62B7">
        <w:t>166</w:t>
      </w:r>
      <w:r w:rsidR="00AD3B6A">
        <w:t xml:space="preserve">.  </w:t>
      </w:r>
      <w:r w:rsidR="00506DE6">
        <w:t xml:space="preserve">All comments or oppositions addressing the Lumos Fiber Petition must </w:t>
      </w:r>
      <w:r w:rsidR="00506DE6">
        <w:t>reference</w:t>
      </w:r>
      <w:r w:rsidR="00506DE6">
        <w:t xml:space="preserve"> WC Docket No. 26-</w:t>
      </w:r>
      <w:r w:rsidR="003C62B7">
        <w:t>167</w:t>
      </w:r>
      <w:r w:rsidR="00506DE6">
        <w:t>.</w:t>
      </w:r>
      <w:r>
        <w:t xml:space="preserve"> </w:t>
      </w:r>
      <w:r w:rsidR="00506DE6">
        <w:t xml:space="preserve">  All comments or </w:t>
      </w:r>
      <w:r w:rsidR="00506DE6">
        <w:t>oppositions</w:t>
      </w:r>
      <w:r w:rsidR="00506DE6">
        <w:t xml:space="preserve"> must </w:t>
      </w:r>
      <w:r>
        <w:t>be addressed to the Secretary, Office of the Secretary, Federal Communications Commission</w:t>
      </w:r>
      <w:r w:rsidRPr="00443249">
        <w:rPr>
          <w:rFonts w:eastAsia="Calibri"/>
          <w:color w:val="000000"/>
          <w:szCs w:val="22"/>
        </w:rPr>
        <w:t>.</w:t>
      </w:r>
    </w:p>
    <w:p w:rsidR="00220533" w:rsidP="00220533" w14:paraId="2D63DC09" w14:textId="77777777">
      <w:pPr>
        <w:widowControl/>
        <w:numPr>
          <w:ilvl w:val="0"/>
          <w:numId w:val="7"/>
        </w:numPr>
        <w:spacing w:after="120"/>
        <w:rPr>
          <w:rFonts w:eastAsia="Calibri"/>
          <w:szCs w:val="22"/>
        </w:rPr>
      </w:pPr>
      <w:r w:rsidRPr="00582E39">
        <w:rPr>
          <w:rFonts w:eastAsia="Calibri"/>
          <w:i/>
          <w:iCs/>
          <w:szCs w:val="22"/>
        </w:rPr>
        <w:t>Electronic Filers</w:t>
      </w:r>
      <w:r w:rsidRPr="00443249">
        <w:rPr>
          <w:rFonts w:eastAsia="Calibri"/>
          <w:szCs w:val="22"/>
        </w:rPr>
        <w:t>:  Comments</w:t>
      </w:r>
      <w:r>
        <w:rPr>
          <w:rFonts w:eastAsia="Calibri"/>
          <w:szCs w:val="22"/>
        </w:rPr>
        <w:t xml:space="preserve"> and oppositions</w:t>
      </w:r>
      <w:r w:rsidRPr="00443249">
        <w:rPr>
          <w:rFonts w:eastAsia="Calibri"/>
          <w:szCs w:val="22"/>
        </w:rPr>
        <w:t xml:space="preserve"> may be filed electronically using the Internet by accessing the </w:t>
      </w:r>
      <w:r>
        <w:rPr>
          <w:rFonts w:eastAsia="Calibri"/>
          <w:szCs w:val="22"/>
        </w:rPr>
        <w:t>Commission’s Electronic Comment Filing System (</w:t>
      </w:r>
      <w:r w:rsidRPr="00443249">
        <w:rPr>
          <w:rFonts w:eastAsia="Calibri"/>
          <w:szCs w:val="22"/>
        </w:rPr>
        <w:t>ECFS</w:t>
      </w:r>
      <w:r>
        <w:rPr>
          <w:rFonts w:eastAsia="Calibri"/>
          <w:szCs w:val="22"/>
        </w:rPr>
        <w:t>)</w:t>
      </w:r>
      <w:r w:rsidRPr="00443249">
        <w:rPr>
          <w:rFonts w:eastAsia="Calibri"/>
          <w:szCs w:val="22"/>
        </w:rPr>
        <w:t xml:space="preserve">:  </w:t>
      </w:r>
      <w:hyperlink r:id="rId6" w:tgtFrame="_blank" w:history="1">
        <w:r>
          <w:rPr>
            <w:rStyle w:val="Hyperlink"/>
            <w:szCs w:val="22"/>
            <w:bdr w:val="none" w:sz="0" w:space="0" w:color="auto" w:frame="1"/>
            <w:shd w:val="clear" w:color="auto" w:fill="FFFFFF"/>
          </w:rPr>
          <w:t>www.fcc.gov/ecfs</w:t>
        </w:r>
      </w:hyperlink>
      <w:r w:rsidRPr="00443249">
        <w:rPr>
          <w:rFonts w:eastAsia="Calibri"/>
          <w:szCs w:val="22"/>
        </w:rPr>
        <w:t>.</w:t>
      </w:r>
      <w:r>
        <w:rPr>
          <w:rStyle w:val="FootnoteReference"/>
          <w:rFonts w:eastAsia="Calibri"/>
          <w:szCs w:val="22"/>
        </w:rPr>
        <w:footnoteReference w:id="8"/>
      </w:r>
    </w:p>
    <w:p w:rsidR="00A36D4A" w:rsidP="00220533" w14:paraId="5217D147" w14:textId="0347D5EE">
      <w:pPr>
        <w:widowControl/>
        <w:numPr>
          <w:ilvl w:val="0"/>
          <w:numId w:val="7"/>
        </w:numPr>
        <w:spacing w:after="120"/>
        <w:rPr>
          <w:rFonts w:eastAsia="Calibri"/>
          <w:szCs w:val="22"/>
        </w:rPr>
      </w:pPr>
      <w:r w:rsidRPr="00582E39">
        <w:rPr>
          <w:rFonts w:eastAsia="Calibri"/>
          <w:i/>
          <w:iCs/>
          <w:szCs w:val="22"/>
        </w:rPr>
        <w:t>Paper Filers</w:t>
      </w:r>
      <w:r w:rsidRPr="003D4C4A">
        <w:rPr>
          <w:rFonts w:eastAsia="Calibri"/>
          <w:szCs w:val="22"/>
        </w:rPr>
        <w:t>:</w:t>
      </w:r>
      <w:r w:rsidRPr="00582E39">
        <w:rPr>
          <w:rFonts w:eastAsia="Calibri"/>
          <w:szCs w:val="22"/>
        </w:rPr>
        <w:t xml:space="preserve"> </w:t>
      </w:r>
      <w:r w:rsidR="003D4C4A">
        <w:rPr>
          <w:rFonts w:eastAsia="Calibri"/>
          <w:szCs w:val="22"/>
        </w:rPr>
        <w:t xml:space="preserve"> </w:t>
      </w:r>
      <w:r w:rsidRPr="00582E39">
        <w:rPr>
          <w:rFonts w:eastAsia="Calibri"/>
          <w:szCs w:val="22"/>
        </w:rPr>
        <w:t>Parties</w:t>
      </w:r>
      <w:r w:rsidRPr="00582E39">
        <w:rPr>
          <w:rFonts w:eastAsia="Calibri"/>
          <w:szCs w:val="22"/>
        </w:rPr>
        <w:t xml:space="preserve"> who choose to file by paper must file an original and one copy of each filing.</w:t>
      </w:r>
    </w:p>
    <w:p w:rsidR="00582E39" w:rsidP="00A36D4A" w14:paraId="609CFCE9" w14:textId="63265F03">
      <w:pPr>
        <w:widowControl/>
        <w:numPr>
          <w:ilvl w:val="1"/>
          <w:numId w:val="7"/>
        </w:numPr>
        <w:spacing w:after="120"/>
        <w:rPr>
          <w:rFonts w:eastAsia="Calibri"/>
          <w:szCs w:val="22"/>
        </w:rPr>
      </w:pPr>
      <w:r w:rsidRPr="00582E39">
        <w:rPr>
          <w:rFonts w:eastAsia="Calibri"/>
          <w:szCs w:val="22"/>
        </w:rPr>
        <w:t xml:space="preserve">Filings can be sent by hand or messenger delivery, by commercial courier, or by the U.S. Postal Service. </w:t>
      </w:r>
    </w:p>
    <w:p w:rsidR="00A36D4A" w:rsidP="00A36D4A" w14:paraId="06BE247D" w14:textId="168145E2">
      <w:pPr>
        <w:widowControl/>
        <w:numPr>
          <w:ilvl w:val="1"/>
          <w:numId w:val="7"/>
        </w:numPr>
        <w:spacing w:after="120"/>
        <w:rPr>
          <w:rFonts w:eastAsia="Calibri"/>
          <w:szCs w:val="22"/>
        </w:rPr>
      </w:pPr>
      <w:r w:rsidRPr="00A36D4A">
        <w:rPr>
          <w:rFonts w:eastAsia="Calibri"/>
          <w:szCs w:val="22"/>
        </w:rPr>
        <w:t xml:space="preserve">Hand-delivered or messenger-delivered paper filings for the Commission’s Secretary are accepted between 8:00 a.m. and 4:00 p.m. by the FCC’s mailing contractor at 9050 Junction Drive, Annapolis Junction, MD 20701. </w:t>
      </w:r>
      <w:r w:rsidR="003D4C4A">
        <w:rPr>
          <w:rFonts w:eastAsia="Calibri"/>
          <w:szCs w:val="22"/>
        </w:rPr>
        <w:t xml:space="preserve"> </w:t>
      </w:r>
      <w:r w:rsidRPr="00A36D4A">
        <w:rPr>
          <w:rFonts w:eastAsia="Calibri"/>
          <w:szCs w:val="22"/>
        </w:rPr>
        <w:t xml:space="preserve">All hand deliveries must be </w:t>
      </w:r>
      <w:r w:rsidRPr="00A36D4A">
        <w:rPr>
          <w:rFonts w:eastAsia="Calibri"/>
          <w:szCs w:val="22"/>
        </w:rPr>
        <w:t>held</w:t>
      </w:r>
      <w:r w:rsidRPr="00A36D4A">
        <w:rPr>
          <w:rFonts w:eastAsia="Calibri"/>
          <w:szCs w:val="22"/>
        </w:rPr>
        <w:t xml:space="preserve"> together with rubber bands or fasteners. </w:t>
      </w:r>
      <w:r w:rsidR="003D4C4A">
        <w:rPr>
          <w:rFonts w:eastAsia="Calibri"/>
          <w:szCs w:val="22"/>
        </w:rPr>
        <w:t xml:space="preserve"> </w:t>
      </w:r>
      <w:r w:rsidRPr="00A36D4A">
        <w:rPr>
          <w:rFonts w:eastAsia="Calibri"/>
          <w:szCs w:val="22"/>
        </w:rPr>
        <w:t>Any envelopes and boxes must be disposed of before entering the building.</w:t>
      </w:r>
    </w:p>
    <w:p w:rsidR="00A36D4A" w:rsidP="00A36D4A" w14:paraId="1AED7B82" w14:textId="7844A482">
      <w:pPr>
        <w:widowControl/>
        <w:numPr>
          <w:ilvl w:val="1"/>
          <w:numId w:val="7"/>
        </w:numPr>
        <w:spacing w:after="120"/>
        <w:rPr>
          <w:rFonts w:eastAsia="Calibri"/>
          <w:szCs w:val="22"/>
        </w:rPr>
      </w:pPr>
      <w:r w:rsidRPr="00A36D4A">
        <w:rPr>
          <w:rFonts w:eastAsia="Calibri"/>
          <w:szCs w:val="22"/>
        </w:rPr>
        <w:t>Commercial courier deliveries (any deliveries not by the U.S. Postal Service) must be sent to 9050 Junction Drive, Annapolis Junction, MD 20701.</w:t>
      </w:r>
    </w:p>
    <w:p w:rsidR="00A36D4A" w:rsidRPr="00416470" w:rsidP="00A36D4A" w14:paraId="591E2BE9" w14:textId="42396937">
      <w:pPr>
        <w:widowControl/>
        <w:numPr>
          <w:ilvl w:val="1"/>
          <w:numId w:val="7"/>
        </w:numPr>
        <w:spacing w:after="120"/>
        <w:rPr>
          <w:rFonts w:eastAsia="Calibri"/>
          <w:szCs w:val="22"/>
        </w:rPr>
      </w:pPr>
      <w:r w:rsidRPr="00A36D4A">
        <w:rPr>
          <w:rFonts w:eastAsia="Calibri"/>
          <w:szCs w:val="22"/>
        </w:rPr>
        <w:t>Filings sent by U.S. Postal Service First-Class Mail, Priority Mail, and Priority Mail Express must be sent to 45 L Street NE, Washington, DC 20554.</w:t>
      </w:r>
    </w:p>
    <w:p w:rsidR="00220533" w:rsidRPr="00443249" w:rsidP="00220533" w14:paraId="1269D71F" w14:textId="0E18C969">
      <w:pPr>
        <w:spacing w:after="120"/>
        <w:ind w:firstLine="720"/>
        <w:rPr>
          <w:rFonts w:eastAsia="Calibri"/>
          <w:szCs w:val="22"/>
        </w:rPr>
      </w:pPr>
      <w:r w:rsidRPr="00A36D4A">
        <w:rPr>
          <w:rFonts w:eastAsia="Calibri"/>
          <w:i/>
          <w:iCs/>
          <w:szCs w:val="22"/>
        </w:rPr>
        <w:t>People with Disabilities</w:t>
      </w:r>
      <w:r w:rsidR="003D4C4A">
        <w:rPr>
          <w:rFonts w:eastAsia="Calibri"/>
          <w:szCs w:val="22"/>
        </w:rPr>
        <w:t>.</w:t>
      </w:r>
      <w:r w:rsidRPr="00443249">
        <w:rPr>
          <w:rFonts w:eastAsia="Calibri"/>
          <w:szCs w:val="22"/>
        </w:rPr>
        <w:t xml:space="preserve">  To request materials in accessible formats for people with </w:t>
      </w:r>
      <w:r>
        <w:rPr>
          <w:rFonts w:eastAsia="Calibri"/>
          <w:szCs w:val="22"/>
        </w:rPr>
        <w:t xml:space="preserve">disabilities </w:t>
      </w:r>
      <w:r w:rsidRPr="00443249">
        <w:rPr>
          <w:rFonts w:eastAsia="Calibri"/>
          <w:szCs w:val="22"/>
        </w:rPr>
        <w:t>(</w:t>
      </w:r>
      <w:r w:rsidR="003D4C4A">
        <w:rPr>
          <w:rFonts w:eastAsia="Calibri"/>
          <w:szCs w:val="22"/>
        </w:rPr>
        <w:t>b</w:t>
      </w:r>
      <w:r w:rsidRPr="00443249">
        <w:rPr>
          <w:rFonts w:eastAsia="Calibri"/>
          <w:szCs w:val="22"/>
        </w:rPr>
        <w:t xml:space="preserve">raille, large print, electronic files, audio format), send an e-mail to </w:t>
      </w:r>
      <w:r w:rsidRPr="00A14B49">
        <w:rPr>
          <w:rFonts w:eastAsia="Calibri"/>
          <w:szCs w:val="22"/>
        </w:rPr>
        <w:t xml:space="preserve">fcc504@fcc.gov </w:t>
      </w:r>
      <w:r w:rsidRPr="00443249">
        <w:rPr>
          <w:rFonts w:eastAsia="Calibri"/>
          <w:szCs w:val="22"/>
        </w:rPr>
        <w:t>or call the Consumer &amp; Governmental Affairs Bureau at (202) 418-0530.</w:t>
      </w:r>
    </w:p>
    <w:p w:rsidR="00220533" w:rsidRPr="00CE39B7" w:rsidP="00220533" w14:paraId="016E7D1C" w14:textId="1CAA700E">
      <w:pPr>
        <w:spacing w:after="120"/>
        <w:ind w:firstLine="720"/>
        <w:rPr>
          <w:szCs w:val="22"/>
        </w:rPr>
      </w:pPr>
      <w:r>
        <w:rPr>
          <w:i/>
          <w:iCs/>
          <w:szCs w:val="22"/>
        </w:rPr>
        <w:t xml:space="preserve">Ex </w:t>
      </w:r>
      <w:r>
        <w:rPr>
          <w:i/>
          <w:iCs/>
          <w:szCs w:val="22"/>
        </w:rPr>
        <w:t>Parte</w:t>
      </w:r>
      <w:r>
        <w:rPr>
          <w:i/>
          <w:iCs/>
          <w:szCs w:val="22"/>
        </w:rPr>
        <w:t xml:space="preserve"> Rules.  </w:t>
      </w:r>
      <w:r>
        <w:rPr>
          <w:szCs w:val="22"/>
        </w:rPr>
        <w:t>The proceeding</w:t>
      </w:r>
      <w:r w:rsidR="00506DE6">
        <w:rPr>
          <w:szCs w:val="22"/>
        </w:rPr>
        <w:t>s</w:t>
      </w:r>
      <w:r>
        <w:rPr>
          <w:szCs w:val="22"/>
        </w:rPr>
        <w:t xml:space="preserve"> this Notice initiates shall be treated </w:t>
      </w:r>
      <w:r w:rsidRPr="00443249">
        <w:rPr>
          <w:szCs w:val="22"/>
        </w:rPr>
        <w:t>as “permit-but-disclose” proceeding</w:t>
      </w:r>
      <w:r w:rsidR="00506DE6">
        <w:rPr>
          <w:szCs w:val="22"/>
        </w:rPr>
        <w:t>s</w:t>
      </w:r>
      <w:r w:rsidRPr="00443249">
        <w:rPr>
          <w:szCs w:val="22"/>
        </w:rPr>
        <w:t xml:space="preserve"> in accordance with the Commission’s </w:t>
      </w:r>
      <w:r w:rsidRPr="00443249">
        <w:rPr>
          <w:i/>
          <w:iCs/>
          <w:szCs w:val="22"/>
        </w:rPr>
        <w:t xml:space="preserve">ex </w:t>
      </w:r>
      <w:r w:rsidRPr="00443249">
        <w:rPr>
          <w:i/>
          <w:iCs/>
          <w:szCs w:val="22"/>
        </w:rPr>
        <w:t>parte</w:t>
      </w:r>
      <w:r w:rsidRPr="00443249">
        <w:rPr>
          <w:i/>
          <w:iCs/>
          <w:szCs w:val="22"/>
        </w:rPr>
        <w:t xml:space="preserve"> </w:t>
      </w:r>
      <w:r w:rsidRPr="00443249">
        <w:rPr>
          <w:szCs w:val="22"/>
        </w:rPr>
        <w:t>rules.</w:t>
      </w:r>
      <w:r>
        <w:rPr>
          <w:rStyle w:val="FootnoteReference"/>
          <w:szCs w:val="22"/>
        </w:rPr>
        <w:footnoteReference w:id="9"/>
      </w:r>
      <w:r w:rsidRPr="00443249">
        <w:rPr>
          <w:szCs w:val="22"/>
        </w:rPr>
        <w:t xml:space="preserve">  Persons making </w:t>
      </w:r>
      <w:r w:rsidRPr="00443249">
        <w:rPr>
          <w:i/>
          <w:szCs w:val="22"/>
        </w:rPr>
        <w:t xml:space="preserve">ex </w:t>
      </w:r>
      <w:r w:rsidRPr="00443249">
        <w:rPr>
          <w:i/>
          <w:szCs w:val="22"/>
        </w:rPr>
        <w:t>parte</w:t>
      </w:r>
      <w:r w:rsidRPr="00443249">
        <w:rPr>
          <w:i/>
          <w:szCs w:val="22"/>
        </w:rPr>
        <w:t xml:space="preserve"> </w:t>
      </w:r>
      <w:r w:rsidRPr="00443249">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443249">
        <w:rPr>
          <w:i/>
          <w:iCs/>
          <w:szCs w:val="22"/>
        </w:rPr>
        <w:t xml:space="preserve">ex </w:t>
      </w:r>
      <w:r w:rsidRPr="00443249">
        <w:rPr>
          <w:i/>
          <w:iCs/>
          <w:szCs w:val="22"/>
        </w:rPr>
        <w:t>parte</w:t>
      </w:r>
      <w:r w:rsidRPr="00443249">
        <w:rPr>
          <w:i/>
          <w:iCs/>
          <w:szCs w:val="22"/>
        </w:rPr>
        <w:t xml:space="preserve"> </w:t>
      </w:r>
      <w:r w:rsidRPr="00443249">
        <w:rPr>
          <w:szCs w:val="22"/>
        </w:rPr>
        <w:t xml:space="preserve">presentations are reminded that memoranda summarizing the presentation must (1) list all persons attending or otherwise participating in the meeting at which the </w:t>
      </w:r>
      <w:r w:rsidRPr="00443249">
        <w:rPr>
          <w:i/>
          <w:iCs/>
          <w:szCs w:val="22"/>
        </w:rPr>
        <w:t xml:space="preserve">ex </w:t>
      </w:r>
      <w:r w:rsidRPr="00443249">
        <w:rPr>
          <w:i/>
          <w:iCs/>
          <w:szCs w:val="22"/>
        </w:rPr>
        <w:t>parte</w:t>
      </w:r>
      <w:r w:rsidRPr="00443249">
        <w:rPr>
          <w:i/>
          <w:iCs/>
          <w:szCs w:val="22"/>
        </w:rPr>
        <w:t xml:space="preserve"> </w:t>
      </w:r>
      <w:r w:rsidRPr="00443249">
        <w:rPr>
          <w:szCs w:val="22"/>
        </w:rPr>
        <w:t>presentation was made and (2) summarize all data presented and arguments made during the presentation.  If the presentation consisted in whole or in part of the presentation of data or arguments already reflected in the presenter’s written comments, memoranda or other filings in the</w:t>
      </w:r>
      <w:r w:rsidR="00A062BF">
        <w:rPr>
          <w:szCs w:val="22"/>
        </w:rPr>
        <w:t xml:space="preserve"> </w:t>
      </w:r>
      <w:r w:rsidRPr="00443249">
        <w:rPr>
          <w:szCs w:val="22"/>
        </w:rPr>
        <w:t xml:space="preserve">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443249">
        <w:rPr>
          <w:i/>
          <w:iCs/>
          <w:szCs w:val="22"/>
        </w:rPr>
        <w:t xml:space="preserve">ex </w:t>
      </w:r>
      <w:r w:rsidRPr="00443249">
        <w:rPr>
          <w:i/>
          <w:iCs/>
          <w:szCs w:val="22"/>
        </w:rPr>
        <w:t>parte</w:t>
      </w:r>
      <w:r w:rsidRPr="00443249">
        <w:rPr>
          <w:i/>
          <w:iCs/>
          <w:szCs w:val="22"/>
        </w:rPr>
        <w:t xml:space="preserve"> </w:t>
      </w:r>
      <w:r w:rsidRPr="00443249">
        <w:rPr>
          <w:szCs w:val="22"/>
        </w:rPr>
        <w:t xml:space="preserve">meetings are deemed to be written </w:t>
      </w:r>
      <w:r w:rsidRPr="00443249">
        <w:rPr>
          <w:i/>
          <w:iCs/>
          <w:szCs w:val="22"/>
        </w:rPr>
        <w:t xml:space="preserve">ex </w:t>
      </w:r>
      <w:r w:rsidRPr="00443249">
        <w:rPr>
          <w:i/>
          <w:iCs/>
          <w:szCs w:val="22"/>
        </w:rPr>
        <w:t>parte</w:t>
      </w:r>
      <w:r w:rsidRPr="00443249">
        <w:rPr>
          <w:szCs w:val="22"/>
        </w:rPr>
        <w:t xml:space="preserve"> presentations and must be filed consistent with rule 1.1206(b).  In proceedings governed by rule 1.49(f) or for which the Commission has made available a method of electronic filing, written </w:t>
      </w:r>
      <w:r w:rsidRPr="00443249">
        <w:rPr>
          <w:i/>
          <w:iCs/>
          <w:szCs w:val="22"/>
        </w:rPr>
        <w:t xml:space="preserve">ex </w:t>
      </w:r>
      <w:r w:rsidRPr="00443249">
        <w:rPr>
          <w:i/>
          <w:iCs/>
          <w:szCs w:val="22"/>
        </w:rPr>
        <w:t>parte</w:t>
      </w:r>
      <w:r w:rsidRPr="00443249">
        <w:rPr>
          <w:i/>
          <w:iCs/>
          <w:szCs w:val="22"/>
        </w:rPr>
        <w:t xml:space="preserve"> </w:t>
      </w:r>
      <w:r w:rsidRPr="00443249">
        <w:rPr>
          <w:szCs w:val="22"/>
        </w:rPr>
        <w:t xml:space="preserve">presentations and memoranda summarizing oral </w:t>
      </w:r>
      <w:r w:rsidRPr="00443249">
        <w:rPr>
          <w:i/>
          <w:iCs/>
          <w:szCs w:val="22"/>
        </w:rPr>
        <w:t xml:space="preserve">ex </w:t>
      </w:r>
      <w:r w:rsidRPr="00443249">
        <w:rPr>
          <w:i/>
          <w:iCs/>
          <w:szCs w:val="22"/>
        </w:rPr>
        <w:t>parte</w:t>
      </w:r>
      <w:r w:rsidRPr="00443249">
        <w:rPr>
          <w:i/>
          <w:iCs/>
          <w:szCs w:val="22"/>
        </w:rPr>
        <w:t xml:space="preserve"> </w:t>
      </w:r>
      <w:r w:rsidRPr="00443249">
        <w:rPr>
          <w:szCs w:val="22"/>
        </w:rPr>
        <w:t xml:space="preserve">presentations, and all attachments thereto, must be filed through the electronic comment filing </w:t>
      </w:r>
      <w:r w:rsidRPr="006147A5">
        <w:rPr>
          <w:szCs w:val="22"/>
        </w:rPr>
        <w:t>system available for that proceeding, and must be filed in their native format (</w:t>
      </w:r>
      <w:r w:rsidRPr="006147A5">
        <w:rPr>
          <w:iCs/>
          <w:szCs w:val="22"/>
        </w:rPr>
        <w:t>e.g.</w:t>
      </w:r>
      <w:r w:rsidRPr="006147A5">
        <w:rPr>
          <w:szCs w:val="22"/>
        </w:rPr>
        <w:t>, .doc, .xml, .ppt, searchable .pdf).  Participants in th</w:t>
      </w:r>
      <w:r>
        <w:rPr>
          <w:szCs w:val="22"/>
        </w:rPr>
        <w:t>ese</w:t>
      </w:r>
      <w:r w:rsidRPr="006147A5">
        <w:rPr>
          <w:szCs w:val="22"/>
        </w:rPr>
        <w:t xml:space="preserve"> proceeding</w:t>
      </w:r>
      <w:r>
        <w:rPr>
          <w:szCs w:val="22"/>
        </w:rPr>
        <w:t>s</w:t>
      </w:r>
      <w:r w:rsidRPr="006147A5">
        <w:rPr>
          <w:szCs w:val="22"/>
        </w:rPr>
        <w:t xml:space="preserve"> should familiarize themselves with the Commission’s </w:t>
      </w:r>
      <w:r w:rsidRPr="006147A5">
        <w:rPr>
          <w:i/>
          <w:iCs/>
          <w:szCs w:val="22"/>
        </w:rPr>
        <w:t xml:space="preserve">ex </w:t>
      </w:r>
      <w:r w:rsidRPr="006147A5">
        <w:rPr>
          <w:i/>
          <w:iCs/>
          <w:szCs w:val="22"/>
        </w:rPr>
        <w:t>parte</w:t>
      </w:r>
      <w:r w:rsidRPr="006147A5">
        <w:rPr>
          <w:i/>
          <w:iCs/>
          <w:szCs w:val="22"/>
        </w:rPr>
        <w:t xml:space="preserve"> </w:t>
      </w:r>
      <w:r w:rsidRPr="006147A5">
        <w:rPr>
          <w:szCs w:val="22"/>
        </w:rPr>
        <w:t>rules.</w:t>
      </w:r>
    </w:p>
    <w:p w:rsidR="00220533" w:rsidRPr="00443249" w:rsidP="00220533" w14:paraId="06C23B2C" w14:textId="77777777">
      <w:pPr>
        <w:ind w:firstLine="720"/>
        <w:contextualSpacing/>
        <w:rPr>
          <w:rFonts w:eastAsia="Calibri"/>
          <w:szCs w:val="22"/>
        </w:rPr>
      </w:pPr>
      <w:r w:rsidRPr="006147A5">
        <w:rPr>
          <w:rFonts w:eastAsia="Calibri"/>
          <w:szCs w:val="22"/>
        </w:rPr>
        <w:t xml:space="preserve">For further information, </w:t>
      </w:r>
      <w:r w:rsidRPr="00CB31B2">
        <w:rPr>
          <w:rFonts w:eastAsia="Calibri"/>
          <w:szCs w:val="22"/>
        </w:rPr>
        <w:t xml:space="preserve">please contact </w:t>
      </w:r>
      <w:r>
        <w:rPr>
          <w:szCs w:val="22"/>
          <w:shd w:val="clear" w:color="auto" w:fill="FFFFFF"/>
        </w:rPr>
        <w:t>Elizabeth Drogula</w:t>
      </w:r>
      <w:r w:rsidRPr="00CB31B2">
        <w:rPr>
          <w:rFonts w:eastAsia="Calibri"/>
          <w:szCs w:val="22"/>
        </w:rPr>
        <w:t>, Competition Policy Division, Wireline Competition Bureau, at (202) 418-</w:t>
      </w:r>
      <w:r>
        <w:rPr>
          <w:rFonts w:eastAsia="Calibri"/>
          <w:szCs w:val="22"/>
        </w:rPr>
        <w:t>1591</w:t>
      </w:r>
      <w:r w:rsidRPr="00CB31B2">
        <w:rPr>
          <w:rFonts w:eastAsia="Calibri"/>
          <w:szCs w:val="22"/>
        </w:rPr>
        <w:t xml:space="preserve"> or via e-mail at </w:t>
      </w:r>
      <w:r>
        <w:rPr>
          <w:rFonts w:eastAsia="Calibri"/>
          <w:szCs w:val="22"/>
        </w:rPr>
        <w:t>Elizabeth.Drogula</w:t>
      </w:r>
      <w:r w:rsidRPr="00CB31B2">
        <w:rPr>
          <w:rFonts w:eastAsia="Calibri"/>
          <w:szCs w:val="22"/>
        </w:rPr>
        <w:t>@fcc.gov.</w:t>
      </w:r>
    </w:p>
    <w:p w:rsidR="00220533" w:rsidRPr="00443249" w:rsidP="00220533" w14:paraId="6464A99A" w14:textId="77777777">
      <w:pPr>
        <w:contextualSpacing/>
        <w:rPr>
          <w:rFonts w:eastAsia="Calibri"/>
          <w:szCs w:val="22"/>
        </w:rPr>
      </w:pPr>
    </w:p>
    <w:p w:rsidR="00BA3BA8" w:rsidRPr="00220533" w:rsidP="00220533" w14:paraId="493EF8DC" w14:textId="50810DF5">
      <w:pPr>
        <w:contextualSpacing/>
        <w:jc w:val="center"/>
        <w:rPr>
          <w:szCs w:val="22"/>
        </w:rPr>
      </w:pPr>
      <w:r w:rsidRPr="00443249">
        <w:rPr>
          <w:rFonts w:eastAsia="Calibri"/>
          <w:b/>
          <w:szCs w:val="22"/>
        </w:rPr>
        <w:t>- FCC -</w:t>
      </w:r>
      <w:bookmarkEnd w:id="0"/>
    </w:p>
    <w:sectPr>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673A3D" w14:paraId="7EB63E78" w14:textId="77777777">
      <w:pPr>
        <w:spacing w:line="20" w:lineRule="exact"/>
      </w:pPr>
    </w:p>
  </w:endnote>
  <w:endnote w:type="continuationSeparator" w:id="1">
    <w:p w:rsidR="00673A3D" w14:paraId="5ABBF325" w14:textId="77777777">
      <w:r>
        <w:t xml:space="preserve"> </w:t>
      </w:r>
    </w:p>
  </w:endnote>
  <w:endnote w:type="continuationNotice" w:id="2">
    <w:p w:rsidR="00673A3D" w14:paraId="7D3DC3F7"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33A1C86"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17652AA2"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82E3E88"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C91A1C2"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73A3D" w14:paraId="7BB2494D" w14:textId="77777777">
      <w:r>
        <w:separator/>
      </w:r>
    </w:p>
  </w:footnote>
  <w:footnote w:type="continuationSeparator" w:id="1">
    <w:p w:rsidR="00673A3D" w14:paraId="4DB5FEF5" w14:textId="77777777">
      <w:pPr>
        <w:rPr>
          <w:sz w:val="20"/>
        </w:rPr>
      </w:pPr>
      <w:r>
        <w:rPr>
          <w:sz w:val="20"/>
        </w:rPr>
        <w:t xml:space="preserve">(Continued from previous page)  </w:t>
      </w:r>
      <w:r>
        <w:rPr>
          <w:sz w:val="20"/>
        </w:rPr>
        <w:separator/>
      </w:r>
    </w:p>
  </w:footnote>
  <w:footnote w:type="continuationNotice" w:id="2">
    <w:p w:rsidR="00673A3D" w14:paraId="386F36DD" w14:textId="77777777">
      <w:pPr>
        <w:jc w:val="right"/>
        <w:rPr>
          <w:sz w:val="20"/>
        </w:rPr>
      </w:pPr>
      <w:r>
        <w:rPr>
          <w:sz w:val="20"/>
        </w:rPr>
        <w:t>(</w:t>
      </w:r>
      <w:r>
        <w:rPr>
          <w:sz w:val="20"/>
        </w:rPr>
        <w:t>continued</w:t>
      </w:r>
      <w:r>
        <w:rPr>
          <w:sz w:val="20"/>
        </w:rPr>
        <w:t>….)</w:t>
      </w:r>
    </w:p>
  </w:footnote>
  <w:footnote w:id="3">
    <w:p w:rsidR="00220533" w:rsidP="00220533" w14:paraId="6E3A806F" w14:textId="38BBDBC0">
      <w:pPr>
        <w:pStyle w:val="FootnoteText"/>
      </w:pPr>
      <w:r>
        <w:rPr>
          <w:rStyle w:val="FootnoteReference"/>
        </w:rPr>
        <w:footnoteRef/>
      </w:r>
      <w:r>
        <w:t xml:space="preserve"> 47 U.S.C. § 253(d)</w:t>
      </w:r>
      <w:r w:rsidR="00F806D8">
        <w:t xml:space="preserve">; </w:t>
      </w:r>
      <w:r w:rsidR="00F806D8">
        <w:rPr>
          <w:i/>
          <w:iCs/>
        </w:rPr>
        <w:t xml:space="preserve">see also </w:t>
      </w:r>
      <w:r w:rsidR="00F806D8">
        <w:t>47 CFR § 1.2(b).</w:t>
      </w:r>
    </w:p>
  </w:footnote>
  <w:footnote w:id="4">
    <w:p w:rsidR="00A11761" w:rsidP="00A11761" w14:paraId="67DFFF3A" w14:textId="438CF7EB">
      <w:pPr>
        <w:pStyle w:val="FootnoteText"/>
      </w:pPr>
      <w:r>
        <w:rPr>
          <w:rStyle w:val="FootnoteReference"/>
        </w:rPr>
        <w:footnoteRef/>
      </w:r>
      <w:r>
        <w:t xml:space="preserve"> </w:t>
      </w:r>
      <w:r w:rsidRPr="00333F6A" w:rsidR="00333F6A">
        <w:rPr>
          <w:i/>
          <w:iCs/>
        </w:rPr>
        <w:t>Petition of Gateway Infrastructure, LLC d/b/a Gateway Fiber for Preemption and Declaratory Ruling Pursuant to Section 253(d) of the Communications Act of 1934</w:t>
      </w:r>
      <w:r w:rsidRPr="000264C7">
        <w:t xml:space="preserve"> </w:t>
      </w:r>
      <w:r w:rsidRPr="002A4A66">
        <w:t>(</w:t>
      </w:r>
      <w:r w:rsidR="00A7140B">
        <w:t>rec.</w:t>
      </w:r>
      <w:r w:rsidRPr="002A4A66">
        <w:t xml:space="preserve"> </w:t>
      </w:r>
      <w:r w:rsidR="00A7140B">
        <w:t>June 17</w:t>
      </w:r>
      <w:r w:rsidRPr="002A4A66">
        <w:t>, 202</w:t>
      </w:r>
      <w:r>
        <w:t>5</w:t>
      </w:r>
      <w:r w:rsidRPr="002A4A66">
        <w:t>)</w:t>
      </w:r>
      <w:r>
        <w:t xml:space="preserve">, </w:t>
      </w:r>
      <w:hyperlink r:id="rId1" w:history="1">
        <w:r w:rsidRPr="00567D4E" w:rsidR="00DF7C91">
          <w:rPr>
            <w:rStyle w:val="Hyperlink"/>
          </w:rPr>
          <w:t>https://www.fcc.gov/ecfs/search/search-filings/filing/26109834869</w:t>
        </w:r>
      </w:hyperlink>
      <w:r w:rsidR="00DF7C91">
        <w:t xml:space="preserve"> </w:t>
      </w:r>
      <w:r w:rsidRPr="00CA7AF0">
        <w:t>(</w:t>
      </w:r>
      <w:r w:rsidR="00AD3B6A">
        <w:t xml:space="preserve">Gateway Fiber </w:t>
      </w:r>
      <w:r w:rsidRPr="00CA7AF0">
        <w:t>Petition).</w:t>
      </w:r>
    </w:p>
  </w:footnote>
  <w:footnote w:id="5">
    <w:p w:rsidR="00244985" w:rsidRPr="007A3B99" w:rsidP="00244985" w14:paraId="583D1FE2" w14:textId="7DB14541">
      <w:pPr>
        <w:pStyle w:val="FootnoteText"/>
      </w:pPr>
      <w:r>
        <w:rPr>
          <w:rStyle w:val="FootnoteReference"/>
        </w:rPr>
        <w:footnoteRef/>
      </w:r>
      <w:r>
        <w:t xml:space="preserve"> </w:t>
      </w:r>
      <w:r w:rsidRPr="003879C2" w:rsidR="003879C2">
        <w:rPr>
          <w:i/>
          <w:iCs/>
        </w:rPr>
        <w:t>Petition of Lumos Fiber of Ohio, LLC for Preemption and Declaratory Ruling Pursuant to Section 253(d) of the Communications Act of 1934</w:t>
      </w:r>
      <w:r>
        <w:rPr>
          <w:i/>
          <w:iCs/>
        </w:rPr>
        <w:t xml:space="preserve"> </w:t>
      </w:r>
      <w:r>
        <w:t xml:space="preserve">(rec. June 18, 2026), </w:t>
      </w:r>
      <w:hyperlink r:id="rId2" w:history="1">
        <w:r w:rsidRPr="00567D4E" w:rsidR="000F7D90">
          <w:rPr>
            <w:rStyle w:val="Hyperlink"/>
          </w:rPr>
          <w:t>https://www.fcc.gov/ecfs/search/search-filings/filing/26109835097</w:t>
        </w:r>
      </w:hyperlink>
      <w:r w:rsidR="000F7D90">
        <w:t xml:space="preserve"> </w:t>
      </w:r>
      <w:r w:rsidRPr="00CA7AF0">
        <w:t>(</w:t>
      </w:r>
      <w:r>
        <w:t xml:space="preserve">Lumos Fiber </w:t>
      </w:r>
      <w:r w:rsidRPr="00CA7AF0">
        <w:t>Petition).</w:t>
      </w:r>
    </w:p>
  </w:footnote>
  <w:footnote w:id="6">
    <w:p w:rsidR="00F54FF3" w:rsidRPr="00F54FF3" w14:paraId="43DA2D9E" w14:textId="0FA16DAE">
      <w:pPr>
        <w:pStyle w:val="FootnoteText"/>
      </w:pPr>
      <w:r>
        <w:rPr>
          <w:rStyle w:val="FootnoteReference"/>
        </w:rPr>
        <w:footnoteRef/>
      </w:r>
      <w:r>
        <w:t xml:space="preserve"> </w:t>
      </w:r>
      <w:r>
        <w:rPr>
          <w:i/>
          <w:iCs/>
        </w:rPr>
        <w:t xml:space="preserve">See </w:t>
      </w:r>
      <w:r>
        <w:t xml:space="preserve">Lumos Fiber Petition at </w:t>
      </w:r>
      <w:r w:rsidR="00C40F13">
        <w:t>1, 11.</w:t>
      </w:r>
    </w:p>
  </w:footnote>
  <w:footnote w:id="7">
    <w:p w:rsidR="00A72652" w14:paraId="063D2894" w14:textId="304B638C">
      <w:pPr>
        <w:pStyle w:val="FootnoteText"/>
      </w:pPr>
      <w:r>
        <w:rPr>
          <w:rStyle w:val="FootnoteReference"/>
        </w:rPr>
        <w:footnoteRef/>
      </w:r>
      <w:r>
        <w:t xml:space="preserve"> </w:t>
      </w:r>
      <w:r w:rsidR="00AA261F">
        <w:rPr>
          <w:i/>
          <w:iCs/>
        </w:rPr>
        <w:t xml:space="preserve">See </w:t>
      </w:r>
      <w:r w:rsidR="00416A93">
        <w:t xml:space="preserve">Gateway Fiber Petition at </w:t>
      </w:r>
      <w:r w:rsidR="002C39D1">
        <w:t xml:space="preserve">1, </w:t>
      </w:r>
      <w:r w:rsidR="00AA261F">
        <w:t>14-</w:t>
      </w:r>
      <w:r w:rsidR="00DD2AD5">
        <w:t>20</w:t>
      </w:r>
      <w:r w:rsidR="00416A93">
        <w:t xml:space="preserve">; Lumos Fiber Petition at </w:t>
      </w:r>
      <w:r w:rsidR="001D7E5A">
        <w:t xml:space="preserve">1, </w:t>
      </w:r>
      <w:r w:rsidR="005C579F">
        <w:t>11-</w:t>
      </w:r>
      <w:r w:rsidR="004635FD">
        <w:t>31</w:t>
      </w:r>
      <w:r w:rsidR="00416A93">
        <w:t>.</w:t>
      </w:r>
    </w:p>
  </w:footnote>
  <w:footnote w:id="8">
    <w:p w:rsidR="00220533" w:rsidP="00220533" w14:paraId="77E18494" w14:textId="77777777">
      <w:pPr>
        <w:pStyle w:val="FootnoteText"/>
      </w:pPr>
      <w:r>
        <w:rPr>
          <w:rStyle w:val="FootnoteReference"/>
        </w:rPr>
        <w:footnoteRef/>
      </w:r>
      <w:r>
        <w:t xml:space="preserve"> </w:t>
      </w:r>
      <w:r w:rsidRPr="00CA7AF0">
        <w:rPr>
          <w:rFonts w:eastAsia="Calibri"/>
          <w:i/>
          <w:color w:val="000000"/>
          <w:szCs w:val="22"/>
        </w:rPr>
        <w:t>See</w:t>
      </w:r>
      <w:r w:rsidRPr="00CA7AF0">
        <w:rPr>
          <w:rFonts w:eastAsia="Calibri"/>
          <w:color w:val="000000"/>
          <w:szCs w:val="22"/>
        </w:rPr>
        <w:t xml:space="preserve"> </w:t>
      </w:r>
      <w:r w:rsidRPr="00CA7AF0">
        <w:rPr>
          <w:rFonts w:eastAsia="Calibri"/>
          <w:i/>
          <w:color w:val="000000"/>
          <w:szCs w:val="22"/>
        </w:rPr>
        <w:t>Electronic Filing of Documents in Rulemaking Proceedings</w:t>
      </w:r>
      <w:r w:rsidRPr="00CA7AF0">
        <w:rPr>
          <w:rFonts w:eastAsia="Calibri"/>
          <w:color w:val="000000"/>
          <w:szCs w:val="22"/>
        </w:rPr>
        <w:t>, 63 FR 24121 (1998).</w:t>
      </w:r>
    </w:p>
  </w:footnote>
  <w:footnote w:id="9">
    <w:p w:rsidR="00220533" w:rsidRPr="001B64A7" w:rsidP="00220533" w14:paraId="21A81455" w14:textId="77777777">
      <w:pPr>
        <w:pStyle w:val="FootnoteText"/>
      </w:pPr>
      <w:r w:rsidRPr="001B64A7">
        <w:rPr>
          <w:rStyle w:val="FootnoteReference"/>
        </w:rPr>
        <w:footnoteRef/>
      </w:r>
      <w:r w:rsidRPr="001B64A7">
        <w:t xml:space="preserve"> 47 CFR § 1.1200 </w:t>
      </w:r>
      <w:r w:rsidRPr="001B64A7">
        <w:rPr>
          <w:i/>
          <w:iCs/>
        </w:rPr>
        <w:t>et seq</w:t>
      </w:r>
      <w:r w:rsidRPr="001B64A7">
        <w:rPr>
          <w:iC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95FBFD1" w14:textId="08F9C9FC">
    <w:pPr>
      <w:tabs>
        <w:tab w:val="center" w:pos="4680"/>
        <w:tab w:val="right" w:pos="9360"/>
      </w:tabs>
    </w:pPr>
    <w:r>
      <w:rPr>
        <w:b/>
      </w:rPr>
      <w:tab/>
      <w:t>Federal Communications Commission</w:t>
    </w:r>
    <w:r>
      <w:rPr>
        <w:b/>
      </w:rPr>
      <w:tab/>
    </w:r>
    <w:r w:rsidR="00EE32B6">
      <w:rPr>
        <w:b/>
      </w:rPr>
      <w:t>DA 26-689</w:t>
    </w:r>
  </w:p>
  <w:p w:rsidR="00BA3BA8" w14:paraId="494E9163" w14:textId="5CE7B812">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662C6259"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0A57F906" w14:textId="4ECEA904">
    <w:pPr>
      <w:pStyle w:val="Header"/>
    </w:pPr>
    <w:r>
      <w:rPr>
        <w:noProof/>
      </w:rPr>
      <w:drawing>
        <wp:inline distT="0" distB="0" distL="0" distR="0">
          <wp:extent cx="594995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995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C9F668E"/>
    <w:multiLevelType w:val="hybridMultilevel"/>
    <w:tmpl w:val="27068BCA"/>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104E3A28"/>
    <w:multiLevelType w:val="hybridMultilevel"/>
    <w:tmpl w:val="51E41BF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Arial"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Arial"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Arial" w:hint="default"/>
      </w:rPr>
    </w:lvl>
    <w:lvl w:ilvl="8" w:tentative="1">
      <w:start w:val="1"/>
      <w:numFmt w:val="bullet"/>
      <w:lvlText w:val=""/>
      <w:lvlJc w:val="left"/>
      <w:pPr>
        <w:ind w:left="6480" w:hanging="360"/>
      </w:pPr>
      <w:rPr>
        <w:rFonts w:ascii="Wingdings" w:hAnsi="Wingdings" w:hint="default"/>
      </w:rPr>
    </w:lvl>
  </w:abstractNum>
  <w:abstractNum w:abstractNumId="3">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432238531">
    <w:abstractNumId w:val="3"/>
  </w:num>
  <w:num w:numId="2" w16cid:durableId="1058671491">
    <w:abstractNumId w:val="7"/>
  </w:num>
  <w:num w:numId="3" w16cid:durableId="1531146633">
    <w:abstractNumId w:val="5"/>
  </w:num>
  <w:num w:numId="4" w16cid:durableId="1481072295">
    <w:abstractNumId w:val="6"/>
  </w:num>
  <w:num w:numId="5" w16cid:durableId="61830913">
    <w:abstractNumId w:val="4"/>
  </w:num>
  <w:num w:numId="6" w16cid:durableId="565188872">
    <w:abstractNumId w:val="0"/>
  </w:num>
  <w:num w:numId="7" w16cid:durableId="1112866885">
    <w:abstractNumId w:val="2"/>
  </w:num>
  <w:num w:numId="8" w16cid:durableId="2080803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0533"/>
    <w:rsid w:val="00017886"/>
    <w:rsid w:val="000264C7"/>
    <w:rsid w:val="0003322E"/>
    <w:rsid w:val="00046014"/>
    <w:rsid w:val="00065947"/>
    <w:rsid w:val="00080AC3"/>
    <w:rsid w:val="00095037"/>
    <w:rsid w:val="00096078"/>
    <w:rsid w:val="000A2255"/>
    <w:rsid w:val="000C3A73"/>
    <w:rsid w:val="000E05C3"/>
    <w:rsid w:val="000E5812"/>
    <w:rsid w:val="000F7257"/>
    <w:rsid w:val="000F7D90"/>
    <w:rsid w:val="00100D1B"/>
    <w:rsid w:val="00104341"/>
    <w:rsid w:val="00105761"/>
    <w:rsid w:val="00127135"/>
    <w:rsid w:val="001471D2"/>
    <w:rsid w:val="00147597"/>
    <w:rsid w:val="00175D46"/>
    <w:rsid w:val="00195716"/>
    <w:rsid w:val="001B18E0"/>
    <w:rsid w:val="001B64A7"/>
    <w:rsid w:val="001B67DF"/>
    <w:rsid w:val="001D3AA6"/>
    <w:rsid w:val="001D7E5A"/>
    <w:rsid w:val="001E75A4"/>
    <w:rsid w:val="001F2B5E"/>
    <w:rsid w:val="00210A40"/>
    <w:rsid w:val="002157FD"/>
    <w:rsid w:val="00217785"/>
    <w:rsid w:val="00217DCE"/>
    <w:rsid w:val="00220219"/>
    <w:rsid w:val="00220533"/>
    <w:rsid w:val="002331B9"/>
    <w:rsid w:val="002365AE"/>
    <w:rsid w:val="00244985"/>
    <w:rsid w:val="00271AC8"/>
    <w:rsid w:val="002775C5"/>
    <w:rsid w:val="00287119"/>
    <w:rsid w:val="00287761"/>
    <w:rsid w:val="00297F44"/>
    <w:rsid w:val="002A4A66"/>
    <w:rsid w:val="002C39D1"/>
    <w:rsid w:val="002C7684"/>
    <w:rsid w:val="002E30AE"/>
    <w:rsid w:val="002F1D16"/>
    <w:rsid w:val="00303C65"/>
    <w:rsid w:val="00313421"/>
    <w:rsid w:val="00333F6A"/>
    <w:rsid w:val="00334B18"/>
    <w:rsid w:val="00347DF0"/>
    <w:rsid w:val="003744A2"/>
    <w:rsid w:val="00374CCD"/>
    <w:rsid w:val="00374E8F"/>
    <w:rsid w:val="003879C2"/>
    <w:rsid w:val="003A2B17"/>
    <w:rsid w:val="003A6129"/>
    <w:rsid w:val="003B7A85"/>
    <w:rsid w:val="003C62B7"/>
    <w:rsid w:val="003D4C4A"/>
    <w:rsid w:val="003E2B48"/>
    <w:rsid w:val="003F4526"/>
    <w:rsid w:val="004005C5"/>
    <w:rsid w:val="004024A1"/>
    <w:rsid w:val="00411EC5"/>
    <w:rsid w:val="00416470"/>
    <w:rsid w:val="00416A93"/>
    <w:rsid w:val="00420D1D"/>
    <w:rsid w:val="00426CA8"/>
    <w:rsid w:val="00430183"/>
    <w:rsid w:val="00440FE1"/>
    <w:rsid w:val="0044154D"/>
    <w:rsid w:val="00443249"/>
    <w:rsid w:val="0045556F"/>
    <w:rsid w:val="0045649E"/>
    <w:rsid w:val="004635FD"/>
    <w:rsid w:val="004A39F9"/>
    <w:rsid w:val="004A5CB3"/>
    <w:rsid w:val="004D7BD7"/>
    <w:rsid w:val="00502D8E"/>
    <w:rsid w:val="00506DE6"/>
    <w:rsid w:val="00510159"/>
    <w:rsid w:val="005239B6"/>
    <w:rsid w:val="00556BA3"/>
    <w:rsid w:val="00557285"/>
    <w:rsid w:val="005627B0"/>
    <w:rsid w:val="00562EEE"/>
    <w:rsid w:val="00566305"/>
    <w:rsid w:val="00567D4E"/>
    <w:rsid w:val="00575644"/>
    <w:rsid w:val="0058076C"/>
    <w:rsid w:val="00582A87"/>
    <w:rsid w:val="00582E39"/>
    <w:rsid w:val="005876B6"/>
    <w:rsid w:val="005947D2"/>
    <w:rsid w:val="005A02D7"/>
    <w:rsid w:val="005A17CA"/>
    <w:rsid w:val="005A7B0D"/>
    <w:rsid w:val="005B79A8"/>
    <w:rsid w:val="005C110F"/>
    <w:rsid w:val="005C42E2"/>
    <w:rsid w:val="005C579F"/>
    <w:rsid w:val="005D2E41"/>
    <w:rsid w:val="005E0427"/>
    <w:rsid w:val="005F5833"/>
    <w:rsid w:val="006147A5"/>
    <w:rsid w:val="00673A3D"/>
    <w:rsid w:val="006752B6"/>
    <w:rsid w:val="00682010"/>
    <w:rsid w:val="006837A8"/>
    <w:rsid w:val="006A4766"/>
    <w:rsid w:val="006B4822"/>
    <w:rsid w:val="006F001D"/>
    <w:rsid w:val="007036B1"/>
    <w:rsid w:val="007137A6"/>
    <w:rsid w:val="00716EE7"/>
    <w:rsid w:val="00722F84"/>
    <w:rsid w:val="00727BE8"/>
    <w:rsid w:val="00741A5A"/>
    <w:rsid w:val="007631A2"/>
    <w:rsid w:val="00764CEF"/>
    <w:rsid w:val="0076623B"/>
    <w:rsid w:val="00790460"/>
    <w:rsid w:val="00792D38"/>
    <w:rsid w:val="0079484B"/>
    <w:rsid w:val="007A3B99"/>
    <w:rsid w:val="007B651E"/>
    <w:rsid w:val="007B69E7"/>
    <w:rsid w:val="007C4E7C"/>
    <w:rsid w:val="007C7549"/>
    <w:rsid w:val="007D0F9F"/>
    <w:rsid w:val="007E4659"/>
    <w:rsid w:val="00815D46"/>
    <w:rsid w:val="00823F6C"/>
    <w:rsid w:val="008271A4"/>
    <w:rsid w:val="0084499B"/>
    <w:rsid w:val="008518D1"/>
    <w:rsid w:val="0087031E"/>
    <w:rsid w:val="008839E5"/>
    <w:rsid w:val="008866CC"/>
    <w:rsid w:val="0089073E"/>
    <w:rsid w:val="008A1508"/>
    <w:rsid w:val="008A5B88"/>
    <w:rsid w:val="008E27ED"/>
    <w:rsid w:val="009040FD"/>
    <w:rsid w:val="00913928"/>
    <w:rsid w:val="00945CDD"/>
    <w:rsid w:val="00947035"/>
    <w:rsid w:val="009944C4"/>
    <w:rsid w:val="009A7470"/>
    <w:rsid w:val="009B267E"/>
    <w:rsid w:val="009C7379"/>
    <w:rsid w:val="009E23B6"/>
    <w:rsid w:val="009F6665"/>
    <w:rsid w:val="009F7D14"/>
    <w:rsid w:val="00A062BF"/>
    <w:rsid w:val="00A11761"/>
    <w:rsid w:val="00A14B49"/>
    <w:rsid w:val="00A20679"/>
    <w:rsid w:val="00A30A9E"/>
    <w:rsid w:val="00A352B6"/>
    <w:rsid w:val="00A36D4A"/>
    <w:rsid w:val="00A4270B"/>
    <w:rsid w:val="00A62B2E"/>
    <w:rsid w:val="00A66871"/>
    <w:rsid w:val="00A7140B"/>
    <w:rsid w:val="00A72652"/>
    <w:rsid w:val="00A7548E"/>
    <w:rsid w:val="00A77BA6"/>
    <w:rsid w:val="00A86981"/>
    <w:rsid w:val="00A87BBA"/>
    <w:rsid w:val="00AA0E1A"/>
    <w:rsid w:val="00AA261F"/>
    <w:rsid w:val="00AB0301"/>
    <w:rsid w:val="00AB2FDC"/>
    <w:rsid w:val="00AD2FE5"/>
    <w:rsid w:val="00AD3B6A"/>
    <w:rsid w:val="00AE0DA1"/>
    <w:rsid w:val="00AF1873"/>
    <w:rsid w:val="00B115E4"/>
    <w:rsid w:val="00B11966"/>
    <w:rsid w:val="00B21A12"/>
    <w:rsid w:val="00B33AB0"/>
    <w:rsid w:val="00B51CC6"/>
    <w:rsid w:val="00B5543D"/>
    <w:rsid w:val="00B61403"/>
    <w:rsid w:val="00B74DA5"/>
    <w:rsid w:val="00B97BA5"/>
    <w:rsid w:val="00BA3BA8"/>
    <w:rsid w:val="00BC480C"/>
    <w:rsid w:val="00BC75E6"/>
    <w:rsid w:val="00BD5289"/>
    <w:rsid w:val="00BD61A8"/>
    <w:rsid w:val="00C04BCB"/>
    <w:rsid w:val="00C0565D"/>
    <w:rsid w:val="00C40F13"/>
    <w:rsid w:val="00C43EAF"/>
    <w:rsid w:val="00C7654F"/>
    <w:rsid w:val="00C76785"/>
    <w:rsid w:val="00C82497"/>
    <w:rsid w:val="00CA1ED4"/>
    <w:rsid w:val="00CA7AF0"/>
    <w:rsid w:val="00CB31B2"/>
    <w:rsid w:val="00CC042A"/>
    <w:rsid w:val="00CC3955"/>
    <w:rsid w:val="00CD22B8"/>
    <w:rsid w:val="00CD2551"/>
    <w:rsid w:val="00CD48FD"/>
    <w:rsid w:val="00CE0B54"/>
    <w:rsid w:val="00CE39B7"/>
    <w:rsid w:val="00CF36A2"/>
    <w:rsid w:val="00D03DDB"/>
    <w:rsid w:val="00D1371C"/>
    <w:rsid w:val="00D20C5F"/>
    <w:rsid w:val="00D42571"/>
    <w:rsid w:val="00D42F53"/>
    <w:rsid w:val="00D540C6"/>
    <w:rsid w:val="00DA3862"/>
    <w:rsid w:val="00DA6733"/>
    <w:rsid w:val="00DB0A6D"/>
    <w:rsid w:val="00DC7CA0"/>
    <w:rsid w:val="00DD2AD5"/>
    <w:rsid w:val="00DD6478"/>
    <w:rsid w:val="00DE3456"/>
    <w:rsid w:val="00DE663C"/>
    <w:rsid w:val="00DF3293"/>
    <w:rsid w:val="00DF4DD2"/>
    <w:rsid w:val="00DF7C91"/>
    <w:rsid w:val="00E02063"/>
    <w:rsid w:val="00E23381"/>
    <w:rsid w:val="00E35C2C"/>
    <w:rsid w:val="00E43DB9"/>
    <w:rsid w:val="00E45296"/>
    <w:rsid w:val="00E93BD2"/>
    <w:rsid w:val="00EB46B4"/>
    <w:rsid w:val="00EC1BAB"/>
    <w:rsid w:val="00EC758D"/>
    <w:rsid w:val="00ED5760"/>
    <w:rsid w:val="00EE32B6"/>
    <w:rsid w:val="00EF466B"/>
    <w:rsid w:val="00F03EA1"/>
    <w:rsid w:val="00F05540"/>
    <w:rsid w:val="00F24F84"/>
    <w:rsid w:val="00F270BF"/>
    <w:rsid w:val="00F50AB7"/>
    <w:rsid w:val="00F54FF3"/>
    <w:rsid w:val="00F71D9B"/>
    <w:rsid w:val="00F806D8"/>
    <w:rsid w:val="00F8229F"/>
    <w:rsid w:val="00F86849"/>
    <w:rsid w:val="00F954C4"/>
    <w:rsid w:val="00FB4C84"/>
    <w:rsid w:val="00FC2A8A"/>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2792E12A"/>
  <w15:chartTrackingRefBased/>
  <w15:docId w15:val="{2C656FE5-6565-46A7-A971-6D0328ED3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
    <w:link w:val="FootnoteTextChar"/>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paragraph" w:styleId="Revision">
    <w:name w:val="Revision"/>
    <w:hidden/>
    <w:uiPriority w:val="99"/>
    <w:semiHidden/>
    <w:rsid w:val="00220533"/>
    <w:rPr>
      <w:snapToGrid w:val="0"/>
      <w:kern w:val="28"/>
      <w:sz w:val="22"/>
    </w:rPr>
  </w:style>
  <w:style w:type="character" w:customStyle="1" w:styleId="FootnoteTextChar">
    <w:name w:val="Footnote Text Char"/>
    <w:aliases w:val="ALTS FOOTNOTE Char"/>
    <w:link w:val="FootnoteText"/>
    <w:semiHidden/>
    <w:rsid w:val="00220533"/>
  </w:style>
  <w:style w:type="character" w:styleId="FollowedHyperlink">
    <w:name w:val="FollowedHyperlink"/>
    <w:basedOn w:val="DefaultParagraphFont"/>
    <w:uiPriority w:val="99"/>
    <w:semiHidden/>
    <w:unhideWhenUsed/>
    <w:rsid w:val="00F86849"/>
    <w:rPr>
      <w:color w:val="96607D" w:themeColor="followedHyperlink"/>
      <w:u w:val="single"/>
    </w:rPr>
  </w:style>
  <w:style w:type="character" w:styleId="CommentReference">
    <w:name w:val="annotation reference"/>
    <w:basedOn w:val="DefaultParagraphFont"/>
    <w:uiPriority w:val="99"/>
    <w:semiHidden/>
    <w:unhideWhenUsed/>
    <w:rsid w:val="00EC1BAB"/>
    <w:rPr>
      <w:sz w:val="16"/>
      <w:szCs w:val="16"/>
    </w:rPr>
  </w:style>
  <w:style w:type="paragraph" w:styleId="CommentText">
    <w:name w:val="annotation text"/>
    <w:basedOn w:val="Normal"/>
    <w:link w:val="CommentTextChar"/>
    <w:uiPriority w:val="99"/>
    <w:unhideWhenUsed/>
    <w:rsid w:val="00EC1BAB"/>
    <w:rPr>
      <w:sz w:val="20"/>
    </w:rPr>
  </w:style>
  <w:style w:type="character" w:customStyle="1" w:styleId="CommentTextChar">
    <w:name w:val="Comment Text Char"/>
    <w:basedOn w:val="DefaultParagraphFont"/>
    <w:link w:val="CommentText"/>
    <w:uiPriority w:val="99"/>
    <w:rsid w:val="00EC1BAB"/>
    <w:rPr>
      <w:snapToGrid w:val="0"/>
      <w:kern w:val="28"/>
    </w:rPr>
  </w:style>
  <w:style w:type="paragraph" w:styleId="CommentSubject">
    <w:name w:val="annotation subject"/>
    <w:basedOn w:val="CommentText"/>
    <w:next w:val="CommentText"/>
    <w:link w:val="CommentSubjectChar"/>
    <w:uiPriority w:val="99"/>
    <w:semiHidden/>
    <w:unhideWhenUsed/>
    <w:rsid w:val="00EC1BAB"/>
    <w:rPr>
      <w:b/>
      <w:bCs/>
    </w:rPr>
  </w:style>
  <w:style w:type="character" w:customStyle="1" w:styleId="CommentSubjectChar">
    <w:name w:val="Comment Subject Char"/>
    <w:basedOn w:val="CommentTextChar"/>
    <w:link w:val="CommentSubject"/>
    <w:uiPriority w:val="99"/>
    <w:semiHidden/>
    <w:rsid w:val="00EC1BAB"/>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www.fcc.gov/ecfs"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search/search-filings/filing/26109834869" TargetMode="External" /><Relationship Id="rId2" Type="http://schemas.openxmlformats.org/officeDocument/2006/relationships/hyperlink" Target="https://www.fcc.gov/ecfs/search/search-filings/filing/26109835097"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