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P="001C7D2B" w14:paraId="3F171B6D" w14:textId="0615245F">
      <w:pPr>
        <w:widowControl/>
        <w:jc w:val="right"/>
        <w:rPr>
          <w:b/>
          <w:sz w:val="24"/>
        </w:rPr>
      </w:pPr>
      <w:r>
        <w:rPr>
          <w:b/>
          <w:sz w:val="24"/>
        </w:rPr>
        <w:t>DA 2</w:t>
      </w:r>
      <w:r w:rsidR="005A6726">
        <w:rPr>
          <w:b/>
          <w:sz w:val="24"/>
        </w:rPr>
        <w:t>6</w:t>
      </w:r>
      <w:r>
        <w:rPr>
          <w:b/>
          <w:sz w:val="24"/>
        </w:rPr>
        <w:t>-</w:t>
      </w:r>
      <w:r w:rsidR="006677AA">
        <w:rPr>
          <w:b/>
          <w:sz w:val="24"/>
        </w:rPr>
        <w:t>690</w:t>
      </w:r>
    </w:p>
    <w:p w:rsidR="00BA3BA8" w:rsidP="001C7D2B" w14:paraId="74840477" w14:textId="1EE64C3C">
      <w:pPr>
        <w:widowControl/>
        <w:spacing w:before="60"/>
        <w:jc w:val="right"/>
        <w:rPr>
          <w:b/>
          <w:sz w:val="24"/>
        </w:rPr>
      </w:pPr>
      <w:r>
        <w:rPr>
          <w:b/>
          <w:sz w:val="24"/>
        </w:rPr>
        <w:t xml:space="preserve">Released:  </w:t>
      </w:r>
      <w:r w:rsidRPr="001C7D2B" w:rsidR="004F58FB">
        <w:rPr>
          <w:b/>
          <w:sz w:val="24"/>
        </w:rPr>
        <w:t>Ju</w:t>
      </w:r>
      <w:r w:rsidRPr="001C7D2B" w:rsidR="001C7D2B">
        <w:rPr>
          <w:b/>
          <w:sz w:val="24"/>
        </w:rPr>
        <w:t>ly</w:t>
      </w:r>
      <w:r w:rsidRPr="001C7D2B" w:rsidR="004F58FB">
        <w:rPr>
          <w:b/>
          <w:sz w:val="24"/>
        </w:rPr>
        <w:t xml:space="preserve"> </w:t>
      </w:r>
      <w:r w:rsidR="00FC48A4">
        <w:rPr>
          <w:b/>
          <w:sz w:val="24"/>
        </w:rPr>
        <w:t>9</w:t>
      </w:r>
      <w:r w:rsidR="00087ED8">
        <w:rPr>
          <w:b/>
          <w:sz w:val="24"/>
        </w:rPr>
        <w:t>, 202</w:t>
      </w:r>
      <w:r w:rsidR="005A6726">
        <w:rPr>
          <w:b/>
          <w:sz w:val="24"/>
        </w:rPr>
        <w:t>6</w:t>
      </w:r>
    </w:p>
    <w:p w:rsidR="00BA3BA8" w:rsidP="001C7D2B" w14:paraId="07AC45EA" w14:textId="77777777">
      <w:pPr>
        <w:widowControl/>
        <w:jc w:val="right"/>
        <w:rPr>
          <w:sz w:val="24"/>
        </w:rPr>
      </w:pPr>
    </w:p>
    <w:p w:rsidR="00F765B6" w:rsidP="001C7D2B" w14:paraId="72D2665E" w14:textId="76BC7620">
      <w:pPr>
        <w:widowControl/>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FILED FOR THE TRANSFER OF CONTROL OF</w:t>
      </w:r>
      <w:r>
        <w:rPr>
          <w:b/>
          <w:bCs/>
          <w:szCs w:val="22"/>
        </w:rPr>
        <w:t xml:space="preserve"> </w:t>
      </w:r>
      <w:r w:rsidRPr="004975D2" w:rsidR="00CC4B6D">
        <w:rPr>
          <w:b/>
          <w:bCs/>
          <w:szCs w:val="22"/>
        </w:rPr>
        <w:t xml:space="preserve">THE FASTWYRE LICENSEES FROM </w:t>
      </w:r>
      <w:r w:rsidRPr="004975D2" w:rsidR="002A02D0">
        <w:rPr>
          <w:b/>
          <w:bCs/>
          <w:szCs w:val="22"/>
        </w:rPr>
        <w:t>AMERICAN BROADBAND HOLDING COMPANY TO</w:t>
      </w:r>
      <w:r w:rsidR="002A02D0">
        <w:rPr>
          <w:b/>
          <w:bCs/>
          <w:szCs w:val="22"/>
        </w:rPr>
        <w:t xml:space="preserve"> CSM INTERMEDIATE II, LLC</w:t>
      </w:r>
    </w:p>
    <w:p w:rsidR="00F765B6" w:rsidRPr="00F765B6" w:rsidP="001C7D2B" w14:paraId="60BE1411" w14:textId="77777777">
      <w:pPr>
        <w:widowControl/>
        <w:jc w:val="center"/>
        <w:rPr>
          <w:b/>
          <w:bCs/>
          <w:szCs w:val="22"/>
        </w:rPr>
      </w:pPr>
    </w:p>
    <w:p w:rsidR="00BA3BA8" w:rsidP="001C7D2B" w14:paraId="3563A964" w14:textId="59EE6CE9">
      <w:pPr>
        <w:widowControl/>
        <w:jc w:val="center"/>
        <w:rPr>
          <w:b/>
          <w:sz w:val="24"/>
        </w:rPr>
      </w:pPr>
      <w:r>
        <w:rPr>
          <w:b/>
          <w:sz w:val="24"/>
        </w:rPr>
        <w:t>WC Docket No. 25-</w:t>
      </w:r>
      <w:r w:rsidR="009018DC">
        <w:rPr>
          <w:b/>
          <w:sz w:val="24"/>
        </w:rPr>
        <w:t>3</w:t>
      </w:r>
      <w:r w:rsidR="005A6726">
        <w:rPr>
          <w:b/>
          <w:sz w:val="24"/>
        </w:rPr>
        <w:t>53</w:t>
      </w:r>
    </w:p>
    <w:p w:rsidR="00087ED8" w:rsidP="001C7D2B" w14:paraId="56DDC2CF" w14:textId="77777777">
      <w:pPr>
        <w:widowControl/>
        <w:rPr>
          <w:b/>
          <w:sz w:val="24"/>
        </w:rPr>
      </w:pPr>
    </w:p>
    <w:p w:rsidR="00BE4FF7" w14:paraId="057F1754" w14:textId="4943E110">
      <w:pPr>
        <w:widowControl/>
        <w:spacing w:after="120"/>
        <w:ind w:firstLine="720"/>
        <w:rPr>
          <w:szCs w:val="22"/>
        </w:rPr>
      </w:pPr>
      <w:r w:rsidRPr="00FD7EE2">
        <w:rPr>
          <w:szCs w:val="22"/>
        </w:rPr>
        <w:t xml:space="preserve">By this Public Notice, the Wireline Competition Bureau </w:t>
      </w:r>
      <w:r w:rsidR="00112184">
        <w:rPr>
          <w:szCs w:val="22"/>
        </w:rPr>
        <w:t xml:space="preserve">(Bureau) grants </w:t>
      </w:r>
      <w:r w:rsidRPr="00FD7EE2">
        <w:rPr>
          <w:szCs w:val="22"/>
        </w:rPr>
        <w:t>an application</w:t>
      </w:r>
      <w:r w:rsidR="0055035E">
        <w:rPr>
          <w:szCs w:val="22"/>
        </w:rPr>
        <w:t xml:space="preserve"> </w:t>
      </w:r>
      <w:r w:rsidRPr="00FD7EE2">
        <w:rPr>
          <w:szCs w:val="22"/>
        </w:rPr>
        <w:t xml:space="preserve">filed by </w:t>
      </w:r>
      <w:bookmarkStart w:id="0" w:name="_Hlk73713070"/>
      <w:bookmarkStart w:id="1" w:name="_Hlk67917977"/>
      <w:r w:rsidR="005A6726">
        <w:rPr>
          <w:szCs w:val="22"/>
        </w:rPr>
        <w:t>American Broadband Holding Company (American Broadband</w:t>
      </w:r>
      <w:r w:rsidR="002A02D0">
        <w:rPr>
          <w:szCs w:val="22"/>
        </w:rPr>
        <w:t>)</w:t>
      </w:r>
      <w:r w:rsidR="0055035E">
        <w:rPr>
          <w:szCs w:val="22"/>
        </w:rPr>
        <w:t xml:space="preserve"> and </w:t>
      </w:r>
      <w:r w:rsidR="006C5C03">
        <w:rPr>
          <w:szCs w:val="22"/>
        </w:rPr>
        <w:t xml:space="preserve">CSM Intermediate II, LLC (CSM Intermediate) </w:t>
      </w:r>
      <w:r w:rsidRPr="008001A8" w:rsidR="008001A8">
        <w:rPr>
          <w:szCs w:val="22"/>
        </w:rPr>
        <w:t>(</w:t>
      </w:r>
      <w:r w:rsidRPr="00B83D65" w:rsidR="00B83D65">
        <w:rPr>
          <w:szCs w:val="22"/>
        </w:rPr>
        <w:t>together</w:t>
      </w:r>
      <w:r w:rsidR="0003015C">
        <w:rPr>
          <w:szCs w:val="22"/>
        </w:rPr>
        <w:t>,</w:t>
      </w:r>
      <w:r w:rsidRPr="00FD7EE2">
        <w:rPr>
          <w:szCs w:val="22"/>
        </w:rPr>
        <w:t xml:space="preserve"> Applicants), pursuant to section 214(a) of the</w:t>
      </w:r>
      <w:r w:rsidR="00002E74">
        <w:rPr>
          <w:szCs w:val="22"/>
        </w:rPr>
        <w:t xml:space="preserve"> </w:t>
      </w:r>
      <w:r w:rsidRPr="00FD7EE2">
        <w:rPr>
          <w:szCs w:val="22"/>
        </w:rPr>
        <w:t>Communications Act of 1934, as amended</w:t>
      </w:r>
      <w:r w:rsidR="001A3611">
        <w:rPr>
          <w:szCs w:val="22"/>
        </w:rPr>
        <w:t xml:space="preserve"> (Act)</w:t>
      </w:r>
      <w:r w:rsidRPr="00FD7EE2">
        <w:rPr>
          <w:szCs w:val="22"/>
        </w:rPr>
        <w:t>, and sectio</w:t>
      </w:r>
      <w:r w:rsidRPr="002E63E2">
        <w:rPr>
          <w:szCs w:val="22"/>
        </w:rPr>
        <w:t>n</w:t>
      </w:r>
      <w:r w:rsidRPr="00FD7EE2">
        <w:rPr>
          <w:szCs w:val="22"/>
        </w:rPr>
        <w:t xml:space="preserve"> 63.04 of the </w:t>
      </w:r>
      <w:r w:rsidR="0055035E">
        <w:rPr>
          <w:szCs w:val="22"/>
        </w:rPr>
        <w:t xml:space="preserve">Federal </w:t>
      </w:r>
      <w:r w:rsidR="00AB5CF2">
        <w:rPr>
          <w:szCs w:val="22"/>
        </w:rPr>
        <w:t>Communication</w:t>
      </w:r>
      <w:r w:rsidR="0055035E">
        <w:rPr>
          <w:szCs w:val="22"/>
        </w:rPr>
        <w:t xml:space="preserve"> </w:t>
      </w:r>
      <w:r w:rsidRPr="00FD7EE2">
        <w:rPr>
          <w:szCs w:val="22"/>
        </w:rPr>
        <w:t xml:space="preserve">Commission’s </w:t>
      </w:r>
      <w:r w:rsidR="00AB5CF2">
        <w:rPr>
          <w:szCs w:val="22"/>
        </w:rPr>
        <w:t xml:space="preserve">(Commission) </w:t>
      </w:r>
      <w:r w:rsidRPr="00FD7EE2">
        <w:rPr>
          <w:szCs w:val="22"/>
        </w:rPr>
        <w:t>rules,</w:t>
      </w:r>
      <w:r>
        <w:rPr>
          <w:rStyle w:val="FootnoteReference"/>
          <w:szCs w:val="22"/>
        </w:rPr>
        <w:footnoteReference w:id="3"/>
      </w:r>
      <w:r w:rsidRPr="00FD7EE2">
        <w:rPr>
          <w:szCs w:val="22"/>
        </w:rPr>
        <w:t xml:space="preserve"> </w:t>
      </w:r>
      <w:bookmarkEnd w:id="0"/>
      <w:bookmarkEnd w:id="1"/>
      <w:r w:rsidRPr="00FD7EE2">
        <w:rPr>
          <w:szCs w:val="22"/>
        </w:rPr>
        <w:t xml:space="preserve">requesting Commission </w:t>
      </w:r>
      <w:r w:rsidRPr="001E6249" w:rsidR="001E6249">
        <w:rPr>
          <w:szCs w:val="22"/>
        </w:rPr>
        <w:t xml:space="preserve">consent to transfer control of </w:t>
      </w:r>
      <w:r w:rsidR="00AB5CF2">
        <w:rPr>
          <w:szCs w:val="22"/>
        </w:rPr>
        <w:t>American Broadband’s</w:t>
      </w:r>
      <w:r w:rsidR="00CF063F">
        <w:rPr>
          <w:szCs w:val="22"/>
        </w:rPr>
        <w:t xml:space="preserve"> </w:t>
      </w:r>
      <w:r w:rsidR="0002312F">
        <w:rPr>
          <w:szCs w:val="22"/>
        </w:rPr>
        <w:t>wholly owned subsidiaries</w:t>
      </w:r>
      <w:r w:rsidR="00AB5CF2">
        <w:rPr>
          <w:szCs w:val="22"/>
        </w:rPr>
        <w:t>,</w:t>
      </w:r>
      <w:r w:rsidRPr="00AB5CF2" w:rsidR="00AB5CF2">
        <w:rPr>
          <w:szCs w:val="22"/>
        </w:rPr>
        <w:t xml:space="preserve"> </w:t>
      </w:r>
      <w:r w:rsidR="00AB5CF2">
        <w:rPr>
          <w:szCs w:val="22"/>
        </w:rPr>
        <w:t xml:space="preserve">Cameron </w:t>
      </w:r>
      <w:r w:rsidRPr="004975D2" w:rsidR="00AB5CF2">
        <w:rPr>
          <w:szCs w:val="22"/>
        </w:rPr>
        <w:t>Communications, L.L.C. (Cameron Communications), Cameron Telephone Company, L.L.C. (Cameron Telephone), Elizabeth Telephone Company, L.L.C. (Elizabeth Tele</w:t>
      </w:r>
      <w:r w:rsidRPr="004975D2" w:rsidR="00204914">
        <w:rPr>
          <w:szCs w:val="22"/>
        </w:rPr>
        <w:t>p</w:t>
      </w:r>
      <w:r w:rsidRPr="004975D2" w:rsidR="00AB5CF2">
        <w:rPr>
          <w:szCs w:val="22"/>
        </w:rPr>
        <w:t>hone), LBH, L.L.C. (LBH), Moundville Telephone Company, Inc. (Moundville Telephone), and</w:t>
      </w:r>
      <w:r w:rsidRPr="004975D2" w:rsidR="00041C3F">
        <w:rPr>
          <w:szCs w:val="22"/>
        </w:rPr>
        <w:t xml:space="preserve"> </w:t>
      </w:r>
      <w:r w:rsidRPr="004975D2" w:rsidR="00AB5CF2">
        <w:rPr>
          <w:szCs w:val="22"/>
        </w:rPr>
        <w:t xml:space="preserve">MTC Long Distance, Inc. (MTC) (collectively, Fastwyre Licensees) </w:t>
      </w:r>
      <w:r w:rsidRPr="004975D2" w:rsidR="0002312F">
        <w:rPr>
          <w:szCs w:val="22"/>
        </w:rPr>
        <w:t xml:space="preserve">to </w:t>
      </w:r>
      <w:r w:rsidRPr="004975D2" w:rsidR="00AB5CF2">
        <w:rPr>
          <w:szCs w:val="22"/>
        </w:rPr>
        <w:t>CSM Intermediate</w:t>
      </w:r>
      <w:r w:rsidRPr="004975D2" w:rsidR="00555CD4">
        <w:rPr>
          <w:szCs w:val="22"/>
        </w:rPr>
        <w:t>.</w:t>
      </w:r>
      <w:r>
        <w:rPr>
          <w:rStyle w:val="FootnoteReference"/>
          <w:szCs w:val="22"/>
        </w:rPr>
        <w:footnoteReference w:id="4"/>
      </w:r>
      <w:r w:rsidR="00B30272">
        <w:rPr>
          <w:szCs w:val="22"/>
        </w:rPr>
        <w:t xml:space="preserve">  </w:t>
      </w:r>
    </w:p>
    <w:p w:rsidR="00A10FCA" w:rsidRPr="001C7D2B" w:rsidP="003E7C79" w14:paraId="2EE00584" w14:textId="29176721">
      <w:pPr>
        <w:widowControl/>
        <w:spacing w:after="120"/>
        <w:ind w:firstLine="720"/>
        <w:rPr>
          <w:szCs w:val="22"/>
        </w:rPr>
      </w:pPr>
      <w:r w:rsidRPr="004975D2">
        <w:rPr>
          <w:szCs w:val="22"/>
        </w:rPr>
        <w:t>On February 11, 2026, the Bureau released a public notice seeking comment</w:t>
      </w:r>
      <w:r w:rsidRPr="00E77736">
        <w:rPr>
          <w:szCs w:val="22"/>
        </w:rPr>
        <w:t xml:space="preserve"> on the Application.</w:t>
      </w:r>
      <w:r>
        <w:rPr>
          <w:szCs w:val="22"/>
          <w:vertAlign w:val="superscript"/>
        </w:rPr>
        <w:footnoteReference w:id="5"/>
      </w:r>
      <w:r w:rsidRPr="00E77736">
        <w:rPr>
          <w:szCs w:val="22"/>
        </w:rPr>
        <w:t xml:space="preserve">  The Bureau did not receive any comments or petitions in opposition to the Application.</w:t>
      </w:r>
      <w:r>
        <w:rPr>
          <w:szCs w:val="22"/>
        </w:rPr>
        <w:t xml:space="preserve">  </w:t>
      </w:r>
    </w:p>
    <w:p w:rsidR="00CF554E" w:rsidP="001C7D2B" w14:paraId="726D6E92" w14:textId="78EA074E">
      <w:pPr>
        <w:widowControl/>
        <w:autoSpaceDE w:val="0"/>
        <w:autoSpaceDN w:val="0"/>
        <w:adjustRightInd w:val="0"/>
        <w:spacing w:after="120"/>
        <w:ind w:firstLine="720"/>
        <w:rPr>
          <w:szCs w:val="22"/>
        </w:rPr>
      </w:pPr>
      <w:r>
        <w:rPr>
          <w:szCs w:val="22"/>
        </w:rPr>
        <w:t>American Broadband</w:t>
      </w:r>
      <w:r w:rsidR="009F3A94">
        <w:rPr>
          <w:szCs w:val="22"/>
        </w:rPr>
        <w:t>, a D</w:t>
      </w:r>
      <w:r>
        <w:rPr>
          <w:szCs w:val="22"/>
        </w:rPr>
        <w:t>el</w:t>
      </w:r>
      <w:r w:rsidR="009F3A94">
        <w:rPr>
          <w:szCs w:val="22"/>
        </w:rPr>
        <w:t>aware corporation, is an aggregator of several rural local exchange and broadband companies that serve</w:t>
      </w:r>
      <w:r>
        <w:rPr>
          <w:szCs w:val="22"/>
        </w:rPr>
        <w:t>s</w:t>
      </w:r>
      <w:r w:rsidR="009F3A94">
        <w:rPr>
          <w:szCs w:val="22"/>
        </w:rPr>
        <w:t xml:space="preserve"> customers under the brand name Fastwyre.</w:t>
      </w:r>
      <w:r>
        <w:rPr>
          <w:rStyle w:val="FootnoteReference"/>
          <w:szCs w:val="22"/>
        </w:rPr>
        <w:footnoteReference w:id="6"/>
      </w:r>
      <w:r w:rsidR="00FE5493">
        <w:rPr>
          <w:szCs w:val="22"/>
        </w:rPr>
        <w:t xml:space="preserve">  </w:t>
      </w:r>
      <w:r w:rsidR="00C332CB">
        <w:rPr>
          <w:szCs w:val="22"/>
        </w:rPr>
        <w:t>The Fastwyre Licensees are indirect, wholly</w:t>
      </w:r>
      <w:r>
        <w:rPr>
          <w:szCs w:val="22"/>
        </w:rPr>
        <w:t>-</w:t>
      </w:r>
      <w:r w:rsidR="00C332CB">
        <w:rPr>
          <w:szCs w:val="22"/>
        </w:rPr>
        <w:t>owned subsidiaries of American Broadband and are directly owned through regional holding companies, Cameron Holdings of NC, Inc., (Cameron Holdings), a Delaware corporation, and ABAC Alabama Inc. (ABAC Alabama), a Delaware corporation.</w:t>
      </w:r>
      <w:r>
        <w:rPr>
          <w:rStyle w:val="FootnoteReference"/>
          <w:szCs w:val="22"/>
        </w:rPr>
        <w:footnoteReference w:id="7"/>
      </w:r>
      <w:r w:rsidR="00C332CB">
        <w:rPr>
          <w:szCs w:val="22"/>
        </w:rPr>
        <w:t xml:space="preserve"> </w:t>
      </w:r>
    </w:p>
    <w:p w:rsidR="00F24759" w:rsidP="001C7D2B" w14:paraId="3D3EE6BC" w14:textId="26558140">
      <w:pPr>
        <w:widowControl/>
        <w:autoSpaceDE w:val="0"/>
        <w:autoSpaceDN w:val="0"/>
        <w:adjustRightInd w:val="0"/>
        <w:spacing w:after="120"/>
        <w:ind w:firstLine="720"/>
        <w:rPr>
          <w:szCs w:val="22"/>
        </w:rPr>
      </w:pPr>
      <w:r>
        <w:rPr>
          <w:szCs w:val="22"/>
        </w:rPr>
        <w:t>Cameron Communications, a Louisiana limited liability company</w:t>
      </w:r>
      <w:r w:rsidR="00CF554E">
        <w:rPr>
          <w:szCs w:val="22"/>
        </w:rPr>
        <w:t xml:space="preserve"> and </w:t>
      </w:r>
      <w:r>
        <w:rPr>
          <w:szCs w:val="22"/>
        </w:rPr>
        <w:t>direct, wholly</w:t>
      </w:r>
      <w:r w:rsidR="004E0644">
        <w:rPr>
          <w:szCs w:val="22"/>
        </w:rPr>
        <w:t>-</w:t>
      </w:r>
      <w:r>
        <w:rPr>
          <w:szCs w:val="22"/>
        </w:rPr>
        <w:t xml:space="preserve">owned </w:t>
      </w:r>
      <w:r w:rsidR="00280AC4">
        <w:rPr>
          <w:szCs w:val="22"/>
        </w:rPr>
        <w:t>subsidiary</w:t>
      </w:r>
      <w:r>
        <w:rPr>
          <w:szCs w:val="22"/>
        </w:rPr>
        <w:t xml:space="preserve"> of Cameron Holdings</w:t>
      </w:r>
      <w:r w:rsidR="00CF554E">
        <w:rPr>
          <w:szCs w:val="22"/>
        </w:rPr>
        <w:t>, provides</w:t>
      </w:r>
      <w:r>
        <w:rPr>
          <w:szCs w:val="22"/>
        </w:rPr>
        <w:t xml:space="preserve"> intrastate telecommunications services throughout Louisiana </w:t>
      </w:r>
      <w:r>
        <w:rPr>
          <w:szCs w:val="22"/>
        </w:rPr>
        <w:t>and Texas, and resells intrastate, interstate</w:t>
      </w:r>
      <w:r w:rsidR="00756B47">
        <w:rPr>
          <w:szCs w:val="22"/>
        </w:rPr>
        <w:t>,</w:t>
      </w:r>
      <w:r>
        <w:rPr>
          <w:szCs w:val="22"/>
        </w:rPr>
        <w:t xml:space="preserve"> and international long distance toll services </w:t>
      </w:r>
      <w:r w:rsidR="00CF554E">
        <w:rPr>
          <w:szCs w:val="22"/>
        </w:rPr>
        <w:t xml:space="preserve">in </w:t>
      </w:r>
      <w:r>
        <w:rPr>
          <w:szCs w:val="22"/>
        </w:rPr>
        <w:t>the incumbent local exchange carrier (LEC) and competitive LEC exchanges served by its directly, wholly</w:t>
      </w:r>
      <w:r w:rsidR="004E0644">
        <w:rPr>
          <w:szCs w:val="22"/>
        </w:rPr>
        <w:t>-</w:t>
      </w:r>
      <w:r>
        <w:rPr>
          <w:szCs w:val="22"/>
        </w:rPr>
        <w:t>owned subsidiaries, Cameron Telephone, Eliz</w:t>
      </w:r>
      <w:r w:rsidR="00756B47">
        <w:rPr>
          <w:szCs w:val="22"/>
        </w:rPr>
        <w:t>a</w:t>
      </w:r>
      <w:r>
        <w:rPr>
          <w:szCs w:val="22"/>
        </w:rPr>
        <w:t xml:space="preserve">beth </w:t>
      </w:r>
      <w:r w:rsidR="00895493">
        <w:rPr>
          <w:szCs w:val="22"/>
        </w:rPr>
        <w:t>Telephone, and LBH.</w:t>
      </w:r>
      <w:r>
        <w:rPr>
          <w:rStyle w:val="FootnoteReference"/>
          <w:szCs w:val="22"/>
        </w:rPr>
        <w:footnoteReference w:id="8"/>
      </w:r>
      <w:r w:rsidR="00895493">
        <w:rPr>
          <w:szCs w:val="22"/>
        </w:rPr>
        <w:t xml:space="preserve">  Cameron Communications also provides cable video services to customers in Louisiana and Texas.</w:t>
      </w:r>
      <w:r>
        <w:rPr>
          <w:rStyle w:val="FootnoteReference"/>
          <w:szCs w:val="22"/>
        </w:rPr>
        <w:footnoteReference w:id="9"/>
      </w:r>
      <w:bookmarkStart w:id="4" w:name="TOChere"/>
      <w:r w:rsidR="00527592">
        <w:rPr>
          <w:szCs w:val="22"/>
        </w:rPr>
        <w:t xml:space="preserve">  </w:t>
      </w:r>
      <w:r>
        <w:rPr>
          <w:szCs w:val="22"/>
        </w:rPr>
        <w:t xml:space="preserve">Cameron Telephone, a Louisiana limited liability company, is an </w:t>
      </w:r>
      <w:r w:rsidR="009D1AFE">
        <w:rPr>
          <w:szCs w:val="22"/>
        </w:rPr>
        <w:t xml:space="preserve">incumbent </w:t>
      </w:r>
      <w:r>
        <w:rPr>
          <w:szCs w:val="22"/>
        </w:rPr>
        <w:t>LEC providing local exchange and exchange access services in Louisiana and Texas.</w:t>
      </w:r>
      <w:r>
        <w:rPr>
          <w:rStyle w:val="FootnoteReference"/>
          <w:szCs w:val="22"/>
        </w:rPr>
        <w:footnoteReference w:id="10"/>
      </w:r>
      <w:r>
        <w:rPr>
          <w:szCs w:val="22"/>
        </w:rPr>
        <w:t xml:space="preserve">  </w:t>
      </w:r>
      <w:r w:rsidR="00527592">
        <w:rPr>
          <w:szCs w:val="22"/>
        </w:rPr>
        <w:t>Elizabeth Telephone, a Louisiana limited liability company, is an incumbent LEC providing local exchange telephone and exchange access services in Louisiana.</w:t>
      </w:r>
      <w:r>
        <w:rPr>
          <w:rStyle w:val="FootnoteReference"/>
          <w:szCs w:val="22"/>
        </w:rPr>
        <w:footnoteReference w:id="11"/>
      </w:r>
      <w:r w:rsidR="00527592">
        <w:rPr>
          <w:szCs w:val="22"/>
        </w:rPr>
        <w:t xml:space="preserve">  </w:t>
      </w:r>
      <w:r>
        <w:rPr>
          <w:szCs w:val="22"/>
        </w:rPr>
        <w:t xml:space="preserve">Cameron Telephone </w:t>
      </w:r>
      <w:r w:rsidR="00527592">
        <w:rPr>
          <w:szCs w:val="22"/>
        </w:rPr>
        <w:t xml:space="preserve">and Elizabeth Telephone </w:t>
      </w:r>
      <w:r w:rsidR="009D1AFE">
        <w:rPr>
          <w:szCs w:val="22"/>
        </w:rPr>
        <w:t xml:space="preserve">receive high-cost Universal Service Fund (USF) support in the form of </w:t>
      </w:r>
      <w:r>
        <w:rPr>
          <w:szCs w:val="22"/>
        </w:rPr>
        <w:t>Enhanced Alternative Connect America Cost Model (A</w:t>
      </w:r>
      <w:r w:rsidR="00132B0F">
        <w:rPr>
          <w:szCs w:val="22"/>
        </w:rPr>
        <w:t>-</w:t>
      </w:r>
      <w:r>
        <w:rPr>
          <w:szCs w:val="22"/>
        </w:rPr>
        <w:t>CAM)</w:t>
      </w:r>
      <w:r w:rsidR="0063722F">
        <w:rPr>
          <w:szCs w:val="22"/>
        </w:rPr>
        <w:t xml:space="preserve"> and in the form of Connect America Fund Intercarrier Compensation (CAF-ICC) support</w:t>
      </w:r>
      <w:r w:rsidR="009D1AFE">
        <w:rPr>
          <w:szCs w:val="22"/>
        </w:rPr>
        <w:t>.</w:t>
      </w:r>
      <w:r>
        <w:rPr>
          <w:rStyle w:val="FootnoteReference"/>
          <w:szCs w:val="22"/>
        </w:rPr>
        <w:footnoteReference w:id="12"/>
      </w:r>
      <w:r w:rsidR="00527592">
        <w:rPr>
          <w:szCs w:val="22"/>
        </w:rPr>
        <w:t xml:space="preserve">  </w:t>
      </w:r>
      <w:r>
        <w:rPr>
          <w:szCs w:val="22"/>
        </w:rPr>
        <w:t>LBH, a Louisiana limited liability company, provides local exchange, interexchange</w:t>
      </w:r>
      <w:r w:rsidR="00756B47">
        <w:rPr>
          <w:szCs w:val="22"/>
        </w:rPr>
        <w:t>,</w:t>
      </w:r>
      <w:r>
        <w:rPr>
          <w:szCs w:val="22"/>
        </w:rPr>
        <w:t xml:space="preserve"> </w:t>
      </w:r>
      <w:r w:rsidR="000D1190">
        <w:rPr>
          <w:szCs w:val="22"/>
        </w:rPr>
        <w:t xml:space="preserve">and other telecommunications services as a </w:t>
      </w:r>
      <w:r w:rsidR="00871E6C">
        <w:rPr>
          <w:szCs w:val="22"/>
        </w:rPr>
        <w:t xml:space="preserve">competitive </w:t>
      </w:r>
      <w:r w:rsidR="000D1190">
        <w:rPr>
          <w:szCs w:val="22"/>
        </w:rPr>
        <w:t>LEC in Louisiana</w:t>
      </w:r>
      <w:r w:rsidR="00871E6C">
        <w:rPr>
          <w:szCs w:val="22"/>
        </w:rPr>
        <w:t>.</w:t>
      </w:r>
      <w:r>
        <w:rPr>
          <w:rStyle w:val="FootnoteReference"/>
          <w:szCs w:val="22"/>
        </w:rPr>
        <w:footnoteReference w:id="13"/>
      </w:r>
    </w:p>
    <w:p w:rsidR="000D1190" w:rsidP="001C7D2B" w14:paraId="38F8AFA0" w14:textId="3A16A3E8">
      <w:pPr>
        <w:widowControl/>
        <w:autoSpaceDE w:val="0"/>
        <w:autoSpaceDN w:val="0"/>
        <w:adjustRightInd w:val="0"/>
        <w:spacing w:after="120"/>
        <w:ind w:firstLine="720"/>
        <w:rPr>
          <w:szCs w:val="22"/>
        </w:rPr>
      </w:pPr>
      <w:r>
        <w:rPr>
          <w:szCs w:val="22"/>
        </w:rPr>
        <w:t>Moundville Telephone</w:t>
      </w:r>
      <w:r w:rsidR="00871E6C">
        <w:rPr>
          <w:szCs w:val="22"/>
        </w:rPr>
        <w:t xml:space="preserve">, </w:t>
      </w:r>
      <w:r>
        <w:rPr>
          <w:szCs w:val="22"/>
        </w:rPr>
        <w:t>an Alabama corporation, is a direct, wholly</w:t>
      </w:r>
      <w:r w:rsidR="004E0644">
        <w:rPr>
          <w:szCs w:val="22"/>
        </w:rPr>
        <w:t>-</w:t>
      </w:r>
      <w:r>
        <w:rPr>
          <w:szCs w:val="22"/>
        </w:rPr>
        <w:t>owned subsidiary of Moundville Communications, Inc. (Moundville Communications), an Alabama corporation, which is a direct, wholly</w:t>
      </w:r>
      <w:r w:rsidR="004E0644">
        <w:rPr>
          <w:szCs w:val="22"/>
        </w:rPr>
        <w:t>-</w:t>
      </w:r>
      <w:r>
        <w:rPr>
          <w:szCs w:val="22"/>
        </w:rPr>
        <w:t>owned subsidiary of ABAC Alabama.</w:t>
      </w:r>
      <w:r>
        <w:rPr>
          <w:rStyle w:val="FootnoteReference"/>
          <w:szCs w:val="22"/>
        </w:rPr>
        <w:footnoteReference w:id="14"/>
      </w:r>
      <w:r>
        <w:rPr>
          <w:szCs w:val="22"/>
        </w:rPr>
        <w:t xml:space="preserve"> </w:t>
      </w:r>
      <w:r w:rsidR="00871E6C">
        <w:rPr>
          <w:szCs w:val="22"/>
        </w:rPr>
        <w:t xml:space="preserve"> </w:t>
      </w:r>
      <w:r>
        <w:rPr>
          <w:szCs w:val="22"/>
        </w:rPr>
        <w:t xml:space="preserve">Moundville Telephone operates as a rural, independent </w:t>
      </w:r>
      <w:r w:rsidR="00871E6C">
        <w:rPr>
          <w:szCs w:val="22"/>
        </w:rPr>
        <w:t xml:space="preserve">incumbent </w:t>
      </w:r>
      <w:r>
        <w:rPr>
          <w:szCs w:val="22"/>
        </w:rPr>
        <w:t>LEC in Hale and Tuscaloosa counties in Alabama</w:t>
      </w:r>
      <w:r w:rsidR="00871E6C">
        <w:rPr>
          <w:szCs w:val="22"/>
        </w:rPr>
        <w:t xml:space="preserve"> providing</w:t>
      </w:r>
      <w:r>
        <w:rPr>
          <w:szCs w:val="22"/>
        </w:rPr>
        <w:t xml:space="preserve"> voice and Internet services to residential and business customers.</w:t>
      </w:r>
      <w:r>
        <w:rPr>
          <w:rStyle w:val="FootnoteReference"/>
          <w:szCs w:val="22"/>
        </w:rPr>
        <w:footnoteReference w:id="15"/>
      </w:r>
      <w:r>
        <w:rPr>
          <w:szCs w:val="22"/>
        </w:rPr>
        <w:t xml:space="preserve">  </w:t>
      </w:r>
      <w:r w:rsidR="00871E6C">
        <w:rPr>
          <w:szCs w:val="22"/>
        </w:rPr>
        <w:t>Moundville Telephone receives high-cost USF support in the form</w:t>
      </w:r>
      <w:r w:rsidR="00EF6848">
        <w:rPr>
          <w:szCs w:val="22"/>
        </w:rPr>
        <w:t>s</w:t>
      </w:r>
      <w:r w:rsidR="00871E6C">
        <w:rPr>
          <w:szCs w:val="22"/>
        </w:rPr>
        <w:t xml:space="preserve"> of Enhanced A</w:t>
      </w:r>
      <w:r w:rsidR="00132B0F">
        <w:rPr>
          <w:szCs w:val="22"/>
        </w:rPr>
        <w:t>-</w:t>
      </w:r>
      <w:r w:rsidR="00871E6C">
        <w:rPr>
          <w:szCs w:val="22"/>
        </w:rPr>
        <w:t>CAM</w:t>
      </w:r>
      <w:r w:rsidR="00EF6848">
        <w:rPr>
          <w:szCs w:val="22"/>
        </w:rPr>
        <w:t xml:space="preserve"> and CAF-ICC</w:t>
      </w:r>
      <w:r w:rsidR="00871E6C">
        <w:rPr>
          <w:szCs w:val="22"/>
        </w:rPr>
        <w:t>.</w:t>
      </w:r>
      <w:r>
        <w:rPr>
          <w:rStyle w:val="FootnoteReference"/>
          <w:szCs w:val="22"/>
        </w:rPr>
        <w:footnoteReference w:id="16"/>
      </w:r>
      <w:r w:rsidR="007C1456">
        <w:rPr>
          <w:szCs w:val="22"/>
        </w:rPr>
        <w:t xml:space="preserve">  </w:t>
      </w:r>
      <w:r>
        <w:rPr>
          <w:szCs w:val="22"/>
        </w:rPr>
        <w:t xml:space="preserve">MTC, an Alabama </w:t>
      </w:r>
      <w:r w:rsidR="007C1456">
        <w:rPr>
          <w:szCs w:val="22"/>
        </w:rPr>
        <w:t xml:space="preserve">corporation and also a </w:t>
      </w:r>
      <w:r>
        <w:rPr>
          <w:szCs w:val="22"/>
        </w:rPr>
        <w:t>wholly-owned subsidiary of Moundville Communications</w:t>
      </w:r>
      <w:r w:rsidR="007C1456">
        <w:rPr>
          <w:szCs w:val="22"/>
        </w:rPr>
        <w:t xml:space="preserve">, provides </w:t>
      </w:r>
      <w:r>
        <w:rPr>
          <w:szCs w:val="22"/>
        </w:rPr>
        <w:t>toll resale service to certain of Moundville Telephone’s residential and business customers in rural portions of Hale and Tuscaloosa counties in Alabama</w:t>
      </w:r>
      <w:r w:rsidR="00871E6C">
        <w:rPr>
          <w:szCs w:val="22"/>
        </w:rPr>
        <w:t>.</w:t>
      </w:r>
      <w:r>
        <w:rPr>
          <w:rStyle w:val="FootnoteReference"/>
          <w:szCs w:val="22"/>
        </w:rPr>
        <w:footnoteReference w:id="17"/>
      </w:r>
    </w:p>
    <w:p w:rsidR="006E4110" w:rsidP="001C7D2B" w14:paraId="4B02142B" w14:textId="51320B52">
      <w:pPr>
        <w:widowControl/>
        <w:autoSpaceDE w:val="0"/>
        <w:autoSpaceDN w:val="0"/>
        <w:adjustRightInd w:val="0"/>
        <w:spacing w:after="120"/>
        <w:ind w:firstLine="720"/>
        <w:rPr>
          <w:szCs w:val="22"/>
        </w:rPr>
      </w:pPr>
      <w:r>
        <w:rPr>
          <w:szCs w:val="22"/>
        </w:rPr>
        <w:t xml:space="preserve">CSM Intermediate, a Delaware limited liability </w:t>
      </w:r>
      <w:r w:rsidR="009D1AFE">
        <w:rPr>
          <w:szCs w:val="22"/>
        </w:rPr>
        <w:t xml:space="preserve">holding </w:t>
      </w:r>
      <w:r>
        <w:rPr>
          <w:szCs w:val="22"/>
        </w:rPr>
        <w:t>company, has been established to acquire the ownership interests in the Fastwyre Licensees and is a direct, wholly</w:t>
      </w:r>
      <w:r w:rsidR="00454B3F">
        <w:rPr>
          <w:szCs w:val="22"/>
        </w:rPr>
        <w:t>-</w:t>
      </w:r>
      <w:r>
        <w:rPr>
          <w:szCs w:val="22"/>
        </w:rPr>
        <w:t xml:space="preserve">owned subsidiary of CSM Holding Company, LLC (CSM Holding), a Delaware limited liability </w:t>
      </w:r>
      <w:r w:rsidR="00F35437">
        <w:rPr>
          <w:szCs w:val="22"/>
        </w:rPr>
        <w:t xml:space="preserve">holding </w:t>
      </w:r>
      <w:r>
        <w:rPr>
          <w:szCs w:val="22"/>
        </w:rPr>
        <w:t>company</w:t>
      </w:r>
      <w:r w:rsidR="009C02E6">
        <w:rPr>
          <w:szCs w:val="22"/>
        </w:rPr>
        <w:t>.</w:t>
      </w:r>
      <w:r>
        <w:rPr>
          <w:rStyle w:val="FootnoteReference"/>
          <w:szCs w:val="22"/>
        </w:rPr>
        <w:footnoteReference w:id="18"/>
      </w:r>
      <w:r w:rsidR="000B47F2">
        <w:rPr>
          <w:szCs w:val="22"/>
        </w:rPr>
        <w:t xml:space="preserve"> </w:t>
      </w:r>
      <w:r w:rsidR="009C02E6">
        <w:rPr>
          <w:szCs w:val="22"/>
        </w:rPr>
        <w:t xml:space="preserve"> </w:t>
      </w:r>
      <w:r w:rsidRPr="00350FD4" w:rsidR="00350FD4">
        <w:rPr>
          <w:szCs w:val="22"/>
        </w:rPr>
        <w:t>CSM Holding is majority owned and controlled directly by MIP VI Outlier, LLC</w:t>
      </w:r>
      <w:r w:rsidR="00350FD4">
        <w:rPr>
          <w:szCs w:val="22"/>
        </w:rPr>
        <w:t xml:space="preserve"> </w:t>
      </w:r>
      <w:r w:rsidRPr="00350FD4" w:rsidR="00350FD4">
        <w:rPr>
          <w:szCs w:val="22"/>
        </w:rPr>
        <w:t>(MIP VI Outlier), a Delaware limited liability company</w:t>
      </w:r>
      <w:r w:rsidR="006A7A44">
        <w:rPr>
          <w:szCs w:val="22"/>
        </w:rPr>
        <w:t>.</w:t>
      </w:r>
      <w:r>
        <w:rPr>
          <w:rStyle w:val="FootnoteReference"/>
          <w:szCs w:val="22"/>
        </w:rPr>
        <w:footnoteReference w:id="19"/>
      </w:r>
      <w:r w:rsidR="006A7A44">
        <w:rPr>
          <w:szCs w:val="22"/>
        </w:rPr>
        <w:t xml:space="preserve">  </w:t>
      </w:r>
      <w:r w:rsidRPr="00350FD4" w:rsidR="00350FD4">
        <w:rPr>
          <w:szCs w:val="22"/>
        </w:rPr>
        <w:t>MIP VI Outlier is indirectly owned</w:t>
      </w:r>
      <w:r w:rsidR="00350FD4">
        <w:rPr>
          <w:szCs w:val="22"/>
        </w:rPr>
        <w:t xml:space="preserve"> </w:t>
      </w:r>
      <w:r w:rsidRPr="00350FD4" w:rsidR="00350FD4">
        <w:rPr>
          <w:szCs w:val="22"/>
        </w:rPr>
        <w:t>by investment vehicles managed by and affiliated with Macquarie Infrastructure Partners Inc.</w:t>
      </w:r>
      <w:r w:rsidR="002146BB">
        <w:rPr>
          <w:szCs w:val="22"/>
        </w:rPr>
        <w:t xml:space="preserve"> </w:t>
      </w:r>
      <w:r w:rsidRPr="00350FD4" w:rsidR="00350FD4">
        <w:rPr>
          <w:szCs w:val="22"/>
        </w:rPr>
        <w:t xml:space="preserve">(MIP Inc.), a Delaware corporation </w:t>
      </w:r>
      <w:r w:rsidR="00D1791B">
        <w:rPr>
          <w:szCs w:val="22"/>
        </w:rPr>
        <w:t xml:space="preserve">that is a </w:t>
      </w:r>
      <w:r w:rsidRPr="00350FD4" w:rsidR="00350FD4">
        <w:rPr>
          <w:szCs w:val="22"/>
        </w:rPr>
        <w:t>wholly</w:t>
      </w:r>
      <w:r w:rsidR="00350FD4">
        <w:rPr>
          <w:szCs w:val="22"/>
        </w:rPr>
        <w:t>-</w:t>
      </w:r>
      <w:r w:rsidRPr="00350FD4" w:rsidR="00350FD4">
        <w:rPr>
          <w:szCs w:val="22"/>
        </w:rPr>
        <w:t>owned</w:t>
      </w:r>
      <w:r w:rsidR="00350FD4">
        <w:rPr>
          <w:szCs w:val="22"/>
        </w:rPr>
        <w:t xml:space="preserve"> </w:t>
      </w:r>
      <w:r w:rsidRPr="00350FD4" w:rsidR="00350FD4">
        <w:rPr>
          <w:szCs w:val="22"/>
        </w:rPr>
        <w:t>subsidiary of Macquarie Infrastructure and Real Assets Inc. (MIRA Inc.).</w:t>
      </w:r>
      <w:r>
        <w:rPr>
          <w:rStyle w:val="FootnoteReference"/>
          <w:szCs w:val="22"/>
        </w:rPr>
        <w:footnoteReference w:id="20"/>
      </w:r>
      <w:r w:rsidR="00FD1F9E">
        <w:rPr>
          <w:szCs w:val="22"/>
        </w:rPr>
        <w:t xml:space="preserve">  </w:t>
      </w:r>
      <w:r w:rsidRPr="00350FD4" w:rsidR="00350FD4">
        <w:rPr>
          <w:szCs w:val="22"/>
        </w:rPr>
        <w:t>MIP Inc. and</w:t>
      </w:r>
      <w:r w:rsidR="00350FD4">
        <w:rPr>
          <w:szCs w:val="22"/>
        </w:rPr>
        <w:t xml:space="preserve"> </w:t>
      </w:r>
      <w:r w:rsidRPr="00350FD4" w:rsidR="00350FD4">
        <w:rPr>
          <w:szCs w:val="22"/>
        </w:rPr>
        <w:t>MIRA Inc. are part of the Real Assets division of Macquarie Asset Management (MAM),</w:t>
      </w:r>
      <w:r>
        <w:rPr>
          <w:rStyle w:val="FootnoteReference"/>
          <w:szCs w:val="22"/>
        </w:rPr>
        <w:footnoteReference w:id="21"/>
      </w:r>
      <w:r w:rsidR="00A666D2">
        <w:rPr>
          <w:szCs w:val="22"/>
        </w:rPr>
        <w:t xml:space="preserve"> a </w:t>
      </w:r>
      <w:r w:rsidR="00C43774">
        <w:rPr>
          <w:szCs w:val="22"/>
        </w:rPr>
        <w:t>Delaware</w:t>
      </w:r>
      <w:r w:rsidR="00A666D2">
        <w:rPr>
          <w:szCs w:val="22"/>
        </w:rPr>
        <w:t xml:space="preserve"> corporation</w:t>
      </w:r>
      <w:r w:rsidRPr="00350FD4" w:rsidR="00350FD4">
        <w:rPr>
          <w:szCs w:val="22"/>
        </w:rPr>
        <w:t xml:space="preserve"> an</w:t>
      </w:r>
      <w:r w:rsidR="00C43774">
        <w:rPr>
          <w:szCs w:val="22"/>
        </w:rPr>
        <w:t>d an</w:t>
      </w:r>
      <w:r w:rsidR="00350FD4">
        <w:rPr>
          <w:szCs w:val="22"/>
        </w:rPr>
        <w:t xml:space="preserve"> </w:t>
      </w:r>
      <w:r w:rsidRPr="00350FD4" w:rsidR="00350FD4">
        <w:rPr>
          <w:szCs w:val="22"/>
        </w:rPr>
        <w:t xml:space="preserve">operating group within Macquarie Group Limited (MGL), a publicly-traded </w:t>
      </w:r>
      <w:r w:rsidR="002146BB">
        <w:rPr>
          <w:szCs w:val="22"/>
        </w:rPr>
        <w:t>diversified financial group</w:t>
      </w:r>
      <w:r w:rsidR="00350FD4">
        <w:rPr>
          <w:szCs w:val="22"/>
        </w:rPr>
        <w:t xml:space="preserve"> </w:t>
      </w:r>
      <w:r w:rsidRPr="00350FD4" w:rsidR="00350FD4">
        <w:rPr>
          <w:szCs w:val="22"/>
        </w:rPr>
        <w:t>incorporated in Australia.</w:t>
      </w:r>
      <w:r>
        <w:rPr>
          <w:rStyle w:val="FootnoteReference"/>
          <w:szCs w:val="22"/>
        </w:rPr>
        <w:footnoteReference w:id="22"/>
      </w:r>
      <w:r w:rsidR="00F7673E">
        <w:rPr>
          <w:szCs w:val="22"/>
        </w:rPr>
        <w:t xml:space="preserve">  </w:t>
      </w:r>
      <w:r w:rsidRPr="00B9774E" w:rsidR="00B9774E">
        <w:rPr>
          <w:szCs w:val="22"/>
        </w:rPr>
        <w:t>The remaining minority interest in CSM</w:t>
      </w:r>
      <w:r w:rsidR="00B9774E">
        <w:rPr>
          <w:szCs w:val="22"/>
        </w:rPr>
        <w:t xml:space="preserve"> </w:t>
      </w:r>
      <w:r w:rsidRPr="00B9774E" w:rsidR="00B9774E">
        <w:rPr>
          <w:szCs w:val="22"/>
        </w:rPr>
        <w:t>Holding is directly held by Hunt Group Holdings, LLC</w:t>
      </w:r>
      <w:r w:rsidR="00C66FC4">
        <w:rPr>
          <w:szCs w:val="22"/>
        </w:rPr>
        <w:t xml:space="preserve"> (Hunt Group)</w:t>
      </w:r>
      <w:r w:rsidRPr="00B9774E" w:rsidR="00B9774E">
        <w:rPr>
          <w:szCs w:val="22"/>
        </w:rPr>
        <w:t>, a Louisiana limited liability company</w:t>
      </w:r>
      <w:r w:rsidR="00B9774E">
        <w:rPr>
          <w:szCs w:val="22"/>
        </w:rPr>
        <w:t>.</w:t>
      </w:r>
      <w:r>
        <w:rPr>
          <w:rStyle w:val="FootnoteReference"/>
          <w:szCs w:val="22"/>
        </w:rPr>
        <w:footnoteReference w:id="23"/>
      </w:r>
      <w:r w:rsidR="00B9774E">
        <w:rPr>
          <w:szCs w:val="22"/>
        </w:rPr>
        <w:t xml:space="preserve">  </w:t>
      </w:r>
      <w:r w:rsidRPr="00F7673E" w:rsidR="00F7673E">
        <w:rPr>
          <w:szCs w:val="22"/>
        </w:rPr>
        <w:t xml:space="preserve">Applicants state that </w:t>
      </w:r>
      <w:r w:rsidR="00EF168F">
        <w:rPr>
          <w:szCs w:val="22"/>
        </w:rPr>
        <w:t>CSM Intermediate</w:t>
      </w:r>
      <w:r w:rsidRPr="00F7673E" w:rsidR="00F7673E">
        <w:rPr>
          <w:szCs w:val="22"/>
        </w:rPr>
        <w:t xml:space="preserve"> is affiliated</w:t>
      </w:r>
      <w:r>
        <w:rPr>
          <w:rStyle w:val="FootnoteReference"/>
          <w:szCs w:val="22"/>
        </w:rPr>
        <w:footnoteReference w:id="24"/>
      </w:r>
      <w:r w:rsidRPr="00F7673E" w:rsidR="00F7673E">
        <w:rPr>
          <w:szCs w:val="22"/>
        </w:rPr>
        <w:t xml:space="preserve"> with various providers of domestic communications and telecommunications services including </w:t>
      </w:r>
      <w:r w:rsidR="00AC6CCB">
        <w:rPr>
          <w:szCs w:val="22"/>
        </w:rPr>
        <w:t>CableSouth</w:t>
      </w:r>
      <w:r w:rsidR="00AB0EC2">
        <w:rPr>
          <w:szCs w:val="22"/>
        </w:rPr>
        <w:t xml:space="preserve"> Media III, LLC d/b/a Swyft Fiber (</w:t>
      </w:r>
      <w:r w:rsidR="00903B94">
        <w:rPr>
          <w:szCs w:val="22"/>
        </w:rPr>
        <w:t>Swyft Fiber</w:t>
      </w:r>
      <w:r w:rsidR="00AB0EC2">
        <w:rPr>
          <w:szCs w:val="22"/>
        </w:rPr>
        <w:t>),</w:t>
      </w:r>
      <w:r>
        <w:rPr>
          <w:rStyle w:val="FootnoteReference"/>
          <w:szCs w:val="22"/>
        </w:rPr>
        <w:footnoteReference w:id="25"/>
      </w:r>
      <w:r w:rsidR="00AB0EC2">
        <w:rPr>
          <w:szCs w:val="22"/>
        </w:rPr>
        <w:t xml:space="preserve"> </w:t>
      </w:r>
      <w:r w:rsidRPr="00F7673E" w:rsidR="00F7673E">
        <w:rPr>
          <w:szCs w:val="22"/>
        </w:rPr>
        <w:t>Bluebird Network, L</w:t>
      </w:r>
      <w:r w:rsidR="00D548BE">
        <w:rPr>
          <w:szCs w:val="22"/>
        </w:rPr>
        <w:t>L</w:t>
      </w:r>
      <w:r w:rsidRPr="00F7673E" w:rsidR="00F7673E">
        <w:rPr>
          <w:szCs w:val="22"/>
        </w:rPr>
        <w:t>C (Bluebird)</w:t>
      </w:r>
      <w:r>
        <w:rPr>
          <w:szCs w:val="22"/>
          <w:vertAlign w:val="superscript"/>
        </w:rPr>
        <w:footnoteReference w:id="26"/>
      </w:r>
      <w:r w:rsidRPr="00F7673E" w:rsidR="00F7673E">
        <w:rPr>
          <w:szCs w:val="22"/>
        </w:rPr>
        <w:t xml:space="preserve"> and Cincinnati Bell Inc. d/b/a </w:t>
      </w:r>
      <w:r w:rsidRPr="00F7673E" w:rsidR="00F7673E">
        <w:rPr>
          <w:szCs w:val="22"/>
        </w:rPr>
        <w:t>altafiber</w:t>
      </w:r>
      <w:r w:rsidRPr="00F7673E" w:rsidR="00F7673E">
        <w:rPr>
          <w:szCs w:val="22"/>
        </w:rPr>
        <w:t xml:space="preserve"> (Cincinnati Bell).</w:t>
      </w:r>
      <w:r>
        <w:rPr>
          <w:szCs w:val="22"/>
          <w:vertAlign w:val="superscript"/>
        </w:rPr>
        <w:footnoteReference w:id="27"/>
      </w:r>
      <w:r w:rsidRPr="00F7673E" w:rsidR="00F7673E">
        <w:rPr>
          <w:szCs w:val="22"/>
        </w:rPr>
        <w:t xml:space="preserve">  Applicants state that </w:t>
      </w:r>
      <w:r w:rsidR="003C779B">
        <w:rPr>
          <w:szCs w:val="22"/>
        </w:rPr>
        <w:t xml:space="preserve">CSM Intermediates’ affiliates receive high-cost Universal Service Fund support as follows:  </w:t>
      </w:r>
      <w:r w:rsidR="00BB0F00">
        <w:rPr>
          <w:szCs w:val="22"/>
        </w:rPr>
        <w:t xml:space="preserve">1) </w:t>
      </w:r>
      <w:r w:rsidR="00D548BE">
        <w:rPr>
          <w:szCs w:val="22"/>
        </w:rPr>
        <w:t xml:space="preserve">Swyft Fiber </w:t>
      </w:r>
      <w:r w:rsidR="0011435F">
        <w:rPr>
          <w:szCs w:val="22"/>
        </w:rPr>
        <w:t>receives</w:t>
      </w:r>
      <w:r w:rsidR="00132B0F">
        <w:rPr>
          <w:szCs w:val="22"/>
        </w:rPr>
        <w:t xml:space="preserve"> Rural Digital Opportunity Fund</w:t>
      </w:r>
      <w:r w:rsidR="0011435F">
        <w:rPr>
          <w:szCs w:val="22"/>
        </w:rPr>
        <w:t xml:space="preserve"> </w:t>
      </w:r>
      <w:r w:rsidR="00132B0F">
        <w:rPr>
          <w:szCs w:val="22"/>
        </w:rPr>
        <w:t>(</w:t>
      </w:r>
      <w:r w:rsidR="0011435F">
        <w:rPr>
          <w:szCs w:val="22"/>
        </w:rPr>
        <w:t>RDOF</w:t>
      </w:r>
      <w:r w:rsidR="00132B0F">
        <w:rPr>
          <w:szCs w:val="22"/>
        </w:rPr>
        <w:t>)</w:t>
      </w:r>
      <w:r w:rsidR="0011435F">
        <w:rPr>
          <w:szCs w:val="22"/>
        </w:rPr>
        <w:t xml:space="preserve"> support in Arkansas, Louisiana, and Mississippi</w:t>
      </w:r>
      <w:r w:rsidR="003C779B">
        <w:rPr>
          <w:szCs w:val="22"/>
        </w:rPr>
        <w:t xml:space="preserve">; </w:t>
      </w:r>
      <w:r w:rsidR="00BB0F00">
        <w:rPr>
          <w:szCs w:val="22"/>
        </w:rPr>
        <w:t xml:space="preserve">2) </w:t>
      </w:r>
      <w:r w:rsidR="001D5E95">
        <w:rPr>
          <w:szCs w:val="22"/>
        </w:rPr>
        <w:t>three</w:t>
      </w:r>
      <w:r w:rsidRPr="00F7673E" w:rsidR="00F7673E">
        <w:rPr>
          <w:szCs w:val="22"/>
        </w:rPr>
        <w:t xml:space="preserve"> of Cincinnati Bell’s subsidiaries receive </w:t>
      </w:r>
      <w:r w:rsidR="001D5E95">
        <w:rPr>
          <w:szCs w:val="22"/>
        </w:rPr>
        <w:t xml:space="preserve">CAF Phase II and/or </w:t>
      </w:r>
      <w:r w:rsidRPr="00F7673E" w:rsidR="00F7673E">
        <w:rPr>
          <w:szCs w:val="22"/>
        </w:rPr>
        <w:t xml:space="preserve">RDOF </w:t>
      </w:r>
      <w:r w:rsidRPr="00F7673E" w:rsidR="00F7673E">
        <w:rPr>
          <w:szCs w:val="22"/>
        </w:rPr>
        <w:t>support</w:t>
      </w:r>
      <w:r w:rsidR="002517C1">
        <w:rPr>
          <w:szCs w:val="22"/>
        </w:rPr>
        <w:t xml:space="preserve">—CBET receives CAF Phase II support in </w:t>
      </w:r>
      <w:r w:rsidR="006B5472">
        <w:rPr>
          <w:szCs w:val="22"/>
        </w:rPr>
        <w:t xml:space="preserve">Ohio, </w:t>
      </w:r>
      <w:r w:rsidRPr="00F7673E" w:rsidR="00F7673E">
        <w:rPr>
          <w:szCs w:val="22"/>
        </w:rPr>
        <w:t xml:space="preserve">CBT receives </w:t>
      </w:r>
      <w:r w:rsidR="00553038">
        <w:rPr>
          <w:szCs w:val="22"/>
        </w:rPr>
        <w:t>CAF Phase II support in</w:t>
      </w:r>
      <w:r w:rsidR="001D5E95">
        <w:rPr>
          <w:szCs w:val="22"/>
        </w:rPr>
        <w:t xml:space="preserve"> </w:t>
      </w:r>
      <w:r w:rsidR="00903AC6">
        <w:rPr>
          <w:szCs w:val="22"/>
        </w:rPr>
        <w:t xml:space="preserve">Kentucky and Ohio and </w:t>
      </w:r>
      <w:r w:rsidRPr="00F7673E" w:rsidR="00F7673E">
        <w:rPr>
          <w:szCs w:val="22"/>
        </w:rPr>
        <w:t xml:space="preserve">RDOF support in Indiana, Kentucky, and Ohio, and HTI receives </w:t>
      </w:r>
      <w:r w:rsidR="00B10F7A">
        <w:rPr>
          <w:szCs w:val="22"/>
        </w:rPr>
        <w:t xml:space="preserve">CAF Phase II and </w:t>
      </w:r>
      <w:r w:rsidRPr="00F7673E" w:rsidR="00F7673E">
        <w:rPr>
          <w:szCs w:val="22"/>
        </w:rPr>
        <w:t>RDOF support in Hawaii.</w:t>
      </w:r>
      <w:r>
        <w:rPr>
          <w:szCs w:val="22"/>
          <w:vertAlign w:val="superscript"/>
        </w:rPr>
        <w:footnoteReference w:id="28"/>
      </w:r>
    </w:p>
    <w:p w:rsidR="006E4110" w:rsidP="001C7D2B" w14:paraId="02249542" w14:textId="6B25A6E4">
      <w:pPr>
        <w:widowControl/>
        <w:autoSpaceDE w:val="0"/>
        <w:autoSpaceDN w:val="0"/>
        <w:adjustRightInd w:val="0"/>
        <w:spacing w:after="120"/>
        <w:ind w:firstLine="720"/>
      </w:pPr>
      <w:r>
        <w:t xml:space="preserve">Pursuant to </w:t>
      </w:r>
      <w:r w:rsidR="002F4BBA">
        <w:t xml:space="preserve">the terms of </w:t>
      </w:r>
      <w:r w:rsidR="00F305F3">
        <w:t>the</w:t>
      </w:r>
      <w:r w:rsidR="00B62C35">
        <w:t xml:space="preserve"> </w:t>
      </w:r>
      <w:r w:rsidR="002D0821">
        <w:t>proposed transaction,</w:t>
      </w:r>
      <w:r w:rsidR="00EE248D">
        <w:t xml:space="preserve"> </w:t>
      </w:r>
      <w:r w:rsidR="00B47C1F">
        <w:t xml:space="preserve">American Broadband, Cameron Holdings, ABAC Alabama, and </w:t>
      </w:r>
      <w:r w:rsidR="00BE248B">
        <w:t>CSM Intermediate</w:t>
      </w:r>
      <w:r w:rsidR="00B47C1F">
        <w:t xml:space="preserve">, among others, entered into an interest purchase agreement pursuant to which </w:t>
      </w:r>
      <w:r w:rsidR="00BE248B">
        <w:t>CSM Intermediate</w:t>
      </w:r>
      <w:r w:rsidR="00B47C1F">
        <w:t xml:space="preserve"> will acquire 100% of the interests in Cameron Holdings and ABAC Alabama, and therefore, indirect ownership and control of their respective subsidiaries, the Fastwyre Licensees.</w:t>
      </w:r>
      <w:r>
        <w:rPr>
          <w:rStyle w:val="FootnoteReference"/>
        </w:rPr>
        <w:footnoteReference w:id="29"/>
      </w:r>
      <w:r w:rsidR="00B47C1F">
        <w:t xml:space="preserve">  Applicants state</w:t>
      </w:r>
      <w:r w:rsidR="0001175A">
        <w:t xml:space="preserve"> that</w:t>
      </w:r>
      <w:r w:rsidR="00B47C1F">
        <w:t xml:space="preserve">, as a result of the proposed transaction, the Fastwyre Licensees will be indirectly owned and controlled by </w:t>
      </w:r>
      <w:r w:rsidR="00BE248B">
        <w:t>CSM Intermediate</w:t>
      </w:r>
      <w:r w:rsidR="00B47C1F">
        <w:t>.</w:t>
      </w:r>
      <w:r>
        <w:rPr>
          <w:rStyle w:val="FootnoteReference"/>
        </w:rPr>
        <w:footnoteReference w:id="30"/>
      </w:r>
      <w:r w:rsidR="00B47C1F">
        <w:t xml:space="preserve"> </w:t>
      </w:r>
    </w:p>
    <w:p w:rsidR="008534BE" w:rsidRPr="00494289" w:rsidP="00486C9C" w14:paraId="6A693B54" w14:textId="77777777">
      <w:pPr>
        <w:widowControl/>
        <w:spacing w:after="120"/>
        <w:ind w:firstLine="720"/>
        <w:rPr>
          <w:b/>
          <w:bCs/>
          <w:szCs w:val="22"/>
          <w:u w:val="single"/>
        </w:rPr>
      </w:pPr>
      <w:r>
        <w:rPr>
          <w:b/>
          <w:bCs/>
          <w:szCs w:val="22"/>
          <w:u w:val="single"/>
        </w:rPr>
        <w:t>Public Interest Analysis</w:t>
      </w:r>
    </w:p>
    <w:p w:rsidR="008534BE" w:rsidRPr="0089258D" w:rsidP="00486C9C" w14:paraId="6215F8D4" w14:textId="217BCC18">
      <w:pPr>
        <w:pStyle w:val="ParaNum"/>
        <w:widowControl/>
        <w:numPr>
          <w:ilvl w:val="0"/>
          <w:numId w:val="0"/>
        </w:numPr>
        <w:ind w:firstLine="720"/>
      </w:pPr>
      <w:r w:rsidRPr="004B6FCD">
        <w:t>Pursuant to section 214(a) of the Act,</w:t>
      </w:r>
      <w:r>
        <w:rPr>
          <w:rStyle w:val="FootnoteReference"/>
        </w:rPr>
        <w:footnoteReference w:id="31"/>
      </w:r>
      <w:r w:rsidRPr="004B6FCD">
        <w:t xml:space="preserve"> we must determine whether the proposed transfer of control </w:t>
      </w:r>
      <w:r w:rsidR="00086BCE">
        <w:t xml:space="preserve">of Licensees </w:t>
      </w:r>
      <w:r w:rsidRPr="004B6FCD">
        <w:t xml:space="preserve">will serve the public interest, convenience, and necessity.  </w:t>
      </w:r>
      <w:r>
        <w:t>W</w:t>
      </w:r>
      <w:r w:rsidRPr="004B6FCD">
        <w:t xml:space="preserve">e first assess whether the </w:t>
      </w:r>
      <w:r w:rsidR="001A3611">
        <w:t>p</w:t>
      </w:r>
      <w:r w:rsidRPr="004B6FCD">
        <w:t xml:space="preserve">roposed </w:t>
      </w:r>
      <w:r w:rsidR="001A3611">
        <w:t>t</w:t>
      </w:r>
      <w:r w:rsidRPr="004B6FCD">
        <w:t>ransaction complies with the specific provisions of the Act, other applicable statutes, and the Commission’s rules</w:t>
      </w:r>
      <w:r>
        <w:t>.</w:t>
      </w:r>
      <w:r>
        <w:rPr>
          <w:rStyle w:val="FootnoteReference"/>
        </w:rPr>
        <w:footnoteReference w:id="32"/>
      </w:r>
      <w:r w:rsidRPr="00D80945">
        <w:t xml:space="preserve"> </w:t>
      </w:r>
      <w:r>
        <w:t xml:space="preserve"> W</w:t>
      </w:r>
      <w:r w:rsidRPr="00D80945">
        <w:t>e then consider whether the transaction could result in public interest harms by substantially frustrating or impairing the objectives or implementation of the Act or related statutes.</w:t>
      </w:r>
      <w:r>
        <w:rPr>
          <w:rStyle w:val="FootnoteReference"/>
        </w:rPr>
        <w:footnoteReference w:id="33"/>
      </w:r>
      <w:r w:rsidRPr="00D80945">
        <w:t xml:space="preserve">  Notably, the Commission has determined it may impose and enforce transaction-related conditions</w:t>
      </w:r>
      <w:r>
        <w:t>,</w:t>
      </w:r>
      <w:r w:rsidRPr="00D80945">
        <w:t xml:space="preserve"> </w:t>
      </w:r>
      <w:r>
        <w:t xml:space="preserve">or accept voluntary commitments, </w:t>
      </w:r>
      <w:r w:rsidRPr="00D80945">
        <w:t>to ensure that the public interest is served by the transaction.</w:t>
      </w:r>
      <w:r>
        <w:rPr>
          <w:rStyle w:val="FootnoteReference"/>
        </w:rPr>
        <w:footnoteReference w:id="34"/>
      </w:r>
      <w:r>
        <w:t xml:space="preserve">  W</w:t>
      </w:r>
      <w:r w:rsidRPr="0089258D">
        <w:t xml:space="preserve">e next </w:t>
      </w:r>
      <w:r w:rsidRPr="0089258D">
        <w:t>consider a transaction’s public interest benefits.  Applicants bear the burden of proving those benefits by a preponderance of the evidence.</w:t>
      </w:r>
      <w:r>
        <w:rPr>
          <w:rStyle w:val="FootnoteReference"/>
        </w:rPr>
        <w:footnoteReference w:id="35"/>
      </w:r>
      <w:r w:rsidRPr="0089258D">
        <w:t xml:space="preserve">  </w:t>
      </w:r>
      <w:r w:rsidRPr="00D5432A">
        <w:t>As part of our public interest authority, we may impose conditions to ensure for the public the transaction-related benefits claimed by the Applicants.</w:t>
      </w:r>
      <w:r>
        <w:rPr>
          <w:rStyle w:val="FootnoteReference"/>
        </w:rPr>
        <w:footnoteReference w:id="36"/>
      </w:r>
    </w:p>
    <w:p w:rsidR="00D45A9A" w:rsidP="0076659E" w14:paraId="7B2492D9" w14:textId="3BFCF8A5">
      <w:pPr>
        <w:widowControl/>
        <w:autoSpaceDE w:val="0"/>
        <w:autoSpaceDN w:val="0"/>
        <w:adjustRightInd w:val="0"/>
        <w:spacing w:after="120"/>
        <w:ind w:firstLine="720"/>
      </w:pPr>
      <w:r w:rsidRPr="125D311E">
        <w:rPr>
          <w:snapToGrid/>
          <w:kern w:val="0"/>
        </w:rPr>
        <w:t>Based on the current record</w:t>
      </w:r>
      <w:r>
        <w:rPr>
          <w:snapToGrid/>
          <w:kern w:val="0"/>
          <w:szCs w:val="22"/>
        </w:rPr>
        <w:t>,</w:t>
      </w:r>
      <w:r w:rsidRPr="125D311E">
        <w:rPr>
          <w:snapToGrid/>
          <w:kern w:val="0"/>
        </w:rPr>
        <w:t xml:space="preserve"> and the Applicants’ voluntary commitments, we find that there are no likely potential transaction-related public interest harms.</w:t>
      </w:r>
      <w:r>
        <w:rPr>
          <w:snapToGrid/>
          <w:kern w:val="0"/>
          <w:szCs w:val="22"/>
        </w:rPr>
        <w:t xml:space="preserve">  </w:t>
      </w:r>
      <w:r w:rsidRPr="003E313E" w:rsidR="00086BCE">
        <w:t xml:space="preserve">Applicants maintain that a grant of the </w:t>
      </w:r>
      <w:r w:rsidR="00AF06D4">
        <w:t>A</w:t>
      </w:r>
      <w:r w:rsidRPr="003E313E" w:rsidR="00086BCE">
        <w:t>pplication “will not result in competitive harms or adversely affect competition in any manner.”</w:t>
      </w:r>
      <w:r>
        <w:rPr>
          <w:rStyle w:val="FootnoteReference"/>
        </w:rPr>
        <w:footnoteReference w:id="37"/>
      </w:r>
      <w:r w:rsidRPr="003E313E" w:rsidR="00086BCE">
        <w:t xml:space="preserve">  Applicants explain that Swyft Fiber and the Fastwyre Licensees’ service territories </w:t>
      </w:r>
      <w:r w:rsidR="00086BCE">
        <w:t>“</w:t>
      </w:r>
      <w:r w:rsidRPr="003E313E" w:rsidR="00086BCE">
        <w:t>generally do not overlap, except for limited overlap within Allen and Vernon Parishes</w:t>
      </w:r>
      <w:r w:rsidR="00AF06D4">
        <w:t>,</w:t>
      </w:r>
      <w:r w:rsidR="00086BCE">
        <w:t>”</w:t>
      </w:r>
      <w:r w:rsidRPr="003E313E" w:rsidR="00086BCE">
        <w:t xml:space="preserve"> and </w:t>
      </w:r>
      <w:r w:rsidR="00086BCE">
        <w:t>“</w:t>
      </w:r>
      <w:r w:rsidRPr="003E313E" w:rsidR="00086BCE">
        <w:t xml:space="preserve">Swyft Fiber’s serviceable locations in Oakdale within Allen Parish are </w:t>
      </w:r>
      <w:r w:rsidRPr="000E1E07" w:rsidR="00086BCE">
        <w:t xml:space="preserve">predominantly RDOF-funded locations, </w:t>
      </w:r>
      <w:r w:rsidR="00086BCE">
        <w:t xml:space="preserve">which [] </w:t>
      </w:r>
      <w:r w:rsidRPr="000E1E07" w:rsidR="00086BCE">
        <w:t>would not be expected to be served by Fastwyre or other carriers.</w:t>
      </w:r>
      <w:r w:rsidR="00086BCE">
        <w:t>”</w:t>
      </w:r>
      <w:r>
        <w:rPr>
          <w:rStyle w:val="FootnoteReference"/>
        </w:rPr>
        <w:footnoteReference w:id="38"/>
      </w:r>
      <w:r w:rsidRPr="000E1E07" w:rsidR="00086BCE">
        <w:t xml:space="preserve"> </w:t>
      </w:r>
      <w:r w:rsidR="00C754B8">
        <w:t xml:space="preserve"> </w:t>
      </w:r>
      <w:r w:rsidR="00086BCE">
        <w:t xml:space="preserve">Applicants assert that </w:t>
      </w:r>
      <w:r w:rsidRPr="000E1E07" w:rsidR="00086BCE">
        <w:t>competiti</w:t>
      </w:r>
      <w:r w:rsidR="00AF06D4">
        <w:t xml:space="preserve">ve </w:t>
      </w:r>
      <w:r w:rsidR="00A04EDB">
        <w:t>offerings</w:t>
      </w:r>
      <w:r w:rsidRPr="000E1E07" w:rsidR="00086BCE">
        <w:t xml:space="preserve"> from other broadband service providers</w:t>
      </w:r>
      <w:r w:rsidR="00086BCE">
        <w:t xml:space="preserve"> </w:t>
      </w:r>
      <w:r w:rsidRPr="000E1E07" w:rsidR="00086BCE">
        <w:t>are available to most households throughout Allen and Vernon Parishes, including</w:t>
      </w:r>
      <w:r w:rsidRPr="00F149DA" w:rsidR="00086BCE">
        <w:t xml:space="preserve"> any overlapping service areas of Swyft Fiber and Fastwyre.</w:t>
      </w:r>
      <w:r>
        <w:rPr>
          <w:rStyle w:val="FootnoteReference"/>
        </w:rPr>
        <w:footnoteReference w:id="39"/>
      </w:r>
      <w:r w:rsidRPr="00F149DA" w:rsidR="00086BCE">
        <w:t xml:space="preserve">  Applicants</w:t>
      </w:r>
      <w:r w:rsidR="00086BCE">
        <w:t xml:space="preserve"> also assert that “[b]</w:t>
      </w:r>
      <w:r w:rsidRPr="00B120DF" w:rsidR="00086BCE">
        <w:t>ecause</w:t>
      </w:r>
      <w:r w:rsidRPr="00B120DF" w:rsidR="00086BCE">
        <w:t xml:space="preserve"> Applicants generally do not compete directly for</w:t>
      </w:r>
      <w:r w:rsidR="00086BCE">
        <w:t xml:space="preserve"> </w:t>
      </w:r>
      <w:r w:rsidRPr="00B120DF" w:rsidR="00086BCE">
        <w:t>customers, and because competitive pressure from alternative providers exists and is growing in</w:t>
      </w:r>
      <w:r w:rsidR="00086BCE">
        <w:t xml:space="preserve"> </w:t>
      </w:r>
      <w:r w:rsidRPr="00B120DF" w:rsidR="00086BCE">
        <w:t>the service territories of each of Applicants, the potential harms that may result are relatively</w:t>
      </w:r>
      <w:r w:rsidR="00086BCE">
        <w:t xml:space="preserve"> </w:t>
      </w:r>
      <w:r w:rsidRPr="00B120DF" w:rsidR="00086BCE">
        <w:t>miniscule.</w:t>
      </w:r>
      <w:r w:rsidR="00086BCE">
        <w:t>”</w:t>
      </w:r>
      <w:r>
        <w:rPr>
          <w:rStyle w:val="FootnoteReference"/>
        </w:rPr>
        <w:footnoteReference w:id="40"/>
      </w:r>
      <w:r w:rsidR="00086BCE">
        <w:t xml:space="preserve">  </w:t>
      </w:r>
      <w:r w:rsidRPr="0003362F" w:rsidR="00086BCE">
        <w:t xml:space="preserve">Further, Applicants emphasize </w:t>
      </w:r>
      <w:r w:rsidR="00086BCE">
        <w:t xml:space="preserve">the transaction will not harm customers as it </w:t>
      </w:r>
      <w:r w:rsidRPr="0003362F" w:rsidR="00086BCE">
        <w:t>will be transparent, will result in continued high quality broadband services under the same rates, terms and conditions, and will not result in any immediate change of carrier or the discontinuation, reduction, loss</w:t>
      </w:r>
      <w:r w:rsidR="00AF06D4">
        <w:t>,</w:t>
      </w:r>
      <w:r w:rsidRPr="0003362F" w:rsidR="00086BCE">
        <w:t xml:space="preserve"> or impairment of service for any customer.</w:t>
      </w:r>
      <w:r>
        <w:rPr>
          <w:vertAlign w:val="superscript"/>
        </w:rPr>
        <w:footnoteReference w:id="41"/>
      </w:r>
      <w:r w:rsidRPr="0003362F" w:rsidR="00086BCE">
        <w:t xml:space="preserve"> </w:t>
      </w:r>
      <w:bookmarkStart w:id="6" w:name="_Hlk190430453"/>
    </w:p>
    <w:p w:rsidR="00586242" w:rsidP="0076659E" w14:paraId="2E53F778" w14:textId="60149B1E">
      <w:pPr>
        <w:widowControl/>
        <w:autoSpaceDE w:val="0"/>
        <w:autoSpaceDN w:val="0"/>
        <w:adjustRightInd w:val="0"/>
        <w:spacing w:after="120"/>
        <w:ind w:firstLine="720"/>
      </w:pPr>
      <w:r>
        <w:t>We also find no harms associated with Universal Service Fund (USF) programs will arise from the proposed transaction</w:t>
      </w:r>
      <w:r w:rsidR="00137D4E">
        <w:t>.</w:t>
      </w:r>
      <w:r>
        <w:rPr>
          <w:rStyle w:val="FootnoteReference"/>
        </w:rPr>
        <w:footnoteReference w:id="42"/>
      </w:r>
      <w:r w:rsidRPr="00BB7206" w:rsidR="00137D4E">
        <w:t xml:space="preserve">  </w:t>
      </w:r>
      <w:r w:rsidR="009254E0">
        <w:t xml:space="preserve">The Applicants acknowledge that Swyft Fiber, an affiliate of CSM,  reported in the Broadband Data Collection (BDC) as providing fixed broadband service with speeds that meet or exceed 100/20 Mbps at certain </w:t>
      </w:r>
      <w:r w:rsidR="00762B02">
        <w:t xml:space="preserve">Broadband </w:t>
      </w:r>
      <w:r w:rsidR="00C004A1">
        <w:t>Serviceable</w:t>
      </w:r>
      <w:r w:rsidR="00762B02">
        <w:t xml:space="preserve"> Locatio</w:t>
      </w:r>
      <w:r w:rsidR="00C004A1">
        <w:t>ns</w:t>
      </w:r>
      <w:r w:rsidR="009254E0">
        <w:t xml:space="preserve"> in Louisiana S</w:t>
      </w:r>
      <w:r w:rsidR="00F958B2">
        <w:t>tudy Area (S</w:t>
      </w:r>
      <w:r w:rsidR="009254E0">
        <w:t>AC 270430</w:t>
      </w:r>
      <w:r w:rsidR="00F958B2">
        <w:t>)</w:t>
      </w:r>
      <w:r w:rsidR="009254E0">
        <w:t>, where Elizabeth Telephone, a transferring Licensee, receives Enhanced A-CAM support</w:t>
      </w:r>
      <w:r w:rsidR="009E0DA2">
        <w:t>.</w:t>
      </w:r>
      <w:r>
        <w:rPr>
          <w:rStyle w:val="FootnoteReference"/>
        </w:rPr>
        <w:footnoteReference w:id="43"/>
      </w:r>
      <w:r w:rsidR="009E0DA2">
        <w:t xml:space="preserve">  </w:t>
      </w:r>
      <w:r w:rsidR="009254E0">
        <w:t xml:space="preserve">The Applicants further acknowledge that LBH, a transferring Licensee, reported in the BDC as providing fixed broadband service with speeds that meet or exceed 100/20 Mbps at certain </w:t>
      </w:r>
      <w:r w:rsidR="00C004A1">
        <w:t>BSLs</w:t>
      </w:r>
      <w:r w:rsidR="009254E0">
        <w:t xml:space="preserve"> in Louisiana SAC </w:t>
      </w:r>
      <w:r w:rsidR="009254E0">
        <w:t>279061, where Swyft Fiber receives RDOF support.</w:t>
      </w:r>
      <w:r>
        <w:rPr>
          <w:rStyle w:val="FootnoteReference"/>
        </w:rPr>
        <w:footnoteReference w:id="44"/>
      </w:r>
      <w:r w:rsidR="009254E0">
        <w:t xml:space="preserve">  </w:t>
      </w:r>
      <w:r w:rsidR="006E0292">
        <w:t xml:space="preserve">At </w:t>
      </w:r>
      <w:r w:rsidR="00563601">
        <w:t>the time of the Applicant’s commitment</w:t>
      </w:r>
      <w:r w:rsidR="008A36FE">
        <w:t>,</w:t>
      </w:r>
      <w:r>
        <w:rPr>
          <w:rStyle w:val="FootnoteReference"/>
        </w:rPr>
        <w:footnoteReference w:id="45"/>
      </w:r>
      <w:r w:rsidR="00C64458">
        <w:t xml:space="preserve"> </w:t>
      </w:r>
      <w:r w:rsidRPr="00262301">
        <w:t xml:space="preserve">CSM </w:t>
      </w:r>
      <w:r>
        <w:t>report</w:t>
      </w:r>
      <w:r w:rsidR="008A36FE">
        <w:t>ed</w:t>
      </w:r>
      <w:r>
        <w:t xml:space="preserve"> </w:t>
      </w:r>
      <w:r w:rsidRPr="00262301">
        <w:t>serv</w:t>
      </w:r>
      <w:r>
        <w:t>ice to</w:t>
      </w:r>
      <w:r w:rsidRPr="00262301">
        <w:t xml:space="preserve"> 190 units in American Broadband</w:t>
      </w:r>
      <w:r w:rsidR="007D1835">
        <w:t>’</w:t>
      </w:r>
      <w:r w:rsidRPr="00262301">
        <w:t>s SAC 270430 (E-ACAM)</w:t>
      </w:r>
      <w:r w:rsidR="00A34694">
        <w:t>,</w:t>
      </w:r>
      <w:r>
        <w:t xml:space="preserve"> </w:t>
      </w:r>
      <w:r w:rsidRPr="00262301">
        <w:t xml:space="preserve">and American Broadband </w:t>
      </w:r>
      <w:r>
        <w:t>report</w:t>
      </w:r>
      <w:r w:rsidR="008A36FE">
        <w:t>ed</w:t>
      </w:r>
      <w:r>
        <w:t xml:space="preserve"> </w:t>
      </w:r>
      <w:r w:rsidRPr="00262301">
        <w:t>serv</w:t>
      </w:r>
      <w:r>
        <w:t>ice of at least 100/20 Mbps to</w:t>
      </w:r>
      <w:r w:rsidRPr="00262301">
        <w:t xml:space="preserve"> 848 units in CSM</w:t>
      </w:r>
      <w:r w:rsidR="00C004A1">
        <w:t>’</w:t>
      </w:r>
      <w:r w:rsidRPr="00262301">
        <w:t>s SAC 279061 (RDOF</w:t>
      </w:r>
      <w:r>
        <w:t>) (collectively, Overlapped Locations).</w:t>
      </w:r>
      <w:r>
        <w:rPr>
          <w:rStyle w:val="FootnoteReference"/>
        </w:rPr>
        <w:footnoteReference w:id="46"/>
      </w:r>
      <w:r>
        <w:t xml:space="preserve">   </w:t>
      </w:r>
    </w:p>
    <w:p w:rsidR="00D31C47" w:rsidRPr="00EB14B0" w:rsidP="00347DD6" w14:paraId="5FF59928" w14:textId="72DBAE1A">
      <w:pPr>
        <w:widowControl/>
        <w:spacing w:after="120"/>
        <w:ind w:firstLine="720"/>
      </w:pPr>
      <w:r>
        <w:t>CSM Intermediate voluntarily commits that</w:t>
      </w:r>
      <w:r w:rsidR="00816C99">
        <w:t>,</w:t>
      </w:r>
      <w:r w:rsidRPr="00D1186F">
        <w:t xml:space="preserve"> </w:t>
      </w:r>
      <w:r>
        <w:t xml:space="preserve">after consummation of the proposed transaction and </w:t>
      </w:r>
      <w:r w:rsidRPr="00D1186F">
        <w:t xml:space="preserve">as part of its commitment to good stewardship of </w:t>
      </w:r>
      <w:r w:rsidR="00A34694">
        <w:t>high-cost</w:t>
      </w:r>
      <w:r>
        <w:t xml:space="preserve"> USF support</w:t>
      </w:r>
      <w:r w:rsidRPr="00D1186F">
        <w:t xml:space="preserve">, </w:t>
      </w:r>
      <w:r w:rsidRPr="00095A3F">
        <w:t xml:space="preserve">CSM </w:t>
      </w:r>
      <w:r>
        <w:t>will</w:t>
      </w:r>
      <w:r w:rsidRPr="00095A3F">
        <w:t xml:space="preserve"> return </w:t>
      </w:r>
      <w:r w:rsidR="008A0EB4">
        <w:t>on a</w:t>
      </w:r>
      <w:r w:rsidRPr="00095A3F">
        <w:t xml:space="preserve"> </w:t>
      </w:r>
      <w:r>
        <w:t>pro-rata</w:t>
      </w:r>
      <w:r w:rsidR="008A0EB4">
        <w:t>, per</w:t>
      </w:r>
      <w:r w:rsidR="00EC278E">
        <w:t xml:space="preserve"> location basis</w:t>
      </w:r>
      <w:r>
        <w:t xml:space="preserve"> </w:t>
      </w:r>
      <w:r w:rsidRPr="00095A3F">
        <w:t xml:space="preserve">support </w:t>
      </w:r>
      <w:r>
        <w:t xml:space="preserve">already received for, and will relinquish all future support payments </w:t>
      </w:r>
      <w:r w:rsidR="00E84EE1">
        <w:t xml:space="preserve">associated with, </w:t>
      </w:r>
      <w:r w:rsidR="008F6B4C">
        <w:t>the Overlapped Locations</w:t>
      </w:r>
      <w:r w:rsidRPr="00D1186F" w:rsidR="00137D4E">
        <w:t>.</w:t>
      </w:r>
      <w:r>
        <w:rPr>
          <w:rStyle w:val="FootnoteReference"/>
        </w:rPr>
        <w:footnoteReference w:id="47"/>
      </w:r>
      <w:r w:rsidRPr="00D01CDA" w:rsidR="00137D4E">
        <w:t xml:space="preserve">  </w:t>
      </w:r>
      <w:r w:rsidR="00B374C4">
        <w:t xml:space="preserve">Such adjustments to the total authorized support for the relevant SACs will be </w:t>
      </w:r>
      <w:r w:rsidRPr="00095A3F" w:rsidR="00B374C4">
        <w:t>amortized across each monthly disbursement of support over the remainder</w:t>
      </w:r>
      <w:r w:rsidRPr="00267AAC" w:rsidR="00B374C4">
        <w:t xml:space="preserve"> </w:t>
      </w:r>
      <w:r w:rsidR="00B374C4">
        <w:t>of the relevant program’s support term</w:t>
      </w:r>
      <w:r w:rsidR="001B69FB">
        <w:t>.</w:t>
      </w:r>
      <w:r w:rsidR="00B374C4">
        <w:t xml:space="preserve">  </w:t>
      </w:r>
      <w:r w:rsidRPr="00D01CDA" w:rsidR="00137D4E">
        <w:t>We accept th</w:t>
      </w:r>
      <w:r w:rsidR="00816C99">
        <w:t>ese</w:t>
      </w:r>
      <w:r w:rsidRPr="00D01CDA" w:rsidR="00137D4E">
        <w:t xml:space="preserve"> commitment</w:t>
      </w:r>
      <w:r w:rsidR="00816C99">
        <w:t>s</w:t>
      </w:r>
      <w:r w:rsidRPr="00D01CDA" w:rsidR="00137D4E">
        <w:t xml:space="preserve"> </w:t>
      </w:r>
      <w:r w:rsidRPr="00D01CDA" w:rsidR="00137D4E">
        <w:rPr>
          <w:snapToGrid/>
          <w:kern w:val="0"/>
          <w:szCs w:val="22"/>
        </w:rPr>
        <w:t xml:space="preserve">as firm and definite, and expect that </w:t>
      </w:r>
      <w:r w:rsidR="00816C99">
        <w:rPr>
          <w:snapToGrid/>
          <w:kern w:val="0"/>
          <w:szCs w:val="22"/>
        </w:rPr>
        <w:t>they</w:t>
      </w:r>
      <w:r w:rsidRPr="00D01CDA" w:rsidR="00137D4E">
        <w:rPr>
          <w:snapToGrid/>
          <w:kern w:val="0"/>
          <w:szCs w:val="22"/>
        </w:rPr>
        <w:t xml:space="preserve"> will help ensure that the post-transaction company will continue to deliver high quality broadband service to rural Americans while avoiding potentially inefficient use of universal service support.</w:t>
      </w:r>
      <w:r w:rsidR="00137D4E">
        <w:rPr>
          <w:snapToGrid/>
          <w:kern w:val="0"/>
          <w:szCs w:val="22"/>
        </w:rPr>
        <w:t xml:space="preserve">  </w:t>
      </w:r>
      <w:r w:rsidR="00F333DC">
        <w:t xml:space="preserve">As a </w:t>
      </w:r>
      <w:r w:rsidRPr="00E23317" w:rsidR="00F333DC">
        <w:t>result of these voluntary commitments</w:t>
      </w:r>
      <w:r w:rsidR="00F333DC">
        <w:t xml:space="preserve"> and consistent with Swyft Fiber’s expect</w:t>
      </w:r>
      <w:r w:rsidR="0086150A">
        <w:t>at</w:t>
      </w:r>
      <w:r w:rsidR="00F333DC">
        <w:t>ions</w:t>
      </w:r>
      <w:r w:rsidR="0086150A">
        <w:t xml:space="preserve"> and understandings</w:t>
      </w:r>
      <w:r w:rsidR="00F333DC">
        <w:t>,</w:t>
      </w:r>
      <w:r w:rsidRPr="00E23317" w:rsidR="00F333DC">
        <w:t xml:space="preserve"> </w:t>
      </w:r>
      <w:r w:rsidR="00F333DC">
        <w:t>Swyft Fiber</w:t>
      </w:r>
      <w:r w:rsidRPr="00E23317" w:rsidR="00F333DC">
        <w:t xml:space="preserve"> will no longer be subject to </w:t>
      </w:r>
      <w:r w:rsidR="00F333DC">
        <w:t>the relevan</w:t>
      </w:r>
      <w:r w:rsidR="001C78C5">
        <w:t xml:space="preserve">t </w:t>
      </w:r>
      <w:r w:rsidR="00F333DC">
        <w:t>high-cost</w:t>
      </w:r>
      <w:r w:rsidRPr="00E23317" w:rsidR="00F333DC">
        <w:t xml:space="preserve"> program service obligations</w:t>
      </w:r>
      <w:r w:rsidR="00F333DC">
        <w:t xml:space="preserve"> for these locations</w:t>
      </w:r>
      <w:r w:rsidR="0086150A">
        <w:t xml:space="preserve"> but will be obligated to serve all </w:t>
      </w:r>
      <w:r w:rsidR="00131464">
        <w:t xml:space="preserve">other eligible/obligated </w:t>
      </w:r>
      <w:r w:rsidR="0086150A">
        <w:t>locations with</w:t>
      </w:r>
      <w:r w:rsidR="00A34694">
        <w:t>in</w:t>
      </w:r>
      <w:r w:rsidR="0086150A">
        <w:t xml:space="preserve"> the relevant SAC</w:t>
      </w:r>
      <w:r w:rsidR="00131464">
        <w:t>,</w:t>
      </w:r>
      <w:r w:rsidR="0086150A">
        <w:t xml:space="preserve"> consistent with program requirements.</w:t>
      </w:r>
      <w:r>
        <w:rPr>
          <w:rStyle w:val="FootnoteReference"/>
        </w:rPr>
        <w:footnoteReference w:id="48"/>
      </w:r>
      <w:r w:rsidRPr="00E23317" w:rsidR="00F333DC">
        <w:t xml:space="preserve">  </w:t>
      </w:r>
    </w:p>
    <w:p w:rsidR="00D31C47" w:rsidRPr="00A94F5D" w:rsidP="00D60307" w14:paraId="07B5F269" w14:textId="77777777">
      <w:pPr>
        <w:widowControl/>
        <w:autoSpaceDE w:val="0"/>
        <w:autoSpaceDN w:val="0"/>
        <w:adjustRightInd w:val="0"/>
        <w:spacing w:after="120"/>
        <w:ind w:firstLine="720"/>
        <w:rPr>
          <w:szCs w:val="22"/>
        </w:rPr>
      </w:pPr>
      <w:r w:rsidRPr="125D311E">
        <w:t>We next consider whether the proposed transaction is likely to generate verifiable, transaction-specific public interest benefits.</w:t>
      </w:r>
      <w:r>
        <w:rPr>
          <w:vertAlign w:val="superscript"/>
        </w:rPr>
        <w:footnoteReference w:id="49"/>
      </w:r>
      <w:r w:rsidRPr="125D311E">
        <w:t xml:space="preserve">  Applicants must provide evidence of a claimed benefit to allow the Commission to verify its likelihood and magnitude.</w:t>
      </w:r>
      <w:r>
        <w:rPr>
          <w:vertAlign w:val="superscript"/>
        </w:rPr>
        <w:footnoteReference w:id="50"/>
      </w:r>
      <w:r w:rsidRPr="125D311E">
        <w:t xml:space="preserve">  Where potential harms appear unlikely, as is the case with the Application before us here, the Commission accepts a lesser degree of magnitude and likelihood than when harms are present.</w:t>
      </w:r>
      <w:r>
        <w:rPr>
          <w:vertAlign w:val="superscript"/>
        </w:rPr>
        <w:footnoteReference w:id="51"/>
      </w:r>
    </w:p>
    <w:p w:rsidR="00CE2736" w:rsidP="00D660D1" w14:paraId="06000FEA" w14:textId="323D60FD">
      <w:pPr>
        <w:widowControl/>
        <w:spacing w:after="120"/>
        <w:ind w:firstLine="720"/>
      </w:pPr>
      <w:r w:rsidRPr="2E287090">
        <w:t>The Commission has specified that ensuring consumers receive new or additional services is an important public interest factor,</w:t>
      </w:r>
      <w:r>
        <w:rPr>
          <w:vertAlign w:val="superscript"/>
        </w:rPr>
        <w:footnoteReference w:id="52"/>
      </w:r>
      <w:r w:rsidRPr="2E287090">
        <w:t xml:space="preserve"> and </w:t>
      </w:r>
      <w:r w:rsidRPr="2E287090">
        <w:rPr>
          <w:color w:val="000000"/>
        </w:rPr>
        <w:t>accelerating private sector deployment of advanced services is one of the aims of the Act.</w:t>
      </w:r>
      <w:r>
        <w:rPr>
          <w:color w:val="000000"/>
          <w:vertAlign w:val="superscript"/>
        </w:rPr>
        <w:footnoteReference w:id="53"/>
      </w:r>
      <w:r w:rsidRPr="2E287090">
        <w:rPr>
          <w:color w:val="000000"/>
        </w:rPr>
        <w:t xml:space="preserve">  </w:t>
      </w:r>
      <w:r w:rsidRPr="2E287090">
        <w:t xml:space="preserve">In light of the Applicants’ </w:t>
      </w:r>
      <w:r>
        <w:t>continuing</w:t>
      </w:r>
      <w:r w:rsidRPr="2E287090">
        <w:t xml:space="preserve"> commitments to meet all federal high-cost support obligations</w:t>
      </w:r>
      <w:r>
        <w:rPr>
          <w:vertAlign w:val="superscript"/>
        </w:rPr>
        <w:t xml:space="preserve"> </w:t>
      </w:r>
      <w:r w:rsidRPr="2E287090">
        <w:t xml:space="preserve">and the fact that Applicants are prepared to accelerate facilities-based service offerings, we find it likely that the proposed transaction would result in some public interest benefits.  </w:t>
      </w:r>
    </w:p>
    <w:p w:rsidR="008534BE" w:rsidP="00D660D1" w14:paraId="0E924CEE" w14:textId="3BDBE581">
      <w:pPr>
        <w:widowControl/>
        <w:autoSpaceDE w:val="0"/>
        <w:autoSpaceDN w:val="0"/>
        <w:adjustRightInd w:val="0"/>
        <w:spacing w:after="120"/>
        <w:ind w:firstLine="720"/>
      </w:pPr>
      <w:r>
        <w:t>Applicants state that, as a result of t</w:t>
      </w:r>
      <w:r w:rsidRPr="00277B7B">
        <w:t xml:space="preserve">he proposed transaction, </w:t>
      </w:r>
      <w:r w:rsidRPr="00D745E9">
        <w:t xml:space="preserve">the Fastwyre Licensees </w:t>
      </w:r>
      <w:r>
        <w:t>“</w:t>
      </w:r>
      <w:r w:rsidRPr="00D745E9">
        <w:t>will be wel</w:t>
      </w:r>
      <w:r>
        <w:t xml:space="preserve">l </w:t>
      </w:r>
      <w:r w:rsidRPr="00D745E9">
        <w:t>positioned to accelerate construction and deployment of their fiber networks and services, and to</w:t>
      </w:r>
      <w:r w:rsidRPr="004E5A07">
        <w:t xml:space="preserve"> meet their Enhanced A</w:t>
      </w:r>
      <w:r w:rsidR="00833189">
        <w:t>-</w:t>
      </w:r>
      <w:r w:rsidRPr="004E5A07">
        <w:t>CAM obligations</w:t>
      </w:r>
      <w:r>
        <w:t>,”</w:t>
      </w:r>
      <w:r>
        <w:rPr>
          <w:vertAlign w:val="superscript"/>
        </w:rPr>
        <w:footnoteReference w:id="54"/>
      </w:r>
      <w:r w:rsidRPr="004E5A07">
        <w:t xml:space="preserve"> and the record indicates that CSM Holding and its owners have </w:t>
      </w:r>
      <w:r>
        <w:t>t</w:t>
      </w:r>
      <w:r w:rsidRPr="004E5A07">
        <w:t>he technical, financial, and managerial expertise to do so.</w:t>
      </w:r>
      <w:r>
        <w:rPr>
          <w:vertAlign w:val="superscript"/>
        </w:rPr>
        <w:footnoteReference w:id="55"/>
      </w:r>
      <w:r w:rsidRPr="004E5A07">
        <w:t xml:space="preserve">  </w:t>
      </w:r>
      <w:r>
        <w:t>Applicants state that the proposed transaction will also include the retention of a majority of the current employees responsible for the operations of the Fastwyre Licensees.</w:t>
      </w:r>
      <w:r>
        <w:rPr>
          <w:rStyle w:val="FootnoteReference"/>
        </w:rPr>
        <w:footnoteReference w:id="56"/>
      </w:r>
      <w:r>
        <w:t xml:space="preserve">  Accordingly, </w:t>
      </w:r>
      <w:r w:rsidRPr="004E5A07">
        <w:t>Applicants</w:t>
      </w:r>
      <w:r>
        <w:t xml:space="preserve"> maintain </w:t>
      </w:r>
      <w:r w:rsidRPr="004E5A07">
        <w:t>that the</w:t>
      </w:r>
      <w:r>
        <w:t xml:space="preserve"> proposed transaction </w:t>
      </w:r>
      <w:r w:rsidRPr="002F4603">
        <w:t xml:space="preserve">will </w:t>
      </w:r>
      <w:r>
        <w:t>“</w:t>
      </w:r>
      <w:r w:rsidRPr="002F4603">
        <w:t>enable the continued provision of high-quality communications</w:t>
      </w:r>
      <w:r>
        <w:t xml:space="preserve"> </w:t>
      </w:r>
      <w:r w:rsidRPr="002F4603">
        <w:t>services to the Fastwyre Licensees’ customers and enhance the ability of the Fastwyre Licensees</w:t>
      </w:r>
      <w:r w:rsidRPr="00EF60A2">
        <w:t xml:space="preserve"> </w:t>
      </w:r>
      <w:r w:rsidRPr="002F4603">
        <w:t>to deploy advanced network services, which will in turn advance telecommunications and</w:t>
      </w:r>
      <w:r w:rsidRPr="00EF60A2">
        <w:t xml:space="preserve"> </w:t>
      </w:r>
      <w:r w:rsidRPr="002F4603">
        <w:t>information infrastructure in the predominantly</w:t>
      </w:r>
      <w:r w:rsidR="00D31C47">
        <w:t xml:space="preserve"> rural areas of </w:t>
      </w:r>
      <w:r w:rsidRPr="002F4603">
        <w:t>Alabama, Louisiana, and Texa</w:t>
      </w:r>
      <w:r w:rsidRPr="00DC6803">
        <w:t>s that the Fastwyre Licensees serve</w:t>
      </w:r>
      <w:r w:rsidR="00D31C47">
        <w:t>.”</w:t>
      </w:r>
      <w:r>
        <w:rPr>
          <w:rStyle w:val="FootnoteReference"/>
        </w:rPr>
        <w:footnoteReference w:id="57"/>
      </w:r>
      <w:r w:rsidR="00D31C47">
        <w:t xml:space="preserve">  </w:t>
      </w:r>
      <w:r w:rsidRPr="00B3383D" w:rsidR="00D31C47">
        <w:t>We find that there will likely be efficiencies and increased investment that result from the proposed transaction and conclude that a grant is in the public interest.</w:t>
      </w:r>
      <w:r w:rsidRPr="000D6D9D" w:rsidR="00D31C47">
        <w:t xml:space="preserve">  Because</w:t>
      </w:r>
      <w:r w:rsidRPr="2E287090" w:rsidR="00D31C47">
        <w:t xml:space="preserve"> any potential harms are mitigated by the voluntary comm</w:t>
      </w:r>
      <w:r w:rsidR="00D31C47">
        <w:t xml:space="preserve">itment discussed </w:t>
      </w:r>
      <w:r w:rsidRPr="2E287090" w:rsidR="00D31C47">
        <w:t>herein and considering that the proposed transaction is likely to yield some benefits, we find that the proposed transaction serves the public interest.</w:t>
      </w:r>
    </w:p>
    <w:bookmarkEnd w:id="4"/>
    <w:bookmarkEnd w:id="6"/>
    <w:p w:rsidR="00E47774" w:rsidRPr="00D660D1" w:rsidP="00D660D1" w14:paraId="4B2EC304" w14:textId="0394FE63">
      <w:pPr>
        <w:widowControl/>
        <w:spacing w:after="120"/>
        <w:rPr>
          <w:b/>
          <w:bCs/>
          <w:u w:val="single"/>
        </w:rPr>
      </w:pPr>
      <w:r w:rsidRPr="00D06DC1">
        <w:rPr>
          <w:b/>
          <w:bCs/>
          <w:u w:val="single"/>
        </w:rPr>
        <w:t>Grant of Waiver of Section 61.41(c)(2) of the Commission’s Rules (the “All-or-Nothing” Rule)</w:t>
      </w:r>
    </w:p>
    <w:p w:rsidR="00E47774" w:rsidP="00D660D1" w14:paraId="7A28007E" w14:textId="4517EEC7">
      <w:pPr>
        <w:widowControl/>
        <w:spacing w:after="120"/>
        <w:ind w:firstLine="720"/>
      </w:pPr>
      <w:r>
        <w:t xml:space="preserve">We also grant CSM Intermediate’s supplement </w:t>
      </w:r>
      <w:r w:rsidR="00AE1C50">
        <w:t xml:space="preserve">to its Application </w:t>
      </w:r>
      <w:r>
        <w:t xml:space="preserve">requesting waiver of section 61.41(c)(2) of the Commission’s rules to allow </w:t>
      </w:r>
      <w:r w:rsidR="00AE1C50">
        <w:t>its</w:t>
      </w:r>
      <w:r>
        <w:t xml:space="preserve"> affiliates to continue operating as rate-of-return-designated carriers despite being affiliated with price cap carriers.</w:t>
      </w:r>
      <w:r>
        <w:rPr>
          <w:rStyle w:val="FootnoteReference"/>
        </w:rPr>
        <w:footnoteReference w:id="58"/>
      </w:r>
    </w:p>
    <w:p w:rsidR="00E47774" w:rsidP="00F34F31" w14:paraId="08BB7138" w14:textId="1B9CF026">
      <w:pPr>
        <w:widowControl/>
        <w:spacing w:after="120"/>
        <w:ind w:firstLine="720"/>
      </w:pPr>
      <w:r>
        <w:t>The “all-or-nothing” rule provides that when a price cap carrier acquires or becomes affiliated</w:t>
      </w:r>
      <w:r w:rsidR="0015630D">
        <w:t xml:space="preserve"> </w:t>
      </w:r>
      <w:r>
        <w:t>with a rate-of-return carrier, the affiliates must convert to price cap regulation within one year of the</w:t>
      </w:r>
      <w:r w:rsidR="0015630D">
        <w:t xml:space="preserve"> </w:t>
      </w:r>
      <w:r>
        <w:t>transaction and file price cap tariffs.</w:t>
      </w:r>
      <w:r>
        <w:rPr>
          <w:rStyle w:val="FootnoteReference"/>
        </w:rPr>
        <w:footnoteReference w:id="59"/>
      </w:r>
      <w:r>
        <w:t xml:space="preserve">  The purpose of this rule is to limit rent-seeking opportunities for</w:t>
      </w:r>
      <w:r w:rsidR="0015630D">
        <w:t xml:space="preserve"> </w:t>
      </w:r>
      <w:r>
        <w:t>cost-shifting that take advantage of the differences in price cap and rate-of-return ratemaking</w:t>
      </w:r>
      <w:r w:rsidR="0015630D">
        <w:t xml:space="preserve"> </w:t>
      </w:r>
      <w:r>
        <w:t>methodologies.</w:t>
      </w:r>
      <w:r>
        <w:rPr>
          <w:rStyle w:val="FootnoteReference"/>
        </w:rPr>
        <w:footnoteReference w:id="60"/>
      </w:r>
      <w:r>
        <w:t xml:space="preserve">  The Commission, however, has explained it would waive this rule where the</w:t>
      </w:r>
      <w:r w:rsidR="00F34F31">
        <w:t xml:space="preserve"> e</w:t>
      </w:r>
      <w:r>
        <w:t>fficiencies gained from the transaction outweigh the threat of cost-shifting or gaming.</w:t>
      </w:r>
      <w:r>
        <w:rPr>
          <w:rStyle w:val="FootnoteReference"/>
        </w:rPr>
        <w:footnoteReference w:id="61"/>
      </w:r>
      <w:r>
        <w:t xml:space="preserve">  The Bureau has granted requests for waiver of the all-or-nothing rule where it has found that there is minimal or no risk of cost-shifting between price cap and rate-of-return study areas.</w:t>
      </w:r>
      <w:r>
        <w:rPr>
          <w:rStyle w:val="FootnoteReference"/>
        </w:rPr>
        <w:footnoteReference w:id="62"/>
      </w:r>
      <w:r>
        <w:t xml:space="preserve"> </w:t>
      </w:r>
    </w:p>
    <w:p w:rsidR="00E47774" w:rsidP="00D660D1" w14:paraId="22875F0E" w14:textId="22CD0946">
      <w:pPr>
        <w:widowControl/>
        <w:spacing w:after="120"/>
        <w:ind w:firstLine="720"/>
      </w:pPr>
      <w:r>
        <w:t xml:space="preserve">After consulting with Commission staff, CSM Intermediate supplemented its application on June 5, 2026 requesting a waiver of the “all-or-nothing” rule to allow its acquired affiliates to continue </w:t>
      </w:r>
      <w:r>
        <w:t>operating as rate-of-return carriers despite affiliation with price cap carriers post-transaction.</w:t>
      </w:r>
      <w:r>
        <w:rPr>
          <w:rStyle w:val="FootnoteReference"/>
        </w:rPr>
        <w:footnoteReference w:id="63"/>
      </w:r>
      <w:r>
        <w:t xml:space="preserve">  CSM Intermediate explains that post-transition its price cap affiliates – Cincinnati Bell and Hawaiian Telcom, Inc. – will be affiliated with rate-of-return carriers – Cameron Communications, Cameron Telephone, Elizabeth Telephone, and Moundville Telephone – that each receive Enhanced A-CAM and CAF ICC support.</w:t>
      </w:r>
      <w:r>
        <w:rPr>
          <w:rStyle w:val="FootnoteReference"/>
        </w:rPr>
        <w:footnoteReference w:id="64"/>
      </w:r>
      <w:r>
        <w:t xml:space="preserve"> </w:t>
      </w:r>
      <w:r w:rsidR="000E22A7">
        <w:t xml:space="preserve"> We note that importantly,</w:t>
      </w:r>
      <w:r w:rsidR="0084699D">
        <w:t xml:space="preserve"> </w:t>
      </w:r>
      <w:r w:rsidR="008A728D">
        <w:t>this</w:t>
      </w:r>
      <w:r w:rsidR="0084699D">
        <w:t xml:space="preserve"> transaction does not create an affiliation between</w:t>
      </w:r>
      <w:r w:rsidR="002D5081">
        <w:t xml:space="preserve"> a price cap carrier and a carrier </w:t>
      </w:r>
      <w:r w:rsidR="000E22A7">
        <w:t>receiving legacy high-cost support</w:t>
      </w:r>
      <w:r w:rsidR="00F931AD">
        <w:t>.</w:t>
      </w:r>
      <w:r>
        <w:rPr>
          <w:rStyle w:val="FootnoteReference"/>
        </w:rPr>
        <w:footnoteReference w:id="65"/>
      </w:r>
      <w:r>
        <w:t xml:space="preserve">   </w:t>
      </w:r>
    </w:p>
    <w:p w:rsidR="00E47774" w:rsidP="00D660D1" w14:paraId="1205E42A" w14:textId="489E7698">
      <w:pPr>
        <w:widowControl/>
        <w:spacing w:after="120"/>
        <w:ind w:firstLine="720"/>
      </w:pPr>
      <w:r w:rsidRPr="00226F2A">
        <w:t>Generally, the Commission’s rules may be waived for good cause shown.</w:t>
      </w:r>
      <w:r>
        <w:rPr>
          <w:rStyle w:val="FootnoteReference"/>
        </w:rPr>
        <w:footnoteReference w:id="66"/>
      </w:r>
      <w:r>
        <w:t xml:space="preserve">  </w:t>
      </w:r>
      <w:r w:rsidRPr="00226F2A">
        <w:t>The Commission may exercise its discretion to waive a rule where the particular facts make strict compliance inconsistent with the public interest.</w:t>
      </w:r>
      <w:r>
        <w:rPr>
          <w:rStyle w:val="FootnoteReference"/>
        </w:rPr>
        <w:footnoteReference w:id="67"/>
      </w:r>
      <w:r w:rsidRPr="00226F2A">
        <w:t xml:space="preserve"> </w:t>
      </w:r>
      <w:r>
        <w:t xml:space="preserve"> </w:t>
      </w:r>
      <w:r w:rsidRPr="00226F2A">
        <w:t>In addition, the Commission may take into account considerations of hardship, equity, or more effective implementation of overall policy on an individual basis.</w:t>
      </w:r>
      <w:r>
        <w:rPr>
          <w:rStyle w:val="FootnoteReference"/>
        </w:rPr>
        <w:footnoteReference w:id="68"/>
      </w:r>
      <w:r w:rsidRPr="00226F2A">
        <w:t xml:space="preserve"> </w:t>
      </w:r>
      <w:r>
        <w:t xml:space="preserve"> </w:t>
      </w:r>
      <w:r w:rsidRPr="00226F2A">
        <w:t>Waiver of the Commission’s rules is therefore appropriate only if special circumstances warrant a deviation from the general rule and such deviation will serve the public interest.</w:t>
      </w:r>
      <w:r>
        <w:rPr>
          <w:rStyle w:val="FootnoteReference"/>
        </w:rPr>
        <w:footnoteReference w:id="69"/>
      </w:r>
    </w:p>
    <w:p w:rsidR="00E47774" w:rsidP="00D660D1" w14:paraId="62B3BA0E" w14:textId="65DB7B01">
      <w:pPr>
        <w:widowControl/>
        <w:spacing w:after="120"/>
        <w:ind w:firstLine="720"/>
      </w:pPr>
      <w:r>
        <w:t>Based on the facts presented, we find good cause exists to grant CSM Intermediate a waiver of the “all-or-nothing” rule pursuant to section 1.3 of the Commission’s rules.</w:t>
      </w:r>
      <w:r>
        <w:rPr>
          <w:rStyle w:val="FootnoteReference"/>
        </w:rPr>
        <w:footnoteReference w:id="70"/>
      </w:r>
      <w:r>
        <w:t xml:space="preserve">  We find that the public interest benefits of granting a waiver of the “all-or-nothing” rule outweigh the potential, if any, risks of cost-shifting.  We agree with CSM Intermediate that strict compliance with the all-or-nothing rule is contrary to the public interest in this case.</w:t>
      </w:r>
      <w:r>
        <w:rPr>
          <w:rStyle w:val="FootnoteReference"/>
        </w:rPr>
        <w:footnoteReference w:id="71"/>
      </w:r>
      <w:r>
        <w:t xml:space="preserve">  Absent a waiver, the rate-of-return carriers would lose CAF ICC support because price cap carriers are no longer eligible for that support.</w:t>
      </w:r>
      <w:r>
        <w:rPr>
          <w:rStyle w:val="FootnoteReference"/>
        </w:rPr>
        <w:footnoteReference w:id="72"/>
      </w:r>
      <w:r>
        <w:t xml:space="preserve">  We agree with CSM Intermediate that requiring the rate-of-return carriers to convert to price cap regulation would harm the public interest by “imposing unnecessary costs and resulting in potential disruptions or delays in service.”</w:t>
      </w:r>
      <w:r>
        <w:rPr>
          <w:rStyle w:val="FootnoteReference"/>
        </w:rPr>
        <w:footnoteReference w:id="73"/>
      </w:r>
      <w:r>
        <w:t xml:space="preserve">  </w:t>
      </w:r>
    </w:p>
    <w:p w:rsidR="00E47774" w:rsidP="00D660D1" w14:paraId="21E17142" w14:textId="25CD0FB7">
      <w:pPr>
        <w:widowControl/>
        <w:spacing w:after="120"/>
      </w:pPr>
      <w:r>
        <w:tab/>
        <w:t>Further, we find that there is minimal or no risk of cost-shifting between price cap and rate-of-return study areas.  We agree with CSM Intermediate that there are no risks of cost-shifting with respect to tariffed interstate switched and special access services because these rates are not calculated based on cost.</w:t>
      </w:r>
      <w:r>
        <w:rPr>
          <w:rStyle w:val="FootnoteReference"/>
        </w:rPr>
        <w:footnoteReference w:id="74"/>
      </w:r>
      <w:r>
        <w:t xml:space="preserve">  Interstate switched access rates are capped and no longer subject to rate-of-return regulation based </w:t>
      </w:r>
      <w:r>
        <w:t>on cost.</w:t>
      </w:r>
      <w:r>
        <w:rPr>
          <w:rStyle w:val="FootnoteReference"/>
        </w:rPr>
        <w:footnoteReference w:id="75"/>
      </w:r>
      <w:r>
        <w:t xml:space="preserve">  Because the rate-of-return carriers elected incentive regulation for their business data services under section 61.50 of the Commission’s rules,</w:t>
      </w:r>
      <w:r>
        <w:rPr>
          <w:rStyle w:val="FootnoteReference"/>
        </w:rPr>
        <w:footnoteReference w:id="76"/>
      </w:r>
      <w:r>
        <w:t xml:space="preserve"> rates for special access services are based on price cap indices not carriers’ costs.</w:t>
      </w:r>
      <w:r>
        <w:rPr>
          <w:rStyle w:val="FootnoteReference"/>
        </w:rPr>
        <w:footnoteReference w:id="77"/>
      </w:r>
      <w:r>
        <w:t xml:space="preserve">  We agree with CSM Intermediate that there are no cost-shifting concerns with respect to universal service support b</w:t>
      </w:r>
      <w:r w:rsidRPr="006700BE">
        <w:t>ecause the</w:t>
      </w:r>
      <w:r>
        <w:t xml:space="preserve">se </w:t>
      </w:r>
      <w:r w:rsidRPr="006700BE">
        <w:t xml:space="preserve">carriers receive model-based support not </w:t>
      </w:r>
      <w:r>
        <w:t xml:space="preserve">support </w:t>
      </w:r>
      <w:r w:rsidRPr="006700BE">
        <w:t>based on cost.</w:t>
      </w:r>
      <w:r>
        <w:rPr>
          <w:rStyle w:val="FootnoteReference"/>
        </w:rPr>
        <w:footnoteReference w:id="78"/>
      </w:r>
      <w:r w:rsidRPr="006700BE">
        <w:t xml:space="preserve">   </w:t>
      </w:r>
      <w:r>
        <w:t>We also agree with CSM Intermediate that there is minimal risk of cost-shifting because the price cap and rate-of-return study areas are “not adjacent or…near each other” – the price cap carriers operate in Louisiana and Alabama while the rate-of-return carriers operate in Ohio, Kentucky, Indiana, and Hawaii.</w:t>
      </w:r>
      <w:r>
        <w:rPr>
          <w:rStyle w:val="FootnoteReference"/>
        </w:rPr>
        <w:footnoteReference w:id="79"/>
      </w:r>
      <w:r>
        <w:t xml:space="preserve">  </w:t>
      </w:r>
    </w:p>
    <w:p w:rsidR="00E47774" w:rsidP="00D660D1" w14:paraId="266DE4D7" w14:textId="150D55DC">
      <w:pPr>
        <w:widowControl/>
        <w:spacing w:after="120"/>
        <w:ind w:firstLine="720"/>
      </w:pPr>
      <w:r>
        <w:t>We further find persuasive CSM Intermediate’s commitment to maintain “entirely separate operations with separate books of account” and not share “capitalized plant” or “operational, maintenance, or administrative costs between or among the Rate-of-Return Carriers and Price Cap Carriers.”</w:t>
      </w:r>
      <w:r>
        <w:rPr>
          <w:rStyle w:val="FootnoteReference"/>
        </w:rPr>
        <w:footnoteReference w:id="80"/>
      </w:r>
      <w:r>
        <w:t xml:space="preserve">  We agree with CSM Intermediate that this direct assignment of capital expenditures and costs reduces the risk of cost-shifting between study areas.  Finally, we find persuasive CSM Intermediate’s commitment “not to engage in rent-seeking cost-shifting between the Rate-of-Return Carriers and any price cap study areas post-transaction.”</w:t>
      </w:r>
      <w:r>
        <w:rPr>
          <w:rStyle w:val="FootnoteReference"/>
        </w:rPr>
        <w:footnoteReference w:id="81"/>
      </w:r>
    </w:p>
    <w:p w:rsidR="00AF07AF" w:rsidRPr="0015630D" w:rsidP="00D660D1" w14:paraId="6C3164B6" w14:textId="780CD7D0">
      <w:pPr>
        <w:widowControl/>
        <w:spacing w:after="120"/>
        <w:ind w:firstLine="720"/>
      </w:pPr>
      <w:r>
        <w:t>In sum, we find that the public interest benefits outweigh the risk of cost-shifting and, accordingly, we find good cause exists to grant CSM Intermediate a waiver of section 61.41(c)(2) of the Commission’s rules to allow the rate-of-return carriers to continue operating as rate-of-return-designated carriers</w:t>
      </w:r>
      <w:r w:rsidRPr="00AB499D">
        <w:t xml:space="preserve"> </w:t>
      </w:r>
      <w:r>
        <w:t>post-transaction.</w:t>
      </w:r>
    </w:p>
    <w:p w:rsidR="00F34F31" w:rsidP="00F34F31" w14:paraId="68BC658D" w14:textId="7FB36451">
      <w:pPr>
        <w:widowControl/>
        <w:spacing w:after="120"/>
        <w:ind w:firstLine="720"/>
        <w:rPr>
          <w:szCs w:val="22"/>
        </w:rPr>
      </w:pPr>
      <w:r w:rsidRPr="00A86ADB">
        <w:t>We find that grant of the Application will serve the public interest, convenience, and necessity.</w:t>
      </w:r>
      <w:r>
        <w:rPr>
          <w:vertAlign w:val="superscript"/>
        </w:rPr>
        <w:footnoteReference w:id="82"/>
      </w:r>
      <w:r w:rsidRPr="00A86ADB">
        <w:t xml:space="preserve">  Therefore, pursuant to section 214 of the Act, 47 U.S.C. § 214, and sections 0.91, 0.291, and 63.04 of the Commission’s rules, 47 CFR §§ 0.91, 0.291, and 63.04, the Bureau hereby grants the Application </w:t>
      </w:r>
      <w:r w:rsidR="00E826B2">
        <w:t xml:space="preserve">and request for waiver </w:t>
      </w:r>
      <w:r w:rsidRPr="00A86ADB">
        <w:t xml:space="preserve">discussed in this Public Notice. </w:t>
      </w:r>
      <w:r>
        <w:t xml:space="preserve"> </w:t>
      </w:r>
    </w:p>
    <w:p w:rsidR="00A86ADB" w:rsidRPr="00A86ADB" w:rsidP="00D660D1" w14:paraId="0F4831DA" w14:textId="77777777">
      <w:pPr>
        <w:widowControl/>
        <w:autoSpaceDE w:val="0"/>
        <w:autoSpaceDN w:val="0"/>
        <w:adjustRightInd w:val="0"/>
        <w:spacing w:after="120"/>
        <w:ind w:firstLine="720"/>
      </w:pPr>
      <w:r w:rsidRPr="00A86ADB">
        <w:t>Pursuant to section 1.103 of the Commission’s rules, 47 CFR § 1.103, the grant is effective upon release of this Public Notice.  Petitions for reconsideration under section 1.106 or application for review under section 1.115 of the Commission's rules, 47 CFR §§ 1.106, 1.115, may be filed within 30 days of the date of this Public Notice.</w:t>
      </w:r>
    </w:p>
    <w:p w:rsidR="007B768E" w:rsidP="00D660D1" w14:paraId="0BE93553" w14:textId="04076DB8">
      <w:pPr>
        <w:widowControl/>
        <w:autoSpaceDE w:val="0"/>
        <w:autoSpaceDN w:val="0"/>
        <w:adjustRightInd w:val="0"/>
        <w:spacing w:after="120"/>
        <w:ind w:firstLine="720"/>
      </w:pPr>
      <w:r w:rsidRPr="00A86ADB">
        <w:t xml:space="preserve">For further information, please contact Megan Danner, Competition Policy Division, Wireline Competition Bureau, at </w:t>
      </w:r>
      <w:hyperlink r:id="rId6" w:history="1">
        <w:r w:rsidRPr="00A86ADB">
          <w:rPr>
            <w:rStyle w:val="Hyperlink"/>
          </w:rPr>
          <w:t>Megan.Danner@fcc.gov</w:t>
        </w:r>
      </w:hyperlink>
      <w:r w:rsidR="00FC48A4">
        <w:t>.</w:t>
      </w:r>
    </w:p>
    <w:p w:rsidR="00B317F7" w:rsidP="00D660D1" w14:paraId="472E584F" w14:textId="77777777">
      <w:pPr>
        <w:widowControl/>
        <w:autoSpaceDE w:val="0"/>
        <w:autoSpaceDN w:val="0"/>
        <w:adjustRightInd w:val="0"/>
        <w:spacing w:after="120"/>
        <w:ind w:firstLine="720"/>
      </w:pPr>
    </w:p>
    <w:p w:rsidR="009A6574" w:rsidRPr="00100CF5" w:rsidP="00D660D1" w14:paraId="0EF7F7CD" w14:textId="56E745C8">
      <w:pPr>
        <w:widowControl/>
        <w:autoSpaceDE w:val="0"/>
        <w:autoSpaceDN w:val="0"/>
        <w:adjustRightInd w:val="0"/>
        <w:jc w:val="center"/>
        <w:rPr>
          <w:color w:val="000000"/>
          <w:szCs w:val="22"/>
        </w:rPr>
      </w:pPr>
      <w:r w:rsidRPr="009A6574">
        <w:rPr>
          <w:b/>
          <w:szCs w:val="22"/>
        </w:rPr>
        <w:t>-FCC-</w:t>
      </w:r>
    </w:p>
    <w:sectPr>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E682C" w14:paraId="0846F636" w14:textId="77777777">
      <w:pPr>
        <w:spacing w:line="20" w:lineRule="exact"/>
      </w:pPr>
    </w:p>
  </w:endnote>
  <w:endnote w:type="continuationSeparator" w:id="1">
    <w:p w:rsidR="006E682C" w14:paraId="76CFFB79" w14:textId="77777777">
      <w:r>
        <w:t xml:space="preserve"> </w:t>
      </w:r>
    </w:p>
  </w:endnote>
  <w:endnote w:type="continuationNotice" w:id="2">
    <w:p w:rsidR="006E682C" w14:paraId="2BD9085F"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Times New Roman Bold">
    <w:panose1 w:val="02020803070505020304"/>
    <w:charset w:val="00"/>
    <w:family w:val="auto"/>
    <w:pitch w:val="variable"/>
    <w:sig w:usb0="E0002AE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3F7D93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6556FC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4D5708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DB919B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E682C" w14:paraId="1E13C688" w14:textId="77777777">
      <w:r>
        <w:separator/>
      </w:r>
    </w:p>
  </w:footnote>
  <w:footnote w:type="continuationSeparator" w:id="1">
    <w:p w:rsidR="006E682C" w14:paraId="5323E424" w14:textId="77777777">
      <w:pPr>
        <w:rPr>
          <w:sz w:val="20"/>
        </w:rPr>
      </w:pPr>
      <w:r>
        <w:rPr>
          <w:sz w:val="20"/>
        </w:rPr>
        <w:t xml:space="preserve">(Continued from previous page)  </w:t>
      </w:r>
      <w:r>
        <w:rPr>
          <w:sz w:val="20"/>
        </w:rPr>
        <w:separator/>
      </w:r>
    </w:p>
  </w:footnote>
  <w:footnote w:type="continuationNotice" w:id="2">
    <w:p w:rsidR="006E682C" w14:paraId="06F9E4E5" w14:textId="77777777">
      <w:pPr>
        <w:jc w:val="right"/>
        <w:rPr>
          <w:sz w:val="20"/>
        </w:rPr>
      </w:pPr>
      <w:r>
        <w:rPr>
          <w:sz w:val="20"/>
        </w:rPr>
        <w:t>(continued….)</w:t>
      </w:r>
    </w:p>
  </w:footnote>
  <w:footnote w:id="3">
    <w:p w:rsidR="00087ED8" w:rsidRPr="005240CD" w:rsidP="004107A6" w14:paraId="6CA89F55" w14:textId="0A749A9B">
      <w:pPr>
        <w:pStyle w:val="FootnoteText"/>
      </w:pPr>
      <w:r w:rsidRPr="005240CD">
        <w:rPr>
          <w:rStyle w:val="FootnoteReference"/>
          <w:sz w:val="20"/>
        </w:rPr>
        <w:footnoteRef/>
      </w:r>
      <w:r w:rsidRPr="005240CD">
        <w:t xml:space="preserve"> </w:t>
      </w:r>
      <w:r w:rsidRPr="005240CD">
        <w:rPr>
          <w:i/>
        </w:rPr>
        <w:t>See</w:t>
      </w:r>
      <w:r w:rsidRPr="005240CD">
        <w:t xml:space="preserve"> 47 U.S.C. § 214(a); 47 CFR § 63.04.</w:t>
      </w:r>
    </w:p>
  </w:footnote>
  <w:footnote w:id="4">
    <w:p w:rsidR="00AC3170" w:rsidRPr="00152875" w:rsidP="004107A6" w14:paraId="717AF1F4" w14:textId="7D2F5E3D">
      <w:pPr>
        <w:pStyle w:val="FootnoteText"/>
      </w:pPr>
      <w:r w:rsidRPr="00152875">
        <w:rPr>
          <w:rStyle w:val="FootnoteReference"/>
          <w:sz w:val="20"/>
        </w:rPr>
        <w:footnoteRef/>
      </w:r>
      <w:r w:rsidRPr="00152875">
        <w:t xml:space="preserve"> Domestic Section 214 Application for the </w:t>
      </w:r>
      <w:bookmarkStart w:id="2" w:name="_Hlk193461235"/>
      <w:r w:rsidRPr="00152875">
        <w:t xml:space="preserve">Transfer of Control of </w:t>
      </w:r>
      <w:bookmarkStart w:id="3" w:name="_Hlk207797656"/>
      <w:r w:rsidR="00CC4B6D">
        <w:t xml:space="preserve">the Fastwyre Licensees from </w:t>
      </w:r>
      <w:r>
        <w:t>American Broadband Holding Company to CSM Intermediate II, LLC</w:t>
      </w:r>
      <w:bookmarkEnd w:id="3"/>
      <w:r w:rsidRPr="00152875">
        <w:t xml:space="preserve">, </w:t>
      </w:r>
      <w:bookmarkEnd w:id="2"/>
      <w:r w:rsidRPr="00152875">
        <w:t>WC Docket No. 25-</w:t>
      </w:r>
      <w:r>
        <w:t>353</w:t>
      </w:r>
      <w:r w:rsidRPr="00152875">
        <w:t xml:space="preserve"> (filed </w:t>
      </w:r>
      <w:r>
        <w:t>Dec</w:t>
      </w:r>
      <w:r w:rsidRPr="00152875">
        <w:t xml:space="preserve">. </w:t>
      </w:r>
      <w:r>
        <w:t>23</w:t>
      </w:r>
      <w:r w:rsidRPr="00152875">
        <w:t xml:space="preserve">, 2025) (Application). </w:t>
      </w:r>
      <w:r w:rsidR="008F6B4C">
        <w:t xml:space="preserve"> </w:t>
      </w:r>
      <w:r w:rsidR="00727104">
        <w:t xml:space="preserve">Applicants filed </w:t>
      </w:r>
      <w:r w:rsidR="00A75CC8">
        <w:t xml:space="preserve">supplements to the Application </w:t>
      </w:r>
      <w:r w:rsidR="00727104">
        <w:t>on June 1, 2026</w:t>
      </w:r>
      <w:r w:rsidR="00776A07">
        <w:t>, and June 29, 2026</w:t>
      </w:r>
      <w:r w:rsidR="00727104">
        <w:t xml:space="preserve">. </w:t>
      </w:r>
      <w:r w:rsidR="00EE18FC">
        <w:t xml:space="preserve"> </w:t>
      </w:r>
      <w:r w:rsidR="00DB6A99">
        <w:t xml:space="preserve">Letter from Elizabeth </w:t>
      </w:r>
      <w:r w:rsidR="00FB75C3">
        <w:t xml:space="preserve">R. Park, </w:t>
      </w:r>
      <w:r w:rsidRPr="00C7594D" w:rsidR="00C7594D">
        <w:t>Counsel to CSM Intermediate II, LLC</w:t>
      </w:r>
      <w:r w:rsidR="00C7594D">
        <w:t xml:space="preserve">, </w:t>
      </w:r>
      <w:r w:rsidR="00727104">
        <w:t xml:space="preserve">and </w:t>
      </w:r>
      <w:r w:rsidR="00CE43A8">
        <w:t xml:space="preserve">Brian W. Murray and Karen L. Milne </w:t>
      </w:r>
      <w:r w:rsidR="00DB6A99">
        <w:t xml:space="preserve">Bowles, </w:t>
      </w:r>
      <w:r w:rsidR="00CE43A8">
        <w:t>Counsel to American Broadband Holding Company</w:t>
      </w:r>
      <w:r w:rsidR="00DB6A99">
        <w:t>, to</w:t>
      </w:r>
      <w:r w:rsidR="00CE43A8">
        <w:t xml:space="preserve"> </w:t>
      </w:r>
      <w:r w:rsidR="00DB6A99">
        <w:t>Marlene H. Dortch, Secretary, FCC, WC Docket No. 25-</w:t>
      </w:r>
      <w:r w:rsidR="00570F6C">
        <w:t>353</w:t>
      </w:r>
      <w:r w:rsidR="00DB6A99">
        <w:t xml:space="preserve"> (</w:t>
      </w:r>
      <w:r w:rsidR="005C78BD">
        <w:t>filed June 1, 2026</w:t>
      </w:r>
      <w:r w:rsidR="00DB6A99">
        <w:t>) (Voluntary Commitment Letter)</w:t>
      </w:r>
      <w:r w:rsidR="00776A07">
        <w:t xml:space="preserve">; Letter from Elizabeth R. Park, </w:t>
      </w:r>
      <w:r w:rsidRPr="00C7594D" w:rsidR="00776A07">
        <w:t>Counsel to CSM Intermediate II, LLC</w:t>
      </w:r>
      <w:r w:rsidR="00776A07">
        <w:t xml:space="preserve">, and Brian W. Murray and Karen L. Milne Bowles, Counsel to American Broadband Holding Company, to Marlene H. Dortch, Secretary, FCC, WC Docket No. 25-353 (filed June </w:t>
      </w:r>
      <w:r w:rsidR="003C0E80">
        <w:t>29</w:t>
      </w:r>
      <w:r w:rsidR="00776A07">
        <w:t>, 2026) (</w:t>
      </w:r>
      <w:r w:rsidR="00986508">
        <w:t>Supplement</w:t>
      </w:r>
      <w:r w:rsidR="00776A07">
        <w:t>)</w:t>
      </w:r>
      <w:r w:rsidR="00DB6A99">
        <w:t>.</w:t>
      </w:r>
      <w:r w:rsidR="00C67A26">
        <w:t xml:space="preserve">  </w:t>
      </w:r>
      <w:r w:rsidR="00DB6A99">
        <w:t>Any action on the Application is without prejudice to Commission action on other</w:t>
      </w:r>
      <w:r w:rsidR="002965A2">
        <w:t xml:space="preserve"> related</w:t>
      </w:r>
      <w:r w:rsidR="00DB6A99">
        <w:t xml:space="preserve"> applications.</w:t>
      </w:r>
      <w:r w:rsidRPr="00152875" w:rsidR="00DB6A99">
        <w:t xml:space="preserve"> </w:t>
      </w:r>
    </w:p>
  </w:footnote>
  <w:footnote w:id="5">
    <w:p w:rsidR="00A10FCA" w:rsidP="004107A6" w14:paraId="04485734" w14:textId="377DB87C">
      <w:pPr>
        <w:pStyle w:val="FootnoteText"/>
      </w:pPr>
      <w:r>
        <w:rPr>
          <w:rStyle w:val="FootnoteReference"/>
        </w:rPr>
        <w:footnoteRef/>
      </w:r>
      <w:r>
        <w:t xml:space="preserve"> </w:t>
      </w:r>
      <w:r w:rsidRPr="00114AC3">
        <w:rPr>
          <w:i/>
          <w:iCs/>
        </w:rPr>
        <w:t xml:space="preserve">See Domestic Section 214 Application Filed for the Transfer of Control of </w:t>
      </w:r>
      <w:r>
        <w:rPr>
          <w:i/>
          <w:iCs/>
        </w:rPr>
        <w:t xml:space="preserve">the </w:t>
      </w:r>
      <w:r w:rsidRPr="00564166">
        <w:rPr>
          <w:i/>
          <w:iCs/>
        </w:rPr>
        <w:t xml:space="preserve">Fastwyre </w:t>
      </w:r>
      <w:r w:rsidRPr="00564166" w:rsidR="003A3EB8">
        <w:rPr>
          <w:i/>
          <w:iCs/>
        </w:rPr>
        <w:t>Licensees from American Broadband Holding Company to CSM Intermediate II, LLC</w:t>
      </w:r>
      <w:r w:rsidRPr="00152875" w:rsidR="003A3EB8">
        <w:t>, WC Docket No. 25-</w:t>
      </w:r>
      <w:r w:rsidR="003A3EB8">
        <w:t>353</w:t>
      </w:r>
      <w:r w:rsidRPr="00C20F82">
        <w:t>, Public Notice, DA 2</w:t>
      </w:r>
      <w:r>
        <w:t>6-1</w:t>
      </w:r>
      <w:r w:rsidR="003A3EB8">
        <w:t>43</w:t>
      </w:r>
      <w:r w:rsidRPr="00C20F82">
        <w:t xml:space="preserve"> (WCB 202</w:t>
      </w:r>
      <w:r>
        <w:t>6</w:t>
      </w:r>
      <w:r w:rsidRPr="00C20F82">
        <w:t>)</w:t>
      </w:r>
      <w:r>
        <w:t>.</w:t>
      </w:r>
    </w:p>
  </w:footnote>
  <w:footnote w:id="6">
    <w:p w:rsidR="00450CAF" w:rsidP="004107A6" w14:paraId="17DBAB13" w14:textId="10E9C285">
      <w:pPr>
        <w:pStyle w:val="FootnoteText"/>
      </w:pPr>
      <w:r>
        <w:rPr>
          <w:rStyle w:val="FootnoteReference"/>
        </w:rPr>
        <w:footnoteRef/>
      </w:r>
      <w:r>
        <w:t xml:space="preserve"> Application at 2. </w:t>
      </w:r>
    </w:p>
  </w:footnote>
  <w:footnote w:id="7">
    <w:p w:rsidR="005C30D3" w:rsidRPr="005C30D3" w:rsidP="004107A6" w14:paraId="74B065BD" w14:textId="1A66CE02">
      <w:pPr>
        <w:pStyle w:val="FootnoteText"/>
      </w:pPr>
      <w:r>
        <w:rPr>
          <w:rStyle w:val="FootnoteReference"/>
        </w:rPr>
        <w:footnoteRef/>
      </w:r>
      <w:r>
        <w:t xml:space="preserve"> </w:t>
      </w:r>
      <w:r>
        <w:rPr>
          <w:i/>
          <w:iCs/>
        </w:rPr>
        <w:t>Id</w:t>
      </w:r>
      <w:r>
        <w:t>. at 3-4.</w:t>
      </w:r>
    </w:p>
  </w:footnote>
  <w:footnote w:id="8">
    <w:p w:rsidR="00527592" w:rsidRPr="00527592" w:rsidP="004107A6" w14:paraId="60AB7D64" w14:textId="5E2E3ED4">
      <w:pPr>
        <w:pStyle w:val="FootnoteText"/>
      </w:pPr>
      <w:r>
        <w:rPr>
          <w:rStyle w:val="FootnoteReference"/>
        </w:rPr>
        <w:footnoteRef/>
      </w:r>
      <w:r w:rsidR="00D30740">
        <w:t xml:space="preserve"> </w:t>
      </w:r>
      <w:r w:rsidRPr="0077477C" w:rsidR="00D30740">
        <w:rPr>
          <w:i/>
          <w:iCs/>
        </w:rPr>
        <w:t>Id</w:t>
      </w:r>
      <w:r w:rsidR="00D30740">
        <w:t>. at 4.</w:t>
      </w:r>
    </w:p>
  </w:footnote>
  <w:footnote w:id="9">
    <w:p w:rsidR="00527592" w:rsidRPr="00527592" w:rsidP="004107A6" w14:paraId="4C1F422A" w14:textId="6EAC2C59">
      <w:pPr>
        <w:pStyle w:val="FootnoteText"/>
      </w:pPr>
      <w:r>
        <w:rPr>
          <w:rStyle w:val="FootnoteReference"/>
        </w:rPr>
        <w:footnoteRef/>
      </w:r>
      <w:r w:rsidR="00D30740">
        <w:t xml:space="preserve"> </w:t>
      </w:r>
      <w:r w:rsidRPr="0077477C" w:rsidR="007B54A3">
        <w:rPr>
          <w:i/>
          <w:iCs/>
        </w:rPr>
        <w:t>Id</w:t>
      </w:r>
      <w:r w:rsidR="007B54A3">
        <w:t>.</w:t>
      </w:r>
    </w:p>
  </w:footnote>
  <w:footnote w:id="10">
    <w:p w:rsidR="00527592" w:rsidRPr="00527592" w:rsidP="004107A6" w14:paraId="10693222" w14:textId="5B11EA61">
      <w:pPr>
        <w:pStyle w:val="FootnoteText"/>
      </w:pPr>
      <w:r>
        <w:rPr>
          <w:rStyle w:val="FootnoteReference"/>
        </w:rPr>
        <w:footnoteRef/>
      </w:r>
      <w:r>
        <w:t xml:space="preserve"> </w:t>
      </w:r>
      <w:r>
        <w:rPr>
          <w:i/>
          <w:iCs/>
        </w:rPr>
        <w:t>Id</w:t>
      </w:r>
      <w:r>
        <w:t xml:space="preserve">. </w:t>
      </w:r>
    </w:p>
  </w:footnote>
  <w:footnote w:id="11">
    <w:p w:rsidR="00527592" w:rsidRPr="00527592" w:rsidP="004107A6" w14:paraId="177622DB" w14:textId="024ACEED">
      <w:pPr>
        <w:pStyle w:val="FootnoteText"/>
      </w:pPr>
      <w:r>
        <w:rPr>
          <w:rStyle w:val="FootnoteReference"/>
        </w:rPr>
        <w:footnoteRef/>
      </w:r>
      <w:r>
        <w:t xml:space="preserve"> </w:t>
      </w:r>
      <w:r>
        <w:rPr>
          <w:i/>
          <w:iCs/>
        </w:rPr>
        <w:t>Id</w:t>
      </w:r>
      <w:r>
        <w:t xml:space="preserve">. </w:t>
      </w:r>
    </w:p>
  </w:footnote>
  <w:footnote w:id="12">
    <w:p w:rsidR="00527592" w:rsidRPr="004E0644" w:rsidP="004107A6" w14:paraId="528FF0CD" w14:textId="52074805">
      <w:pPr>
        <w:pStyle w:val="FootnoteText"/>
      </w:pPr>
      <w:r>
        <w:rPr>
          <w:rStyle w:val="FootnoteReference"/>
        </w:rPr>
        <w:footnoteRef/>
      </w:r>
      <w:r>
        <w:t xml:space="preserve"> </w:t>
      </w:r>
      <w:r>
        <w:rPr>
          <w:i/>
          <w:iCs/>
        </w:rPr>
        <w:t>Id</w:t>
      </w:r>
      <w:r>
        <w:t>.</w:t>
      </w:r>
      <w:r w:rsidR="004E0644">
        <w:t xml:space="preserve">  Cameron Telephone and Elizabeth Telephone also participate in the Lifeline program and will continue to do so post-consummation of the transaction.  </w:t>
      </w:r>
      <w:r w:rsidR="004E0644">
        <w:rPr>
          <w:i/>
          <w:iCs/>
        </w:rPr>
        <w:t>Id</w:t>
      </w:r>
      <w:r w:rsidR="004E0644">
        <w:t>. at 27.</w:t>
      </w:r>
    </w:p>
  </w:footnote>
  <w:footnote w:id="13">
    <w:p w:rsidR="00527592" w:rsidRPr="00527592" w:rsidP="004107A6" w14:paraId="4D46E913" w14:textId="760AD932">
      <w:pPr>
        <w:pStyle w:val="FootnoteText"/>
      </w:pPr>
      <w:r>
        <w:rPr>
          <w:rStyle w:val="FootnoteReference"/>
        </w:rPr>
        <w:footnoteRef/>
      </w:r>
      <w:r>
        <w:t xml:space="preserve"> </w:t>
      </w:r>
      <w:r>
        <w:rPr>
          <w:i/>
          <w:iCs/>
        </w:rPr>
        <w:t>Id</w:t>
      </w:r>
      <w:r>
        <w:t xml:space="preserve">. at 4-5. </w:t>
      </w:r>
    </w:p>
  </w:footnote>
  <w:footnote w:id="14">
    <w:p w:rsidR="00527592" w:rsidRPr="00527592" w:rsidP="004107A6" w14:paraId="6202EEB3" w14:textId="458546AE">
      <w:pPr>
        <w:pStyle w:val="FootnoteText"/>
      </w:pPr>
      <w:r>
        <w:rPr>
          <w:rStyle w:val="FootnoteReference"/>
        </w:rPr>
        <w:footnoteRef/>
      </w:r>
      <w:r>
        <w:t xml:space="preserve"> </w:t>
      </w:r>
      <w:r>
        <w:rPr>
          <w:i/>
          <w:iCs/>
        </w:rPr>
        <w:t>Id</w:t>
      </w:r>
      <w:r>
        <w:t xml:space="preserve">. at 5. </w:t>
      </w:r>
    </w:p>
  </w:footnote>
  <w:footnote w:id="15">
    <w:p w:rsidR="007C1456" w:rsidRPr="007C1456" w:rsidP="004107A6" w14:paraId="581A2F5E" w14:textId="312D5B78">
      <w:pPr>
        <w:pStyle w:val="FootnoteText"/>
      </w:pPr>
      <w:r>
        <w:rPr>
          <w:rStyle w:val="FootnoteReference"/>
        </w:rPr>
        <w:footnoteRef/>
      </w:r>
      <w:r>
        <w:t xml:space="preserve"> </w:t>
      </w:r>
      <w:r>
        <w:rPr>
          <w:i/>
          <w:iCs/>
        </w:rPr>
        <w:t>Id</w:t>
      </w:r>
      <w:r>
        <w:t xml:space="preserve">. </w:t>
      </w:r>
    </w:p>
  </w:footnote>
  <w:footnote w:id="16">
    <w:p w:rsidR="007C1456" w:rsidRPr="007C1456" w:rsidP="004107A6" w14:paraId="05A094AD" w14:textId="2AA0A73B">
      <w:pPr>
        <w:pStyle w:val="FootnoteText"/>
      </w:pPr>
      <w:r>
        <w:rPr>
          <w:rStyle w:val="FootnoteReference"/>
        </w:rPr>
        <w:footnoteRef/>
      </w:r>
      <w:r>
        <w:t xml:space="preserve"> </w:t>
      </w:r>
      <w:r>
        <w:rPr>
          <w:i/>
          <w:iCs/>
        </w:rPr>
        <w:t>Id</w:t>
      </w:r>
      <w:r>
        <w:t>.</w:t>
      </w:r>
      <w:r w:rsidR="004E0644">
        <w:t xml:space="preserve">  Moundville Telephone also participates in the Lifeline program and will continue to do so post-consummation of the transaction.  </w:t>
      </w:r>
      <w:r w:rsidR="004E0644">
        <w:rPr>
          <w:i/>
          <w:iCs/>
        </w:rPr>
        <w:t>Id</w:t>
      </w:r>
      <w:r w:rsidR="004E0644">
        <w:t>. at 27.</w:t>
      </w:r>
    </w:p>
  </w:footnote>
  <w:footnote w:id="17">
    <w:p w:rsidR="007C1456" w:rsidRPr="007C1456" w:rsidP="004107A6" w14:paraId="309C7A3F" w14:textId="0212B65C">
      <w:pPr>
        <w:pStyle w:val="FootnoteText"/>
      </w:pPr>
      <w:r>
        <w:rPr>
          <w:rStyle w:val="FootnoteReference"/>
        </w:rPr>
        <w:footnoteRef/>
      </w:r>
      <w:r>
        <w:t xml:space="preserve"> </w:t>
      </w:r>
      <w:r>
        <w:rPr>
          <w:i/>
          <w:iCs/>
        </w:rPr>
        <w:t>Id</w:t>
      </w:r>
      <w:r>
        <w:t>.</w:t>
      </w:r>
      <w:r w:rsidR="002A74E7">
        <w:t xml:space="preserve"> at 5. </w:t>
      </w:r>
    </w:p>
  </w:footnote>
  <w:footnote w:id="18">
    <w:p w:rsidR="00F35437" w:rsidRPr="00F35437" w:rsidP="004107A6" w14:paraId="0724225F" w14:textId="49AF7F65">
      <w:pPr>
        <w:pStyle w:val="FootnoteText"/>
      </w:pPr>
      <w:r>
        <w:rPr>
          <w:rStyle w:val="FootnoteReference"/>
        </w:rPr>
        <w:footnoteRef/>
      </w:r>
      <w:r>
        <w:t xml:space="preserve"> </w:t>
      </w:r>
      <w:r>
        <w:rPr>
          <w:i/>
          <w:iCs/>
        </w:rPr>
        <w:t>Id.</w:t>
      </w:r>
      <w:r>
        <w:t xml:space="preserve"> at 5-6.</w:t>
      </w:r>
    </w:p>
  </w:footnote>
  <w:footnote w:id="19">
    <w:p w:rsidR="00376C47" w:rsidRPr="00376C47" w:rsidP="004107A6" w14:paraId="2A211BAA" w14:textId="28DE90B6">
      <w:pPr>
        <w:pStyle w:val="FootnoteText"/>
      </w:pPr>
      <w:r>
        <w:rPr>
          <w:rStyle w:val="FootnoteReference"/>
        </w:rPr>
        <w:footnoteRef/>
      </w:r>
      <w:r>
        <w:t xml:space="preserve"> </w:t>
      </w:r>
      <w:r>
        <w:rPr>
          <w:i/>
          <w:iCs/>
        </w:rPr>
        <w:t>Id</w:t>
      </w:r>
      <w:r>
        <w:t>. at 6</w:t>
      </w:r>
      <w:r w:rsidR="00045D26">
        <w:t>, Exh. A. (Post-Closing Organizational Chart – Part 2)</w:t>
      </w:r>
      <w:r w:rsidR="0088735D">
        <w:t>.</w:t>
      </w:r>
      <w:r w:rsidRPr="00D65954" w:rsidR="00D65954">
        <w:rPr>
          <w:rFonts w:ascii="TimesNewRoman" w:hAnsi="TimesNewRoman" w:cs="TimesNewRoman"/>
          <w:sz w:val="24"/>
          <w:szCs w:val="24"/>
        </w:rPr>
        <w:t xml:space="preserve"> </w:t>
      </w:r>
      <w:r w:rsidR="00BA4571">
        <w:rPr>
          <w:rFonts w:ascii="TimesNewRoman" w:hAnsi="TimesNewRoman" w:cs="TimesNewRoman"/>
          <w:sz w:val="24"/>
          <w:szCs w:val="24"/>
        </w:rPr>
        <w:t xml:space="preserve"> </w:t>
      </w:r>
      <w:r w:rsidR="00D65954">
        <w:t>MIP VI Outlier has a 5</w:t>
      </w:r>
      <w:r w:rsidR="00195BC2">
        <w:t xml:space="preserve">7.35% </w:t>
      </w:r>
      <w:r w:rsidR="00D65954">
        <w:t>d</w:t>
      </w:r>
      <w:r w:rsidRPr="00D65954" w:rsidR="00D65954">
        <w:t xml:space="preserve">irect equity interest in </w:t>
      </w:r>
      <w:r w:rsidR="00195BC2">
        <w:t xml:space="preserve">CSM Holding </w:t>
      </w:r>
      <w:r w:rsidRPr="00D65954" w:rsidR="00D65954">
        <w:t xml:space="preserve">and </w:t>
      </w:r>
      <w:r w:rsidR="00345837">
        <w:t xml:space="preserve">50% direct voting interest via </w:t>
      </w:r>
      <w:r w:rsidR="00BA4571">
        <w:t xml:space="preserve">the </w:t>
      </w:r>
      <w:r w:rsidRPr="00D65954" w:rsidR="00D65954">
        <w:t>right to appoint four of eight</w:t>
      </w:r>
      <w:r w:rsidR="003A5D33">
        <w:t xml:space="preserve"> members</w:t>
      </w:r>
      <w:r w:rsidR="006B25D3">
        <w:t xml:space="preserve"> of CSM Holding. </w:t>
      </w:r>
      <w:r w:rsidR="00BA4571">
        <w:t xml:space="preserve"> </w:t>
      </w:r>
      <w:r w:rsidR="006B25D3">
        <w:rPr>
          <w:i/>
          <w:iCs/>
        </w:rPr>
        <w:t>Id</w:t>
      </w:r>
      <w:r w:rsidR="006B25D3">
        <w:t>. at 17.</w:t>
      </w:r>
    </w:p>
  </w:footnote>
  <w:footnote w:id="20">
    <w:p w:rsidR="006076EC" w:rsidRPr="006076EC" w:rsidP="004107A6" w14:paraId="7C884DD0" w14:textId="46EA76F2">
      <w:pPr>
        <w:pStyle w:val="FootnoteText"/>
      </w:pPr>
      <w:r>
        <w:rPr>
          <w:rStyle w:val="FootnoteReference"/>
        </w:rPr>
        <w:footnoteRef/>
      </w:r>
      <w:r>
        <w:t xml:space="preserve"> </w:t>
      </w:r>
      <w:r>
        <w:rPr>
          <w:i/>
          <w:iCs/>
        </w:rPr>
        <w:t>Id</w:t>
      </w:r>
      <w:r>
        <w:t xml:space="preserve">. </w:t>
      </w:r>
      <w:r w:rsidR="0088735D">
        <w:t>at 6, Exh. A. (Part 2), Exh. C (Post-Closing Indirect Interests in the Fastwyre Licensees Held by MIP VI Outlie</w:t>
      </w:r>
      <w:r w:rsidR="0032619D">
        <w:t>r</w:t>
      </w:r>
      <w:r w:rsidR="0088735D">
        <w:t>).</w:t>
      </w:r>
    </w:p>
  </w:footnote>
  <w:footnote w:id="21">
    <w:p w:rsidR="00583EEC" w:rsidRPr="007057C3" w:rsidP="004107A6" w14:paraId="477E2420" w14:textId="0AB6656B">
      <w:pPr>
        <w:pStyle w:val="FootnoteText"/>
      </w:pPr>
      <w:r>
        <w:rPr>
          <w:rStyle w:val="FootnoteReference"/>
        </w:rPr>
        <w:footnoteRef/>
      </w:r>
      <w:r>
        <w:t xml:space="preserve"> </w:t>
      </w:r>
      <w:r>
        <w:rPr>
          <w:i/>
          <w:iCs/>
        </w:rPr>
        <w:t>See id</w:t>
      </w:r>
      <w:r>
        <w:t>. at 20 n</w:t>
      </w:r>
      <w:r w:rsidR="00A0595A">
        <w:t xml:space="preserve">.16 (explaining </w:t>
      </w:r>
      <w:r w:rsidR="00BA4571">
        <w:t xml:space="preserve">that </w:t>
      </w:r>
      <w:r w:rsidR="00454B3F">
        <w:t>“</w:t>
      </w:r>
      <w:r w:rsidRPr="007057C3" w:rsidR="007057C3">
        <w:t>MAM acts</w:t>
      </w:r>
      <w:r w:rsidR="007057C3">
        <w:t xml:space="preserve"> </w:t>
      </w:r>
      <w:r w:rsidRPr="007057C3" w:rsidR="007057C3">
        <w:t>independently of other MGL businesses and has separate sources of funds.</w:t>
      </w:r>
      <w:r w:rsidR="007057C3">
        <w:t xml:space="preserve"> . . . </w:t>
      </w:r>
      <w:r w:rsidRPr="007057C3" w:rsidR="007057C3">
        <w:t>and thus, it does not have, and will not have, access to information or any control over the</w:t>
      </w:r>
      <w:r w:rsidR="007057C3">
        <w:t xml:space="preserve"> </w:t>
      </w:r>
      <w:r w:rsidRPr="007057C3" w:rsidR="007057C3">
        <w:t>operations of any interests that may be held by operating groups within MGL other than MAM</w:t>
      </w:r>
      <w:r w:rsidR="007057C3">
        <w:t>”)</w:t>
      </w:r>
      <w:r w:rsidR="00456CC7">
        <w:t>.</w:t>
      </w:r>
    </w:p>
  </w:footnote>
  <w:footnote w:id="22">
    <w:p w:rsidR="006076EC" w:rsidRPr="006076EC" w:rsidP="004107A6" w14:paraId="643979F1" w14:textId="66CFE2D8">
      <w:pPr>
        <w:pStyle w:val="FootnoteText"/>
      </w:pPr>
      <w:r>
        <w:rPr>
          <w:rStyle w:val="FootnoteReference"/>
        </w:rPr>
        <w:footnoteRef/>
      </w:r>
      <w:r>
        <w:t xml:space="preserve"> </w:t>
      </w:r>
      <w:r w:rsidR="00583EEC">
        <w:rPr>
          <w:i/>
          <w:iCs/>
        </w:rPr>
        <w:t>Id</w:t>
      </w:r>
      <w:r w:rsidR="00583EEC">
        <w:t>. at 6, Exh. A. (Part 2), Exh. C (Post-Closing Indirect Interests in the Fastwyre Licensees Held by MIP VI Outlier).</w:t>
      </w:r>
    </w:p>
  </w:footnote>
  <w:footnote w:id="23">
    <w:p w:rsidR="00B9774E" w:rsidRPr="006A4BB6" w:rsidP="004107A6" w14:paraId="2BDD761A" w14:textId="02223DF3">
      <w:pPr>
        <w:pStyle w:val="FootnoteText"/>
      </w:pPr>
      <w:r w:rsidRPr="006A4BB6">
        <w:rPr>
          <w:rStyle w:val="FootnoteReference"/>
          <w:sz w:val="20"/>
        </w:rPr>
        <w:footnoteRef/>
      </w:r>
      <w:r w:rsidRPr="006A4BB6">
        <w:t xml:space="preserve"> </w:t>
      </w:r>
      <w:r w:rsidRPr="006A4BB6">
        <w:rPr>
          <w:i/>
          <w:iCs/>
        </w:rPr>
        <w:t>Id.</w:t>
      </w:r>
      <w:r w:rsidRPr="006A4BB6" w:rsidR="00E075F3">
        <w:t xml:space="preserve"> at 6, Exh. A. (Part 1)</w:t>
      </w:r>
      <w:r w:rsidRPr="006A4BB6" w:rsidR="00045D26">
        <w:t>, Ex</w:t>
      </w:r>
      <w:r w:rsidRPr="006A4BB6" w:rsidR="00814B41">
        <w:t>h</w:t>
      </w:r>
      <w:r w:rsidRPr="006A4BB6" w:rsidR="00045D26">
        <w:t>. B (</w:t>
      </w:r>
      <w:r w:rsidRPr="006A4BB6" w:rsidR="00814B41">
        <w:t>Post-Closing Indirect Interests in the Fastwyre Licensees Held by Hunt Group).</w:t>
      </w:r>
      <w:r w:rsidRPr="006A4BB6" w:rsidR="00C66FC4">
        <w:t xml:space="preserve"> </w:t>
      </w:r>
      <w:r w:rsidR="00454B3F">
        <w:t xml:space="preserve"> </w:t>
      </w:r>
      <w:r w:rsidRPr="006A4BB6" w:rsidR="00C66FC4">
        <w:t xml:space="preserve">Hunt Group has a 42.65% direct equity interest in CSM Holding and </w:t>
      </w:r>
      <w:r w:rsidR="00345837">
        <w:t xml:space="preserve">50% direct voting interest via the </w:t>
      </w:r>
      <w:r w:rsidRPr="006A4BB6" w:rsidR="00C66FC4">
        <w:t>right to appoint four of eight members of CSM Holding.</w:t>
      </w:r>
      <w:r w:rsidR="00454B3F">
        <w:t xml:space="preserve"> </w:t>
      </w:r>
      <w:r w:rsidRPr="006A4BB6" w:rsidR="00C66FC4">
        <w:t xml:space="preserve"> </w:t>
      </w:r>
      <w:r w:rsidRPr="006A4BB6" w:rsidR="00C66FC4">
        <w:rPr>
          <w:i/>
          <w:iCs/>
        </w:rPr>
        <w:t>Id</w:t>
      </w:r>
      <w:r w:rsidRPr="006A4BB6" w:rsidR="00C66FC4">
        <w:t>. at 17.</w:t>
      </w:r>
    </w:p>
  </w:footnote>
  <w:footnote w:id="24">
    <w:p w:rsidR="007057C3" w:rsidRPr="007057C3" w:rsidP="004107A6" w14:paraId="637DFA64" w14:textId="239950C6">
      <w:pPr>
        <w:pStyle w:val="FootnoteText"/>
      </w:pPr>
      <w:r>
        <w:rPr>
          <w:rStyle w:val="FootnoteReference"/>
        </w:rPr>
        <w:footnoteRef/>
      </w:r>
      <w:r>
        <w:t xml:space="preserve"> </w:t>
      </w:r>
      <w:r>
        <w:rPr>
          <w:i/>
          <w:iCs/>
        </w:rPr>
        <w:t>See id</w:t>
      </w:r>
      <w:r>
        <w:t>. at 20 n.</w:t>
      </w:r>
      <w:r w:rsidR="007B0E0D">
        <w:t>16 (</w:t>
      </w:r>
      <w:r w:rsidR="009803A6">
        <w:t>noting</w:t>
      </w:r>
      <w:r w:rsidR="007B0E0D">
        <w:t xml:space="preserve"> the “</w:t>
      </w:r>
      <w:r w:rsidRPr="007057C3" w:rsidR="007B0E0D">
        <w:t>affiliates of CSM Intermediate that are authorized to provide domestic telecommunications services and identified here are limited to such entities within MAM, and do</w:t>
      </w:r>
      <w:r w:rsidR="007B0E0D">
        <w:t xml:space="preserve"> </w:t>
      </w:r>
      <w:r w:rsidRPr="007057C3" w:rsidR="007B0E0D">
        <w:t>not include other carrier entities that may ultimately be owned and/or controlled by MGL</w:t>
      </w:r>
      <w:r w:rsidR="007B0E0D">
        <w:t>”).</w:t>
      </w:r>
    </w:p>
  </w:footnote>
  <w:footnote w:id="25">
    <w:p w:rsidR="00AB0EC2" w:rsidRPr="00DE4090" w:rsidP="004107A6" w14:paraId="200A6398" w14:textId="1335C79B">
      <w:pPr>
        <w:pStyle w:val="FootnoteText"/>
      </w:pPr>
      <w:r>
        <w:rPr>
          <w:rStyle w:val="FootnoteReference"/>
        </w:rPr>
        <w:footnoteRef/>
      </w:r>
      <w:r>
        <w:t xml:space="preserve"> </w:t>
      </w:r>
      <w:r w:rsidR="009345A3">
        <w:rPr>
          <w:i/>
          <w:iCs/>
        </w:rPr>
        <w:t>Id</w:t>
      </w:r>
      <w:r w:rsidR="0010294B">
        <w:t xml:space="preserve">. at </w:t>
      </w:r>
      <w:r w:rsidR="002C3148">
        <w:t xml:space="preserve">6, </w:t>
      </w:r>
      <w:r w:rsidR="0010294B">
        <w:t xml:space="preserve">20. </w:t>
      </w:r>
      <w:r w:rsidR="000E2FC4">
        <w:t xml:space="preserve"> </w:t>
      </w:r>
      <w:r w:rsidR="00D548BE">
        <w:rPr>
          <w:szCs w:val="22"/>
        </w:rPr>
        <w:t xml:space="preserve">Swyft Fiber </w:t>
      </w:r>
      <w:r w:rsidRPr="000F0516" w:rsidR="000F0516">
        <w:t>provides broadband, VoIP, and video services to end-user customers in</w:t>
      </w:r>
      <w:r w:rsidR="000F0516">
        <w:t xml:space="preserve"> </w:t>
      </w:r>
      <w:r w:rsidRPr="000F0516" w:rsidR="000F0516">
        <w:t>Arkansas, Louisiana, and Mississippi</w:t>
      </w:r>
      <w:r w:rsidR="000F0516">
        <w:t xml:space="preserve">.  </w:t>
      </w:r>
      <w:r w:rsidRPr="00A541CE" w:rsidR="00A541CE">
        <w:rPr>
          <w:i/>
          <w:iCs/>
        </w:rPr>
        <w:t>Id</w:t>
      </w:r>
      <w:r w:rsidR="00A541CE">
        <w:t xml:space="preserve">. at 20.  </w:t>
      </w:r>
      <w:r w:rsidR="00D548BE">
        <w:rPr>
          <w:szCs w:val="22"/>
        </w:rPr>
        <w:t xml:space="preserve">Swyft Fiber’s </w:t>
      </w:r>
      <w:r w:rsidRPr="000F0516" w:rsidR="000F0516">
        <w:t>fiber net</w:t>
      </w:r>
      <w:r w:rsidR="00D548BE">
        <w:t>work</w:t>
      </w:r>
      <w:r w:rsidRPr="000F0516" w:rsidR="000F0516">
        <w:t xml:space="preserve"> in Louisiana includes portions of Allen and Vernon</w:t>
      </w:r>
      <w:r w:rsidR="00DE4090">
        <w:t xml:space="preserve"> </w:t>
      </w:r>
      <w:r w:rsidRPr="000F0516" w:rsidR="000F0516">
        <w:t>Parishes, in which it has limited overlaps with certain Fastwyre Licensee territories.</w:t>
      </w:r>
      <w:r w:rsidR="00DE4090">
        <w:t xml:space="preserve">  </w:t>
      </w:r>
      <w:r w:rsidR="00DE4090">
        <w:rPr>
          <w:i/>
          <w:iCs/>
        </w:rPr>
        <w:t>Id</w:t>
      </w:r>
      <w:r w:rsidR="00DE4090">
        <w:t xml:space="preserve">. </w:t>
      </w:r>
      <w:r w:rsidR="00250DF6">
        <w:t>at 11 n.15</w:t>
      </w:r>
      <w:r w:rsidR="00B0015A">
        <w:t xml:space="preserve"> (noting t</w:t>
      </w:r>
      <w:r w:rsidRPr="00B0015A" w:rsidR="00B0015A">
        <w:t xml:space="preserve">he </w:t>
      </w:r>
      <w:r w:rsidR="00B0015A">
        <w:t>“</w:t>
      </w:r>
      <w:r w:rsidRPr="00B0015A" w:rsidR="00B0015A">
        <w:t>companies’ service areas are adjacent in a portion of Rapides Parish, and could have de</w:t>
      </w:r>
      <w:r w:rsidR="00B0015A">
        <w:t xml:space="preserve"> </w:t>
      </w:r>
      <w:r w:rsidRPr="00B0015A" w:rsidR="00B0015A">
        <w:t>minimis overlaps</w:t>
      </w:r>
      <w:r w:rsidR="00D143BB">
        <w:t>.</w:t>
      </w:r>
      <w:r w:rsidR="00B0015A">
        <w:t>”)</w:t>
      </w:r>
      <w:r w:rsidR="009B7AE7">
        <w:t xml:space="preserve">.  </w:t>
      </w:r>
    </w:p>
  </w:footnote>
  <w:footnote w:id="26">
    <w:p w:rsidR="00F7673E" w:rsidRPr="00306B7B" w:rsidP="004107A6" w14:paraId="516C034A" w14:textId="68CCBD0D">
      <w:pPr>
        <w:autoSpaceDE w:val="0"/>
        <w:autoSpaceDN w:val="0"/>
        <w:adjustRightInd w:val="0"/>
        <w:spacing w:after="120"/>
        <w:rPr>
          <w:sz w:val="20"/>
        </w:rPr>
      </w:pPr>
      <w:r w:rsidRPr="00BF02C8">
        <w:rPr>
          <w:rStyle w:val="FootnoteReference"/>
          <w:sz w:val="20"/>
        </w:rPr>
        <w:footnoteRef/>
      </w:r>
      <w:r w:rsidRPr="00BF02C8">
        <w:rPr>
          <w:sz w:val="20"/>
        </w:rPr>
        <w:t xml:space="preserve"> </w:t>
      </w:r>
      <w:r w:rsidRPr="00BF02C8">
        <w:rPr>
          <w:i/>
          <w:iCs/>
          <w:sz w:val="20"/>
        </w:rPr>
        <w:t>Id.</w:t>
      </w:r>
      <w:r w:rsidRPr="00BF02C8">
        <w:rPr>
          <w:sz w:val="20"/>
        </w:rPr>
        <w:t xml:space="preserve"> at </w:t>
      </w:r>
      <w:r w:rsidR="00E70D54">
        <w:rPr>
          <w:sz w:val="20"/>
        </w:rPr>
        <w:t>20-</w:t>
      </w:r>
      <w:r w:rsidR="009039EF">
        <w:rPr>
          <w:sz w:val="20"/>
        </w:rPr>
        <w:t>21</w:t>
      </w:r>
      <w:r w:rsidRPr="00BF02C8">
        <w:rPr>
          <w:sz w:val="20"/>
        </w:rPr>
        <w:t xml:space="preserve">.  Bluebird, which is owned by a fund managed by MIP Inc., provides domestic telecommunications through: </w:t>
      </w:r>
      <w:r w:rsidR="0060753B">
        <w:rPr>
          <w:sz w:val="20"/>
        </w:rPr>
        <w:t xml:space="preserve"> </w:t>
      </w:r>
      <w:r w:rsidR="00EC742A">
        <w:rPr>
          <w:sz w:val="20"/>
        </w:rPr>
        <w:t>1</w:t>
      </w:r>
      <w:r w:rsidRPr="00BF02C8">
        <w:rPr>
          <w:sz w:val="20"/>
        </w:rPr>
        <w:t>) Missouri Network Alliance, LLC d/b/a Bluebird Network</w:t>
      </w:r>
      <w:r w:rsidR="00E84AD7">
        <w:rPr>
          <w:sz w:val="20"/>
        </w:rPr>
        <w:t xml:space="preserve"> (MNA</w:t>
      </w:r>
      <w:r w:rsidR="007F4560">
        <w:rPr>
          <w:sz w:val="20"/>
        </w:rPr>
        <w:t>)</w:t>
      </w:r>
      <w:r w:rsidR="00BC59BA">
        <w:rPr>
          <w:sz w:val="20"/>
        </w:rPr>
        <w:t xml:space="preserve">, </w:t>
      </w:r>
      <w:r w:rsidRPr="00BF02C8">
        <w:rPr>
          <w:sz w:val="20"/>
        </w:rPr>
        <w:t xml:space="preserve">provider of transport and Internet services to wholesale and enterprise customers in Missouri, Illinois, Iowa, Oklahoma, Kansas, Kentucky, Tennessee, </w:t>
      </w:r>
      <w:r w:rsidRPr="00A44574">
        <w:rPr>
          <w:sz w:val="20"/>
        </w:rPr>
        <w:t xml:space="preserve">Nebraska, and Wisconsin, as well as a provider tandem switching and transport services for interexchange carriers in Missouri pursuant to interstate and intrastate tariffs; </w:t>
      </w:r>
      <w:r w:rsidR="00EC742A">
        <w:rPr>
          <w:sz w:val="20"/>
        </w:rPr>
        <w:t>2</w:t>
      </w:r>
      <w:r w:rsidRPr="00A44574">
        <w:rPr>
          <w:sz w:val="20"/>
        </w:rPr>
        <w:t xml:space="preserve">) Illinois Network Alliance, LLC, a provider of transport and Internet access services to wholesale customers in Illinois, Kentucky, and Tennessee; and </w:t>
      </w:r>
      <w:r w:rsidR="00EC742A">
        <w:rPr>
          <w:sz w:val="20"/>
        </w:rPr>
        <w:t>3</w:t>
      </w:r>
      <w:r w:rsidRPr="00A44574">
        <w:rPr>
          <w:sz w:val="20"/>
        </w:rPr>
        <w:t xml:space="preserve">) PEG Bandwidth IL, LLC, a provider of competitive interexchange services in Illinois, Indiana, Iowa, and Missouri.  </w:t>
      </w:r>
      <w:r w:rsidRPr="00A44574">
        <w:rPr>
          <w:i/>
          <w:iCs/>
          <w:sz w:val="20"/>
        </w:rPr>
        <w:t>Id.</w:t>
      </w:r>
      <w:r w:rsidR="004A0FB2">
        <w:rPr>
          <w:sz w:val="20"/>
        </w:rPr>
        <w:t xml:space="preserve">  Applicants note that an </w:t>
      </w:r>
      <w:r w:rsidRPr="00A44574" w:rsidR="001652CE">
        <w:rPr>
          <w:sz w:val="20"/>
        </w:rPr>
        <w:t xml:space="preserve">affiliate of MNA, Bluebird </w:t>
      </w:r>
      <w:r w:rsidRPr="00A44574" w:rsidR="001652CE">
        <w:rPr>
          <w:sz w:val="20"/>
        </w:rPr>
        <w:t>MidWest</w:t>
      </w:r>
      <w:r w:rsidRPr="00A44574" w:rsidR="001652CE">
        <w:rPr>
          <w:sz w:val="20"/>
        </w:rPr>
        <w:t xml:space="preserve">, LLC, expects to acquire assets under which it may operate under domestic </w:t>
      </w:r>
      <w:r w:rsidR="00EE18FC">
        <w:rPr>
          <w:sz w:val="20"/>
        </w:rPr>
        <w:t>s</w:t>
      </w:r>
      <w:r w:rsidRPr="00A44574" w:rsidR="001652CE">
        <w:rPr>
          <w:sz w:val="20"/>
        </w:rPr>
        <w:t xml:space="preserve">ection 214 authority and would provide broadband Internet, voice, and data services to small and medium-sized and enterprise businesses, as well as carrier, government, and other non-residential customers in Illinois, Indiana, Kentucky, Michigan, Ohio, and Wisconsin. </w:t>
      </w:r>
      <w:r w:rsidR="00EC742A">
        <w:rPr>
          <w:sz w:val="20"/>
        </w:rPr>
        <w:t xml:space="preserve"> </w:t>
      </w:r>
      <w:r w:rsidR="004A0FB2">
        <w:rPr>
          <w:i/>
          <w:iCs/>
          <w:sz w:val="20"/>
        </w:rPr>
        <w:t>Id</w:t>
      </w:r>
      <w:r w:rsidR="004A0FB2">
        <w:rPr>
          <w:sz w:val="20"/>
        </w:rPr>
        <w:t>. at 21 n.17</w:t>
      </w:r>
      <w:r w:rsidRPr="00A44574" w:rsidR="001652CE">
        <w:rPr>
          <w:i/>
          <w:iCs/>
          <w:sz w:val="20"/>
        </w:rPr>
        <w:t xml:space="preserve"> </w:t>
      </w:r>
      <w:r w:rsidR="004A0FB2">
        <w:rPr>
          <w:sz w:val="20"/>
        </w:rPr>
        <w:t xml:space="preserve">(citing </w:t>
      </w:r>
      <w:r w:rsidRPr="00A44574" w:rsidR="001652CE">
        <w:rPr>
          <w:i/>
          <w:iCs/>
          <w:sz w:val="20"/>
        </w:rPr>
        <w:t>Domestic Section 214 Application Granted for the Acquisition of Certain</w:t>
      </w:r>
      <w:r w:rsidRPr="00A44574" w:rsidR="001652CE">
        <w:rPr>
          <w:sz w:val="20"/>
        </w:rPr>
        <w:t xml:space="preserve"> </w:t>
      </w:r>
      <w:r w:rsidRPr="00A44574" w:rsidR="001652CE">
        <w:rPr>
          <w:i/>
          <w:iCs/>
          <w:sz w:val="20"/>
        </w:rPr>
        <w:t xml:space="preserve">Assets of </w:t>
      </w:r>
      <w:r w:rsidRPr="00A44574" w:rsidR="001652CE">
        <w:rPr>
          <w:i/>
          <w:iCs/>
          <w:sz w:val="20"/>
        </w:rPr>
        <w:t>Everstream</w:t>
      </w:r>
      <w:r w:rsidRPr="00A44574" w:rsidR="001652CE">
        <w:rPr>
          <w:i/>
          <w:iCs/>
          <w:sz w:val="20"/>
        </w:rPr>
        <w:t xml:space="preserve"> Solutions LLC, Debtor-in-Possession, </w:t>
      </w:r>
      <w:r w:rsidRPr="00A44574" w:rsidR="001652CE">
        <w:rPr>
          <w:i/>
          <w:iCs/>
          <w:sz w:val="20"/>
        </w:rPr>
        <w:t>Everstream</w:t>
      </w:r>
      <w:r w:rsidRPr="00A44574" w:rsidR="001652CE">
        <w:rPr>
          <w:i/>
          <w:iCs/>
          <w:sz w:val="20"/>
        </w:rPr>
        <w:t xml:space="preserve"> GLC Holding Company, Lynx Network Group, Inc., Debtor-in-Possession, and HRS Internet, LLC, Debtor-in-Possession</w:t>
      </w:r>
      <w:r w:rsidRPr="00A44574" w:rsidR="001652CE">
        <w:rPr>
          <w:sz w:val="20"/>
        </w:rPr>
        <w:t xml:space="preserve"> </w:t>
      </w:r>
      <w:r w:rsidRPr="00A44574" w:rsidR="001652CE">
        <w:rPr>
          <w:i/>
          <w:iCs/>
          <w:sz w:val="20"/>
        </w:rPr>
        <w:t xml:space="preserve">by Bluebird </w:t>
      </w:r>
      <w:r w:rsidRPr="00A44574" w:rsidR="001652CE">
        <w:rPr>
          <w:i/>
          <w:iCs/>
          <w:sz w:val="20"/>
        </w:rPr>
        <w:t>MidWest</w:t>
      </w:r>
      <w:r w:rsidRPr="00A44574" w:rsidR="001652CE">
        <w:rPr>
          <w:i/>
          <w:iCs/>
          <w:sz w:val="20"/>
        </w:rPr>
        <w:t>, LLC</w:t>
      </w:r>
      <w:r w:rsidRPr="00A44574" w:rsidR="001652CE">
        <w:rPr>
          <w:sz w:val="20"/>
        </w:rPr>
        <w:t>, WC Docket No. 25-245, Public Notice, DA 25-978 (Nov. 21, 2025)</w:t>
      </w:r>
      <w:r w:rsidR="004A0FB2">
        <w:rPr>
          <w:sz w:val="20"/>
        </w:rPr>
        <w:t>)</w:t>
      </w:r>
      <w:r w:rsidRPr="00A44574" w:rsidR="001652CE">
        <w:rPr>
          <w:sz w:val="20"/>
        </w:rPr>
        <w:t>.</w:t>
      </w:r>
    </w:p>
  </w:footnote>
  <w:footnote w:id="27">
    <w:p w:rsidR="00F7673E" w:rsidRPr="00BF02C8" w:rsidP="004107A6" w14:paraId="37C719A1" w14:textId="5B31277F">
      <w:pPr>
        <w:autoSpaceDE w:val="0"/>
        <w:autoSpaceDN w:val="0"/>
        <w:adjustRightInd w:val="0"/>
        <w:spacing w:after="120"/>
        <w:rPr>
          <w:sz w:val="20"/>
        </w:rPr>
      </w:pPr>
      <w:r w:rsidRPr="00BF02C8">
        <w:rPr>
          <w:rStyle w:val="FootnoteReference"/>
          <w:sz w:val="20"/>
        </w:rPr>
        <w:footnoteRef/>
      </w:r>
      <w:r w:rsidRPr="00BF02C8">
        <w:rPr>
          <w:sz w:val="20"/>
        </w:rPr>
        <w:t xml:space="preserve"> </w:t>
      </w:r>
      <w:r w:rsidRPr="00BF02C8">
        <w:rPr>
          <w:i/>
          <w:iCs/>
          <w:sz w:val="20"/>
        </w:rPr>
        <w:t xml:space="preserve">Id. </w:t>
      </w:r>
      <w:r w:rsidRPr="00BF02C8">
        <w:rPr>
          <w:sz w:val="20"/>
        </w:rPr>
        <w:t xml:space="preserve">at </w:t>
      </w:r>
      <w:r w:rsidR="007250FC">
        <w:rPr>
          <w:sz w:val="20"/>
        </w:rPr>
        <w:t>21.</w:t>
      </w:r>
      <w:r w:rsidRPr="00BF02C8">
        <w:rPr>
          <w:sz w:val="20"/>
        </w:rPr>
        <w:t xml:space="preserve">  MIP VI Outlier is affiliated with Red Fiber Parent, LLC, which is majority-owned by an investment vehicle managed by MIP Inc.</w:t>
      </w:r>
      <w:r w:rsidR="007250FC">
        <w:rPr>
          <w:sz w:val="20"/>
        </w:rPr>
        <w:t xml:space="preserve">  </w:t>
      </w:r>
      <w:r w:rsidRPr="00BF02C8">
        <w:rPr>
          <w:i/>
          <w:iCs/>
          <w:sz w:val="20"/>
        </w:rPr>
        <w:t>Id.</w:t>
      </w:r>
      <w:r w:rsidR="007250FC">
        <w:rPr>
          <w:sz w:val="20"/>
        </w:rPr>
        <w:t xml:space="preserve">  </w:t>
      </w:r>
      <w:r w:rsidRPr="00BF02C8">
        <w:rPr>
          <w:sz w:val="20"/>
        </w:rPr>
        <w:t xml:space="preserve">Red Fiber Parent, LLC owns Cincinnati Bell, which, through its subsidiaries, provides telecommunications services to residential and business customers through the following entities: </w:t>
      </w:r>
      <w:r w:rsidR="00EC742A">
        <w:rPr>
          <w:sz w:val="20"/>
        </w:rPr>
        <w:t xml:space="preserve"> 1</w:t>
      </w:r>
      <w:r w:rsidRPr="00BF02C8">
        <w:rPr>
          <w:sz w:val="20"/>
        </w:rPr>
        <w:t xml:space="preserve">) Cincinnati Bell Telephone Company LLC (CBT), an incumbent local exchange carrier (LEC) providing service in portions of Ohio, Kentucky, and Indiana; </w:t>
      </w:r>
      <w:r w:rsidR="00EC742A">
        <w:rPr>
          <w:sz w:val="20"/>
        </w:rPr>
        <w:t>2</w:t>
      </w:r>
      <w:r w:rsidRPr="00BF02C8">
        <w:rPr>
          <w:sz w:val="20"/>
        </w:rPr>
        <w:t>) Cincinnati Bell Extended Territories LLC</w:t>
      </w:r>
      <w:r w:rsidR="001D5E95">
        <w:rPr>
          <w:sz w:val="20"/>
        </w:rPr>
        <w:t xml:space="preserve"> (CBET)</w:t>
      </w:r>
      <w:r w:rsidRPr="00BF02C8">
        <w:rPr>
          <w:sz w:val="20"/>
        </w:rPr>
        <w:t xml:space="preserve">, a competitive LEC providing service in Ohio in areas outside CBT’s territory, which also holds authorization but does not currently provide competitive LEC and interexchange service throughout Ohio, Kentucky, and Indiana; </w:t>
      </w:r>
      <w:r w:rsidR="00EC742A">
        <w:rPr>
          <w:sz w:val="20"/>
        </w:rPr>
        <w:t>3</w:t>
      </w:r>
      <w:r w:rsidRPr="00BF02C8">
        <w:rPr>
          <w:sz w:val="20"/>
        </w:rPr>
        <w:t xml:space="preserve">) Hawaiian Telcom, Inc. (HTI), an incumbent LEC in Hawaii; </w:t>
      </w:r>
      <w:r w:rsidR="00CC37B0">
        <w:rPr>
          <w:sz w:val="20"/>
        </w:rPr>
        <w:t xml:space="preserve">and </w:t>
      </w:r>
      <w:r w:rsidR="00EC742A">
        <w:rPr>
          <w:sz w:val="20"/>
        </w:rPr>
        <w:t>4</w:t>
      </w:r>
      <w:r w:rsidRPr="00BF02C8">
        <w:rPr>
          <w:sz w:val="20"/>
        </w:rPr>
        <w:t>) Hawaiian Telcom Services Company, Inc., a provider of interstate and intrastate long distance, wireless, and other communications services in Hawaii</w:t>
      </w:r>
      <w:r w:rsidR="00CC37B0">
        <w:rPr>
          <w:sz w:val="20"/>
        </w:rPr>
        <w:t xml:space="preserve">.  </w:t>
      </w:r>
      <w:r w:rsidRPr="00BF02C8">
        <w:rPr>
          <w:i/>
          <w:iCs/>
          <w:sz w:val="20"/>
        </w:rPr>
        <w:t xml:space="preserve">Id. </w:t>
      </w:r>
      <w:r w:rsidRPr="00BF02C8">
        <w:rPr>
          <w:sz w:val="20"/>
        </w:rPr>
        <w:t xml:space="preserve">at </w:t>
      </w:r>
      <w:r w:rsidR="00032AB4">
        <w:rPr>
          <w:sz w:val="20"/>
        </w:rPr>
        <w:t>21-22</w:t>
      </w:r>
      <w:r w:rsidRPr="00BF02C8">
        <w:rPr>
          <w:sz w:val="20"/>
        </w:rPr>
        <w:t>.</w:t>
      </w:r>
    </w:p>
  </w:footnote>
  <w:footnote w:id="28">
    <w:p w:rsidR="00F7673E" w:rsidRPr="00BF02C8" w:rsidP="004107A6" w14:paraId="6C2F16F8" w14:textId="65248C36">
      <w:pPr>
        <w:pStyle w:val="FootnoteText"/>
      </w:pPr>
      <w:r w:rsidRPr="00BF02C8">
        <w:rPr>
          <w:rStyle w:val="FootnoteReference"/>
          <w:sz w:val="20"/>
        </w:rPr>
        <w:footnoteRef/>
      </w:r>
      <w:r w:rsidRPr="00BF02C8">
        <w:t xml:space="preserve"> </w:t>
      </w:r>
      <w:r w:rsidRPr="00BF02C8">
        <w:rPr>
          <w:i/>
          <w:iCs/>
        </w:rPr>
        <w:t>Id.</w:t>
      </w:r>
      <w:r w:rsidRPr="00BF02C8">
        <w:t xml:space="preserve"> at </w:t>
      </w:r>
      <w:r w:rsidR="00C730FE">
        <w:t>25</w:t>
      </w:r>
      <w:r w:rsidRPr="00BF02C8">
        <w:t>.</w:t>
      </w:r>
    </w:p>
  </w:footnote>
  <w:footnote w:id="29">
    <w:p w:rsidR="002A74E7" w:rsidRPr="002A74E7" w:rsidP="004107A6" w14:paraId="1D7738CB" w14:textId="31420101">
      <w:pPr>
        <w:pStyle w:val="FootnoteText"/>
      </w:pPr>
      <w:r>
        <w:rPr>
          <w:rStyle w:val="FootnoteReference"/>
        </w:rPr>
        <w:footnoteRef/>
      </w:r>
      <w:r>
        <w:t xml:space="preserve"> </w:t>
      </w:r>
      <w:r>
        <w:rPr>
          <w:i/>
          <w:iCs/>
        </w:rPr>
        <w:t>Id</w:t>
      </w:r>
      <w:r>
        <w:t xml:space="preserve">. at 7. </w:t>
      </w:r>
    </w:p>
  </w:footnote>
  <w:footnote w:id="30">
    <w:p w:rsidR="002A74E7" w:rsidRPr="00E92172" w:rsidP="004107A6" w14:paraId="1CAFC1F5" w14:textId="24F2B924">
      <w:pPr>
        <w:pStyle w:val="FootnoteText"/>
      </w:pPr>
      <w:r>
        <w:rPr>
          <w:rStyle w:val="FootnoteReference"/>
        </w:rPr>
        <w:footnoteRef/>
      </w:r>
      <w:r>
        <w:t xml:space="preserve"> </w:t>
      </w:r>
      <w:r>
        <w:rPr>
          <w:i/>
          <w:iCs/>
        </w:rPr>
        <w:t>Id</w:t>
      </w:r>
      <w:r>
        <w:t>.</w:t>
      </w:r>
      <w:r w:rsidR="00E92172">
        <w:t xml:space="preserve">  Applicants note that </w:t>
      </w:r>
      <w:r w:rsidR="009C02E6">
        <w:t>p</w:t>
      </w:r>
      <w:r w:rsidRPr="00E92172" w:rsidR="00E92172">
        <w:t xml:space="preserve">rior to the closing of the </w:t>
      </w:r>
      <w:r w:rsidR="009C02E6">
        <w:t>p</w:t>
      </w:r>
      <w:r w:rsidRPr="00E92172" w:rsidR="00E92172">
        <w:t xml:space="preserve">roposed </w:t>
      </w:r>
      <w:r w:rsidR="009C02E6">
        <w:t>t</w:t>
      </w:r>
      <w:r w:rsidRPr="00E92172" w:rsidR="00E92172">
        <w:t>ransaction, each of the acquired entities that are</w:t>
      </w:r>
      <w:r w:rsidR="00E92172">
        <w:t xml:space="preserve"> </w:t>
      </w:r>
      <w:r w:rsidRPr="00E92172" w:rsidR="00E92172">
        <w:t>currently organized as corporations—namely, Cameron Holdings, ABAC Alabama, Moundville</w:t>
      </w:r>
      <w:r w:rsidR="00E92172">
        <w:t xml:space="preserve"> </w:t>
      </w:r>
      <w:r w:rsidRPr="00E92172" w:rsidR="00E92172">
        <w:t>Communications, Moundville Telephone and MTC—will be converted to limited liability</w:t>
      </w:r>
      <w:r w:rsidR="00E92172">
        <w:t xml:space="preserve"> </w:t>
      </w:r>
      <w:r w:rsidRPr="00E92172" w:rsidR="00E92172">
        <w:t>companies</w:t>
      </w:r>
      <w:r w:rsidR="00E92172">
        <w:t xml:space="preserve">.  </w:t>
      </w:r>
      <w:r w:rsidR="00E92172">
        <w:rPr>
          <w:i/>
          <w:iCs/>
        </w:rPr>
        <w:t xml:space="preserve">Id. </w:t>
      </w:r>
    </w:p>
  </w:footnote>
  <w:footnote w:id="31">
    <w:p w:rsidR="008534BE" w:rsidRPr="001D1EFF" w:rsidP="004107A6" w14:paraId="65C7F12B" w14:textId="77777777">
      <w:pPr>
        <w:pStyle w:val="FootnoteText"/>
        <w:rPr>
          <w:iCs/>
        </w:rPr>
      </w:pPr>
      <w:r>
        <w:rPr>
          <w:rStyle w:val="FootnoteReference"/>
        </w:rPr>
        <w:footnoteRef/>
      </w:r>
      <w:r>
        <w:t xml:space="preserve"> </w:t>
      </w:r>
      <w:r w:rsidRPr="0019130C">
        <w:t xml:space="preserve">47 U.S.C. § 214(a).  </w:t>
      </w:r>
    </w:p>
  </w:footnote>
  <w:footnote w:id="32">
    <w:p w:rsidR="008534BE" w:rsidP="004107A6" w14:paraId="427BE114" w14:textId="63FC3077">
      <w:pPr>
        <w:pStyle w:val="FootnoteText"/>
      </w:pPr>
      <w:r>
        <w:rPr>
          <w:rStyle w:val="FootnoteReference"/>
        </w:rPr>
        <w:footnoteRef/>
      </w:r>
      <w:r>
        <w:t xml:space="preserve"> </w:t>
      </w:r>
      <w:r w:rsidRPr="0019130C">
        <w:rPr>
          <w:i/>
        </w:rPr>
        <w:t>See, e.g.</w:t>
      </w:r>
      <w:r w:rsidRPr="004D7DFA">
        <w:rPr>
          <w:iCs/>
        </w:rPr>
        <w:t>,</w:t>
      </w:r>
      <w:r w:rsidRPr="00875624">
        <w:rPr>
          <w:iCs/>
        </w:rPr>
        <w:t xml:space="preserve"> </w:t>
      </w:r>
      <w:r w:rsidRPr="0019130C">
        <w:rPr>
          <w:i/>
        </w:rPr>
        <w:t xml:space="preserve">Applications of Level 3 Communications, Inc. and CenturyLink, Inc. for Consent </w:t>
      </w:r>
      <w:r>
        <w:rPr>
          <w:i/>
        </w:rPr>
        <w:t>t</w:t>
      </w:r>
      <w:r w:rsidRPr="0019130C">
        <w:rPr>
          <w:i/>
        </w:rPr>
        <w:t>o Transfer Control of Licenses and Authorizations</w:t>
      </w:r>
      <w:r w:rsidRPr="0019130C">
        <w:t>, Memorandum Opinion and Order, 32 FCC Rcd 9581, 9585, para. 8 (2017) (</w:t>
      </w:r>
      <w:r w:rsidRPr="0019130C">
        <w:rPr>
          <w:i/>
        </w:rPr>
        <w:t>CenturyLink-Level 3 Order</w:t>
      </w:r>
      <w:r w:rsidRPr="0019130C">
        <w:t xml:space="preserve">); </w:t>
      </w:r>
      <w:r w:rsidRPr="00BF3033">
        <w:rPr>
          <w:i/>
          <w:iCs/>
        </w:rPr>
        <w:t>Frontier Communications Parent, Inc. and Verizon Communications, Inc. Application for Consent to Transfer Control</w:t>
      </w:r>
      <w:r>
        <w:t>, WC Docket No. 25-445, Memorandum Opinion and Order, 40 FCC Rcd 3156, 3160, para. 9 (WCB, OIA, WTB 2025) (</w:t>
      </w:r>
      <w:r w:rsidRPr="00CB5A13">
        <w:rPr>
          <w:i/>
          <w:iCs/>
        </w:rPr>
        <w:t>Verizon-Frontier Order</w:t>
      </w:r>
      <w:r>
        <w:t xml:space="preserve">); </w:t>
      </w:r>
      <w:r w:rsidRPr="001124B6">
        <w:rPr>
          <w:i/>
          <w:iCs/>
        </w:rPr>
        <w:t>Application</w:t>
      </w:r>
      <w:r w:rsidRPr="0067629E">
        <w:rPr>
          <w:i/>
          <w:iCs/>
        </w:rPr>
        <w:t xml:space="preserve"> </w:t>
      </w:r>
      <w:r w:rsidRPr="0019130C">
        <w:rPr>
          <w:i/>
        </w:rPr>
        <w:t xml:space="preserve">of Verizon Communications Inc. and Straight Path Communications, Inc. for Consent </w:t>
      </w:r>
      <w:r>
        <w:rPr>
          <w:i/>
        </w:rPr>
        <w:t>t</w:t>
      </w:r>
      <w:r w:rsidRPr="0019130C">
        <w:rPr>
          <w:i/>
        </w:rPr>
        <w:t>o Transfer Control of Local Multipoint Distribution Service, 39 GHz, Common Carrier Point-to-Point Microwave, and 3650-3700 MHz Service Licenses</w:t>
      </w:r>
      <w:r w:rsidRPr="0019130C">
        <w:t>, Memorandum Opinion and Order, 33 FCC Rcd 188, 189, para. 5 &amp; n.11 (WTB 2018) (</w:t>
      </w:r>
      <w:r w:rsidRPr="0019130C">
        <w:rPr>
          <w:i/>
        </w:rPr>
        <w:t>Verizon-Straight Path Order</w:t>
      </w:r>
      <w:r w:rsidRPr="0019130C">
        <w:t xml:space="preserve">); </w:t>
      </w:r>
      <w:r w:rsidRPr="0019130C">
        <w:rPr>
          <w:i/>
        </w:rPr>
        <w:t xml:space="preserve">Applications of GCI Communication Corp., ACS Wireless License Sub, Inc., ACS of Anchorage License Sub, Inc., and Unicom, Inc. for Consent </w:t>
      </w:r>
      <w:r>
        <w:rPr>
          <w:i/>
        </w:rPr>
        <w:t>t</w:t>
      </w:r>
      <w:r w:rsidRPr="0019130C">
        <w:rPr>
          <w:i/>
        </w:rPr>
        <w:t>o Assign Licenses to the Alaska Wireless Network, LLC</w:t>
      </w:r>
      <w:r w:rsidRPr="0019130C">
        <w:t>, Memorandum Opinion and Order and Declaratory Ruling, 28 FCC Rcd 10433, 10442, para. 23 &amp; n.71 (2013) (</w:t>
      </w:r>
      <w:r w:rsidRPr="0019130C">
        <w:rPr>
          <w:i/>
        </w:rPr>
        <w:t>Alaska Wireless-GCI Order</w:t>
      </w:r>
      <w:r>
        <w:rPr>
          <w:iCs/>
        </w:rPr>
        <w:t>).</w:t>
      </w:r>
    </w:p>
  </w:footnote>
  <w:footnote w:id="33">
    <w:p w:rsidR="008534BE" w:rsidP="004107A6" w14:paraId="257689AB" w14:textId="77777777">
      <w:pPr>
        <w:pStyle w:val="FootnoteText"/>
      </w:pPr>
      <w:r>
        <w:rPr>
          <w:rStyle w:val="FootnoteReference"/>
        </w:rPr>
        <w:footnoteRef/>
      </w:r>
      <w:r>
        <w:t xml:space="preserve"> </w:t>
      </w:r>
      <w:bookmarkStart w:id="5" w:name="_Hlk199925367"/>
      <w:r w:rsidRPr="0019130C">
        <w:rPr>
          <w:i/>
        </w:rPr>
        <w:t>See, e.g.</w:t>
      </w:r>
      <w:r w:rsidRPr="004D7DFA">
        <w:rPr>
          <w:iCs/>
        </w:rPr>
        <w:t>,</w:t>
      </w:r>
      <w:r w:rsidRPr="00875624">
        <w:rPr>
          <w:iCs/>
        </w:rPr>
        <w:t xml:space="preserve"> </w:t>
      </w:r>
      <w:bookmarkEnd w:id="5"/>
      <w:r w:rsidRPr="0019130C">
        <w:rPr>
          <w:i/>
        </w:rPr>
        <w:t>CenturyLink-Level 3 Order</w:t>
      </w:r>
      <w:r w:rsidRPr="0019130C">
        <w:t>, 32 FCC Rcd at 9585, para</w:t>
      </w:r>
      <w:r>
        <w:t>.</w:t>
      </w:r>
      <w:r w:rsidRPr="0019130C">
        <w:t xml:space="preserve"> 9; </w:t>
      </w:r>
      <w:r w:rsidRPr="002B152E">
        <w:rPr>
          <w:i/>
          <w:iCs/>
        </w:rPr>
        <w:t xml:space="preserve">Verizon-Frontier </w:t>
      </w:r>
      <w:r w:rsidRPr="00BF3033">
        <w:rPr>
          <w:i/>
        </w:rPr>
        <w:t>Order</w:t>
      </w:r>
      <w:r>
        <w:rPr>
          <w:iCs/>
        </w:rPr>
        <w:t xml:space="preserve">, </w:t>
      </w:r>
      <w:r>
        <w:t>40 FCC Rcd at 3160</w:t>
      </w:r>
      <w:r>
        <w:rPr>
          <w:iCs/>
        </w:rPr>
        <w:t xml:space="preserve">, para. 9; </w:t>
      </w:r>
      <w:r w:rsidRPr="000B5578">
        <w:rPr>
          <w:i/>
          <w:iCs/>
        </w:rPr>
        <w:t>Verizon</w:t>
      </w:r>
      <w:r w:rsidRPr="0019130C">
        <w:rPr>
          <w:i/>
        </w:rPr>
        <w:t>-Straight Path Order</w:t>
      </w:r>
      <w:r w:rsidRPr="0019130C">
        <w:t xml:space="preserve">, 33 FCC Rcd at 190, para. 5; </w:t>
      </w:r>
      <w:r w:rsidRPr="0019130C">
        <w:rPr>
          <w:i/>
        </w:rPr>
        <w:t>Alaska Wireless-GCI Order</w:t>
      </w:r>
      <w:r w:rsidRPr="0019130C">
        <w:t>, 28 FCC Rcd at 10442, para. 23.</w:t>
      </w:r>
    </w:p>
  </w:footnote>
  <w:footnote w:id="34">
    <w:p w:rsidR="008534BE" w:rsidP="004107A6" w14:paraId="4F8C30F3" w14:textId="77777777">
      <w:pPr>
        <w:pStyle w:val="FootnoteText"/>
      </w:pPr>
      <w:r>
        <w:rPr>
          <w:rStyle w:val="FootnoteReference"/>
        </w:rPr>
        <w:footnoteRef/>
      </w:r>
      <w:r>
        <w:t xml:space="preserve"> </w:t>
      </w:r>
      <w:r w:rsidRPr="000A168C">
        <w:rPr>
          <w:i/>
        </w:rPr>
        <w:t>See</w:t>
      </w:r>
      <w:r>
        <w:rPr>
          <w:i/>
        </w:rPr>
        <w:t>, e.g.</w:t>
      </w:r>
      <w:r w:rsidRPr="001A6D71">
        <w:t xml:space="preserve">, </w:t>
      </w:r>
      <w:r>
        <w:rPr>
          <w:i/>
          <w:iCs/>
        </w:rPr>
        <w:t>Applications of AT&amp;T Inc. and DIRECTV for Consent to Assign or Transfer Control of Licenses and Authorizations</w:t>
      </w:r>
      <w:r>
        <w:t>, Memorandum Opinion and Order, 30 FCC Rcd 9131, 9141, para. 22 (2015) (</w:t>
      </w:r>
      <w:r w:rsidRPr="000A168C">
        <w:rPr>
          <w:i/>
        </w:rPr>
        <w:t>AT&amp;T-DIRECTV Order</w:t>
      </w:r>
      <w:r>
        <w:rPr>
          <w:iCs/>
        </w:rPr>
        <w:t>)</w:t>
      </w:r>
      <w:r w:rsidRPr="00B83976">
        <w:t xml:space="preserve">; </w:t>
      </w:r>
      <w:r>
        <w:rPr>
          <w:i/>
          <w:iCs/>
        </w:rPr>
        <w:t>Applications of Comcast Corp., General Electric Co. and NBC Universal, Inc. for Consent to Assign Licenses and Transfer Control of Licenses</w:t>
      </w:r>
      <w:r>
        <w:t>, Memorandum Opinion and Order, 26 FCC Rcd 4238, 4249, para. 25 (2011)</w:t>
      </w:r>
      <w:r w:rsidRPr="00C129B6">
        <w:rPr>
          <w:iCs/>
        </w:rPr>
        <w:t>;</w:t>
      </w:r>
      <w:r w:rsidRPr="000A168C">
        <w:rPr>
          <w:i/>
        </w:rPr>
        <w:t xml:space="preserve"> </w:t>
      </w:r>
      <w:r>
        <w:rPr>
          <w:i/>
        </w:rPr>
        <w:t>Application of EchoStar Communications Corp., (a Nevada Corp.), General Motors Corp., and Hughes Electronics Corp (Delaware Corps.) (Transferors) and EchoStar Communications Corp. (a Delaware Corp.) (Transferee)</w:t>
      </w:r>
      <w:r>
        <w:rPr>
          <w:iCs/>
        </w:rPr>
        <w:t>, Hearing Designation Order, 17 FCC Rcd 20559, 20575, para. 27 (2002)</w:t>
      </w:r>
      <w:r>
        <w:rPr>
          <w:i/>
        </w:rPr>
        <w:t xml:space="preserve"> </w:t>
      </w:r>
      <w:r>
        <w:rPr>
          <w:iCs/>
        </w:rPr>
        <w:t>(</w:t>
      </w:r>
      <w:r w:rsidRPr="000A168C">
        <w:rPr>
          <w:i/>
        </w:rPr>
        <w:t>EchoStar-DIRECTV HDO</w:t>
      </w:r>
      <w:r>
        <w:t>)</w:t>
      </w:r>
      <w:r w:rsidRPr="00B83976">
        <w:t xml:space="preserve">; </w:t>
      </w:r>
      <w:r w:rsidRPr="000A168C">
        <w:rPr>
          <w:i/>
        </w:rPr>
        <w:t>see also Application of WorldCom, Inc. and MCI Commc’ns Corp. for Transfer of Control of MCI Communications Corporation to WorldCom, Inc.</w:t>
      </w:r>
      <w:r w:rsidRPr="00B83976">
        <w:t>, Memorandum Opinion and Order, 13 FCC Rcd 18025, 18032, para. 10 (1998) (stating that the Commission may attach conditions to the transfers)</w:t>
      </w:r>
      <w:r>
        <w:t xml:space="preserve">; </w:t>
      </w:r>
      <w:r>
        <w:rPr>
          <w:i/>
          <w:iCs/>
        </w:rPr>
        <w:t>Applications of T-Mobile US, Inc., and Sprint Corp. for Consent to Transfer Control of Licenses and Authorizations</w:t>
      </w:r>
      <w:r>
        <w:t>;</w:t>
      </w:r>
      <w:r>
        <w:rPr>
          <w:i/>
          <w:iCs/>
        </w:rPr>
        <w:t xml:space="preserve"> Applications of American H Block Wireless L.L.C., DBSD Corp., Gamma Acquisition L.L.C., and Manifest Wireless L.L.C. for Extension of </w:t>
      </w:r>
      <w:r w:rsidRPr="00566035">
        <w:rPr>
          <w:i/>
          <w:iCs/>
        </w:rPr>
        <w:t>Time</w:t>
      </w:r>
      <w:r>
        <w:t xml:space="preserve">, </w:t>
      </w:r>
      <w:r w:rsidRPr="00254978">
        <w:t>WT Docket No. 18-197</w:t>
      </w:r>
      <w:r>
        <w:t>, ULS File Nos. 0008741236, 0008741420, 0008741603, and 0008741789 et al., Memorandum Opinion and Order, Declaratory Ruling, and Order of Proposed Modification, 34 FCC Rcd 10578, 10596, para. 42 (2019) (</w:t>
      </w:r>
      <w:r w:rsidRPr="00566035">
        <w:rPr>
          <w:i/>
          <w:iCs/>
        </w:rPr>
        <w:t>T-</w:t>
      </w:r>
      <w:r>
        <w:rPr>
          <w:i/>
          <w:iCs/>
        </w:rPr>
        <w:t>Mobile-Sprint Order</w:t>
      </w:r>
      <w:r>
        <w:t>);</w:t>
      </w:r>
      <w:r w:rsidRPr="0017634C">
        <w:rPr>
          <w:i/>
          <w:iCs/>
        </w:rPr>
        <w:t xml:space="preserve"> </w:t>
      </w:r>
      <w:r w:rsidRPr="002B152E">
        <w:rPr>
          <w:i/>
          <w:iCs/>
        </w:rPr>
        <w:t xml:space="preserve">Verizon-Frontier </w:t>
      </w:r>
      <w:r w:rsidRPr="00BF3033">
        <w:rPr>
          <w:i/>
        </w:rPr>
        <w:t>Order</w:t>
      </w:r>
      <w:r>
        <w:rPr>
          <w:iCs/>
        </w:rPr>
        <w:t xml:space="preserve">, </w:t>
      </w:r>
      <w:r>
        <w:t>40 FCC Rcd at 3160</w:t>
      </w:r>
      <w:r>
        <w:rPr>
          <w:iCs/>
        </w:rPr>
        <w:t>, para. 10</w:t>
      </w:r>
      <w:r>
        <w:t>.</w:t>
      </w:r>
    </w:p>
  </w:footnote>
  <w:footnote w:id="35">
    <w:p w:rsidR="008534BE" w:rsidP="004107A6" w14:paraId="503EAD39" w14:textId="77777777">
      <w:pPr>
        <w:pStyle w:val="FootnoteText"/>
      </w:pPr>
      <w:r>
        <w:rPr>
          <w:rStyle w:val="FootnoteReference"/>
        </w:rPr>
        <w:footnoteRef/>
      </w:r>
      <w:r>
        <w:t xml:space="preserve"> </w:t>
      </w:r>
      <w:r w:rsidRPr="0019130C">
        <w:t xml:space="preserve">47 U.S.C. § 309(e); </w:t>
      </w:r>
      <w:r w:rsidRPr="0019130C">
        <w:rPr>
          <w:i/>
        </w:rPr>
        <w:t>CenturyLink-Level 3 Order</w:t>
      </w:r>
      <w:r w:rsidRPr="0019130C">
        <w:t xml:space="preserve">, 32 FCC Rcd at 9586, para. 10; </w:t>
      </w:r>
      <w:r w:rsidRPr="002B152E">
        <w:rPr>
          <w:i/>
          <w:iCs/>
        </w:rPr>
        <w:t xml:space="preserve">Verizon-Frontier </w:t>
      </w:r>
      <w:r w:rsidRPr="00BF3033">
        <w:rPr>
          <w:i/>
        </w:rPr>
        <w:t>Order</w:t>
      </w:r>
      <w:r>
        <w:rPr>
          <w:iCs/>
        </w:rPr>
        <w:t xml:space="preserve">, </w:t>
      </w:r>
      <w:r>
        <w:t>40 FCC Rcd at 3161</w:t>
      </w:r>
      <w:r>
        <w:rPr>
          <w:iCs/>
        </w:rPr>
        <w:t>, para. 11</w:t>
      </w:r>
      <w:r>
        <w:t xml:space="preserve">; </w:t>
      </w:r>
      <w:r w:rsidRPr="0019130C">
        <w:rPr>
          <w:i/>
        </w:rPr>
        <w:t>Verizon-Straight Path Order</w:t>
      </w:r>
      <w:r w:rsidRPr="0019130C">
        <w:t xml:space="preserve">, 33 FCC Rcd at 190-91, para. 7; </w:t>
      </w:r>
      <w:r w:rsidRPr="0019130C">
        <w:rPr>
          <w:i/>
        </w:rPr>
        <w:t>Alaska Wireless-GCI Order</w:t>
      </w:r>
      <w:r w:rsidRPr="0019130C">
        <w:t>, 28 FCC Rcd at 10442, para. 23.</w:t>
      </w:r>
    </w:p>
  </w:footnote>
  <w:footnote w:id="36">
    <w:p w:rsidR="008534BE" w:rsidP="004107A6" w14:paraId="0F884079" w14:textId="0AB66E49">
      <w:pPr>
        <w:pStyle w:val="FootnoteText"/>
      </w:pPr>
      <w:r>
        <w:rPr>
          <w:rStyle w:val="FootnoteReference"/>
        </w:rPr>
        <w:footnoteRef/>
      </w:r>
      <w:r>
        <w:t xml:space="preserve"> </w:t>
      </w:r>
      <w:r w:rsidRPr="0019130C">
        <w:rPr>
          <w:i/>
        </w:rPr>
        <w:t>See, e.g.</w:t>
      </w:r>
      <w:r w:rsidRPr="004D7DFA">
        <w:rPr>
          <w:iCs/>
        </w:rPr>
        <w:t>,</w:t>
      </w:r>
      <w:r w:rsidRPr="00B86C4C">
        <w:rPr>
          <w:iCs/>
        </w:rPr>
        <w:t xml:space="preserve"> </w:t>
      </w:r>
      <w:r w:rsidRPr="0019130C">
        <w:rPr>
          <w:i/>
        </w:rPr>
        <w:t>Alaska Wireless-GCI Order</w:t>
      </w:r>
      <w:r w:rsidRPr="0019130C">
        <w:t xml:space="preserve">, 28 FCC Rcd at 10443, para. 26; </w:t>
      </w:r>
      <w:r w:rsidR="00A336E3">
        <w:rPr>
          <w:i/>
          <w:iCs/>
        </w:rPr>
        <w:t>Applications</w:t>
      </w:r>
      <w:r>
        <w:rPr>
          <w:i/>
          <w:iCs/>
        </w:rPr>
        <w:t xml:space="preserve"> of </w:t>
      </w:r>
      <w:r w:rsidRPr="0019130C">
        <w:rPr>
          <w:i/>
        </w:rPr>
        <w:t>AT&amp;T</w:t>
      </w:r>
      <w:r>
        <w:rPr>
          <w:i/>
        </w:rPr>
        <w:t xml:space="preserve"> Inc. and </w:t>
      </w:r>
      <w:r w:rsidRPr="0019130C">
        <w:rPr>
          <w:i/>
        </w:rPr>
        <w:t xml:space="preserve">Centennial </w:t>
      </w:r>
      <w:r>
        <w:rPr>
          <w:i/>
        </w:rPr>
        <w:t>Communications Corp. for Consent to Transfer Control of Licenses, Authorizations, and Spectrum Leasing Arrangements</w:t>
      </w:r>
      <w:r w:rsidRPr="0019130C">
        <w:t>,</w:t>
      </w:r>
      <w:r>
        <w:t xml:space="preserve"> Memorandum Opinion and Order,</w:t>
      </w:r>
      <w:r w:rsidRPr="0019130C">
        <w:t xml:space="preserve"> 24 FCC Rcd </w:t>
      </w:r>
      <w:r>
        <w:t>13915,</w:t>
      </w:r>
      <w:r w:rsidRPr="0019130C">
        <w:t xml:space="preserve"> 13929, para. 30</w:t>
      </w:r>
      <w:r>
        <w:t xml:space="preserve"> (2009);</w:t>
      </w:r>
      <w:r w:rsidRPr="0017634C">
        <w:rPr>
          <w:i/>
          <w:iCs/>
        </w:rPr>
        <w:t xml:space="preserve"> </w:t>
      </w:r>
      <w:r w:rsidRPr="002B152E">
        <w:rPr>
          <w:i/>
          <w:iCs/>
        </w:rPr>
        <w:t xml:space="preserve">Verizon-Frontier </w:t>
      </w:r>
      <w:r w:rsidRPr="00BF3033">
        <w:rPr>
          <w:i/>
        </w:rPr>
        <w:t>Order</w:t>
      </w:r>
      <w:r>
        <w:rPr>
          <w:iCs/>
        </w:rPr>
        <w:t xml:space="preserve">, </w:t>
      </w:r>
      <w:r>
        <w:t>40 FCC Rcd at 3161,</w:t>
      </w:r>
      <w:r>
        <w:rPr>
          <w:iCs/>
        </w:rPr>
        <w:t xml:space="preserve"> para. 11</w:t>
      </w:r>
      <w:r w:rsidRPr="0019130C">
        <w:t>.</w:t>
      </w:r>
    </w:p>
  </w:footnote>
  <w:footnote w:id="37">
    <w:p w:rsidR="00086BCE" w:rsidRPr="003E313E" w:rsidP="004107A6" w14:paraId="400C07B3" w14:textId="1CE8AAB4">
      <w:pPr>
        <w:pStyle w:val="FootnoteText"/>
      </w:pPr>
      <w:r>
        <w:rPr>
          <w:rStyle w:val="FootnoteReference"/>
        </w:rPr>
        <w:footnoteRef/>
      </w:r>
      <w:r>
        <w:t xml:space="preserve"> </w:t>
      </w:r>
      <w:r w:rsidRPr="00487D94" w:rsidR="00487D94">
        <w:t>Application</w:t>
      </w:r>
      <w:r>
        <w:t xml:space="preserve"> at 11. </w:t>
      </w:r>
    </w:p>
  </w:footnote>
  <w:footnote w:id="38">
    <w:p w:rsidR="00C67A26" w:rsidRPr="002E4997" w:rsidP="004107A6" w14:paraId="63B081B8" w14:textId="4BFB62FB">
      <w:pPr>
        <w:pStyle w:val="FootnoteText"/>
      </w:pPr>
      <w:r>
        <w:rPr>
          <w:rStyle w:val="FootnoteReference"/>
        </w:rPr>
        <w:footnoteRef/>
      </w:r>
      <w:r>
        <w:t xml:space="preserve"> </w:t>
      </w:r>
      <w:r>
        <w:rPr>
          <w:i/>
          <w:iCs/>
        </w:rPr>
        <w:t>Id</w:t>
      </w:r>
      <w:r>
        <w:t xml:space="preserve">. </w:t>
      </w:r>
    </w:p>
  </w:footnote>
  <w:footnote w:id="39">
    <w:p w:rsidR="00086BCE" w:rsidRPr="00D71022" w:rsidP="004107A6" w14:paraId="3FE72F61" w14:textId="5088026E">
      <w:pPr>
        <w:pStyle w:val="FootnoteText"/>
        <w:rPr>
          <w:i/>
          <w:iCs/>
        </w:rPr>
      </w:pPr>
      <w:r>
        <w:rPr>
          <w:rStyle w:val="FootnoteReference"/>
        </w:rPr>
        <w:footnoteRef/>
      </w:r>
      <w:r>
        <w:t xml:space="preserve"> </w:t>
      </w:r>
      <w:r>
        <w:rPr>
          <w:i/>
          <w:iCs/>
        </w:rPr>
        <w:t>Id</w:t>
      </w:r>
      <w:r>
        <w:t xml:space="preserve">. (noting that many </w:t>
      </w:r>
      <w:r w:rsidRPr="00D71022">
        <w:t>of these competing services</w:t>
      </w:r>
      <w:r>
        <w:t xml:space="preserve"> </w:t>
      </w:r>
      <w:r w:rsidRPr="000E1E07">
        <w:t>including fixed wireless and satellite,</w:t>
      </w:r>
      <w:r>
        <w:t xml:space="preserve"> </w:t>
      </w:r>
      <w:r w:rsidRPr="00D71022">
        <w:t>are offered by large, national providers with significantly more resources than Swyft Fiber and</w:t>
      </w:r>
      <w:r>
        <w:t xml:space="preserve"> </w:t>
      </w:r>
      <w:r w:rsidRPr="00D71022">
        <w:t>the Fastwyre Licensees combined</w:t>
      </w:r>
      <w:r>
        <w:t>).</w:t>
      </w:r>
    </w:p>
  </w:footnote>
  <w:footnote w:id="40">
    <w:p w:rsidR="00086BCE" w:rsidRPr="002E4997" w:rsidP="004107A6" w14:paraId="2311848A" w14:textId="77777777">
      <w:pPr>
        <w:pStyle w:val="FootnoteText"/>
      </w:pPr>
      <w:r>
        <w:rPr>
          <w:rStyle w:val="FootnoteReference"/>
        </w:rPr>
        <w:footnoteRef/>
      </w:r>
      <w:r>
        <w:t xml:space="preserve"> </w:t>
      </w:r>
      <w:r>
        <w:rPr>
          <w:i/>
          <w:iCs/>
        </w:rPr>
        <w:t>Id</w:t>
      </w:r>
      <w:r>
        <w:t xml:space="preserve">.  </w:t>
      </w:r>
    </w:p>
  </w:footnote>
  <w:footnote w:id="41">
    <w:p w:rsidR="00086BCE" w:rsidRPr="005F73C8" w:rsidP="004107A6" w14:paraId="721675FA" w14:textId="0166AAD8">
      <w:pPr>
        <w:pStyle w:val="FootnoteText"/>
      </w:pPr>
      <w:r>
        <w:rPr>
          <w:rStyle w:val="FootnoteReference"/>
        </w:rPr>
        <w:footnoteRef/>
      </w:r>
      <w:r>
        <w:t xml:space="preserve"> </w:t>
      </w:r>
      <w:r w:rsidRPr="002D69FC">
        <w:rPr>
          <w:i/>
        </w:rPr>
        <w:t>Id</w:t>
      </w:r>
      <w:r w:rsidRPr="002D69FC">
        <w:t>. at 10 &amp; n.14.</w:t>
      </w:r>
      <w:r w:rsidRPr="002D69FC" w:rsidR="004463E9">
        <w:t xml:space="preserve">  </w:t>
      </w:r>
    </w:p>
  </w:footnote>
  <w:footnote w:id="42">
    <w:p w:rsidR="00137D4E" w:rsidRPr="00EA78D0" w:rsidP="004107A6" w14:paraId="284E6E33" w14:textId="062A2C38">
      <w:pPr>
        <w:pStyle w:val="FootnoteText"/>
      </w:pPr>
      <w:r w:rsidRPr="00EA78D0">
        <w:rPr>
          <w:rStyle w:val="FootnoteReference"/>
        </w:rPr>
        <w:footnoteRef/>
      </w:r>
      <w:r w:rsidRPr="00EA78D0">
        <w:t xml:space="preserve"> </w:t>
      </w:r>
      <w:r w:rsidRPr="00115155" w:rsidR="00115155">
        <w:rPr>
          <w:i/>
          <w:iCs/>
        </w:rPr>
        <w:t>Id</w:t>
      </w:r>
      <w:r w:rsidR="00115155">
        <w:t>.</w:t>
      </w:r>
      <w:r w:rsidRPr="00EA78D0">
        <w:t xml:space="preserve"> at 1-9; 12-17.</w:t>
      </w:r>
    </w:p>
  </w:footnote>
  <w:footnote w:id="43">
    <w:p w:rsidR="00F958B2" w:rsidP="004107A6" w14:paraId="4B387CBC" w14:textId="1251A186">
      <w:pPr>
        <w:pStyle w:val="FootnoteText"/>
      </w:pPr>
      <w:r>
        <w:rPr>
          <w:rStyle w:val="FootnoteReference"/>
        </w:rPr>
        <w:footnoteRef/>
      </w:r>
      <w:r>
        <w:t xml:space="preserve"> </w:t>
      </w:r>
      <w:r w:rsidRPr="00B11DE0">
        <w:rPr>
          <w:i/>
          <w:iCs/>
        </w:rPr>
        <w:t>See</w:t>
      </w:r>
      <w:r>
        <w:t xml:space="preserve"> Voluntary Commitment Letter at </w:t>
      </w:r>
      <w:r w:rsidR="00663030">
        <w:t>1</w:t>
      </w:r>
      <w:r>
        <w:t>.</w:t>
      </w:r>
      <w:r w:rsidR="00642DD3">
        <w:t xml:space="preserve">  </w:t>
      </w:r>
      <w:r w:rsidRPr="00B11DE0" w:rsidR="00642DD3">
        <w:rPr>
          <w:i/>
        </w:rPr>
        <w:t>Wireline Competition Bureau Authorizes 368 Companies in 44 States to Receive Enhanced Alternative Connect America Cost Model Support to Expand Rural Broadband</w:t>
      </w:r>
      <w:r w:rsidR="00642DD3">
        <w:t>, WC Docket No. 10-90, Public Notice, 39 FCC Rcd 11737 (WCB 2023); Enhanced A-CAM Authorization Report 1.1</w:t>
      </w:r>
      <w:r w:rsidR="0043329A">
        <w:t xml:space="preserve"> at 22,</w:t>
      </w:r>
      <w:r w:rsidR="00642DD3">
        <w:t xml:space="preserve"> https://docs.fcc.gov/public/attachments/DOC-407197A1.pdf.</w:t>
      </w:r>
    </w:p>
  </w:footnote>
  <w:footnote w:id="44">
    <w:p w:rsidR="009254E0" w:rsidP="004107A6" w14:paraId="79073E6E" w14:textId="17BFAB6E">
      <w:pPr>
        <w:pStyle w:val="FootnoteText"/>
      </w:pPr>
      <w:r>
        <w:rPr>
          <w:rStyle w:val="FootnoteReference"/>
        </w:rPr>
        <w:footnoteRef/>
      </w:r>
      <w:r>
        <w:t xml:space="preserve"> </w:t>
      </w:r>
      <w:r w:rsidRPr="00EB14B0">
        <w:rPr>
          <w:i/>
          <w:iCs/>
        </w:rPr>
        <w:t>See</w:t>
      </w:r>
      <w:r>
        <w:t xml:space="preserve"> </w:t>
      </w:r>
      <w:r w:rsidRPr="00C67A26" w:rsidR="00C67A26">
        <w:t xml:space="preserve">Voluntary Commitment Letter </w:t>
      </w:r>
      <w:r>
        <w:t xml:space="preserve">at 1.  </w:t>
      </w:r>
      <w:r w:rsidRPr="00B11DE0" w:rsidR="00F958B2">
        <w:rPr>
          <w:i/>
          <w:iCs/>
        </w:rPr>
        <w:t>Rural Digital Opportunity Fund Support Authorized for 5,657 Winning Bids</w:t>
      </w:r>
      <w:r w:rsidRPr="00AC2B48" w:rsidR="00F958B2">
        <w:t xml:space="preserve">, AU Docket No. 20-34, WC Docket Nos. 19-126, 10-90, Public Notice, </w:t>
      </w:r>
      <w:r w:rsidRPr="007862C1" w:rsidR="00F958B2">
        <w:t>37 FCC Rcd 3570</w:t>
      </w:r>
      <w:r w:rsidR="00F958B2">
        <w:t xml:space="preserve">, </w:t>
      </w:r>
      <w:r w:rsidRPr="00AC2B48" w:rsidR="00F958B2">
        <w:t>Attach. A (Authorized Long-Form Applicants and Winning Bids) (WCB 2022)</w:t>
      </w:r>
      <w:r w:rsidR="00F958B2">
        <w:t xml:space="preserve"> (authorizing Swyft Fiber to receive </w:t>
      </w:r>
      <w:r w:rsidRPr="00527E13" w:rsidR="00F958B2">
        <w:t>$142,323,296.80</w:t>
      </w:r>
      <w:r w:rsidR="00F958B2">
        <w:t xml:space="preserve"> in RDOF support to serve 52,430 locations within Louisiana SAC 279061)</w:t>
      </w:r>
      <w:r w:rsidR="00A1450B">
        <w:t xml:space="preserve"> (RDOF </w:t>
      </w:r>
      <w:r w:rsidRPr="00B11DE0" w:rsidR="00A1450B">
        <w:rPr>
          <w:i/>
          <w:iCs/>
        </w:rPr>
        <w:t>Authorization Public Notice</w:t>
      </w:r>
      <w:r w:rsidR="00A1450B">
        <w:t>)</w:t>
      </w:r>
      <w:r w:rsidR="00F958B2">
        <w:t>.</w:t>
      </w:r>
    </w:p>
  </w:footnote>
  <w:footnote w:id="45">
    <w:p w:rsidR="008A36FE" w:rsidRPr="008A36FE" w14:paraId="083A31F9" w14:textId="0881F634">
      <w:pPr>
        <w:pStyle w:val="FootnoteText"/>
      </w:pPr>
      <w:r>
        <w:rPr>
          <w:rStyle w:val="FootnoteReference"/>
        </w:rPr>
        <w:footnoteRef/>
      </w:r>
      <w:r>
        <w:t xml:space="preserve"> </w:t>
      </w:r>
      <w:r>
        <w:rPr>
          <w:i/>
          <w:iCs/>
        </w:rPr>
        <w:t xml:space="preserve">See </w:t>
      </w:r>
      <w:r>
        <w:t xml:space="preserve">Voluntary Commitment Letter.  </w:t>
      </w:r>
    </w:p>
  </w:footnote>
  <w:footnote w:id="46">
    <w:p w:rsidR="00586242" w:rsidP="004107A6" w14:paraId="026B071D" w14:textId="132517B5">
      <w:pPr>
        <w:pStyle w:val="FootnoteText"/>
      </w:pPr>
      <w:r>
        <w:rPr>
          <w:rStyle w:val="FootnoteReference"/>
        </w:rPr>
        <w:footnoteRef/>
      </w:r>
      <w:r>
        <w:t xml:space="preserve"> </w:t>
      </w:r>
      <w:r w:rsidRPr="004D0DD7">
        <w:t>FCC National Broadband Map,</w:t>
      </w:r>
      <w:r>
        <w:t xml:space="preserve"> </w:t>
      </w:r>
      <w:hyperlink r:id="rId1" w:history="1">
        <w:r w:rsidRPr="00B11DE0">
          <w:rPr>
            <w:rStyle w:val="Hyperlink"/>
            <w:sz w:val="18"/>
            <w:szCs w:val="18"/>
          </w:rPr>
          <w:t>https://broadbandmap.fcc.gov/datadownload/nationwidedata?pubData</w:t>
        </w:r>
      </w:hyperlink>
      <w:r w:rsidRPr="00B11DE0">
        <w:rPr>
          <w:sz w:val="18"/>
          <w:szCs w:val="18"/>
        </w:rPr>
        <w:t>Ver=jun2025.</w:t>
      </w:r>
    </w:p>
  </w:footnote>
  <w:footnote w:id="47">
    <w:p w:rsidR="00137D4E" w:rsidRPr="00EB14B0" w:rsidP="004107A6" w14:paraId="63E663BB" w14:textId="7625DDC3">
      <w:pPr>
        <w:pStyle w:val="FootnoteText"/>
      </w:pPr>
      <w:r w:rsidRPr="00EA78D0">
        <w:rPr>
          <w:rStyle w:val="FootnoteReference"/>
        </w:rPr>
        <w:footnoteRef/>
      </w:r>
      <w:r w:rsidRPr="00EA78D0">
        <w:t xml:space="preserve"> </w:t>
      </w:r>
      <w:r w:rsidRPr="00EB14B0" w:rsidR="000F12D5">
        <w:rPr>
          <w:i/>
          <w:iCs/>
        </w:rPr>
        <w:t>See</w:t>
      </w:r>
      <w:r w:rsidR="000F12D5">
        <w:t xml:space="preserve"> </w:t>
      </w:r>
      <w:r w:rsidR="00C67A26">
        <w:t>Voluntary Commitment Letter</w:t>
      </w:r>
      <w:r w:rsidR="00C67A26">
        <w:t xml:space="preserve"> </w:t>
      </w:r>
      <w:r w:rsidR="000F12D5">
        <w:t>at 1-2.</w:t>
      </w:r>
      <w:r w:rsidR="008F6B4C">
        <w:t xml:space="preserve">  </w:t>
      </w:r>
    </w:p>
  </w:footnote>
  <w:footnote w:id="48">
    <w:p w:rsidR="00F333DC" w:rsidP="004107A6" w14:paraId="50B81065" w14:textId="478566D6">
      <w:pPr>
        <w:pStyle w:val="FootnoteText"/>
      </w:pPr>
      <w:r>
        <w:rPr>
          <w:rStyle w:val="FootnoteReference"/>
        </w:rPr>
        <w:footnoteRef/>
      </w:r>
      <w:r>
        <w:t xml:space="preserve"> </w:t>
      </w:r>
      <w:r w:rsidRPr="00B11DE0">
        <w:rPr>
          <w:i/>
          <w:iCs/>
        </w:rPr>
        <w:t>See id</w:t>
      </w:r>
      <w:r>
        <w:t>. at 2.</w:t>
      </w:r>
      <w:r w:rsidR="006E10FA">
        <w:t xml:space="preserve">  </w:t>
      </w:r>
    </w:p>
  </w:footnote>
  <w:footnote w:id="49">
    <w:p w:rsidR="00D31C47" w:rsidRPr="006F1C8C" w:rsidP="004107A6" w14:paraId="1A1975B9" w14:textId="77777777">
      <w:pPr>
        <w:pStyle w:val="FootnoteText"/>
      </w:pPr>
      <w:r w:rsidRPr="006F1C8C">
        <w:rPr>
          <w:rStyle w:val="FootnoteReference"/>
          <w:sz w:val="20"/>
        </w:rPr>
        <w:footnoteRef/>
      </w:r>
      <w:r w:rsidRPr="006F1C8C">
        <w:t xml:space="preserve"> </w:t>
      </w:r>
      <w:r w:rsidRPr="006F1C8C">
        <w:rPr>
          <w:i/>
          <w:iCs/>
        </w:rPr>
        <w:t>See AT&amp;T/DIRECTV Order</w:t>
      </w:r>
      <w:r w:rsidRPr="006F1C8C">
        <w:t xml:space="preserve">, 30 FCC Rcd at 9237, paras. 273-74; </w:t>
      </w:r>
      <w:r w:rsidRPr="006F1C8C">
        <w:rPr>
          <w:i/>
        </w:rPr>
        <w:t>CenturyLink-Level 3 Order</w:t>
      </w:r>
      <w:r w:rsidRPr="006F1C8C">
        <w:t xml:space="preserve">, 32 FCC Rcd at 9604, para. 50 (citing </w:t>
      </w:r>
      <w:r w:rsidRPr="006F1C8C">
        <w:rPr>
          <w:i/>
        </w:rPr>
        <w:t>AT&amp;T Inc. and BellSouth Corporation Application for Transfer of Control</w:t>
      </w:r>
      <w:r w:rsidRPr="006F1C8C">
        <w:rPr>
          <w:iCs/>
        </w:rPr>
        <w:t xml:space="preserve">, WC Docket No. 06-74, </w:t>
      </w:r>
      <w:r w:rsidRPr="006F1C8C">
        <w:t>22 FCC Rcd 5662, 5761, para. 202 (2007)).</w:t>
      </w:r>
    </w:p>
  </w:footnote>
  <w:footnote w:id="50">
    <w:p w:rsidR="00D31C47" w:rsidRPr="006F1C8C" w:rsidP="004107A6" w14:paraId="5DC606C8" w14:textId="77777777">
      <w:pPr>
        <w:pStyle w:val="FootnoteText"/>
      </w:pPr>
      <w:r w:rsidRPr="006F1C8C">
        <w:rPr>
          <w:rStyle w:val="FootnoteReference"/>
          <w:sz w:val="20"/>
        </w:rPr>
        <w:footnoteRef/>
      </w:r>
      <w:r w:rsidRPr="006F1C8C">
        <w:t xml:space="preserve"> </w:t>
      </w:r>
      <w:r w:rsidRPr="006F1C8C">
        <w:rPr>
          <w:i/>
          <w:iCs/>
        </w:rPr>
        <w:t>See AT&amp;T/DIRECTV Order</w:t>
      </w:r>
      <w:r w:rsidRPr="006F1C8C">
        <w:t xml:space="preserve">, 30 FCC Rcd at 9237-38, paras. 275-76; </w:t>
      </w:r>
      <w:r w:rsidRPr="006F1C8C">
        <w:rPr>
          <w:i/>
        </w:rPr>
        <w:t>CenturyLink-Level 3 Order</w:t>
      </w:r>
      <w:r w:rsidRPr="006F1C8C">
        <w:t>, 32 FCC Rcd at 9586, para. 10.</w:t>
      </w:r>
    </w:p>
  </w:footnote>
  <w:footnote w:id="51">
    <w:p w:rsidR="00D31C47" w:rsidRPr="006F1C8C" w:rsidP="004107A6" w14:paraId="10FF18ED" w14:textId="6518E39F">
      <w:pPr>
        <w:pStyle w:val="FootnoteText"/>
      </w:pPr>
      <w:r w:rsidRPr="006F1C8C">
        <w:rPr>
          <w:rStyle w:val="FootnoteReference"/>
          <w:sz w:val="20"/>
        </w:rPr>
        <w:footnoteRef/>
      </w:r>
      <w:r w:rsidRPr="006F1C8C">
        <w:t xml:space="preserve"> </w:t>
      </w:r>
      <w:r w:rsidRPr="00487D94" w:rsidR="00487D94">
        <w:rPr>
          <w:i/>
          <w:iCs/>
        </w:rPr>
        <w:t>I</w:t>
      </w:r>
      <w:r w:rsidR="00487D94">
        <w:rPr>
          <w:i/>
          <w:iCs/>
        </w:rPr>
        <w:t>d</w:t>
      </w:r>
      <w:r w:rsidRPr="006F1C8C">
        <w:t>.</w:t>
      </w:r>
    </w:p>
  </w:footnote>
  <w:footnote w:id="52">
    <w:p w:rsidR="00D31C47" w:rsidRPr="006F1C8C" w:rsidP="004107A6" w14:paraId="256BEFA6" w14:textId="77777777">
      <w:pPr>
        <w:pStyle w:val="FootnoteText"/>
      </w:pPr>
      <w:r w:rsidRPr="006F1C8C">
        <w:rPr>
          <w:rStyle w:val="FootnoteReference"/>
          <w:sz w:val="20"/>
        </w:rPr>
        <w:footnoteRef/>
      </w:r>
      <w:r w:rsidRPr="006F1C8C">
        <w:t xml:space="preserve"> </w:t>
      </w:r>
      <w:r w:rsidRPr="006F1C8C">
        <w:rPr>
          <w:i/>
          <w:iCs/>
        </w:rPr>
        <w:t>See, e.g.</w:t>
      </w:r>
      <w:r w:rsidRPr="006F1C8C">
        <w:t>,</w:t>
      </w:r>
      <w:r w:rsidRPr="006F1C8C">
        <w:rPr>
          <w:i/>
          <w:iCs/>
        </w:rPr>
        <w:t xml:space="preserve"> AT&amp;T-DIRECTV Order</w:t>
      </w:r>
      <w:r w:rsidRPr="006F1C8C">
        <w:rPr>
          <w:iCs/>
        </w:rPr>
        <w:t xml:space="preserve">, </w:t>
      </w:r>
      <w:r w:rsidRPr="006F1C8C">
        <w:t xml:space="preserve">30 </w:t>
      </w:r>
      <w:r w:rsidRPr="006F1C8C">
        <w:rPr>
          <w:iCs/>
        </w:rPr>
        <w:t>FCC Rcd at 9140, para. 19.</w:t>
      </w:r>
    </w:p>
  </w:footnote>
  <w:footnote w:id="53">
    <w:p w:rsidR="00D31C47" w:rsidRPr="006F1C8C" w:rsidP="004107A6" w14:paraId="38D58BF2" w14:textId="77777777">
      <w:pPr>
        <w:pStyle w:val="FootnoteText"/>
      </w:pPr>
      <w:r w:rsidRPr="006F1C8C">
        <w:rPr>
          <w:rStyle w:val="FootnoteReference"/>
          <w:sz w:val="20"/>
        </w:rPr>
        <w:footnoteRef/>
      </w:r>
      <w:r w:rsidRPr="006F1C8C">
        <w:t xml:space="preserve"> </w:t>
      </w:r>
      <w:r w:rsidRPr="006F1C8C">
        <w:rPr>
          <w:i/>
        </w:rPr>
        <w:t>See Verizon-TracFone Order</w:t>
      </w:r>
      <w:r w:rsidRPr="006F1C8C">
        <w:rPr>
          <w:iCs/>
        </w:rPr>
        <w:t xml:space="preserve">, </w:t>
      </w:r>
      <w:r w:rsidRPr="006F1C8C">
        <w:rPr>
          <w:rStyle w:val="markedcontent"/>
        </w:rPr>
        <w:t>36 FCC Rcd at 17001</w:t>
      </w:r>
      <w:r w:rsidRPr="006F1C8C">
        <w:rPr>
          <w:iCs/>
        </w:rPr>
        <w:t xml:space="preserve">, para. 21 (citing </w:t>
      </w:r>
      <w:r w:rsidRPr="006F1C8C">
        <w:t>47 U.S.C. §§ 254, 332(c)(7), 1302; Telecommunications Act of 1996, Pub. L. No. 104-104, Preamble, 110 Stat. 56 (1996) (one purpose of the Act is to “accelerate rapidly private sector deployment of advanced telecommunications and information technologies and services”)).</w:t>
      </w:r>
    </w:p>
  </w:footnote>
  <w:footnote w:id="54">
    <w:p w:rsidR="00CE2736" w:rsidRPr="00FE567F" w:rsidP="004107A6" w14:paraId="0248BF94" w14:textId="244D5E6A">
      <w:pPr>
        <w:pStyle w:val="FootnoteText"/>
      </w:pPr>
      <w:r>
        <w:rPr>
          <w:rStyle w:val="FootnoteReference"/>
        </w:rPr>
        <w:footnoteRef/>
      </w:r>
      <w:r>
        <w:t xml:space="preserve"> </w:t>
      </w:r>
      <w:r w:rsidR="00617100">
        <w:t xml:space="preserve">Application at 9. </w:t>
      </w:r>
    </w:p>
  </w:footnote>
  <w:footnote w:id="55">
    <w:p w:rsidR="00CE2736" w:rsidRPr="00D04C67" w:rsidP="004107A6" w14:paraId="3BEA45E4" w14:textId="77777777">
      <w:pPr>
        <w:pStyle w:val="FootnoteText"/>
      </w:pPr>
      <w:r w:rsidRPr="00863BC8">
        <w:rPr>
          <w:rStyle w:val="FootnoteReference"/>
        </w:rPr>
        <w:footnoteRef/>
      </w:r>
      <w:r w:rsidRPr="00863BC8">
        <w:t xml:space="preserve"> </w:t>
      </w:r>
      <w:r w:rsidRPr="007E0D9F">
        <w:rPr>
          <w:i/>
          <w:iCs/>
        </w:rPr>
        <w:t>Id</w:t>
      </w:r>
      <w:r>
        <w:t xml:space="preserve">. at 9-10.  </w:t>
      </w:r>
    </w:p>
  </w:footnote>
  <w:footnote w:id="56">
    <w:p w:rsidR="00CE2736" w:rsidRPr="00D04C67" w:rsidP="004107A6" w14:paraId="25880D5B" w14:textId="77777777">
      <w:pPr>
        <w:pStyle w:val="FootnoteText"/>
      </w:pPr>
      <w:r>
        <w:rPr>
          <w:rStyle w:val="FootnoteReference"/>
        </w:rPr>
        <w:footnoteRef/>
      </w:r>
      <w:r>
        <w:t xml:space="preserve"> </w:t>
      </w:r>
      <w:r>
        <w:rPr>
          <w:i/>
          <w:iCs/>
        </w:rPr>
        <w:t>Id</w:t>
      </w:r>
      <w:r>
        <w:t xml:space="preserve">. </w:t>
      </w:r>
    </w:p>
  </w:footnote>
  <w:footnote w:id="57">
    <w:p w:rsidR="00D31C47" w:rsidP="004107A6" w14:paraId="6F751826" w14:textId="77777777">
      <w:pPr>
        <w:pStyle w:val="FootnoteText"/>
      </w:pPr>
      <w:r>
        <w:rPr>
          <w:rStyle w:val="FootnoteReference"/>
        </w:rPr>
        <w:footnoteRef/>
      </w:r>
      <w:r w:rsidR="00CE2736">
        <w:t xml:space="preserve"> </w:t>
      </w:r>
      <w:r w:rsidR="00CE2736">
        <w:rPr>
          <w:i/>
          <w:iCs/>
        </w:rPr>
        <w:t>Id</w:t>
      </w:r>
      <w:r w:rsidR="00CE2736">
        <w:t>. at 9.</w:t>
      </w:r>
    </w:p>
  </w:footnote>
  <w:footnote w:id="58">
    <w:p w:rsidR="00E47774" w:rsidP="004107A6" w14:paraId="11EC4688" w14:textId="77777777">
      <w:pPr>
        <w:pStyle w:val="FootnoteText"/>
      </w:pPr>
      <w:r>
        <w:rPr>
          <w:rStyle w:val="FootnoteReference"/>
        </w:rPr>
        <w:footnoteRef/>
      </w:r>
      <w:r>
        <w:t xml:space="preserve"> Letter from </w:t>
      </w:r>
      <w:r w:rsidRPr="004C5352">
        <w:t>Elizabeth R. Park</w:t>
      </w:r>
      <w:r>
        <w:t xml:space="preserve">, </w:t>
      </w:r>
      <w:r w:rsidRPr="004C5352">
        <w:t>Counsel for CSM Intermediate II, LLC</w:t>
      </w:r>
      <w:r>
        <w:t xml:space="preserve">, to Marlene H. Dortch, Secretary, FCC, WC Docket No. 25-353 (filed June 5, 2026) (Waiver Request).  </w:t>
      </w:r>
    </w:p>
  </w:footnote>
  <w:footnote w:id="59">
    <w:p w:rsidR="00E47774" w:rsidP="004107A6" w14:paraId="305A96E4" w14:textId="77777777">
      <w:pPr>
        <w:pStyle w:val="FootnoteText"/>
      </w:pPr>
      <w:r>
        <w:rPr>
          <w:rStyle w:val="FootnoteReference"/>
        </w:rPr>
        <w:footnoteRef/>
      </w:r>
      <w:r>
        <w:t xml:space="preserve"> </w:t>
      </w:r>
      <w:r w:rsidRPr="00F07C24">
        <w:t>47 CFR § 61.41(c)(2).</w:t>
      </w:r>
    </w:p>
  </w:footnote>
  <w:footnote w:id="60">
    <w:p w:rsidR="00E47774" w:rsidP="004107A6" w14:paraId="1E5B673F" w14:textId="77777777">
      <w:pPr>
        <w:pStyle w:val="FootnoteText"/>
      </w:pPr>
      <w:r>
        <w:rPr>
          <w:rStyle w:val="FootnoteReference"/>
        </w:rPr>
        <w:footnoteRef/>
      </w:r>
      <w:r>
        <w:t xml:space="preserve"> </w:t>
      </w:r>
      <w:r w:rsidRPr="00F07C24">
        <w:rPr>
          <w:i/>
          <w:iCs/>
        </w:rPr>
        <w:t>See Consolidated Communications of Pennsylvania Company, Inc. et al</w:t>
      </w:r>
      <w:r>
        <w:t>., WC Docket No. 19-275, Order, 37 FCC Rcd 4514, 4515, para. 3 (WCB 2022) (</w:t>
      </w:r>
      <w:r w:rsidRPr="00F07C24">
        <w:rPr>
          <w:i/>
          <w:iCs/>
        </w:rPr>
        <w:t>Consolidated Waiver Order</w:t>
      </w:r>
      <w:r>
        <w:t xml:space="preserve">); </w:t>
      </w:r>
      <w:r w:rsidRPr="00EB2C9A">
        <w:rPr>
          <w:i/>
          <w:iCs/>
        </w:rPr>
        <w:t>P</w:t>
      </w:r>
      <w:r w:rsidRPr="00F07C24">
        <w:rPr>
          <w:i/>
          <w:iCs/>
        </w:rPr>
        <w:t>olicy and Rules Concerning Rates for Dominant Carriers</w:t>
      </w:r>
      <w:r>
        <w:t>, CC Docket No. 87-313, Second Report and Order, 5 FCC Rcd 6786, 6819-20, paras. 271-81 (1990).</w:t>
      </w:r>
    </w:p>
  </w:footnote>
  <w:footnote w:id="61">
    <w:p w:rsidR="00E47774" w:rsidP="004107A6" w14:paraId="33949B21" w14:textId="77777777">
      <w:pPr>
        <w:pStyle w:val="FootnoteText"/>
      </w:pPr>
      <w:r>
        <w:rPr>
          <w:rStyle w:val="FootnoteReference"/>
        </w:rPr>
        <w:footnoteRef/>
      </w:r>
      <w:r>
        <w:t xml:space="preserve"> </w:t>
      </w:r>
      <w:r w:rsidRPr="00F07C24">
        <w:rPr>
          <w:i/>
          <w:iCs/>
        </w:rPr>
        <w:t>Policy and Rules Concerning Rates for Dominant Carriers</w:t>
      </w:r>
      <w:r>
        <w:t xml:space="preserve">, CC Docket No. 87-313, Order on Reconsideration, 6 FCC Rcd 2637, 2706, para. 149 n.207 (1991). </w:t>
      </w:r>
    </w:p>
  </w:footnote>
  <w:footnote w:id="62">
    <w:p w:rsidR="00E47774" w:rsidP="004107A6" w14:paraId="67100027" w14:textId="77777777">
      <w:pPr>
        <w:pStyle w:val="FootnoteText"/>
      </w:pPr>
      <w:r>
        <w:rPr>
          <w:rStyle w:val="FootnoteReference"/>
        </w:rPr>
        <w:footnoteRef/>
      </w:r>
      <w:r>
        <w:t xml:space="preserve"> </w:t>
      </w:r>
      <w:r w:rsidRPr="00F07C24">
        <w:rPr>
          <w:i/>
          <w:iCs/>
        </w:rPr>
        <w:t xml:space="preserve">See </w:t>
      </w:r>
      <w:r>
        <w:rPr>
          <w:i/>
          <w:iCs/>
        </w:rPr>
        <w:t>Consolidated Waiver Order</w:t>
      </w:r>
      <w:r w:rsidRPr="007F6491">
        <w:t xml:space="preserve">, 37 FCC Rcd at </w:t>
      </w:r>
      <w:r w:rsidRPr="00EB2C9A">
        <w:t>4521-22, para</w:t>
      </w:r>
      <w:r>
        <w:t>s</w:t>
      </w:r>
      <w:r w:rsidRPr="00EB2C9A">
        <w:t>. 16-18</w:t>
      </w:r>
      <w:r>
        <w:t xml:space="preserve">; </w:t>
      </w:r>
      <w:r w:rsidRPr="003938F5">
        <w:rPr>
          <w:i/>
          <w:iCs/>
        </w:rPr>
        <w:t>Domestic Section 214 Application Granted for the Acquisition of Certain Assets of Michigan Bell Telephone Company, LLC by UP Fiber, Inc</w:t>
      </w:r>
      <w:r>
        <w:t xml:space="preserve">.; </w:t>
      </w:r>
      <w:r w:rsidRPr="003938F5">
        <w:rPr>
          <w:i/>
          <w:iCs/>
        </w:rPr>
        <w:t>Joint Petition of Michigan Bell Telephone Company, LLC and UP Fiber, Inc. for Waiver of Part 36 and Section 61.42(c)(2) of the Commission’s Rules</w:t>
      </w:r>
      <w:r>
        <w:t xml:space="preserve">, WC Docket No. 25-181, CC Docket No. 96-45, Public Notice, </w:t>
      </w:r>
      <w:r w:rsidRPr="001D155B">
        <w:t>DA 26-181</w:t>
      </w:r>
      <w:r>
        <w:t>, at 5-7 (WCB Feb. 23, 2026) (</w:t>
      </w:r>
      <w:r w:rsidRPr="00CD02E0">
        <w:rPr>
          <w:i/>
          <w:iCs/>
        </w:rPr>
        <w:t>UP Fiber Public Notice</w:t>
      </w:r>
      <w:r>
        <w:t>).</w:t>
      </w:r>
    </w:p>
  </w:footnote>
  <w:footnote w:id="63">
    <w:p w:rsidR="00E47774" w:rsidP="004107A6" w14:paraId="6BE2B6BA" w14:textId="77777777">
      <w:pPr>
        <w:pStyle w:val="FootnoteText"/>
      </w:pPr>
      <w:r>
        <w:rPr>
          <w:rStyle w:val="FootnoteReference"/>
        </w:rPr>
        <w:footnoteRef/>
      </w:r>
      <w:r>
        <w:t xml:space="preserve"> Waiver Request at 1.</w:t>
      </w:r>
    </w:p>
  </w:footnote>
  <w:footnote w:id="64">
    <w:p w:rsidR="00E47774" w:rsidP="004107A6" w14:paraId="7388E040" w14:textId="77777777">
      <w:pPr>
        <w:pStyle w:val="FootnoteText"/>
      </w:pPr>
      <w:r>
        <w:rPr>
          <w:rStyle w:val="FootnoteReference"/>
        </w:rPr>
        <w:footnoteRef/>
      </w:r>
      <w:r>
        <w:t xml:space="preserve"> </w:t>
      </w:r>
      <w:r w:rsidRPr="004C5352">
        <w:rPr>
          <w:i/>
          <w:iCs/>
        </w:rPr>
        <w:t>Id</w:t>
      </w:r>
      <w:r>
        <w:t xml:space="preserve">.; </w:t>
      </w:r>
      <w:r w:rsidRPr="004C5352">
        <w:rPr>
          <w:i/>
          <w:iCs/>
        </w:rPr>
        <w:t>see</w:t>
      </w:r>
      <w:r>
        <w:t xml:space="preserve"> Application at 24-27.  </w:t>
      </w:r>
    </w:p>
  </w:footnote>
  <w:footnote w:id="65">
    <w:p w:rsidR="00D570B5" w14:paraId="7996CF40" w14:textId="52C2C9D2">
      <w:pPr>
        <w:pStyle w:val="FootnoteText"/>
      </w:pPr>
      <w:r>
        <w:rPr>
          <w:rStyle w:val="FootnoteReference"/>
        </w:rPr>
        <w:footnoteRef/>
      </w:r>
      <w:r>
        <w:t xml:space="preserve"> </w:t>
      </w:r>
      <w:r w:rsidR="00A11446">
        <w:t>S</w:t>
      </w:r>
      <w:r w:rsidRPr="00A11446" w:rsidR="00A11446">
        <w:t>pecifically</w:t>
      </w:r>
      <w:r w:rsidR="00AE1C50">
        <w:t>,</w:t>
      </w:r>
      <w:r w:rsidRPr="00A11446" w:rsidR="00A11446">
        <w:t xml:space="preserve"> Connect America Fund Broadband Loop Support and High Cost Loop Support under Part 54, subparts K and M, of the Commission’s rules (or successor cost-based programs, if any).</w:t>
      </w:r>
      <w:r w:rsidR="00E21258">
        <w:t xml:space="preserve">  </w:t>
      </w:r>
      <w:r w:rsidR="00E21258">
        <w:rPr>
          <w:i/>
          <w:iCs/>
        </w:rPr>
        <w:t xml:space="preserve">See </w:t>
      </w:r>
      <w:r w:rsidRPr="00CD02E0" w:rsidR="00AF58C7">
        <w:rPr>
          <w:i/>
          <w:iCs/>
        </w:rPr>
        <w:t>UP Fiber Public Notice</w:t>
      </w:r>
      <w:r w:rsidR="00AF58C7">
        <w:rPr>
          <w:i/>
          <w:iCs/>
        </w:rPr>
        <w:t xml:space="preserve"> </w:t>
      </w:r>
      <w:r w:rsidR="00AF58C7">
        <w:t xml:space="preserve">at 6-7.  </w:t>
      </w:r>
      <w:r w:rsidR="00AF58C7">
        <w:rPr>
          <w:i/>
          <w:iCs/>
        </w:rPr>
        <w:t>See also</w:t>
      </w:r>
      <w:r w:rsidR="00AF58C7">
        <w:t xml:space="preserve"> </w:t>
      </w:r>
      <w:r w:rsidR="00811761">
        <w:t>Supplement at 2</w:t>
      </w:r>
      <w:r w:rsidRPr="00167BBC" w:rsidR="00F75D3D">
        <w:t xml:space="preserve"> </w:t>
      </w:r>
      <w:r w:rsidRPr="00D660D1" w:rsidR="00167BBC">
        <w:t>(</w:t>
      </w:r>
      <w:r w:rsidR="00126B8C">
        <w:t>acknowledg</w:t>
      </w:r>
      <w:r w:rsidR="00167BBC">
        <w:t>ing</w:t>
      </w:r>
      <w:r w:rsidRPr="00EE1C21" w:rsidR="00126B8C">
        <w:t xml:space="preserve"> and recommit</w:t>
      </w:r>
      <w:r w:rsidR="00167BBC">
        <w:t>ting</w:t>
      </w:r>
      <w:r w:rsidRPr="00EE1C21" w:rsidR="00126B8C">
        <w:t xml:space="preserve"> to ensuring that all information </w:t>
      </w:r>
      <w:r w:rsidR="00126B8C">
        <w:t>that s</w:t>
      </w:r>
      <w:r w:rsidRPr="00EE1C21" w:rsidR="00126B8C">
        <w:t>ection 54.313(a)(4) of the Commission’s rules</w:t>
      </w:r>
      <w:r w:rsidR="00167BBC">
        <w:t>,</w:t>
      </w:r>
      <w:r w:rsidRPr="00167BBC" w:rsidR="00167BBC">
        <w:t xml:space="preserve"> </w:t>
      </w:r>
      <w:r w:rsidR="00167BBC">
        <w:t>47 CFR § 54.313(a)(4),</w:t>
      </w:r>
      <w:r w:rsidRPr="00EE1C21" w:rsidR="00126B8C">
        <w:t xml:space="preserve"> requires to be reported annually will be accurately and completely reported as part of their respective annual FCC Form 481 filing obligations</w:t>
      </w:r>
      <w:r w:rsidR="00167BBC">
        <w:t>).</w:t>
      </w:r>
      <w:r w:rsidR="00126B8C">
        <w:t xml:space="preserve">  </w:t>
      </w:r>
    </w:p>
  </w:footnote>
  <w:footnote w:id="66">
    <w:p w:rsidR="00E47774" w:rsidP="004107A6" w14:paraId="650FD9A1" w14:textId="77777777">
      <w:pPr>
        <w:pStyle w:val="FootnoteText"/>
      </w:pPr>
      <w:r>
        <w:rPr>
          <w:rStyle w:val="FootnoteReference"/>
        </w:rPr>
        <w:footnoteRef/>
      </w:r>
      <w:r>
        <w:t xml:space="preserve"> </w:t>
      </w:r>
      <w:r w:rsidRPr="00226F2A">
        <w:t>47 CFR § 1.3.</w:t>
      </w:r>
    </w:p>
  </w:footnote>
  <w:footnote w:id="67">
    <w:p w:rsidR="00E47774" w:rsidP="004107A6" w14:paraId="2C1CE25C" w14:textId="77777777">
      <w:pPr>
        <w:pStyle w:val="FootnoteText"/>
      </w:pPr>
      <w:r>
        <w:rPr>
          <w:rStyle w:val="FootnoteReference"/>
        </w:rPr>
        <w:footnoteRef/>
      </w:r>
      <w:r>
        <w:t xml:space="preserve"> </w:t>
      </w:r>
      <w:r w:rsidRPr="00226F2A">
        <w:rPr>
          <w:i/>
          <w:iCs/>
        </w:rPr>
        <w:t>Northeast Cellular Telephone Co. v. FCC</w:t>
      </w:r>
      <w:r w:rsidRPr="00226F2A">
        <w:t>, 897 F.2d 1164, 1166 (D.C. Cir. 1990) (</w:t>
      </w:r>
      <w:r w:rsidRPr="00226F2A">
        <w:rPr>
          <w:i/>
          <w:iCs/>
        </w:rPr>
        <w:t>Northeast Cellular</w:t>
      </w:r>
      <w:r w:rsidRPr="00226F2A">
        <w:t>).</w:t>
      </w:r>
    </w:p>
  </w:footnote>
  <w:footnote w:id="68">
    <w:p w:rsidR="00E47774" w:rsidP="004107A6" w14:paraId="6B24BA56" w14:textId="77777777">
      <w:pPr>
        <w:pStyle w:val="FootnoteText"/>
      </w:pPr>
      <w:r>
        <w:rPr>
          <w:rStyle w:val="FootnoteReference"/>
        </w:rPr>
        <w:footnoteRef/>
      </w:r>
      <w:r>
        <w:t xml:space="preserve"> </w:t>
      </w:r>
      <w:r w:rsidRPr="00226F2A">
        <w:rPr>
          <w:i/>
          <w:iCs/>
        </w:rPr>
        <w:t>WAIT Radio v. FCC</w:t>
      </w:r>
      <w:r w:rsidRPr="00226F2A">
        <w:t xml:space="preserve">, 418 F.2d 1153, 1159 (D.C. Cir. 1969); </w:t>
      </w:r>
      <w:r w:rsidRPr="00226F2A">
        <w:rPr>
          <w:i/>
          <w:iCs/>
        </w:rPr>
        <w:t>Northeast Cellular</w:t>
      </w:r>
      <w:r w:rsidRPr="00226F2A">
        <w:t>, 897 F.2d at 1166.</w:t>
      </w:r>
    </w:p>
  </w:footnote>
  <w:footnote w:id="69">
    <w:p w:rsidR="00E47774" w:rsidP="004107A6" w14:paraId="7B0D6A0D" w14:textId="77777777">
      <w:pPr>
        <w:pStyle w:val="FootnoteText"/>
      </w:pPr>
      <w:r>
        <w:rPr>
          <w:rStyle w:val="FootnoteReference"/>
        </w:rPr>
        <w:footnoteRef/>
      </w:r>
      <w:r>
        <w:t xml:space="preserve"> </w:t>
      </w:r>
      <w:r w:rsidRPr="00226F2A">
        <w:rPr>
          <w:i/>
          <w:iCs/>
        </w:rPr>
        <w:t>Northeast Cellular</w:t>
      </w:r>
      <w:r w:rsidRPr="00226F2A">
        <w:t>, 897 F.2d at 1166</w:t>
      </w:r>
      <w:r>
        <w:t>.</w:t>
      </w:r>
    </w:p>
  </w:footnote>
  <w:footnote w:id="70">
    <w:p w:rsidR="00E47774" w:rsidP="004107A6" w14:paraId="4CAA7BD1" w14:textId="77777777">
      <w:pPr>
        <w:pStyle w:val="FootnoteText"/>
        <w:tabs>
          <w:tab w:val="left" w:pos="7110"/>
        </w:tabs>
      </w:pPr>
      <w:r w:rsidRPr="00226F2A">
        <w:rPr>
          <w:rStyle w:val="FootnoteReference"/>
        </w:rPr>
        <w:footnoteRef/>
      </w:r>
      <w:r w:rsidRPr="00226F2A">
        <w:t xml:space="preserve"> </w:t>
      </w:r>
      <w:r w:rsidRPr="00226F2A">
        <w:rPr>
          <w:i/>
          <w:iCs/>
        </w:rPr>
        <w:t xml:space="preserve">See </w:t>
      </w:r>
      <w:r w:rsidRPr="00226F2A">
        <w:t>47 CFR § 1.3.</w:t>
      </w:r>
    </w:p>
  </w:footnote>
  <w:footnote w:id="71">
    <w:p w:rsidR="00E47774" w:rsidP="004107A6" w14:paraId="435CEDF2" w14:textId="77777777">
      <w:pPr>
        <w:pStyle w:val="FootnoteText"/>
      </w:pPr>
      <w:r>
        <w:rPr>
          <w:rStyle w:val="FootnoteReference"/>
        </w:rPr>
        <w:footnoteRef/>
      </w:r>
      <w:r>
        <w:t xml:space="preserve"> Waiver Request at 3. </w:t>
      </w:r>
    </w:p>
  </w:footnote>
  <w:footnote w:id="72">
    <w:p w:rsidR="00E47774" w:rsidP="004107A6" w14:paraId="5F2141C4" w14:textId="77777777">
      <w:pPr>
        <w:pStyle w:val="FootnoteText"/>
      </w:pPr>
      <w:r>
        <w:rPr>
          <w:rStyle w:val="FootnoteReference"/>
        </w:rPr>
        <w:footnoteRef/>
      </w:r>
      <w:r>
        <w:t xml:space="preserve"> 47 CFR § 51.915(f)(5) (“Beginning July 1, 2019, a Price Cap carrier may no longer recover any amount related to revenue recovery under this paragraph from CAF ICC Support.”).</w:t>
      </w:r>
    </w:p>
  </w:footnote>
  <w:footnote w:id="73">
    <w:p w:rsidR="00E47774" w:rsidP="004107A6" w14:paraId="19E4E8C7" w14:textId="77777777">
      <w:pPr>
        <w:pStyle w:val="FootnoteText"/>
      </w:pPr>
      <w:r>
        <w:rPr>
          <w:rStyle w:val="FootnoteReference"/>
        </w:rPr>
        <w:footnoteRef/>
      </w:r>
      <w:r>
        <w:t xml:space="preserve"> </w:t>
      </w:r>
      <w:r w:rsidRPr="00CD02E0">
        <w:t xml:space="preserve">Waiver Request at 3; </w:t>
      </w:r>
      <w:r w:rsidRPr="00CD02E0">
        <w:rPr>
          <w:i/>
          <w:iCs/>
        </w:rPr>
        <w:t>see Consolidated Waiver Order</w:t>
      </w:r>
      <w:r w:rsidRPr="00CD02E0">
        <w:t>, 37 FCC Rcd at 4521, para. 16</w:t>
      </w:r>
      <w:r>
        <w:t xml:space="preserve">; </w:t>
      </w:r>
      <w:r w:rsidRPr="00CD02E0">
        <w:rPr>
          <w:i/>
          <w:iCs/>
        </w:rPr>
        <w:t>UP Fiber Public Notice</w:t>
      </w:r>
      <w:r w:rsidRPr="00CD02E0">
        <w:t xml:space="preserve"> at 6.</w:t>
      </w:r>
    </w:p>
  </w:footnote>
  <w:footnote w:id="74">
    <w:p w:rsidR="00E47774" w:rsidP="004107A6" w14:paraId="7DC2D555" w14:textId="77777777">
      <w:pPr>
        <w:pStyle w:val="FootnoteText"/>
      </w:pPr>
      <w:r>
        <w:rPr>
          <w:rStyle w:val="FootnoteReference"/>
        </w:rPr>
        <w:footnoteRef/>
      </w:r>
      <w:r>
        <w:t xml:space="preserve"> </w:t>
      </w:r>
      <w:r w:rsidRPr="00CD02E0">
        <w:t xml:space="preserve">Waiver Request at 3. </w:t>
      </w:r>
    </w:p>
  </w:footnote>
  <w:footnote w:id="75">
    <w:p w:rsidR="00E47774" w:rsidP="004107A6" w14:paraId="367F232D" w14:textId="77777777">
      <w:pPr>
        <w:pStyle w:val="FootnoteText"/>
      </w:pPr>
      <w:r w:rsidRPr="00516340">
        <w:rPr>
          <w:rStyle w:val="FootnoteReference"/>
        </w:rPr>
        <w:footnoteRef/>
      </w:r>
      <w:r w:rsidRPr="00516340">
        <w:t xml:space="preserve"> 47 CFR §</w:t>
      </w:r>
      <w:r w:rsidRPr="00CD0A33">
        <w:t>§</w:t>
      </w:r>
      <w:r w:rsidRPr="00516340">
        <w:t xml:space="preserve"> </w:t>
      </w:r>
      <w:r>
        <w:t xml:space="preserve">51.909, </w:t>
      </w:r>
      <w:r w:rsidRPr="00516340">
        <w:t xml:space="preserve">51.917; </w:t>
      </w:r>
      <w:r w:rsidRPr="00516340">
        <w:rPr>
          <w:i/>
          <w:iCs/>
        </w:rPr>
        <w:t>Connect America Fund et al</w:t>
      </w:r>
      <w:r w:rsidRPr="00516340">
        <w:t xml:space="preserve">., WC Docket No. 10-90 et al., Report and Order and Further Notice of Proposed Rulemaking, 26 FCC Rcd 17663, </w:t>
      </w:r>
      <w:r>
        <w:t xml:space="preserve">17934-37, </w:t>
      </w:r>
      <w:r w:rsidRPr="00516340">
        <w:t>17983-84, para</w:t>
      </w:r>
      <w:r>
        <w:t>s</w:t>
      </w:r>
      <w:r w:rsidRPr="00516340">
        <w:t xml:space="preserve">. </w:t>
      </w:r>
      <w:r>
        <w:t xml:space="preserve">801-805, </w:t>
      </w:r>
      <w:r w:rsidRPr="00516340">
        <w:t>900</w:t>
      </w:r>
      <w:r>
        <w:t xml:space="preserve"> &amp; Fig. 9</w:t>
      </w:r>
      <w:r w:rsidRPr="00516340">
        <w:t xml:space="preserve"> (2011); </w:t>
      </w:r>
      <w:r w:rsidRPr="00CD0A33">
        <w:rPr>
          <w:i/>
          <w:iCs/>
        </w:rPr>
        <w:t>see</w:t>
      </w:r>
      <w:r>
        <w:t xml:space="preserve"> </w:t>
      </w:r>
      <w:r w:rsidRPr="00516340">
        <w:t>Waiver Request at 3.</w:t>
      </w:r>
      <w:r>
        <w:t xml:space="preserve">  </w:t>
      </w:r>
    </w:p>
  </w:footnote>
  <w:footnote w:id="76">
    <w:p w:rsidR="00E47774" w:rsidP="004107A6" w14:paraId="46755495" w14:textId="77777777">
      <w:pPr>
        <w:pStyle w:val="FootnoteText"/>
      </w:pPr>
      <w:r>
        <w:rPr>
          <w:rStyle w:val="FootnoteReference"/>
        </w:rPr>
        <w:footnoteRef/>
      </w:r>
      <w:r>
        <w:t xml:space="preserve"> </w:t>
      </w:r>
      <w:r w:rsidRPr="007D22B6">
        <w:rPr>
          <w:i/>
          <w:iCs/>
        </w:rPr>
        <w:t>Wireline Competition Bureau Announces Additional 120 Rate-of-Return Carrier Study Areas Electing Incentive Regulation for Their Business Data Services</w:t>
      </w:r>
      <w:r>
        <w:t>, WC Docket No. 17-144, Public Notice,</w:t>
      </w:r>
      <w:r w:rsidRPr="00563D8C">
        <w:t xml:space="preserve"> 39 FCC Rcd 7098</w:t>
      </w:r>
      <w:r>
        <w:t xml:space="preserve">, Appx. (WCB 2024); </w:t>
      </w:r>
      <w:r w:rsidRPr="00A467C8">
        <w:rPr>
          <w:i/>
          <w:iCs/>
        </w:rPr>
        <w:t>see</w:t>
      </w:r>
      <w:r>
        <w:t xml:space="preserve"> Waiver Request at 3.  </w:t>
      </w:r>
    </w:p>
  </w:footnote>
  <w:footnote w:id="77">
    <w:p w:rsidR="00E47774" w:rsidP="004107A6" w14:paraId="1E3AACCD" w14:textId="77777777">
      <w:pPr>
        <w:pStyle w:val="FootnoteText"/>
      </w:pPr>
      <w:r>
        <w:rPr>
          <w:rStyle w:val="FootnoteReference"/>
        </w:rPr>
        <w:footnoteRef/>
      </w:r>
      <w:r>
        <w:t xml:space="preserve"> </w:t>
      </w:r>
      <w:r w:rsidRPr="007A5DE5">
        <w:rPr>
          <w:i/>
          <w:iCs/>
        </w:rPr>
        <w:t>See</w:t>
      </w:r>
      <w:r>
        <w:t xml:space="preserve"> 47 CFR § 61.50(c) (“A rate-of-return carrier electing to offer business data services pursuant to this section shall employ the procedures outlined in 61.42 through 61.49 to calculate rates for its business data services….”)</w:t>
      </w:r>
    </w:p>
  </w:footnote>
  <w:footnote w:id="78">
    <w:p w:rsidR="00E47774" w:rsidP="004107A6" w14:paraId="4C03F1B0" w14:textId="77777777">
      <w:pPr>
        <w:pStyle w:val="FootnoteText"/>
      </w:pPr>
      <w:r>
        <w:rPr>
          <w:rStyle w:val="FootnoteReference"/>
        </w:rPr>
        <w:footnoteRef/>
      </w:r>
      <w:r>
        <w:t xml:space="preserve"> </w:t>
      </w:r>
      <w:r w:rsidRPr="006700BE">
        <w:t>Waiver Request at 3.</w:t>
      </w:r>
    </w:p>
  </w:footnote>
  <w:footnote w:id="79">
    <w:p w:rsidR="00E47774" w:rsidP="004107A6" w14:paraId="4E5BD623" w14:textId="77777777">
      <w:pPr>
        <w:pStyle w:val="FootnoteText"/>
      </w:pPr>
      <w:r>
        <w:rPr>
          <w:rStyle w:val="FootnoteReference"/>
        </w:rPr>
        <w:footnoteRef/>
      </w:r>
      <w:r>
        <w:t xml:space="preserve"> </w:t>
      </w:r>
      <w:r w:rsidRPr="007C2055">
        <w:rPr>
          <w:i/>
          <w:iCs/>
        </w:rPr>
        <w:t>Id</w:t>
      </w:r>
      <w:r>
        <w:t xml:space="preserve">. </w:t>
      </w:r>
    </w:p>
  </w:footnote>
  <w:footnote w:id="80">
    <w:p w:rsidR="00E47774" w:rsidP="004107A6" w14:paraId="3432D774" w14:textId="77777777">
      <w:pPr>
        <w:pStyle w:val="FootnoteText"/>
      </w:pPr>
      <w:r>
        <w:rPr>
          <w:rStyle w:val="FootnoteReference"/>
        </w:rPr>
        <w:footnoteRef/>
      </w:r>
      <w:r>
        <w:t xml:space="preserve"> </w:t>
      </w:r>
      <w:r w:rsidRPr="00452AD9">
        <w:rPr>
          <w:i/>
          <w:iCs/>
        </w:rPr>
        <w:t>Id</w:t>
      </w:r>
      <w:r w:rsidRPr="00563D8C">
        <w:t>.</w:t>
      </w:r>
      <w:r>
        <w:t xml:space="preserve"> at 2-3.</w:t>
      </w:r>
    </w:p>
  </w:footnote>
  <w:footnote w:id="81">
    <w:p w:rsidR="00E47774" w:rsidP="004107A6" w14:paraId="1D8055B5" w14:textId="77777777">
      <w:pPr>
        <w:pStyle w:val="FootnoteText"/>
      </w:pPr>
      <w:r>
        <w:rPr>
          <w:rStyle w:val="FootnoteReference"/>
        </w:rPr>
        <w:footnoteRef/>
      </w:r>
      <w:r>
        <w:t xml:space="preserve"> </w:t>
      </w:r>
      <w:r w:rsidRPr="00F757EC">
        <w:rPr>
          <w:i/>
          <w:iCs/>
        </w:rPr>
        <w:t>Id</w:t>
      </w:r>
      <w:r>
        <w:t xml:space="preserve">. at 4. </w:t>
      </w:r>
    </w:p>
  </w:footnote>
  <w:footnote w:id="82">
    <w:p w:rsidR="00A86ADB" w:rsidRPr="00A412FF" w:rsidP="004107A6" w14:paraId="0FEA48BF" w14:textId="77777777">
      <w:pPr>
        <w:pStyle w:val="FootnoteText"/>
        <w:rPr>
          <w:iCs/>
          <w:color w:val="212121"/>
        </w:rPr>
      </w:pPr>
      <w:r w:rsidRPr="00A412FF">
        <w:rPr>
          <w:rStyle w:val="FootnoteReference"/>
        </w:rPr>
        <w:footnoteRef/>
      </w:r>
      <w:r w:rsidRPr="00A412FF">
        <w:t xml:space="preserve"> </w:t>
      </w:r>
      <w:r w:rsidRPr="00A412FF">
        <w:rPr>
          <w:i/>
        </w:rPr>
        <w:t xml:space="preserve">See </w:t>
      </w:r>
      <w:r w:rsidRPr="00A412FF">
        <w:rPr>
          <w:iCs/>
        </w:rPr>
        <w:t xml:space="preserve">47 U.S.C. § 214(a).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E7FCBA3" w14:textId="247134CC">
    <w:pPr>
      <w:tabs>
        <w:tab w:val="center" w:pos="4680"/>
        <w:tab w:val="right" w:pos="9360"/>
      </w:tabs>
    </w:pPr>
    <w:r>
      <w:rPr>
        <w:b/>
      </w:rPr>
      <w:tab/>
      <w:t>Federal Communications Commission</w:t>
    </w:r>
    <w:r>
      <w:rPr>
        <w:b/>
      </w:rPr>
      <w:tab/>
    </w:r>
    <w:r w:rsidRPr="00D660D1" w:rsidR="009A6574">
      <w:rPr>
        <w:b/>
      </w:rPr>
      <w:t>DA 2</w:t>
    </w:r>
    <w:r w:rsidRPr="00D660D1" w:rsidR="0002312F">
      <w:rPr>
        <w:b/>
      </w:rPr>
      <w:t>6</w:t>
    </w:r>
    <w:r w:rsidRPr="00D660D1" w:rsidR="009A6574">
      <w:rPr>
        <w:b/>
      </w:rPr>
      <w:t>-</w:t>
    </w:r>
    <w:r w:rsidR="006677AA">
      <w:rPr>
        <w:b/>
      </w:rPr>
      <w:t>690</w:t>
    </w:r>
  </w:p>
  <w:p w:rsidR="00BA3BA8" w14:paraId="47B3F9FE" w14:textId="02D68A6B">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5E8A4D94"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FBD0559" w14:textId="37959955">
    <w:pPr>
      <w:pStyle w:val="Header"/>
    </w:pPr>
    <w:r>
      <w:rPr>
        <w:noProof/>
      </w:rPr>
      <w:drawing>
        <wp:inline distT="0" distB="0" distL="0" distR="0">
          <wp:extent cx="594995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995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61175B5"/>
    <w:multiLevelType w:val="multilevel"/>
    <w:tmpl w:val="FBA6CF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2B06AE2"/>
    <w:multiLevelType w:val="multilevel"/>
    <w:tmpl w:val="69BE1C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27F644F3"/>
    <w:multiLevelType w:val="hybridMultilevel"/>
    <w:tmpl w:val="18CA4444"/>
    <w:lvl w:ilvl="0">
      <w:start w:val="0"/>
      <w:numFmt w:val="bullet"/>
      <w:lvlText w:val=""/>
      <w:lvlJc w:val="left"/>
      <w:pPr>
        <w:ind w:left="1840" w:hanging="400"/>
      </w:pPr>
      <w:rPr>
        <w:rFonts w:ascii="Symbol" w:eastAsia="Aptos" w:hAnsi="Symbol" w:cs="Courier New" w:hint="default"/>
        <w:sz w:val="20"/>
      </w:rPr>
    </w:lvl>
    <w:lvl w:ilvl="1">
      <w:start w:val="1"/>
      <w:numFmt w:val="bullet"/>
      <w:lvlText w:val="o"/>
      <w:lvlJc w:val="left"/>
      <w:pPr>
        <w:ind w:left="2520" w:hanging="360"/>
      </w:pPr>
      <w:rPr>
        <w:rFonts w:ascii="Courier New" w:hAnsi="Courier New" w:cs="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8">
    <w:nsid w:val="2D637B60"/>
    <w:multiLevelType w:val="hybridMultilevel"/>
    <w:tmpl w:val="D100A32E"/>
    <w:lvl w:ilvl="0">
      <w:start w:val="1"/>
      <w:numFmt w:val="decimal"/>
      <w:lvlText w:val="%1)"/>
      <w:lvlJc w:val="left"/>
      <w:pPr>
        <w:ind w:left="1080" w:hanging="360"/>
      </w:pPr>
      <w:rPr>
        <w:rFonts w:hint="default"/>
        <w:i w:val="0"/>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9">
    <w:nsid w:val="3FD6306B"/>
    <w:multiLevelType w:val="hybridMultilevel"/>
    <w:tmpl w:val="50D0A5B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1">
    <w:nsid w:val="57B92297"/>
    <w:multiLevelType w:val="hybridMultilevel"/>
    <w:tmpl w:val="5D8ADF72"/>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2">
    <w:nsid w:val="5EAE0AD3"/>
    <w:multiLevelType w:val="hybridMultilevel"/>
    <w:tmpl w:val="D05870C0"/>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3">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4">
    <w:nsid w:val="651F1920"/>
    <w:multiLevelType w:val="multilevel"/>
    <w:tmpl w:val="2E062B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0445072">
    <w:abstractNumId w:val="4"/>
  </w:num>
  <w:num w:numId="2" w16cid:durableId="10450596">
    <w:abstractNumId w:val="13"/>
  </w:num>
  <w:num w:numId="3" w16cid:durableId="1446579033">
    <w:abstractNumId w:val="6"/>
  </w:num>
  <w:num w:numId="4" w16cid:durableId="301204587">
    <w:abstractNumId w:val="10"/>
  </w:num>
  <w:num w:numId="5" w16cid:durableId="444347286">
    <w:abstractNumId w:val="5"/>
  </w:num>
  <w:num w:numId="6" w16cid:durableId="1088965938">
    <w:abstractNumId w:val="1"/>
  </w:num>
  <w:num w:numId="7" w16cid:durableId="2096245613">
    <w:abstractNumId w:val="15"/>
  </w:num>
  <w:num w:numId="8" w16cid:durableId="823476080">
    <w:abstractNumId w:val="2"/>
  </w:num>
  <w:num w:numId="9" w16cid:durableId="1831603079">
    <w:abstractNumId w:val="16"/>
  </w:num>
  <w:num w:numId="10" w16cid:durableId="120610044">
    <w:abstractNumId w:val="0"/>
  </w:num>
  <w:num w:numId="11" w16cid:durableId="625040294">
    <w:abstractNumId w:val="3"/>
  </w:num>
  <w:num w:numId="12" w16cid:durableId="1861238991">
    <w:abstractNumId w:val="12"/>
  </w:num>
  <w:num w:numId="13" w16cid:durableId="472412030">
    <w:abstractNumId w:val="9"/>
  </w:num>
  <w:num w:numId="14" w16cid:durableId="273682685">
    <w:abstractNumId w:val="7"/>
  </w:num>
  <w:num w:numId="15" w16cid:durableId="393237997">
    <w:abstractNumId w:val="14"/>
  </w:num>
  <w:num w:numId="16" w16cid:durableId="983505313">
    <w:abstractNumId w:val="11"/>
  </w:num>
  <w:num w:numId="17" w16cid:durableId="186374035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ED8"/>
    <w:rsid w:val="00000B06"/>
    <w:rsid w:val="000023F6"/>
    <w:rsid w:val="00002BC9"/>
    <w:rsid w:val="00002E74"/>
    <w:rsid w:val="000038D9"/>
    <w:rsid w:val="00004948"/>
    <w:rsid w:val="00004AAB"/>
    <w:rsid w:val="00004E27"/>
    <w:rsid w:val="00005B46"/>
    <w:rsid w:val="00006808"/>
    <w:rsid w:val="00007F5A"/>
    <w:rsid w:val="0001065E"/>
    <w:rsid w:val="0001175A"/>
    <w:rsid w:val="00012118"/>
    <w:rsid w:val="0001256C"/>
    <w:rsid w:val="00012BBF"/>
    <w:rsid w:val="00012F17"/>
    <w:rsid w:val="000159A1"/>
    <w:rsid w:val="00015DD6"/>
    <w:rsid w:val="000170F8"/>
    <w:rsid w:val="00017BB3"/>
    <w:rsid w:val="00017E5C"/>
    <w:rsid w:val="0002312F"/>
    <w:rsid w:val="000253EA"/>
    <w:rsid w:val="0003015C"/>
    <w:rsid w:val="00031AD7"/>
    <w:rsid w:val="00032AB4"/>
    <w:rsid w:val="0003362F"/>
    <w:rsid w:val="00033638"/>
    <w:rsid w:val="00034512"/>
    <w:rsid w:val="00036266"/>
    <w:rsid w:val="000362A1"/>
    <w:rsid w:val="00037291"/>
    <w:rsid w:val="00037EBE"/>
    <w:rsid w:val="00041462"/>
    <w:rsid w:val="00041C3F"/>
    <w:rsid w:val="00042BB8"/>
    <w:rsid w:val="00042C85"/>
    <w:rsid w:val="00045D26"/>
    <w:rsid w:val="00046BE3"/>
    <w:rsid w:val="00046C1F"/>
    <w:rsid w:val="00046F29"/>
    <w:rsid w:val="0004702F"/>
    <w:rsid w:val="000471AB"/>
    <w:rsid w:val="00050C09"/>
    <w:rsid w:val="000516E4"/>
    <w:rsid w:val="00051728"/>
    <w:rsid w:val="0005299F"/>
    <w:rsid w:val="00052AAC"/>
    <w:rsid w:val="000535A1"/>
    <w:rsid w:val="00053E93"/>
    <w:rsid w:val="00054236"/>
    <w:rsid w:val="000556E3"/>
    <w:rsid w:val="000562AF"/>
    <w:rsid w:val="00057A67"/>
    <w:rsid w:val="00061291"/>
    <w:rsid w:val="00063429"/>
    <w:rsid w:val="00063E6F"/>
    <w:rsid w:val="00064A31"/>
    <w:rsid w:val="00064C9C"/>
    <w:rsid w:val="00065BD9"/>
    <w:rsid w:val="0006688D"/>
    <w:rsid w:val="00071025"/>
    <w:rsid w:val="000712F4"/>
    <w:rsid w:val="00077798"/>
    <w:rsid w:val="00080449"/>
    <w:rsid w:val="000814BF"/>
    <w:rsid w:val="00083790"/>
    <w:rsid w:val="00085A9B"/>
    <w:rsid w:val="00086BCE"/>
    <w:rsid w:val="00087ED8"/>
    <w:rsid w:val="00090350"/>
    <w:rsid w:val="00090590"/>
    <w:rsid w:val="00095A3F"/>
    <w:rsid w:val="00095FCC"/>
    <w:rsid w:val="00097805"/>
    <w:rsid w:val="00097CC7"/>
    <w:rsid w:val="00097F57"/>
    <w:rsid w:val="000A168C"/>
    <w:rsid w:val="000B0D38"/>
    <w:rsid w:val="000B3B93"/>
    <w:rsid w:val="000B47F2"/>
    <w:rsid w:val="000B4827"/>
    <w:rsid w:val="000B5151"/>
    <w:rsid w:val="000B5578"/>
    <w:rsid w:val="000C0301"/>
    <w:rsid w:val="000C0F2B"/>
    <w:rsid w:val="000C3005"/>
    <w:rsid w:val="000C3B67"/>
    <w:rsid w:val="000C6865"/>
    <w:rsid w:val="000C6AC2"/>
    <w:rsid w:val="000C6F15"/>
    <w:rsid w:val="000D0943"/>
    <w:rsid w:val="000D0B4C"/>
    <w:rsid w:val="000D1190"/>
    <w:rsid w:val="000D2157"/>
    <w:rsid w:val="000D2A51"/>
    <w:rsid w:val="000D4945"/>
    <w:rsid w:val="000D51A4"/>
    <w:rsid w:val="000D5986"/>
    <w:rsid w:val="000D6D9D"/>
    <w:rsid w:val="000E0388"/>
    <w:rsid w:val="000E07A1"/>
    <w:rsid w:val="000E1B9C"/>
    <w:rsid w:val="000E1DCC"/>
    <w:rsid w:val="000E1E07"/>
    <w:rsid w:val="000E22A0"/>
    <w:rsid w:val="000E22A7"/>
    <w:rsid w:val="000E2FC4"/>
    <w:rsid w:val="000E3B87"/>
    <w:rsid w:val="000F0516"/>
    <w:rsid w:val="000F12D5"/>
    <w:rsid w:val="000F38FE"/>
    <w:rsid w:val="000F3D26"/>
    <w:rsid w:val="000F53F6"/>
    <w:rsid w:val="000F60A6"/>
    <w:rsid w:val="000F6139"/>
    <w:rsid w:val="000F6199"/>
    <w:rsid w:val="00100C93"/>
    <w:rsid w:val="00100CF5"/>
    <w:rsid w:val="00100D1B"/>
    <w:rsid w:val="001021EC"/>
    <w:rsid w:val="0010294B"/>
    <w:rsid w:val="0010711E"/>
    <w:rsid w:val="00112184"/>
    <w:rsid w:val="001124B6"/>
    <w:rsid w:val="00113228"/>
    <w:rsid w:val="001141F6"/>
    <w:rsid w:val="0011435F"/>
    <w:rsid w:val="00114AC3"/>
    <w:rsid w:val="00115155"/>
    <w:rsid w:val="00115417"/>
    <w:rsid w:val="00117461"/>
    <w:rsid w:val="0011766D"/>
    <w:rsid w:val="00120429"/>
    <w:rsid w:val="00122500"/>
    <w:rsid w:val="0012350B"/>
    <w:rsid w:val="00125244"/>
    <w:rsid w:val="0012560A"/>
    <w:rsid w:val="00126B8C"/>
    <w:rsid w:val="00127E62"/>
    <w:rsid w:val="00131464"/>
    <w:rsid w:val="00132A29"/>
    <w:rsid w:val="00132B0F"/>
    <w:rsid w:val="00133B21"/>
    <w:rsid w:val="00135BDE"/>
    <w:rsid w:val="00137D4E"/>
    <w:rsid w:val="00140C6A"/>
    <w:rsid w:val="001419A4"/>
    <w:rsid w:val="00145174"/>
    <w:rsid w:val="0014592F"/>
    <w:rsid w:val="00152042"/>
    <w:rsid w:val="00152875"/>
    <w:rsid w:val="0015630D"/>
    <w:rsid w:val="00156D7D"/>
    <w:rsid w:val="001609BB"/>
    <w:rsid w:val="001609E6"/>
    <w:rsid w:val="001626AE"/>
    <w:rsid w:val="001652CE"/>
    <w:rsid w:val="00167BBC"/>
    <w:rsid w:val="00171154"/>
    <w:rsid w:val="0017198D"/>
    <w:rsid w:val="0017198F"/>
    <w:rsid w:val="001734EA"/>
    <w:rsid w:val="0017634C"/>
    <w:rsid w:val="001763C0"/>
    <w:rsid w:val="00177993"/>
    <w:rsid w:val="001835C8"/>
    <w:rsid w:val="0018410C"/>
    <w:rsid w:val="001846F2"/>
    <w:rsid w:val="00184B87"/>
    <w:rsid w:val="00187603"/>
    <w:rsid w:val="0019130C"/>
    <w:rsid w:val="00193605"/>
    <w:rsid w:val="0019478D"/>
    <w:rsid w:val="0019535F"/>
    <w:rsid w:val="00195BC2"/>
    <w:rsid w:val="00195CB6"/>
    <w:rsid w:val="00197151"/>
    <w:rsid w:val="0019745A"/>
    <w:rsid w:val="001A03FA"/>
    <w:rsid w:val="001A15C5"/>
    <w:rsid w:val="001A16F7"/>
    <w:rsid w:val="001A2AF9"/>
    <w:rsid w:val="001A3611"/>
    <w:rsid w:val="001A6D71"/>
    <w:rsid w:val="001A79C7"/>
    <w:rsid w:val="001B69FB"/>
    <w:rsid w:val="001C2D1F"/>
    <w:rsid w:val="001C320E"/>
    <w:rsid w:val="001C350F"/>
    <w:rsid w:val="001C417D"/>
    <w:rsid w:val="001C5451"/>
    <w:rsid w:val="001C7567"/>
    <w:rsid w:val="001C78C5"/>
    <w:rsid w:val="001C7D2B"/>
    <w:rsid w:val="001D0EEA"/>
    <w:rsid w:val="001D155B"/>
    <w:rsid w:val="001D179E"/>
    <w:rsid w:val="001D1EFF"/>
    <w:rsid w:val="001D240C"/>
    <w:rsid w:val="001D26C8"/>
    <w:rsid w:val="001D2BBA"/>
    <w:rsid w:val="001D34D3"/>
    <w:rsid w:val="001D510A"/>
    <w:rsid w:val="001D5285"/>
    <w:rsid w:val="001D52C0"/>
    <w:rsid w:val="001D5E95"/>
    <w:rsid w:val="001D6D5E"/>
    <w:rsid w:val="001E1179"/>
    <w:rsid w:val="001E2B77"/>
    <w:rsid w:val="001E4885"/>
    <w:rsid w:val="001E5FA4"/>
    <w:rsid w:val="001E6249"/>
    <w:rsid w:val="001E6703"/>
    <w:rsid w:val="001F0E87"/>
    <w:rsid w:val="001F128C"/>
    <w:rsid w:val="001F37EB"/>
    <w:rsid w:val="001F38E1"/>
    <w:rsid w:val="001F79F3"/>
    <w:rsid w:val="001F7BAF"/>
    <w:rsid w:val="0020145C"/>
    <w:rsid w:val="00202C57"/>
    <w:rsid w:val="002038FE"/>
    <w:rsid w:val="00204914"/>
    <w:rsid w:val="00205D50"/>
    <w:rsid w:val="00210404"/>
    <w:rsid w:val="002109A9"/>
    <w:rsid w:val="002110B1"/>
    <w:rsid w:val="00211274"/>
    <w:rsid w:val="002146BB"/>
    <w:rsid w:val="002155E6"/>
    <w:rsid w:val="00216E69"/>
    <w:rsid w:val="00217CF7"/>
    <w:rsid w:val="00220043"/>
    <w:rsid w:val="002215DE"/>
    <w:rsid w:val="00221A0B"/>
    <w:rsid w:val="00222508"/>
    <w:rsid w:val="002232AB"/>
    <w:rsid w:val="00223624"/>
    <w:rsid w:val="00224009"/>
    <w:rsid w:val="00224037"/>
    <w:rsid w:val="00224399"/>
    <w:rsid w:val="00226C6A"/>
    <w:rsid w:val="00226F2A"/>
    <w:rsid w:val="00227E96"/>
    <w:rsid w:val="00227F1C"/>
    <w:rsid w:val="00232020"/>
    <w:rsid w:val="0023260B"/>
    <w:rsid w:val="00234D09"/>
    <w:rsid w:val="00234E1B"/>
    <w:rsid w:val="00235020"/>
    <w:rsid w:val="002378B1"/>
    <w:rsid w:val="00237D8F"/>
    <w:rsid w:val="0024045A"/>
    <w:rsid w:val="00241C32"/>
    <w:rsid w:val="00245611"/>
    <w:rsid w:val="00250DF6"/>
    <w:rsid w:val="00251619"/>
    <w:rsid w:val="002517C1"/>
    <w:rsid w:val="00251F14"/>
    <w:rsid w:val="002545A3"/>
    <w:rsid w:val="00254978"/>
    <w:rsid w:val="002570DD"/>
    <w:rsid w:val="00261FEA"/>
    <w:rsid w:val="00262130"/>
    <w:rsid w:val="00262301"/>
    <w:rsid w:val="00263F0F"/>
    <w:rsid w:val="00264590"/>
    <w:rsid w:val="00265B66"/>
    <w:rsid w:val="00267AAC"/>
    <w:rsid w:val="00267C46"/>
    <w:rsid w:val="0027053F"/>
    <w:rsid w:val="00272E2F"/>
    <w:rsid w:val="002743F1"/>
    <w:rsid w:val="002751EF"/>
    <w:rsid w:val="00275745"/>
    <w:rsid w:val="00277B7B"/>
    <w:rsid w:val="00277C8C"/>
    <w:rsid w:val="0028099D"/>
    <w:rsid w:val="00280AC4"/>
    <w:rsid w:val="00280CD7"/>
    <w:rsid w:val="002850A5"/>
    <w:rsid w:val="00286E03"/>
    <w:rsid w:val="00291935"/>
    <w:rsid w:val="002925CB"/>
    <w:rsid w:val="0029337E"/>
    <w:rsid w:val="002936B5"/>
    <w:rsid w:val="00294FFC"/>
    <w:rsid w:val="00296394"/>
    <w:rsid w:val="002965A2"/>
    <w:rsid w:val="002967E9"/>
    <w:rsid w:val="00297124"/>
    <w:rsid w:val="00297E26"/>
    <w:rsid w:val="002A02D0"/>
    <w:rsid w:val="002A0BBA"/>
    <w:rsid w:val="002A25E9"/>
    <w:rsid w:val="002A5EA8"/>
    <w:rsid w:val="002A66C8"/>
    <w:rsid w:val="002A7483"/>
    <w:rsid w:val="002A74E7"/>
    <w:rsid w:val="002B05DA"/>
    <w:rsid w:val="002B1206"/>
    <w:rsid w:val="002B152E"/>
    <w:rsid w:val="002B268B"/>
    <w:rsid w:val="002C01A4"/>
    <w:rsid w:val="002C1315"/>
    <w:rsid w:val="002C3148"/>
    <w:rsid w:val="002C6511"/>
    <w:rsid w:val="002D017C"/>
    <w:rsid w:val="002D0821"/>
    <w:rsid w:val="002D2683"/>
    <w:rsid w:val="002D348A"/>
    <w:rsid w:val="002D350F"/>
    <w:rsid w:val="002D3A36"/>
    <w:rsid w:val="002D4A54"/>
    <w:rsid w:val="002D5081"/>
    <w:rsid w:val="002D6333"/>
    <w:rsid w:val="002D69FC"/>
    <w:rsid w:val="002E124C"/>
    <w:rsid w:val="002E15BF"/>
    <w:rsid w:val="002E383E"/>
    <w:rsid w:val="002E4997"/>
    <w:rsid w:val="002E63E2"/>
    <w:rsid w:val="002E68DD"/>
    <w:rsid w:val="002E721C"/>
    <w:rsid w:val="002F0AA2"/>
    <w:rsid w:val="002F0E63"/>
    <w:rsid w:val="002F1C8D"/>
    <w:rsid w:val="002F3AA1"/>
    <w:rsid w:val="002F4603"/>
    <w:rsid w:val="002F4BBA"/>
    <w:rsid w:val="002F557F"/>
    <w:rsid w:val="002F564D"/>
    <w:rsid w:val="002F5B0C"/>
    <w:rsid w:val="002F5E68"/>
    <w:rsid w:val="003039DE"/>
    <w:rsid w:val="00306317"/>
    <w:rsid w:val="00306AD0"/>
    <w:rsid w:val="00306B7B"/>
    <w:rsid w:val="00306ED8"/>
    <w:rsid w:val="00310069"/>
    <w:rsid w:val="00311A8C"/>
    <w:rsid w:val="003144E2"/>
    <w:rsid w:val="00315907"/>
    <w:rsid w:val="00315A8E"/>
    <w:rsid w:val="003200A3"/>
    <w:rsid w:val="00324DF0"/>
    <w:rsid w:val="0032619D"/>
    <w:rsid w:val="003278F3"/>
    <w:rsid w:val="00331BDC"/>
    <w:rsid w:val="0033236C"/>
    <w:rsid w:val="00332514"/>
    <w:rsid w:val="00335DE7"/>
    <w:rsid w:val="0033704B"/>
    <w:rsid w:val="00340A51"/>
    <w:rsid w:val="00343094"/>
    <w:rsid w:val="0034349C"/>
    <w:rsid w:val="003448B1"/>
    <w:rsid w:val="00345837"/>
    <w:rsid w:val="00347DD6"/>
    <w:rsid w:val="0035078D"/>
    <w:rsid w:val="00350801"/>
    <w:rsid w:val="00350FD4"/>
    <w:rsid w:val="00351C44"/>
    <w:rsid w:val="003527F9"/>
    <w:rsid w:val="00353F87"/>
    <w:rsid w:val="003569C5"/>
    <w:rsid w:val="00356B9F"/>
    <w:rsid w:val="00357FFE"/>
    <w:rsid w:val="0036025D"/>
    <w:rsid w:val="00362095"/>
    <w:rsid w:val="003638AC"/>
    <w:rsid w:val="003648C1"/>
    <w:rsid w:val="00367402"/>
    <w:rsid w:val="00373A38"/>
    <w:rsid w:val="00374BB1"/>
    <w:rsid w:val="00374E30"/>
    <w:rsid w:val="00375D7E"/>
    <w:rsid w:val="00376C47"/>
    <w:rsid w:val="00377323"/>
    <w:rsid w:val="00377914"/>
    <w:rsid w:val="00377BF8"/>
    <w:rsid w:val="003816FF"/>
    <w:rsid w:val="00381BBE"/>
    <w:rsid w:val="00382A17"/>
    <w:rsid w:val="00382E62"/>
    <w:rsid w:val="00382ED3"/>
    <w:rsid w:val="00383D8D"/>
    <w:rsid w:val="003852F9"/>
    <w:rsid w:val="003860DB"/>
    <w:rsid w:val="00392119"/>
    <w:rsid w:val="003927FB"/>
    <w:rsid w:val="0039299C"/>
    <w:rsid w:val="00392A1C"/>
    <w:rsid w:val="003938F5"/>
    <w:rsid w:val="003971E3"/>
    <w:rsid w:val="003A3030"/>
    <w:rsid w:val="003A3EB8"/>
    <w:rsid w:val="003A3EF1"/>
    <w:rsid w:val="003A4649"/>
    <w:rsid w:val="003A4CE3"/>
    <w:rsid w:val="003A5D33"/>
    <w:rsid w:val="003A77F9"/>
    <w:rsid w:val="003B1989"/>
    <w:rsid w:val="003B1B3C"/>
    <w:rsid w:val="003B1E84"/>
    <w:rsid w:val="003B2A52"/>
    <w:rsid w:val="003B3F71"/>
    <w:rsid w:val="003B4314"/>
    <w:rsid w:val="003B7C23"/>
    <w:rsid w:val="003C0617"/>
    <w:rsid w:val="003C0E80"/>
    <w:rsid w:val="003C4ADD"/>
    <w:rsid w:val="003C5E6B"/>
    <w:rsid w:val="003C5EB7"/>
    <w:rsid w:val="003C779B"/>
    <w:rsid w:val="003D1D8A"/>
    <w:rsid w:val="003D2F9E"/>
    <w:rsid w:val="003D36F1"/>
    <w:rsid w:val="003D3A18"/>
    <w:rsid w:val="003D4EBA"/>
    <w:rsid w:val="003E0167"/>
    <w:rsid w:val="003E0613"/>
    <w:rsid w:val="003E09EB"/>
    <w:rsid w:val="003E15A6"/>
    <w:rsid w:val="003E197C"/>
    <w:rsid w:val="003E313E"/>
    <w:rsid w:val="003E5322"/>
    <w:rsid w:val="003E7453"/>
    <w:rsid w:val="003E7C79"/>
    <w:rsid w:val="003E7E10"/>
    <w:rsid w:val="003F2315"/>
    <w:rsid w:val="003F41EC"/>
    <w:rsid w:val="003F4597"/>
    <w:rsid w:val="003F51F7"/>
    <w:rsid w:val="003F562F"/>
    <w:rsid w:val="003F6231"/>
    <w:rsid w:val="003F782B"/>
    <w:rsid w:val="004022E7"/>
    <w:rsid w:val="00402C99"/>
    <w:rsid w:val="00405079"/>
    <w:rsid w:val="004052BF"/>
    <w:rsid w:val="00406B3D"/>
    <w:rsid w:val="00407B16"/>
    <w:rsid w:val="004107A6"/>
    <w:rsid w:val="00412235"/>
    <w:rsid w:val="00412B0C"/>
    <w:rsid w:val="004133AE"/>
    <w:rsid w:val="00422657"/>
    <w:rsid w:val="0042372E"/>
    <w:rsid w:val="0042386B"/>
    <w:rsid w:val="00425017"/>
    <w:rsid w:val="004257C9"/>
    <w:rsid w:val="00425DA2"/>
    <w:rsid w:val="004279D4"/>
    <w:rsid w:val="00427DB2"/>
    <w:rsid w:val="00430183"/>
    <w:rsid w:val="00430D4F"/>
    <w:rsid w:val="0043329A"/>
    <w:rsid w:val="004348D1"/>
    <w:rsid w:val="004353B8"/>
    <w:rsid w:val="00437A9D"/>
    <w:rsid w:val="0044022C"/>
    <w:rsid w:val="0044101E"/>
    <w:rsid w:val="004447CF"/>
    <w:rsid w:val="00445802"/>
    <w:rsid w:val="00446296"/>
    <w:rsid w:val="004463E9"/>
    <w:rsid w:val="00447F39"/>
    <w:rsid w:val="00450153"/>
    <w:rsid w:val="00450CAF"/>
    <w:rsid w:val="00450ECB"/>
    <w:rsid w:val="004511A8"/>
    <w:rsid w:val="00452AD9"/>
    <w:rsid w:val="004547AC"/>
    <w:rsid w:val="00454B3F"/>
    <w:rsid w:val="00455999"/>
    <w:rsid w:val="00455A51"/>
    <w:rsid w:val="004565CF"/>
    <w:rsid w:val="00456CC7"/>
    <w:rsid w:val="00460354"/>
    <w:rsid w:val="0046272E"/>
    <w:rsid w:val="00462C03"/>
    <w:rsid w:val="00464462"/>
    <w:rsid w:val="00465BDD"/>
    <w:rsid w:val="0046763F"/>
    <w:rsid w:val="00472299"/>
    <w:rsid w:val="0047356B"/>
    <w:rsid w:val="00473B38"/>
    <w:rsid w:val="0047684E"/>
    <w:rsid w:val="004774CD"/>
    <w:rsid w:val="00480E3A"/>
    <w:rsid w:val="00481AA6"/>
    <w:rsid w:val="00484899"/>
    <w:rsid w:val="00484BFD"/>
    <w:rsid w:val="00485BBA"/>
    <w:rsid w:val="00486C9C"/>
    <w:rsid w:val="00487D94"/>
    <w:rsid w:val="0049296C"/>
    <w:rsid w:val="00493540"/>
    <w:rsid w:val="00494289"/>
    <w:rsid w:val="00495C3A"/>
    <w:rsid w:val="004960BB"/>
    <w:rsid w:val="004966A0"/>
    <w:rsid w:val="004975D2"/>
    <w:rsid w:val="004A0FB2"/>
    <w:rsid w:val="004A194E"/>
    <w:rsid w:val="004A275F"/>
    <w:rsid w:val="004A312C"/>
    <w:rsid w:val="004A656E"/>
    <w:rsid w:val="004A691B"/>
    <w:rsid w:val="004B0798"/>
    <w:rsid w:val="004B3CAF"/>
    <w:rsid w:val="004B4321"/>
    <w:rsid w:val="004B445B"/>
    <w:rsid w:val="004B465D"/>
    <w:rsid w:val="004B6FCD"/>
    <w:rsid w:val="004C1974"/>
    <w:rsid w:val="004C2449"/>
    <w:rsid w:val="004C4E77"/>
    <w:rsid w:val="004C5352"/>
    <w:rsid w:val="004D054B"/>
    <w:rsid w:val="004D0DD7"/>
    <w:rsid w:val="004D18E2"/>
    <w:rsid w:val="004D1C23"/>
    <w:rsid w:val="004D2749"/>
    <w:rsid w:val="004D41EF"/>
    <w:rsid w:val="004D43A8"/>
    <w:rsid w:val="004D6D3E"/>
    <w:rsid w:val="004D73DE"/>
    <w:rsid w:val="004D7DFA"/>
    <w:rsid w:val="004E0608"/>
    <w:rsid w:val="004E0644"/>
    <w:rsid w:val="004E0DF2"/>
    <w:rsid w:val="004E3DBD"/>
    <w:rsid w:val="004E4405"/>
    <w:rsid w:val="004E47A0"/>
    <w:rsid w:val="004E509A"/>
    <w:rsid w:val="004E5A07"/>
    <w:rsid w:val="004E68F9"/>
    <w:rsid w:val="004E6E04"/>
    <w:rsid w:val="004F0544"/>
    <w:rsid w:val="004F338A"/>
    <w:rsid w:val="004F58FB"/>
    <w:rsid w:val="004F6109"/>
    <w:rsid w:val="004F7369"/>
    <w:rsid w:val="005036CD"/>
    <w:rsid w:val="00506FC3"/>
    <w:rsid w:val="00511E2F"/>
    <w:rsid w:val="00512F61"/>
    <w:rsid w:val="00513C67"/>
    <w:rsid w:val="00514099"/>
    <w:rsid w:val="00516340"/>
    <w:rsid w:val="005164A8"/>
    <w:rsid w:val="00520D46"/>
    <w:rsid w:val="005224E7"/>
    <w:rsid w:val="0052256B"/>
    <w:rsid w:val="005240CD"/>
    <w:rsid w:val="00525957"/>
    <w:rsid w:val="005263AA"/>
    <w:rsid w:val="00526836"/>
    <w:rsid w:val="0052753C"/>
    <w:rsid w:val="00527592"/>
    <w:rsid w:val="00527E13"/>
    <w:rsid w:val="005300C1"/>
    <w:rsid w:val="005301FB"/>
    <w:rsid w:val="00531C4F"/>
    <w:rsid w:val="00536711"/>
    <w:rsid w:val="00542B69"/>
    <w:rsid w:val="005437C2"/>
    <w:rsid w:val="00543D0D"/>
    <w:rsid w:val="00544105"/>
    <w:rsid w:val="00544427"/>
    <w:rsid w:val="00544631"/>
    <w:rsid w:val="00544BE4"/>
    <w:rsid w:val="0054792B"/>
    <w:rsid w:val="00547C2C"/>
    <w:rsid w:val="0055035E"/>
    <w:rsid w:val="00552C38"/>
    <w:rsid w:val="00553038"/>
    <w:rsid w:val="00555BE6"/>
    <w:rsid w:val="00555CD4"/>
    <w:rsid w:val="00560065"/>
    <w:rsid w:val="005613BD"/>
    <w:rsid w:val="00561F16"/>
    <w:rsid w:val="0056221B"/>
    <w:rsid w:val="00563601"/>
    <w:rsid w:val="00563CCE"/>
    <w:rsid w:val="00563D8C"/>
    <w:rsid w:val="00564166"/>
    <w:rsid w:val="005647CA"/>
    <w:rsid w:val="00566035"/>
    <w:rsid w:val="00566D27"/>
    <w:rsid w:val="005674AF"/>
    <w:rsid w:val="00570245"/>
    <w:rsid w:val="00570F6C"/>
    <w:rsid w:val="00576F98"/>
    <w:rsid w:val="005772D2"/>
    <w:rsid w:val="00581178"/>
    <w:rsid w:val="00582744"/>
    <w:rsid w:val="00583484"/>
    <w:rsid w:val="0058357C"/>
    <w:rsid w:val="00583EEC"/>
    <w:rsid w:val="00586242"/>
    <w:rsid w:val="005868AE"/>
    <w:rsid w:val="00592A23"/>
    <w:rsid w:val="0059439E"/>
    <w:rsid w:val="00595407"/>
    <w:rsid w:val="00596758"/>
    <w:rsid w:val="00597AA8"/>
    <w:rsid w:val="00597D45"/>
    <w:rsid w:val="005A5F30"/>
    <w:rsid w:val="005A6726"/>
    <w:rsid w:val="005A7452"/>
    <w:rsid w:val="005B1AA6"/>
    <w:rsid w:val="005B28A1"/>
    <w:rsid w:val="005B37D6"/>
    <w:rsid w:val="005B3C66"/>
    <w:rsid w:val="005B4512"/>
    <w:rsid w:val="005B6C08"/>
    <w:rsid w:val="005C30D3"/>
    <w:rsid w:val="005C3A2C"/>
    <w:rsid w:val="005C3F9E"/>
    <w:rsid w:val="005C40CC"/>
    <w:rsid w:val="005C5728"/>
    <w:rsid w:val="005C6A0E"/>
    <w:rsid w:val="005C6ECE"/>
    <w:rsid w:val="005C78BD"/>
    <w:rsid w:val="005D13BF"/>
    <w:rsid w:val="005D1C26"/>
    <w:rsid w:val="005D2ACB"/>
    <w:rsid w:val="005D54C9"/>
    <w:rsid w:val="005D6116"/>
    <w:rsid w:val="005D681D"/>
    <w:rsid w:val="005E1085"/>
    <w:rsid w:val="005E2A53"/>
    <w:rsid w:val="005E6767"/>
    <w:rsid w:val="005E695B"/>
    <w:rsid w:val="005F0D1D"/>
    <w:rsid w:val="005F11B6"/>
    <w:rsid w:val="005F1E10"/>
    <w:rsid w:val="005F3834"/>
    <w:rsid w:val="005F6D50"/>
    <w:rsid w:val="005F6F3A"/>
    <w:rsid w:val="005F73C8"/>
    <w:rsid w:val="005F7DAE"/>
    <w:rsid w:val="005F7FB1"/>
    <w:rsid w:val="00600779"/>
    <w:rsid w:val="00600F4C"/>
    <w:rsid w:val="00602115"/>
    <w:rsid w:val="006021E2"/>
    <w:rsid w:val="00602CDF"/>
    <w:rsid w:val="0060338E"/>
    <w:rsid w:val="00606340"/>
    <w:rsid w:val="0060753B"/>
    <w:rsid w:val="006075AE"/>
    <w:rsid w:val="006076EC"/>
    <w:rsid w:val="00607ADB"/>
    <w:rsid w:val="006100E8"/>
    <w:rsid w:val="006117E4"/>
    <w:rsid w:val="00611912"/>
    <w:rsid w:val="00615DB4"/>
    <w:rsid w:val="00616B73"/>
    <w:rsid w:val="006170BC"/>
    <w:rsid w:val="00617100"/>
    <w:rsid w:val="00617E52"/>
    <w:rsid w:val="00620106"/>
    <w:rsid w:val="0062726D"/>
    <w:rsid w:val="00627E7A"/>
    <w:rsid w:val="0063041B"/>
    <w:rsid w:val="00630DC3"/>
    <w:rsid w:val="0063421D"/>
    <w:rsid w:val="00635DB9"/>
    <w:rsid w:val="0063722F"/>
    <w:rsid w:val="00640260"/>
    <w:rsid w:val="006404E6"/>
    <w:rsid w:val="00642149"/>
    <w:rsid w:val="00642A6C"/>
    <w:rsid w:val="00642DD3"/>
    <w:rsid w:val="0064317E"/>
    <w:rsid w:val="0064385B"/>
    <w:rsid w:val="00644A21"/>
    <w:rsid w:val="00645E8C"/>
    <w:rsid w:val="006466EF"/>
    <w:rsid w:val="0065127F"/>
    <w:rsid w:val="00651D30"/>
    <w:rsid w:val="00654756"/>
    <w:rsid w:val="00655AF0"/>
    <w:rsid w:val="00657DDE"/>
    <w:rsid w:val="00660C00"/>
    <w:rsid w:val="006613B8"/>
    <w:rsid w:val="00661600"/>
    <w:rsid w:val="00661A34"/>
    <w:rsid w:val="00661EAC"/>
    <w:rsid w:val="00661FC7"/>
    <w:rsid w:val="00662177"/>
    <w:rsid w:val="0066276F"/>
    <w:rsid w:val="00663030"/>
    <w:rsid w:val="00664DC3"/>
    <w:rsid w:val="006651E9"/>
    <w:rsid w:val="006677AA"/>
    <w:rsid w:val="006700BE"/>
    <w:rsid w:val="00672113"/>
    <w:rsid w:val="006721EA"/>
    <w:rsid w:val="00672942"/>
    <w:rsid w:val="0067311D"/>
    <w:rsid w:val="0067437B"/>
    <w:rsid w:val="006754A4"/>
    <w:rsid w:val="00675BDA"/>
    <w:rsid w:val="0067629E"/>
    <w:rsid w:val="00676CC4"/>
    <w:rsid w:val="00680877"/>
    <w:rsid w:val="00682CCE"/>
    <w:rsid w:val="0068569A"/>
    <w:rsid w:val="00687473"/>
    <w:rsid w:val="00690B02"/>
    <w:rsid w:val="00690CD0"/>
    <w:rsid w:val="00690F61"/>
    <w:rsid w:val="006912E1"/>
    <w:rsid w:val="00691C6A"/>
    <w:rsid w:val="006924C6"/>
    <w:rsid w:val="00692D35"/>
    <w:rsid w:val="006936F0"/>
    <w:rsid w:val="006962CD"/>
    <w:rsid w:val="006979BC"/>
    <w:rsid w:val="006A01A1"/>
    <w:rsid w:val="006A107C"/>
    <w:rsid w:val="006A142C"/>
    <w:rsid w:val="006A19D4"/>
    <w:rsid w:val="006A1A30"/>
    <w:rsid w:val="006A3EC9"/>
    <w:rsid w:val="006A4BB6"/>
    <w:rsid w:val="006A5873"/>
    <w:rsid w:val="006A6F47"/>
    <w:rsid w:val="006A73A6"/>
    <w:rsid w:val="006A7A44"/>
    <w:rsid w:val="006B008F"/>
    <w:rsid w:val="006B0E4B"/>
    <w:rsid w:val="006B1733"/>
    <w:rsid w:val="006B25D3"/>
    <w:rsid w:val="006B322A"/>
    <w:rsid w:val="006B470D"/>
    <w:rsid w:val="006B4D7E"/>
    <w:rsid w:val="006B5472"/>
    <w:rsid w:val="006B733E"/>
    <w:rsid w:val="006B7AA2"/>
    <w:rsid w:val="006C2178"/>
    <w:rsid w:val="006C2885"/>
    <w:rsid w:val="006C3085"/>
    <w:rsid w:val="006C442F"/>
    <w:rsid w:val="006C5C03"/>
    <w:rsid w:val="006C6C45"/>
    <w:rsid w:val="006C7C8D"/>
    <w:rsid w:val="006D02D4"/>
    <w:rsid w:val="006D0357"/>
    <w:rsid w:val="006D15F7"/>
    <w:rsid w:val="006D30DA"/>
    <w:rsid w:val="006D366B"/>
    <w:rsid w:val="006D5EEC"/>
    <w:rsid w:val="006D71A8"/>
    <w:rsid w:val="006E0292"/>
    <w:rsid w:val="006E1093"/>
    <w:rsid w:val="006E10FA"/>
    <w:rsid w:val="006E25DC"/>
    <w:rsid w:val="006E266A"/>
    <w:rsid w:val="006E4110"/>
    <w:rsid w:val="006E4217"/>
    <w:rsid w:val="006E682C"/>
    <w:rsid w:val="006E6AC1"/>
    <w:rsid w:val="006E7014"/>
    <w:rsid w:val="006F029E"/>
    <w:rsid w:val="006F0A89"/>
    <w:rsid w:val="006F0DD4"/>
    <w:rsid w:val="006F0FF4"/>
    <w:rsid w:val="006F1C8C"/>
    <w:rsid w:val="006F27F7"/>
    <w:rsid w:val="006F3449"/>
    <w:rsid w:val="006F3A8F"/>
    <w:rsid w:val="006F532F"/>
    <w:rsid w:val="006F5527"/>
    <w:rsid w:val="006F5D90"/>
    <w:rsid w:val="006F640A"/>
    <w:rsid w:val="006F734B"/>
    <w:rsid w:val="006F7968"/>
    <w:rsid w:val="006F7EC8"/>
    <w:rsid w:val="00700B73"/>
    <w:rsid w:val="00703237"/>
    <w:rsid w:val="00703B04"/>
    <w:rsid w:val="007057C3"/>
    <w:rsid w:val="007100B9"/>
    <w:rsid w:val="00710844"/>
    <w:rsid w:val="007114AA"/>
    <w:rsid w:val="00711C83"/>
    <w:rsid w:val="00712C6E"/>
    <w:rsid w:val="007137E6"/>
    <w:rsid w:val="007179C1"/>
    <w:rsid w:val="00717DB4"/>
    <w:rsid w:val="00720D0B"/>
    <w:rsid w:val="0072189B"/>
    <w:rsid w:val="007219EB"/>
    <w:rsid w:val="00721E64"/>
    <w:rsid w:val="007220C5"/>
    <w:rsid w:val="007222A4"/>
    <w:rsid w:val="00722941"/>
    <w:rsid w:val="00722C82"/>
    <w:rsid w:val="0072382C"/>
    <w:rsid w:val="00724BD7"/>
    <w:rsid w:val="007250FC"/>
    <w:rsid w:val="00725203"/>
    <w:rsid w:val="007257EB"/>
    <w:rsid w:val="00726AA5"/>
    <w:rsid w:val="00726B19"/>
    <w:rsid w:val="00727104"/>
    <w:rsid w:val="00730A56"/>
    <w:rsid w:val="00730ED2"/>
    <w:rsid w:val="0073130F"/>
    <w:rsid w:val="00731876"/>
    <w:rsid w:val="00731C94"/>
    <w:rsid w:val="00732D98"/>
    <w:rsid w:val="0073551E"/>
    <w:rsid w:val="0073555A"/>
    <w:rsid w:val="00736B62"/>
    <w:rsid w:val="00737397"/>
    <w:rsid w:val="0074215A"/>
    <w:rsid w:val="007440F7"/>
    <w:rsid w:val="00744607"/>
    <w:rsid w:val="0074610C"/>
    <w:rsid w:val="007518D2"/>
    <w:rsid w:val="0075199B"/>
    <w:rsid w:val="0075211C"/>
    <w:rsid w:val="00752DB8"/>
    <w:rsid w:val="00755682"/>
    <w:rsid w:val="007560D8"/>
    <w:rsid w:val="00756B47"/>
    <w:rsid w:val="00760916"/>
    <w:rsid w:val="00760ED4"/>
    <w:rsid w:val="00762B02"/>
    <w:rsid w:val="0076335F"/>
    <w:rsid w:val="00763E30"/>
    <w:rsid w:val="007646CE"/>
    <w:rsid w:val="00764DCF"/>
    <w:rsid w:val="00764E39"/>
    <w:rsid w:val="0076659E"/>
    <w:rsid w:val="007672DB"/>
    <w:rsid w:val="00770117"/>
    <w:rsid w:val="007703E2"/>
    <w:rsid w:val="007708C3"/>
    <w:rsid w:val="00770CE5"/>
    <w:rsid w:val="00771C52"/>
    <w:rsid w:val="00773C82"/>
    <w:rsid w:val="0077477C"/>
    <w:rsid w:val="00774E41"/>
    <w:rsid w:val="007766EC"/>
    <w:rsid w:val="00776A07"/>
    <w:rsid w:val="00780B05"/>
    <w:rsid w:val="00785939"/>
    <w:rsid w:val="00785E52"/>
    <w:rsid w:val="007862C1"/>
    <w:rsid w:val="007878A8"/>
    <w:rsid w:val="007909D2"/>
    <w:rsid w:val="0079156D"/>
    <w:rsid w:val="007925F5"/>
    <w:rsid w:val="00792E9C"/>
    <w:rsid w:val="0079726C"/>
    <w:rsid w:val="007A02EC"/>
    <w:rsid w:val="007A0B1C"/>
    <w:rsid w:val="007A2C58"/>
    <w:rsid w:val="007A5DE5"/>
    <w:rsid w:val="007A63DD"/>
    <w:rsid w:val="007A6FD3"/>
    <w:rsid w:val="007A76A8"/>
    <w:rsid w:val="007B0E0D"/>
    <w:rsid w:val="007B24B5"/>
    <w:rsid w:val="007B3508"/>
    <w:rsid w:val="007B526B"/>
    <w:rsid w:val="007B54A3"/>
    <w:rsid w:val="007B5B90"/>
    <w:rsid w:val="007B7379"/>
    <w:rsid w:val="007B75D8"/>
    <w:rsid w:val="007B768E"/>
    <w:rsid w:val="007C1456"/>
    <w:rsid w:val="007C1745"/>
    <w:rsid w:val="007C1FB2"/>
    <w:rsid w:val="007C2055"/>
    <w:rsid w:val="007C36EC"/>
    <w:rsid w:val="007C3D7F"/>
    <w:rsid w:val="007C44E2"/>
    <w:rsid w:val="007C47E9"/>
    <w:rsid w:val="007D110E"/>
    <w:rsid w:val="007D144A"/>
    <w:rsid w:val="007D1835"/>
    <w:rsid w:val="007D22B6"/>
    <w:rsid w:val="007D7685"/>
    <w:rsid w:val="007E0D9F"/>
    <w:rsid w:val="007E214C"/>
    <w:rsid w:val="007E220C"/>
    <w:rsid w:val="007E2423"/>
    <w:rsid w:val="007E3401"/>
    <w:rsid w:val="007E5A46"/>
    <w:rsid w:val="007E6694"/>
    <w:rsid w:val="007E70C1"/>
    <w:rsid w:val="007E75D5"/>
    <w:rsid w:val="007F0991"/>
    <w:rsid w:val="007F1BA8"/>
    <w:rsid w:val="007F246A"/>
    <w:rsid w:val="007F24EB"/>
    <w:rsid w:val="007F363E"/>
    <w:rsid w:val="007F4560"/>
    <w:rsid w:val="007F4C17"/>
    <w:rsid w:val="007F4E90"/>
    <w:rsid w:val="007F513E"/>
    <w:rsid w:val="007F6491"/>
    <w:rsid w:val="007F69BA"/>
    <w:rsid w:val="007F6F0D"/>
    <w:rsid w:val="008001A8"/>
    <w:rsid w:val="0080308F"/>
    <w:rsid w:val="0080327A"/>
    <w:rsid w:val="00803554"/>
    <w:rsid w:val="00805043"/>
    <w:rsid w:val="00805E08"/>
    <w:rsid w:val="00806093"/>
    <w:rsid w:val="00811761"/>
    <w:rsid w:val="00811C21"/>
    <w:rsid w:val="00812D86"/>
    <w:rsid w:val="00814A65"/>
    <w:rsid w:val="00814B41"/>
    <w:rsid w:val="00815E52"/>
    <w:rsid w:val="00816C99"/>
    <w:rsid w:val="00821732"/>
    <w:rsid w:val="00822EC1"/>
    <w:rsid w:val="008268F8"/>
    <w:rsid w:val="00830946"/>
    <w:rsid w:val="00833189"/>
    <w:rsid w:val="008333A8"/>
    <w:rsid w:val="00834641"/>
    <w:rsid w:val="008348FD"/>
    <w:rsid w:val="00835D73"/>
    <w:rsid w:val="00837A81"/>
    <w:rsid w:val="008409C3"/>
    <w:rsid w:val="008439AC"/>
    <w:rsid w:val="00843A26"/>
    <w:rsid w:val="00843FBB"/>
    <w:rsid w:val="008446C4"/>
    <w:rsid w:val="00845D4C"/>
    <w:rsid w:val="0084699D"/>
    <w:rsid w:val="00847963"/>
    <w:rsid w:val="00847C00"/>
    <w:rsid w:val="008505D1"/>
    <w:rsid w:val="0085150C"/>
    <w:rsid w:val="008534BE"/>
    <w:rsid w:val="00853C59"/>
    <w:rsid w:val="00853F70"/>
    <w:rsid w:val="00854CC8"/>
    <w:rsid w:val="0085721C"/>
    <w:rsid w:val="0086150A"/>
    <w:rsid w:val="00861C4C"/>
    <w:rsid w:val="008637B8"/>
    <w:rsid w:val="00863BC8"/>
    <w:rsid w:val="00867B91"/>
    <w:rsid w:val="00871E6C"/>
    <w:rsid w:val="00873CE3"/>
    <w:rsid w:val="00874726"/>
    <w:rsid w:val="00875624"/>
    <w:rsid w:val="00882D3E"/>
    <w:rsid w:val="008839B3"/>
    <w:rsid w:val="00885178"/>
    <w:rsid w:val="0088540B"/>
    <w:rsid w:val="0088735D"/>
    <w:rsid w:val="00887B3E"/>
    <w:rsid w:val="00890BB3"/>
    <w:rsid w:val="0089258D"/>
    <w:rsid w:val="00895493"/>
    <w:rsid w:val="00895ADF"/>
    <w:rsid w:val="00896EB7"/>
    <w:rsid w:val="008A0EB4"/>
    <w:rsid w:val="008A32C1"/>
    <w:rsid w:val="008A36FE"/>
    <w:rsid w:val="008A50AF"/>
    <w:rsid w:val="008A5D66"/>
    <w:rsid w:val="008A728D"/>
    <w:rsid w:val="008A7F49"/>
    <w:rsid w:val="008B3631"/>
    <w:rsid w:val="008B45FF"/>
    <w:rsid w:val="008B49CB"/>
    <w:rsid w:val="008C08EE"/>
    <w:rsid w:val="008C2680"/>
    <w:rsid w:val="008C26A8"/>
    <w:rsid w:val="008C2810"/>
    <w:rsid w:val="008C30BE"/>
    <w:rsid w:val="008C52B0"/>
    <w:rsid w:val="008C5979"/>
    <w:rsid w:val="008C6B76"/>
    <w:rsid w:val="008D14BD"/>
    <w:rsid w:val="008D153D"/>
    <w:rsid w:val="008D1B54"/>
    <w:rsid w:val="008D21EF"/>
    <w:rsid w:val="008D32FE"/>
    <w:rsid w:val="008D51AC"/>
    <w:rsid w:val="008D78EA"/>
    <w:rsid w:val="008E4291"/>
    <w:rsid w:val="008E4362"/>
    <w:rsid w:val="008E51B7"/>
    <w:rsid w:val="008E5B1A"/>
    <w:rsid w:val="008E66E9"/>
    <w:rsid w:val="008E6D53"/>
    <w:rsid w:val="008E7B71"/>
    <w:rsid w:val="008E7F39"/>
    <w:rsid w:val="008F0133"/>
    <w:rsid w:val="008F0175"/>
    <w:rsid w:val="008F1A79"/>
    <w:rsid w:val="008F2464"/>
    <w:rsid w:val="008F63C2"/>
    <w:rsid w:val="008F6B4C"/>
    <w:rsid w:val="0090068E"/>
    <w:rsid w:val="0090085B"/>
    <w:rsid w:val="009018DC"/>
    <w:rsid w:val="0090219F"/>
    <w:rsid w:val="009026C9"/>
    <w:rsid w:val="009039EF"/>
    <w:rsid w:val="00903AC6"/>
    <w:rsid w:val="00903B94"/>
    <w:rsid w:val="00903F5B"/>
    <w:rsid w:val="00905603"/>
    <w:rsid w:val="00907BF5"/>
    <w:rsid w:val="00910A6B"/>
    <w:rsid w:val="0091181B"/>
    <w:rsid w:val="009135AA"/>
    <w:rsid w:val="0091360C"/>
    <w:rsid w:val="009146B8"/>
    <w:rsid w:val="009149A1"/>
    <w:rsid w:val="00916FF2"/>
    <w:rsid w:val="0092057A"/>
    <w:rsid w:val="00923CF5"/>
    <w:rsid w:val="00923FA1"/>
    <w:rsid w:val="009254E0"/>
    <w:rsid w:val="00925A04"/>
    <w:rsid w:val="00930A4F"/>
    <w:rsid w:val="00932416"/>
    <w:rsid w:val="009324BB"/>
    <w:rsid w:val="00933791"/>
    <w:rsid w:val="009345A3"/>
    <w:rsid w:val="009427B5"/>
    <w:rsid w:val="00942823"/>
    <w:rsid w:val="009436BA"/>
    <w:rsid w:val="00943A6C"/>
    <w:rsid w:val="00945ADE"/>
    <w:rsid w:val="00946759"/>
    <w:rsid w:val="00947A1D"/>
    <w:rsid w:val="009523DA"/>
    <w:rsid w:val="00952A7E"/>
    <w:rsid w:val="009561C7"/>
    <w:rsid w:val="0095786E"/>
    <w:rsid w:val="009600DA"/>
    <w:rsid w:val="00961640"/>
    <w:rsid w:val="0096183B"/>
    <w:rsid w:val="00963BDF"/>
    <w:rsid w:val="0096724E"/>
    <w:rsid w:val="00967FA7"/>
    <w:rsid w:val="00970436"/>
    <w:rsid w:val="00970A0D"/>
    <w:rsid w:val="00970AB4"/>
    <w:rsid w:val="00970B12"/>
    <w:rsid w:val="009728C0"/>
    <w:rsid w:val="00972BE7"/>
    <w:rsid w:val="009730D0"/>
    <w:rsid w:val="0097571D"/>
    <w:rsid w:val="00975B47"/>
    <w:rsid w:val="00975E64"/>
    <w:rsid w:val="009803A6"/>
    <w:rsid w:val="00983340"/>
    <w:rsid w:val="00985D43"/>
    <w:rsid w:val="00986255"/>
    <w:rsid w:val="00986508"/>
    <w:rsid w:val="009877E3"/>
    <w:rsid w:val="0098781C"/>
    <w:rsid w:val="009905D8"/>
    <w:rsid w:val="00993789"/>
    <w:rsid w:val="00993884"/>
    <w:rsid w:val="00994699"/>
    <w:rsid w:val="00994AAA"/>
    <w:rsid w:val="0099513E"/>
    <w:rsid w:val="009961DD"/>
    <w:rsid w:val="00997C1E"/>
    <w:rsid w:val="009A2503"/>
    <w:rsid w:val="009A31C7"/>
    <w:rsid w:val="009A32C6"/>
    <w:rsid w:val="009A6574"/>
    <w:rsid w:val="009A6699"/>
    <w:rsid w:val="009A7819"/>
    <w:rsid w:val="009B1108"/>
    <w:rsid w:val="009B17A1"/>
    <w:rsid w:val="009B3F3B"/>
    <w:rsid w:val="009B535C"/>
    <w:rsid w:val="009B5B35"/>
    <w:rsid w:val="009B678B"/>
    <w:rsid w:val="009B7388"/>
    <w:rsid w:val="009B7417"/>
    <w:rsid w:val="009B7AE7"/>
    <w:rsid w:val="009C02E6"/>
    <w:rsid w:val="009C0A7D"/>
    <w:rsid w:val="009C1A73"/>
    <w:rsid w:val="009C2FC2"/>
    <w:rsid w:val="009C397D"/>
    <w:rsid w:val="009C3BAA"/>
    <w:rsid w:val="009C4638"/>
    <w:rsid w:val="009C5064"/>
    <w:rsid w:val="009C5D15"/>
    <w:rsid w:val="009D1AFE"/>
    <w:rsid w:val="009D2C73"/>
    <w:rsid w:val="009D397C"/>
    <w:rsid w:val="009D3A0F"/>
    <w:rsid w:val="009D40AB"/>
    <w:rsid w:val="009D6CF4"/>
    <w:rsid w:val="009E0DA2"/>
    <w:rsid w:val="009E175B"/>
    <w:rsid w:val="009E1FC1"/>
    <w:rsid w:val="009E60E2"/>
    <w:rsid w:val="009E7758"/>
    <w:rsid w:val="009E7A97"/>
    <w:rsid w:val="009F01B8"/>
    <w:rsid w:val="009F08E4"/>
    <w:rsid w:val="009F15A6"/>
    <w:rsid w:val="009F17E3"/>
    <w:rsid w:val="009F1985"/>
    <w:rsid w:val="009F19EB"/>
    <w:rsid w:val="009F3A94"/>
    <w:rsid w:val="009F4B25"/>
    <w:rsid w:val="009F5EB3"/>
    <w:rsid w:val="009F6080"/>
    <w:rsid w:val="009F6F20"/>
    <w:rsid w:val="00A009F5"/>
    <w:rsid w:val="00A04A15"/>
    <w:rsid w:val="00A04EDB"/>
    <w:rsid w:val="00A0595A"/>
    <w:rsid w:val="00A10FCA"/>
    <w:rsid w:val="00A11446"/>
    <w:rsid w:val="00A13A21"/>
    <w:rsid w:val="00A1450B"/>
    <w:rsid w:val="00A159D2"/>
    <w:rsid w:val="00A17504"/>
    <w:rsid w:val="00A178D6"/>
    <w:rsid w:val="00A20679"/>
    <w:rsid w:val="00A21E8A"/>
    <w:rsid w:val="00A21F9F"/>
    <w:rsid w:val="00A2243D"/>
    <w:rsid w:val="00A22EB6"/>
    <w:rsid w:val="00A2338D"/>
    <w:rsid w:val="00A234C6"/>
    <w:rsid w:val="00A25858"/>
    <w:rsid w:val="00A329A4"/>
    <w:rsid w:val="00A32BB9"/>
    <w:rsid w:val="00A336E3"/>
    <w:rsid w:val="00A34694"/>
    <w:rsid w:val="00A368CD"/>
    <w:rsid w:val="00A36C82"/>
    <w:rsid w:val="00A37D78"/>
    <w:rsid w:val="00A403AF"/>
    <w:rsid w:val="00A412FF"/>
    <w:rsid w:val="00A42054"/>
    <w:rsid w:val="00A42112"/>
    <w:rsid w:val="00A42F86"/>
    <w:rsid w:val="00A431B2"/>
    <w:rsid w:val="00A43A21"/>
    <w:rsid w:val="00A44574"/>
    <w:rsid w:val="00A46160"/>
    <w:rsid w:val="00A467C8"/>
    <w:rsid w:val="00A50211"/>
    <w:rsid w:val="00A50F5E"/>
    <w:rsid w:val="00A514AE"/>
    <w:rsid w:val="00A52812"/>
    <w:rsid w:val="00A5379D"/>
    <w:rsid w:val="00A541CE"/>
    <w:rsid w:val="00A54C72"/>
    <w:rsid w:val="00A55FE7"/>
    <w:rsid w:val="00A560DD"/>
    <w:rsid w:val="00A56168"/>
    <w:rsid w:val="00A56C6B"/>
    <w:rsid w:val="00A57653"/>
    <w:rsid w:val="00A62D56"/>
    <w:rsid w:val="00A66364"/>
    <w:rsid w:val="00A666D2"/>
    <w:rsid w:val="00A70C25"/>
    <w:rsid w:val="00A72ADD"/>
    <w:rsid w:val="00A75CC8"/>
    <w:rsid w:val="00A7746C"/>
    <w:rsid w:val="00A8159B"/>
    <w:rsid w:val="00A8216D"/>
    <w:rsid w:val="00A833D8"/>
    <w:rsid w:val="00A84410"/>
    <w:rsid w:val="00A845B5"/>
    <w:rsid w:val="00A86ADB"/>
    <w:rsid w:val="00A911C6"/>
    <w:rsid w:val="00A91445"/>
    <w:rsid w:val="00A92E38"/>
    <w:rsid w:val="00A939FE"/>
    <w:rsid w:val="00A94F5D"/>
    <w:rsid w:val="00A9577B"/>
    <w:rsid w:val="00A95BE2"/>
    <w:rsid w:val="00A96E60"/>
    <w:rsid w:val="00AA22B4"/>
    <w:rsid w:val="00AA3872"/>
    <w:rsid w:val="00AA395F"/>
    <w:rsid w:val="00AA5F16"/>
    <w:rsid w:val="00AA7DB8"/>
    <w:rsid w:val="00AB0EC2"/>
    <w:rsid w:val="00AB336C"/>
    <w:rsid w:val="00AB499D"/>
    <w:rsid w:val="00AB4A1C"/>
    <w:rsid w:val="00AB4F15"/>
    <w:rsid w:val="00AB5CF2"/>
    <w:rsid w:val="00AB6067"/>
    <w:rsid w:val="00AB6479"/>
    <w:rsid w:val="00AB686B"/>
    <w:rsid w:val="00AB7AAA"/>
    <w:rsid w:val="00AC0588"/>
    <w:rsid w:val="00AC11C2"/>
    <w:rsid w:val="00AC174B"/>
    <w:rsid w:val="00AC2B48"/>
    <w:rsid w:val="00AC3170"/>
    <w:rsid w:val="00AC4B7C"/>
    <w:rsid w:val="00AC4DE8"/>
    <w:rsid w:val="00AC6CCB"/>
    <w:rsid w:val="00AC7100"/>
    <w:rsid w:val="00AC77DA"/>
    <w:rsid w:val="00AD1549"/>
    <w:rsid w:val="00AD3735"/>
    <w:rsid w:val="00AD440B"/>
    <w:rsid w:val="00AD72DE"/>
    <w:rsid w:val="00AD7754"/>
    <w:rsid w:val="00AE03A4"/>
    <w:rsid w:val="00AE1B8A"/>
    <w:rsid w:val="00AE1C50"/>
    <w:rsid w:val="00AE2384"/>
    <w:rsid w:val="00AE39D6"/>
    <w:rsid w:val="00AE5AF8"/>
    <w:rsid w:val="00AE5DE2"/>
    <w:rsid w:val="00AF06D4"/>
    <w:rsid w:val="00AF07AF"/>
    <w:rsid w:val="00AF0DD7"/>
    <w:rsid w:val="00AF110D"/>
    <w:rsid w:val="00AF1177"/>
    <w:rsid w:val="00AF2080"/>
    <w:rsid w:val="00AF58C7"/>
    <w:rsid w:val="00AF6066"/>
    <w:rsid w:val="00AF62DA"/>
    <w:rsid w:val="00AF6C91"/>
    <w:rsid w:val="00B0015A"/>
    <w:rsid w:val="00B010E9"/>
    <w:rsid w:val="00B01897"/>
    <w:rsid w:val="00B02045"/>
    <w:rsid w:val="00B06112"/>
    <w:rsid w:val="00B10761"/>
    <w:rsid w:val="00B10F7A"/>
    <w:rsid w:val="00B11DE0"/>
    <w:rsid w:val="00B120DF"/>
    <w:rsid w:val="00B14550"/>
    <w:rsid w:val="00B16DA2"/>
    <w:rsid w:val="00B21DE6"/>
    <w:rsid w:val="00B220ED"/>
    <w:rsid w:val="00B23E3B"/>
    <w:rsid w:val="00B24A61"/>
    <w:rsid w:val="00B264B8"/>
    <w:rsid w:val="00B26BE8"/>
    <w:rsid w:val="00B26C49"/>
    <w:rsid w:val="00B30272"/>
    <w:rsid w:val="00B317F7"/>
    <w:rsid w:val="00B3383D"/>
    <w:rsid w:val="00B33EA5"/>
    <w:rsid w:val="00B340BB"/>
    <w:rsid w:val="00B34407"/>
    <w:rsid w:val="00B3616F"/>
    <w:rsid w:val="00B36883"/>
    <w:rsid w:val="00B36EC5"/>
    <w:rsid w:val="00B374C4"/>
    <w:rsid w:val="00B37703"/>
    <w:rsid w:val="00B41D08"/>
    <w:rsid w:val="00B43470"/>
    <w:rsid w:val="00B45504"/>
    <w:rsid w:val="00B47413"/>
    <w:rsid w:val="00B47C1F"/>
    <w:rsid w:val="00B47CAC"/>
    <w:rsid w:val="00B52BAA"/>
    <w:rsid w:val="00B5316D"/>
    <w:rsid w:val="00B537B9"/>
    <w:rsid w:val="00B5558E"/>
    <w:rsid w:val="00B60380"/>
    <w:rsid w:val="00B60936"/>
    <w:rsid w:val="00B61205"/>
    <w:rsid w:val="00B62C35"/>
    <w:rsid w:val="00B63E7D"/>
    <w:rsid w:val="00B71A13"/>
    <w:rsid w:val="00B72C93"/>
    <w:rsid w:val="00B736F1"/>
    <w:rsid w:val="00B73C15"/>
    <w:rsid w:val="00B74789"/>
    <w:rsid w:val="00B75BDC"/>
    <w:rsid w:val="00B76FB4"/>
    <w:rsid w:val="00B7733D"/>
    <w:rsid w:val="00B77A3F"/>
    <w:rsid w:val="00B83976"/>
    <w:rsid w:val="00B83D65"/>
    <w:rsid w:val="00B86C4C"/>
    <w:rsid w:val="00B90103"/>
    <w:rsid w:val="00B90258"/>
    <w:rsid w:val="00B90DD7"/>
    <w:rsid w:val="00B91092"/>
    <w:rsid w:val="00B91F98"/>
    <w:rsid w:val="00B92646"/>
    <w:rsid w:val="00B933D7"/>
    <w:rsid w:val="00B93645"/>
    <w:rsid w:val="00B93C0A"/>
    <w:rsid w:val="00B9447C"/>
    <w:rsid w:val="00B9774E"/>
    <w:rsid w:val="00BA0A27"/>
    <w:rsid w:val="00BA3A27"/>
    <w:rsid w:val="00BA3BA8"/>
    <w:rsid w:val="00BA4571"/>
    <w:rsid w:val="00BA740E"/>
    <w:rsid w:val="00BA764B"/>
    <w:rsid w:val="00BB0F00"/>
    <w:rsid w:val="00BB538D"/>
    <w:rsid w:val="00BB5744"/>
    <w:rsid w:val="00BB5972"/>
    <w:rsid w:val="00BB69BF"/>
    <w:rsid w:val="00BB7206"/>
    <w:rsid w:val="00BB7385"/>
    <w:rsid w:val="00BC1211"/>
    <w:rsid w:val="00BC220A"/>
    <w:rsid w:val="00BC3675"/>
    <w:rsid w:val="00BC3763"/>
    <w:rsid w:val="00BC3CF7"/>
    <w:rsid w:val="00BC412E"/>
    <w:rsid w:val="00BC59BA"/>
    <w:rsid w:val="00BC724C"/>
    <w:rsid w:val="00BC7D9D"/>
    <w:rsid w:val="00BD414B"/>
    <w:rsid w:val="00BD73B2"/>
    <w:rsid w:val="00BE248B"/>
    <w:rsid w:val="00BE3034"/>
    <w:rsid w:val="00BE3148"/>
    <w:rsid w:val="00BE359F"/>
    <w:rsid w:val="00BE4FF7"/>
    <w:rsid w:val="00BE6327"/>
    <w:rsid w:val="00BE737B"/>
    <w:rsid w:val="00BE7C70"/>
    <w:rsid w:val="00BF02C8"/>
    <w:rsid w:val="00BF0A80"/>
    <w:rsid w:val="00BF3033"/>
    <w:rsid w:val="00BF3176"/>
    <w:rsid w:val="00BF33D5"/>
    <w:rsid w:val="00BF3FBD"/>
    <w:rsid w:val="00BF473F"/>
    <w:rsid w:val="00BF5C29"/>
    <w:rsid w:val="00BF75FB"/>
    <w:rsid w:val="00BF7673"/>
    <w:rsid w:val="00C004A1"/>
    <w:rsid w:val="00C01489"/>
    <w:rsid w:val="00C014FB"/>
    <w:rsid w:val="00C0460D"/>
    <w:rsid w:val="00C06589"/>
    <w:rsid w:val="00C11790"/>
    <w:rsid w:val="00C11922"/>
    <w:rsid w:val="00C12445"/>
    <w:rsid w:val="00C129A5"/>
    <w:rsid w:val="00C129B6"/>
    <w:rsid w:val="00C20694"/>
    <w:rsid w:val="00C2096C"/>
    <w:rsid w:val="00C20F82"/>
    <w:rsid w:val="00C2228E"/>
    <w:rsid w:val="00C23C41"/>
    <w:rsid w:val="00C23D17"/>
    <w:rsid w:val="00C24A7F"/>
    <w:rsid w:val="00C2790C"/>
    <w:rsid w:val="00C32393"/>
    <w:rsid w:val="00C32FDB"/>
    <w:rsid w:val="00C332CB"/>
    <w:rsid w:val="00C33E3B"/>
    <w:rsid w:val="00C35F4C"/>
    <w:rsid w:val="00C36566"/>
    <w:rsid w:val="00C36F65"/>
    <w:rsid w:val="00C37CF3"/>
    <w:rsid w:val="00C416C3"/>
    <w:rsid w:val="00C43774"/>
    <w:rsid w:val="00C44021"/>
    <w:rsid w:val="00C441B5"/>
    <w:rsid w:val="00C44387"/>
    <w:rsid w:val="00C45315"/>
    <w:rsid w:val="00C50289"/>
    <w:rsid w:val="00C509D1"/>
    <w:rsid w:val="00C53992"/>
    <w:rsid w:val="00C554D2"/>
    <w:rsid w:val="00C55DB3"/>
    <w:rsid w:val="00C60B2F"/>
    <w:rsid w:val="00C618CA"/>
    <w:rsid w:val="00C62585"/>
    <w:rsid w:val="00C631D5"/>
    <w:rsid w:val="00C64458"/>
    <w:rsid w:val="00C66FC4"/>
    <w:rsid w:val="00C67A26"/>
    <w:rsid w:val="00C72BF7"/>
    <w:rsid w:val="00C72E77"/>
    <w:rsid w:val="00C730FE"/>
    <w:rsid w:val="00C74762"/>
    <w:rsid w:val="00C754B8"/>
    <w:rsid w:val="00C7594D"/>
    <w:rsid w:val="00C766A5"/>
    <w:rsid w:val="00C80124"/>
    <w:rsid w:val="00C82165"/>
    <w:rsid w:val="00C826AB"/>
    <w:rsid w:val="00C82BF0"/>
    <w:rsid w:val="00C86AB7"/>
    <w:rsid w:val="00C87460"/>
    <w:rsid w:val="00C90947"/>
    <w:rsid w:val="00C934D7"/>
    <w:rsid w:val="00C93608"/>
    <w:rsid w:val="00C97128"/>
    <w:rsid w:val="00C974B6"/>
    <w:rsid w:val="00CA0674"/>
    <w:rsid w:val="00CA2893"/>
    <w:rsid w:val="00CA602B"/>
    <w:rsid w:val="00CA607E"/>
    <w:rsid w:val="00CA769F"/>
    <w:rsid w:val="00CB1367"/>
    <w:rsid w:val="00CB3B8D"/>
    <w:rsid w:val="00CB3CB7"/>
    <w:rsid w:val="00CB4323"/>
    <w:rsid w:val="00CB5A13"/>
    <w:rsid w:val="00CC0077"/>
    <w:rsid w:val="00CC3076"/>
    <w:rsid w:val="00CC37B0"/>
    <w:rsid w:val="00CC4364"/>
    <w:rsid w:val="00CC49AD"/>
    <w:rsid w:val="00CC4B6D"/>
    <w:rsid w:val="00CC5AC9"/>
    <w:rsid w:val="00CD02E0"/>
    <w:rsid w:val="00CD0A33"/>
    <w:rsid w:val="00CD2E15"/>
    <w:rsid w:val="00CD2E62"/>
    <w:rsid w:val="00CD2E94"/>
    <w:rsid w:val="00CD5606"/>
    <w:rsid w:val="00CD75AA"/>
    <w:rsid w:val="00CE256F"/>
    <w:rsid w:val="00CE2736"/>
    <w:rsid w:val="00CE43A8"/>
    <w:rsid w:val="00CE4E7C"/>
    <w:rsid w:val="00CE5C5E"/>
    <w:rsid w:val="00CE659A"/>
    <w:rsid w:val="00CE6D0B"/>
    <w:rsid w:val="00CF063F"/>
    <w:rsid w:val="00CF0AC0"/>
    <w:rsid w:val="00CF2988"/>
    <w:rsid w:val="00CF322C"/>
    <w:rsid w:val="00CF554E"/>
    <w:rsid w:val="00CF6993"/>
    <w:rsid w:val="00CF78A3"/>
    <w:rsid w:val="00D003C4"/>
    <w:rsid w:val="00D00735"/>
    <w:rsid w:val="00D01CDA"/>
    <w:rsid w:val="00D04C67"/>
    <w:rsid w:val="00D06DC1"/>
    <w:rsid w:val="00D07E38"/>
    <w:rsid w:val="00D07E66"/>
    <w:rsid w:val="00D1186F"/>
    <w:rsid w:val="00D1432F"/>
    <w:rsid w:val="00D143BB"/>
    <w:rsid w:val="00D16735"/>
    <w:rsid w:val="00D1791B"/>
    <w:rsid w:val="00D20AC2"/>
    <w:rsid w:val="00D20DE3"/>
    <w:rsid w:val="00D20E0B"/>
    <w:rsid w:val="00D217D0"/>
    <w:rsid w:val="00D21ADC"/>
    <w:rsid w:val="00D21E19"/>
    <w:rsid w:val="00D226CA"/>
    <w:rsid w:val="00D22F0D"/>
    <w:rsid w:val="00D24F57"/>
    <w:rsid w:val="00D256DC"/>
    <w:rsid w:val="00D26962"/>
    <w:rsid w:val="00D26FCC"/>
    <w:rsid w:val="00D27221"/>
    <w:rsid w:val="00D3009D"/>
    <w:rsid w:val="00D30740"/>
    <w:rsid w:val="00D31C47"/>
    <w:rsid w:val="00D32602"/>
    <w:rsid w:val="00D32898"/>
    <w:rsid w:val="00D332C7"/>
    <w:rsid w:val="00D35959"/>
    <w:rsid w:val="00D35B7B"/>
    <w:rsid w:val="00D40DF4"/>
    <w:rsid w:val="00D42047"/>
    <w:rsid w:val="00D42674"/>
    <w:rsid w:val="00D43333"/>
    <w:rsid w:val="00D442AD"/>
    <w:rsid w:val="00D459E5"/>
    <w:rsid w:val="00D45A9A"/>
    <w:rsid w:val="00D468B0"/>
    <w:rsid w:val="00D47B02"/>
    <w:rsid w:val="00D5089C"/>
    <w:rsid w:val="00D51530"/>
    <w:rsid w:val="00D51F43"/>
    <w:rsid w:val="00D5432A"/>
    <w:rsid w:val="00D548BE"/>
    <w:rsid w:val="00D55D6B"/>
    <w:rsid w:val="00D564A9"/>
    <w:rsid w:val="00D570B5"/>
    <w:rsid w:val="00D575A9"/>
    <w:rsid w:val="00D57B77"/>
    <w:rsid w:val="00D60307"/>
    <w:rsid w:val="00D61CFF"/>
    <w:rsid w:val="00D64CCB"/>
    <w:rsid w:val="00D6543A"/>
    <w:rsid w:val="00D65954"/>
    <w:rsid w:val="00D659FD"/>
    <w:rsid w:val="00D660D1"/>
    <w:rsid w:val="00D66B58"/>
    <w:rsid w:val="00D674E8"/>
    <w:rsid w:val="00D67B07"/>
    <w:rsid w:val="00D70766"/>
    <w:rsid w:val="00D71022"/>
    <w:rsid w:val="00D72C62"/>
    <w:rsid w:val="00D735AC"/>
    <w:rsid w:val="00D745E9"/>
    <w:rsid w:val="00D762C7"/>
    <w:rsid w:val="00D7781C"/>
    <w:rsid w:val="00D77C90"/>
    <w:rsid w:val="00D80708"/>
    <w:rsid w:val="00D807A2"/>
    <w:rsid w:val="00D80945"/>
    <w:rsid w:val="00D819DB"/>
    <w:rsid w:val="00D85107"/>
    <w:rsid w:val="00D8513F"/>
    <w:rsid w:val="00D85E63"/>
    <w:rsid w:val="00D86188"/>
    <w:rsid w:val="00D87EEC"/>
    <w:rsid w:val="00D92355"/>
    <w:rsid w:val="00D92A44"/>
    <w:rsid w:val="00D92E95"/>
    <w:rsid w:val="00D93202"/>
    <w:rsid w:val="00D948D4"/>
    <w:rsid w:val="00D95483"/>
    <w:rsid w:val="00D96928"/>
    <w:rsid w:val="00DA0A04"/>
    <w:rsid w:val="00DA1324"/>
    <w:rsid w:val="00DA1C85"/>
    <w:rsid w:val="00DA3B0F"/>
    <w:rsid w:val="00DA4208"/>
    <w:rsid w:val="00DA479B"/>
    <w:rsid w:val="00DA4C4C"/>
    <w:rsid w:val="00DA7D94"/>
    <w:rsid w:val="00DB1F79"/>
    <w:rsid w:val="00DB3CBC"/>
    <w:rsid w:val="00DB3F48"/>
    <w:rsid w:val="00DB6A99"/>
    <w:rsid w:val="00DC1627"/>
    <w:rsid w:val="00DC3F43"/>
    <w:rsid w:val="00DC4B7C"/>
    <w:rsid w:val="00DC5376"/>
    <w:rsid w:val="00DC539F"/>
    <w:rsid w:val="00DC56B5"/>
    <w:rsid w:val="00DC6803"/>
    <w:rsid w:val="00DC7C3B"/>
    <w:rsid w:val="00DC7CE6"/>
    <w:rsid w:val="00DD0752"/>
    <w:rsid w:val="00DD16D9"/>
    <w:rsid w:val="00DD2109"/>
    <w:rsid w:val="00DD34EE"/>
    <w:rsid w:val="00DD57CE"/>
    <w:rsid w:val="00DD6D33"/>
    <w:rsid w:val="00DD76D3"/>
    <w:rsid w:val="00DD79FB"/>
    <w:rsid w:val="00DE0FA5"/>
    <w:rsid w:val="00DE1AE8"/>
    <w:rsid w:val="00DE3D67"/>
    <w:rsid w:val="00DE4008"/>
    <w:rsid w:val="00DE4090"/>
    <w:rsid w:val="00DE609A"/>
    <w:rsid w:val="00DE61F5"/>
    <w:rsid w:val="00DE694C"/>
    <w:rsid w:val="00DF0AB6"/>
    <w:rsid w:val="00DF16C8"/>
    <w:rsid w:val="00DF40F4"/>
    <w:rsid w:val="00E016A8"/>
    <w:rsid w:val="00E01AB5"/>
    <w:rsid w:val="00E02EA8"/>
    <w:rsid w:val="00E05DBD"/>
    <w:rsid w:val="00E06C65"/>
    <w:rsid w:val="00E06EEC"/>
    <w:rsid w:val="00E0751C"/>
    <w:rsid w:val="00E075F3"/>
    <w:rsid w:val="00E1226F"/>
    <w:rsid w:val="00E13B11"/>
    <w:rsid w:val="00E14FA7"/>
    <w:rsid w:val="00E16542"/>
    <w:rsid w:val="00E168F9"/>
    <w:rsid w:val="00E16D39"/>
    <w:rsid w:val="00E20B14"/>
    <w:rsid w:val="00E21258"/>
    <w:rsid w:val="00E21C7E"/>
    <w:rsid w:val="00E223D3"/>
    <w:rsid w:val="00E22746"/>
    <w:rsid w:val="00E23317"/>
    <w:rsid w:val="00E2562E"/>
    <w:rsid w:val="00E25978"/>
    <w:rsid w:val="00E25DBD"/>
    <w:rsid w:val="00E26D9D"/>
    <w:rsid w:val="00E30ADD"/>
    <w:rsid w:val="00E3451B"/>
    <w:rsid w:val="00E3465A"/>
    <w:rsid w:val="00E36A31"/>
    <w:rsid w:val="00E3732E"/>
    <w:rsid w:val="00E37A1F"/>
    <w:rsid w:val="00E4051F"/>
    <w:rsid w:val="00E41CFC"/>
    <w:rsid w:val="00E41FC5"/>
    <w:rsid w:val="00E42688"/>
    <w:rsid w:val="00E4428C"/>
    <w:rsid w:val="00E46439"/>
    <w:rsid w:val="00E4763B"/>
    <w:rsid w:val="00E47774"/>
    <w:rsid w:val="00E510C9"/>
    <w:rsid w:val="00E5131F"/>
    <w:rsid w:val="00E53138"/>
    <w:rsid w:val="00E54674"/>
    <w:rsid w:val="00E54E21"/>
    <w:rsid w:val="00E56BF7"/>
    <w:rsid w:val="00E56D42"/>
    <w:rsid w:val="00E57DA7"/>
    <w:rsid w:val="00E57E72"/>
    <w:rsid w:val="00E617E3"/>
    <w:rsid w:val="00E61C8F"/>
    <w:rsid w:val="00E63466"/>
    <w:rsid w:val="00E64176"/>
    <w:rsid w:val="00E66361"/>
    <w:rsid w:val="00E67801"/>
    <w:rsid w:val="00E70D54"/>
    <w:rsid w:val="00E73095"/>
    <w:rsid w:val="00E750CE"/>
    <w:rsid w:val="00E77736"/>
    <w:rsid w:val="00E80356"/>
    <w:rsid w:val="00E81EAB"/>
    <w:rsid w:val="00E826B2"/>
    <w:rsid w:val="00E84AD7"/>
    <w:rsid w:val="00E84EE1"/>
    <w:rsid w:val="00E862D2"/>
    <w:rsid w:val="00E90265"/>
    <w:rsid w:val="00E91A6A"/>
    <w:rsid w:val="00E9214B"/>
    <w:rsid w:val="00E92172"/>
    <w:rsid w:val="00E941CF"/>
    <w:rsid w:val="00E94783"/>
    <w:rsid w:val="00E96EB0"/>
    <w:rsid w:val="00E9713E"/>
    <w:rsid w:val="00E976B8"/>
    <w:rsid w:val="00EA3A80"/>
    <w:rsid w:val="00EA3E64"/>
    <w:rsid w:val="00EA4CCF"/>
    <w:rsid w:val="00EA77D8"/>
    <w:rsid w:val="00EA78D0"/>
    <w:rsid w:val="00EA7D56"/>
    <w:rsid w:val="00EB0CC2"/>
    <w:rsid w:val="00EB14B0"/>
    <w:rsid w:val="00EB2071"/>
    <w:rsid w:val="00EB2C9A"/>
    <w:rsid w:val="00EB47E9"/>
    <w:rsid w:val="00EB4C68"/>
    <w:rsid w:val="00EB4C89"/>
    <w:rsid w:val="00EB50D6"/>
    <w:rsid w:val="00EB5CEA"/>
    <w:rsid w:val="00EB6E39"/>
    <w:rsid w:val="00EC03D1"/>
    <w:rsid w:val="00EC0A70"/>
    <w:rsid w:val="00EC13A8"/>
    <w:rsid w:val="00EC278E"/>
    <w:rsid w:val="00EC5C18"/>
    <w:rsid w:val="00EC664A"/>
    <w:rsid w:val="00EC6CB6"/>
    <w:rsid w:val="00EC742A"/>
    <w:rsid w:val="00ED029F"/>
    <w:rsid w:val="00ED1D8F"/>
    <w:rsid w:val="00ED27CA"/>
    <w:rsid w:val="00ED2A66"/>
    <w:rsid w:val="00ED3BBA"/>
    <w:rsid w:val="00ED3CBB"/>
    <w:rsid w:val="00ED5781"/>
    <w:rsid w:val="00ED60F9"/>
    <w:rsid w:val="00ED64F1"/>
    <w:rsid w:val="00ED6F3B"/>
    <w:rsid w:val="00ED71A0"/>
    <w:rsid w:val="00ED7555"/>
    <w:rsid w:val="00ED7C18"/>
    <w:rsid w:val="00EE0A65"/>
    <w:rsid w:val="00EE18FC"/>
    <w:rsid w:val="00EE1C21"/>
    <w:rsid w:val="00EE20D5"/>
    <w:rsid w:val="00EE231C"/>
    <w:rsid w:val="00EE248D"/>
    <w:rsid w:val="00EE3AA3"/>
    <w:rsid w:val="00EE3AED"/>
    <w:rsid w:val="00EE683D"/>
    <w:rsid w:val="00EE7CDB"/>
    <w:rsid w:val="00EF038F"/>
    <w:rsid w:val="00EF168F"/>
    <w:rsid w:val="00EF2017"/>
    <w:rsid w:val="00EF2609"/>
    <w:rsid w:val="00EF29AE"/>
    <w:rsid w:val="00EF2E0A"/>
    <w:rsid w:val="00EF40F3"/>
    <w:rsid w:val="00EF466B"/>
    <w:rsid w:val="00EF53AB"/>
    <w:rsid w:val="00EF60A2"/>
    <w:rsid w:val="00EF6848"/>
    <w:rsid w:val="00EF6D42"/>
    <w:rsid w:val="00F02F3C"/>
    <w:rsid w:val="00F0318E"/>
    <w:rsid w:val="00F033CF"/>
    <w:rsid w:val="00F03EA1"/>
    <w:rsid w:val="00F07C24"/>
    <w:rsid w:val="00F07DE1"/>
    <w:rsid w:val="00F11EB6"/>
    <w:rsid w:val="00F12819"/>
    <w:rsid w:val="00F13C8B"/>
    <w:rsid w:val="00F13F7B"/>
    <w:rsid w:val="00F1412D"/>
    <w:rsid w:val="00F149DA"/>
    <w:rsid w:val="00F14D3B"/>
    <w:rsid w:val="00F1656B"/>
    <w:rsid w:val="00F17CCA"/>
    <w:rsid w:val="00F20561"/>
    <w:rsid w:val="00F21849"/>
    <w:rsid w:val="00F24605"/>
    <w:rsid w:val="00F24759"/>
    <w:rsid w:val="00F24CA9"/>
    <w:rsid w:val="00F251A7"/>
    <w:rsid w:val="00F25989"/>
    <w:rsid w:val="00F27CCD"/>
    <w:rsid w:val="00F3028A"/>
    <w:rsid w:val="00F305F3"/>
    <w:rsid w:val="00F30767"/>
    <w:rsid w:val="00F333DC"/>
    <w:rsid w:val="00F3433C"/>
    <w:rsid w:val="00F34F31"/>
    <w:rsid w:val="00F35437"/>
    <w:rsid w:val="00F359F4"/>
    <w:rsid w:val="00F36961"/>
    <w:rsid w:val="00F37544"/>
    <w:rsid w:val="00F376E7"/>
    <w:rsid w:val="00F40EAF"/>
    <w:rsid w:val="00F41C8C"/>
    <w:rsid w:val="00F42064"/>
    <w:rsid w:val="00F42BB1"/>
    <w:rsid w:val="00F450B3"/>
    <w:rsid w:val="00F505D8"/>
    <w:rsid w:val="00F505F3"/>
    <w:rsid w:val="00F50C6B"/>
    <w:rsid w:val="00F510FF"/>
    <w:rsid w:val="00F524A1"/>
    <w:rsid w:val="00F52671"/>
    <w:rsid w:val="00F53FA8"/>
    <w:rsid w:val="00F54D1D"/>
    <w:rsid w:val="00F56B64"/>
    <w:rsid w:val="00F611F1"/>
    <w:rsid w:val="00F616C5"/>
    <w:rsid w:val="00F6176D"/>
    <w:rsid w:val="00F627B8"/>
    <w:rsid w:val="00F63723"/>
    <w:rsid w:val="00F70B0E"/>
    <w:rsid w:val="00F72868"/>
    <w:rsid w:val="00F73D52"/>
    <w:rsid w:val="00F757EC"/>
    <w:rsid w:val="00F75BA9"/>
    <w:rsid w:val="00F75D3D"/>
    <w:rsid w:val="00F765B6"/>
    <w:rsid w:val="00F7673E"/>
    <w:rsid w:val="00F77A26"/>
    <w:rsid w:val="00F803FB"/>
    <w:rsid w:val="00F8135D"/>
    <w:rsid w:val="00F82D19"/>
    <w:rsid w:val="00F845FA"/>
    <w:rsid w:val="00F906D3"/>
    <w:rsid w:val="00F916EB"/>
    <w:rsid w:val="00F92238"/>
    <w:rsid w:val="00F931AD"/>
    <w:rsid w:val="00F94086"/>
    <w:rsid w:val="00F94C49"/>
    <w:rsid w:val="00F958B2"/>
    <w:rsid w:val="00F95BD2"/>
    <w:rsid w:val="00F96203"/>
    <w:rsid w:val="00F965A7"/>
    <w:rsid w:val="00F967AE"/>
    <w:rsid w:val="00F97C00"/>
    <w:rsid w:val="00F97CF5"/>
    <w:rsid w:val="00FA0905"/>
    <w:rsid w:val="00FA1BB4"/>
    <w:rsid w:val="00FA2C96"/>
    <w:rsid w:val="00FA5172"/>
    <w:rsid w:val="00FA61C1"/>
    <w:rsid w:val="00FA65BE"/>
    <w:rsid w:val="00FA748C"/>
    <w:rsid w:val="00FB1411"/>
    <w:rsid w:val="00FB1782"/>
    <w:rsid w:val="00FB361B"/>
    <w:rsid w:val="00FB4638"/>
    <w:rsid w:val="00FB75C3"/>
    <w:rsid w:val="00FC0869"/>
    <w:rsid w:val="00FC48A4"/>
    <w:rsid w:val="00FC490A"/>
    <w:rsid w:val="00FC605B"/>
    <w:rsid w:val="00FC7067"/>
    <w:rsid w:val="00FC7A34"/>
    <w:rsid w:val="00FC7C69"/>
    <w:rsid w:val="00FD12A4"/>
    <w:rsid w:val="00FD1F9E"/>
    <w:rsid w:val="00FD59D1"/>
    <w:rsid w:val="00FD6FEE"/>
    <w:rsid w:val="00FD7EE2"/>
    <w:rsid w:val="00FE0417"/>
    <w:rsid w:val="00FE0730"/>
    <w:rsid w:val="00FE07A6"/>
    <w:rsid w:val="00FE0C16"/>
    <w:rsid w:val="00FE2D2B"/>
    <w:rsid w:val="00FE5493"/>
    <w:rsid w:val="00FE567F"/>
    <w:rsid w:val="00FE6AE3"/>
    <w:rsid w:val="00FE76A8"/>
    <w:rsid w:val="00FF12A9"/>
    <w:rsid w:val="00FF5086"/>
    <w:rsid w:val="125D311E"/>
    <w:rsid w:val="2E287090"/>
    <w:rsid w:val="37844FF1"/>
    <w:rsid w:val="70AE283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D6FAB69"/>
  <w15:chartTrackingRefBased/>
  <w15:docId w15:val="{E4A542DB-5CA5-48AA-8BC7-177C665C5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qFormat/>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uiPriority w:val="99"/>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uiPriority w:val="99"/>
    <w:rsid w:val="00087ED8"/>
  </w:style>
  <w:style w:type="character" w:styleId="CommentReference">
    <w:name w:val="annotation reference"/>
    <w:uiPriority w:val="99"/>
    <w:semiHidden/>
    <w:unhideWhenUsed/>
    <w:rsid w:val="009C3BAA"/>
    <w:rPr>
      <w:sz w:val="16"/>
      <w:szCs w:val="16"/>
    </w:rPr>
  </w:style>
  <w:style w:type="paragraph" w:styleId="CommentText">
    <w:name w:val="annotation text"/>
    <w:basedOn w:val="Normal"/>
    <w:link w:val="CommentTextChar"/>
    <w:uiPriority w:val="99"/>
    <w:unhideWhenUsed/>
    <w:rsid w:val="009C3BAA"/>
    <w:rPr>
      <w:sz w:val="20"/>
    </w:rPr>
  </w:style>
  <w:style w:type="character" w:customStyle="1" w:styleId="CommentTextChar">
    <w:name w:val="Comment Text Char"/>
    <w:link w:val="CommentText"/>
    <w:uiPriority w:val="99"/>
    <w:rsid w:val="009C3BAA"/>
    <w:rPr>
      <w:snapToGrid w:val="0"/>
      <w:kern w:val="28"/>
    </w:rPr>
  </w:style>
  <w:style w:type="paragraph" w:styleId="CommentSubject">
    <w:name w:val="annotation subject"/>
    <w:basedOn w:val="CommentText"/>
    <w:next w:val="CommentText"/>
    <w:link w:val="CommentSubjectChar"/>
    <w:uiPriority w:val="99"/>
    <w:semiHidden/>
    <w:unhideWhenUsed/>
    <w:rsid w:val="009C3BAA"/>
    <w:rPr>
      <w:b/>
      <w:bCs/>
    </w:rPr>
  </w:style>
  <w:style w:type="character" w:customStyle="1" w:styleId="CommentSubjectChar">
    <w:name w:val="Comment Subject Char"/>
    <w:link w:val="CommentSubject"/>
    <w:uiPriority w:val="99"/>
    <w:semiHidden/>
    <w:rsid w:val="009C3BAA"/>
    <w:rPr>
      <w:b/>
      <w:bCs/>
      <w:snapToGrid w:val="0"/>
      <w:kern w:val="28"/>
    </w:rPr>
  </w:style>
  <w:style w:type="paragraph" w:styleId="Revision">
    <w:name w:val="Revision"/>
    <w:hidden/>
    <w:uiPriority w:val="99"/>
    <w:semiHidden/>
    <w:rsid w:val="00C35F4C"/>
    <w:rPr>
      <w:snapToGrid w:val="0"/>
      <w:kern w:val="28"/>
      <w:sz w:val="22"/>
    </w:rPr>
  </w:style>
  <w:style w:type="character" w:customStyle="1" w:styleId="ParaNumChar">
    <w:name w:val="ParaNum Char"/>
    <w:link w:val="ParaNum"/>
    <w:locked/>
    <w:rsid w:val="00E61C8F"/>
    <w:rPr>
      <w:snapToGrid w:val="0"/>
      <w:kern w:val="28"/>
      <w:sz w:val="22"/>
    </w:rPr>
  </w:style>
  <w:style w:type="character" w:styleId="Emphasis">
    <w:name w:val="Emphasis"/>
    <w:uiPriority w:val="20"/>
    <w:qFormat/>
    <w:rsid w:val="00E9214B"/>
    <w:rPr>
      <w:i/>
      <w:iCs/>
    </w:rPr>
  </w:style>
  <w:style w:type="character" w:customStyle="1" w:styleId="markedcontent">
    <w:name w:val="markedcontent"/>
    <w:basedOn w:val="DefaultParagraphFont"/>
    <w:rsid w:val="00E9214B"/>
  </w:style>
  <w:style w:type="character" w:customStyle="1" w:styleId="ALTSFOOTNOTEChar">
    <w:name w:val="ALTS FOOTNOTE Char"/>
    <w:aliases w:val="ALTS FOOTNOTE Char Char Char,ALTS FOOTNOTE Char Char Char Char Char,Footnote Text Char Char Char,Footnote Text Char Char Char Char Char,Footnote Text Char1 Char,Footnote Text Char1 Char Char Char,f Char,fn Char2,fn Char"/>
    <w:uiPriority w:val="99"/>
    <w:locked/>
    <w:rsid w:val="00687473"/>
  </w:style>
  <w:style w:type="character" w:styleId="FollowedHyperlink">
    <w:name w:val="FollowedHyperlink"/>
    <w:basedOn w:val="DefaultParagraphFont"/>
    <w:uiPriority w:val="99"/>
    <w:semiHidden/>
    <w:unhideWhenUsed/>
    <w:rsid w:val="00DE0FA5"/>
    <w:rPr>
      <w:color w:val="96607D" w:themeColor="followedHyperlink"/>
      <w:u w:val="single"/>
    </w:rPr>
  </w:style>
  <w:style w:type="character" w:styleId="Mention">
    <w:name w:val="Mention"/>
    <w:basedOn w:val="DefaultParagraphFont"/>
    <w:uiPriority w:val="99"/>
    <w:unhideWhenUsed/>
    <w:rsid w:val="00AB686B"/>
    <w:rPr>
      <w:color w:val="2B579A"/>
      <w:shd w:val="clear" w:color="auto" w:fill="E1DFDD"/>
    </w:rPr>
  </w:style>
  <w:style w:type="paragraph" w:styleId="ListParagraph">
    <w:name w:val="List Paragraph"/>
    <w:basedOn w:val="Normal"/>
    <w:uiPriority w:val="34"/>
    <w:qFormat/>
    <w:rsid w:val="00A22E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Megan.Danner@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broadbandmap.fcc.gov/datadownload/nationwidedata?pubData"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