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3D2016" w:rsidRPr="006F5643" w:rsidP="003D2016" w14:paraId="49E15C86" w14:textId="77777777">
      <w:pPr>
        <w:spacing w:after="120"/>
        <w:contextualSpacing/>
        <w:jc w:val="right"/>
        <w:rPr>
          <w:szCs w:val="22"/>
        </w:rPr>
      </w:pPr>
    </w:p>
    <w:p w:rsidR="003D2016" w:rsidRPr="006F5643" w:rsidP="003D2016" w14:paraId="65A76BFA" w14:textId="5DE342B2">
      <w:pPr>
        <w:spacing w:after="120"/>
        <w:contextualSpacing/>
        <w:jc w:val="right"/>
        <w:rPr>
          <w:b/>
          <w:szCs w:val="22"/>
        </w:rPr>
      </w:pPr>
      <w:r w:rsidRPr="006F5643">
        <w:rPr>
          <w:b/>
          <w:szCs w:val="22"/>
        </w:rPr>
        <w:t>DA 26-</w:t>
      </w:r>
      <w:r w:rsidR="00731C6E">
        <w:rPr>
          <w:b/>
          <w:szCs w:val="22"/>
        </w:rPr>
        <w:t>730</w:t>
      </w:r>
    </w:p>
    <w:p w:rsidR="003D2016" w:rsidRPr="006F5643" w:rsidP="003D2016" w14:paraId="62E633DA" w14:textId="23865055">
      <w:pPr>
        <w:spacing w:after="120"/>
        <w:contextualSpacing/>
        <w:jc w:val="right"/>
        <w:rPr>
          <w:b/>
          <w:szCs w:val="22"/>
        </w:rPr>
      </w:pPr>
      <w:r w:rsidRPr="006F5643">
        <w:rPr>
          <w:b/>
          <w:szCs w:val="22"/>
        </w:rPr>
        <w:t>Released</w:t>
      </w:r>
      <w:r w:rsidRPr="006F5643">
        <w:rPr>
          <w:b/>
          <w:szCs w:val="22"/>
        </w:rPr>
        <w:t xml:space="preserve">:  </w:t>
      </w:r>
      <w:r>
        <w:rPr>
          <w:b/>
          <w:szCs w:val="22"/>
        </w:rPr>
        <w:t>July</w:t>
      </w:r>
      <w:r>
        <w:rPr>
          <w:b/>
          <w:szCs w:val="22"/>
        </w:rPr>
        <w:t xml:space="preserve"> 15</w:t>
      </w:r>
      <w:r w:rsidRPr="006F5643">
        <w:rPr>
          <w:b/>
          <w:szCs w:val="22"/>
        </w:rPr>
        <w:t>, 2026</w:t>
      </w:r>
    </w:p>
    <w:p w:rsidR="003D2016" w:rsidRPr="006F5643" w:rsidP="003D2016" w14:paraId="346030D3" w14:textId="77777777">
      <w:pPr>
        <w:spacing w:after="120"/>
        <w:contextualSpacing/>
        <w:rPr>
          <w:szCs w:val="22"/>
        </w:rPr>
      </w:pPr>
    </w:p>
    <w:p w:rsidR="003D2016" w:rsidRPr="006F5643" w:rsidP="003D2016" w14:paraId="693DE771" w14:textId="6EE6C9FA">
      <w:pPr>
        <w:tabs>
          <w:tab w:val="center" w:pos="5184"/>
        </w:tabs>
        <w:spacing w:after="120"/>
        <w:contextualSpacing/>
        <w:jc w:val="center"/>
        <w:rPr>
          <w:b/>
          <w:caps/>
          <w:szCs w:val="22"/>
        </w:rPr>
      </w:pPr>
      <w:bookmarkStart w:id="0" w:name="OLE_LINK1"/>
      <w:bookmarkStart w:id="1" w:name="OLE_LINK2"/>
      <w:r w:rsidRPr="006F5643">
        <w:rPr>
          <w:b/>
          <w:caps/>
          <w:szCs w:val="22"/>
        </w:rPr>
        <w:t xml:space="preserve">The Federal Communications Commission Announces the DEACTIVATION of the Disaster information Reporting System </w:t>
      </w:r>
      <w:bookmarkEnd w:id="0"/>
      <w:bookmarkEnd w:id="1"/>
      <w:r w:rsidRPr="006F5643">
        <w:rPr>
          <w:b/>
          <w:caps/>
          <w:szCs w:val="22"/>
        </w:rPr>
        <w:t>And THE Mandatory Disaster Response in</w:t>
      </w:r>
      <w:r>
        <w:rPr>
          <w:b/>
          <w:caps/>
          <w:szCs w:val="22"/>
        </w:rPr>
        <w:t>i</w:t>
      </w:r>
      <w:r w:rsidRPr="006F5643">
        <w:rPr>
          <w:b/>
          <w:caps/>
          <w:szCs w:val="22"/>
        </w:rPr>
        <w:t xml:space="preserve">tiative FOR GUAM IN Response to super typhoon </w:t>
      </w:r>
      <w:r>
        <w:rPr>
          <w:b/>
          <w:caps/>
          <w:szCs w:val="22"/>
        </w:rPr>
        <w:t xml:space="preserve">Bavi </w:t>
      </w:r>
    </w:p>
    <w:p w:rsidR="003D2016" w:rsidRPr="006F5643" w:rsidP="003D2016" w14:paraId="06E4BD42" w14:textId="77777777">
      <w:pPr>
        <w:spacing w:after="120"/>
        <w:contextualSpacing/>
        <w:rPr>
          <w:szCs w:val="22"/>
        </w:rPr>
      </w:pPr>
      <w:bookmarkStart w:id="2" w:name="TOChere"/>
    </w:p>
    <w:p w:rsidR="003D2016" w:rsidP="003D2016" w14:paraId="103D5356" w14:textId="0DB76A7B">
      <w:pPr>
        <w:spacing w:after="120"/>
        <w:ind w:firstLine="720"/>
        <w:rPr>
          <w:szCs w:val="22"/>
        </w:rPr>
      </w:pPr>
      <w:r w:rsidRPr="009C4FC4">
        <w:rPr>
          <w:szCs w:val="22"/>
        </w:rPr>
        <w:t xml:space="preserve">On </w:t>
      </w:r>
      <w:r>
        <w:rPr>
          <w:szCs w:val="22"/>
        </w:rPr>
        <w:t>July 6</w:t>
      </w:r>
      <w:r w:rsidRPr="00CE1DB3">
        <w:rPr>
          <w:szCs w:val="22"/>
        </w:rPr>
        <w:t>, 2026</w:t>
      </w:r>
      <w:r w:rsidRPr="00A74268">
        <w:rPr>
          <w:szCs w:val="22"/>
        </w:rPr>
        <w:t>,</w:t>
      </w:r>
      <w:r w:rsidRPr="009C4FC4">
        <w:rPr>
          <w:szCs w:val="22"/>
        </w:rPr>
        <w:t xml:space="preserve"> the </w:t>
      </w:r>
      <w:r>
        <w:rPr>
          <w:szCs w:val="22"/>
        </w:rPr>
        <w:t>Public Safety and Homeland Security Bureau (PSHSB) of the Federal Communications Commission (Commission), in coordination with the Federal Emergency Management Agency (FEMA), activated the Disaster Information Reporting System (</w:t>
      </w:r>
      <w:r w:rsidRPr="001F3D47">
        <w:rPr>
          <w:szCs w:val="22"/>
        </w:rPr>
        <w:t>DIRS</w:t>
      </w:r>
      <w:r>
        <w:rPr>
          <w:szCs w:val="22"/>
        </w:rPr>
        <w:t>)</w:t>
      </w:r>
      <w:r w:rsidRPr="001F3D47">
        <w:rPr>
          <w:szCs w:val="22"/>
        </w:rPr>
        <w:t xml:space="preserve"> </w:t>
      </w:r>
      <w:r>
        <w:rPr>
          <w:szCs w:val="22"/>
        </w:rPr>
        <w:t xml:space="preserve">and the </w:t>
      </w:r>
      <w:r w:rsidRPr="009E614C">
        <w:rPr>
          <w:szCs w:val="24"/>
        </w:rPr>
        <w:t>Mandatory Disaster Response Initiative (MDRI</w:t>
      </w:r>
      <w:r>
        <w:rPr>
          <w:szCs w:val="24"/>
        </w:rPr>
        <w:t>)</w:t>
      </w:r>
      <w:r>
        <w:rPr>
          <w:szCs w:val="22"/>
        </w:rPr>
        <w:t xml:space="preserve"> in </w:t>
      </w:r>
      <w:r w:rsidRPr="003A6CB7">
        <w:rPr>
          <w:szCs w:val="22"/>
        </w:rPr>
        <w:t xml:space="preserve">the Commonwealth of the Northern Mariana Islands </w:t>
      </w:r>
      <w:r>
        <w:rPr>
          <w:szCs w:val="22"/>
        </w:rPr>
        <w:t xml:space="preserve">(CNMI) and </w:t>
      </w:r>
      <w:r w:rsidR="00997717">
        <w:rPr>
          <w:szCs w:val="22"/>
        </w:rPr>
        <w:t>the U.S. Territory of Guam (</w:t>
      </w:r>
      <w:r>
        <w:rPr>
          <w:szCs w:val="22"/>
        </w:rPr>
        <w:t>Guam</w:t>
      </w:r>
      <w:r w:rsidR="00997717">
        <w:rPr>
          <w:szCs w:val="22"/>
        </w:rPr>
        <w:t>)</w:t>
      </w:r>
      <w:r>
        <w:rPr>
          <w:szCs w:val="22"/>
        </w:rPr>
        <w:t xml:space="preserve"> in response to </w:t>
      </w:r>
      <w:r w:rsidRPr="003A6CB7">
        <w:rPr>
          <w:szCs w:val="22"/>
        </w:rPr>
        <w:t xml:space="preserve">Super Typhoon </w:t>
      </w:r>
      <w:r>
        <w:rPr>
          <w:szCs w:val="22"/>
        </w:rPr>
        <w:t>Bavi</w:t>
      </w:r>
      <w:r w:rsidRPr="003A6CB7">
        <w:rPr>
          <w:szCs w:val="22"/>
        </w:rPr>
        <w:t>.</w:t>
      </w:r>
      <w:r>
        <w:rPr>
          <w:rStyle w:val="FootnoteReference"/>
          <w:szCs w:val="22"/>
        </w:rPr>
        <w:footnoteReference w:id="2"/>
      </w:r>
      <w:r>
        <w:rPr>
          <w:szCs w:val="22"/>
        </w:rPr>
        <w:t xml:space="preserve">  </w:t>
      </w:r>
    </w:p>
    <w:p w:rsidR="003D2016" w:rsidRPr="006F5643" w:rsidP="003D2016" w14:paraId="1BB2D33A" w14:textId="77777777">
      <w:pPr>
        <w:spacing w:after="120"/>
        <w:contextualSpacing/>
        <w:rPr>
          <w:szCs w:val="22"/>
        </w:rPr>
      </w:pPr>
    </w:p>
    <w:p w:rsidR="003D2016" w:rsidRPr="006F5643" w:rsidP="003D2016" w14:paraId="365E0866" w14:textId="77777777">
      <w:pPr>
        <w:spacing w:after="120"/>
        <w:contextualSpacing/>
        <w:rPr>
          <w:rFonts w:eastAsia="DengXian Light"/>
          <w:b/>
          <w:bCs/>
          <w:caps/>
          <w:szCs w:val="22"/>
        </w:rPr>
      </w:pPr>
      <w:r w:rsidRPr="006F5643">
        <w:rPr>
          <w:rFonts w:eastAsia="DengXian Light"/>
          <w:b/>
          <w:bCs/>
          <w:caps/>
          <w:szCs w:val="22"/>
        </w:rPr>
        <w:t xml:space="preserve">Deactivation of DIRS and </w:t>
      </w:r>
      <w:r>
        <w:rPr>
          <w:rFonts w:eastAsia="DengXian Light"/>
          <w:b/>
          <w:bCs/>
          <w:caps/>
          <w:szCs w:val="22"/>
        </w:rPr>
        <w:t xml:space="preserve">THE </w:t>
      </w:r>
      <w:r w:rsidRPr="006F5643">
        <w:rPr>
          <w:rFonts w:eastAsia="DengXian Light"/>
          <w:b/>
          <w:bCs/>
          <w:caps/>
          <w:szCs w:val="22"/>
        </w:rPr>
        <w:t>MDRI in GUAM</w:t>
      </w:r>
    </w:p>
    <w:p w:rsidR="003D2016" w:rsidRPr="006F5643" w:rsidP="003D2016" w14:paraId="507510F6" w14:textId="77777777">
      <w:pPr>
        <w:spacing w:after="120"/>
        <w:contextualSpacing/>
        <w:rPr>
          <w:rFonts w:eastAsia="DengXian Light"/>
          <w:caps/>
          <w:szCs w:val="22"/>
        </w:rPr>
      </w:pPr>
    </w:p>
    <w:p w:rsidR="003D2016" w:rsidRPr="006F5643" w:rsidP="003D2016" w14:paraId="36189A64" w14:textId="77777777">
      <w:pPr>
        <w:spacing w:after="120"/>
        <w:ind w:firstLine="623"/>
        <w:contextualSpacing/>
        <w:rPr>
          <w:szCs w:val="22"/>
        </w:rPr>
      </w:pPr>
      <w:r w:rsidRPr="006F5643">
        <w:rPr>
          <w:szCs w:val="22"/>
        </w:rPr>
        <w:t xml:space="preserve">By this Public Notice, </w:t>
      </w:r>
      <w:r>
        <w:rPr>
          <w:szCs w:val="22"/>
        </w:rPr>
        <w:t xml:space="preserve">at the request of FEMA and Guam, </w:t>
      </w:r>
      <w:r w:rsidRPr="006F5643">
        <w:rPr>
          <w:szCs w:val="22"/>
        </w:rPr>
        <w:t xml:space="preserve">PSHSB deactivates DIRS and </w:t>
      </w:r>
      <w:r>
        <w:rPr>
          <w:szCs w:val="22"/>
        </w:rPr>
        <w:t xml:space="preserve">the </w:t>
      </w:r>
      <w:r w:rsidRPr="006F5643">
        <w:rPr>
          <w:szCs w:val="22"/>
        </w:rPr>
        <w:t>MDRI for Guam in its entirety</w:t>
      </w:r>
      <w:r>
        <w:rPr>
          <w:szCs w:val="22"/>
        </w:rPr>
        <w:t xml:space="preserve">.  </w:t>
      </w:r>
    </w:p>
    <w:p w:rsidR="003D2016" w:rsidRPr="006F5643" w:rsidP="003D2016" w14:paraId="68E7ACD1" w14:textId="77777777">
      <w:pPr>
        <w:spacing w:after="120"/>
        <w:contextualSpacing/>
        <w:rPr>
          <w:rFonts w:eastAsia="DengXian Light"/>
          <w:caps/>
          <w:szCs w:val="22"/>
        </w:rPr>
      </w:pPr>
    </w:p>
    <w:p w:rsidR="003D2016" w:rsidP="003D2016" w14:paraId="1ADDBA80" w14:textId="01FD4409">
      <w:pPr>
        <w:spacing w:after="120"/>
        <w:ind w:firstLine="720"/>
        <w:contextualSpacing/>
        <w:rPr>
          <w:szCs w:val="22"/>
        </w:rPr>
      </w:pPr>
      <w:r w:rsidRPr="006F5643">
        <w:rPr>
          <w:szCs w:val="22"/>
        </w:rPr>
        <w:t xml:space="preserve">Cable communications providers, wireless service providers, wireline communications providers, and interconnected </w:t>
      </w:r>
      <w:r>
        <w:rPr>
          <w:szCs w:val="22"/>
        </w:rPr>
        <w:t>Voice over Internet Protocol (</w:t>
      </w:r>
      <w:r w:rsidRPr="006F5643">
        <w:rPr>
          <w:szCs w:val="22"/>
        </w:rPr>
        <w:t>VoIP</w:t>
      </w:r>
      <w:r>
        <w:rPr>
          <w:szCs w:val="22"/>
        </w:rPr>
        <w:t>)</w:t>
      </w:r>
      <w:r w:rsidRPr="006F5643">
        <w:rPr>
          <w:szCs w:val="22"/>
        </w:rPr>
        <w:t xml:space="preserve"> providers </w:t>
      </w:r>
      <w:r w:rsidRPr="006F5643">
        <w:rPr>
          <w:bCs/>
          <w:szCs w:val="22"/>
        </w:rPr>
        <w:t xml:space="preserve">that provide service in the above-referenced areas </w:t>
      </w:r>
      <w:r w:rsidRPr="006F5643">
        <w:rPr>
          <w:szCs w:val="22"/>
        </w:rPr>
        <w:t xml:space="preserve">are </w:t>
      </w:r>
      <w:r w:rsidRPr="006F5643">
        <w:rPr>
          <w:bCs/>
          <w:szCs w:val="22"/>
        </w:rPr>
        <w:t xml:space="preserve">no longer </w:t>
      </w:r>
      <w:r w:rsidRPr="006F5643">
        <w:rPr>
          <w:szCs w:val="22"/>
        </w:rPr>
        <w:t>required to report their infrastructure status daily in DIRS for this event.</w:t>
      </w:r>
      <w:r>
        <w:rPr>
          <w:szCs w:val="22"/>
          <w:vertAlign w:val="superscript"/>
        </w:rPr>
        <w:footnoteReference w:id="3"/>
      </w:r>
      <w:r w:rsidRPr="006F5643">
        <w:rPr>
          <w:szCs w:val="22"/>
        </w:rPr>
        <w:t xml:space="preserve">  </w:t>
      </w:r>
    </w:p>
    <w:p w:rsidR="003D2016" w:rsidRPr="006F5643" w:rsidP="003D2016" w14:paraId="47487B8B" w14:textId="77777777">
      <w:pPr>
        <w:spacing w:after="120"/>
        <w:contextualSpacing/>
        <w:rPr>
          <w:szCs w:val="22"/>
        </w:rPr>
      </w:pPr>
    </w:p>
    <w:p w:rsidR="003D2016" w:rsidP="003D2016" w14:paraId="42B8626E" w14:textId="77777777">
      <w:pPr>
        <w:spacing w:after="120"/>
        <w:ind w:right="318" w:firstLine="623"/>
        <w:contextualSpacing/>
        <w:rPr>
          <w:color w:val="1A1919"/>
          <w:szCs w:val="22"/>
        </w:rPr>
      </w:pPr>
      <w:r w:rsidRPr="006F5643">
        <w:rPr>
          <w:bCs/>
          <w:szCs w:val="22"/>
        </w:rPr>
        <w:t>As of the release of this Public Notice</w:t>
      </w:r>
      <w:r w:rsidRPr="006F5643">
        <w:rPr>
          <w:color w:val="1A1919"/>
          <w:szCs w:val="22"/>
        </w:rPr>
        <w:t>, cable communications providers, wireless service providers, wireline communications providers, and interconnected VoIP providers that provide service in the above-referenced areas must resume making submissions in the NORS concerning any incidents that are reportable under those rules.</w:t>
      </w:r>
      <w:r>
        <w:rPr>
          <w:rStyle w:val="FootnoteReference"/>
          <w:color w:val="1A1919"/>
          <w:szCs w:val="22"/>
        </w:rPr>
        <w:footnoteReference w:id="4"/>
      </w:r>
    </w:p>
    <w:p w:rsidR="008D3AF1" w:rsidRPr="006F5643" w:rsidP="003D2016" w14:paraId="5F7F914B" w14:textId="77777777">
      <w:pPr>
        <w:spacing w:after="120"/>
        <w:ind w:right="318" w:firstLine="623"/>
        <w:contextualSpacing/>
        <w:rPr>
          <w:color w:val="1A1919"/>
          <w:szCs w:val="22"/>
        </w:rPr>
      </w:pPr>
    </w:p>
    <w:p w:rsidR="003D2016" w:rsidRPr="006F5643" w:rsidP="003D2016" w14:paraId="02D98C12" w14:textId="09AF8084">
      <w:pPr>
        <w:spacing w:after="120"/>
        <w:ind w:firstLine="720"/>
        <w:contextualSpacing/>
        <w:rPr>
          <w:szCs w:val="22"/>
        </w:rPr>
      </w:pPr>
    </w:p>
    <w:p w:rsidR="003D2016" w:rsidRPr="006F5643" w:rsidP="003D2016" w14:paraId="08334B44" w14:textId="77777777">
      <w:pPr>
        <w:spacing w:after="120"/>
        <w:contextualSpacing/>
        <w:rPr>
          <w:b/>
          <w:szCs w:val="22"/>
        </w:rPr>
      </w:pPr>
      <w:bookmarkStart w:id="3" w:name="_Hlk115432757"/>
      <w:bookmarkStart w:id="4" w:name="_Hlk526842846"/>
      <w:bookmarkStart w:id="5" w:name="_Hlk526842909"/>
      <w:r w:rsidRPr="006F5643">
        <w:rPr>
          <w:b/>
          <w:szCs w:val="22"/>
        </w:rPr>
        <w:t>DIRS AND</w:t>
      </w:r>
      <w:r>
        <w:rPr>
          <w:b/>
          <w:szCs w:val="22"/>
        </w:rPr>
        <w:t xml:space="preserve"> THE</w:t>
      </w:r>
      <w:r w:rsidRPr="006F5643">
        <w:rPr>
          <w:b/>
          <w:szCs w:val="22"/>
        </w:rPr>
        <w:t xml:space="preserve"> MDRI REMAIN ACTIVATED IN</w:t>
      </w:r>
      <w:r w:rsidRPr="006F5643">
        <w:rPr>
          <w:szCs w:val="22"/>
        </w:rPr>
        <w:t xml:space="preserve"> </w:t>
      </w:r>
      <w:r w:rsidRPr="006F5643">
        <w:rPr>
          <w:b/>
          <w:szCs w:val="22"/>
        </w:rPr>
        <w:t>THE FOLLOWING GEOGRAPHIC AREAS IN THE CNMI:</w:t>
      </w:r>
    </w:p>
    <w:p w:rsidR="003D2016" w:rsidRPr="006F5643" w:rsidP="003D2016" w14:paraId="32DB273A" w14:textId="77777777">
      <w:pPr>
        <w:spacing w:after="120"/>
        <w:contextualSpacing/>
        <w:rPr>
          <w:b/>
          <w:szCs w:val="22"/>
        </w:rPr>
      </w:pPr>
    </w:p>
    <w:p w:rsidR="003D2016" w:rsidRPr="006F5643" w:rsidP="003D2016" w14:paraId="1C7CA667" w14:textId="77777777">
      <w:pPr>
        <w:spacing w:after="120"/>
        <w:contextualSpacing/>
        <w:rPr>
          <w:b/>
          <w:szCs w:val="22"/>
        </w:rPr>
      </w:pPr>
      <w:r w:rsidRPr="006F5643">
        <w:rPr>
          <w:b/>
          <w:szCs w:val="22"/>
        </w:rPr>
        <w:t>CNMI: Rota, Saipan, and Tinian</w:t>
      </w:r>
    </w:p>
    <w:p w:rsidR="003D2016" w:rsidRPr="006F5643" w:rsidP="003D2016" w14:paraId="75087815" w14:textId="77777777">
      <w:pPr>
        <w:spacing w:after="120"/>
        <w:contextualSpacing/>
        <w:rPr>
          <w:szCs w:val="22"/>
        </w:rPr>
      </w:pPr>
    </w:p>
    <w:p w:rsidR="003D2016" w:rsidRPr="006F5643" w:rsidP="003D2016" w14:paraId="60F3C672" w14:textId="77777777">
      <w:pPr>
        <w:spacing w:after="120"/>
        <w:ind w:firstLine="720"/>
        <w:contextualSpacing/>
        <w:rPr>
          <w:szCs w:val="22"/>
        </w:rPr>
      </w:pPr>
      <w:r w:rsidRPr="006F5643">
        <w:rPr>
          <w:szCs w:val="22"/>
        </w:rPr>
        <w:t>Please continue to provide information to the Commission for the impacted geographic areas that are already located in the disaster area.</w:t>
      </w:r>
    </w:p>
    <w:p w:rsidR="003D2016" w:rsidRPr="006F5643" w:rsidP="003D2016" w14:paraId="0310F755" w14:textId="77777777">
      <w:pPr>
        <w:spacing w:after="120"/>
        <w:contextualSpacing/>
        <w:rPr>
          <w:szCs w:val="22"/>
        </w:rPr>
      </w:pPr>
    </w:p>
    <w:p w:rsidR="003D2016" w:rsidRPr="006F5643" w:rsidP="003D2016" w14:paraId="3CED2B48" w14:textId="77777777">
      <w:pPr>
        <w:tabs>
          <w:tab w:val="center" w:pos="5184"/>
        </w:tabs>
        <w:spacing w:after="120"/>
        <w:ind w:firstLine="720"/>
        <w:contextualSpacing/>
        <w:rPr>
          <w:bCs/>
          <w:szCs w:val="22"/>
        </w:rPr>
      </w:pPr>
      <w:r w:rsidRPr="006F5643">
        <w:rPr>
          <w:szCs w:val="22"/>
        </w:rPr>
        <w:t>The Commission continues to monitor this event and may amend DIRS or the MDRI activation area in the coming days.</w:t>
      </w:r>
      <w:bookmarkEnd w:id="3"/>
      <w:bookmarkEnd w:id="4"/>
      <w:bookmarkEnd w:id="5"/>
    </w:p>
    <w:p w:rsidR="003D2016" w:rsidRPr="006F5643" w:rsidP="003D2016" w14:paraId="71A233DC" w14:textId="77777777">
      <w:pPr>
        <w:spacing w:after="120"/>
        <w:contextualSpacing/>
        <w:rPr>
          <w:szCs w:val="22"/>
        </w:rPr>
      </w:pPr>
    </w:p>
    <w:p w:rsidR="003D2016" w:rsidRPr="006F5643" w:rsidP="003D2016" w14:paraId="76AC736F" w14:textId="77777777">
      <w:pPr>
        <w:spacing w:after="120"/>
        <w:contextualSpacing/>
        <w:rPr>
          <w:szCs w:val="22"/>
        </w:rPr>
      </w:pPr>
      <w:r w:rsidRPr="006F5643">
        <w:rPr>
          <w:szCs w:val="22"/>
        </w:rPr>
        <w:t>For further information on this DIRS activation, please contact:</w:t>
      </w:r>
    </w:p>
    <w:p w:rsidR="003D2016" w:rsidRPr="006F5643" w:rsidP="003D2016" w14:paraId="50D5548C" w14:textId="77777777">
      <w:pPr>
        <w:tabs>
          <w:tab w:val="center" w:pos="5184"/>
        </w:tabs>
        <w:spacing w:after="120"/>
        <w:contextualSpacing/>
        <w:rPr>
          <w:szCs w:val="22"/>
        </w:rPr>
      </w:pPr>
    </w:p>
    <w:p w:rsidR="003D2016" w:rsidRPr="006F5643" w:rsidP="003D2016" w14:paraId="23195601" w14:textId="77777777">
      <w:pPr>
        <w:tabs>
          <w:tab w:val="center" w:pos="5184"/>
        </w:tabs>
        <w:spacing w:after="120"/>
        <w:contextualSpacing/>
        <w:rPr>
          <w:color w:val="0000FF"/>
          <w:szCs w:val="22"/>
          <w:u w:val="single"/>
        </w:rPr>
      </w:pPr>
      <w:r w:rsidRPr="006F5643">
        <w:rPr>
          <w:szCs w:val="22"/>
        </w:rPr>
        <w:t xml:space="preserve">Michael Caiafa, (202) 418-1311, </w:t>
      </w:r>
      <w:hyperlink r:id="rId5" w:history="1">
        <w:r w:rsidRPr="006F5643">
          <w:rPr>
            <w:color w:val="0000FF"/>
            <w:szCs w:val="22"/>
            <w:u w:val="single"/>
          </w:rPr>
          <w:t>michael.caiafa@fcc.gov</w:t>
        </w:r>
      </w:hyperlink>
    </w:p>
    <w:p w:rsidR="003D2016" w:rsidRPr="006F5643" w:rsidP="003D2016" w14:paraId="1E05215B" w14:textId="77777777">
      <w:pPr>
        <w:spacing w:after="120"/>
        <w:contextualSpacing/>
        <w:rPr>
          <w:color w:val="0000FF"/>
          <w:szCs w:val="22"/>
          <w:u w:val="single"/>
        </w:rPr>
      </w:pPr>
      <w:r w:rsidRPr="006F5643">
        <w:rPr>
          <w:szCs w:val="22"/>
        </w:rPr>
        <w:t xml:space="preserve">Juan Chapa, (202) 418-0431, </w:t>
      </w:r>
      <w:hyperlink r:id="rId6" w:history="1">
        <w:r w:rsidRPr="006F5643">
          <w:rPr>
            <w:color w:val="0000FF"/>
            <w:szCs w:val="22"/>
            <w:u w:val="single"/>
          </w:rPr>
          <w:t>juan.chapa@fcc.gov</w:t>
        </w:r>
      </w:hyperlink>
    </w:p>
    <w:p w:rsidR="003D2016" w:rsidRPr="006F5643" w:rsidP="003D2016" w14:paraId="5BC587CC" w14:textId="77777777">
      <w:pPr>
        <w:spacing w:after="120"/>
        <w:contextualSpacing/>
        <w:rPr>
          <w:color w:val="000000" w:themeColor="text1"/>
          <w:szCs w:val="22"/>
          <w:u w:val="single"/>
        </w:rPr>
      </w:pPr>
      <w:r w:rsidRPr="006F5643">
        <w:rPr>
          <w:szCs w:val="22"/>
        </w:rPr>
        <w:t xml:space="preserve">FCC 24/7 Operations Center, (202) 418-1122, </w:t>
      </w:r>
      <w:hyperlink r:id="rId7" w:history="1">
        <w:r w:rsidRPr="006F5643">
          <w:rPr>
            <w:rStyle w:val="Hyperlink"/>
            <w:szCs w:val="22"/>
          </w:rPr>
          <w:t>FCCOPS@fcc.gov</w:t>
        </w:r>
      </w:hyperlink>
    </w:p>
    <w:p w:rsidR="003D2016" w:rsidRPr="006F5643" w:rsidP="003D2016" w14:paraId="43F7748D" w14:textId="77777777">
      <w:pPr>
        <w:spacing w:after="120"/>
        <w:contextualSpacing/>
        <w:rPr>
          <w:color w:val="000000" w:themeColor="text1"/>
          <w:szCs w:val="22"/>
        </w:rPr>
      </w:pPr>
    </w:p>
    <w:p w:rsidR="003D2016" w:rsidRPr="006F5643" w:rsidP="003D2016" w14:paraId="073F1E17" w14:textId="77777777">
      <w:pPr>
        <w:tabs>
          <w:tab w:val="center" w:pos="5184"/>
        </w:tabs>
        <w:spacing w:after="120"/>
        <w:contextualSpacing/>
        <w:rPr>
          <w:szCs w:val="22"/>
        </w:rPr>
      </w:pPr>
      <w:r w:rsidRPr="006F5643">
        <w:rPr>
          <w:szCs w:val="22"/>
        </w:rPr>
        <w:t>For further information concerning this MDRI activation, please contact:</w:t>
      </w:r>
    </w:p>
    <w:p w:rsidR="003D2016" w:rsidRPr="006F5643" w:rsidP="003D2016" w14:paraId="1B721C2B" w14:textId="77777777">
      <w:pPr>
        <w:tabs>
          <w:tab w:val="center" w:pos="5184"/>
        </w:tabs>
        <w:spacing w:after="120"/>
        <w:contextualSpacing/>
        <w:rPr>
          <w:szCs w:val="22"/>
        </w:rPr>
      </w:pPr>
    </w:p>
    <w:p w:rsidR="003D2016" w:rsidRPr="006F5643" w:rsidP="003D2016" w14:paraId="03AF5FDD" w14:textId="77777777">
      <w:pPr>
        <w:tabs>
          <w:tab w:val="center" w:pos="5184"/>
        </w:tabs>
        <w:spacing w:after="120"/>
        <w:contextualSpacing/>
        <w:rPr>
          <w:szCs w:val="22"/>
        </w:rPr>
      </w:pPr>
      <w:r w:rsidRPr="006F5643">
        <w:rPr>
          <w:szCs w:val="22"/>
        </w:rPr>
        <w:t xml:space="preserve">Justin Cain, (202) 853-7365, (202) 418-2924, </w:t>
      </w:r>
      <w:hyperlink r:id="rId8" w:history="1">
        <w:r w:rsidRPr="006F5643">
          <w:rPr>
            <w:color w:val="0000FF"/>
            <w:szCs w:val="22"/>
            <w:u w:val="single"/>
          </w:rPr>
          <w:t>justin.cain@fcc.gov</w:t>
        </w:r>
      </w:hyperlink>
    </w:p>
    <w:p w:rsidR="003D2016" w:rsidRPr="00E1753A" w:rsidP="003D2016" w14:paraId="79FD4446" w14:textId="77777777">
      <w:pPr>
        <w:tabs>
          <w:tab w:val="center" w:pos="5184"/>
        </w:tabs>
        <w:spacing w:after="120"/>
        <w:contextualSpacing/>
        <w:rPr>
          <w:szCs w:val="22"/>
          <w:lang w:val="de-DE"/>
        </w:rPr>
      </w:pPr>
      <w:r w:rsidRPr="00E1753A">
        <w:rPr>
          <w:szCs w:val="22"/>
          <w:lang w:val="de-DE"/>
        </w:rPr>
        <w:t xml:space="preserve">Logan Bennett, (202) 418-7790, </w:t>
      </w:r>
      <w:hyperlink r:id="rId9" w:history="1">
        <w:r w:rsidRPr="00E1753A">
          <w:rPr>
            <w:color w:val="0000FF"/>
            <w:szCs w:val="22"/>
            <w:u w:val="single"/>
            <w:lang w:val="de-DE"/>
          </w:rPr>
          <w:t>logan.bennett@fcc.gov</w:t>
        </w:r>
      </w:hyperlink>
    </w:p>
    <w:p w:rsidR="003D2016" w:rsidRPr="006F5643" w:rsidP="003D2016" w14:paraId="04312AF8" w14:textId="77777777">
      <w:pPr>
        <w:spacing w:after="120"/>
        <w:contextualSpacing/>
        <w:rPr>
          <w:szCs w:val="22"/>
        </w:rPr>
      </w:pPr>
      <w:r w:rsidRPr="006F5643">
        <w:rPr>
          <w:szCs w:val="22"/>
        </w:rPr>
        <w:t xml:space="preserve">FCC 24/7 Operations Center, (202) 418-1122, </w:t>
      </w:r>
      <w:hyperlink r:id="rId7" w:history="1">
        <w:r w:rsidRPr="006F5643">
          <w:rPr>
            <w:rStyle w:val="Hyperlink"/>
            <w:szCs w:val="22"/>
          </w:rPr>
          <w:t>FCCOPS@fcc.gov</w:t>
        </w:r>
      </w:hyperlink>
    </w:p>
    <w:p w:rsidR="003D2016" w:rsidRPr="006F5643" w:rsidP="003D2016" w14:paraId="6D4A112E" w14:textId="77777777">
      <w:pPr>
        <w:spacing w:after="120"/>
        <w:contextualSpacing/>
        <w:rPr>
          <w:szCs w:val="22"/>
        </w:rPr>
      </w:pPr>
    </w:p>
    <w:p w:rsidR="003D2016" w:rsidRPr="006F5643" w:rsidP="003D2016" w14:paraId="4D820E8A" w14:textId="71A94CCE">
      <w:pPr>
        <w:spacing w:after="120"/>
        <w:contextualSpacing/>
        <w:rPr>
          <w:szCs w:val="22"/>
        </w:rPr>
      </w:pPr>
      <w:r w:rsidRPr="006F5643">
        <w:rPr>
          <w:szCs w:val="22"/>
        </w:rPr>
        <w:t xml:space="preserve">For more information on the Commission’s response to Super Typhoon </w:t>
      </w:r>
      <w:r w:rsidR="00B84E57">
        <w:rPr>
          <w:szCs w:val="22"/>
        </w:rPr>
        <w:t>Bavi</w:t>
      </w:r>
      <w:r w:rsidRPr="006F5643">
        <w:rPr>
          <w:szCs w:val="22"/>
        </w:rPr>
        <w:t>,</w:t>
      </w:r>
      <w:r w:rsidRPr="006F5643">
        <w:rPr>
          <w:color w:val="FF0000"/>
          <w:szCs w:val="22"/>
        </w:rPr>
        <w:t xml:space="preserve"> </w:t>
      </w:r>
      <w:r w:rsidRPr="006F5643">
        <w:rPr>
          <w:szCs w:val="22"/>
        </w:rPr>
        <w:t xml:space="preserve">please visit </w:t>
      </w:r>
      <w:hyperlink r:id="rId10" w:history="1">
        <w:r w:rsidRPr="008C3D9B" w:rsidR="00536A5B">
          <w:rPr>
            <w:rStyle w:val="Hyperlink"/>
          </w:rPr>
          <w:t>https://www.fcc.gov/</w:t>
        </w:r>
        <w:r w:rsidR="00536A5B">
          <w:rPr>
            <w:rStyle w:val="Hyperlink"/>
          </w:rPr>
          <w:t>B</w:t>
        </w:r>
        <w:r w:rsidRPr="008C3D9B" w:rsidR="00536A5B">
          <w:rPr>
            <w:rStyle w:val="Hyperlink"/>
          </w:rPr>
          <w:t>avi</w:t>
        </w:r>
      </w:hyperlink>
      <w:r w:rsidRPr="006F5643">
        <w:rPr>
          <w:szCs w:val="22"/>
        </w:rPr>
        <w:t>.</w:t>
      </w:r>
      <w:bookmarkEnd w:id="2"/>
    </w:p>
    <w:p w:rsidR="001B5499" w14:paraId="676DB7DC" w14:textId="77777777"/>
    <w:sectPr w:rsidSect="003D2016">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63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D2016" w14:paraId="74AACF9E" w14:textId="77777777">
    <w:pPr>
      <w:pStyle w:val="Footer"/>
      <w:framePr w:wrap="around" w:vAnchor="text" w:hAnchor="margin" w:xAlign="center" w:y="1"/>
    </w:pPr>
    <w:r>
      <w:fldChar w:fldCharType="begin"/>
    </w:r>
    <w:r>
      <w:instrText xml:space="preserve">PAGE  </w:instrText>
    </w:r>
    <w:r>
      <w:fldChar w:fldCharType="separate"/>
    </w:r>
    <w:r>
      <w:fldChar w:fldCharType="end"/>
    </w:r>
  </w:p>
  <w:p w:rsidR="003D2016" w14:paraId="57EBD76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D2016" w14:paraId="1BEAB73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D2016" w14:paraId="3415D5E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footnote w:type="separator" w:id="0">
    <w:p w:rsidR="00F94F81" w:rsidP="003D2016" w14:paraId="42481B58" w14:textId="77777777">
      <w:r>
        <w:separator/>
      </w:r>
    </w:p>
  </w:footnote>
  <w:footnote w:type="continuationSeparator" w:id="1">
    <w:p w:rsidR="00F94F81" w:rsidP="003D2016" w14:paraId="3B249EA6" w14:textId="77777777">
      <w:r>
        <w:continuationSeparator/>
      </w:r>
    </w:p>
  </w:footnote>
  <w:footnote w:id="2">
    <w:p w:rsidR="003D2016" w:rsidRPr="009C4FC4" w:rsidP="003D2016" w14:paraId="1174B5A7" w14:textId="73DD745B">
      <w:pPr>
        <w:pStyle w:val="FootnoteText"/>
        <w:spacing w:before="120"/>
      </w:pPr>
      <w:r w:rsidRPr="00A76F2E">
        <w:rPr>
          <w:rStyle w:val="FootnoteReference"/>
          <w:sz w:val="20"/>
        </w:rPr>
        <w:footnoteRef/>
      </w:r>
      <w:r w:rsidRPr="00A76F2E">
        <w:t xml:space="preserve"> </w:t>
      </w:r>
      <w:r w:rsidRPr="00A76F2E">
        <w:rPr>
          <w:i/>
          <w:iCs/>
        </w:rPr>
        <w:t xml:space="preserve">The Federal Communications Commission Activates the Disaster Information Reporting System (DIRS) and the Mandatory Disaster Response Initiative (MDRI) in Response to Super Typhoon </w:t>
      </w:r>
      <w:r>
        <w:rPr>
          <w:i/>
          <w:iCs/>
        </w:rPr>
        <w:t>Bavi</w:t>
      </w:r>
      <w:r w:rsidRPr="00A76F2E">
        <w:t>, Public Notice, DA 26-</w:t>
      </w:r>
      <w:r>
        <w:t>667 (PSHSB</w:t>
      </w:r>
      <w:r w:rsidRPr="00A76F2E">
        <w:t xml:space="preserve"> </w:t>
      </w:r>
      <w:r>
        <w:t>Jul. 6</w:t>
      </w:r>
      <w:r w:rsidRPr="00A76F2E">
        <w:t>, 2026).</w:t>
      </w:r>
    </w:p>
  </w:footnote>
  <w:footnote w:id="3">
    <w:p w:rsidR="003D2016" w:rsidP="003D2016" w14:paraId="7BB71FD3" w14:textId="77777777">
      <w:pPr>
        <w:pStyle w:val="FootnoteText"/>
        <w:spacing w:before="120"/>
      </w:pPr>
      <w:r w:rsidRPr="00C46062">
        <w:rPr>
          <w:rStyle w:val="FootnoteReference"/>
          <w:sz w:val="20"/>
        </w:rPr>
        <w:footnoteRef/>
      </w:r>
      <w:r>
        <w:t xml:space="preserve"> </w:t>
      </w:r>
      <w:r>
        <w:rPr>
          <w:i/>
          <w:iCs/>
        </w:rPr>
        <w:t xml:space="preserve">See </w:t>
      </w:r>
      <w:r>
        <w:t xml:space="preserve">47 CFR § 4.18(a)(1). </w:t>
      </w:r>
    </w:p>
  </w:footnote>
  <w:footnote w:id="4">
    <w:p w:rsidR="003D2016" w:rsidRPr="00EE261D" w:rsidP="003D2016" w14:paraId="0E424E97" w14:textId="77777777">
      <w:pPr>
        <w:pStyle w:val="FootnoteText"/>
        <w:spacing w:before="120"/>
      </w:pPr>
      <w:r w:rsidRPr="00A36DF2">
        <w:rPr>
          <w:rStyle w:val="FootnoteReference"/>
          <w:sz w:val="20"/>
        </w:rPr>
        <w:footnoteRef/>
      </w:r>
      <w:r w:rsidRPr="00EE261D">
        <w:t xml:space="preserve"> </w:t>
      </w:r>
      <w:r>
        <w:rPr>
          <w:i/>
          <w:iCs/>
        </w:rPr>
        <w:t xml:space="preserve">See </w:t>
      </w:r>
      <w:r w:rsidRPr="00EE261D">
        <w:t xml:space="preserve">47 CFR </w:t>
      </w:r>
      <w:r>
        <w:t xml:space="preserve">§ </w:t>
      </w:r>
      <w:r w:rsidRPr="00EE261D">
        <w:t>4</w:t>
      </w:r>
      <w:r>
        <w:t>.18(b)</w:t>
      </w:r>
      <w:r w:rsidRPr="00EE261D">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D2016" w14:paraId="0C8AF660" w14:textId="77777777">
    <w:pPr>
      <w:tabs>
        <w:tab w:val="center" w:pos="4680"/>
        <w:tab w:val="right" w:pos="9360"/>
      </w:tabs>
    </w:pPr>
    <w:r>
      <w:rPr>
        <w:b/>
      </w:rPr>
      <w:tab/>
      <w:t>Federal Communications Commission</w:t>
    </w:r>
    <w:r>
      <w:rPr>
        <w:b/>
      </w:rPr>
      <w:tab/>
      <w:t>DA 26-</w:t>
    </w:r>
    <w:r w:rsidRPr="008F7407">
      <w:rPr>
        <w:b/>
        <w:highlight w:val="yellow"/>
      </w:rPr>
      <w:t>XXX</w:t>
    </w:r>
  </w:p>
  <w:p w:rsidR="003D2016" w14:paraId="4A1A6D88"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3D2016" w14:paraId="72E8DE22"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D2016" w:rsidRPr="00F03EA1" w14:paraId="703D2809" w14:textId="77777777">
    <w:pPr>
      <w:pStyle w:val="Header"/>
    </w:pPr>
    <w:r>
      <w:rPr>
        <w:noProof/>
      </w:rPr>
      <w:drawing>
        <wp:inline distT="0" distB="0" distL="0" distR="0">
          <wp:extent cx="5943600" cy="1428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016"/>
    <w:rsid w:val="00004B82"/>
    <w:rsid w:val="00024C15"/>
    <w:rsid w:val="00061221"/>
    <w:rsid w:val="00116FE1"/>
    <w:rsid w:val="0013275E"/>
    <w:rsid w:val="001B5499"/>
    <w:rsid w:val="001D2A10"/>
    <w:rsid w:val="001F3D47"/>
    <w:rsid w:val="001F5D9A"/>
    <w:rsid w:val="002F2822"/>
    <w:rsid w:val="00346BB6"/>
    <w:rsid w:val="00380FAB"/>
    <w:rsid w:val="003A6CB7"/>
    <w:rsid w:val="003D2016"/>
    <w:rsid w:val="004D2449"/>
    <w:rsid w:val="00536A5B"/>
    <w:rsid w:val="005642B6"/>
    <w:rsid w:val="005A3D07"/>
    <w:rsid w:val="006E246B"/>
    <w:rsid w:val="006F5643"/>
    <w:rsid w:val="0070171A"/>
    <w:rsid w:val="00731C6E"/>
    <w:rsid w:val="007605C7"/>
    <w:rsid w:val="007B7E12"/>
    <w:rsid w:val="007F25B2"/>
    <w:rsid w:val="008C3D9B"/>
    <w:rsid w:val="008D3AF1"/>
    <w:rsid w:val="008F7407"/>
    <w:rsid w:val="00997717"/>
    <w:rsid w:val="009C011D"/>
    <w:rsid w:val="009C3981"/>
    <w:rsid w:val="009C4FC4"/>
    <w:rsid w:val="009E614C"/>
    <w:rsid w:val="00A74268"/>
    <w:rsid w:val="00A76F2E"/>
    <w:rsid w:val="00A801B9"/>
    <w:rsid w:val="00A903E1"/>
    <w:rsid w:val="00B11A07"/>
    <w:rsid w:val="00B84E57"/>
    <w:rsid w:val="00B90C6B"/>
    <w:rsid w:val="00BA5B28"/>
    <w:rsid w:val="00BC20D0"/>
    <w:rsid w:val="00BE6C2F"/>
    <w:rsid w:val="00BF39BA"/>
    <w:rsid w:val="00C6315E"/>
    <w:rsid w:val="00CE1DB3"/>
    <w:rsid w:val="00D3084B"/>
    <w:rsid w:val="00D52A9A"/>
    <w:rsid w:val="00D631F1"/>
    <w:rsid w:val="00E00F90"/>
    <w:rsid w:val="00E06BB4"/>
    <w:rsid w:val="00E1753A"/>
    <w:rsid w:val="00ED5936"/>
    <w:rsid w:val="00EE261D"/>
    <w:rsid w:val="00F03EA1"/>
    <w:rsid w:val="00F24F29"/>
    <w:rsid w:val="00F8244E"/>
    <w:rsid w:val="00F90F6F"/>
    <w:rsid w:val="00F94F81"/>
    <w:rsid w:val="00FC0C0D"/>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2AD15B43"/>
  <w15:chartTrackingRefBased/>
  <w15:docId w15:val="{977FCE7C-D30E-4031-A699-8E462630B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D2016"/>
    <w:pPr>
      <w:widowControl w:val="0"/>
      <w:spacing w:after="0" w:line="240" w:lineRule="auto"/>
    </w:pPr>
    <w:rPr>
      <w:rFonts w:ascii="Times New Roman" w:eastAsia="Times New Roman" w:hAnsi="Times New Roman" w:cs="Times New Roman"/>
      <w:snapToGrid w:val="0"/>
      <w:kern w:val="28"/>
      <w:sz w:val="22"/>
      <w:szCs w:val="20"/>
      <w14:ligatures w14:val="none"/>
    </w:rPr>
  </w:style>
  <w:style w:type="paragraph" w:styleId="Heading1">
    <w:name w:val="heading 1"/>
    <w:basedOn w:val="Normal"/>
    <w:next w:val="Normal"/>
    <w:link w:val="Heading1Char"/>
    <w:uiPriority w:val="9"/>
    <w:qFormat/>
    <w:rsid w:val="003D2016"/>
    <w:pPr>
      <w:keepNext/>
      <w:keepLines/>
      <w:widowControl/>
      <w:spacing w:before="360" w:after="80" w:line="278" w:lineRule="auto"/>
      <w:outlineLvl w:val="0"/>
    </w:pPr>
    <w:rPr>
      <w:rFonts w:asciiTheme="majorHAnsi" w:eastAsiaTheme="majorEastAsia" w:hAnsiTheme="majorHAnsi" w:cstheme="majorBidi"/>
      <w:snapToGrid/>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3D2016"/>
    <w:pPr>
      <w:keepNext/>
      <w:keepLines/>
      <w:widowControl/>
      <w:spacing w:before="160" w:after="80" w:line="278" w:lineRule="auto"/>
      <w:outlineLvl w:val="1"/>
    </w:pPr>
    <w:rPr>
      <w:rFonts w:asciiTheme="majorHAnsi" w:eastAsiaTheme="majorEastAsia" w:hAnsiTheme="majorHAnsi" w:cstheme="majorBidi"/>
      <w:snapToGrid/>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D2016"/>
    <w:pPr>
      <w:keepNext/>
      <w:keepLines/>
      <w:widowControl/>
      <w:spacing w:before="160" w:after="80" w:line="278" w:lineRule="auto"/>
      <w:outlineLvl w:val="2"/>
    </w:pPr>
    <w:rPr>
      <w:rFonts w:asciiTheme="minorHAnsi" w:eastAsiaTheme="majorEastAsia" w:hAnsiTheme="minorHAnsi" w:cstheme="majorBidi"/>
      <w:snapToGrid/>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D2016"/>
    <w:pPr>
      <w:keepNext/>
      <w:keepLines/>
      <w:widowControl/>
      <w:spacing w:before="80" w:after="40" w:line="278" w:lineRule="auto"/>
      <w:outlineLvl w:val="3"/>
    </w:pPr>
    <w:rPr>
      <w:rFonts w:asciiTheme="minorHAnsi" w:eastAsiaTheme="majorEastAsia" w:hAnsiTheme="minorHAnsi" w:cstheme="majorBidi"/>
      <w:i/>
      <w:iCs/>
      <w:snapToGrid/>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3D2016"/>
    <w:pPr>
      <w:keepNext/>
      <w:keepLines/>
      <w:widowControl/>
      <w:spacing w:before="80" w:after="40" w:line="278" w:lineRule="auto"/>
      <w:outlineLvl w:val="4"/>
    </w:pPr>
    <w:rPr>
      <w:rFonts w:asciiTheme="minorHAnsi" w:eastAsiaTheme="majorEastAsia" w:hAnsiTheme="minorHAnsi" w:cstheme="majorBidi"/>
      <w:snapToGrid/>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3D2016"/>
    <w:pPr>
      <w:keepNext/>
      <w:keepLines/>
      <w:widowControl/>
      <w:spacing w:before="40" w:line="278" w:lineRule="auto"/>
      <w:outlineLvl w:val="5"/>
    </w:pPr>
    <w:rPr>
      <w:rFonts w:asciiTheme="minorHAnsi" w:eastAsiaTheme="majorEastAsia" w:hAnsiTheme="minorHAnsi" w:cstheme="majorBidi"/>
      <w:i/>
      <w:iCs/>
      <w:snapToGrid/>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3D2016"/>
    <w:pPr>
      <w:keepNext/>
      <w:keepLines/>
      <w:widowControl/>
      <w:spacing w:before="40" w:line="278" w:lineRule="auto"/>
      <w:outlineLvl w:val="6"/>
    </w:pPr>
    <w:rPr>
      <w:rFonts w:asciiTheme="minorHAnsi" w:eastAsiaTheme="majorEastAsia" w:hAnsiTheme="minorHAnsi" w:cstheme="majorBidi"/>
      <w:snapToGrid/>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3D2016"/>
    <w:pPr>
      <w:keepNext/>
      <w:keepLines/>
      <w:widowControl/>
      <w:spacing w:line="278" w:lineRule="auto"/>
      <w:outlineLvl w:val="7"/>
    </w:pPr>
    <w:rPr>
      <w:rFonts w:asciiTheme="minorHAnsi" w:eastAsiaTheme="majorEastAsia" w:hAnsiTheme="minorHAnsi" w:cstheme="majorBidi"/>
      <w:i/>
      <w:iCs/>
      <w:snapToGrid/>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3D2016"/>
    <w:pPr>
      <w:keepNext/>
      <w:keepLines/>
      <w:widowControl/>
      <w:spacing w:line="278" w:lineRule="auto"/>
      <w:outlineLvl w:val="8"/>
    </w:pPr>
    <w:rPr>
      <w:rFonts w:asciiTheme="minorHAnsi" w:eastAsiaTheme="majorEastAsia" w:hAnsiTheme="minorHAnsi" w:cstheme="majorBidi"/>
      <w:snapToGrid/>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201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D201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D201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D201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D201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D201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D201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D201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D2016"/>
    <w:rPr>
      <w:rFonts w:eastAsiaTheme="majorEastAsia" w:cstheme="majorBidi"/>
      <w:color w:val="272727" w:themeColor="text1" w:themeTint="D8"/>
    </w:rPr>
  </w:style>
  <w:style w:type="paragraph" w:styleId="Title">
    <w:name w:val="Title"/>
    <w:basedOn w:val="Normal"/>
    <w:next w:val="Normal"/>
    <w:link w:val="TitleChar"/>
    <w:uiPriority w:val="10"/>
    <w:qFormat/>
    <w:rsid w:val="003D2016"/>
    <w:pPr>
      <w:widowControl/>
      <w:spacing w:after="80"/>
      <w:contextualSpacing/>
    </w:pPr>
    <w:rPr>
      <w:rFonts w:asciiTheme="majorHAnsi" w:eastAsiaTheme="majorEastAsia" w:hAnsiTheme="majorHAnsi" w:cstheme="majorBidi"/>
      <w:snapToGrid/>
      <w:spacing w:val="-10"/>
      <w:sz w:val="56"/>
      <w:szCs w:val="56"/>
      <w14:ligatures w14:val="standardContextual"/>
    </w:rPr>
  </w:style>
  <w:style w:type="character" w:customStyle="1" w:styleId="TitleChar">
    <w:name w:val="Title Char"/>
    <w:basedOn w:val="DefaultParagraphFont"/>
    <w:link w:val="Title"/>
    <w:uiPriority w:val="10"/>
    <w:rsid w:val="003D20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D2016"/>
    <w:pPr>
      <w:widowControl/>
      <w:numPr>
        <w:ilvl w:val="1"/>
      </w:numPr>
      <w:spacing w:after="160" w:line="278" w:lineRule="auto"/>
    </w:pPr>
    <w:rPr>
      <w:rFonts w:asciiTheme="minorHAnsi" w:eastAsiaTheme="majorEastAsia" w:hAnsiTheme="minorHAnsi" w:cstheme="majorBidi"/>
      <w:snapToGrid/>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D201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D2016"/>
    <w:pPr>
      <w:widowControl/>
      <w:spacing w:before="160" w:after="160" w:line="278" w:lineRule="auto"/>
      <w:jc w:val="center"/>
    </w:pPr>
    <w:rPr>
      <w:rFonts w:asciiTheme="minorHAnsi" w:eastAsiaTheme="minorHAnsi" w:hAnsiTheme="minorHAnsi" w:cstheme="minorBidi"/>
      <w:i/>
      <w:iCs/>
      <w:snapToGrid/>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3D2016"/>
    <w:rPr>
      <w:i/>
      <w:iCs/>
      <w:color w:val="404040" w:themeColor="text1" w:themeTint="BF"/>
    </w:rPr>
  </w:style>
  <w:style w:type="paragraph" w:styleId="ListParagraph">
    <w:name w:val="List Paragraph"/>
    <w:basedOn w:val="Normal"/>
    <w:uiPriority w:val="34"/>
    <w:qFormat/>
    <w:rsid w:val="003D2016"/>
    <w:pPr>
      <w:widowControl/>
      <w:spacing w:after="160" w:line="278" w:lineRule="auto"/>
      <w:ind w:left="720"/>
      <w:contextualSpacing/>
    </w:pPr>
    <w:rPr>
      <w:rFonts w:asciiTheme="minorHAnsi" w:eastAsiaTheme="minorHAnsi" w:hAnsiTheme="minorHAnsi" w:cstheme="minorBidi"/>
      <w:snapToGrid/>
      <w:kern w:val="2"/>
      <w:sz w:val="24"/>
      <w:szCs w:val="24"/>
      <w14:ligatures w14:val="standardContextual"/>
    </w:rPr>
  </w:style>
  <w:style w:type="character" w:styleId="IntenseEmphasis">
    <w:name w:val="Intense Emphasis"/>
    <w:basedOn w:val="DefaultParagraphFont"/>
    <w:uiPriority w:val="21"/>
    <w:qFormat/>
    <w:rsid w:val="003D2016"/>
    <w:rPr>
      <w:i/>
      <w:iCs/>
      <w:color w:val="0F4761" w:themeColor="accent1" w:themeShade="BF"/>
    </w:rPr>
  </w:style>
  <w:style w:type="paragraph" w:styleId="IntenseQuote">
    <w:name w:val="Intense Quote"/>
    <w:basedOn w:val="Normal"/>
    <w:next w:val="Normal"/>
    <w:link w:val="IntenseQuoteChar"/>
    <w:uiPriority w:val="30"/>
    <w:qFormat/>
    <w:rsid w:val="003D2016"/>
    <w:pPr>
      <w:widowControl/>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snapToGrid/>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3D2016"/>
    <w:rPr>
      <w:i/>
      <w:iCs/>
      <w:color w:val="0F4761" w:themeColor="accent1" w:themeShade="BF"/>
    </w:rPr>
  </w:style>
  <w:style w:type="character" w:styleId="IntenseReference">
    <w:name w:val="Intense Reference"/>
    <w:basedOn w:val="DefaultParagraphFont"/>
    <w:uiPriority w:val="32"/>
    <w:qFormat/>
    <w:rsid w:val="003D2016"/>
    <w:rPr>
      <w:b/>
      <w:bCs/>
      <w:smallCaps/>
      <w:color w:val="0F4761" w:themeColor="accent1" w:themeShade="BF"/>
      <w:spacing w:val="5"/>
    </w:rPr>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
    <w:link w:val="FootnoteTextChar"/>
    <w:uiPriority w:val="99"/>
    <w:rsid w:val="003D2016"/>
    <w:pPr>
      <w:spacing w:after="12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uiPriority w:val="99"/>
    <w:rsid w:val="003D2016"/>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uiPriority w:val="99"/>
    <w:rsid w:val="003D2016"/>
    <w:rPr>
      <w:rFonts w:ascii="Times New Roman" w:hAnsi="Times New Roman"/>
      <w:dstrike w:val="0"/>
      <w:color w:val="auto"/>
      <w:sz w:val="22"/>
      <w:vertAlign w:val="superscript"/>
    </w:rPr>
  </w:style>
  <w:style w:type="paragraph" w:styleId="Header">
    <w:name w:val="header"/>
    <w:basedOn w:val="Normal"/>
    <w:link w:val="HeaderChar"/>
    <w:autoRedefine/>
    <w:rsid w:val="003D2016"/>
    <w:pPr>
      <w:tabs>
        <w:tab w:val="center" w:pos="4680"/>
        <w:tab w:val="right" w:pos="9360"/>
      </w:tabs>
    </w:pPr>
    <w:rPr>
      <w:rFonts w:ascii="Arial" w:hAnsi="Arial" w:cs="Arial"/>
      <w:b/>
      <w:sz w:val="96"/>
      <w:szCs w:val="96"/>
    </w:rPr>
  </w:style>
  <w:style w:type="character" w:customStyle="1" w:styleId="HeaderChar">
    <w:name w:val="Header Char"/>
    <w:basedOn w:val="DefaultParagraphFont"/>
    <w:link w:val="Header"/>
    <w:rsid w:val="003D2016"/>
    <w:rPr>
      <w:rFonts w:ascii="Arial" w:eastAsia="Times New Roman" w:hAnsi="Arial" w:cs="Arial"/>
      <w:b/>
      <w:snapToGrid w:val="0"/>
      <w:kern w:val="28"/>
      <w:sz w:val="96"/>
      <w:szCs w:val="96"/>
      <w14:ligatures w14:val="none"/>
    </w:rPr>
  </w:style>
  <w:style w:type="paragraph" w:styleId="Footer">
    <w:name w:val="footer"/>
    <w:basedOn w:val="Normal"/>
    <w:link w:val="FooterChar"/>
    <w:uiPriority w:val="99"/>
    <w:rsid w:val="003D2016"/>
    <w:pPr>
      <w:tabs>
        <w:tab w:val="center" w:pos="4320"/>
        <w:tab w:val="right" w:pos="8640"/>
      </w:tabs>
    </w:pPr>
  </w:style>
  <w:style w:type="character" w:customStyle="1" w:styleId="FooterChar">
    <w:name w:val="Footer Char"/>
    <w:basedOn w:val="DefaultParagraphFont"/>
    <w:link w:val="Footer"/>
    <w:uiPriority w:val="99"/>
    <w:rsid w:val="003D2016"/>
    <w:rPr>
      <w:rFonts w:ascii="Times New Roman" w:eastAsia="Times New Roman" w:hAnsi="Times New Roman" w:cs="Times New Roman"/>
      <w:snapToGrid w:val="0"/>
      <w:kern w:val="28"/>
      <w:sz w:val="22"/>
      <w:szCs w:val="20"/>
      <w14:ligatures w14:val="none"/>
    </w:rPr>
  </w:style>
  <w:style w:type="character" w:styleId="Hyperlink">
    <w:name w:val="Hyperlink"/>
    <w:rsid w:val="003D2016"/>
    <w:rPr>
      <w:color w:val="0000FF"/>
      <w:u w:val="single"/>
    </w:rPr>
  </w:style>
  <w:style w:type="character" w:styleId="UnresolvedMention">
    <w:name w:val="Unresolved Mention"/>
    <w:basedOn w:val="DefaultParagraphFont"/>
    <w:uiPriority w:val="99"/>
    <w:semiHidden/>
    <w:unhideWhenUsed/>
    <w:rsid w:val="00E06BB4"/>
    <w:rPr>
      <w:color w:val="605E5C"/>
      <w:shd w:val="clear" w:color="auto" w:fill="E1DFDD"/>
    </w:rPr>
  </w:style>
  <w:style w:type="paragraph" w:styleId="Revision">
    <w:name w:val="Revision"/>
    <w:hidden/>
    <w:uiPriority w:val="99"/>
    <w:semiHidden/>
    <w:rsid w:val="009C3981"/>
    <w:pPr>
      <w:spacing w:after="0" w:line="240" w:lineRule="auto"/>
    </w:pPr>
    <w:rPr>
      <w:rFonts w:ascii="Times New Roman" w:eastAsia="Times New Roman" w:hAnsi="Times New Roman" w:cs="Times New Roman"/>
      <w:snapToGrid w:val="0"/>
      <w:kern w:val="28"/>
      <w:sz w:val="22"/>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fcc.gov/bavi"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theme" Target="theme/theme1.xml" /><Relationship Id="rId17"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mailto:michael.caiafa@fcc.gov" TargetMode="External" /><Relationship Id="rId6" Type="http://schemas.openxmlformats.org/officeDocument/2006/relationships/hyperlink" Target="mailto:juan.chapa@fcc.gov" TargetMode="External" /><Relationship Id="rId7" Type="http://schemas.openxmlformats.org/officeDocument/2006/relationships/hyperlink" Target="mailto:FCCOPS@fcc.gov" TargetMode="External" /><Relationship Id="rId8" Type="http://schemas.openxmlformats.org/officeDocument/2006/relationships/hyperlink" Target="mailto:justin.cain@fcc.gov" TargetMode="External" /><Relationship Id="rId9" Type="http://schemas.openxmlformats.org/officeDocument/2006/relationships/hyperlink" Target="mailto:logan.bennett@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