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4778F81E" w14:textId="77777777">
      <w:pPr>
        <w:jc w:val="right"/>
        <w:rPr>
          <w:sz w:val="24"/>
        </w:rPr>
      </w:pPr>
    </w:p>
    <w:p w:rsidR="00AD311E" w:rsidRPr="00DB3CBC" w:rsidP="00AD311E" w14:paraId="329043E2" w14:textId="0167FBD4">
      <w:pPr>
        <w:jc w:val="right"/>
        <w:rPr>
          <w:b/>
          <w:szCs w:val="22"/>
        </w:rPr>
      </w:pPr>
      <w:r w:rsidRPr="00DB3CBC">
        <w:rPr>
          <w:b/>
          <w:szCs w:val="22"/>
        </w:rPr>
        <w:t>DA 2</w:t>
      </w:r>
      <w:r>
        <w:rPr>
          <w:b/>
          <w:szCs w:val="22"/>
        </w:rPr>
        <w:t>6</w:t>
      </w:r>
      <w:r w:rsidRPr="00DB3CBC">
        <w:rPr>
          <w:b/>
          <w:szCs w:val="22"/>
        </w:rPr>
        <w:t>-</w:t>
      </w:r>
      <w:r w:rsidR="001673E5">
        <w:rPr>
          <w:b/>
          <w:szCs w:val="22"/>
        </w:rPr>
        <w:t>760</w:t>
      </w:r>
    </w:p>
    <w:p w:rsidR="00AD311E" w:rsidRPr="00DB3CBC" w:rsidP="00AD311E" w14:paraId="6389062C" w14:textId="71DAF7B7">
      <w:pPr>
        <w:spacing w:before="60"/>
        <w:jc w:val="right"/>
        <w:rPr>
          <w:b/>
          <w:szCs w:val="22"/>
        </w:rPr>
      </w:pPr>
      <w:r w:rsidRPr="00DB3CBC">
        <w:rPr>
          <w:b/>
          <w:szCs w:val="22"/>
        </w:rPr>
        <w:t xml:space="preserve">Released: </w:t>
      </w:r>
      <w:r w:rsidR="001F012D">
        <w:rPr>
          <w:b/>
          <w:szCs w:val="22"/>
        </w:rPr>
        <w:t>Ju</w:t>
      </w:r>
      <w:r w:rsidR="00AD13E0">
        <w:rPr>
          <w:b/>
          <w:szCs w:val="22"/>
        </w:rPr>
        <w:t>ly</w:t>
      </w:r>
      <w:r>
        <w:rPr>
          <w:b/>
          <w:szCs w:val="22"/>
        </w:rPr>
        <w:t xml:space="preserve"> </w:t>
      </w:r>
      <w:r w:rsidR="00EE2C09">
        <w:rPr>
          <w:b/>
          <w:szCs w:val="22"/>
        </w:rPr>
        <w:t>21</w:t>
      </w:r>
      <w:r w:rsidRPr="00DB3CBC">
        <w:rPr>
          <w:b/>
          <w:szCs w:val="22"/>
        </w:rPr>
        <w:t>, 202</w:t>
      </w:r>
      <w:r>
        <w:rPr>
          <w:b/>
          <w:szCs w:val="22"/>
        </w:rPr>
        <w:t>6</w:t>
      </w:r>
    </w:p>
    <w:p w:rsidR="00AD311E" w:rsidP="00AD311E" w14:paraId="1ABEB45B" w14:textId="77777777">
      <w:pPr>
        <w:jc w:val="center"/>
        <w:rPr>
          <w:b/>
          <w:bCs/>
          <w:szCs w:val="22"/>
        </w:rPr>
      </w:pPr>
      <w:bookmarkStart w:id="0" w:name="_Hlk166229554"/>
    </w:p>
    <w:p w:rsidR="001F012D" w:rsidP="001A2EF4" w14:paraId="46987F54" w14:textId="51D87DB2">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w:t>
      </w:r>
      <w:r w:rsidR="006C2E4C">
        <w:rPr>
          <w:b/>
          <w:bCs/>
          <w:szCs w:val="22"/>
        </w:rPr>
        <w:t xml:space="preserve">TRANSFER OF CONTROL OF </w:t>
      </w:r>
      <w:r>
        <w:rPr>
          <w:b/>
          <w:bCs/>
          <w:szCs w:val="22"/>
        </w:rPr>
        <w:t>BIG RIVER TELEPHONE COMPANY</w:t>
      </w:r>
      <w:r w:rsidR="00F41C52">
        <w:rPr>
          <w:b/>
          <w:bCs/>
          <w:szCs w:val="22"/>
        </w:rPr>
        <w:t>, LLC</w:t>
      </w:r>
      <w:r>
        <w:rPr>
          <w:b/>
          <w:bCs/>
          <w:szCs w:val="22"/>
        </w:rPr>
        <w:t xml:space="preserve"> AND BIG RIVER BROADBAND, LLC </w:t>
      </w:r>
    </w:p>
    <w:p w:rsidR="00AD311E" w:rsidP="001A2EF4" w14:paraId="76492695" w14:textId="13822E78">
      <w:pPr>
        <w:jc w:val="center"/>
        <w:rPr>
          <w:b/>
          <w:bCs/>
          <w:szCs w:val="22"/>
        </w:rPr>
      </w:pPr>
      <w:r>
        <w:rPr>
          <w:b/>
          <w:bCs/>
          <w:szCs w:val="22"/>
        </w:rPr>
        <w:t xml:space="preserve">FROM WH </w:t>
      </w:r>
      <w:r w:rsidR="0072036F">
        <w:rPr>
          <w:b/>
          <w:bCs/>
          <w:szCs w:val="22"/>
        </w:rPr>
        <w:t xml:space="preserve">i3 BIDCO LLC </w:t>
      </w:r>
      <w:r w:rsidR="006C2E4C">
        <w:rPr>
          <w:b/>
          <w:bCs/>
          <w:szCs w:val="22"/>
        </w:rPr>
        <w:t>TO INSPIRE NEWCO, LLC</w:t>
      </w:r>
      <w:bookmarkEnd w:id="0"/>
    </w:p>
    <w:p w:rsidR="00AD311E" w:rsidP="00AD311E" w14:paraId="6F5A0A47" w14:textId="77777777">
      <w:pPr>
        <w:jc w:val="center"/>
        <w:rPr>
          <w:b/>
          <w:bCs/>
          <w:szCs w:val="22"/>
        </w:rPr>
      </w:pPr>
    </w:p>
    <w:p w:rsidR="00AD311E" w:rsidRPr="00DB3CBC" w:rsidP="00AD311E" w14:paraId="6C493236" w14:textId="77777777">
      <w:pPr>
        <w:jc w:val="center"/>
        <w:rPr>
          <w:b/>
          <w:bCs/>
          <w:szCs w:val="22"/>
        </w:rPr>
      </w:pPr>
    </w:p>
    <w:p w:rsidR="00AD311E" w:rsidP="00AD311E" w14:paraId="4F183B86" w14:textId="77777777">
      <w:pPr>
        <w:jc w:val="center"/>
        <w:rPr>
          <w:b/>
          <w:bCs/>
          <w:szCs w:val="22"/>
        </w:rPr>
      </w:pPr>
      <w:r>
        <w:rPr>
          <w:b/>
          <w:szCs w:val="22"/>
        </w:rPr>
        <w:t>NON-</w:t>
      </w:r>
      <w:r w:rsidRPr="00DB3CBC">
        <w:rPr>
          <w:b/>
          <w:szCs w:val="22"/>
        </w:rPr>
        <w:t>STREAMLINED PLEADING CYCLE ESTABLISHED</w:t>
      </w:r>
    </w:p>
    <w:p w:rsidR="00AD311E" w:rsidRPr="00F765B6" w:rsidP="00AD311E" w14:paraId="6FB071E6" w14:textId="77777777">
      <w:pPr>
        <w:jc w:val="center"/>
        <w:rPr>
          <w:b/>
          <w:bCs/>
          <w:szCs w:val="22"/>
        </w:rPr>
      </w:pPr>
    </w:p>
    <w:p w:rsidR="00F96140" w:rsidP="00AD311E" w14:paraId="354D9517" w14:textId="77777777">
      <w:pPr>
        <w:jc w:val="center"/>
        <w:rPr>
          <w:b/>
          <w:sz w:val="24"/>
        </w:rPr>
      </w:pPr>
    </w:p>
    <w:p w:rsidR="00AD311E" w:rsidP="00AD311E" w14:paraId="5F0E65CF" w14:textId="2313B40B">
      <w:pPr>
        <w:jc w:val="center"/>
        <w:rPr>
          <w:b/>
          <w:sz w:val="24"/>
        </w:rPr>
      </w:pPr>
      <w:r>
        <w:rPr>
          <w:b/>
          <w:sz w:val="24"/>
        </w:rPr>
        <w:t>WC Docket No. 26-</w:t>
      </w:r>
      <w:r w:rsidR="005A0D13">
        <w:rPr>
          <w:b/>
          <w:sz w:val="24"/>
        </w:rPr>
        <w:t>122</w:t>
      </w:r>
    </w:p>
    <w:p w:rsidR="00AD311E" w:rsidP="00AD311E" w14:paraId="4664ADB6" w14:textId="77777777">
      <w:pPr>
        <w:rPr>
          <w:b/>
          <w:szCs w:val="22"/>
        </w:rPr>
      </w:pPr>
    </w:p>
    <w:p w:rsidR="00AD311E" w:rsidRPr="00AD440B" w:rsidP="00AD311E" w14:paraId="1F68EE18" w14:textId="5B8830A8">
      <w:pPr>
        <w:rPr>
          <w:b/>
          <w:szCs w:val="22"/>
        </w:rPr>
      </w:pPr>
      <w:r w:rsidRPr="00AD440B">
        <w:rPr>
          <w:b/>
          <w:szCs w:val="22"/>
        </w:rPr>
        <w:t xml:space="preserve">Comments Due: </w:t>
      </w:r>
      <w:r w:rsidR="001673E5">
        <w:rPr>
          <w:b/>
          <w:szCs w:val="22"/>
        </w:rPr>
        <w:t>August 4</w:t>
      </w:r>
      <w:r w:rsidRPr="00AD440B">
        <w:rPr>
          <w:b/>
          <w:szCs w:val="22"/>
        </w:rPr>
        <w:t>, 202</w:t>
      </w:r>
      <w:r>
        <w:rPr>
          <w:b/>
          <w:szCs w:val="22"/>
        </w:rPr>
        <w:t>6</w:t>
      </w:r>
    </w:p>
    <w:p w:rsidR="00AD311E" w:rsidP="00AD311E" w14:paraId="1782D36E" w14:textId="3371FC4F">
      <w:pPr>
        <w:tabs>
          <w:tab w:val="left" w:pos="6366"/>
        </w:tabs>
        <w:rPr>
          <w:b/>
          <w:szCs w:val="22"/>
        </w:rPr>
      </w:pPr>
      <w:r w:rsidRPr="00AD440B">
        <w:rPr>
          <w:b/>
          <w:szCs w:val="22"/>
        </w:rPr>
        <w:t>Reply Comment</w:t>
      </w:r>
      <w:r>
        <w:rPr>
          <w:b/>
          <w:szCs w:val="22"/>
        </w:rPr>
        <w:t>s</w:t>
      </w:r>
      <w:r w:rsidRPr="00AD440B">
        <w:rPr>
          <w:b/>
          <w:szCs w:val="22"/>
        </w:rPr>
        <w:t xml:space="preserve"> Due: </w:t>
      </w:r>
      <w:r w:rsidR="001673E5">
        <w:rPr>
          <w:b/>
          <w:szCs w:val="22"/>
        </w:rPr>
        <w:t>August 11</w:t>
      </w:r>
      <w:r w:rsidRPr="00AD440B">
        <w:rPr>
          <w:b/>
          <w:szCs w:val="22"/>
        </w:rPr>
        <w:t>, 202</w:t>
      </w:r>
      <w:r>
        <w:rPr>
          <w:b/>
          <w:szCs w:val="22"/>
        </w:rPr>
        <w:t>6</w:t>
      </w:r>
    </w:p>
    <w:p w:rsidR="00603BBC" w:rsidP="00AD311E" w14:paraId="1490E77D" w14:textId="77777777">
      <w:pPr>
        <w:tabs>
          <w:tab w:val="left" w:pos="6366"/>
        </w:tabs>
        <w:rPr>
          <w:b/>
          <w:szCs w:val="22"/>
        </w:rPr>
      </w:pPr>
    </w:p>
    <w:p w:rsidR="00603BBC" w:rsidRPr="007C745A" w:rsidP="00AD311E" w14:paraId="1B12B60F" w14:textId="0D8B259D">
      <w:pPr>
        <w:tabs>
          <w:tab w:val="left" w:pos="6366"/>
        </w:tabs>
      </w:pPr>
    </w:p>
    <w:p w:rsidR="00AA3B49" w:rsidRPr="00913A33" w:rsidP="00AA3B49" w14:paraId="4034A15F" w14:textId="467C8EAC">
      <w:pPr>
        <w:autoSpaceDE w:val="0"/>
        <w:autoSpaceDN w:val="0"/>
        <w:adjustRightInd w:val="0"/>
        <w:spacing w:after="120"/>
        <w:ind w:firstLine="720"/>
      </w:pPr>
      <w:r w:rsidRPr="00913A33">
        <w:t xml:space="preserve">By this Public Notice, the Wireline Competition Bureau seeks comment from interested parties on </w:t>
      </w:r>
      <w:r w:rsidRPr="00913A33" w:rsidR="00095B4A">
        <w:t>an application filed by</w:t>
      </w:r>
      <w:bookmarkStart w:id="1" w:name="_Hlk187678845"/>
      <w:bookmarkStart w:id="2" w:name="_Hlk73713070"/>
      <w:bookmarkStart w:id="3" w:name="_Hlk67917977"/>
      <w:r w:rsidRPr="00913A33" w:rsidR="00095B4A">
        <w:t xml:space="preserve"> WH i3 Bidco</w:t>
      </w:r>
      <w:r w:rsidR="007B6F3A">
        <w:t xml:space="preserve"> LLC</w:t>
      </w:r>
      <w:r w:rsidRPr="00913A33">
        <w:t xml:space="preserve"> </w:t>
      </w:r>
      <w:bookmarkEnd w:id="1"/>
      <w:r w:rsidRPr="00913A33" w:rsidR="007C745A">
        <w:t xml:space="preserve">(WH Bidco) and Inspire Newco, LLC (Inspire </w:t>
      </w:r>
      <w:r w:rsidRPr="00913A33" w:rsidR="007C745A">
        <w:t>NewCo</w:t>
      </w:r>
      <w:r w:rsidRPr="00913A33" w:rsidR="007C745A">
        <w:t>), pursuant to section 214(a) of the Communications Act of 1934, as amended, and section 63.04 of the Commission’s rules,</w:t>
      </w:r>
      <w:r>
        <w:rPr>
          <w:rStyle w:val="FootnoteReference"/>
        </w:rPr>
        <w:footnoteReference w:id="3"/>
      </w:r>
      <w:r w:rsidRPr="00913A33" w:rsidR="007C745A">
        <w:rPr>
          <w:szCs w:val="22"/>
        </w:rPr>
        <w:t xml:space="preserve"> requesting approval of the </w:t>
      </w:r>
      <w:r w:rsidRPr="00913A33" w:rsidR="007C745A">
        <w:t>transfer of control of Big River Telephone Company, LLC (BR Telephone) and Big River Broadband, LLC (BR Broadband, together</w:t>
      </w:r>
      <w:r w:rsidR="00C82378">
        <w:t>,</w:t>
      </w:r>
      <w:r w:rsidRPr="00913A33" w:rsidR="007C745A">
        <w:t xml:space="preserve"> Licensees) from WH </w:t>
      </w:r>
      <w:r w:rsidRPr="00913A33" w:rsidR="007C745A">
        <w:t>BidCo</w:t>
      </w:r>
      <w:r w:rsidR="00C82378">
        <w:t>,</w:t>
      </w:r>
      <w:r>
        <w:rPr>
          <w:vertAlign w:val="superscript"/>
        </w:rPr>
        <w:footnoteReference w:id="4"/>
      </w:r>
      <w:r w:rsidR="00C82378">
        <w:t xml:space="preserve"> </w:t>
      </w:r>
      <w:r w:rsidR="00E57B13">
        <w:t>which is indirectly held by Wren House Infrastructure Management Limited (Wren House)</w:t>
      </w:r>
      <w:r w:rsidR="00FD6008">
        <w:t>,</w:t>
      </w:r>
      <w:r>
        <w:rPr>
          <w:rStyle w:val="FootnoteReference"/>
        </w:rPr>
        <w:footnoteReference w:id="5"/>
      </w:r>
      <w:r w:rsidR="002518E0">
        <w:t xml:space="preserve"> to</w:t>
      </w:r>
      <w:r w:rsidR="00E57B13">
        <w:t xml:space="preserve"> </w:t>
      </w:r>
      <w:r w:rsidR="00402AD8">
        <w:t>Inspire New</w:t>
      </w:r>
      <w:r w:rsidR="00A3096E">
        <w:t>c</w:t>
      </w:r>
      <w:r w:rsidR="00402AD8">
        <w:t>o</w:t>
      </w:r>
      <w:r w:rsidR="00243E0C">
        <w:t>.</w:t>
      </w:r>
      <w:r>
        <w:rPr>
          <w:rStyle w:val="FootnoteReference"/>
        </w:rPr>
        <w:footnoteReference w:id="6"/>
      </w:r>
      <w:r w:rsidR="00A3096E">
        <w:t xml:space="preserve"> </w:t>
      </w:r>
      <w:r w:rsidR="00243E0C">
        <w:t xml:space="preserve">Inspire </w:t>
      </w:r>
      <w:r w:rsidR="00243E0C">
        <w:t>NewCo</w:t>
      </w:r>
      <w:r w:rsidR="00C82378">
        <w:t xml:space="preserve"> will be </w:t>
      </w:r>
      <w:r w:rsidR="002867E3">
        <w:t xml:space="preserve">a joint venture </w:t>
      </w:r>
      <w:r w:rsidR="00C82378">
        <w:t>held by</w:t>
      </w:r>
      <w:r w:rsidR="00B75335">
        <w:t xml:space="preserve">: </w:t>
      </w:r>
      <w:r w:rsidR="00C82378">
        <w:t xml:space="preserve"> </w:t>
      </w:r>
      <w:r w:rsidR="00B75335">
        <w:t xml:space="preserve">Inspire Holdco, LLC (Inspire </w:t>
      </w:r>
      <w:r w:rsidR="00B75335">
        <w:t>HoldCo</w:t>
      </w:r>
      <w:r w:rsidR="00B75335">
        <w:t>)</w:t>
      </w:r>
      <w:r w:rsidR="00CB1DB2">
        <w:t xml:space="preserve"> (50% stock interest)</w:t>
      </w:r>
      <w:r w:rsidR="00B75335">
        <w:t xml:space="preserve">, which is indirectly held by </w:t>
      </w:r>
      <w:r w:rsidR="00CB1DB2">
        <w:t>Wren House; and T-Mobile USA, Inc. (T-Mobile)</w:t>
      </w:r>
      <w:r w:rsidR="00E646C5">
        <w:t xml:space="preserve"> (50% stock interest)</w:t>
      </w:r>
      <w:r w:rsidR="00CB1DB2">
        <w:t>, which is indirectly held by Deutsche Telekom AG</w:t>
      </w:r>
      <w:r w:rsidR="000767E4">
        <w:t>.</w:t>
      </w:r>
      <w:bookmarkEnd w:id="2"/>
      <w:bookmarkEnd w:id="3"/>
      <w:r>
        <w:rPr>
          <w:rStyle w:val="FootnoteReference"/>
        </w:rPr>
        <w:footnoteReference w:id="7"/>
      </w:r>
    </w:p>
    <w:p w:rsidR="006B64F3" w:rsidP="00D16792" w14:paraId="3C7D7DB3" w14:textId="4F6A60A1">
      <w:pPr>
        <w:widowControl/>
        <w:autoSpaceDE w:val="0"/>
        <w:autoSpaceDN w:val="0"/>
        <w:adjustRightInd w:val="0"/>
        <w:spacing w:after="120"/>
        <w:ind w:firstLine="720"/>
      </w:pPr>
      <w:r w:rsidRPr="00913A33">
        <w:t>BR Telephone</w:t>
      </w:r>
      <w:r w:rsidR="009857C0">
        <w:t>, a Delaware limited liability company,</w:t>
      </w:r>
      <w:r w:rsidRPr="00913A33">
        <w:t xml:space="preserve"> is </w:t>
      </w:r>
      <w:r w:rsidR="005006A2">
        <w:t xml:space="preserve">authorized to provide service as </w:t>
      </w:r>
      <w:r w:rsidR="00C72A62">
        <w:t xml:space="preserve">a competitive local exchange carrier (LEC) </w:t>
      </w:r>
      <w:r w:rsidR="005006A2">
        <w:t xml:space="preserve">in </w:t>
      </w:r>
      <w:r w:rsidR="005537E4">
        <w:t xml:space="preserve">Alabama, Illinois, Indiana, Iowa, Kentucky, Louisiana, </w:t>
      </w:r>
      <w:r w:rsidR="00480FE2">
        <w:t>Massachusetts</w:t>
      </w:r>
      <w:r w:rsidR="005537E4">
        <w:t xml:space="preserve">, </w:t>
      </w:r>
      <w:r w:rsidR="00480FE2">
        <w:t>Michigan, Missouri,</w:t>
      </w:r>
      <w:r w:rsidR="002A1A22">
        <w:t xml:space="preserve"> </w:t>
      </w:r>
      <w:r w:rsidR="00480FE2">
        <w:t xml:space="preserve">Minnesota, Oklahoma, South Carolina, Tennessee, Texas, </w:t>
      </w:r>
      <w:r w:rsidR="002A1A22">
        <w:t>and Wisconsin</w:t>
      </w:r>
      <w:r w:rsidR="00480FE2">
        <w:t xml:space="preserve"> </w:t>
      </w:r>
      <w:r w:rsidR="00C72A62">
        <w:t xml:space="preserve">and is </w:t>
      </w:r>
      <w:r w:rsidRPr="00913A33">
        <w:t xml:space="preserve">authorized to provide </w:t>
      </w:r>
      <w:r w:rsidR="002A1A22">
        <w:t>other</w:t>
      </w:r>
      <w:r w:rsidR="00E60D05">
        <w:t xml:space="preserve"> </w:t>
      </w:r>
      <w:r w:rsidR="00C72A62">
        <w:t xml:space="preserve">services </w:t>
      </w:r>
      <w:r w:rsidRPr="00913A33">
        <w:t>in</w:t>
      </w:r>
      <w:r w:rsidR="00C72A62">
        <w:t xml:space="preserve"> multiple states</w:t>
      </w:r>
      <w:r w:rsidRPr="00913A33">
        <w:t>.</w:t>
      </w:r>
      <w:r>
        <w:rPr>
          <w:rStyle w:val="FootnoteReference"/>
        </w:rPr>
        <w:footnoteReference w:id="8"/>
      </w:r>
      <w:r w:rsidRPr="00913A33">
        <w:t xml:space="preserve">  </w:t>
      </w:r>
      <w:r w:rsidR="00A3434C">
        <w:t>BR Broadband</w:t>
      </w:r>
      <w:r w:rsidR="00B25E38">
        <w:t>, a Delaware limited liability company,</w:t>
      </w:r>
      <w:r w:rsidR="00A3434C">
        <w:t xml:space="preserve"> operates a fiber and fixed wireless network in Missouri.</w:t>
      </w:r>
      <w:r>
        <w:rPr>
          <w:rStyle w:val="FootnoteReference"/>
        </w:rPr>
        <w:footnoteReference w:id="9"/>
      </w:r>
      <w:r w:rsidR="00A3434C">
        <w:t xml:space="preserve">  </w:t>
      </w:r>
      <w:r w:rsidR="006B21AA">
        <w:t>BR Telephone and BR Broadband are currently controlled by Wren House.</w:t>
      </w:r>
      <w:r>
        <w:rPr>
          <w:rStyle w:val="FootnoteReference"/>
        </w:rPr>
        <w:footnoteReference w:id="10"/>
      </w:r>
      <w:r w:rsidR="00D53F27">
        <w:t xml:space="preserve">  </w:t>
      </w:r>
    </w:p>
    <w:p w:rsidR="008F794F" w:rsidP="00D53F27" w14:paraId="019FC07F" w14:textId="68A50A7C">
      <w:pPr>
        <w:autoSpaceDE w:val="0"/>
        <w:autoSpaceDN w:val="0"/>
        <w:adjustRightInd w:val="0"/>
        <w:spacing w:after="120"/>
        <w:ind w:firstLine="720"/>
      </w:pPr>
      <w:r>
        <w:t xml:space="preserve">Inspire </w:t>
      </w:r>
      <w:r>
        <w:t>HoldCo</w:t>
      </w:r>
      <w:r w:rsidR="00DC42B2">
        <w:t xml:space="preserve">, </w:t>
      </w:r>
      <w:r w:rsidR="004A62B7">
        <w:t>a</w:t>
      </w:r>
      <w:r w:rsidR="00DC42B2">
        <w:t xml:space="preserve"> Delaware limited liability</w:t>
      </w:r>
      <w:r w:rsidR="00642D04">
        <w:t xml:space="preserve"> company</w:t>
      </w:r>
      <w:r w:rsidR="00F60017">
        <w:t xml:space="preserve"> formed for the purposes of the proposed transaction, is </w:t>
      </w:r>
      <w:r w:rsidR="006D50B8">
        <w:t xml:space="preserve">currently </w:t>
      </w:r>
      <w:r w:rsidR="00243E0C">
        <w:t xml:space="preserve">an </w:t>
      </w:r>
      <w:r w:rsidR="00F60017">
        <w:t>aff</w:t>
      </w:r>
      <w:r w:rsidR="00057441">
        <w:t>iliate</w:t>
      </w:r>
      <w:r w:rsidR="00CC0C20">
        <w:t xml:space="preserve"> of WH U</w:t>
      </w:r>
      <w:r w:rsidR="001E6DC4">
        <w:t>S L</w:t>
      </w:r>
      <w:r w:rsidR="00CC0C20">
        <w:t>P</w:t>
      </w:r>
      <w:r w:rsidR="006D50B8">
        <w:t xml:space="preserve">, a Delaware limited partnership </w:t>
      </w:r>
      <w:r w:rsidR="005E39FE">
        <w:t xml:space="preserve">indirectly </w:t>
      </w:r>
      <w:r w:rsidR="006D50B8">
        <w:t>controlled by Wren House,</w:t>
      </w:r>
      <w:r w:rsidR="00CC0C20">
        <w:t xml:space="preserve"> </w:t>
      </w:r>
      <w:r w:rsidR="00435234">
        <w:t xml:space="preserve">which </w:t>
      </w:r>
      <w:r w:rsidR="00CC0C20">
        <w:t xml:space="preserve">will become </w:t>
      </w:r>
      <w:r w:rsidR="005E39FE">
        <w:t xml:space="preserve">a </w:t>
      </w:r>
      <w:r w:rsidR="00CC0C20">
        <w:t>subsidiary of WH US LP prior to closing.</w:t>
      </w:r>
      <w:r>
        <w:rPr>
          <w:rStyle w:val="FootnoteReference"/>
        </w:rPr>
        <w:footnoteReference w:id="11"/>
      </w:r>
      <w:r w:rsidR="00E66126">
        <w:t xml:space="preserve">  </w:t>
      </w:r>
      <w:r w:rsidR="0037437E">
        <w:t xml:space="preserve">Applicants state that KIA, Wren House, and WH </w:t>
      </w:r>
      <w:r w:rsidR="0037437E">
        <w:t>BidCo</w:t>
      </w:r>
      <w:r w:rsidR="0037437E">
        <w:t xml:space="preserve"> do not currently provide, and are not authorized to provide, domestic telecommunications services.</w:t>
      </w:r>
      <w:r>
        <w:rPr>
          <w:rStyle w:val="FootnoteReference"/>
        </w:rPr>
        <w:footnoteReference w:id="12"/>
      </w:r>
      <w:r w:rsidR="0037437E">
        <w:t xml:space="preserve"> </w:t>
      </w:r>
      <w:r w:rsidRPr="002546CD" w:rsidR="0037437E">
        <w:rPr>
          <w:i/>
          <w:iCs/>
        </w:rPr>
        <w:t xml:space="preserve"> </w:t>
      </w:r>
      <w:r w:rsidR="00420DEB">
        <w:t>Applicants state that KIA</w:t>
      </w:r>
      <w:r w:rsidR="009C614C">
        <w:t xml:space="preserve">, the ultimate owner of Wren House and </w:t>
      </w:r>
      <w:r w:rsidR="00656C1A">
        <w:t>the Licensees,</w:t>
      </w:r>
      <w:r w:rsidR="00420DEB">
        <w:t xml:space="preserve"> is governed by the Wren House Management Agreement</w:t>
      </w:r>
      <w:r w:rsidR="00580C3C">
        <w:t>, which “affords Wren House substantial operational independence and the authority to make certain decisions</w:t>
      </w:r>
      <w:r w:rsidR="00F65F69">
        <w:t>, including the right to appoint and remove the officers of each Wren House entity,</w:t>
      </w:r>
      <w:r w:rsidR="00580C3C">
        <w:t>”</w:t>
      </w:r>
      <w:r w:rsidR="00F65F69">
        <w:t xml:space="preserve"> and thus, </w:t>
      </w:r>
      <w:r w:rsidR="00435234">
        <w:t xml:space="preserve">post-transaction, </w:t>
      </w:r>
      <w:r w:rsidR="00440AC1">
        <w:t>control of Wren House’s half of the joint venture will rest with Wren House.</w:t>
      </w:r>
      <w:r>
        <w:rPr>
          <w:rStyle w:val="FootnoteReference"/>
        </w:rPr>
        <w:footnoteReference w:id="13"/>
      </w:r>
      <w:r w:rsidRPr="00913A33" w:rsidR="00D53F27">
        <w:t xml:space="preserve">  </w:t>
      </w:r>
    </w:p>
    <w:p w:rsidR="00A74F62" w:rsidRPr="00913A33" w:rsidP="004D5E40" w14:paraId="5799DAED" w14:textId="754E9F9E">
      <w:pPr>
        <w:autoSpaceDE w:val="0"/>
        <w:autoSpaceDN w:val="0"/>
        <w:adjustRightInd w:val="0"/>
        <w:spacing w:after="120"/>
        <w:ind w:firstLine="720"/>
      </w:pPr>
      <w:r w:rsidRPr="00913A33">
        <w:t>T-Mobile</w:t>
      </w:r>
      <w:r w:rsidR="00211030">
        <w:t>, a Delaware corporation,</w:t>
      </w:r>
      <w:r w:rsidR="00484F2A">
        <w:t xml:space="preserve"> </w:t>
      </w:r>
      <w:r w:rsidR="00643EAF">
        <w:t>provides nationwide wireless voice, data, and fixed</w:t>
      </w:r>
      <w:r w:rsidR="00781142">
        <w:t xml:space="preserve"> wireless broadband services</w:t>
      </w:r>
      <w:r w:rsidR="00BF5D13">
        <w:t xml:space="preserve"> to over 142.4 million subscribers.</w:t>
      </w:r>
      <w:r>
        <w:rPr>
          <w:rStyle w:val="FootnoteReference"/>
        </w:rPr>
        <w:footnoteReference w:id="14"/>
      </w:r>
      <w:r w:rsidR="00F03E34">
        <w:t xml:space="preserve"> </w:t>
      </w:r>
      <w:r w:rsidRPr="00913A33">
        <w:t xml:space="preserve"> </w:t>
      </w:r>
      <w:r w:rsidR="00BF5D13">
        <w:t xml:space="preserve">T-Mobile </w:t>
      </w:r>
      <w:r w:rsidRPr="00913A33">
        <w:t>shares negative control of Trailblazer Holdco, LLC (collectively with its operating subsidiaries, Lumos Fiber).</w:t>
      </w:r>
      <w:r>
        <w:rPr>
          <w:rStyle w:val="FootnoteReference"/>
        </w:rPr>
        <w:footnoteReference w:id="15"/>
      </w:r>
      <w:r w:rsidRPr="00913A33">
        <w:t xml:space="preserve">  Lumos Fiber provides interstate telecommunications services</w:t>
      </w:r>
      <w:r w:rsidRPr="00913A33" w:rsidR="004003A8">
        <w:t xml:space="preserve"> and other services to residential and business customers</w:t>
      </w:r>
      <w:r w:rsidR="00CA3AEE">
        <w:t xml:space="preserve"> </w:t>
      </w:r>
      <w:r w:rsidR="004A62B7">
        <w:t xml:space="preserve">as </w:t>
      </w:r>
      <w:r w:rsidR="00CA3AEE">
        <w:t xml:space="preserve">both an incumbent LEC and a competitive LEC </w:t>
      </w:r>
      <w:r w:rsidR="00992503">
        <w:t>in multiple states.</w:t>
      </w:r>
      <w:r>
        <w:rPr>
          <w:rStyle w:val="FootnoteReference"/>
        </w:rPr>
        <w:footnoteReference w:id="16"/>
      </w:r>
      <w:r w:rsidR="00992503">
        <w:t xml:space="preserve">  </w:t>
      </w:r>
      <w:r w:rsidRPr="00913A33" w:rsidR="00F247E3">
        <w:t xml:space="preserve">T-Mobile </w:t>
      </w:r>
      <w:r w:rsidR="004D5E40">
        <w:t xml:space="preserve">also </w:t>
      </w:r>
      <w:r w:rsidRPr="00913A33" w:rsidR="00F247E3">
        <w:t>shares negative control of MetroNet Systems Holdings, LLC (collectively with its operating subsidiaries, Metronet).</w:t>
      </w:r>
      <w:r>
        <w:rPr>
          <w:rStyle w:val="FootnoteReference"/>
        </w:rPr>
        <w:footnoteReference w:id="17"/>
      </w:r>
      <w:r w:rsidRPr="00913A33" w:rsidR="00F247E3">
        <w:t xml:space="preserve">  Metronet provides or is authorized to provide telecommunications services</w:t>
      </w:r>
      <w:r w:rsidR="00047A66">
        <w:t xml:space="preserve"> as an incumbent LEC and </w:t>
      </w:r>
      <w:r w:rsidR="00AE0471">
        <w:t xml:space="preserve">as </w:t>
      </w:r>
      <w:r w:rsidR="00047A66">
        <w:t>a competitive LEC in multiple states.</w:t>
      </w:r>
      <w:r>
        <w:rPr>
          <w:rStyle w:val="FootnoteReference"/>
        </w:rPr>
        <w:footnoteReference w:id="18"/>
      </w:r>
      <w:r w:rsidRPr="00913A33" w:rsidR="00893E71">
        <w:t xml:space="preserve"> </w:t>
      </w:r>
    </w:p>
    <w:p w:rsidR="002B38A4" w:rsidRPr="00913A33" w:rsidP="00DD0EF7" w14:paraId="465595A2" w14:textId="31A425DC">
      <w:pPr>
        <w:autoSpaceDE w:val="0"/>
        <w:autoSpaceDN w:val="0"/>
        <w:adjustRightInd w:val="0"/>
        <w:spacing w:after="120"/>
        <w:ind w:firstLine="720"/>
      </w:pPr>
      <w:r>
        <w:t xml:space="preserve">Pursuant to the </w:t>
      </w:r>
      <w:r w:rsidR="00433677">
        <w:t xml:space="preserve">terms of a </w:t>
      </w:r>
      <w:r w:rsidRPr="00913A33" w:rsidR="00893E71">
        <w:t xml:space="preserve">transaction agreement, together with other ancillary agreements </w:t>
      </w:r>
      <w:r w:rsidR="00774F85">
        <w:t xml:space="preserve">among the </w:t>
      </w:r>
      <w:r w:rsidRPr="00913A33" w:rsidR="00893E71">
        <w:t xml:space="preserve">parties and certain affiliates, all of the issued and outstanding membership interest of i3 Broadband, LLC, the indirect parent of the Licensees, will, after a series of steps, be transferred from WH </w:t>
      </w:r>
      <w:r w:rsidRPr="00913A33" w:rsidR="00893E71">
        <w:t>BidCo</w:t>
      </w:r>
      <w:r w:rsidRPr="00913A33" w:rsidR="00893E71">
        <w:t xml:space="preserve"> to Ignite </w:t>
      </w:r>
      <w:r w:rsidRPr="00913A33" w:rsidR="00893E71">
        <w:t>FinCo</w:t>
      </w:r>
      <w:r w:rsidRPr="00913A33" w:rsidR="00893E71">
        <w:t xml:space="preserve"> LLC, an indirect subsidiary of Inspire </w:t>
      </w:r>
      <w:r w:rsidRPr="00913A33" w:rsidR="00893E71">
        <w:t>NewCo</w:t>
      </w:r>
      <w:r w:rsidRPr="00913A33" w:rsidR="00893E71">
        <w:t>.</w:t>
      </w:r>
      <w:r>
        <w:rPr>
          <w:rStyle w:val="FootnoteReference"/>
        </w:rPr>
        <w:footnoteReference w:id="19"/>
      </w:r>
      <w:r w:rsidRPr="00913A33" w:rsidR="00893E71">
        <w:t xml:space="preserve">  </w:t>
      </w:r>
      <w:r w:rsidR="0006743C">
        <w:t>A</w:t>
      </w:r>
      <w:r w:rsidR="00A03C90">
        <w:t>s a result</w:t>
      </w:r>
      <w:r w:rsidRPr="00913A33" w:rsidR="008D39DA">
        <w:t>, the Licensees w</w:t>
      </w:r>
      <w:r w:rsidR="00A03C90">
        <w:t>ould</w:t>
      </w:r>
      <w:r w:rsidRPr="00913A33" w:rsidR="008D39DA">
        <w:t xml:space="preserve"> become indirect</w:t>
      </w:r>
      <w:r w:rsidR="00103972">
        <w:t>,</w:t>
      </w:r>
      <w:r w:rsidRPr="00913A33" w:rsidR="008D39DA">
        <w:t xml:space="preserve"> wholly owned subsidiar</w:t>
      </w:r>
      <w:r w:rsidR="00857462">
        <w:t>ies</w:t>
      </w:r>
      <w:r w:rsidRPr="00913A33" w:rsidR="008D39DA">
        <w:t xml:space="preserve"> of Inspire </w:t>
      </w:r>
      <w:r w:rsidRPr="00913A33" w:rsidR="008D39DA">
        <w:t>NewCo</w:t>
      </w:r>
      <w:r w:rsidRPr="00913A33" w:rsidR="008D39DA">
        <w:t>.</w:t>
      </w:r>
      <w:r>
        <w:rPr>
          <w:rStyle w:val="FootnoteReference"/>
        </w:rPr>
        <w:footnoteReference w:id="20"/>
      </w:r>
      <w:r w:rsidRPr="00913A33" w:rsidR="008D39DA">
        <w:t xml:space="preserve"> </w:t>
      </w:r>
      <w:bookmarkStart w:id="5" w:name="TOChere"/>
      <w:r w:rsidR="00865A77">
        <w:t xml:space="preserve"> </w:t>
      </w:r>
      <w:r w:rsidRPr="00913A33" w:rsidR="00DD0EF7">
        <w:t xml:space="preserve">Inspire </w:t>
      </w:r>
      <w:r w:rsidRPr="00913A33" w:rsidR="00DD0EF7">
        <w:t>HoldCo</w:t>
      </w:r>
      <w:r w:rsidRPr="00913A33" w:rsidR="00DD0EF7">
        <w:t xml:space="preserve"> and TMUS </w:t>
      </w:r>
      <w:r w:rsidRPr="00913A33" w:rsidR="00DD0EF7">
        <w:t>HoldCo</w:t>
      </w:r>
      <w:r w:rsidR="00637953">
        <w:t>, a subsidiary of T-Mobile,</w:t>
      </w:r>
      <w:r w:rsidRPr="00913A33" w:rsidR="00DD0EF7">
        <w:t xml:space="preserve"> will each hold </w:t>
      </w:r>
      <w:r w:rsidR="00243E0C">
        <w:t>50</w:t>
      </w:r>
      <w:r w:rsidRPr="00913A33" w:rsidR="00DD0EF7">
        <w:t xml:space="preserve"> percent of the total issued and outstanding limited liability company interests in Inspire </w:t>
      </w:r>
      <w:r w:rsidRPr="00913A33" w:rsidR="00DD0EF7">
        <w:t>NewCo</w:t>
      </w:r>
      <w:r w:rsidR="009B655E">
        <w:t xml:space="preserve">, and thus </w:t>
      </w:r>
      <w:r w:rsidR="00C7098D">
        <w:t xml:space="preserve">jointly own and control </w:t>
      </w:r>
      <w:r w:rsidR="009B655E">
        <w:t>the Licensees</w:t>
      </w:r>
      <w:r w:rsidRPr="00913A33" w:rsidR="00DD0EF7">
        <w:t>.</w:t>
      </w:r>
      <w:r>
        <w:rPr>
          <w:rStyle w:val="FootnoteReference"/>
        </w:rPr>
        <w:footnoteReference w:id="21"/>
      </w:r>
    </w:p>
    <w:p w:rsidR="00A53676" w:rsidP="00F5203E" w14:paraId="37582707" w14:textId="4DBB2B4E">
      <w:pPr>
        <w:autoSpaceDE w:val="0"/>
        <w:autoSpaceDN w:val="0"/>
        <w:adjustRightInd w:val="0"/>
        <w:spacing w:after="120"/>
        <w:ind w:firstLine="720"/>
      </w:pPr>
      <w:r w:rsidRPr="00913A33">
        <w:t xml:space="preserve">Applicants assert that a grant of the Application would serve the public interest, convenience, and necessity. </w:t>
      </w:r>
      <w:r w:rsidR="00DD0EF7">
        <w:t xml:space="preserve"> </w:t>
      </w:r>
      <w:r w:rsidR="00AA221F">
        <w:t xml:space="preserve">Applicants state that the </w:t>
      </w:r>
      <w:r w:rsidR="00F2558E">
        <w:t>Licensees’</w:t>
      </w:r>
      <w:r w:rsidR="00EC7207">
        <w:t xml:space="preserve"> </w:t>
      </w:r>
      <w:r w:rsidR="00EE422B">
        <w:t>service areas do not overlap with any incumbent LEC territories serv</w:t>
      </w:r>
      <w:r w:rsidR="00684C88">
        <w:t>ed</w:t>
      </w:r>
      <w:r w:rsidR="00EE422B">
        <w:t xml:space="preserve"> by </w:t>
      </w:r>
      <w:r w:rsidR="00F5203E">
        <w:t>Inspire</w:t>
      </w:r>
      <w:r w:rsidR="003E1515">
        <w:t xml:space="preserve"> </w:t>
      </w:r>
      <w:r w:rsidR="00684C88">
        <w:t>New</w:t>
      </w:r>
      <w:r w:rsidR="003E1515">
        <w:t>C</w:t>
      </w:r>
      <w:r w:rsidR="00684C88">
        <w:t>o</w:t>
      </w:r>
      <w:r w:rsidR="00860312">
        <w:t xml:space="preserve"> or its affiliates.</w:t>
      </w:r>
      <w:r>
        <w:rPr>
          <w:rStyle w:val="FootnoteReference"/>
        </w:rPr>
        <w:footnoteReference w:id="22"/>
      </w:r>
      <w:r w:rsidR="00B24EA0">
        <w:t xml:space="preserve">  Applicants disc</w:t>
      </w:r>
      <w:r w:rsidR="00C97F31">
        <w:t>losed that there is an overlap between the fiber passings of i3</w:t>
      </w:r>
      <w:r w:rsidR="00405C1D">
        <w:t xml:space="preserve"> Broadband and T-Mobile’s affiliate, Metronet, with fewer than </w:t>
      </w:r>
      <w:r w:rsidR="00243E0C">
        <w:t xml:space="preserve">3,000 </w:t>
      </w:r>
      <w:r w:rsidR="00405C1D">
        <w:t xml:space="preserve">overlapping locations in certain areas </w:t>
      </w:r>
      <w:r w:rsidR="003D2B93">
        <w:t>of Illinois.</w:t>
      </w:r>
      <w:r>
        <w:rPr>
          <w:rStyle w:val="FootnoteReference"/>
        </w:rPr>
        <w:footnoteReference w:id="23"/>
      </w:r>
      <w:r w:rsidR="003D2B93">
        <w:t xml:space="preserve">  </w:t>
      </w:r>
    </w:p>
    <w:p w:rsidR="001558DC" w:rsidRPr="00C97E0A" w:rsidP="00C97E0A" w14:paraId="5220B15E" w14:textId="79243C8A">
      <w:pPr>
        <w:autoSpaceDE w:val="0"/>
        <w:autoSpaceDN w:val="0"/>
        <w:adjustRightInd w:val="0"/>
        <w:spacing w:after="120"/>
        <w:ind w:firstLine="720"/>
        <w:rPr>
          <w:bCs/>
        </w:rPr>
      </w:pPr>
      <w:r w:rsidRPr="00913A33">
        <w:rPr>
          <w:bCs/>
        </w:rPr>
        <w:t>Because th</w:t>
      </w:r>
      <w:r w:rsidRPr="00913A33" w:rsidR="00140693">
        <w:rPr>
          <w:bCs/>
        </w:rPr>
        <w:t>is</w:t>
      </w:r>
      <w:r w:rsidRPr="00913A33">
        <w:rPr>
          <w:bCs/>
        </w:rPr>
        <w:t xml:space="preserve"> transaction </w:t>
      </w:r>
      <w:r w:rsidRPr="00913A33" w:rsidR="00140693">
        <w:rPr>
          <w:bCs/>
        </w:rPr>
        <w:t xml:space="preserve">is </w:t>
      </w:r>
      <w:r w:rsidRPr="00913A33">
        <w:rPr>
          <w:bCs/>
        </w:rPr>
        <w:t>more complex than those accepted for streamlined treatment, and in order to analyze the public interest, we accept the Application for non-streamlined processing.</w:t>
      </w:r>
      <w:r>
        <w:rPr>
          <w:bCs/>
          <w:vertAlign w:val="superscript"/>
        </w:rPr>
        <w:footnoteReference w:id="24"/>
      </w:r>
    </w:p>
    <w:p w:rsidR="001558DC" w:rsidRPr="00437121" w:rsidP="00437121" w14:paraId="4AD1EA71" w14:textId="20793C3F">
      <w:pPr>
        <w:autoSpaceDE w:val="0"/>
        <w:autoSpaceDN w:val="0"/>
        <w:adjustRightInd w:val="0"/>
        <w:spacing w:after="120"/>
        <w:ind w:firstLine="720"/>
        <w:rPr>
          <w:bCs/>
          <w:szCs w:val="22"/>
        </w:rPr>
      </w:pPr>
      <w:r w:rsidRPr="00466A2D">
        <w:rPr>
          <w:bCs/>
          <w:szCs w:val="22"/>
          <w:u w:val="single"/>
        </w:rPr>
        <w:t>No Referral to Executive Branch Agencies:</w:t>
      </w:r>
      <w:r w:rsidRPr="00466A2D">
        <w:rPr>
          <w:b/>
          <w:bCs/>
          <w:szCs w:val="22"/>
        </w:rPr>
        <w:t xml:space="preserve">  </w:t>
      </w:r>
      <w:r w:rsidRPr="00466A2D">
        <w:rPr>
          <w:szCs w:val="22"/>
        </w:rPr>
        <w:t xml:space="preserve">The Commission determined in the </w:t>
      </w:r>
      <w:r w:rsidRPr="00466A2D">
        <w:rPr>
          <w:i/>
          <w:iCs/>
          <w:szCs w:val="22"/>
        </w:rPr>
        <w:t>Executive Branch Review Process Order</w:t>
      </w:r>
      <w:r w:rsidRPr="00466A2D">
        <w:rPr>
          <w:szCs w:val="22"/>
        </w:rPr>
        <w:t xml:space="preserve"> that it would not routinely refer to the Executive Branch “standalone applications to transfer control of domestic section 214 authority.”</w:t>
      </w:r>
      <w:r>
        <w:rPr>
          <w:szCs w:val="22"/>
          <w:vertAlign w:val="superscript"/>
        </w:rPr>
        <w:footnoteReference w:id="25"/>
      </w:r>
      <w:r w:rsidRPr="00466A2D">
        <w:rPr>
          <w:szCs w:val="22"/>
        </w:rPr>
        <w:t xml:space="preserve">  The Commission, however, retains the discretion to refer a domestic-only section 214 transaction should it find that a particular application may raise national security, law enforcement, foreign policy, or trade policy concerns for which it would benefit from the advice of the Executive Branch.</w:t>
      </w:r>
      <w:r>
        <w:rPr>
          <w:szCs w:val="22"/>
          <w:vertAlign w:val="superscript"/>
        </w:rPr>
        <w:footnoteReference w:id="26"/>
      </w:r>
      <w:r w:rsidRPr="00466A2D">
        <w:rPr>
          <w:szCs w:val="22"/>
        </w:rPr>
        <w:t xml:space="preserve">  </w:t>
      </w:r>
      <w:r w:rsidRPr="00C20122">
        <w:rPr>
          <w:szCs w:val="22"/>
        </w:rPr>
        <w:t xml:space="preserve">Applicants state that the Application involves the transfer of control of </w:t>
      </w:r>
      <w:r w:rsidR="00DB0685">
        <w:rPr>
          <w:szCs w:val="22"/>
        </w:rPr>
        <w:t xml:space="preserve">carriers </w:t>
      </w:r>
      <w:r w:rsidRPr="00C20122">
        <w:rPr>
          <w:szCs w:val="22"/>
        </w:rPr>
        <w:t>that hold only domestic section 214 authority.</w:t>
      </w:r>
      <w:r>
        <w:rPr>
          <w:szCs w:val="22"/>
          <w:vertAlign w:val="superscript"/>
        </w:rPr>
        <w:footnoteReference w:id="27"/>
      </w:r>
      <w:r w:rsidRPr="00466A2D">
        <w:rPr>
          <w:szCs w:val="22"/>
        </w:rPr>
        <w:t xml:space="preserve">  Applicants therefore assert that, consistent with the decision in the </w:t>
      </w:r>
      <w:r w:rsidRPr="00466A2D">
        <w:rPr>
          <w:i/>
          <w:iCs/>
          <w:szCs w:val="22"/>
        </w:rPr>
        <w:t>Executive Branch Review Process Order</w:t>
      </w:r>
      <w:r w:rsidRPr="00466A2D">
        <w:rPr>
          <w:szCs w:val="22"/>
        </w:rPr>
        <w:t>, the Application does not require a referral to the Executive Branch.</w:t>
      </w:r>
      <w:r>
        <w:rPr>
          <w:szCs w:val="22"/>
          <w:vertAlign w:val="superscript"/>
        </w:rPr>
        <w:footnoteReference w:id="28"/>
      </w:r>
      <w:r w:rsidRPr="00466A2D">
        <w:rPr>
          <w:szCs w:val="22"/>
        </w:rPr>
        <w:t xml:space="preserve">  </w:t>
      </w:r>
      <w:r w:rsidRPr="00466A2D">
        <w:rPr>
          <w:bCs/>
          <w:szCs w:val="22"/>
        </w:rPr>
        <w:t xml:space="preserve">We do not find any special circumstances that warrant referral of this Application to the Executive Branch agencies.  </w:t>
      </w:r>
      <w:r w:rsidRPr="00466A2D">
        <w:rPr>
          <w:szCs w:val="22"/>
        </w:rPr>
        <w:t>While we are not referring the Application, we will provide a courtesy copy of this public notice to the Executive Branch agencies.</w:t>
      </w:r>
      <w:r>
        <w:rPr>
          <w:szCs w:val="22"/>
          <w:vertAlign w:val="superscript"/>
        </w:rPr>
        <w:footnoteReference w:id="29"/>
      </w:r>
    </w:p>
    <w:p w:rsidR="001558DC" w:rsidP="002B38A4" w14:paraId="2203F99E" w14:textId="77777777">
      <w:pPr>
        <w:ind w:left="720"/>
        <w:rPr>
          <w:szCs w:val="22"/>
        </w:rPr>
      </w:pPr>
    </w:p>
    <w:p w:rsidR="002B38A4" w:rsidRPr="003E5379" w:rsidP="002B38A4" w14:paraId="2CF3A469" w14:textId="2BA4220B">
      <w:pPr>
        <w:ind w:left="720"/>
        <w:rPr>
          <w:szCs w:val="22"/>
        </w:rPr>
      </w:pPr>
      <w:r w:rsidRPr="003E5379">
        <w:rPr>
          <w:szCs w:val="22"/>
        </w:rPr>
        <w:t xml:space="preserve">Domestic Section 214 Application for the Transfer of Control of Big River Telephone Company, LLC and Big River Broadband, LLC from WH i3B </w:t>
      </w:r>
      <w:r w:rsidRPr="003E5379">
        <w:rPr>
          <w:szCs w:val="22"/>
        </w:rPr>
        <w:t>BidCo</w:t>
      </w:r>
      <w:r w:rsidRPr="003E5379">
        <w:rPr>
          <w:szCs w:val="22"/>
        </w:rPr>
        <w:t xml:space="preserve"> LLC to Inspire </w:t>
      </w:r>
      <w:r w:rsidRPr="003E5379">
        <w:rPr>
          <w:szCs w:val="22"/>
        </w:rPr>
        <w:t>NewCo</w:t>
      </w:r>
      <w:r w:rsidRPr="003E5379">
        <w:rPr>
          <w:szCs w:val="22"/>
        </w:rPr>
        <w:t>, LLC, WC Docket No. 26-122 (filed May. 21, 2026)</w:t>
      </w:r>
    </w:p>
    <w:p w:rsidR="002B38A4" w:rsidP="002B38A4" w14:paraId="597DB90C" w14:textId="77777777">
      <w:pPr>
        <w:rPr>
          <w:szCs w:val="22"/>
        </w:rPr>
      </w:pPr>
    </w:p>
    <w:p w:rsidR="001312CE" w:rsidRPr="009A6574" w:rsidP="001312CE" w14:paraId="51CFEC26" w14:textId="77777777">
      <w:pPr>
        <w:keepNext/>
        <w:autoSpaceDE w:val="0"/>
        <w:autoSpaceDN w:val="0"/>
        <w:adjustRightInd w:val="0"/>
        <w:spacing w:after="120"/>
        <w:rPr>
          <w:szCs w:val="22"/>
        </w:rPr>
      </w:pPr>
      <w:r w:rsidRPr="009A6574">
        <w:rPr>
          <w:b/>
          <w:szCs w:val="22"/>
          <w:u w:val="single"/>
        </w:rPr>
        <w:t>GENERAL INFORMATION</w:t>
      </w:r>
    </w:p>
    <w:p w:rsidR="001312CE" w:rsidRPr="009A6574" w:rsidP="001312CE" w14:paraId="30A349AB" w14:textId="77777777">
      <w:pPr>
        <w:autoSpaceDE w:val="0"/>
        <w:autoSpaceDN w:val="0"/>
        <w:adjustRightInd w:val="0"/>
        <w:spacing w:after="120"/>
        <w:ind w:firstLine="720"/>
        <w:rPr>
          <w:szCs w:val="22"/>
        </w:rPr>
      </w:pPr>
      <w:r w:rsidRPr="009A6574">
        <w:rPr>
          <w:szCs w:val="22"/>
        </w:rPr>
        <w:t xml:space="preserve">The </w:t>
      </w:r>
      <w:r>
        <w:rPr>
          <w:szCs w:val="22"/>
        </w:rPr>
        <w:t>A</w:t>
      </w:r>
      <w:r w:rsidRPr="009A6574">
        <w:rPr>
          <w:szCs w:val="22"/>
        </w:rPr>
        <w:t>pplication</w:t>
      </w:r>
      <w:r>
        <w:rPr>
          <w:szCs w:val="22"/>
        </w:rPr>
        <w:t>s</w:t>
      </w:r>
      <w:r w:rsidRPr="009A6574">
        <w:rPr>
          <w:szCs w:val="22"/>
        </w:rPr>
        <w:t xml:space="preserve"> identified herein has been found, upon initial review, to be acceptable for filing.  The Commission reserves the right to return any application if, upon further examination, it is determined to be defective and not in conformance with the Commission’s rules and policies.</w:t>
      </w:r>
    </w:p>
    <w:p w:rsidR="001312CE" w:rsidRPr="009A6574" w:rsidP="001312CE" w14:paraId="034DF320" w14:textId="77777777">
      <w:pPr>
        <w:autoSpaceDE w:val="0"/>
        <w:autoSpaceDN w:val="0"/>
        <w:adjustRightInd w:val="0"/>
        <w:spacing w:after="120"/>
        <w:ind w:firstLine="720"/>
        <w:rPr>
          <w:szCs w:val="22"/>
        </w:rPr>
      </w:pPr>
      <w:r w:rsidRPr="009A6574">
        <w:rPr>
          <w:szCs w:val="22"/>
        </w:rPr>
        <w:t>Interested parties may file comments</w:t>
      </w:r>
      <w:r w:rsidRPr="009A6574">
        <w:rPr>
          <w:bCs/>
          <w:szCs w:val="22"/>
        </w:rPr>
        <w:t xml:space="preserve"> and reply comments on or before the dates indicated on the first page of this document.</w:t>
      </w:r>
      <w:r w:rsidRPr="009A6574">
        <w:rPr>
          <w:szCs w:val="22"/>
        </w:rPr>
        <w:t xml:space="preserve">  Comments may be filed using the Commission’s Electronic Comment Filing System (ECFS).</w:t>
      </w:r>
    </w:p>
    <w:p w:rsidR="001312CE" w:rsidRPr="009A6574" w:rsidP="001312CE" w14:paraId="6074C979" w14:textId="77777777">
      <w:pPr>
        <w:numPr>
          <w:ilvl w:val="0"/>
          <w:numId w:val="8"/>
        </w:numPr>
        <w:autoSpaceDE w:val="0"/>
        <w:autoSpaceDN w:val="0"/>
        <w:adjustRightInd w:val="0"/>
        <w:spacing w:after="120"/>
        <w:rPr>
          <w:szCs w:val="22"/>
        </w:rPr>
      </w:pPr>
      <w:r w:rsidRPr="009A6574">
        <w:rPr>
          <w:szCs w:val="22"/>
        </w:rPr>
        <w:t xml:space="preserve">Electronic Filers:  Comments may be filed electronically using the Internet by accessing the ECFS:  </w:t>
      </w:r>
      <w:hyperlink r:id="rId6" w:history="1">
        <w:r w:rsidRPr="009A6574">
          <w:rPr>
            <w:color w:val="0000FF"/>
            <w:szCs w:val="22"/>
            <w:u w:val="single"/>
          </w:rPr>
          <w:t>https://www.fcc.gov/ecfs/</w:t>
        </w:r>
      </w:hyperlink>
      <w:r w:rsidRPr="009A6574">
        <w:rPr>
          <w:szCs w:val="22"/>
        </w:rPr>
        <w:t>.</w:t>
      </w:r>
    </w:p>
    <w:p w:rsidR="001312CE" w:rsidRPr="009A6574" w:rsidP="001312CE" w14:paraId="7B61FF4C" w14:textId="77777777">
      <w:pPr>
        <w:numPr>
          <w:ilvl w:val="0"/>
          <w:numId w:val="9"/>
        </w:numPr>
        <w:autoSpaceDE w:val="0"/>
        <w:autoSpaceDN w:val="0"/>
        <w:adjustRightInd w:val="0"/>
        <w:spacing w:after="120"/>
        <w:rPr>
          <w:szCs w:val="22"/>
        </w:rPr>
      </w:pPr>
      <w:r w:rsidRPr="009A6574">
        <w:rPr>
          <w:szCs w:val="22"/>
        </w:rPr>
        <w:t>Paper Filers: Parties who choose to file by paper must file an original and one copy of each filing.</w:t>
      </w:r>
    </w:p>
    <w:p w:rsidR="001312CE" w:rsidRPr="009A6574" w:rsidP="001312CE" w14:paraId="798BFD5E" w14:textId="77777777">
      <w:pPr>
        <w:numPr>
          <w:ilvl w:val="1"/>
          <w:numId w:val="9"/>
        </w:numPr>
        <w:autoSpaceDE w:val="0"/>
        <w:autoSpaceDN w:val="0"/>
        <w:adjustRightInd w:val="0"/>
        <w:spacing w:after="120"/>
        <w:rPr>
          <w:b/>
          <w:bCs/>
          <w:szCs w:val="22"/>
        </w:rPr>
      </w:pPr>
      <w:r w:rsidRPr="009A6574">
        <w:rPr>
          <w:szCs w:val="22"/>
        </w:rPr>
        <w:t xml:space="preserve">Filings can be sent by hand or messenger delivery, by commercial courier, or by the U.S. Postal Service.  </w:t>
      </w:r>
      <w:r w:rsidRPr="009A6574">
        <w:rPr>
          <w:b/>
          <w:bCs/>
          <w:szCs w:val="22"/>
        </w:rPr>
        <w:t>All filings must be addressed to the Secretary, Federal Communications Commission.</w:t>
      </w:r>
    </w:p>
    <w:p w:rsidR="001312CE" w:rsidRPr="009A6574" w:rsidP="001312CE" w14:paraId="0A83FB9C" w14:textId="77777777">
      <w:pPr>
        <w:numPr>
          <w:ilvl w:val="1"/>
          <w:numId w:val="9"/>
        </w:numPr>
        <w:autoSpaceDE w:val="0"/>
        <w:autoSpaceDN w:val="0"/>
        <w:adjustRightInd w:val="0"/>
        <w:spacing w:after="120"/>
        <w:rPr>
          <w:szCs w:val="22"/>
        </w:rPr>
      </w:pPr>
      <w:r w:rsidRPr="009A6574">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1312CE" w:rsidRPr="009A6574" w:rsidP="001312CE" w14:paraId="045837EA" w14:textId="77777777">
      <w:pPr>
        <w:numPr>
          <w:ilvl w:val="1"/>
          <w:numId w:val="9"/>
        </w:numPr>
        <w:autoSpaceDE w:val="0"/>
        <w:autoSpaceDN w:val="0"/>
        <w:adjustRightInd w:val="0"/>
        <w:spacing w:after="120"/>
        <w:rPr>
          <w:szCs w:val="22"/>
        </w:rPr>
      </w:pPr>
      <w:r w:rsidRPr="009A6574">
        <w:rPr>
          <w:szCs w:val="22"/>
        </w:rPr>
        <w:t>Commercial courier deliveries (any deliveries not by the U.S. Postal Service) must be sent to 9050 Junction Drive, Annapolis Junction, MD 20701.</w:t>
      </w:r>
    </w:p>
    <w:p w:rsidR="001312CE" w:rsidRPr="009A6574" w:rsidP="001312CE" w14:paraId="4765ADE0" w14:textId="77777777">
      <w:pPr>
        <w:numPr>
          <w:ilvl w:val="1"/>
          <w:numId w:val="9"/>
        </w:numPr>
        <w:autoSpaceDE w:val="0"/>
        <w:autoSpaceDN w:val="0"/>
        <w:adjustRightInd w:val="0"/>
        <w:spacing w:after="120"/>
        <w:rPr>
          <w:szCs w:val="22"/>
        </w:rPr>
      </w:pPr>
      <w:r w:rsidRPr="009A6574">
        <w:rPr>
          <w:szCs w:val="22"/>
        </w:rPr>
        <w:t>Filings sent by U.S. Postal Service First-Class Mail, Priority Mail, and Priority Mail Express must be sent to 45 L Street NE, Washington, DC 20554.</w:t>
      </w:r>
    </w:p>
    <w:p w:rsidR="001312CE" w:rsidP="001312CE" w14:paraId="22CC481D" w14:textId="77777777">
      <w:pPr>
        <w:autoSpaceDE w:val="0"/>
        <w:autoSpaceDN w:val="0"/>
        <w:adjustRightInd w:val="0"/>
        <w:spacing w:after="120"/>
        <w:ind w:firstLine="720"/>
        <w:rPr>
          <w:szCs w:val="22"/>
        </w:rPr>
      </w:pPr>
      <w:r w:rsidRPr="009A6574">
        <w:rPr>
          <w:szCs w:val="22"/>
        </w:rPr>
        <w:t xml:space="preserve">People with Disabilities:  To request materials in accessible formats for people with disabilities (braille, large print, electronic files, audio format), send an e-mail to </w:t>
      </w:r>
      <w:hyperlink r:id="rId7" w:history="1">
        <w:r w:rsidRPr="009A6574">
          <w:rPr>
            <w:color w:val="0000FF"/>
            <w:szCs w:val="22"/>
            <w:u w:val="single"/>
          </w:rPr>
          <w:t>fcc504@fcc.gov</w:t>
        </w:r>
      </w:hyperlink>
      <w:r w:rsidRPr="009A6574">
        <w:rPr>
          <w:szCs w:val="22"/>
        </w:rPr>
        <w:t xml:space="preserve"> or call the Consumer &amp; Governmental Affairs Bureau at 202-418-0530.</w:t>
      </w:r>
      <w:bookmarkStart w:id="7" w:name="_Hlk190430453"/>
    </w:p>
    <w:p w:rsidR="001312CE" w:rsidRPr="009A6574" w:rsidP="001312CE" w14:paraId="11F73CEE" w14:textId="77777777">
      <w:pPr>
        <w:autoSpaceDE w:val="0"/>
        <w:autoSpaceDN w:val="0"/>
        <w:adjustRightInd w:val="0"/>
        <w:spacing w:after="120"/>
        <w:ind w:firstLine="720"/>
        <w:rPr>
          <w:b/>
          <w:szCs w:val="22"/>
        </w:rPr>
      </w:pPr>
      <w:r w:rsidRPr="009A6574">
        <w:rPr>
          <w:b/>
          <w:szCs w:val="22"/>
        </w:rPr>
        <w:t>In addition, e-mail one copy of each pleading to each of the following:</w:t>
      </w:r>
    </w:p>
    <w:p w:rsidR="000A7564" w:rsidRPr="00841B1E" w:rsidP="001312CE" w14:paraId="63E133CD" w14:textId="77777777">
      <w:pPr>
        <w:numPr>
          <w:ilvl w:val="0"/>
          <w:numId w:val="7"/>
        </w:numPr>
        <w:autoSpaceDE w:val="0"/>
        <w:autoSpaceDN w:val="0"/>
        <w:adjustRightInd w:val="0"/>
        <w:spacing w:after="120"/>
        <w:rPr>
          <w:szCs w:val="22"/>
        </w:rPr>
      </w:pPr>
      <w:r>
        <w:rPr>
          <w:szCs w:val="22"/>
        </w:rPr>
        <w:t>Dennis Johnson</w:t>
      </w:r>
      <w:r w:rsidRPr="009A6574" w:rsidR="001312CE">
        <w:rPr>
          <w:szCs w:val="22"/>
        </w:rPr>
        <w:t xml:space="preserve">, Competition Policy Division, Wireline Competition Bureau, </w:t>
      </w:r>
      <w:hyperlink r:id="rId8" w:history="1">
        <w:r w:rsidRPr="00953D3B">
          <w:rPr>
            <w:rStyle w:val="Hyperlink"/>
            <w:szCs w:val="22"/>
          </w:rPr>
          <w:t>dennis.johnson@fcc.gov</w:t>
        </w:r>
      </w:hyperlink>
      <w:r w:rsidR="001312CE">
        <w:t xml:space="preserve">; </w:t>
      </w:r>
    </w:p>
    <w:p w:rsidR="00841B1E" w:rsidRPr="00841B1E" w:rsidP="00841B1E" w14:paraId="58A80AAE" w14:textId="776AB156">
      <w:pPr>
        <w:numPr>
          <w:ilvl w:val="0"/>
          <w:numId w:val="7"/>
        </w:numPr>
        <w:autoSpaceDE w:val="0"/>
        <w:autoSpaceDN w:val="0"/>
        <w:adjustRightInd w:val="0"/>
        <w:spacing w:after="120"/>
        <w:rPr>
          <w:szCs w:val="22"/>
        </w:rPr>
      </w:pPr>
      <w:r w:rsidRPr="00264104">
        <w:t xml:space="preserve">Audra Hale-Maddox, Telecommunications Access and Policy Division, Wireline Competition Bureau, </w:t>
      </w:r>
      <w:hyperlink r:id="rId9" w:history="1">
        <w:r w:rsidRPr="00264104">
          <w:rPr>
            <w:color w:val="0000FF"/>
            <w:u w:val="single"/>
          </w:rPr>
          <w:t>audra.hale-maddox@fcc.gov</w:t>
        </w:r>
      </w:hyperlink>
      <w:r w:rsidRPr="00264104">
        <w:t>;</w:t>
      </w:r>
    </w:p>
    <w:p w:rsidR="004945A3" w:rsidP="000A7564" w14:paraId="3B869780" w14:textId="31F24859">
      <w:pPr>
        <w:numPr>
          <w:ilvl w:val="0"/>
          <w:numId w:val="7"/>
        </w:numPr>
        <w:autoSpaceDE w:val="0"/>
        <w:autoSpaceDN w:val="0"/>
        <w:adjustRightInd w:val="0"/>
        <w:spacing w:after="120"/>
      </w:pPr>
      <w:r>
        <w:t xml:space="preserve">Brenda </w:t>
      </w:r>
      <w:r w:rsidR="00843FE1">
        <w:t>Villanueva</w:t>
      </w:r>
      <w:r w:rsidR="000A7564">
        <w:t xml:space="preserve">, Telecommunications Access Division, Office of International Affairs, </w:t>
      </w:r>
      <w:hyperlink r:id="rId10" w:history="1">
        <w:r w:rsidRPr="00975379" w:rsidR="00AE4D9B">
          <w:rPr>
            <w:rStyle w:val="Hyperlink"/>
          </w:rPr>
          <w:t>brenda.villanueva@fcc.gov</w:t>
        </w:r>
      </w:hyperlink>
      <w:r w:rsidR="000A7564">
        <w:t xml:space="preserve">; </w:t>
      </w:r>
    </w:p>
    <w:p w:rsidR="001312CE" w:rsidRPr="000A7564" w:rsidP="00F065C4" w14:paraId="54E9395F" w14:textId="69EC6E38">
      <w:pPr>
        <w:numPr>
          <w:ilvl w:val="0"/>
          <w:numId w:val="7"/>
        </w:numPr>
        <w:autoSpaceDE w:val="0"/>
        <w:autoSpaceDN w:val="0"/>
        <w:adjustRightInd w:val="0"/>
        <w:spacing w:after="120"/>
      </w:pPr>
      <w:r>
        <w:t>Nadja Sodos</w:t>
      </w:r>
      <w:r w:rsidR="002040E3">
        <w:t xml:space="preserve">Wallace, </w:t>
      </w:r>
      <w:r w:rsidR="00575147">
        <w:t xml:space="preserve">Broadband Division, Wireless Telecommunications Bureau </w:t>
      </w:r>
      <w:hyperlink r:id="rId11" w:history="1">
        <w:r w:rsidR="00575147">
          <w:rPr>
            <w:rStyle w:val="Hyperlink"/>
          </w:rPr>
          <w:t>nadja.sodoswallace@fcc.gov</w:t>
        </w:r>
      </w:hyperlink>
      <w:r w:rsidR="004945A3">
        <w:t>;</w:t>
      </w:r>
      <w:r w:rsidR="00F065C4">
        <w:t xml:space="preserve"> and</w:t>
      </w:r>
    </w:p>
    <w:p w:rsidR="001312CE" w:rsidRPr="009A6574" w:rsidP="001312CE" w14:paraId="124AD339" w14:textId="77777777">
      <w:pPr>
        <w:numPr>
          <w:ilvl w:val="0"/>
          <w:numId w:val="7"/>
        </w:numPr>
        <w:autoSpaceDE w:val="0"/>
        <w:autoSpaceDN w:val="0"/>
        <w:adjustRightInd w:val="0"/>
        <w:spacing w:after="120"/>
        <w:rPr>
          <w:szCs w:val="22"/>
        </w:rPr>
      </w:pPr>
      <w:r w:rsidRPr="009A6574">
        <w:rPr>
          <w:szCs w:val="22"/>
        </w:rPr>
        <w:t xml:space="preserve">Jim Bird, Office of General Counsel, </w:t>
      </w:r>
      <w:hyperlink r:id="rId12">
        <w:r w:rsidRPr="009A6574">
          <w:rPr>
            <w:color w:val="0000FF"/>
            <w:szCs w:val="22"/>
            <w:u w:val="single"/>
          </w:rPr>
          <w:t>jim.bird@fcc.gov</w:t>
        </w:r>
      </w:hyperlink>
      <w:r w:rsidRPr="009A6574">
        <w:rPr>
          <w:szCs w:val="22"/>
        </w:rPr>
        <w:t>.</w:t>
      </w:r>
    </w:p>
    <w:p w:rsidR="001312CE" w:rsidRPr="009A6574" w:rsidP="001312CE" w14:paraId="5B95DFC9" w14:textId="77777777">
      <w:pPr>
        <w:autoSpaceDE w:val="0"/>
        <w:autoSpaceDN w:val="0"/>
        <w:adjustRightInd w:val="0"/>
        <w:spacing w:after="120"/>
        <w:ind w:firstLine="720"/>
        <w:rPr>
          <w:szCs w:val="22"/>
        </w:rPr>
      </w:pPr>
      <w:r w:rsidRPr="009A6574">
        <w:rPr>
          <w:szCs w:val="22"/>
        </w:rPr>
        <w:t xml:space="preserve">The proceeding in this Notice shall be treated as a “permit-but-disclose” proceeding in accordance with the Commission’s </w:t>
      </w:r>
      <w:r w:rsidRPr="009A6574">
        <w:rPr>
          <w:i/>
          <w:szCs w:val="22"/>
        </w:rPr>
        <w:t>ex parte</w:t>
      </w:r>
      <w:r w:rsidRPr="009A6574">
        <w:rPr>
          <w:szCs w:val="22"/>
        </w:rPr>
        <w:t xml:space="preserve"> rules.  Persons making </w:t>
      </w:r>
      <w:r w:rsidRPr="009A6574">
        <w:rPr>
          <w:i/>
          <w:szCs w:val="22"/>
        </w:rPr>
        <w:t>ex parte</w:t>
      </w:r>
      <w:r w:rsidRPr="009A6574">
        <w:rPr>
          <w:szCs w:val="22"/>
        </w:rPr>
        <w:t xml:space="preserve"> presentations must file a copy of any written presentation or a memorandum summarizing any oral presentation within two business </w:t>
      </w:r>
      <w:r w:rsidRPr="009A6574">
        <w:rPr>
          <w:szCs w:val="22"/>
        </w:rPr>
        <w:t xml:space="preserve">days after the presentation (unless a different deadline applicable to the Sunshine period applies).  Persons making oral </w:t>
      </w:r>
      <w:r w:rsidRPr="009A6574">
        <w:rPr>
          <w:i/>
          <w:szCs w:val="22"/>
        </w:rPr>
        <w:t>ex parte</w:t>
      </w:r>
      <w:r w:rsidRPr="009A6574">
        <w:rPr>
          <w:szCs w:val="22"/>
        </w:rPr>
        <w:t xml:space="preserve"> presentations are reminded that memoranda summarizing the presentation must (1) list all persons attending or otherwise participating in the meeting at which the </w:t>
      </w:r>
      <w:r w:rsidRPr="009A6574">
        <w:rPr>
          <w:i/>
          <w:szCs w:val="22"/>
        </w:rPr>
        <w:t>ex parte</w:t>
      </w:r>
      <w:r w:rsidRPr="009A6574">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9A6574">
        <w:rPr>
          <w:i/>
          <w:szCs w:val="22"/>
        </w:rPr>
        <w:t>ex parte</w:t>
      </w:r>
      <w:r w:rsidRPr="009A6574">
        <w:rPr>
          <w:szCs w:val="22"/>
        </w:rPr>
        <w:t xml:space="preserve"> meetings are deemed to be written </w:t>
      </w:r>
      <w:r w:rsidRPr="009A6574">
        <w:rPr>
          <w:i/>
          <w:szCs w:val="22"/>
        </w:rPr>
        <w:t>ex parte</w:t>
      </w:r>
      <w:r w:rsidRPr="009A6574">
        <w:rPr>
          <w:szCs w:val="22"/>
        </w:rPr>
        <w:t xml:space="preserve"> presentations and must be filed consistent with rule 1.1206(b), 47 CFR § 1.1206(b).  Participants in this proceeding should familiarize themselves with the Commission’s </w:t>
      </w:r>
      <w:r w:rsidRPr="009A6574">
        <w:rPr>
          <w:i/>
          <w:szCs w:val="22"/>
        </w:rPr>
        <w:t>ex parte</w:t>
      </w:r>
      <w:r w:rsidRPr="009A6574">
        <w:rPr>
          <w:szCs w:val="22"/>
        </w:rPr>
        <w:t xml:space="preserve"> rules.</w:t>
      </w:r>
    </w:p>
    <w:p w:rsidR="001312CE" w:rsidP="001312CE" w14:paraId="1FB7170F" w14:textId="77777777">
      <w:pPr>
        <w:autoSpaceDE w:val="0"/>
        <w:autoSpaceDN w:val="0"/>
        <w:adjustRightInd w:val="0"/>
        <w:spacing w:after="120"/>
        <w:ind w:firstLine="720"/>
        <w:rPr>
          <w:szCs w:val="22"/>
        </w:rPr>
      </w:pPr>
      <w:r w:rsidRPr="009A6574">
        <w:rPr>
          <w:szCs w:val="22"/>
        </w:rPr>
        <w:t xml:space="preserve">To allow the Commission to consider fully all substantive issues regarding the </w:t>
      </w:r>
      <w:r>
        <w:rPr>
          <w:szCs w:val="22"/>
        </w:rPr>
        <w:t>A</w:t>
      </w:r>
      <w:r w:rsidRPr="009A6574">
        <w:rPr>
          <w:szCs w:val="22"/>
        </w:rPr>
        <w:t>pplication</w:t>
      </w:r>
      <w:r>
        <w:rPr>
          <w:szCs w:val="22"/>
        </w:rPr>
        <w:t>s</w:t>
      </w:r>
      <w:r w:rsidRPr="009A6574">
        <w:rPr>
          <w:szCs w:val="22"/>
        </w:rPr>
        <w:t xml:space="preserve"> in as timely and efficient a manner as possible, petitioners and commenters should raise all issues in their initial filings.  New issues may not be raised in responses or replies.</w:t>
      </w:r>
      <w:r>
        <w:rPr>
          <w:szCs w:val="22"/>
          <w:vertAlign w:val="superscript"/>
        </w:rPr>
        <w:footnoteReference w:id="30"/>
      </w:r>
      <w:r w:rsidRPr="009A6574">
        <w:rPr>
          <w:szCs w:val="22"/>
        </w:rPr>
        <w:t xml:space="preserve">  A party or interested person seeking to raise a new issue after the pleading cycle has closed must show good cause why it was not possible for it to have raised the issue previously.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w:t>
      </w:r>
      <w:r>
        <w:rPr>
          <w:szCs w:val="22"/>
        </w:rPr>
        <w:t xml:space="preserve">  </w:t>
      </w:r>
    </w:p>
    <w:p w:rsidR="002B38A4" w:rsidP="003B5B32" w14:paraId="19F71D40" w14:textId="6E21F352">
      <w:pPr>
        <w:autoSpaceDE w:val="0"/>
        <w:autoSpaceDN w:val="0"/>
        <w:adjustRightInd w:val="0"/>
        <w:spacing w:after="120"/>
        <w:ind w:firstLine="720"/>
      </w:pPr>
      <w:r w:rsidRPr="009A6574">
        <w:rPr>
          <w:szCs w:val="22"/>
        </w:rPr>
        <w:t xml:space="preserve">For further information, please contact </w:t>
      </w:r>
      <w:r w:rsidR="007E66FA">
        <w:rPr>
          <w:szCs w:val="22"/>
        </w:rPr>
        <w:t>Dennis Johnson</w:t>
      </w:r>
      <w:r w:rsidRPr="009A6574">
        <w:rPr>
          <w:szCs w:val="22"/>
        </w:rPr>
        <w:t xml:space="preserve">, Competition Policy Division, Wireline Competition Bureau, at </w:t>
      </w:r>
      <w:r w:rsidRPr="009A6574">
        <w:t>(202) 418-</w:t>
      </w:r>
      <w:r w:rsidR="007E66FA">
        <w:t>0809</w:t>
      </w:r>
      <w:r>
        <w:t>.</w:t>
      </w:r>
      <w:bookmarkEnd w:id="7"/>
    </w:p>
    <w:p w:rsidR="00A267A8" w:rsidP="003B5B32" w14:paraId="505C1F46" w14:textId="77777777">
      <w:pPr>
        <w:autoSpaceDE w:val="0"/>
        <w:autoSpaceDN w:val="0"/>
        <w:adjustRightInd w:val="0"/>
        <w:spacing w:after="120"/>
        <w:ind w:firstLine="720"/>
      </w:pPr>
    </w:p>
    <w:p w:rsidR="00A267A8" w:rsidP="003B5B32" w14:paraId="25571EE1" w14:textId="77777777">
      <w:pPr>
        <w:autoSpaceDE w:val="0"/>
        <w:autoSpaceDN w:val="0"/>
        <w:adjustRightInd w:val="0"/>
        <w:spacing w:after="120"/>
        <w:ind w:firstLine="720"/>
      </w:pPr>
    </w:p>
    <w:p w:rsidR="00A267A8" w:rsidRPr="00DF0BCD" w:rsidP="00A267A8" w14:paraId="169C9263" w14:textId="77777777">
      <w:pPr>
        <w:autoSpaceDE w:val="0"/>
        <w:autoSpaceDN w:val="0"/>
        <w:adjustRightInd w:val="0"/>
        <w:jc w:val="center"/>
        <w:rPr>
          <w:color w:val="000000"/>
          <w:szCs w:val="22"/>
        </w:rPr>
      </w:pPr>
      <w:r w:rsidRPr="007D6E06">
        <w:rPr>
          <w:b/>
          <w:szCs w:val="22"/>
        </w:rPr>
        <w:t>-FCC-</w:t>
      </w:r>
    </w:p>
    <w:p w:rsidR="00A267A8" w:rsidRPr="003B5B32" w:rsidP="00A267A8" w14:paraId="65D8E033" w14:textId="77777777">
      <w:pPr>
        <w:autoSpaceDE w:val="0"/>
        <w:autoSpaceDN w:val="0"/>
        <w:adjustRightInd w:val="0"/>
        <w:spacing w:after="120"/>
        <w:ind w:firstLine="720"/>
        <w:jc w:val="center"/>
      </w:pPr>
    </w:p>
    <w:p w:rsidR="002B38A4" w:rsidP="00F134CE" w14:paraId="2BA52C3D" w14:textId="77777777">
      <w:pPr>
        <w:autoSpaceDE w:val="0"/>
        <w:autoSpaceDN w:val="0"/>
        <w:adjustRightInd w:val="0"/>
        <w:spacing w:after="120"/>
        <w:ind w:firstLine="720"/>
      </w:pPr>
    </w:p>
    <w:bookmarkEnd w:id="5"/>
    <w:p w:rsidR="00BA3BA8" w14:paraId="3C2F5CCF" w14:textId="77777777"/>
    <w:sectPr>
      <w:headerReference w:type="default" r:id="rId13"/>
      <w:footerReference w:type="even" r:id="rId14"/>
      <w:footerReference w:type="default" r:id="rId15"/>
      <w:headerReference w:type="first" r:id="rId16"/>
      <w:footerReference w:type="first" r:id="rId17"/>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D0BAB" w14:paraId="27AE53D6" w14:textId="77777777">
      <w:pPr>
        <w:spacing w:line="20" w:lineRule="exact"/>
      </w:pPr>
    </w:p>
  </w:endnote>
  <w:endnote w:type="continuationSeparator" w:id="1">
    <w:p w:rsidR="00ED0BAB" w14:paraId="6A3275B1" w14:textId="77777777">
      <w:r>
        <w:t xml:space="preserve"> </w:t>
      </w:r>
    </w:p>
  </w:endnote>
  <w:endnote w:type="continuationNotice" w:id="2">
    <w:p w:rsidR="00ED0BAB" w14:paraId="4048351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E996340"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4D8163E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70A180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0BE2A0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D0BAB" w14:paraId="45951669" w14:textId="77777777">
      <w:r>
        <w:separator/>
      </w:r>
    </w:p>
  </w:footnote>
  <w:footnote w:type="continuationSeparator" w:id="1">
    <w:p w:rsidR="00ED0BAB" w14:paraId="500D5B92" w14:textId="77777777">
      <w:pPr>
        <w:rPr>
          <w:sz w:val="20"/>
        </w:rPr>
      </w:pPr>
      <w:r>
        <w:rPr>
          <w:sz w:val="20"/>
        </w:rPr>
        <w:t xml:space="preserve">(Continued from previous page)  </w:t>
      </w:r>
      <w:r>
        <w:rPr>
          <w:sz w:val="20"/>
        </w:rPr>
        <w:separator/>
      </w:r>
    </w:p>
  </w:footnote>
  <w:footnote w:type="continuationNotice" w:id="2">
    <w:p w:rsidR="00ED0BAB" w14:paraId="3CAB9089" w14:textId="77777777">
      <w:pPr>
        <w:jc w:val="right"/>
        <w:rPr>
          <w:sz w:val="20"/>
        </w:rPr>
      </w:pPr>
      <w:r>
        <w:rPr>
          <w:sz w:val="20"/>
        </w:rPr>
        <w:t>(continued….)</w:t>
      </w:r>
    </w:p>
  </w:footnote>
  <w:footnote w:id="3">
    <w:p w:rsidR="007C745A" w:rsidRPr="007415D0" w:rsidP="007C745A" w14:paraId="4979AFBF" w14:textId="6B99E7DF">
      <w:pPr>
        <w:pStyle w:val="FootnoteText"/>
      </w:pPr>
      <w:r w:rsidRPr="007415D0">
        <w:rPr>
          <w:rStyle w:val="FootnoteReference"/>
          <w:sz w:val="20"/>
        </w:rPr>
        <w:footnoteRef/>
      </w:r>
      <w:r w:rsidRPr="007415D0">
        <w:t xml:space="preserve"> </w:t>
      </w:r>
      <w:r w:rsidRPr="007415D0">
        <w:rPr>
          <w:i/>
        </w:rPr>
        <w:t>See</w:t>
      </w:r>
      <w:r w:rsidRPr="007415D0">
        <w:t xml:space="preserve"> 47 U.S.C. § 214(a); 47 CFR § 63.</w:t>
      </w:r>
      <w:r>
        <w:t>0</w:t>
      </w:r>
      <w:r w:rsidRPr="007415D0">
        <w:t>4.</w:t>
      </w:r>
    </w:p>
  </w:footnote>
  <w:footnote w:id="4">
    <w:p w:rsidR="00E646C5" w:rsidRPr="00D801F4" w:rsidP="00E646C5" w14:paraId="1F71A8C6" w14:textId="6D22D720">
      <w:pPr>
        <w:autoSpaceDE w:val="0"/>
        <w:autoSpaceDN w:val="0"/>
        <w:adjustRightInd w:val="0"/>
        <w:spacing w:after="120"/>
        <w:rPr>
          <w:sz w:val="20"/>
        </w:rPr>
      </w:pPr>
      <w:r w:rsidRPr="00913A33">
        <w:rPr>
          <w:rStyle w:val="FootnoteReference"/>
          <w:sz w:val="20"/>
        </w:rPr>
        <w:footnoteRef/>
      </w:r>
      <w:r w:rsidRPr="00913A33">
        <w:rPr>
          <w:sz w:val="20"/>
        </w:rPr>
        <w:t xml:space="preserve"> Domestic Section 214 Application for the Transfer of Control of </w:t>
      </w:r>
      <w:bookmarkStart w:id="4" w:name="_Hlk206416663"/>
      <w:r w:rsidR="00D26A84">
        <w:rPr>
          <w:sz w:val="20"/>
        </w:rPr>
        <w:t>Big River</w:t>
      </w:r>
      <w:r w:rsidR="001F2012">
        <w:rPr>
          <w:sz w:val="20"/>
        </w:rPr>
        <w:t xml:space="preserve"> Telephone Company, LLC and Big River Broad</w:t>
      </w:r>
      <w:r w:rsidR="00244109">
        <w:rPr>
          <w:sz w:val="20"/>
        </w:rPr>
        <w:t xml:space="preserve">band, LLC from </w:t>
      </w:r>
      <w:r w:rsidRPr="00913A33">
        <w:rPr>
          <w:sz w:val="20"/>
        </w:rPr>
        <w:t xml:space="preserve">WH i3B </w:t>
      </w:r>
      <w:r w:rsidRPr="00913A33">
        <w:rPr>
          <w:sz w:val="20"/>
        </w:rPr>
        <w:t>BidCo</w:t>
      </w:r>
      <w:r w:rsidRPr="00913A33">
        <w:rPr>
          <w:sz w:val="20"/>
        </w:rPr>
        <w:t xml:space="preserve"> </w:t>
      </w:r>
      <w:r w:rsidR="00B709EE">
        <w:rPr>
          <w:sz w:val="20"/>
        </w:rPr>
        <w:t xml:space="preserve">LLC </w:t>
      </w:r>
      <w:r w:rsidRPr="00913A33">
        <w:rPr>
          <w:sz w:val="20"/>
        </w:rPr>
        <w:t xml:space="preserve">to Inspire </w:t>
      </w:r>
      <w:r w:rsidRPr="00913A33">
        <w:rPr>
          <w:sz w:val="20"/>
        </w:rPr>
        <w:t>NewCo</w:t>
      </w:r>
      <w:bookmarkEnd w:id="4"/>
      <w:r w:rsidRPr="00913A33">
        <w:rPr>
          <w:sz w:val="20"/>
        </w:rPr>
        <w:t>,</w:t>
      </w:r>
      <w:r w:rsidR="00BC2C92">
        <w:rPr>
          <w:sz w:val="20"/>
        </w:rPr>
        <w:t xml:space="preserve"> LLC,</w:t>
      </w:r>
      <w:r w:rsidRPr="00913A33">
        <w:rPr>
          <w:sz w:val="20"/>
        </w:rPr>
        <w:t xml:space="preserve"> WC Docket No. 26-122 (filed May. 21, 2026) (Application).  </w:t>
      </w:r>
      <w:r w:rsidR="00800589">
        <w:rPr>
          <w:sz w:val="20"/>
        </w:rPr>
        <w:t xml:space="preserve">Applicants filed a supplement to the Application on </w:t>
      </w:r>
      <w:r w:rsidR="006C74D5">
        <w:rPr>
          <w:sz w:val="20"/>
        </w:rPr>
        <w:t>Ju</w:t>
      </w:r>
      <w:r w:rsidR="00E4385B">
        <w:rPr>
          <w:sz w:val="20"/>
        </w:rPr>
        <w:t>ly 13, 2026.  Letter from Ulises R. Pin</w:t>
      </w:r>
      <w:r w:rsidR="005A172B">
        <w:rPr>
          <w:sz w:val="20"/>
        </w:rPr>
        <w:t xml:space="preserve"> et al., </w:t>
      </w:r>
      <w:r w:rsidR="00E4385B">
        <w:rPr>
          <w:sz w:val="20"/>
        </w:rPr>
        <w:t xml:space="preserve">Counsel for </w:t>
      </w:r>
      <w:r w:rsidR="00567CC9">
        <w:rPr>
          <w:sz w:val="20"/>
        </w:rPr>
        <w:t xml:space="preserve">WH </w:t>
      </w:r>
      <w:r w:rsidR="00567CC9">
        <w:rPr>
          <w:sz w:val="20"/>
        </w:rPr>
        <w:t>BidCo</w:t>
      </w:r>
      <w:r w:rsidR="00567CC9">
        <w:rPr>
          <w:sz w:val="20"/>
        </w:rPr>
        <w:t xml:space="preserve">, </w:t>
      </w:r>
      <w:r w:rsidR="005A172B">
        <w:rPr>
          <w:sz w:val="20"/>
        </w:rPr>
        <w:t xml:space="preserve">Licensees, </w:t>
      </w:r>
      <w:r w:rsidR="00D223D8">
        <w:rPr>
          <w:sz w:val="20"/>
        </w:rPr>
        <w:t xml:space="preserve">and Inspire </w:t>
      </w:r>
      <w:r w:rsidR="00D223D8">
        <w:rPr>
          <w:sz w:val="20"/>
        </w:rPr>
        <w:t>NewCo</w:t>
      </w:r>
      <w:r w:rsidR="00D223D8">
        <w:rPr>
          <w:sz w:val="20"/>
        </w:rPr>
        <w:t xml:space="preserve">, Thomas M. Johnson, Jr. </w:t>
      </w:r>
      <w:r w:rsidR="00693E03">
        <w:rPr>
          <w:sz w:val="20"/>
        </w:rPr>
        <w:t xml:space="preserve">et al., Counsel for TMUS Inspire JV Holdings LLC, </w:t>
      </w:r>
      <w:r w:rsidR="007665A4">
        <w:rPr>
          <w:sz w:val="20"/>
        </w:rPr>
        <w:t xml:space="preserve">to Marlene H. Dortch, Secretary, FCC, WC Docket No. </w:t>
      </w:r>
      <w:r w:rsidR="000E2010">
        <w:rPr>
          <w:sz w:val="20"/>
        </w:rPr>
        <w:t xml:space="preserve">26-122 (filed July 13, 2026).  </w:t>
      </w:r>
      <w:r w:rsidR="00992503">
        <w:rPr>
          <w:sz w:val="20"/>
        </w:rPr>
        <w:t xml:space="preserve">Applicants also filed applications for the transfer of wireless authorizations.  </w:t>
      </w:r>
      <w:r w:rsidRPr="00913A33">
        <w:rPr>
          <w:sz w:val="20"/>
        </w:rPr>
        <w:t>Any action on this Application is without prejudice to Commission action on other related applications.</w:t>
      </w:r>
      <w:r w:rsidRPr="00D801F4">
        <w:rPr>
          <w:sz w:val="20"/>
        </w:rPr>
        <w:t xml:space="preserve"> </w:t>
      </w:r>
    </w:p>
  </w:footnote>
  <w:footnote w:id="5">
    <w:p w:rsidR="006358C0" w14:paraId="61FB1925" w14:textId="23BBF3BC">
      <w:pPr>
        <w:pStyle w:val="FootnoteText"/>
      </w:pPr>
      <w:r>
        <w:rPr>
          <w:rStyle w:val="FootnoteReference"/>
        </w:rPr>
        <w:footnoteRef/>
      </w:r>
      <w:r>
        <w:t xml:space="preserve"> Wren House is a United Kingdom investment management entity owned by Kuwait Investment Authority (KIA), a Kuwait entity.  </w:t>
      </w:r>
      <w:r w:rsidR="00F43939">
        <w:t xml:space="preserve">Application at 2-3, </w:t>
      </w:r>
      <w:r w:rsidR="00D03AC3">
        <w:t>Exh. B</w:t>
      </w:r>
      <w:r w:rsidR="0081323C">
        <w:t>-</w:t>
      </w:r>
      <w:r w:rsidR="00D03AC3">
        <w:t>7 (Ownership Narrative).</w:t>
      </w:r>
      <w:r w:rsidRPr="00834318" w:rsidR="00834318">
        <w:rPr>
          <w:i/>
          <w:iCs/>
        </w:rPr>
        <w:t xml:space="preserve"> </w:t>
      </w:r>
      <w:r w:rsidR="00834318">
        <w:rPr>
          <w:i/>
          <w:iCs/>
        </w:rPr>
        <w:t xml:space="preserve"> </w:t>
      </w:r>
      <w:r w:rsidRPr="00111BF7" w:rsidR="00834318">
        <w:rPr>
          <w:i/>
          <w:iCs/>
        </w:rPr>
        <w:t>See</w:t>
      </w:r>
      <w:r w:rsidR="00834318">
        <w:t xml:space="preserve"> </w:t>
      </w:r>
      <w:r w:rsidRPr="004E6E4C" w:rsidR="00834318">
        <w:rPr>
          <w:i/>
          <w:iCs/>
        </w:rPr>
        <w:t>id.</w:t>
      </w:r>
      <w:r w:rsidR="00834318">
        <w:t xml:space="preserve"> at Exh. A for a description of the Applicants’ ownership.  </w:t>
      </w:r>
    </w:p>
  </w:footnote>
  <w:footnote w:id="6">
    <w:p w:rsidR="0081323C" w14:paraId="35D62A9B" w14:textId="0F8B00D2">
      <w:pPr>
        <w:pStyle w:val="FootnoteText"/>
      </w:pPr>
      <w:r>
        <w:rPr>
          <w:rStyle w:val="FootnoteReference"/>
        </w:rPr>
        <w:footnoteRef/>
      </w:r>
      <w:r>
        <w:t xml:space="preserve"> </w:t>
      </w:r>
      <w:r w:rsidRPr="00913A33">
        <w:t xml:space="preserve">Inspire </w:t>
      </w:r>
      <w:r w:rsidRPr="00913A33">
        <w:t>NewCo</w:t>
      </w:r>
      <w:r>
        <w:t>, a Delaware limited liability corporation,</w:t>
      </w:r>
      <w:r w:rsidRPr="00913A33">
        <w:t xml:space="preserve"> </w:t>
      </w:r>
      <w:r>
        <w:t xml:space="preserve">is a holding company that </w:t>
      </w:r>
      <w:r w:rsidRPr="00913A33">
        <w:t>does not provide telecommunications services.</w:t>
      </w:r>
      <w:r>
        <w:t xml:space="preserve">  </w:t>
      </w:r>
      <w:r w:rsidRPr="004D0BA1">
        <w:rPr>
          <w:i/>
          <w:iCs/>
        </w:rPr>
        <w:t>Id.</w:t>
      </w:r>
      <w:r>
        <w:t xml:space="preserve"> at 13, Exh. A-5.</w:t>
      </w:r>
    </w:p>
  </w:footnote>
  <w:footnote w:id="7">
    <w:p w:rsidR="00E646C5" w14:paraId="28C7BC9D" w14:textId="44C42099">
      <w:pPr>
        <w:pStyle w:val="FootnoteText"/>
      </w:pPr>
      <w:r>
        <w:rPr>
          <w:rStyle w:val="FootnoteReference"/>
        </w:rPr>
        <w:footnoteRef/>
      </w:r>
      <w:r>
        <w:t xml:space="preserve"> </w:t>
      </w:r>
      <w:r w:rsidRPr="00F43939" w:rsidR="00F43939">
        <w:rPr>
          <w:i/>
          <w:iCs/>
        </w:rPr>
        <w:t>Id.</w:t>
      </w:r>
      <w:r>
        <w:t xml:space="preserve"> at 1-2, 4-</w:t>
      </w:r>
      <w:r w:rsidR="00BE49EA">
        <w:t>6</w:t>
      </w:r>
      <w:r>
        <w:t>, Exh. A (Pre-and Post-Transaction Ownership Structure Charts).</w:t>
      </w:r>
      <w:r w:rsidR="00AD21B0">
        <w:t xml:space="preserve">  Deutsche Telekom </w:t>
      </w:r>
      <w:r w:rsidR="00C05E68">
        <w:t>A</w:t>
      </w:r>
      <w:r w:rsidR="00AD21B0">
        <w:t>G</w:t>
      </w:r>
      <w:r w:rsidR="00C05E68">
        <w:t>, a German teleco</w:t>
      </w:r>
      <w:r w:rsidR="00BF41C1">
        <w:t>mmunications company,</w:t>
      </w:r>
      <w:r w:rsidR="00AD21B0">
        <w:t xml:space="preserve"> is held by the Federal Republic of Germany</w:t>
      </w:r>
      <w:r w:rsidRPr="00913A33" w:rsidR="00AD21B0">
        <w:t>.</w:t>
      </w:r>
      <w:r w:rsidR="001858FE">
        <w:t xml:space="preserve">  </w:t>
      </w:r>
      <w:r w:rsidRPr="00BF41C1" w:rsidR="003E4580">
        <w:rPr>
          <w:i/>
          <w:iCs/>
        </w:rPr>
        <w:t>Id.</w:t>
      </w:r>
      <w:r w:rsidR="0081323C">
        <w:t xml:space="preserve"> at </w:t>
      </w:r>
      <w:r w:rsidR="00A52B4D">
        <w:t>Exh. B</w:t>
      </w:r>
      <w:r w:rsidR="0081323C">
        <w:t>-</w:t>
      </w:r>
      <w:r w:rsidR="005F3018">
        <w:t xml:space="preserve">8 </w:t>
      </w:r>
      <w:r w:rsidR="00A52B4D">
        <w:t>(Ownership Narrative)</w:t>
      </w:r>
      <w:r w:rsidR="005F3018">
        <w:t>.</w:t>
      </w:r>
    </w:p>
  </w:footnote>
  <w:footnote w:id="8">
    <w:p w:rsidR="00C72A62" w14:paraId="0DB4C6F3" w14:textId="1466D43B">
      <w:pPr>
        <w:pStyle w:val="FootnoteText"/>
      </w:pPr>
      <w:r>
        <w:rPr>
          <w:rStyle w:val="FootnoteReference"/>
        </w:rPr>
        <w:footnoteRef/>
      </w:r>
      <w:r>
        <w:t xml:space="preserve"> </w:t>
      </w:r>
      <w:r w:rsidRPr="00103CB3">
        <w:rPr>
          <w:i/>
          <w:iCs/>
        </w:rPr>
        <w:t>Id.</w:t>
      </w:r>
      <w:r>
        <w:t xml:space="preserve"> at 11-12.  </w:t>
      </w:r>
    </w:p>
  </w:footnote>
  <w:footnote w:id="9">
    <w:p w:rsidR="00A3434C" w14:paraId="69B03DDD" w14:textId="69ABC2F7">
      <w:pPr>
        <w:pStyle w:val="FootnoteText"/>
      </w:pPr>
      <w:r>
        <w:rPr>
          <w:rStyle w:val="FootnoteReference"/>
        </w:rPr>
        <w:footnoteRef/>
      </w:r>
      <w:r>
        <w:t xml:space="preserve"> </w:t>
      </w:r>
      <w:r w:rsidRPr="00A3434C">
        <w:rPr>
          <w:i/>
          <w:iCs/>
        </w:rPr>
        <w:t>Id.</w:t>
      </w:r>
      <w:r>
        <w:t xml:space="preserve"> at 3. </w:t>
      </w:r>
    </w:p>
  </w:footnote>
  <w:footnote w:id="10">
    <w:p w:rsidR="006B21AA" w14:paraId="5A1B0E22" w14:textId="2EDD313B">
      <w:pPr>
        <w:pStyle w:val="FootnoteText"/>
      </w:pPr>
      <w:r>
        <w:rPr>
          <w:rStyle w:val="FootnoteReference"/>
        </w:rPr>
        <w:footnoteRef/>
      </w:r>
      <w:r>
        <w:t xml:space="preserve"> </w:t>
      </w:r>
      <w:r w:rsidRPr="006B21AA">
        <w:rPr>
          <w:i/>
          <w:iCs/>
        </w:rPr>
        <w:t>Id.</w:t>
      </w:r>
      <w:r>
        <w:t xml:space="preserve"> at 4. </w:t>
      </w:r>
      <w:r w:rsidR="00457853">
        <w:t xml:space="preserve"> Applicants state that neith</w:t>
      </w:r>
      <w:r w:rsidR="00AE642C">
        <w:t>er BR Telephone no</w:t>
      </w:r>
      <w:r w:rsidR="0074566D">
        <w:t>r</w:t>
      </w:r>
      <w:r w:rsidR="00AE642C">
        <w:t xml:space="preserve"> BR Broadband currently receive </w:t>
      </w:r>
      <w:r w:rsidR="00E13F2D">
        <w:t>high-cost</w:t>
      </w:r>
      <w:r w:rsidR="00AE642C">
        <w:t xml:space="preserve"> support</w:t>
      </w:r>
      <w:r w:rsidR="00E13F2D">
        <w:t xml:space="preserve"> </w:t>
      </w:r>
      <w:r w:rsidR="0074566D">
        <w:t xml:space="preserve">or participate in the Lifeline program.  </w:t>
      </w:r>
      <w:r w:rsidRPr="00AE642C" w:rsidR="00AE642C">
        <w:rPr>
          <w:i/>
          <w:iCs/>
        </w:rPr>
        <w:t>Id.</w:t>
      </w:r>
      <w:r w:rsidR="00AE642C">
        <w:t xml:space="preserve"> at 18</w:t>
      </w:r>
      <w:r w:rsidR="0074566D">
        <w:t>-19</w:t>
      </w:r>
      <w:r w:rsidR="00AE642C">
        <w:t>.</w:t>
      </w:r>
      <w:r w:rsidR="00CC7232">
        <w:t xml:space="preserve">  Both BR Telephone and BR Broadband participate in the E</w:t>
      </w:r>
      <w:r w:rsidR="001558DC">
        <w:t>-</w:t>
      </w:r>
      <w:r w:rsidR="00CC7232">
        <w:t xml:space="preserve">rate program and the Rural Healthcare </w:t>
      </w:r>
      <w:r w:rsidR="007F05B1">
        <w:t xml:space="preserve">program.  </w:t>
      </w:r>
      <w:r w:rsidRPr="007F05B1" w:rsidR="007F05B1">
        <w:rPr>
          <w:i/>
          <w:iCs/>
        </w:rPr>
        <w:t>Id</w:t>
      </w:r>
      <w:r w:rsidR="007F05B1">
        <w:t>. at 19.</w:t>
      </w:r>
      <w:r w:rsidR="00AE642C">
        <w:t xml:space="preserve">  </w:t>
      </w:r>
      <w:r w:rsidR="007B0764">
        <w:t xml:space="preserve">Applicants provide a description </w:t>
      </w:r>
      <w:r w:rsidR="0091392B">
        <w:t xml:space="preserve">in the Application </w:t>
      </w:r>
      <w:r w:rsidR="007B0764">
        <w:t xml:space="preserve">of </w:t>
      </w:r>
      <w:r w:rsidR="001D587A">
        <w:t xml:space="preserve">WH </w:t>
      </w:r>
      <w:r w:rsidR="001D587A">
        <w:t>BidCo</w:t>
      </w:r>
      <w:r w:rsidR="0091392B">
        <w:t>’s</w:t>
      </w:r>
      <w:r w:rsidR="001D587A">
        <w:t xml:space="preserve"> </w:t>
      </w:r>
      <w:r w:rsidRPr="00913A33" w:rsidR="001D587A">
        <w:t>affiliate</w:t>
      </w:r>
      <w:r w:rsidR="0091392B">
        <w:t>s</w:t>
      </w:r>
      <w:r w:rsidRPr="00913A33" w:rsidR="001D587A">
        <w:t xml:space="preserve"> that are authorized to provide telecommunications services.  </w:t>
      </w:r>
      <w:r w:rsidRPr="00E177F6" w:rsidR="001D587A">
        <w:rPr>
          <w:i/>
          <w:iCs/>
        </w:rPr>
        <w:t>Id</w:t>
      </w:r>
      <w:r w:rsidR="001D587A">
        <w:t xml:space="preserve">.  </w:t>
      </w:r>
    </w:p>
  </w:footnote>
  <w:footnote w:id="11">
    <w:p w:rsidR="00CC0C20" w14:paraId="23DA28A6" w14:textId="56383D8E">
      <w:pPr>
        <w:pStyle w:val="FootnoteText"/>
      </w:pPr>
      <w:r>
        <w:rPr>
          <w:rStyle w:val="FootnoteReference"/>
        </w:rPr>
        <w:footnoteRef/>
      </w:r>
      <w:r>
        <w:t xml:space="preserve"> </w:t>
      </w:r>
      <w:r w:rsidRPr="00CC0C20">
        <w:rPr>
          <w:i/>
          <w:iCs/>
        </w:rPr>
        <w:t>Id.</w:t>
      </w:r>
      <w:r>
        <w:t xml:space="preserve"> at 4. </w:t>
      </w:r>
    </w:p>
  </w:footnote>
  <w:footnote w:id="12">
    <w:p w:rsidR="0037437E" w14:paraId="6BBC7421" w14:textId="55DD5F98">
      <w:pPr>
        <w:pStyle w:val="FootnoteText"/>
      </w:pPr>
      <w:r>
        <w:rPr>
          <w:rStyle w:val="FootnoteReference"/>
        </w:rPr>
        <w:footnoteRef/>
      </w:r>
      <w:r>
        <w:t xml:space="preserve"> </w:t>
      </w:r>
      <w:r w:rsidRPr="00592F85">
        <w:rPr>
          <w:i/>
          <w:iCs/>
        </w:rPr>
        <w:t>Id</w:t>
      </w:r>
      <w:r>
        <w:t>. at 3.</w:t>
      </w:r>
    </w:p>
  </w:footnote>
  <w:footnote w:id="13">
    <w:p w:rsidR="00440AC1" w14:paraId="701E0161" w14:textId="4E3DC0E1">
      <w:pPr>
        <w:pStyle w:val="FootnoteText"/>
      </w:pPr>
      <w:r>
        <w:rPr>
          <w:rStyle w:val="FootnoteReference"/>
        </w:rPr>
        <w:footnoteRef/>
      </w:r>
      <w:r>
        <w:t xml:space="preserve"> </w:t>
      </w:r>
      <w:r w:rsidRPr="00D95A64" w:rsidR="00D95A64">
        <w:rPr>
          <w:i/>
          <w:iCs/>
        </w:rPr>
        <w:t>Id.</w:t>
      </w:r>
      <w:r w:rsidR="00866932">
        <w:t xml:space="preserve"> at </w:t>
      </w:r>
      <w:r w:rsidR="00D95A64">
        <w:t>Exh. B</w:t>
      </w:r>
      <w:r w:rsidR="00866932">
        <w:t>-</w:t>
      </w:r>
      <w:r w:rsidR="00D95A64">
        <w:t>7.</w:t>
      </w:r>
      <w:r w:rsidR="002546CD">
        <w:t xml:space="preserve">  </w:t>
      </w:r>
    </w:p>
  </w:footnote>
  <w:footnote w:id="14">
    <w:p w:rsidR="00BF5D13" w14:paraId="4E50512B" w14:textId="4DD9CDAD">
      <w:pPr>
        <w:pStyle w:val="FootnoteText"/>
      </w:pPr>
      <w:r>
        <w:rPr>
          <w:rStyle w:val="FootnoteReference"/>
        </w:rPr>
        <w:footnoteRef/>
      </w:r>
      <w:r>
        <w:t xml:space="preserve"> </w:t>
      </w:r>
      <w:r w:rsidRPr="00BF5D13">
        <w:rPr>
          <w:i/>
          <w:iCs/>
        </w:rPr>
        <w:t>Id</w:t>
      </w:r>
      <w:r>
        <w:t>. at 5.</w:t>
      </w:r>
    </w:p>
  </w:footnote>
  <w:footnote w:id="15">
    <w:p w:rsidR="00CB28F7" w14:paraId="3958C7C0" w14:textId="57542C0F">
      <w:pPr>
        <w:pStyle w:val="FootnoteText"/>
      </w:pPr>
      <w:r>
        <w:rPr>
          <w:rStyle w:val="FootnoteReference"/>
        </w:rPr>
        <w:footnoteRef/>
      </w:r>
      <w:r>
        <w:t xml:space="preserve"> </w:t>
      </w:r>
      <w:r w:rsidRPr="00D478BE">
        <w:rPr>
          <w:i/>
          <w:iCs/>
        </w:rPr>
        <w:t>Id.</w:t>
      </w:r>
      <w:r>
        <w:t xml:space="preserve"> at 13. </w:t>
      </w:r>
    </w:p>
  </w:footnote>
  <w:footnote w:id="16">
    <w:p w:rsidR="00D478BE" w14:paraId="1B1D92F7" w14:textId="66090411">
      <w:pPr>
        <w:pStyle w:val="FootnoteText"/>
      </w:pPr>
      <w:r>
        <w:rPr>
          <w:rStyle w:val="FootnoteReference"/>
        </w:rPr>
        <w:footnoteRef/>
      </w:r>
      <w:r>
        <w:t xml:space="preserve"> </w:t>
      </w:r>
      <w:r w:rsidR="0027107D">
        <w:t xml:space="preserve">Applicants provide a description of </w:t>
      </w:r>
      <w:r w:rsidR="00185D60">
        <w:t xml:space="preserve">the services provided by </w:t>
      </w:r>
      <w:r w:rsidR="00243E0C">
        <w:t xml:space="preserve">the </w:t>
      </w:r>
      <w:r w:rsidR="0027107D">
        <w:t xml:space="preserve">Lumos </w:t>
      </w:r>
      <w:r w:rsidR="00182F2D">
        <w:t xml:space="preserve">operating entities in the Application.  </w:t>
      </w:r>
      <w:r w:rsidRPr="00FB6E3F" w:rsidR="00FB6E3F">
        <w:rPr>
          <w:i/>
          <w:iCs/>
        </w:rPr>
        <w:t>Id.</w:t>
      </w:r>
      <w:r w:rsidR="00FB6E3F">
        <w:t xml:space="preserve"> at 13-15.</w:t>
      </w:r>
      <w:r w:rsidR="004D3095">
        <w:t xml:space="preserve">  Applicants state that </w:t>
      </w:r>
      <w:r w:rsidR="0077253E">
        <w:t xml:space="preserve">the following </w:t>
      </w:r>
      <w:r w:rsidR="00175A6C">
        <w:t>Lumos affiliates</w:t>
      </w:r>
      <w:r w:rsidR="007D6208">
        <w:t xml:space="preserve"> are </w:t>
      </w:r>
      <w:r w:rsidR="00E200AD">
        <w:t xml:space="preserve">designated as </w:t>
      </w:r>
      <w:r w:rsidR="007D6208">
        <w:t>eligible telecommunications carriers (ETC</w:t>
      </w:r>
      <w:r w:rsidR="00B4306B">
        <w:t>s</w:t>
      </w:r>
      <w:r w:rsidR="007D6208">
        <w:t>)</w:t>
      </w:r>
      <w:r w:rsidR="006852F7">
        <w:t xml:space="preserve"> that receive </w:t>
      </w:r>
      <w:r w:rsidR="00BC5C44">
        <w:t>high-cost</w:t>
      </w:r>
      <w:r w:rsidR="006852F7">
        <w:t xml:space="preserve"> support:</w:t>
      </w:r>
      <w:r w:rsidR="008D186A">
        <w:t xml:space="preserve"> </w:t>
      </w:r>
      <w:r w:rsidR="00D33415">
        <w:t xml:space="preserve"> </w:t>
      </w:r>
      <w:r w:rsidR="004D3095">
        <w:t>Lumos Telephone of Botetourt</w:t>
      </w:r>
      <w:r w:rsidR="00587629">
        <w:t xml:space="preserve"> LLC (Lumos Botetourt)</w:t>
      </w:r>
      <w:r w:rsidR="006852F7">
        <w:t xml:space="preserve">, </w:t>
      </w:r>
      <w:r w:rsidR="00684BC4">
        <w:t>Lumos Telephone LLC</w:t>
      </w:r>
      <w:r w:rsidR="00587629">
        <w:t xml:space="preserve"> (Lumos Telephone)</w:t>
      </w:r>
      <w:r w:rsidR="006852F7">
        <w:t>,</w:t>
      </w:r>
      <w:r w:rsidR="00684BC4">
        <w:t xml:space="preserve"> and North State Telephone, LLC </w:t>
      </w:r>
      <w:r w:rsidR="00E37B4F">
        <w:t>(North State)</w:t>
      </w:r>
      <w:r w:rsidR="00B33F71">
        <w:t xml:space="preserve">, </w:t>
      </w:r>
      <w:r w:rsidR="00E37B4F">
        <w:t xml:space="preserve"> </w:t>
      </w:r>
      <w:r w:rsidRPr="000868DF" w:rsidR="006852F7">
        <w:t xml:space="preserve">each </w:t>
      </w:r>
      <w:r w:rsidRPr="000868DF" w:rsidR="00EC1D2D">
        <w:t xml:space="preserve">receiving </w:t>
      </w:r>
      <w:r w:rsidRPr="000868DF" w:rsidR="00786CD3">
        <w:t>Alternative</w:t>
      </w:r>
      <w:r w:rsidRPr="000868DF" w:rsidR="004D3095">
        <w:t xml:space="preserve"> </w:t>
      </w:r>
      <w:r w:rsidRPr="000868DF" w:rsidR="00162FFE">
        <w:t xml:space="preserve">Connect America Cost </w:t>
      </w:r>
      <w:r w:rsidRPr="000868DF" w:rsidR="00EC0C87">
        <w:t>Model (A-CAM)</w:t>
      </w:r>
      <w:r w:rsidRPr="000868DF" w:rsidR="00117B62">
        <w:t xml:space="preserve"> and Intercarrier Compensation</w:t>
      </w:r>
      <w:r w:rsidRPr="000868DF" w:rsidR="002E7DB2">
        <w:t xml:space="preserve"> Recovery (</w:t>
      </w:r>
      <w:r w:rsidRPr="000868DF" w:rsidR="0072728C">
        <w:t>ICC) support.</w:t>
      </w:r>
      <w:r w:rsidRPr="00512824" w:rsidR="0072728C">
        <w:t xml:space="preserve">  </w:t>
      </w:r>
      <w:r w:rsidRPr="00512824" w:rsidR="0072728C">
        <w:rPr>
          <w:i/>
          <w:iCs/>
        </w:rPr>
        <w:t>Id.</w:t>
      </w:r>
      <w:r w:rsidRPr="00512824" w:rsidR="0072728C">
        <w:t xml:space="preserve"> at 18</w:t>
      </w:r>
      <w:r w:rsidR="0072728C">
        <w:t>.</w:t>
      </w:r>
      <w:r w:rsidR="00C06430">
        <w:t xml:space="preserve">  Applicants </w:t>
      </w:r>
      <w:r w:rsidR="003C17D4">
        <w:t xml:space="preserve">further state that </w:t>
      </w:r>
      <w:r w:rsidR="00E37B4F">
        <w:t xml:space="preserve">Lumos Botetourt, Lumos Telephone, and North State each participate </w:t>
      </w:r>
      <w:r w:rsidR="000A7D6D">
        <w:t xml:space="preserve">in the Lifeline program.  </w:t>
      </w:r>
      <w:r w:rsidRPr="0067685C" w:rsidR="0067685C">
        <w:rPr>
          <w:i/>
          <w:iCs/>
        </w:rPr>
        <w:t>Id</w:t>
      </w:r>
      <w:r w:rsidR="0067685C">
        <w:t>. at 20.</w:t>
      </w:r>
    </w:p>
  </w:footnote>
  <w:footnote w:id="17">
    <w:p w:rsidR="0099010F" w14:paraId="01C17AF0" w14:textId="209055E0">
      <w:pPr>
        <w:pStyle w:val="FootnoteText"/>
      </w:pPr>
      <w:r>
        <w:rPr>
          <w:rStyle w:val="FootnoteReference"/>
        </w:rPr>
        <w:footnoteRef/>
      </w:r>
      <w:r>
        <w:t xml:space="preserve"> </w:t>
      </w:r>
      <w:r w:rsidRPr="0099010F">
        <w:rPr>
          <w:i/>
          <w:iCs/>
        </w:rPr>
        <w:t>Id.</w:t>
      </w:r>
      <w:r>
        <w:t xml:space="preserve"> at 15.</w:t>
      </w:r>
    </w:p>
  </w:footnote>
  <w:footnote w:id="18">
    <w:p w:rsidR="00047A66" w14:paraId="6E9465E8" w14:textId="20428E92">
      <w:pPr>
        <w:pStyle w:val="FootnoteText"/>
      </w:pPr>
      <w:r>
        <w:rPr>
          <w:rStyle w:val="FootnoteReference"/>
        </w:rPr>
        <w:footnoteRef/>
      </w:r>
      <w:r>
        <w:t xml:space="preserve"> </w:t>
      </w:r>
      <w:r w:rsidR="00182F2D">
        <w:t xml:space="preserve">Applicants provide a description of </w:t>
      </w:r>
      <w:r w:rsidR="00185D60">
        <w:t xml:space="preserve">the services provided </w:t>
      </w:r>
      <w:r w:rsidR="000A6410">
        <w:t xml:space="preserve">by </w:t>
      </w:r>
      <w:r w:rsidR="009D4E90">
        <w:t xml:space="preserve">Metronet’s </w:t>
      </w:r>
      <w:r w:rsidR="00182F2D">
        <w:t xml:space="preserve">operating entities in the Application.  </w:t>
      </w:r>
      <w:r w:rsidRPr="00814A67" w:rsidR="00814A67">
        <w:rPr>
          <w:i/>
          <w:iCs/>
        </w:rPr>
        <w:t>Id.</w:t>
      </w:r>
      <w:r w:rsidR="00814A67">
        <w:t xml:space="preserve"> at 15-16.</w:t>
      </w:r>
      <w:r w:rsidR="00BA13E9">
        <w:t xml:space="preserve">  Applicants state that </w:t>
      </w:r>
      <w:r w:rsidR="001C2B55">
        <w:t>Metro</w:t>
      </w:r>
      <w:r w:rsidR="0009173F">
        <w:t xml:space="preserve">net </w:t>
      </w:r>
      <w:r w:rsidR="003677C2">
        <w:t xml:space="preserve">affiliates receive high cost support as follows: </w:t>
      </w:r>
      <w:r w:rsidR="00C9624D">
        <w:t xml:space="preserve">Climax </w:t>
      </w:r>
      <w:r w:rsidR="006E4777">
        <w:t>Telephone</w:t>
      </w:r>
      <w:r w:rsidR="00FD3D58">
        <w:t xml:space="preserve"> LLC is </w:t>
      </w:r>
      <w:r w:rsidR="002B1357">
        <w:t xml:space="preserve">designated as </w:t>
      </w:r>
      <w:r w:rsidR="00FD3D58">
        <w:t xml:space="preserve">an ETC in Michigan and its </w:t>
      </w:r>
      <w:r w:rsidR="001C2B55">
        <w:t>affil</w:t>
      </w:r>
      <w:r w:rsidR="00F50021">
        <w:t xml:space="preserve">iates </w:t>
      </w:r>
      <w:r w:rsidR="00C9624D">
        <w:t>receive High-Cost Loop</w:t>
      </w:r>
      <w:r w:rsidR="001B6FC3">
        <w:t xml:space="preserve"> (HCL)</w:t>
      </w:r>
      <w:r w:rsidR="00C9624D">
        <w:t xml:space="preserve"> support</w:t>
      </w:r>
      <w:r w:rsidR="001B6FC3">
        <w:t xml:space="preserve"> and CAF Broadband Loop </w:t>
      </w:r>
      <w:r w:rsidR="002D5C66">
        <w:t>Support (CAF-BLS) and CAF-ICC support</w:t>
      </w:r>
      <w:r w:rsidR="001C2B55">
        <w:t xml:space="preserve"> as an </w:t>
      </w:r>
      <w:r w:rsidRPr="000868DF" w:rsidR="001C2B55">
        <w:t>average schedule company</w:t>
      </w:r>
      <w:r w:rsidR="001C2B55">
        <w:t xml:space="preserve">; </w:t>
      </w:r>
      <w:r w:rsidR="00F50021">
        <w:t xml:space="preserve">Jaguar Communication, LLC </w:t>
      </w:r>
      <w:r w:rsidR="000F1679">
        <w:t xml:space="preserve">is </w:t>
      </w:r>
      <w:r w:rsidR="003E73BE">
        <w:t xml:space="preserve">designated as </w:t>
      </w:r>
      <w:r w:rsidR="000F1679">
        <w:t xml:space="preserve">an ETC in Minnesota and </w:t>
      </w:r>
      <w:r w:rsidR="00F50021">
        <w:t xml:space="preserve">receives CAF Phase II Auction support; </w:t>
      </w:r>
      <w:r w:rsidR="00F50021">
        <w:t>Vexus</w:t>
      </w:r>
      <w:r w:rsidR="00F50021">
        <w:t xml:space="preserve"> Fiber, LLC </w:t>
      </w:r>
      <w:r w:rsidR="0090036D">
        <w:t>(</w:t>
      </w:r>
      <w:r w:rsidR="0090036D">
        <w:t>Vexus</w:t>
      </w:r>
      <w:r w:rsidR="0090036D">
        <w:t xml:space="preserve"> Fiber) </w:t>
      </w:r>
      <w:r w:rsidR="000F1679">
        <w:t xml:space="preserve">is </w:t>
      </w:r>
      <w:r w:rsidR="003E73BE">
        <w:t xml:space="preserve">designated as </w:t>
      </w:r>
      <w:r w:rsidR="000F1679">
        <w:t>an ETC in Louisiana</w:t>
      </w:r>
      <w:r w:rsidR="00FE3BF0">
        <w:t xml:space="preserve"> and Texas and </w:t>
      </w:r>
      <w:r w:rsidR="008B7839">
        <w:t xml:space="preserve">is authorized to receive Rural Digital Opportunity Fund (RDOF) support in Texas.  </w:t>
      </w:r>
      <w:r w:rsidRPr="008B7839" w:rsidR="008B7839">
        <w:rPr>
          <w:i/>
          <w:iCs/>
        </w:rPr>
        <w:t>Id.</w:t>
      </w:r>
      <w:r w:rsidR="008B7839">
        <w:t xml:space="preserve"> at 18</w:t>
      </w:r>
      <w:r w:rsidR="00E92819">
        <w:t>-19</w:t>
      </w:r>
      <w:r w:rsidR="008B7839">
        <w:t xml:space="preserve">. </w:t>
      </w:r>
      <w:r w:rsidR="006B1FA1">
        <w:t xml:space="preserve"> </w:t>
      </w:r>
      <w:r w:rsidRPr="000868DF" w:rsidR="006B1FA1">
        <w:t xml:space="preserve">Applicants </w:t>
      </w:r>
      <w:r w:rsidRPr="000868DF" w:rsidR="002A659E">
        <w:t xml:space="preserve">further </w:t>
      </w:r>
      <w:r w:rsidRPr="000868DF" w:rsidR="006B1FA1">
        <w:t xml:space="preserve">state that CMN-RUS, LLC is </w:t>
      </w:r>
      <w:r w:rsidRPr="000868DF" w:rsidR="00897FE4">
        <w:t xml:space="preserve">designated as </w:t>
      </w:r>
      <w:r w:rsidRPr="000868DF" w:rsidR="006B1FA1">
        <w:t>an ETC in Indiana</w:t>
      </w:r>
      <w:r w:rsidRPr="000868DF" w:rsidR="00E92819">
        <w:t xml:space="preserve">.  </w:t>
      </w:r>
      <w:r w:rsidRPr="000868DF" w:rsidR="00E92819">
        <w:rPr>
          <w:i/>
          <w:iCs/>
        </w:rPr>
        <w:t>Id</w:t>
      </w:r>
      <w:r w:rsidRPr="000868DF" w:rsidR="00E92819">
        <w:t>. at 19.</w:t>
      </w:r>
      <w:r w:rsidR="002A659E">
        <w:t xml:space="preserve">  </w:t>
      </w:r>
      <w:r w:rsidR="00C06034">
        <w:t xml:space="preserve">Applicants </w:t>
      </w:r>
      <w:r w:rsidR="00F9180E">
        <w:t xml:space="preserve">maintain </w:t>
      </w:r>
      <w:r w:rsidR="00C06034">
        <w:t xml:space="preserve">that </w:t>
      </w:r>
      <w:r w:rsidR="00C06034">
        <w:t>Vexus</w:t>
      </w:r>
      <w:r w:rsidR="00C06034">
        <w:t xml:space="preserve"> Fiber</w:t>
      </w:r>
      <w:r w:rsidR="00552755">
        <w:t xml:space="preserve"> </w:t>
      </w:r>
      <w:r w:rsidR="00004492">
        <w:t xml:space="preserve">and other T-Mobile affiliates, Assurance Wireless USA, </w:t>
      </w:r>
      <w:r w:rsidR="00552755">
        <w:t>L.P., and T-Mobile Puerto Rico LLC</w:t>
      </w:r>
      <w:r w:rsidR="00243E0C">
        <w:t>,</w:t>
      </w:r>
      <w:r w:rsidR="00552755">
        <w:t xml:space="preserve"> </w:t>
      </w:r>
      <w:r w:rsidR="00C06430">
        <w:t>particip</w:t>
      </w:r>
      <w:r w:rsidR="000A7D6D">
        <w:t xml:space="preserve">ate in the Lifeline program.  </w:t>
      </w:r>
      <w:r w:rsidRPr="0067685C" w:rsidR="0067685C">
        <w:rPr>
          <w:i/>
          <w:iCs/>
        </w:rPr>
        <w:t>Id</w:t>
      </w:r>
      <w:r w:rsidR="0067685C">
        <w:t>. at 20.</w:t>
      </w:r>
    </w:p>
  </w:footnote>
  <w:footnote w:id="19">
    <w:p w:rsidR="009A6751" w14:paraId="190E0A6A" w14:textId="14425674">
      <w:pPr>
        <w:pStyle w:val="FootnoteText"/>
      </w:pPr>
      <w:r>
        <w:rPr>
          <w:rStyle w:val="FootnoteReference"/>
        </w:rPr>
        <w:footnoteRef/>
      </w:r>
      <w:r>
        <w:t xml:space="preserve"> </w:t>
      </w:r>
      <w:r w:rsidRPr="009A6751">
        <w:rPr>
          <w:i/>
          <w:iCs/>
        </w:rPr>
        <w:t>Id</w:t>
      </w:r>
      <w:r>
        <w:t xml:space="preserve">. at 5. </w:t>
      </w:r>
    </w:p>
  </w:footnote>
  <w:footnote w:id="20">
    <w:p w:rsidR="00A03C90" w14:paraId="592F6028" w14:textId="28B9965A">
      <w:pPr>
        <w:pStyle w:val="FootnoteText"/>
      </w:pPr>
      <w:r>
        <w:rPr>
          <w:rStyle w:val="FootnoteReference"/>
        </w:rPr>
        <w:footnoteRef/>
      </w:r>
      <w:r>
        <w:t xml:space="preserve"> </w:t>
      </w:r>
      <w:r w:rsidRPr="0009796D">
        <w:rPr>
          <w:i/>
          <w:iCs/>
        </w:rPr>
        <w:t>I</w:t>
      </w:r>
      <w:r w:rsidRPr="0009796D" w:rsidR="0009796D">
        <w:rPr>
          <w:i/>
          <w:iCs/>
        </w:rPr>
        <w:t>d</w:t>
      </w:r>
      <w:r w:rsidR="0009796D">
        <w:t>.</w:t>
      </w:r>
    </w:p>
  </w:footnote>
  <w:footnote w:id="21">
    <w:p w:rsidR="00DD0EF7" w14:paraId="4883BB62" w14:textId="2A3A4A57">
      <w:pPr>
        <w:pStyle w:val="FootnoteText"/>
      </w:pPr>
      <w:r>
        <w:rPr>
          <w:rStyle w:val="FootnoteReference"/>
        </w:rPr>
        <w:footnoteRef/>
      </w:r>
      <w:r>
        <w:t xml:space="preserve"> </w:t>
      </w:r>
      <w:r w:rsidRPr="00DD0EF7">
        <w:rPr>
          <w:i/>
          <w:iCs/>
        </w:rPr>
        <w:t>Id</w:t>
      </w:r>
      <w:r>
        <w:t xml:space="preserve">. at </w:t>
      </w:r>
      <w:r w:rsidR="00247528">
        <w:t xml:space="preserve">1-2, </w:t>
      </w:r>
      <w:r>
        <w:t>5-6</w:t>
      </w:r>
      <w:r w:rsidR="00D600F2">
        <w:t xml:space="preserve">, </w:t>
      </w:r>
      <w:r w:rsidR="00486465">
        <w:t>Exh. A</w:t>
      </w:r>
      <w:r w:rsidR="00D600F2">
        <w:t xml:space="preserve">, </w:t>
      </w:r>
      <w:r w:rsidR="008B0B28">
        <w:t>Exh. B</w:t>
      </w:r>
      <w:r>
        <w:t xml:space="preserve">. </w:t>
      </w:r>
      <w:r w:rsidR="008B16CE">
        <w:t xml:space="preserve"> T</w:t>
      </w:r>
      <w:r w:rsidRPr="00913A33" w:rsidR="008B16CE">
        <w:t xml:space="preserve">he board of directors of Inspire </w:t>
      </w:r>
      <w:r w:rsidRPr="00913A33" w:rsidR="008B16CE">
        <w:t>NewCo</w:t>
      </w:r>
      <w:r w:rsidRPr="00913A33" w:rsidR="008B16CE">
        <w:t xml:space="preserve"> will consist of two directors appointed by Inspire </w:t>
      </w:r>
      <w:r w:rsidRPr="00913A33" w:rsidR="008B16CE">
        <w:t>HoldCo</w:t>
      </w:r>
      <w:r w:rsidRPr="00913A33" w:rsidR="008B16CE">
        <w:t>, two directors appointed by TMUS Holdco, and one independent director.</w:t>
      </w:r>
      <w:r w:rsidR="008B16CE">
        <w:t xml:space="preserve">  </w:t>
      </w:r>
      <w:r w:rsidRPr="00913A33" w:rsidR="008B16CE">
        <w:t xml:space="preserve">The independent director will be designated by Inspire </w:t>
      </w:r>
      <w:r w:rsidRPr="00913A33" w:rsidR="008B16CE">
        <w:t>HoldCo</w:t>
      </w:r>
      <w:r w:rsidRPr="00913A33" w:rsidR="008B16CE">
        <w:t xml:space="preserve">, subject to TMUS </w:t>
      </w:r>
      <w:r w:rsidRPr="00913A33" w:rsidR="008B16CE">
        <w:t>HoldCo’s</w:t>
      </w:r>
      <w:r w:rsidRPr="00913A33" w:rsidR="008B16CE">
        <w:t xml:space="preserve"> right to object to such designation (in good faith) on the basis that the designee is not independent or does not have the relevant financial and business experience to serve as a director.  </w:t>
      </w:r>
      <w:r w:rsidRPr="00124756" w:rsidR="008B16CE">
        <w:rPr>
          <w:i/>
          <w:iCs/>
        </w:rPr>
        <w:t>Id.</w:t>
      </w:r>
      <w:r w:rsidR="008B16CE">
        <w:t xml:space="preserve"> at 5.</w:t>
      </w:r>
    </w:p>
  </w:footnote>
  <w:footnote w:id="22">
    <w:p w:rsidR="00860312" w14:paraId="144A6493" w14:textId="275B25E0">
      <w:pPr>
        <w:pStyle w:val="FootnoteText"/>
      </w:pPr>
      <w:r>
        <w:rPr>
          <w:rStyle w:val="FootnoteReference"/>
        </w:rPr>
        <w:footnoteRef/>
      </w:r>
      <w:r>
        <w:t xml:space="preserve"> Supplement at 1.  </w:t>
      </w:r>
    </w:p>
  </w:footnote>
  <w:footnote w:id="23">
    <w:p w:rsidR="003D2B93" w14:paraId="02E3E5BF" w14:textId="0F23B846">
      <w:pPr>
        <w:pStyle w:val="FootnoteText"/>
      </w:pPr>
      <w:r>
        <w:rPr>
          <w:rStyle w:val="FootnoteReference"/>
        </w:rPr>
        <w:footnoteRef/>
      </w:r>
      <w:r>
        <w:t xml:space="preserve"> Application at 8, n.10.</w:t>
      </w:r>
    </w:p>
  </w:footnote>
  <w:footnote w:id="24">
    <w:p w:rsidR="002B38A4" w:rsidRPr="0029337E" w:rsidP="002B38A4" w14:paraId="3829D034" w14:textId="77777777">
      <w:pPr>
        <w:spacing w:after="120"/>
        <w:textAlignment w:val="baseline"/>
        <w:rPr>
          <w:sz w:val="20"/>
        </w:rPr>
      </w:pPr>
      <w:r w:rsidRPr="005240CD">
        <w:rPr>
          <w:rStyle w:val="FootnoteReference"/>
          <w:sz w:val="20"/>
        </w:rPr>
        <w:footnoteRef/>
      </w:r>
      <w:r w:rsidRPr="005240CD">
        <w:rPr>
          <w:sz w:val="20"/>
        </w:rPr>
        <w:t xml:space="preserve"> </w:t>
      </w:r>
      <w:r w:rsidRPr="005240CD">
        <w:rPr>
          <w:color w:val="020100"/>
          <w:sz w:val="20"/>
        </w:rPr>
        <w:t xml:space="preserve">47 CFR </w:t>
      </w:r>
      <w:bookmarkStart w:id="6" w:name="_Hlk147400828"/>
      <w:r w:rsidRPr="005240CD">
        <w:rPr>
          <w:color w:val="020100"/>
          <w:sz w:val="20"/>
        </w:rPr>
        <w:t>§</w:t>
      </w:r>
      <w:bookmarkEnd w:id="6"/>
      <w:r w:rsidRPr="005240CD">
        <w:rPr>
          <w:color w:val="020100"/>
          <w:sz w:val="20"/>
        </w:rPr>
        <w:t xml:space="preserve"> 63.03(c)(1)(v).</w:t>
      </w:r>
    </w:p>
  </w:footnote>
  <w:footnote w:id="25">
    <w:p w:rsidR="00437121" w:rsidRPr="000F0FE8" w:rsidP="00437121" w14:paraId="1F8BAABA" w14:textId="77777777">
      <w:pPr>
        <w:spacing w:after="120"/>
        <w:rPr>
          <w:sz w:val="20"/>
        </w:rPr>
      </w:pPr>
      <w:r w:rsidRPr="000F0FE8">
        <w:rPr>
          <w:rStyle w:val="FootnoteReference"/>
          <w:sz w:val="20"/>
        </w:rPr>
        <w:footnoteRef/>
      </w:r>
      <w:r w:rsidRPr="000F0FE8">
        <w:rPr>
          <w:sz w:val="20"/>
        </w:rPr>
        <w:t xml:space="preserve"> </w:t>
      </w:r>
      <w:r w:rsidRPr="000F0FE8">
        <w:rPr>
          <w:i/>
          <w:iCs/>
          <w:color w:val="020100"/>
          <w:sz w:val="20"/>
        </w:rPr>
        <w:t>Process Reform for Executive Branch Review of Certain FCC Applications and Petitions Involving Foreign Ownership</w:t>
      </w:r>
      <w:r w:rsidRPr="000F0FE8">
        <w:rPr>
          <w:color w:val="020100"/>
          <w:sz w:val="20"/>
        </w:rPr>
        <w:t>, IB Docket No. 16-155, Report and Order, 35 FCC Rcd 10927, 10936, para. 25 (2020) (</w:t>
      </w:r>
      <w:r w:rsidRPr="000F0FE8">
        <w:rPr>
          <w:i/>
          <w:iCs/>
          <w:color w:val="020100"/>
          <w:sz w:val="20"/>
        </w:rPr>
        <w:t>Executive Branch Review Process Order</w:t>
      </w:r>
      <w:r w:rsidRPr="000F0FE8">
        <w:rPr>
          <w:color w:val="020100"/>
          <w:sz w:val="20"/>
        </w:rPr>
        <w:t>).</w:t>
      </w:r>
    </w:p>
  </w:footnote>
  <w:footnote w:id="26">
    <w:p w:rsidR="00437121" w:rsidRPr="000F0FE8" w:rsidP="00437121" w14:paraId="4C21641B" w14:textId="77777777">
      <w:pPr>
        <w:spacing w:after="120"/>
        <w:rPr>
          <w:sz w:val="20"/>
        </w:rPr>
      </w:pPr>
      <w:r w:rsidRPr="000F0FE8">
        <w:rPr>
          <w:rStyle w:val="FootnoteReference"/>
          <w:sz w:val="20"/>
        </w:rPr>
        <w:footnoteRef/>
      </w:r>
      <w:r w:rsidRPr="000F0FE8">
        <w:rPr>
          <w:sz w:val="20"/>
        </w:rPr>
        <w:t xml:space="preserve"> </w:t>
      </w:r>
      <w:r w:rsidRPr="000F0FE8">
        <w:rPr>
          <w:i/>
          <w:iCs/>
          <w:sz w:val="20"/>
        </w:rPr>
        <w:t>Id</w:t>
      </w:r>
      <w:r w:rsidRPr="000F0FE8">
        <w:rPr>
          <w:sz w:val="20"/>
        </w:rPr>
        <w:t>.</w:t>
      </w:r>
    </w:p>
  </w:footnote>
  <w:footnote w:id="27">
    <w:p w:rsidR="00437121" w:rsidRPr="000F0FE8" w:rsidP="00437121" w14:paraId="380A450A" w14:textId="02443F42">
      <w:pPr>
        <w:pStyle w:val="FootnoteText"/>
      </w:pPr>
      <w:r w:rsidRPr="002912E8">
        <w:rPr>
          <w:rStyle w:val="FootnoteReference"/>
          <w:sz w:val="20"/>
        </w:rPr>
        <w:footnoteRef/>
      </w:r>
      <w:r w:rsidRPr="002912E8">
        <w:t xml:space="preserve"> Application at </w:t>
      </w:r>
      <w:r w:rsidRPr="002912E8" w:rsidR="003E311F">
        <w:t>20</w:t>
      </w:r>
      <w:r w:rsidRPr="002912E8">
        <w:t>.</w:t>
      </w:r>
    </w:p>
  </w:footnote>
  <w:footnote w:id="28">
    <w:p w:rsidR="00437121" w:rsidRPr="000F0FE8" w:rsidP="00437121" w14:paraId="7D075351" w14:textId="3341E384">
      <w:pPr>
        <w:spacing w:after="120"/>
        <w:rPr>
          <w:sz w:val="20"/>
        </w:rPr>
      </w:pPr>
      <w:r w:rsidRPr="002912E8">
        <w:rPr>
          <w:rStyle w:val="FootnoteReference"/>
          <w:sz w:val="20"/>
        </w:rPr>
        <w:footnoteRef/>
      </w:r>
      <w:r w:rsidRPr="002912E8">
        <w:rPr>
          <w:sz w:val="20"/>
        </w:rPr>
        <w:t xml:space="preserve"> </w:t>
      </w:r>
      <w:r w:rsidRPr="002912E8">
        <w:rPr>
          <w:i/>
          <w:iCs/>
          <w:sz w:val="20"/>
        </w:rPr>
        <w:t>Id</w:t>
      </w:r>
      <w:r w:rsidRPr="002912E8">
        <w:rPr>
          <w:sz w:val="20"/>
        </w:rPr>
        <w:t>.</w:t>
      </w:r>
      <w:r w:rsidR="00001225">
        <w:rPr>
          <w:sz w:val="20"/>
        </w:rPr>
        <w:t xml:space="preserve"> at 20-21.</w:t>
      </w:r>
    </w:p>
  </w:footnote>
  <w:footnote w:id="29">
    <w:p w:rsidR="00437121" w:rsidRPr="000F0FE8" w:rsidP="00437121" w14:paraId="1D143D98" w14:textId="77777777">
      <w:pPr>
        <w:spacing w:after="120"/>
        <w:rPr>
          <w:sz w:val="20"/>
        </w:rPr>
      </w:pPr>
      <w:r w:rsidRPr="000F0FE8">
        <w:rPr>
          <w:rStyle w:val="FootnoteReference"/>
          <w:sz w:val="20"/>
        </w:rPr>
        <w:footnoteRef/>
      </w:r>
      <w:r w:rsidRPr="000F0FE8">
        <w:rPr>
          <w:sz w:val="20"/>
        </w:rPr>
        <w:t xml:space="preserve"> </w:t>
      </w:r>
      <w:r w:rsidRPr="000F0FE8">
        <w:rPr>
          <w:i/>
          <w:iCs/>
          <w:sz w:val="20"/>
        </w:rPr>
        <w:t>See</w:t>
      </w:r>
      <w:r w:rsidRPr="000F0FE8">
        <w:rPr>
          <w:sz w:val="20"/>
        </w:rPr>
        <w:t xml:space="preserve"> </w:t>
      </w:r>
      <w:r w:rsidRPr="000F0FE8">
        <w:rPr>
          <w:i/>
          <w:iCs/>
          <w:sz w:val="20"/>
        </w:rPr>
        <w:t>Executive Branch Review Process Order</w:t>
      </w:r>
      <w:r w:rsidRPr="000F0FE8">
        <w:rPr>
          <w:sz w:val="20"/>
        </w:rPr>
        <w:t xml:space="preserve">, 35 FCC Rcd at 10941, para. 36 n.99; </w:t>
      </w:r>
      <w:r w:rsidRPr="000F0FE8">
        <w:rPr>
          <w:i/>
          <w:iCs/>
          <w:sz w:val="20"/>
        </w:rPr>
        <w:t>see also id</w:t>
      </w:r>
      <w:r w:rsidRPr="000F0FE8">
        <w:rPr>
          <w:sz w:val="20"/>
        </w:rPr>
        <w:t>. at 10939, para 30 n.81.</w:t>
      </w:r>
    </w:p>
  </w:footnote>
  <w:footnote w:id="30">
    <w:p w:rsidR="001312CE" w:rsidRPr="005D6116" w:rsidP="001312CE" w14:paraId="676DDEEB" w14:textId="77777777">
      <w:pPr>
        <w:pStyle w:val="FootnoteText"/>
      </w:pPr>
      <w:r w:rsidRPr="0029337E">
        <w:rPr>
          <w:rStyle w:val="FootnoteReference"/>
          <w:sz w:val="20"/>
        </w:rPr>
        <w:footnoteRef/>
      </w:r>
      <w:r w:rsidRPr="0029337E">
        <w:t xml:space="preserve"> </w:t>
      </w:r>
      <w:r w:rsidRPr="0029337E">
        <w:rPr>
          <w:i/>
        </w:rPr>
        <w:t>See</w:t>
      </w:r>
      <w:r w:rsidRPr="0029337E">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1A1604A" w14:textId="03399A42">
    <w:pPr>
      <w:tabs>
        <w:tab w:val="center" w:pos="4680"/>
        <w:tab w:val="right" w:pos="9360"/>
      </w:tabs>
    </w:pPr>
    <w:r>
      <w:rPr>
        <w:b/>
      </w:rPr>
      <w:tab/>
      <w:t>Federal Communications Commission</w:t>
    </w:r>
    <w:r>
      <w:rPr>
        <w:b/>
      </w:rPr>
      <w:tab/>
    </w:r>
    <w:r w:rsidR="009A28F4">
      <w:rPr>
        <w:b/>
      </w:rPr>
      <w:t>DA 26-</w:t>
    </w:r>
    <w:r w:rsidR="001673E5">
      <w:rPr>
        <w:b/>
      </w:rPr>
      <w:t>760</w:t>
    </w:r>
  </w:p>
  <w:p w:rsidR="00BA3BA8" w14:paraId="46F7ABC8" w14:textId="67EE2F4A">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2685FAA3"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3B0F4DAF" w14:textId="0DCF8520">
    <w:pPr>
      <w:pStyle w:val="Header"/>
    </w:pPr>
    <w:r>
      <w:rPr>
        <w:noProof/>
      </w:rPr>
      <w:drawing>
        <wp:inline distT="0" distB="0" distL="0" distR="0">
          <wp:extent cx="5953125" cy="1419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192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48721346">
    <w:abstractNumId w:val="2"/>
  </w:num>
  <w:num w:numId="2" w16cid:durableId="1284458026">
    <w:abstractNumId w:val="6"/>
  </w:num>
  <w:num w:numId="3" w16cid:durableId="177546045">
    <w:abstractNumId w:val="4"/>
  </w:num>
  <w:num w:numId="4" w16cid:durableId="123082090">
    <w:abstractNumId w:val="5"/>
  </w:num>
  <w:num w:numId="5" w16cid:durableId="949629995">
    <w:abstractNumId w:val="3"/>
  </w:num>
  <w:num w:numId="6" w16cid:durableId="61221207">
    <w:abstractNumId w:val="0"/>
  </w:num>
  <w:num w:numId="7" w16cid:durableId="2096245613">
    <w:abstractNumId w:val="7"/>
  </w:num>
  <w:num w:numId="8" w16cid:durableId="823476080">
    <w:abstractNumId w:val="1"/>
  </w:num>
  <w:num w:numId="9" w16cid:durableId="18316030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11E"/>
    <w:rsid w:val="00001225"/>
    <w:rsid w:val="00004492"/>
    <w:rsid w:val="00027DC7"/>
    <w:rsid w:val="00046C22"/>
    <w:rsid w:val="00047A66"/>
    <w:rsid w:val="00057441"/>
    <w:rsid w:val="0006743C"/>
    <w:rsid w:val="000767E4"/>
    <w:rsid w:val="000868DF"/>
    <w:rsid w:val="0009173F"/>
    <w:rsid w:val="00095B4A"/>
    <w:rsid w:val="00096DF5"/>
    <w:rsid w:val="0009796D"/>
    <w:rsid w:val="000A0F33"/>
    <w:rsid w:val="000A4347"/>
    <w:rsid w:val="000A6410"/>
    <w:rsid w:val="000A7564"/>
    <w:rsid w:val="000A7D6D"/>
    <w:rsid w:val="000B0BE0"/>
    <w:rsid w:val="000B60C9"/>
    <w:rsid w:val="000C2B01"/>
    <w:rsid w:val="000D4216"/>
    <w:rsid w:val="000E2010"/>
    <w:rsid w:val="000E3C4A"/>
    <w:rsid w:val="000E5F3A"/>
    <w:rsid w:val="000F0FE8"/>
    <w:rsid w:val="000F1679"/>
    <w:rsid w:val="00102B61"/>
    <w:rsid w:val="00103972"/>
    <w:rsid w:val="00103CB3"/>
    <w:rsid w:val="00104741"/>
    <w:rsid w:val="00106B8F"/>
    <w:rsid w:val="00111BF7"/>
    <w:rsid w:val="00117B62"/>
    <w:rsid w:val="00124756"/>
    <w:rsid w:val="001312CE"/>
    <w:rsid w:val="00140693"/>
    <w:rsid w:val="001558DC"/>
    <w:rsid w:val="00160D06"/>
    <w:rsid w:val="00162FFE"/>
    <w:rsid w:val="001673E5"/>
    <w:rsid w:val="00173745"/>
    <w:rsid w:val="00175517"/>
    <w:rsid w:val="00175A6C"/>
    <w:rsid w:val="00182F2D"/>
    <w:rsid w:val="001858FE"/>
    <w:rsid w:val="00185D60"/>
    <w:rsid w:val="001A2EF4"/>
    <w:rsid w:val="001B6FC3"/>
    <w:rsid w:val="001C0C52"/>
    <w:rsid w:val="001C1A6B"/>
    <w:rsid w:val="001C2B55"/>
    <w:rsid w:val="001C3101"/>
    <w:rsid w:val="001C65EC"/>
    <w:rsid w:val="001D587A"/>
    <w:rsid w:val="001E6DC4"/>
    <w:rsid w:val="001F012D"/>
    <w:rsid w:val="001F2012"/>
    <w:rsid w:val="00203522"/>
    <w:rsid w:val="002040E3"/>
    <w:rsid w:val="00211030"/>
    <w:rsid w:val="00243E0C"/>
    <w:rsid w:val="00244109"/>
    <w:rsid w:val="00247528"/>
    <w:rsid w:val="00250F87"/>
    <w:rsid w:val="002518E0"/>
    <w:rsid w:val="002546CD"/>
    <w:rsid w:val="00261D17"/>
    <w:rsid w:val="00264104"/>
    <w:rsid w:val="0027107D"/>
    <w:rsid w:val="00284886"/>
    <w:rsid w:val="0028600E"/>
    <w:rsid w:val="002867E3"/>
    <w:rsid w:val="002912E8"/>
    <w:rsid w:val="0029233A"/>
    <w:rsid w:val="0029337E"/>
    <w:rsid w:val="00294C14"/>
    <w:rsid w:val="002A1A22"/>
    <w:rsid w:val="002A543A"/>
    <w:rsid w:val="002A659E"/>
    <w:rsid w:val="002B09AB"/>
    <w:rsid w:val="002B1357"/>
    <w:rsid w:val="002B38A4"/>
    <w:rsid w:val="002C37AD"/>
    <w:rsid w:val="002D0956"/>
    <w:rsid w:val="002D5C66"/>
    <w:rsid w:val="002E7DB2"/>
    <w:rsid w:val="002F5F91"/>
    <w:rsid w:val="00302A72"/>
    <w:rsid w:val="003261A6"/>
    <w:rsid w:val="003468FA"/>
    <w:rsid w:val="00357F86"/>
    <w:rsid w:val="003677C2"/>
    <w:rsid w:val="0037437E"/>
    <w:rsid w:val="003B59DF"/>
    <w:rsid w:val="003B5B32"/>
    <w:rsid w:val="003C17D4"/>
    <w:rsid w:val="003D2B93"/>
    <w:rsid w:val="003D409C"/>
    <w:rsid w:val="003E1515"/>
    <w:rsid w:val="003E311F"/>
    <w:rsid w:val="003E4580"/>
    <w:rsid w:val="003E5379"/>
    <w:rsid w:val="003E73BE"/>
    <w:rsid w:val="004003A8"/>
    <w:rsid w:val="00402AD8"/>
    <w:rsid w:val="00405C1D"/>
    <w:rsid w:val="00420DEB"/>
    <w:rsid w:val="00430183"/>
    <w:rsid w:val="00433677"/>
    <w:rsid w:val="00435234"/>
    <w:rsid w:val="00437121"/>
    <w:rsid w:val="00440AC1"/>
    <w:rsid w:val="00457853"/>
    <w:rsid w:val="00464761"/>
    <w:rsid w:val="00466A2D"/>
    <w:rsid w:val="00471741"/>
    <w:rsid w:val="00475256"/>
    <w:rsid w:val="00480FE2"/>
    <w:rsid w:val="00484F2A"/>
    <w:rsid w:val="00486465"/>
    <w:rsid w:val="004945A3"/>
    <w:rsid w:val="004A62B7"/>
    <w:rsid w:val="004B6951"/>
    <w:rsid w:val="004D0BA1"/>
    <w:rsid w:val="004D3095"/>
    <w:rsid w:val="004D48F2"/>
    <w:rsid w:val="004D5E40"/>
    <w:rsid w:val="004E6E4C"/>
    <w:rsid w:val="004F2410"/>
    <w:rsid w:val="004F41E9"/>
    <w:rsid w:val="005006A2"/>
    <w:rsid w:val="00512824"/>
    <w:rsid w:val="005235F1"/>
    <w:rsid w:val="005240CD"/>
    <w:rsid w:val="00524D9A"/>
    <w:rsid w:val="00533966"/>
    <w:rsid w:val="00552755"/>
    <w:rsid w:val="005537E4"/>
    <w:rsid w:val="005567F8"/>
    <w:rsid w:val="00557502"/>
    <w:rsid w:val="00561C32"/>
    <w:rsid w:val="005633B5"/>
    <w:rsid w:val="005650E9"/>
    <w:rsid w:val="00567CC9"/>
    <w:rsid w:val="00575147"/>
    <w:rsid w:val="00580C3C"/>
    <w:rsid w:val="00587629"/>
    <w:rsid w:val="00592F85"/>
    <w:rsid w:val="0059363B"/>
    <w:rsid w:val="005A0D13"/>
    <w:rsid w:val="005A172B"/>
    <w:rsid w:val="005A4DE3"/>
    <w:rsid w:val="005D6116"/>
    <w:rsid w:val="005E39FE"/>
    <w:rsid w:val="005F3018"/>
    <w:rsid w:val="005F38F3"/>
    <w:rsid w:val="005F4F5D"/>
    <w:rsid w:val="00603BBC"/>
    <w:rsid w:val="0062440D"/>
    <w:rsid w:val="00626A7C"/>
    <w:rsid w:val="00631A16"/>
    <w:rsid w:val="006358C0"/>
    <w:rsid w:val="00637953"/>
    <w:rsid w:val="00642D04"/>
    <w:rsid w:val="0064347C"/>
    <w:rsid w:val="00643EAF"/>
    <w:rsid w:val="006465F1"/>
    <w:rsid w:val="00656C1A"/>
    <w:rsid w:val="00662341"/>
    <w:rsid w:val="006707B2"/>
    <w:rsid w:val="00670C5F"/>
    <w:rsid w:val="0067685C"/>
    <w:rsid w:val="00684BC4"/>
    <w:rsid w:val="00684C88"/>
    <w:rsid w:val="006852F7"/>
    <w:rsid w:val="00693E03"/>
    <w:rsid w:val="006B1FA1"/>
    <w:rsid w:val="006B21AA"/>
    <w:rsid w:val="006B64F3"/>
    <w:rsid w:val="006B71B9"/>
    <w:rsid w:val="006C0E21"/>
    <w:rsid w:val="006C2E4C"/>
    <w:rsid w:val="006C74D5"/>
    <w:rsid w:val="006D50B8"/>
    <w:rsid w:val="006E4777"/>
    <w:rsid w:val="006F4BDC"/>
    <w:rsid w:val="00705410"/>
    <w:rsid w:val="00707933"/>
    <w:rsid w:val="0072036F"/>
    <w:rsid w:val="00724B71"/>
    <w:rsid w:val="0072728C"/>
    <w:rsid w:val="007415D0"/>
    <w:rsid w:val="0074566D"/>
    <w:rsid w:val="007665A4"/>
    <w:rsid w:val="00767F4C"/>
    <w:rsid w:val="00771C99"/>
    <w:rsid w:val="007723D2"/>
    <w:rsid w:val="0077253E"/>
    <w:rsid w:val="00774F85"/>
    <w:rsid w:val="00781142"/>
    <w:rsid w:val="0078513C"/>
    <w:rsid w:val="00786CD3"/>
    <w:rsid w:val="00790796"/>
    <w:rsid w:val="007B0764"/>
    <w:rsid w:val="007B3652"/>
    <w:rsid w:val="007B6F3A"/>
    <w:rsid w:val="007C44C9"/>
    <w:rsid w:val="007C745A"/>
    <w:rsid w:val="007D0CF1"/>
    <w:rsid w:val="007D6208"/>
    <w:rsid w:val="007D6E06"/>
    <w:rsid w:val="007E3E59"/>
    <w:rsid w:val="007E66FA"/>
    <w:rsid w:val="007F05B1"/>
    <w:rsid w:val="00800589"/>
    <w:rsid w:val="00804B03"/>
    <w:rsid w:val="00805FE1"/>
    <w:rsid w:val="0081323C"/>
    <w:rsid w:val="00813419"/>
    <w:rsid w:val="00814A67"/>
    <w:rsid w:val="00825047"/>
    <w:rsid w:val="00833200"/>
    <w:rsid w:val="00834318"/>
    <w:rsid w:val="00841B1E"/>
    <w:rsid w:val="00843FE1"/>
    <w:rsid w:val="008513E8"/>
    <w:rsid w:val="00857462"/>
    <w:rsid w:val="00860312"/>
    <w:rsid w:val="00862B3F"/>
    <w:rsid w:val="00865A77"/>
    <w:rsid w:val="00866932"/>
    <w:rsid w:val="00871048"/>
    <w:rsid w:val="00887EDE"/>
    <w:rsid w:val="00890870"/>
    <w:rsid w:val="00893E71"/>
    <w:rsid w:val="00896C4C"/>
    <w:rsid w:val="00897FE4"/>
    <w:rsid w:val="008B0B28"/>
    <w:rsid w:val="008B16CE"/>
    <w:rsid w:val="008B221F"/>
    <w:rsid w:val="008B7839"/>
    <w:rsid w:val="008C7BBC"/>
    <w:rsid w:val="008D186A"/>
    <w:rsid w:val="008D39DA"/>
    <w:rsid w:val="008E7B94"/>
    <w:rsid w:val="008F4C8E"/>
    <w:rsid w:val="008F794F"/>
    <w:rsid w:val="0090036D"/>
    <w:rsid w:val="0091392B"/>
    <w:rsid w:val="00913A33"/>
    <w:rsid w:val="00933FA9"/>
    <w:rsid w:val="00942C93"/>
    <w:rsid w:val="009512EF"/>
    <w:rsid w:val="00953D3B"/>
    <w:rsid w:val="009558AC"/>
    <w:rsid w:val="00975379"/>
    <w:rsid w:val="00981498"/>
    <w:rsid w:val="009857C0"/>
    <w:rsid w:val="00985EC0"/>
    <w:rsid w:val="0099010F"/>
    <w:rsid w:val="00992503"/>
    <w:rsid w:val="009A28F4"/>
    <w:rsid w:val="009A6574"/>
    <w:rsid w:val="009A6751"/>
    <w:rsid w:val="009B3ADA"/>
    <w:rsid w:val="009B655E"/>
    <w:rsid w:val="009C3482"/>
    <w:rsid w:val="009C4723"/>
    <w:rsid w:val="009C4FC5"/>
    <w:rsid w:val="009C614C"/>
    <w:rsid w:val="009D4E90"/>
    <w:rsid w:val="009F0F94"/>
    <w:rsid w:val="009F6112"/>
    <w:rsid w:val="00A03C90"/>
    <w:rsid w:val="00A14511"/>
    <w:rsid w:val="00A20679"/>
    <w:rsid w:val="00A21F81"/>
    <w:rsid w:val="00A2527A"/>
    <w:rsid w:val="00A267A8"/>
    <w:rsid w:val="00A27597"/>
    <w:rsid w:val="00A3096E"/>
    <w:rsid w:val="00A3434C"/>
    <w:rsid w:val="00A52B4D"/>
    <w:rsid w:val="00A53676"/>
    <w:rsid w:val="00A72ED4"/>
    <w:rsid w:val="00A74F62"/>
    <w:rsid w:val="00AA221F"/>
    <w:rsid w:val="00AA3B49"/>
    <w:rsid w:val="00AD13E0"/>
    <w:rsid w:val="00AD21B0"/>
    <w:rsid w:val="00AD311E"/>
    <w:rsid w:val="00AD440B"/>
    <w:rsid w:val="00AE02E2"/>
    <w:rsid w:val="00AE0471"/>
    <w:rsid w:val="00AE094A"/>
    <w:rsid w:val="00AE4108"/>
    <w:rsid w:val="00AE4D9B"/>
    <w:rsid w:val="00AE642C"/>
    <w:rsid w:val="00AF01C6"/>
    <w:rsid w:val="00AF1143"/>
    <w:rsid w:val="00B046DF"/>
    <w:rsid w:val="00B12714"/>
    <w:rsid w:val="00B20255"/>
    <w:rsid w:val="00B24EA0"/>
    <w:rsid w:val="00B25E38"/>
    <w:rsid w:val="00B33F71"/>
    <w:rsid w:val="00B4306B"/>
    <w:rsid w:val="00B54ECE"/>
    <w:rsid w:val="00B6568A"/>
    <w:rsid w:val="00B709EE"/>
    <w:rsid w:val="00B75335"/>
    <w:rsid w:val="00B76BAB"/>
    <w:rsid w:val="00B968AE"/>
    <w:rsid w:val="00BA0E60"/>
    <w:rsid w:val="00BA13E9"/>
    <w:rsid w:val="00BA3BA8"/>
    <w:rsid w:val="00BA6A0B"/>
    <w:rsid w:val="00BC0C2D"/>
    <w:rsid w:val="00BC2C92"/>
    <w:rsid w:val="00BC5C44"/>
    <w:rsid w:val="00BD31B4"/>
    <w:rsid w:val="00BD6CDB"/>
    <w:rsid w:val="00BE49EA"/>
    <w:rsid w:val="00BF41C1"/>
    <w:rsid w:val="00BF5D13"/>
    <w:rsid w:val="00C03A8C"/>
    <w:rsid w:val="00C052BB"/>
    <w:rsid w:val="00C05E68"/>
    <w:rsid w:val="00C06034"/>
    <w:rsid w:val="00C06430"/>
    <w:rsid w:val="00C121D3"/>
    <w:rsid w:val="00C20122"/>
    <w:rsid w:val="00C322DF"/>
    <w:rsid w:val="00C46C06"/>
    <w:rsid w:val="00C7098D"/>
    <w:rsid w:val="00C72A62"/>
    <w:rsid w:val="00C82378"/>
    <w:rsid w:val="00C93571"/>
    <w:rsid w:val="00C9624D"/>
    <w:rsid w:val="00C97E0A"/>
    <w:rsid w:val="00C97F31"/>
    <w:rsid w:val="00CA38B3"/>
    <w:rsid w:val="00CA3AEE"/>
    <w:rsid w:val="00CA5AC6"/>
    <w:rsid w:val="00CB1DB2"/>
    <w:rsid w:val="00CB28F7"/>
    <w:rsid w:val="00CC0C20"/>
    <w:rsid w:val="00CC4BCB"/>
    <w:rsid w:val="00CC7232"/>
    <w:rsid w:val="00CD67DD"/>
    <w:rsid w:val="00CF39A6"/>
    <w:rsid w:val="00D03AC3"/>
    <w:rsid w:val="00D064A5"/>
    <w:rsid w:val="00D16792"/>
    <w:rsid w:val="00D223D8"/>
    <w:rsid w:val="00D2514F"/>
    <w:rsid w:val="00D26A84"/>
    <w:rsid w:val="00D33415"/>
    <w:rsid w:val="00D35F9F"/>
    <w:rsid w:val="00D478BE"/>
    <w:rsid w:val="00D5009F"/>
    <w:rsid w:val="00D53F27"/>
    <w:rsid w:val="00D600F2"/>
    <w:rsid w:val="00D75161"/>
    <w:rsid w:val="00D801F4"/>
    <w:rsid w:val="00D93005"/>
    <w:rsid w:val="00D95136"/>
    <w:rsid w:val="00D95A64"/>
    <w:rsid w:val="00DA297A"/>
    <w:rsid w:val="00DB0685"/>
    <w:rsid w:val="00DB1E76"/>
    <w:rsid w:val="00DB3A03"/>
    <w:rsid w:val="00DB3CBC"/>
    <w:rsid w:val="00DB4F16"/>
    <w:rsid w:val="00DB7454"/>
    <w:rsid w:val="00DC42B2"/>
    <w:rsid w:val="00DD0EF7"/>
    <w:rsid w:val="00DD377A"/>
    <w:rsid w:val="00DF0BCD"/>
    <w:rsid w:val="00E04849"/>
    <w:rsid w:val="00E0621B"/>
    <w:rsid w:val="00E13F2D"/>
    <w:rsid w:val="00E177F6"/>
    <w:rsid w:val="00E200AD"/>
    <w:rsid w:val="00E30FED"/>
    <w:rsid w:val="00E37B4F"/>
    <w:rsid w:val="00E4385B"/>
    <w:rsid w:val="00E57B13"/>
    <w:rsid w:val="00E60D05"/>
    <w:rsid w:val="00E646C5"/>
    <w:rsid w:val="00E66126"/>
    <w:rsid w:val="00E677DB"/>
    <w:rsid w:val="00E92819"/>
    <w:rsid w:val="00EB20D2"/>
    <w:rsid w:val="00EB5465"/>
    <w:rsid w:val="00EB7348"/>
    <w:rsid w:val="00EC030D"/>
    <w:rsid w:val="00EC0C87"/>
    <w:rsid w:val="00EC1D2D"/>
    <w:rsid w:val="00EC7207"/>
    <w:rsid w:val="00ED0BAB"/>
    <w:rsid w:val="00ED1509"/>
    <w:rsid w:val="00ED36A6"/>
    <w:rsid w:val="00EE2C09"/>
    <w:rsid w:val="00EE422B"/>
    <w:rsid w:val="00EF2FB1"/>
    <w:rsid w:val="00EF466B"/>
    <w:rsid w:val="00F03E34"/>
    <w:rsid w:val="00F03EA1"/>
    <w:rsid w:val="00F065C4"/>
    <w:rsid w:val="00F134CE"/>
    <w:rsid w:val="00F157A5"/>
    <w:rsid w:val="00F247E3"/>
    <w:rsid w:val="00F2558E"/>
    <w:rsid w:val="00F41C52"/>
    <w:rsid w:val="00F43939"/>
    <w:rsid w:val="00F50021"/>
    <w:rsid w:val="00F51D61"/>
    <w:rsid w:val="00F5203E"/>
    <w:rsid w:val="00F60017"/>
    <w:rsid w:val="00F61689"/>
    <w:rsid w:val="00F65F69"/>
    <w:rsid w:val="00F765B6"/>
    <w:rsid w:val="00F77148"/>
    <w:rsid w:val="00F823CA"/>
    <w:rsid w:val="00F9180E"/>
    <w:rsid w:val="00F96140"/>
    <w:rsid w:val="00FA0316"/>
    <w:rsid w:val="00FA0D14"/>
    <w:rsid w:val="00FB6E3F"/>
    <w:rsid w:val="00FD3D58"/>
    <w:rsid w:val="00FD6008"/>
    <w:rsid w:val="00FE3BF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07ACF8F"/>
  <w15:chartTrackingRefBased/>
  <w15:docId w15:val="{122E6545-2DF1-4457-A8F9-316BC50C8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603BBC"/>
  </w:style>
  <w:style w:type="character" w:styleId="FollowedHyperlink">
    <w:name w:val="FollowedHyperlink"/>
    <w:uiPriority w:val="99"/>
    <w:semiHidden/>
    <w:unhideWhenUsed/>
    <w:rsid w:val="00871048"/>
    <w:rPr>
      <w:color w:val="96607D"/>
      <w:u w:val="single"/>
    </w:rPr>
  </w:style>
  <w:style w:type="paragraph" w:styleId="Revision">
    <w:name w:val="Revision"/>
    <w:hidden/>
    <w:uiPriority w:val="99"/>
    <w:semiHidden/>
    <w:rsid w:val="00243E0C"/>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brenda.villanueva@fcc.gov" TargetMode="External" /><Relationship Id="rId11" Type="http://schemas.openxmlformats.org/officeDocument/2006/relationships/hyperlink" Target="mailto:Nadja.SodosWallace@fcc.gov" TargetMode="External" /><Relationship Id="rId12" Type="http://schemas.openxmlformats.org/officeDocument/2006/relationships/hyperlink" Target="mailto:jim.bird@fcc.gov" TargetMode="External" /><Relationship Id="rId13" Type="http://schemas.openxmlformats.org/officeDocument/2006/relationships/header" Target="header1.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2.xml" /><Relationship Id="rId17" Type="http://schemas.openxmlformats.org/officeDocument/2006/relationships/footer" Target="footer3.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endnotes" Target="endnotes.xml" /><Relationship Id="rId20"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dennis.johnson@fcc.gov" TargetMode="External" /><Relationship Id="rId9" Type="http://schemas.openxmlformats.org/officeDocument/2006/relationships/hyperlink" Target="mailto:audra.hale-maddox@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