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RPr="00E5711D" w:rsidP="00426FF5" w14:paraId="17492C96" w14:textId="77777777">
      <w:pPr>
        <w:jc w:val="center"/>
        <w:rPr>
          <w:b/>
        </w:rPr>
      </w:pPr>
      <w:r w:rsidRPr="00E5711D">
        <w:rPr>
          <w:b/>
          <w:kern w:val="0"/>
          <w:szCs w:val="22"/>
        </w:rPr>
        <w:t>Before</w:t>
      </w:r>
      <w:r w:rsidRPr="00E5711D">
        <w:rPr>
          <w:b/>
        </w:rPr>
        <w:t xml:space="preserve"> the</w:t>
      </w:r>
    </w:p>
    <w:p w:rsidR="00921803" w:rsidRPr="00E5711D" w:rsidP="00426FF5" w14:paraId="6D403CB3" w14:textId="77777777">
      <w:pPr>
        <w:pStyle w:val="StyleBoldCentered"/>
        <w:rPr>
          <w:rFonts w:ascii="Times New Roman" w:hAnsi="Times New Roman"/>
        </w:rPr>
      </w:pPr>
      <w:r w:rsidRPr="00E5711D">
        <w:rPr>
          <w:rFonts w:ascii="Times New Roman" w:hAnsi="Times New Roman"/>
        </w:rPr>
        <w:t>F</w:t>
      </w:r>
      <w:r w:rsidRPr="00E5711D">
        <w:rPr>
          <w:rFonts w:ascii="Times New Roman" w:hAnsi="Times New Roman"/>
          <w:caps w:val="0"/>
        </w:rPr>
        <w:t>ederal Communications Commission</w:t>
      </w:r>
    </w:p>
    <w:p w:rsidR="004C2EE3" w:rsidRPr="00E5711D" w:rsidP="00426FF5" w14:paraId="5465806F" w14:textId="77777777">
      <w:pPr>
        <w:pStyle w:val="StyleBoldCentered"/>
        <w:rPr>
          <w:rFonts w:ascii="Times New Roman" w:hAnsi="Times New Roman"/>
        </w:rPr>
      </w:pPr>
      <w:r w:rsidRPr="00E5711D">
        <w:rPr>
          <w:rFonts w:ascii="Times New Roman" w:hAnsi="Times New Roman"/>
          <w:caps w:val="0"/>
        </w:rPr>
        <w:t>Washington, D.C. 20554</w:t>
      </w:r>
    </w:p>
    <w:p w:rsidR="004C2EE3" w:rsidRPr="00E5711D" w:rsidP="00426FF5" w14:paraId="09262024" w14:textId="77777777"/>
    <w:tbl>
      <w:tblPr>
        <w:tblW w:w="0" w:type="auto"/>
        <w:tblLayout w:type="fixed"/>
        <w:tblLook w:val="0000"/>
      </w:tblPr>
      <w:tblGrid>
        <w:gridCol w:w="4698"/>
        <w:gridCol w:w="630"/>
        <w:gridCol w:w="4248"/>
      </w:tblGrid>
      <w:tr w14:paraId="7F4515E3" w14:textId="77777777">
        <w:tblPrEx>
          <w:tblW w:w="0" w:type="auto"/>
          <w:tblLayout w:type="fixed"/>
          <w:tblLook w:val="0000"/>
        </w:tblPrEx>
        <w:tc>
          <w:tcPr>
            <w:tcW w:w="4698" w:type="dxa"/>
          </w:tcPr>
          <w:p w:rsidR="004C2EE3" w:rsidRPr="00E5711D" w:rsidP="00426FF5" w14:paraId="16ABAC6B" w14:textId="77777777">
            <w:pPr>
              <w:tabs>
                <w:tab w:val="center" w:pos="4680"/>
              </w:tabs>
              <w:rPr>
                <w:spacing w:val="-2"/>
              </w:rPr>
            </w:pPr>
            <w:r w:rsidRPr="00E5711D">
              <w:rPr>
                <w:spacing w:val="-2"/>
              </w:rPr>
              <w:t>In the Matter of</w:t>
            </w:r>
          </w:p>
          <w:p w:rsidR="004C2EE3" w:rsidRPr="00E5711D" w:rsidP="00426FF5" w14:paraId="53024635" w14:textId="77777777">
            <w:pPr>
              <w:tabs>
                <w:tab w:val="center" w:pos="4680"/>
              </w:tabs>
              <w:rPr>
                <w:spacing w:val="-2"/>
              </w:rPr>
            </w:pPr>
          </w:p>
          <w:p w:rsidR="00426FF5" w:rsidRPr="00E5711D" w:rsidP="00426FF5" w14:paraId="654252C0" w14:textId="311DEF4E">
            <w:pPr>
              <w:tabs>
                <w:tab w:val="center" w:pos="4680"/>
              </w:tabs>
              <w:rPr>
                <w:b/>
                <w:bCs/>
                <w:spacing w:val="-2"/>
              </w:rPr>
            </w:pPr>
            <w:r w:rsidRPr="00E5711D">
              <w:rPr>
                <w:b/>
                <w:bCs/>
                <w:spacing w:val="-2"/>
              </w:rPr>
              <w:t>97.5 Licens</w:t>
            </w:r>
            <w:r w:rsidRPr="00E5711D" w:rsidR="00187BF1">
              <w:rPr>
                <w:b/>
                <w:bCs/>
                <w:spacing w:val="-2"/>
              </w:rPr>
              <w:t>e</w:t>
            </w:r>
            <w:r w:rsidRPr="00E5711D">
              <w:rPr>
                <w:b/>
                <w:bCs/>
                <w:spacing w:val="-2"/>
              </w:rPr>
              <w:t>e TX, LLC</w:t>
            </w:r>
          </w:p>
          <w:p w:rsidR="00E1098B" w:rsidRPr="009F6DB4" w:rsidP="00426FF5" w14:paraId="395FF316" w14:textId="27626731">
            <w:pPr>
              <w:tabs>
                <w:tab w:val="center" w:pos="4680"/>
              </w:tabs>
              <w:rPr>
                <w:spacing w:val="-2"/>
                <w:lang w:val="pt-BR"/>
              </w:rPr>
            </w:pPr>
            <w:r w:rsidRPr="009F6DB4">
              <w:rPr>
                <w:spacing w:val="-2"/>
                <w:lang w:val="pt-BR"/>
              </w:rPr>
              <w:t>Licensee</w:t>
            </w:r>
          </w:p>
          <w:p w:rsidR="00426FF5" w:rsidRPr="009F6DB4" w:rsidP="00426FF5" w14:paraId="3C6D8FCE" w14:textId="77777777">
            <w:pPr>
              <w:tabs>
                <w:tab w:val="center" w:pos="4680"/>
              </w:tabs>
              <w:rPr>
                <w:spacing w:val="-2"/>
                <w:lang w:val="pt-BR"/>
              </w:rPr>
            </w:pPr>
          </w:p>
          <w:p w:rsidR="00426FF5" w:rsidRPr="009F6DB4" w:rsidP="00426FF5" w14:paraId="79A0E3AB" w14:textId="7D864E8B">
            <w:pPr>
              <w:tabs>
                <w:tab w:val="center" w:pos="4680"/>
              </w:tabs>
              <w:rPr>
                <w:b/>
                <w:bCs/>
                <w:spacing w:val="-2"/>
                <w:lang w:val="pt-BR"/>
              </w:rPr>
            </w:pPr>
            <w:r w:rsidRPr="009F6DB4">
              <w:rPr>
                <w:b/>
                <w:bCs/>
                <w:spacing w:val="-2"/>
                <w:lang w:val="pt-BR"/>
              </w:rPr>
              <w:t xml:space="preserve">Luz </w:t>
            </w:r>
            <w:r w:rsidRPr="009F6DB4" w:rsidR="00C504FD">
              <w:rPr>
                <w:b/>
                <w:bCs/>
                <w:spacing w:val="-2"/>
                <w:lang w:val="pt-BR"/>
              </w:rPr>
              <w:t xml:space="preserve">Maria </w:t>
            </w:r>
            <w:r w:rsidRPr="009F6DB4">
              <w:rPr>
                <w:b/>
                <w:bCs/>
                <w:spacing w:val="-2"/>
                <w:lang w:val="pt-BR"/>
              </w:rPr>
              <w:t>Rygaard</w:t>
            </w:r>
            <w:r w:rsidRPr="009F6DB4" w:rsidR="00B34644">
              <w:rPr>
                <w:b/>
                <w:bCs/>
                <w:spacing w:val="-2"/>
                <w:lang w:val="pt-BR"/>
              </w:rPr>
              <w:tab/>
            </w:r>
          </w:p>
          <w:p w:rsidR="00426FF5" w:rsidRPr="009F6DB4" w:rsidP="00426FF5" w14:paraId="2C4B0AF6" w14:textId="419646BC">
            <w:pPr>
              <w:tabs>
                <w:tab w:val="center" w:pos="4680"/>
              </w:tabs>
              <w:rPr>
                <w:spacing w:val="-2"/>
                <w:lang w:val="pt-BR"/>
              </w:rPr>
            </w:pPr>
            <w:r w:rsidRPr="009F6DB4">
              <w:rPr>
                <w:spacing w:val="-2"/>
                <w:lang w:val="pt-BR"/>
              </w:rPr>
              <w:t>Transferor</w:t>
            </w:r>
          </w:p>
          <w:p w:rsidR="00426FF5" w:rsidRPr="009F6DB4" w:rsidP="00426FF5" w14:paraId="55F05250" w14:textId="77777777">
            <w:pPr>
              <w:tabs>
                <w:tab w:val="center" w:pos="4680"/>
              </w:tabs>
              <w:rPr>
                <w:spacing w:val="-2"/>
                <w:lang w:val="pt-BR"/>
              </w:rPr>
            </w:pPr>
            <w:r w:rsidRPr="009F6DB4">
              <w:rPr>
                <w:spacing w:val="-2"/>
                <w:lang w:val="pt-BR"/>
              </w:rPr>
              <w:tab/>
            </w:r>
          </w:p>
          <w:p w:rsidR="00426FF5" w:rsidRPr="009F6DB4" w:rsidP="00426FF5" w14:paraId="7F92A3D2" w14:textId="77777777">
            <w:pPr>
              <w:tabs>
                <w:tab w:val="center" w:pos="4680"/>
              </w:tabs>
              <w:rPr>
                <w:spacing w:val="-2"/>
                <w:lang w:val="pt-BR"/>
              </w:rPr>
            </w:pPr>
            <w:r w:rsidRPr="009F6DB4">
              <w:rPr>
                <w:spacing w:val="-2"/>
                <w:lang w:val="pt-BR"/>
              </w:rPr>
              <w:t>and</w:t>
            </w:r>
            <w:r w:rsidRPr="009F6DB4">
              <w:rPr>
                <w:spacing w:val="-2"/>
                <w:lang w:val="pt-BR"/>
              </w:rPr>
              <w:tab/>
            </w:r>
          </w:p>
          <w:p w:rsidR="00426FF5" w:rsidRPr="009F6DB4" w:rsidP="00426FF5" w14:paraId="37A3AA8C" w14:textId="65C1B713">
            <w:pPr>
              <w:tabs>
                <w:tab w:val="center" w:pos="4680"/>
              </w:tabs>
              <w:rPr>
                <w:spacing w:val="-2"/>
                <w:lang w:val="pt-BR"/>
              </w:rPr>
            </w:pPr>
            <w:r w:rsidRPr="009F6DB4">
              <w:rPr>
                <w:spacing w:val="-2"/>
                <w:lang w:val="pt-BR"/>
              </w:rPr>
              <w:t xml:space="preserve"> </w:t>
            </w:r>
          </w:p>
          <w:p w:rsidR="00AC5934" w:rsidRPr="009F6DB4" w:rsidP="00426FF5" w14:paraId="3984C0C7" w14:textId="187CECCD">
            <w:pPr>
              <w:tabs>
                <w:tab w:val="center" w:pos="4680"/>
              </w:tabs>
              <w:rPr>
                <w:b/>
                <w:bCs/>
                <w:spacing w:val="-2"/>
                <w:lang w:val="pt-BR"/>
              </w:rPr>
            </w:pPr>
            <w:r w:rsidRPr="009F6DB4">
              <w:rPr>
                <w:b/>
                <w:bCs/>
                <w:spacing w:val="-2"/>
                <w:lang w:val="pt-BR"/>
              </w:rPr>
              <w:t xml:space="preserve">Lorena Margarita </w:t>
            </w:r>
            <w:r w:rsidRPr="009F6DB4" w:rsidR="00F76A98">
              <w:rPr>
                <w:b/>
                <w:bCs/>
                <w:szCs w:val="22"/>
                <w:lang w:val="pt-BR"/>
              </w:rPr>
              <w:t xml:space="preserve">Peréz </w:t>
            </w:r>
            <w:r w:rsidRPr="009F6DB4">
              <w:rPr>
                <w:b/>
                <w:bCs/>
                <w:spacing w:val="-2"/>
                <w:lang w:val="pt-BR"/>
              </w:rPr>
              <w:t>Toscano</w:t>
            </w:r>
          </w:p>
          <w:p w:rsidR="00426FF5" w:rsidRPr="00E5711D" w:rsidP="00426FF5" w14:paraId="3527106A" w14:textId="37FBB1BF">
            <w:pPr>
              <w:tabs>
                <w:tab w:val="center" w:pos="4680"/>
              </w:tabs>
              <w:rPr>
                <w:spacing w:val="-2"/>
              </w:rPr>
            </w:pPr>
            <w:r w:rsidRPr="00E5711D">
              <w:rPr>
                <w:spacing w:val="-2"/>
              </w:rPr>
              <w:t>Transferee</w:t>
            </w:r>
          </w:p>
          <w:p w:rsidR="008F4966" w:rsidRPr="00E5711D" w:rsidP="00426FF5" w14:paraId="714A0916" w14:textId="77777777">
            <w:pPr>
              <w:tabs>
                <w:tab w:val="center" w:pos="4680"/>
              </w:tabs>
              <w:rPr>
                <w:spacing w:val="-2"/>
              </w:rPr>
            </w:pPr>
          </w:p>
          <w:p w:rsidR="008F4966" w:rsidRPr="00E5711D" w:rsidP="008F4966" w14:paraId="5E2D3B7C" w14:textId="77777777">
            <w:r w:rsidRPr="00E5711D">
              <w:t xml:space="preserve">KBNA-FM, El Paso, Texas </w:t>
            </w:r>
          </w:p>
          <w:p w:rsidR="008F4966" w:rsidRPr="00E5711D" w:rsidP="008F4966" w14:paraId="084FEEAC" w14:textId="17F76F54">
            <w:r w:rsidRPr="00E5711D">
              <w:t>KAMA(</w:t>
            </w:r>
            <w:r w:rsidRPr="00E5711D" w:rsidR="0079545C">
              <w:t>A</w:t>
            </w:r>
            <w:r w:rsidRPr="00E5711D">
              <w:t xml:space="preserve">M), El Paso, Texas </w:t>
            </w:r>
          </w:p>
          <w:p w:rsidR="008F4966" w:rsidRPr="00E5711D" w:rsidP="008F4966" w14:paraId="4DF51687" w14:textId="77777777">
            <w:pPr>
              <w:tabs>
                <w:tab w:val="center" w:pos="4680"/>
              </w:tabs>
            </w:pPr>
            <w:r w:rsidRPr="00E5711D">
              <w:t>KQBU(AM), El Paso, Texas</w:t>
            </w:r>
          </w:p>
          <w:p w:rsidR="00426FF5" w:rsidRPr="00E5711D" w:rsidP="00426FF5" w14:paraId="760A1E05" w14:textId="77777777">
            <w:pPr>
              <w:tabs>
                <w:tab w:val="center" w:pos="4680"/>
              </w:tabs>
              <w:rPr>
                <w:spacing w:val="-2"/>
              </w:rPr>
            </w:pPr>
          </w:p>
          <w:p w:rsidR="00426FF5" w:rsidRPr="00E5711D" w:rsidP="00426FF5" w14:paraId="7D2EA68A" w14:textId="77777777">
            <w:pPr>
              <w:tabs>
                <w:tab w:val="center" w:pos="4680"/>
              </w:tabs>
              <w:rPr>
                <w:spacing w:val="-2"/>
              </w:rPr>
            </w:pPr>
          </w:p>
          <w:p w:rsidR="004C2EE3" w:rsidRPr="00E5711D" w:rsidP="00426FF5" w14:paraId="194C4815" w14:textId="70A049FD">
            <w:pPr>
              <w:tabs>
                <w:tab w:val="center" w:pos="4680"/>
              </w:tabs>
              <w:rPr>
                <w:spacing w:val="-2"/>
              </w:rPr>
            </w:pPr>
          </w:p>
        </w:tc>
        <w:tc>
          <w:tcPr>
            <w:tcW w:w="630" w:type="dxa"/>
          </w:tcPr>
          <w:p w:rsidR="004C2EE3" w:rsidRPr="00E5711D" w:rsidP="00426FF5" w14:paraId="1E760587" w14:textId="77777777">
            <w:pPr>
              <w:tabs>
                <w:tab w:val="center" w:pos="4680"/>
              </w:tabs>
              <w:rPr>
                <w:b/>
                <w:spacing w:val="-2"/>
              </w:rPr>
            </w:pPr>
            <w:r w:rsidRPr="00E5711D">
              <w:rPr>
                <w:b/>
                <w:spacing w:val="-2"/>
              </w:rPr>
              <w:t>)</w:t>
            </w:r>
          </w:p>
          <w:p w:rsidR="004C2EE3" w:rsidRPr="00E5711D" w:rsidP="00426FF5" w14:paraId="30BED2DA" w14:textId="77777777">
            <w:pPr>
              <w:tabs>
                <w:tab w:val="center" w:pos="4680"/>
              </w:tabs>
              <w:rPr>
                <w:b/>
                <w:spacing w:val="-2"/>
              </w:rPr>
            </w:pPr>
            <w:r w:rsidRPr="00E5711D">
              <w:rPr>
                <w:b/>
                <w:spacing w:val="-2"/>
              </w:rPr>
              <w:t>)</w:t>
            </w:r>
          </w:p>
          <w:p w:rsidR="004C2EE3" w:rsidRPr="00E5711D" w:rsidP="00426FF5" w14:paraId="23ABC1A0" w14:textId="77777777">
            <w:pPr>
              <w:tabs>
                <w:tab w:val="center" w:pos="4680"/>
              </w:tabs>
              <w:rPr>
                <w:b/>
                <w:spacing w:val="-2"/>
              </w:rPr>
            </w:pPr>
            <w:r w:rsidRPr="00E5711D">
              <w:rPr>
                <w:b/>
                <w:spacing w:val="-2"/>
              </w:rPr>
              <w:t>)</w:t>
            </w:r>
          </w:p>
          <w:p w:rsidR="004C2EE3" w:rsidRPr="00E5711D" w:rsidP="00426FF5" w14:paraId="0F2FD518" w14:textId="77777777">
            <w:pPr>
              <w:tabs>
                <w:tab w:val="center" w:pos="4680"/>
              </w:tabs>
              <w:rPr>
                <w:b/>
                <w:spacing w:val="-2"/>
              </w:rPr>
            </w:pPr>
            <w:r w:rsidRPr="00E5711D">
              <w:rPr>
                <w:b/>
                <w:spacing w:val="-2"/>
              </w:rPr>
              <w:t>)</w:t>
            </w:r>
          </w:p>
          <w:p w:rsidR="004C2EE3" w:rsidRPr="00E5711D" w:rsidP="00426FF5" w14:paraId="390EB583" w14:textId="77777777">
            <w:pPr>
              <w:tabs>
                <w:tab w:val="center" w:pos="4680"/>
              </w:tabs>
              <w:rPr>
                <w:b/>
                <w:spacing w:val="-2"/>
              </w:rPr>
            </w:pPr>
            <w:r w:rsidRPr="00E5711D">
              <w:rPr>
                <w:b/>
                <w:spacing w:val="-2"/>
              </w:rPr>
              <w:t>)</w:t>
            </w:r>
          </w:p>
          <w:p w:rsidR="004C2EE3" w:rsidRPr="00E5711D" w:rsidP="00426FF5" w14:paraId="04563A7C" w14:textId="77777777">
            <w:pPr>
              <w:tabs>
                <w:tab w:val="center" w:pos="4680"/>
              </w:tabs>
              <w:rPr>
                <w:b/>
                <w:spacing w:val="-2"/>
              </w:rPr>
            </w:pPr>
            <w:r w:rsidRPr="00E5711D">
              <w:rPr>
                <w:b/>
                <w:spacing w:val="-2"/>
              </w:rPr>
              <w:t>)</w:t>
            </w:r>
          </w:p>
          <w:p w:rsidR="004C2EE3" w:rsidRPr="00E5711D" w:rsidP="00426FF5" w14:paraId="7B0E5CFE" w14:textId="77777777">
            <w:pPr>
              <w:tabs>
                <w:tab w:val="center" w:pos="4680"/>
              </w:tabs>
              <w:rPr>
                <w:b/>
                <w:spacing w:val="-2"/>
              </w:rPr>
            </w:pPr>
            <w:r w:rsidRPr="00E5711D">
              <w:rPr>
                <w:b/>
                <w:spacing w:val="-2"/>
              </w:rPr>
              <w:t>)</w:t>
            </w:r>
          </w:p>
          <w:p w:rsidR="004C2EE3" w:rsidRPr="00E5711D" w:rsidP="00426FF5" w14:paraId="71127415" w14:textId="77777777">
            <w:pPr>
              <w:tabs>
                <w:tab w:val="center" w:pos="4680"/>
              </w:tabs>
              <w:rPr>
                <w:b/>
                <w:spacing w:val="-2"/>
              </w:rPr>
            </w:pPr>
            <w:r w:rsidRPr="00E5711D">
              <w:rPr>
                <w:b/>
                <w:spacing w:val="-2"/>
              </w:rPr>
              <w:t>)</w:t>
            </w:r>
          </w:p>
          <w:p w:rsidR="004C2EE3" w:rsidRPr="00E5711D" w:rsidP="00426FF5" w14:paraId="0503A79C" w14:textId="77777777">
            <w:pPr>
              <w:tabs>
                <w:tab w:val="center" w:pos="4680"/>
              </w:tabs>
              <w:rPr>
                <w:b/>
                <w:spacing w:val="-2"/>
              </w:rPr>
            </w:pPr>
            <w:r w:rsidRPr="00E5711D">
              <w:rPr>
                <w:b/>
                <w:spacing w:val="-2"/>
              </w:rPr>
              <w:t>)</w:t>
            </w:r>
          </w:p>
          <w:p w:rsidR="00426FF5" w:rsidRPr="00E5711D" w:rsidP="00426FF5" w14:paraId="7F6D814C" w14:textId="77777777">
            <w:pPr>
              <w:tabs>
                <w:tab w:val="center" w:pos="4680"/>
              </w:tabs>
              <w:rPr>
                <w:b/>
                <w:spacing w:val="-2"/>
              </w:rPr>
            </w:pPr>
            <w:r w:rsidRPr="00E5711D">
              <w:rPr>
                <w:b/>
                <w:spacing w:val="-2"/>
              </w:rPr>
              <w:t>)</w:t>
            </w:r>
          </w:p>
          <w:p w:rsidR="00426FF5" w:rsidRPr="00E5711D" w:rsidP="00426FF5" w14:paraId="0B03E1B9" w14:textId="77777777">
            <w:pPr>
              <w:tabs>
                <w:tab w:val="center" w:pos="4680"/>
              </w:tabs>
              <w:rPr>
                <w:b/>
                <w:spacing w:val="-2"/>
              </w:rPr>
            </w:pPr>
            <w:r w:rsidRPr="00E5711D">
              <w:rPr>
                <w:b/>
                <w:spacing w:val="-2"/>
              </w:rPr>
              <w:t>)</w:t>
            </w:r>
          </w:p>
          <w:p w:rsidR="00426FF5" w:rsidRPr="00E5711D" w:rsidP="00426FF5" w14:paraId="5013163D" w14:textId="77777777">
            <w:pPr>
              <w:tabs>
                <w:tab w:val="center" w:pos="4680"/>
              </w:tabs>
              <w:rPr>
                <w:b/>
                <w:spacing w:val="-2"/>
              </w:rPr>
            </w:pPr>
            <w:r w:rsidRPr="00E5711D">
              <w:rPr>
                <w:b/>
                <w:spacing w:val="-2"/>
              </w:rPr>
              <w:t>)</w:t>
            </w:r>
          </w:p>
          <w:p w:rsidR="00426FF5" w:rsidRPr="00E5711D" w:rsidP="00426FF5" w14:paraId="5469E7AD" w14:textId="77777777">
            <w:pPr>
              <w:tabs>
                <w:tab w:val="center" w:pos="4680"/>
              </w:tabs>
              <w:rPr>
                <w:b/>
                <w:spacing w:val="-2"/>
              </w:rPr>
            </w:pPr>
            <w:r w:rsidRPr="00E5711D">
              <w:rPr>
                <w:b/>
                <w:spacing w:val="-2"/>
              </w:rPr>
              <w:t>)</w:t>
            </w:r>
          </w:p>
          <w:p w:rsidR="00426FF5" w:rsidRPr="00E5711D" w:rsidP="00426FF5" w14:paraId="4C839526" w14:textId="77777777">
            <w:pPr>
              <w:tabs>
                <w:tab w:val="center" w:pos="4680"/>
              </w:tabs>
              <w:rPr>
                <w:b/>
                <w:spacing w:val="-2"/>
              </w:rPr>
            </w:pPr>
            <w:r w:rsidRPr="00E5711D">
              <w:rPr>
                <w:b/>
                <w:spacing w:val="-2"/>
              </w:rPr>
              <w:t>)</w:t>
            </w:r>
          </w:p>
          <w:p w:rsidR="00426FF5" w:rsidRPr="00E5711D" w:rsidP="00426FF5" w14:paraId="749AA6CD" w14:textId="77777777">
            <w:pPr>
              <w:tabs>
                <w:tab w:val="center" w:pos="4680"/>
              </w:tabs>
              <w:rPr>
                <w:b/>
                <w:spacing w:val="-2"/>
              </w:rPr>
            </w:pPr>
            <w:r w:rsidRPr="00E5711D">
              <w:rPr>
                <w:b/>
                <w:spacing w:val="-2"/>
              </w:rPr>
              <w:t>)</w:t>
            </w:r>
          </w:p>
          <w:p w:rsidR="00426FF5" w:rsidRPr="00E5711D" w:rsidP="00426FF5" w14:paraId="05BEF70B" w14:textId="77777777">
            <w:pPr>
              <w:tabs>
                <w:tab w:val="center" w:pos="4680"/>
              </w:tabs>
              <w:rPr>
                <w:b/>
                <w:spacing w:val="-2"/>
              </w:rPr>
            </w:pPr>
            <w:r w:rsidRPr="00E5711D">
              <w:rPr>
                <w:b/>
                <w:spacing w:val="-2"/>
              </w:rPr>
              <w:t>)</w:t>
            </w:r>
          </w:p>
          <w:p w:rsidR="00F5703E" w:rsidRPr="00E5711D" w:rsidP="00426FF5" w14:paraId="42B72527" w14:textId="77777777">
            <w:pPr>
              <w:tabs>
                <w:tab w:val="center" w:pos="4680"/>
              </w:tabs>
              <w:rPr>
                <w:b/>
                <w:spacing w:val="-2"/>
              </w:rPr>
            </w:pPr>
            <w:r w:rsidRPr="00E5711D">
              <w:rPr>
                <w:b/>
                <w:spacing w:val="-2"/>
              </w:rPr>
              <w:t>)</w:t>
            </w:r>
          </w:p>
          <w:p w:rsidR="00F5703E" w:rsidRPr="00E5711D" w:rsidP="00426FF5" w14:paraId="64BFD34E" w14:textId="071912FA">
            <w:pPr>
              <w:tabs>
                <w:tab w:val="center" w:pos="4680"/>
              </w:tabs>
              <w:rPr>
                <w:b/>
                <w:spacing w:val="-2"/>
              </w:rPr>
            </w:pPr>
            <w:r w:rsidRPr="00E5711D">
              <w:rPr>
                <w:b/>
                <w:spacing w:val="-2"/>
              </w:rPr>
              <w:t>)</w:t>
            </w:r>
          </w:p>
          <w:p w:rsidR="00F5703E" w:rsidRPr="00E5711D" w:rsidP="00426FF5" w14:paraId="710AFED7" w14:textId="4DDF6F3F">
            <w:pPr>
              <w:tabs>
                <w:tab w:val="center" w:pos="4680"/>
              </w:tabs>
              <w:rPr>
                <w:b/>
                <w:spacing w:val="-2"/>
              </w:rPr>
            </w:pPr>
            <w:r w:rsidRPr="00E5711D">
              <w:rPr>
                <w:b/>
                <w:spacing w:val="-2"/>
              </w:rPr>
              <w:t>)</w:t>
            </w:r>
          </w:p>
          <w:p w:rsidR="00426FF5" w:rsidRPr="00E5711D" w:rsidP="00426FF5" w14:paraId="6BFC348D" w14:textId="4B7A9D45">
            <w:pPr>
              <w:tabs>
                <w:tab w:val="center" w:pos="4680"/>
              </w:tabs>
              <w:rPr>
                <w:spacing w:val="-2"/>
              </w:rPr>
            </w:pPr>
          </w:p>
        </w:tc>
        <w:tc>
          <w:tcPr>
            <w:tcW w:w="4248" w:type="dxa"/>
          </w:tcPr>
          <w:p w:rsidR="004C2EE3" w:rsidRPr="00E5711D" w:rsidP="00426FF5" w14:paraId="4578E6DB" w14:textId="77777777">
            <w:pPr>
              <w:tabs>
                <w:tab w:val="center" w:pos="4680"/>
              </w:tabs>
              <w:rPr>
                <w:spacing w:val="-2"/>
              </w:rPr>
            </w:pPr>
          </w:p>
          <w:p w:rsidR="00F75BDD" w:rsidRPr="00E5711D" w:rsidP="00F75BDD" w14:paraId="127AA9CE" w14:textId="77777777">
            <w:pPr>
              <w:pStyle w:val="TOAHeading"/>
              <w:tabs>
                <w:tab w:val="center" w:pos="4680"/>
              </w:tabs>
              <w:rPr>
                <w:spacing w:val="-2"/>
              </w:rPr>
            </w:pPr>
          </w:p>
          <w:p w:rsidR="00690D16" w:rsidRPr="00E5711D" w:rsidP="00F75BDD" w14:paraId="73C088FD" w14:textId="2A5CBAB2">
            <w:pPr>
              <w:pStyle w:val="TOAHeading"/>
              <w:tabs>
                <w:tab w:val="center" w:pos="4680"/>
              </w:tabs>
              <w:rPr>
                <w:spacing w:val="-2"/>
              </w:rPr>
            </w:pPr>
            <w:r w:rsidRPr="00E5711D">
              <w:rPr>
                <w:spacing w:val="-2"/>
              </w:rPr>
              <w:t>MB Docket No. 2</w:t>
            </w:r>
            <w:r w:rsidR="0054548C">
              <w:rPr>
                <w:spacing w:val="-2"/>
              </w:rPr>
              <w:t>6</w:t>
            </w:r>
            <w:r w:rsidRPr="00E5711D">
              <w:rPr>
                <w:spacing w:val="-2"/>
              </w:rPr>
              <w:t>-</w:t>
            </w:r>
            <w:r w:rsidR="00F5190D">
              <w:rPr>
                <w:spacing w:val="-2"/>
              </w:rPr>
              <w:t>19</w:t>
            </w:r>
          </w:p>
          <w:p w:rsidR="00F75BDD" w:rsidRPr="00E5711D" w:rsidP="00F75BDD" w14:paraId="71A4714B" w14:textId="45AB7A74">
            <w:pPr>
              <w:pStyle w:val="TOAHeading"/>
              <w:tabs>
                <w:tab w:val="center" w:pos="4680"/>
              </w:tabs>
              <w:rPr>
                <w:spacing w:val="-2"/>
              </w:rPr>
            </w:pPr>
            <w:r w:rsidRPr="00E5711D">
              <w:rPr>
                <w:spacing w:val="-2"/>
              </w:rPr>
              <w:t>FRN:</w:t>
            </w:r>
            <w:r w:rsidRPr="00E5711D" w:rsidR="00026120">
              <w:rPr>
                <w:spacing w:val="-2"/>
              </w:rPr>
              <w:t xml:space="preserve"> </w:t>
            </w:r>
            <w:r w:rsidRPr="00E5711D" w:rsidR="0034043C">
              <w:rPr>
                <w:spacing w:val="-2"/>
              </w:rPr>
              <w:t>0026209908</w:t>
            </w:r>
          </w:p>
          <w:p w:rsidR="00F75BDD" w:rsidRPr="00E5711D" w:rsidP="00F75BDD" w14:paraId="4C9B2CB4" w14:textId="77777777">
            <w:pPr>
              <w:pStyle w:val="TOAHeading"/>
              <w:tabs>
                <w:tab w:val="center" w:pos="4680"/>
              </w:tabs>
              <w:rPr>
                <w:spacing w:val="-2"/>
              </w:rPr>
            </w:pPr>
          </w:p>
          <w:p w:rsidR="00F75BDD" w:rsidRPr="00E5711D" w:rsidP="00F75BDD" w14:paraId="69597150" w14:textId="66E59947">
            <w:pPr>
              <w:pStyle w:val="TOAHeading"/>
              <w:tabs>
                <w:tab w:val="center" w:pos="4680"/>
              </w:tabs>
              <w:rPr>
                <w:spacing w:val="-2"/>
              </w:rPr>
            </w:pPr>
          </w:p>
          <w:p w:rsidR="00F75BDD" w:rsidRPr="00E5711D" w:rsidP="00F75BDD" w14:paraId="442F1622" w14:textId="77777777">
            <w:pPr>
              <w:pStyle w:val="TOAHeading"/>
              <w:tabs>
                <w:tab w:val="center" w:pos="4680"/>
              </w:tabs>
              <w:rPr>
                <w:spacing w:val="-2"/>
              </w:rPr>
            </w:pPr>
          </w:p>
          <w:p w:rsidR="0034043C" w:rsidRPr="00E5711D" w:rsidP="0034043C" w14:paraId="28FF507B" w14:textId="77777777"/>
          <w:p w:rsidR="0034043C" w:rsidRPr="00E5711D" w:rsidP="0034043C" w14:paraId="78608219" w14:textId="77777777"/>
          <w:p w:rsidR="00F75BDD" w:rsidRPr="00E5711D" w:rsidP="00F75BDD" w14:paraId="5D70E660" w14:textId="77777777">
            <w:pPr>
              <w:pStyle w:val="TOAHeading"/>
              <w:tabs>
                <w:tab w:val="center" w:pos="4680"/>
              </w:tabs>
              <w:rPr>
                <w:spacing w:val="-2"/>
              </w:rPr>
            </w:pPr>
          </w:p>
          <w:p w:rsidR="00F75BDD" w:rsidRPr="00E5711D" w:rsidP="00F75BDD" w14:paraId="4F42CA6A" w14:textId="11361D6D">
            <w:pPr>
              <w:pStyle w:val="TOAHeading"/>
              <w:tabs>
                <w:tab w:val="center" w:pos="4680"/>
              </w:tabs>
              <w:rPr>
                <w:spacing w:val="-2"/>
              </w:rPr>
            </w:pPr>
            <w:r w:rsidRPr="00E5711D">
              <w:rPr>
                <w:spacing w:val="-2"/>
              </w:rPr>
              <w:tab/>
            </w:r>
          </w:p>
          <w:p w:rsidR="00F5703E" w:rsidRPr="00E5711D" w:rsidP="00F75BDD" w14:paraId="288621E2" w14:textId="77777777">
            <w:pPr>
              <w:pStyle w:val="TOAHeading"/>
              <w:tabs>
                <w:tab w:val="center" w:pos="4680"/>
              </w:tabs>
              <w:rPr>
                <w:spacing w:val="-2"/>
              </w:rPr>
            </w:pPr>
          </w:p>
          <w:p w:rsidR="00F5703E" w:rsidRPr="00E5711D" w:rsidP="008F4966" w14:paraId="4FB3AD69" w14:textId="77777777"/>
          <w:p w:rsidR="008F4966" w:rsidRPr="00E5711D" w:rsidP="008F4966" w14:paraId="55018958" w14:textId="39F0387C">
            <w:r w:rsidRPr="00E5711D">
              <w:t>Facility ID No. 67066</w:t>
            </w:r>
          </w:p>
          <w:p w:rsidR="008F4966" w:rsidRPr="00E5711D" w:rsidP="008F4966" w14:paraId="57A53361" w14:textId="77777777">
            <w:r w:rsidRPr="00E5711D">
              <w:t>Facility ID No. 36948</w:t>
            </w:r>
          </w:p>
          <w:p w:rsidR="008F4966" w:rsidRPr="00E5711D" w:rsidP="008F4966" w14:paraId="0886F3D7" w14:textId="6085D025">
            <w:r w:rsidRPr="00E5711D">
              <w:t xml:space="preserve">Facility ID No. 67065 </w:t>
            </w:r>
          </w:p>
          <w:p w:rsidR="00F5703E" w:rsidRPr="00E5711D" w:rsidP="008F4966" w14:paraId="7CACC127" w14:textId="77777777">
            <w:pPr>
              <w:pStyle w:val="TOAHeading"/>
              <w:tabs>
                <w:tab w:val="center" w:pos="4680"/>
              </w:tabs>
              <w:rPr>
                <w:spacing w:val="-2"/>
              </w:rPr>
            </w:pPr>
          </w:p>
          <w:p w:rsidR="004C2EE3" w:rsidRPr="00E5711D" w:rsidP="008F4966" w14:paraId="33A30553" w14:textId="7C19210B">
            <w:pPr>
              <w:pStyle w:val="TOAHeading"/>
              <w:tabs>
                <w:tab w:val="center" w:pos="4680"/>
              </w:tabs>
              <w:rPr>
                <w:spacing w:val="-2"/>
              </w:rPr>
            </w:pPr>
            <w:r w:rsidRPr="00E5711D">
              <w:rPr>
                <w:spacing w:val="-2"/>
              </w:rPr>
              <w:t xml:space="preserve">Application </w:t>
            </w:r>
            <w:r w:rsidRPr="00E5711D" w:rsidR="008F4966">
              <w:rPr>
                <w:spacing w:val="-2"/>
              </w:rPr>
              <w:t>File Nos. 0000216454 et al.</w:t>
            </w:r>
          </w:p>
          <w:p w:rsidR="00F5703E" w:rsidRPr="00E5711D" w:rsidP="00F5703E" w14:paraId="54475B30" w14:textId="77777777"/>
          <w:p w:rsidR="00F5703E" w:rsidRPr="00E5711D" w:rsidP="00F5703E" w14:paraId="27F864F0" w14:textId="74DA7AFA"/>
        </w:tc>
      </w:tr>
    </w:tbl>
    <w:p w:rsidR="00841AB1" w:rsidRPr="00E5711D" w:rsidP="00E0166B" w14:paraId="0F1E3C76" w14:textId="31ADACE9">
      <w:pPr>
        <w:pStyle w:val="StyleBoldCentered"/>
        <w:rPr>
          <w:rFonts w:ascii="Times New Roman" w:hAnsi="Times New Roman"/>
        </w:rPr>
      </w:pPr>
      <w:bookmarkStart w:id="0" w:name="_Hlk142487767"/>
      <w:r w:rsidRPr="00E5711D">
        <w:rPr>
          <w:rFonts w:ascii="Times New Roman" w:hAnsi="Times New Roman"/>
        </w:rPr>
        <w:t>Hearing Designation Order, Order to Show Cause Why an Order of Revocation Should Not Be Issued</w:t>
      </w:r>
      <w:r w:rsidRPr="00E5711D" w:rsidR="002A1648">
        <w:rPr>
          <w:rFonts w:ascii="Times New Roman" w:hAnsi="Times New Roman"/>
        </w:rPr>
        <w:t>,</w:t>
      </w:r>
      <w:r w:rsidRPr="00E5711D">
        <w:rPr>
          <w:rFonts w:ascii="Times New Roman" w:hAnsi="Times New Roman"/>
        </w:rPr>
        <w:t xml:space="preserve"> </w:t>
      </w:r>
      <w:r w:rsidRPr="00E5711D" w:rsidR="002A1648">
        <w:rPr>
          <w:rFonts w:ascii="Times New Roman" w:hAnsi="Times New Roman"/>
        </w:rPr>
        <w:t>and Notice of Opportunity for Hearing</w:t>
      </w:r>
    </w:p>
    <w:bookmarkEnd w:id="0"/>
    <w:p w:rsidR="004C2EE3" w:rsidRPr="00E5711D" w:rsidP="005B5BD7" w14:paraId="160223C8" w14:textId="77777777">
      <w:pPr>
        <w:tabs>
          <w:tab w:val="left" w:pos="-720"/>
        </w:tabs>
        <w:spacing w:line="227" w:lineRule="auto"/>
        <w:rPr>
          <w:spacing w:val="-2"/>
        </w:rPr>
      </w:pPr>
    </w:p>
    <w:p w:rsidR="004C2EE3" w:rsidRPr="00E5711D" w:rsidP="005B5BD7" w14:paraId="6B2369E0" w14:textId="3DCF5433">
      <w:pPr>
        <w:tabs>
          <w:tab w:val="left" w:pos="720"/>
          <w:tab w:val="right" w:pos="9360"/>
        </w:tabs>
        <w:spacing w:line="227" w:lineRule="auto"/>
        <w:rPr>
          <w:spacing w:val="-2"/>
        </w:rPr>
      </w:pPr>
      <w:r w:rsidRPr="00E5711D">
        <w:rPr>
          <w:b/>
          <w:spacing w:val="-2"/>
        </w:rPr>
        <w:t xml:space="preserve">Adopted:  </w:t>
      </w:r>
      <w:r w:rsidR="00F5190D">
        <w:rPr>
          <w:b/>
          <w:spacing w:val="-2"/>
        </w:rPr>
        <w:t>January 23, 2026</w:t>
      </w:r>
      <w:r w:rsidRPr="00E5711D">
        <w:rPr>
          <w:b/>
          <w:spacing w:val="-2"/>
        </w:rPr>
        <w:tab/>
      </w:r>
      <w:r w:rsidRPr="00E5711D" w:rsidR="00822CE0">
        <w:rPr>
          <w:b/>
          <w:spacing w:val="-2"/>
        </w:rPr>
        <w:t>Released</w:t>
      </w:r>
      <w:r w:rsidRPr="00E5711D">
        <w:rPr>
          <w:b/>
          <w:spacing w:val="-2"/>
        </w:rPr>
        <w:t>:</w:t>
      </w:r>
      <w:r w:rsidRPr="00E5711D" w:rsidR="00822CE0">
        <w:rPr>
          <w:b/>
          <w:spacing w:val="-2"/>
        </w:rPr>
        <w:t xml:space="preserve"> </w:t>
      </w:r>
      <w:r w:rsidRPr="00E5711D">
        <w:rPr>
          <w:b/>
          <w:spacing w:val="-2"/>
        </w:rPr>
        <w:t xml:space="preserve"> </w:t>
      </w:r>
      <w:r w:rsidR="00F5190D">
        <w:rPr>
          <w:b/>
          <w:spacing w:val="-2"/>
        </w:rPr>
        <w:t>January 23, 2026</w:t>
      </w:r>
    </w:p>
    <w:p w:rsidR="00822CE0" w:rsidRPr="00E5711D" w:rsidP="005B5BD7" w14:paraId="48A19562" w14:textId="77777777"/>
    <w:p w:rsidR="00C31403" w:rsidRPr="00E5711D" w:rsidP="00C31403" w14:paraId="0AFF4255" w14:textId="00E9259E">
      <w:pPr>
        <w:rPr>
          <w:spacing w:val="-2"/>
        </w:rPr>
      </w:pPr>
      <w:r w:rsidRPr="00E5711D">
        <w:t xml:space="preserve">By </w:t>
      </w:r>
      <w:r w:rsidRPr="00E5711D" w:rsidR="004E4A22">
        <w:t>the</w:t>
      </w:r>
      <w:r w:rsidRPr="00E5711D" w:rsidR="002A2D2E">
        <w:t xml:space="preserve"> </w:t>
      </w:r>
      <w:r w:rsidRPr="00E5711D" w:rsidR="00D95336">
        <w:t xml:space="preserve">Acting </w:t>
      </w:r>
      <w:r w:rsidRPr="00E5711D" w:rsidR="00426FF5">
        <w:rPr>
          <w:spacing w:val="-2"/>
        </w:rPr>
        <w:t>Chief, Media Bureau</w:t>
      </w:r>
      <w:r w:rsidRPr="00E5711D">
        <w:rPr>
          <w:spacing w:val="-2"/>
        </w:rPr>
        <w:t>:</w:t>
      </w:r>
      <w:bookmarkStart w:id="1" w:name="_Toc142319591"/>
    </w:p>
    <w:p w:rsidR="002D733E" w:rsidP="002D733E" w14:paraId="2B4A7334" w14:textId="62325A45">
      <w:pPr>
        <w:pStyle w:val="TOCTitle"/>
      </w:pPr>
      <w:bookmarkStart w:id="2" w:name="TOChere"/>
      <w:bookmarkStart w:id="3" w:name="_Toc142319957"/>
      <w:bookmarkStart w:id="4" w:name="_Toc142319988"/>
      <w:bookmarkStart w:id="5" w:name="_Toc142565401"/>
      <w:bookmarkStart w:id="6" w:name="_Toc197085150"/>
      <w:bookmarkStart w:id="7" w:name="_Toc197093809"/>
      <w:bookmarkStart w:id="8" w:name="_Toc199497967"/>
      <w:bookmarkStart w:id="9" w:name="_Toc199498110"/>
      <w:bookmarkStart w:id="10" w:name="_Toc199761778"/>
      <w:bookmarkStart w:id="11" w:name="_Toc199778020"/>
      <w:bookmarkStart w:id="12" w:name="_Toc201584575"/>
      <w:bookmarkStart w:id="13" w:name="_Toc202182781"/>
      <w:bookmarkStart w:id="14" w:name="_Toc209708326"/>
      <w:bookmarkStart w:id="15" w:name="_Toc210117694"/>
      <w:bookmarkStart w:id="16" w:name="_Toc219206057"/>
      <w:r>
        <w:t>Table of Contents</w:t>
      </w:r>
    </w:p>
    <w:p w:rsidR="002D733E" w:rsidP="002D733E" w14:paraId="5262D12C" w14:textId="33FF6F02">
      <w:pPr>
        <w:pStyle w:val="Paratitle"/>
      </w:pPr>
      <w:r>
        <w:t>Heading</w:t>
      </w:r>
      <w:r>
        <w:tab/>
        <w:t>Paragraph #</w:t>
      </w:r>
      <w:bookmarkStart w:id="17" w:name="start_here"/>
      <w:bookmarkEnd w:id="17"/>
    </w:p>
    <w:p w:rsidR="002D733E" w:rsidP="002D733E" w14:paraId="662BCB18" w14:textId="4517A2AF">
      <w:pPr>
        <w:pStyle w:val="TOC1"/>
        <w:rPr>
          <w:rFonts w:asciiTheme="minorHAnsi" w:eastAsiaTheme="minorEastAsia" w:hAnsiTheme="minorHAnsi" w:cstheme="minorBidi"/>
          <w:caps w:val="0"/>
          <w:snapToGrid/>
          <w:kern w:val="2"/>
          <w:sz w:val="24"/>
          <w:szCs w:val="24"/>
          <w14:ligatures w14:val="standardContextual"/>
        </w:rPr>
      </w:pPr>
      <w:r w:rsidRPr="00CD1619">
        <w:t>I.</w:t>
      </w:r>
      <w:r>
        <w:rPr>
          <w:rFonts w:asciiTheme="minorHAnsi" w:eastAsiaTheme="minorEastAsia" w:hAnsiTheme="minorHAnsi" w:cstheme="minorBidi"/>
          <w:caps w:val="0"/>
          <w:snapToGrid/>
          <w:kern w:val="2"/>
          <w:sz w:val="24"/>
          <w:szCs w:val="24"/>
          <w14:ligatures w14:val="standardContextual"/>
        </w:rPr>
        <w:tab/>
      </w:r>
      <w:r w:rsidRPr="00CD1619">
        <w:t>INTRODUCTION</w:t>
      </w:r>
      <w:r>
        <w:tab/>
      </w:r>
      <w:r w:rsidR="002B70AF">
        <w:t>1</w:t>
      </w:r>
    </w:p>
    <w:p w:rsidR="002D733E" w:rsidP="002D733E" w14:paraId="391B5539" w14:textId="5382A19D">
      <w:pPr>
        <w:pStyle w:val="TOC1"/>
        <w:rPr>
          <w:rFonts w:asciiTheme="minorHAnsi" w:eastAsiaTheme="minorEastAsia" w:hAnsiTheme="minorHAnsi" w:cstheme="minorBidi"/>
          <w:caps w:val="0"/>
          <w:snapToGrid/>
          <w:kern w:val="2"/>
          <w:sz w:val="24"/>
          <w:szCs w:val="24"/>
          <w14:ligatures w14:val="standardContextual"/>
        </w:rPr>
      </w:pPr>
      <w:r w:rsidRPr="00CD1619">
        <w:t>II.</w:t>
      </w:r>
      <w:r>
        <w:rPr>
          <w:rFonts w:asciiTheme="minorHAnsi" w:eastAsiaTheme="minorEastAsia" w:hAnsiTheme="minorHAnsi" w:cstheme="minorBidi"/>
          <w:caps w:val="0"/>
          <w:snapToGrid/>
          <w:kern w:val="2"/>
          <w:sz w:val="24"/>
          <w:szCs w:val="24"/>
          <w14:ligatures w14:val="standardContextual"/>
        </w:rPr>
        <w:tab/>
      </w:r>
      <w:r w:rsidRPr="00CD1619">
        <w:t>BACKGROUND</w:t>
      </w:r>
      <w:r>
        <w:tab/>
      </w:r>
      <w:r w:rsidR="002B70AF">
        <w:t>6</w:t>
      </w:r>
    </w:p>
    <w:p w:rsidR="002D733E" w:rsidP="002D733E" w14:paraId="68A14F0F" w14:textId="7ED92EA1">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Factual Background</w:t>
      </w:r>
      <w:r>
        <w:tab/>
      </w:r>
      <w:r w:rsidR="002B70AF">
        <w:t>7</w:t>
      </w:r>
    </w:p>
    <w:p w:rsidR="002D733E" w:rsidP="002D733E" w14:paraId="0F62ED1C" w14:textId="3CA84CFF">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The Stations.</w:t>
      </w:r>
      <w:r>
        <w:tab/>
      </w:r>
      <w:r w:rsidR="002B70AF">
        <w:t>7</w:t>
      </w:r>
    </w:p>
    <w:p w:rsidR="002D733E" w:rsidP="002D733E" w14:paraId="612F0BE9" w14:textId="70522269">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The Parties</w:t>
      </w:r>
      <w:r>
        <w:tab/>
      </w:r>
      <w:r w:rsidR="00E67E9E">
        <w:t>8</w:t>
      </w:r>
    </w:p>
    <w:p w:rsidR="002D733E" w:rsidP="002D733E" w14:paraId="64E8C115" w14:textId="66ECE9FA">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The Transfer Application</w:t>
      </w:r>
      <w:r>
        <w:tab/>
        <w:t>1</w:t>
      </w:r>
      <w:r w:rsidR="00E67E9E">
        <w:t>3</w:t>
      </w:r>
    </w:p>
    <w:p w:rsidR="002D733E" w:rsidP="002D733E" w14:paraId="504441DB" w14:textId="03F33EF5">
      <w:pPr>
        <w:pStyle w:val="TOC3"/>
        <w:tabs>
          <w:tab w:val="left" w:pos="360"/>
        </w:tabs>
        <w:rPr>
          <w:rFonts w:asciiTheme="minorHAnsi" w:eastAsiaTheme="minorEastAsia" w:hAnsiTheme="minorHAnsi" w:cstheme="minorBidi"/>
          <w:snapToGrid/>
          <w:kern w:val="2"/>
          <w:sz w:val="24"/>
          <w:szCs w:val="24"/>
          <w14:ligatures w14:val="standardContextual"/>
        </w:rPr>
      </w:pPr>
      <w:r>
        <w:t>4.</w:t>
      </w:r>
      <w:r>
        <w:rPr>
          <w:rFonts w:asciiTheme="minorHAnsi" w:eastAsiaTheme="minorEastAsia" w:hAnsiTheme="minorHAnsi" w:cstheme="minorBidi"/>
          <w:snapToGrid/>
          <w:kern w:val="2"/>
          <w:sz w:val="24"/>
          <w:szCs w:val="24"/>
          <w14:ligatures w14:val="standardContextual"/>
        </w:rPr>
        <w:tab/>
      </w:r>
      <w:r>
        <w:t>The Bureau’s Investigation.</w:t>
      </w:r>
      <w:r>
        <w:tab/>
        <w:t>1</w:t>
      </w:r>
      <w:r w:rsidR="00E67E9E">
        <w:t>6</w:t>
      </w:r>
    </w:p>
    <w:p w:rsidR="002D733E" w:rsidP="002D733E" w14:paraId="659F58BB" w14:textId="234BED04">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Applicable Legal Standards</w:t>
      </w:r>
      <w:r>
        <w:tab/>
        <w:t>2</w:t>
      </w:r>
      <w:r w:rsidR="002B70AF">
        <w:t>3</w:t>
      </w:r>
    </w:p>
    <w:p w:rsidR="002D733E" w:rsidP="002D733E" w14:paraId="2D1BE689" w14:textId="43064B0E">
      <w:pPr>
        <w:pStyle w:val="TOC1"/>
        <w:rPr>
          <w:rFonts w:asciiTheme="minorHAnsi" w:eastAsiaTheme="minorEastAsia" w:hAnsiTheme="minorHAnsi" w:cstheme="minorBidi"/>
          <w:caps w:val="0"/>
          <w:snapToGrid/>
          <w:kern w:val="2"/>
          <w:sz w:val="24"/>
          <w:szCs w:val="24"/>
          <w14:ligatures w14:val="standardContextual"/>
        </w:rPr>
      </w:pPr>
      <w:r w:rsidRPr="00CD1619">
        <w:t>III.</w:t>
      </w:r>
      <w:r>
        <w:rPr>
          <w:rFonts w:asciiTheme="minorHAnsi" w:eastAsiaTheme="minorEastAsia" w:hAnsiTheme="minorHAnsi" w:cstheme="minorBidi"/>
          <w:caps w:val="0"/>
          <w:snapToGrid/>
          <w:kern w:val="2"/>
          <w:sz w:val="24"/>
          <w:szCs w:val="24"/>
          <w14:ligatures w14:val="standardContextual"/>
        </w:rPr>
        <w:tab/>
      </w:r>
      <w:r w:rsidRPr="00CD1619">
        <w:t>DISCUSSION</w:t>
      </w:r>
      <w:r>
        <w:tab/>
        <w:t>3</w:t>
      </w:r>
      <w:r w:rsidR="00E67E9E">
        <w:t>0</w:t>
      </w:r>
    </w:p>
    <w:p w:rsidR="002D733E" w:rsidP="002D733E" w14:paraId="2267DF20" w14:textId="5F75DE50">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Unauthorized Transfer of Control to a Foreign Citizen</w:t>
      </w:r>
      <w:r>
        <w:tab/>
        <w:t>3</w:t>
      </w:r>
      <w:r w:rsidR="00E67E9E">
        <w:t>2</w:t>
      </w:r>
    </w:p>
    <w:p w:rsidR="002D733E" w:rsidP="002D733E" w14:paraId="05E7A1CD" w14:textId="4269A20A">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Misrepresentations and/or Lack of Candor</w:t>
      </w:r>
      <w:r>
        <w:tab/>
        <w:t>4</w:t>
      </w:r>
      <w:r w:rsidR="00E67E9E">
        <w:t>5</w:t>
      </w:r>
    </w:p>
    <w:p w:rsidR="002D733E" w:rsidP="002D733E" w14:paraId="2236DA6A" w14:textId="11268E59">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The Parties’ Responses to Bureau Inquiries</w:t>
      </w:r>
      <w:r>
        <w:tab/>
        <w:t>5</w:t>
      </w:r>
      <w:r w:rsidR="00E67E9E">
        <w:t>7</w:t>
      </w:r>
    </w:p>
    <w:p w:rsidR="002D733E" w:rsidP="002D733E" w14:paraId="2D65DD0A" w14:textId="00834CEB">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There are Substantial and Material Questions of Fact Concerning the Parties’ Qualifications to be a Commission Licensee</w:t>
      </w:r>
      <w:r>
        <w:tab/>
        <w:t>6</w:t>
      </w:r>
      <w:r w:rsidR="007A31FA">
        <w:t>8</w:t>
      </w:r>
    </w:p>
    <w:p w:rsidR="002D733E" w:rsidP="002D733E" w14:paraId="37DD9BE1" w14:textId="21DA6C23">
      <w:pPr>
        <w:pStyle w:val="TOC1"/>
        <w:rPr>
          <w:rFonts w:asciiTheme="minorHAnsi" w:eastAsiaTheme="minorEastAsia" w:hAnsiTheme="minorHAnsi" w:cstheme="minorBidi"/>
          <w:caps w:val="0"/>
          <w:snapToGrid/>
          <w:kern w:val="2"/>
          <w:sz w:val="24"/>
          <w:szCs w:val="24"/>
          <w14:ligatures w14:val="standardContextual"/>
        </w:rPr>
      </w:pPr>
      <w:r w:rsidRPr="00CD1619">
        <w:rPr>
          <w:bCs/>
          <w:kern w:val="0"/>
        </w:rPr>
        <w:t>IV.</w:t>
      </w:r>
      <w:r>
        <w:rPr>
          <w:rFonts w:asciiTheme="minorHAnsi" w:eastAsiaTheme="minorEastAsia" w:hAnsiTheme="minorHAnsi" w:cstheme="minorBidi"/>
          <w:caps w:val="0"/>
          <w:snapToGrid/>
          <w:kern w:val="2"/>
          <w:sz w:val="24"/>
          <w:szCs w:val="24"/>
          <w14:ligatures w14:val="standardContextual"/>
        </w:rPr>
        <w:tab/>
      </w:r>
      <w:r w:rsidRPr="00CD1619">
        <w:rPr>
          <w:bCs/>
          <w:kern w:val="0"/>
        </w:rPr>
        <w:t>Conclusion</w:t>
      </w:r>
      <w:r>
        <w:tab/>
        <w:t>7</w:t>
      </w:r>
      <w:r w:rsidR="007A31FA">
        <w:t>2</w:t>
      </w:r>
    </w:p>
    <w:p w:rsidR="002D733E" w:rsidP="002D733E" w14:paraId="4BB1D902" w14:textId="0857B618">
      <w:pPr>
        <w:pStyle w:val="TOC1"/>
        <w:rPr>
          <w:rFonts w:asciiTheme="minorHAnsi" w:eastAsiaTheme="minorEastAsia" w:hAnsiTheme="minorHAnsi" w:cstheme="minorBidi"/>
          <w:caps w:val="0"/>
          <w:snapToGrid/>
          <w:kern w:val="2"/>
          <w:sz w:val="24"/>
          <w:szCs w:val="24"/>
          <w14:ligatures w14:val="standardContextual"/>
        </w:rPr>
      </w:pPr>
      <w:r w:rsidRPr="00CD1619">
        <w:t>V.</w:t>
      </w:r>
      <w:r>
        <w:rPr>
          <w:rFonts w:asciiTheme="minorHAnsi" w:eastAsiaTheme="minorEastAsia" w:hAnsiTheme="minorHAnsi" w:cstheme="minorBidi"/>
          <w:caps w:val="0"/>
          <w:snapToGrid/>
          <w:kern w:val="2"/>
          <w:sz w:val="24"/>
          <w:szCs w:val="24"/>
          <w14:ligatures w14:val="standardContextual"/>
        </w:rPr>
        <w:tab/>
      </w:r>
      <w:r w:rsidRPr="00CD1619">
        <w:rPr>
          <w:kern w:val="0"/>
        </w:rPr>
        <w:t>PROCEDURES FOR HEARING</w:t>
      </w:r>
      <w:r>
        <w:tab/>
        <w:t>7</w:t>
      </w:r>
      <w:r w:rsidR="007A31FA">
        <w:t>6</w:t>
      </w:r>
    </w:p>
    <w:p w:rsidR="002D733E" w:rsidP="002D733E" w14:paraId="00DF0C81" w14:textId="714AAB71">
      <w:pPr>
        <w:pStyle w:val="TOC1"/>
        <w:rPr>
          <w:rFonts w:asciiTheme="minorHAnsi" w:eastAsiaTheme="minorEastAsia" w:hAnsiTheme="minorHAnsi" w:cstheme="minorBidi"/>
          <w:caps w:val="0"/>
          <w:snapToGrid/>
          <w:kern w:val="2"/>
          <w:sz w:val="24"/>
          <w:szCs w:val="24"/>
          <w14:ligatures w14:val="standardContextual"/>
        </w:rPr>
      </w:pPr>
      <w:r w:rsidRPr="00CD1619">
        <w:t>VI.</w:t>
      </w:r>
      <w:r>
        <w:rPr>
          <w:rFonts w:asciiTheme="minorHAnsi" w:eastAsiaTheme="minorEastAsia" w:hAnsiTheme="minorHAnsi" w:cstheme="minorBidi"/>
          <w:caps w:val="0"/>
          <w:snapToGrid/>
          <w:kern w:val="2"/>
          <w:sz w:val="24"/>
          <w:szCs w:val="24"/>
          <w14:ligatures w14:val="standardContextual"/>
        </w:rPr>
        <w:tab/>
      </w:r>
      <w:r w:rsidRPr="00CD1619">
        <w:t>ordering clauses</w:t>
      </w:r>
      <w:r>
        <w:tab/>
        <w:t>8</w:t>
      </w:r>
      <w:r w:rsidR="007A31FA">
        <w:t>0</w:t>
      </w:r>
    </w:p>
    <w:p w:rsidR="00426FF5" w:rsidRPr="00E5711D" w:rsidP="004E399E" w14:paraId="7536DD9D" w14:textId="21C55B40">
      <w:pPr>
        <w:pStyle w:val="Heading1"/>
        <w:rPr>
          <w:rFonts w:ascii="Times New Roman" w:hAnsi="Times New Roman"/>
        </w:rPr>
      </w:pPr>
      <w:bookmarkStart w:id="18" w:name="_Toc219206798"/>
      <w:bookmarkEnd w:id="2"/>
      <w:r w:rsidRPr="00E5711D">
        <w:rPr>
          <w:rFonts w:ascii="Times New Roman" w:hAnsi="Times New Roman"/>
        </w:rPr>
        <w:t>INTRODUCTION</w:t>
      </w:r>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r w:rsidRPr="00E5711D">
        <w:rPr>
          <w:rFonts w:ascii="Times New Roman" w:hAnsi="Times New Roman"/>
        </w:rPr>
        <w:t xml:space="preserve"> </w:t>
      </w:r>
    </w:p>
    <w:p w:rsidR="00032DE1" w:rsidP="00690D16" w14:paraId="04878AB0" w14:textId="154C7E3E">
      <w:pPr>
        <w:pStyle w:val="ParaNum"/>
        <w:widowControl/>
      </w:pPr>
      <w:r w:rsidRPr="00E5711D">
        <w:t>In this</w:t>
      </w:r>
      <w:bookmarkStart w:id="19" w:name="_Hlk135829278"/>
      <w:r w:rsidRPr="00E5711D">
        <w:rPr>
          <w:i/>
        </w:rPr>
        <w:t xml:space="preserve"> </w:t>
      </w:r>
      <w:bookmarkEnd w:id="19"/>
      <w:r w:rsidRPr="00E5711D" w:rsidR="002A1648">
        <w:rPr>
          <w:i/>
        </w:rPr>
        <w:t xml:space="preserve">Hearing Designation Order, </w:t>
      </w:r>
      <w:bookmarkStart w:id="20" w:name="_Hlk199498833"/>
      <w:r w:rsidRPr="00E5711D" w:rsidR="002A1648">
        <w:rPr>
          <w:i/>
        </w:rPr>
        <w:t>Order to Show Cause Why an Order of Revocation Should not be Issued, and Notice of Opportunity for Hearing</w:t>
      </w:r>
      <w:bookmarkEnd w:id="20"/>
      <w:r w:rsidRPr="00E5711D">
        <w:t xml:space="preserve">, we </w:t>
      </w:r>
      <w:r w:rsidR="005D6BAF">
        <w:t xml:space="preserve">consider the </w:t>
      </w:r>
      <w:r w:rsidR="00664372">
        <w:t>above-</w:t>
      </w:r>
      <w:r w:rsidR="005D6BAF">
        <w:t xml:space="preserve">captioned transfer applications </w:t>
      </w:r>
      <w:r w:rsidRPr="00E5711D" w:rsidR="00664372">
        <w:t>(</w:t>
      </w:r>
      <w:r w:rsidR="00664372">
        <w:t xml:space="preserve">collectively, </w:t>
      </w:r>
      <w:r w:rsidRPr="00E5711D" w:rsidR="00664372">
        <w:t>Transfer Application)</w:t>
      </w:r>
      <w:r>
        <w:rPr>
          <w:rStyle w:val="FootnoteReference"/>
        </w:rPr>
        <w:footnoteReference w:id="3"/>
      </w:r>
      <w:r w:rsidRPr="00E5711D" w:rsidR="00664372">
        <w:rPr>
          <w:szCs w:val="22"/>
        </w:rPr>
        <w:t xml:space="preserve"> </w:t>
      </w:r>
      <w:r w:rsidR="005D6BAF">
        <w:t xml:space="preserve">by which </w:t>
      </w:r>
      <w:r w:rsidRPr="00E5711D" w:rsidR="005D6BAF">
        <w:t>Luz Maria Rygaard (Transferor or Rygaard)</w:t>
      </w:r>
      <w:r w:rsidR="005D6BAF">
        <w:t xml:space="preserve"> seeks Commission consent to </w:t>
      </w:r>
      <w:r w:rsidR="00246C01">
        <w:t xml:space="preserve">the </w:t>
      </w:r>
      <w:r w:rsidR="005D6BAF">
        <w:t xml:space="preserve">transfer </w:t>
      </w:r>
      <w:r w:rsidR="005A1D90">
        <w:t xml:space="preserve">of </w:t>
      </w:r>
      <w:r w:rsidR="005D6BAF">
        <w:t xml:space="preserve">control of </w:t>
      </w:r>
      <w:r w:rsidRPr="00E5711D" w:rsidR="005D6BAF">
        <w:t>97.5 Licensee TX, LLC (97.5 Licensee</w:t>
      </w:r>
      <w:r w:rsidRPr="00E5711D" w:rsidR="005D6BAF">
        <w:rPr>
          <w:szCs w:val="22"/>
        </w:rPr>
        <w:t xml:space="preserve"> </w:t>
      </w:r>
      <w:r w:rsidRPr="00E5711D" w:rsidR="005D6BAF">
        <w:t>or Licensee</w:t>
      </w:r>
      <w:r w:rsidRPr="00E5711D" w:rsidR="005D6BAF">
        <w:rPr>
          <w:szCs w:val="22"/>
        </w:rPr>
        <w:t>)</w:t>
      </w:r>
      <w:r w:rsidR="005D6BAF">
        <w:rPr>
          <w:szCs w:val="22"/>
        </w:rPr>
        <w:t xml:space="preserve"> to</w:t>
      </w:r>
      <w:r w:rsidRPr="00E5711D" w:rsidR="005D6BAF">
        <w:t xml:space="preserve"> Lorena Margarita Peréz Toscano (Transferee or Toscano)</w:t>
      </w:r>
      <w:r w:rsidR="00750036">
        <w:t>.</w:t>
      </w:r>
      <w:r>
        <w:rPr>
          <w:rStyle w:val="FootnoteReference"/>
        </w:rPr>
        <w:footnoteReference w:id="4"/>
      </w:r>
      <w:r w:rsidR="00750036">
        <w:t xml:space="preserve"> </w:t>
      </w:r>
    </w:p>
    <w:p w:rsidR="00750036" w:rsidP="00F87526" w14:paraId="38AE9A6E" w14:textId="3286CABC">
      <w:pPr>
        <w:pStyle w:val="ParaNum"/>
        <w:widowControl/>
      </w:pPr>
      <w:bookmarkStart w:id="21" w:name="_Hlk198732247"/>
      <w:bookmarkStart w:id="22" w:name="_Hlk83209306"/>
      <w:r>
        <w:t xml:space="preserve">After conducting a detailed review of the record in this proceeding, </w:t>
      </w:r>
      <w:r w:rsidR="00EA3D5B">
        <w:t>including</w:t>
      </w:r>
      <w:r>
        <w:t xml:space="preserve"> </w:t>
      </w:r>
      <w:r w:rsidR="00EA3D5B">
        <w:t xml:space="preserve">information and </w:t>
      </w:r>
      <w:r>
        <w:t>material</w:t>
      </w:r>
      <w:r w:rsidR="00EA3D5B">
        <w:t>s</w:t>
      </w:r>
      <w:r>
        <w:t xml:space="preserve"> </w:t>
      </w:r>
      <w:r w:rsidR="00EA3D5B">
        <w:t xml:space="preserve">provided by the </w:t>
      </w:r>
      <w:r w:rsidR="00323ABE">
        <w:t>P</w:t>
      </w:r>
      <w:r w:rsidR="00EA3D5B">
        <w:t xml:space="preserve">arties in response </w:t>
      </w:r>
      <w:r>
        <w:t>to letters of inquiry from t</w:t>
      </w:r>
      <w:r w:rsidRPr="00E5711D" w:rsidR="006C2BFE">
        <w:t>he Media Bureau (Bureau)</w:t>
      </w:r>
      <w:r>
        <w:t xml:space="preserve">, </w:t>
      </w:r>
      <w:r w:rsidR="00323ABE">
        <w:t xml:space="preserve">we </w:t>
      </w:r>
      <w:r w:rsidRPr="002032B9" w:rsidR="002032B9">
        <w:t xml:space="preserve">find that substantial and material questions of fact exist regarding whether </w:t>
      </w:r>
      <w:r w:rsidRPr="00E5711D" w:rsidR="006C2BFE">
        <w:t xml:space="preserve">the Parties have engaged in an unauthorized transfer of control, as well as engaged in misrepresentations and/or lack of candor in </w:t>
      </w:r>
      <w:r w:rsidRPr="00E5711D" w:rsidR="006F6EAC">
        <w:t>their</w:t>
      </w:r>
      <w:r w:rsidRPr="00E5711D" w:rsidR="006C2BFE">
        <w:t xml:space="preserve"> dealings with the Commission</w:t>
      </w:r>
      <w:r>
        <w:t>.  Accordingly, b</w:t>
      </w:r>
      <w:r>
        <w:t>ased on the record before us, we are</w:t>
      </w:r>
      <w:r w:rsidRPr="00E5711D" w:rsidR="003F4250">
        <w:t xml:space="preserve"> unable to </w:t>
      </w:r>
      <w:r>
        <w:t xml:space="preserve">find that grant of the </w:t>
      </w:r>
      <w:r w:rsidR="00664372">
        <w:t xml:space="preserve">Transfer Application </w:t>
      </w:r>
      <w:r w:rsidRPr="00246C01">
        <w:rPr>
          <w:szCs w:val="22"/>
        </w:rPr>
        <w:t xml:space="preserve">would be </w:t>
      </w:r>
      <w:r w:rsidRPr="00E5711D" w:rsidR="004B3E96">
        <w:t xml:space="preserve">consistent with </w:t>
      </w:r>
      <w:r>
        <w:t>the public interest</w:t>
      </w:r>
      <w:r w:rsidR="00664372">
        <w:t>,</w:t>
      </w:r>
      <w:r>
        <w:t xml:space="preserve"> as required by sections </w:t>
      </w:r>
      <w:r w:rsidR="005D670A">
        <w:t>3</w:t>
      </w:r>
      <w:r>
        <w:t>09(a), 309(e), and 310(d) of the Communications Act of 1934, as amended (the Act).</w:t>
      </w:r>
      <w:r>
        <w:rPr>
          <w:rStyle w:val="FootnoteReference"/>
          <w:szCs w:val="22"/>
        </w:rPr>
        <w:footnoteReference w:id="5"/>
      </w:r>
      <w:r w:rsidRPr="00246C01">
        <w:rPr>
          <w:szCs w:val="22"/>
        </w:rPr>
        <w:t xml:space="preserve">  The Transfer Application is being held in abeyance pending resolution of this proceeding.</w:t>
      </w:r>
      <w:r w:rsidRPr="00246C01" w:rsidR="00880523">
        <w:rPr>
          <w:szCs w:val="22"/>
        </w:rPr>
        <w:t xml:space="preserve">  </w:t>
      </w:r>
    </w:p>
    <w:p w:rsidR="005D6BAF" w:rsidRPr="005D6BAF" w:rsidP="00142093" w14:paraId="0E286EA8" w14:textId="3AFB2609">
      <w:pPr>
        <w:pStyle w:val="ParaNum"/>
      </w:pPr>
      <w:r>
        <w:t xml:space="preserve"> </w:t>
      </w:r>
      <w:bookmarkStart w:id="23" w:name="_Hlk116653652"/>
      <w:bookmarkEnd w:id="21"/>
      <w:r>
        <w:t>W</w:t>
      </w:r>
      <w:r w:rsidRPr="00E5711D" w:rsidR="00B34644">
        <w:t xml:space="preserve">ith regard to </w:t>
      </w:r>
      <w:r w:rsidRPr="00E5711D" w:rsidR="003A3BA5">
        <w:t>Rygaard</w:t>
      </w:r>
      <w:r w:rsidRPr="00323ABE" w:rsidR="00B34644">
        <w:rPr>
          <w:szCs w:val="22"/>
        </w:rPr>
        <w:t xml:space="preserve">, </w:t>
      </w:r>
      <w:r w:rsidRPr="00E5711D" w:rsidR="009C7696">
        <w:t xml:space="preserve">the proposed Transferor and </w:t>
      </w:r>
      <w:r w:rsidRPr="00E5711D" w:rsidR="00A45B2E">
        <w:t xml:space="preserve">current </w:t>
      </w:r>
      <w:r w:rsidRPr="00E5711D" w:rsidR="009C7696">
        <w:t>owner of Licens</w:t>
      </w:r>
      <w:r w:rsidRPr="00E5711D" w:rsidR="00187BF1">
        <w:t>e</w:t>
      </w:r>
      <w:r w:rsidRPr="00E5711D" w:rsidR="009C7696">
        <w:t xml:space="preserve">e, </w:t>
      </w:r>
      <w:r>
        <w:t xml:space="preserve">and as discussed in more detail below, </w:t>
      </w:r>
      <w:r w:rsidRPr="00E5711D" w:rsidR="009C7696">
        <w:t xml:space="preserve">we find </w:t>
      </w:r>
      <w:r>
        <w:t>that</w:t>
      </w:r>
      <w:r w:rsidRPr="00E5711D" w:rsidR="00B34644">
        <w:t xml:space="preserve"> substantial and material questions of fact </w:t>
      </w:r>
      <w:r>
        <w:t>exist regarding whether Rygaard</w:t>
      </w:r>
      <w:r w:rsidRPr="00E5711D" w:rsidR="00B34644">
        <w:t xml:space="preserve">:  </w:t>
      </w:r>
      <w:r w:rsidRPr="00323ABE" w:rsidR="00696F00">
        <w:rPr>
          <w:szCs w:val="22"/>
        </w:rPr>
        <w:t>(</w:t>
      </w:r>
      <w:r w:rsidRPr="00E5711D" w:rsidR="00B34644">
        <w:t xml:space="preserve">1) </w:t>
      </w:r>
      <w:bookmarkStart w:id="24" w:name="_Hlk135725788"/>
      <w:r w:rsidRPr="00E5711D" w:rsidR="00CA76D2">
        <w:t>exercise</w:t>
      </w:r>
      <w:r w:rsidRPr="00E5711D" w:rsidR="005E7068">
        <w:t>s</w:t>
      </w:r>
      <w:r w:rsidRPr="00E5711D" w:rsidR="00B34644">
        <w:t xml:space="preserve"> control of the Stations consistent with the Act and the Rules</w:t>
      </w:r>
      <w:bookmarkEnd w:id="24"/>
      <w:r w:rsidR="002438B8">
        <w:t>;</w:t>
      </w:r>
      <w:r w:rsidRPr="00E5711D" w:rsidR="00CA76D2">
        <w:t xml:space="preserve"> </w:t>
      </w:r>
      <w:r w:rsidR="002438B8">
        <w:t>(2)</w:t>
      </w:r>
      <w:r w:rsidRPr="00E5711D" w:rsidR="00B34644">
        <w:t xml:space="preserve"> engaged in an unauthorized transfer of control in violation of section 310 of the Act</w:t>
      </w:r>
      <w:r w:rsidRPr="00323ABE" w:rsidR="00B34644">
        <w:rPr>
          <w:szCs w:val="22"/>
        </w:rPr>
        <w:t>;</w:t>
      </w:r>
      <w:r>
        <w:rPr>
          <w:rStyle w:val="FootnoteReference"/>
        </w:rPr>
        <w:footnoteReference w:id="6"/>
      </w:r>
      <w:r w:rsidRPr="00323ABE" w:rsidR="00B34644">
        <w:rPr>
          <w:szCs w:val="22"/>
        </w:rPr>
        <w:t xml:space="preserve"> </w:t>
      </w:r>
      <w:r w:rsidRPr="00E5711D" w:rsidR="00696F00">
        <w:t>(</w:t>
      </w:r>
      <w:r w:rsidR="002438B8">
        <w:t>3</w:t>
      </w:r>
      <w:r w:rsidRPr="00E5711D" w:rsidR="00696F00">
        <w:t xml:space="preserve">) </w:t>
      </w:r>
      <w:r w:rsidR="002438B8">
        <w:t>engaged in misrepresentation</w:t>
      </w:r>
      <w:r w:rsidRPr="00E5711D" w:rsidR="004741A4">
        <w:t xml:space="preserve"> and</w:t>
      </w:r>
      <w:r w:rsidRPr="00E5711D" w:rsidR="00EF318D">
        <w:t>/or</w:t>
      </w:r>
      <w:r w:rsidRPr="00E5711D" w:rsidR="004741A4">
        <w:t xml:space="preserve"> lack</w:t>
      </w:r>
      <w:r w:rsidR="002438B8">
        <w:t xml:space="preserve"> of</w:t>
      </w:r>
      <w:r w:rsidRPr="00E5711D" w:rsidR="004741A4">
        <w:t xml:space="preserve"> candor</w:t>
      </w:r>
      <w:r w:rsidR="002438B8">
        <w:t xml:space="preserve"> before the Commission</w:t>
      </w:r>
      <w:r w:rsidRPr="00E5711D" w:rsidR="00B34644">
        <w:t xml:space="preserve">, including in the </w:t>
      </w:r>
      <w:r w:rsidRPr="00E5711D" w:rsidR="00DA79BA">
        <w:t xml:space="preserve">Transfer Application </w:t>
      </w:r>
      <w:r w:rsidRPr="00E5711D" w:rsidR="00B34644">
        <w:t xml:space="preserve">and in </w:t>
      </w:r>
      <w:r w:rsidRPr="00E5711D" w:rsidR="004741A4">
        <w:t>re</w:t>
      </w:r>
      <w:r w:rsidRPr="00E5711D" w:rsidR="00B34644">
        <w:t>sponse</w:t>
      </w:r>
      <w:r w:rsidRPr="00E5711D" w:rsidR="004741A4">
        <w:t xml:space="preserve"> to the Bureau’s inquiries</w:t>
      </w:r>
      <w:bookmarkStart w:id="25" w:name="_Hlk192604317"/>
      <w:r w:rsidRPr="00E5711D" w:rsidR="00696F00">
        <w:t>; and (</w:t>
      </w:r>
      <w:r w:rsidR="002438B8">
        <w:t>4</w:t>
      </w:r>
      <w:r w:rsidRPr="00E5711D" w:rsidR="00696F00">
        <w:t>)</w:t>
      </w:r>
      <w:r w:rsidRPr="00E5711D" w:rsidR="00D37791">
        <w:t xml:space="preserve"> </w:t>
      </w:r>
      <w:r w:rsidR="002438B8">
        <w:t xml:space="preserve">given these apparent violations, </w:t>
      </w:r>
      <w:r w:rsidRPr="00E5711D" w:rsidR="00D37791">
        <w:t xml:space="preserve">has the qualifications to be and remain a </w:t>
      </w:r>
      <w:r w:rsidRPr="00E5711D" w:rsidR="00696F00">
        <w:t>Commission licensee</w:t>
      </w:r>
      <w:bookmarkEnd w:id="25"/>
      <w:r w:rsidRPr="00323ABE" w:rsidR="006B2DE5">
        <w:rPr>
          <w:szCs w:val="22"/>
        </w:rPr>
        <w:t>.</w:t>
      </w:r>
      <w:r>
        <w:rPr>
          <w:rStyle w:val="FootnoteReference"/>
        </w:rPr>
        <w:footnoteReference w:id="7"/>
      </w:r>
      <w:r w:rsidRPr="00323ABE" w:rsidR="007659A5">
        <w:rPr>
          <w:szCs w:val="22"/>
        </w:rPr>
        <w:t xml:space="preserve"> </w:t>
      </w:r>
      <w:r w:rsidRPr="00323ABE" w:rsidR="00A45B2E">
        <w:rPr>
          <w:szCs w:val="22"/>
        </w:rPr>
        <w:t xml:space="preserve"> </w:t>
      </w:r>
      <w:bookmarkStart w:id="27" w:name="_Hlk116649187"/>
      <w:bookmarkStart w:id="28" w:name="_Hlk135821859"/>
    </w:p>
    <w:p w:rsidR="005D6BAF" w:rsidP="00EE18B6" w14:paraId="6721FB49" w14:textId="1AA53DFC">
      <w:pPr>
        <w:pStyle w:val="ParaNum"/>
      </w:pPr>
      <w:r w:rsidRPr="00E5711D">
        <w:t xml:space="preserve">With regard to </w:t>
      </w:r>
      <w:r w:rsidRPr="00E5711D" w:rsidR="003A3BA5">
        <w:t>Toscano</w:t>
      </w:r>
      <w:r w:rsidRPr="00E5711D">
        <w:rPr>
          <w:szCs w:val="22"/>
        </w:rPr>
        <w:t xml:space="preserve">, </w:t>
      </w:r>
      <w:r w:rsidRPr="00E5711D" w:rsidR="003A3BA5">
        <w:t>the proposed Transferee</w:t>
      </w:r>
      <w:r w:rsidRPr="00E5711D">
        <w:t xml:space="preserve">, </w:t>
      </w:r>
      <w:r>
        <w:t xml:space="preserve">and as discussed in more detail below, </w:t>
      </w:r>
      <w:r w:rsidRPr="00E5711D">
        <w:t xml:space="preserve">we find that substantial and material questions of fact </w:t>
      </w:r>
      <w:r>
        <w:t xml:space="preserve">exist regarding </w:t>
      </w:r>
      <w:r w:rsidRPr="00E5711D">
        <w:t>whether</w:t>
      </w:r>
      <w:r>
        <w:t xml:space="preserve"> Toscano</w:t>
      </w:r>
      <w:r w:rsidRPr="00E5711D" w:rsidR="00640D9B">
        <w:rPr>
          <w:szCs w:val="22"/>
        </w:rPr>
        <w:t xml:space="preserve">: </w:t>
      </w:r>
      <w:r w:rsidRPr="00E5711D">
        <w:rPr>
          <w:szCs w:val="22"/>
        </w:rPr>
        <w:t xml:space="preserve"> </w:t>
      </w:r>
      <w:r w:rsidRPr="00E5711D" w:rsidR="00277A96">
        <w:t xml:space="preserve">(1) </w:t>
      </w:r>
      <w:r w:rsidRPr="00E5711D">
        <w:t>exercise</w:t>
      </w:r>
      <w:r>
        <w:t>s</w:t>
      </w:r>
      <w:r w:rsidRPr="00E5711D">
        <w:t xml:space="preserve"> </w:t>
      </w:r>
      <w:r w:rsidRPr="00E5711D">
        <w:rPr>
          <w:i/>
        </w:rPr>
        <w:t xml:space="preserve">de facto </w:t>
      </w:r>
      <w:r w:rsidRPr="00E5711D">
        <w:t xml:space="preserve">control </w:t>
      </w:r>
      <w:r>
        <w:t>of</w:t>
      </w:r>
      <w:r w:rsidRPr="00E5711D">
        <w:t xml:space="preserve"> </w:t>
      </w:r>
      <w:r w:rsidRPr="00E5711D">
        <w:t>the Stations</w:t>
      </w:r>
      <w:bookmarkStart w:id="29" w:name="_Hlk135813737"/>
      <w:bookmarkEnd w:id="27"/>
      <w:r w:rsidRPr="00E5711D" w:rsidR="00277A96">
        <w:rPr>
          <w:szCs w:val="22"/>
        </w:rPr>
        <w:t xml:space="preserve">; </w:t>
      </w:r>
      <w:r w:rsidRPr="00E5711D">
        <w:rPr>
          <w:szCs w:val="22"/>
        </w:rPr>
        <w:t>(</w:t>
      </w:r>
      <w:r w:rsidRPr="00E5711D" w:rsidR="00277A96">
        <w:t>2</w:t>
      </w:r>
      <w:r w:rsidRPr="00E5711D">
        <w:t xml:space="preserve">) </w:t>
      </w:r>
      <w:r>
        <w:t>participated in an unauthorized transfer of control</w:t>
      </w:r>
      <w:r w:rsidRPr="002438B8" w:rsidR="002438B8">
        <w:t xml:space="preserve"> </w:t>
      </w:r>
      <w:r w:rsidRPr="00E5711D" w:rsidR="002438B8">
        <w:t>in violation of section 310 of the Act</w:t>
      </w:r>
      <w:r>
        <w:t>;</w:t>
      </w:r>
      <w:r>
        <w:rPr>
          <w:rStyle w:val="FootnoteReference"/>
        </w:rPr>
        <w:footnoteReference w:id="8"/>
      </w:r>
      <w:r>
        <w:t xml:space="preserve"> (3) engaged in </w:t>
      </w:r>
      <w:r w:rsidRPr="00E5711D">
        <w:t>misrepresent</w:t>
      </w:r>
      <w:r>
        <w:t>ation</w:t>
      </w:r>
      <w:r w:rsidRPr="00E5711D">
        <w:t xml:space="preserve"> and</w:t>
      </w:r>
      <w:r w:rsidRPr="00E5711D" w:rsidR="00EF318D">
        <w:t>/or</w:t>
      </w:r>
      <w:r w:rsidRPr="00E5711D">
        <w:t xml:space="preserve"> lack</w:t>
      </w:r>
      <w:r>
        <w:t xml:space="preserve"> of </w:t>
      </w:r>
      <w:r w:rsidRPr="00E5711D">
        <w:t>candor</w:t>
      </w:r>
      <w:r>
        <w:t xml:space="preserve"> before the Commission</w:t>
      </w:r>
      <w:r w:rsidRPr="00E5711D" w:rsidR="002438B8">
        <w:t>, including in the Transfer Application and in response to the Bureau’s inquiries</w:t>
      </w:r>
      <w:r w:rsidRPr="00E5711D">
        <w:t>; and (</w:t>
      </w:r>
      <w:r>
        <w:t>4</w:t>
      </w:r>
      <w:r w:rsidRPr="00E5711D">
        <w:rPr>
          <w:szCs w:val="22"/>
        </w:rPr>
        <w:t xml:space="preserve">) </w:t>
      </w:r>
      <w:r>
        <w:rPr>
          <w:szCs w:val="22"/>
        </w:rPr>
        <w:t>given these apparent violations, ha</w:t>
      </w:r>
      <w:r w:rsidR="002438B8">
        <w:rPr>
          <w:szCs w:val="22"/>
        </w:rPr>
        <w:t>s</w:t>
      </w:r>
      <w:r>
        <w:rPr>
          <w:szCs w:val="22"/>
        </w:rPr>
        <w:t xml:space="preserve"> the qualifications to become </w:t>
      </w:r>
      <w:r w:rsidRPr="00E5711D" w:rsidR="009A3FC8">
        <w:t xml:space="preserve">a </w:t>
      </w:r>
      <w:r w:rsidRPr="00E5711D">
        <w:t xml:space="preserve">Commission licensee.  </w:t>
      </w:r>
      <w:bookmarkEnd w:id="22"/>
      <w:bookmarkEnd w:id="29"/>
    </w:p>
    <w:p w:rsidR="007542E0" w:rsidRPr="00E5711D" w:rsidP="00AF5177" w14:paraId="2A45EEBD" w14:textId="216BF9E5">
      <w:pPr>
        <w:pStyle w:val="ParaNum"/>
        <w:widowControl/>
      </w:pPr>
      <w:r>
        <w:t>We t</w:t>
      </w:r>
      <w:r w:rsidRPr="00E5711D" w:rsidR="000919B0">
        <w:t>herefore</w:t>
      </w:r>
      <w:r>
        <w:t xml:space="preserve"> find that a hearing is necessary and </w:t>
      </w:r>
      <w:r w:rsidRPr="00E5711D" w:rsidR="006B2DE5">
        <w:t xml:space="preserve">issue this </w:t>
      </w:r>
      <w:r w:rsidRPr="00E5711D" w:rsidR="006B2DE5">
        <w:rPr>
          <w:i/>
        </w:rPr>
        <w:t>Hearing Designation Order</w:t>
      </w:r>
      <w:r w:rsidRPr="00E5711D" w:rsidR="005E7068">
        <w:rPr>
          <w:i/>
        </w:rPr>
        <w:t>, Order to Show Cause Why an Order of Revocation Should not be Issued, and Notice of Opportunity for Hearing</w:t>
      </w:r>
      <w:r w:rsidRPr="00E5711D" w:rsidR="005E7068">
        <w:rPr>
          <w:szCs w:val="22"/>
        </w:rPr>
        <w:t xml:space="preserve"> </w:t>
      </w:r>
      <w:r w:rsidR="00750036">
        <w:rPr>
          <w:szCs w:val="22"/>
        </w:rPr>
        <w:t xml:space="preserve">consistent with </w:t>
      </w:r>
      <w:r w:rsidRPr="00E5711D" w:rsidR="00750036">
        <w:t>sections 309(e)</w:t>
      </w:r>
      <w:r w:rsidRPr="00E5711D" w:rsidR="00750036">
        <w:rPr>
          <w:szCs w:val="22"/>
        </w:rPr>
        <w:t xml:space="preserve">, </w:t>
      </w:r>
      <w:r w:rsidRPr="00E5711D" w:rsidR="00750036">
        <w:t>310(d), 312</w:t>
      </w:r>
      <w:r w:rsidRPr="00E5711D" w:rsidR="00750036">
        <w:rPr>
          <w:szCs w:val="22"/>
        </w:rPr>
        <w:t>(</w:t>
      </w:r>
      <w:r w:rsidRPr="00E5711D" w:rsidR="00750036">
        <w:t>a</w:t>
      </w:r>
      <w:r w:rsidRPr="00E5711D" w:rsidR="00750036">
        <w:rPr>
          <w:szCs w:val="22"/>
        </w:rPr>
        <w:t xml:space="preserve">), </w:t>
      </w:r>
      <w:r w:rsidRPr="00E5711D" w:rsidR="00750036">
        <w:t>and 312(c</w:t>
      </w:r>
      <w:r w:rsidRPr="00E5711D" w:rsidR="00750036">
        <w:rPr>
          <w:szCs w:val="22"/>
        </w:rPr>
        <w:t>)</w:t>
      </w:r>
      <w:r w:rsidRPr="00E5711D" w:rsidR="00750036">
        <w:t xml:space="preserve"> of the Act </w:t>
      </w:r>
      <w:r w:rsidRPr="00E5711D" w:rsidR="006B2DE5">
        <w:t xml:space="preserve">to </w:t>
      </w:r>
      <w:r w:rsidR="00750036">
        <w:t xml:space="preserve">determine </w:t>
      </w:r>
      <w:r>
        <w:t>whether (a) the licenses of the Stations should be revoked; and (b) whether the captioned Transfer Applications should be granted, dismissed, or denied.</w:t>
      </w:r>
      <w:r>
        <w:rPr>
          <w:rStyle w:val="FootnoteReference"/>
        </w:rPr>
        <w:footnoteReference w:id="9"/>
      </w:r>
      <w:r w:rsidR="002438B8">
        <w:t xml:space="preserve">  </w:t>
      </w:r>
      <w:r w:rsidRPr="00E5711D" w:rsidR="004E3CA6">
        <w:rPr>
          <w:szCs w:val="22"/>
        </w:rPr>
        <w:t xml:space="preserve">  </w:t>
      </w:r>
    </w:p>
    <w:p w:rsidR="00426FF5" w:rsidRPr="00E5711D" w:rsidP="008773F6" w14:paraId="66A43EE8" w14:textId="41A483C3">
      <w:pPr>
        <w:pStyle w:val="Heading1"/>
        <w:keepNext w:val="0"/>
        <w:suppressAutoHyphens w:val="0"/>
        <w:rPr>
          <w:rFonts w:ascii="Times New Roman" w:hAnsi="Times New Roman"/>
          <w:szCs w:val="22"/>
        </w:rPr>
      </w:pPr>
      <w:bookmarkStart w:id="30" w:name="_Toc142319592"/>
      <w:bookmarkStart w:id="31" w:name="_Toc142319958"/>
      <w:bookmarkStart w:id="32" w:name="_Toc142319989"/>
      <w:bookmarkStart w:id="33" w:name="_Toc142565402"/>
      <w:bookmarkStart w:id="34" w:name="_Toc197085151"/>
      <w:bookmarkStart w:id="35" w:name="_Toc197093810"/>
      <w:bookmarkStart w:id="36" w:name="_Toc199497968"/>
      <w:bookmarkStart w:id="37" w:name="_Toc199498111"/>
      <w:bookmarkStart w:id="38" w:name="_Toc199761779"/>
      <w:bookmarkStart w:id="39" w:name="_Toc199778021"/>
      <w:bookmarkStart w:id="40" w:name="_Toc201584576"/>
      <w:bookmarkStart w:id="41" w:name="_Toc202182782"/>
      <w:bookmarkStart w:id="42" w:name="_Toc209708327"/>
      <w:bookmarkStart w:id="43" w:name="_Toc210117695"/>
      <w:bookmarkStart w:id="44" w:name="_Toc219206058"/>
      <w:bookmarkStart w:id="45" w:name="_Toc219206799"/>
      <w:bookmarkEnd w:id="23"/>
      <w:bookmarkEnd w:id="28"/>
      <w:r w:rsidRPr="00E5711D">
        <w:rPr>
          <w:rFonts w:ascii="Times New Roman" w:hAnsi="Times New Roman"/>
          <w:szCs w:val="22"/>
        </w:rPr>
        <w:t>BACKGROUND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8D5C63" w:rsidRPr="001557E5" w:rsidP="00927F88" w14:paraId="3B653866" w14:textId="4F6C16A9">
      <w:pPr>
        <w:pStyle w:val="ParaNum"/>
        <w:widowControl/>
      </w:pPr>
      <w:r w:rsidRPr="00B61A42">
        <w:t xml:space="preserve">This </w:t>
      </w:r>
      <w:r w:rsidRPr="00B61A42" w:rsidR="009D22B1">
        <w:t>matter stems</w:t>
      </w:r>
      <w:r w:rsidRPr="00B61A42">
        <w:t xml:space="preserve"> from a Bureau investigation into </w:t>
      </w:r>
      <w:r w:rsidRPr="00B61A42" w:rsidR="007F4F5F">
        <w:t xml:space="preserve">the above-captioned Transfer Application by which the Parties </w:t>
      </w:r>
      <w:r w:rsidRPr="00B61A42">
        <w:t xml:space="preserve">have </w:t>
      </w:r>
      <w:r w:rsidRPr="00B61A42" w:rsidR="007F4F5F">
        <w:t xml:space="preserve">sought Commission approval </w:t>
      </w:r>
      <w:r w:rsidRPr="00B61A42" w:rsidR="00927F88">
        <w:t>for</w:t>
      </w:r>
      <w:r w:rsidRPr="00B61A42" w:rsidR="007F4F5F">
        <w:t xml:space="preserve"> the transfer of control of 97.5 License</w:t>
      </w:r>
      <w:r w:rsidRPr="00B61A42" w:rsidR="008643C6">
        <w:t>e</w:t>
      </w:r>
      <w:r w:rsidRPr="00B61A42" w:rsidR="007F4F5F">
        <w:t xml:space="preserve"> and the</w:t>
      </w:r>
      <w:r w:rsidRPr="00B61A42" w:rsidR="001F4F66">
        <w:rPr>
          <w:szCs w:val="22"/>
        </w:rPr>
        <w:t xml:space="preserve"> </w:t>
      </w:r>
      <w:r w:rsidRPr="00B61A42" w:rsidR="00E31C17">
        <w:t xml:space="preserve">broadcast </w:t>
      </w:r>
      <w:r w:rsidRPr="00B61A42" w:rsidR="00061299">
        <w:t>licenses</w:t>
      </w:r>
      <w:r w:rsidRPr="00B61A42" w:rsidR="00D27892">
        <w:t xml:space="preserve"> it holds</w:t>
      </w:r>
      <w:r w:rsidRPr="00B61A42" w:rsidR="00045A97">
        <w:rPr>
          <w:szCs w:val="22"/>
        </w:rPr>
        <w:t xml:space="preserve"> </w:t>
      </w:r>
      <w:r w:rsidRPr="00B61A42" w:rsidR="00E31C17">
        <w:t xml:space="preserve">(i.e., the Stations) </w:t>
      </w:r>
      <w:r w:rsidRPr="00B61A42" w:rsidR="007F4F5F">
        <w:t>from Rygaard to Toscano.</w:t>
      </w:r>
      <w:r w:rsidRPr="00B61A42" w:rsidR="00A5738A">
        <w:rPr>
          <w:szCs w:val="22"/>
        </w:rPr>
        <w:t xml:space="preserve">  </w:t>
      </w:r>
      <w:r w:rsidRPr="00B61A42" w:rsidR="00A5738A">
        <w:t>Contemporaneously with the submission of the Transfer Application, the Parties also filed a related Petition for Declaratory Ruling (P</w:t>
      </w:r>
      <w:r w:rsidRPr="00B61A42" w:rsidR="00AA30B8">
        <w:t>etition</w:t>
      </w:r>
      <w:r w:rsidRPr="00B61A42" w:rsidR="00A5738A">
        <w:t>) seeking</w:t>
      </w:r>
      <w:r w:rsidRPr="00B61A42" w:rsidR="006B5D97">
        <w:t xml:space="preserve"> Commission </w:t>
      </w:r>
      <w:r w:rsidRPr="00B61A42" w:rsidR="00A5738A">
        <w:t xml:space="preserve">approval for 100% indirect foreign ownership </w:t>
      </w:r>
      <w:r w:rsidRPr="00B61A42" w:rsidR="00772CC6">
        <w:t xml:space="preserve">of the </w:t>
      </w:r>
      <w:r w:rsidRPr="00B61A42" w:rsidR="00F96177">
        <w:t>S</w:t>
      </w:r>
      <w:r w:rsidRPr="00B61A42" w:rsidR="00772CC6">
        <w:t xml:space="preserve">tations </w:t>
      </w:r>
      <w:r w:rsidRPr="00B61A42" w:rsidR="00A5738A">
        <w:t>as Toscano is a Mexican citizen</w:t>
      </w:r>
      <w:r w:rsidRPr="00B61A42" w:rsidR="00A5738A">
        <w:rPr>
          <w:szCs w:val="22"/>
        </w:rPr>
        <w:t>.</w:t>
      </w:r>
      <w:r>
        <w:rPr>
          <w:rStyle w:val="FootnoteReference"/>
        </w:rPr>
        <w:footnoteReference w:id="10"/>
      </w:r>
      <w:r w:rsidRPr="00B61A42">
        <w:rPr>
          <w:szCs w:val="22"/>
        </w:rPr>
        <w:t xml:space="preserve"> </w:t>
      </w:r>
    </w:p>
    <w:p w:rsidR="009972AF" w:rsidRPr="00E5711D" w:rsidP="001F086A" w14:paraId="733DA1D6" w14:textId="77777777">
      <w:pPr>
        <w:pStyle w:val="Heading2"/>
      </w:pPr>
      <w:bookmarkStart w:id="46" w:name="_Toc197085152"/>
      <w:bookmarkStart w:id="47" w:name="_Toc197093811"/>
      <w:bookmarkStart w:id="48" w:name="_Toc199497969"/>
      <w:bookmarkStart w:id="49" w:name="_Toc199498112"/>
      <w:bookmarkStart w:id="50" w:name="_Toc199761780"/>
      <w:bookmarkStart w:id="51" w:name="_Toc199778022"/>
      <w:bookmarkStart w:id="52" w:name="_Toc201584577"/>
      <w:bookmarkStart w:id="53" w:name="_Toc202182783"/>
      <w:bookmarkStart w:id="54" w:name="_Toc209708329"/>
      <w:bookmarkStart w:id="55" w:name="_Toc210117697"/>
      <w:bookmarkStart w:id="56" w:name="_Toc219206059"/>
      <w:bookmarkStart w:id="57" w:name="_Toc219206800"/>
      <w:r w:rsidRPr="00E5711D">
        <w:t>Factual Background</w:t>
      </w:r>
      <w:bookmarkEnd w:id="46"/>
      <w:bookmarkEnd w:id="47"/>
      <w:bookmarkEnd w:id="48"/>
      <w:bookmarkEnd w:id="49"/>
      <w:bookmarkEnd w:id="50"/>
      <w:bookmarkEnd w:id="51"/>
      <w:bookmarkEnd w:id="52"/>
      <w:bookmarkEnd w:id="53"/>
      <w:bookmarkEnd w:id="54"/>
      <w:bookmarkEnd w:id="55"/>
      <w:bookmarkEnd w:id="56"/>
      <w:bookmarkEnd w:id="57"/>
    </w:p>
    <w:p w:rsidR="00474B9B" w:rsidP="00474B9B" w14:paraId="59814717" w14:textId="385631EB">
      <w:pPr>
        <w:pStyle w:val="Heading3"/>
      </w:pPr>
      <w:bookmarkStart w:id="58" w:name="_Toc209708330"/>
      <w:bookmarkStart w:id="59" w:name="_Toc210117698"/>
      <w:bookmarkStart w:id="60" w:name="_Toc219206060"/>
      <w:bookmarkStart w:id="61" w:name="_Toc219206801"/>
      <w:r>
        <w:t>The Stations.</w:t>
      </w:r>
      <w:bookmarkEnd w:id="58"/>
      <w:bookmarkEnd w:id="59"/>
      <w:bookmarkEnd w:id="60"/>
      <w:bookmarkEnd w:id="61"/>
    </w:p>
    <w:p w:rsidR="00474B9B" w:rsidRPr="00474B9B" w14:paraId="4F91195E" w14:textId="0EE76B46">
      <w:pPr>
        <w:pStyle w:val="ParaNum"/>
      </w:pPr>
      <w:r>
        <w:t xml:space="preserve">The three Stations that are the subject of the Transfer Application, </w:t>
      </w:r>
      <w:r w:rsidRPr="00A77435">
        <w:t>KBNA-FM, KAMA(AM)</w:t>
      </w:r>
      <w:r>
        <w:t xml:space="preserve">, </w:t>
      </w:r>
      <w:r w:rsidRPr="00A77435">
        <w:t xml:space="preserve">and KQBU(AM), </w:t>
      </w:r>
      <w:r>
        <w:t xml:space="preserve">are each licensed to </w:t>
      </w:r>
      <w:r w:rsidRPr="00A77435">
        <w:t>El Paso, Texas</w:t>
      </w:r>
      <w:r>
        <w:t xml:space="preserve">, and compete in the El Paso </w:t>
      </w:r>
      <w:r w:rsidR="00D222EF">
        <w:t>r</w:t>
      </w:r>
      <w:r>
        <w:t xml:space="preserve">adio market.  </w:t>
      </w:r>
      <w:r w:rsidR="00561A4C">
        <w:t>According to the BIA Market Report provided by the Parties as part of the Transfer Application</w:t>
      </w:r>
      <w:r>
        <w:t xml:space="preserve">, </w:t>
      </w:r>
      <w:r w:rsidR="00D222EF">
        <w:t xml:space="preserve">the </w:t>
      </w:r>
      <w:r w:rsidRPr="00D222EF">
        <w:rPr>
          <w:szCs w:val="22"/>
        </w:rPr>
        <w:t>market contain</w:t>
      </w:r>
      <w:r w:rsidR="002E2357">
        <w:rPr>
          <w:szCs w:val="22"/>
        </w:rPr>
        <w:t>s</w:t>
      </w:r>
      <w:r w:rsidRPr="00D222EF">
        <w:rPr>
          <w:szCs w:val="22"/>
        </w:rPr>
        <w:t xml:space="preserve"> a total of 36 commercial and noncommercial full‐power </w:t>
      </w:r>
      <w:r w:rsidR="00A640DC">
        <w:rPr>
          <w:szCs w:val="22"/>
        </w:rPr>
        <w:t xml:space="preserve">radio </w:t>
      </w:r>
      <w:r w:rsidRPr="00D222EF">
        <w:rPr>
          <w:szCs w:val="22"/>
        </w:rPr>
        <w:t xml:space="preserve">stations </w:t>
      </w:r>
      <w:r w:rsidR="00D222EF">
        <w:rPr>
          <w:szCs w:val="22"/>
        </w:rPr>
        <w:t>i</w:t>
      </w:r>
      <w:r>
        <w:t>ncluding the Stations</w:t>
      </w:r>
      <w:r w:rsidR="00D222EF">
        <w:t>.</w:t>
      </w:r>
      <w:r>
        <w:rPr>
          <w:rStyle w:val="FootnoteReference"/>
          <w:szCs w:val="22"/>
        </w:rPr>
        <w:footnoteReference w:id="11"/>
      </w:r>
      <w:r w:rsidR="00D222EF">
        <w:t xml:space="preserve">  Of those 36 </w:t>
      </w:r>
      <w:r w:rsidR="00A640DC">
        <w:t xml:space="preserve">total </w:t>
      </w:r>
      <w:r w:rsidR="00D222EF">
        <w:t xml:space="preserve">stations, </w:t>
      </w:r>
      <w:r>
        <w:t xml:space="preserve">24 </w:t>
      </w:r>
      <w:r w:rsidR="00D222EF">
        <w:t xml:space="preserve">are licensed by the United States and </w:t>
      </w:r>
      <w:r>
        <w:t xml:space="preserve">12 </w:t>
      </w:r>
      <w:r w:rsidR="00D222EF">
        <w:t>are</w:t>
      </w:r>
      <w:r>
        <w:t xml:space="preserve"> licensed </w:t>
      </w:r>
      <w:r w:rsidR="00D222EF">
        <w:t xml:space="preserve">by Mexico to serve Ciudad Juarez, Mexico.  </w:t>
      </w:r>
      <w:r w:rsidR="00A640DC">
        <w:t>T</w:t>
      </w:r>
      <w:r w:rsidR="00561A4C">
        <w:t xml:space="preserve">he BIA Market Report </w:t>
      </w:r>
      <w:r w:rsidR="002E2357">
        <w:t xml:space="preserve">further </w:t>
      </w:r>
      <w:r w:rsidR="00561A4C">
        <w:t xml:space="preserve">indicates that </w:t>
      </w:r>
      <w:r w:rsidR="00D222EF">
        <w:t xml:space="preserve">an entity named “Grupo Radio Centro” is the </w:t>
      </w:r>
      <w:r w:rsidR="00561A4C">
        <w:t>owner</w:t>
      </w:r>
      <w:r w:rsidR="00D222EF">
        <w:t xml:space="preserve"> of four </w:t>
      </w:r>
      <w:r w:rsidR="00237F2F">
        <w:t xml:space="preserve">of the Mexican </w:t>
      </w:r>
      <w:r w:rsidR="00D222EF">
        <w:t>radio stations in the market.</w:t>
      </w:r>
      <w:r>
        <w:rPr>
          <w:rStyle w:val="FootnoteReference"/>
        </w:rPr>
        <w:footnoteReference w:id="12"/>
      </w:r>
      <w:r w:rsidR="00D222EF">
        <w:t xml:space="preserve">  </w:t>
      </w:r>
    </w:p>
    <w:p w:rsidR="009972AF" w:rsidRPr="009972AF" w:rsidP="009972AF" w14:paraId="04219468" w14:textId="2A7264FB">
      <w:pPr>
        <w:pStyle w:val="Heading3"/>
      </w:pPr>
      <w:bookmarkStart w:id="62" w:name="_Toc209708331"/>
      <w:bookmarkStart w:id="63" w:name="_Toc210117699"/>
      <w:bookmarkStart w:id="64" w:name="_Toc219206061"/>
      <w:bookmarkStart w:id="65" w:name="_Toc219206802"/>
      <w:r>
        <w:t>The Parties</w:t>
      </w:r>
      <w:bookmarkEnd w:id="62"/>
      <w:bookmarkEnd w:id="63"/>
      <w:bookmarkEnd w:id="64"/>
      <w:bookmarkEnd w:id="65"/>
    </w:p>
    <w:p w:rsidR="005674A1" w14:paraId="0043EC67" w14:textId="11C8201F">
      <w:pPr>
        <w:pStyle w:val="ParaNum"/>
      </w:pPr>
      <w:r w:rsidRPr="00B40809">
        <w:rPr>
          <w:i/>
          <w:iCs/>
        </w:rPr>
        <w:t xml:space="preserve">97.5 Licensee TX, LLC </w:t>
      </w:r>
      <w:r>
        <w:rPr>
          <w:i/>
          <w:iCs/>
        </w:rPr>
        <w:t>and</w:t>
      </w:r>
      <w:r w:rsidRPr="00B40809">
        <w:rPr>
          <w:i/>
          <w:iCs/>
        </w:rPr>
        <w:t xml:space="preserve"> Luz Maria Rygaard</w:t>
      </w:r>
      <w:r w:rsidRPr="009972AF" w:rsidR="001B78B4">
        <w:t xml:space="preserve">.  </w:t>
      </w:r>
      <w:r w:rsidR="00D222EF">
        <w:t xml:space="preserve">The Stations are currently licensed to </w:t>
      </w:r>
      <w:r w:rsidRPr="009972AF" w:rsidR="001B78B4">
        <w:t>97</w:t>
      </w:r>
      <w:r w:rsidRPr="001B78B4" w:rsidR="001B78B4">
        <w:t>.5 Licensee</w:t>
      </w:r>
      <w:r>
        <w:t xml:space="preserve">, </w:t>
      </w:r>
      <w:r w:rsidRPr="001B78B4">
        <w:t xml:space="preserve">a </w:t>
      </w:r>
      <w:r w:rsidRPr="00B61A42">
        <w:t>Texas limited liability company</w:t>
      </w:r>
      <w:r>
        <w:t xml:space="preserve">, </w:t>
      </w:r>
      <w:r w:rsidR="00D222EF">
        <w:t xml:space="preserve">whose </w:t>
      </w:r>
      <w:r w:rsidRPr="00B61A42" w:rsidR="001B78B4">
        <w:t xml:space="preserve">sole member </w:t>
      </w:r>
      <w:r w:rsidR="001B78B4">
        <w:t xml:space="preserve">is </w:t>
      </w:r>
      <w:r w:rsidRPr="00B61A42" w:rsidR="001B78B4">
        <w:t>97.5 Holdings TX, Inc. (97.5 Holdings), a Texas corporation</w:t>
      </w:r>
      <w:r w:rsidR="00D222EF">
        <w:t xml:space="preserve">.  97.5 Holdings </w:t>
      </w:r>
      <w:r w:rsidR="001B78B4">
        <w:t>holds</w:t>
      </w:r>
      <w:r w:rsidRPr="00B61A42" w:rsidR="001B78B4">
        <w:t xml:space="preserve"> 100% of the equity and voting interest of the Licensee</w:t>
      </w:r>
      <w:r w:rsidRPr="00B61A42">
        <w:t xml:space="preserve">.  In turn, Rygaard is the sole shareholder of 97.5 Holdings, owning 100% of the equity and voting interest of </w:t>
      </w:r>
      <w:r w:rsidR="00C20339">
        <w:t>97.5 Holdings</w:t>
      </w:r>
      <w:r w:rsidR="001B78B4">
        <w:t xml:space="preserve">, and hence </w:t>
      </w:r>
      <w:r w:rsidR="00506435">
        <w:t xml:space="preserve">has </w:t>
      </w:r>
      <w:r w:rsidR="001B78B4">
        <w:t xml:space="preserve">full </w:t>
      </w:r>
      <w:r w:rsidR="00506435">
        <w:rPr>
          <w:i/>
          <w:iCs/>
        </w:rPr>
        <w:t xml:space="preserve">de </w:t>
      </w:r>
      <w:r w:rsidRPr="00506435" w:rsidR="00506435">
        <w:rPr>
          <w:i/>
          <w:iCs/>
        </w:rPr>
        <w:t>jure</w:t>
      </w:r>
      <w:r w:rsidR="001B78B4">
        <w:t xml:space="preserve"> control of 97.5 Licensee</w:t>
      </w:r>
      <w:r>
        <w:t>.</w:t>
      </w:r>
      <w:r w:rsidR="001B78B4">
        <w:t xml:space="preserve">  Rygaard is a U.S. citizen</w:t>
      </w:r>
      <w:r w:rsidR="001557E5">
        <w:t xml:space="preserve"> and has reported no other attributable interest</w:t>
      </w:r>
      <w:r w:rsidR="00D9496F">
        <w:t>s</w:t>
      </w:r>
      <w:r w:rsidR="001557E5">
        <w:t xml:space="preserve"> in broadcast stations</w:t>
      </w:r>
      <w:r w:rsidR="00D9496F">
        <w:t xml:space="preserve"> besides the Stations</w:t>
      </w:r>
      <w:r w:rsidR="001B78B4">
        <w:t>.</w:t>
      </w:r>
      <w:r>
        <w:rPr>
          <w:rStyle w:val="FootnoteReference"/>
        </w:rPr>
        <w:footnoteReference w:id="13"/>
      </w:r>
      <w:r w:rsidR="001B78B4">
        <w:t xml:space="preserve">  </w:t>
      </w:r>
      <w:r>
        <w:t xml:space="preserve">  </w:t>
      </w:r>
    </w:p>
    <w:p w:rsidR="00D621C4" w:rsidRPr="00E5711D" w14:paraId="383514CC" w14:textId="78E9DA4B">
      <w:pPr>
        <w:pStyle w:val="ParaNum"/>
      </w:pPr>
      <w:r w:rsidRPr="00E5711D">
        <w:t xml:space="preserve">According to the Commission’s records, Rygaard acquired ownership of 97.5 Holdings </w:t>
      </w:r>
      <w:r w:rsidR="0033363A">
        <w:t>in May 2022</w:t>
      </w:r>
      <w:r w:rsidRPr="00482CBD" w:rsidR="00F4238B">
        <w:rPr>
          <w:szCs w:val="22"/>
        </w:rPr>
        <w:t>.</w:t>
      </w:r>
      <w:r>
        <w:rPr>
          <w:rStyle w:val="FootnoteReference"/>
          <w:szCs w:val="22"/>
        </w:rPr>
        <w:footnoteReference w:id="14"/>
      </w:r>
      <w:r w:rsidRPr="00482CBD" w:rsidR="00F4238B">
        <w:rPr>
          <w:szCs w:val="22"/>
        </w:rPr>
        <w:t xml:space="preserve">  </w:t>
      </w:r>
      <w:r w:rsidR="0095682E">
        <w:rPr>
          <w:szCs w:val="22"/>
        </w:rPr>
        <w:t xml:space="preserve">Specifically, Rygaard </w:t>
      </w:r>
      <w:r w:rsidR="0095682E">
        <w:t>acquired the stock</w:t>
      </w:r>
      <w:r w:rsidRPr="00E5711D" w:rsidR="00482CBD">
        <w:t xml:space="preserve"> </w:t>
      </w:r>
      <w:r w:rsidR="00482CBD">
        <w:t xml:space="preserve">of 97.5 Holdings </w:t>
      </w:r>
      <w:r w:rsidRPr="00E5711D" w:rsidR="00482CBD">
        <w:t xml:space="preserve">from </w:t>
      </w:r>
      <w:r w:rsidR="00482CBD">
        <w:t xml:space="preserve">the company’s </w:t>
      </w:r>
      <w:r w:rsidR="0095682E">
        <w:t xml:space="preserve">two </w:t>
      </w:r>
      <w:r w:rsidRPr="00E5711D" w:rsidR="00482CBD">
        <w:t>former shareholders, Grupo Radio Centro TX, LLC (Grupo Radio TX) and 97.5 Investment TX, LLC (97.5 Investment) for $10,000</w:t>
      </w:r>
      <w:r w:rsidR="00482CBD">
        <w:t xml:space="preserve"> USD</w:t>
      </w:r>
      <w:r w:rsidR="0095682E">
        <w:t xml:space="preserve"> pursuant to a </w:t>
      </w:r>
      <w:r w:rsidRPr="00E5711D" w:rsidR="0095682E">
        <w:t>stock purchase agreement dated November 30, 2021</w:t>
      </w:r>
      <w:r w:rsidR="008142D3">
        <w:t>.</w:t>
      </w:r>
      <w:r>
        <w:rPr>
          <w:rStyle w:val="FootnoteReference"/>
        </w:rPr>
        <w:footnoteReference w:id="15"/>
      </w:r>
      <w:r w:rsidR="0095682E">
        <w:t xml:space="preserve">  Following execution of that agreement, the parties filed</w:t>
      </w:r>
      <w:r w:rsidRPr="00482CBD" w:rsidR="00482CBD">
        <w:rPr>
          <w:szCs w:val="22"/>
        </w:rPr>
        <w:t xml:space="preserve"> an application </w:t>
      </w:r>
      <w:r w:rsidRPr="00482CBD" w:rsidR="0095682E">
        <w:rPr>
          <w:szCs w:val="22"/>
        </w:rPr>
        <w:t xml:space="preserve">with the Commission </w:t>
      </w:r>
      <w:r w:rsidR="0095682E">
        <w:rPr>
          <w:szCs w:val="22"/>
        </w:rPr>
        <w:t xml:space="preserve">on December 20, 2021, </w:t>
      </w:r>
      <w:r w:rsidRPr="00482CBD" w:rsidR="00482CBD">
        <w:rPr>
          <w:szCs w:val="22"/>
        </w:rPr>
        <w:t xml:space="preserve">seeking to transfer control </w:t>
      </w:r>
      <w:r w:rsidR="008142D3">
        <w:rPr>
          <w:szCs w:val="22"/>
        </w:rPr>
        <w:t xml:space="preserve">of </w:t>
      </w:r>
      <w:r w:rsidR="0095682E">
        <w:rPr>
          <w:szCs w:val="22"/>
        </w:rPr>
        <w:t xml:space="preserve">the Stations </w:t>
      </w:r>
      <w:r w:rsidRPr="00482CBD" w:rsidR="00482CBD">
        <w:rPr>
          <w:szCs w:val="22"/>
        </w:rPr>
        <w:t>from Group Radio TX and 97.5 Investment to Rygaard</w:t>
      </w:r>
      <w:r w:rsidR="004E33F9">
        <w:rPr>
          <w:szCs w:val="22"/>
        </w:rPr>
        <w:t xml:space="preserve"> (2021 Transfer Application)</w:t>
      </w:r>
      <w:r w:rsidRPr="00482CBD" w:rsidR="00482CBD">
        <w:rPr>
          <w:szCs w:val="22"/>
        </w:rPr>
        <w:t>.</w:t>
      </w:r>
      <w:r>
        <w:rPr>
          <w:rStyle w:val="FootnoteReference"/>
        </w:rPr>
        <w:footnoteReference w:id="16"/>
      </w:r>
      <w:r w:rsidRPr="00482CBD" w:rsidR="00482CBD">
        <w:rPr>
          <w:szCs w:val="22"/>
        </w:rPr>
        <w:t xml:space="preserve"> </w:t>
      </w:r>
      <w:r w:rsidR="00482CBD">
        <w:rPr>
          <w:szCs w:val="22"/>
        </w:rPr>
        <w:t xml:space="preserve"> </w:t>
      </w:r>
      <w:r w:rsidRPr="0022721F" w:rsidR="0095682E">
        <w:t xml:space="preserve">The </w:t>
      </w:r>
      <w:r w:rsidRPr="0022721F" w:rsidR="0022721F">
        <w:t>2021 T</w:t>
      </w:r>
      <w:r w:rsidRPr="0022721F" w:rsidR="007019D8">
        <w:t xml:space="preserve">ransfer </w:t>
      </w:r>
      <w:r w:rsidRPr="0022721F" w:rsidR="0022721F">
        <w:t>A</w:t>
      </w:r>
      <w:r w:rsidRPr="0022721F" w:rsidR="0095682E">
        <w:t>pplication made no mention of any outstanding debt owed by 97.5 Holdings, nor provided any loan agreements</w:t>
      </w:r>
      <w:r w:rsidRPr="0022721F" w:rsidR="002E2357">
        <w:t>, debt instruments,</w:t>
      </w:r>
      <w:r w:rsidRPr="0022721F" w:rsidR="0095682E">
        <w:t xml:space="preserve"> or acknowledgement of indebtedness.</w:t>
      </w:r>
      <w:r>
        <w:rPr>
          <w:rStyle w:val="FootnoteReference"/>
        </w:rPr>
        <w:footnoteReference w:id="17"/>
      </w:r>
      <w:r w:rsidR="0095682E">
        <w:t xml:space="preserve"> </w:t>
      </w:r>
      <w:r w:rsidR="0022721F">
        <w:t xml:space="preserve"> </w:t>
      </w:r>
      <w:r w:rsidRPr="00482CBD" w:rsidR="00482CBD">
        <w:rPr>
          <w:szCs w:val="22"/>
        </w:rPr>
        <w:t xml:space="preserve">The Commission approved that application </w:t>
      </w:r>
      <w:r w:rsidRPr="00E5711D" w:rsidR="00482CBD">
        <w:t>on March 16, 2022</w:t>
      </w:r>
      <w:r w:rsidR="00482CBD">
        <w:t xml:space="preserve">, and </w:t>
      </w:r>
      <w:r w:rsidR="008142D3">
        <w:t xml:space="preserve">the transaction was consummated </w:t>
      </w:r>
      <w:r w:rsidR="00482CBD">
        <w:t xml:space="preserve">on </w:t>
      </w:r>
      <w:r w:rsidRPr="00482CBD" w:rsidR="00482CBD">
        <w:rPr>
          <w:szCs w:val="22"/>
        </w:rPr>
        <w:t>May 12, 2022.</w:t>
      </w:r>
      <w:r>
        <w:rPr>
          <w:rStyle w:val="FootnoteReference"/>
          <w:szCs w:val="22"/>
        </w:rPr>
        <w:footnoteReference w:id="18"/>
      </w:r>
      <w:r w:rsidRPr="00482CBD" w:rsidR="00482CBD">
        <w:rPr>
          <w:szCs w:val="22"/>
        </w:rPr>
        <w:t xml:space="preserve">  </w:t>
      </w:r>
    </w:p>
    <w:p w:rsidR="00B61A42" w:rsidRPr="00D621C4" w:rsidP="00B61A42" w14:paraId="6C04E06F" w14:textId="63D18CD4">
      <w:pPr>
        <w:pStyle w:val="ParaNum"/>
      </w:pPr>
      <w:r w:rsidRPr="00E5711D">
        <w:t xml:space="preserve">The Commission’s records indicate that </w:t>
      </w:r>
      <w:r w:rsidR="0095682E">
        <w:t xml:space="preserve">prior to Rygaard’s acquisition, </w:t>
      </w:r>
      <w:r w:rsidRPr="00E5711D">
        <w:t>97.5 Investment</w:t>
      </w:r>
      <w:r w:rsidR="002E2357">
        <w:t xml:space="preserve"> </w:t>
      </w:r>
      <w:r w:rsidRPr="00E5711D">
        <w:t>held 75% of the equity and voting interests</w:t>
      </w:r>
      <w:r w:rsidRPr="00E5711D">
        <w:rPr>
          <w:szCs w:val="22"/>
        </w:rPr>
        <w:t xml:space="preserve"> </w:t>
      </w:r>
      <w:r w:rsidRPr="00E5711D">
        <w:t>of 97.5 Holdings</w:t>
      </w:r>
      <w:r w:rsidRPr="00E5711D">
        <w:rPr>
          <w:szCs w:val="22"/>
        </w:rPr>
        <w:t xml:space="preserve">, </w:t>
      </w:r>
      <w:r w:rsidRPr="00E5711D">
        <w:t>and that Grupo Radio TX held the remaining 25%</w:t>
      </w:r>
      <w:r w:rsidRPr="00E5711D">
        <w:rPr>
          <w:szCs w:val="22"/>
        </w:rPr>
        <w:t>.</w:t>
      </w:r>
      <w:r>
        <w:rPr>
          <w:rStyle w:val="FootnoteReference"/>
          <w:szCs w:val="22"/>
        </w:rPr>
        <w:footnoteReference w:id="19"/>
      </w:r>
      <w:r w:rsidR="005F7322">
        <w:rPr>
          <w:szCs w:val="22"/>
        </w:rPr>
        <w:t xml:space="preserve"> </w:t>
      </w:r>
      <w:r w:rsidRPr="00E5711D">
        <w:rPr>
          <w:szCs w:val="22"/>
        </w:rPr>
        <w:t xml:space="preserve"> </w:t>
      </w:r>
      <w:r w:rsidR="002E2357">
        <w:rPr>
          <w:szCs w:val="22"/>
        </w:rPr>
        <w:t xml:space="preserve">The majority shareholder, </w:t>
      </w:r>
      <w:r w:rsidR="002E2357">
        <w:t xml:space="preserve">97.5 Investment, was organized under the laws of Texas and </w:t>
      </w:r>
      <w:r w:rsidR="00E108DD">
        <w:t xml:space="preserve">was </w:t>
      </w:r>
      <w:r w:rsidR="002E2357">
        <w:t xml:space="preserve">wholly </w:t>
      </w:r>
      <w:r w:rsidRPr="00E5711D" w:rsidR="002E2357">
        <w:t>owned by a U.S. citizen named Rafael Marquez Aguirre</w:t>
      </w:r>
      <w:r w:rsidR="002E2357">
        <w:t>.</w:t>
      </w:r>
      <w:r>
        <w:rPr>
          <w:rStyle w:val="FootnoteReference"/>
        </w:rPr>
        <w:footnoteReference w:id="20"/>
      </w:r>
      <w:r w:rsidRPr="00E5711D" w:rsidR="005F7322">
        <w:rPr>
          <w:szCs w:val="22"/>
        </w:rPr>
        <w:t xml:space="preserve"> </w:t>
      </w:r>
      <w:r w:rsidR="002E2357">
        <w:t xml:space="preserve"> The minority shareholder, </w:t>
      </w:r>
      <w:r w:rsidRPr="00E5711D">
        <w:t>Grupo</w:t>
      </w:r>
      <w:r w:rsidRPr="00E5711D">
        <w:rPr>
          <w:szCs w:val="22"/>
        </w:rPr>
        <w:t xml:space="preserve"> </w:t>
      </w:r>
      <w:r w:rsidRPr="00E5711D">
        <w:t>Radio TX</w:t>
      </w:r>
      <w:r w:rsidR="002E2357">
        <w:t>,</w:t>
      </w:r>
      <w:r w:rsidRPr="00E5711D">
        <w:t xml:space="preserve"> </w:t>
      </w:r>
      <w:r w:rsidR="005F7322">
        <w:t xml:space="preserve">was </w:t>
      </w:r>
      <w:r w:rsidR="002E2357">
        <w:t xml:space="preserve">also </w:t>
      </w:r>
      <w:r w:rsidRPr="00E5711D">
        <w:t xml:space="preserve">organized under the laws of Texas, </w:t>
      </w:r>
      <w:r w:rsidR="005F7322">
        <w:t>but</w:t>
      </w:r>
      <w:r w:rsidRPr="00E5711D">
        <w:t xml:space="preserve"> </w:t>
      </w:r>
      <w:r w:rsidR="007019D8">
        <w:t xml:space="preserve">was </w:t>
      </w:r>
      <w:r w:rsidRPr="00E5711D">
        <w:t xml:space="preserve">100% owned by </w:t>
      </w:r>
      <w:r w:rsidRPr="00E5711D" w:rsidR="005F7322">
        <w:t xml:space="preserve">a Mexican corporation </w:t>
      </w:r>
      <w:r w:rsidR="005F7322">
        <w:t xml:space="preserve">named </w:t>
      </w:r>
      <w:r w:rsidRPr="00E5711D">
        <w:t>Grupo Radio Centro SAB de CV (Grupo Radio Centro) that owns and operates radio stations in Mexico and the United States</w:t>
      </w:r>
      <w:r w:rsidRPr="00E5711D">
        <w:rPr>
          <w:szCs w:val="22"/>
        </w:rPr>
        <w:t>.</w:t>
      </w:r>
      <w:r>
        <w:rPr>
          <w:rStyle w:val="FootnoteReference"/>
        </w:rPr>
        <w:footnoteReference w:id="21"/>
      </w:r>
      <w:r w:rsidRPr="00E5711D">
        <w:rPr>
          <w:szCs w:val="22"/>
        </w:rPr>
        <w:t xml:space="preserve">  </w:t>
      </w:r>
      <w:r w:rsidRPr="00E5711D">
        <w:t>In turn, Grupo Radio Centro was owned 36% by Francisco Aguirre Gomez, a Mexican citizen, and 32.9% by Controladora GRC, SA de CV, a Mexican corporation.</w:t>
      </w:r>
      <w:r>
        <w:rPr>
          <w:rStyle w:val="FootnoteReference"/>
        </w:rPr>
        <w:footnoteReference w:id="22"/>
      </w:r>
      <w:r w:rsidRPr="00E5711D">
        <w:rPr>
          <w:szCs w:val="22"/>
        </w:rPr>
        <w:t xml:space="preserve">  </w:t>
      </w:r>
    </w:p>
    <w:p w:rsidR="005674A1" w:rsidRPr="00E5711D" w14:paraId="17EB6ABD" w14:textId="5C86F556">
      <w:pPr>
        <w:pStyle w:val="ParaNum"/>
      </w:pPr>
      <w:bookmarkStart w:id="66" w:name="_Ref209690459"/>
      <w:r w:rsidRPr="000B296C">
        <w:rPr>
          <w:i/>
          <w:iCs/>
        </w:rPr>
        <w:t>Lorena Margarita Peréz Toscano.</w:t>
      </w:r>
      <w:r w:rsidR="00057573">
        <w:t xml:space="preserve"> </w:t>
      </w:r>
      <w:r>
        <w:t xml:space="preserve">Toscano, a Mexican citizen, is the proposed </w:t>
      </w:r>
      <w:r w:rsidR="00057573">
        <w:t>Transferee</w:t>
      </w:r>
      <w:r>
        <w:t xml:space="preserve"> seeking to acquire 100% of the outstanding stock of 97.5 Holdings.  </w:t>
      </w:r>
      <w:r w:rsidR="003379EB">
        <w:t xml:space="preserve">The </w:t>
      </w:r>
      <w:r w:rsidR="00267535">
        <w:t xml:space="preserve">pending </w:t>
      </w:r>
      <w:r w:rsidR="003379EB">
        <w:t>Transfer Application states that she has “no other broadcast interests.”</w:t>
      </w:r>
      <w:r>
        <w:rPr>
          <w:rStyle w:val="FootnoteReference"/>
        </w:rPr>
        <w:footnoteReference w:id="23"/>
      </w:r>
      <w:r w:rsidR="00724211">
        <w:t xml:space="preserve">  </w:t>
      </w:r>
      <w:r w:rsidR="00223BD3">
        <w:t>T</w:t>
      </w:r>
      <w:r w:rsidR="00724211">
        <w:t xml:space="preserve">he </w:t>
      </w:r>
      <w:r w:rsidRPr="00E5711D">
        <w:t xml:space="preserve">Transfer Application </w:t>
      </w:r>
      <w:r w:rsidR="00724211">
        <w:t>indicates t</w:t>
      </w:r>
      <w:r w:rsidRPr="00E5711D">
        <w:t>hat Rebeca Elizabeth Peréz Toscano and Jaqueline Peréz Toscano</w:t>
      </w:r>
      <w:r>
        <w:t>,</w:t>
      </w:r>
      <w:r w:rsidRPr="00E5711D">
        <w:t xml:space="preserve"> </w:t>
      </w:r>
      <w:r w:rsidR="00724211">
        <w:t>whom the Bureau subsequently determined are Toscano’s sisters,</w:t>
      </w:r>
      <w:r>
        <w:rPr>
          <w:rStyle w:val="FootnoteReference"/>
        </w:rPr>
        <w:footnoteReference w:id="24"/>
      </w:r>
      <w:r w:rsidR="00724211">
        <w:t xml:space="preserve"> will be the </w:t>
      </w:r>
      <w:r w:rsidRPr="00E5711D">
        <w:t>Secretary and Treasurer</w:t>
      </w:r>
      <w:r w:rsidR="00A65CB3">
        <w:t xml:space="preserve"> </w:t>
      </w:r>
      <w:r w:rsidRPr="00E5711D">
        <w:t>of 97.5 Holdings</w:t>
      </w:r>
      <w:r w:rsidRPr="00E5711D" w:rsidR="00A65CB3">
        <w:t>, respectively</w:t>
      </w:r>
      <w:r w:rsidR="00F50D7C">
        <w:t>.</w:t>
      </w:r>
      <w:r>
        <w:rPr>
          <w:rStyle w:val="FootnoteReference"/>
        </w:rPr>
        <w:footnoteReference w:id="25"/>
      </w:r>
      <w:r w:rsidR="00F50D7C">
        <w:t xml:space="preserve"> </w:t>
      </w:r>
      <w:r w:rsidR="00FC4A9B">
        <w:t xml:space="preserve"> </w:t>
      </w:r>
      <w:r w:rsidR="00F454D1">
        <w:t>Toscano and her sisters, a</w:t>
      </w:r>
      <w:r w:rsidR="00FC4A9B">
        <w:t xml:space="preserve">long with her father, </w:t>
      </w:r>
      <w:r w:rsidR="00FC4A9B">
        <w:t>Trigio</w:t>
      </w:r>
      <w:r w:rsidR="00FC4A9B">
        <w:t xml:space="preserve"> Javier </w:t>
      </w:r>
      <w:r w:rsidRPr="00E5711D" w:rsidR="00223BD3">
        <w:t xml:space="preserve">Peréz </w:t>
      </w:r>
      <w:r w:rsidR="00FC4A9B">
        <w:t xml:space="preserve">de Anda, </w:t>
      </w:r>
      <w:r w:rsidR="000B296C">
        <w:t>operate six</w:t>
      </w:r>
      <w:r w:rsidR="00D12261">
        <w:t xml:space="preserve"> radio</w:t>
      </w:r>
      <w:r w:rsidR="000B296C">
        <w:t xml:space="preserve"> stations in Ciudad Juarez, Mexico.</w:t>
      </w:r>
      <w:bookmarkStart w:id="67" w:name="_Ref209690512"/>
      <w:r>
        <w:rPr>
          <w:rStyle w:val="FootnoteReference"/>
        </w:rPr>
        <w:footnoteReference w:id="26"/>
      </w:r>
      <w:bookmarkEnd w:id="67"/>
      <w:r w:rsidR="000B296C">
        <w:t xml:space="preserve">  </w:t>
      </w:r>
      <w:r w:rsidR="00223BD3">
        <w:t>In addition</w:t>
      </w:r>
      <w:r w:rsidR="00D12261">
        <w:t xml:space="preserve">, </w:t>
      </w:r>
      <w:r w:rsidR="00E50690">
        <w:t xml:space="preserve">Toscano and </w:t>
      </w:r>
      <w:r w:rsidRPr="00E5711D">
        <w:t>Rygaard</w:t>
      </w:r>
      <w:r w:rsidR="00E50690">
        <w:t xml:space="preserve"> are</w:t>
      </w:r>
      <w:r w:rsidRPr="00E5711D">
        <w:t xml:space="preserve"> cousin</w:t>
      </w:r>
      <w:r w:rsidR="00E50690">
        <w:t>s</w:t>
      </w:r>
      <w:r w:rsidR="00D621C4">
        <w:t xml:space="preserve">, </w:t>
      </w:r>
      <w:r w:rsidR="00F454D1">
        <w:t xml:space="preserve">as Mr. </w:t>
      </w:r>
      <w:r w:rsidRPr="00E5711D" w:rsidR="00F454D1">
        <w:t xml:space="preserve">Peréz </w:t>
      </w:r>
      <w:r w:rsidR="00F454D1">
        <w:t>de Anda</w:t>
      </w:r>
      <w:r w:rsidR="00D621C4">
        <w:t xml:space="preserve"> is both Toscano’s father and </w:t>
      </w:r>
      <w:r w:rsidR="00F454D1">
        <w:t>Rygaard’s uncle</w:t>
      </w:r>
      <w:r w:rsidRPr="00E5711D">
        <w:t>.</w:t>
      </w:r>
      <w:r>
        <w:rPr>
          <w:rStyle w:val="FootnoteReference"/>
        </w:rPr>
        <w:footnoteReference w:id="27"/>
      </w:r>
      <w:r w:rsidRPr="00E5711D">
        <w:t xml:space="preserve">  </w:t>
      </w:r>
      <w:bookmarkEnd w:id="66"/>
      <w:r w:rsidRPr="00E5711D">
        <w:t xml:space="preserve"> </w:t>
      </w:r>
    </w:p>
    <w:p w:rsidR="00B555E9" w:rsidRPr="00B555E9" w14:paraId="2A51E3A0" w14:textId="5B3D54F5">
      <w:pPr>
        <w:pStyle w:val="ParaNum"/>
      </w:pPr>
      <w:r>
        <w:t xml:space="preserve">While Toscano now seeks to acquire </w:t>
      </w:r>
      <w:r w:rsidR="00222FD4">
        <w:t>the stock</w:t>
      </w:r>
      <w:r>
        <w:t xml:space="preserve"> of 97.5 Holding and </w:t>
      </w:r>
      <w:r w:rsidRPr="00222FD4" w:rsidR="00222FD4">
        <w:rPr>
          <w:i/>
          <w:iCs/>
        </w:rPr>
        <w:t>de jure</w:t>
      </w:r>
      <w:r w:rsidR="00222FD4">
        <w:t xml:space="preserve"> control of </w:t>
      </w:r>
      <w:r>
        <w:t xml:space="preserve">the Stations pursuant to the Transfer Application, she already holds the right to collect a significant outstanding debt owed by 97.5 Holdings.  </w:t>
      </w:r>
      <w:r w:rsidR="00D621C4">
        <w:t>Specifically, i</w:t>
      </w:r>
      <w:r w:rsidR="00E50690">
        <w:t>n November 202</w:t>
      </w:r>
      <w:r w:rsidR="00222FD4">
        <w:t>1</w:t>
      </w:r>
      <w:r w:rsidR="00651642">
        <w:t>—cont</w:t>
      </w:r>
      <w:r w:rsidR="00D621C4">
        <w:t xml:space="preserve">emporaneously with when </w:t>
      </w:r>
      <w:r w:rsidR="00222FD4">
        <w:t xml:space="preserve">her cousin </w:t>
      </w:r>
      <w:r w:rsidR="00D621C4">
        <w:t xml:space="preserve">Rygaard entered into </w:t>
      </w:r>
      <w:r w:rsidR="00A65CB3">
        <w:t>the</w:t>
      </w:r>
      <w:r w:rsidR="00D621C4">
        <w:t xml:space="preserve"> agreement to acquire the stock of 97.5 Holdings</w:t>
      </w:r>
      <w:r w:rsidR="00651642">
        <w:t>—T</w:t>
      </w:r>
      <w:r w:rsidR="00E50690">
        <w:t xml:space="preserve">oscano acquired the right to collect </w:t>
      </w:r>
      <w:r w:rsidR="00651642">
        <w:t>the re</w:t>
      </w:r>
      <w:r w:rsidR="00E50690">
        <w:t>payment of a debt owed by 97.5 Holdings</w:t>
      </w:r>
      <w:r w:rsidR="005F7315">
        <w:t xml:space="preserve"> to Grupo Radio</w:t>
      </w:r>
      <w:r>
        <w:t xml:space="preserve"> Centro</w:t>
      </w:r>
      <w:r w:rsidR="00D621C4">
        <w:t xml:space="preserve"> in the amount of $2,451,565.00 USD</w:t>
      </w:r>
      <w:r w:rsidR="00E50690">
        <w:t>.</w:t>
      </w:r>
      <w:r>
        <w:rPr>
          <w:rStyle w:val="FootnoteReference"/>
        </w:rPr>
        <w:footnoteReference w:id="28"/>
      </w:r>
      <w:r w:rsidR="00E50690">
        <w:t xml:space="preserve">  </w:t>
      </w:r>
      <w:r w:rsidR="0095682E">
        <w:t>As detailed further below, t</w:t>
      </w:r>
      <w:r>
        <w:t xml:space="preserve">his </w:t>
      </w:r>
      <w:r w:rsidR="00E50690">
        <w:t>debt had originated as a</w:t>
      </w:r>
      <w:r w:rsidR="00651642">
        <w:t xml:space="preserve"> capital </w:t>
      </w:r>
      <w:r w:rsidR="00E50690">
        <w:t>investment</w:t>
      </w:r>
      <w:r w:rsidR="00651642">
        <w:t xml:space="preserve"> </w:t>
      </w:r>
      <w:r w:rsidR="00222FD4">
        <w:t xml:space="preserve">made </w:t>
      </w:r>
      <w:r w:rsidR="00651642">
        <w:t xml:space="preserve">in the Stations in 2017 </w:t>
      </w:r>
      <w:r w:rsidR="00E50690">
        <w:t>by Grupo</w:t>
      </w:r>
      <w:r w:rsidR="005F7315">
        <w:t xml:space="preserve"> </w:t>
      </w:r>
      <w:r>
        <w:t xml:space="preserve">Radio Centro </w:t>
      </w:r>
      <w:r w:rsidRPr="00FA4D47" w:rsidR="005F7315">
        <w:t xml:space="preserve">when </w:t>
      </w:r>
      <w:r w:rsidRPr="00FA4D47" w:rsidR="00E1493F">
        <w:t>Grupo Radio Centro</w:t>
      </w:r>
      <w:r w:rsidRPr="00FA4D47" w:rsidR="005F7315">
        <w:t xml:space="preserve"> was the minority owner</w:t>
      </w:r>
      <w:r w:rsidRPr="00FA4D47" w:rsidR="00D621C4">
        <w:t xml:space="preserve"> of 97.5 Holdings</w:t>
      </w:r>
      <w:r w:rsidR="00066CB2">
        <w:t xml:space="preserve"> through its subsidiary, Grupo Radio TX</w:t>
      </w:r>
      <w:r w:rsidRPr="00FA4D47" w:rsidR="00A65CB3">
        <w:t>.</w:t>
      </w:r>
      <w:r>
        <w:rPr>
          <w:rStyle w:val="FootnoteReference"/>
        </w:rPr>
        <w:footnoteReference w:id="29"/>
      </w:r>
      <w:r w:rsidRPr="00FA4D47" w:rsidR="00A65CB3">
        <w:t xml:space="preserve">  </w:t>
      </w:r>
      <w:r w:rsidRPr="00FA4D47" w:rsidR="009511A7">
        <w:t xml:space="preserve">Subsequently, </w:t>
      </w:r>
      <w:r w:rsidRPr="00FA4D47" w:rsidR="0036064C">
        <w:t>p</w:t>
      </w:r>
      <w:r w:rsidRPr="00FA4D47" w:rsidR="00222FD4">
        <w:t>ursuant</w:t>
      </w:r>
      <w:r w:rsidR="00222FD4">
        <w:t xml:space="preserve"> to the November 2021</w:t>
      </w:r>
      <w:r w:rsidR="00066CB2">
        <w:t xml:space="preserve"> </w:t>
      </w:r>
      <w:r w:rsidR="00222FD4">
        <w:t xml:space="preserve">agreement, </w:t>
      </w:r>
      <w:r w:rsidR="00651642">
        <w:t xml:space="preserve">Grupo Radio Centro </w:t>
      </w:r>
      <w:r w:rsidR="00A65CB3">
        <w:t xml:space="preserve">assigned the right to collect </w:t>
      </w:r>
      <w:r w:rsidR="00FA5C2A">
        <w:t>that</w:t>
      </w:r>
      <w:r w:rsidR="00A65CB3">
        <w:t xml:space="preserve"> debt to Toscano in exchange for </w:t>
      </w:r>
      <w:r w:rsidRPr="00E5711D" w:rsidR="00A65CB3">
        <w:t>$1,987,500</w:t>
      </w:r>
      <w:r w:rsidR="00A65CB3">
        <w:t xml:space="preserve"> USD immediately prior to agreeing to sell control of the Stations to Rygaard </w:t>
      </w:r>
      <w:r w:rsidRPr="00E5711D" w:rsidR="00A65CB3">
        <w:t>for $10,000</w:t>
      </w:r>
      <w:r w:rsidR="00A65CB3">
        <w:t xml:space="preserve"> USD.</w:t>
      </w:r>
      <w:r>
        <w:rPr>
          <w:rStyle w:val="FootnoteReference"/>
        </w:rPr>
        <w:footnoteReference w:id="30"/>
      </w:r>
      <w:r w:rsidR="00A65CB3">
        <w:t xml:space="preserve">  </w:t>
      </w:r>
    </w:p>
    <w:p w:rsidR="00B61A42" w:rsidRPr="00B61A42" w:rsidP="009972AF" w14:paraId="0D5A6B57" w14:textId="1A33660C">
      <w:pPr>
        <w:pStyle w:val="Heading3"/>
      </w:pPr>
      <w:bookmarkStart w:id="68" w:name="_Toc209708332"/>
      <w:bookmarkStart w:id="69" w:name="_Toc210117700"/>
      <w:bookmarkStart w:id="70" w:name="_Toc219206062"/>
      <w:bookmarkStart w:id="71" w:name="_Toc219206803"/>
      <w:r>
        <w:t>The Trans</w:t>
      </w:r>
      <w:r w:rsidR="00E108DD">
        <w:t>fer</w:t>
      </w:r>
      <w:r>
        <w:t xml:space="preserve"> </w:t>
      </w:r>
      <w:r w:rsidR="00993031">
        <w:t>Application</w:t>
      </w:r>
      <w:bookmarkEnd w:id="68"/>
      <w:bookmarkEnd w:id="69"/>
      <w:bookmarkEnd w:id="70"/>
      <w:bookmarkEnd w:id="71"/>
    </w:p>
    <w:p w:rsidR="00660A06" w:rsidRPr="00267535" w:rsidP="00660A06" w14:paraId="4A69307C" w14:textId="67B1BECA">
      <w:pPr>
        <w:pStyle w:val="ParaNum"/>
      </w:pPr>
      <w:r w:rsidRPr="00E5711D">
        <w:t xml:space="preserve">On March 31, 2023, after owning the Stations for less than a year, Rygaard entered into </w:t>
      </w:r>
      <w:r w:rsidR="00222FD4">
        <w:t>a</w:t>
      </w:r>
      <w:r w:rsidRPr="00E5711D">
        <w:t xml:space="preserve"> </w:t>
      </w:r>
      <w:r w:rsidRPr="00E5711D" w:rsidR="00222FD4">
        <w:t>stock purchase agreement</w:t>
      </w:r>
      <w:r w:rsidR="00222FD4">
        <w:t xml:space="preserve"> (</w:t>
      </w:r>
      <w:r w:rsidRPr="00E5711D">
        <w:t>Stock Purchase Agreement</w:t>
      </w:r>
      <w:r w:rsidR="00222FD4">
        <w:t>)</w:t>
      </w:r>
      <w:r w:rsidRPr="00E5711D">
        <w:t xml:space="preserve"> to sell </w:t>
      </w:r>
      <w:r w:rsidR="00FA5C2A">
        <w:t xml:space="preserve">control of </w:t>
      </w:r>
      <w:r w:rsidRPr="00E5711D">
        <w:t xml:space="preserve">the Stations to </w:t>
      </w:r>
      <w:r w:rsidRPr="00267535">
        <w:t>Toscano.</w:t>
      </w:r>
      <w:r>
        <w:rPr>
          <w:rStyle w:val="FootnoteReference"/>
        </w:rPr>
        <w:footnoteReference w:id="31"/>
      </w:r>
      <w:r w:rsidRPr="00267535">
        <w:t xml:space="preserve">  The</w:t>
      </w:r>
      <w:r w:rsidRPr="00E5711D">
        <w:t xml:space="preserve"> Transfer Application was filed with the Commission on June 9, 2023, and seeks </w:t>
      </w:r>
      <w:r w:rsidR="00651642">
        <w:t>Commission consent to the sale of Rygaard’s 100% interest in 97.5 Holdings to Toscano, in exchange for $10,000 USD</w:t>
      </w:r>
      <w:r w:rsidRPr="00267535" w:rsidR="00443EEB">
        <w:t>.</w:t>
      </w:r>
      <w:r>
        <w:rPr>
          <w:rStyle w:val="FootnoteReference"/>
        </w:rPr>
        <w:footnoteReference w:id="32"/>
      </w:r>
      <w:r w:rsidRPr="00B61A42" w:rsidR="00443EEB">
        <w:t xml:space="preserve"> </w:t>
      </w:r>
      <w:r w:rsidRPr="00E5711D">
        <w:t xml:space="preserve"> Following the proposed transaction, Toscano would be the sole shareholder of 97.5 </w:t>
      </w:r>
      <w:r w:rsidRPr="00267535">
        <w:t>Holdings with 100% of the voting and equity interest</w:t>
      </w:r>
      <w:r w:rsidRPr="00267535" w:rsidR="003F052D">
        <w:t>s</w:t>
      </w:r>
      <w:r w:rsidRPr="00267535" w:rsidR="00651642">
        <w:t>, and hence control of 97.5 Licensee</w:t>
      </w:r>
      <w:r w:rsidRPr="00267535" w:rsidR="00794D93">
        <w:t xml:space="preserve"> and the Stations</w:t>
      </w:r>
      <w:r w:rsidRPr="00267535">
        <w:t>.</w:t>
      </w:r>
      <w:r>
        <w:rPr>
          <w:rStyle w:val="FootnoteReference"/>
        </w:rPr>
        <w:footnoteReference w:id="33"/>
      </w:r>
      <w:r w:rsidRPr="00267535">
        <w:t xml:space="preserve">  </w:t>
      </w:r>
      <w:r w:rsidRPr="00267535" w:rsidR="00981875">
        <w:t xml:space="preserve">The Transfer Application </w:t>
      </w:r>
      <w:r w:rsidRPr="00267535" w:rsidR="00D27892">
        <w:t xml:space="preserve">also </w:t>
      </w:r>
      <w:r w:rsidRPr="00267535" w:rsidR="00981875">
        <w:t>indicate</w:t>
      </w:r>
      <w:r w:rsidRPr="00267535" w:rsidR="000919B0">
        <w:t>s</w:t>
      </w:r>
      <w:r w:rsidRPr="00267535" w:rsidR="00981875">
        <w:t xml:space="preserve"> that</w:t>
      </w:r>
      <w:r w:rsidRPr="00267535" w:rsidR="00982953">
        <w:t xml:space="preserve"> Toscano’s sisters,</w:t>
      </w:r>
      <w:r w:rsidRPr="00267535" w:rsidR="00981875">
        <w:t xml:space="preserve"> </w:t>
      </w:r>
      <w:bookmarkStart w:id="72" w:name="_Hlk192764054"/>
      <w:r w:rsidRPr="00267535" w:rsidR="00BA5639">
        <w:t xml:space="preserve">Rebeca </w:t>
      </w:r>
      <w:r w:rsidRPr="00267535" w:rsidR="00981875">
        <w:t xml:space="preserve">Elizabeth </w:t>
      </w:r>
      <w:bookmarkStart w:id="73" w:name="_Hlk209693772"/>
      <w:r w:rsidRPr="00267535" w:rsidR="00F76A98">
        <w:t xml:space="preserve">Peréz </w:t>
      </w:r>
      <w:bookmarkEnd w:id="73"/>
      <w:r w:rsidRPr="00267535" w:rsidR="00BA5639">
        <w:t xml:space="preserve">Toscano </w:t>
      </w:r>
      <w:r w:rsidRPr="00267535" w:rsidR="00981875">
        <w:t xml:space="preserve">and Jaqueline </w:t>
      </w:r>
      <w:r w:rsidRPr="00267535" w:rsidR="00F76A98">
        <w:t xml:space="preserve">Peréz </w:t>
      </w:r>
      <w:r w:rsidRPr="00267535" w:rsidR="00981875">
        <w:t>Toscano</w:t>
      </w:r>
      <w:r w:rsidRPr="00267535" w:rsidR="00982953">
        <w:t>,</w:t>
      </w:r>
      <w:r w:rsidRPr="00267535" w:rsidR="00981875">
        <w:t xml:space="preserve"> </w:t>
      </w:r>
      <w:bookmarkEnd w:id="72"/>
      <w:r w:rsidRPr="00267535" w:rsidR="00981875">
        <w:t>would be the</w:t>
      </w:r>
      <w:r w:rsidRPr="00267535" w:rsidR="00BA5639">
        <w:t xml:space="preserve"> Secretary </w:t>
      </w:r>
      <w:r w:rsidRPr="00267535" w:rsidR="00981875">
        <w:t xml:space="preserve">and </w:t>
      </w:r>
      <w:r w:rsidRPr="00267535" w:rsidR="00BA5639">
        <w:t>Treasurer</w:t>
      </w:r>
      <w:r w:rsidRPr="00267535" w:rsidR="00981875">
        <w:t xml:space="preserve">, respectively, of </w:t>
      </w:r>
      <w:r w:rsidRPr="00267535" w:rsidR="00BA5639">
        <w:t>97.5 Holdings</w:t>
      </w:r>
      <w:r w:rsidRPr="00267535" w:rsidR="00981875">
        <w:t xml:space="preserve"> following consummation</w:t>
      </w:r>
      <w:r w:rsidRPr="00267535" w:rsidR="007659A5">
        <w:t xml:space="preserve"> of the transaction</w:t>
      </w:r>
      <w:r w:rsidRPr="00267535" w:rsidR="00981875">
        <w:t>.</w:t>
      </w:r>
      <w:r>
        <w:rPr>
          <w:rStyle w:val="FootnoteReference"/>
        </w:rPr>
        <w:footnoteReference w:id="34"/>
      </w:r>
      <w:r w:rsidRPr="00267535" w:rsidR="00981875">
        <w:t xml:space="preserve">  </w:t>
      </w:r>
    </w:p>
    <w:p w:rsidR="00645397" w:rsidRPr="00066CB2" w:rsidP="00066CB2" w14:paraId="251E3875" w14:textId="4703F4EB">
      <w:pPr>
        <w:pStyle w:val="ParaNum"/>
        <w:widowControl/>
        <w:spacing w:line="259" w:lineRule="auto"/>
        <w:rPr>
          <w:szCs w:val="22"/>
        </w:rPr>
      </w:pPr>
      <w:bookmarkStart w:id="74" w:name="_Ref209621361"/>
      <w:r w:rsidRPr="00E5711D">
        <w:t xml:space="preserve">The </w:t>
      </w:r>
      <w:r w:rsidR="00243327">
        <w:t>Stock Purchase Agreement</w:t>
      </w:r>
      <w:r w:rsidR="00222FD4">
        <w:t>,</w:t>
      </w:r>
      <w:r w:rsidR="00243327">
        <w:t xml:space="preserve"> </w:t>
      </w:r>
      <w:r w:rsidRPr="00E5711D">
        <w:t>setting out the terms of the Parties’ agreement</w:t>
      </w:r>
      <w:r w:rsidR="00222FD4">
        <w:t>,</w:t>
      </w:r>
      <w:r w:rsidRPr="00E5711D">
        <w:t xml:space="preserve"> was included as an exhibit to the Transfer Application.</w:t>
      </w:r>
      <w:r>
        <w:rPr>
          <w:rStyle w:val="FootnoteReference"/>
        </w:rPr>
        <w:footnoteReference w:id="35"/>
      </w:r>
      <w:r w:rsidRPr="00066CB2">
        <w:rPr>
          <w:szCs w:val="22"/>
        </w:rPr>
        <w:t xml:space="preserve">  </w:t>
      </w:r>
      <w:r w:rsidRPr="00E5711D">
        <w:t>In addition to the $10,000</w:t>
      </w:r>
      <w:r w:rsidR="003D48D3">
        <w:t xml:space="preserve"> </w:t>
      </w:r>
      <w:r w:rsidR="00BF04B3">
        <w:t>USD</w:t>
      </w:r>
      <w:r w:rsidRPr="00E5711D">
        <w:t xml:space="preserve"> in consideration for the stock of 97.5 Holdings, th</w:t>
      </w:r>
      <w:r w:rsidRPr="00E5711D" w:rsidR="00A5738A">
        <w:t xml:space="preserve">e </w:t>
      </w:r>
      <w:r w:rsidR="00243327">
        <w:t>S</w:t>
      </w:r>
      <w:r w:rsidRPr="00E5711D" w:rsidR="29A030F7">
        <w:t xml:space="preserve">tock </w:t>
      </w:r>
      <w:r w:rsidR="00243327">
        <w:t>P</w:t>
      </w:r>
      <w:r w:rsidRPr="00E5711D" w:rsidR="29A030F7">
        <w:t xml:space="preserve">urchase </w:t>
      </w:r>
      <w:r w:rsidR="00243327">
        <w:t>A</w:t>
      </w:r>
      <w:r w:rsidRPr="00E5711D" w:rsidR="00A5738A">
        <w:t xml:space="preserve">greement </w:t>
      </w:r>
      <w:r w:rsidRPr="00E5711D">
        <w:t>indicated</w:t>
      </w:r>
      <w:r w:rsidRPr="00E5711D" w:rsidR="00A5738A">
        <w:t xml:space="preserve"> that 97.5 Holdings </w:t>
      </w:r>
      <w:r w:rsidRPr="00E5711D" w:rsidR="007659A5">
        <w:t>wa</w:t>
      </w:r>
      <w:r w:rsidRPr="00E5711D" w:rsidR="003F052D">
        <w:t xml:space="preserve">s indebted to </w:t>
      </w:r>
      <w:r w:rsidRPr="00E5711D" w:rsidR="00A5738A">
        <w:t xml:space="preserve">Toscano </w:t>
      </w:r>
      <w:r w:rsidR="00794D93">
        <w:t>in the amount of</w:t>
      </w:r>
      <w:r w:rsidRPr="00E5711D" w:rsidR="00A5738A">
        <w:t xml:space="preserve"> $2,451,565</w:t>
      </w:r>
      <w:r w:rsidRPr="00E5711D" w:rsidR="003F052D">
        <w:t>.00</w:t>
      </w:r>
      <w:r w:rsidR="003D48D3">
        <w:t xml:space="preserve"> </w:t>
      </w:r>
      <w:r w:rsidR="009F5A4E">
        <w:t>USD</w:t>
      </w:r>
      <w:r w:rsidRPr="00E5711D">
        <w:t>.</w:t>
      </w:r>
      <w:bookmarkStart w:id="76" w:name="_Ref208914659"/>
      <w:r>
        <w:rPr>
          <w:rStyle w:val="FootnoteReference"/>
        </w:rPr>
        <w:footnoteReference w:id="36"/>
      </w:r>
      <w:bookmarkEnd w:id="76"/>
      <w:r w:rsidRPr="00E5711D">
        <w:t xml:space="preserve">  N</w:t>
      </w:r>
      <w:r w:rsidRPr="00E5711D" w:rsidR="00A5738A">
        <w:t xml:space="preserve">o further explanation of the debt, its origin, or the terms of </w:t>
      </w:r>
      <w:r w:rsidRPr="00E5711D" w:rsidR="6887031C">
        <w:t>a</w:t>
      </w:r>
      <w:r w:rsidR="00794D93">
        <w:t>ny</w:t>
      </w:r>
      <w:r w:rsidRPr="00E5711D" w:rsidR="6887031C">
        <w:t xml:space="preserve"> </w:t>
      </w:r>
      <w:r w:rsidRPr="00E5711D">
        <w:t xml:space="preserve">loan </w:t>
      </w:r>
      <w:r w:rsidRPr="00E5711D" w:rsidR="00A5738A">
        <w:t>agreement were included with the</w:t>
      </w:r>
      <w:r w:rsidR="00E77BE5">
        <w:t xml:space="preserve"> </w:t>
      </w:r>
      <w:r w:rsidRPr="00E5711D" w:rsidR="00A5738A">
        <w:t>Transfer Application</w:t>
      </w:r>
      <w:r w:rsidRPr="00E5711D" w:rsidR="003F052D">
        <w:t>, n</w:t>
      </w:r>
      <w:r w:rsidRPr="00E5711D" w:rsidR="00A5738A">
        <w:t>o</w:t>
      </w:r>
      <w:r w:rsidRPr="00E5711D" w:rsidR="007C5E10">
        <w:t>r</w:t>
      </w:r>
      <w:r w:rsidRPr="00066CB2" w:rsidR="00A5738A">
        <w:rPr>
          <w:szCs w:val="22"/>
        </w:rPr>
        <w:t xml:space="preserve"> </w:t>
      </w:r>
      <w:r w:rsidRPr="00E5711D" w:rsidR="000919B0">
        <w:t>were copies</w:t>
      </w:r>
      <w:r w:rsidRPr="00E5711D" w:rsidR="00A5738A">
        <w:t xml:space="preserve"> of </w:t>
      </w:r>
      <w:r w:rsidRPr="00E5711D" w:rsidR="4B49488F">
        <w:t xml:space="preserve">a </w:t>
      </w:r>
      <w:r w:rsidRPr="00E5711D" w:rsidR="00A5738A">
        <w:t>debt instrument or related agreements, if any</w:t>
      </w:r>
      <w:r w:rsidRPr="00066CB2">
        <w:rPr>
          <w:szCs w:val="22"/>
        </w:rPr>
        <w:t>,</w:t>
      </w:r>
      <w:r w:rsidRPr="00E5711D" w:rsidR="007C5E10">
        <w:t xml:space="preserve"> attached to the </w:t>
      </w:r>
      <w:r w:rsidRPr="00E5711D" w:rsidR="002C0BF2">
        <w:t>a</w:t>
      </w:r>
      <w:r w:rsidRPr="00E5711D" w:rsidR="007C5E10">
        <w:t>pplication</w:t>
      </w:r>
      <w:r w:rsidRPr="00066CB2" w:rsidR="00A5738A">
        <w:rPr>
          <w:szCs w:val="22"/>
        </w:rPr>
        <w:t xml:space="preserve">.  </w:t>
      </w:r>
      <w:r w:rsidRPr="00066CB2" w:rsidR="00E14F17">
        <w:rPr>
          <w:szCs w:val="22"/>
        </w:rPr>
        <w:t xml:space="preserve">In addition to Rygaard (as “the Seller”) and Toscano (as “the Buyer”), Mr. </w:t>
      </w:r>
      <w:r w:rsidRPr="00066CB2" w:rsidR="00586561">
        <w:rPr>
          <w:szCs w:val="22"/>
        </w:rPr>
        <w:t xml:space="preserve">Peréz </w:t>
      </w:r>
      <w:r w:rsidRPr="00066CB2" w:rsidR="00E14F17">
        <w:rPr>
          <w:szCs w:val="22"/>
        </w:rPr>
        <w:t>de Anda appears as a signatory to the Stock Purchase Agreement signing as “President” of “97.5 Investment TX LLC,” which is listed on the signature page</w:t>
      </w:r>
      <w:r w:rsidRPr="00066CB2" w:rsidR="00066CB2">
        <w:rPr>
          <w:szCs w:val="22"/>
        </w:rPr>
        <w:t xml:space="preserve"> of the agreement</w:t>
      </w:r>
      <w:r w:rsidRPr="00066CB2" w:rsidR="00E14F17">
        <w:rPr>
          <w:szCs w:val="22"/>
        </w:rPr>
        <w:t xml:space="preserve"> as “Debtor.”</w:t>
      </w:r>
      <w:r>
        <w:rPr>
          <w:rStyle w:val="FootnoteReference"/>
          <w:szCs w:val="22"/>
        </w:rPr>
        <w:footnoteReference w:id="37"/>
      </w:r>
      <w:r w:rsidRPr="00066CB2" w:rsidR="00E14F17">
        <w:rPr>
          <w:szCs w:val="22"/>
        </w:rPr>
        <w:t xml:space="preserve">  The term “Debtor” is undefined in the agreement and neither “Debtor” nor “97.5 Investment TX LLC” appear </w:t>
      </w:r>
      <w:r w:rsidRPr="00066CB2" w:rsidR="00222FD4">
        <w:rPr>
          <w:szCs w:val="22"/>
        </w:rPr>
        <w:t>elsewhere</w:t>
      </w:r>
      <w:r w:rsidRPr="00066CB2" w:rsidR="00E14F17">
        <w:rPr>
          <w:szCs w:val="22"/>
        </w:rPr>
        <w:t xml:space="preserve"> in the document.</w:t>
      </w:r>
      <w:bookmarkEnd w:id="74"/>
      <w:r w:rsidRPr="00066CB2" w:rsidR="00E14F17">
        <w:rPr>
          <w:szCs w:val="22"/>
        </w:rPr>
        <w:t xml:space="preserve">  </w:t>
      </w:r>
      <w:r w:rsidRPr="00E5711D" w:rsidR="003F052D">
        <w:t xml:space="preserve">The Transfer Application made no mention of a time brokerage agreement </w:t>
      </w:r>
      <w:r w:rsidRPr="00E5711D" w:rsidR="002C0BF2">
        <w:t>or advertising sales agreement</w:t>
      </w:r>
      <w:r w:rsidRPr="00E5711D" w:rsidR="007659A5">
        <w:t xml:space="preserve"> and gave no indication that the Stations were programmed by </w:t>
      </w:r>
      <w:r w:rsidRPr="00E5711D" w:rsidR="003F052D">
        <w:t xml:space="preserve">any party other than the Licensee.  </w:t>
      </w:r>
    </w:p>
    <w:p w:rsidR="00AC2937" w:rsidP="00AC2937" w14:paraId="5C39E21C" w14:textId="298EECE4">
      <w:pPr>
        <w:pStyle w:val="ParaNum"/>
      </w:pPr>
      <w:r w:rsidRPr="00E5711D">
        <w:t>In the Transfer Application</w:t>
      </w:r>
      <w:r w:rsidRPr="00E5711D" w:rsidR="00045A97">
        <w:t>,</w:t>
      </w:r>
      <w:r w:rsidRPr="00E5711D">
        <w:t xml:space="preserve"> Toscano</w:t>
      </w:r>
      <w:r w:rsidRPr="00E5711D" w:rsidR="00E25214">
        <w:t>, as the Transferee,</w:t>
      </w:r>
      <w:r w:rsidRPr="00E5711D">
        <w:t xml:space="preserve"> </w:t>
      </w:r>
      <w:r w:rsidRPr="00E5711D" w:rsidR="00DD3D4F">
        <w:t xml:space="preserve">certified </w:t>
      </w:r>
      <w:r w:rsidRPr="00E5711D">
        <w:t xml:space="preserve">among other things </w:t>
      </w:r>
      <w:r w:rsidRPr="00E5711D" w:rsidR="00DD3D4F">
        <w:t>that “</w:t>
      </w:r>
      <w:r w:rsidRPr="00E5711D">
        <w:t xml:space="preserve">the written </w:t>
      </w:r>
      <w:r w:rsidRPr="00E5711D" w:rsidR="00DD3D4F">
        <w:t>agreements</w:t>
      </w:r>
      <w:r w:rsidRPr="00E5711D">
        <w:t xml:space="preserve"> [</w:t>
      </w:r>
      <w:r w:rsidRPr="00E5711D" w:rsidR="000D3452">
        <w:t>. . .</w:t>
      </w:r>
      <w:r w:rsidRPr="00E5711D">
        <w:t>]</w:t>
      </w:r>
      <w:r w:rsidRPr="00E5711D" w:rsidR="00664544">
        <w:t xml:space="preserve"> </w:t>
      </w:r>
      <w:r w:rsidRPr="00E5711D">
        <w:t>submitted to the Commission embody the complete and final agreement for the sale or transfer of the station(s)</w:t>
      </w:r>
      <w:r w:rsidRPr="00E5711D" w:rsidR="00664544">
        <w:t>,”</w:t>
      </w:r>
      <w:r w:rsidRPr="00E5711D">
        <w:t xml:space="preserve"> and </w:t>
      </w:r>
      <w:r w:rsidRPr="00E5711D" w:rsidR="00664544">
        <w:t xml:space="preserve">that </w:t>
      </w:r>
      <w:r w:rsidRPr="00E5711D" w:rsidR="00CA7F1C">
        <w:t xml:space="preserve">such </w:t>
      </w:r>
      <w:r w:rsidRPr="00E5711D" w:rsidR="003F052D">
        <w:t>agreements</w:t>
      </w:r>
      <w:r w:rsidRPr="00E5711D" w:rsidR="00664544">
        <w:t xml:space="preserve"> </w:t>
      </w:r>
      <w:r w:rsidRPr="00E5711D">
        <w:t>“comply fully with the Commission’s rules and policies</w:t>
      </w:r>
      <w:r w:rsidRPr="00E5711D" w:rsidR="00664544">
        <w:t>.</w:t>
      </w:r>
      <w:r w:rsidRPr="00E5711D">
        <w:t>”</w:t>
      </w:r>
      <w:r>
        <w:rPr>
          <w:rStyle w:val="FootnoteReference"/>
        </w:rPr>
        <w:footnoteReference w:id="38"/>
      </w:r>
      <w:r w:rsidRPr="00E5711D" w:rsidR="00DD3D4F">
        <w:t xml:space="preserve">  </w:t>
      </w:r>
      <w:r w:rsidRPr="00E5711D">
        <w:t xml:space="preserve">In addition, </w:t>
      </w:r>
      <w:r w:rsidRPr="00E5711D" w:rsidR="00DD3D4F">
        <w:t>Rygaard</w:t>
      </w:r>
      <w:r w:rsidRPr="00E5711D">
        <w:t xml:space="preserve"> </w:t>
      </w:r>
      <w:r w:rsidRPr="00E5711D" w:rsidR="00DD3D4F">
        <w:t>and Toscano</w:t>
      </w:r>
      <w:r w:rsidRPr="00E5711D" w:rsidR="000212AA">
        <w:t xml:space="preserve"> each </w:t>
      </w:r>
      <w:r w:rsidRPr="00E5711D" w:rsidR="00DD3D4F">
        <w:t>certified that</w:t>
      </w:r>
      <w:r w:rsidRPr="00E5711D" w:rsidR="000212AA">
        <w:t xml:space="preserve"> they had “answered each question in this application based on its review of the application instructions and worksheets” and that an affirmative certification on the application “constitutes its representation that the application satisfies each of the pertinent standards and criteria set forth in the application instructions and worksheets.”</w:t>
      </w:r>
      <w:r>
        <w:rPr>
          <w:rStyle w:val="FootnoteReference"/>
        </w:rPr>
        <w:footnoteReference w:id="39"/>
      </w:r>
      <w:r w:rsidRPr="00E5711D" w:rsidR="000212AA">
        <w:t xml:space="preserve">  Each Party further certified that the statements made by each was </w:t>
      </w:r>
      <w:r w:rsidRPr="00E5711D" w:rsidR="00DD3D4F">
        <w:t>“</w:t>
      </w:r>
      <w:r w:rsidRPr="00E5711D" w:rsidR="000212AA">
        <w:t>true, complete, correct, and made in good faith</w:t>
      </w:r>
      <w:r w:rsidRPr="00E5711D" w:rsidR="000919B0">
        <w:t>.</w:t>
      </w:r>
      <w:r w:rsidRPr="00E5711D" w:rsidR="000212AA">
        <w:t>”</w:t>
      </w:r>
      <w:r>
        <w:rPr>
          <w:rStyle w:val="FootnoteReference"/>
        </w:rPr>
        <w:footnoteReference w:id="40"/>
      </w:r>
      <w:r w:rsidRPr="00E5711D" w:rsidR="00DD3D4F">
        <w:t xml:space="preserve">  </w:t>
      </w:r>
      <w:r w:rsidRPr="00E5711D" w:rsidR="000212AA">
        <w:t>In addition to</w:t>
      </w:r>
      <w:r w:rsidRPr="00E5711D" w:rsidR="007056CC">
        <w:t xml:space="preserve"> the Parties’ certifications in the T</w:t>
      </w:r>
      <w:r w:rsidRPr="00E5711D" w:rsidR="000212AA">
        <w:t xml:space="preserve">ransferor’s </w:t>
      </w:r>
      <w:r w:rsidRPr="00E5711D">
        <w:t xml:space="preserve">and Transferee’s </w:t>
      </w:r>
      <w:r w:rsidRPr="00E5711D" w:rsidR="00E25214">
        <w:t xml:space="preserve">respective </w:t>
      </w:r>
      <w:r w:rsidRPr="00E5711D">
        <w:t>section</w:t>
      </w:r>
      <w:r w:rsidRPr="00E5711D" w:rsidR="007056CC">
        <w:t>s</w:t>
      </w:r>
      <w:r w:rsidR="001C75BF">
        <w:t xml:space="preserve"> of the application</w:t>
      </w:r>
      <w:r w:rsidRPr="00E5711D" w:rsidR="007056CC">
        <w:t xml:space="preserve">, the Licensee’s portion of the Transfer Application was certified by </w:t>
      </w:r>
      <w:r w:rsidRPr="00E5711D">
        <w:t>“R</w:t>
      </w:r>
      <w:r w:rsidRPr="00E5711D" w:rsidR="000212AA">
        <w:t>afael Marquez Aguirre</w:t>
      </w:r>
      <w:r w:rsidRPr="00E5711D">
        <w:t xml:space="preserve">, </w:t>
      </w:r>
      <w:r w:rsidRPr="00E5711D" w:rsidR="000212AA">
        <w:t>President</w:t>
      </w:r>
      <w:r w:rsidRPr="00E5711D" w:rsidR="007056CC">
        <w:t>,</w:t>
      </w:r>
      <w:r w:rsidRPr="00E5711D">
        <w:t>”</w:t>
      </w:r>
      <w:r w:rsidRPr="00E5711D" w:rsidR="00CA7F1C">
        <w:t xml:space="preserve"> </w:t>
      </w:r>
      <w:r w:rsidR="00310FE1">
        <w:t>one of the</w:t>
      </w:r>
      <w:r w:rsidRPr="00E5711D" w:rsidR="007056CC">
        <w:t xml:space="preserve"> prior owner</w:t>
      </w:r>
      <w:r w:rsidR="00310FE1">
        <w:t>s</w:t>
      </w:r>
      <w:r w:rsidRPr="00E5711D" w:rsidR="007056CC">
        <w:t xml:space="preserve"> of the Stations.</w:t>
      </w:r>
      <w:r>
        <w:rPr>
          <w:rStyle w:val="FootnoteReference"/>
        </w:rPr>
        <w:footnoteReference w:id="41"/>
      </w:r>
    </w:p>
    <w:p w:rsidR="00267040" w:rsidP="00267040" w14:paraId="02EE89E9" w14:textId="2366B74B">
      <w:pPr>
        <w:pStyle w:val="Heading3"/>
      </w:pPr>
      <w:bookmarkStart w:id="77" w:name="_Toc209708333"/>
      <w:bookmarkStart w:id="78" w:name="_Toc210117701"/>
      <w:bookmarkStart w:id="79" w:name="_Toc219206063"/>
      <w:bookmarkStart w:id="80" w:name="_Toc219206804"/>
      <w:r>
        <w:t xml:space="preserve">The </w:t>
      </w:r>
      <w:r w:rsidR="00310FE1">
        <w:t xml:space="preserve">Bureau’s </w:t>
      </w:r>
      <w:r>
        <w:t>Investigation.</w:t>
      </w:r>
      <w:bookmarkEnd w:id="77"/>
      <w:bookmarkEnd w:id="78"/>
      <w:bookmarkEnd w:id="79"/>
      <w:bookmarkEnd w:id="80"/>
    </w:p>
    <w:p w:rsidR="00443EEB" w:rsidRPr="00E5711D" w:rsidP="00BC53D4" w14:paraId="0B36D1DA" w14:textId="3ECFF66C">
      <w:pPr>
        <w:pStyle w:val="ParaNum"/>
        <w:widowControl/>
      </w:pPr>
      <w:r w:rsidRPr="00E401C1">
        <w:rPr>
          <w:i/>
        </w:rPr>
        <w:t>Letter of Inquiry</w:t>
      </w:r>
      <w:r w:rsidRPr="00E401C1" w:rsidR="00DC302D">
        <w:rPr>
          <w:i/>
        </w:rPr>
        <w:t>.</w:t>
      </w:r>
      <w:r w:rsidRPr="00E401C1" w:rsidR="009B5646">
        <w:rPr>
          <w:szCs w:val="22"/>
        </w:rPr>
        <w:t xml:space="preserve">  </w:t>
      </w:r>
      <w:r w:rsidRPr="00E401C1" w:rsidR="00E401C1">
        <w:rPr>
          <w:szCs w:val="22"/>
        </w:rPr>
        <w:t xml:space="preserve">Upon review of the Transfer </w:t>
      </w:r>
      <w:r w:rsidRPr="00E401C1" w:rsidR="00FA5C2A">
        <w:rPr>
          <w:szCs w:val="22"/>
        </w:rPr>
        <w:t>Application,</w:t>
      </w:r>
      <w:r w:rsidRPr="00E401C1" w:rsidR="00E401C1">
        <w:rPr>
          <w:szCs w:val="22"/>
        </w:rPr>
        <w:t xml:space="preserve"> it appeared to the Bureau that the Parties had potentially omitted</w:t>
      </w:r>
      <w:r w:rsidRPr="00E5711D">
        <w:t xml:space="preserve"> </w:t>
      </w:r>
      <w:r w:rsidR="00CB5ABD">
        <w:t xml:space="preserve">relevant </w:t>
      </w:r>
      <w:r w:rsidRPr="00E5711D">
        <w:t>information</w:t>
      </w:r>
      <w:r w:rsidR="00E401C1">
        <w:t xml:space="preserve">, </w:t>
      </w:r>
      <w:r w:rsidRPr="00E5711D" w:rsidR="00E401C1">
        <w:t>including</w:t>
      </w:r>
      <w:r w:rsidRPr="00E5711D">
        <w:t xml:space="preserve"> </w:t>
      </w:r>
      <w:r w:rsidR="00CB5ABD">
        <w:t>any reference to a time brokerage agreement</w:t>
      </w:r>
      <w:r w:rsidR="005734CE">
        <w:t>,</w:t>
      </w:r>
      <w:r w:rsidR="00CB5ABD">
        <w:t xml:space="preserve"> and </w:t>
      </w:r>
      <w:r w:rsidRPr="00E5711D" w:rsidR="00DC302D">
        <w:t>potential</w:t>
      </w:r>
      <w:r w:rsidR="00E401C1">
        <w:t xml:space="preserve">ly relevant </w:t>
      </w:r>
      <w:r w:rsidRPr="00E5711D" w:rsidR="0026534A">
        <w:t>agreements</w:t>
      </w:r>
      <w:r w:rsidR="00E401C1">
        <w:t xml:space="preserve">.  </w:t>
      </w:r>
      <w:r w:rsidRPr="00E401C1" w:rsidR="00E401C1">
        <w:rPr>
          <w:szCs w:val="22"/>
        </w:rPr>
        <w:t>I</w:t>
      </w:r>
      <w:r w:rsidRPr="00E5711D" w:rsidR="00E401C1">
        <w:t xml:space="preserve">n order to properly understand and evaluate the pending </w:t>
      </w:r>
      <w:r w:rsidRPr="00E5711D" w:rsidR="00E401C1">
        <w:t>Transfer Application and the related foreign ownership Petition, the Bureau sought additional information from the Parties</w:t>
      </w:r>
      <w:r w:rsidRPr="00E5711D">
        <w:t xml:space="preserve"> by a Letter of Inquiry (LOI) dated July 3, 2024.</w:t>
      </w:r>
      <w:r>
        <w:rPr>
          <w:rStyle w:val="FootnoteReference"/>
        </w:rPr>
        <w:footnoteReference w:id="42"/>
      </w:r>
      <w:r w:rsidRPr="00E401C1">
        <w:rPr>
          <w:szCs w:val="22"/>
        </w:rPr>
        <w:t xml:space="preserve">  </w:t>
      </w:r>
    </w:p>
    <w:p w:rsidR="00DC302D" w:rsidRPr="00E5711D" w:rsidP="008773F6" w14:paraId="5395C015" w14:textId="02070CD8">
      <w:pPr>
        <w:pStyle w:val="ParaNum"/>
      </w:pPr>
      <w:bookmarkStart w:id="81" w:name="_Ref217380432"/>
      <w:r w:rsidRPr="00E5711D">
        <w:t>The LOI was directed to the Licensee</w:t>
      </w:r>
      <w:r w:rsidRPr="00E5711D">
        <w:t xml:space="preserve"> and requested </w:t>
      </w:r>
      <w:r w:rsidRPr="00E5711D" w:rsidR="00D545E1">
        <w:t xml:space="preserve">information </w:t>
      </w:r>
      <w:r w:rsidRPr="00E5711D">
        <w:t>about the current and former operation, ownership, and programming of the Stations</w:t>
      </w:r>
      <w:r w:rsidRPr="00E5711D" w:rsidR="0031018E">
        <w:t xml:space="preserve">, as well as </w:t>
      </w:r>
      <w:r w:rsidRPr="00E5711D" w:rsidR="0026534A">
        <w:t xml:space="preserve">about </w:t>
      </w:r>
      <w:r w:rsidRPr="00E5711D" w:rsidR="0031018E">
        <w:t>the involvement of various entities and individuals</w:t>
      </w:r>
      <w:r w:rsidRPr="00E5711D">
        <w:t xml:space="preserve">.  </w:t>
      </w:r>
      <w:r w:rsidR="00310FE1">
        <w:t xml:space="preserve">The </w:t>
      </w:r>
      <w:r w:rsidRPr="00E5711D">
        <w:t xml:space="preserve">Licensee responded by letter dated August 1, 2024, </w:t>
      </w:r>
      <w:r w:rsidRPr="00E5711D" w:rsidR="00644F9B">
        <w:t xml:space="preserve">(LOI Response) </w:t>
      </w:r>
      <w:r w:rsidRPr="00E5711D" w:rsidR="00A92999">
        <w:t>along with</w:t>
      </w:r>
      <w:r w:rsidRPr="00E5711D">
        <w:t xml:space="preserve"> an affidavit executed by Rygaard.</w:t>
      </w:r>
      <w:r>
        <w:rPr>
          <w:rStyle w:val="FootnoteReference"/>
        </w:rPr>
        <w:footnoteReference w:id="43"/>
      </w:r>
      <w:r w:rsidRPr="00E5711D">
        <w:rPr>
          <w:szCs w:val="22"/>
        </w:rPr>
        <w:t xml:space="preserve"> </w:t>
      </w:r>
      <w:r w:rsidRPr="00E5711D" w:rsidR="003E09D7">
        <w:t xml:space="preserve"> In </w:t>
      </w:r>
      <w:r w:rsidRPr="00E5711D" w:rsidR="00205E6B">
        <w:t>the LOI</w:t>
      </w:r>
      <w:r w:rsidRPr="00E5711D" w:rsidR="003E09D7">
        <w:t xml:space="preserve"> Response</w:t>
      </w:r>
      <w:r w:rsidRPr="00E5711D" w:rsidR="00205E6B">
        <w:rPr>
          <w:szCs w:val="22"/>
        </w:rPr>
        <w:t>,</w:t>
      </w:r>
      <w:r w:rsidRPr="00E5711D" w:rsidR="003E09D7">
        <w:t xml:space="preserve"> </w:t>
      </w:r>
      <w:r w:rsidR="00310FE1">
        <w:t xml:space="preserve">the </w:t>
      </w:r>
      <w:r w:rsidRPr="00E5711D" w:rsidR="003E09D7">
        <w:t>Licensee indicated for the first time that another entity, Pro Radio LLC</w:t>
      </w:r>
      <w:r w:rsidRPr="00E5711D" w:rsidR="00B65A35">
        <w:t xml:space="preserve"> (Pro Radio)</w:t>
      </w:r>
      <w:r w:rsidRPr="00E5711D" w:rsidR="003E09D7">
        <w:t xml:space="preserve">, was programming </w:t>
      </w:r>
      <w:r w:rsidRPr="00E5711D" w:rsidR="00AB5132">
        <w:t xml:space="preserve">the airtime </w:t>
      </w:r>
      <w:r w:rsidRPr="00E5711D" w:rsidR="003E09D7">
        <w:t>and selling</w:t>
      </w:r>
      <w:r w:rsidRPr="00E5711D" w:rsidR="000535F9">
        <w:t xml:space="preserve"> the</w:t>
      </w:r>
      <w:r w:rsidRPr="00E5711D" w:rsidR="003E09D7">
        <w:t xml:space="preserve"> advertising on the Stations.</w:t>
      </w:r>
      <w:r>
        <w:rPr>
          <w:rStyle w:val="FootnoteReference"/>
        </w:rPr>
        <w:footnoteReference w:id="44"/>
      </w:r>
      <w:r w:rsidRPr="00E5711D" w:rsidR="003E09D7">
        <w:t xml:space="preserve">  </w:t>
      </w:r>
      <w:r w:rsidRPr="00E5711D" w:rsidR="0031018E">
        <w:t>T</w:t>
      </w:r>
      <w:r w:rsidRPr="00E5711D" w:rsidR="00AA6907">
        <w:t xml:space="preserve">he Licensee </w:t>
      </w:r>
      <w:r w:rsidRPr="00E5711D" w:rsidR="006C65AD">
        <w:t xml:space="preserve">asserted </w:t>
      </w:r>
      <w:r w:rsidRPr="00E5711D" w:rsidR="00AA6907">
        <w:t xml:space="preserve">that </w:t>
      </w:r>
      <w:r w:rsidRPr="00E5711D" w:rsidR="008C60B8">
        <w:t xml:space="preserve">Pro Radio </w:t>
      </w:r>
      <w:r w:rsidRPr="00E5711D" w:rsidR="00AA6907">
        <w:t xml:space="preserve">began </w:t>
      </w:r>
      <w:r w:rsidRPr="00E5711D" w:rsidR="0026534A">
        <w:t xml:space="preserve">programming the Stations </w:t>
      </w:r>
      <w:r w:rsidRPr="00E5711D" w:rsidR="00AA6907">
        <w:t xml:space="preserve">in November of </w:t>
      </w:r>
      <w:r w:rsidRPr="00736B27" w:rsidR="00AA6907">
        <w:t>2021,</w:t>
      </w:r>
      <w:r>
        <w:rPr>
          <w:rStyle w:val="FootnoteReference"/>
        </w:rPr>
        <w:footnoteReference w:id="45"/>
      </w:r>
      <w:r w:rsidRPr="00736B27" w:rsidR="00AA6907">
        <w:t xml:space="preserve"> </w:t>
      </w:r>
      <w:r w:rsidRPr="00736B27" w:rsidR="00B65A35">
        <w:t>but</w:t>
      </w:r>
      <w:r w:rsidRPr="00E5711D" w:rsidR="00B65A35">
        <w:t xml:space="preserve"> </w:t>
      </w:r>
      <w:r w:rsidRPr="00E5711D" w:rsidR="008C60B8">
        <w:t xml:space="preserve">elsewhere </w:t>
      </w:r>
      <w:r w:rsidRPr="00E5711D" w:rsidR="00B65A35">
        <w:t xml:space="preserve">the </w:t>
      </w:r>
      <w:r w:rsidRPr="00E5711D" w:rsidR="00AA6907">
        <w:t xml:space="preserve">LOI Response </w:t>
      </w:r>
      <w:r w:rsidRPr="00E5711D" w:rsidR="00B65A35">
        <w:t xml:space="preserve">stated </w:t>
      </w:r>
      <w:r w:rsidRPr="00E5711D" w:rsidR="00AA6907">
        <w:t>that Pro Radio was not formed under the laws of the State of Texas until August 2022.</w:t>
      </w:r>
      <w:r>
        <w:rPr>
          <w:rStyle w:val="FootnoteReference"/>
        </w:rPr>
        <w:footnoteReference w:id="46"/>
      </w:r>
      <w:r w:rsidRPr="00E5711D" w:rsidR="00AA6907">
        <w:rPr>
          <w:szCs w:val="22"/>
        </w:rPr>
        <w:t xml:space="preserve">  </w:t>
      </w:r>
      <w:r w:rsidRPr="00E5711D" w:rsidR="00B65A35">
        <w:t xml:space="preserve">The </w:t>
      </w:r>
      <w:r w:rsidRPr="00E5711D" w:rsidR="00644F9B">
        <w:t>LOI Response further</w:t>
      </w:r>
      <w:r w:rsidRPr="00E5711D" w:rsidR="00AA6907">
        <w:rPr>
          <w:szCs w:val="22"/>
        </w:rPr>
        <w:t xml:space="preserve"> </w:t>
      </w:r>
      <w:r w:rsidRPr="00E5711D" w:rsidR="00B65A35">
        <w:t xml:space="preserve">revealed </w:t>
      </w:r>
      <w:r w:rsidRPr="00E5711D" w:rsidR="00AA6907">
        <w:t xml:space="preserve">that Pro Radio is, in fact, </w:t>
      </w:r>
      <w:r w:rsidRPr="26A29C2B" w:rsidR="00205E6B">
        <w:t xml:space="preserve">ultimately </w:t>
      </w:r>
      <w:r w:rsidRPr="00E5711D" w:rsidR="00AA6907">
        <w:t xml:space="preserve">owned by the </w:t>
      </w:r>
      <w:r w:rsidRPr="00E5711D" w:rsidR="0031018E">
        <w:t xml:space="preserve">proposed </w:t>
      </w:r>
      <w:r w:rsidRPr="00E5711D" w:rsidR="00AA6907">
        <w:t>Transferee</w:t>
      </w:r>
      <w:r w:rsidRPr="00E5711D" w:rsidR="0011594F">
        <w:t>,</w:t>
      </w:r>
      <w:r w:rsidRPr="00E5711D" w:rsidR="00AA6907">
        <w:t xml:space="preserve"> Toscano</w:t>
      </w:r>
      <w:r w:rsidRPr="00E5711D" w:rsidR="0011594F">
        <w:t>,</w:t>
      </w:r>
      <w:r w:rsidRPr="00E5711D" w:rsidR="00AA6907">
        <w:t xml:space="preserve"> and her two sisters, </w:t>
      </w:r>
      <w:bookmarkStart w:id="82" w:name="_Hlk196224658"/>
      <w:r w:rsidRPr="00E5711D" w:rsidR="00B65A35">
        <w:t xml:space="preserve">Rebeca Elizabeth </w:t>
      </w:r>
      <w:r w:rsidRPr="00E5711D" w:rsidR="00706BD2">
        <w:t>Peréz</w:t>
      </w:r>
      <w:r w:rsidRPr="00E5711D" w:rsidR="00B65A35">
        <w:t xml:space="preserve"> Toscano and Jaqueline </w:t>
      </w:r>
      <w:r w:rsidRPr="00E5711D" w:rsidR="00706BD2">
        <w:t>Peréz</w:t>
      </w:r>
      <w:r w:rsidRPr="00E5711D" w:rsidR="00B65A35">
        <w:t xml:space="preserve"> Toscano</w:t>
      </w:r>
      <w:bookmarkEnd w:id="82"/>
      <w:r w:rsidRPr="00E5711D" w:rsidR="00AA6907">
        <w:t>.</w:t>
      </w:r>
      <w:r>
        <w:rPr>
          <w:rStyle w:val="FootnoteReference"/>
        </w:rPr>
        <w:footnoteReference w:id="47"/>
      </w:r>
      <w:r w:rsidRPr="00E5711D" w:rsidR="00AA6907">
        <w:rPr>
          <w:szCs w:val="22"/>
        </w:rPr>
        <w:t xml:space="preserve"> </w:t>
      </w:r>
      <w:r w:rsidRPr="00E5711D" w:rsidR="008C60B8">
        <w:t xml:space="preserve"> In addition, the LOI Response stated tha</w:t>
      </w:r>
      <w:r w:rsidRPr="00076721" w:rsidR="008C60B8">
        <w:t xml:space="preserve">t </w:t>
      </w:r>
      <w:r w:rsidRPr="00076721" w:rsidR="00B527A8">
        <w:t xml:space="preserve">in 2022, </w:t>
      </w:r>
      <w:r w:rsidRPr="00076721" w:rsidR="008C60B8">
        <w:t xml:space="preserve">Rygaard </w:t>
      </w:r>
      <w:r w:rsidRPr="00076721" w:rsidR="00C33F58">
        <w:t xml:space="preserve">herself </w:t>
      </w:r>
      <w:r w:rsidRPr="00076721" w:rsidR="005E66D5">
        <w:t>became</w:t>
      </w:r>
      <w:r w:rsidRPr="00076721" w:rsidR="008C60B8">
        <w:t xml:space="preserve"> “an executive with Pro Radio,” indicating that </w:t>
      </w:r>
      <w:r w:rsidRPr="00076721" w:rsidR="00AB5132">
        <w:t xml:space="preserve">she was </w:t>
      </w:r>
      <w:r w:rsidRPr="00076721" w:rsidR="008C60B8">
        <w:t>an employee of the company</w:t>
      </w:r>
      <w:r w:rsidRPr="00E5711D" w:rsidR="008C60B8">
        <w:t xml:space="preserve"> programming the</w:t>
      </w:r>
      <w:r w:rsidRPr="00E5711D" w:rsidR="00C33F58">
        <w:t xml:space="preserve"> Stations at the same time she ostensibly owned the</w:t>
      </w:r>
      <w:r w:rsidRPr="00E5711D" w:rsidR="005F6C66">
        <w:t xml:space="preserve"> Stations</w:t>
      </w:r>
      <w:r w:rsidRPr="00E5711D" w:rsidR="008C60B8">
        <w:rPr>
          <w:szCs w:val="22"/>
        </w:rPr>
        <w:t>.</w:t>
      </w:r>
      <w:r>
        <w:rPr>
          <w:rStyle w:val="FootnoteReference"/>
          <w:szCs w:val="22"/>
        </w:rPr>
        <w:footnoteReference w:id="48"/>
      </w:r>
      <w:r w:rsidRPr="00E5711D" w:rsidR="008C60B8">
        <w:rPr>
          <w:szCs w:val="22"/>
        </w:rPr>
        <w:t xml:space="preserve">  </w:t>
      </w:r>
      <w:r w:rsidRPr="00595395" w:rsidR="00516ECB">
        <w:rPr>
          <w:szCs w:val="22"/>
        </w:rPr>
        <w:t xml:space="preserve">The LOI Response stated that the programming arrangement was “unwritten” </w:t>
      </w:r>
      <w:r w:rsidRPr="00595395" w:rsidR="00E46131">
        <w:rPr>
          <w:szCs w:val="22"/>
        </w:rPr>
        <w:t xml:space="preserve">and asserted that </w:t>
      </w:r>
      <w:r w:rsidRPr="00595395" w:rsidR="002A0634">
        <w:rPr>
          <w:szCs w:val="22"/>
        </w:rPr>
        <w:t xml:space="preserve">the parties were not aware of </w:t>
      </w:r>
      <w:r w:rsidRPr="00595395" w:rsidR="00595395">
        <w:rPr>
          <w:szCs w:val="22"/>
        </w:rPr>
        <w:t>the</w:t>
      </w:r>
      <w:r w:rsidRPr="00595395" w:rsidR="00164825">
        <w:rPr>
          <w:szCs w:val="22"/>
        </w:rPr>
        <w:t xml:space="preserve"> </w:t>
      </w:r>
      <w:r w:rsidR="00595395">
        <w:rPr>
          <w:szCs w:val="22"/>
        </w:rPr>
        <w:t>requirement</w:t>
      </w:r>
      <w:r w:rsidRPr="00595395" w:rsidR="00595395">
        <w:rPr>
          <w:szCs w:val="22"/>
        </w:rPr>
        <w:t xml:space="preserve"> that such agreements be reduced to writing and placed in the Stations’ public inspection files</w:t>
      </w:r>
      <w:r w:rsidRPr="00595395" w:rsidR="00164825">
        <w:rPr>
          <w:szCs w:val="22"/>
        </w:rPr>
        <w:t>.</w:t>
      </w:r>
      <w:r>
        <w:rPr>
          <w:rStyle w:val="FootnoteReference"/>
          <w:szCs w:val="22"/>
        </w:rPr>
        <w:footnoteReference w:id="49"/>
      </w:r>
      <w:r w:rsidRPr="00595395" w:rsidR="00164825">
        <w:rPr>
          <w:szCs w:val="22"/>
        </w:rPr>
        <w:t xml:space="preserve"> </w:t>
      </w:r>
      <w:r w:rsidRPr="00595395" w:rsidR="00516ECB">
        <w:rPr>
          <w:szCs w:val="22"/>
        </w:rPr>
        <w:t xml:space="preserve"> And </w:t>
      </w:r>
      <w:r w:rsidRPr="00595395" w:rsidR="00516ECB">
        <w:t>d</w:t>
      </w:r>
      <w:r w:rsidRPr="00595395" w:rsidR="00435338">
        <w:t>espite the fact that the</w:t>
      </w:r>
      <w:r w:rsidRPr="00E5711D" w:rsidR="00435338">
        <w:t xml:space="preserve"> LOI had instructed the Licensee to reduce any such programming agreement to writing and provide it to the Bureau as part of its LOI Response,</w:t>
      </w:r>
      <w:r>
        <w:rPr>
          <w:rStyle w:val="FootnoteReference"/>
        </w:rPr>
        <w:footnoteReference w:id="50"/>
      </w:r>
      <w:r w:rsidRPr="00E5711D" w:rsidR="00435338">
        <w:t xml:space="preserve"> the Licensee failed to do so.</w:t>
      </w:r>
      <w:bookmarkEnd w:id="81"/>
      <w:r w:rsidRPr="00E5711D" w:rsidR="00435338">
        <w:t xml:space="preserve">  </w:t>
      </w:r>
    </w:p>
    <w:p w:rsidR="004B23D5" w:rsidRPr="00E5711D" w:rsidP="00F00D23" w14:paraId="2FBD1CF8" w14:textId="6E9226F0">
      <w:pPr>
        <w:pStyle w:val="ParaNum"/>
      </w:pPr>
      <w:bookmarkStart w:id="83" w:name="_Ref209693003"/>
      <w:r w:rsidRPr="00E5711D">
        <w:t xml:space="preserve">The LOI Response also provided </w:t>
      </w:r>
      <w:r w:rsidRPr="00E5711D" w:rsidR="00C33F58">
        <w:t xml:space="preserve">copies of two agreements related to the outstanding debt mentioned in the </w:t>
      </w:r>
      <w:r w:rsidRPr="00E5711D" w:rsidR="00F962B7">
        <w:t>Stock Purchase A</w:t>
      </w:r>
      <w:r w:rsidRPr="00E5711D" w:rsidR="00C33F58">
        <w:t xml:space="preserve">greement.  </w:t>
      </w:r>
      <w:r w:rsidR="00A53DDA">
        <w:t>T</w:t>
      </w:r>
      <w:r w:rsidRPr="00E5711D" w:rsidR="00C33F58">
        <w:t>he first</w:t>
      </w:r>
      <w:r w:rsidR="00EC2984">
        <w:t xml:space="preserve">, </w:t>
      </w:r>
      <w:r w:rsidRPr="00E5711D" w:rsidR="00C33F58">
        <w:t xml:space="preserve">entitled </w:t>
      </w:r>
      <w:r w:rsidRPr="00E5711D">
        <w:t>“Acknowledgement of Indebtedness Agreement</w:t>
      </w:r>
      <w:r w:rsidRPr="00E5711D" w:rsidR="29DAF8E2">
        <w:t>”</w:t>
      </w:r>
      <w:r w:rsidRPr="00E5711D" w:rsidR="00C33F58">
        <w:t xml:space="preserve"> </w:t>
      </w:r>
      <w:r w:rsidRPr="00E5711D" w:rsidR="00F962B7">
        <w:t xml:space="preserve">and </w:t>
      </w:r>
      <w:r w:rsidRPr="00E5711D">
        <w:t>dated November 26, 2021</w:t>
      </w:r>
      <w:r w:rsidR="00EC2984">
        <w:t>,</w:t>
      </w:r>
      <w:r w:rsidRPr="00E5711D" w:rsidR="00C33F58">
        <w:t xml:space="preserve"> </w:t>
      </w:r>
      <w:r w:rsidR="00EC2984">
        <w:t xml:space="preserve">documented </w:t>
      </w:r>
      <w:r w:rsidR="00F90669">
        <w:t>funding</w:t>
      </w:r>
      <w:r w:rsidR="00EC2984">
        <w:t xml:space="preserve"> from </w:t>
      </w:r>
      <w:r w:rsidR="00A65CB3">
        <w:t xml:space="preserve">the </w:t>
      </w:r>
      <w:r w:rsidRPr="00E5711D">
        <w:t xml:space="preserve">Mexican radio company Grupo Radio Centro </w:t>
      </w:r>
      <w:r w:rsidRPr="00E5711D" w:rsidR="00C33F58">
        <w:t xml:space="preserve">(which at the time </w:t>
      </w:r>
      <w:r w:rsidRPr="00E5711D" w:rsidR="00567E92">
        <w:t xml:space="preserve">was the </w:t>
      </w:r>
      <w:r w:rsidRPr="00E5711D" w:rsidR="00C33F58">
        <w:t xml:space="preserve">indirect </w:t>
      </w:r>
      <w:r w:rsidRPr="00E5711D" w:rsidR="00567E92">
        <w:t>minority owner</w:t>
      </w:r>
      <w:r w:rsidRPr="00E5711D" w:rsidR="0031018E">
        <w:t xml:space="preserve"> of</w:t>
      </w:r>
      <w:r w:rsidRPr="00E5711D" w:rsidR="00C33F58">
        <w:t xml:space="preserve"> the Stations) </w:t>
      </w:r>
      <w:r w:rsidR="00EC2984">
        <w:t>to</w:t>
      </w:r>
      <w:r w:rsidRPr="00E5711D" w:rsidR="00EC2984">
        <w:t xml:space="preserve"> 97.5 Holdings </w:t>
      </w:r>
      <w:r w:rsidR="00EC2984">
        <w:t xml:space="preserve">in the amount of </w:t>
      </w:r>
      <w:r w:rsidRPr="00E5711D">
        <w:t>$2,451,565</w:t>
      </w:r>
      <w:r w:rsidR="003D48D3">
        <w:t>.00</w:t>
      </w:r>
      <w:r w:rsidRPr="00E5711D" w:rsidR="00C33F58">
        <w:t xml:space="preserve"> </w:t>
      </w:r>
      <w:r w:rsidR="003D48D3">
        <w:t>USD</w:t>
      </w:r>
      <w:r w:rsidR="00EC2984">
        <w:t>.</w:t>
      </w:r>
      <w:r>
        <w:rPr>
          <w:rStyle w:val="FootnoteReference"/>
        </w:rPr>
        <w:footnoteReference w:id="51"/>
      </w:r>
      <w:r w:rsidR="00EC2984">
        <w:t xml:space="preserve">  Grupo Radio Centro apparently provided this funding </w:t>
      </w:r>
      <w:r w:rsidR="00EC2984">
        <w:rPr>
          <w:szCs w:val="22"/>
        </w:rPr>
        <w:t xml:space="preserve">for capital improvements to the Stations </w:t>
      </w:r>
      <w:r w:rsidRPr="00E5711D" w:rsidR="00637288">
        <w:t>in March 2017</w:t>
      </w:r>
      <w:r w:rsidRPr="00E5711D" w:rsidR="006F3FE8">
        <w:rPr>
          <w:szCs w:val="22"/>
        </w:rPr>
        <w:t>.</w:t>
      </w:r>
      <w:r>
        <w:rPr>
          <w:rStyle w:val="FootnoteReference"/>
        </w:rPr>
        <w:footnoteReference w:id="52"/>
      </w:r>
      <w:r w:rsidRPr="00E5711D" w:rsidR="00637288">
        <w:rPr>
          <w:szCs w:val="22"/>
        </w:rPr>
        <w:t xml:space="preserve"> </w:t>
      </w:r>
      <w:r w:rsidRPr="00E5711D" w:rsidR="006F3FE8">
        <w:rPr>
          <w:szCs w:val="22"/>
        </w:rPr>
        <w:t xml:space="preserve"> </w:t>
      </w:r>
      <w:r w:rsidRPr="00E5711D" w:rsidR="00567E92">
        <w:t>According to the LOI Response</w:t>
      </w:r>
      <w:r w:rsidRPr="00E5711D" w:rsidR="00567E92">
        <w:rPr>
          <w:szCs w:val="22"/>
        </w:rPr>
        <w:t>,</w:t>
      </w:r>
      <w:r w:rsidRPr="00E5711D" w:rsidR="00567E92">
        <w:t xml:space="preserve"> this debt was not documented with a loan agreement or promissory </w:t>
      </w:r>
      <w:r w:rsidRPr="26A29C2B" w:rsidR="00567E92">
        <w:t xml:space="preserve">note </w:t>
      </w:r>
      <w:r w:rsidR="00C43FDB">
        <w:t>at the time</w:t>
      </w:r>
      <w:r w:rsidR="009E499E">
        <w:t xml:space="preserve"> </w:t>
      </w:r>
      <w:r w:rsidR="00A53DDA">
        <w:t>the funding was provided</w:t>
      </w:r>
      <w:r w:rsidR="00CE1104">
        <w:t xml:space="preserve"> in 2017</w:t>
      </w:r>
      <w:r w:rsidR="009E499E">
        <w:t xml:space="preserve"> </w:t>
      </w:r>
      <w:r w:rsidR="00C43FDB">
        <w:t>because</w:t>
      </w:r>
      <w:r w:rsidR="009E499E">
        <w:t xml:space="preserve"> Grupo Radio Centro </w:t>
      </w:r>
      <w:r w:rsidRPr="00E5711D" w:rsidR="00567E92">
        <w:t xml:space="preserve">deemed </w:t>
      </w:r>
      <w:r w:rsidR="009E499E">
        <w:t xml:space="preserve">it </w:t>
      </w:r>
      <w:r w:rsidR="00F50A18">
        <w:t>to be “</w:t>
      </w:r>
      <w:r w:rsidRPr="00E5711D" w:rsidR="00567E92">
        <w:t>an internal funding.</w:t>
      </w:r>
      <w:r w:rsidR="00F50A18">
        <w:t>”</w:t>
      </w:r>
      <w:r>
        <w:rPr>
          <w:rStyle w:val="FootnoteReference"/>
        </w:rPr>
        <w:footnoteReference w:id="53"/>
      </w:r>
      <w:r w:rsidRPr="00E5711D" w:rsidR="00567E92">
        <w:t xml:space="preserve"> </w:t>
      </w:r>
      <w:r w:rsidR="00F50A18">
        <w:t xml:space="preserve"> In 2021, and in </w:t>
      </w:r>
      <w:r w:rsidRPr="00E5711D" w:rsidR="00567E92">
        <w:t>anticipation of</w:t>
      </w:r>
      <w:r w:rsidR="009E499E">
        <w:t xml:space="preserve"> seeking </w:t>
      </w:r>
      <w:r w:rsidR="00F50A18">
        <w:t xml:space="preserve">Commission </w:t>
      </w:r>
      <w:r w:rsidRPr="00E5711D" w:rsidR="00567E92">
        <w:t>approval to sell Grupo Radio Centro’s interest in 97.5 Holding</w:t>
      </w:r>
      <w:r w:rsidR="00F50A18">
        <w:t>s to Rygaard</w:t>
      </w:r>
      <w:r w:rsidRPr="00E5711D" w:rsidR="00567E92">
        <w:t xml:space="preserve">, the </w:t>
      </w:r>
      <w:r w:rsidR="009E499E">
        <w:t xml:space="preserve">parties </w:t>
      </w:r>
      <w:r w:rsidR="00FA5C2A">
        <w:t xml:space="preserve">apparently </w:t>
      </w:r>
      <w:r w:rsidR="00926DC3">
        <w:t>decided to treat</w:t>
      </w:r>
      <w:r w:rsidR="009E499E">
        <w:t xml:space="preserve"> the</w:t>
      </w:r>
      <w:r w:rsidR="00926DC3">
        <w:t xml:space="preserve"> funding as a loan</w:t>
      </w:r>
      <w:r w:rsidRPr="00E5711D" w:rsidR="00567E92">
        <w:t xml:space="preserve"> </w:t>
      </w:r>
      <w:r w:rsidR="009E499E">
        <w:t xml:space="preserve">and </w:t>
      </w:r>
      <w:r w:rsidR="00926DC3">
        <w:t xml:space="preserve">to document </w:t>
      </w:r>
      <w:r w:rsidR="009E499E">
        <w:t>97.5</w:t>
      </w:r>
      <w:r w:rsidR="00CE1104">
        <w:t xml:space="preserve"> Holding</w:t>
      </w:r>
      <w:r w:rsidR="009E499E">
        <w:t>’s obligation to repay the funding</w:t>
      </w:r>
      <w:r w:rsidRPr="00E5711D" w:rsidR="00567E92">
        <w:t>.</w:t>
      </w:r>
      <w:r>
        <w:rPr>
          <w:rStyle w:val="FootnoteReference"/>
        </w:rPr>
        <w:footnoteReference w:id="54"/>
      </w:r>
      <w:r w:rsidR="009E499E">
        <w:t xml:space="preserve"> </w:t>
      </w:r>
      <w:r w:rsidRPr="00E5711D" w:rsidR="00567E92">
        <w:rPr>
          <w:szCs w:val="22"/>
        </w:rPr>
        <w:t xml:space="preserve"> </w:t>
      </w:r>
      <w:r w:rsidRPr="00E5711D" w:rsidR="00C33F58">
        <w:t>The second document</w:t>
      </w:r>
      <w:r w:rsidR="00F50A18">
        <w:t>,</w:t>
      </w:r>
      <w:r w:rsidRPr="00E5711D" w:rsidR="00C33F58">
        <w:t xml:space="preserve"> </w:t>
      </w:r>
      <w:r w:rsidR="00F50A18">
        <w:t xml:space="preserve">dated November 5, 2021 and </w:t>
      </w:r>
      <w:r w:rsidRPr="00E5711D" w:rsidR="00567E92">
        <w:t>entitled</w:t>
      </w:r>
      <w:r w:rsidRPr="00E5711D" w:rsidR="003D4C4F">
        <w:rPr>
          <w:szCs w:val="22"/>
        </w:rPr>
        <w:t xml:space="preserve"> </w:t>
      </w:r>
      <w:r w:rsidRPr="00E5711D" w:rsidR="000678AA">
        <w:t>“A</w:t>
      </w:r>
      <w:r w:rsidRPr="00E5711D" w:rsidR="006F3FE8">
        <w:t xml:space="preserve">ssignment </w:t>
      </w:r>
      <w:r w:rsidRPr="00E5711D" w:rsidR="000678AA">
        <w:t>of Debt Rights Agreement</w:t>
      </w:r>
      <w:r w:rsidRPr="00E5711D" w:rsidR="65E4A5A6">
        <w:t>,</w:t>
      </w:r>
      <w:r w:rsidRPr="00E5711D" w:rsidR="3943D91D">
        <w:t>”</w:t>
      </w:r>
      <w:r w:rsidRPr="00E5711D" w:rsidR="000678AA">
        <w:t xml:space="preserve"> </w:t>
      </w:r>
      <w:r w:rsidRPr="00E5711D" w:rsidR="00567E92">
        <w:t>assigned</w:t>
      </w:r>
      <w:r w:rsidRPr="00E5711D" w:rsidR="000678AA">
        <w:rPr>
          <w:szCs w:val="22"/>
        </w:rPr>
        <w:t xml:space="preserve"> </w:t>
      </w:r>
      <w:r w:rsidRPr="00E5711D" w:rsidR="006F3FE8">
        <w:t>th</w:t>
      </w:r>
      <w:r w:rsidRPr="00E5711D" w:rsidR="000678AA">
        <w:t>e</w:t>
      </w:r>
      <w:r w:rsidRPr="00E5711D" w:rsidR="006F3FE8">
        <w:rPr>
          <w:szCs w:val="22"/>
        </w:rPr>
        <w:t xml:space="preserve"> </w:t>
      </w:r>
      <w:r w:rsidR="00EC2984">
        <w:rPr>
          <w:szCs w:val="22"/>
        </w:rPr>
        <w:t xml:space="preserve">right to collect that </w:t>
      </w:r>
      <w:r w:rsidRPr="00E5711D" w:rsidR="009A00FD">
        <w:t xml:space="preserve">outstanding </w:t>
      </w:r>
      <w:r w:rsidRPr="00E5711D" w:rsidR="006F3FE8">
        <w:t>debt</w:t>
      </w:r>
      <w:r w:rsidRPr="00E5711D" w:rsidR="003D4C4F">
        <w:rPr>
          <w:szCs w:val="22"/>
        </w:rPr>
        <w:t xml:space="preserve"> </w:t>
      </w:r>
      <w:r w:rsidRPr="00E5711D" w:rsidR="006F3FE8">
        <w:t>to Toscano</w:t>
      </w:r>
      <w:r w:rsidR="00EC2984">
        <w:t>.</w:t>
      </w:r>
      <w:r>
        <w:rPr>
          <w:rStyle w:val="FootnoteReference"/>
        </w:rPr>
        <w:footnoteReference w:id="55"/>
      </w:r>
      <w:r w:rsidR="00EC2984">
        <w:t xml:space="preserve">  </w:t>
      </w:r>
      <w:r w:rsidR="0095682E">
        <w:t>By the</w:t>
      </w:r>
      <w:r w:rsidR="00EC2984">
        <w:t xml:space="preserve"> Assignment of Debt Rights Agreemen</w:t>
      </w:r>
      <w:r w:rsidR="00A53DDA">
        <w:t xml:space="preserve">t, </w:t>
      </w:r>
      <w:r w:rsidR="0095682E">
        <w:t xml:space="preserve">Grupo Radio Centro </w:t>
      </w:r>
      <w:r w:rsidR="00EC2984">
        <w:t>assigned the exclusive right to collect the</w:t>
      </w:r>
      <w:r w:rsidR="00A53DDA">
        <w:t xml:space="preserve"> outstanding debt to Toscano</w:t>
      </w:r>
      <w:r w:rsidR="00EC2984">
        <w:t xml:space="preserve"> in exchange for</w:t>
      </w:r>
      <w:r w:rsidR="0095682E">
        <w:t xml:space="preserve"> her payment of</w:t>
      </w:r>
      <w:r w:rsidR="00EC2984">
        <w:t xml:space="preserve"> </w:t>
      </w:r>
      <w:r w:rsidRPr="00E5711D" w:rsidR="00F962B7">
        <w:t>$1,987,500</w:t>
      </w:r>
      <w:r w:rsidR="00A53DDA">
        <w:t xml:space="preserve"> USD</w:t>
      </w:r>
      <w:r w:rsidRPr="00E5711D" w:rsidR="006F3FE8">
        <w:rPr>
          <w:szCs w:val="22"/>
        </w:rPr>
        <w:t>.</w:t>
      </w:r>
      <w:r>
        <w:rPr>
          <w:rStyle w:val="FootnoteReference"/>
          <w:szCs w:val="22"/>
        </w:rPr>
        <w:footnoteReference w:id="56"/>
      </w:r>
      <w:r w:rsidRPr="00E5711D" w:rsidR="006F3FE8">
        <w:rPr>
          <w:szCs w:val="22"/>
        </w:rPr>
        <w:t xml:space="preserve">  </w:t>
      </w:r>
      <w:r w:rsidR="00F50A18">
        <w:t>Oddly</w:t>
      </w:r>
      <w:r w:rsidRPr="00E5711D" w:rsidR="0095682E">
        <w:t>,</w:t>
      </w:r>
      <w:r w:rsidR="0095682E">
        <w:t xml:space="preserve"> </w:t>
      </w:r>
      <w:r w:rsidR="00F736FF">
        <w:t xml:space="preserve">the Assignment of Debt Rights Agreement </w:t>
      </w:r>
      <w:r w:rsidRPr="00E5711D" w:rsidR="0095682E">
        <w:t>predat</w:t>
      </w:r>
      <w:r w:rsidR="0095682E">
        <w:t>es</w:t>
      </w:r>
      <w:r w:rsidRPr="00E5711D" w:rsidR="0095682E">
        <w:t xml:space="preserve"> the execution of the Acknowledgement of Indebtedness Agreement by three weeks</w:t>
      </w:r>
      <w:r w:rsidR="00F50A18">
        <w:t>, meaning that the parties sold the right to collect the debt to Toscano three weeks before documenting the debt with 97.5 Holdings</w:t>
      </w:r>
      <w:r w:rsidR="00F736FF">
        <w:t>.</w:t>
      </w:r>
      <w:r>
        <w:rPr>
          <w:rStyle w:val="FootnoteReference"/>
        </w:rPr>
        <w:footnoteReference w:id="57"/>
      </w:r>
      <w:bookmarkEnd w:id="83"/>
      <w:r w:rsidR="00F736FF">
        <w:t xml:space="preserve"> </w:t>
      </w:r>
    </w:p>
    <w:p w:rsidR="004B23D5" w:rsidRPr="00E5711D" w:rsidP="00324E26" w14:paraId="2773BC91" w14:textId="4A5E6521">
      <w:pPr>
        <w:pStyle w:val="ParaNum"/>
        <w:widowControl/>
      </w:pPr>
      <w:r>
        <w:t>While</w:t>
      </w:r>
      <w:r w:rsidRPr="00E5711D" w:rsidR="001812D9">
        <w:t xml:space="preserve"> the LOI Response divulge</w:t>
      </w:r>
      <w:r w:rsidR="00B93C1B">
        <w:t>d</w:t>
      </w:r>
      <w:r w:rsidRPr="00E5711D" w:rsidR="001812D9">
        <w:t xml:space="preserve"> that </w:t>
      </w:r>
      <w:r w:rsidR="00752CFE">
        <w:t>Mr.</w:t>
      </w:r>
      <w:r w:rsidRPr="00E5711D" w:rsidR="001812D9">
        <w:t xml:space="preserve"> </w:t>
      </w:r>
      <w:r w:rsidRPr="00E5711D" w:rsidR="00706BD2">
        <w:t>Peréz</w:t>
      </w:r>
      <w:r w:rsidRPr="00E5711D" w:rsidR="001812D9">
        <w:t xml:space="preserve"> de Anda—Toscano’s father and Rygaard’s uncle—was formerly an officer of 97.5 Holdings, </w:t>
      </w:r>
      <w:r>
        <w:t>it does not indicate when he held that position.</w:t>
      </w:r>
      <w:r>
        <w:rPr>
          <w:rStyle w:val="FootnoteReference"/>
        </w:rPr>
        <w:footnoteReference w:id="58"/>
      </w:r>
      <w:r>
        <w:t xml:space="preserve"> </w:t>
      </w:r>
      <w:r w:rsidR="00B93C1B">
        <w:t xml:space="preserve"> Thus, i</w:t>
      </w:r>
      <w:r w:rsidRPr="00E5711D" w:rsidR="001812D9">
        <w:t>t is unclear if he held that position a</w:t>
      </w:r>
      <w:r w:rsidRPr="00E5711D" w:rsidR="007D73C3">
        <w:t>t</w:t>
      </w:r>
      <w:r w:rsidRPr="00E5711D">
        <w:t xml:space="preserve"> the time </w:t>
      </w:r>
      <w:r w:rsidRPr="00E5711D" w:rsidR="00E32A2E">
        <w:t xml:space="preserve">Grupo Radio Centro </w:t>
      </w:r>
      <w:r w:rsidRPr="00E5711D" w:rsidR="008561D8">
        <w:t xml:space="preserve">made its </w:t>
      </w:r>
      <w:r>
        <w:t xml:space="preserve">approximately </w:t>
      </w:r>
      <w:r w:rsidRPr="00E5711D" w:rsidR="008561D8">
        <w:t>$2.5 million</w:t>
      </w:r>
      <w:r w:rsidR="003D48D3">
        <w:t xml:space="preserve"> USD</w:t>
      </w:r>
      <w:r w:rsidRPr="00E5711D" w:rsidR="008561D8">
        <w:t xml:space="preserve"> investment in the Stations in </w:t>
      </w:r>
      <w:r w:rsidRPr="00E5711D">
        <w:t>2017</w:t>
      </w:r>
      <w:r w:rsidRPr="00E5711D" w:rsidR="001812D9">
        <w:t xml:space="preserve"> or</w:t>
      </w:r>
      <w:r w:rsidRPr="00E5711D" w:rsidR="008561D8">
        <w:rPr>
          <w:szCs w:val="22"/>
        </w:rPr>
        <w:t xml:space="preserve"> </w:t>
      </w:r>
      <w:r w:rsidRPr="00E5711D" w:rsidR="007D73C3">
        <w:t xml:space="preserve">when the </w:t>
      </w:r>
      <w:r w:rsidRPr="00E5711D" w:rsidR="0031767D">
        <w:t>debt was</w:t>
      </w:r>
      <w:r w:rsidRPr="00E5711D" w:rsidR="007D73C3">
        <w:rPr>
          <w:szCs w:val="22"/>
        </w:rPr>
        <w:t xml:space="preserve"> </w:t>
      </w:r>
      <w:r w:rsidRPr="00E5711D" w:rsidR="00296EE4">
        <w:t xml:space="preserve">subsequently </w:t>
      </w:r>
      <w:r w:rsidRPr="00E5711D" w:rsidR="007D73C3">
        <w:t xml:space="preserve">transferred to </w:t>
      </w:r>
      <w:r w:rsidRPr="00E5711D" w:rsidR="008561D8">
        <w:t xml:space="preserve">his daughter in 2021 </w:t>
      </w:r>
      <w:r w:rsidR="00752CFE">
        <w:rPr>
          <w:szCs w:val="22"/>
        </w:rPr>
        <w:t>while</w:t>
      </w:r>
      <w:r>
        <w:rPr>
          <w:szCs w:val="22"/>
        </w:rPr>
        <w:t xml:space="preserve"> </w:t>
      </w:r>
      <w:r w:rsidR="00752CFE">
        <w:t>control of</w:t>
      </w:r>
      <w:r w:rsidRPr="00E5711D" w:rsidR="008561D8">
        <w:t xml:space="preserve"> the Stations </w:t>
      </w:r>
      <w:r w:rsidR="00752CFE">
        <w:t xml:space="preserve">was </w:t>
      </w:r>
      <w:r w:rsidRPr="00E5711D" w:rsidR="001812D9">
        <w:t>sold</w:t>
      </w:r>
      <w:r w:rsidRPr="00E5711D" w:rsidR="00E32A2E">
        <w:t xml:space="preserve"> to </w:t>
      </w:r>
      <w:r w:rsidRPr="00E5711D" w:rsidR="008561D8">
        <w:t>his niece</w:t>
      </w:r>
      <w:r w:rsidRPr="00E5711D" w:rsidR="00E32A2E">
        <w:rPr>
          <w:szCs w:val="22"/>
        </w:rPr>
        <w:t>.</w:t>
      </w:r>
      <w:r>
        <w:rPr>
          <w:rStyle w:val="FootnoteReference"/>
        </w:rPr>
        <w:footnoteReference w:id="59"/>
      </w:r>
      <w:r w:rsidRPr="00E5711D" w:rsidR="007D73C3">
        <w:rPr>
          <w:szCs w:val="22"/>
        </w:rPr>
        <w:t xml:space="preserve"> </w:t>
      </w:r>
      <w:r w:rsidRPr="00E5711D" w:rsidR="00E32A2E">
        <w:rPr>
          <w:szCs w:val="22"/>
        </w:rPr>
        <w:t xml:space="preserve"> </w:t>
      </w:r>
      <w:r w:rsidRPr="00E5711D" w:rsidR="001812D9">
        <w:t>T</w:t>
      </w:r>
      <w:r w:rsidRPr="00E5711D" w:rsidR="00E32A2E">
        <w:t>he LOI Response</w:t>
      </w:r>
      <w:r w:rsidRPr="00E5711D" w:rsidR="001812D9">
        <w:t xml:space="preserve"> </w:t>
      </w:r>
      <w:r w:rsidR="00B93C1B">
        <w:t xml:space="preserve">also </w:t>
      </w:r>
      <w:r w:rsidRPr="00E5711D" w:rsidR="001812D9">
        <w:t>indicate</w:t>
      </w:r>
      <w:r w:rsidR="00B93C1B">
        <w:t>d</w:t>
      </w:r>
      <w:r w:rsidRPr="00E5711D" w:rsidR="001812D9">
        <w:t xml:space="preserve"> </w:t>
      </w:r>
      <w:r w:rsidRPr="00E5711D" w:rsidR="00E32A2E">
        <w:t xml:space="preserve">that </w:t>
      </w:r>
      <w:r w:rsidRPr="00E5711D">
        <w:t>Toscano</w:t>
      </w:r>
      <w:r w:rsidR="00B93C1B">
        <w:t xml:space="preserve"> and her family </w:t>
      </w:r>
      <w:r w:rsidRPr="00E5711D">
        <w:t xml:space="preserve">own and operate six </w:t>
      </w:r>
      <w:r w:rsidR="00B93C1B">
        <w:t xml:space="preserve">radio </w:t>
      </w:r>
      <w:r w:rsidRPr="00E5711D">
        <w:t>stations in Ciudad Juarez,</w:t>
      </w:r>
      <w:r w:rsidR="00B93C1B">
        <w:t xml:space="preserve"> Mexico</w:t>
      </w:r>
      <w:r w:rsidRPr="00E5711D">
        <w:t xml:space="preserve"> </w:t>
      </w:r>
      <w:r w:rsidR="00B93C1B">
        <w:t xml:space="preserve">across the border from </w:t>
      </w:r>
      <w:r w:rsidRPr="00E5711D">
        <w:t>the Stations in El Paso, Texas</w:t>
      </w:r>
      <w:r w:rsidR="00FF27B2">
        <w:t>, as noted above</w:t>
      </w:r>
      <w:r w:rsidRPr="00E5711D">
        <w:t>.</w:t>
      </w:r>
      <w:r>
        <w:rPr>
          <w:rStyle w:val="FootnoteReference"/>
        </w:rPr>
        <w:footnoteReference w:id="60"/>
      </w:r>
      <w:r w:rsidRPr="00E5711D">
        <w:rPr>
          <w:szCs w:val="22"/>
        </w:rPr>
        <w:t xml:space="preserve"> </w:t>
      </w:r>
    </w:p>
    <w:p w:rsidR="00C74164" w:rsidRPr="00E5711D" w:rsidP="00C74164" w14:paraId="22F5A82F" w14:textId="04807145">
      <w:pPr>
        <w:pStyle w:val="ParaNum"/>
      </w:pPr>
      <w:r w:rsidRPr="00E5711D">
        <w:t xml:space="preserve">Ultimately, the LOI </w:t>
      </w:r>
      <w:r w:rsidRPr="00E5711D" w:rsidR="00443EEB">
        <w:t xml:space="preserve">Response raised more questions than it resolved.  In </w:t>
      </w:r>
      <w:r w:rsidRPr="00E5711D" w:rsidR="008561D8">
        <w:t>addition to providing previously undisclosed</w:t>
      </w:r>
      <w:r w:rsidRPr="00E5711D" w:rsidR="00042982">
        <w:t xml:space="preserve"> information</w:t>
      </w:r>
      <w:r w:rsidRPr="00E5711D" w:rsidR="00443EEB">
        <w:t xml:space="preserve">, the </w:t>
      </w:r>
      <w:r w:rsidRPr="00E5711D" w:rsidR="00205E6B">
        <w:t xml:space="preserve">LOI </w:t>
      </w:r>
      <w:r w:rsidRPr="00E5711D" w:rsidR="00443EEB">
        <w:t xml:space="preserve">Response appeared to contain numerous discrepancies, omissions, and contradictions in the information it provided.  </w:t>
      </w:r>
      <w:r w:rsidRPr="00E5711D">
        <w:t xml:space="preserve">Furthermore, the sole declaration provided in support of the LOI Response was executed by Rygaard and stated that:  </w:t>
      </w:r>
    </w:p>
    <w:p w:rsidR="00C74164" w:rsidRPr="00E5711D" w:rsidP="00C74164" w14:paraId="08005A2C" w14:textId="4FA67BEB">
      <w:pPr>
        <w:pStyle w:val="ParaNum"/>
        <w:numPr>
          <w:ilvl w:val="0"/>
          <w:numId w:val="0"/>
        </w:numPr>
        <w:ind w:left="720" w:right="1080"/>
        <w:rPr>
          <w:szCs w:val="22"/>
        </w:rPr>
      </w:pPr>
      <w:r w:rsidRPr="00E5711D">
        <w:t>A</w:t>
      </w:r>
      <w:r w:rsidRPr="00E5711D">
        <w:rPr>
          <w:szCs w:val="22"/>
        </w:rPr>
        <w:t>ll of the information requested by this LOI that is in Licensee</w:t>
      </w:r>
      <w:r w:rsidRPr="00E5711D" w:rsidR="00205E6B">
        <w:rPr>
          <w:szCs w:val="22"/>
        </w:rPr>
        <w:t>’</w:t>
      </w:r>
      <w:r w:rsidRPr="00E5711D">
        <w:rPr>
          <w:szCs w:val="22"/>
        </w:rPr>
        <w:t xml:space="preserve">s possession, custody, control, or knowledge has been produced. </w:t>
      </w:r>
      <w:r w:rsidRPr="00E5711D" w:rsidR="00CB5389">
        <w:rPr>
          <w:szCs w:val="22"/>
        </w:rPr>
        <w:t xml:space="preserve"> </w:t>
      </w:r>
      <w:r w:rsidRPr="00E5711D">
        <w:rPr>
          <w:szCs w:val="22"/>
        </w:rPr>
        <w:t xml:space="preserve">Any and all Documents provided in its responses are true and accurate copies of the original documents. </w:t>
      </w:r>
      <w:r w:rsidRPr="00E5711D" w:rsidR="00CB5389">
        <w:rPr>
          <w:szCs w:val="22"/>
        </w:rPr>
        <w:t xml:space="preserve"> </w:t>
      </w:r>
      <w:r w:rsidRPr="00E5711D">
        <w:rPr>
          <w:szCs w:val="22"/>
        </w:rPr>
        <w:t>I declare under penalty of perjury that the foregoing is true and correct.</w:t>
      </w:r>
      <w:r>
        <w:rPr>
          <w:rStyle w:val="FootnoteReference"/>
          <w:szCs w:val="22"/>
        </w:rPr>
        <w:footnoteReference w:id="61"/>
      </w:r>
      <w:r w:rsidRPr="00E5711D" w:rsidR="00CB5389">
        <w:rPr>
          <w:szCs w:val="22"/>
        </w:rPr>
        <w:t xml:space="preserve"> </w:t>
      </w:r>
      <w:r w:rsidRPr="00E5711D">
        <w:rPr>
          <w:szCs w:val="22"/>
        </w:rPr>
        <w:t xml:space="preserve">  </w:t>
      </w:r>
    </w:p>
    <w:p w:rsidR="00443EEB" w:rsidRPr="00E5711D" w:rsidP="007654D2" w14:paraId="47E1AF47" w14:textId="291380E6">
      <w:pPr>
        <w:pStyle w:val="ParaNum"/>
        <w:widowControl/>
        <w:numPr>
          <w:ilvl w:val="0"/>
          <w:numId w:val="0"/>
        </w:numPr>
      </w:pPr>
      <w:r w:rsidRPr="00E5711D">
        <w:t>That</w:t>
      </w:r>
      <w:r w:rsidRPr="00E5711D" w:rsidR="009E7E2F">
        <w:t xml:space="preserve"> statement, however, </w:t>
      </w:r>
      <w:r w:rsidRPr="00E5711D" w:rsidR="00C958A1">
        <w:t>does not explicitly attest</w:t>
      </w:r>
      <w:r w:rsidRPr="00E5711D" w:rsidR="00C74164">
        <w:t xml:space="preserve"> to the veracity of the information provided in the narrative responses.  </w:t>
      </w:r>
      <w:r w:rsidRPr="00E5711D" w:rsidR="00CB5389">
        <w:t xml:space="preserve">Accordingly, the Bureau </w:t>
      </w:r>
      <w:r w:rsidRPr="00E5711D" w:rsidR="3EC979EF">
        <w:t xml:space="preserve">thereafter </w:t>
      </w:r>
      <w:r w:rsidRPr="00E5711D" w:rsidR="39AC51AB">
        <w:t>sent</w:t>
      </w:r>
      <w:r w:rsidRPr="00E5711D" w:rsidR="00C958A1">
        <w:t xml:space="preserve"> the Licensee</w:t>
      </w:r>
      <w:r w:rsidRPr="00E5711D" w:rsidR="00CB5389">
        <w:t xml:space="preserve"> a </w:t>
      </w:r>
      <w:r w:rsidRPr="00E5711D" w:rsidR="19DA2639">
        <w:t xml:space="preserve">subsequent </w:t>
      </w:r>
      <w:r w:rsidRPr="00E5711D" w:rsidR="00CB5389">
        <w:t>letter</w:t>
      </w:r>
      <w:r w:rsidRPr="00E5711D" w:rsidR="00F8099E">
        <w:t>,</w:t>
      </w:r>
      <w:r w:rsidRPr="00E5711D" w:rsidR="00CB5389">
        <w:t xml:space="preserve"> pursuant to section 1.88 of the </w:t>
      </w:r>
      <w:r w:rsidRPr="00E5711D" w:rsidR="003C5167">
        <w:t>Rules</w:t>
      </w:r>
      <w:r w:rsidRPr="00E5711D" w:rsidR="00F8099E">
        <w:t>,</w:t>
      </w:r>
      <w:r>
        <w:rPr>
          <w:rStyle w:val="FootnoteReference"/>
        </w:rPr>
        <w:footnoteReference w:id="62"/>
      </w:r>
      <w:r w:rsidRPr="00E5711D" w:rsidR="00CB5389">
        <w:t xml:space="preserve"> offering the Licensee and the Parties a further</w:t>
      </w:r>
      <w:r w:rsidR="00752CFE">
        <w:t>, and final,</w:t>
      </w:r>
      <w:r w:rsidRPr="00E5711D" w:rsidR="00CB5389">
        <w:t xml:space="preserve"> opportunity to </w:t>
      </w:r>
      <w:r w:rsidRPr="00E5711D" w:rsidR="004E3133">
        <w:t>respond</w:t>
      </w:r>
      <w:r w:rsidRPr="00E5711D" w:rsidR="00CB5389">
        <w:t xml:space="preserve">.  </w:t>
      </w:r>
    </w:p>
    <w:p w:rsidR="00065EAF" w:rsidRPr="00E5711D" w:rsidP="00065EAF" w14:paraId="4266C69F" w14:textId="4F9CCD4C">
      <w:pPr>
        <w:pStyle w:val="ParaNum"/>
        <w:widowControl/>
      </w:pPr>
      <w:r w:rsidRPr="00E5711D">
        <w:rPr>
          <w:i/>
          <w:iCs/>
        </w:rPr>
        <w:t xml:space="preserve">Section </w:t>
      </w:r>
      <w:r w:rsidRPr="00E5711D" w:rsidR="00AE3FD5">
        <w:rPr>
          <w:i/>
          <w:iCs/>
        </w:rPr>
        <w:t>1.88 Letter</w:t>
      </w:r>
      <w:r w:rsidRPr="00E5711D">
        <w:t xml:space="preserve">.  </w:t>
      </w:r>
      <w:r w:rsidRPr="00E5711D" w:rsidR="007E35FC">
        <w:t xml:space="preserve">On October 9, 2024, the Bureau sent </w:t>
      </w:r>
      <w:r w:rsidRPr="00E5711D" w:rsidR="00024F89">
        <w:t>the section 1.88</w:t>
      </w:r>
      <w:r w:rsidRPr="00E5711D" w:rsidR="007E35FC">
        <w:t xml:space="preserve"> letter </w:t>
      </w:r>
      <w:r w:rsidRPr="00E5711D" w:rsidR="00BA29B8">
        <w:t xml:space="preserve">(1.88 Letter) </w:t>
      </w:r>
      <w:r w:rsidRPr="00E5711D" w:rsidR="007E35FC">
        <w:t xml:space="preserve">affording the Licensee, </w:t>
      </w:r>
      <w:r w:rsidRPr="00E5711D" w:rsidR="00E35FAF">
        <w:t xml:space="preserve">the </w:t>
      </w:r>
      <w:r w:rsidRPr="00E5711D" w:rsidR="007E35FC">
        <w:t xml:space="preserve">Transferor, and </w:t>
      </w:r>
      <w:r w:rsidRPr="00E5711D" w:rsidR="00E35FAF">
        <w:t xml:space="preserve">the </w:t>
      </w:r>
      <w:r w:rsidRPr="00E5711D" w:rsidR="007E35FC">
        <w:t>Transferee a</w:t>
      </w:r>
      <w:r w:rsidRPr="00E5711D" w:rsidR="00807BE6">
        <w:t>nother</w:t>
      </w:r>
      <w:r w:rsidRPr="00E5711D" w:rsidR="007E35FC">
        <w:t xml:space="preserve"> opportunity to provide explanation</w:t>
      </w:r>
      <w:r w:rsidRPr="00E5711D" w:rsidR="003D03F8">
        <w:t>s</w:t>
      </w:r>
      <w:r w:rsidRPr="00E5711D" w:rsidR="007E35FC">
        <w:t xml:space="preserve"> regarding </w:t>
      </w:r>
      <w:r w:rsidRPr="00E5711D" w:rsidR="003D03F8">
        <w:t xml:space="preserve">the </w:t>
      </w:r>
      <w:r w:rsidRPr="00E5711D" w:rsidR="007E35FC">
        <w:t>questions raised by the Bureau’s investigation.</w:t>
      </w:r>
      <w:r>
        <w:rPr>
          <w:rStyle w:val="FootnoteReference"/>
        </w:rPr>
        <w:footnoteReference w:id="63"/>
      </w:r>
      <w:r w:rsidRPr="00E5711D" w:rsidR="007E35FC">
        <w:t xml:space="preserve">  </w:t>
      </w:r>
      <w:r w:rsidR="008634A5">
        <w:t xml:space="preserve">Among other things, </w:t>
      </w:r>
      <w:r w:rsidRPr="00E5711D" w:rsidR="007E35FC">
        <w:t xml:space="preserve">the </w:t>
      </w:r>
      <w:r w:rsidRPr="00E5711D" w:rsidR="00966DE6">
        <w:t xml:space="preserve">1.88 </w:t>
      </w:r>
      <w:r w:rsidRPr="00E5711D" w:rsidR="007E35FC">
        <w:t xml:space="preserve">Letter sought </w:t>
      </w:r>
      <w:r w:rsidRPr="00E5711D" w:rsidR="00C72ED9">
        <w:t>additional information</w:t>
      </w:r>
      <w:r w:rsidRPr="00E5711D" w:rsidR="007E35FC">
        <w:t xml:space="preserve"> regarding the failure to </w:t>
      </w:r>
      <w:r w:rsidRPr="00E5711D" w:rsidR="00915F3C">
        <w:t xml:space="preserve">provide any documentation </w:t>
      </w:r>
      <w:r w:rsidRPr="00E5711D" w:rsidR="00853F4E">
        <w:t xml:space="preserve">to support </w:t>
      </w:r>
      <w:r w:rsidR="008634A5">
        <w:t>Pro Radio</w:t>
      </w:r>
      <w:r w:rsidRPr="00E5711D" w:rsidR="00853F4E">
        <w:t>’s</w:t>
      </w:r>
      <w:r w:rsidRPr="00E5711D" w:rsidR="007E35FC">
        <w:t xml:space="preserve"> programming </w:t>
      </w:r>
      <w:r w:rsidRPr="00E5711D" w:rsidR="00853F4E">
        <w:t xml:space="preserve">of </w:t>
      </w:r>
      <w:r w:rsidRPr="00E5711D" w:rsidR="007E35FC">
        <w:t>the Stations</w:t>
      </w:r>
      <w:r w:rsidR="008634A5">
        <w:t>,</w:t>
      </w:r>
      <w:r w:rsidRPr="00E5711D" w:rsidR="00966DE6">
        <w:t xml:space="preserve"> sought to address </w:t>
      </w:r>
      <w:r w:rsidRPr="00E5711D" w:rsidR="007E35FC">
        <w:t>discrepancies regarding information provided about th</w:t>
      </w:r>
      <w:r w:rsidRPr="00E5711D" w:rsidR="00F678D2">
        <w:t>at</w:t>
      </w:r>
      <w:r w:rsidRPr="00E5711D" w:rsidR="007E35FC">
        <w:t xml:space="preserve"> </w:t>
      </w:r>
      <w:r w:rsidRPr="00E5711D" w:rsidR="00915F3C">
        <w:t xml:space="preserve">alleged </w:t>
      </w:r>
      <w:r w:rsidRPr="00E5711D" w:rsidR="007E35FC">
        <w:t>agreement</w:t>
      </w:r>
      <w:r w:rsidR="008634A5">
        <w:t>,</w:t>
      </w:r>
      <w:r w:rsidRPr="00E5711D" w:rsidR="00966DE6">
        <w:t xml:space="preserve"> inquired</w:t>
      </w:r>
      <w:r w:rsidRPr="00E5711D" w:rsidR="00F678D2">
        <w:t xml:space="preserve"> about </w:t>
      </w:r>
      <w:r w:rsidRPr="00E5711D" w:rsidR="007E35FC">
        <w:t>Rygaard’s employment by Pro Radio</w:t>
      </w:r>
      <w:r w:rsidR="008634A5">
        <w:t>,</w:t>
      </w:r>
      <w:r w:rsidRPr="00E5711D" w:rsidR="00F678D2">
        <w:t xml:space="preserve"> and </w:t>
      </w:r>
      <w:r w:rsidRPr="00E5711D" w:rsidR="00966DE6">
        <w:t xml:space="preserve">sought further information regarding </w:t>
      </w:r>
      <w:r w:rsidRPr="00E5711D" w:rsidR="00C72ED9">
        <w:t xml:space="preserve">the origination of the debt incurred by 97.5 Holdings, including </w:t>
      </w:r>
      <w:r w:rsidRPr="00E5711D" w:rsidR="006045F1">
        <w:t>information</w:t>
      </w:r>
      <w:r w:rsidRPr="00E5711D" w:rsidR="00EE51C8">
        <w:t xml:space="preserve"> about the </w:t>
      </w:r>
      <w:r w:rsidRPr="00E5711D" w:rsidR="00C72ED9">
        <w:t>invol</w:t>
      </w:r>
      <w:r w:rsidRPr="00E5711D" w:rsidR="00EE51C8">
        <w:t>ve</w:t>
      </w:r>
      <w:r w:rsidRPr="00E5711D" w:rsidR="00C72ED9">
        <w:t xml:space="preserve">ment </w:t>
      </w:r>
      <w:r w:rsidRPr="00E5711D" w:rsidR="00EE51C8">
        <w:t>of</w:t>
      </w:r>
      <w:r w:rsidRPr="00E5711D" w:rsidR="00C72ED9">
        <w:t xml:space="preserve"> Toscano’s fathe</w:t>
      </w:r>
      <w:r w:rsidRPr="00E5711D" w:rsidR="003D03F8">
        <w:t>r</w:t>
      </w:r>
      <w:r w:rsidRPr="00E5711D" w:rsidR="00C72ED9">
        <w:t>.</w:t>
      </w:r>
      <w:r>
        <w:rPr>
          <w:rStyle w:val="FootnoteReference"/>
        </w:rPr>
        <w:footnoteReference w:id="64"/>
      </w:r>
      <w:r w:rsidRPr="00E5711D" w:rsidR="00C72ED9">
        <w:t xml:space="preserve">  </w:t>
      </w:r>
      <w:r w:rsidRPr="00E5711D" w:rsidR="00F678D2">
        <w:t>Further, t</w:t>
      </w:r>
      <w:r w:rsidRPr="00E5711D" w:rsidR="007E35FC">
        <w:t>he 1.88 Letter sought an explanation and document</w:t>
      </w:r>
      <w:r w:rsidRPr="00E5711D" w:rsidR="00966DE6">
        <w:t>ary evidence</w:t>
      </w:r>
      <w:r w:rsidRPr="00E5711D" w:rsidR="007E35FC">
        <w:t xml:space="preserve"> to support the assertion</w:t>
      </w:r>
      <w:r w:rsidRPr="00E5711D" w:rsidR="00966DE6">
        <w:t xml:space="preserve"> made in the </w:t>
      </w:r>
      <w:r w:rsidRPr="00E5711D" w:rsidR="007E35FC">
        <w:t>LOI Response that Rygaard had maintained and exercised proper control over the Stations</w:t>
      </w:r>
      <w:r w:rsidRPr="00E5711D" w:rsidR="00966DE6">
        <w:t xml:space="preserve"> throughout her ownership</w:t>
      </w:r>
      <w:r w:rsidRPr="00E5711D" w:rsidR="007E35FC">
        <w:t xml:space="preserve"> and had not abdicated control to Pro Radio or </w:t>
      </w:r>
      <w:r w:rsidRPr="00E5711D" w:rsidR="00F8099E">
        <w:t>T</w:t>
      </w:r>
      <w:r w:rsidRPr="00E5711D" w:rsidR="007E35FC">
        <w:t>oscano.</w:t>
      </w:r>
      <w:r>
        <w:rPr>
          <w:rStyle w:val="FootnoteReference"/>
        </w:rPr>
        <w:footnoteReference w:id="65"/>
      </w:r>
      <w:r w:rsidRPr="00E5711D" w:rsidR="00E926CB">
        <w:t xml:space="preserve">  In addition, the Bureau’s 1.88 Letter also sought further information regarding discrepancies in the Transfer Application and </w:t>
      </w:r>
      <w:r w:rsidRPr="00E5711D" w:rsidR="00F8099E">
        <w:t xml:space="preserve">in </w:t>
      </w:r>
      <w:r w:rsidRPr="00E5711D" w:rsidR="00E926CB">
        <w:t>earlier ownership report filings made for the Stations</w:t>
      </w:r>
      <w:r w:rsidRPr="00E5711D" w:rsidR="00BA29B8">
        <w:t xml:space="preserve">, including that the </w:t>
      </w:r>
      <w:r w:rsidRPr="00E5711D" w:rsidR="002471B3">
        <w:t>Licensee’s portion of the Transfer Application appeared to have been signed by a former owner of the Stations, Rafael Marquez Aguirre.</w:t>
      </w:r>
      <w:r>
        <w:rPr>
          <w:rStyle w:val="FootnoteReference"/>
        </w:rPr>
        <w:footnoteReference w:id="66"/>
      </w:r>
      <w:r w:rsidRPr="00E5711D" w:rsidR="002471B3">
        <w:t xml:space="preserve">  </w:t>
      </w:r>
      <w:r w:rsidRPr="00E5711D" w:rsidR="00E926CB">
        <w:t xml:space="preserve">The 1.88 Letter was </w:t>
      </w:r>
      <w:r w:rsidRPr="00E5711D" w:rsidR="004D1240">
        <w:t>addressed collectively</w:t>
      </w:r>
      <w:r w:rsidRPr="00E5711D" w:rsidR="00E926CB">
        <w:t xml:space="preserve"> to </w:t>
      </w:r>
      <w:r w:rsidR="005A05A0">
        <w:t xml:space="preserve">the </w:t>
      </w:r>
      <w:r w:rsidRPr="00E5711D" w:rsidR="00E926CB">
        <w:t>Licensee, Rygaard, and Toscano</w:t>
      </w:r>
      <w:r w:rsidRPr="00E5711D" w:rsidR="004D1240">
        <w:t xml:space="preserve"> and sent to each individually</w:t>
      </w:r>
      <w:r w:rsidRPr="00E5711D" w:rsidR="00915F3C">
        <w:t xml:space="preserve">, along with a courtesy copy to the </w:t>
      </w:r>
      <w:r w:rsidR="005A05A0">
        <w:t xml:space="preserve">single </w:t>
      </w:r>
      <w:r w:rsidRPr="00E5711D" w:rsidR="00915F3C">
        <w:t xml:space="preserve">lawyer listed on the Transfer Application as representing </w:t>
      </w:r>
      <w:r w:rsidRPr="00E5711D" w:rsidR="006A1DB0">
        <w:t xml:space="preserve">the </w:t>
      </w:r>
      <w:r w:rsidR="005A05A0">
        <w:t xml:space="preserve">Transferor, Transferee, </w:t>
      </w:r>
      <w:r w:rsidRPr="00E5711D" w:rsidR="00A703C5">
        <w:t>and the Licensee</w:t>
      </w:r>
      <w:r w:rsidRPr="00E5711D" w:rsidR="004D1240">
        <w:t>.</w:t>
      </w:r>
      <w:r>
        <w:rPr>
          <w:rStyle w:val="FootnoteReference"/>
        </w:rPr>
        <w:footnoteReference w:id="67"/>
      </w:r>
      <w:r w:rsidRPr="00E5711D" w:rsidR="004D1240">
        <w:t xml:space="preserve">  The</w:t>
      </w:r>
      <w:r w:rsidRPr="00E5711D" w:rsidR="009274E6">
        <w:t xml:space="preserve"> 1.88</w:t>
      </w:r>
      <w:r w:rsidRPr="00E5711D" w:rsidR="004D1240">
        <w:t xml:space="preserve"> Letter requested both narrative responses and documentary evidence where appropriate to support the </w:t>
      </w:r>
      <w:r w:rsidRPr="00E5711D" w:rsidR="00BA29B8">
        <w:t>Parties’ responses.</w:t>
      </w:r>
      <w:r>
        <w:rPr>
          <w:rStyle w:val="FootnoteReference"/>
        </w:rPr>
        <w:footnoteReference w:id="68"/>
      </w:r>
      <w:r w:rsidRPr="00E5711D" w:rsidR="00BA29B8">
        <w:t xml:space="preserve">  I</w:t>
      </w:r>
      <w:r w:rsidRPr="00E5711D" w:rsidR="004D1240">
        <w:t xml:space="preserve">t also required that the responses be </w:t>
      </w:r>
      <w:r w:rsidRPr="00E5711D" w:rsidR="00E926CB">
        <w:t xml:space="preserve">supported by affidavits from the </w:t>
      </w:r>
      <w:r w:rsidRPr="00E5711D" w:rsidR="00BA29B8">
        <w:t xml:space="preserve">appropriate </w:t>
      </w:r>
      <w:r w:rsidRPr="00E5711D" w:rsidR="00E926CB">
        <w:t>Part</w:t>
      </w:r>
      <w:r w:rsidRPr="00E5711D" w:rsidR="00BA29B8">
        <w:t>y</w:t>
      </w:r>
      <w:r w:rsidRPr="00E5711D" w:rsidR="00A703C5">
        <w:t>, or by third parties if the</w:t>
      </w:r>
      <w:r w:rsidRPr="00E5711D" w:rsidR="00853F4E">
        <w:t xml:space="preserve"> Party</w:t>
      </w:r>
      <w:r w:rsidRPr="00E5711D" w:rsidR="00A703C5">
        <w:t xml:space="preserve"> did not have personal knowledge of particular facts</w:t>
      </w:r>
      <w:r w:rsidRPr="00E5711D" w:rsidR="00E926CB">
        <w:t>.</w:t>
      </w:r>
      <w:r>
        <w:rPr>
          <w:rStyle w:val="FootnoteReference"/>
        </w:rPr>
        <w:footnoteReference w:id="69"/>
      </w:r>
      <w:r w:rsidRPr="00E5711D" w:rsidR="00E926CB">
        <w:t xml:space="preserve">  </w:t>
      </w:r>
    </w:p>
    <w:p w:rsidR="00A3405F" w:rsidRPr="00E5711D" w:rsidP="003157EA" w14:paraId="63A201B7" w14:textId="512543FD">
      <w:pPr>
        <w:pStyle w:val="ParaNum"/>
        <w:widowControl/>
      </w:pPr>
      <w:r w:rsidRPr="00E5711D">
        <w:t xml:space="preserve">The Parties responded </w:t>
      </w:r>
      <w:r w:rsidRPr="00E5711D" w:rsidR="004D1240">
        <w:t xml:space="preserve">collectively </w:t>
      </w:r>
      <w:r w:rsidRPr="00E5711D">
        <w:t>by letter dated November 8, 2024</w:t>
      </w:r>
      <w:r w:rsidRPr="00E5711D" w:rsidR="004D1240">
        <w:t>.</w:t>
      </w:r>
      <w:r>
        <w:rPr>
          <w:rStyle w:val="FootnoteReference"/>
        </w:rPr>
        <w:footnoteReference w:id="70"/>
      </w:r>
      <w:r w:rsidRPr="00E5711D" w:rsidR="004D1240">
        <w:t xml:space="preserve">  </w:t>
      </w:r>
      <w:bookmarkStart w:id="87" w:name="_Hlk82422271"/>
      <w:r w:rsidRPr="00E5711D" w:rsidR="00557BCD">
        <w:t>Among other things</w:t>
      </w:r>
      <w:r w:rsidRPr="00E5711D" w:rsidR="00FB2E64">
        <w:t xml:space="preserve">, the 1.88 Letter Response </w:t>
      </w:r>
      <w:r w:rsidRPr="00E5711D" w:rsidR="006055EE">
        <w:t>failed to provide any</w:t>
      </w:r>
      <w:r w:rsidRPr="00E5711D" w:rsidR="00FB2E64">
        <w:t xml:space="preserve"> explanation</w:t>
      </w:r>
      <w:r w:rsidRPr="00E5711D" w:rsidR="006055EE">
        <w:t xml:space="preserve"> as to </w:t>
      </w:r>
      <w:r w:rsidRPr="00E5711D" w:rsidR="00FB2E64">
        <w:t xml:space="preserve">why </w:t>
      </w:r>
      <w:r w:rsidR="005A05A0">
        <w:t>Pro Radio’s</w:t>
      </w:r>
      <w:r w:rsidRPr="00E5711D" w:rsidR="00A703C5">
        <w:t xml:space="preserve"> </w:t>
      </w:r>
      <w:r w:rsidRPr="00E5711D" w:rsidR="00FB2E64">
        <w:t xml:space="preserve">programming </w:t>
      </w:r>
      <w:r w:rsidRPr="00E5711D" w:rsidR="00A703C5">
        <w:t>of the Stations</w:t>
      </w:r>
      <w:r w:rsidRPr="00E5711D" w:rsidR="00A703C5">
        <w:rPr>
          <w:szCs w:val="22"/>
        </w:rPr>
        <w:t xml:space="preserve"> </w:t>
      </w:r>
      <w:r w:rsidRPr="00E5711D" w:rsidR="00FB2E64">
        <w:t>was not reduced to writing and provided to the Bureau as instructed in the LOI</w:t>
      </w:r>
      <w:r w:rsidR="008634A5">
        <w:t>,</w:t>
      </w:r>
      <w:r>
        <w:rPr>
          <w:rStyle w:val="FootnoteReference"/>
        </w:rPr>
        <w:footnoteReference w:id="71"/>
      </w:r>
      <w:r w:rsidR="00595395">
        <w:t xml:space="preserve"> </w:t>
      </w:r>
      <w:r w:rsidRPr="00E5711D" w:rsidR="00557BCD">
        <w:t>dismiss</w:t>
      </w:r>
      <w:r w:rsidRPr="00E5711D" w:rsidR="006055EE">
        <w:t>ed</w:t>
      </w:r>
      <w:r w:rsidRPr="00E5711D" w:rsidR="00557BCD">
        <w:rPr>
          <w:szCs w:val="22"/>
        </w:rPr>
        <w:t xml:space="preserve"> </w:t>
      </w:r>
      <w:r w:rsidRPr="00E5711D" w:rsidR="006055EE">
        <w:t xml:space="preserve">application filing errors and discrepancies in the LOI Response as </w:t>
      </w:r>
      <w:r w:rsidRPr="00E5711D" w:rsidR="00557BCD">
        <w:t>typographical errors</w:t>
      </w:r>
      <w:r w:rsidRPr="00E5711D" w:rsidR="006055EE">
        <w:t xml:space="preserve"> or oversights</w:t>
      </w:r>
      <w:r w:rsidR="008634A5">
        <w:t>,</w:t>
      </w:r>
      <w:r w:rsidRPr="00E5711D" w:rsidR="00557BCD">
        <w:t xml:space="preserve"> and </w:t>
      </w:r>
      <w:r w:rsidRPr="00E5711D" w:rsidR="00557BCD">
        <w:t>provide</w:t>
      </w:r>
      <w:r w:rsidRPr="00E5711D" w:rsidR="006055EE">
        <w:t>d</w:t>
      </w:r>
      <w:r w:rsidRPr="00E5711D" w:rsidR="00557BCD">
        <w:t xml:space="preserve"> no supporting documents regarding the negotiation and origination of the programming agreement, as the Bureau </w:t>
      </w:r>
      <w:r w:rsidRPr="00E5711D" w:rsidR="008C40E3">
        <w:t xml:space="preserve">had </w:t>
      </w:r>
      <w:r w:rsidRPr="00E5711D" w:rsidR="00557BCD">
        <w:t xml:space="preserve">requested.  </w:t>
      </w:r>
      <w:r w:rsidRPr="00E5711D" w:rsidR="008A09B9">
        <w:t>Also significant</w:t>
      </w:r>
      <w:r w:rsidRPr="00E5711D" w:rsidR="006055EE">
        <w:t xml:space="preserve"> was the lack of documentation substantiating Rygaard’s actual control over the policies and operation of the Stations and demonstrating her independence from her employment by Pro Radio.  </w:t>
      </w:r>
      <w:r w:rsidRPr="00E5711D" w:rsidR="00325579">
        <w:t>Ultimately</w:t>
      </w:r>
      <w:r w:rsidRPr="00E5711D" w:rsidR="000C3784">
        <w:t>,</w:t>
      </w:r>
      <w:r w:rsidRPr="00E5711D" w:rsidR="00325579">
        <w:t xml:space="preserve"> t</w:t>
      </w:r>
      <w:r w:rsidRPr="00E5711D" w:rsidR="006055EE">
        <w:t xml:space="preserve">he 1.88 Letter Response </w:t>
      </w:r>
      <w:r w:rsidRPr="00E5711D" w:rsidR="00BB21D4">
        <w:t>reinforced</w:t>
      </w:r>
      <w:r w:rsidRPr="00E5711D" w:rsidR="006055EE">
        <w:t xml:space="preserve"> the Bureau’s </w:t>
      </w:r>
      <w:r w:rsidRPr="00E5711D" w:rsidR="00BB21D4">
        <w:t xml:space="preserve">view </w:t>
      </w:r>
      <w:r w:rsidRPr="00E5711D" w:rsidR="006055EE">
        <w:t>that an unauthorized transfer of control to</w:t>
      </w:r>
      <w:r w:rsidRPr="00E5711D" w:rsidR="000627B7">
        <w:t xml:space="preserve"> Toscano,</w:t>
      </w:r>
      <w:r w:rsidRPr="00E5711D" w:rsidR="006055EE">
        <w:t xml:space="preserve"> a foreign national</w:t>
      </w:r>
      <w:r w:rsidRPr="00E5711D" w:rsidR="00E02548">
        <w:t>,</w:t>
      </w:r>
      <w:r w:rsidRPr="00E5711D" w:rsidR="006055EE">
        <w:t xml:space="preserve"> had </w:t>
      </w:r>
      <w:r w:rsidRPr="00E5711D" w:rsidR="00512E91">
        <w:t>already</w:t>
      </w:r>
      <w:r w:rsidRPr="00E5711D" w:rsidR="00512E91">
        <w:rPr>
          <w:szCs w:val="22"/>
        </w:rPr>
        <w:t xml:space="preserve"> </w:t>
      </w:r>
      <w:r w:rsidRPr="00E5711D" w:rsidR="006055EE">
        <w:t xml:space="preserve">occurred.  </w:t>
      </w:r>
      <w:r w:rsidRPr="00E5711D" w:rsidR="00512E91">
        <w:t>Moreover</w:t>
      </w:r>
      <w:r w:rsidRPr="00E5711D" w:rsidR="00325579">
        <w:rPr>
          <w:szCs w:val="22"/>
        </w:rPr>
        <w:t xml:space="preserve">, </w:t>
      </w:r>
      <w:r w:rsidRPr="00E5711D" w:rsidR="006055EE">
        <w:t>the 1.88 Letter Response continued the pattern observed by the Bureau of misleading, incomplete, and uncredible explanations by the Licensee and the Parties</w:t>
      </w:r>
      <w:r w:rsidRPr="00E5711D" w:rsidR="009A37E8">
        <w:rPr>
          <w:szCs w:val="22"/>
        </w:rPr>
        <w:t xml:space="preserve">.  </w:t>
      </w:r>
    </w:p>
    <w:p w:rsidR="00426FF5" w:rsidRPr="00E5711D" w:rsidP="001F086A" w14:paraId="789FA996" w14:textId="2D8684D3">
      <w:pPr>
        <w:pStyle w:val="Heading2"/>
      </w:pPr>
      <w:bookmarkStart w:id="88" w:name="_Toc142319593"/>
      <w:bookmarkStart w:id="89" w:name="_Toc142319959"/>
      <w:bookmarkStart w:id="90" w:name="_Toc142319990"/>
      <w:bookmarkStart w:id="91" w:name="_Toc142565403"/>
      <w:bookmarkStart w:id="92" w:name="_Toc197085153"/>
      <w:bookmarkStart w:id="93" w:name="_Toc197093812"/>
      <w:bookmarkStart w:id="94" w:name="_Toc199497970"/>
      <w:bookmarkStart w:id="95" w:name="_Toc199498113"/>
      <w:bookmarkStart w:id="96" w:name="_Toc199761781"/>
      <w:bookmarkStart w:id="97" w:name="_Toc199778023"/>
      <w:bookmarkStart w:id="98" w:name="_Toc201584578"/>
      <w:bookmarkStart w:id="99" w:name="_Toc202182784"/>
      <w:bookmarkStart w:id="100" w:name="_Toc209708334"/>
      <w:bookmarkStart w:id="101" w:name="_Toc210117702"/>
      <w:bookmarkStart w:id="102" w:name="_Toc219206064"/>
      <w:bookmarkStart w:id="103" w:name="_Toc219206805"/>
      <w:r w:rsidRPr="00E5711D">
        <w:t>Applicable Legal Standards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1B2EB9" w:rsidRPr="00E5711D" w:rsidP="000C3784" w14:paraId="58CCFFD1" w14:textId="204643DA">
      <w:pPr>
        <w:pStyle w:val="ParaNum"/>
        <w:widowControl/>
      </w:pPr>
      <w:bookmarkStart w:id="104" w:name="_Ref199502072"/>
      <w:r w:rsidRPr="00E5711D">
        <w:rPr>
          <w:i/>
        </w:rPr>
        <w:t>Unauthorized Transfer of Control</w:t>
      </w:r>
      <w:r w:rsidRPr="00E5711D">
        <w:t>.  Section 310(d) of the Act states that no “station license, or any rights thereunder, shall be transferred, assigned, or disposed of in any manner, voluntarily or involuntarily, directly or indirectly, or by transfer of control . . . to any person except upon application to the Commission and a Commission finding that the public interest, convenience, and necessity will be served thereby.”</w:t>
      </w:r>
      <w:r>
        <w:rPr>
          <w:rStyle w:val="FootnoteReference"/>
        </w:rPr>
        <w:footnoteReference w:id="72"/>
      </w:r>
      <w:r w:rsidRPr="00E5711D">
        <w:t xml:space="preserve">  Thus, under section 310(d) of the Act, the Commission prohibits </w:t>
      </w:r>
      <w:r w:rsidRPr="00E5711D">
        <w:rPr>
          <w:i/>
        </w:rPr>
        <w:t>de facto</w:t>
      </w:r>
      <w:r w:rsidRPr="00E5711D">
        <w:t xml:space="preserve">, as well as </w:t>
      </w:r>
      <w:r w:rsidRPr="00E5711D">
        <w:rPr>
          <w:i/>
        </w:rPr>
        <w:t>de jure</w:t>
      </w:r>
      <w:r w:rsidRPr="00E5711D">
        <w:t>, transfers of control of a station license, or any rights thereunder, without prior Commission consent.</w:t>
      </w:r>
      <w:r>
        <w:rPr>
          <w:vertAlign w:val="superscript"/>
        </w:rPr>
        <w:footnoteReference w:id="73"/>
      </w:r>
      <w:bookmarkEnd w:id="104"/>
      <w:r w:rsidRPr="00E5711D">
        <w:rPr>
          <w:szCs w:val="22"/>
        </w:rPr>
        <w:t xml:space="preserve"> </w:t>
      </w:r>
      <w:r w:rsidRPr="00E5711D" w:rsidR="00A40116">
        <w:rPr>
          <w:szCs w:val="22"/>
        </w:rPr>
        <w:t xml:space="preserve"> </w:t>
      </w:r>
    </w:p>
    <w:p w:rsidR="001B2EB9" w:rsidRPr="00E5711D" w:rsidP="008773F6" w14:paraId="5EEA1201" w14:textId="5CD76F42">
      <w:pPr>
        <w:pStyle w:val="ParaNum"/>
      </w:pPr>
      <w:r w:rsidRPr="00E5711D">
        <w:rPr>
          <w:shd w:val="clear" w:color="auto" w:fill="FFFFFF"/>
        </w:rPr>
        <w:t xml:space="preserve">In determining whether an entity has </w:t>
      </w:r>
      <w:r w:rsidRPr="00E5711D">
        <w:rPr>
          <w:i/>
          <w:shd w:val="clear" w:color="auto" w:fill="FFFFFF"/>
        </w:rPr>
        <w:t>de facto</w:t>
      </w:r>
      <w:r w:rsidRPr="00E5711D">
        <w:rPr>
          <w:shd w:val="clear" w:color="auto" w:fill="FFFFFF"/>
        </w:rPr>
        <w:t xml:space="preserve"> control of a broadcast applicant or licensee, we have traditionally looked beyond legal title and financial interests to determine who holds operational control of the station</w:t>
      </w:r>
      <w:r w:rsidRPr="00E5711D">
        <w:rPr>
          <w:szCs w:val="22"/>
        </w:rPr>
        <w:t>.</w:t>
      </w:r>
      <w:r>
        <w:rPr>
          <w:rStyle w:val="FootnoteReference"/>
        </w:rPr>
        <w:footnoteReference w:id="74"/>
      </w:r>
      <w:r w:rsidRPr="00E5711D">
        <w:rPr>
          <w:szCs w:val="22"/>
        </w:rPr>
        <w:t xml:space="preserve">  </w:t>
      </w:r>
      <w:r w:rsidRPr="00E5711D">
        <w:rPr>
          <w:shd w:val="clear" w:color="auto" w:fill="FFFFFF"/>
        </w:rPr>
        <w:t xml:space="preserve">The Commission, in particular, looks to whether the entity in question establishes the policies governing station programming, personnel, and finances, and has held that a licensee may delegate day-to-day operations regarding those three areas without surrendering </w:t>
      </w:r>
      <w:r w:rsidRPr="00E5711D">
        <w:rPr>
          <w:i/>
          <w:shd w:val="clear" w:color="auto" w:fill="FFFFFF"/>
        </w:rPr>
        <w:t>de facto</w:t>
      </w:r>
      <w:r w:rsidRPr="00E5711D">
        <w:rPr>
          <w:shd w:val="clear" w:color="auto" w:fill="FFFFFF"/>
        </w:rPr>
        <w:t xml:space="preserve"> control, so long as the licensee continues to set the policies governing those operations.</w:t>
      </w:r>
      <w:r>
        <w:rPr>
          <w:rStyle w:val="FootnoteReference"/>
          <w:shd w:val="clear" w:color="auto" w:fill="FFFFFF"/>
        </w:rPr>
        <w:footnoteReference w:id="75"/>
      </w:r>
      <w:r w:rsidRPr="00E5711D">
        <w:rPr>
          <w:shd w:val="clear" w:color="auto" w:fill="FFFFFF"/>
        </w:rPr>
        <w:t xml:space="preserve">  </w:t>
      </w:r>
      <w:r w:rsidRPr="00E5711D">
        <w:t>In addition, the Commission will consider other factors, such as whether someone other than the licensee holds themselves out to station staff and/or the public as one who controls station affairs.</w:t>
      </w:r>
      <w:r>
        <w:rPr>
          <w:vertAlign w:val="superscript"/>
        </w:rPr>
        <w:footnoteReference w:id="76"/>
      </w:r>
      <w:r w:rsidRPr="00E5711D">
        <w:rPr>
          <w:szCs w:val="22"/>
        </w:rPr>
        <w:t xml:space="preserve"> </w:t>
      </w:r>
    </w:p>
    <w:p w:rsidR="00426FF5" w:rsidRPr="00E5711D" w:rsidP="008773F6" w14:paraId="2892E1A8" w14:textId="21418C26">
      <w:pPr>
        <w:pStyle w:val="ParaNum"/>
        <w:rPr>
          <w:snapToGrid/>
          <w:spacing w:val="-3"/>
        </w:rPr>
      </w:pPr>
      <w:r w:rsidRPr="00E5711D">
        <w:rPr>
          <w:i/>
        </w:rPr>
        <w:t>Foreign Ownership Limitations.</w:t>
      </w:r>
      <w:r w:rsidRPr="00E5711D">
        <w:t xml:space="preserve">  Section 310(b) of the Act limits foreign holdings of broadcast licenses.</w:t>
      </w:r>
      <w:r>
        <w:rPr>
          <w:rStyle w:val="FootnoteReference"/>
        </w:rPr>
        <w:footnoteReference w:id="77"/>
      </w:r>
      <w:r w:rsidRPr="00E5711D">
        <w:t xml:space="preserve">  The statute limits direct foreign ownership of broadcast licensees to 20%, while allowing for certain indirect holdings of such interests by foreign persons or entities.</w:t>
      </w:r>
      <w:r>
        <w:rPr>
          <w:rStyle w:val="FootnoteReference"/>
        </w:rPr>
        <w:footnoteReference w:id="78"/>
      </w:r>
      <w:r w:rsidRPr="00E5711D">
        <w:t xml:space="preserve">  Specifically, the statute states:</w:t>
      </w:r>
    </w:p>
    <w:p w:rsidR="00426FF5" w:rsidRPr="00E5711D" w:rsidP="008773F6" w14:paraId="25E7B928" w14:textId="77777777">
      <w:pPr>
        <w:spacing w:after="120"/>
        <w:ind w:left="1440" w:right="1440"/>
        <w:rPr>
          <w:szCs w:val="22"/>
        </w:rPr>
      </w:pPr>
      <w:r w:rsidRPr="00E5711D">
        <w:rPr>
          <w:szCs w:val="22"/>
        </w:rPr>
        <w:t xml:space="preserve">No broadcast . . . station license shall be granted to or held by-- </w:t>
      </w:r>
    </w:p>
    <w:p w:rsidR="00426FF5" w:rsidRPr="00E5711D" w:rsidP="008773F6" w14:paraId="45B7062D" w14:textId="77777777">
      <w:pPr>
        <w:spacing w:after="120"/>
        <w:ind w:left="1440" w:right="1440"/>
        <w:rPr>
          <w:szCs w:val="22"/>
        </w:rPr>
      </w:pPr>
      <w:r w:rsidRPr="00E5711D">
        <w:rPr>
          <w:szCs w:val="22"/>
        </w:rPr>
        <w:t xml:space="preserve">(1) any alien or the representative of any alien; </w:t>
      </w:r>
    </w:p>
    <w:p w:rsidR="00426FF5" w:rsidRPr="00E5711D" w:rsidP="008773F6" w14:paraId="1974D39A" w14:textId="77777777">
      <w:pPr>
        <w:spacing w:after="120"/>
        <w:ind w:left="1440" w:right="1440"/>
        <w:rPr>
          <w:szCs w:val="22"/>
        </w:rPr>
      </w:pPr>
      <w:r w:rsidRPr="00E5711D">
        <w:rPr>
          <w:szCs w:val="22"/>
        </w:rPr>
        <w:t>(2) any corporation organized under the laws of any foreign government;</w:t>
      </w:r>
    </w:p>
    <w:p w:rsidR="00426FF5" w:rsidRPr="00E5711D" w:rsidP="001F086A" w14:paraId="31E679F6" w14:textId="77777777">
      <w:pPr>
        <w:widowControl/>
        <w:spacing w:after="120"/>
        <w:ind w:left="1440" w:right="1440"/>
        <w:rPr>
          <w:szCs w:val="22"/>
        </w:rPr>
      </w:pPr>
      <w:r w:rsidRPr="00E5711D">
        <w:rPr>
          <w:szCs w:val="22"/>
        </w:rPr>
        <w:t xml:space="preserve">(3) any corporation of which more than one-fifth of the capital stock is owned of record or voted by aliens or their representatives or by a </w:t>
      </w:r>
      <w:r w:rsidRPr="00E5711D">
        <w:rPr>
          <w:szCs w:val="22"/>
        </w:rPr>
        <w:t xml:space="preserve">foreign government or representative thereof or by any corporation organized under the laws of a foreign country; </w:t>
      </w:r>
    </w:p>
    <w:p w:rsidR="00C6242C" w:rsidRPr="00E5711D" w:rsidP="00C6242C" w14:paraId="306FDCA4" w14:textId="5B8C8CCE">
      <w:pPr>
        <w:widowControl/>
        <w:spacing w:after="120"/>
        <w:ind w:left="1440" w:right="1440"/>
        <w:rPr>
          <w:szCs w:val="22"/>
        </w:rPr>
      </w:pPr>
      <w:r w:rsidRPr="00E5711D">
        <w:rPr>
          <w:szCs w:val="22"/>
        </w:rPr>
        <w:t>(4) any corporation directly or indirectly controlled by any other corporation of which more than one-fourth of the capital stock is owned of record or voted by aliens, their representatives, or by a foreign government or representative thereof, or by any corporation organized under the laws of a foreign country, if the Commission finds that the public interest will be served by the refusal or revocation of such license.</w:t>
      </w:r>
      <w:r>
        <w:rPr>
          <w:rStyle w:val="FootnoteReference"/>
          <w:szCs w:val="22"/>
        </w:rPr>
        <w:footnoteReference w:id="79"/>
      </w:r>
    </w:p>
    <w:p w:rsidR="00647B4E" w:rsidRPr="00E5711D" w:rsidP="00647B4E" w14:paraId="5D1FD9D7" w14:textId="373BF84E">
      <w:pPr>
        <w:pStyle w:val="ParaNum"/>
        <w:numPr>
          <w:ilvl w:val="0"/>
          <w:numId w:val="0"/>
        </w:numPr>
        <w:rPr>
          <w:snapToGrid/>
          <w:spacing w:val="-3"/>
          <w:szCs w:val="22"/>
        </w:rPr>
      </w:pPr>
      <w:r w:rsidRPr="00E5711D">
        <w:rPr>
          <w:snapToGrid/>
          <w:spacing w:val="-3"/>
          <w:szCs w:val="22"/>
        </w:rPr>
        <w:t>Unless the Commission finds that the public interest will be served by refusing to permit such foreign ownership, the section 310(b)(4) benchmarks permit a foreign individual, government, or entity to own or vote, directly or indirectly, more than 25% (and up to 100%) of the equity and voting interests of a U.S.-organized entity that holds a controlling interest in a broadcast</w:t>
      </w:r>
      <w:r w:rsidRPr="00E5711D" w:rsidR="00B47559">
        <w:rPr>
          <w:snapToGrid/>
          <w:spacing w:val="-3"/>
          <w:szCs w:val="22"/>
        </w:rPr>
        <w:t xml:space="preserve"> </w:t>
      </w:r>
      <w:r w:rsidRPr="00E5711D">
        <w:rPr>
          <w:snapToGrid/>
          <w:spacing w:val="-3"/>
          <w:szCs w:val="22"/>
        </w:rPr>
        <w:t>licensee.</w:t>
      </w:r>
      <w:r>
        <w:rPr>
          <w:rStyle w:val="FootnoteReference"/>
          <w:snapToGrid/>
          <w:spacing w:val="-3"/>
          <w:szCs w:val="22"/>
        </w:rPr>
        <w:footnoteReference w:id="80"/>
      </w:r>
      <w:r w:rsidRPr="00E5711D">
        <w:rPr>
          <w:snapToGrid/>
          <w:spacing w:val="-3"/>
          <w:szCs w:val="22"/>
        </w:rPr>
        <w:t xml:space="preserve">  Any broadcast station applicant seeking to exceed the section 310(b)(4) benchmarks must file a petition for declaratory ruling pursuant to sections 1.5000-04 of the Commission’s rules and obtain </w:t>
      </w:r>
      <w:r w:rsidRPr="00E5711D" w:rsidR="00B47559">
        <w:rPr>
          <w:snapToGrid/>
          <w:spacing w:val="-3"/>
          <w:szCs w:val="22"/>
        </w:rPr>
        <w:t>Commission</w:t>
      </w:r>
      <w:r w:rsidRPr="00E5711D">
        <w:rPr>
          <w:snapToGrid/>
          <w:spacing w:val="-3"/>
          <w:szCs w:val="22"/>
        </w:rPr>
        <w:t xml:space="preserve"> approval before the foreign ownership (equity and voting) in the controlling U.S. parent entity exceeds 25%.</w:t>
      </w:r>
      <w:r>
        <w:rPr>
          <w:rStyle w:val="FootnoteReference"/>
          <w:snapToGrid/>
          <w:spacing w:val="-3"/>
          <w:szCs w:val="22"/>
        </w:rPr>
        <w:footnoteReference w:id="81"/>
      </w:r>
      <w:r w:rsidRPr="00E5711D">
        <w:rPr>
          <w:snapToGrid/>
          <w:spacing w:val="-3"/>
          <w:szCs w:val="22"/>
        </w:rPr>
        <w:t xml:space="preserve">  </w:t>
      </w:r>
    </w:p>
    <w:p w:rsidR="00896B14" w:rsidRPr="00E5711D" w:rsidP="00896B14" w14:paraId="3B017792" w14:textId="5C6D3ACF">
      <w:pPr>
        <w:pStyle w:val="ParaNum"/>
      </w:pPr>
      <w:r w:rsidRPr="00E5711D">
        <w:rPr>
          <w:i/>
        </w:rPr>
        <w:t>Misrepresentation and Lack of Candor</w:t>
      </w:r>
      <w:r w:rsidRPr="00E5711D">
        <w:rPr>
          <w:szCs w:val="22"/>
        </w:rPr>
        <w:t xml:space="preserve">.  </w:t>
      </w:r>
      <w:r w:rsidRPr="00E5711D" w:rsidR="005C5D12">
        <w:t>The Commission and the</w:t>
      </w:r>
      <w:r w:rsidRPr="00E5711D">
        <w:t xml:space="preserve"> courts have </w:t>
      </w:r>
      <w:r w:rsidRPr="00E5711D" w:rsidR="005C5D12">
        <w:t xml:space="preserve">emphasized </w:t>
      </w:r>
      <w:r w:rsidRPr="00E5711D" w:rsidR="00D41522">
        <w:t xml:space="preserve">that </w:t>
      </w:r>
      <w:r w:rsidRPr="00E5711D">
        <w:t>“applicants before the FCC are held to a high standard of candor and forthrightness.”</w:t>
      </w:r>
      <w:r>
        <w:rPr>
          <w:rStyle w:val="FootnoteReference"/>
        </w:rPr>
        <w:footnoteReference w:id="82"/>
      </w:r>
      <w:r w:rsidRPr="00E5711D">
        <w:t xml:space="preserve">  The Commission licenses tens of thousands of radio and television stations in the public interest, and therefore relies heavily on the completeness and accuracy of the submissions made to it.</w:t>
      </w:r>
      <w:r>
        <w:rPr>
          <w:rStyle w:val="FootnoteReference"/>
        </w:rPr>
        <w:footnoteReference w:id="83"/>
      </w:r>
      <w:r w:rsidRPr="00E5711D">
        <w:rPr>
          <w:szCs w:val="22"/>
        </w:rPr>
        <w:t xml:space="preserve">  </w:t>
      </w:r>
      <w:r w:rsidRPr="00E5711D" w:rsidR="000E4F6F">
        <w:rPr>
          <w:snapToGrid/>
          <w:spacing w:val="-3"/>
        </w:rPr>
        <w:t>Full and clear</w:t>
      </w:r>
      <w:r w:rsidRPr="00E5711D" w:rsidR="000E4F6F">
        <w:rPr>
          <w:snapToGrid/>
          <w:spacing w:val="-3"/>
          <w:szCs w:val="22"/>
        </w:rPr>
        <w:t xml:space="preserve"> </w:t>
      </w:r>
      <w:r w:rsidRPr="00E5711D" w:rsidR="000E4F6F">
        <w:rPr>
          <w:snapToGrid/>
          <w:spacing w:val="-3"/>
        </w:rPr>
        <w:t>disclosure of all material facts in every application</w:t>
      </w:r>
      <w:r w:rsidRPr="00E5711D">
        <w:rPr>
          <w:snapToGrid/>
          <w:spacing w:val="-3"/>
        </w:rPr>
        <w:t xml:space="preserve">—or </w:t>
      </w:r>
      <w:r w:rsidRPr="00E5711D" w:rsidR="000E4F6F">
        <w:rPr>
          <w:snapToGrid/>
          <w:spacing w:val="-3"/>
        </w:rPr>
        <w:t>response to a Commission request for information</w:t>
      </w:r>
      <w:r w:rsidRPr="00E5711D">
        <w:rPr>
          <w:snapToGrid/>
          <w:spacing w:val="-3"/>
        </w:rPr>
        <w:t xml:space="preserve">—is </w:t>
      </w:r>
      <w:r w:rsidRPr="00E5711D" w:rsidR="000E4F6F">
        <w:rPr>
          <w:snapToGrid/>
          <w:spacing w:val="-3"/>
        </w:rPr>
        <w:t>essential to the efficient administration of the Commission’s licensing process, and the Commission’s</w:t>
      </w:r>
      <w:r w:rsidRPr="00E5711D" w:rsidR="000E4F6F">
        <w:rPr>
          <w:snapToGrid/>
          <w:spacing w:val="-3"/>
          <w:szCs w:val="22"/>
        </w:rPr>
        <w:t xml:space="preserve"> </w:t>
      </w:r>
      <w:r w:rsidRPr="00E5711D" w:rsidR="000E4F6F">
        <w:rPr>
          <w:snapToGrid/>
          <w:spacing w:val="-3"/>
        </w:rPr>
        <w:t>proper analysis of an application is critically dependent on the accuracy and completeness of information</w:t>
      </w:r>
      <w:r w:rsidRPr="00E5711D" w:rsidR="000E4F6F">
        <w:rPr>
          <w:snapToGrid/>
          <w:spacing w:val="-3"/>
          <w:szCs w:val="22"/>
        </w:rPr>
        <w:t xml:space="preserve"> </w:t>
      </w:r>
      <w:r w:rsidRPr="00E5711D" w:rsidR="000E4F6F">
        <w:rPr>
          <w:snapToGrid/>
          <w:spacing w:val="-3"/>
        </w:rPr>
        <w:t>and data that only the applicant can provide.</w:t>
      </w:r>
      <w:r>
        <w:rPr>
          <w:rStyle w:val="FootnoteReference"/>
          <w:snapToGrid/>
          <w:spacing w:val="-3"/>
        </w:rPr>
        <w:footnoteReference w:id="84"/>
      </w:r>
      <w:r w:rsidRPr="00E5711D" w:rsidR="000E4F6F">
        <w:rPr>
          <w:snapToGrid/>
          <w:spacing w:val="-3"/>
          <w:szCs w:val="22"/>
        </w:rPr>
        <w:t xml:space="preserve">  </w:t>
      </w:r>
      <w:r w:rsidRPr="00E5711D">
        <w:t>Thus, “applicants . . . have an affirmative duty to inform the Commission of the facts it needs in order to fulfill its statutory mandate.”</w:t>
      </w:r>
      <w:r>
        <w:rPr>
          <w:rStyle w:val="FootnoteReference"/>
        </w:rPr>
        <w:footnoteReference w:id="85"/>
      </w:r>
      <w:r w:rsidRPr="00E5711D" w:rsidR="00D41522">
        <w:rPr>
          <w:snapToGrid/>
          <w:spacing w:val="-3"/>
          <w:szCs w:val="22"/>
        </w:rPr>
        <w:t xml:space="preserve"> </w:t>
      </w:r>
      <w:r w:rsidRPr="00E5711D" w:rsidR="000E4F6F">
        <w:rPr>
          <w:snapToGrid/>
          <w:spacing w:val="-3"/>
          <w:szCs w:val="22"/>
        </w:rPr>
        <w:t xml:space="preserve"> </w:t>
      </w:r>
    </w:p>
    <w:p w:rsidR="006F3BA9" w:rsidRPr="00E5711D" w:rsidP="007524C3" w14:paraId="6E7DD124" w14:textId="1DAE2697">
      <w:pPr>
        <w:pStyle w:val="ParaNum"/>
        <w:widowControl/>
      </w:pPr>
      <w:r w:rsidRPr="00E5711D">
        <w:rPr>
          <w:snapToGrid/>
          <w:spacing w:val="-3"/>
        </w:rPr>
        <w:t>Misrepresentation and lack of candor raise serious concerns as to the likelihood that the Commission can rely on an applicant, permittee, or licensee to be truthful.</w:t>
      </w:r>
      <w:r>
        <w:rPr>
          <w:rStyle w:val="FootnoteReference"/>
          <w:snapToGrid/>
          <w:spacing w:val="-3"/>
        </w:rPr>
        <w:footnoteReference w:id="86"/>
      </w:r>
      <w:r w:rsidRPr="00E5711D" w:rsidR="00896B14">
        <w:rPr>
          <w:snapToGrid/>
          <w:spacing w:val="-3"/>
          <w:szCs w:val="22"/>
        </w:rPr>
        <w:t xml:space="preserve"> </w:t>
      </w:r>
      <w:r w:rsidRPr="00E5711D">
        <w:rPr>
          <w:snapToGrid/>
          <w:spacing w:val="-3"/>
          <w:szCs w:val="22"/>
        </w:rPr>
        <w:t xml:space="preserve"> </w:t>
      </w:r>
      <w:bookmarkStart w:id="105" w:name="_Hlk196487996"/>
      <w:r w:rsidRPr="00E5711D">
        <w:t>Misrepresentation is a false statement of fact made with intent to deceive the Commission</w:t>
      </w:r>
      <w:r>
        <w:rPr>
          <w:rStyle w:val="FootnoteReference"/>
        </w:rPr>
        <w:footnoteReference w:id="87"/>
      </w:r>
      <w:r w:rsidRPr="00E5711D">
        <w:t xml:space="preserve"> and </w:t>
      </w:r>
      <w:r w:rsidRPr="00E5711D" w:rsidR="000B49AB">
        <w:t>lack of candor is a concealment, evasion, or other failure to be fully informative, accompanied by an intent to deceive the Commission.</w:t>
      </w:r>
      <w:r>
        <w:rPr>
          <w:vertAlign w:val="superscript"/>
        </w:rPr>
        <w:footnoteReference w:id="88"/>
      </w:r>
      <w:r w:rsidRPr="00E5711D" w:rsidR="000B49AB">
        <w:t xml:space="preserve">  </w:t>
      </w:r>
      <w:r w:rsidRPr="00E5711D" w:rsidR="00D47E1E">
        <w:t xml:space="preserve">Both are </w:t>
      </w:r>
      <w:r w:rsidRPr="00E5711D">
        <w:t>proscribed by our Rules</w:t>
      </w:r>
      <w:r w:rsidRPr="00E5711D" w:rsidR="007B0514">
        <w:t xml:space="preserve"> at s</w:t>
      </w:r>
      <w:r w:rsidRPr="00E5711D">
        <w:t>ection 1.17(a)(1)</w:t>
      </w:r>
      <w:r w:rsidRPr="00E5711D" w:rsidR="007B0514">
        <w:t>, which provides</w:t>
      </w:r>
      <w:r w:rsidRPr="00E5711D">
        <w:t xml:space="preserve"> that no person shall, in any written or oral statement of fact, intentionally provide material factual information that is incorrect or intentionally omit material information that is necessary to prevent any material factual statement that is made from being incorrect or misleading.</w:t>
      </w:r>
      <w:r>
        <w:rPr>
          <w:vertAlign w:val="superscript"/>
        </w:rPr>
        <w:footnoteReference w:id="89"/>
      </w:r>
      <w:r w:rsidRPr="00E5711D">
        <w:t xml:space="preserve">  A necessary and essential element of both misrepresentation and lack of candor is intent to deceive.</w:t>
      </w:r>
      <w:r>
        <w:rPr>
          <w:vertAlign w:val="superscript"/>
        </w:rPr>
        <w:footnoteReference w:id="90"/>
      </w:r>
      <w:r w:rsidRPr="00E5711D">
        <w:t xml:space="preserve">  Fraudulent intent can be found from “the fact of misrepresentation coupled with proof that the party making it had knowledge of its falsity.”</w:t>
      </w:r>
      <w:r>
        <w:rPr>
          <w:vertAlign w:val="superscript"/>
        </w:rPr>
        <w:footnoteReference w:id="91"/>
      </w:r>
      <w:r w:rsidRPr="00E5711D">
        <w:t xml:space="preserve">  Intent can also be found from motive or a logical desire to deceive.</w:t>
      </w:r>
      <w:r>
        <w:rPr>
          <w:vertAlign w:val="superscript"/>
        </w:rPr>
        <w:footnoteReference w:id="92"/>
      </w:r>
      <w:r w:rsidRPr="00E5711D">
        <w:t xml:space="preserve">  </w:t>
      </w:r>
      <w:r w:rsidR="0017718D">
        <w:t>Further, s</w:t>
      </w:r>
      <w:r w:rsidRPr="00554EA6" w:rsidR="00554EA6">
        <w:t>ection 312(a)(</w:t>
      </w:r>
      <w:r w:rsidR="00554EA6">
        <w:t>1</w:t>
      </w:r>
      <w:r w:rsidRPr="00554EA6" w:rsidR="00554EA6">
        <w:t xml:space="preserve">) of the Act provides </w:t>
      </w:r>
      <w:r w:rsidR="00554EA6">
        <w:t>f</w:t>
      </w:r>
      <w:r w:rsidRPr="00E5711D">
        <w:t>alse statements knowingly made to the Commission can be a basis for revocation of a license or construction permit.</w:t>
      </w:r>
      <w:r>
        <w:rPr>
          <w:rStyle w:val="FootnoteReference"/>
        </w:rPr>
        <w:footnoteReference w:id="93"/>
      </w:r>
      <w:r w:rsidRPr="00E5711D" w:rsidR="009446A0">
        <w:t xml:space="preserve">  </w:t>
      </w:r>
    </w:p>
    <w:bookmarkEnd w:id="105"/>
    <w:p w:rsidR="00926522" w:rsidRPr="00E5711D" w:rsidP="003157EA" w14:paraId="7F9FC872" w14:textId="77777777">
      <w:pPr>
        <w:pStyle w:val="ParaNum"/>
        <w:widowControl/>
      </w:pPr>
      <w:r w:rsidRPr="00E5711D">
        <w:rPr>
          <w:i/>
        </w:rPr>
        <w:t xml:space="preserve">Character Qualifications. </w:t>
      </w:r>
      <w:r w:rsidRPr="00E5711D">
        <w:rPr>
          <w:szCs w:val="22"/>
        </w:rPr>
        <w:t xml:space="preserve"> </w:t>
      </w:r>
      <w:bookmarkStart w:id="106" w:name="_Hlk196814416"/>
      <w:r w:rsidRPr="00E5711D">
        <w:t>The character of an applicant is among those factors that the Commission considers in determining whether the applicant has the requisite qualifications to be a Commission licensee.  Section 312(a)(2) of the Act provides that the Commission may revoke any license if “conditions com[e] to the attention of the Commission which would warrant it in refusing to grant a license or permit on the original application.”</w:t>
      </w:r>
      <w:r>
        <w:rPr>
          <w:rStyle w:val="FootnoteReference"/>
        </w:rPr>
        <w:footnoteReference w:id="94"/>
      </w:r>
      <w:r w:rsidRPr="00E5711D">
        <w:t xml:space="preserve">  Because the character of the applicant is among those factors the Commission considers in its review of applications to determine whether the applicant has the </w:t>
      </w:r>
      <w:r w:rsidRPr="00E5711D">
        <w:t>requisite qualifications to operate the station for which authority is sought,</w:t>
      </w:r>
      <w:r>
        <w:rPr>
          <w:rStyle w:val="FootnoteReference"/>
        </w:rPr>
        <w:footnoteReference w:id="95"/>
      </w:r>
      <w:r w:rsidRPr="00E5711D">
        <w:t xml:space="preserve"> a character defect that would warrant the Commission’s refusal to grant a license in the original application would likewise support a Commission determination to revoke a license or permit.</w:t>
      </w:r>
      <w:r>
        <w:rPr>
          <w:spacing w:val="-3"/>
          <w:vertAlign w:val="superscript"/>
        </w:rPr>
        <w:footnoteReference w:id="96"/>
      </w:r>
      <w:r w:rsidRPr="00E5711D">
        <w:rPr>
          <w:szCs w:val="22"/>
        </w:rPr>
        <w:t xml:space="preserve">     </w:t>
      </w:r>
    </w:p>
    <w:p w:rsidR="006F3BA9" w:rsidRPr="00E5711D" w:rsidP="007323EB" w14:paraId="3E0351E1" w14:textId="57515504">
      <w:pPr>
        <w:pStyle w:val="ParaNum"/>
      </w:pPr>
      <w:r w:rsidRPr="00E5711D">
        <w:t>When reviewing allegations of misconduct in the licensing context, the Commission evaluates whether the party will likely be forthright in future dealings with the Commission and will operate its station consistent with the requirements of the Act, the Rules</w:t>
      </w:r>
      <w:r w:rsidRPr="00E5711D" w:rsidR="00A703C5">
        <w:rPr>
          <w:szCs w:val="22"/>
        </w:rPr>
        <w:t>,</w:t>
      </w:r>
      <w:r w:rsidRPr="00E5711D">
        <w:t xml:space="preserve"> and Commission policies.</w:t>
      </w:r>
      <w:r>
        <w:rPr>
          <w:rStyle w:val="FootnoteReference"/>
        </w:rPr>
        <w:footnoteReference w:id="97"/>
      </w:r>
      <w:r w:rsidRPr="00E5711D">
        <w:t xml:space="preserve">  Indeed, the Commission’s </w:t>
      </w:r>
      <w:r w:rsidRPr="00E5711D">
        <w:rPr>
          <w:i/>
        </w:rPr>
        <w:t>Character Qualifications Policy Statement</w:t>
      </w:r>
      <w:r w:rsidRPr="00E5711D">
        <w:t xml:space="preserve"> acknowledges that, in assessing character qualifications in broadcasting matters, the relevant character traits the Commission is concerned with “are those of ‘truthfulness’ and ‘reliability.’”</w:t>
      </w:r>
      <w:r>
        <w:rPr>
          <w:rStyle w:val="FootnoteReference"/>
        </w:rPr>
        <w:footnoteReference w:id="98"/>
      </w:r>
      <w:r w:rsidRPr="00E5711D">
        <w:rPr>
          <w:szCs w:val="22"/>
        </w:rPr>
        <w:t xml:space="preserve">  </w:t>
      </w:r>
      <w:r w:rsidRPr="00E5711D">
        <w:t>Because the Commission relies heavily on the honesty and probity of its licensees in a regulatory system that is largely self-policing, courts have recognized that an applicant who deliberately makes misrepresentations or lacks candor may engage in disqualifying conduct.</w:t>
      </w:r>
      <w:r>
        <w:rPr>
          <w:rStyle w:val="FootnoteReference"/>
        </w:rPr>
        <w:footnoteReference w:id="99"/>
      </w:r>
      <w:r w:rsidRPr="00E5711D">
        <w:t xml:space="preserve">  The Commission also has recognized that “any violations of the Communications Act, Commission rules or Commission policies can be said to have a potential bearing  on character qualifications.”</w:t>
      </w:r>
      <w:r>
        <w:rPr>
          <w:rStyle w:val="FootnoteReference"/>
        </w:rPr>
        <w:footnoteReference w:id="100"/>
      </w:r>
      <w:r w:rsidRPr="00E5711D">
        <w:t xml:space="preserve">  It therefore is appropriate to consider “any violation of any provision of the Act, or of our Rules or policies, as possibly predictive of future conduct and, thus, as possibly raising concerns over the licensee’s future truthfulness and reliability.”</w:t>
      </w:r>
      <w:r>
        <w:rPr>
          <w:rStyle w:val="FootnoteReference"/>
        </w:rPr>
        <w:footnoteReference w:id="101"/>
      </w:r>
      <w:r w:rsidRPr="00E5711D">
        <w:t xml:space="preserve">  Such violations also can be a basis for revocation of a license or construction permit.</w:t>
      </w:r>
      <w:r>
        <w:rPr>
          <w:rStyle w:val="FootnoteReference"/>
        </w:rPr>
        <w:footnoteReference w:id="102"/>
      </w:r>
      <w:r w:rsidRPr="00E5711D">
        <w:rPr>
          <w:szCs w:val="22"/>
        </w:rPr>
        <w:t xml:space="preserve">   </w:t>
      </w:r>
      <w:bookmarkEnd w:id="106"/>
    </w:p>
    <w:p w:rsidR="00426FF5" w:rsidRPr="00E5711D" w:rsidP="008773F6" w14:paraId="705B0226" w14:textId="35EA7968">
      <w:pPr>
        <w:pStyle w:val="Heading1"/>
        <w:keepNext w:val="0"/>
        <w:suppressAutoHyphens w:val="0"/>
        <w:rPr>
          <w:rFonts w:ascii="Times New Roman" w:hAnsi="Times New Roman"/>
          <w:szCs w:val="22"/>
        </w:rPr>
      </w:pPr>
      <w:bookmarkStart w:id="109" w:name="_Toc142319598"/>
      <w:bookmarkStart w:id="110" w:name="_Toc142319964"/>
      <w:bookmarkStart w:id="111" w:name="_Toc142319995"/>
      <w:bookmarkStart w:id="112" w:name="_Toc142565408"/>
      <w:bookmarkStart w:id="113" w:name="_Toc197085154"/>
      <w:bookmarkStart w:id="114" w:name="_Toc197093813"/>
      <w:bookmarkStart w:id="115" w:name="_Toc199497971"/>
      <w:bookmarkStart w:id="116" w:name="_Toc199498114"/>
      <w:bookmarkStart w:id="117" w:name="_Toc199761782"/>
      <w:bookmarkStart w:id="118" w:name="_Toc199778024"/>
      <w:bookmarkStart w:id="119" w:name="_Toc201584579"/>
      <w:bookmarkStart w:id="120" w:name="_Toc202182785"/>
      <w:bookmarkStart w:id="121" w:name="_Toc209708335"/>
      <w:bookmarkStart w:id="122" w:name="_Toc210117703"/>
      <w:bookmarkStart w:id="123" w:name="_Toc219206065"/>
      <w:bookmarkStart w:id="124" w:name="_Toc219206806"/>
      <w:bookmarkEnd w:id="87"/>
      <w:r w:rsidRPr="00E5711D">
        <w:rPr>
          <w:rFonts w:ascii="Times New Roman" w:hAnsi="Times New Roman"/>
          <w:szCs w:val="22"/>
        </w:rPr>
        <w:t>DISCUSSION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8C2674" w:rsidRPr="00E5711D" w:rsidP="00AC32D5" w14:paraId="3774FD2F" w14:textId="29BEDDBC">
      <w:pPr>
        <w:pStyle w:val="ParaNum"/>
      </w:pPr>
      <w:r w:rsidRPr="00E5711D">
        <w:t>Based on the record</w:t>
      </w:r>
      <w:r w:rsidRPr="00E5711D" w:rsidR="000913F7">
        <w:t>,</w:t>
      </w:r>
      <w:r w:rsidR="006C5618">
        <w:t xml:space="preserve"> we find </w:t>
      </w:r>
      <w:r w:rsidRPr="00E5711D" w:rsidR="000913F7">
        <w:t>there a</w:t>
      </w:r>
      <w:r w:rsidRPr="00E5711D" w:rsidR="00A411C8">
        <w:t xml:space="preserve">re substantial and material </w:t>
      </w:r>
      <w:r w:rsidRPr="00E5711D" w:rsidR="00C75691">
        <w:t>question</w:t>
      </w:r>
      <w:r w:rsidRPr="00E5711D" w:rsidR="00515BF0">
        <w:t xml:space="preserve">s </w:t>
      </w:r>
      <w:r w:rsidR="009507B7">
        <w:t>regarding whether</w:t>
      </w:r>
      <w:r w:rsidRPr="00E5711D" w:rsidR="00912FE7">
        <w:t xml:space="preserve"> </w:t>
      </w:r>
      <w:r w:rsidRPr="00E5711D" w:rsidR="00BF6F2B">
        <w:t xml:space="preserve">Rygaard </w:t>
      </w:r>
      <w:r w:rsidRPr="00E5711D" w:rsidR="00912FE7">
        <w:t xml:space="preserve">has </w:t>
      </w:r>
      <w:r w:rsidRPr="00E5711D" w:rsidR="00BF6F2B">
        <w:t>maintain</w:t>
      </w:r>
      <w:r w:rsidR="007524C3">
        <w:t>ed</w:t>
      </w:r>
      <w:r w:rsidRPr="00E5711D" w:rsidR="00912FE7">
        <w:t xml:space="preserve"> </w:t>
      </w:r>
      <w:r w:rsidRPr="00E5711D" w:rsidR="00BF6F2B">
        <w:t xml:space="preserve">control of the Stations </w:t>
      </w:r>
      <w:r w:rsidR="008575D6">
        <w:t>or</w:t>
      </w:r>
      <w:r w:rsidRPr="00E5711D" w:rsidR="008575D6">
        <w:t xml:space="preserve"> </w:t>
      </w:r>
      <w:r w:rsidRPr="00E5711D" w:rsidR="00912FE7">
        <w:t xml:space="preserve">has </w:t>
      </w:r>
      <w:r w:rsidRPr="00E5711D" w:rsidR="00BF6F2B">
        <w:t xml:space="preserve">abdicated control to </w:t>
      </w:r>
      <w:r w:rsidR="009507B7">
        <w:t xml:space="preserve">Pro Radio or </w:t>
      </w:r>
      <w:r w:rsidRPr="00E5711D" w:rsidR="00BF6F2B">
        <w:t xml:space="preserve">Toscano, </w:t>
      </w:r>
      <w:r w:rsidRPr="0064308F" w:rsidR="00BF6F2B">
        <w:t>in violation</w:t>
      </w:r>
      <w:r w:rsidR="008575D6">
        <w:t xml:space="preserve"> </w:t>
      </w:r>
      <w:r w:rsidRPr="0064308F" w:rsidR="00BF6F2B">
        <w:t xml:space="preserve">of the Act and the </w:t>
      </w:r>
      <w:r w:rsidRPr="0064308F" w:rsidR="00BF2E71">
        <w:t>R</w:t>
      </w:r>
      <w:r w:rsidRPr="0064308F" w:rsidR="00BF6F2B">
        <w:t>ules.</w:t>
      </w:r>
      <w:r w:rsidRPr="00E5711D" w:rsidR="00BF6F2B">
        <w:t xml:space="preserve">  </w:t>
      </w:r>
      <w:r w:rsidRPr="00E5711D" w:rsidR="00A73D0A">
        <w:t xml:space="preserve">Moreover, </w:t>
      </w:r>
      <w:r w:rsidR="006C5618">
        <w:t>we find</w:t>
      </w:r>
      <w:r w:rsidRPr="00E5711D" w:rsidR="00A73D0A">
        <w:t xml:space="preserve"> substantial and material questions </w:t>
      </w:r>
      <w:r w:rsidRPr="00E5711D" w:rsidR="00912FE7">
        <w:t xml:space="preserve">that </w:t>
      </w:r>
      <w:r w:rsidRPr="00E5711D" w:rsidR="00AC32D5">
        <w:t xml:space="preserve">the Parties </w:t>
      </w:r>
      <w:r w:rsidRPr="00E5711D" w:rsidR="00912FE7">
        <w:t xml:space="preserve">have </w:t>
      </w:r>
      <w:r w:rsidRPr="00E5711D" w:rsidR="00AC32D5">
        <w:t>engaged in misrepresentation and/or lack of candor</w:t>
      </w:r>
      <w:r w:rsidRPr="00E5711D" w:rsidR="00912FE7">
        <w:t xml:space="preserve"> before the Commission</w:t>
      </w:r>
      <w:r w:rsidRPr="00E5711D" w:rsidR="00AF648D">
        <w:t xml:space="preserve">, including by failing </w:t>
      </w:r>
      <w:r w:rsidRPr="00E5711D" w:rsidR="00AC32D5">
        <w:t xml:space="preserve">to respond fully to the Bureau’s inquiries, </w:t>
      </w:r>
      <w:r w:rsidRPr="00E5711D" w:rsidR="004E0F07">
        <w:t xml:space="preserve">in violation of our rules and standards for Commission licensees.  </w:t>
      </w:r>
      <w:r w:rsidRPr="00E5711D" w:rsidR="00912FE7">
        <w:t>Accordingly,</w:t>
      </w:r>
      <w:r w:rsidRPr="00E5711D" w:rsidR="00AC32D5">
        <w:t xml:space="preserve"> </w:t>
      </w:r>
      <w:r w:rsidRPr="00E5711D" w:rsidR="00173BF7">
        <w:t xml:space="preserve">we </w:t>
      </w:r>
      <w:r w:rsidRPr="00E5711D" w:rsidR="00F35409">
        <w:t xml:space="preserve">find that there are substantial and material questions of fact regarding whether either Rygaard or Toscano has the requisite character qualifications to remain, or become, a Commission licensee, and we are further </w:t>
      </w:r>
      <w:r w:rsidRPr="00E5711D" w:rsidR="00173BF7">
        <w:t xml:space="preserve">unable to find that grant of the </w:t>
      </w:r>
      <w:r w:rsidRPr="00E5711D" w:rsidR="00F35409">
        <w:t>Transfer A</w:t>
      </w:r>
      <w:r w:rsidRPr="00E5711D" w:rsidR="00173BF7">
        <w:t>pplication would be consistent with the public interest, convenience</w:t>
      </w:r>
      <w:r w:rsidRPr="00E5711D" w:rsidR="00131133">
        <w:t>, and necessity</w:t>
      </w:r>
      <w:r w:rsidRPr="00E5711D" w:rsidR="006A323B">
        <w:t>.  T</w:t>
      </w:r>
      <w:r w:rsidRPr="00E5711D" w:rsidR="00173BF7">
        <w:t>hus</w:t>
      </w:r>
      <w:r w:rsidRPr="00E5711D" w:rsidR="006A323B">
        <w:t>,</w:t>
      </w:r>
      <w:r w:rsidRPr="00E5711D" w:rsidR="00173BF7">
        <w:t xml:space="preserve"> a hearing is required, as discussed further below</w:t>
      </w:r>
      <w:r w:rsidRPr="00E5711D" w:rsidR="00912FE7">
        <w:t>.</w:t>
      </w:r>
    </w:p>
    <w:p w:rsidR="005929A8" w:rsidRPr="00E5711D" w:rsidP="00AC32D5" w14:paraId="0DED548A" w14:textId="357835A7">
      <w:pPr>
        <w:pStyle w:val="ParaNum"/>
      </w:pPr>
      <w:r w:rsidRPr="00E5711D">
        <w:t xml:space="preserve">Consistent with the Commission’s long-standing </w:t>
      </w:r>
      <w:r w:rsidRPr="00E5711D">
        <w:rPr>
          <w:i/>
        </w:rPr>
        <w:t>Jefferson Radio</w:t>
      </w:r>
      <w:r w:rsidRPr="00E5711D">
        <w:t xml:space="preserve"> policy, the Bureau will suspend the processing of the Transfer Application and the related </w:t>
      </w:r>
      <w:r w:rsidRPr="00E5711D" w:rsidR="00F35409">
        <w:t xml:space="preserve">foreign ownership </w:t>
      </w:r>
      <w:r w:rsidRPr="00E5711D">
        <w:t xml:space="preserve">Petition pending the outcome of this hearing.  Under </w:t>
      </w:r>
      <w:r w:rsidRPr="00E5711D">
        <w:rPr>
          <w:i/>
        </w:rPr>
        <w:t>Jefferson Radio</w:t>
      </w:r>
      <w:r w:rsidRPr="00E5711D" w:rsidR="00A57E68">
        <w:rPr>
          <w:szCs w:val="22"/>
        </w:rPr>
        <w:t>,</w:t>
      </w:r>
      <w:r w:rsidRPr="00E5711D">
        <w:t xml:space="preserve"> action on an assignment or transfer application generally will be deferred where there are unresolved questions regarding the licensee’s basic character </w:t>
      </w:r>
      <w:r w:rsidRPr="00E5711D">
        <w:t>qualifications, as there are here.</w:t>
      </w:r>
      <w:r>
        <w:rPr>
          <w:rStyle w:val="FootnoteReference"/>
        </w:rPr>
        <w:footnoteReference w:id="103"/>
      </w:r>
      <w:r w:rsidRPr="00E5711D">
        <w:t xml:space="preserve">  This policy is based on the premise that a licensee may not have anything to assign or transfer unless and until the pending character qualifications questions have been resolved.</w:t>
      </w:r>
      <w:r>
        <w:rPr>
          <w:rStyle w:val="FootnoteReference"/>
        </w:rPr>
        <w:footnoteReference w:id="104"/>
      </w:r>
      <w:r w:rsidRPr="00E5711D">
        <w:t xml:space="preserve">  The Commission has stated that this policy stems from its “concern that, where an evidentiary hearing has been designated on a renewal application or show cause order to determine disqualifying questions, permitting the suspected wrongdoer to evade a sanction by transferring his interest or assigning the license without hearing will diminish the deterrent effect which revocation and renewal proceedings should have on broadcast licensees.”</w:t>
      </w:r>
      <w:r>
        <w:rPr>
          <w:rStyle w:val="FootnoteReference"/>
        </w:rPr>
        <w:footnoteReference w:id="105"/>
      </w:r>
      <w:r w:rsidRPr="00E5711D">
        <w:t xml:space="preserve">  Absent the deterrent effect of this policy and the potential revocation of license a party could simply “sell out from under a potential</w:t>
      </w:r>
      <w:r w:rsidRPr="00E5711D">
        <w:rPr>
          <w:szCs w:val="22"/>
        </w:rPr>
        <w:t xml:space="preserve"> </w:t>
      </w:r>
      <w:r w:rsidRPr="00E5711D">
        <w:t>disqualification.”</w:t>
      </w:r>
      <w:r>
        <w:rPr>
          <w:rStyle w:val="FootnoteReference"/>
        </w:rPr>
        <w:footnoteReference w:id="106"/>
      </w:r>
      <w:r w:rsidRPr="00E5711D" w:rsidR="00F35409">
        <w:rPr>
          <w:szCs w:val="22"/>
        </w:rPr>
        <w:t xml:space="preserve">  </w:t>
      </w:r>
      <w:r w:rsidRPr="00E5711D" w:rsidR="007B40F6">
        <w:rPr>
          <w:szCs w:val="22"/>
        </w:rPr>
        <w:t xml:space="preserve">  </w:t>
      </w:r>
      <w:r w:rsidRPr="00E5711D" w:rsidR="00F35409">
        <w:rPr>
          <w:szCs w:val="22"/>
        </w:rPr>
        <w:t xml:space="preserve"> </w:t>
      </w:r>
    </w:p>
    <w:p w:rsidR="008C2674" w:rsidRPr="00E5711D" w:rsidP="001F086A" w14:paraId="0343D732" w14:textId="5BA57568">
      <w:pPr>
        <w:pStyle w:val="Heading2"/>
      </w:pPr>
      <w:bookmarkStart w:id="125" w:name="_Toc197085155"/>
      <w:bookmarkStart w:id="126" w:name="_Toc197093814"/>
      <w:bookmarkStart w:id="127" w:name="_Toc199497972"/>
      <w:bookmarkStart w:id="128" w:name="_Toc199498115"/>
      <w:bookmarkStart w:id="129" w:name="_Toc199761783"/>
      <w:bookmarkStart w:id="130" w:name="_Toc199778025"/>
      <w:bookmarkStart w:id="131" w:name="_Toc201584580"/>
      <w:bookmarkStart w:id="132" w:name="_Toc202182786"/>
      <w:bookmarkStart w:id="133" w:name="_Toc209708336"/>
      <w:bookmarkStart w:id="134" w:name="_Toc210117704"/>
      <w:bookmarkStart w:id="135" w:name="_Toc219206066"/>
      <w:bookmarkStart w:id="136" w:name="_Toc219206807"/>
      <w:r w:rsidRPr="00E5711D">
        <w:t xml:space="preserve">Unauthorized Transfer of Control </w:t>
      </w:r>
      <w:r w:rsidRPr="00E5711D">
        <w:t>to a Foreign Citizen</w:t>
      </w:r>
      <w:bookmarkEnd w:id="125"/>
      <w:bookmarkEnd w:id="126"/>
      <w:bookmarkEnd w:id="127"/>
      <w:bookmarkEnd w:id="128"/>
      <w:bookmarkEnd w:id="129"/>
      <w:bookmarkEnd w:id="130"/>
      <w:bookmarkEnd w:id="131"/>
      <w:bookmarkEnd w:id="132"/>
      <w:bookmarkEnd w:id="133"/>
      <w:bookmarkEnd w:id="134"/>
      <w:bookmarkEnd w:id="135"/>
      <w:bookmarkEnd w:id="136"/>
    </w:p>
    <w:p w:rsidR="009D6987" w:rsidRPr="00E5711D" w:rsidP="003157EA" w14:paraId="0BDDBB33" w14:textId="0CD37CB0">
      <w:pPr>
        <w:pStyle w:val="ParaNum"/>
        <w:keepLines/>
        <w:widowControl/>
      </w:pPr>
      <w:r w:rsidRPr="00E5711D">
        <w:t xml:space="preserve">The record </w:t>
      </w:r>
      <w:r w:rsidRPr="00E5711D" w:rsidR="00CB13BF">
        <w:t xml:space="preserve">developed </w:t>
      </w:r>
      <w:r w:rsidRPr="00E5711D" w:rsidR="0086645F">
        <w:t>by the Bureau thus far</w:t>
      </w:r>
      <w:r w:rsidR="00C122C4">
        <w:t xml:space="preserve"> appears to</w:t>
      </w:r>
      <w:r w:rsidRPr="00E5711D" w:rsidR="0086645F">
        <w:t xml:space="preserve"> </w:t>
      </w:r>
      <w:r w:rsidRPr="00E5711D" w:rsidR="00CB13BF">
        <w:t xml:space="preserve">indicate there has been an unauthorized transfer of control.  </w:t>
      </w:r>
      <w:r w:rsidRPr="00E5711D">
        <w:t>As described above,</w:t>
      </w:r>
      <w:r>
        <w:rPr>
          <w:rStyle w:val="FootnoteReference"/>
        </w:rPr>
        <w:footnoteReference w:id="107"/>
      </w:r>
      <w:r w:rsidRPr="00E5711D">
        <w:t xml:space="preserve"> section 310(d) of the Act</w:t>
      </w:r>
      <w:r>
        <w:rPr>
          <w:rStyle w:val="FootnoteReference"/>
        </w:rPr>
        <w:footnoteReference w:id="108"/>
      </w:r>
      <w:r w:rsidRPr="00E5711D">
        <w:t xml:space="preserve"> and section 73.3540 of the Commission’s rules</w:t>
      </w:r>
      <w:r>
        <w:rPr>
          <w:rStyle w:val="FootnoteReference"/>
        </w:rPr>
        <w:footnoteReference w:id="109"/>
      </w:r>
      <w:r w:rsidRPr="00E5711D">
        <w:t xml:space="preserve"> require that a licensee request, and the Commission authorize, any transfer of control of a</w:t>
      </w:r>
      <w:r w:rsidRPr="00E5711D" w:rsidR="004C6414">
        <w:t xml:space="preserve"> broadcast</w:t>
      </w:r>
      <w:r w:rsidRPr="00E5711D">
        <w:t xml:space="preserve"> station license.  </w:t>
      </w:r>
      <w:r w:rsidRPr="00E5711D" w:rsidR="00366003">
        <w:t>C</w:t>
      </w:r>
      <w:r w:rsidRPr="00E5711D">
        <w:t xml:space="preserve">eding control of a station to anyone other than the </w:t>
      </w:r>
      <w:r w:rsidRPr="00E5711D" w:rsidR="004C6414">
        <w:t xml:space="preserve">authorized </w:t>
      </w:r>
      <w:r w:rsidRPr="00E5711D">
        <w:t xml:space="preserve">licensee of the station is a violation of </w:t>
      </w:r>
      <w:r w:rsidR="000A4375">
        <w:t>those provisions</w:t>
      </w:r>
      <w:r w:rsidRPr="00E5711D">
        <w:t xml:space="preserve">.  </w:t>
      </w:r>
      <w:r w:rsidRPr="00E5711D">
        <w:rPr>
          <w:shd w:val="clear" w:color="auto" w:fill="FFFFFF"/>
        </w:rPr>
        <w:t>In determining whether an</w:t>
      </w:r>
      <w:r w:rsidRPr="00E5711D" w:rsidR="00BF5BDC">
        <w:rPr>
          <w:shd w:val="clear" w:color="auto" w:fill="FFFFFF"/>
        </w:rPr>
        <w:t xml:space="preserve"> individual or </w:t>
      </w:r>
      <w:r w:rsidRPr="00E5711D">
        <w:rPr>
          <w:shd w:val="clear" w:color="auto" w:fill="FFFFFF"/>
        </w:rPr>
        <w:t xml:space="preserve">entity has </w:t>
      </w:r>
      <w:r w:rsidRPr="00E5711D">
        <w:rPr>
          <w:i/>
          <w:shd w:val="clear" w:color="auto" w:fill="FFFFFF"/>
        </w:rPr>
        <w:t>de facto</w:t>
      </w:r>
      <w:r w:rsidRPr="00E5711D">
        <w:rPr>
          <w:shd w:val="clear" w:color="auto" w:fill="FFFFFF"/>
        </w:rPr>
        <w:t xml:space="preserve"> control of a broadcast applicant or licensee, </w:t>
      </w:r>
      <w:r w:rsidRPr="00E5711D" w:rsidR="004C6414">
        <w:rPr>
          <w:shd w:val="clear" w:color="auto" w:fill="FFFFFF"/>
        </w:rPr>
        <w:t>the Commission traditionally</w:t>
      </w:r>
      <w:r w:rsidRPr="00E5711D">
        <w:rPr>
          <w:shd w:val="clear" w:color="auto" w:fill="FFFFFF"/>
        </w:rPr>
        <w:t xml:space="preserve"> look</w:t>
      </w:r>
      <w:r w:rsidRPr="00E5711D" w:rsidR="004C6414">
        <w:rPr>
          <w:shd w:val="clear" w:color="auto" w:fill="FFFFFF"/>
        </w:rPr>
        <w:t>s</w:t>
      </w:r>
      <w:r w:rsidRPr="00E5711D">
        <w:rPr>
          <w:shd w:val="clear" w:color="auto" w:fill="FFFFFF"/>
        </w:rPr>
        <w:t xml:space="preserve"> to whether the </w:t>
      </w:r>
      <w:r w:rsidRPr="00E5711D" w:rsidR="00BF5BDC">
        <w:rPr>
          <w:shd w:val="clear" w:color="auto" w:fill="FFFFFF"/>
        </w:rPr>
        <w:t>party</w:t>
      </w:r>
      <w:r w:rsidRPr="00E5711D">
        <w:rPr>
          <w:shd w:val="clear" w:color="auto" w:fill="FFFFFF"/>
        </w:rPr>
        <w:t xml:space="preserve"> in question establishes the policies governing station programming, personnel, and finances.</w:t>
      </w:r>
      <w:r>
        <w:rPr>
          <w:rStyle w:val="FootnoteReference"/>
          <w:shd w:val="clear" w:color="auto" w:fill="FFFFFF"/>
        </w:rPr>
        <w:footnoteReference w:id="110"/>
      </w:r>
      <w:r w:rsidRPr="00E5711D">
        <w:rPr>
          <w:shd w:val="clear" w:color="auto" w:fill="FFFFFF"/>
        </w:rPr>
        <w:t xml:space="preserve">  </w:t>
      </w:r>
    </w:p>
    <w:p w:rsidR="00353ECD" w:rsidRPr="00E5711D" w:rsidP="00694CAE" w14:paraId="18BBF83A" w14:textId="68C74AED">
      <w:pPr>
        <w:pStyle w:val="ParaNum"/>
      </w:pPr>
      <w:r>
        <w:t>T</w:t>
      </w:r>
      <w:r w:rsidRPr="00E5711D" w:rsidR="006A323B">
        <w:t xml:space="preserve">he 1.88 Letter </w:t>
      </w:r>
      <w:r>
        <w:t>instructed Rygaard to d</w:t>
      </w:r>
      <w:r w:rsidRPr="00E5711D" w:rsidR="003C1BB8">
        <w:t xml:space="preserve">ocument her control of the Stations.  </w:t>
      </w:r>
      <w:r w:rsidR="005C5EFA">
        <w:t>As set forth below, t</w:t>
      </w:r>
      <w:r w:rsidRPr="00E5711D" w:rsidR="00BC221C">
        <w:t xml:space="preserve">he </w:t>
      </w:r>
      <w:r w:rsidRPr="00E5711D" w:rsidR="1C3CAC7A">
        <w:t>limited</w:t>
      </w:r>
      <w:r w:rsidRPr="00E5711D" w:rsidR="00E63DDA">
        <w:t xml:space="preserve"> evidence</w:t>
      </w:r>
      <w:r w:rsidRPr="00E5711D" w:rsidR="00E63DDA">
        <w:rPr>
          <w:szCs w:val="22"/>
        </w:rPr>
        <w:t xml:space="preserve"> </w:t>
      </w:r>
      <w:r w:rsidRPr="00E5711D" w:rsidR="006A323B">
        <w:t>she</w:t>
      </w:r>
      <w:r w:rsidRPr="00E5711D" w:rsidR="003C1BB8">
        <w:rPr>
          <w:szCs w:val="22"/>
        </w:rPr>
        <w:t xml:space="preserve"> </w:t>
      </w:r>
      <w:r w:rsidRPr="00E5711D" w:rsidR="00E63DDA">
        <w:t>provided</w:t>
      </w:r>
      <w:r>
        <w:t>, however,</w:t>
      </w:r>
      <w:r w:rsidRPr="00E5711D" w:rsidR="00E63DDA">
        <w:t xml:space="preserve"> fails to substantiate that she established th</w:t>
      </w:r>
      <w:r w:rsidRPr="00E5711D" w:rsidR="000A3732">
        <w:t xml:space="preserve">e </w:t>
      </w:r>
      <w:r w:rsidRPr="00E5711D" w:rsidR="00E63DDA">
        <w:t xml:space="preserve">policies </w:t>
      </w:r>
      <w:r w:rsidRPr="00E5711D" w:rsidR="000A3732">
        <w:rPr>
          <w:shd w:val="clear" w:color="auto" w:fill="FFFFFF"/>
        </w:rPr>
        <w:t xml:space="preserve">governing </w:t>
      </w:r>
      <w:r w:rsidRPr="00E5711D" w:rsidR="00E53C26">
        <w:rPr>
          <w:shd w:val="clear" w:color="auto" w:fill="FFFFFF"/>
        </w:rPr>
        <w:t xml:space="preserve">the </w:t>
      </w:r>
      <w:r w:rsidRPr="00E5711D" w:rsidR="003D0F27">
        <w:rPr>
          <w:shd w:val="clear" w:color="auto" w:fill="FFFFFF"/>
        </w:rPr>
        <w:t>S</w:t>
      </w:r>
      <w:r w:rsidRPr="00E5711D" w:rsidR="000A3732">
        <w:rPr>
          <w:shd w:val="clear" w:color="auto" w:fill="FFFFFF"/>
        </w:rPr>
        <w:t>tation</w:t>
      </w:r>
      <w:r w:rsidRPr="00E5711D" w:rsidR="003D0F27">
        <w:rPr>
          <w:shd w:val="clear" w:color="auto" w:fill="FFFFFF"/>
        </w:rPr>
        <w:t>s’</w:t>
      </w:r>
      <w:r w:rsidRPr="00E5711D" w:rsidR="000A3732">
        <w:rPr>
          <w:shd w:val="clear" w:color="auto" w:fill="FFFFFF"/>
        </w:rPr>
        <w:t xml:space="preserve"> programming, personnel, and finances,</w:t>
      </w:r>
      <w:r w:rsidRPr="00E5711D" w:rsidR="000A3732">
        <w:rPr>
          <w:szCs w:val="22"/>
        </w:rPr>
        <w:t xml:space="preserve"> </w:t>
      </w:r>
      <w:r w:rsidR="00E132CC">
        <w:rPr>
          <w:szCs w:val="22"/>
        </w:rPr>
        <w:t>and instead appears to indicate</w:t>
      </w:r>
      <w:r w:rsidRPr="00E5711D" w:rsidR="003C1BB8">
        <w:t xml:space="preserve"> that she has </w:t>
      </w:r>
      <w:r w:rsidRPr="00E5711D" w:rsidR="00BC221C">
        <w:t xml:space="preserve">abdicated </w:t>
      </w:r>
      <w:r w:rsidRPr="00E5711D" w:rsidR="00E63DDA">
        <w:t>control of the Stations.</w:t>
      </w:r>
      <w:r w:rsidRPr="00E5711D" w:rsidR="00694CAE">
        <w:rPr>
          <w:szCs w:val="22"/>
        </w:rPr>
        <w:t xml:space="preserve">  </w:t>
      </w:r>
      <w:r w:rsidRPr="007F0D84" w:rsidR="00E63DDA">
        <w:t>In addition</w:t>
      </w:r>
      <w:r w:rsidRPr="007F0D84" w:rsidR="00BC221C">
        <w:t xml:space="preserve"> to being unable to demonstrate continued control of the Stations</w:t>
      </w:r>
      <w:r w:rsidRPr="007F0D84" w:rsidR="00E63DDA">
        <w:rPr>
          <w:szCs w:val="22"/>
        </w:rPr>
        <w:t xml:space="preserve">, </w:t>
      </w:r>
      <w:r w:rsidRPr="007F0D84" w:rsidR="005F1B3E">
        <w:t>a</w:t>
      </w:r>
      <w:r w:rsidRPr="00E5711D" w:rsidR="005F1B3E">
        <w:t xml:space="preserve"> number of </w:t>
      </w:r>
      <w:r w:rsidRPr="00E5711D" w:rsidR="00523F51">
        <w:t>other</w:t>
      </w:r>
      <w:r w:rsidRPr="00E5711D" w:rsidR="00E63DDA">
        <w:rPr>
          <w:szCs w:val="22"/>
        </w:rPr>
        <w:t xml:space="preserve"> </w:t>
      </w:r>
      <w:r w:rsidRPr="00E5711D" w:rsidR="005F1B3E">
        <w:t>factors in this case</w:t>
      </w:r>
      <w:r w:rsidR="00EF43CF">
        <w:t xml:space="preserve"> </w:t>
      </w:r>
      <w:r w:rsidRPr="00E5711D" w:rsidR="000E13F4">
        <w:t>suggest</w:t>
      </w:r>
      <w:r w:rsidRPr="00E5711D" w:rsidR="000D346F">
        <w:t xml:space="preserve"> that </w:t>
      </w:r>
      <w:r w:rsidRPr="00E5711D" w:rsidR="00BC221C">
        <w:t>an unauthorized transfer has occurred</w:t>
      </w:r>
      <w:r w:rsidRPr="00E5711D" w:rsidR="00C8240E">
        <w:rPr>
          <w:szCs w:val="22"/>
        </w:rPr>
        <w:t>,</w:t>
      </w:r>
      <w:r w:rsidRPr="00E5711D" w:rsidR="00B22C9D">
        <w:rPr>
          <w:szCs w:val="22"/>
        </w:rPr>
        <w:t xml:space="preserve"> </w:t>
      </w:r>
      <w:r w:rsidRPr="00E5711D" w:rsidR="000D346F">
        <w:t>including</w:t>
      </w:r>
      <w:r w:rsidRPr="00E5711D" w:rsidR="005F1B3E">
        <w:rPr>
          <w:szCs w:val="22"/>
        </w:rPr>
        <w:t xml:space="preserve">:  </w:t>
      </w:r>
      <w:r w:rsidRPr="00E5711D" w:rsidR="004A2813">
        <w:rPr>
          <w:szCs w:val="22"/>
        </w:rPr>
        <w:t>(</w:t>
      </w:r>
      <w:r w:rsidRPr="00E5711D" w:rsidR="005F1B3E">
        <w:t>1)</w:t>
      </w:r>
      <w:r w:rsidRPr="00E5711D" w:rsidR="000D346F">
        <w:rPr>
          <w:szCs w:val="22"/>
        </w:rPr>
        <w:t xml:space="preserve"> </w:t>
      </w:r>
      <w:r w:rsidRPr="00E5711D" w:rsidR="005F1B3E">
        <w:t xml:space="preserve">the fact that </w:t>
      </w:r>
      <w:r w:rsidR="00CB5ABD">
        <w:t>Pro Radio</w:t>
      </w:r>
      <w:r w:rsidR="00CD474C">
        <w:t>, a company owned by Toscano,</w:t>
      </w:r>
      <w:r w:rsidRPr="00E5711D" w:rsidR="005F1B3E">
        <w:t xml:space="preserve"> </w:t>
      </w:r>
      <w:r w:rsidR="00CB5ABD">
        <w:t xml:space="preserve">had begun </w:t>
      </w:r>
      <w:r w:rsidRPr="00E5711D" w:rsidR="005F1B3E">
        <w:t xml:space="preserve">programming </w:t>
      </w:r>
      <w:r w:rsidRPr="00E5711D" w:rsidR="00331C79">
        <w:t xml:space="preserve">and operating </w:t>
      </w:r>
      <w:r w:rsidRPr="00E5711D" w:rsidR="005F1B3E">
        <w:t>the Stations</w:t>
      </w:r>
      <w:r w:rsidR="00CB5ABD">
        <w:t xml:space="preserve"> in </w:t>
      </w:r>
      <w:r w:rsidR="00D47F52">
        <w:t xml:space="preserve">December </w:t>
      </w:r>
      <w:r w:rsidR="00CB5ABD">
        <w:t>2022 pursuant to an unwritten agreement and contemporaneous with Toscano’s acquisition of the right to collect the debt owed by 97.5 Holdings</w:t>
      </w:r>
      <w:r w:rsidRPr="00E5711D" w:rsidR="005F1B3E">
        <w:t xml:space="preserve">; </w:t>
      </w:r>
      <w:r w:rsidRPr="00E5711D" w:rsidR="004A2813">
        <w:rPr>
          <w:szCs w:val="22"/>
        </w:rPr>
        <w:t>(</w:t>
      </w:r>
      <w:r w:rsidRPr="00E5711D" w:rsidR="005F1B3E">
        <w:t>2) the fact that</w:t>
      </w:r>
      <w:r w:rsidRPr="00E5711D" w:rsidR="009C1551">
        <w:rPr>
          <w:szCs w:val="22"/>
        </w:rPr>
        <w:t xml:space="preserve"> </w:t>
      </w:r>
      <w:r w:rsidR="00D47F52">
        <w:rPr>
          <w:szCs w:val="22"/>
        </w:rPr>
        <w:t xml:space="preserve">from December 2022 until January 2024 </w:t>
      </w:r>
      <w:r w:rsidRPr="00E5711D" w:rsidR="005F1B3E">
        <w:t xml:space="preserve">Rygaard was employed by </w:t>
      </w:r>
      <w:r w:rsidR="00D47F52">
        <w:t xml:space="preserve">Pro Radio, </w:t>
      </w:r>
      <w:r w:rsidRPr="00E5711D" w:rsidR="00B22C9D">
        <w:t>the company programming the Stations</w:t>
      </w:r>
      <w:r w:rsidR="00D47F52">
        <w:t xml:space="preserve"> and owned by Toscano</w:t>
      </w:r>
      <w:r w:rsidRPr="00E5711D" w:rsidR="00B22C9D">
        <w:t>;</w:t>
      </w:r>
      <w:r w:rsidRPr="00E5711D" w:rsidR="005F1B3E">
        <w:rPr>
          <w:szCs w:val="22"/>
        </w:rPr>
        <w:t xml:space="preserve"> </w:t>
      </w:r>
      <w:r w:rsidRPr="00E5711D" w:rsidR="004A2813">
        <w:rPr>
          <w:szCs w:val="22"/>
        </w:rPr>
        <w:t>(</w:t>
      </w:r>
      <w:r w:rsidRPr="00E5711D" w:rsidR="005F1B3E">
        <w:t xml:space="preserve">3) </w:t>
      </w:r>
      <w:r w:rsidRPr="00E5711D" w:rsidR="000D346F">
        <w:t xml:space="preserve">the </w:t>
      </w:r>
      <w:r w:rsidRPr="00E5711D" w:rsidR="0098564E">
        <w:t xml:space="preserve">fact that the </w:t>
      </w:r>
      <w:r w:rsidR="00CD474C">
        <w:t>97.5 Holdings</w:t>
      </w:r>
      <w:r w:rsidRPr="00E5711D" w:rsidR="0098564E">
        <w:t xml:space="preserve"> is heavily indebted to Toscano, who </w:t>
      </w:r>
      <w:r w:rsidR="00CD474C">
        <w:t>paid nearly $2 million USD to a</w:t>
      </w:r>
      <w:r w:rsidRPr="00E5711D" w:rsidR="0098564E">
        <w:t>cquir</w:t>
      </w:r>
      <w:r w:rsidR="00CD474C">
        <w:t>e</w:t>
      </w:r>
      <w:r w:rsidRPr="00E5711D" w:rsidR="0098564E">
        <w:t xml:space="preserve"> the </w:t>
      </w:r>
      <w:r w:rsidR="00D47F52">
        <w:t>right to collect th</w:t>
      </w:r>
      <w:r w:rsidR="00CD474C">
        <w:t>at</w:t>
      </w:r>
      <w:r w:rsidR="00D47F52">
        <w:t xml:space="preserve"> </w:t>
      </w:r>
      <w:r w:rsidRPr="00E5711D" w:rsidR="0098564E">
        <w:t xml:space="preserve">debt </w:t>
      </w:r>
      <w:r w:rsidRPr="00E5711D" w:rsidR="000D346F">
        <w:t xml:space="preserve">just prior to Rygaard’s acquisition of 97.5 Holdings for a nominal amount; </w:t>
      </w:r>
      <w:r w:rsidRPr="00E5711D" w:rsidR="004A2813">
        <w:rPr>
          <w:szCs w:val="22"/>
        </w:rPr>
        <w:t>(</w:t>
      </w:r>
      <w:r w:rsidRPr="00E5711D" w:rsidR="005F1B3E">
        <w:t xml:space="preserve">4) the </w:t>
      </w:r>
      <w:r w:rsidRPr="00E5711D" w:rsidR="00BF5BDC">
        <w:t xml:space="preserve">use of the </w:t>
      </w:r>
      <w:r w:rsidRPr="00E5711D" w:rsidR="006E6DB7">
        <w:t xml:space="preserve">same </w:t>
      </w:r>
      <w:r w:rsidRPr="00E5711D" w:rsidR="005F1B3E">
        <w:t xml:space="preserve">nominal purchase price </w:t>
      </w:r>
      <w:r w:rsidRPr="00E5711D" w:rsidR="00B22C9D">
        <w:t xml:space="preserve">between Rygaard and Toscano </w:t>
      </w:r>
      <w:r w:rsidRPr="00E5711D" w:rsidR="005F1B3E">
        <w:t xml:space="preserve">in the pending Transfer Application; </w:t>
      </w:r>
      <w:r w:rsidRPr="00E5711D" w:rsidR="004A2813">
        <w:rPr>
          <w:szCs w:val="22"/>
        </w:rPr>
        <w:t>(</w:t>
      </w:r>
      <w:r w:rsidRPr="00E5711D" w:rsidR="005F1B3E">
        <w:t xml:space="preserve">5) </w:t>
      </w:r>
      <w:r w:rsidRPr="00E5711D" w:rsidR="000D346F">
        <w:t>the undisclosed familial ties between the Transferor and Transferee</w:t>
      </w:r>
      <w:r w:rsidRPr="00E5711D" w:rsidR="00BD6F96">
        <w:t xml:space="preserve">; and </w:t>
      </w:r>
      <w:r w:rsidRPr="00E5711D" w:rsidR="004A2813">
        <w:rPr>
          <w:szCs w:val="22"/>
        </w:rPr>
        <w:t>(</w:t>
      </w:r>
      <w:r w:rsidRPr="00E5711D" w:rsidR="005F1B3E">
        <w:t xml:space="preserve">6) </w:t>
      </w:r>
      <w:r w:rsidRPr="00E5711D" w:rsidR="0098564E">
        <w:t>Toscano’s</w:t>
      </w:r>
      <w:r w:rsidRPr="00E5711D" w:rsidR="000D346F">
        <w:t xml:space="preserve"> undisclosed connections to the earlier ownership and operation of the </w:t>
      </w:r>
      <w:r w:rsidRPr="00E5711D" w:rsidR="00B22C9D">
        <w:t>S</w:t>
      </w:r>
      <w:r w:rsidRPr="00E5711D" w:rsidR="000D346F">
        <w:t>tations</w:t>
      </w:r>
      <w:r w:rsidRPr="00E5711D" w:rsidR="00BD6F96">
        <w:rPr>
          <w:szCs w:val="22"/>
        </w:rPr>
        <w:t>.</w:t>
      </w:r>
      <w:r w:rsidRPr="00E5711D" w:rsidR="009C1551">
        <w:rPr>
          <w:szCs w:val="22"/>
        </w:rPr>
        <w:t xml:space="preserve"> </w:t>
      </w:r>
      <w:r w:rsidRPr="00E5711D" w:rsidR="006E6DB7">
        <w:rPr>
          <w:szCs w:val="22"/>
        </w:rPr>
        <w:t xml:space="preserve"> </w:t>
      </w:r>
    </w:p>
    <w:p w:rsidR="00A46F4E" w:rsidRPr="00E5711D" w:rsidP="00A46F4E" w14:paraId="390C44CE" w14:textId="236B0FCE">
      <w:pPr>
        <w:pStyle w:val="ParaNum"/>
      </w:pPr>
      <w:bookmarkStart w:id="137" w:name="_Ref208927248"/>
      <w:r w:rsidRPr="00E5711D">
        <w:rPr>
          <w:i/>
        </w:rPr>
        <w:t>Policies</w:t>
      </w:r>
      <w:r w:rsidRPr="00E5711D" w:rsidR="00353ECD">
        <w:rPr>
          <w:i/>
        </w:rPr>
        <w:t xml:space="preserve"> Regarding Programming, Personnel, and Finances</w:t>
      </w:r>
      <w:r w:rsidRPr="00E5711D">
        <w:rPr>
          <w:i/>
        </w:rPr>
        <w:t>.</w:t>
      </w:r>
      <w:r w:rsidRPr="00E5711D" w:rsidR="00353ECD">
        <w:t xml:space="preserve">  In response to the Bureau’s request </w:t>
      </w:r>
      <w:r w:rsidRPr="00E5711D" w:rsidR="00F966A0">
        <w:t xml:space="preserve">in the 1.88 Letter </w:t>
      </w:r>
      <w:r w:rsidRPr="00E5711D" w:rsidR="00353ECD">
        <w:t xml:space="preserve">that </w:t>
      </w:r>
      <w:r w:rsidRPr="00E5711D" w:rsidR="00BF6F2B">
        <w:t>Rygaard</w:t>
      </w:r>
      <w:r w:rsidRPr="00E5711D" w:rsidR="00353ECD">
        <w:rPr>
          <w:szCs w:val="22"/>
        </w:rPr>
        <w:t xml:space="preserve"> </w:t>
      </w:r>
      <w:r w:rsidRPr="00E5711D">
        <w:t>substantiate that she has “maintained and exercised contro</w:t>
      </w:r>
      <w:r w:rsidRPr="00E5711D" w:rsidR="00353ECD">
        <w:t xml:space="preserve">l </w:t>
      </w:r>
      <w:r w:rsidRPr="00E5711D">
        <w:t xml:space="preserve">over </w:t>
      </w:r>
      <w:r w:rsidRPr="00E5711D" w:rsidR="00353ECD">
        <w:t>the programming, personnel, and finances</w:t>
      </w:r>
      <w:r w:rsidRPr="00E5711D">
        <w:t xml:space="preserve"> of the Stations from the time of her acquisition of 97.5 Holdings in May 2022 through the present,”</w:t>
      </w:r>
      <w:r>
        <w:rPr>
          <w:rStyle w:val="FootnoteReference"/>
        </w:rPr>
        <w:footnoteReference w:id="111"/>
      </w:r>
      <w:r w:rsidRPr="00E5711D">
        <w:t xml:space="preserve"> Rygaard has provided scant evidence</w:t>
      </w:r>
      <w:r w:rsidRPr="00E5711D" w:rsidR="00353ECD">
        <w:rPr>
          <w:szCs w:val="22"/>
        </w:rPr>
        <w:t xml:space="preserve">.  </w:t>
      </w:r>
      <w:r w:rsidRPr="00E5711D" w:rsidR="00E52460">
        <w:t xml:space="preserve">In particular, </w:t>
      </w:r>
      <w:r w:rsidRPr="00E5711D">
        <w:t xml:space="preserve">Rygaard </w:t>
      </w:r>
      <w:r w:rsidRPr="00E5711D" w:rsidR="00353ECD">
        <w:t xml:space="preserve">offers no evidence that any policies governing programming, personnel, and finances exist or have ever existed, </w:t>
      </w:r>
      <w:r w:rsidRPr="00E5711D" w:rsidR="00032292">
        <w:t>let alone</w:t>
      </w:r>
      <w:r w:rsidRPr="00E5711D" w:rsidR="00353ECD">
        <w:t xml:space="preserve"> that she has controlled or would control such policies.  </w:t>
      </w:r>
      <w:r w:rsidRPr="00E5711D" w:rsidR="00887E67">
        <w:t xml:space="preserve">The 1.88 Letter instructed that general </w:t>
      </w:r>
      <w:r w:rsidRPr="00E5711D" w:rsidR="003033E7">
        <w:t>assertions of control</w:t>
      </w:r>
      <w:r w:rsidRPr="00E5711D" w:rsidR="00887E67">
        <w:t xml:space="preserve"> would not be sufficient and that Rygaard should “provide email, correspondence, documents, financial statements or similar documentation to show that she has exercised control over the Stations since acquiring them two years ago.”</w:t>
      </w:r>
      <w:r>
        <w:rPr>
          <w:rStyle w:val="FootnoteReference"/>
        </w:rPr>
        <w:footnoteReference w:id="112"/>
      </w:r>
      <w:r w:rsidRPr="00E5711D" w:rsidR="00887E67">
        <w:rPr>
          <w:szCs w:val="22"/>
        </w:rPr>
        <w:t xml:space="preserve">  </w:t>
      </w:r>
      <w:r w:rsidRPr="00E5711D">
        <w:t xml:space="preserve">In </w:t>
      </w:r>
      <w:r w:rsidRPr="00E5711D" w:rsidR="003033E7">
        <w:t>all</w:t>
      </w:r>
      <w:r w:rsidRPr="00E5711D">
        <w:t>, the evidence provided by Rygaard in response to the Bureau’s 1.88 Letter total</w:t>
      </w:r>
      <w:r w:rsidRPr="00E5711D" w:rsidR="00887E67">
        <w:t>ed</w:t>
      </w:r>
      <w:r w:rsidRPr="00E5711D">
        <w:t xml:space="preserve"> </w:t>
      </w:r>
      <w:r w:rsidRPr="26A29C2B">
        <w:t>20</w:t>
      </w:r>
      <w:r w:rsidRPr="00E5711D">
        <w:t xml:space="preserve"> pages of material, and </w:t>
      </w:r>
      <w:r w:rsidRPr="00E5711D" w:rsidR="00200C40">
        <w:t>comprises</w:t>
      </w:r>
      <w:r w:rsidRPr="00E5711D">
        <w:rPr>
          <w:szCs w:val="22"/>
        </w:rPr>
        <w:t xml:space="preserve">: </w:t>
      </w:r>
      <w:r w:rsidRPr="00E5711D" w:rsidR="00C87F02">
        <w:rPr>
          <w:szCs w:val="22"/>
        </w:rPr>
        <w:t xml:space="preserve"> </w:t>
      </w:r>
      <w:r w:rsidRPr="00E5711D">
        <w:t>(</w:t>
      </w:r>
      <w:r w:rsidR="005370FE">
        <w:t>1</w:t>
      </w:r>
      <w:r w:rsidRPr="00E5711D">
        <w:t xml:space="preserve">) </w:t>
      </w:r>
      <w:r w:rsidR="006774CD">
        <w:t xml:space="preserve">11 </w:t>
      </w:r>
      <w:r w:rsidRPr="00E5711D">
        <w:t>one-page memos entitled “Programming meeting minutes</w:t>
      </w:r>
      <w:r w:rsidRPr="00E5711D" w:rsidR="58EF8E2F">
        <w:t>,</w:t>
      </w:r>
      <w:r w:rsidRPr="00E5711D" w:rsidR="191B54E2">
        <w:t>”</w:t>
      </w:r>
      <w:r w:rsidRPr="00E5711D">
        <w:t xml:space="preserve"> that seemingly document operational meetings related to the Stations </w:t>
      </w:r>
      <w:r w:rsidRPr="00E5711D" w:rsidR="00331C79">
        <w:t xml:space="preserve">held </w:t>
      </w:r>
      <w:r w:rsidRPr="00E5711D">
        <w:t xml:space="preserve">on </w:t>
      </w:r>
      <w:r w:rsidRPr="26A29C2B">
        <w:t>11</w:t>
      </w:r>
      <w:r w:rsidRPr="00E5711D">
        <w:t xml:space="preserve"> dates between September 2022 and July 2024</w:t>
      </w:r>
      <w:r w:rsidR="000A4375">
        <w:t>;</w:t>
      </w:r>
      <w:r w:rsidRPr="00E5711D">
        <w:t xml:space="preserve"> and (</w:t>
      </w:r>
      <w:r w:rsidR="005370FE">
        <w:t>2</w:t>
      </w:r>
      <w:r w:rsidRPr="00E5711D">
        <w:t xml:space="preserve">) </w:t>
      </w:r>
      <w:r w:rsidR="006774CD">
        <w:t>9</w:t>
      </w:r>
      <w:r w:rsidRPr="00E5711D">
        <w:t xml:space="preserve"> </w:t>
      </w:r>
      <w:r w:rsidRPr="00E5711D" w:rsidR="191B54E2">
        <w:t>undated</w:t>
      </w:r>
      <w:r w:rsidRPr="00E5711D">
        <w:t xml:space="preserve"> one-page “Quarterly Reports</w:t>
      </w:r>
      <w:r w:rsidRPr="00E5711D" w:rsidR="00D66854">
        <w:t>” regarding the status of ongoing engineering work at the Stations.</w:t>
      </w:r>
      <w:r>
        <w:rPr>
          <w:rStyle w:val="FootnoteReference"/>
        </w:rPr>
        <w:footnoteReference w:id="113"/>
      </w:r>
      <w:r w:rsidRPr="00E5711D" w:rsidR="00D66854">
        <w:rPr>
          <w:szCs w:val="22"/>
        </w:rPr>
        <w:t xml:space="preserve"> </w:t>
      </w:r>
      <w:r w:rsidR="00CE784F">
        <w:rPr>
          <w:szCs w:val="22"/>
        </w:rPr>
        <w:t xml:space="preserve">  </w:t>
      </w:r>
      <w:bookmarkEnd w:id="137"/>
    </w:p>
    <w:p w:rsidR="00282639" w:rsidRPr="00E5711D" w:rsidP="00353ECD" w14:paraId="65DBC113" w14:textId="0959E479">
      <w:pPr>
        <w:pStyle w:val="ParaNum"/>
      </w:pPr>
      <w:r w:rsidRPr="00E5711D">
        <w:t xml:space="preserve">First, with regard to programming, </w:t>
      </w:r>
      <w:r w:rsidRPr="00E5711D" w:rsidR="00467E28">
        <w:t xml:space="preserve">while Rygaard asserts that she oversees all programming activities, her response fails to substantiate how exactly she has exercised that oversight or if she has established the policies regarding the programming aired on the Stations.  </w:t>
      </w:r>
      <w:r w:rsidRPr="00E5711D" w:rsidR="00CA3188">
        <w:t>Despite asserting that “[a]</w:t>
      </w:r>
      <w:r w:rsidRPr="00E5711D" w:rsidR="00CA3188">
        <w:t>ll</w:t>
      </w:r>
      <w:r w:rsidRPr="00E5711D" w:rsidR="00CA3188">
        <w:t xml:space="preserve"> programming activities are ultimately under her supervision,”</w:t>
      </w:r>
      <w:r>
        <w:rPr>
          <w:rStyle w:val="FootnoteReference"/>
        </w:rPr>
        <w:footnoteReference w:id="114"/>
      </w:r>
      <w:r w:rsidRPr="00E5711D" w:rsidR="00CA3188">
        <w:t xml:space="preserve"> n</w:t>
      </w:r>
      <w:r w:rsidRPr="00E5711D" w:rsidR="00467E28">
        <w:t>o</w:t>
      </w:r>
      <w:r w:rsidRPr="00E5711D" w:rsidR="00696C3F">
        <w:t xml:space="preserve">tably, </w:t>
      </w:r>
      <w:r w:rsidRPr="00E5711D" w:rsidR="00467E28">
        <w:t xml:space="preserve">Rygaard </w:t>
      </w:r>
      <w:r w:rsidRPr="00E5711D" w:rsidR="00696C3F">
        <w:t xml:space="preserve">has not </w:t>
      </w:r>
      <w:r w:rsidRPr="00E5711D" w:rsidR="00467E28">
        <w:t xml:space="preserve">asserted that she has acquired, selected, contracted for, or produced any programming for the Stations, or engaged in the creation or oversight of programming policies.  </w:t>
      </w:r>
      <w:r w:rsidRPr="00E5711D" w:rsidR="00CA3188">
        <w:t xml:space="preserve">Instead, </w:t>
      </w:r>
      <w:r w:rsidRPr="00E5711D">
        <w:t xml:space="preserve">Rygaard claims </w:t>
      </w:r>
      <w:r w:rsidRPr="00E5711D" w:rsidR="00A46F4E">
        <w:t>that she</w:t>
      </w:r>
      <w:r w:rsidRPr="00E5711D" w:rsidR="00D66854">
        <w:t xml:space="preserve"> maintains control of the programming on the Stations by </w:t>
      </w:r>
      <w:r w:rsidRPr="00E5711D" w:rsidR="00A46F4E">
        <w:t>supervis</w:t>
      </w:r>
      <w:r w:rsidRPr="00E5711D" w:rsidR="00D66854">
        <w:t>ing the individual who reviews the</w:t>
      </w:r>
      <w:r w:rsidRPr="00E5711D">
        <w:t xml:space="preserve"> programming </w:t>
      </w:r>
      <w:r w:rsidRPr="00E5711D" w:rsidR="00D66854">
        <w:t xml:space="preserve">provided by the third-party programmer, </w:t>
      </w:r>
      <w:r w:rsidRPr="00E5711D">
        <w:t>Pro Radio</w:t>
      </w:r>
      <w:r w:rsidRPr="00E5711D" w:rsidR="00D66854">
        <w:rPr>
          <w:szCs w:val="22"/>
        </w:rPr>
        <w:t>.</w:t>
      </w:r>
      <w:r>
        <w:rPr>
          <w:rStyle w:val="FootnoteReference"/>
        </w:rPr>
        <w:footnoteReference w:id="115"/>
      </w:r>
      <w:r w:rsidRPr="00E5711D" w:rsidR="00D66854">
        <w:rPr>
          <w:szCs w:val="22"/>
        </w:rPr>
        <w:t xml:space="preserve">  </w:t>
      </w:r>
      <w:r w:rsidRPr="00E5711D" w:rsidR="00467E28">
        <w:t>It is unclear</w:t>
      </w:r>
      <w:r w:rsidRPr="00E5711D" w:rsidR="00CA3188">
        <w:rPr>
          <w:szCs w:val="22"/>
        </w:rPr>
        <w:t xml:space="preserve"> </w:t>
      </w:r>
      <w:r w:rsidRPr="00E5711D" w:rsidR="00467E28">
        <w:t>if the individual she supervises is an employee of the Licensee</w:t>
      </w:r>
      <w:r w:rsidRPr="00E5711D" w:rsidR="00467E28">
        <w:rPr>
          <w:szCs w:val="22"/>
        </w:rPr>
        <w:t xml:space="preserve"> </w:t>
      </w:r>
      <w:r w:rsidRPr="00E5711D" w:rsidR="00467E28">
        <w:t xml:space="preserve">or works for Pro Radio.  </w:t>
      </w:r>
      <w:r w:rsidRPr="00E5711D">
        <w:t xml:space="preserve">The question of control of the programming is further confused by the fact </w:t>
      </w:r>
      <w:r w:rsidRPr="00E5711D" w:rsidR="00467E28">
        <w:t xml:space="preserve">Rygaard herself was an employee of </w:t>
      </w:r>
      <w:r w:rsidRPr="00E5711D" w:rsidR="00761D6A">
        <w:t xml:space="preserve">Pro Radio </w:t>
      </w:r>
      <w:r w:rsidR="00653B0B">
        <w:t>for at least part of the time that</w:t>
      </w:r>
      <w:r w:rsidRPr="00E5711D" w:rsidR="00761D6A">
        <w:t xml:space="preserve"> </w:t>
      </w:r>
      <w:r w:rsidRPr="00E5711D" w:rsidR="007447F5">
        <w:t xml:space="preserve">it </w:t>
      </w:r>
      <w:r w:rsidRPr="00E5711D" w:rsidR="00E52460">
        <w:t xml:space="preserve">apparently </w:t>
      </w:r>
      <w:r w:rsidRPr="00E5711D" w:rsidR="007447F5">
        <w:t>programmed the Stations</w:t>
      </w:r>
      <w:r w:rsidRPr="00E5711D">
        <w:rPr>
          <w:szCs w:val="22"/>
        </w:rPr>
        <w:t>.</w:t>
      </w:r>
      <w:r>
        <w:rPr>
          <w:rStyle w:val="FootnoteReference"/>
          <w:szCs w:val="22"/>
        </w:rPr>
        <w:footnoteReference w:id="116"/>
      </w:r>
      <w:r w:rsidR="007354C5">
        <w:rPr>
          <w:szCs w:val="22"/>
        </w:rPr>
        <w:t xml:space="preserve">  </w:t>
      </w:r>
      <w:r w:rsidRPr="00E5711D" w:rsidR="0056343B">
        <w:t xml:space="preserve">Other than a list of payments made </w:t>
      </w:r>
      <w:r w:rsidRPr="00E5711D" w:rsidR="00E23C59">
        <w:t xml:space="preserve">by Pro Radio </w:t>
      </w:r>
      <w:r w:rsidRPr="00E5711D" w:rsidR="0056343B">
        <w:t>to 97.5 Holdings</w:t>
      </w:r>
      <w:r w:rsidRPr="00E5711D" w:rsidR="00433272">
        <w:rPr>
          <w:szCs w:val="22"/>
        </w:rPr>
        <w:t>,</w:t>
      </w:r>
      <w:r w:rsidRPr="00E5711D" w:rsidR="0056343B">
        <w:t xml:space="preserve"> the Parties provide no documentation regarding the Station’s programming</w:t>
      </w:r>
      <w:r w:rsidRPr="00E5711D" w:rsidR="00761D6A">
        <w:t xml:space="preserve"> policies</w:t>
      </w:r>
      <w:r w:rsidRPr="00E5711D" w:rsidR="0056343B">
        <w:t xml:space="preserve"> or </w:t>
      </w:r>
      <w:r w:rsidRPr="00E5711D" w:rsidR="00A6277E">
        <w:t>substantiating</w:t>
      </w:r>
      <w:r w:rsidRPr="00E5711D" w:rsidR="0056343B">
        <w:t xml:space="preserve"> Rygaard’s control of the same.  </w:t>
      </w:r>
      <w:r w:rsidRPr="00E5711D" w:rsidR="007447F5">
        <w:t>Combined with the fact</w:t>
      </w:r>
      <w:r w:rsidRPr="00E5711D">
        <w:t xml:space="preserve"> that</w:t>
      </w:r>
      <w:r w:rsidRPr="00E5711D" w:rsidR="00CF267D">
        <w:t xml:space="preserve"> Pro Radio’s programming of the Stations and sale of advertising time was never</w:t>
      </w:r>
      <w:r w:rsidRPr="00E5711D">
        <w:rPr>
          <w:szCs w:val="22"/>
        </w:rPr>
        <w:t xml:space="preserve"> </w:t>
      </w:r>
      <w:r w:rsidRPr="00E5711D" w:rsidR="00CF267D">
        <w:t>documented</w:t>
      </w:r>
      <w:r w:rsidRPr="00E5711D">
        <w:t xml:space="preserve"> until </w:t>
      </w:r>
      <w:r w:rsidRPr="00E5711D" w:rsidR="00570641">
        <w:t xml:space="preserve">the Parties were </w:t>
      </w:r>
      <w:r w:rsidRPr="00E5711D" w:rsidR="003C32F2">
        <w:t xml:space="preserve">confronted </w:t>
      </w:r>
      <w:r w:rsidRPr="00E5711D" w:rsidR="00E52460">
        <w:t>with repeated</w:t>
      </w:r>
      <w:r w:rsidRPr="00E5711D" w:rsidR="003C32F2">
        <w:t xml:space="preserve"> questions from </w:t>
      </w:r>
      <w:r w:rsidRPr="00E5711D">
        <w:t xml:space="preserve">the Bureau, </w:t>
      </w:r>
      <w:r w:rsidRPr="00E5711D" w:rsidR="001F082E">
        <w:t xml:space="preserve">there appear to be </w:t>
      </w:r>
      <w:r w:rsidRPr="00E5711D" w:rsidR="002578F4">
        <w:t xml:space="preserve">substantial and material questions of fact </w:t>
      </w:r>
      <w:r w:rsidRPr="00E5711D" w:rsidR="00D10787">
        <w:t>as to whether</w:t>
      </w:r>
      <w:r w:rsidRPr="00E5711D" w:rsidR="00CF267D">
        <w:t xml:space="preserve"> Rygaard has surrendered control of the programming policies and decision</w:t>
      </w:r>
      <w:r w:rsidR="00BF2FCD">
        <w:t>-</w:t>
      </w:r>
      <w:r w:rsidR="007524C3">
        <w:t>making</w:t>
      </w:r>
      <w:r w:rsidRPr="00E5711D" w:rsidR="00CF267D">
        <w:t>.</w:t>
      </w:r>
      <w:r w:rsidRPr="00E5711D" w:rsidR="00F966A0">
        <w:rPr>
          <w:szCs w:val="22"/>
        </w:rPr>
        <w:t xml:space="preserve">  </w:t>
      </w:r>
    </w:p>
    <w:p w:rsidR="00353ECD" w:rsidRPr="00E5711D" w:rsidP="00353ECD" w14:paraId="2F707761" w14:textId="56083A2D">
      <w:pPr>
        <w:pStyle w:val="ParaNum"/>
        <w:rPr>
          <w:snapToGrid/>
          <w:spacing w:val="-3"/>
        </w:rPr>
      </w:pPr>
      <w:r w:rsidRPr="00E5711D">
        <w:t xml:space="preserve">Second, with respect to personnel, in response to the Bureau’s inquiries, Rygaard provides the names of three individuals that she says </w:t>
      </w:r>
      <w:r w:rsidRPr="00E5711D" w:rsidR="00D66854">
        <w:rPr>
          <w:szCs w:val="22"/>
        </w:rPr>
        <w:t>“</w:t>
      </w:r>
      <w:r w:rsidRPr="00E5711D">
        <w:t>report directly</w:t>
      </w:r>
      <w:r w:rsidRPr="00E5711D" w:rsidR="00D66854">
        <w:t>” to her</w:t>
      </w:r>
      <w:r w:rsidRPr="00E5711D">
        <w:t>, but she fails to actually state who employs these individuals</w:t>
      </w:r>
      <w:r w:rsidRPr="00E5711D" w:rsidR="00444CD3">
        <w:rPr>
          <w:szCs w:val="22"/>
        </w:rPr>
        <w:t>.</w:t>
      </w:r>
      <w:r>
        <w:rPr>
          <w:rStyle w:val="FootnoteReference"/>
        </w:rPr>
        <w:footnoteReference w:id="117"/>
      </w:r>
      <w:r w:rsidRPr="00E5711D" w:rsidR="00444CD3">
        <w:t xml:space="preserve">  Notably, she does not assert that they are employees of the Licensee</w:t>
      </w:r>
      <w:r w:rsidRPr="00E5711D" w:rsidR="00CF267D">
        <w:t>, nor does she</w:t>
      </w:r>
      <w:r w:rsidRPr="00E5711D" w:rsidR="00D8615E">
        <w:t xml:space="preserve"> provide evidence of employment, including</w:t>
      </w:r>
      <w:r w:rsidRPr="00E5711D" w:rsidR="1E8A03C2">
        <w:t xml:space="preserve">, for example, </w:t>
      </w:r>
      <w:r w:rsidRPr="00E5711D" w:rsidR="2F642603">
        <w:t>payroll</w:t>
      </w:r>
      <w:r w:rsidRPr="00E5711D" w:rsidR="00D8615E">
        <w:t xml:space="preserve"> information</w:t>
      </w:r>
      <w:r w:rsidR="002D500C">
        <w:t xml:space="preserve"> substantiating who pays these individuals</w:t>
      </w:r>
      <w:r w:rsidRPr="00E5711D" w:rsidR="007447F5">
        <w:t xml:space="preserve">.  Further, Rygaard </w:t>
      </w:r>
      <w:r w:rsidRPr="00E5711D" w:rsidR="00444CD3">
        <w:t xml:space="preserve">does </w:t>
      </w:r>
      <w:r w:rsidRPr="00E5711D" w:rsidR="007447F5">
        <w:t>not</w:t>
      </w:r>
      <w:r w:rsidRPr="00E5711D" w:rsidR="00444CD3">
        <w:t xml:space="preserve"> indicate whether </w:t>
      </w:r>
      <w:r w:rsidRPr="00E5711D">
        <w:t>she sets the policies concerning the</w:t>
      </w:r>
      <w:r w:rsidRPr="00E5711D" w:rsidR="007447F5">
        <w:t xml:space="preserve">se individuals’ </w:t>
      </w:r>
      <w:r w:rsidRPr="00E5711D">
        <w:t>employment, supervision, and dismissal</w:t>
      </w:r>
      <w:r w:rsidRPr="00E5711D" w:rsidR="00444CD3">
        <w:t>, nor whether she has</w:t>
      </w:r>
      <w:r w:rsidRPr="00E5711D" w:rsidR="00D66854">
        <w:rPr>
          <w:szCs w:val="22"/>
        </w:rPr>
        <w:t xml:space="preserve"> </w:t>
      </w:r>
      <w:r w:rsidRPr="00E5711D" w:rsidR="00444CD3">
        <w:t xml:space="preserve">the authority to hire, promote, or fire </w:t>
      </w:r>
      <w:r w:rsidRPr="00E5711D" w:rsidR="0056343B">
        <w:t xml:space="preserve">these individuals or any other </w:t>
      </w:r>
      <w:r w:rsidRPr="00E5711D" w:rsidR="00444CD3">
        <w:t>employees</w:t>
      </w:r>
      <w:r w:rsidRPr="00E5711D" w:rsidR="00D66854">
        <w:t xml:space="preserve">, or </w:t>
      </w:r>
      <w:r w:rsidRPr="00E5711D" w:rsidR="0056343B">
        <w:t xml:space="preserve">if she </w:t>
      </w:r>
      <w:r w:rsidRPr="00E5711D" w:rsidR="00D66854">
        <w:t>has ever done so</w:t>
      </w:r>
      <w:r w:rsidRPr="00E5711D">
        <w:rPr>
          <w:szCs w:val="22"/>
        </w:rPr>
        <w:t xml:space="preserve">.  </w:t>
      </w:r>
      <w:r w:rsidRPr="00E5711D" w:rsidR="00433272">
        <w:t xml:space="preserve">Indeed, based on the responses thus far, it </w:t>
      </w:r>
      <w:r w:rsidRPr="00E5711D" w:rsidR="00D94543">
        <w:t>does not appear that</w:t>
      </w:r>
      <w:r w:rsidRPr="00E5711D" w:rsidR="00433272">
        <w:t xml:space="preserve"> the Licensee </w:t>
      </w:r>
      <w:r w:rsidRPr="00E5711D" w:rsidR="00433272">
        <w:rPr>
          <w:i/>
        </w:rPr>
        <w:t>has</w:t>
      </w:r>
      <w:r w:rsidRPr="00E5711D" w:rsidR="00433272">
        <w:t xml:space="preserve"> any employees</w:t>
      </w:r>
      <w:r w:rsidRPr="00E5711D" w:rsidR="00433272">
        <w:rPr>
          <w:szCs w:val="22"/>
        </w:rPr>
        <w:t xml:space="preserve">.  </w:t>
      </w:r>
      <w:r w:rsidRPr="00E5711D" w:rsidR="00CF267D">
        <w:t>Fundamentally, the record does not show that Rygaard has maintained control of the</w:t>
      </w:r>
      <w:r w:rsidRPr="00E5711D">
        <w:t xml:space="preserve"> policies regarding the employment, supervision, and dismissal of Station personnel.  </w:t>
      </w:r>
    </w:p>
    <w:p w:rsidR="00353ECD" w:rsidRPr="00E5711D" w:rsidP="00353ECD" w14:paraId="176A21CC" w14:textId="29A0C098">
      <w:pPr>
        <w:pStyle w:val="ParaNum"/>
        <w:widowControl/>
        <w:rPr>
          <w:snapToGrid/>
          <w:spacing w:val="-3"/>
        </w:rPr>
      </w:pPr>
      <w:bookmarkStart w:id="138" w:name="_Ref208927243"/>
      <w:r w:rsidRPr="00E5711D">
        <w:t xml:space="preserve">Third, in the 1.88 </w:t>
      </w:r>
      <w:r w:rsidRPr="00E5711D" w:rsidR="00570641">
        <w:t xml:space="preserve">Letter </w:t>
      </w:r>
      <w:r w:rsidRPr="00E5711D">
        <w:t>Response</w:t>
      </w:r>
      <w:r w:rsidRPr="00E5711D" w:rsidR="0BFBC9E1">
        <w:t>,</w:t>
      </w:r>
      <w:r w:rsidRPr="00E5711D">
        <w:t xml:space="preserve"> Rygaard makes no reference </w:t>
      </w:r>
      <w:r w:rsidRPr="00E5711D" w:rsidR="00805F5B">
        <w:t xml:space="preserve">whatsoever </w:t>
      </w:r>
      <w:r w:rsidRPr="00E5711D">
        <w:t xml:space="preserve">to control of the </w:t>
      </w:r>
      <w:r w:rsidRPr="00E5711D">
        <w:t>Stations’ finances</w:t>
      </w:r>
      <w:r w:rsidRPr="00E5711D">
        <w:t xml:space="preserve"> and </w:t>
      </w:r>
      <w:r w:rsidRPr="00E5711D" w:rsidR="00D03AF1">
        <w:t>provides no evidence</w:t>
      </w:r>
      <w:r w:rsidRPr="00E5711D">
        <w:t xml:space="preserve"> that she is in control of the same</w:t>
      </w:r>
      <w:r w:rsidRPr="00E5711D">
        <w:rPr>
          <w:szCs w:val="22"/>
        </w:rPr>
        <w:t xml:space="preserve">.  </w:t>
      </w:r>
      <w:r w:rsidRPr="00E5711D">
        <w:t xml:space="preserve">Moreover, the 1.88 </w:t>
      </w:r>
      <w:r w:rsidRPr="00E5711D" w:rsidR="00706BD2">
        <w:t xml:space="preserve">Letter </w:t>
      </w:r>
      <w:r w:rsidRPr="00E5711D">
        <w:t>Response is conspicuously devoid of any financial documentation showing that the Licensee is involved in the operation of the Stations, such as lease payments</w:t>
      </w:r>
      <w:r w:rsidRPr="00E5711D" w:rsidR="00805F5B">
        <w:t xml:space="preserve"> made by the Licensee</w:t>
      </w:r>
      <w:r w:rsidRPr="00E5711D">
        <w:t>, employee payroll, payments for programming or station services, or financial documents of any kind.  Rygaard does not provide any records reflecting that she or 97.5 Licensee paid any Station invoices, such as cancelled checks or bank records.  She also fails to provide any documentation reflecting who pays any of the Stations’ other costs and expenses, including</w:t>
      </w:r>
      <w:r w:rsidRPr="00E5711D" w:rsidR="23257C11">
        <w:t>,</w:t>
      </w:r>
      <w:r w:rsidRPr="00E5711D">
        <w:t xml:space="preserve"> but not limited to</w:t>
      </w:r>
      <w:r w:rsidRPr="00E5711D" w:rsidR="3BC8B1DB">
        <w:t>,</w:t>
      </w:r>
      <w:r w:rsidRPr="00E5711D">
        <w:t xml:space="preserve"> real estate and business taxes, telephone service, utilities, tower</w:t>
      </w:r>
      <w:r w:rsidR="00382137">
        <w:t xml:space="preserve"> or </w:t>
      </w:r>
      <w:r w:rsidRPr="00E5711D">
        <w:t>broadcast equipment</w:t>
      </w:r>
      <w:r w:rsidR="00382137">
        <w:t xml:space="preserve"> leases</w:t>
      </w:r>
      <w:r w:rsidRPr="00E5711D">
        <w:t xml:space="preserve">, insurance, and programming.  Nor does she provide any documents related to revenue generated from her ownership of the Stations, or any tax obligations therefrom that would necessitate the filing of Federal or state tax returns.  In fact, the </w:t>
      </w:r>
      <w:r w:rsidR="00382137">
        <w:t>only</w:t>
      </w:r>
      <w:r w:rsidRPr="00E5711D">
        <w:t xml:space="preserve"> documents provided as part of the 1.88 </w:t>
      </w:r>
      <w:r w:rsidRPr="00E5711D" w:rsidR="00A27514">
        <w:t xml:space="preserve">Letter </w:t>
      </w:r>
      <w:r w:rsidRPr="00E5711D">
        <w:t xml:space="preserve">Response appear to be </w:t>
      </w:r>
      <w:r w:rsidRPr="00E5711D" w:rsidR="00E23C59">
        <w:t xml:space="preserve">a record of </w:t>
      </w:r>
      <w:r w:rsidRPr="00E5711D">
        <w:t>payments from Pro Radio to 97.5 Holdings and a payroll report</w:t>
      </w:r>
      <w:r w:rsidRPr="00E5711D" w:rsidR="00805F5B">
        <w:t xml:space="preserve"> </w:t>
      </w:r>
      <w:r w:rsidRPr="00E5711D">
        <w:t xml:space="preserve">showing that that </w:t>
      </w:r>
      <w:r w:rsidRPr="00E5711D" w:rsidR="00B42C11">
        <w:t xml:space="preserve">Pro Radio </w:t>
      </w:r>
      <w:r w:rsidRPr="00E5711D">
        <w:t xml:space="preserve">made payments to </w:t>
      </w:r>
      <w:r w:rsidRPr="00E5711D" w:rsidR="00651D3B">
        <w:t xml:space="preserve">Cynthia </w:t>
      </w:r>
      <w:r w:rsidRPr="00E5711D">
        <w:t>Denise Johnson</w:t>
      </w:r>
      <w:r w:rsidRPr="00E5711D">
        <w:rPr>
          <w:szCs w:val="22"/>
        </w:rPr>
        <w:t xml:space="preserve">, </w:t>
      </w:r>
      <w:r w:rsidRPr="00E5711D" w:rsidR="00E255BC">
        <w:t>the Business Manager of Pro Radio,</w:t>
      </w:r>
      <w:r>
        <w:rPr>
          <w:rStyle w:val="FootnoteReference"/>
          <w:szCs w:val="22"/>
        </w:rPr>
        <w:footnoteReference w:id="118"/>
      </w:r>
      <w:r w:rsidRPr="00E5711D" w:rsidR="00E255BC">
        <w:t xml:space="preserve"> </w:t>
      </w:r>
      <w:r w:rsidRPr="00E5711D">
        <w:t>about whom the Bureau inquired in the LOI and the 1.88 Letter.</w:t>
      </w:r>
      <w:r>
        <w:rPr>
          <w:rStyle w:val="FootnoteReference"/>
        </w:rPr>
        <w:footnoteReference w:id="119"/>
      </w:r>
      <w:r w:rsidRPr="00E5711D">
        <w:rPr>
          <w:szCs w:val="22"/>
        </w:rPr>
        <w:t xml:space="preserve">  </w:t>
      </w:r>
      <w:r w:rsidRPr="00E5711D" w:rsidR="007E52CA">
        <w:t xml:space="preserve">Based on the complete lack of evidence in response to multiple requests, </w:t>
      </w:r>
      <w:r w:rsidRPr="00E5711D">
        <w:t>there are substantial and material questions of fact as to who controls the Stations’ financial obligations and payments.</w:t>
      </w:r>
      <w:bookmarkEnd w:id="138"/>
    </w:p>
    <w:p w:rsidR="004727FB" w:rsidRPr="00E5711D" w:rsidP="004727FB" w14:paraId="5665006C" w14:textId="2C0B73B9">
      <w:pPr>
        <w:pStyle w:val="ParaNum"/>
        <w:widowControl/>
      </w:pPr>
      <w:r w:rsidRPr="00E5711D">
        <w:rPr>
          <w:i/>
        </w:rPr>
        <w:t xml:space="preserve">Circumstantial </w:t>
      </w:r>
      <w:r w:rsidRPr="00E5711D" w:rsidR="008A78E1">
        <w:rPr>
          <w:i/>
        </w:rPr>
        <w:t>Evidence of Control</w:t>
      </w:r>
      <w:r w:rsidRPr="00E5711D" w:rsidR="003C2135">
        <w:t>.</w:t>
      </w:r>
      <w:r w:rsidRPr="00E5711D" w:rsidR="00FE466F">
        <w:t xml:space="preserve">  </w:t>
      </w:r>
      <w:r w:rsidRPr="00E5711D" w:rsidR="00444CD3">
        <w:t xml:space="preserve">While the record is </w:t>
      </w:r>
      <w:r w:rsidRPr="00E5711D" w:rsidR="00570641">
        <w:t xml:space="preserve">severely </w:t>
      </w:r>
      <w:r w:rsidRPr="00E5711D" w:rsidR="008A78E1">
        <w:t>lacking in</w:t>
      </w:r>
      <w:r w:rsidRPr="00E5711D" w:rsidR="00444CD3">
        <w:t xml:space="preserve"> </w:t>
      </w:r>
      <w:r w:rsidRPr="00E5711D" w:rsidR="00570641">
        <w:t xml:space="preserve">any </w:t>
      </w:r>
      <w:r w:rsidRPr="00E5711D" w:rsidR="00444CD3">
        <w:t xml:space="preserve">evidence to support the assertion that Rygaard has maintained control of the policies </w:t>
      </w:r>
      <w:r w:rsidRPr="00E5711D">
        <w:t xml:space="preserve">and </w:t>
      </w:r>
      <w:r w:rsidRPr="00E5711D" w:rsidR="00094638">
        <w:t>decision-making</w:t>
      </w:r>
      <w:r w:rsidRPr="00E5711D">
        <w:t xml:space="preserve"> </w:t>
      </w:r>
      <w:r w:rsidRPr="00E5711D" w:rsidR="00444CD3">
        <w:t>related to programming, personnel, and finances</w:t>
      </w:r>
      <w:r w:rsidRPr="00E5711D">
        <w:t xml:space="preserve"> of the Stations</w:t>
      </w:r>
      <w:r w:rsidRPr="00E5711D" w:rsidR="008A78E1">
        <w:t>,</w:t>
      </w:r>
      <w:r w:rsidRPr="00E5711D">
        <w:t xml:space="preserve"> it </w:t>
      </w:r>
      <w:r w:rsidRPr="00E5711D" w:rsidR="008A78E1">
        <w:t xml:space="preserve">contains </w:t>
      </w:r>
      <w:r w:rsidRPr="00E5711D" w:rsidR="00570641">
        <w:t xml:space="preserve">significant </w:t>
      </w:r>
      <w:r w:rsidRPr="00E5711D" w:rsidR="00094831">
        <w:t>evidence</w:t>
      </w:r>
      <w:r w:rsidRPr="00E5711D" w:rsidR="008A78E1">
        <w:t xml:space="preserve"> </w:t>
      </w:r>
      <w:r w:rsidRPr="00E5711D" w:rsidR="008F7B55">
        <w:t>suggesting</w:t>
      </w:r>
      <w:r w:rsidRPr="00E5711D" w:rsidR="008A78E1">
        <w:t xml:space="preserve"> that </w:t>
      </w:r>
      <w:r w:rsidR="00382137">
        <w:t xml:space="preserve">Pro Radio and/or </w:t>
      </w:r>
      <w:r w:rsidRPr="00E5711D" w:rsidR="008A78E1">
        <w:t xml:space="preserve">Toscano has exercised </w:t>
      </w:r>
      <w:r w:rsidRPr="00E5711D" w:rsidR="008A78E1">
        <w:rPr>
          <w:i/>
        </w:rPr>
        <w:t>de facto</w:t>
      </w:r>
      <w:r w:rsidRPr="00E5711D" w:rsidR="008A78E1">
        <w:t xml:space="preserve"> control</w:t>
      </w:r>
      <w:r w:rsidRPr="00E5711D">
        <w:t xml:space="preserve"> </w:t>
      </w:r>
      <w:r w:rsidRPr="00E5711D" w:rsidR="008A78E1">
        <w:t>of the Stations</w:t>
      </w:r>
      <w:r w:rsidRPr="00E5711D" w:rsidR="00151F55">
        <w:t xml:space="preserve"> through </w:t>
      </w:r>
      <w:r w:rsidR="00382137">
        <w:t>Pro Radio’s</w:t>
      </w:r>
      <w:r w:rsidRPr="00E5711D" w:rsidR="00151F55">
        <w:t xml:space="preserve"> provision of </w:t>
      </w:r>
      <w:r w:rsidRPr="00132C5F" w:rsidR="00151F55">
        <w:t xml:space="preserve">100% of the Stations’ programming and employment of the ostensible station owner, among other things.  </w:t>
      </w:r>
      <w:r w:rsidRPr="00132C5F" w:rsidR="00D17897">
        <w:t>Such evidence</w:t>
      </w:r>
      <w:r w:rsidRPr="00132C5F" w:rsidR="00132C5F">
        <w:t>,</w:t>
      </w:r>
      <w:r w:rsidRPr="00132C5F" w:rsidR="00D17897">
        <w:t xml:space="preserve"> c</w:t>
      </w:r>
      <w:r w:rsidRPr="00132C5F" w:rsidR="00151F55">
        <w:t>ombined with Rygaard’s nominal purchase price</w:t>
      </w:r>
      <w:r w:rsidRPr="00132C5F" w:rsidR="00562CC5">
        <w:t xml:space="preserve"> </w:t>
      </w:r>
      <w:r w:rsidRPr="00132C5F" w:rsidR="00F66FAB">
        <w:t xml:space="preserve">of the Stations </w:t>
      </w:r>
      <w:r w:rsidRPr="00132C5F" w:rsidR="00562CC5">
        <w:t xml:space="preserve">in </w:t>
      </w:r>
      <w:r w:rsidRPr="00132C5F" w:rsidR="00602989">
        <w:t>2021</w:t>
      </w:r>
      <w:r w:rsidR="00076721">
        <w:t>,</w:t>
      </w:r>
      <w:r w:rsidRPr="00132C5F" w:rsidR="00151F55">
        <w:t xml:space="preserve"> </w:t>
      </w:r>
      <w:r w:rsidRPr="00132C5F" w:rsidR="001028CB">
        <w:t xml:space="preserve">which occurred </w:t>
      </w:r>
      <w:r w:rsidRPr="00132C5F" w:rsidR="001028CB">
        <w:t xml:space="preserve">at the same time that </w:t>
      </w:r>
      <w:r w:rsidRPr="00132C5F" w:rsidR="00151F55">
        <w:t>Toscano</w:t>
      </w:r>
      <w:r w:rsidRPr="00132C5F" w:rsidR="00382137">
        <w:t xml:space="preserve"> acqui</w:t>
      </w:r>
      <w:r w:rsidRPr="00132C5F" w:rsidR="00F66FAB">
        <w:t>red</w:t>
      </w:r>
      <w:r w:rsidRPr="00132C5F" w:rsidR="00382137">
        <w:t xml:space="preserve"> the </w:t>
      </w:r>
      <w:r w:rsidRPr="00132C5F" w:rsidR="00E132CC">
        <w:t>right</w:t>
      </w:r>
      <w:r w:rsidR="00E132CC">
        <w:t xml:space="preserve"> to collect the outstanding </w:t>
      </w:r>
      <w:r w:rsidR="00382137">
        <w:t>multi-</w:t>
      </w:r>
      <w:r w:rsidR="00BF2FCD">
        <w:t>million-dollar</w:t>
      </w:r>
      <w:r w:rsidR="00382137">
        <w:t xml:space="preserve"> </w:t>
      </w:r>
      <w:r w:rsidR="00E132CC">
        <w:t>debt owed by 97.5 Holdings</w:t>
      </w:r>
      <w:r w:rsidR="00382137">
        <w:t>,</w:t>
      </w:r>
      <w:r>
        <w:rPr>
          <w:rStyle w:val="FootnoteReference"/>
        </w:rPr>
        <w:footnoteReference w:id="120"/>
      </w:r>
      <w:r w:rsidR="00132C5F">
        <w:t xml:space="preserve"> leads us to </w:t>
      </w:r>
      <w:r w:rsidRPr="00E5711D" w:rsidR="00651D3B">
        <w:t xml:space="preserve">find that </w:t>
      </w:r>
      <w:r w:rsidRPr="00E5711D" w:rsidR="00151F55">
        <w:t xml:space="preserve">substantial and material questions exist that </w:t>
      </w:r>
      <w:r w:rsidRPr="00E5711D" w:rsidR="00A3230B">
        <w:t xml:space="preserve">require </w:t>
      </w:r>
      <w:r w:rsidRPr="00E5711D" w:rsidR="00151F55">
        <w:t>exploration at hearing</w:t>
      </w:r>
      <w:r w:rsidR="002E1466">
        <w:t xml:space="preserve"> as set forth below</w:t>
      </w:r>
      <w:r w:rsidRPr="00E5711D" w:rsidR="00151F55">
        <w:t>.</w:t>
      </w:r>
    </w:p>
    <w:p w:rsidR="003910F2" w:rsidRPr="00E5711D" w:rsidP="004D7DE3" w14:paraId="38642222" w14:textId="5C728DBD">
      <w:pPr>
        <w:pStyle w:val="ParaNum"/>
        <w:widowControl/>
      </w:pPr>
      <w:r>
        <w:t>Pro Radio</w:t>
      </w:r>
      <w:r w:rsidR="00515DA9">
        <w:t>—a</w:t>
      </w:r>
      <w:r>
        <w:t xml:space="preserve"> company </w:t>
      </w:r>
      <w:r w:rsidR="00382137">
        <w:t>ultimately</w:t>
      </w:r>
      <w:r>
        <w:t xml:space="preserve"> owned by </w:t>
      </w:r>
      <w:r w:rsidR="00515DA9">
        <w:t>the Transferee</w:t>
      </w:r>
      <w:r>
        <w:t xml:space="preserve"> and her sisters—h</w:t>
      </w:r>
      <w:r w:rsidRPr="00E5711D" w:rsidR="009D6987">
        <w:t xml:space="preserve">as </w:t>
      </w:r>
      <w:r w:rsidRPr="00E5711D" w:rsidR="00085AF6">
        <w:t xml:space="preserve">apparently </w:t>
      </w:r>
      <w:r w:rsidRPr="00E5711D" w:rsidR="009D6987">
        <w:t xml:space="preserve">been programming </w:t>
      </w:r>
      <w:r w:rsidRPr="00E5711D" w:rsidR="00DF732E">
        <w:t xml:space="preserve">the Stations and selling </w:t>
      </w:r>
      <w:r w:rsidRPr="00E5711D" w:rsidR="00085AF6">
        <w:t xml:space="preserve">the </w:t>
      </w:r>
      <w:r w:rsidRPr="00E5711D" w:rsidR="009D6987">
        <w:t xml:space="preserve">advertising </w:t>
      </w:r>
      <w:r w:rsidRPr="00E5711D" w:rsidR="00DF732E">
        <w:t>time for</w:t>
      </w:r>
      <w:r w:rsidRPr="00E5711D" w:rsidR="009D6987">
        <w:t xml:space="preserve"> several years</w:t>
      </w:r>
      <w:r w:rsidRPr="00E5711D" w:rsidR="00364D73">
        <w:t xml:space="preserve"> with no written evidence that Rygaard </w:t>
      </w:r>
      <w:r w:rsidRPr="00E5711D" w:rsidR="00602989">
        <w:t>implemented</w:t>
      </w:r>
      <w:r w:rsidRPr="00E5711D" w:rsidR="00364D73">
        <w:t xml:space="preserve"> contractual arrangements to retain control</w:t>
      </w:r>
      <w:r w:rsidR="00382137">
        <w:t xml:space="preserve"> of the Stations</w:t>
      </w:r>
      <w:r w:rsidRPr="00E5711D" w:rsidR="009D6987">
        <w:rPr>
          <w:szCs w:val="22"/>
        </w:rPr>
        <w:t xml:space="preserve">.  </w:t>
      </w:r>
      <w:r w:rsidRPr="00E5711D" w:rsidR="00B0359A">
        <w:t xml:space="preserve">In response to the </w:t>
      </w:r>
      <w:r w:rsidRPr="00E5711D" w:rsidR="00DF732E">
        <w:t>B</w:t>
      </w:r>
      <w:r w:rsidRPr="00E5711D" w:rsidR="00B0359A">
        <w:t xml:space="preserve">ureau’s </w:t>
      </w:r>
      <w:r w:rsidRPr="00E5711D" w:rsidR="00E23C59">
        <w:t xml:space="preserve">repeated </w:t>
      </w:r>
      <w:r w:rsidRPr="00E5711D" w:rsidR="00B0359A">
        <w:t xml:space="preserve">inquiries, </w:t>
      </w:r>
      <w:r w:rsidRPr="00E5711D" w:rsidR="00C65C90">
        <w:t xml:space="preserve">the Parties </w:t>
      </w:r>
      <w:r w:rsidRPr="00E5711D" w:rsidR="0009026F">
        <w:t xml:space="preserve">finally </w:t>
      </w:r>
      <w:r w:rsidRPr="00E5711D" w:rsidR="00AE1104">
        <w:t xml:space="preserve">revealed </w:t>
      </w:r>
      <w:r>
        <w:t xml:space="preserve">Pro </w:t>
      </w:r>
      <w:r w:rsidRPr="00132C5F">
        <w:t>Radio</w:t>
      </w:r>
      <w:r w:rsidRPr="00132C5F" w:rsidR="00AE1104">
        <w:t>’s involvement</w:t>
      </w:r>
      <w:r>
        <w:rPr>
          <w:rStyle w:val="FootnoteReference"/>
        </w:rPr>
        <w:footnoteReference w:id="121"/>
      </w:r>
      <w:r w:rsidRPr="00132C5F" w:rsidR="0009026F">
        <w:rPr>
          <w:szCs w:val="22"/>
        </w:rPr>
        <w:t xml:space="preserve"> </w:t>
      </w:r>
      <w:r w:rsidRPr="00132C5F" w:rsidR="00C65C90">
        <w:t xml:space="preserve">and </w:t>
      </w:r>
      <w:r w:rsidRPr="00132C5F" w:rsidR="00132C5F">
        <w:rPr>
          <w:szCs w:val="22"/>
        </w:rPr>
        <w:t xml:space="preserve">in November 2024 </w:t>
      </w:r>
      <w:r w:rsidRPr="00132C5F" w:rsidR="00713A98">
        <w:t>drafted an agreement</w:t>
      </w:r>
      <w:r w:rsidRPr="00132C5F" w:rsidR="0009026F">
        <w:rPr>
          <w:szCs w:val="22"/>
        </w:rPr>
        <w:t xml:space="preserve"> </w:t>
      </w:r>
      <w:r w:rsidRPr="00132C5F" w:rsidR="004A0500">
        <w:rPr>
          <w:szCs w:val="22"/>
        </w:rPr>
        <w:t xml:space="preserve">that </w:t>
      </w:r>
      <w:r w:rsidRPr="00132C5F" w:rsidR="00AE1104">
        <w:t>purport</w:t>
      </w:r>
      <w:r w:rsidRPr="00132C5F" w:rsidR="004A0500">
        <w:t>ed</w:t>
      </w:r>
      <w:r w:rsidRPr="00132C5F" w:rsidR="00AE1104">
        <w:t xml:space="preserve"> to </w:t>
      </w:r>
      <w:r w:rsidRPr="00132C5F" w:rsidR="0009026F">
        <w:t>cover the arrang</w:t>
      </w:r>
      <w:r w:rsidRPr="00132C5F" w:rsidR="00390CBE">
        <w:t>e</w:t>
      </w:r>
      <w:r w:rsidRPr="00132C5F" w:rsidR="0009026F">
        <w:t>ment</w:t>
      </w:r>
      <w:r w:rsidRPr="00132C5F" w:rsidR="004A0500">
        <w:t xml:space="preserve"> that </w:t>
      </w:r>
      <w:r w:rsidRPr="00132C5F" w:rsidR="00132C5F">
        <w:t xml:space="preserve">it claims </w:t>
      </w:r>
      <w:r w:rsidRPr="00132C5F" w:rsidR="006549FF">
        <w:t xml:space="preserve">began </w:t>
      </w:r>
      <w:r w:rsidRPr="00132C5F" w:rsidR="00445E86">
        <w:t xml:space="preserve">in </w:t>
      </w:r>
      <w:r w:rsidRPr="00132C5F" w:rsidR="006549FF">
        <w:t>2022</w:t>
      </w:r>
      <w:r w:rsidRPr="00132C5F" w:rsidR="00C65C90">
        <w:t>.</w:t>
      </w:r>
      <w:r>
        <w:rPr>
          <w:rStyle w:val="FootnoteReference"/>
        </w:rPr>
        <w:footnoteReference w:id="122"/>
      </w:r>
      <w:r w:rsidRPr="00132C5F" w:rsidR="00C65C90">
        <w:t xml:space="preserve">  Initially, </w:t>
      </w:r>
      <w:r w:rsidRPr="00132C5F" w:rsidR="00390CBE">
        <w:t xml:space="preserve">however, </w:t>
      </w:r>
      <w:r w:rsidRPr="00132C5F" w:rsidR="00B0359A">
        <w:t>the Parties stated that Pro Radio had</w:t>
      </w:r>
      <w:r w:rsidRPr="00132C5F" w:rsidR="00627A27">
        <w:t xml:space="preserve"> been</w:t>
      </w:r>
      <w:r w:rsidRPr="00132C5F" w:rsidR="009C1551">
        <w:t xml:space="preserve"> programming substantially all of the time on the Stations seven days a week since November 2021</w:t>
      </w:r>
      <w:r w:rsidR="005E55BB">
        <w:t>.</w:t>
      </w:r>
      <w:r>
        <w:rPr>
          <w:rStyle w:val="FootnoteReference"/>
        </w:rPr>
        <w:footnoteReference w:id="123"/>
      </w:r>
      <w:r w:rsidR="005E55BB">
        <w:t xml:space="preserve">  Notably</w:t>
      </w:r>
      <w:r w:rsidR="003025D3">
        <w:t>,</w:t>
      </w:r>
      <w:r w:rsidR="005E55BB">
        <w:t xml:space="preserve"> that timing coincides with the execution of the </w:t>
      </w:r>
      <w:r w:rsidRPr="005F14AF" w:rsidR="005F14AF">
        <w:t xml:space="preserve">Assignment of Debt Rights Agreement </w:t>
      </w:r>
      <w:r w:rsidR="003025D3">
        <w:t>(</w:t>
      </w:r>
      <w:r w:rsidR="005E55BB">
        <w:t>assigning the right to collect 97.5 Holding’s outstanding $2.5 million USD debt to Toscano</w:t>
      </w:r>
      <w:r w:rsidR="003025D3">
        <w:t>)</w:t>
      </w:r>
      <w:r w:rsidR="005E55BB">
        <w:t xml:space="preserve"> and the stock purchase agreement to transfer control of the Stations to Rygaard, but </w:t>
      </w:r>
      <w:r w:rsidRPr="00E5711D" w:rsidR="00DF732E">
        <w:t xml:space="preserve">predates </w:t>
      </w:r>
      <w:r w:rsidR="005E55BB">
        <w:t xml:space="preserve">the Commission’s approval of </w:t>
      </w:r>
      <w:r w:rsidRPr="00E5711D" w:rsidR="00B0359A">
        <w:t>Rygaard</w:t>
      </w:r>
      <w:r w:rsidR="005E55BB">
        <w:t>’s acquisition of the Stations, which did not come until</w:t>
      </w:r>
      <w:r w:rsidRPr="00E5711D" w:rsidR="00B0359A">
        <w:t xml:space="preserve"> May 2022</w:t>
      </w:r>
      <w:r w:rsidRPr="00E5711D" w:rsidR="009D6987">
        <w:rPr>
          <w:szCs w:val="22"/>
        </w:rPr>
        <w:t>.</w:t>
      </w:r>
      <w:bookmarkStart w:id="141" w:name="_Hlk199776666"/>
      <w:r>
        <w:rPr>
          <w:rStyle w:val="FootnoteReference"/>
        </w:rPr>
        <w:footnoteReference w:id="124"/>
      </w:r>
      <w:bookmarkEnd w:id="141"/>
      <w:r w:rsidRPr="00E5711D" w:rsidR="009C1551">
        <w:rPr>
          <w:szCs w:val="22"/>
        </w:rPr>
        <w:t xml:space="preserve"> </w:t>
      </w:r>
      <w:r w:rsidRPr="00E5711D" w:rsidR="009D6987">
        <w:rPr>
          <w:szCs w:val="22"/>
        </w:rPr>
        <w:t xml:space="preserve"> </w:t>
      </w:r>
      <w:r w:rsidRPr="00E5711D" w:rsidR="00085AF6">
        <w:t xml:space="preserve">When the Bureau pointed out in its </w:t>
      </w:r>
      <w:r w:rsidRPr="00E5711D" w:rsidR="00562CC5">
        <w:t xml:space="preserve">subsequent </w:t>
      </w:r>
      <w:r w:rsidRPr="00E5711D" w:rsidR="00085AF6">
        <w:t xml:space="preserve">1.88 Letter that </w:t>
      </w:r>
      <w:r w:rsidRPr="00E5711D" w:rsidR="00E23C59">
        <w:t xml:space="preserve">the </w:t>
      </w:r>
      <w:r w:rsidRPr="00E5711D" w:rsidR="00085AF6">
        <w:t xml:space="preserve">LOI Response </w:t>
      </w:r>
      <w:r w:rsidR="003025D3">
        <w:t xml:space="preserve">seemed to </w:t>
      </w:r>
      <w:r w:rsidRPr="00E5711D" w:rsidR="00E23C59">
        <w:t xml:space="preserve">indicate that </w:t>
      </w:r>
      <w:r w:rsidRPr="00E5711D" w:rsidR="00085AF6">
        <w:t xml:space="preserve">Pro Radio was not </w:t>
      </w:r>
      <w:r w:rsidR="003025D3">
        <w:t xml:space="preserve">even </w:t>
      </w:r>
      <w:r w:rsidRPr="00E5711D" w:rsidR="00085AF6">
        <w:t>formed under the laws of Texas until August 11, 2022,</w:t>
      </w:r>
      <w:r w:rsidRPr="00E5711D" w:rsidR="00562CC5">
        <w:rPr>
          <w:szCs w:val="22"/>
        </w:rPr>
        <w:t xml:space="preserve"> </w:t>
      </w:r>
      <w:r w:rsidRPr="00E5711D" w:rsidR="00085AF6">
        <w:t xml:space="preserve">the Parties revised </w:t>
      </w:r>
      <w:r w:rsidRPr="00E5711D" w:rsidR="00562CC5">
        <w:t xml:space="preserve">their </w:t>
      </w:r>
      <w:r w:rsidRPr="00E5711D" w:rsidR="00651D3B">
        <w:t>response</w:t>
      </w:r>
      <w:r w:rsidRPr="00E5711D" w:rsidR="00E23C59">
        <w:t xml:space="preserve"> to say that the programming agreement </w:t>
      </w:r>
      <w:r w:rsidR="00515DA9">
        <w:t xml:space="preserve">actually </w:t>
      </w:r>
      <w:r w:rsidRPr="00E5711D" w:rsidR="00E23C59">
        <w:t>commenced after Rygaard’s acquisition</w:t>
      </w:r>
      <w:r w:rsidR="00515DA9">
        <w:t xml:space="preserve"> and </w:t>
      </w:r>
      <w:r w:rsidRPr="00515DA9" w:rsidR="00515DA9">
        <w:rPr>
          <w:i/>
          <w:iCs/>
        </w:rPr>
        <w:t>not</w:t>
      </w:r>
      <w:r w:rsidR="00515DA9">
        <w:t xml:space="preserve"> in November 2021</w:t>
      </w:r>
      <w:r w:rsidRPr="00E5711D" w:rsidR="00085AF6">
        <w:t>.</w:t>
      </w:r>
      <w:r>
        <w:rPr>
          <w:rStyle w:val="FootnoteReference"/>
        </w:rPr>
        <w:footnoteReference w:id="125"/>
      </w:r>
      <w:r w:rsidR="00515DA9">
        <w:t xml:space="preserve"> </w:t>
      </w:r>
      <w:r w:rsidRPr="00E5711D" w:rsidR="00085AF6">
        <w:t xml:space="preserve"> Calling the </w:t>
      </w:r>
      <w:r w:rsidRPr="00E5711D" w:rsidR="00C8297F">
        <w:t>discrepancy</w:t>
      </w:r>
      <w:r w:rsidRPr="00E5711D" w:rsidR="00085AF6">
        <w:rPr>
          <w:szCs w:val="22"/>
        </w:rPr>
        <w:t xml:space="preserve"> </w:t>
      </w:r>
      <w:r w:rsidRPr="00E5711D" w:rsidR="00085AF6">
        <w:t>“merely a typographical error</w:t>
      </w:r>
      <w:r w:rsidRPr="00E5711D" w:rsidR="00085AF6">
        <w:rPr>
          <w:szCs w:val="22"/>
        </w:rPr>
        <w:t>,”</w:t>
      </w:r>
      <w:r w:rsidRPr="00E5711D" w:rsidR="00085AF6">
        <w:t xml:space="preserve"> the Parties </w:t>
      </w:r>
      <w:r w:rsidRPr="00E5711D" w:rsidR="00653D4D">
        <w:t>revised their answer</w:t>
      </w:r>
      <w:r w:rsidR="00515DA9">
        <w:t xml:space="preserve"> to claim </w:t>
      </w:r>
      <w:r w:rsidRPr="00E5711D" w:rsidR="00085AF6">
        <w:t xml:space="preserve">that Pro Radio began programming the </w:t>
      </w:r>
      <w:r w:rsidRPr="008C2D15" w:rsidR="00085AF6">
        <w:t>Stations in December 2022</w:t>
      </w:r>
      <w:r w:rsidRPr="008C2D15" w:rsidR="00C8297F">
        <w:rPr>
          <w:szCs w:val="22"/>
        </w:rPr>
        <w:t>.</w:t>
      </w:r>
      <w:r>
        <w:rPr>
          <w:rStyle w:val="FootnoteReference"/>
        </w:rPr>
        <w:footnoteReference w:id="126"/>
      </w:r>
      <w:r w:rsidRPr="008C2D15" w:rsidR="00B0359A">
        <w:rPr>
          <w:szCs w:val="22"/>
        </w:rPr>
        <w:t xml:space="preserve"> </w:t>
      </w:r>
      <w:r w:rsidRPr="008C2D15" w:rsidR="000B36E8">
        <w:rPr>
          <w:szCs w:val="22"/>
        </w:rPr>
        <w:t xml:space="preserve"> </w:t>
      </w:r>
      <w:r w:rsidRPr="008C2D15" w:rsidR="00DE57E4">
        <w:t>This change in position</w:t>
      </w:r>
      <w:r w:rsidRPr="008C2D15" w:rsidR="00515DA9">
        <w:t>,</w:t>
      </w:r>
      <w:r w:rsidRPr="008C2D15" w:rsidR="00DE57E4">
        <w:t xml:space="preserve"> when combined with the absence of any </w:t>
      </w:r>
      <w:r w:rsidRPr="008C2D15" w:rsidR="00445E86">
        <w:t>contemporaneous</w:t>
      </w:r>
      <w:r w:rsidR="00445E86">
        <w:t xml:space="preserve"> </w:t>
      </w:r>
      <w:r w:rsidRPr="00E5711D" w:rsidR="00DE57E4">
        <w:t>written agreement</w:t>
      </w:r>
      <w:r w:rsidR="00515DA9">
        <w:t>,</w:t>
      </w:r>
      <w:r w:rsidRPr="00E5711D" w:rsidR="00DE57E4">
        <w:t xml:space="preserve"> </w:t>
      </w:r>
      <w:r w:rsidRPr="00E5711D" w:rsidR="00512897">
        <w:t>suggests</w:t>
      </w:r>
      <w:r w:rsidR="003025D3">
        <w:t xml:space="preserve"> </w:t>
      </w:r>
      <w:r w:rsidRPr="00E5711D" w:rsidR="00DE57E4">
        <w:t xml:space="preserve">that the Parties were fabricating a story to </w:t>
      </w:r>
      <w:r w:rsidRPr="00E5711D" w:rsidR="0033740C">
        <w:t xml:space="preserve">obfuscate </w:t>
      </w:r>
      <w:r w:rsidR="00515DA9">
        <w:t>an</w:t>
      </w:r>
      <w:r w:rsidRPr="00E5711D" w:rsidR="0033740C">
        <w:t xml:space="preserve"> unauthorized transfer of control.</w:t>
      </w:r>
    </w:p>
    <w:p w:rsidR="004D7DE3" w:rsidRPr="00E5711D" w:rsidP="004D7DE3" w14:paraId="1EF5B249" w14:textId="09538CAF">
      <w:pPr>
        <w:pStyle w:val="ParaNum"/>
        <w:widowControl/>
      </w:pPr>
      <w:r w:rsidRPr="00E5711D">
        <w:t xml:space="preserve">Regardless of </w:t>
      </w:r>
      <w:r w:rsidRPr="00E5711D" w:rsidR="00E21CBD">
        <w:t xml:space="preserve">when the Parties claim </w:t>
      </w:r>
      <w:r w:rsidRPr="00E5711D">
        <w:t xml:space="preserve">the arrangement began, it is clear that </w:t>
      </w:r>
      <w:r w:rsidRPr="00E5711D" w:rsidR="00390CBE">
        <w:t>no</w:t>
      </w:r>
      <w:r w:rsidRPr="00E5711D">
        <w:t xml:space="preserve"> </w:t>
      </w:r>
      <w:r w:rsidRPr="00E5711D" w:rsidR="00B0359A">
        <w:t>document</w:t>
      </w:r>
      <w:r w:rsidRPr="00E5711D" w:rsidR="00390CBE">
        <w:t>ation of</w:t>
      </w:r>
      <w:r w:rsidRPr="00E5711D">
        <w:t xml:space="preserve"> the programming agreement</w:t>
      </w:r>
      <w:r w:rsidRPr="00E5711D" w:rsidR="00390CBE">
        <w:t xml:space="preserve"> existed prior to the Bureau’s inquiries</w:t>
      </w:r>
      <w:r w:rsidRPr="00E5711D" w:rsidR="00B0359A">
        <w:t>.</w:t>
      </w:r>
      <w:r w:rsidRPr="00E5711D" w:rsidR="00562CC5">
        <w:t xml:space="preserve">  </w:t>
      </w:r>
      <w:r w:rsidR="00076721">
        <w:t>T</w:t>
      </w:r>
      <w:r w:rsidRPr="00E5711D" w:rsidR="004158AF">
        <w:t xml:space="preserve">he fact that </w:t>
      </w:r>
      <w:r w:rsidRPr="00E5711D" w:rsidR="00C23C7A">
        <w:t xml:space="preserve">Pro Radio, </w:t>
      </w:r>
      <w:r w:rsidR="00B6010F">
        <w:t xml:space="preserve">ultimately </w:t>
      </w:r>
      <w:r w:rsidRPr="00E5711D" w:rsidR="00C23C7A">
        <w:t>owned</w:t>
      </w:r>
      <w:r w:rsidR="00635F90">
        <w:t xml:space="preserve"> by</w:t>
      </w:r>
      <w:r w:rsidRPr="00E5711D" w:rsidR="00C23C7A">
        <w:t xml:space="preserve"> </w:t>
      </w:r>
      <w:r w:rsidR="00382137">
        <w:t xml:space="preserve">the </w:t>
      </w:r>
      <w:r w:rsidRPr="00E5711D" w:rsidR="00C23C7A">
        <w:t>Transferee</w:t>
      </w:r>
      <w:r w:rsidRPr="00E5711D" w:rsidR="004C5746">
        <w:t>,</w:t>
      </w:r>
      <w:r w:rsidRPr="00E5711D" w:rsidR="00C44F5F">
        <w:t xml:space="preserve"> </w:t>
      </w:r>
      <w:r w:rsidRPr="00E5711D" w:rsidR="004158AF">
        <w:t xml:space="preserve">was programming the </w:t>
      </w:r>
      <w:r w:rsidRPr="00E5711D" w:rsidR="003910F2">
        <w:t>S</w:t>
      </w:r>
      <w:r w:rsidRPr="00E5711D" w:rsidR="004158AF">
        <w:t xml:space="preserve">tations and selling all of the advertising time throughout </w:t>
      </w:r>
      <w:r w:rsidRPr="00E5711D" w:rsidR="00C65C90">
        <w:t xml:space="preserve">most or all of </w:t>
      </w:r>
      <w:r w:rsidRPr="00E5711D" w:rsidR="00CD1941">
        <w:t xml:space="preserve">the </w:t>
      </w:r>
      <w:r w:rsidRPr="00E5711D" w:rsidR="004158AF">
        <w:t xml:space="preserve">period that Rygaard </w:t>
      </w:r>
      <w:r w:rsidR="00AA35D5">
        <w:t xml:space="preserve">has </w:t>
      </w:r>
      <w:r w:rsidRPr="00E5711D" w:rsidR="004158AF">
        <w:t xml:space="preserve">allegedly owned the </w:t>
      </w:r>
      <w:r w:rsidRPr="00E5711D" w:rsidR="00047DAC">
        <w:t>S</w:t>
      </w:r>
      <w:r w:rsidRPr="00E5711D" w:rsidR="004158AF">
        <w:t xml:space="preserve">tations is of particular relevance to the operation and control of the </w:t>
      </w:r>
      <w:r w:rsidRPr="00E5711D" w:rsidR="00653D4D">
        <w:t>S</w:t>
      </w:r>
      <w:r w:rsidRPr="00E5711D" w:rsidR="004158AF">
        <w:t>tation</w:t>
      </w:r>
      <w:r w:rsidRPr="00E5711D" w:rsidR="00653D4D">
        <w:t>s</w:t>
      </w:r>
      <w:r w:rsidRPr="00E5711D" w:rsidR="004158AF">
        <w:t xml:space="preserve">. </w:t>
      </w:r>
      <w:r w:rsidRPr="00E5711D" w:rsidR="00C65C90">
        <w:t xml:space="preserve"> </w:t>
      </w:r>
      <w:r w:rsidRPr="00E5711D" w:rsidR="00047DAC">
        <w:t>That is particularly so</w:t>
      </w:r>
      <w:r w:rsidRPr="00E5711D" w:rsidR="00E23C59">
        <w:t xml:space="preserve"> when coupled with Rygaard’s </w:t>
      </w:r>
      <w:r w:rsidRPr="00E5711D" w:rsidR="00390CBE">
        <w:t xml:space="preserve">lack of </w:t>
      </w:r>
      <w:r w:rsidRPr="00E5711D" w:rsidR="00E23C59">
        <w:t xml:space="preserve">evidence </w:t>
      </w:r>
      <w:r w:rsidRPr="00E5711D" w:rsidR="003910F2">
        <w:t xml:space="preserve">demonstrating </w:t>
      </w:r>
      <w:r w:rsidRPr="00E5711D" w:rsidR="00E23C59">
        <w:t xml:space="preserve">that she maintained and exercised control over the programming, personnel, and finances of the </w:t>
      </w:r>
      <w:r w:rsidRPr="00E5711D" w:rsidR="00653D4D">
        <w:t>S</w:t>
      </w:r>
      <w:r w:rsidRPr="00E5711D" w:rsidR="00E23C59">
        <w:t>tation</w:t>
      </w:r>
      <w:r w:rsidRPr="00E5711D" w:rsidR="00653D4D">
        <w:t>s</w:t>
      </w:r>
      <w:r w:rsidRPr="00E5711D" w:rsidR="00E23C59">
        <w:t xml:space="preserve">.  </w:t>
      </w:r>
    </w:p>
    <w:p w:rsidR="00D4747A" w:rsidRPr="00E5711D" w:rsidP="00D4747A" w14:paraId="6237DDD5" w14:textId="4E634CB5">
      <w:pPr>
        <w:pStyle w:val="ParaNum"/>
        <w:widowControl/>
      </w:pPr>
      <w:r w:rsidRPr="00E5711D">
        <w:t>F</w:t>
      </w:r>
      <w:r w:rsidRPr="00E5711D" w:rsidR="00562CC5">
        <w:t xml:space="preserve">urther obfuscating </w:t>
      </w:r>
      <w:r w:rsidRPr="00E5711D" w:rsidR="003D6C36">
        <w:t xml:space="preserve">the assessment of the </w:t>
      </w:r>
      <w:r w:rsidRPr="00E5711D" w:rsidR="00562CC5">
        <w:t xml:space="preserve">true ownership and control of the Stations is the fact that Rygaard </w:t>
      </w:r>
      <w:r w:rsidRPr="00E5711D" w:rsidR="00FD66CD">
        <w:t>has been identified as an officer of</w:t>
      </w:r>
      <w:r w:rsidRPr="00E5711D" w:rsidR="003D6C36">
        <w:t xml:space="preserve"> </w:t>
      </w:r>
      <w:r w:rsidRPr="00E5711D" w:rsidR="00562CC5">
        <w:t>Pro Radio</w:t>
      </w:r>
      <w:r w:rsidRPr="00E5711D" w:rsidR="003D6C36">
        <w:t xml:space="preserve"> at the </w:t>
      </w:r>
      <w:r w:rsidRPr="00E5711D" w:rsidR="00562CC5">
        <w:t>same time she was ostensibly the owner of the Stations</w:t>
      </w:r>
      <w:r w:rsidRPr="00E5711D" w:rsidR="003D6C36">
        <w:rPr>
          <w:szCs w:val="22"/>
        </w:rPr>
        <w:t xml:space="preserve">.  </w:t>
      </w:r>
      <w:r w:rsidRPr="00E5711D" w:rsidR="00E90096">
        <w:t xml:space="preserve">According to the </w:t>
      </w:r>
      <w:r w:rsidRPr="00E5711D" w:rsidR="00FF41D7">
        <w:t>Parties</w:t>
      </w:r>
      <w:r w:rsidRPr="00E5711D" w:rsidR="00E90096">
        <w:t xml:space="preserve">, from </w:t>
      </w:r>
      <w:r w:rsidRPr="00E5711D" w:rsidR="00A77ACC">
        <w:t>August</w:t>
      </w:r>
      <w:r w:rsidRPr="00E5711D" w:rsidR="00E90096">
        <w:t xml:space="preserve"> 2022</w:t>
      </w:r>
      <w:r w:rsidRPr="00E5711D" w:rsidR="003D6C36">
        <w:rPr>
          <w:szCs w:val="22"/>
        </w:rPr>
        <w:t xml:space="preserve"> </w:t>
      </w:r>
      <w:r w:rsidRPr="00E5711D" w:rsidR="00E90096">
        <w:t>until January 19, 2024</w:t>
      </w:r>
      <w:r w:rsidRPr="00E5711D" w:rsidR="005F41B6">
        <w:rPr>
          <w:szCs w:val="22"/>
        </w:rPr>
        <w:t>,</w:t>
      </w:r>
      <w:r w:rsidRPr="00E5711D" w:rsidR="00E90096">
        <w:rPr>
          <w:szCs w:val="22"/>
        </w:rPr>
        <w:t xml:space="preserve"> </w:t>
      </w:r>
      <w:r w:rsidRPr="00E5711D" w:rsidR="00A77ACC">
        <w:t xml:space="preserve">Rygaard was </w:t>
      </w:r>
      <w:r w:rsidRPr="00E5711D" w:rsidR="00562CC5">
        <w:t>the Chief Financial Officer of Pro Radio</w:t>
      </w:r>
      <w:r w:rsidRPr="00E5711D" w:rsidR="00FF41D7">
        <w:t xml:space="preserve"> and received compensation from the company of more than $55,000 for providing “financial management and tax planning services for Pro Radio</w:t>
      </w:r>
      <w:r w:rsidRPr="00E5711D" w:rsidR="00FF41D7">
        <w:rPr>
          <w:szCs w:val="22"/>
        </w:rPr>
        <w:t>.”</w:t>
      </w:r>
      <w:r>
        <w:rPr>
          <w:rStyle w:val="FootnoteReference"/>
        </w:rPr>
        <w:footnoteReference w:id="127"/>
      </w:r>
      <w:r w:rsidRPr="00E5711D" w:rsidR="00FF41D7">
        <w:rPr>
          <w:szCs w:val="22"/>
        </w:rPr>
        <w:t xml:space="preserve">  </w:t>
      </w:r>
      <w:r w:rsidRPr="00E5711D" w:rsidR="00525779">
        <w:t xml:space="preserve">In addition, </w:t>
      </w:r>
      <w:r w:rsidRPr="00E5711D" w:rsidR="00047DAC">
        <w:t>al</w:t>
      </w:r>
      <w:r w:rsidRPr="00E5711D" w:rsidR="00525779">
        <w:t xml:space="preserve">though the Parties failed to include this information in responding to the Bureau’s inquiries, a search of corporate records with the Texas Secretary of State indicates that Rygaard also </w:t>
      </w:r>
      <w:r w:rsidRPr="00E5711D" w:rsidR="00651D3B">
        <w:t xml:space="preserve">apparently </w:t>
      </w:r>
      <w:r w:rsidRPr="00E5711D" w:rsidR="003431A2">
        <w:t xml:space="preserve">serves as </w:t>
      </w:r>
      <w:r w:rsidRPr="00E5711D" w:rsidR="00842913">
        <w:t>a</w:t>
      </w:r>
      <w:r w:rsidRPr="00E5711D" w:rsidR="00525779">
        <w:t xml:space="preserve"> </w:t>
      </w:r>
      <w:r w:rsidRPr="00E5711D" w:rsidR="00525779">
        <w:t xml:space="preserve">director </w:t>
      </w:r>
      <w:r w:rsidRPr="00E5711D" w:rsidR="0052665A">
        <w:t xml:space="preserve">and the Treasurer </w:t>
      </w:r>
      <w:r w:rsidRPr="00E5711D" w:rsidR="00525779">
        <w:t xml:space="preserve">of </w:t>
      </w:r>
      <w:r w:rsidRPr="00E5711D" w:rsidR="003910F2">
        <w:t>Pro Radio</w:t>
      </w:r>
      <w:r w:rsidRPr="00E5711D" w:rsidR="00900E05">
        <w:t xml:space="preserve"> </w:t>
      </w:r>
      <w:r w:rsidRPr="00E5711D" w:rsidR="00525779">
        <w:t xml:space="preserve">alongside Toscano and her sisters, </w:t>
      </w:r>
      <w:r w:rsidRPr="00E5711D" w:rsidR="0086030A">
        <w:t xml:space="preserve">who are </w:t>
      </w:r>
      <w:r w:rsidRPr="00E5711D" w:rsidR="00525779">
        <w:t>also officers and directors.</w:t>
      </w:r>
      <w:r>
        <w:rPr>
          <w:rStyle w:val="FootnoteReference"/>
        </w:rPr>
        <w:footnoteReference w:id="128"/>
      </w:r>
      <w:r w:rsidRPr="00E5711D" w:rsidR="00B4256B">
        <w:rPr>
          <w:szCs w:val="22"/>
        </w:rPr>
        <w:t xml:space="preserve">  </w:t>
      </w:r>
      <w:bookmarkStart w:id="142" w:name="_Hlk199776913"/>
      <w:r w:rsidRPr="00E5711D" w:rsidR="00A652FF">
        <w:t>Accordingly, th</w:t>
      </w:r>
      <w:r w:rsidRPr="00E5711D" w:rsidR="0005202E">
        <w:t xml:space="preserve">is </w:t>
      </w:r>
      <w:r w:rsidRPr="00E5711D" w:rsidR="007466F1">
        <w:t>apparent</w:t>
      </w:r>
      <w:r w:rsidRPr="00E5711D" w:rsidR="00514EE1">
        <w:t xml:space="preserve"> </w:t>
      </w:r>
      <w:r w:rsidRPr="00E5711D" w:rsidR="00525779">
        <w:t>conflation of operations between 97.5 Licensee and Pro Radio</w:t>
      </w:r>
      <w:r w:rsidRPr="00E5711D" w:rsidR="003910F2">
        <w:t xml:space="preserve"> </w:t>
      </w:r>
      <w:r w:rsidRPr="00E5711D" w:rsidR="007466F1">
        <w:t xml:space="preserve">raises substantial and material </w:t>
      </w:r>
      <w:r w:rsidRPr="00E5711D" w:rsidR="00B50FF6">
        <w:t>questions of fact as to whether</w:t>
      </w:r>
      <w:r w:rsidR="00FB7C9C">
        <w:t xml:space="preserve"> </w:t>
      </w:r>
      <w:r w:rsidRPr="00E5711D" w:rsidR="00525779">
        <w:t xml:space="preserve">the Parties </w:t>
      </w:r>
      <w:r w:rsidRPr="00E5711D" w:rsidR="00047DAC">
        <w:t>respect</w:t>
      </w:r>
      <w:r w:rsidR="00382137">
        <w:t>ed</w:t>
      </w:r>
      <w:r w:rsidRPr="00E5711D" w:rsidR="00047DAC">
        <w:t xml:space="preserve"> </w:t>
      </w:r>
      <w:r w:rsidRPr="00E5711D" w:rsidR="00525779">
        <w:t>any separation between the Commission</w:t>
      </w:r>
      <w:r w:rsidRPr="00E5711D" w:rsidR="00BF2E71">
        <w:rPr>
          <w:szCs w:val="22"/>
        </w:rPr>
        <w:t>-</w:t>
      </w:r>
      <w:r w:rsidRPr="00E5711D" w:rsidR="00525779">
        <w:t xml:space="preserve">approved </w:t>
      </w:r>
      <w:r w:rsidRPr="00E5711D" w:rsidR="00047DAC">
        <w:t>L</w:t>
      </w:r>
      <w:r w:rsidRPr="00E5711D" w:rsidR="00525779">
        <w:t>icensee</w:t>
      </w:r>
      <w:r w:rsidRPr="00E5711D" w:rsidR="00BF2E71">
        <w:rPr>
          <w:szCs w:val="22"/>
        </w:rPr>
        <w:t>,</w:t>
      </w:r>
      <w:r w:rsidRPr="00E5711D" w:rsidR="00525779">
        <w:rPr>
          <w:szCs w:val="22"/>
        </w:rPr>
        <w:t xml:space="preserve"> </w:t>
      </w:r>
      <w:r w:rsidRPr="00E5711D" w:rsidR="00047DAC">
        <w:t>on the one hand</w:t>
      </w:r>
      <w:r w:rsidRPr="00E5711D" w:rsidR="00BF2E71">
        <w:rPr>
          <w:szCs w:val="22"/>
        </w:rPr>
        <w:t>,</w:t>
      </w:r>
      <w:r w:rsidRPr="00E5711D" w:rsidR="00047DAC">
        <w:t xml:space="preserve"> and an unapproved </w:t>
      </w:r>
      <w:r w:rsidRPr="00E5711D" w:rsidR="003910F2">
        <w:t>foreign individual</w:t>
      </w:r>
      <w:r w:rsidRPr="00E5711D" w:rsidR="00BF2E71">
        <w:rPr>
          <w:szCs w:val="22"/>
        </w:rPr>
        <w:t>,</w:t>
      </w:r>
      <w:r w:rsidRPr="00E5711D" w:rsidR="00047DAC">
        <w:t xml:space="preserve"> on the other</w:t>
      </w:r>
      <w:bookmarkEnd w:id="142"/>
      <w:r w:rsidRPr="00E5711D" w:rsidR="00047DAC">
        <w:rPr>
          <w:szCs w:val="22"/>
        </w:rPr>
        <w:t>.</w:t>
      </w:r>
    </w:p>
    <w:p w:rsidR="00A54B9C" w:rsidRPr="00E5711D" w:rsidP="00D4747A" w14:paraId="094D4497" w14:textId="59D87DF4">
      <w:pPr>
        <w:pStyle w:val="ParaNum"/>
        <w:widowControl/>
      </w:pPr>
      <w:r w:rsidRPr="00E5711D">
        <w:t>In addition</w:t>
      </w:r>
      <w:r w:rsidRPr="00E5711D" w:rsidR="00D4747A">
        <w:rPr>
          <w:szCs w:val="22"/>
        </w:rPr>
        <w:t xml:space="preserve">, </w:t>
      </w:r>
      <w:r w:rsidRPr="00E5711D" w:rsidR="00CA3439">
        <w:t xml:space="preserve">the </w:t>
      </w:r>
      <w:r w:rsidR="00FB7C9C">
        <w:t xml:space="preserve">transfer of the right to collect </w:t>
      </w:r>
      <w:r w:rsidR="009602BA">
        <w:t xml:space="preserve">a significant outstanding </w:t>
      </w:r>
      <w:r w:rsidR="00FB7C9C">
        <w:t xml:space="preserve">debt </w:t>
      </w:r>
      <w:r w:rsidRPr="00E5711D" w:rsidR="00CA3439">
        <w:t xml:space="preserve">to Toscano contemporaneously with the sale of the Stations to Rygaard </w:t>
      </w:r>
      <w:r w:rsidR="009602BA">
        <w:t xml:space="preserve">for a nominal amount </w:t>
      </w:r>
      <w:r w:rsidRPr="00E5711D" w:rsidR="00832CDA">
        <w:t xml:space="preserve">in 2021 </w:t>
      </w:r>
      <w:r w:rsidR="009602BA">
        <w:t>c</w:t>
      </w:r>
      <w:r w:rsidRPr="00E5711D" w:rsidR="496BD644">
        <w:t xml:space="preserve">ould indicate </w:t>
      </w:r>
      <w:r w:rsidRPr="00E5711D">
        <w:t>that</w:t>
      </w:r>
      <w:r w:rsidRPr="00E5711D" w:rsidR="00CA3439">
        <w:t xml:space="preserve"> Toscano </w:t>
      </w:r>
      <w:r w:rsidR="00586561">
        <w:t>has</w:t>
      </w:r>
      <w:r w:rsidRPr="00E5711D" w:rsidR="009D1C1B">
        <w:t xml:space="preserve"> </w:t>
      </w:r>
      <w:r w:rsidRPr="00E5711D" w:rsidR="00CA3439">
        <w:t xml:space="preserve">been involved in the operation of the Stations </w:t>
      </w:r>
      <w:r w:rsidR="009602BA">
        <w:t>since at least that time</w:t>
      </w:r>
      <w:r w:rsidRPr="00E5711D" w:rsidR="00CA3439">
        <w:t xml:space="preserve">.  Copies of the </w:t>
      </w:r>
      <w:r w:rsidRPr="00E132CC" w:rsidR="00E132CC">
        <w:t xml:space="preserve">Acknowledgement of Indebtedness Agreement </w:t>
      </w:r>
      <w:r w:rsidR="00E132CC">
        <w:t>and</w:t>
      </w:r>
      <w:r w:rsidRPr="00E132CC" w:rsidR="00E132CC">
        <w:t xml:space="preserve"> the Assignment of Debt </w:t>
      </w:r>
      <w:r w:rsidRPr="00E5711D" w:rsidR="00CA3439">
        <w:t xml:space="preserve">were not provided to the Commission as part of the </w:t>
      </w:r>
      <w:r w:rsidR="00BF2FCD">
        <w:t>2021 T</w:t>
      </w:r>
      <w:r w:rsidRPr="00E5711D" w:rsidR="00CA3439">
        <w:t xml:space="preserve">ransfer </w:t>
      </w:r>
      <w:r w:rsidR="00BF2FCD">
        <w:t>A</w:t>
      </w:r>
      <w:r w:rsidRPr="00E5711D" w:rsidR="00CA3439">
        <w:t xml:space="preserve">pplication by which Rygaard obtained control of the Stations in </w:t>
      </w:r>
      <w:r w:rsidRPr="00E5711D" w:rsidR="00514EE1">
        <w:t>2021-</w:t>
      </w:r>
      <w:r w:rsidRPr="00E5711D" w:rsidR="00CA3439">
        <w:t>20</w:t>
      </w:r>
      <w:r w:rsidRPr="00E5711D" w:rsidR="00CB5846">
        <w:t>2</w:t>
      </w:r>
      <w:r w:rsidRPr="00E5711D" w:rsidR="00CA3439">
        <w:t xml:space="preserve">2, nor </w:t>
      </w:r>
      <w:r w:rsidRPr="00E5711D" w:rsidR="00B4256B">
        <w:t xml:space="preserve">were they provided </w:t>
      </w:r>
      <w:r w:rsidRPr="00E5711D" w:rsidR="00493C77">
        <w:t>as part of</w:t>
      </w:r>
      <w:r w:rsidRPr="00E5711D" w:rsidR="00CA3439">
        <w:t xml:space="preserve"> the pending Transfer Application.</w:t>
      </w:r>
      <w:bookmarkStart w:id="143" w:name="_Ref208823649"/>
      <w:r>
        <w:rPr>
          <w:rStyle w:val="FootnoteReference"/>
        </w:rPr>
        <w:footnoteReference w:id="129"/>
      </w:r>
      <w:bookmarkEnd w:id="143"/>
      <w:r w:rsidRPr="00E5711D" w:rsidR="00CA3439">
        <w:t xml:space="preserve">  While the Parties provide some information regarding the origin</w:t>
      </w:r>
      <w:r w:rsidR="00E132CC">
        <w:t>ation</w:t>
      </w:r>
      <w:r w:rsidRPr="00E5711D" w:rsidR="00CA3439">
        <w:t xml:space="preserve"> </w:t>
      </w:r>
      <w:r w:rsidR="00E132CC">
        <w:t>of th</w:t>
      </w:r>
      <w:r w:rsidR="00586561">
        <w:t>at</w:t>
      </w:r>
      <w:r w:rsidR="00E132CC">
        <w:t xml:space="preserve"> debt and the transfer of the right to collect it</w:t>
      </w:r>
      <w:r w:rsidRPr="00E5711D" w:rsidR="00CA3439">
        <w:t xml:space="preserve"> in response to the Bureau’s investigation, it is not clear whether 97.5 Holdings has made any payments to Toscano during Rygaard’s ownership of the company</w:t>
      </w:r>
      <w:r w:rsidR="00E132CC">
        <w:t>,</w:t>
      </w:r>
      <w:r w:rsidRPr="00E5711D" w:rsidR="00CA3439">
        <w:t xml:space="preserve"> what the outstanding balance is on the loan</w:t>
      </w:r>
      <w:r w:rsidR="00E132CC">
        <w:t>,</w:t>
      </w:r>
      <w:r w:rsidRPr="00E5711D" w:rsidR="00CA3439">
        <w:t xml:space="preserve"> </w:t>
      </w:r>
      <w:r w:rsidRPr="00E5711D" w:rsidR="00B4256B">
        <w:t>what security, if any, has been provided for the loan</w:t>
      </w:r>
      <w:r w:rsidR="00E132CC">
        <w:t>,</w:t>
      </w:r>
      <w:r w:rsidRPr="00E5711D" w:rsidR="00B4256B">
        <w:t xml:space="preserve"> </w:t>
      </w:r>
      <w:r w:rsidRPr="00E5711D" w:rsidR="00CA3439">
        <w:t xml:space="preserve">and how </w:t>
      </w:r>
      <w:r w:rsidRPr="00E5711D" w:rsidR="00B4256B">
        <w:t xml:space="preserve">exactly </w:t>
      </w:r>
      <w:r w:rsidRPr="00E5711D" w:rsidR="00CA3439">
        <w:t xml:space="preserve">the funds were </w:t>
      </w:r>
      <w:r w:rsidRPr="00E5711D" w:rsidR="00C23C7A">
        <w:t>used</w:t>
      </w:r>
      <w:r w:rsidRPr="00E5711D" w:rsidR="00CA3439">
        <w:t xml:space="preserve"> by the Stations.  In addition, </w:t>
      </w:r>
      <w:r w:rsidRPr="00E5711D" w:rsidR="00144F50">
        <w:t>although the 1.88 Letter Response speaks to the origin of the loan by Grupo Radio Centro and the prior owners of 97.5 Holdings, the sole affidavit provide</w:t>
      </w:r>
      <w:r w:rsidRPr="00E5711D" w:rsidR="004918BC">
        <w:t>d</w:t>
      </w:r>
      <w:r w:rsidRPr="00E5711D" w:rsidR="00144F50">
        <w:t xml:space="preserve"> in support of the information is from Rygaard, who </w:t>
      </w:r>
      <w:r w:rsidRPr="00E5711D" w:rsidR="004918BC">
        <w:t xml:space="preserve">is not party to, </w:t>
      </w:r>
      <w:r w:rsidR="00586561">
        <w:t>nor appears to have had</w:t>
      </w:r>
      <w:r w:rsidRPr="00E5711D" w:rsidR="009D22B1">
        <w:rPr>
          <w:szCs w:val="22"/>
        </w:rPr>
        <w:t xml:space="preserve"> </w:t>
      </w:r>
      <w:r w:rsidRPr="00E5711D" w:rsidR="004918BC">
        <w:t xml:space="preserve">any </w:t>
      </w:r>
      <w:r w:rsidRPr="00E5711D" w:rsidR="00144F50">
        <w:t xml:space="preserve">involvement </w:t>
      </w:r>
      <w:r w:rsidRPr="00E5711D" w:rsidR="00CB5846">
        <w:t>with</w:t>
      </w:r>
      <w:r w:rsidRPr="00E5711D" w:rsidR="004918BC">
        <w:rPr>
          <w:szCs w:val="22"/>
        </w:rPr>
        <w:t>,</w:t>
      </w:r>
      <w:r w:rsidRPr="00E5711D" w:rsidR="009D22B1">
        <w:t xml:space="preserve"> the origination </w:t>
      </w:r>
      <w:r w:rsidRPr="00E5711D" w:rsidR="00144F50">
        <w:t>of the loan.</w:t>
      </w:r>
      <w:bookmarkStart w:id="144" w:name="_Ref209698175"/>
      <w:r>
        <w:rPr>
          <w:rStyle w:val="FootnoteReference"/>
        </w:rPr>
        <w:footnoteReference w:id="130"/>
      </w:r>
      <w:bookmarkEnd w:id="144"/>
      <w:r w:rsidRPr="00E5711D" w:rsidR="00144F50">
        <w:t xml:space="preserve">  Accordingly, substantial and material questions of fact remain to be explored in a hearing regarding the loan</w:t>
      </w:r>
      <w:r w:rsidRPr="00E5711D" w:rsidR="00B4256B">
        <w:rPr>
          <w:szCs w:val="22"/>
        </w:rPr>
        <w:t xml:space="preserve">, </w:t>
      </w:r>
      <w:r w:rsidRPr="00E5711D" w:rsidR="00144F50">
        <w:t>its origination</w:t>
      </w:r>
      <w:r w:rsidRPr="00E5711D" w:rsidR="00CB5846">
        <w:t xml:space="preserve"> and transfer to Toscano ahead of the sale </w:t>
      </w:r>
      <w:r w:rsidR="00586561">
        <w:t xml:space="preserve">of 97.5 Holdings </w:t>
      </w:r>
      <w:r w:rsidRPr="00E5711D" w:rsidR="00CB5846">
        <w:t>to Rygaard</w:t>
      </w:r>
      <w:r w:rsidRPr="00E5711D" w:rsidR="00B4256B">
        <w:rPr>
          <w:szCs w:val="22"/>
        </w:rPr>
        <w:t>,</w:t>
      </w:r>
      <w:r w:rsidRPr="00E5711D" w:rsidR="00144F50">
        <w:t xml:space="preserve"> and </w:t>
      </w:r>
      <w:r w:rsidRPr="00E5711D" w:rsidR="00CB5846">
        <w:t xml:space="preserve">the </w:t>
      </w:r>
      <w:r w:rsidRPr="00E5711D" w:rsidR="00144F50">
        <w:t xml:space="preserve">ongoing </w:t>
      </w:r>
      <w:r w:rsidRPr="00E5711D" w:rsidR="00CB5846">
        <w:t xml:space="preserve">debt </w:t>
      </w:r>
      <w:r w:rsidRPr="00E5711D" w:rsidR="00144F50">
        <w:t>service</w:t>
      </w:r>
      <w:r w:rsidR="00586561">
        <w:t>,</w:t>
      </w:r>
      <w:r w:rsidR="00473AE2">
        <w:t xml:space="preserve"> in order to determine whether the 2021-2022 transfer of control to Rygaard was a fiction and whether Toscano has </w:t>
      </w:r>
      <w:r w:rsidR="00736D56">
        <w:t xml:space="preserve">been </w:t>
      </w:r>
      <w:r w:rsidR="00473AE2">
        <w:t>exercis</w:t>
      </w:r>
      <w:r w:rsidR="00736D56">
        <w:t>ing</w:t>
      </w:r>
      <w:r w:rsidR="00473AE2">
        <w:t xml:space="preserve"> control of the Stations</w:t>
      </w:r>
      <w:r w:rsidRPr="00E5711D" w:rsidR="00B4256B">
        <w:rPr>
          <w:szCs w:val="22"/>
        </w:rPr>
        <w:t>.</w:t>
      </w:r>
      <w:r w:rsidRPr="00E5711D" w:rsidR="00144F50">
        <w:rPr>
          <w:szCs w:val="22"/>
        </w:rPr>
        <w:t xml:space="preserve"> </w:t>
      </w:r>
    </w:p>
    <w:p w:rsidR="00C96DC1" w:rsidRPr="00E5711D" w:rsidP="00BF2FCD" w14:paraId="78C14D96" w14:textId="3A72417D">
      <w:pPr>
        <w:pStyle w:val="ParaNum"/>
        <w:widowControl/>
      </w:pPr>
      <w:bookmarkStart w:id="145" w:name="_Ref217393832"/>
      <w:r w:rsidRPr="00E5711D">
        <w:rPr>
          <w:snapToGrid/>
        </w:rPr>
        <w:t>Furthermore</w:t>
      </w:r>
      <w:r w:rsidRPr="00E5711D" w:rsidR="00BB47B4">
        <w:rPr>
          <w:snapToGrid/>
        </w:rPr>
        <w:t xml:space="preserve">, while the 1.88 Letter Response states that neither Toscano nor her father </w:t>
      </w:r>
      <w:r w:rsidRPr="00E5711D" w:rsidR="00BB47B4">
        <w:rPr>
          <w:snapToGrid/>
        </w:rPr>
        <w:t>Trigio</w:t>
      </w:r>
      <w:r w:rsidRPr="00E5711D" w:rsidR="00BB47B4">
        <w:rPr>
          <w:snapToGrid/>
        </w:rPr>
        <w:t xml:space="preserve"> Javier </w:t>
      </w:r>
      <w:r w:rsidRPr="00E5711D" w:rsidR="00706BD2">
        <w:rPr>
          <w:snapToGrid/>
        </w:rPr>
        <w:t>Peréz</w:t>
      </w:r>
      <w:r w:rsidRPr="00E5711D" w:rsidR="00BB47B4">
        <w:rPr>
          <w:snapToGrid/>
        </w:rPr>
        <w:t xml:space="preserve"> de Anda played a role in the sale of 97.5 Holdings to Rygaard in 2021</w:t>
      </w:r>
      <w:r w:rsidRPr="00E5711D" w:rsidR="00514EE1">
        <w:rPr>
          <w:snapToGrid/>
        </w:rPr>
        <w:t>-2022</w:t>
      </w:r>
      <w:r w:rsidRPr="00E5711D" w:rsidR="00BB47B4">
        <w:rPr>
          <w:snapToGrid/>
        </w:rPr>
        <w:t>,</w:t>
      </w:r>
      <w:r>
        <w:rPr>
          <w:rStyle w:val="FootnoteReference"/>
          <w:snapToGrid/>
        </w:rPr>
        <w:footnoteReference w:id="131"/>
      </w:r>
      <w:r w:rsidRPr="00E5711D" w:rsidR="00BB47B4">
        <w:rPr>
          <w:snapToGrid/>
        </w:rPr>
        <w:t xml:space="preserve"> it </w:t>
      </w:r>
      <w:r w:rsidRPr="00E5711D">
        <w:rPr>
          <w:snapToGrid/>
        </w:rPr>
        <w:t xml:space="preserve">appears that </w:t>
      </w:r>
      <w:r w:rsidR="00473AE2">
        <w:rPr>
          <w:snapToGrid/>
        </w:rPr>
        <w:t xml:space="preserve">Mr. </w:t>
      </w:r>
      <w:r w:rsidRPr="00E5711D" w:rsidR="00473AE2">
        <w:rPr>
          <w:snapToGrid/>
        </w:rPr>
        <w:t xml:space="preserve">Peréz </w:t>
      </w:r>
      <w:r w:rsidR="00473AE2">
        <w:rPr>
          <w:snapToGrid/>
        </w:rPr>
        <w:t xml:space="preserve">de </w:t>
      </w:r>
      <w:r w:rsidRPr="00E5711D" w:rsidR="008D3C80">
        <w:rPr>
          <w:snapToGrid/>
        </w:rPr>
        <w:t>Anda</w:t>
      </w:r>
      <w:r w:rsidRPr="00E5711D">
        <w:rPr>
          <w:snapToGrid/>
        </w:rPr>
        <w:t xml:space="preserve"> </w:t>
      </w:r>
      <w:r w:rsidRPr="00E5711D" w:rsidR="005F265A">
        <w:rPr>
          <w:i/>
          <w:snapToGrid/>
        </w:rPr>
        <w:t>did</w:t>
      </w:r>
      <w:r w:rsidRPr="00E5711D" w:rsidR="005F265A">
        <w:rPr>
          <w:snapToGrid/>
        </w:rPr>
        <w:t xml:space="preserve"> have</w:t>
      </w:r>
      <w:r w:rsidRPr="00E5711D">
        <w:rPr>
          <w:snapToGrid/>
        </w:rPr>
        <w:t xml:space="preserve"> direct involvement with </w:t>
      </w:r>
      <w:r w:rsidRPr="00E5711D" w:rsidR="00BB47B4">
        <w:rPr>
          <w:snapToGrid/>
        </w:rPr>
        <w:t xml:space="preserve">the </w:t>
      </w:r>
      <w:r w:rsidRPr="00E5711D">
        <w:rPr>
          <w:snapToGrid/>
        </w:rPr>
        <w:t xml:space="preserve">contemporaneous </w:t>
      </w:r>
      <w:r w:rsidRPr="00E5711D" w:rsidR="00BB47B4">
        <w:rPr>
          <w:snapToGrid/>
        </w:rPr>
        <w:t xml:space="preserve">transfer of </w:t>
      </w:r>
      <w:r w:rsidR="00473AE2">
        <w:rPr>
          <w:snapToGrid/>
        </w:rPr>
        <w:t xml:space="preserve">the right to collect the outstanding </w:t>
      </w:r>
      <w:r w:rsidRPr="00E5711D" w:rsidR="00BB47B4">
        <w:rPr>
          <w:snapToGrid/>
        </w:rPr>
        <w:t>debt to his daughter</w:t>
      </w:r>
      <w:r w:rsidR="00473AE2">
        <w:rPr>
          <w:snapToGrid/>
        </w:rPr>
        <w:t>,</w:t>
      </w:r>
      <w:r w:rsidRPr="00E5711D" w:rsidR="00BB47B4">
        <w:rPr>
          <w:snapToGrid/>
        </w:rPr>
        <w:t xml:space="preserve"> </w:t>
      </w:r>
      <w:r w:rsidRPr="00E5711D" w:rsidR="00BF2E71">
        <w:rPr>
          <w:snapToGrid/>
        </w:rPr>
        <w:t>Toscano</w:t>
      </w:r>
      <w:r w:rsidR="00473AE2">
        <w:rPr>
          <w:snapToGrid/>
        </w:rPr>
        <w:t>,</w:t>
      </w:r>
      <w:r w:rsidRPr="00E5711D" w:rsidR="00BF2E71">
        <w:rPr>
          <w:snapToGrid/>
        </w:rPr>
        <w:t xml:space="preserve"> </w:t>
      </w:r>
      <w:r w:rsidRPr="00E5711D" w:rsidR="00BB47B4">
        <w:rPr>
          <w:snapToGrid/>
        </w:rPr>
        <w:t xml:space="preserve">at the same time the Stations were being transferred to </w:t>
      </w:r>
      <w:r w:rsidRPr="00E5711D" w:rsidR="00BF2E71">
        <w:rPr>
          <w:snapToGrid/>
        </w:rPr>
        <w:t>Rygaard</w:t>
      </w:r>
      <w:r w:rsidRPr="00E5711D" w:rsidR="00BB47B4">
        <w:rPr>
          <w:snapToGrid/>
          <w:szCs w:val="22"/>
        </w:rPr>
        <w:t xml:space="preserve">.  </w:t>
      </w:r>
      <w:r w:rsidRPr="00E5711D" w:rsidR="005F265A">
        <w:rPr>
          <w:snapToGrid/>
        </w:rPr>
        <w:t xml:space="preserve">The </w:t>
      </w:r>
      <w:r w:rsidR="00935CEC">
        <w:rPr>
          <w:snapToGrid/>
        </w:rPr>
        <w:t>Assignment of Debt Rights A</w:t>
      </w:r>
      <w:r w:rsidRPr="00E5711D" w:rsidR="005F265A">
        <w:rPr>
          <w:snapToGrid/>
        </w:rPr>
        <w:t xml:space="preserve">greement </w:t>
      </w:r>
      <w:r w:rsidR="00935CEC">
        <w:rPr>
          <w:snapToGrid/>
        </w:rPr>
        <w:t>by which the</w:t>
      </w:r>
      <w:r w:rsidRPr="00E5711D" w:rsidR="005F265A">
        <w:rPr>
          <w:snapToGrid/>
        </w:rPr>
        <w:t xml:space="preserve"> </w:t>
      </w:r>
      <w:r w:rsidR="00935CEC">
        <w:rPr>
          <w:snapToGrid/>
        </w:rPr>
        <w:t xml:space="preserve">creditor and </w:t>
      </w:r>
      <w:r w:rsidRPr="00E5711D" w:rsidR="005F265A">
        <w:rPr>
          <w:snapToGrid/>
        </w:rPr>
        <w:t>former minority owner</w:t>
      </w:r>
      <w:r w:rsidRPr="00E5711D" w:rsidR="001444CC">
        <w:rPr>
          <w:snapToGrid/>
        </w:rPr>
        <w:t xml:space="preserve">, </w:t>
      </w:r>
      <w:r w:rsidR="00935CEC">
        <w:rPr>
          <w:snapToGrid/>
        </w:rPr>
        <w:t>Grupo Radio Centro</w:t>
      </w:r>
      <w:r w:rsidRPr="00E5711D" w:rsidR="001444CC">
        <w:rPr>
          <w:snapToGrid/>
        </w:rPr>
        <w:t>,</w:t>
      </w:r>
      <w:r w:rsidRPr="00E5711D" w:rsidR="005F265A">
        <w:rPr>
          <w:snapToGrid/>
        </w:rPr>
        <w:t xml:space="preserve"> </w:t>
      </w:r>
      <w:r w:rsidR="00935CEC">
        <w:rPr>
          <w:snapToGrid/>
        </w:rPr>
        <w:t xml:space="preserve">transferred the right to collect the outstanding debt to Toscano </w:t>
      </w:r>
      <w:r w:rsidRPr="00E5711D" w:rsidR="005F265A">
        <w:rPr>
          <w:snapToGrid/>
        </w:rPr>
        <w:t xml:space="preserve">indicates that Mr. Peréz de Anda served as his daughter’s representative in connection with an element of </w:t>
      </w:r>
      <w:r w:rsidR="00935CEC">
        <w:rPr>
          <w:snapToGrid/>
        </w:rPr>
        <w:t>that agreement</w:t>
      </w:r>
      <w:r w:rsidRPr="00E5711D" w:rsidR="005F265A">
        <w:rPr>
          <w:snapToGrid/>
        </w:rPr>
        <w:t>, indicating that he was directly involved in that transaction</w:t>
      </w:r>
      <w:r w:rsidRPr="00E5711D" w:rsidR="005F265A">
        <w:rPr>
          <w:snapToGrid/>
          <w:szCs w:val="22"/>
        </w:rPr>
        <w:t>.</w:t>
      </w:r>
      <w:bookmarkStart w:id="146" w:name="_Ref217393848"/>
      <w:r>
        <w:rPr>
          <w:rStyle w:val="FootnoteReference"/>
          <w:snapToGrid/>
          <w:szCs w:val="22"/>
        </w:rPr>
        <w:footnoteReference w:id="132"/>
      </w:r>
      <w:bookmarkEnd w:id="146"/>
      <w:r w:rsidRPr="00E5711D" w:rsidR="005F265A">
        <w:rPr>
          <w:snapToGrid/>
          <w:szCs w:val="22"/>
        </w:rPr>
        <w:t xml:space="preserve"> </w:t>
      </w:r>
      <w:r w:rsidRPr="00E5711D" w:rsidR="005F265A">
        <w:rPr>
          <w:snapToGrid/>
        </w:rPr>
        <w:t xml:space="preserve"> Additionally, t</w:t>
      </w:r>
      <w:r w:rsidRPr="00E5711D" w:rsidR="00DD2953">
        <w:rPr>
          <w:snapToGrid/>
        </w:rPr>
        <w:t xml:space="preserve">he Parties acknowledge in the </w:t>
      </w:r>
      <w:r w:rsidRPr="00E5711D" w:rsidR="00BB47B4">
        <w:rPr>
          <w:snapToGrid/>
        </w:rPr>
        <w:t>LOI Response</w:t>
      </w:r>
      <w:r w:rsidRPr="00E5711D" w:rsidR="00DD2953">
        <w:rPr>
          <w:snapToGrid/>
        </w:rPr>
        <w:t xml:space="preserve"> that </w:t>
      </w:r>
      <w:r w:rsidRPr="00E5711D" w:rsidR="00BB47B4">
        <w:rPr>
          <w:snapToGrid/>
        </w:rPr>
        <w:t xml:space="preserve">Mr. </w:t>
      </w:r>
      <w:r w:rsidRPr="00E5711D" w:rsidR="00706BD2">
        <w:rPr>
          <w:snapToGrid/>
        </w:rPr>
        <w:t>Peréz</w:t>
      </w:r>
      <w:r w:rsidRPr="00E5711D" w:rsidR="00BB47B4">
        <w:rPr>
          <w:snapToGrid/>
        </w:rPr>
        <w:t xml:space="preserve"> de Anda was an officer of 97.5 Holdings at some point, though it is unclear whether he held that position at the time Grupo Radio Centro made its $2.5 million investment in the Stations in 2017 or when the </w:t>
      </w:r>
      <w:r w:rsidR="005E2A89">
        <w:rPr>
          <w:snapToGrid/>
        </w:rPr>
        <w:t xml:space="preserve">right to collect the </w:t>
      </w:r>
      <w:r w:rsidRPr="00E5711D" w:rsidR="00BB47B4">
        <w:rPr>
          <w:snapToGrid/>
        </w:rPr>
        <w:t xml:space="preserve">debt was transferred to his daughter in </w:t>
      </w:r>
      <w:r w:rsidRPr="007C6B4F" w:rsidR="00BB47B4">
        <w:rPr>
          <w:snapToGrid/>
        </w:rPr>
        <w:t>2021.</w:t>
      </w:r>
      <w:r>
        <w:rPr>
          <w:rStyle w:val="FootnoteReference"/>
          <w:snapToGrid/>
        </w:rPr>
        <w:footnoteReference w:id="133"/>
      </w:r>
      <w:r w:rsidRPr="007C6B4F" w:rsidR="00AC6DE8">
        <w:rPr>
          <w:snapToGrid/>
          <w:szCs w:val="22"/>
        </w:rPr>
        <w:t xml:space="preserve">  </w:t>
      </w:r>
      <w:r w:rsidRPr="007C6B4F" w:rsidR="00935CEC">
        <w:rPr>
          <w:snapToGrid/>
          <w:szCs w:val="22"/>
        </w:rPr>
        <w:t>Notably</w:t>
      </w:r>
      <w:r w:rsidR="00935CEC">
        <w:rPr>
          <w:snapToGrid/>
          <w:szCs w:val="22"/>
        </w:rPr>
        <w:t>, however</w:t>
      </w:r>
      <w:r w:rsidR="00473AE2">
        <w:rPr>
          <w:snapToGrid/>
          <w:szCs w:val="22"/>
        </w:rPr>
        <w:t xml:space="preserve">, Mr. </w:t>
      </w:r>
      <w:r w:rsidRPr="00E5711D" w:rsidR="00473AE2">
        <w:rPr>
          <w:snapToGrid/>
        </w:rPr>
        <w:t xml:space="preserve">Peréz </w:t>
      </w:r>
      <w:r w:rsidR="00473AE2">
        <w:rPr>
          <w:snapToGrid/>
        </w:rPr>
        <w:t xml:space="preserve">de Anda is </w:t>
      </w:r>
      <w:r w:rsidR="00161F19">
        <w:rPr>
          <w:snapToGrid/>
        </w:rPr>
        <w:t xml:space="preserve">also </w:t>
      </w:r>
      <w:r w:rsidR="00473AE2">
        <w:rPr>
          <w:snapToGrid/>
        </w:rPr>
        <w:t>a party to the</w:t>
      </w:r>
      <w:r w:rsidR="00C22324">
        <w:rPr>
          <w:snapToGrid/>
        </w:rPr>
        <w:t xml:space="preserve"> current</w:t>
      </w:r>
      <w:r w:rsidR="00473AE2">
        <w:rPr>
          <w:snapToGrid/>
        </w:rPr>
        <w:t xml:space="preserve"> Stock Purchase Agreement</w:t>
      </w:r>
      <w:r w:rsidR="005E2A89">
        <w:rPr>
          <w:snapToGrid/>
        </w:rPr>
        <w:t xml:space="preserve"> between Rygaard and Toscano</w:t>
      </w:r>
      <w:r w:rsidR="00473AE2">
        <w:rPr>
          <w:snapToGrid/>
        </w:rPr>
        <w:t>, signing that document as President of</w:t>
      </w:r>
      <w:r w:rsidR="00C22324">
        <w:rPr>
          <w:snapToGrid/>
        </w:rPr>
        <w:t xml:space="preserve"> </w:t>
      </w:r>
      <w:r w:rsidR="00473AE2">
        <w:rPr>
          <w:snapToGrid/>
        </w:rPr>
        <w:t>“Debtor: 97.5 Investment TX, LLC.”</w:t>
      </w:r>
      <w:r>
        <w:rPr>
          <w:rStyle w:val="FootnoteReference"/>
          <w:snapToGrid/>
        </w:rPr>
        <w:footnoteReference w:id="134"/>
      </w:r>
      <w:r w:rsidR="00473AE2">
        <w:rPr>
          <w:snapToGrid/>
        </w:rPr>
        <w:t xml:space="preserve">  </w:t>
      </w:r>
      <w:r w:rsidRPr="00E5711D" w:rsidR="00BB47B4">
        <w:rPr>
          <w:snapToGrid/>
        </w:rPr>
        <w:t xml:space="preserve">The familial connections and potential </w:t>
      </w:r>
      <w:r w:rsidRPr="00E5711D" w:rsidR="00DD2953">
        <w:rPr>
          <w:snapToGrid/>
        </w:rPr>
        <w:t xml:space="preserve">close </w:t>
      </w:r>
      <w:r w:rsidRPr="00E5711D" w:rsidR="00BB47B4">
        <w:rPr>
          <w:snapToGrid/>
        </w:rPr>
        <w:t xml:space="preserve">involvement between the former </w:t>
      </w:r>
      <w:r w:rsidR="005E2A89">
        <w:rPr>
          <w:snapToGrid/>
        </w:rPr>
        <w:t xml:space="preserve">minority owner (Grupo Radio Centro), Mr. </w:t>
      </w:r>
      <w:r w:rsidRPr="00E5711D" w:rsidR="005E2A89">
        <w:rPr>
          <w:snapToGrid/>
        </w:rPr>
        <w:t>Peréz de Anda</w:t>
      </w:r>
      <w:r w:rsidR="005E2A89">
        <w:rPr>
          <w:snapToGrid/>
        </w:rPr>
        <w:t>,</w:t>
      </w:r>
      <w:r w:rsidRPr="00E5711D" w:rsidR="005E2A89">
        <w:rPr>
          <w:snapToGrid/>
        </w:rPr>
        <w:t xml:space="preserve"> </w:t>
      </w:r>
      <w:r w:rsidRPr="00E5711D" w:rsidR="00DD2953">
        <w:rPr>
          <w:snapToGrid/>
        </w:rPr>
        <w:t xml:space="preserve">the </w:t>
      </w:r>
      <w:r w:rsidRPr="00E5711D" w:rsidR="00BB47B4">
        <w:rPr>
          <w:snapToGrid/>
        </w:rPr>
        <w:t xml:space="preserve">current </w:t>
      </w:r>
      <w:r w:rsidR="005E2A89">
        <w:rPr>
          <w:snapToGrid/>
        </w:rPr>
        <w:t>owner (Rygaard)</w:t>
      </w:r>
      <w:r w:rsidRPr="00E5711D" w:rsidR="00BB47B4">
        <w:rPr>
          <w:snapToGrid/>
        </w:rPr>
        <w:t xml:space="preserve">, </w:t>
      </w:r>
      <w:r w:rsidRPr="00E5711D" w:rsidR="004918BC">
        <w:rPr>
          <w:snapToGrid/>
        </w:rPr>
        <w:t xml:space="preserve">and </w:t>
      </w:r>
      <w:r w:rsidRPr="00E5711D" w:rsidR="00DD2953">
        <w:rPr>
          <w:snapToGrid/>
        </w:rPr>
        <w:t xml:space="preserve">the </w:t>
      </w:r>
      <w:r w:rsidRPr="00E5711D" w:rsidR="00BB47B4">
        <w:rPr>
          <w:snapToGrid/>
        </w:rPr>
        <w:t xml:space="preserve">proposed Transferee </w:t>
      </w:r>
      <w:r w:rsidRPr="00E5711D" w:rsidR="00493C77">
        <w:rPr>
          <w:snapToGrid/>
          <w:szCs w:val="22"/>
        </w:rPr>
        <w:t>(</w:t>
      </w:r>
      <w:r w:rsidR="005E2A89">
        <w:rPr>
          <w:snapToGrid/>
          <w:szCs w:val="22"/>
        </w:rPr>
        <w:t xml:space="preserve">Toscano), </w:t>
      </w:r>
      <w:r w:rsidRPr="00E5711D" w:rsidR="00BB47B4">
        <w:rPr>
          <w:snapToGrid/>
        </w:rPr>
        <w:t>a</w:t>
      </w:r>
      <w:r w:rsidR="005E2A89">
        <w:rPr>
          <w:snapToGrid/>
        </w:rPr>
        <w:t>s well as between the Licensee and Pro Radio</w:t>
      </w:r>
      <w:r w:rsidR="007C6B4F">
        <w:rPr>
          <w:snapToGrid/>
        </w:rPr>
        <w:t>,</w:t>
      </w:r>
      <w:r w:rsidRPr="00E5711D" w:rsidR="00BB47B4">
        <w:rPr>
          <w:snapToGrid/>
        </w:rPr>
        <w:t xml:space="preserve"> further confuses the operation and control of the Station</w:t>
      </w:r>
      <w:r w:rsidRPr="00E5711D" w:rsidR="00DD2953">
        <w:rPr>
          <w:snapToGrid/>
        </w:rPr>
        <w:t xml:space="preserve">s and </w:t>
      </w:r>
      <w:r w:rsidRPr="00E5711D" w:rsidR="00636507">
        <w:rPr>
          <w:snapToGrid/>
        </w:rPr>
        <w:t xml:space="preserve">raises </w:t>
      </w:r>
      <w:r w:rsidRPr="00E5711D" w:rsidR="001B210B">
        <w:rPr>
          <w:snapToGrid/>
        </w:rPr>
        <w:t>substantial and material questions of fact as to whether</w:t>
      </w:r>
      <w:r w:rsidRPr="00E5711D" w:rsidR="0008244B">
        <w:rPr>
          <w:snapToGrid/>
        </w:rPr>
        <w:t xml:space="preserve"> the Parties</w:t>
      </w:r>
      <w:r w:rsidRPr="00E5711D" w:rsidR="004918BC">
        <w:rPr>
          <w:snapToGrid/>
        </w:rPr>
        <w:t xml:space="preserve"> have</w:t>
      </w:r>
      <w:r w:rsidRPr="00E5711D" w:rsidR="0008244B">
        <w:rPr>
          <w:snapToGrid/>
        </w:rPr>
        <w:t xml:space="preserve"> engaged in an</w:t>
      </w:r>
      <w:r w:rsidRPr="00E5711D" w:rsidR="00DD2953">
        <w:rPr>
          <w:snapToGrid/>
        </w:rPr>
        <w:t xml:space="preserve"> unauthorized transfer of control</w:t>
      </w:r>
      <w:r w:rsidRPr="00E5711D" w:rsidR="00BB47B4">
        <w:rPr>
          <w:snapToGrid/>
          <w:szCs w:val="22"/>
        </w:rPr>
        <w:t>.</w:t>
      </w:r>
      <w:bookmarkEnd w:id="145"/>
    </w:p>
    <w:p w:rsidR="006B739C" w:rsidRPr="00E5711D" w:rsidP="007323EB" w14:paraId="65C1758A" w14:textId="6548CD52">
      <w:pPr>
        <w:pStyle w:val="ParaNum"/>
        <w:widowControl/>
      </w:pPr>
      <w:r w:rsidRPr="00E5711D">
        <w:t xml:space="preserve">We therefore designate for hearing appropriate issues to </w:t>
      </w:r>
      <w:r w:rsidRPr="00E5711D" w:rsidR="00514EE1">
        <w:t>confirm</w:t>
      </w:r>
      <w:r w:rsidRPr="00E5711D">
        <w:t xml:space="preserve"> whether </w:t>
      </w:r>
      <w:r w:rsidRPr="00E5711D">
        <w:rPr>
          <w:snapToGrid/>
          <w:spacing w:val="-3"/>
        </w:rPr>
        <w:t xml:space="preserve">Rygaard </w:t>
      </w:r>
      <w:r w:rsidRPr="00E5711D" w:rsidR="00AC5AF6">
        <w:rPr>
          <w:snapToGrid/>
          <w:spacing w:val="-3"/>
        </w:rPr>
        <w:t xml:space="preserve">has </w:t>
      </w:r>
      <w:r w:rsidRPr="00E5711D">
        <w:rPr>
          <w:snapToGrid/>
          <w:spacing w:val="-3"/>
        </w:rPr>
        <w:t xml:space="preserve">engaged in an unauthorized transfer of control </w:t>
      </w:r>
      <w:r w:rsidRPr="00E5711D" w:rsidR="00AC5AF6">
        <w:rPr>
          <w:snapToGrid/>
          <w:spacing w:val="-3"/>
        </w:rPr>
        <w:t>of</w:t>
      </w:r>
      <w:r w:rsidRPr="00E5711D">
        <w:rPr>
          <w:snapToGrid/>
          <w:spacing w:val="-3"/>
        </w:rPr>
        <w:t xml:space="preserve"> the Stations in violation of the Act and </w:t>
      </w:r>
      <w:r w:rsidRPr="00E5711D" w:rsidR="00493C77">
        <w:rPr>
          <w:snapToGrid/>
          <w:spacing w:val="-3"/>
        </w:rPr>
        <w:t xml:space="preserve">the </w:t>
      </w:r>
      <w:r w:rsidRPr="00E5711D">
        <w:rPr>
          <w:snapToGrid/>
          <w:spacing w:val="-3"/>
        </w:rPr>
        <w:t>Commission</w:t>
      </w:r>
      <w:r w:rsidRPr="00E5711D" w:rsidR="00AC5AF6">
        <w:rPr>
          <w:snapToGrid/>
          <w:spacing w:val="-3"/>
        </w:rPr>
        <w:t>’s</w:t>
      </w:r>
      <w:r w:rsidRPr="00E5711D">
        <w:rPr>
          <w:snapToGrid/>
          <w:spacing w:val="-3"/>
          <w:szCs w:val="22"/>
        </w:rPr>
        <w:t xml:space="preserve"> </w:t>
      </w:r>
      <w:r w:rsidRPr="00E5711D" w:rsidR="0086645F">
        <w:rPr>
          <w:snapToGrid/>
          <w:spacing w:val="-3"/>
        </w:rPr>
        <w:t>R</w:t>
      </w:r>
      <w:r w:rsidRPr="00E5711D">
        <w:rPr>
          <w:snapToGrid/>
          <w:spacing w:val="-3"/>
        </w:rPr>
        <w:t xml:space="preserve">ules.  Conversely, we also designate for hearing appropriate issues to </w:t>
      </w:r>
      <w:r w:rsidRPr="00E5711D" w:rsidR="00514EE1">
        <w:rPr>
          <w:snapToGrid/>
          <w:spacing w:val="-3"/>
        </w:rPr>
        <w:t>confirm</w:t>
      </w:r>
      <w:r w:rsidRPr="00E5711D">
        <w:rPr>
          <w:snapToGrid/>
          <w:spacing w:val="-3"/>
        </w:rPr>
        <w:t xml:space="preserve"> if Toscano </w:t>
      </w:r>
      <w:r w:rsidRPr="00E5711D" w:rsidR="00512897">
        <w:rPr>
          <w:snapToGrid/>
          <w:spacing w:val="-3"/>
        </w:rPr>
        <w:t xml:space="preserve">intentionally </w:t>
      </w:r>
      <w:r w:rsidRPr="00E5711D">
        <w:rPr>
          <w:snapToGrid/>
          <w:spacing w:val="-3"/>
        </w:rPr>
        <w:t xml:space="preserve">exercised control of the Stations without prior Commission consent in violation of the Act and </w:t>
      </w:r>
      <w:r w:rsidRPr="00E5711D" w:rsidR="0086645F">
        <w:rPr>
          <w:snapToGrid/>
          <w:spacing w:val="-3"/>
        </w:rPr>
        <w:t>R</w:t>
      </w:r>
      <w:r w:rsidRPr="00E5711D">
        <w:rPr>
          <w:snapToGrid/>
          <w:spacing w:val="-3"/>
        </w:rPr>
        <w:t>ules</w:t>
      </w:r>
      <w:r w:rsidRPr="00E5711D" w:rsidR="00AC5AF6">
        <w:rPr>
          <w:snapToGrid/>
          <w:spacing w:val="-3"/>
        </w:rPr>
        <w:t>, including those restricting the involvement of a foreign individual in the ownership and control of a broadcast license</w:t>
      </w:r>
      <w:r w:rsidRPr="00E5711D">
        <w:rPr>
          <w:snapToGrid/>
          <w:spacing w:val="-3"/>
          <w:szCs w:val="22"/>
        </w:rPr>
        <w:t>.</w:t>
      </w:r>
    </w:p>
    <w:p w:rsidR="006B739C" w:rsidRPr="00E5711D" w:rsidP="001F086A" w14:paraId="7E367F5E" w14:textId="2D442408">
      <w:pPr>
        <w:pStyle w:val="Heading2"/>
      </w:pPr>
      <w:bookmarkStart w:id="147" w:name="_Toc197085156"/>
      <w:bookmarkStart w:id="148" w:name="_Toc197093815"/>
      <w:bookmarkStart w:id="149" w:name="_Toc199497973"/>
      <w:bookmarkStart w:id="150" w:name="_Toc199498116"/>
      <w:bookmarkStart w:id="151" w:name="_Toc199761784"/>
      <w:bookmarkStart w:id="152" w:name="_Toc199778026"/>
      <w:bookmarkStart w:id="153" w:name="_Toc201584581"/>
      <w:bookmarkStart w:id="154" w:name="_Toc202182787"/>
      <w:bookmarkStart w:id="155" w:name="_Toc219206067"/>
      <w:bookmarkStart w:id="156" w:name="_Toc219206808"/>
      <w:bookmarkStart w:id="157" w:name="_Toc209708337"/>
      <w:bookmarkStart w:id="158" w:name="_Toc210117705"/>
      <w:r w:rsidRPr="00E5711D">
        <w:t xml:space="preserve">Misrepresentations </w:t>
      </w:r>
      <w:r w:rsidRPr="00E5711D" w:rsidR="003A7738">
        <w:t>and/</w:t>
      </w:r>
      <w:r w:rsidRPr="00E5711D">
        <w:t>or Lack</w:t>
      </w:r>
      <w:r w:rsidRPr="00E5711D" w:rsidR="00C23C7A">
        <w:t xml:space="preserve"> of</w:t>
      </w:r>
      <w:r w:rsidRPr="00E5711D">
        <w:t xml:space="preserve"> Candor</w:t>
      </w:r>
      <w:bookmarkEnd w:id="147"/>
      <w:bookmarkEnd w:id="148"/>
      <w:bookmarkEnd w:id="149"/>
      <w:bookmarkEnd w:id="150"/>
      <w:bookmarkEnd w:id="151"/>
      <w:bookmarkEnd w:id="152"/>
      <w:bookmarkEnd w:id="153"/>
      <w:bookmarkEnd w:id="154"/>
      <w:bookmarkEnd w:id="155"/>
      <w:bookmarkEnd w:id="156"/>
      <w:r w:rsidRPr="00E5711D">
        <w:t xml:space="preserve"> </w:t>
      </w:r>
      <w:bookmarkEnd w:id="157"/>
      <w:bookmarkEnd w:id="158"/>
    </w:p>
    <w:p w:rsidR="005C3650" w:rsidRPr="00E5711D" w:rsidP="001F086A" w14:paraId="26C57001" w14:textId="2BEC5D65">
      <w:pPr>
        <w:pStyle w:val="ParaNum"/>
        <w:widowControl/>
      </w:pPr>
      <w:r w:rsidRPr="00E5711D">
        <w:t xml:space="preserve">As </w:t>
      </w:r>
      <w:r w:rsidRPr="00E5711D" w:rsidR="007D4F40">
        <w:t>set forth</w:t>
      </w:r>
      <w:r w:rsidRPr="00E5711D">
        <w:t xml:space="preserve"> above, the Commission and the courts have recognized that “[t]he FCC relies heavily on the honesty and probity of its licensees in a regulatory system that is largely self-policing.”</w:t>
      </w:r>
      <w:r>
        <w:rPr>
          <w:vertAlign w:val="superscript"/>
        </w:rPr>
        <w:footnoteReference w:id="135"/>
      </w:r>
      <w:r w:rsidRPr="00E5711D">
        <w:rPr>
          <w:szCs w:val="22"/>
        </w:rPr>
        <w:t xml:space="preserve">  </w:t>
      </w:r>
      <w:r w:rsidRPr="00E5711D" w:rsidR="00906933">
        <w:t>As such</w:t>
      </w:r>
      <w:r w:rsidRPr="00E5711D" w:rsidR="007D4F40">
        <w:t>, f</w:t>
      </w:r>
      <w:r w:rsidRPr="00E5711D">
        <w:t>ull and clear disclosure of all material facts in every application is essential to the efficient administration of our licensing process</w:t>
      </w:r>
      <w:r w:rsidRPr="00E5711D" w:rsidR="00CD588A">
        <w:t>.  T</w:t>
      </w:r>
      <w:r w:rsidRPr="00E5711D" w:rsidR="007D4F40">
        <w:t xml:space="preserve">he </w:t>
      </w:r>
      <w:r w:rsidRPr="00E5711D">
        <w:t xml:space="preserve">proper analysis of an application </w:t>
      </w:r>
      <w:r w:rsidRPr="00E5711D" w:rsidR="007D4F40">
        <w:t xml:space="preserve">depends </w:t>
      </w:r>
      <w:r w:rsidRPr="00E5711D">
        <w:t xml:space="preserve">on the accuracy and completeness of information and data that only the applicant can provide.  </w:t>
      </w:r>
      <w:r w:rsidRPr="00E5711D" w:rsidR="007D4F40">
        <w:t>Ultimately, m</w:t>
      </w:r>
      <w:r w:rsidRPr="00E5711D">
        <w:t>isrepresentation and lack of candor raise serious concerns as to the likelihood that the Commission can rely on an applicant, permittee, or licensee to be truthful.</w:t>
      </w:r>
      <w:r>
        <w:rPr>
          <w:vertAlign w:val="superscript"/>
        </w:rPr>
        <w:footnoteReference w:id="136"/>
      </w:r>
      <w:r w:rsidRPr="00E5711D" w:rsidR="00906933">
        <w:rPr>
          <w:szCs w:val="22"/>
        </w:rPr>
        <w:t xml:space="preserve">  </w:t>
      </w:r>
    </w:p>
    <w:p w:rsidR="00CC6471" w:rsidRPr="00E5711D" w:rsidP="00D501B1" w14:paraId="09A22FD6" w14:textId="200C8E9F">
      <w:pPr>
        <w:pStyle w:val="ParaNum"/>
        <w:keepNext/>
        <w:keepLines/>
        <w:widowControl/>
      </w:pPr>
      <w:r w:rsidRPr="00E5711D">
        <w:t>Based on the record developed,</w:t>
      </w:r>
      <w:r w:rsidRPr="00E5711D" w:rsidR="005176BF">
        <w:t xml:space="preserve"> </w:t>
      </w:r>
      <w:r w:rsidRPr="00E5711D" w:rsidR="000D0F61">
        <w:t xml:space="preserve">it is clear that </w:t>
      </w:r>
      <w:r w:rsidRPr="00E5711D" w:rsidR="005176BF">
        <w:t>Rygaard and Toscan</w:t>
      </w:r>
      <w:r w:rsidRPr="00E5711D">
        <w:t>o</w:t>
      </w:r>
      <w:r w:rsidRPr="00E5711D" w:rsidR="00057E83">
        <w:t xml:space="preserve"> h</w:t>
      </w:r>
      <w:r w:rsidRPr="00E5711D">
        <w:t xml:space="preserve">ave </w:t>
      </w:r>
      <w:r w:rsidRPr="00E5711D" w:rsidR="000D0F61">
        <w:t xml:space="preserve">not </w:t>
      </w:r>
      <w:r w:rsidRPr="00E5711D" w:rsidR="005176BF">
        <w:t xml:space="preserve">been fully forthcoming in </w:t>
      </w:r>
      <w:r w:rsidRPr="00E5711D" w:rsidR="000D0F61">
        <w:t xml:space="preserve">either </w:t>
      </w:r>
      <w:r w:rsidRPr="00E5711D" w:rsidR="005176BF">
        <w:t xml:space="preserve">the Transfer Application </w:t>
      </w:r>
      <w:r w:rsidRPr="00E5711D" w:rsidR="000D0F61">
        <w:t xml:space="preserve">or </w:t>
      </w:r>
      <w:r w:rsidRPr="00E5711D" w:rsidR="00057E83">
        <w:t xml:space="preserve">in </w:t>
      </w:r>
      <w:r w:rsidRPr="00E5711D" w:rsidR="005176BF">
        <w:t>the responses to the Bureau’s investigation</w:t>
      </w:r>
      <w:r w:rsidRPr="00E5711D" w:rsidR="000D0F61">
        <w:t>.  Accordingly, we</w:t>
      </w:r>
      <w:r w:rsidRPr="00E5711D" w:rsidR="009E7648">
        <w:t xml:space="preserve"> </w:t>
      </w:r>
      <w:r w:rsidRPr="00E5711D" w:rsidR="000D0F61">
        <w:t xml:space="preserve">find there are substantial and material questions of fact as to whether </w:t>
      </w:r>
      <w:r w:rsidRPr="00E5711D" w:rsidR="009E7648">
        <w:t>the</w:t>
      </w:r>
      <w:r w:rsidRPr="00E5711D" w:rsidR="000D0F61">
        <w:t xml:space="preserve"> Parties</w:t>
      </w:r>
      <w:r w:rsidRPr="00E5711D" w:rsidR="009E7648">
        <w:t xml:space="preserve"> have </w:t>
      </w:r>
      <w:r w:rsidRPr="00E5711D" w:rsidR="005176BF">
        <w:t xml:space="preserve">lacked candor </w:t>
      </w:r>
      <w:r w:rsidRPr="00E5711D" w:rsidR="000D0F61">
        <w:t>and/</w:t>
      </w:r>
      <w:r w:rsidRPr="00E5711D" w:rsidR="005176BF">
        <w:t xml:space="preserve">or made misrepresentations to the Commission </w:t>
      </w:r>
      <w:bookmarkStart w:id="159" w:name="_Hlk196911084"/>
      <w:r w:rsidRPr="00E5711D" w:rsidR="005176BF">
        <w:t>in violation of section 1.17(a)(1)</w:t>
      </w:r>
      <w:bookmarkEnd w:id="159"/>
      <w:r w:rsidRPr="00E5711D" w:rsidR="005176BF">
        <w:t xml:space="preserve">.  </w:t>
      </w:r>
    </w:p>
    <w:p w:rsidR="00F442B9" w:rsidP="003157EA" w14:paraId="77565B7A" w14:textId="6AA90364">
      <w:pPr>
        <w:pStyle w:val="ParaNum"/>
        <w:widowControl/>
      </w:pPr>
      <w:r w:rsidRPr="00E5711D">
        <w:rPr>
          <w:i/>
        </w:rPr>
        <w:t>Errors</w:t>
      </w:r>
      <w:r w:rsidRPr="00E5711D" w:rsidR="0021580C">
        <w:rPr>
          <w:i/>
        </w:rPr>
        <w:t>,</w:t>
      </w:r>
      <w:r w:rsidRPr="00E5711D">
        <w:rPr>
          <w:i/>
        </w:rPr>
        <w:t xml:space="preserve"> </w:t>
      </w:r>
      <w:r w:rsidRPr="00E5711D" w:rsidR="00902AE0">
        <w:rPr>
          <w:i/>
        </w:rPr>
        <w:t>Omissions</w:t>
      </w:r>
      <w:r w:rsidRPr="00E5711D" w:rsidR="0021580C">
        <w:rPr>
          <w:i/>
        </w:rPr>
        <w:t>, and Misrepresentations</w:t>
      </w:r>
      <w:r w:rsidRPr="00E5711D" w:rsidR="002C0FE7">
        <w:rPr>
          <w:i/>
        </w:rPr>
        <w:t xml:space="preserve"> </w:t>
      </w:r>
      <w:r w:rsidRPr="00E5711D" w:rsidR="00C5715A">
        <w:rPr>
          <w:i/>
        </w:rPr>
        <w:t xml:space="preserve">in </w:t>
      </w:r>
      <w:r w:rsidRPr="00E5711D" w:rsidR="002C0FE7">
        <w:rPr>
          <w:i/>
        </w:rPr>
        <w:t>the Transfer Application</w:t>
      </w:r>
      <w:r w:rsidRPr="00E5711D" w:rsidR="00220AB0">
        <w:rPr>
          <w:szCs w:val="22"/>
        </w:rPr>
        <w:t xml:space="preserve">.  </w:t>
      </w:r>
      <w:r w:rsidRPr="00E5711D" w:rsidR="00254BF3">
        <w:t>First and foremost, t</w:t>
      </w:r>
      <w:r w:rsidRPr="00E5711D" w:rsidR="007D4F40">
        <w:t>he Parties</w:t>
      </w:r>
      <w:r w:rsidRPr="00E5711D" w:rsidR="005C4507">
        <w:t xml:space="preserve"> appear to have </w:t>
      </w:r>
      <w:r w:rsidR="00D47370">
        <w:t>concealed</w:t>
      </w:r>
      <w:r w:rsidRPr="00E5711D" w:rsidR="00D47370">
        <w:t xml:space="preserve"> </w:t>
      </w:r>
      <w:r w:rsidRPr="00E5711D" w:rsidR="005C4507">
        <w:t>t</w:t>
      </w:r>
      <w:r w:rsidRPr="00E5711D" w:rsidR="009E7648">
        <w:t xml:space="preserve">he fact </w:t>
      </w:r>
      <w:r w:rsidRPr="00E5711D" w:rsidR="00C86092">
        <w:t xml:space="preserve">that </w:t>
      </w:r>
      <w:r w:rsidR="001F7035">
        <w:t xml:space="preserve">Pro Radio, </w:t>
      </w:r>
      <w:r w:rsidRPr="00E5711D" w:rsidR="00C86092">
        <w:t xml:space="preserve">was actually </w:t>
      </w:r>
      <w:r w:rsidRPr="00E5711D" w:rsidR="00CC6471">
        <w:t>programming the Stations</w:t>
      </w:r>
      <w:r w:rsidRPr="00E5711D" w:rsidR="00540BE8">
        <w:t xml:space="preserve"> and controlling the </w:t>
      </w:r>
      <w:r w:rsidR="00EC48DD">
        <w:t xml:space="preserve">Stations’ </w:t>
      </w:r>
      <w:r w:rsidRPr="00E5711D" w:rsidR="00540BE8">
        <w:t>advertising sales</w:t>
      </w:r>
      <w:r w:rsidRPr="00E5711D" w:rsidR="007D4F40">
        <w:rPr>
          <w:szCs w:val="22"/>
        </w:rPr>
        <w:t>.</w:t>
      </w:r>
      <w:r>
        <w:rPr>
          <w:rStyle w:val="FootnoteReference"/>
        </w:rPr>
        <w:footnoteReference w:id="137"/>
      </w:r>
      <w:r w:rsidRPr="00E5711D" w:rsidR="007D4F40">
        <w:rPr>
          <w:szCs w:val="22"/>
        </w:rPr>
        <w:t xml:space="preserve">  </w:t>
      </w:r>
      <w:r w:rsidR="00E74336">
        <w:rPr>
          <w:szCs w:val="22"/>
        </w:rPr>
        <w:t xml:space="preserve">In response to </w:t>
      </w:r>
      <w:r w:rsidRPr="00E5711D" w:rsidR="00545086">
        <w:t>question</w:t>
      </w:r>
      <w:r w:rsidR="00E74336">
        <w:t>s</w:t>
      </w:r>
      <w:r w:rsidRPr="00E5711D" w:rsidR="00545086">
        <w:t xml:space="preserve"> on the </w:t>
      </w:r>
      <w:r w:rsidR="00EC48DD">
        <w:t>Transfer A</w:t>
      </w:r>
      <w:r w:rsidRPr="00E5711D" w:rsidR="00545086">
        <w:t>pplication about agreements related to the sale of the Stations, Toscano certified “Yes,</w:t>
      </w:r>
      <w:r w:rsidRPr="00E5711D" w:rsidR="009A36E8">
        <w:t>”</w:t>
      </w:r>
      <w:r w:rsidRPr="00E5711D" w:rsidR="00545086">
        <w:t xml:space="preserve"> that the agreements in the Stations’ public inspection files and submitted to the Commission</w:t>
      </w:r>
      <w:r w:rsidR="00E74336">
        <w:t>—which did not include a joint sales agreement or a time brokerage agreement—e</w:t>
      </w:r>
      <w:r w:rsidRPr="00E5711D" w:rsidR="00545086">
        <w:t xml:space="preserve">mbodied the complete and final agreement for the sale or transfer of the Stations, </w:t>
      </w:r>
      <w:r w:rsidRPr="00E5711D" w:rsidR="006C3840">
        <w:t>a</w:t>
      </w:r>
      <w:r w:rsidR="00E74336">
        <w:t xml:space="preserve">n </w:t>
      </w:r>
      <w:r w:rsidRPr="00E5711D" w:rsidR="006C3840">
        <w:t>attestation</w:t>
      </w:r>
      <w:r w:rsidRPr="00E5711D" w:rsidR="00545086">
        <w:t xml:space="preserve"> that no </w:t>
      </w:r>
      <w:r w:rsidRPr="00E5711D" w:rsidR="001F67A4">
        <w:t>programming agreement</w:t>
      </w:r>
      <w:r w:rsidRPr="00E5711D" w:rsidR="00545086">
        <w:t xml:space="preserve"> existed at the time.</w:t>
      </w:r>
      <w:r>
        <w:rPr>
          <w:rStyle w:val="FootnoteReference"/>
        </w:rPr>
        <w:footnoteReference w:id="138"/>
      </w:r>
      <w:r w:rsidR="001F7035">
        <w:t xml:space="preserve"> </w:t>
      </w:r>
      <w:r w:rsidRPr="00E5711D" w:rsidR="00545086">
        <w:rPr>
          <w:snapToGrid/>
        </w:rPr>
        <w:t xml:space="preserve"> </w:t>
      </w:r>
      <w:r w:rsidRPr="00E5711D" w:rsidR="003A12E6">
        <w:t xml:space="preserve">If, in fact, </w:t>
      </w:r>
      <w:r w:rsidRPr="00E5711D" w:rsidR="001F67A4">
        <w:t xml:space="preserve">such an agreement </w:t>
      </w:r>
      <w:r w:rsidRPr="00E5711D" w:rsidR="003A12E6">
        <w:t>existed at the time of the Transfer Application it should have been reduced to writing, placed in the Stations’ public inspection files,</w:t>
      </w:r>
      <w:r>
        <w:rPr>
          <w:rStyle w:val="FootnoteReference"/>
        </w:rPr>
        <w:footnoteReference w:id="139"/>
      </w:r>
      <w:r w:rsidRPr="00E5711D" w:rsidR="003A12E6">
        <w:t xml:space="preserve"> and </w:t>
      </w:r>
      <w:r w:rsidRPr="00E5711D" w:rsidR="00C5715A">
        <w:t xml:space="preserve">provided as part of the </w:t>
      </w:r>
      <w:r w:rsidRPr="00E5711D" w:rsidR="003A12E6">
        <w:t>Transfer A</w:t>
      </w:r>
      <w:r w:rsidRPr="00E5711D" w:rsidR="00C5715A">
        <w:t>pplication</w:t>
      </w:r>
      <w:r w:rsidRPr="00E5711D" w:rsidR="009D2268">
        <w:rPr>
          <w:szCs w:val="22"/>
        </w:rPr>
        <w:t>.</w:t>
      </w:r>
      <w:r>
        <w:rPr>
          <w:rStyle w:val="FootnoteReference"/>
        </w:rPr>
        <w:footnoteReference w:id="140"/>
      </w:r>
      <w:r w:rsidRPr="00E5711D" w:rsidR="009D2268">
        <w:rPr>
          <w:szCs w:val="22"/>
        </w:rPr>
        <w:t xml:space="preserve"> </w:t>
      </w:r>
      <w:r w:rsidR="00506443">
        <w:rPr>
          <w:szCs w:val="22"/>
        </w:rPr>
        <w:t xml:space="preserve"> </w:t>
      </w:r>
      <w:r w:rsidRPr="00E5711D" w:rsidR="003A12E6">
        <w:t>The Parties did none of these things</w:t>
      </w:r>
      <w:r w:rsidR="00636C78">
        <w:t xml:space="preserve">.  </w:t>
      </w:r>
      <w:r w:rsidR="00E30434">
        <w:t>Furthermore</w:t>
      </w:r>
      <w:r w:rsidR="00636C78">
        <w:t xml:space="preserve">, in response to the </w:t>
      </w:r>
      <w:r w:rsidR="00E30434">
        <w:t xml:space="preserve">multiple </w:t>
      </w:r>
      <w:r w:rsidR="00E30434">
        <w:t xml:space="preserve">ownership </w:t>
      </w:r>
      <w:r w:rsidR="00636C78">
        <w:t>question</w:t>
      </w:r>
      <w:r w:rsidRPr="00E30434" w:rsidR="00E30434">
        <w:t xml:space="preserve"> in the Transferee’s portion of the Form 2100-Schedule 315</w:t>
      </w:r>
      <w:r w:rsidR="00C27954">
        <w:t xml:space="preserve"> that </w:t>
      </w:r>
      <w:r w:rsidR="00E30434">
        <w:t>inquires whether “</w:t>
      </w:r>
      <w:r w:rsidRPr="00E30434" w:rsidR="00E30434">
        <w:t>the Transferee or any party to the application</w:t>
      </w:r>
      <w:r w:rsidR="00E30434">
        <w:t>” holds “</w:t>
      </w:r>
      <w:r w:rsidRPr="00E30434" w:rsidR="00E30434">
        <w:t xml:space="preserve">an attributable radio joint sales agreement or </w:t>
      </w:r>
      <w:r w:rsidR="00E30434">
        <w:t>[…]</w:t>
      </w:r>
      <w:r w:rsidRPr="00E30434" w:rsidR="00E30434">
        <w:t xml:space="preserve"> time brokerage agreement with the station(s) subject to this application</w:t>
      </w:r>
      <w:r w:rsidR="00E30434">
        <w:t>,</w:t>
      </w:r>
      <w:r w:rsidRPr="00E30434" w:rsidR="00E30434">
        <w:t>”</w:t>
      </w:r>
      <w:r w:rsidRPr="00E30434" w:rsidR="00E30434">
        <w:rPr>
          <w:rStyle w:val="FootnoteReference"/>
        </w:rPr>
        <w:t xml:space="preserve"> </w:t>
      </w:r>
      <w:r>
        <w:rPr>
          <w:rStyle w:val="FootnoteReference"/>
        </w:rPr>
        <w:footnoteReference w:id="141"/>
      </w:r>
      <w:r w:rsidRPr="00E5711D" w:rsidR="003A12E6">
        <w:t xml:space="preserve"> Toscano</w:t>
      </w:r>
      <w:r w:rsidRPr="00E5711D" w:rsidR="009D2268">
        <w:t xml:space="preserve"> certified </w:t>
      </w:r>
      <w:r w:rsidRPr="00E5711D" w:rsidR="009D3E7A">
        <w:t xml:space="preserve">that no </w:t>
      </w:r>
      <w:r w:rsidR="00E30434">
        <w:t xml:space="preserve">such </w:t>
      </w:r>
      <w:r w:rsidRPr="00E5711D" w:rsidR="009D3E7A">
        <w:t xml:space="preserve">programming or </w:t>
      </w:r>
      <w:r w:rsidRPr="00E5711D" w:rsidR="00545086">
        <w:t xml:space="preserve">advertising </w:t>
      </w:r>
      <w:r w:rsidRPr="00E5711D" w:rsidR="009D3E7A">
        <w:t>sales agreement existed</w:t>
      </w:r>
      <w:r w:rsidRPr="00E5711D" w:rsidR="00C71A13">
        <w:t>.</w:t>
      </w:r>
      <w:r>
        <w:rPr>
          <w:rStyle w:val="FootnoteReference"/>
        </w:rPr>
        <w:footnoteReference w:id="142"/>
      </w:r>
      <w:r w:rsidRPr="00E5711D" w:rsidR="00C71A13">
        <w:t xml:space="preserve"> </w:t>
      </w:r>
      <w:r w:rsidRPr="00E5711D" w:rsidR="000D0F61">
        <w:t xml:space="preserve"> </w:t>
      </w:r>
    </w:p>
    <w:p w:rsidR="00C27954" w:rsidP="003157EA" w14:paraId="1E23FBC2" w14:textId="5DEEC1F7">
      <w:pPr>
        <w:pStyle w:val="ParaNum"/>
        <w:widowControl/>
      </w:pPr>
      <w:r w:rsidRPr="00E5711D">
        <w:t xml:space="preserve">In reality, as the parties subsequently admitted in response to the Bureau’s questioning, </w:t>
      </w:r>
      <w:r w:rsidRPr="00E5711D" w:rsidR="005C4507">
        <w:t>Pro Radio</w:t>
      </w:r>
      <w:r w:rsidRPr="00E5711D">
        <w:t xml:space="preserve"> was programming and selling all </w:t>
      </w:r>
      <w:r w:rsidRPr="00E5711D" w:rsidR="00B73206">
        <w:t xml:space="preserve">of </w:t>
      </w:r>
      <w:r w:rsidRPr="00E5711D">
        <w:t xml:space="preserve">the </w:t>
      </w:r>
      <w:r w:rsidRPr="00E5711D" w:rsidR="00A15771">
        <w:t>airtime</w:t>
      </w:r>
      <w:r w:rsidRPr="00E5711D">
        <w:t xml:space="preserve"> on the Stations.</w:t>
      </w:r>
      <w:r>
        <w:rPr>
          <w:rStyle w:val="FootnoteReference"/>
        </w:rPr>
        <w:footnoteReference w:id="143"/>
      </w:r>
      <w:r w:rsidRPr="00E5711D">
        <w:t xml:space="preserve">  </w:t>
      </w:r>
      <w:r w:rsidRPr="00E5711D" w:rsidR="00CD588A">
        <w:t>O</w:t>
      </w:r>
      <w:r w:rsidRPr="00E5711D" w:rsidR="00540BE8">
        <w:t xml:space="preserve">nly when faced with persistent questions about the operation and control of the Stations did the Parties claim for the first time that a </w:t>
      </w:r>
      <w:r w:rsidRPr="00E5711D" w:rsidR="00CD588A">
        <w:t>programming</w:t>
      </w:r>
      <w:r w:rsidRPr="00E5711D" w:rsidR="00540BE8">
        <w:t xml:space="preserve"> agreement existed</w:t>
      </w:r>
      <w:r w:rsidR="00952D86">
        <w:t>, in an apparent attempt to avoid the perception that Rygaard had abdicat</w:t>
      </w:r>
      <w:r w:rsidR="001F5C0E">
        <w:t xml:space="preserve">ed </w:t>
      </w:r>
      <w:r w:rsidR="00952D86">
        <w:t>control of the Stations</w:t>
      </w:r>
      <w:r w:rsidRPr="00E5711D" w:rsidR="00540BE8">
        <w:t>.</w:t>
      </w:r>
      <w:r>
        <w:rPr>
          <w:rStyle w:val="FootnoteReference"/>
        </w:rPr>
        <w:footnoteReference w:id="144"/>
      </w:r>
      <w:r w:rsidRPr="00E5711D" w:rsidR="00540BE8">
        <w:rPr>
          <w:szCs w:val="22"/>
        </w:rPr>
        <w:t xml:space="preserve">  </w:t>
      </w:r>
      <w:r w:rsidR="0049649C">
        <w:rPr>
          <w:szCs w:val="22"/>
        </w:rPr>
        <w:t xml:space="preserve">As discussed further below in connection with the Parties’ failure to respond fully to the Bureau’s inquiries, </w:t>
      </w:r>
      <w:r w:rsidRPr="0049649C">
        <w:t>the Parties were unable to provide any correspondence, evidence of negotiations, or other documentation to support that such an agreement actually existed prior to its creation in response to the Bureau’s 1.88 Letter</w:t>
      </w:r>
      <w:r w:rsidRPr="0049649C" w:rsidR="00A15771">
        <w:t>, despite the Bureau’s explicit request for such evidence.</w:t>
      </w:r>
      <w:r>
        <w:rPr>
          <w:rStyle w:val="FootnoteReference"/>
        </w:rPr>
        <w:footnoteReference w:id="145"/>
      </w:r>
      <w:r w:rsidR="00A15771">
        <w:t xml:space="preserve"> </w:t>
      </w:r>
      <w:r>
        <w:t xml:space="preserve"> </w:t>
      </w:r>
    </w:p>
    <w:p w:rsidR="00210729" w:rsidRPr="00E5711D" w:rsidP="00A560BF" w14:paraId="70B04597" w14:textId="1CBF2BEB">
      <w:pPr>
        <w:pStyle w:val="ParaNum"/>
        <w:widowControl/>
        <w:tabs>
          <w:tab w:val="clear" w:pos="1440"/>
        </w:tabs>
      </w:pPr>
      <w:r w:rsidRPr="00E5711D">
        <w:t>In addition</w:t>
      </w:r>
      <w:r w:rsidRPr="00E5711D" w:rsidR="000C6D6F">
        <w:t xml:space="preserve"> to</w:t>
      </w:r>
      <w:r w:rsidRPr="00E5711D" w:rsidR="005C51C1">
        <w:t xml:space="preserve"> </w:t>
      </w:r>
      <w:r w:rsidRPr="00E5711D" w:rsidR="00370400">
        <w:t>not disclosing Pro Radio’s</w:t>
      </w:r>
      <w:r w:rsidRPr="00E5711D" w:rsidR="00917EB6">
        <w:t xml:space="preserve"> </w:t>
      </w:r>
      <w:r w:rsidR="00A15771">
        <w:t>operation</w:t>
      </w:r>
      <w:r w:rsidRPr="00E5711D" w:rsidR="00917EB6">
        <w:t xml:space="preserve"> of the Stations</w:t>
      </w:r>
      <w:r w:rsidRPr="00E5711D">
        <w:t>, t</w:t>
      </w:r>
      <w:r w:rsidRPr="00E5711D" w:rsidR="007D2561">
        <w:t xml:space="preserve">he Parties </w:t>
      </w:r>
      <w:r w:rsidRPr="00E5711D" w:rsidR="00057E83">
        <w:t xml:space="preserve">also </w:t>
      </w:r>
      <w:r w:rsidRPr="00E5711D" w:rsidR="00317B4F">
        <w:t>failed to provide</w:t>
      </w:r>
      <w:r w:rsidRPr="00E5711D" w:rsidR="007D2561">
        <w:t xml:space="preserve"> copies of the documents related to </w:t>
      </w:r>
      <w:r w:rsidR="00A15771">
        <w:t xml:space="preserve">97.5 Holding’s outstanding indebtedness and the fact that </w:t>
      </w:r>
      <w:r w:rsidR="00EC48DD">
        <w:t xml:space="preserve">the Transferee </w:t>
      </w:r>
      <w:r w:rsidRPr="00E5711D" w:rsidR="00B25B3B">
        <w:t>Toscano</w:t>
      </w:r>
      <w:r w:rsidR="00A15771">
        <w:t xml:space="preserve"> holds the exclusive right to collect the company’s significant </w:t>
      </w:r>
      <w:r w:rsidR="00EC48DD">
        <w:t xml:space="preserve">outstanding </w:t>
      </w:r>
      <w:r w:rsidR="00A15771">
        <w:t>debt.</w:t>
      </w:r>
      <w:r w:rsidR="0037670B">
        <w:t xml:space="preserve">  As noted above, this </w:t>
      </w:r>
      <w:r w:rsidRPr="0037670B" w:rsidR="0037670B">
        <w:t>debt was never originally documented when Grupo Radio provided the funds in 2017</w:t>
      </w:r>
      <w:r w:rsidR="0037670B">
        <w:t>; rather</w:t>
      </w:r>
      <w:r w:rsidR="00A560BF">
        <w:t>,</w:t>
      </w:r>
      <w:r w:rsidR="0037670B">
        <w:t xml:space="preserve"> it was not until </w:t>
      </w:r>
      <w:r w:rsidRPr="0037670B" w:rsidR="0037670B">
        <w:t>2021, when “in anticipation of FCC approval to sell Grupo Radio Centro’s interest in 97.5 Holdings, the debt was documented.”</w:t>
      </w:r>
      <w:r>
        <w:rPr>
          <w:rStyle w:val="FootnoteReference"/>
        </w:rPr>
        <w:footnoteReference w:id="146"/>
      </w:r>
      <w:r w:rsidRPr="0037670B" w:rsidR="0037670B">
        <w:t xml:space="preserve"> </w:t>
      </w:r>
      <w:r w:rsidR="0001080A">
        <w:t xml:space="preserve"> </w:t>
      </w:r>
      <w:r w:rsidRPr="00E5711D" w:rsidR="00917EB6">
        <w:t xml:space="preserve">This multi-million-dollar debt </w:t>
      </w:r>
      <w:r w:rsidRPr="00E5711D">
        <w:t xml:space="preserve">appears to be a </w:t>
      </w:r>
      <w:r w:rsidRPr="00E5711D" w:rsidR="005C51C1">
        <w:t>critical</w:t>
      </w:r>
      <w:r w:rsidRPr="00E5711D">
        <w:t xml:space="preserve"> </w:t>
      </w:r>
      <w:r w:rsidRPr="00E5711D" w:rsidR="005C51C1">
        <w:t>component</w:t>
      </w:r>
      <w:r w:rsidRPr="00E5711D">
        <w:t xml:space="preserve"> of the</w:t>
      </w:r>
      <w:r w:rsidR="00A560BF">
        <w:t xml:space="preserve"> instant</w:t>
      </w:r>
      <w:r w:rsidRPr="00E5711D">
        <w:t xml:space="preserve"> transaction</w:t>
      </w:r>
      <w:r w:rsidRPr="00E5711D" w:rsidR="00917EB6">
        <w:t>,</w:t>
      </w:r>
      <w:r w:rsidRPr="00E5711D" w:rsidR="005C51C1">
        <w:t xml:space="preserve"> and indeed of the transaction by which Rygaard allegedly obtained control of the Stations in </w:t>
      </w:r>
      <w:r w:rsidRPr="00E5711D" w:rsidR="00E21CBD">
        <w:t>2021-</w:t>
      </w:r>
      <w:r w:rsidRPr="00E5711D" w:rsidR="005C51C1">
        <w:t>2022</w:t>
      </w:r>
      <w:r w:rsidRPr="00E5711D">
        <w:t xml:space="preserve">.  </w:t>
      </w:r>
      <w:r w:rsidRPr="00E5711D" w:rsidR="007D2561">
        <w:t>While the Stock Purchase Agreement between Rygaard and Toscano make</w:t>
      </w:r>
      <w:r w:rsidRPr="00E5711D" w:rsidR="000434E4">
        <w:t>s</w:t>
      </w:r>
      <w:r w:rsidRPr="00E5711D" w:rsidR="007D2561">
        <w:t xml:space="preserve"> </w:t>
      </w:r>
      <w:r w:rsidRPr="00E5711D" w:rsidR="005C51C1">
        <w:t xml:space="preserve">passing </w:t>
      </w:r>
      <w:r w:rsidRPr="00E5711D" w:rsidR="007D2561">
        <w:t>reference to</w:t>
      </w:r>
      <w:r w:rsidRPr="00E5711D" w:rsidR="00C054BF">
        <w:t xml:space="preserve"> the existence of an outstanding debt owed to Toscano,</w:t>
      </w:r>
      <w:r>
        <w:rPr>
          <w:rStyle w:val="FootnoteReference"/>
        </w:rPr>
        <w:footnoteReference w:id="147"/>
      </w:r>
      <w:r w:rsidRPr="00E5711D" w:rsidR="005C4507">
        <w:t xml:space="preserve"> </w:t>
      </w:r>
      <w:r w:rsidRPr="00E5711D" w:rsidR="00C054BF">
        <w:t xml:space="preserve">copies of the </w:t>
      </w:r>
      <w:r w:rsidR="00707F69">
        <w:rPr>
          <w:szCs w:val="22"/>
        </w:rPr>
        <w:t>A</w:t>
      </w:r>
      <w:r w:rsidRPr="003D4C4F" w:rsidR="00707F69">
        <w:rPr>
          <w:szCs w:val="22"/>
        </w:rPr>
        <w:t xml:space="preserve">ssignment </w:t>
      </w:r>
      <w:r w:rsidR="00707F69">
        <w:rPr>
          <w:szCs w:val="22"/>
        </w:rPr>
        <w:t>of Debt Rights Agreemen</w:t>
      </w:r>
      <w:r w:rsidRPr="00CC7BBF" w:rsidR="00707F69">
        <w:rPr>
          <w:szCs w:val="22"/>
        </w:rPr>
        <w:t>t</w:t>
      </w:r>
      <w:r w:rsidRPr="00707F69" w:rsidR="00707F69">
        <w:t xml:space="preserve"> </w:t>
      </w:r>
      <w:r w:rsidR="00707F69">
        <w:t>Acknowledgement of Indebtedness Agreement</w:t>
      </w:r>
      <w:r w:rsidRPr="00E5711D" w:rsidR="00707F69">
        <w:t xml:space="preserve"> </w:t>
      </w:r>
      <w:r w:rsidRPr="00E5711D" w:rsidR="00B25B3B">
        <w:t>we</w:t>
      </w:r>
      <w:r w:rsidRPr="00E5711D" w:rsidR="00C054BF">
        <w:t>re not inventoried or provided as part of the Transfer Application.</w:t>
      </w:r>
      <w:r w:rsidRPr="00E5711D" w:rsidR="00C17FCB">
        <w:t xml:space="preserve">  </w:t>
      </w:r>
      <w:r w:rsidRPr="00E5711D">
        <w:t xml:space="preserve">In withholding those documents, the Parties deprived the Bureau and reviewing parties of proper insight into the full agreements between the Parties, </w:t>
      </w:r>
      <w:r w:rsidRPr="00E5711D" w:rsidR="000434E4">
        <w:t xml:space="preserve">the </w:t>
      </w:r>
      <w:r w:rsidRPr="00E5711D">
        <w:t xml:space="preserve">business incentives of each, and the full consideration involved in the transaction.  </w:t>
      </w:r>
      <w:r w:rsidR="00A15771">
        <w:t xml:space="preserve">Withholding those </w:t>
      </w:r>
      <w:r w:rsidR="00A15771">
        <w:t xml:space="preserve">documents also obfuscated Toscano’s </w:t>
      </w:r>
      <w:r w:rsidR="00EC48DD">
        <w:t>pre-</w:t>
      </w:r>
      <w:r w:rsidR="00A15771">
        <w:t>existing involvement with the Stations, which, if combined with the provision of programming, likely would have resulted in an attributable interest in the Stations</w:t>
      </w:r>
      <w:r w:rsidR="001F5C0E">
        <w:t xml:space="preserve"> even prior to the Transfer </w:t>
      </w:r>
      <w:r w:rsidR="00EC48DD">
        <w:t>Application</w:t>
      </w:r>
      <w:r w:rsidRPr="00A15771" w:rsidR="00A15771">
        <w:t>.</w:t>
      </w:r>
      <w:r>
        <w:rPr>
          <w:rStyle w:val="FootnoteReference"/>
          <w:snapToGrid/>
        </w:rPr>
        <w:footnoteReference w:id="148"/>
      </w:r>
      <w:r w:rsidRPr="00A560BF" w:rsidR="00A15771">
        <w:rPr>
          <w:snapToGrid/>
        </w:rPr>
        <w:t xml:space="preserve"> </w:t>
      </w:r>
      <w:r w:rsidR="00A15771">
        <w:t xml:space="preserve">  </w:t>
      </w:r>
      <w:r w:rsidRPr="00E5711D" w:rsidR="00917EB6">
        <w:t xml:space="preserve">And </w:t>
      </w:r>
      <w:r w:rsidRPr="00E5711D" w:rsidR="005C51C1">
        <w:t>o</w:t>
      </w:r>
      <w:r w:rsidRPr="00E5711D" w:rsidR="00C71A13">
        <w:t>nce again</w:t>
      </w:r>
      <w:r w:rsidRPr="00E5711D" w:rsidR="00917EB6">
        <w:t>, by falsely</w:t>
      </w:r>
      <w:r w:rsidRPr="00E5711D" w:rsidR="00C71A13">
        <w:t xml:space="preserve"> attest</w:t>
      </w:r>
      <w:r w:rsidRPr="00E5711D" w:rsidR="0003393B">
        <w:t>ing</w:t>
      </w:r>
      <w:r w:rsidRPr="00E5711D" w:rsidR="00917EB6">
        <w:t xml:space="preserve"> to compliance with the Commission’s rules on the Transfer Application</w:t>
      </w:r>
      <w:r w:rsidR="00A560BF">
        <w:t xml:space="preserve">—in </w:t>
      </w:r>
      <w:r w:rsidRPr="00E5711D" w:rsidR="00917EB6">
        <w:t xml:space="preserve">this case </w:t>
      </w:r>
      <w:r w:rsidR="001F5C0E">
        <w:t xml:space="preserve">that the full and final </w:t>
      </w:r>
      <w:r w:rsidRPr="00E5711D" w:rsidR="00917EB6">
        <w:t xml:space="preserve">agreements </w:t>
      </w:r>
      <w:r w:rsidR="001F5C0E">
        <w:t xml:space="preserve">related to the </w:t>
      </w:r>
      <w:r w:rsidRPr="00E5711D" w:rsidR="00917EB6">
        <w:t>sale or transfer of the Stations</w:t>
      </w:r>
      <w:r w:rsidR="001F5C0E">
        <w:t xml:space="preserve"> have been provided</w:t>
      </w:r>
      <w:r w:rsidR="00A560BF">
        <w:t>—</w:t>
      </w:r>
      <w:r w:rsidRPr="00E5711D" w:rsidR="00917EB6">
        <w:t xml:space="preserve">the Parties </w:t>
      </w:r>
      <w:r w:rsidRPr="00E5711D" w:rsidR="009322C2">
        <w:t xml:space="preserve">appear to have </w:t>
      </w:r>
      <w:r w:rsidRPr="00E5711D" w:rsidR="00917EB6">
        <w:t xml:space="preserve">misrepresented information to the Commission.  </w:t>
      </w:r>
      <w:r w:rsidRPr="00E5711D" w:rsidR="00C71A13">
        <w:t xml:space="preserve"> </w:t>
      </w:r>
    </w:p>
    <w:p w:rsidR="00E140FB" w:rsidP="00E140FB" w14:paraId="42B8580F" w14:textId="3BDE7E79">
      <w:pPr>
        <w:pStyle w:val="ParaNum"/>
        <w:widowControl/>
      </w:pPr>
      <w:r w:rsidRPr="00E5711D">
        <w:t xml:space="preserve">By failing to </w:t>
      </w:r>
      <w:r w:rsidRPr="00003C7D">
        <w:t xml:space="preserve">divulge Pro Radio’s and Toscano’s involvement </w:t>
      </w:r>
      <w:r w:rsidRPr="00003C7D" w:rsidR="00EC48DD">
        <w:t>with</w:t>
      </w:r>
      <w:r w:rsidRPr="00003C7D">
        <w:t xml:space="preserve"> the </w:t>
      </w:r>
      <w:r w:rsidRPr="00003C7D" w:rsidR="0001080A">
        <w:t>operation</w:t>
      </w:r>
      <w:r w:rsidR="0001080A">
        <w:t xml:space="preserve"> of the</w:t>
      </w:r>
      <w:r w:rsidRPr="00003C7D" w:rsidR="0001080A">
        <w:t xml:space="preserve"> </w:t>
      </w:r>
      <w:r w:rsidRPr="00003C7D" w:rsidR="00EC48DD">
        <w:t>S</w:t>
      </w:r>
      <w:r w:rsidRPr="00003C7D">
        <w:t>tation</w:t>
      </w:r>
      <w:r w:rsidRPr="00003C7D" w:rsidR="00EC48DD">
        <w:t>s</w:t>
      </w:r>
      <w:r w:rsidRPr="00003C7D" w:rsidR="00BF237B">
        <w:t>,</w:t>
      </w:r>
      <w:r w:rsidRPr="00003C7D">
        <w:t xml:space="preserve"> </w:t>
      </w:r>
      <w:r w:rsidRPr="00003C7D" w:rsidR="000E1B21">
        <w:t>the Parties</w:t>
      </w:r>
      <w:r w:rsidRPr="00003C7D">
        <w:t xml:space="preserve"> </w:t>
      </w:r>
      <w:r w:rsidRPr="00003C7D" w:rsidR="00402F74">
        <w:t xml:space="preserve">appeared to have </w:t>
      </w:r>
      <w:r w:rsidRPr="00003C7D" w:rsidR="00D23B51">
        <w:t xml:space="preserve">falsely represented to the </w:t>
      </w:r>
      <w:r w:rsidRPr="00003C7D">
        <w:t>Commission and the public that Rygaard was in full control of the Stations</w:t>
      </w:r>
      <w:r w:rsidRPr="00003C7D" w:rsidR="00BE42A5">
        <w:t xml:space="preserve"> and that Toscano was an unaffiliated, </w:t>
      </w:r>
      <w:r w:rsidR="0008575B">
        <w:t xml:space="preserve">arm’s-length, </w:t>
      </w:r>
      <w:r w:rsidRPr="00003C7D" w:rsidR="00BE42A5">
        <w:t>third-party buyer</w:t>
      </w:r>
      <w:r w:rsidRPr="00003C7D">
        <w:t>.  Ultimately, the apparent concealment</w:t>
      </w:r>
      <w:r w:rsidRPr="00E5711D">
        <w:t xml:space="preserve"> of </w:t>
      </w:r>
      <w:r>
        <w:t xml:space="preserve">Pro Radio and </w:t>
      </w:r>
      <w:r w:rsidRPr="00E5711D">
        <w:t>Toscano’s involvement raises a serious concern that information was intentionally withheld from the Commission in the application process</w:t>
      </w:r>
      <w:r w:rsidR="00BE42A5">
        <w:t xml:space="preserve">, potentially to obscure the fact that </w:t>
      </w:r>
      <w:r w:rsidRPr="00E5711D" w:rsidR="00BE42A5">
        <w:t>an unauthorized transfer of control</w:t>
      </w:r>
      <w:r w:rsidR="0008575B">
        <w:t xml:space="preserve"> to a foreign citizen</w:t>
      </w:r>
      <w:r w:rsidR="00BE42A5">
        <w:t xml:space="preserve"> had occurred</w:t>
      </w:r>
      <w:r w:rsidRPr="00E5711D">
        <w:t>.</w:t>
      </w:r>
      <w:r>
        <w:t xml:space="preserve"> </w:t>
      </w:r>
    </w:p>
    <w:p w:rsidR="00C054BF" w:rsidRPr="00E5711D" w:rsidP="00A560BF" w14:paraId="45BA9412" w14:textId="52D6112E">
      <w:pPr>
        <w:pStyle w:val="ParaNum"/>
        <w:widowControl/>
      </w:pPr>
      <w:r w:rsidRPr="00E5711D">
        <w:t xml:space="preserve">Compounding the questions </w:t>
      </w:r>
      <w:r w:rsidRPr="00E5711D" w:rsidR="002F6FC6">
        <w:t>regarding</w:t>
      </w:r>
      <w:r w:rsidRPr="00E5711D">
        <w:t xml:space="preserve"> the completeness and accuracy of the Transfer Application </w:t>
      </w:r>
      <w:r w:rsidRPr="00E5711D" w:rsidR="00E1264E">
        <w:t>and the value of the Parties</w:t>
      </w:r>
      <w:r w:rsidRPr="00E5711D" w:rsidR="002F6F89">
        <w:t>’</w:t>
      </w:r>
      <w:r w:rsidRPr="00E5711D" w:rsidR="00E1264E">
        <w:t xml:space="preserve"> certifications </w:t>
      </w:r>
      <w:r w:rsidRPr="00E5711D">
        <w:t xml:space="preserve">is the fact that the Licensee’s portion of the application appeared to have been certified by Rafael Marques Aguirre, </w:t>
      </w:r>
      <w:r w:rsidRPr="00E5711D" w:rsidR="005F75A8">
        <w:t>a</w:t>
      </w:r>
      <w:r w:rsidRPr="00E5711D">
        <w:t xml:space="preserve"> former owner of the </w:t>
      </w:r>
      <w:r w:rsidRPr="00E5711D" w:rsidR="005F75A8">
        <w:t>S</w:t>
      </w:r>
      <w:r w:rsidRPr="00E5711D">
        <w:t>tation</w:t>
      </w:r>
      <w:r w:rsidRPr="00E5711D" w:rsidR="005F75A8">
        <w:t>s</w:t>
      </w:r>
      <w:r w:rsidRPr="00E5711D">
        <w:t xml:space="preserve"> and an individual</w:t>
      </w:r>
      <w:r w:rsidRPr="00E5711D" w:rsidR="00317B4F">
        <w:t xml:space="preserve"> purportedly un</w:t>
      </w:r>
      <w:r w:rsidRPr="00E5711D">
        <w:t>involved with the instant transaction.</w:t>
      </w:r>
      <w:r>
        <w:rPr>
          <w:rStyle w:val="FootnoteReference"/>
        </w:rPr>
        <w:footnoteReference w:id="149"/>
      </w:r>
      <w:r w:rsidRPr="00E5711D" w:rsidR="00E1264E">
        <w:t xml:space="preserve"> </w:t>
      </w:r>
      <w:r w:rsidRPr="00E5711D" w:rsidR="00027A9C">
        <w:t xml:space="preserve"> </w:t>
      </w:r>
      <w:r w:rsidRPr="00E5711D" w:rsidR="00E1264E">
        <w:t xml:space="preserve">Thus, as initially filed, the Transfer Application did not contain a valid certification by the </w:t>
      </w:r>
      <w:r w:rsidRPr="00E5711D" w:rsidR="002F6F89">
        <w:t>Licensee</w:t>
      </w:r>
      <w:r w:rsidRPr="00E5711D" w:rsidR="00E1264E">
        <w:t xml:space="preserve">. </w:t>
      </w:r>
      <w:r w:rsidRPr="00E5711D" w:rsidR="002F6F89">
        <w:t xml:space="preserve"> In response to the Bureau’s inquiries about the error, the Parties subsequently amended the pending Transfer Application to provide a certification by Rygaard as the “Sole Shareholder of 97.5 Holdings, TX Inc.”</w:t>
      </w:r>
      <w:r>
        <w:rPr>
          <w:rStyle w:val="FootnoteReference"/>
        </w:rPr>
        <w:footnoteReference w:id="150"/>
      </w:r>
      <w:r w:rsidRPr="00E5711D" w:rsidR="002F6F89">
        <w:t xml:space="preserve">  </w:t>
      </w:r>
      <w:r w:rsidRPr="00E5711D" w:rsidR="00027A9C">
        <w:t>At the very least, t</w:t>
      </w:r>
      <w:r w:rsidRPr="00E5711D">
        <w:t>he fact that Mr. Aguirre’s name</w:t>
      </w:r>
      <w:r w:rsidRPr="00E5711D" w:rsidR="002F6F89">
        <w:t xml:space="preserve"> </w:t>
      </w:r>
      <w:r w:rsidRPr="00E5711D">
        <w:t>appeared in the Licensee’s certification suggest</w:t>
      </w:r>
      <w:r w:rsidR="000D6810">
        <w:t>s</w:t>
      </w:r>
      <w:r w:rsidRPr="00E5711D">
        <w:t xml:space="preserve"> that the Parties</w:t>
      </w:r>
      <w:r w:rsidRPr="00E5711D" w:rsidR="005F75A8">
        <w:t xml:space="preserve">—and </w:t>
      </w:r>
      <w:r w:rsidRPr="00E5711D">
        <w:t>in particular Rygaard</w:t>
      </w:r>
      <w:r w:rsidRPr="00E5711D" w:rsidR="005F75A8">
        <w:t>—f</w:t>
      </w:r>
      <w:r w:rsidRPr="00E5711D">
        <w:t xml:space="preserve">ailed to carefully review the </w:t>
      </w:r>
      <w:r w:rsidRPr="00E5711D" w:rsidR="00C53701">
        <w:t>Transfer A</w:t>
      </w:r>
      <w:r w:rsidRPr="00E5711D">
        <w:t>pplication prior to its submission</w:t>
      </w:r>
      <w:r w:rsidRPr="00E5711D" w:rsidR="002F6F89">
        <w:t>, further undermining the veracity of the certifications made therein</w:t>
      </w:r>
      <w:r w:rsidRPr="00E5711D">
        <w:t xml:space="preserve">.  And </w:t>
      </w:r>
      <w:r w:rsidRPr="00E5711D" w:rsidR="0001080A">
        <w:t>indeed,</w:t>
      </w:r>
      <w:r w:rsidRPr="00E5711D">
        <w:t xml:space="preserve"> little explanation is provided for the error</w:t>
      </w:r>
      <w:r w:rsidRPr="00E5711D" w:rsidR="005F75A8">
        <w:t xml:space="preserve"> </w:t>
      </w:r>
      <w:r w:rsidRPr="00E5711D">
        <w:t>besides Rygaard’s “</w:t>
      </w:r>
      <w:r w:rsidRPr="00E5711D">
        <w:t>assum</w:t>
      </w:r>
      <w:r w:rsidRPr="00E5711D">
        <w:t>[</w:t>
      </w:r>
      <w:r w:rsidRPr="00E5711D">
        <w:t>ption</w:t>
      </w:r>
      <w:r w:rsidRPr="00E5711D">
        <w:t>] that her name appeared in the signature block for both the Transferor and Licensee.”</w:t>
      </w:r>
      <w:r>
        <w:rPr>
          <w:rStyle w:val="FootnoteReference"/>
        </w:rPr>
        <w:footnoteReference w:id="151"/>
      </w:r>
      <w:r w:rsidRPr="00E5711D" w:rsidR="005B2712">
        <w:t xml:space="preserve">  </w:t>
      </w:r>
      <w:r w:rsidRPr="00E5711D" w:rsidR="00210729">
        <w:t xml:space="preserve">  </w:t>
      </w:r>
    </w:p>
    <w:p w:rsidR="005B2712" w:rsidRPr="00E5711D" w:rsidP="00525F67" w14:paraId="3D269AC1" w14:textId="4C3A1D68">
      <w:pPr>
        <w:pStyle w:val="ParaNum"/>
        <w:widowControl/>
      </w:pPr>
      <w:r w:rsidRPr="00E5711D">
        <w:rPr>
          <w:snapToGrid/>
        </w:rPr>
        <w:t>Ultimately, the Transfer Application required each Party to certify to the Commission that</w:t>
      </w:r>
      <w:r w:rsidRPr="00E5711D">
        <w:t xml:space="preserve"> “all statements made in this application and in the exhibits, attachments, or documents incorporated by reference are material, are part of this application, and are true, complete, correct, and made in good faith.</w:t>
      </w:r>
      <w:r w:rsidRPr="00E5711D">
        <w:rPr>
          <w:snapToGrid/>
        </w:rPr>
        <w:t>”</w:t>
      </w:r>
      <w:r>
        <w:rPr>
          <w:rStyle w:val="FootnoteReference"/>
          <w:snapToGrid/>
          <w:spacing w:val="-3"/>
        </w:rPr>
        <w:footnoteReference w:id="152"/>
      </w:r>
      <w:r w:rsidRPr="00E5711D">
        <w:rPr>
          <w:snapToGrid/>
        </w:rPr>
        <w:t xml:space="preserve">  The form cautioned applicants further that “WILLFUL FALSE STATEMENTS . . . ARE PUNISHABLE BY FINE AND/OR IMPRISONMENT (U.S. CODE, TITLE 18, SECTION 1001), AND/OR REVOCATION OF ANY STATION LICENSE OR CONSTRUCTION PERMIT (U.S. CODE, </w:t>
      </w:r>
      <w:r w:rsidRPr="00E5711D">
        <w:rPr>
          <w:snapToGrid/>
        </w:rPr>
        <w:t>TITLE 47, SECTION 312(a)(1)), AND/OR FORFEITURE (U.S. CODE, TITLE 47, SECTION 503).”</w:t>
      </w:r>
      <w:r>
        <w:rPr>
          <w:rStyle w:val="FootnoteReference"/>
          <w:snapToGrid/>
          <w:spacing w:val="-3"/>
        </w:rPr>
        <w:footnoteReference w:id="153"/>
      </w:r>
      <w:r w:rsidRPr="00E5711D">
        <w:rPr>
          <w:snapToGrid/>
        </w:rPr>
        <w:t xml:space="preserve">  </w:t>
      </w:r>
      <w:r w:rsidRPr="00E5711D">
        <w:t>Rygaard signed the Transferor’s portion of the form affirmatively</w:t>
      </w:r>
      <w:r w:rsidRPr="00E5711D" w:rsidR="00CD588A">
        <w:t>,</w:t>
      </w:r>
      <w:r w:rsidRPr="00E5711D">
        <w:t xml:space="preserve"> representing that the Parties’ agreements “complied fully” with the Commission’s Rules and policies</w:t>
      </w:r>
      <w:r w:rsidR="008634A5">
        <w:t>,</w:t>
      </w:r>
      <w:r w:rsidRPr="00E5711D">
        <w:t xml:space="preserve"> that the documents provided “embody the complete and final understanding between” the Parties</w:t>
      </w:r>
      <w:r w:rsidR="008634A5">
        <w:t>,</w:t>
      </w:r>
      <w:r w:rsidRPr="00E5711D">
        <w:t xml:space="preserve"> and that copies of all agreements for the sale/transfer of the stations had been provided.</w:t>
      </w:r>
      <w:r>
        <w:rPr>
          <w:rStyle w:val="FootnoteReference"/>
        </w:rPr>
        <w:footnoteReference w:id="154"/>
      </w:r>
      <w:r w:rsidRPr="00E5711D">
        <w:t xml:space="preserve">  Toscano made a similar certification as the Transferee.</w:t>
      </w:r>
      <w:r>
        <w:rPr>
          <w:rStyle w:val="FootnoteReference"/>
        </w:rPr>
        <w:footnoteReference w:id="155"/>
      </w:r>
      <w:r w:rsidRPr="00E5711D">
        <w:t xml:space="preserve">  In reality, however, the statements, exhibits, attachments, and documents were far from complete or </w:t>
      </w:r>
      <w:r w:rsidRPr="00E5711D" w:rsidR="00B25B3B">
        <w:t>compliant</w:t>
      </w:r>
      <w:r w:rsidRPr="00E5711D">
        <w:t xml:space="preserve"> with the Commission’s </w:t>
      </w:r>
      <w:r w:rsidRPr="00E5711D" w:rsidR="00CD588A">
        <w:t>R</w:t>
      </w:r>
      <w:r w:rsidRPr="00E5711D">
        <w:t xml:space="preserve">ules.  </w:t>
      </w:r>
      <w:r w:rsidRPr="00E5711D" w:rsidR="006B7C80">
        <w:t>Collectively, the</w:t>
      </w:r>
      <w:r w:rsidRPr="00E5711D" w:rsidR="006C3840">
        <w:t xml:space="preserve"> </w:t>
      </w:r>
      <w:r w:rsidRPr="004549E8" w:rsidR="004549E8">
        <w:t>failure to disclose Pro Radio’s operation of the Station</w:t>
      </w:r>
      <w:r w:rsidR="004549E8">
        <w:t>s</w:t>
      </w:r>
      <w:r w:rsidRPr="004549E8" w:rsidR="004549E8">
        <w:t xml:space="preserve"> and the involvement of Toscano</w:t>
      </w:r>
      <w:r w:rsidRPr="00E5711D" w:rsidR="006C3840">
        <w:t xml:space="preserve">, </w:t>
      </w:r>
      <w:r w:rsidRPr="00E5711D" w:rsidR="00CD588A">
        <w:t xml:space="preserve">the inaccurate certifications as to the completeness of the transaction materials, </w:t>
      </w:r>
      <w:r w:rsidRPr="00E5711D" w:rsidR="006C3840">
        <w:t xml:space="preserve">the </w:t>
      </w:r>
      <w:r w:rsidRPr="00E5711D" w:rsidR="006B7C80">
        <w:t>omission of the</w:t>
      </w:r>
      <w:r w:rsidRPr="00E5711D" w:rsidR="00F06339">
        <w:t xml:space="preserve"> </w:t>
      </w:r>
      <w:r w:rsidRPr="00E5711D" w:rsidR="006B7C80">
        <w:t>loan documents</w:t>
      </w:r>
      <w:r w:rsidRPr="00E5711D" w:rsidR="00027A9C">
        <w:t>, and</w:t>
      </w:r>
      <w:r w:rsidRPr="00E5711D" w:rsidR="006B7C80">
        <w:t xml:space="preserve"> </w:t>
      </w:r>
      <w:r w:rsidRPr="00E5711D" w:rsidR="00027A9C">
        <w:t xml:space="preserve">the erroneous certification of the Licensee’s portion of the form </w:t>
      </w:r>
      <w:r w:rsidRPr="00E5711D" w:rsidR="006B7C80">
        <w:t>raises substantial and material questions regarding whether the Parties have misrepresented information to the Commission and/or lacked candor in violation of section 1.17(a)(1) of our Rules.</w:t>
      </w:r>
      <w:r w:rsidRPr="00E5711D" w:rsidR="00222B26">
        <w:t xml:space="preserve">  </w:t>
      </w:r>
    </w:p>
    <w:p w:rsidR="003A7738" w:rsidRPr="00E5711D" w:rsidP="00142D95" w14:paraId="25ACDC11" w14:textId="2AA3E0A9">
      <w:pPr>
        <w:pStyle w:val="ParaNum"/>
        <w:widowControl/>
      </w:pPr>
      <w:r w:rsidRPr="00E5711D">
        <w:rPr>
          <w:i/>
        </w:rPr>
        <w:t xml:space="preserve">Errors in other contemporaneous Commission </w:t>
      </w:r>
      <w:r w:rsidRPr="00E5711D" w:rsidR="005B2712">
        <w:rPr>
          <w:i/>
        </w:rPr>
        <w:t>filings.</w:t>
      </w:r>
      <w:r w:rsidRPr="00E5711D" w:rsidR="005B2712">
        <w:t xml:space="preserve">  </w:t>
      </w:r>
      <w:r w:rsidRPr="00E5711D">
        <w:t xml:space="preserve">In addition to errors and omissions in the Transfer </w:t>
      </w:r>
      <w:r w:rsidRPr="00E5711D" w:rsidR="00620A55">
        <w:t>A</w:t>
      </w:r>
      <w:r w:rsidRPr="00E5711D">
        <w:t xml:space="preserve">pplication, ownership reports filed by the Licensee </w:t>
      </w:r>
      <w:r w:rsidRPr="00E5711D" w:rsidR="00597C11">
        <w:t xml:space="preserve">since Rygaard acquired control of the Stations </w:t>
      </w:r>
      <w:r w:rsidRPr="00E5711D" w:rsidR="001C763C">
        <w:t xml:space="preserve">in 2022 </w:t>
      </w:r>
      <w:r w:rsidRPr="00E5711D">
        <w:t xml:space="preserve">reflect a number of errors that appear to conflate information </w:t>
      </w:r>
      <w:r w:rsidRPr="00E5711D" w:rsidR="00DF0764">
        <w:t>about</w:t>
      </w:r>
      <w:r w:rsidRPr="00E5711D">
        <w:t xml:space="preserve"> the </w:t>
      </w:r>
      <w:r w:rsidRPr="00E5711D" w:rsidR="00752617">
        <w:t xml:space="preserve">former, </w:t>
      </w:r>
      <w:r w:rsidRPr="00E5711D">
        <w:t xml:space="preserve">current, and </w:t>
      </w:r>
      <w:r w:rsidRPr="00E5711D" w:rsidR="00675F9A">
        <w:t>proposed</w:t>
      </w:r>
      <w:r w:rsidRPr="00E5711D">
        <w:t xml:space="preserve"> owners</w:t>
      </w:r>
      <w:r w:rsidRPr="00E5711D" w:rsidR="00675F9A">
        <w:t xml:space="preserve"> of the Station</w:t>
      </w:r>
      <w:r w:rsidRPr="00E5711D" w:rsidR="001C763C">
        <w:t>s</w:t>
      </w:r>
      <w:r w:rsidR="00BF624A">
        <w:t>,</w:t>
      </w:r>
      <w:r w:rsidRPr="00E5711D" w:rsidR="001A6E76">
        <w:t xml:space="preserve"> as described below</w:t>
      </w:r>
      <w:r w:rsidRPr="00E5711D" w:rsidR="001C763C">
        <w:t xml:space="preserve">.  This </w:t>
      </w:r>
      <w:r w:rsidRPr="00E5711D" w:rsidR="00950113">
        <w:t>provides</w:t>
      </w:r>
      <w:r w:rsidRPr="00E5711D" w:rsidR="001C763C">
        <w:t xml:space="preserve"> further </w:t>
      </w:r>
      <w:r w:rsidRPr="00E5711D" w:rsidR="00950113">
        <w:t xml:space="preserve">evidence </w:t>
      </w:r>
      <w:r w:rsidRPr="00E5711D" w:rsidR="00E22D80">
        <w:t xml:space="preserve">of </w:t>
      </w:r>
      <w:r w:rsidRPr="00E5711D">
        <w:t>the Licensee</w:t>
      </w:r>
      <w:r w:rsidRPr="00E5711D" w:rsidR="00E22D80">
        <w:t>’s</w:t>
      </w:r>
      <w:r w:rsidRPr="00E5711D" w:rsidR="00331D4E">
        <w:t xml:space="preserve"> failure to disclose material fact</w:t>
      </w:r>
      <w:r w:rsidRPr="00E5711D" w:rsidR="00C80439">
        <w:t>s</w:t>
      </w:r>
      <w:r w:rsidRPr="00E5711D" w:rsidR="00397090">
        <w:t xml:space="preserve"> with its submissions</w:t>
      </w:r>
      <w:r w:rsidRPr="00E5711D" w:rsidR="00C80439">
        <w:t>, raising serious concern</w:t>
      </w:r>
      <w:r w:rsidR="00BF624A">
        <w:t>s</w:t>
      </w:r>
      <w:r w:rsidRPr="00E5711D" w:rsidR="00C80439">
        <w:t xml:space="preserve"> about </w:t>
      </w:r>
      <w:r w:rsidRPr="00E5711D" w:rsidR="00AE5DE8">
        <w:t>whether it</w:t>
      </w:r>
      <w:r w:rsidRPr="00E5711D">
        <w:t xml:space="preserve"> </w:t>
      </w:r>
      <w:r w:rsidRPr="00E5711D" w:rsidR="00C86092">
        <w:t xml:space="preserve">has lacked candor and/or </w:t>
      </w:r>
      <w:r w:rsidRPr="00E5711D" w:rsidR="00675F9A">
        <w:t>has misrepresented information to the Commission</w:t>
      </w:r>
      <w:r w:rsidRPr="00E5711D" w:rsidR="001C763C">
        <w:t xml:space="preserve">, as well as </w:t>
      </w:r>
      <w:r w:rsidRPr="00E5711D" w:rsidR="00C86092">
        <w:t>that</w:t>
      </w:r>
      <w:r w:rsidRPr="00E5711D" w:rsidR="001C763C">
        <w:t xml:space="preserve"> an unauthorized transfer of control</w:t>
      </w:r>
      <w:r w:rsidRPr="00E5711D" w:rsidR="00C86092">
        <w:t xml:space="preserve"> has occurred</w:t>
      </w:r>
      <w:r w:rsidRPr="00E5711D" w:rsidR="00675F9A">
        <w:t xml:space="preserve">.  </w:t>
      </w:r>
    </w:p>
    <w:p w:rsidR="001F60E6" w:rsidRPr="00E5711D" w:rsidP="001F60E6" w14:paraId="4E24E459" w14:textId="7C9EE0C0">
      <w:pPr>
        <w:pStyle w:val="ParaNum"/>
      </w:pPr>
      <w:r w:rsidRPr="00E5711D">
        <w:t>As the Bureau noted in its LOI, in ownership report</w:t>
      </w:r>
      <w:r w:rsidRPr="00E5711D" w:rsidR="00DF0764">
        <w:t>s</w:t>
      </w:r>
      <w:r w:rsidRPr="00E5711D">
        <w:t xml:space="preserve"> filed by the Licensee </w:t>
      </w:r>
      <w:r w:rsidRPr="00E5711D" w:rsidR="00DF0764">
        <w:t xml:space="preserve">in </w:t>
      </w:r>
      <w:r w:rsidRPr="00E5711D">
        <w:t>2022</w:t>
      </w:r>
      <w:r>
        <w:rPr>
          <w:vertAlign w:val="superscript"/>
        </w:rPr>
        <w:footnoteReference w:id="156"/>
      </w:r>
      <w:r w:rsidRPr="00E5711D">
        <w:t xml:space="preserve"> and 2023</w:t>
      </w:r>
      <w:r w:rsidRPr="00E5711D" w:rsidR="00597C11">
        <w:rPr>
          <w:szCs w:val="22"/>
        </w:rPr>
        <w:t>,</w:t>
      </w:r>
      <w:r>
        <w:rPr>
          <w:vertAlign w:val="superscript"/>
        </w:rPr>
        <w:footnoteReference w:id="157"/>
      </w:r>
      <w:r w:rsidRPr="00E5711D">
        <w:rPr>
          <w:szCs w:val="22"/>
        </w:rPr>
        <w:t xml:space="preserve"> </w:t>
      </w:r>
      <w:r w:rsidRPr="00E5711D" w:rsidR="00597C11">
        <w:t xml:space="preserve">97.5 Licensee reported that </w:t>
      </w:r>
      <w:r w:rsidRPr="00E5711D">
        <w:t xml:space="preserve">Cynthia Denise Johnson was an officer of the Licensee.  </w:t>
      </w:r>
      <w:bookmarkStart w:id="161" w:name="_Hlk168928591"/>
      <w:r w:rsidRPr="00E5711D">
        <w:t xml:space="preserve">In response to the Bureau’s inquiries as to Ms. Johnson’s </w:t>
      </w:r>
      <w:bookmarkEnd w:id="161"/>
      <w:r w:rsidRPr="00E5711D" w:rsidR="00597C11">
        <w:t>involvement with 97.5 Licensee</w:t>
      </w:r>
      <w:r w:rsidRPr="00E5711D">
        <w:t xml:space="preserve">, the Licensee </w:t>
      </w:r>
      <w:r w:rsidRPr="00E5711D" w:rsidR="00072963">
        <w:t xml:space="preserve">stated that Ms. Johnson is </w:t>
      </w:r>
      <w:r w:rsidRPr="00E5711D" w:rsidR="00597C11">
        <w:t xml:space="preserve">in fact, </w:t>
      </w:r>
      <w:r w:rsidRPr="00E5711D" w:rsidR="00597C11">
        <w:rPr>
          <w:i/>
        </w:rPr>
        <w:t>not</w:t>
      </w:r>
      <w:r w:rsidRPr="00E5711D" w:rsidR="00597C11">
        <w:t xml:space="preserve"> an officer of 97.5 Licensee, but rather is </w:t>
      </w:r>
      <w:r w:rsidRPr="00E5711D" w:rsidR="00072963">
        <w:t xml:space="preserve">the </w:t>
      </w:r>
      <w:r w:rsidRPr="00E5711D" w:rsidR="00DF0764">
        <w:rPr>
          <w:szCs w:val="22"/>
        </w:rPr>
        <w:t>“</w:t>
      </w:r>
      <w:r w:rsidRPr="00E5711D" w:rsidR="00072963">
        <w:t xml:space="preserve">Business Manager for Pro Radio,” the programmer of the Stations ultimately </w:t>
      </w:r>
      <w:r w:rsidR="00BF624A">
        <w:t>owned</w:t>
      </w:r>
      <w:r w:rsidRPr="00E5711D" w:rsidR="00DF0764">
        <w:t xml:space="preserve"> </w:t>
      </w:r>
      <w:r w:rsidRPr="00E5711D" w:rsidR="00072963">
        <w:t>by Toscano</w:t>
      </w:r>
      <w:r w:rsidR="00BF624A">
        <w:t xml:space="preserve"> and her sisters</w:t>
      </w:r>
      <w:r w:rsidRPr="00E5711D" w:rsidR="00072963">
        <w:t>.</w:t>
      </w:r>
      <w:r>
        <w:rPr>
          <w:rStyle w:val="FootnoteReference"/>
        </w:rPr>
        <w:footnoteReference w:id="158"/>
      </w:r>
      <w:r w:rsidRPr="00E5711D" w:rsidR="00072963">
        <w:rPr>
          <w:szCs w:val="22"/>
        </w:rPr>
        <w:t xml:space="preserve">  </w:t>
      </w:r>
      <w:r w:rsidRPr="00E5711D" w:rsidR="00597C11">
        <w:t>The LOI Response stated that the inclusion of Ms. Johnson as an officer on the 97.5 Licensee ownership report was “a mistake with miscommunication due to a language barrier</w:t>
      </w:r>
      <w:r w:rsidRPr="00E5711D" w:rsidR="00DF0764">
        <w:rPr>
          <w:szCs w:val="22"/>
        </w:rPr>
        <w:t>,</w:t>
      </w:r>
      <w:r w:rsidRPr="00E5711D" w:rsidR="00597C11">
        <w:t>” though who was involved in the miscommunication or how it occurred was not specified.</w:t>
      </w:r>
      <w:r>
        <w:rPr>
          <w:rStyle w:val="FootnoteReference"/>
        </w:rPr>
        <w:footnoteReference w:id="159"/>
      </w:r>
      <w:r w:rsidRPr="00E5711D" w:rsidR="00597C11">
        <w:rPr>
          <w:szCs w:val="22"/>
        </w:rPr>
        <w:t xml:space="preserve">  </w:t>
      </w:r>
      <w:r w:rsidRPr="00E5711D">
        <w:t>In addition, while the Licensee initially stated in the LOI Response that Ms. Johnson began her position with Pro Radio in 2018—several years before the company</w:t>
      </w:r>
      <w:r w:rsidRPr="00E5711D" w:rsidR="006C3840">
        <w:t xml:space="preserve"> even</w:t>
      </w:r>
      <w:r w:rsidRPr="00E5711D">
        <w:t xml:space="preserve"> existed—</w:t>
      </w:r>
      <w:r w:rsidR="00BF624A">
        <w:t>the Parties</w:t>
      </w:r>
      <w:r w:rsidRPr="00E5711D">
        <w:t xml:space="preserve"> </w:t>
      </w:r>
      <w:r w:rsidR="00BF624A">
        <w:t xml:space="preserve">later </w:t>
      </w:r>
      <w:r w:rsidRPr="00E5711D">
        <w:t xml:space="preserve">revised </w:t>
      </w:r>
      <w:r w:rsidR="00BF624A">
        <w:t xml:space="preserve">that </w:t>
      </w:r>
      <w:r w:rsidRPr="00E5711D">
        <w:t>answer to state that Ms. Johnson “began her role as Business Manager of Pro Radio in November 2022.”</w:t>
      </w:r>
      <w:r>
        <w:rPr>
          <w:rStyle w:val="FootnoteReference"/>
        </w:rPr>
        <w:footnoteReference w:id="160"/>
      </w:r>
      <w:r w:rsidRPr="00E5711D">
        <w:t xml:space="preserve">  No explanation was given for the error</w:t>
      </w:r>
      <w:r w:rsidRPr="00E5711D" w:rsidR="00511B57">
        <w:t xml:space="preserve">, however, </w:t>
      </w:r>
      <w:r w:rsidR="00AA66BD">
        <w:t>the Parties indicate</w:t>
      </w:r>
      <w:r w:rsidRPr="00E5711D" w:rsidR="00511B57">
        <w:t xml:space="preserve"> that Ms. Johnson was also employed in a similar capacity by Grupo Radio</w:t>
      </w:r>
      <w:r w:rsidRPr="00E5711D" w:rsidR="00F90118">
        <w:t xml:space="preserve"> </w:t>
      </w:r>
      <w:r w:rsidR="00AA66BD">
        <w:t>TX</w:t>
      </w:r>
      <w:r w:rsidRPr="00E5711D" w:rsidR="00511B57">
        <w:t>, the former minority owner of the Stations.</w:t>
      </w:r>
      <w:r>
        <w:rPr>
          <w:rStyle w:val="FootnoteReference"/>
        </w:rPr>
        <w:footnoteReference w:id="161"/>
      </w:r>
      <w:r w:rsidR="00AA66BD">
        <w:t xml:space="preserve"> </w:t>
      </w:r>
      <w:r w:rsidRPr="00E5711D" w:rsidR="00511B57">
        <w:t xml:space="preserve">  </w:t>
      </w:r>
    </w:p>
    <w:p w:rsidR="00B32E22" w:rsidRPr="00E5711D" w:rsidP="00B32E22" w14:paraId="190403F6" w14:textId="573FCB71">
      <w:pPr>
        <w:pStyle w:val="ParaNum"/>
        <w:widowControl/>
      </w:pPr>
      <w:r w:rsidRPr="00E5711D">
        <w:t>In addition to l</w:t>
      </w:r>
      <w:r w:rsidRPr="00E5711D" w:rsidR="00F90118">
        <w:t xml:space="preserve">isting </w:t>
      </w:r>
      <w:r w:rsidRPr="00E5711D" w:rsidR="00072963">
        <w:t xml:space="preserve">Ms. Johnson as an officer of the Licensee when in fact she was an officer of </w:t>
      </w:r>
      <w:r w:rsidRPr="00E5711D" w:rsidR="001B173C">
        <w:t>the</w:t>
      </w:r>
      <w:r w:rsidR="00A0431B">
        <w:t xml:space="preserve"> company programming the Stations</w:t>
      </w:r>
      <w:r w:rsidRPr="00E5711D" w:rsidR="00072963">
        <w:t xml:space="preserve">, </w:t>
      </w:r>
      <w:r w:rsidRPr="00E5711D">
        <w:t>there</w:t>
      </w:r>
      <w:r w:rsidRPr="00E5711D" w:rsidR="00375823">
        <w:t xml:space="preserve"> were other</w:t>
      </w:r>
      <w:r w:rsidRPr="00E5711D" w:rsidR="00C0341D">
        <w:t xml:space="preserve"> error</w:t>
      </w:r>
      <w:r w:rsidRPr="00E5711D" w:rsidR="00375823">
        <w:t>s</w:t>
      </w:r>
      <w:r w:rsidRPr="00E5711D" w:rsidR="00C0341D">
        <w:t xml:space="preserve"> in </w:t>
      </w:r>
      <w:r w:rsidRPr="00E5711D" w:rsidR="00072963">
        <w:t>the Licensee’s ownership report</w:t>
      </w:r>
      <w:r w:rsidRPr="00E5711D" w:rsidR="00C0341D">
        <w:t xml:space="preserve"> filings.  </w:t>
      </w:r>
      <w:r w:rsidR="00A0431B">
        <w:t>For example, d</w:t>
      </w:r>
      <w:r w:rsidRPr="00E5711D" w:rsidR="00263DAD">
        <w:t>uring the pendency of</w:t>
      </w:r>
      <w:r w:rsidRPr="00E5711D" w:rsidR="00597C11">
        <w:t xml:space="preserve"> the Transfer Application</w:t>
      </w:r>
      <w:r w:rsidRPr="00E5711D" w:rsidR="00263DAD">
        <w:t>, the Licensee submitted a</w:t>
      </w:r>
      <w:r w:rsidRPr="00E5711D" w:rsidR="00597C11">
        <w:t xml:space="preserve"> </w:t>
      </w:r>
      <w:r w:rsidRPr="00E5711D" w:rsidR="00072963">
        <w:t>biennial ownership report</w:t>
      </w:r>
      <w:r w:rsidRPr="00E5711D" w:rsidR="001F60E6">
        <w:t xml:space="preserve"> </w:t>
      </w:r>
      <w:r w:rsidRPr="00E5711D" w:rsidR="001C763C">
        <w:t>indicating</w:t>
      </w:r>
      <w:r w:rsidRPr="00E5711D" w:rsidR="00072963">
        <w:t xml:space="preserve"> that Toscano</w:t>
      </w:r>
      <w:r w:rsidRPr="00E5711D" w:rsidR="002D5F42">
        <w:t>—</w:t>
      </w:r>
      <w:r w:rsidRPr="00E5711D" w:rsidR="00072963">
        <w:t xml:space="preserve">the proposed, and </w:t>
      </w:r>
      <w:r w:rsidRPr="00E5711D" w:rsidR="00C0341D">
        <w:t xml:space="preserve">still </w:t>
      </w:r>
      <w:r w:rsidRPr="00E5711D" w:rsidR="00072963">
        <w:t>as-yet unapproved, Transferee</w:t>
      </w:r>
      <w:r w:rsidRPr="00E5711D" w:rsidR="002D5F42">
        <w:t>—</w:t>
      </w:r>
      <w:r w:rsidRPr="00E5711D" w:rsidR="00072963">
        <w:t>own</w:t>
      </w:r>
      <w:r w:rsidRPr="00E5711D" w:rsidR="001F60E6">
        <w:t>ed</w:t>
      </w:r>
      <w:r w:rsidRPr="00E5711D" w:rsidR="00072963">
        <w:t xml:space="preserve"> 100% of the voting and equity interests of the Licensee’s parent company, 97.5 Holdings.</w:t>
      </w:r>
      <w:r>
        <w:rPr>
          <w:vertAlign w:val="superscript"/>
        </w:rPr>
        <w:footnoteReference w:id="162"/>
      </w:r>
      <w:r w:rsidRPr="00E5711D" w:rsidR="00C0341D">
        <w:t xml:space="preserve">  </w:t>
      </w:r>
      <w:r w:rsidRPr="00E5711D" w:rsidR="00310E68">
        <w:t>In addition, the ownership report filed for the licensee level listed the former owner Rafael Marquez Aguirre as manager and Cynthia Denise Johnson as an officer.</w:t>
      </w:r>
      <w:r>
        <w:rPr>
          <w:rStyle w:val="FootnoteReference"/>
        </w:rPr>
        <w:footnoteReference w:id="163"/>
      </w:r>
      <w:r w:rsidRPr="00E5711D" w:rsidR="00310E68">
        <w:t xml:space="preserve">  </w:t>
      </w:r>
      <w:r w:rsidRPr="00E5711D" w:rsidR="00C0341D">
        <w:t xml:space="preserve">When </w:t>
      </w:r>
      <w:r w:rsidRPr="00E5711D" w:rsidR="001F60E6">
        <w:t xml:space="preserve">confronted with </w:t>
      </w:r>
      <w:r w:rsidRPr="00E5711D" w:rsidR="00752617">
        <w:t>the matter</w:t>
      </w:r>
      <w:r w:rsidRPr="00E5711D" w:rsidR="001F60E6">
        <w:t>, the Licensee amended the</w:t>
      </w:r>
      <w:r w:rsidRPr="00E5711D" w:rsidR="00752617">
        <w:t xml:space="preserve"> ownership</w:t>
      </w:r>
      <w:r w:rsidRPr="00E5711D" w:rsidR="001F60E6">
        <w:t xml:space="preserve"> reports “to provide the correct, current ownership structure”</w:t>
      </w:r>
      <w:r w:rsidRPr="00E5711D" w:rsidR="00752617">
        <w:t xml:space="preserve"> by substituting Rygaard for Toscano.</w:t>
      </w:r>
      <w:r>
        <w:rPr>
          <w:rStyle w:val="FootnoteReference"/>
        </w:rPr>
        <w:footnoteReference w:id="164"/>
      </w:r>
      <w:r w:rsidRPr="00E5711D" w:rsidR="00752617">
        <w:t xml:space="preserve">  </w:t>
      </w:r>
      <w:r w:rsidRPr="00E5711D" w:rsidR="001B173C">
        <w:t xml:space="preserve">By way of explanation, the Licensee blamed an inexperienced attorney at the law firm it retains </w:t>
      </w:r>
      <w:r w:rsidRPr="00E5711D" w:rsidR="00DF0764">
        <w:t>for</w:t>
      </w:r>
      <w:r w:rsidRPr="00E5711D" w:rsidR="001B173C">
        <w:t xml:space="preserve"> FCC matters.</w:t>
      </w:r>
      <w:r>
        <w:rPr>
          <w:rStyle w:val="FootnoteReference"/>
        </w:rPr>
        <w:footnoteReference w:id="165"/>
      </w:r>
      <w:r w:rsidRPr="00E5711D" w:rsidR="001B173C">
        <w:t xml:space="preserve">  No information or documentation regarding who at the Licensee reviewed and approved the filing of the erroneous ownership reports was provided</w:t>
      </w:r>
      <w:r w:rsidR="00A0431B">
        <w:t xml:space="preserve"> despite </w:t>
      </w:r>
      <w:r w:rsidRPr="00E5711D" w:rsidR="001B173C">
        <w:t xml:space="preserve">the Bureau’s request for </w:t>
      </w:r>
      <w:r w:rsidRPr="00E5711D" w:rsidR="00DF0764">
        <w:t xml:space="preserve">such </w:t>
      </w:r>
      <w:r w:rsidRPr="00E5711D" w:rsidR="001B173C">
        <w:t>information.</w:t>
      </w:r>
      <w:r>
        <w:rPr>
          <w:rStyle w:val="FootnoteReference"/>
        </w:rPr>
        <w:footnoteReference w:id="166"/>
      </w:r>
      <w:r w:rsidRPr="00E5711D">
        <w:rPr>
          <w:szCs w:val="22"/>
        </w:rPr>
        <w:t xml:space="preserve">  </w:t>
      </w:r>
    </w:p>
    <w:p w:rsidR="001318C3" w:rsidRPr="00E5711D" w:rsidP="00B32E22" w14:paraId="5EBE627D" w14:textId="1A6CA1D6">
      <w:pPr>
        <w:pStyle w:val="ParaNum"/>
        <w:widowControl/>
      </w:pPr>
      <w:r w:rsidRPr="00E5711D">
        <w:t xml:space="preserve">Like the omissions on the Transfer Application, the errors in these ownership filings </w:t>
      </w:r>
      <w:r w:rsidRPr="00E5711D" w:rsidR="00B32E22">
        <w:t xml:space="preserve">not only </w:t>
      </w:r>
      <w:r w:rsidRPr="00E5711D" w:rsidR="008B62CC">
        <w:t>raise questions as to</w:t>
      </w:r>
      <w:r w:rsidRPr="00E5711D">
        <w:t xml:space="preserve"> the ownership and control of the Stations</w:t>
      </w:r>
      <w:r w:rsidRPr="00E5711D" w:rsidR="00B32E22">
        <w:t xml:space="preserve"> but also </w:t>
      </w:r>
      <w:r w:rsidRPr="00E5711D" w:rsidR="00606B8B">
        <w:t>indicate</w:t>
      </w:r>
      <w:r w:rsidRPr="00E5711D" w:rsidR="00B32E22">
        <w:t xml:space="preserve"> that the Parties have failed to be complete, truthful, and forthcoming </w:t>
      </w:r>
      <w:r w:rsidRPr="00E5711D" w:rsidR="00FF678C">
        <w:t xml:space="preserve">in their applications before </w:t>
      </w:r>
      <w:r w:rsidRPr="00E5711D" w:rsidR="00B32E22">
        <w:t xml:space="preserve">the Commission.  </w:t>
      </w:r>
      <w:r w:rsidRPr="00E5711D">
        <w:t xml:space="preserve">Ultimately, repeated misstatements </w:t>
      </w:r>
      <w:r w:rsidRPr="00E5711D" w:rsidR="00FF678C">
        <w:t xml:space="preserve">on filings </w:t>
      </w:r>
      <w:r w:rsidRPr="00E5711D" w:rsidR="0054665E">
        <w:t xml:space="preserve">raise </w:t>
      </w:r>
      <w:r w:rsidRPr="00E5711D" w:rsidR="003400A9">
        <w:t>substantial and material questions of fact</w:t>
      </w:r>
      <w:r w:rsidRPr="00E5711D">
        <w:t xml:space="preserve"> that the Parties were intentionally misleading the Commission.  </w:t>
      </w:r>
      <w:r w:rsidR="008D1C2B">
        <w:t>Alleged f</w:t>
      </w:r>
      <w:r w:rsidRPr="00E5711D">
        <w:t xml:space="preserve">ailure to carefully review forms, vague </w:t>
      </w:r>
      <w:r w:rsidRPr="00E5711D" w:rsidR="00E21CBD">
        <w:t xml:space="preserve">references to </w:t>
      </w:r>
      <w:r w:rsidRPr="00E5711D">
        <w:t>misunderstandings</w:t>
      </w:r>
      <w:r w:rsidRPr="00E5711D" w:rsidR="00C43D40">
        <w:t xml:space="preserve"> and</w:t>
      </w:r>
      <w:r w:rsidRPr="00E5711D">
        <w:t xml:space="preserve"> language barriers, and </w:t>
      </w:r>
      <w:r w:rsidRPr="00E5711D" w:rsidR="00C43D40">
        <w:t>poor</w:t>
      </w:r>
      <w:r w:rsidRPr="00E5711D">
        <w:t xml:space="preserve"> legal work by an outside law firm are </w:t>
      </w:r>
      <w:r w:rsidRPr="00E5711D" w:rsidR="00B32E22">
        <w:t xml:space="preserve">insufficient and uncredible </w:t>
      </w:r>
      <w:r w:rsidRPr="00E5711D">
        <w:t>excuses</w:t>
      </w:r>
      <w:r w:rsidRPr="00E5711D" w:rsidR="00FF678C">
        <w:t xml:space="preserve"> for the numerous errors and omissions observed by the Bureau</w:t>
      </w:r>
      <w:r w:rsidRPr="00E5711D">
        <w:rPr>
          <w:szCs w:val="22"/>
        </w:rPr>
        <w:t>.</w:t>
      </w:r>
      <w:r w:rsidRPr="00E5711D" w:rsidR="00B32E22">
        <w:rPr>
          <w:szCs w:val="22"/>
        </w:rPr>
        <w:t xml:space="preserve">  </w:t>
      </w:r>
      <w:r w:rsidRPr="00E5711D" w:rsidR="00062A38">
        <w:rPr>
          <w:szCs w:val="22"/>
        </w:rPr>
        <w:t xml:space="preserve">Record evidence thus </w:t>
      </w:r>
      <w:r w:rsidRPr="00E5711D" w:rsidR="00970EA7">
        <w:rPr>
          <w:szCs w:val="22"/>
        </w:rPr>
        <w:t>raises serious concerns</w:t>
      </w:r>
      <w:r w:rsidRPr="00E5711D" w:rsidR="00AD1558">
        <w:rPr>
          <w:szCs w:val="22"/>
        </w:rPr>
        <w:t xml:space="preserve"> </w:t>
      </w:r>
      <w:r w:rsidRPr="00E5711D" w:rsidR="00E21CBD">
        <w:t>that the Parties have consistently engaged in misrepresentation and/or lack of candor before the Commission</w:t>
      </w:r>
      <w:r w:rsidRPr="00E5711D" w:rsidR="00E3756F">
        <w:t xml:space="preserve"> with the result of misleading the Commission as to who actually controls the Stations</w:t>
      </w:r>
      <w:r w:rsidRPr="00E5711D" w:rsidR="003121B0">
        <w:rPr>
          <w:szCs w:val="22"/>
        </w:rPr>
        <w:t xml:space="preserve">. </w:t>
      </w:r>
      <w:r w:rsidRPr="00E5711D" w:rsidR="00E21CBD">
        <w:rPr>
          <w:szCs w:val="22"/>
        </w:rPr>
        <w:t xml:space="preserve"> </w:t>
      </w:r>
      <w:r w:rsidRPr="00E5711D" w:rsidR="00414DD8">
        <w:t xml:space="preserve">We therefore designate for hearing appropriate issues to </w:t>
      </w:r>
      <w:r w:rsidRPr="00E5711D" w:rsidR="00B32E22">
        <w:t xml:space="preserve">confirm </w:t>
      </w:r>
      <w:r w:rsidRPr="00E5711D" w:rsidR="00414DD8">
        <w:t xml:space="preserve">whether </w:t>
      </w:r>
      <w:r w:rsidRPr="00E5711D" w:rsidR="00414DD8">
        <w:rPr>
          <w:snapToGrid/>
          <w:spacing w:val="-3"/>
        </w:rPr>
        <w:t xml:space="preserve">Rygaard and Toscano have </w:t>
      </w:r>
      <w:r w:rsidRPr="00E5711D" w:rsidR="00DE39C1">
        <w:rPr>
          <w:snapToGrid/>
          <w:spacing w:val="-3"/>
        </w:rPr>
        <w:t xml:space="preserve">failed to be truthful and accurate before the Commission in violation of </w:t>
      </w:r>
      <w:r w:rsidRPr="00E5711D" w:rsidR="00FF678C">
        <w:t>section 1.17(a)(1) of the Rules</w:t>
      </w:r>
      <w:r w:rsidRPr="00E5711D" w:rsidR="00414DD8">
        <w:rPr>
          <w:snapToGrid/>
          <w:spacing w:val="-3"/>
          <w:szCs w:val="22"/>
        </w:rPr>
        <w:t xml:space="preserve">.  </w:t>
      </w:r>
    </w:p>
    <w:p w:rsidR="008C2674" w:rsidRPr="00E5711D" w:rsidP="001F086A" w14:paraId="20869174" w14:textId="281D7E95">
      <w:pPr>
        <w:pStyle w:val="Heading2"/>
      </w:pPr>
      <w:bookmarkStart w:id="162" w:name="_Toc197085157"/>
      <w:bookmarkStart w:id="163" w:name="_Toc197093816"/>
      <w:bookmarkStart w:id="164" w:name="_Toc199497974"/>
      <w:bookmarkStart w:id="165" w:name="_Toc199498117"/>
      <w:bookmarkStart w:id="166" w:name="_Toc199761785"/>
      <w:bookmarkStart w:id="167" w:name="_Toc199778027"/>
      <w:bookmarkStart w:id="168" w:name="_Toc201584582"/>
      <w:bookmarkStart w:id="169" w:name="_Toc202182788"/>
      <w:bookmarkStart w:id="170" w:name="_Toc209708338"/>
      <w:bookmarkStart w:id="171" w:name="_Toc210117706"/>
      <w:bookmarkStart w:id="172" w:name="_Toc219206068"/>
      <w:bookmarkStart w:id="173" w:name="_Toc219206809"/>
      <w:r w:rsidRPr="00E5711D">
        <w:t>The Parties’ Responses to Bureau Inquiries</w:t>
      </w:r>
      <w:bookmarkEnd w:id="162"/>
      <w:bookmarkEnd w:id="163"/>
      <w:bookmarkEnd w:id="164"/>
      <w:bookmarkEnd w:id="165"/>
      <w:bookmarkEnd w:id="166"/>
      <w:bookmarkEnd w:id="167"/>
      <w:bookmarkEnd w:id="168"/>
      <w:bookmarkEnd w:id="169"/>
      <w:bookmarkEnd w:id="170"/>
      <w:bookmarkEnd w:id="171"/>
      <w:bookmarkEnd w:id="172"/>
      <w:bookmarkEnd w:id="173"/>
    </w:p>
    <w:p w:rsidR="0030508B" w:rsidRPr="00E5711D" w:rsidP="0030508B" w14:paraId="4125F513" w14:textId="5ACB7A80">
      <w:pPr>
        <w:pStyle w:val="ParaNum"/>
        <w:widowControl/>
      </w:pPr>
      <w:r w:rsidRPr="00E5711D">
        <w:t>The</w:t>
      </w:r>
      <w:r w:rsidRPr="00E5711D">
        <w:t xml:space="preserve"> Parties’ responses to the Bureau’s inquiries often lacked credible explanations</w:t>
      </w:r>
      <w:r w:rsidRPr="00E5711D" w:rsidR="0051009F">
        <w:t xml:space="preserve"> and sufficient detail</w:t>
      </w:r>
      <w:r w:rsidRPr="00E5711D">
        <w:t xml:space="preserve">, and in </w:t>
      </w:r>
      <w:r w:rsidRPr="00E5711D" w:rsidR="003121B0">
        <w:t>many</w:t>
      </w:r>
      <w:r w:rsidRPr="00E5711D">
        <w:t xml:space="preserve"> cases failed to fully respond to the Bureau’s request for information</w:t>
      </w:r>
      <w:r w:rsidRPr="00E5711D" w:rsidR="00C902F0">
        <w:t>.  Accordingly</w:t>
      </w:r>
      <w:r w:rsidRPr="00E5711D">
        <w:t xml:space="preserve">, </w:t>
      </w:r>
      <w:r w:rsidRPr="00E5711D" w:rsidR="003C280A">
        <w:t xml:space="preserve">we also find </w:t>
      </w:r>
      <w:r w:rsidRPr="00E5711D" w:rsidR="00E36FB3">
        <w:t>that a hearing is necessary to confirm</w:t>
      </w:r>
      <w:r w:rsidRPr="00E5711D" w:rsidR="003C280A">
        <w:t xml:space="preserve"> whether the Parties violated section 73.1015 of the Commission’s Rules.</w:t>
      </w:r>
      <w:r>
        <w:rPr>
          <w:rStyle w:val="FootnoteReference"/>
        </w:rPr>
        <w:footnoteReference w:id="167"/>
      </w:r>
    </w:p>
    <w:p w:rsidR="003C280A" w:rsidRPr="00E5711D" w:rsidP="003157EA" w14:paraId="7E60B639" w14:textId="06330607">
      <w:pPr>
        <w:pStyle w:val="ParaNum"/>
        <w:widowControl/>
      </w:pPr>
      <w:r w:rsidRPr="00E5711D">
        <w:t>Consistent with the Commission’s statutory authority to conduct investigations,</w:t>
      </w:r>
      <w:r>
        <w:rPr>
          <w:rStyle w:val="FootnoteReference"/>
        </w:rPr>
        <w:footnoteReference w:id="168"/>
      </w:r>
      <w:r w:rsidRPr="00E5711D">
        <w:t xml:space="preserve"> section 73.1015 of the </w:t>
      </w:r>
      <w:r w:rsidRPr="00E5711D" w:rsidR="0086645F">
        <w:t>R</w:t>
      </w:r>
      <w:r w:rsidRPr="00E5711D">
        <w:t xml:space="preserve">ules authorizes the Commission to require from a broadcast licensee written statements </w:t>
      </w:r>
      <w:r w:rsidRPr="00E5711D">
        <w:t>of fact relevant to any matter within its jurisdiction.</w:t>
      </w:r>
      <w:r>
        <w:rPr>
          <w:rStyle w:val="FootnoteReference"/>
        </w:rPr>
        <w:footnoteReference w:id="169"/>
      </w:r>
      <w:r w:rsidRPr="00E5711D">
        <w:rPr>
          <w:szCs w:val="22"/>
        </w:rPr>
        <w:t xml:space="preserve"> </w:t>
      </w:r>
      <w:r w:rsidRPr="00E5711D">
        <w:t xml:space="preserve"> Specifically, section 73.1015 states: </w:t>
      </w:r>
      <w:r w:rsidRPr="00E5711D">
        <w:rPr>
          <w:szCs w:val="22"/>
        </w:rPr>
        <w:t xml:space="preserve"> </w:t>
      </w:r>
      <w:r w:rsidRPr="00E5711D">
        <w:t>“The Commission or its representatives may, in</w:t>
      </w:r>
      <w:r w:rsidRPr="00E5711D">
        <w:rPr>
          <w:szCs w:val="22"/>
        </w:rPr>
        <w:t xml:space="preserve"> </w:t>
      </w:r>
      <w:r w:rsidRPr="00E5711D">
        <w:t>writing, require from any applicant, permittee, or licensee written statements of fact relevant to a</w:t>
      </w:r>
      <w:r w:rsidRPr="00E5711D">
        <w:rPr>
          <w:szCs w:val="22"/>
        </w:rPr>
        <w:t xml:space="preserve"> </w:t>
      </w:r>
      <w:r w:rsidRPr="00E5711D">
        <w:t>determination whether an application should be granted or denied, or to a determination whether a license</w:t>
      </w:r>
      <w:r w:rsidRPr="00E5711D">
        <w:rPr>
          <w:szCs w:val="22"/>
        </w:rPr>
        <w:t xml:space="preserve"> </w:t>
      </w:r>
      <w:r w:rsidRPr="00E5711D">
        <w:t>should be revoked, or to any other matter within the jurisdiction of the Commission.”</w:t>
      </w:r>
      <w:r>
        <w:rPr>
          <w:rStyle w:val="FootnoteReference"/>
        </w:rPr>
        <w:footnoteReference w:id="170"/>
      </w:r>
      <w:r w:rsidRPr="00E5711D">
        <w:t xml:space="preserve">  </w:t>
      </w:r>
      <w:r w:rsidR="00703251">
        <w:t>I</w:t>
      </w:r>
      <w:r w:rsidRPr="00E5711D">
        <w:t>t is important</w:t>
      </w:r>
      <w:r w:rsidRPr="00E5711D">
        <w:rPr>
          <w:szCs w:val="22"/>
        </w:rPr>
        <w:t xml:space="preserve"> </w:t>
      </w:r>
      <w:r w:rsidRPr="00E5711D">
        <w:t>that</w:t>
      </w:r>
      <w:r w:rsidRPr="00E5711D">
        <w:rPr>
          <w:szCs w:val="22"/>
        </w:rPr>
        <w:t xml:space="preserve"> </w:t>
      </w:r>
      <w:r w:rsidRPr="00E5711D">
        <w:t>licensees, as well as applicants and permittees</w:t>
      </w:r>
      <w:r w:rsidRPr="00E5711D">
        <w:rPr>
          <w:szCs w:val="22"/>
        </w:rPr>
        <w:t xml:space="preserve">, </w:t>
      </w:r>
      <w:r w:rsidRPr="00E5711D">
        <w:t>respond fully to Commission requests for information and</w:t>
      </w:r>
      <w:r w:rsidRPr="00E5711D">
        <w:rPr>
          <w:szCs w:val="22"/>
        </w:rPr>
        <w:t xml:space="preserve"> </w:t>
      </w:r>
      <w:r w:rsidRPr="00E5711D">
        <w:t>in a timely manner</w:t>
      </w:r>
      <w:r w:rsidRPr="00E5711D" w:rsidR="00AE2AD1">
        <w:t>, and t</w:t>
      </w:r>
      <w:r w:rsidRPr="00E5711D">
        <w:t>he failure to do so impedes the Commission’s ability to carry out its</w:t>
      </w:r>
      <w:r w:rsidRPr="00E5711D">
        <w:rPr>
          <w:szCs w:val="22"/>
        </w:rPr>
        <w:t xml:space="preserve"> </w:t>
      </w:r>
      <w:r w:rsidRPr="00E5711D">
        <w:t>responsibilities.</w:t>
      </w:r>
      <w:r>
        <w:rPr>
          <w:rStyle w:val="FootnoteReference"/>
        </w:rPr>
        <w:footnoteReference w:id="171"/>
      </w:r>
    </w:p>
    <w:p w:rsidR="00AE2AD1" w:rsidRPr="00E5711D" w14:paraId="66F0A21B" w14:textId="43FBEB13">
      <w:pPr>
        <w:pStyle w:val="ParaNum"/>
      </w:pPr>
      <w:r w:rsidRPr="00E5711D">
        <w:t xml:space="preserve">In </w:t>
      </w:r>
      <w:r w:rsidRPr="00E5711D">
        <w:t>compliance with</w:t>
      </w:r>
      <w:r w:rsidRPr="00E5711D">
        <w:t xml:space="preserve"> this obligation, a broadcast licensee</w:t>
      </w:r>
      <w:r w:rsidRPr="00E5711D" w:rsidR="0051009F">
        <w:t xml:space="preserve">, permittee, or applicant </w:t>
      </w:r>
      <w:r w:rsidRPr="00E5711D">
        <w:t>must provide truthful and accurate statements to the Commission or its staff in any investigatory or adjudicatory matter within the Commission</w:t>
      </w:r>
      <w:r w:rsidRPr="00E5711D">
        <w:t>’</w:t>
      </w:r>
      <w:r w:rsidRPr="00E5711D">
        <w:t>s jurisdiction.</w:t>
      </w:r>
      <w:r>
        <w:rPr>
          <w:rStyle w:val="FootnoteReference"/>
        </w:rPr>
        <w:footnoteReference w:id="172"/>
      </w:r>
      <w:r w:rsidRPr="00E5711D">
        <w:t xml:space="preserve"> </w:t>
      </w:r>
      <w:r w:rsidRPr="00E5711D">
        <w:t xml:space="preserve"> Further, statements of fact made in response to Commission inquiries are subject to section 1.17 of the Rules.</w:t>
      </w:r>
      <w:r>
        <w:rPr>
          <w:rStyle w:val="FootnoteReference"/>
        </w:rPr>
        <w:footnoteReference w:id="173"/>
      </w:r>
      <w:r w:rsidRPr="00E5711D">
        <w:t xml:space="preserve">  </w:t>
      </w:r>
      <w:r w:rsidRPr="00E5711D" w:rsidR="0051009F">
        <w:t xml:space="preserve">Contrary to this obligation, </w:t>
      </w:r>
      <w:r w:rsidRPr="00E5711D" w:rsidR="006416D9">
        <w:t>the record developed thus far</w:t>
      </w:r>
      <w:r w:rsidRPr="00E5711D" w:rsidR="001F5F55">
        <w:t xml:space="preserve"> raises </w:t>
      </w:r>
      <w:r w:rsidRPr="00E5711D" w:rsidR="00AE0718">
        <w:t>substantial and material questions of fact as to whether</w:t>
      </w:r>
      <w:r w:rsidRPr="00E5711D" w:rsidR="006416D9">
        <w:t xml:space="preserve"> </w:t>
      </w:r>
      <w:r w:rsidRPr="00E5711D" w:rsidR="003C280A">
        <w:rPr>
          <w:snapToGrid/>
        </w:rPr>
        <w:t xml:space="preserve"> the Parties</w:t>
      </w:r>
      <w:r w:rsidRPr="00E5711D" w:rsidR="00EA4D59">
        <w:rPr>
          <w:snapToGrid/>
        </w:rPr>
        <w:t>’</w:t>
      </w:r>
      <w:r w:rsidRPr="00E5711D" w:rsidR="003C280A">
        <w:rPr>
          <w:snapToGrid/>
        </w:rPr>
        <w:t xml:space="preserve"> incomplete responses to the LOI </w:t>
      </w:r>
      <w:r w:rsidRPr="00E5711D">
        <w:rPr>
          <w:snapToGrid/>
        </w:rPr>
        <w:t xml:space="preserve">and the 1.88 Letter </w:t>
      </w:r>
      <w:r w:rsidRPr="00E5711D" w:rsidR="00EA4D59">
        <w:rPr>
          <w:snapToGrid/>
        </w:rPr>
        <w:t xml:space="preserve">were submitted </w:t>
      </w:r>
      <w:r w:rsidRPr="00E5711D" w:rsidR="003C280A">
        <w:rPr>
          <w:snapToGrid/>
        </w:rPr>
        <w:t>in willful and repeated violation of section 73.1015 of the Rules</w:t>
      </w:r>
      <w:r w:rsidRPr="00E5711D">
        <w:rPr>
          <w:snapToGrid/>
        </w:rPr>
        <w:t>, as set forth below</w:t>
      </w:r>
      <w:r w:rsidRPr="00E5711D" w:rsidR="003C280A">
        <w:rPr>
          <w:snapToGrid/>
        </w:rPr>
        <w:t xml:space="preserve">.  </w:t>
      </w:r>
    </w:p>
    <w:p w:rsidR="00F70141" w:rsidRPr="00E5711D" w:rsidP="00AE2AD1" w14:paraId="1BC6F873" w14:textId="059A5761">
      <w:pPr>
        <w:pStyle w:val="ParaNum"/>
      </w:pPr>
      <w:bookmarkStart w:id="174" w:name="_Ref217383407"/>
      <w:r w:rsidRPr="00E5711D">
        <w:rPr>
          <w:i/>
          <w:iCs/>
        </w:rPr>
        <w:t>In Response to the LOIs.</w:t>
      </w:r>
      <w:r w:rsidRPr="00E5711D">
        <w:t xml:space="preserve">  </w:t>
      </w:r>
      <w:r w:rsidRPr="00E5711D">
        <w:t xml:space="preserve">The first question of the Bureau’s LOI asked the Parties whether any person other than the Licensee programmed time or sold advertising on the Stations, and, if so, to provide a copy of the agreement by which such third party provided programming or sold advertising for the Stations.  The Bureau instructed that if such an agreement existed but </w:t>
      </w:r>
      <w:r w:rsidRPr="00E5711D" w:rsidR="0051009F">
        <w:t xml:space="preserve">had not previously been </w:t>
      </w:r>
      <w:r w:rsidRPr="00E5711D">
        <w:t>reduced to writing and placed in the Stations’ public inspection files</w:t>
      </w:r>
      <w:r w:rsidRPr="00E5711D" w:rsidR="0051009F">
        <w:t>, t</w:t>
      </w:r>
      <w:r w:rsidRPr="00E5711D">
        <w:t xml:space="preserve">hat it should be reduced to writing </w:t>
      </w:r>
      <w:r w:rsidRPr="00E5711D" w:rsidR="0051009F">
        <w:t>and provided to the Commission</w:t>
      </w:r>
      <w:r w:rsidRPr="00E5711D">
        <w:t>.</w:t>
      </w:r>
      <w:r>
        <w:rPr>
          <w:rStyle w:val="FootnoteReference"/>
        </w:rPr>
        <w:footnoteReference w:id="174"/>
      </w:r>
      <w:r w:rsidRPr="00E5711D">
        <w:t xml:space="preserve">  </w:t>
      </w:r>
      <w:r w:rsidRPr="00E5711D" w:rsidR="0051009F">
        <w:t xml:space="preserve">The LOI instructed further that if </w:t>
      </w:r>
      <w:r w:rsidRPr="00E5711D" w:rsidR="004631A8">
        <w:t xml:space="preserve">such an agreement existed </w:t>
      </w:r>
      <w:r w:rsidR="006E1BFD">
        <w:t>but</w:t>
      </w:r>
      <w:r w:rsidRPr="00E5711D" w:rsidR="0051009F">
        <w:t xml:space="preserve"> </w:t>
      </w:r>
      <w:r w:rsidR="006E1BFD">
        <w:t xml:space="preserve">had </w:t>
      </w:r>
      <w:r w:rsidRPr="00E5711D" w:rsidR="0051009F">
        <w:t xml:space="preserve">not previously been reduced to writing </w:t>
      </w:r>
      <w:r w:rsidR="006E1BFD">
        <w:t>or</w:t>
      </w:r>
      <w:r w:rsidRPr="00E5711D" w:rsidR="0051009F">
        <w:t xml:space="preserve"> </w:t>
      </w:r>
      <w:r w:rsidRPr="00440C2C" w:rsidR="0051009F">
        <w:t xml:space="preserve">provided, </w:t>
      </w:r>
      <w:r w:rsidRPr="00440C2C" w:rsidR="004631A8">
        <w:t>then</w:t>
      </w:r>
      <w:r w:rsidRPr="00440C2C" w:rsidR="0051009F">
        <w:t xml:space="preserve"> the parties should explain why not.</w:t>
      </w:r>
      <w:r>
        <w:rPr>
          <w:rStyle w:val="FootnoteReference"/>
        </w:rPr>
        <w:footnoteReference w:id="175"/>
      </w:r>
      <w:r w:rsidRPr="00440C2C" w:rsidR="0051009F">
        <w:t xml:space="preserve">  </w:t>
      </w:r>
      <w:r w:rsidRPr="00440C2C">
        <w:t xml:space="preserve">In response, the Licensee </w:t>
      </w:r>
      <w:r w:rsidRPr="00440C2C" w:rsidR="006416D9">
        <w:t xml:space="preserve">admitted </w:t>
      </w:r>
      <w:r w:rsidRPr="00440C2C">
        <w:t xml:space="preserve">that </w:t>
      </w:r>
      <w:r w:rsidRPr="00440C2C" w:rsidR="0051009F">
        <w:t>beginning in November</w:t>
      </w:r>
      <w:r w:rsidRPr="00E5711D" w:rsidR="0051009F">
        <w:t xml:space="preserve"> 2021 (later revised to December 2022) </w:t>
      </w:r>
      <w:r w:rsidRPr="00E5711D">
        <w:t xml:space="preserve">Pro Radio </w:t>
      </w:r>
      <w:r w:rsidRPr="00E5711D" w:rsidR="0051009F">
        <w:t xml:space="preserve">had </w:t>
      </w:r>
      <w:r w:rsidRPr="00E5711D" w:rsidR="006416D9">
        <w:t>programmed the Stations</w:t>
      </w:r>
      <w:r w:rsidRPr="00E5711D" w:rsidR="0051009F">
        <w:t xml:space="preserve"> and sold the advertising </w:t>
      </w:r>
      <w:r w:rsidRPr="00E5711D" w:rsidR="006416D9">
        <w:t>time</w:t>
      </w:r>
      <w:r w:rsidRPr="00E5711D" w:rsidR="0051009F">
        <w:t xml:space="preserve">, but that </w:t>
      </w:r>
      <w:r w:rsidRPr="00E5711D" w:rsidR="006416D9">
        <w:t>there was no written agreement</w:t>
      </w:r>
      <w:r w:rsidRPr="00E5711D" w:rsidR="0051009F">
        <w:t>.</w:t>
      </w:r>
      <w:r>
        <w:rPr>
          <w:rStyle w:val="FootnoteReference"/>
        </w:rPr>
        <w:footnoteReference w:id="176"/>
      </w:r>
      <w:r w:rsidRPr="00E5711D">
        <w:t xml:space="preserve">  </w:t>
      </w:r>
      <w:r w:rsidRPr="00E5711D" w:rsidR="0051009F">
        <w:t>The Licensee</w:t>
      </w:r>
      <w:r w:rsidRPr="00E5711D" w:rsidR="006416D9">
        <w:t xml:space="preserve"> claimed that it was unaware </w:t>
      </w:r>
      <w:r w:rsidRPr="00E5711D" w:rsidR="00BD5434">
        <w:t>that section</w:t>
      </w:r>
      <w:r w:rsidRPr="00E5711D" w:rsidR="00A1267E">
        <w:t xml:space="preserve"> 73.3526(e)(14) </w:t>
      </w:r>
      <w:r w:rsidRPr="00E5711D" w:rsidR="00BD5434">
        <w:t>of the Rules requires</w:t>
      </w:r>
      <w:r w:rsidRPr="00E5711D" w:rsidR="006416D9">
        <w:t xml:space="preserve"> that programming agreements be documented and publicized</w:t>
      </w:r>
      <w:r w:rsidRPr="00E5711D">
        <w:t>.</w:t>
      </w:r>
      <w:r>
        <w:rPr>
          <w:rStyle w:val="FootnoteReference"/>
        </w:rPr>
        <w:footnoteReference w:id="177"/>
      </w:r>
      <w:r w:rsidRPr="00E5711D">
        <w:t xml:space="preserve">  </w:t>
      </w:r>
      <w:r w:rsidRPr="00E5711D" w:rsidR="00392761">
        <w:t xml:space="preserve">But </w:t>
      </w:r>
      <w:r w:rsidRPr="00E5711D" w:rsidR="0051009F">
        <w:t xml:space="preserve">rather than reducing </w:t>
      </w:r>
      <w:r w:rsidRPr="00E5711D" w:rsidR="00A4026A">
        <w:t>the agreement</w:t>
      </w:r>
      <w:r w:rsidRPr="00E5711D" w:rsidR="0051009F">
        <w:t xml:space="preserve"> to writing and providing a copy to the Bureau, the Licensee</w:t>
      </w:r>
      <w:r w:rsidRPr="00E5711D" w:rsidR="006A7F65">
        <w:t xml:space="preserve"> instead</w:t>
      </w:r>
      <w:r w:rsidRPr="00E5711D" w:rsidR="0051009F">
        <w:t xml:space="preserve"> offered that it could do </w:t>
      </w:r>
      <w:r w:rsidRPr="00E5711D" w:rsidR="0051009F">
        <w:t xml:space="preserve">so </w:t>
      </w:r>
      <w:r w:rsidRPr="00E5711D" w:rsidR="006416D9">
        <w:t>“</w:t>
      </w:r>
      <w:r w:rsidRPr="00E5711D" w:rsidR="0051009F">
        <w:t>upon Commission request.</w:t>
      </w:r>
      <w:r w:rsidRPr="00E5711D" w:rsidR="006416D9">
        <w:t>”</w:t>
      </w:r>
      <w:r>
        <w:rPr>
          <w:rStyle w:val="FootnoteReference"/>
        </w:rPr>
        <w:footnoteReference w:id="178"/>
      </w:r>
      <w:r w:rsidRPr="00E5711D" w:rsidR="0051009F">
        <w:t xml:space="preserve">  It was not until the Bureau repeated </w:t>
      </w:r>
      <w:r w:rsidRPr="00E5711D" w:rsidR="006416D9">
        <w:t xml:space="preserve">the </w:t>
      </w:r>
      <w:r w:rsidRPr="00E5711D" w:rsidR="0051009F">
        <w:t>instruction in its 1.88 Letter that the Parties complied by documenting the</w:t>
      </w:r>
      <w:r w:rsidRPr="00E5711D" w:rsidR="006416D9">
        <w:t xml:space="preserve"> alleged</w:t>
      </w:r>
      <w:r w:rsidRPr="00E5711D" w:rsidR="0051009F">
        <w:t xml:space="preserve"> arrangement and providing a copy.</w:t>
      </w:r>
      <w:r>
        <w:rPr>
          <w:rStyle w:val="FootnoteReference"/>
        </w:rPr>
        <w:footnoteReference w:id="179"/>
      </w:r>
      <w:r w:rsidRPr="00E5711D" w:rsidR="0051009F">
        <w:t xml:space="preserve">  </w:t>
      </w:r>
      <w:r w:rsidRPr="00E5711D" w:rsidR="00242DCB">
        <w:t>Even then, however, the Parties failed to comply with the Bureau’s instruction that they provide documentation</w:t>
      </w:r>
      <w:r w:rsidR="00C939EE">
        <w:t>,</w:t>
      </w:r>
      <w:r w:rsidRPr="00E5711D" w:rsidR="00242DCB">
        <w:t xml:space="preserve"> such as correspondence, oral communications, or drafts, evidencing the negotiation of the terms and conditions of the programming agreement </w:t>
      </w:r>
      <w:r w:rsidR="00C939EE">
        <w:t>and</w:t>
      </w:r>
      <w:r w:rsidRPr="00E5711D" w:rsidR="00242DCB">
        <w:t xml:space="preserve"> substantiating that such an agreement in fact existed when Toscano first began controlling the Stations’ programming and advertising.</w:t>
      </w:r>
      <w:bookmarkEnd w:id="174"/>
    </w:p>
    <w:p w:rsidR="00420A02" w:rsidRPr="00E5711D" w:rsidP="00420A02" w14:paraId="3410BE21" w14:textId="1F43F0C5">
      <w:pPr>
        <w:pStyle w:val="ParaNum"/>
      </w:pPr>
      <w:r w:rsidRPr="00E5711D">
        <w:t xml:space="preserve">In addition, the Licensee ignored the LOI’s request for an explanation regarding who prepared and reviewed </w:t>
      </w:r>
      <w:r w:rsidRPr="00E5711D" w:rsidR="00AD4757">
        <w:t xml:space="preserve">the </w:t>
      </w:r>
      <w:r w:rsidRPr="00E5711D">
        <w:t xml:space="preserve">inaccurate ownership reports filed with the Commission in 2023, as well as </w:t>
      </w:r>
      <w:r w:rsidRPr="00E5711D" w:rsidR="009C4FD5">
        <w:t xml:space="preserve">ignored </w:t>
      </w:r>
      <w:r w:rsidRPr="00E5711D">
        <w:t>the explicit question of whether Rygaard, whose name appears as the signatory to those forms, had actually reviewed the reports and authorized their submission.</w:t>
      </w:r>
      <w:r>
        <w:rPr>
          <w:rStyle w:val="FootnoteReference"/>
        </w:rPr>
        <w:footnoteReference w:id="180"/>
      </w:r>
      <w:r w:rsidRPr="00E5711D">
        <w:t xml:space="preserve">  The Licensee provided no explanation or response to those questions, merely stating that the “reports have been amended to provide the correct, current ownership structure.”</w:t>
      </w:r>
      <w:r>
        <w:rPr>
          <w:rStyle w:val="FootnoteReference"/>
        </w:rPr>
        <w:footnoteReference w:id="181"/>
      </w:r>
      <w:r w:rsidRPr="00E5711D">
        <w:t xml:space="preserve">  </w:t>
      </w:r>
      <w:r w:rsidRPr="00E5711D">
        <w:t>When asked again in the 1.88 Letter to explain who prepared and reviewed the ownership reports prior to submission</w:t>
      </w:r>
      <w:r w:rsidRPr="00E5711D" w:rsidR="00A47536">
        <w:t>,</w:t>
      </w:r>
      <w:r>
        <w:rPr>
          <w:rStyle w:val="FootnoteReference"/>
        </w:rPr>
        <w:footnoteReference w:id="182"/>
      </w:r>
      <w:r w:rsidRPr="00E5711D">
        <w:t xml:space="preserve"> the Licensee point</w:t>
      </w:r>
      <w:r w:rsidRPr="00E5711D" w:rsidR="00A4026A">
        <w:t>ed</w:t>
      </w:r>
      <w:r w:rsidRPr="00E5711D">
        <w:t xml:space="preserve"> to a “young, inexperienced attorney who is no longer employed” by the law firm retained to handle FCC matters for the company</w:t>
      </w:r>
      <w:r w:rsidRPr="00E5711D" w:rsidR="00232E56">
        <w:t>.</w:t>
      </w:r>
      <w:r>
        <w:rPr>
          <w:rStyle w:val="FootnoteReference"/>
        </w:rPr>
        <w:footnoteReference w:id="183"/>
      </w:r>
      <w:r w:rsidRPr="00E5711D" w:rsidR="00232E56">
        <w:t xml:space="preserve">  </w:t>
      </w:r>
      <w:r w:rsidRPr="00E5711D" w:rsidR="00AD4757">
        <w:t>And</w:t>
      </w:r>
      <w:r w:rsidRPr="00E5711D" w:rsidR="00232E56">
        <w:t xml:space="preserve"> again, the response fail</w:t>
      </w:r>
      <w:r w:rsidRPr="00E5711D" w:rsidR="00A4026A">
        <w:t>ed</w:t>
      </w:r>
      <w:r w:rsidRPr="00E5711D" w:rsidR="00232E56">
        <w:t xml:space="preserve"> to </w:t>
      </w:r>
      <w:r w:rsidRPr="00E5711D">
        <w:t xml:space="preserve">provide </w:t>
      </w:r>
      <w:r w:rsidRPr="00E5711D" w:rsidR="00232E56">
        <w:t xml:space="preserve">any </w:t>
      </w:r>
      <w:r w:rsidRPr="00E5711D" w:rsidR="00AD4757">
        <w:t>documentation</w:t>
      </w:r>
      <w:r w:rsidRPr="00E5711D" w:rsidR="00232E56">
        <w:t xml:space="preserve">, such as </w:t>
      </w:r>
      <w:r w:rsidRPr="00E5711D">
        <w:t>emails</w:t>
      </w:r>
      <w:r w:rsidRPr="00E5711D" w:rsidR="00232E56">
        <w:t>,</w:t>
      </w:r>
      <w:r w:rsidRPr="00E5711D">
        <w:t xml:space="preserve"> correspondence, or conversations</w:t>
      </w:r>
      <w:r w:rsidRPr="00E5711D" w:rsidR="00232E56">
        <w:t>,</w:t>
      </w:r>
      <w:r w:rsidRPr="00E5711D">
        <w:t xml:space="preserve"> substantiating that Rygaard</w:t>
      </w:r>
      <w:r w:rsidRPr="00E5711D" w:rsidR="00232E56">
        <w:t xml:space="preserve"> had actually reviewed and authorized the filing of the ownership reports.  </w:t>
      </w:r>
      <w:r w:rsidRPr="00E5711D">
        <w:rPr>
          <w:szCs w:val="22"/>
        </w:rPr>
        <w:t xml:space="preserve"> </w:t>
      </w:r>
    </w:p>
    <w:p w:rsidR="00AD4757" w:rsidRPr="00E5711D" w:rsidP="00AD4757" w14:paraId="1714F8DF" w14:textId="1DAFAA5A">
      <w:pPr>
        <w:pStyle w:val="ParaNum"/>
      </w:pPr>
      <w:r w:rsidRPr="00E5711D">
        <w:t xml:space="preserve">Overall, the LOI Response often avoided the Bureau’s request for complete details, </w:t>
      </w:r>
      <w:r w:rsidRPr="00E5711D" w:rsidR="00B44B79">
        <w:t xml:space="preserve">full </w:t>
      </w:r>
      <w:r w:rsidRPr="00E5711D">
        <w:t xml:space="preserve">explanations, and supporting documentation, offering instead brief answers with the minimum of responsive information.  Further, in response to the Bureau’s instruction that the Licensee’s </w:t>
      </w:r>
      <w:r w:rsidR="00C939EE">
        <w:t>submission</w:t>
      </w:r>
      <w:r w:rsidRPr="00E5711D">
        <w:t xml:space="preserve"> be supported by affidavits or declarations made under penalty of perjury attesting, </w:t>
      </w:r>
      <w:r w:rsidRPr="00E5711D">
        <w:rPr>
          <w:i/>
          <w:iCs/>
        </w:rPr>
        <w:t>inter alia</w:t>
      </w:r>
      <w:r w:rsidRPr="00E5711D">
        <w:t>, to the truth and accuracy of the information provided, and</w:t>
      </w:r>
      <w:r w:rsidRPr="00E5711D" w:rsidR="00B44B79">
        <w:t xml:space="preserve">, further, </w:t>
      </w:r>
      <w:r w:rsidRPr="00E5711D">
        <w:t xml:space="preserve">to provide separate affidavits or declarations for </w:t>
      </w:r>
      <w:r w:rsidRPr="00E5711D" w:rsidR="00B44B79">
        <w:t>additional p</w:t>
      </w:r>
      <w:r w:rsidRPr="00E5711D">
        <w:t xml:space="preserve">ersons with personal knowledge if the information </w:t>
      </w:r>
      <w:r w:rsidRPr="00E5711D" w:rsidR="00A47536">
        <w:t>was</w:t>
      </w:r>
      <w:r w:rsidRPr="00E5711D">
        <w:t xml:space="preserve"> beyond the Licensee’s own knowledge,</w:t>
      </w:r>
      <w:r>
        <w:rPr>
          <w:rStyle w:val="FootnoteReference"/>
        </w:rPr>
        <w:footnoteReference w:id="184"/>
      </w:r>
      <w:r w:rsidRPr="00E5711D">
        <w:t xml:space="preserve"> the Licensee provide</w:t>
      </w:r>
      <w:r w:rsidRPr="00E5711D" w:rsidR="00B44B79">
        <w:t>d but a</w:t>
      </w:r>
      <w:r w:rsidRPr="00E5711D">
        <w:t xml:space="preserve"> single affidavit from Rygaard</w:t>
      </w:r>
      <w:r w:rsidRPr="00E5711D" w:rsidR="007B58C2">
        <w:t xml:space="preserve"> stating, in its entirety:</w:t>
      </w:r>
    </w:p>
    <w:p w:rsidR="007B58C2" w:rsidRPr="00E5711D" w:rsidP="007B58C2" w14:paraId="6BC0F352" w14:textId="77777777">
      <w:pPr>
        <w:pStyle w:val="ParaNum"/>
        <w:numPr>
          <w:ilvl w:val="0"/>
          <w:numId w:val="0"/>
        </w:numPr>
        <w:ind w:left="720"/>
      </w:pPr>
      <w:r w:rsidRPr="00E5711D">
        <w:t xml:space="preserve">All of the information requested by this LOI that is in Licensee’s possession, custody, control, or knowledge has been produced.  Any and all Documents provided in its responses are true and accurate copies of the original documents. </w:t>
      </w:r>
    </w:p>
    <w:p w:rsidR="007B58C2" w:rsidRPr="00E5711D" w:rsidP="007B58C2" w14:paraId="230AE759" w14:textId="3352EC7F">
      <w:pPr>
        <w:pStyle w:val="ParaNum"/>
        <w:numPr>
          <w:ilvl w:val="0"/>
          <w:numId w:val="0"/>
        </w:numPr>
        <w:ind w:left="720"/>
      </w:pPr>
      <w:r w:rsidRPr="00E5711D">
        <w:t>I declare under penalty of perjury that the foregoing is true and correct.</w:t>
      </w:r>
      <w:r>
        <w:rPr>
          <w:rStyle w:val="FootnoteReference"/>
        </w:rPr>
        <w:footnoteReference w:id="185"/>
      </w:r>
      <w:r w:rsidRPr="00E5711D">
        <w:t xml:space="preserve">  </w:t>
      </w:r>
    </w:p>
    <w:p w:rsidR="001F60E6" w:rsidRPr="00E5711D" w:rsidP="007B58C2" w14:paraId="37FC0777" w14:textId="020064B2">
      <w:pPr>
        <w:pStyle w:val="ParaNum"/>
        <w:numPr>
          <w:ilvl w:val="0"/>
          <w:numId w:val="0"/>
        </w:numPr>
        <w:rPr>
          <w:snapToGrid/>
          <w:szCs w:val="22"/>
        </w:rPr>
      </w:pPr>
      <w:r w:rsidRPr="00E5711D">
        <w:t xml:space="preserve">Parsing the careful language of this brief declaration, it </w:t>
      </w:r>
      <w:r w:rsidRPr="00E5711D" w:rsidR="00A47536">
        <w:t>fails to even</w:t>
      </w:r>
      <w:r w:rsidRPr="00E5711D">
        <w:t xml:space="preserve"> attest to the truth and accuracy of the information provided in the LOI Response.  </w:t>
      </w:r>
    </w:p>
    <w:p w:rsidR="00311E69" w:rsidRPr="00E5711D" w:rsidP="00311E69" w14:paraId="6A03D2AB" w14:textId="2B269557">
      <w:pPr>
        <w:pStyle w:val="ParaNum"/>
      </w:pPr>
      <w:r w:rsidRPr="00E5711D">
        <w:rPr>
          <w:i/>
          <w:snapToGrid/>
        </w:rPr>
        <w:t>In Response to the 1.88 Letter</w:t>
      </w:r>
      <w:r w:rsidRPr="00E5711D">
        <w:rPr>
          <w:snapToGrid/>
          <w:szCs w:val="22"/>
        </w:rPr>
        <w:t xml:space="preserve">.  </w:t>
      </w:r>
      <w:r w:rsidRPr="00E5711D">
        <w:t xml:space="preserve">In responding to the 1.88 </w:t>
      </w:r>
      <w:r w:rsidRPr="00E5711D" w:rsidR="00F36CB2">
        <w:t>Letter</w:t>
      </w:r>
      <w:r w:rsidRPr="00E5711D" w:rsidR="003702DB">
        <w:t>,</w:t>
      </w:r>
      <w:r w:rsidRPr="00E5711D" w:rsidR="00F36CB2">
        <w:t xml:space="preserve"> </w:t>
      </w:r>
      <w:r w:rsidRPr="00E5711D">
        <w:t xml:space="preserve">the Parties continued their pattern of </w:t>
      </w:r>
      <w:r w:rsidRPr="00E5711D" w:rsidR="00B44B79">
        <w:t xml:space="preserve">both </w:t>
      </w:r>
      <w:r w:rsidRPr="00E5711D">
        <w:t xml:space="preserve">correcting </w:t>
      </w:r>
      <w:r w:rsidRPr="00E5711D">
        <w:t xml:space="preserve">previous </w:t>
      </w:r>
      <w:r w:rsidRPr="00E5711D">
        <w:t xml:space="preserve">errors </w:t>
      </w:r>
      <w:r w:rsidRPr="00E5711D" w:rsidR="00B44B79">
        <w:t xml:space="preserve">or inaccurate information from earlier filings and ignoring certain questions posed by the Bureau.  For example, in response to the Bureau’s </w:t>
      </w:r>
      <w:r w:rsidRPr="00E5711D" w:rsidR="00F36CB2">
        <w:t xml:space="preserve">renewed </w:t>
      </w:r>
      <w:r w:rsidRPr="00E5711D" w:rsidR="00B44B79">
        <w:t xml:space="preserve">call for an explanation concerning the origin of the </w:t>
      </w:r>
      <w:r w:rsidRPr="00E5711D" w:rsidR="009C4FD5">
        <w:t>alleged programming agreement</w:t>
      </w:r>
      <w:r w:rsidRPr="00E5711D" w:rsidR="00B44B79">
        <w:t xml:space="preserve"> and a description of the </w:t>
      </w:r>
      <w:r w:rsidRPr="00E5711D" w:rsidR="00B44B79">
        <w:t>negotiations between the Parties leading to that agreement,</w:t>
      </w:r>
      <w:r>
        <w:rPr>
          <w:rStyle w:val="FootnoteReference"/>
        </w:rPr>
        <w:footnoteReference w:id="186"/>
      </w:r>
      <w:r w:rsidRPr="00E5711D" w:rsidR="00B44B79">
        <w:t xml:space="preserve"> there</w:t>
      </w:r>
      <w:r w:rsidRPr="00E5711D" w:rsidR="00F36CB2">
        <w:t xml:space="preserve"> continued to be </w:t>
      </w:r>
      <w:r w:rsidRPr="00E5711D" w:rsidR="00B44B79">
        <w:t>no answer.</w:t>
      </w:r>
      <w:r>
        <w:rPr>
          <w:rStyle w:val="FootnoteReference"/>
        </w:rPr>
        <w:footnoteReference w:id="187"/>
      </w:r>
      <w:r w:rsidRPr="00E5711D" w:rsidR="00B44B79">
        <w:t xml:space="preserve">  Similarly, the Parties provide</w:t>
      </w:r>
      <w:r w:rsidRPr="00E5711D" w:rsidR="00F36CB2">
        <w:t>d</w:t>
      </w:r>
      <w:r w:rsidRPr="00E5711D" w:rsidR="00B44B79">
        <w:t xml:space="preserve"> no documentation substantiating the inception of the </w:t>
      </w:r>
      <w:r w:rsidRPr="00E5711D" w:rsidR="00695494">
        <w:t xml:space="preserve">programming </w:t>
      </w:r>
      <w:r w:rsidRPr="00E5711D" w:rsidR="00B44B79">
        <w:t>agreement</w:t>
      </w:r>
      <w:r w:rsidRPr="00E5711D" w:rsidR="009C4FD5">
        <w:t xml:space="preserve">, nor any explanation why it was </w:t>
      </w:r>
      <w:r w:rsidRPr="00E5711D" w:rsidR="00B44B79">
        <w:t>not reduced to writing and provided the first time the Bureau asked.</w:t>
      </w:r>
      <w:r w:rsidRPr="00E5711D">
        <w:rPr>
          <w:snapToGrid/>
          <w:szCs w:val="22"/>
        </w:rPr>
        <w:t xml:space="preserve">  </w:t>
      </w:r>
    </w:p>
    <w:p w:rsidR="00311E69" w:rsidRPr="00E5711D" w:rsidP="00311E69" w14:paraId="57E543F2" w14:textId="7ED6BBBF">
      <w:pPr>
        <w:pStyle w:val="ParaNum"/>
      </w:pPr>
      <w:bookmarkStart w:id="175" w:name="_Ref217383412"/>
      <w:r w:rsidRPr="00E5711D">
        <w:rPr>
          <w:snapToGrid/>
        </w:rPr>
        <w:t>Further, although the Bureau requested documentation substantiating Rygaard’s control over the Stations</w:t>
      </w:r>
      <w:r w:rsidRPr="00E5711D" w:rsidR="009C4FD5">
        <w:rPr>
          <w:snapToGrid/>
          <w:szCs w:val="22"/>
        </w:rPr>
        <w:t xml:space="preserve">, </w:t>
      </w:r>
      <w:r w:rsidRPr="00E5711D">
        <w:rPr>
          <w:snapToGrid/>
        </w:rPr>
        <w:t>even suggesting a variety of materials she could provide to demonstrate such control</w:t>
      </w:r>
      <w:r w:rsidRPr="00E5711D" w:rsidR="009C4FD5">
        <w:rPr>
          <w:snapToGrid/>
          <w:szCs w:val="22"/>
        </w:rPr>
        <w:t>,</w:t>
      </w:r>
      <w:r>
        <w:rPr>
          <w:rStyle w:val="FootnoteReference"/>
          <w:snapToGrid/>
          <w:szCs w:val="22"/>
        </w:rPr>
        <w:footnoteReference w:id="188"/>
      </w:r>
      <w:r w:rsidRPr="00E5711D">
        <w:rPr>
          <w:snapToGrid/>
        </w:rPr>
        <w:t xml:space="preserve"> the 1.88 Letter Response </w:t>
      </w:r>
      <w:r w:rsidR="006E1BFD">
        <w:rPr>
          <w:snapToGrid/>
        </w:rPr>
        <w:t>wa</w:t>
      </w:r>
      <w:r w:rsidRPr="00E5711D">
        <w:rPr>
          <w:snapToGrid/>
        </w:rPr>
        <w:t xml:space="preserve">s </w:t>
      </w:r>
      <w:r w:rsidRPr="00E5711D" w:rsidR="00F36CB2">
        <w:rPr>
          <w:snapToGrid/>
        </w:rPr>
        <w:t xml:space="preserve">severely </w:t>
      </w:r>
      <w:r w:rsidRPr="00E5711D">
        <w:rPr>
          <w:snapToGrid/>
        </w:rPr>
        <w:t xml:space="preserve">lacking in documentation.  </w:t>
      </w:r>
      <w:r w:rsidRPr="00E5711D" w:rsidR="00F36CB2">
        <w:rPr>
          <w:snapToGrid/>
        </w:rPr>
        <w:t xml:space="preserve">As discussed above, the lack of such evidence demonstrating </w:t>
      </w:r>
      <w:r w:rsidR="006E1BFD">
        <w:rPr>
          <w:snapToGrid/>
        </w:rPr>
        <w:t>Rygaard’s</w:t>
      </w:r>
      <w:r w:rsidRPr="00E5711D" w:rsidR="00F36CB2">
        <w:rPr>
          <w:snapToGrid/>
        </w:rPr>
        <w:t xml:space="preserve"> retention of control </w:t>
      </w:r>
      <w:r w:rsidRPr="00E5711D" w:rsidR="007033A7">
        <w:rPr>
          <w:snapToGrid/>
        </w:rPr>
        <w:t>raises substantial and material questions of fact</w:t>
      </w:r>
      <w:r w:rsidRPr="00E5711D" w:rsidR="00F36CB2">
        <w:rPr>
          <w:snapToGrid/>
        </w:rPr>
        <w:t xml:space="preserve"> </w:t>
      </w:r>
      <w:r w:rsidRPr="00E5711D" w:rsidR="00851078">
        <w:rPr>
          <w:snapToGrid/>
        </w:rPr>
        <w:t>as to whether</w:t>
      </w:r>
      <w:r w:rsidRPr="00E5711D" w:rsidR="00F36CB2">
        <w:rPr>
          <w:snapToGrid/>
        </w:rPr>
        <w:t xml:space="preserve"> an unauthorized transfer of control </w:t>
      </w:r>
      <w:r w:rsidRPr="00E5711D" w:rsidR="00471D8B">
        <w:rPr>
          <w:snapToGrid/>
        </w:rPr>
        <w:t xml:space="preserve">has </w:t>
      </w:r>
      <w:r w:rsidRPr="00E5711D" w:rsidR="00F36CB2">
        <w:rPr>
          <w:snapToGrid/>
        </w:rPr>
        <w:t xml:space="preserve">occurred and </w:t>
      </w:r>
      <w:r w:rsidR="003E1728">
        <w:rPr>
          <w:snapToGrid/>
        </w:rPr>
        <w:t xml:space="preserve">whether Pro Radio or </w:t>
      </w:r>
      <w:r w:rsidRPr="00E5711D" w:rsidR="00F36CB2">
        <w:rPr>
          <w:snapToGrid/>
        </w:rPr>
        <w:t xml:space="preserve">Toscano </w:t>
      </w:r>
      <w:r w:rsidRPr="00E5711D" w:rsidR="00471D8B">
        <w:rPr>
          <w:snapToGrid/>
        </w:rPr>
        <w:t>is</w:t>
      </w:r>
      <w:r w:rsidRPr="00E5711D" w:rsidR="00471D8B">
        <w:rPr>
          <w:snapToGrid/>
        </w:rPr>
        <w:t xml:space="preserve"> </w:t>
      </w:r>
      <w:r w:rsidR="003E1728">
        <w:rPr>
          <w:snapToGrid/>
        </w:rPr>
        <w:t xml:space="preserve">in fact </w:t>
      </w:r>
      <w:r w:rsidRPr="00E5711D" w:rsidR="00F36CB2">
        <w:rPr>
          <w:snapToGrid/>
        </w:rPr>
        <w:t>controll</w:t>
      </w:r>
      <w:r w:rsidRPr="00E5711D" w:rsidR="00471D8B">
        <w:rPr>
          <w:snapToGrid/>
        </w:rPr>
        <w:t>ing</w:t>
      </w:r>
      <w:r w:rsidRPr="00E5711D" w:rsidR="00F36CB2">
        <w:rPr>
          <w:snapToGrid/>
        </w:rPr>
        <w:t xml:space="preserve"> the programming, personnel, and finances of the Stations</w:t>
      </w:r>
      <w:r w:rsidRPr="00E5711D">
        <w:rPr>
          <w:snapToGrid/>
          <w:szCs w:val="22"/>
        </w:rPr>
        <w:t>.</w:t>
      </w:r>
      <w:r>
        <w:rPr>
          <w:rStyle w:val="FootnoteReference"/>
          <w:snapToGrid/>
        </w:rPr>
        <w:footnoteReference w:id="189"/>
      </w:r>
      <w:bookmarkEnd w:id="175"/>
      <w:r w:rsidRPr="00E5711D" w:rsidR="00EB6FEC">
        <w:rPr>
          <w:snapToGrid/>
        </w:rPr>
        <w:t xml:space="preserve"> </w:t>
      </w:r>
      <w:r w:rsidRPr="00E5711D">
        <w:rPr>
          <w:snapToGrid/>
          <w:szCs w:val="22"/>
        </w:rPr>
        <w:t xml:space="preserve"> </w:t>
      </w:r>
    </w:p>
    <w:p w:rsidR="00570970" w:rsidRPr="00B44F84" w:rsidP="00695494" w14:paraId="0C72EC4C" w14:textId="29960DCB">
      <w:pPr>
        <w:pStyle w:val="ParaNum"/>
        <w:widowControl/>
      </w:pPr>
      <w:r w:rsidRPr="00E5711D">
        <w:rPr>
          <w:snapToGrid/>
        </w:rPr>
        <w:t>And while in some instances the information provided is supported by affidavit from Rygaard, Toscano, or Cynthia Denise Johnson (an improvement over the Licensee’s response to the LOI)</w:t>
      </w:r>
      <w:r w:rsidR="00BA69F0">
        <w:rPr>
          <w:snapToGrid/>
        </w:rPr>
        <w:t>,</w:t>
      </w:r>
      <w:r w:rsidRPr="00E5711D">
        <w:rPr>
          <w:snapToGrid/>
        </w:rPr>
        <w:t xml:space="preserve"> there remain several places in the 1.88 Letter Response—such as</w:t>
      </w:r>
      <w:r w:rsidR="00220B3A">
        <w:rPr>
          <w:snapToGrid/>
        </w:rPr>
        <w:t xml:space="preserve"> the Bureau’s</w:t>
      </w:r>
      <w:r w:rsidRPr="00E5711D">
        <w:rPr>
          <w:snapToGrid/>
        </w:rPr>
        <w:t xml:space="preserve"> questions regarding the origination of the debt between Toscano and the Licensee’s parent company</w:t>
      </w:r>
      <w:r>
        <w:rPr>
          <w:rStyle w:val="FootnoteReference"/>
          <w:snapToGrid/>
        </w:rPr>
        <w:footnoteReference w:id="190"/>
      </w:r>
      <w:r w:rsidRPr="00E5711D">
        <w:rPr>
          <w:snapToGrid/>
        </w:rPr>
        <w:t xml:space="preserve">—where information is both lacking and unsupported by individuals </w:t>
      </w:r>
      <w:r w:rsidRPr="00E5711D" w:rsidR="001877D9">
        <w:rPr>
          <w:snapToGrid/>
        </w:rPr>
        <w:t>with personal knowledge</w:t>
      </w:r>
      <w:r w:rsidRPr="00E5711D">
        <w:rPr>
          <w:snapToGrid/>
          <w:szCs w:val="22"/>
        </w:rPr>
        <w:t xml:space="preserve"> </w:t>
      </w:r>
      <w:r w:rsidRPr="00E5711D" w:rsidR="001877D9">
        <w:rPr>
          <w:snapToGrid/>
        </w:rPr>
        <w:t>of the facts</w:t>
      </w:r>
      <w:r w:rsidRPr="00E5711D">
        <w:rPr>
          <w:snapToGrid/>
          <w:szCs w:val="22"/>
        </w:rPr>
        <w:t>.</w:t>
      </w:r>
      <w:r w:rsidR="00410AE5">
        <w:rPr>
          <w:snapToGrid/>
          <w:szCs w:val="22"/>
        </w:rPr>
        <w:t xml:space="preserve">  </w:t>
      </w:r>
      <w:r w:rsidRPr="00E5711D">
        <w:rPr>
          <w:snapToGrid/>
          <w:szCs w:val="22"/>
        </w:rPr>
        <w:t xml:space="preserve">  </w:t>
      </w:r>
      <w:r w:rsidR="00410AE5">
        <w:rPr>
          <w:snapToGrid/>
          <w:szCs w:val="22"/>
        </w:rPr>
        <w:t xml:space="preserve"> </w:t>
      </w:r>
    </w:p>
    <w:p w:rsidR="003C2F3D" w:rsidRPr="00E5711D" w:rsidP="00695494" w14:paraId="02ACC35D" w14:textId="60499A8A">
      <w:pPr>
        <w:pStyle w:val="ParaNum"/>
        <w:widowControl/>
      </w:pPr>
      <w:r w:rsidRPr="00E5711D">
        <w:rPr>
          <w:snapToGrid/>
        </w:rPr>
        <w:t xml:space="preserve">Furthermore, </w:t>
      </w:r>
      <w:r>
        <w:rPr>
          <w:snapToGrid/>
        </w:rPr>
        <w:t xml:space="preserve">some assertions in </w:t>
      </w:r>
      <w:r w:rsidRPr="00E5711D">
        <w:rPr>
          <w:snapToGrid/>
        </w:rPr>
        <w:t xml:space="preserve">the 1.88 Letter Response </w:t>
      </w:r>
      <w:r w:rsidR="00B44F84">
        <w:rPr>
          <w:snapToGrid/>
        </w:rPr>
        <w:t xml:space="preserve">appear to </w:t>
      </w:r>
      <w:r w:rsidR="002C2C04">
        <w:rPr>
          <w:snapToGrid/>
        </w:rPr>
        <w:t>conflict with</w:t>
      </w:r>
      <w:r>
        <w:rPr>
          <w:snapToGrid/>
        </w:rPr>
        <w:t xml:space="preserve"> other evidence in the record.  </w:t>
      </w:r>
      <w:r w:rsidR="00B44F84">
        <w:rPr>
          <w:snapToGrid/>
        </w:rPr>
        <w:t>F</w:t>
      </w:r>
      <w:r>
        <w:rPr>
          <w:snapToGrid/>
        </w:rPr>
        <w:t>or example,</w:t>
      </w:r>
      <w:r w:rsidR="00B44F84">
        <w:rPr>
          <w:snapToGrid/>
        </w:rPr>
        <w:t xml:space="preserve"> </w:t>
      </w:r>
      <w:r>
        <w:rPr>
          <w:snapToGrid/>
        </w:rPr>
        <w:t xml:space="preserve">while the 1.88 Letter Response asserts that </w:t>
      </w:r>
      <w:r w:rsidRPr="00E5711D">
        <w:rPr>
          <w:snapToGrid/>
        </w:rPr>
        <w:t xml:space="preserve">neither Toscano nor her father </w:t>
      </w:r>
      <w:r w:rsidR="00B44F84">
        <w:rPr>
          <w:snapToGrid/>
        </w:rPr>
        <w:t xml:space="preserve">played a role </w:t>
      </w:r>
      <w:r w:rsidRPr="00E5711D">
        <w:rPr>
          <w:snapToGrid/>
        </w:rPr>
        <w:t>in the sale of 97.5 Holdings to Rygaard in 2021-2022</w:t>
      </w:r>
      <w:r w:rsidR="00385A31">
        <w:rPr>
          <w:snapToGrid/>
        </w:rPr>
        <w:t>,</w:t>
      </w:r>
      <w:r>
        <w:rPr>
          <w:rStyle w:val="FootnoteReference"/>
          <w:snapToGrid/>
        </w:rPr>
        <w:footnoteReference w:id="191"/>
      </w:r>
      <w:r w:rsidR="00B44F84">
        <w:rPr>
          <w:snapToGrid/>
        </w:rPr>
        <w:t xml:space="preserve"> in fact </w:t>
      </w:r>
      <w:r w:rsidRPr="00E5711D">
        <w:rPr>
          <w:snapToGrid/>
        </w:rPr>
        <w:t xml:space="preserve">it appears that </w:t>
      </w:r>
      <w:r>
        <w:rPr>
          <w:snapToGrid/>
        </w:rPr>
        <w:t xml:space="preserve">Mr. </w:t>
      </w:r>
      <w:r w:rsidRPr="00E5711D">
        <w:rPr>
          <w:snapToGrid/>
        </w:rPr>
        <w:t xml:space="preserve">Peréz </w:t>
      </w:r>
      <w:r>
        <w:rPr>
          <w:snapToGrid/>
        </w:rPr>
        <w:t xml:space="preserve">de </w:t>
      </w:r>
      <w:r w:rsidRPr="00E5711D">
        <w:rPr>
          <w:snapToGrid/>
        </w:rPr>
        <w:t xml:space="preserve">Anda </w:t>
      </w:r>
      <w:r w:rsidRPr="00B44F84" w:rsidR="00B44F84">
        <w:rPr>
          <w:iCs/>
          <w:snapToGrid/>
        </w:rPr>
        <w:t>was involved in th</w:t>
      </w:r>
      <w:r w:rsidR="00B44F84">
        <w:rPr>
          <w:iCs/>
          <w:snapToGrid/>
        </w:rPr>
        <w:t>ose matters</w:t>
      </w:r>
      <w:r w:rsidR="002C2C04">
        <w:rPr>
          <w:iCs/>
          <w:snapToGrid/>
        </w:rPr>
        <w:t>, particularly the debt owed by 97.5 Holdings</w:t>
      </w:r>
      <w:r w:rsidR="00B44F84">
        <w:rPr>
          <w:snapToGrid/>
        </w:rPr>
        <w:t>.</w:t>
      </w:r>
      <w:r>
        <w:rPr>
          <w:rStyle w:val="FootnoteReference"/>
          <w:snapToGrid/>
          <w:szCs w:val="22"/>
        </w:rPr>
        <w:footnoteReference w:id="192"/>
      </w:r>
      <w:r w:rsidR="002C2C04">
        <w:rPr>
          <w:snapToGrid/>
        </w:rPr>
        <w:t xml:space="preserve"> </w:t>
      </w:r>
    </w:p>
    <w:p w:rsidR="000341C8" w:rsidRPr="00E5711D" w:rsidP="006E1BFD" w14:paraId="20378CE6" w14:textId="207E31CA">
      <w:pPr>
        <w:pStyle w:val="ParaNum"/>
        <w:widowControl/>
        <w:rPr>
          <w:szCs w:val="22"/>
        </w:rPr>
      </w:pPr>
      <w:r w:rsidRPr="00E5711D">
        <w:rPr>
          <w:snapToGrid/>
        </w:rPr>
        <w:t>Ultimately, j</w:t>
      </w:r>
      <w:r w:rsidRPr="00E5711D" w:rsidR="007B58C2">
        <w:rPr>
          <w:snapToGrid/>
        </w:rPr>
        <w:t xml:space="preserve">ust as </w:t>
      </w:r>
      <w:r w:rsidRPr="00E5711D" w:rsidR="00B82AEE">
        <w:rPr>
          <w:snapToGrid/>
        </w:rPr>
        <w:t xml:space="preserve">with the </w:t>
      </w:r>
      <w:r w:rsidRPr="00E5711D" w:rsidR="007B58C2">
        <w:rPr>
          <w:snapToGrid/>
        </w:rPr>
        <w:t>Transfer Application, the Parties have a duty to be complete and forthcoming in their responses to the Commission</w:t>
      </w:r>
      <w:r w:rsidRPr="00E5711D" w:rsidR="009C4FD5">
        <w:rPr>
          <w:snapToGrid/>
        </w:rPr>
        <w:t>’s investigation</w:t>
      </w:r>
      <w:r w:rsidRPr="00E5711D" w:rsidR="007B58C2">
        <w:rPr>
          <w:snapToGrid/>
        </w:rPr>
        <w:t>.</w:t>
      </w:r>
      <w:r>
        <w:rPr>
          <w:rStyle w:val="FootnoteReference"/>
          <w:snapToGrid/>
        </w:rPr>
        <w:footnoteReference w:id="193"/>
      </w:r>
      <w:r w:rsidRPr="00E5711D" w:rsidR="007B58C2">
        <w:rPr>
          <w:snapToGrid/>
        </w:rPr>
        <w:t xml:space="preserve">  T</w:t>
      </w:r>
      <w:r w:rsidRPr="00E5711D" w:rsidR="008F3899">
        <w:rPr>
          <w:snapToGrid/>
        </w:rPr>
        <w:t>he Parties</w:t>
      </w:r>
      <w:r w:rsidRPr="00E5711D" w:rsidR="007B58C2">
        <w:rPr>
          <w:snapToGrid/>
          <w:szCs w:val="22"/>
        </w:rPr>
        <w:t>’</w:t>
      </w:r>
      <w:r w:rsidRPr="00E5711D" w:rsidR="008F3899">
        <w:rPr>
          <w:snapToGrid/>
        </w:rPr>
        <w:t xml:space="preserve"> responses to the Bureau’s inquiries </w:t>
      </w:r>
      <w:r w:rsidRPr="00E5711D" w:rsidR="007B58C2">
        <w:rPr>
          <w:snapToGrid/>
        </w:rPr>
        <w:t>in this case, however,</w:t>
      </w:r>
      <w:r w:rsidRPr="00E5711D" w:rsidR="008F3899">
        <w:rPr>
          <w:snapToGrid/>
        </w:rPr>
        <w:t xml:space="preserve"> raise substantial and material questions of fact regarding whether Rygaard and Toscano have </w:t>
      </w:r>
      <w:r w:rsidR="0013665E">
        <w:rPr>
          <w:snapToGrid/>
        </w:rPr>
        <w:t>satisfied this basic requirement</w:t>
      </w:r>
      <w:r w:rsidRPr="00E5711D" w:rsidR="008F3899">
        <w:rPr>
          <w:snapToGrid/>
        </w:rPr>
        <w:t>.  Moreover, co</w:t>
      </w:r>
      <w:r w:rsidRPr="00E5711D" w:rsidR="00AE2AD1">
        <w:rPr>
          <w:snapToGrid/>
        </w:rPr>
        <w:t>llectively, th</w:t>
      </w:r>
      <w:r w:rsidRPr="00E5711D" w:rsidR="003C280A">
        <w:rPr>
          <w:snapToGrid/>
        </w:rPr>
        <w:t>e</w:t>
      </w:r>
      <w:r w:rsidRPr="00E5711D" w:rsidR="00B82AEE">
        <w:rPr>
          <w:snapToGrid/>
        </w:rPr>
        <w:t xml:space="preserve"> Parties</w:t>
      </w:r>
      <w:r w:rsidRPr="00E5711D" w:rsidR="001877D9">
        <w:rPr>
          <w:snapToGrid/>
          <w:szCs w:val="22"/>
        </w:rPr>
        <w:t>’</w:t>
      </w:r>
      <w:r w:rsidRPr="00E5711D" w:rsidR="00B82AEE">
        <w:rPr>
          <w:snapToGrid/>
        </w:rPr>
        <w:t xml:space="preserve"> filings </w:t>
      </w:r>
      <w:r w:rsidRPr="00E5711D" w:rsidR="003C280A">
        <w:rPr>
          <w:snapToGrid/>
        </w:rPr>
        <w:t>suggest an indifference to the Commission’s regulatory authority that is patently inconsistent with the responsibilities of a licensee</w:t>
      </w:r>
      <w:r w:rsidR="0013665E">
        <w:rPr>
          <w:snapToGrid/>
        </w:rPr>
        <w:t>.  W</w:t>
      </w:r>
      <w:r w:rsidRPr="00E5711D" w:rsidR="003C280A">
        <w:rPr>
          <w:snapToGrid/>
          <w:szCs w:val="22"/>
        </w:rPr>
        <w:t xml:space="preserve">e designate </w:t>
      </w:r>
      <w:r w:rsidRPr="00E5711D" w:rsidR="007B58C2">
        <w:rPr>
          <w:snapToGrid/>
          <w:szCs w:val="22"/>
        </w:rPr>
        <w:t xml:space="preserve">for </w:t>
      </w:r>
      <w:r w:rsidRPr="00E5711D" w:rsidR="007B58C2">
        <w:rPr>
          <w:szCs w:val="22"/>
        </w:rPr>
        <w:t xml:space="preserve">hearing appropriate issues to </w:t>
      </w:r>
      <w:r w:rsidRPr="00E5711D" w:rsidR="00EF20D1">
        <w:rPr>
          <w:szCs w:val="22"/>
        </w:rPr>
        <w:t xml:space="preserve">resolve substantial and </w:t>
      </w:r>
      <w:r w:rsidRPr="00E5711D" w:rsidR="00EF20D1">
        <w:rPr>
          <w:szCs w:val="22"/>
        </w:rPr>
        <w:t xml:space="preserve">material questions of fact </w:t>
      </w:r>
      <w:r w:rsidRPr="00E5711D" w:rsidR="00C21480">
        <w:rPr>
          <w:szCs w:val="22"/>
        </w:rPr>
        <w:t>as to whether</w:t>
      </w:r>
      <w:r w:rsidRPr="00E5711D" w:rsidR="00EF20D1">
        <w:rPr>
          <w:szCs w:val="22"/>
        </w:rPr>
        <w:t xml:space="preserve"> </w:t>
      </w:r>
      <w:r w:rsidRPr="00E5711D" w:rsidR="00EF527D">
        <w:t xml:space="preserve">97.5 Licensee, </w:t>
      </w:r>
      <w:r w:rsidRPr="00E5711D" w:rsidR="007B58C2">
        <w:rPr>
          <w:snapToGrid/>
          <w:spacing w:val="-3"/>
          <w:szCs w:val="22"/>
        </w:rPr>
        <w:t>Rygaard</w:t>
      </w:r>
      <w:r w:rsidR="0013665E">
        <w:rPr>
          <w:snapToGrid/>
          <w:spacing w:val="-3"/>
          <w:szCs w:val="22"/>
        </w:rPr>
        <w:t>,</w:t>
      </w:r>
      <w:r w:rsidRPr="00E5711D" w:rsidR="007B58C2">
        <w:rPr>
          <w:snapToGrid/>
          <w:spacing w:val="-3"/>
          <w:szCs w:val="22"/>
        </w:rPr>
        <w:t xml:space="preserve"> and Toscano violated section 73.1015 by failing to </w:t>
      </w:r>
      <w:r w:rsidRPr="00E5711D" w:rsidR="007B58C2">
        <w:rPr>
          <w:szCs w:val="22"/>
        </w:rPr>
        <w:t xml:space="preserve">respond fully </w:t>
      </w:r>
      <w:r w:rsidRPr="00E5711D" w:rsidR="00302718">
        <w:rPr>
          <w:szCs w:val="22"/>
        </w:rPr>
        <w:t>and/or truthfully</w:t>
      </w:r>
      <w:r w:rsidRPr="00E5711D" w:rsidR="007B58C2">
        <w:rPr>
          <w:szCs w:val="22"/>
        </w:rPr>
        <w:t xml:space="preserve"> to the Bureau’s requests for information, thereby further demonstrating a lack of candor and/or misrepresentations to the Commission.  </w:t>
      </w:r>
    </w:p>
    <w:p w:rsidR="00EB6034" w:rsidRPr="00E5711D" w:rsidP="001F086A" w14:paraId="6C238A71" w14:textId="42DA780D">
      <w:pPr>
        <w:pStyle w:val="Heading2"/>
      </w:pPr>
      <w:bookmarkStart w:id="176" w:name="_Toc197085158"/>
      <w:bookmarkStart w:id="177" w:name="_Toc197093817"/>
      <w:bookmarkStart w:id="178" w:name="_Toc199497975"/>
      <w:bookmarkStart w:id="179" w:name="_Toc199498118"/>
      <w:bookmarkStart w:id="180" w:name="_Toc199761786"/>
      <w:bookmarkStart w:id="181" w:name="_Toc199778028"/>
      <w:bookmarkStart w:id="182" w:name="_Toc201584583"/>
      <w:bookmarkStart w:id="183" w:name="_Toc202182789"/>
      <w:bookmarkStart w:id="184" w:name="_Toc209708339"/>
      <w:bookmarkStart w:id="185" w:name="_Toc210117707"/>
      <w:bookmarkStart w:id="186" w:name="_Toc219206069"/>
      <w:bookmarkStart w:id="187" w:name="_Toc219206810"/>
      <w:r w:rsidRPr="00E5711D">
        <w:t>T</w:t>
      </w:r>
      <w:r w:rsidRPr="00E5711D" w:rsidR="00F2603E">
        <w:t xml:space="preserve">here are Substantial and Material Questions </w:t>
      </w:r>
      <w:r w:rsidRPr="00E5711D" w:rsidR="008E4EF3">
        <w:t xml:space="preserve">of Fact </w:t>
      </w:r>
      <w:r w:rsidRPr="00E5711D" w:rsidR="00F2603E">
        <w:t xml:space="preserve">Concerning </w:t>
      </w:r>
      <w:r w:rsidRPr="00E5711D" w:rsidR="00764368">
        <w:t>the Parties</w:t>
      </w:r>
      <w:r w:rsidRPr="00E5711D" w:rsidR="00F2603E">
        <w:t>’ Qualifications to be a Commission Licensee</w:t>
      </w:r>
      <w:bookmarkEnd w:id="176"/>
      <w:bookmarkEnd w:id="177"/>
      <w:bookmarkEnd w:id="178"/>
      <w:bookmarkEnd w:id="179"/>
      <w:bookmarkEnd w:id="180"/>
      <w:bookmarkEnd w:id="181"/>
      <w:bookmarkEnd w:id="182"/>
      <w:bookmarkEnd w:id="183"/>
      <w:bookmarkEnd w:id="184"/>
      <w:bookmarkEnd w:id="185"/>
      <w:bookmarkEnd w:id="186"/>
      <w:bookmarkEnd w:id="187"/>
    </w:p>
    <w:p w:rsidR="00926522" w:rsidRPr="00E5711D" w:rsidP="000341C8" w14:paraId="0A2A401D" w14:textId="7E432113">
      <w:pPr>
        <w:pStyle w:val="ParaNum"/>
      </w:pPr>
      <w:r w:rsidRPr="00E5711D">
        <w:t xml:space="preserve">As discussed above, the character of an applicant is </w:t>
      </w:r>
      <w:r w:rsidRPr="00E5711D" w:rsidR="00570970">
        <w:t>one of the essential f</w:t>
      </w:r>
      <w:r w:rsidRPr="00E5711D">
        <w:t xml:space="preserve">actors that the Commission considers in determining whether </w:t>
      </w:r>
      <w:r w:rsidR="00FD3AB7">
        <w:t>an</w:t>
      </w:r>
      <w:r w:rsidRPr="00E5711D">
        <w:t xml:space="preserve"> applicant has the requisite qualifications to be a Commission licensee.</w:t>
      </w:r>
      <w:r>
        <w:rPr>
          <w:rStyle w:val="FootnoteReference"/>
        </w:rPr>
        <w:footnoteReference w:id="194"/>
      </w:r>
      <w:r w:rsidRPr="00E5711D">
        <w:t xml:space="preserve">  </w:t>
      </w:r>
      <w:r w:rsidR="00A63344">
        <w:t>B</w:t>
      </w:r>
      <w:r w:rsidRPr="00E5711D">
        <w:t xml:space="preserve">ecause </w:t>
      </w:r>
      <w:r w:rsidR="00A63344">
        <w:t xml:space="preserve">a defect in character </w:t>
      </w:r>
      <w:r w:rsidRPr="00E5711D">
        <w:t>would warrant the Commission’s refusal to grant a license in the original application</w:t>
      </w:r>
      <w:r w:rsidR="003E1728">
        <w:t>,</w:t>
      </w:r>
      <w:r w:rsidRPr="00E5711D">
        <w:t xml:space="preserve"> </w:t>
      </w:r>
      <w:r w:rsidR="00A63344">
        <w:t xml:space="preserve">it </w:t>
      </w:r>
      <w:r w:rsidRPr="00E5711D">
        <w:t xml:space="preserve">likewise </w:t>
      </w:r>
      <w:r w:rsidR="00A63344">
        <w:t xml:space="preserve">would </w:t>
      </w:r>
      <w:r w:rsidRPr="00E5711D">
        <w:t>support a Commission determination to revoke a license or permit.</w:t>
      </w:r>
      <w:r>
        <w:rPr>
          <w:spacing w:val="-3"/>
          <w:vertAlign w:val="superscript"/>
        </w:rPr>
        <w:footnoteReference w:id="195"/>
      </w:r>
      <w:r w:rsidRPr="00E5711D">
        <w:t xml:space="preserve">  The same is true with regard to whether an existing licensee has displayed the behavior and truthfulness to remain a licensee.</w:t>
      </w:r>
      <w:r>
        <w:rPr>
          <w:rStyle w:val="FootnoteReference"/>
        </w:rPr>
        <w:footnoteReference w:id="196"/>
      </w:r>
      <w:r w:rsidRPr="00E5711D">
        <w:t xml:space="preserve">  </w:t>
      </w:r>
      <w:r w:rsidRPr="00E5711D">
        <w:rPr>
          <w:szCs w:val="22"/>
        </w:rPr>
        <w:t xml:space="preserve">     </w:t>
      </w:r>
    </w:p>
    <w:p w:rsidR="00926522" w:rsidRPr="00E5711D" w:rsidP="006E1BFD" w14:paraId="11EA4A5E" w14:textId="7396877B">
      <w:pPr>
        <w:pStyle w:val="ParaNum"/>
        <w:widowControl/>
      </w:pPr>
      <w:r w:rsidRPr="00E5711D">
        <w:t>The Commission has long recognized that, in assessing character qualifications in broadcasting matters, the relevant character traits the Commission is concerned with “are those of ‘truthfulness’ and ‘reliability.’”</w:t>
      </w:r>
      <w:r>
        <w:rPr>
          <w:rStyle w:val="FootnoteReference"/>
        </w:rPr>
        <w:footnoteReference w:id="197"/>
      </w:r>
      <w:r w:rsidRPr="00E5711D">
        <w:t xml:space="preserve">  </w:t>
      </w:r>
      <w:r w:rsidRPr="00E5711D" w:rsidR="007022BD">
        <w:t>M</w:t>
      </w:r>
      <w:r w:rsidRPr="00E5711D">
        <w:t xml:space="preserve">isrepresentation </w:t>
      </w:r>
      <w:r w:rsidRPr="00E5711D" w:rsidR="00DF603E">
        <w:t xml:space="preserve">and a lack of candor </w:t>
      </w:r>
      <w:r w:rsidRPr="00E5711D">
        <w:t>demonstrate a</w:t>
      </w:r>
      <w:r w:rsidRPr="00E5711D" w:rsidR="00CE2CA0">
        <w:t xml:space="preserve"> failure to be truthful</w:t>
      </w:r>
      <w:r w:rsidRPr="00E5711D">
        <w:t xml:space="preserve"> under the Commission’s character qualifications policy</w:t>
      </w:r>
      <w:r w:rsidRPr="00E5711D">
        <w:rPr>
          <w:szCs w:val="22"/>
        </w:rPr>
        <w:t>,</w:t>
      </w:r>
      <w:r>
        <w:rPr>
          <w:rStyle w:val="FootnoteReference"/>
        </w:rPr>
        <w:footnoteReference w:id="198"/>
      </w:r>
      <w:r w:rsidRPr="00E5711D">
        <w:rPr>
          <w:szCs w:val="22"/>
        </w:rPr>
        <w:t xml:space="preserve"> </w:t>
      </w:r>
      <w:r w:rsidRPr="00E5711D">
        <w:t>and parties</w:t>
      </w:r>
      <w:r w:rsidRPr="00E5711D">
        <w:rPr>
          <w:szCs w:val="22"/>
        </w:rPr>
        <w:t xml:space="preserve"> </w:t>
      </w:r>
      <w:r w:rsidRPr="00E5711D">
        <w:t>that deliberately make misrepresentations or lack candor may engage in disqualifying conduct.</w:t>
      </w:r>
      <w:r>
        <w:rPr>
          <w:rStyle w:val="FootnoteReference"/>
        </w:rPr>
        <w:footnoteReference w:id="199"/>
      </w:r>
      <w:r w:rsidRPr="00E5711D">
        <w:t xml:space="preserve">  The Commission has </w:t>
      </w:r>
      <w:r w:rsidRPr="00E5711D" w:rsidR="001A3031">
        <w:t xml:space="preserve">also </w:t>
      </w:r>
      <w:r w:rsidRPr="00E5711D">
        <w:t>recognized that “any violations of the Communications Act, Commission rules or Commission policies can be said to have a potential bearing on character qualifications.”</w:t>
      </w:r>
      <w:r>
        <w:rPr>
          <w:rStyle w:val="FootnoteReference"/>
        </w:rPr>
        <w:footnoteReference w:id="200"/>
      </w:r>
      <w:r w:rsidRPr="00E5711D">
        <w:t xml:space="preserve">  It therefore is appropriate to consider “any violation of any provision of the Act, or of our Rules or policies, as possibly predictive of future conduct and, thus, as possibly raising concerns over the licensee’s future truthfulness and reliability.”</w:t>
      </w:r>
      <w:r>
        <w:rPr>
          <w:rStyle w:val="FootnoteReference"/>
        </w:rPr>
        <w:footnoteReference w:id="201"/>
      </w:r>
      <w:r w:rsidRPr="00E5711D">
        <w:t xml:space="preserve">  Such violations also can be a basis for revocation of a license or construction permit.</w:t>
      </w:r>
      <w:r>
        <w:rPr>
          <w:rStyle w:val="FootnoteReference"/>
        </w:rPr>
        <w:footnoteReference w:id="202"/>
      </w:r>
      <w:r w:rsidRPr="00E5711D">
        <w:rPr>
          <w:szCs w:val="22"/>
        </w:rPr>
        <w:t xml:space="preserve">   </w:t>
      </w:r>
    </w:p>
    <w:p w:rsidR="000E7CF9" w:rsidRPr="00E5711D" w:rsidP="00835D76" w14:paraId="46ED025D" w14:textId="0D72AF66">
      <w:pPr>
        <w:pStyle w:val="ParaNum"/>
        <w:rPr>
          <w:snapToGrid/>
        </w:rPr>
      </w:pPr>
      <w:r w:rsidRPr="00E5711D">
        <w:t xml:space="preserve">In light of the </w:t>
      </w:r>
      <w:r w:rsidRPr="00E5711D" w:rsidR="00D0051E">
        <w:t>information</w:t>
      </w:r>
      <w:r w:rsidRPr="00E5711D">
        <w:t xml:space="preserve"> discussed above, </w:t>
      </w:r>
      <w:r w:rsidRPr="00E5711D" w:rsidR="00926522">
        <w:t xml:space="preserve">we find that </w:t>
      </w:r>
      <w:r w:rsidRPr="00E5711D">
        <w:t xml:space="preserve">the record raises substantial and material questions of fact as to </w:t>
      </w:r>
      <w:r w:rsidRPr="00E5711D" w:rsidR="00E3756F">
        <w:t xml:space="preserve">Rygaard’s </w:t>
      </w:r>
      <w:r w:rsidRPr="00E5711D" w:rsidR="00EB6034">
        <w:t>character</w:t>
      </w:r>
      <w:r w:rsidRPr="00E5711D">
        <w:t>, in terms of whether she has the propensity to deal honestly with the Commission and to comply with the Act</w:t>
      </w:r>
      <w:r w:rsidRPr="00E5711D" w:rsidR="001A3031">
        <w:rPr>
          <w:szCs w:val="22"/>
        </w:rPr>
        <w:t>,</w:t>
      </w:r>
      <w:r w:rsidRPr="00E5711D">
        <w:rPr>
          <w:szCs w:val="22"/>
        </w:rPr>
        <w:t xml:space="preserve"> </w:t>
      </w:r>
      <w:r w:rsidRPr="00E5711D" w:rsidR="001A3031">
        <w:t xml:space="preserve">the </w:t>
      </w:r>
      <w:r w:rsidRPr="00E5711D">
        <w:t>Rules</w:t>
      </w:r>
      <w:r w:rsidRPr="00E5711D" w:rsidR="001A3031">
        <w:rPr>
          <w:szCs w:val="22"/>
        </w:rPr>
        <w:t>,</w:t>
      </w:r>
      <w:r w:rsidRPr="00E5711D">
        <w:t xml:space="preserve"> and</w:t>
      </w:r>
      <w:r w:rsidRPr="00E5711D" w:rsidR="001A3031">
        <w:t xml:space="preserve"> Commission </w:t>
      </w:r>
      <w:r w:rsidRPr="00E5711D">
        <w:t>policies.</w:t>
      </w:r>
      <w:r>
        <w:rPr>
          <w:rStyle w:val="FootnoteReference"/>
        </w:rPr>
        <w:footnoteReference w:id="203"/>
      </w:r>
      <w:r w:rsidRPr="00E5711D">
        <w:t xml:space="preserve">  The </w:t>
      </w:r>
      <w:r w:rsidRPr="00E5711D">
        <w:t>integrity of Commission processes cannot be maintained without honest dealings by those appearing before it.</w:t>
      </w:r>
      <w:r>
        <w:rPr>
          <w:rStyle w:val="FootnoteReference"/>
        </w:rPr>
        <w:footnoteReference w:id="204"/>
      </w:r>
      <w:r w:rsidRPr="00E5711D">
        <w:t xml:space="preserve">  Acts of misrepresentation and lack of candor “not only violate</w:t>
      </w:r>
      <w:r w:rsidRPr="00E5711D" w:rsidR="00520DD5">
        <w:rPr>
          <w:szCs w:val="22"/>
        </w:rPr>
        <w:t>[]</w:t>
      </w:r>
      <w:r w:rsidRPr="00E5711D">
        <w:t xml:space="preserve"> the Commission’s Rules</w:t>
      </w:r>
      <w:r w:rsidR="003E1728">
        <w:t>,</w:t>
      </w:r>
      <w:r w:rsidRPr="00E5711D">
        <w:t xml:space="preserve"> [they] also raise[] immediate concerns over the licensee’s ability to be truthful in any future dealings with the Commission.”</w:t>
      </w:r>
      <w:r>
        <w:rPr>
          <w:rStyle w:val="FootnoteReference"/>
        </w:rPr>
        <w:footnoteReference w:id="205"/>
      </w:r>
      <w:r w:rsidRPr="00E5711D">
        <w:t xml:space="preserve">  We thus view “misrepresentation and lack of candor in an applicant’s dealings with the Commission as serious breaches of trust”</w:t>
      </w:r>
      <w:r>
        <w:rPr>
          <w:rStyle w:val="FootnoteReference"/>
        </w:rPr>
        <w:footnoteReference w:id="206"/>
      </w:r>
      <w:r w:rsidRPr="00E5711D">
        <w:t xml:space="preserve"> and can “treat even the most insignificant misrepresentation as disqualifying.”</w:t>
      </w:r>
      <w:r>
        <w:rPr>
          <w:rStyle w:val="FootnoteReference"/>
        </w:rPr>
        <w:footnoteReference w:id="207"/>
      </w:r>
      <w:r w:rsidRPr="00E5711D">
        <w:rPr>
          <w:szCs w:val="22"/>
        </w:rPr>
        <w:t xml:space="preserve">  </w:t>
      </w:r>
      <w:r w:rsidRPr="00E5711D" w:rsidR="00CA4B10">
        <w:t xml:space="preserve">Given the seriousness of the </w:t>
      </w:r>
      <w:r w:rsidRPr="00E5711D" w:rsidR="008E6E61">
        <w:t xml:space="preserve">possible </w:t>
      </w:r>
      <w:r w:rsidRPr="00E5711D" w:rsidR="00CA4B10">
        <w:t>misrepresentations and</w:t>
      </w:r>
      <w:r w:rsidRPr="00E5711D" w:rsidR="00834E64">
        <w:t>/or</w:t>
      </w:r>
      <w:r w:rsidRPr="00E5711D" w:rsidR="00CA4B10">
        <w:t xml:space="preserve"> lack of candor in this case—which appear designed to mask the underlying abdication of control of the Stations to an unapproved foreign individual—</w:t>
      </w:r>
      <w:r w:rsidR="0013665E">
        <w:t xml:space="preserve">the record raises serious concerns about whether </w:t>
      </w:r>
      <w:r w:rsidRPr="00E5711D" w:rsidR="00CA4B10">
        <w:t xml:space="preserve">Rygaard lacks the basic character qualifications to remain a Commission licensee.  </w:t>
      </w:r>
      <w:r w:rsidRPr="00E5711D">
        <w:t xml:space="preserve">We therefore designate for hearing appropriate issues to determine whether </w:t>
      </w:r>
      <w:r w:rsidRPr="00E5711D" w:rsidR="00E3756F">
        <w:t>Rygaard</w:t>
      </w:r>
      <w:r w:rsidRPr="00E5711D" w:rsidR="00E3756F">
        <w:rPr>
          <w:szCs w:val="22"/>
        </w:rPr>
        <w:t xml:space="preserve"> </w:t>
      </w:r>
      <w:r w:rsidRPr="00E5711D">
        <w:t xml:space="preserve">has the character qualifications to </w:t>
      </w:r>
      <w:r w:rsidRPr="00E5711D" w:rsidR="00E3756F">
        <w:t>remain</w:t>
      </w:r>
      <w:r w:rsidRPr="00E5711D">
        <w:t xml:space="preserve"> a Commission licensee</w:t>
      </w:r>
      <w:r w:rsidRPr="00E5711D" w:rsidR="00AC638A">
        <w:t xml:space="preserve"> and whether the Station licenses should be revoked</w:t>
      </w:r>
      <w:r w:rsidRPr="00E5711D">
        <w:rPr>
          <w:szCs w:val="22"/>
        </w:rPr>
        <w:t>.</w:t>
      </w:r>
      <w:r w:rsidRPr="00E5711D" w:rsidR="00F2603E">
        <w:rPr>
          <w:szCs w:val="22"/>
        </w:rPr>
        <w:t xml:space="preserve">  </w:t>
      </w:r>
      <w:r w:rsidRPr="00E5711D" w:rsidR="00970711">
        <w:t xml:space="preserve">Further, as noted above, consistent with the Commission’s </w:t>
      </w:r>
      <w:r w:rsidRPr="00E5711D" w:rsidR="00970711">
        <w:rPr>
          <w:i/>
        </w:rPr>
        <w:t>Jefferson Radio</w:t>
      </w:r>
      <w:r w:rsidRPr="00E5711D" w:rsidR="00970711">
        <w:t xml:space="preserve"> policy, </w:t>
      </w:r>
      <w:r w:rsidRPr="00E5711D" w:rsidR="00C83AB3">
        <w:t xml:space="preserve">if </w:t>
      </w:r>
      <w:r w:rsidRPr="00E5711D" w:rsidR="006D02EC">
        <w:t>the hearing</w:t>
      </w:r>
      <w:r w:rsidRPr="00E5711D" w:rsidR="00C83AB3">
        <w:t xml:space="preserve"> </w:t>
      </w:r>
      <w:r w:rsidRPr="00E5711D" w:rsidR="00C23E9B">
        <w:t xml:space="preserve">substantiates </w:t>
      </w:r>
      <w:r w:rsidRPr="00E5711D" w:rsidR="00970711">
        <w:t>Rygaard’s lack of qualifications and the revocation of the Station licenses, the Transfer Application should be dismissed as there will no longer be any authorizations to transfer.</w:t>
      </w:r>
      <w:r>
        <w:rPr>
          <w:rStyle w:val="FootnoteReference"/>
        </w:rPr>
        <w:footnoteReference w:id="208"/>
      </w:r>
      <w:r w:rsidRPr="00E5711D" w:rsidR="00970711">
        <w:t xml:space="preserve">   </w:t>
      </w:r>
    </w:p>
    <w:p w:rsidR="00046646" w:rsidRPr="00E5711D" w:rsidP="00923A1B" w14:paraId="7F0BC7AE" w14:textId="451BC114">
      <w:pPr>
        <w:pStyle w:val="ParaNum"/>
      </w:pPr>
      <w:r w:rsidRPr="00E5711D">
        <w:rPr>
          <w:snapToGrid/>
        </w:rPr>
        <w:t xml:space="preserve">While Rygaard’s lack of fitness to remain a Commission licensee and </w:t>
      </w:r>
      <w:r w:rsidRPr="00E5711D" w:rsidR="00D046F3">
        <w:rPr>
          <w:snapToGrid/>
        </w:rPr>
        <w:t xml:space="preserve">the subsequent </w:t>
      </w:r>
      <w:r w:rsidRPr="00E5711D">
        <w:rPr>
          <w:snapToGrid/>
        </w:rPr>
        <w:t xml:space="preserve">revocation of the Station licenses </w:t>
      </w:r>
      <w:r w:rsidRPr="00E5711D" w:rsidR="00D046F3">
        <w:rPr>
          <w:snapToGrid/>
        </w:rPr>
        <w:t xml:space="preserve">that would follow </w:t>
      </w:r>
      <w:r w:rsidRPr="00E5711D">
        <w:rPr>
          <w:snapToGrid/>
        </w:rPr>
        <w:t xml:space="preserve">would obviate the </w:t>
      </w:r>
      <w:r w:rsidRPr="00E5711D" w:rsidR="009F0B06">
        <w:rPr>
          <w:snapToGrid/>
        </w:rPr>
        <w:t xml:space="preserve">need for the </w:t>
      </w:r>
      <w:r w:rsidRPr="00E5711D">
        <w:rPr>
          <w:snapToGrid/>
        </w:rPr>
        <w:t xml:space="preserve">Transfer Application, </w:t>
      </w:r>
      <w:r w:rsidRPr="00E5711D" w:rsidR="00EB6034">
        <w:rPr>
          <w:snapToGrid/>
        </w:rPr>
        <w:t xml:space="preserve">an identical question </w:t>
      </w:r>
      <w:r w:rsidRPr="00E5711D" w:rsidR="009F0B06">
        <w:rPr>
          <w:snapToGrid/>
        </w:rPr>
        <w:t xml:space="preserve">exists </w:t>
      </w:r>
      <w:r w:rsidRPr="00E5711D" w:rsidR="00EB6034">
        <w:rPr>
          <w:snapToGrid/>
        </w:rPr>
        <w:t xml:space="preserve">as to </w:t>
      </w:r>
      <w:r w:rsidRPr="00E5711D" w:rsidR="00D046F3">
        <w:rPr>
          <w:snapToGrid/>
        </w:rPr>
        <w:t>Toscano’s character qualifications.  Based on the evidence established thus far</w:t>
      </w:r>
      <w:r w:rsidRPr="00E5711D" w:rsidR="00AC638A">
        <w:rPr>
          <w:snapToGrid/>
          <w:szCs w:val="22"/>
        </w:rPr>
        <w:t>,</w:t>
      </w:r>
      <w:r w:rsidRPr="00E5711D" w:rsidR="00D046F3">
        <w:rPr>
          <w:snapToGrid/>
          <w:szCs w:val="22"/>
        </w:rPr>
        <w:t xml:space="preserve"> </w:t>
      </w:r>
      <w:r w:rsidRPr="00E5711D" w:rsidR="00834E64">
        <w:rPr>
          <w:snapToGrid/>
        </w:rPr>
        <w:t>substantial and</w:t>
      </w:r>
      <w:r w:rsidRPr="00E5711D" w:rsidR="00834E64">
        <w:rPr>
          <w:snapToGrid/>
          <w:szCs w:val="22"/>
        </w:rPr>
        <w:t xml:space="preserve"> </w:t>
      </w:r>
      <w:r w:rsidRPr="00E5711D" w:rsidR="00D046F3">
        <w:rPr>
          <w:snapToGrid/>
        </w:rPr>
        <w:t xml:space="preserve">material questions exist as to </w:t>
      </w:r>
      <w:r w:rsidRPr="00E5711D" w:rsidR="00EB6034">
        <w:rPr>
          <w:snapToGrid/>
        </w:rPr>
        <w:t xml:space="preserve">whether </w:t>
      </w:r>
      <w:r w:rsidRPr="00E5711D">
        <w:rPr>
          <w:snapToGrid/>
        </w:rPr>
        <w:t xml:space="preserve">Toscano </w:t>
      </w:r>
      <w:r w:rsidRPr="00E5711D" w:rsidR="00EB6034">
        <w:t xml:space="preserve">has the propensity to deal honestly with the Commission and to comply with the Act and our Rules and policies </w:t>
      </w:r>
      <w:r w:rsidRPr="00E5711D" w:rsidR="00D94ED9">
        <w:t>should</w:t>
      </w:r>
      <w:r w:rsidRPr="00E5711D" w:rsidR="00EB6034">
        <w:t xml:space="preserve"> she </w:t>
      </w:r>
      <w:r w:rsidRPr="00E5711D">
        <w:t xml:space="preserve">become a Commission </w:t>
      </w:r>
      <w:r w:rsidRPr="00E5711D" w:rsidR="00EB6034">
        <w:t xml:space="preserve">licensee.  </w:t>
      </w:r>
      <w:r w:rsidRPr="00E5711D" w:rsidR="000D13A8">
        <w:t xml:space="preserve">Additionally, given Toscano’s existing interests in Mexican radio stations, particularly </w:t>
      </w:r>
      <w:r w:rsidR="006E1BFD">
        <w:t xml:space="preserve">those in the El Paso market </w:t>
      </w:r>
      <w:r w:rsidRPr="00E5711D" w:rsidR="000D13A8">
        <w:t>adjacent to the U.S. border, it is feasible that she might</w:t>
      </w:r>
      <w:r w:rsidRPr="00E5711D" w:rsidR="000D13A8">
        <w:rPr>
          <w:szCs w:val="22"/>
        </w:rPr>
        <w:t xml:space="preserve"> </w:t>
      </w:r>
      <w:r w:rsidRPr="00E5711D" w:rsidR="000D13A8">
        <w:t>seek to acquire licenses for U.S. broadcast stations beyond the Stations in this case</w:t>
      </w:r>
      <w:r w:rsidRPr="00E5711D" w:rsidR="000D13A8">
        <w:rPr>
          <w:szCs w:val="22"/>
        </w:rPr>
        <w:t xml:space="preserve">.  </w:t>
      </w:r>
      <w:r w:rsidR="000D13A8">
        <w:t xml:space="preserve">Therefore, </w:t>
      </w:r>
      <w:r w:rsidRPr="00E5711D" w:rsidR="00293002">
        <w:t>the Commission should</w:t>
      </w:r>
      <w:r w:rsidRPr="00E5711D">
        <w:t xml:space="preserve"> </w:t>
      </w:r>
      <w:r w:rsidRPr="00E5711D" w:rsidR="00834E64">
        <w:t xml:space="preserve">resolve </w:t>
      </w:r>
      <w:r w:rsidRPr="00E5711D">
        <w:t xml:space="preserve">these </w:t>
      </w:r>
      <w:r w:rsidRPr="00E5711D" w:rsidR="001A0243">
        <w:t>issues</w:t>
      </w:r>
      <w:r w:rsidRPr="00E5711D">
        <w:t xml:space="preserve"> </w:t>
      </w:r>
      <w:r w:rsidRPr="00E5711D" w:rsidR="000D13A8">
        <w:t xml:space="preserve">conclusively </w:t>
      </w:r>
      <w:r w:rsidRPr="00E5711D">
        <w:t>as to both Toscano and Rygaard</w:t>
      </w:r>
      <w:r w:rsidR="000D13A8">
        <w:t xml:space="preserve">, and we </w:t>
      </w:r>
      <w:r w:rsidRPr="00E5711D" w:rsidR="00EB6034">
        <w:t xml:space="preserve">designate for hearing appropriate issues to </w:t>
      </w:r>
      <w:r w:rsidR="000D13A8">
        <w:t>determine</w:t>
      </w:r>
      <w:r w:rsidRPr="00E5711D" w:rsidR="00F36CB2">
        <w:t xml:space="preserve"> </w:t>
      </w:r>
      <w:r w:rsidRPr="00E5711D" w:rsidR="00EB6034">
        <w:t xml:space="preserve">whether </w:t>
      </w:r>
      <w:r w:rsidRPr="00E5711D" w:rsidR="00AC638A">
        <w:t>Toscano</w:t>
      </w:r>
      <w:r w:rsidR="000D13A8">
        <w:t>, as well as Rygaard,</w:t>
      </w:r>
      <w:r w:rsidRPr="00E5711D" w:rsidR="00AC638A">
        <w:t xml:space="preserve"> </w:t>
      </w:r>
      <w:r w:rsidRPr="00E5711D" w:rsidR="00EB6034">
        <w:t xml:space="preserve">has the character qualifications to </w:t>
      </w:r>
      <w:r w:rsidRPr="00E5711D" w:rsidR="00AC638A">
        <w:t xml:space="preserve">become </w:t>
      </w:r>
      <w:r w:rsidRPr="00E5711D" w:rsidR="00EB6034">
        <w:t>a Commission licensee</w:t>
      </w:r>
      <w:r w:rsidRPr="00E5711D" w:rsidR="00923A1B">
        <w:t xml:space="preserve"> independent of the status of the Transfer Application</w:t>
      </w:r>
      <w:r w:rsidRPr="00E5711D" w:rsidR="00923A1B">
        <w:rPr>
          <w:szCs w:val="22"/>
        </w:rPr>
        <w:t xml:space="preserve">.  </w:t>
      </w:r>
      <w:r w:rsidRPr="00E5711D" w:rsidR="00EB6034">
        <w:rPr>
          <w:szCs w:val="22"/>
        </w:rPr>
        <w:t xml:space="preserve">  </w:t>
      </w:r>
      <w:bookmarkStart w:id="188" w:name="_Toc9600426"/>
      <w:bookmarkStart w:id="189" w:name="_Toc10455525"/>
      <w:bookmarkStart w:id="190" w:name="_Toc10456005"/>
      <w:bookmarkStart w:id="191" w:name="_Toc10456450"/>
    </w:p>
    <w:p w:rsidR="00435338" w:rsidRPr="00E5711D" w:rsidP="00835D76" w14:paraId="292BEDC2" w14:textId="087252B4">
      <w:pPr>
        <w:pStyle w:val="Heading1"/>
        <w:keepNext w:val="0"/>
        <w:suppressAutoHyphens w:val="0"/>
        <w:rPr>
          <w:rFonts w:ascii="Times New Roman" w:hAnsi="Times New Roman"/>
          <w:bCs/>
          <w:kern w:val="0"/>
          <w:szCs w:val="22"/>
        </w:rPr>
      </w:pPr>
      <w:bookmarkStart w:id="192" w:name="_Toc199497976"/>
      <w:bookmarkStart w:id="193" w:name="_Toc199498119"/>
      <w:bookmarkStart w:id="194" w:name="_Toc199761787"/>
      <w:bookmarkStart w:id="195" w:name="_Toc199778029"/>
      <w:bookmarkStart w:id="196" w:name="_Toc201584584"/>
      <w:bookmarkStart w:id="197" w:name="_Toc202182790"/>
      <w:bookmarkStart w:id="198" w:name="_Toc209708340"/>
      <w:bookmarkStart w:id="199" w:name="_Toc210117708"/>
      <w:bookmarkStart w:id="200" w:name="_Toc219206070"/>
      <w:bookmarkStart w:id="201" w:name="_Toc219206811"/>
      <w:bookmarkStart w:id="202" w:name="_Toc197085159"/>
      <w:bookmarkStart w:id="203" w:name="_Toc197093818"/>
      <w:bookmarkStart w:id="204" w:name="_Toc142565419"/>
      <w:bookmarkEnd w:id="188"/>
      <w:bookmarkEnd w:id="189"/>
      <w:bookmarkEnd w:id="190"/>
      <w:bookmarkEnd w:id="191"/>
      <w:r w:rsidRPr="00E5711D">
        <w:rPr>
          <w:rFonts w:ascii="Times New Roman" w:hAnsi="Times New Roman"/>
          <w:bCs/>
          <w:kern w:val="0"/>
          <w:szCs w:val="22"/>
        </w:rPr>
        <w:t>Conclusion</w:t>
      </w:r>
      <w:bookmarkEnd w:id="192"/>
      <w:bookmarkEnd w:id="193"/>
      <w:bookmarkEnd w:id="194"/>
      <w:bookmarkEnd w:id="195"/>
      <w:bookmarkEnd w:id="196"/>
      <w:bookmarkEnd w:id="197"/>
      <w:bookmarkEnd w:id="198"/>
      <w:bookmarkEnd w:id="199"/>
      <w:bookmarkEnd w:id="200"/>
      <w:bookmarkEnd w:id="201"/>
    </w:p>
    <w:p w:rsidR="003E1728" w:rsidP="006E1BFD" w14:paraId="7574D071" w14:textId="15D98456">
      <w:pPr>
        <w:pStyle w:val="ParaNum"/>
        <w:widowControl/>
      </w:pPr>
      <w:r w:rsidRPr="00E5711D">
        <w:t xml:space="preserve">As set forth above, </w:t>
      </w:r>
      <w:r w:rsidR="00BA6C73">
        <w:t>the record before the Bureau reveals a substantial and material question of fact regarding whether there has been</w:t>
      </w:r>
      <w:r w:rsidRPr="00E5711D" w:rsidR="00DA7FE4">
        <w:t xml:space="preserve"> an unauthorized transfer of control to a foreign national and </w:t>
      </w:r>
      <w:r w:rsidR="00BA6C73">
        <w:t xml:space="preserve">whether the Parties have </w:t>
      </w:r>
      <w:r w:rsidRPr="00E5711D" w:rsidR="00272F4E">
        <w:t>repeatedly</w:t>
      </w:r>
      <w:r w:rsidRPr="00E5711D" w:rsidR="00DA7FE4">
        <w:t xml:space="preserve"> misrepresented </w:t>
      </w:r>
      <w:r w:rsidRPr="00E5711D" w:rsidR="00272F4E">
        <w:t xml:space="preserve">material </w:t>
      </w:r>
      <w:r w:rsidRPr="00E5711D" w:rsidR="00535932">
        <w:t xml:space="preserve">facts </w:t>
      </w:r>
      <w:r w:rsidRPr="00E5711D" w:rsidR="00DA7FE4">
        <w:t xml:space="preserve">and/or lacked candor in both the Transfer Application and </w:t>
      </w:r>
      <w:r w:rsidRPr="00E5711D" w:rsidR="00535932">
        <w:t xml:space="preserve">in </w:t>
      </w:r>
      <w:r w:rsidRPr="00E5711D" w:rsidR="00DA7FE4">
        <w:t>responses to the Bureau</w:t>
      </w:r>
      <w:r w:rsidRPr="00E5711D" w:rsidR="00D0051E">
        <w:t>’s investigation</w:t>
      </w:r>
      <w:r w:rsidRPr="00E5711D">
        <w:t xml:space="preserve">.  </w:t>
      </w:r>
      <w:r w:rsidRPr="00E5711D" w:rsidR="00AD1D75">
        <w:t xml:space="preserve">Based on the record developed by the Bureau it would appear that Toscano essentially obtained control of Stations in 2021-2022 when she acquired the parent company’s outstanding debt and began </w:t>
      </w:r>
      <w:r>
        <w:t>programming</w:t>
      </w:r>
      <w:r w:rsidRPr="00E5711D" w:rsidR="00AD1D75">
        <w:t xml:space="preserve"> the Stations and </w:t>
      </w:r>
      <w:r>
        <w:t xml:space="preserve">selling their </w:t>
      </w:r>
      <w:r w:rsidRPr="00E5711D" w:rsidR="00AD1D75">
        <w:t>advertising</w:t>
      </w:r>
      <w:r>
        <w:t xml:space="preserve"> time through her company Pro Radio</w:t>
      </w:r>
      <w:r w:rsidRPr="00E5711D" w:rsidR="00AD1D75">
        <w:t xml:space="preserve">.  </w:t>
      </w:r>
    </w:p>
    <w:p w:rsidR="00FA0192" w:rsidRPr="00E5711D" w14:paraId="023180C9" w14:textId="670C8B11">
      <w:pPr>
        <w:pStyle w:val="ParaNum"/>
        <w:widowControl/>
      </w:pPr>
      <w:r w:rsidRPr="00E5711D">
        <w:t>The</w:t>
      </w:r>
      <w:r w:rsidRPr="00E5711D" w:rsidR="00EE247A">
        <w:t xml:space="preserve"> facts of this case present a </w:t>
      </w:r>
      <w:r w:rsidRPr="00E5711D">
        <w:t xml:space="preserve">potential </w:t>
      </w:r>
      <w:r w:rsidRPr="00E5711D" w:rsidR="00EE247A">
        <w:t xml:space="preserve">pattern </w:t>
      </w:r>
      <w:r w:rsidRPr="00E5711D" w:rsidR="00896816">
        <w:t xml:space="preserve">of </w:t>
      </w:r>
      <w:r w:rsidRPr="00E5711D" w:rsidR="00463879">
        <w:t>indifferen</w:t>
      </w:r>
      <w:r w:rsidRPr="00E5711D" w:rsidR="007B7D5F">
        <w:t>ce</w:t>
      </w:r>
      <w:r w:rsidRPr="00E5711D" w:rsidR="00463879">
        <w:t xml:space="preserve"> to</w:t>
      </w:r>
      <w:r w:rsidRPr="00E5711D" w:rsidR="007B7D5F">
        <w:t xml:space="preserve">, and </w:t>
      </w:r>
      <w:r w:rsidRPr="00E5711D" w:rsidR="00EE247A">
        <w:t xml:space="preserve">exploitation </w:t>
      </w:r>
      <w:r w:rsidRPr="00E5711D" w:rsidR="00535932">
        <w:t>of</w:t>
      </w:r>
      <w:r w:rsidRPr="00E5711D" w:rsidR="00F33EB0">
        <w:t>,</w:t>
      </w:r>
      <w:r w:rsidRPr="00E5711D" w:rsidR="00535932">
        <w:t xml:space="preserve"> </w:t>
      </w:r>
      <w:r w:rsidRPr="00E5711D" w:rsidR="00EE247A">
        <w:t xml:space="preserve">the Commission’s </w:t>
      </w:r>
      <w:r w:rsidRPr="00E5711D" w:rsidR="00A37CBF">
        <w:t>R</w:t>
      </w:r>
      <w:r w:rsidRPr="00E5711D" w:rsidR="00EE247A">
        <w:t xml:space="preserve">ules that cannot be addressed </w:t>
      </w:r>
      <w:r w:rsidRPr="00E5711D" w:rsidR="00435338">
        <w:t xml:space="preserve">with a </w:t>
      </w:r>
      <w:r w:rsidRPr="00E5711D" w:rsidR="0010154D">
        <w:t xml:space="preserve">forfeiture order, </w:t>
      </w:r>
      <w:r w:rsidRPr="00E5711D" w:rsidR="00435338">
        <w:t>consent decree</w:t>
      </w:r>
      <w:r w:rsidRPr="00E5711D" w:rsidR="0010154D">
        <w:t>,</w:t>
      </w:r>
      <w:r w:rsidRPr="00E5711D" w:rsidR="00435338">
        <w:t xml:space="preserve"> or other </w:t>
      </w:r>
      <w:r w:rsidRPr="00E5711D" w:rsidR="00535932">
        <w:t xml:space="preserve">lesser </w:t>
      </w:r>
      <w:r w:rsidRPr="00E5711D" w:rsidR="00272F4E">
        <w:t xml:space="preserve">enforcement </w:t>
      </w:r>
      <w:r w:rsidRPr="00E5711D" w:rsidR="00435338">
        <w:t>measure.  Far from an inadvertent or unknowing transfer of control, this</w:t>
      </w:r>
      <w:r w:rsidRPr="00E5711D" w:rsidR="00896816">
        <w:t xml:space="preserve"> situation</w:t>
      </w:r>
      <w:r w:rsidRPr="00E5711D" w:rsidR="00435338">
        <w:t xml:space="preserve"> appears to be an intentional unauthorized transfer of control that masked the involvement of a </w:t>
      </w:r>
      <w:r w:rsidRPr="00E5711D" w:rsidR="00896816">
        <w:t xml:space="preserve">market competitor and </w:t>
      </w:r>
      <w:r w:rsidRPr="00E5711D" w:rsidR="00435338">
        <w:t xml:space="preserve">foreign national. </w:t>
      </w:r>
      <w:r w:rsidRPr="00E5711D" w:rsidR="00896816">
        <w:t xml:space="preserve"> </w:t>
      </w:r>
      <w:r w:rsidRPr="00E5711D">
        <w:t xml:space="preserve">While </w:t>
      </w:r>
      <w:r w:rsidRPr="00E5711D" w:rsidR="001B3F48">
        <w:t xml:space="preserve">on occasion </w:t>
      </w:r>
      <w:r w:rsidRPr="00E5711D">
        <w:t>the Bureau has found it appropriate to settle minor case</w:t>
      </w:r>
      <w:r w:rsidRPr="00E5711D" w:rsidR="00AD1D75">
        <w:t xml:space="preserve">s </w:t>
      </w:r>
      <w:r w:rsidRPr="00E5711D" w:rsidR="007B7D5F">
        <w:t xml:space="preserve">involving an inadvertent or unknowing transfer of control, the facts and circumstances presented in this case differ </w:t>
      </w:r>
      <w:r w:rsidRPr="00E5711D" w:rsidR="00896816">
        <w:t>significantly</w:t>
      </w:r>
      <w:r w:rsidRPr="00E5711D" w:rsidR="007B7D5F">
        <w:t xml:space="preserve"> from those situations.  </w:t>
      </w:r>
      <w:r w:rsidRPr="00E5711D" w:rsidR="00EE6B76">
        <w:t>For example, the facts of this case do not involve an involuntary trans</w:t>
      </w:r>
      <w:r w:rsidRPr="00E5711D" w:rsidR="0010154D">
        <w:t>f</w:t>
      </w:r>
      <w:r w:rsidRPr="00E5711D" w:rsidR="00EE6B76">
        <w:t>er of control resulting from the death of a principal shareholder</w:t>
      </w:r>
      <w:r w:rsidRPr="00E5711D" w:rsidR="001A3031">
        <w:t xml:space="preserve">, nor a </w:t>
      </w:r>
      <w:r w:rsidRPr="00E5711D" w:rsidR="00EE6B76">
        <w:t>gradual change to a</w:t>
      </w:r>
      <w:r w:rsidRPr="00E5711D" w:rsidR="0010154D">
        <w:t xml:space="preserve"> licensee’s </w:t>
      </w:r>
      <w:r w:rsidRPr="00E5711D" w:rsidR="00EE6B76">
        <w:t>corporate structure over time.</w:t>
      </w:r>
      <w:r>
        <w:rPr>
          <w:rStyle w:val="FootnoteReference"/>
        </w:rPr>
        <w:footnoteReference w:id="209"/>
      </w:r>
      <w:r w:rsidRPr="00E5711D" w:rsidR="00EE6B76">
        <w:t xml:space="preserve">  Rather</w:t>
      </w:r>
      <w:r w:rsidRPr="00E5711D">
        <w:t xml:space="preserve">, the instant case appears to present an intentional transfer of control and an orchestrated attempt to skirt the </w:t>
      </w:r>
      <w:r w:rsidRPr="00E5711D" w:rsidR="00157B12">
        <w:t>law</w:t>
      </w:r>
      <w:r w:rsidRPr="00E5711D">
        <w:t xml:space="preserve">, </w:t>
      </w:r>
      <w:r w:rsidRPr="00E5711D" w:rsidR="00896816">
        <w:t>particularly</w:t>
      </w:r>
      <w:r w:rsidRPr="00E5711D">
        <w:t xml:space="preserve"> the statutory </w:t>
      </w:r>
      <w:r w:rsidRPr="00E5711D" w:rsidR="00896816">
        <w:t>limitations</w:t>
      </w:r>
      <w:r w:rsidRPr="00E5711D">
        <w:t xml:space="preserve"> on </w:t>
      </w:r>
      <w:r w:rsidRPr="00E5711D" w:rsidR="00896816">
        <w:t>the</w:t>
      </w:r>
      <w:r w:rsidRPr="00E5711D">
        <w:t xml:space="preserve"> ownership</w:t>
      </w:r>
      <w:r w:rsidRPr="00E5711D" w:rsidR="00896816">
        <w:t xml:space="preserve"> and control of broadcast licenses by foreign individuals or </w:t>
      </w:r>
      <w:r w:rsidR="003E1728">
        <w:t>entities</w:t>
      </w:r>
      <w:r w:rsidRPr="00E5711D">
        <w:t xml:space="preserve">.    </w:t>
      </w:r>
    </w:p>
    <w:p w:rsidR="003707EE" w:rsidRPr="00E5711D" w14:paraId="7ECDC40C" w14:textId="5C6BAB09">
      <w:pPr>
        <w:pStyle w:val="ParaNum"/>
        <w:widowControl/>
      </w:pPr>
      <w:r w:rsidRPr="00E5711D">
        <w:t>Moreover,</w:t>
      </w:r>
      <w:r w:rsidRPr="00E5711D" w:rsidR="00054613">
        <w:t xml:space="preserve"> the evidence before the Bureau</w:t>
      </w:r>
      <w:r w:rsidRPr="00E5711D">
        <w:t xml:space="preserve"> does not involve a slight </w:t>
      </w:r>
      <w:r w:rsidRPr="00E5711D" w:rsidR="00A24608">
        <w:t>increase in the interest held by a previously</w:t>
      </w:r>
      <w:r w:rsidRPr="00E5711D" w:rsidR="00387322">
        <w:t>-</w:t>
      </w:r>
      <w:r w:rsidRPr="00E5711D" w:rsidR="00A24608">
        <w:t xml:space="preserve">approved </w:t>
      </w:r>
      <w:r w:rsidRPr="00E5711D" w:rsidR="006C5EBE">
        <w:t>foreign individual</w:t>
      </w:r>
      <w:r w:rsidRPr="00E5711D" w:rsidR="000A7F9A">
        <w:t xml:space="preserve">, in violation </w:t>
      </w:r>
      <w:r w:rsidRPr="00E5711D" w:rsidR="00613668">
        <w:t>of the foreign ownership rules</w:t>
      </w:r>
      <w:r w:rsidRPr="00E5711D" w:rsidR="00A24608">
        <w:t>.</w:t>
      </w:r>
      <w:r>
        <w:rPr>
          <w:rStyle w:val="FootnoteReference"/>
        </w:rPr>
        <w:footnoteReference w:id="210"/>
      </w:r>
      <w:r w:rsidRPr="00E5711D" w:rsidR="00A24608">
        <w:t xml:space="preserve">  </w:t>
      </w:r>
      <w:r w:rsidRPr="00E5711D" w:rsidR="0071754F">
        <w:t>Instead</w:t>
      </w:r>
      <w:r w:rsidRPr="00E5711D" w:rsidR="00EE6B76">
        <w:t xml:space="preserve">, </w:t>
      </w:r>
      <w:r w:rsidRPr="00E5711D">
        <w:t xml:space="preserve">this case </w:t>
      </w:r>
      <w:r w:rsidRPr="00E5711D" w:rsidR="008B4939">
        <w:t xml:space="preserve">raises serious concerns about </w:t>
      </w:r>
      <w:r w:rsidRPr="00E5711D" w:rsidR="0071754F">
        <w:t xml:space="preserve">an unvetted, </w:t>
      </w:r>
      <w:r w:rsidRPr="00E5711D">
        <w:t xml:space="preserve">unapproved foreign national exerting control over </w:t>
      </w:r>
      <w:r w:rsidRPr="00E5711D" w:rsidR="001A3031">
        <w:t xml:space="preserve">multiple </w:t>
      </w:r>
      <w:r w:rsidRPr="00E5711D">
        <w:t xml:space="preserve">U.S. broadcast </w:t>
      </w:r>
      <w:r w:rsidRPr="00E5711D" w:rsidR="001A3031">
        <w:t xml:space="preserve">radio stations while using </w:t>
      </w:r>
      <w:r w:rsidRPr="00E5711D" w:rsidR="0071754F">
        <w:t xml:space="preserve">an American relative </w:t>
      </w:r>
      <w:r w:rsidRPr="00E5711D" w:rsidR="001A3031">
        <w:t xml:space="preserve">to hold the licenses.  </w:t>
      </w:r>
      <w:r w:rsidR="00111F09">
        <w:t>Further, t</w:t>
      </w:r>
      <w:r w:rsidRPr="00E5711D" w:rsidR="00112266">
        <w:t>here are questions about whether the</w:t>
      </w:r>
      <w:r w:rsidRPr="00E5711D" w:rsidR="001A3031">
        <w:t xml:space="preserve"> foreign national </w:t>
      </w:r>
      <w:r w:rsidRPr="00E5711D">
        <w:t xml:space="preserve">repeatedly </w:t>
      </w:r>
      <w:r w:rsidRPr="00E5711D" w:rsidR="001A3031">
        <w:t xml:space="preserve">withheld </w:t>
      </w:r>
      <w:r w:rsidRPr="00E5711D">
        <w:t>and misrepresent</w:t>
      </w:r>
      <w:r w:rsidRPr="00E5711D" w:rsidR="001A3031">
        <w:t>ed</w:t>
      </w:r>
      <w:r w:rsidRPr="00E5711D">
        <w:t xml:space="preserve"> information to the Commission </w:t>
      </w:r>
      <w:r w:rsidRPr="00E5711D" w:rsidR="001A3031">
        <w:t xml:space="preserve">in order </w:t>
      </w:r>
      <w:r w:rsidRPr="00E5711D">
        <w:t xml:space="preserve">to </w:t>
      </w:r>
      <w:r w:rsidRPr="00E5711D" w:rsidR="00EE6B76">
        <w:t>conceal</w:t>
      </w:r>
      <w:r w:rsidRPr="00E5711D">
        <w:t xml:space="preserve"> </w:t>
      </w:r>
      <w:r w:rsidRPr="00E5711D" w:rsidR="0071754F">
        <w:t>her</w:t>
      </w:r>
      <w:r w:rsidRPr="00E5711D">
        <w:t xml:space="preserve"> involvement.  </w:t>
      </w:r>
      <w:r w:rsidRPr="00E5711D" w:rsidR="00EF2C54">
        <w:t xml:space="preserve">The </w:t>
      </w:r>
      <w:r w:rsidRPr="00E5711D" w:rsidR="00190464">
        <w:t xml:space="preserve">record </w:t>
      </w:r>
      <w:r w:rsidRPr="00E5711D" w:rsidR="009406BD">
        <w:t>raises concerns about</w:t>
      </w:r>
      <w:r w:rsidRPr="00E5711D" w:rsidR="0071754F">
        <w:t xml:space="preserve"> </w:t>
      </w:r>
      <w:r w:rsidRPr="00E5711D" w:rsidR="005B1403">
        <w:t xml:space="preserve">repeated </w:t>
      </w:r>
      <w:r w:rsidRPr="00E5711D" w:rsidR="0071754F">
        <w:t xml:space="preserve">instances of misrepresentation and lack of candor </w:t>
      </w:r>
      <w:r w:rsidRPr="00E5711D">
        <w:t xml:space="preserve">before the Commission </w:t>
      </w:r>
      <w:r w:rsidRPr="00E5711D" w:rsidR="0071754F">
        <w:t xml:space="preserve">that appear to be </w:t>
      </w:r>
      <w:r w:rsidRPr="00E5711D">
        <w:t>egregious, persistent, and non-trivial</w:t>
      </w:r>
      <w:r w:rsidRPr="00E5711D" w:rsidR="0071754F">
        <w:t xml:space="preserve">.  </w:t>
      </w:r>
      <w:r w:rsidR="00111F09">
        <w:t>Moreover</w:t>
      </w:r>
      <w:r w:rsidRPr="00E5711D" w:rsidR="00865F55">
        <w:t xml:space="preserve">, the Parties’ behavior is not attenuated by time or distance from the Commission’s processes, but rather involves </w:t>
      </w:r>
      <w:r w:rsidRPr="00E5711D" w:rsidR="00955552">
        <w:t>conduct in connection with</w:t>
      </w:r>
      <w:r w:rsidRPr="00E5711D" w:rsidR="00865F55">
        <w:t xml:space="preserve"> </w:t>
      </w:r>
      <w:r w:rsidRPr="00E5711D" w:rsidR="00D820A6">
        <w:t>a</w:t>
      </w:r>
      <w:r w:rsidRPr="00E5711D" w:rsidR="00865F55">
        <w:t xml:space="preserve"> pending Transfer Application and </w:t>
      </w:r>
      <w:r w:rsidRPr="00E5711D" w:rsidR="00D820A6">
        <w:t xml:space="preserve">ensuing </w:t>
      </w:r>
      <w:r w:rsidRPr="00E5711D" w:rsidR="00865F55">
        <w:t>Bureau investigation.</w:t>
      </w:r>
      <w:r>
        <w:rPr>
          <w:rStyle w:val="FootnoteReference"/>
        </w:rPr>
        <w:footnoteReference w:id="211"/>
      </w:r>
      <w:r w:rsidRPr="00E5711D" w:rsidR="00865F55">
        <w:t xml:space="preserve">  </w:t>
      </w:r>
      <w:r w:rsidRPr="00E5711D" w:rsidR="00F92A55">
        <w:t>Thus, there are s</w:t>
      </w:r>
      <w:r w:rsidRPr="00E5711D" w:rsidR="00F924A3">
        <w:t xml:space="preserve">ubstantial </w:t>
      </w:r>
      <w:r w:rsidRPr="00E5711D" w:rsidR="009B2BA0">
        <w:t>material questions of fact about whether</w:t>
      </w:r>
      <w:r w:rsidRPr="00E5711D" w:rsidR="0071754F">
        <w:t xml:space="preserve"> the Transferor lacks the character qualifications to remain a Commission licensee and, similarly, </w:t>
      </w:r>
      <w:r w:rsidRPr="00E5711D" w:rsidR="00D214EF">
        <w:t xml:space="preserve">whether </w:t>
      </w:r>
      <w:r w:rsidRPr="00E5711D" w:rsidR="0071754F">
        <w:t xml:space="preserve">the Transferee lacks </w:t>
      </w:r>
      <w:r w:rsidRPr="00E5711D" w:rsidR="001A3031">
        <w:t>the character</w:t>
      </w:r>
      <w:r w:rsidRPr="00E5711D" w:rsidR="0071754F">
        <w:t xml:space="preserve"> qualifications</w:t>
      </w:r>
      <w:r w:rsidRPr="00E5711D">
        <w:t xml:space="preserve"> to become a Commission licensee</w:t>
      </w:r>
      <w:r w:rsidRPr="00E5711D" w:rsidR="0071754F">
        <w:t xml:space="preserve">.  </w:t>
      </w:r>
    </w:p>
    <w:p w:rsidR="00BD6760" w:rsidRPr="00DF2C34" w:rsidP="005929A8" w14:paraId="3F88306F" w14:textId="3ECE96E9">
      <w:pPr>
        <w:pStyle w:val="ParaNum"/>
        <w:rPr>
          <w:szCs w:val="22"/>
        </w:rPr>
      </w:pPr>
      <w:r w:rsidRPr="00E5711D">
        <w:t xml:space="preserve">Accordingly, </w:t>
      </w:r>
      <w:r w:rsidRPr="00E5711D" w:rsidR="003707EE">
        <w:t xml:space="preserve">based on the record before us we are unable to find that grant of the Transfer Application would be in the public interest.  </w:t>
      </w:r>
      <w:r w:rsidRPr="00E5711D" w:rsidR="00272F4E">
        <w:t xml:space="preserve">Therefore, </w:t>
      </w:r>
      <w:r w:rsidRPr="00E5711D" w:rsidR="0010154D">
        <w:t>we are designating this matter</w:t>
      </w:r>
      <w:r w:rsidRPr="00E5711D" w:rsidR="00272F4E">
        <w:t xml:space="preserve"> in accordance with </w:t>
      </w:r>
      <w:r w:rsidRPr="00E5711D" w:rsidR="00026499">
        <w:t>s</w:t>
      </w:r>
      <w:r w:rsidRPr="00E5711D" w:rsidR="00272F4E">
        <w:t xml:space="preserve">ections 309(e), 310(d), and 312(a) of the Act so that the Administrative Law </w:t>
      </w:r>
      <w:r w:rsidRPr="00DF2C34" w:rsidR="00272F4E">
        <w:rPr>
          <w:szCs w:val="22"/>
        </w:rPr>
        <w:t xml:space="preserve">Judge can develop a more complete record to </w:t>
      </w:r>
      <w:r w:rsidRPr="00DF2C34" w:rsidR="00D376B2">
        <w:rPr>
          <w:szCs w:val="22"/>
        </w:rPr>
        <w:t xml:space="preserve">determine whether </w:t>
      </w:r>
      <w:r w:rsidRPr="00824AA4" w:rsidR="00824AA4">
        <w:rPr>
          <w:szCs w:val="22"/>
        </w:rPr>
        <w:t xml:space="preserve">or not the Station licenses should be revoked, and </w:t>
      </w:r>
      <w:r w:rsidR="0001080A">
        <w:rPr>
          <w:szCs w:val="22"/>
        </w:rPr>
        <w:t xml:space="preserve">to </w:t>
      </w:r>
      <w:r w:rsidRPr="00824AA4" w:rsidR="00824AA4">
        <w:rPr>
          <w:szCs w:val="22"/>
        </w:rPr>
        <w:t xml:space="preserve">recommend whether the </w:t>
      </w:r>
      <w:r w:rsidR="00824AA4">
        <w:rPr>
          <w:szCs w:val="22"/>
        </w:rPr>
        <w:t xml:space="preserve">Transfer Application </w:t>
      </w:r>
      <w:r w:rsidRPr="00824AA4" w:rsidR="00824AA4">
        <w:rPr>
          <w:szCs w:val="22"/>
        </w:rPr>
        <w:t>should be granted, denied, or dismissed</w:t>
      </w:r>
      <w:r w:rsidRPr="00DF2C34" w:rsidR="00272F4E">
        <w:rPr>
          <w:szCs w:val="22"/>
        </w:rPr>
        <w:t>.</w:t>
      </w:r>
      <w:r w:rsidR="004E1C5F">
        <w:rPr>
          <w:szCs w:val="22"/>
        </w:rPr>
        <w:t xml:space="preserve">  </w:t>
      </w:r>
      <w:r w:rsidR="00D8397D">
        <w:t xml:space="preserve">The Bureau seeks the Administrative Law Judge’s finding that </w:t>
      </w:r>
      <w:r w:rsidR="004E1C5F">
        <w:t xml:space="preserve">the egregious nature of the situation, the involvement of a non-U.S. citizen, and the repeated misstatements, incomplete information, and misrepresentations to the Commission, </w:t>
      </w:r>
      <w:r w:rsidR="00D8397D">
        <w:t xml:space="preserve">warrant </w:t>
      </w:r>
      <w:r w:rsidR="004E1C5F">
        <w:t xml:space="preserve">revocation of the Station licenses and dismissal of the Transfer Application.  </w:t>
      </w:r>
      <w:r w:rsidRPr="00DF2C34" w:rsidR="00272F4E">
        <w:rPr>
          <w:szCs w:val="22"/>
        </w:rPr>
        <w:t xml:space="preserve">  </w:t>
      </w:r>
    </w:p>
    <w:p w:rsidR="00135702" w14:paraId="76656DF2" w14:textId="77777777">
      <w:pPr>
        <w:widowControl/>
        <w:rPr>
          <w:b/>
          <w:caps/>
          <w:kern w:val="0"/>
          <w:szCs w:val="22"/>
        </w:rPr>
      </w:pPr>
      <w:bookmarkStart w:id="205" w:name="_Toc199497977"/>
      <w:bookmarkStart w:id="206" w:name="_Toc199498120"/>
      <w:bookmarkStart w:id="207" w:name="_Toc199761788"/>
      <w:bookmarkStart w:id="208" w:name="_Toc199778030"/>
      <w:bookmarkStart w:id="209" w:name="_Toc201584585"/>
      <w:bookmarkStart w:id="210" w:name="_Toc202182791"/>
      <w:bookmarkStart w:id="211" w:name="_Toc209708341"/>
      <w:bookmarkStart w:id="212" w:name="_Toc210117709"/>
      <w:bookmarkStart w:id="213" w:name="_Toc219206071"/>
      <w:bookmarkStart w:id="214" w:name="_Toc219206812"/>
      <w:r>
        <w:rPr>
          <w:kern w:val="0"/>
          <w:szCs w:val="22"/>
        </w:rPr>
        <w:br w:type="page"/>
      </w:r>
    </w:p>
    <w:p w:rsidR="00835D76" w:rsidRPr="00DF2C34" w:rsidP="00815297" w14:paraId="7B692772" w14:textId="1D5F91B4">
      <w:pPr>
        <w:pStyle w:val="Heading1"/>
        <w:keepNext w:val="0"/>
        <w:suppressAutoHyphens w:val="0"/>
        <w:rPr>
          <w:rFonts w:ascii="Times New Roman" w:hAnsi="Times New Roman"/>
          <w:szCs w:val="22"/>
        </w:rPr>
      </w:pPr>
      <w:r w:rsidRPr="00DF2C34">
        <w:rPr>
          <w:rFonts w:ascii="Times New Roman" w:hAnsi="Times New Roman"/>
          <w:kern w:val="0"/>
          <w:szCs w:val="22"/>
        </w:rPr>
        <w:t>PROCEDURES FOR HEARING</w:t>
      </w:r>
      <w:bookmarkEnd w:id="202"/>
      <w:bookmarkEnd w:id="203"/>
      <w:bookmarkEnd w:id="205"/>
      <w:bookmarkEnd w:id="206"/>
      <w:bookmarkEnd w:id="207"/>
      <w:bookmarkEnd w:id="208"/>
      <w:bookmarkEnd w:id="209"/>
      <w:bookmarkEnd w:id="210"/>
      <w:bookmarkEnd w:id="211"/>
      <w:bookmarkEnd w:id="212"/>
      <w:bookmarkEnd w:id="213"/>
      <w:bookmarkEnd w:id="214"/>
    </w:p>
    <w:p w:rsidR="00835D76" w:rsidRPr="00DF2C34" w:rsidP="005A5376" w14:paraId="7022F462" w14:textId="29394497">
      <w:pPr>
        <w:pStyle w:val="ParaNum"/>
        <w:widowControl/>
        <w:autoSpaceDE w:val="0"/>
        <w:autoSpaceDN w:val="0"/>
        <w:adjustRightInd w:val="0"/>
        <w:rPr>
          <w:kern w:val="0"/>
          <w:szCs w:val="22"/>
        </w:rPr>
      </w:pPr>
      <w:r w:rsidRPr="00DF2C34">
        <w:rPr>
          <w:i/>
          <w:kern w:val="0"/>
          <w:szCs w:val="22"/>
        </w:rPr>
        <w:t xml:space="preserve">Restricted Proceeding. </w:t>
      </w:r>
      <w:r w:rsidRPr="00DF2C34">
        <w:rPr>
          <w:kern w:val="0"/>
          <w:szCs w:val="22"/>
        </w:rPr>
        <w:t xml:space="preserve">This hearing proceeding is a “restricted” proceeding pursuant to section 1.1208 of the Rules and thus </w:t>
      </w:r>
      <w:r w:rsidRPr="00DF2C34">
        <w:rPr>
          <w:i/>
          <w:kern w:val="0"/>
          <w:szCs w:val="22"/>
        </w:rPr>
        <w:t xml:space="preserve">ex </w:t>
      </w:r>
      <w:r w:rsidRPr="00DF2C34">
        <w:rPr>
          <w:i/>
          <w:kern w:val="0"/>
          <w:szCs w:val="22"/>
        </w:rPr>
        <w:t>parte</w:t>
      </w:r>
      <w:r w:rsidRPr="00DF2C34">
        <w:rPr>
          <w:i/>
          <w:kern w:val="0"/>
          <w:szCs w:val="22"/>
        </w:rPr>
        <w:t xml:space="preserve"> </w:t>
      </w:r>
      <w:r w:rsidRPr="00DF2C34">
        <w:rPr>
          <w:kern w:val="0"/>
          <w:szCs w:val="22"/>
        </w:rPr>
        <w:t>presentations to or from Commission decision-making personnel, including the presiding officer</w:t>
      </w:r>
      <w:r w:rsidRPr="00DF2C34" w:rsidR="001B4DF6">
        <w:rPr>
          <w:kern w:val="0"/>
          <w:szCs w:val="22"/>
        </w:rPr>
        <w:t>, their</w:t>
      </w:r>
      <w:r w:rsidRPr="00DF2C34">
        <w:rPr>
          <w:kern w:val="0"/>
          <w:szCs w:val="22"/>
        </w:rPr>
        <w:t xml:space="preserve"> staff</w:t>
      </w:r>
      <w:r w:rsidRPr="00DF2C34" w:rsidR="001B4DF6">
        <w:rPr>
          <w:kern w:val="0"/>
          <w:szCs w:val="22"/>
        </w:rPr>
        <w:t>,</w:t>
      </w:r>
      <w:r w:rsidRPr="00DF2C34">
        <w:rPr>
          <w:kern w:val="0"/>
          <w:szCs w:val="22"/>
        </w:rPr>
        <w:t xml:space="preserve"> and Bureau staff, are prohibited, except as otherwise provided in the Rules.</w:t>
      </w:r>
      <w:r>
        <w:rPr>
          <w:rStyle w:val="FootnoteReference"/>
          <w:kern w:val="0"/>
          <w:szCs w:val="22"/>
        </w:rPr>
        <w:footnoteReference w:id="212"/>
      </w:r>
      <w:r w:rsidRPr="00DF2C34">
        <w:rPr>
          <w:kern w:val="0"/>
          <w:szCs w:val="22"/>
        </w:rPr>
        <w:t xml:space="preserve"> </w:t>
      </w:r>
    </w:p>
    <w:p w:rsidR="00835D76" w:rsidRPr="00DF2C34" w:rsidP="00513886" w14:paraId="083E1DE2" w14:textId="6BF510C7">
      <w:pPr>
        <w:pStyle w:val="ParaNum"/>
        <w:widowControl/>
        <w:autoSpaceDE w:val="0"/>
        <w:autoSpaceDN w:val="0"/>
        <w:adjustRightInd w:val="0"/>
        <w:rPr>
          <w:kern w:val="0"/>
          <w:szCs w:val="22"/>
        </w:rPr>
      </w:pPr>
      <w:r w:rsidRPr="00DF2C34">
        <w:rPr>
          <w:i/>
          <w:kern w:val="0"/>
          <w:szCs w:val="22"/>
        </w:rPr>
        <w:t xml:space="preserve">Electronic Filing of Documents. </w:t>
      </w:r>
      <w:r w:rsidRPr="00DF2C34">
        <w:rPr>
          <w:kern w:val="0"/>
          <w:szCs w:val="22"/>
        </w:rPr>
        <w:t>All pleadings in this proceeding, including written submissions such as letters, discovery requests</w:t>
      </w:r>
      <w:r w:rsidRPr="00DF2C34" w:rsidR="001B4DF6">
        <w:rPr>
          <w:kern w:val="0"/>
          <w:szCs w:val="22"/>
        </w:rPr>
        <w:t>,</w:t>
      </w:r>
      <w:r w:rsidRPr="00DF2C34">
        <w:rPr>
          <w:kern w:val="0"/>
          <w:szCs w:val="22"/>
        </w:rPr>
        <w:t xml:space="preserve"> objections</w:t>
      </w:r>
      <w:r w:rsidRPr="00DF2C34" w:rsidR="001B4DF6">
        <w:rPr>
          <w:kern w:val="0"/>
          <w:szCs w:val="22"/>
        </w:rPr>
        <w:t>,</w:t>
      </w:r>
      <w:r w:rsidRPr="00DF2C34">
        <w:rPr>
          <w:kern w:val="0"/>
          <w:szCs w:val="22"/>
        </w:rPr>
        <w:t xml:space="preserve"> and written responses thereto, excluding confidential and/or other protected material, must be filed in MB Docket No. 2</w:t>
      </w:r>
      <w:r w:rsidR="0054548C">
        <w:rPr>
          <w:kern w:val="0"/>
          <w:szCs w:val="22"/>
        </w:rPr>
        <w:t>6</w:t>
      </w:r>
      <w:r w:rsidRPr="00DF2C34">
        <w:rPr>
          <w:kern w:val="0"/>
          <w:szCs w:val="22"/>
        </w:rPr>
        <w:t>-</w:t>
      </w:r>
      <w:r w:rsidR="00F5190D">
        <w:rPr>
          <w:kern w:val="0"/>
          <w:szCs w:val="22"/>
        </w:rPr>
        <w:t>19</w:t>
      </w:r>
      <w:r w:rsidRPr="00DF2C34">
        <w:rPr>
          <w:kern w:val="0"/>
          <w:szCs w:val="22"/>
        </w:rPr>
        <w:t xml:space="preserve"> using ECFS.</w:t>
      </w:r>
      <w:r>
        <w:rPr>
          <w:rStyle w:val="FootnoteReference"/>
          <w:kern w:val="0"/>
          <w:szCs w:val="22"/>
        </w:rPr>
        <w:footnoteReference w:id="213"/>
      </w:r>
      <w:r w:rsidRPr="00DF2C34">
        <w:rPr>
          <w:kern w:val="0"/>
          <w:szCs w:val="22"/>
        </w:rPr>
        <w:t xml:space="preserve"> ECFS shall also act as the repository for records of actions taken in this proceeding, excluding confidential and/or other protected material, by the presiding officer and the Commission. </w:t>
      </w:r>
      <w:r w:rsidRPr="00DF2C34" w:rsidR="001B4DF6">
        <w:rPr>
          <w:kern w:val="0"/>
          <w:szCs w:val="22"/>
        </w:rPr>
        <w:t xml:space="preserve"> </w:t>
      </w:r>
      <w:r w:rsidRPr="00DF2C34">
        <w:rPr>
          <w:kern w:val="0"/>
          <w:szCs w:val="22"/>
        </w:rPr>
        <w:t xml:space="preserve">Documents responsive to any party’s requests for production of documents should not be filed </w:t>
      </w:r>
      <w:r w:rsidRPr="00DF2C34" w:rsidR="001B4DF6">
        <w:rPr>
          <w:kern w:val="0"/>
          <w:szCs w:val="22"/>
        </w:rPr>
        <w:t>i</w:t>
      </w:r>
      <w:r w:rsidRPr="00DF2C34">
        <w:rPr>
          <w:kern w:val="0"/>
          <w:szCs w:val="22"/>
        </w:rPr>
        <w:t xml:space="preserve">n ECFS. </w:t>
      </w:r>
      <w:r w:rsidRPr="00DF2C34" w:rsidR="001B4DF6">
        <w:rPr>
          <w:kern w:val="0"/>
          <w:szCs w:val="22"/>
        </w:rPr>
        <w:t xml:space="preserve"> </w:t>
      </w:r>
      <w:r w:rsidRPr="00DF2C34">
        <w:rPr>
          <w:kern w:val="0"/>
          <w:szCs w:val="22"/>
        </w:rPr>
        <w:t>Such responsive documents shall be served directly on counsel for the party requesting the documents and produced either in hard copy or in electronic form (</w:t>
      </w:r>
      <w:r w:rsidRPr="00DF2C34">
        <w:rPr>
          <w:i/>
          <w:kern w:val="0"/>
          <w:szCs w:val="22"/>
        </w:rPr>
        <w:t>e.g</w:t>
      </w:r>
      <w:r w:rsidRPr="00DF2C34">
        <w:rPr>
          <w:kern w:val="0"/>
          <w:szCs w:val="22"/>
        </w:rPr>
        <w:t xml:space="preserve">., hard drive, thumb drive) with files named in such a way as it is clear how the documents are organized. </w:t>
      </w:r>
    </w:p>
    <w:p w:rsidR="00835D76" w:rsidRPr="00DF2C34" w:rsidP="00835D76" w14:paraId="4745E81B" w14:textId="46CA827C">
      <w:pPr>
        <w:pStyle w:val="ParaNum"/>
        <w:autoSpaceDE w:val="0"/>
        <w:autoSpaceDN w:val="0"/>
        <w:adjustRightInd w:val="0"/>
        <w:rPr>
          <w:kern w:val="0"/>
          <w:szCs w:val="22"/>
        </w:rPr>
      </w:pPr>
      <w:r w:rsidRPr="00DF2C34">
        <w:rPr>
          <w:i/>
          <w:kern w:val="0"/>
          <w:szCs w:val="22"/>
        </w:rPr>
        <w:t>Case Caption</w:t>
      </w:r>
      <w:r w:rsidRPr="00DF2C34">
        <w:rPr>
          <w:kern w:val="0"/>
          <w:szCs w:val="22"/>
        </w:rPr>
        <w:t>. The caption of any pleading filed in this proceeding, as well as all letters, documents, or other written submissions including discovery requests</w:t>
      </w:r>
      <w:r w:rsidRPr="00DF2C34" w:rsidR="001B4DF6">
        <w:rPr>
          <w:kern w:val="0"/>
          <w:szCs w:val="22"/>
        </w:rPr>
        <w:t xml:space="preserve">, </w:t>
      </w:r>
      <w:r w:rsidRPr="00DF2C34">
        <w:rPr>
          <w:kern w:val="0"/>
          <w:szCs w:val="22"/>
        </w:rPr>
        <w:t>objections</w:t>
      </w:r>
      <w:r w:rsidRPr="00DF2C34" w:rsidR="001B4DF6">
        <w:rPr>
          <w:kern w:val="0"/>
          <w:szCs w:val="22"/>
        </w:rPr>
        <w:t>,</w:t>
      </w:r>
      <w:r w:rsidRPr="00DF2C34">
        <w:rPr>
          <w:kern w:val="0"/>
          <w:szCs w:val="22"/>
        </w:rPr>
        <w:t xml:space="preserve"> and responses thereto, shall indicate whether it is to be acted upon by the Commission or the presiding officer.</w:t>
      </w:r>
      <w:r>
        <w:rPr>
          <w:rStyle w:val="FootnoteReference"/>
          <w:kern w:val="0"/>
          <w:szCs w:val="22"/>
        </w:rPr>
        <w:footnoteReference w:id="214"/>
      </w:r>
      <w:r w:rsidRPr="00DF2C34">
        <w:rPr>
          <w:kern w:val="0"/>
          <w:szCs w:val="22"/>
        </w:rPr>
        <w:t xml:space="preserve"> </w:t>
      </w:r>
      <w:r w:rsidRPr="00DF2C34" w:rsidR="00E23244">
        <w:rPr>
          <w:kern w:val="0"/>
          <w:szCs w:val="22"/>
        </w:rPr>
        <w:t xml:space="preserve"> </w:t>
      </w:r>
      <w:r w:rsidRPr="00DF2C34">
        <w:rPr>
          <w:kern w:val="0"/>
          <w:szCs w:val="22"/>
        </w:rPr>
        <w:t xml:space="preserve">The presiding officer shall be identified by name.  </w:t>
      </w:r>
    </w:p>
    <w:p w:rsidR="00835D76" w:rsidRPr="00DF2C34" w14:paraId="146EE4BF" w14:textId="6700B7C7">
      <w:pPr>
        <w:pStyle w:val="ParaNum"/>
        <w:autoSpaceDE w:val="0"/>
        <w:autoSpaceDN w:val="0"/>
        <w:adjustRightInd w:val="0"/>
        <w:rPr>
          <w:kern w:val="0"/>
          <w:szCs w:val="22"/>
        </w:rPr>
      </w:pPr>
      <w:r w:rsidRPr="00DF2C34">
        <w:rPr>
          <w:i/>
          <w:kern w:val="0"/>
          <w:szCs w:val="22"/>
        </w:rPr>
        <w:t xml:space="preserve">Service. </w:t>
      </w:r>
      <w:r w:rsidRPr="00DF2C34">
        <w:rPr>
          <w:kern w:val="0"/>
          <w:szCs w:val="22"/>
        </w:rPr>
        <w:t>Electronic service on the Enforcement Bureau shall be made using the following</w:t>
      </w:r>
      <w:r w:rsidRPr="00DF2C34" w:rsidR="00E23244">
        <w:rPr>
          <w:kern w:val="0"/>
          <w:szCs w:val="22"/>
        </w:rPr>
        <w:t xml:space="preserve"> </w:t>
      </w:r>
      <w:r w:rsidRPr="00DF2C34">
        <w:rPr>
          <w:kern w:val="0"/>
          <w:szCs w:val="22"/>
        </w:rPr>
        <w:t>email address:</w:t>
      </w:r>
      <w:r w:rsidRPr="00DF2C34" w:rsidR="001B4DF6">
        <w:rPr>
          <w:kern w:val="0"/>
          <w:szCs w:val="22"/>
        </w:rPr>
        <w:t xml:space="preserve"> </w:t>
      </w:r>
      <w:r w:rsidRPr="00DF2C34">
        <w:rPr>
          <w:kern w:val="0"/>
          <w:szCs w:val="22"/>
        </w:rPr>
        <w:t xml:space="preserve"> </w:t>
      </w:r>
      <w:hyperlink r:id="rId6" w:history="1">
        <w:r w:rsidRPr="00DF2C34" w:rsidR="002E517A">
          <w:rPr>
            <w:rStyle w:val="Hyperlink"/>
            <w:kern w:val="0"/>
            <w:szCs w:val="22"/>
          </w:rPr>
          <w:t>EBHearings@fcc.gov</w:t>
        </w:r>
      </w:hyperlink>
      <w:r w:rsidRPr="00DF2C34">
        <w:rPr>
          <w:kern w:val="0"/>
          <w:szCs w:val="22"/>
        </w:rPr>
        <w:t>.</w:t>
      </w:r>
    </w:p>
    <w:p w:rsidR="00962777" w:rsidRPr="00DF2C34" w:rsidP="00835D76" w14:paraId="2307ADD9" w14:textId="2CA2E986">
      <w:pPr>
        <w:pStyle w:val="Heading1"/>
        <w:keepNext w:val="0"/>
        <w:suppressAutoHyphens w:val="0"/>
        <w:rPr>
          <w:rFonts w:ascii="Times New Roman" w:hAnsi="Times New Roman"/>
          <w:szCs w:val="22"/>
        </w:rPr>
      </w:pPr>
      <w:bookmarkStart w:id="215" w:name="_Toc197085160"/>
      <w:bookmarkStart w:id="216" w:name="_Toc197093819"/>
      <w:bookmarkStart w:id="217" w:name="_Toc199497978"/>
      <w:bookmarkStart w:id="218" w:name="_Toc199498121"/>
      <w:bookmarkStart w:id="219" w:name="_Toc199761789"/>
      <w:bookmarkStart w:id="220" w:name="_Toc199778031"/>
      <w:bookmarkStart w:id="221" w:name="_Toc201584586"/>
      <w:bookmarkStart w:id="222" w:name="_Toc202182792"/>
      <w:bookmarkStart w:id="223" w:name="_Toc209708342"/>
      <w:bookmarkStart w:id="224" w:name="_Toc210117710"/>
      <w:bookmarkStart w:id="225" w:name="_Toc219206072"/>
      <w:bookmarkStart w:id="226" w:name="_Toc219206813"/>
      <w:bookmarkEnd w:id="204"/>
      <w:r w:rsidRPr="00DF2C34">
        <w:rPr>
          <w:rFonts w:ascii="Times New Roman" w:hAnsi="Times New Roman"/>
          <w:szCs w:val="22"/>
        </w:rPr>
        <w:t>ordering clauses</w:t>
      </w:r>
      <w:bookmarkEnd w:id="215"/>
      <w:bookmarkEnd w:id="216"/>
      <w:bookmarkEnd w:id="217"/>
      <w:bookmarkEnd w:id="218"/>
      <w:bookmarkEnd w:id="219"/>
      <w:bookmarkEnd w:id="220"/>
      <w:bookmarkEnd w:id="221"/>
      <w:bookmarkEnd w:id="222"/>
      <w:bookmarkEnd w:id="223"/>
      <w:bookmarkEnd w:id="224"/>
      <w:bookmarkEnd w:id="225"/>
      <w:bookmarkEnd w:id="226"/>
    </w:p>
    <w:p w:rsidR="00962777" w:rsidRPr="00E5711D" w:rsidP="00835D76" w14:paraId="1EF2EE5F" w14:textId="740E92F0">
      <w:pPr>
        <w:pStyle w:val="ParaNum"/>
        <w:widowControl/>
      </w:pPr>
      <w:bookmarkStart w:id="227" w:name="_Ref199512933"/>
      <w:r w:rsidRPr="00DF2C34">
        <w:rPr>
          <w:szCs w:val="22"/>
        </w:rPr>
        <w:t>Accordingly, IT IS ORDERED that, pursuant t</w:t>
      </w:r>
      <w:r w:rsidRPr="00E5711D">
        <w:t xml:space="preserve">o sections 308, </w:t>
      </w:r>
      <w:r w:rsidRPr="00E5711D" w:rsidR="00896046">
        <w:t xml:space="preserve">309(d), 309(e), </w:t>
      </w:r>
      <w:r w:rsidRPr="00E5711D">
        <w:t>3</w:t>
      </w:r>
      <w:r w:rsidRPr="00E5711D" w:rsidR="0060708C">
        <w:t>1</w:t>
      </w:r>
      <w:r w:rsidRPr="00E5711D">
        <w:t>0(</w:t>
      </w:r>
      <w:r w:rsidRPr="00E5711D" w:rsidR="0060708C">
        <w:t>b</w:t>
      </w:r>
      <w:r w:rsidRPr="00E5711D">
        <w:t>), 3</w:t>
      </w:r>
      <w:r w:rsidRPr="00E5711D" w:rsidR="0060708C">
        <w:t>10</w:t>
      </w:r>
      <w:r w:rsidRPr="00E5711D">
        <w:t>(</w:t>
      </w:r>
      <w:r w:rsidRPr="00E5711D" w:rsidR="0060708C">
        <w:t>d</w:t>
      </w:r>
      <w:r w:rsidRPr="00E5711D">
        <w:t>), and 312(a)</w:t>
      </w:r>
      <w:r w:rsidRPr="00E5711D" w:rsidR="009F4306">
        <w:t>-(c)</w:t>
      </w:r>
      <w:r w:rsidRPr="00E5711D">
        <w:t xml:space="preserve"> of the Act, 47 U.S.C. §§ 308, </w:t>
      </w:r>
      <w:r w:rsidRPr="00E5711D" w:rsidR="009F4306">
        <w:t>309(d)</w:t>
      </w:r>
      <w:r w:rsidRPr="00E5711D" w:rsidR="00A43E77">
        <w:t xml:space="preserve">, 309(e), </w:t>
      </w:r>
      <w:r w:rsidRPr="00E5711D">
        <w:t>3</w:t>
      </w:r>
      <w:r w:rsidRPr="00E5711D" w:rsidR="0060708C">
        <w:t>10</w:t>
      </w:r>
      <w:r w:rsidRPr="00E5711D">
        <w:t>(</w:t>
      </w:r>
      <w:r w:rsidRPr="00E5711D" w:rsidR="0060708C">
        <w:t>b</w:t>
      </w:r>
      <w:r w:rsidRPr="00E5711D">
        <w:t>), 3</w:t>
      </w:r>
      <w:r w:rsidRPr="00E5711D" w:rsidR="0060708C">
        <w:t>10</w:t>
      </w:r>
      <w:r w:rsidRPr="00E5711D">
        <w:t>(</w:t>
      </w:r>
      <w:r w:rsidRPr="00E5711D" w:rsidR="0060708C">
        <w:t>d</w:t>
      </w:r>
      <w:r w:rsidRPr="00E5711D">
        <w:t>), and 312(a)</w:t>
      </w:r>
      <w:r w:rsidRPr="00E5711D" w:rsidR="00A43E77">
        <w:t>-(c)</w:t>
      </w:r>
      <w:r w:rsidRPr="00E5711D">
        <w:t>, the above-captioned application</w:t>
      </w:r>
      <w:r w:rsidRPr="00E5711D" w:rsidR="00874751">
        <w:t>s</w:t>
      </w:r>
      <w:r w:rsidRPr="00E5711D">
        <w:t xml:space="preserve"> and licenses ARE DESIGNATED FOR HEARING before an FCC administrative law judge, at a time and location specified in a subsequent Order, upon the following issues:</w:t>
      </w:r>
      <w:bookmarkEnd w:id="227"/>
    </w:p>
    <w:p w:rsidR="00962777" w:rsidRPr="00E5711D" w:rsidP="00EF3EFC" w14:paraId="24144519" w14:textId="603734EF">
      <w:pPr>
        <w:pStyle w:val="ParaNum"/>
        <w:numPr>
          <w:ilvl w:val="0"/>
          <w:numId w:val="16"/>
        </w:numPr>
        <w:rPr>
          <w:szCs w:val="22"/>
        </w:rPr>
      </w:pPr>
      <w:r w:rsidRPr="00E5711D">
        <w:rPr>
          <w:szCs w:val="22"/>
        </w:rPr>
        <w:t xml:space="preserve">To determine whether </w:t>
      </w:r>
      <w:r w:rsidRPr="00E5711D" w:rsidR="00874751">
        <w:rPr>
          <w:szCs w:val="22"/>
        </w:rPr>
        <w:t xml:space="preserve">Luz Maria Rygaard </w:t>
      </w:r>
      <w:r w:rsidRPr="00E5711D">
        <w:rPr>
          <w:szCs w:val="22"/>
        </w:rPr>
        <w:t>is and/or has been exercising affirmative control of</w:t>
      </w:r>
      <w:r w:rsidRPr="00E5711D" w:rsidR="00874751">
        <w:rPr>
          <w:szCs w:val="22"/>
        </w:rPr>
        <w:t xml:space="preserve"> KBNA-FM, KAMA(</w:t>
      </w:r>
      <w:r w:rsidRPr="00E5711D" w:rsidR="00225776">
        <w:rPr>
          <w:szCs w:val="22"/>
        </w:rPr>
        <w:t>A</w:t>
      </w:r>
      <w:r w:rsidRPr="00E5711D" w:rsidR="00874751">
        <w:rPr>
          <w:szCs w:val="22"/>
        </w:rPr>
        <w:t>M), and KQBU(AM)</w:t>
      </w:r>
      <w:r w:rsidRPr="00E5711D">
        <w:rPr>
          <w:szCs w:val="22"/>
        </w:rPr>
        <w:t>.</w:t>
      </w:r>
      <w:r w:rsidRPr="00E5711D" w:rsidR="00874751">
        <w:rPr>
          <w:szCs w:val="22"/>
        </w:rPr>
        <w:t xml:space="preserve"> </w:t>
      </w:r>
    </w:p>
    <w:p w:rsidR="00962777" w:rsidRPr="00E5711D" w:rsidP="00EF3EFC" w14:paraId="29918891" w14:textId="02D90F18">
      <w:pPr>
        <w:pStyle w:val="ParaNum"/>
        <w:numPr>
          <w:ilvl w:val="0"/>
          <w:numId w:val="16"/>
        </w:numPr>
        <w:rPr>
          <w:szCs w:val="22"/>
        </w:rPr>
      </w:pPr>
      <w:r w:rsidRPr="00E5711D">
        <w:rPr>
          <w:szCs w:val="22"/>
        </w:rPr>
        <w:t>To determine whether there has been a</w:t>
      </w:r>
      <w:r w:rsidRPr="00E5711D" w:rsidR="00607EE6">
        <w:rPr>
          <w:szCs w:val="22"/>
        </w:rPr>
        <w:t>n</w:t>
      </w:r>
      <w:r w:rsidRPr="00E5711D" w:rsidR="00513886">
        <w:rPr>
          <w:szCs w:val="22"/>
        </w:rPr>
        <w:t xml:space="preserve"> unauthorized</w:t>
      </w:r>
      <w:r w:rsidRPr="00E5711D">
        <w:rPr>
          <w:szCs w:val="22"/>
        </w:rPr>
        <w:t xml:space="preserve"> </w:t>
      </w:r>
      <w:r w:rsidRPr="00E5711D">
        <w:rPr>
          <w:i/>
          <w:szCs w:val="22"/>
        </w:rPr>
        <w:t>de facto</w:t>
      </w:r>
      <w:r w:rsidRPr="00E5711D">
        <w:rPr>
          <w:szCs w:val="22"/>
        </w:rPr>
        <w:t xml:space="preserve"> transfer of control</w:t>
      </w:r>
      <w:r w:rsidRPr="00E5711D" w:rsidR="00CA3585">
        <w:rPr>
          <w:szCs w:val="22"/>
        </w:rPr>
        <w:t xml:space="preserve"> of KBNA-FM, KAMA(</w:t>
      </w:r>
      <w:r w:rsidRPr="00E5711D" w:rsidR="00225776">
        <w:rPr>
          <w:szCs w:val="22"/>
        </w:rPr>
        <w:t>A</w:t>
      </w:r>
      <w:r w:rsidRPr="00E5711D" w:rsidR="00CA3585">
        <w:rPr>
          <w:szCs w:val="22"/>
        </w:rPr>
        <w:t>M), and KQBU(AM)</w:t>
      </w:r>
      <w:r w:rsidRPr="00E5711D">
        <w:rPr>
          <w:szCs w:val="22"/>
        </w:rPr>
        <w:t xml:space="preserve"> to </w:t>
      </w:r>
      <w:r w:rsidR="00AA7483">
        <w:rPr>
          <w:szCs w:val="22"/>
        </w:rPr>
        <w:t xml:space="preserve">Pro Radio LLC and/or </w:t>
      </w:r>
      <w:r w:rsidRPr="00E5711D" w:rsidR="00874751">
        <w:rPr>
          <w:szCs w:val="22"/>
        </w:rPr>
        <w:t xml:space="preserve">Lorena Margarita Peréz Toscano </w:t>
      </w:r>
      <w:r w:rsidRPr="00E5711D">
        <w:rPr>
          <w:szCs w:val="22"/>
        </w:rPr>
        <w:t>in violation of section</w:t>
      </w:r>
      <w:r w:rsidRPr="00E5711D" w:rsidR="00874751">
        <w:rPr>
          <w:szCs w:val="22"/>
        </w:rPr>
        <w:t>s 310(b) and</w:t>
      </w:r>
      <w:r w:rsidRPr="00E5711D">
        <w:rPr>
          <w:szCs w:val="22"/>
        </w:rPr>
        <w:t xml:space="preserve"> 310(d) of the Act, 47 U.S.C. §</w:t>
      </w:r>
      <w:r w:rsidRPr="00E5711D" w:rsidR="00874751">
        <w:rPr>
          <w:szCs w:val="22"/>
        </w:rPr>
        <w:t xml:space="preserve">§ 310(b), </w:t>
      </w:r>
      <w:r w:rsidRPr="00E5711D">
        <w:rPr>
          <w:szCs w:val="22"/>
        </w:rPr>
        <w:t>310(d)</w:t>
      </w:r>
      <w:r w:rsidRPr="00E5711D" w:rsidR="00874751">
        <w:rPr>
          <w:szCs w:val="22"/>
        </w:rPr>
        <w:t>,</w:t>
      </w:r>
      <w:r w:rsidRPr="00E5711D">
        <w:rPr>
          <w:szCs w:val="22"/>
        </w:rPr>
        <w:t xml:space="preserve"> and section</w:t>
      </w:r>
      <w:r w:rsidRPr="00E5711D" w:rsidR="00F571A9">
        <w:rPr>
          <w:szCs w:val="22"/>
        </w:rPr>
        <w:t>s</w:t>
      </w:r>
      <w:r w:rsidRPr="00E5711D">
        <w:rPr>
          <w:szCs w:val="22"/>
        </w:rPr>
        <w:t xml:space="preserve"> </w:t>
      </w:r>
      <w:r w:rsidRPr="00E5711D" w:rsidR="00F571A9">
        <w:rPr>
          <w:szCs w:val="22"/>
        </w:rPr>
        <w:t xml:space="preserve">1.5000 </w:t>
      </w:r>
      <w:r w:rsidRPr="00E5711D" w:rsidR="00F571A9">
        <w:rPr>
          <w:i/>
          <w:iCs/>
          <w:szCs w:val="22"/>
        </w:rPr>
        <w:t>et seq</w:t>
      </w:r>
      <w:r w:rsidRPr="00E5711D" w:rsidR="00F571A9">
        <w:rPr>
          <w:szCs w:val="22"/>
        </w:rPr>
        <w:t>.</w:t>
      </w:r>
      <w:r w:rsidRPr="00E5711D" w:rsidR="00D76829">
        <w:rPr>
          <w:szCs w:val="22"/>
        </w:rPr>
        <w:t xml:space="preserve"> and</w:t>
      </w:r>
      <w:r w:rsidRPr="00E5711D" w:rsidR="00F571A9">
        <w:rPr>
          <w:szCs w:val="22"/>
        </w:rPr>
        <w:t xml:space="preserve"> </w:t>
      </w:r>
      <w:r w:rsidRPr="00E5711D">
        <w:rPr>
          <w:szCs w:val="22"/>
        </w:rPr>
        <w:t>73.</w:t>
      </w:r>
      <w:r w:rsidRPr="00E5711D" w:rsidR="00874751">
        <w:rPr>
          <w:szCs w:val="22"/>
        </w:rPr>
        <w:t>3540</w:t>
      </w:r>
      <w:r w:rsidRPr="00E5711D">
        <w:rPr>
          <w:szCs w:val="22"/>
        </w:rPr>
        <w:t xml:space="preserve">(a) of the Commission’s </w:t>
      </w:r>
      <w:r w:rsidRPr="00E5711D" w:rsidR="00607EE6">
        <w:rPr>
          <w:szCs w:val="22"/>
        </w:rPr>
        <w:t>R</w:t>
      </w:r>
      <w:r w:rsidRPr="00E5711D">
        <w:rPr>
          <w:szCs w:val="22"/>
        </w:rPr>
        <w:t xml:space="preserve">ules, 47 CFR </w:t>
      </w:r>
      <w:r w:rsidRPr="00E5711D" w:rsidR="00F571A9">
        <w:rPr>
          <w:szCs w:val="22"/>
        </w:rPr>
        <w:t>§§</w:t>
      </w:r>
      <w:r w:rsidRPr="00E5711D">
        <w:rPr>
          <w:szCs w:val="22"/>
        </w:rPr>
        <w:t xml:space="preserve"> </w:t>
      </w:r>
      <w:r w:rsidRPr="00E5711D" w:rsidR="00F571A9">
        <w:rPr>
          <w:szCs w:val="22"/>
        </w:rPr>
        <w:t xml:space="preserve">1.5000 </w:t>
      </w:r>
      <w:r w:rsidRPr="00E5711D" w:rsidR="00F571A9">
        <w:rPr>
          <w:i/>
          <w:iCs/>
          <w:szCs w:val="22"/>
        </w:rPr>
        <w:t>et seq.</w:t>
      </w:r>
      <w:r w:rsidRPr="00E5711D" w:rsidR="00F571A9">
        <w:rPr>
          <w:szCs w:val="22"/>
        </w:rPr>
        <w:t xml:space="preserve">, </w:t>
      </w:r>
      <w:r w:rsidRPr="00E5711D">
        <w:rPr>
          <w:szCs w:val="22"/>
        </w:rPr>
        <w:t>73.3540</w:t>
      </w:r>
      <w:r w:rsidRPr="00E5711D" w:rsidR="00D76829">
        <w:rPr>
          <w:szCs w:val="22"/>
        </w:rPr>
        <w:t>(a)</w:t>
      </w:r>
      <w:r w:rsidRPr="00E5711D">
        <w:rPr>
          <w:szCs w:val="22"/>
        </w:rPr>
        <w:t>.</w:t>
      </w:r>
    </w:p>
    <w:p w:rsidR="00962777" w:rsidRPr="00E5711D" w:rsidP="00EF3EFC" w14:paraId="306B230D" w14:textId="4203CFA6">
      <w:pPr>
        <w:pStyle w:val="ParaNum"/>
        <w:numPr>
          <w:ilvl w:val="0"/>
          <w:numId w:val="16"/>
        </w:numPr>
        <w:rPr>
          <w:szCs w:val="22"/>
        </w:rPr>
      </w:pPr>
      <w:r w:rsidRPr="00E5711D">
        <w:rPr>
          <w:szCs w:val="22"/>
        </w:rPr>
        <w:t xml:space="preserve">To determine whether </w:t>
      </w:r>
      <w:r w:rsidRPr="00E5711D" w:rsidR="00874751">
        <w:rPr>
          <w:szCs w:val="22"/>
        </w:rPr>
        <w:t xml:space="preserve">Luz Maria Rygaard </w:t>
      </w:r>
      <w:r w:rsidRPr="00E5711D">
        <w:rPr>
          <w:szCs w:val="22"/>
        </w:rPr>
        <w:t xml:space="preserve">engaged in misrepresentation and/or lack of candor in applications and communications with the Commission </w:t>
      </w:r>
      <w:r w:rsidRPr="00E5711D" w:rsidR="00907578">
        <w:rPr>
          <w:szCs w:val="22"/>
        </w:rPr>
        <w:t xml:space="preserve">in </w:t>
      </w:r>
      <w:r w:rsidRPr="00E5711D">
        <w:rPr>
          <w:szCs w:val="22"/>
        </w:rPr>
        <w:t>violat</w:t>
      </w:r>
      <w:r w:rsidRPr="00E5711D" w:rsidR="00907578">
        <w:rPr>
          <w:szCs w:val="22"/>
        </w:rPr>
        <w:t>ion of</w:t>
      </w:r>
      <w:r w:rsidRPr="00E5711D">
        <w:rPr>
          <w:szCs w:val="22"/>
        </w:rPr>
        <w:t xml:space="preserve"> sections 1.17 and</w:t>
      </w:r>
      <w:r w:rsidRPr="00E5711D" w:rsidR="00225776">
        <w:rPr>
          <w:szCs w:val="22"/>
        </w:rPr>
        <w:t>/or</w:t>
      </w:r>
      <w:r w:rsidRPr="00E5711D">
        <w:rPr>
          <w:szCs w:val="22"/>
        </w:rPr>
        <w:t xml:space="preserve"> 73.1015 of the Commission’s </w:t>
      </w:r>
      <w:r w:rsidRPr="00E5711D" w:rsidR="00607EE6">
        <w:rPr>
          <w:szCs w:val="22"/>
        </w:rPr>
        <w:t>R</w:t>
      </w:r>
      <w:r w:rsidRPr="00E5711D">
        <w:rPr>
          <w:szCs w:val="22"/>
        </w:rPr>
        <w:t>ules</w:t>
      </w:r>
      <w:r w:rsidRPr="00E5711D" w:rsidR="00874751">
        <w:rPr>
          <w:szCs w:val="22"/>
        </w:rPr>
        <w:t>, 47 CFR §§ 1.17, 73.1015</w:t>
      </w:r>
      <w:r w:rsidRPr="00E5711D">
        <w:rPr>
          <w:szCs w:val="22"/>
        </w:rPr>
        <w:t>.</w:t>
      </w:r>
    </w:p>
    <w:p w:rsidR="00962777" w:rsidRPr="00E5711D" w:rsidP="00EF3EFC" w14:paraId="25323B87" w14:textId="70F8AA49">
      <w:pPr>
        <w:pStyle w:val="ParaNum"/>
        <w:numPr>
          <w:ilvl w:val="0"/>
          <w:numId w:val="16"/>
        </w:numPr>
        <w:rPr>
          <w:szCs w:val="22"/>
        </w:rPr>
      </w:pPr>
      <w:r w:rsidRPr="00E5711D">
        <w:rPr>
          <w:szCs w:val="22"/>
        </w:rPr>
        <w:t>To determine, in light of evidence adduced regarding the foregoing issues (a)</w:t>
      </w:r>
      <w:r w:rsidRPr="00E5711D" w:rsidR="00607EE6">
        <w:rPr>
          <w:szCs w:val="22"/>
        </w:rPr>
        <w:t xml:space="preserve"> </w:t>
      </w:r>
      <w:r w:rsidRPr="00E5711D">
        <w:rPr>
          <w:szCs w:val="22"/>
        </w:rPr>
        <w:t>-</w:t>
      </w:r>
      <w:r w:rsidRPr="00E5711D" w:rsidR="00607EE6">
        <w:rPr>
          <w:szCs w:val="22"/>
        </w:rPr>
        <w:t xml:space="preserve"> </w:t>
      </w:r>
      <w:r w:rsidRPr="00E5711D">
        <w:rPr>
          <w:szCs w:val="22"/>
        </w:rPr>
        <w:t>(</w:t>
      </w:r>
      <w:r w:rsidRPr="00E5711D" w:rsidR="00874751">
        <w:rPr>
          <w:szCs w:val="22"/>
        </w:rPr>
        <w:t>c</w:t>
      </w:r>
      <w:r w:rsidRPr="00E5711D">
        <w:rPr>
          <w:szCs w:val="22"/>
        </w:rPr>
        <w:t xml:space="preserve">) whether </w:t>
      </w:r>
      <w:r w:rsidRPr="00E5711D" w:rsidR="00874751">
        <w:rPr>
          <w:szCs w:val="22"/>
        </w:rPr>
        <w:t xml:space="preserve">Luz Maria Rygaard </w:t>
      </w:r>
      <w:r w:rsidRPr="00E5711D">
        <w:rPr>
          <w:szCs w:val="22"/>
        </w:rPr>
        <w:t xml:space="preserve">possesses the character qualifications to be or remain a Commission licensee and whether the licenses for </w:t>
      </w:r>
      <w:r w:rsidRPr="00E5711D" w:rsidR="00874751">
        <w:rPr>
          <w:szCs w:val="22"/>
        </w:rPr>
        <w:t>KBNA-FM, KAMA(</w:t>
      </w:r>
      <w:r w:rsidRPr="00E5711D" w:rsidR="00225776">
        <w:rPr>
          <w:szCs w:val="22"/>
        </w:rPr>
        <w:t>A</w:t>
      </w:r>
      <w:r w:rsidRPr="00E5711D" w:rsidR="00874751">
        <w:rPr>
          <w:szCs w:val="22"/>
        </w:rPr>
        <w:t xml:space="preserve">M), and KQBU(AM) </w:t>
      </w:r>
      <w:r w:rsidRPr="00E5711D">
        <w:rPr>
          <w:szCs w:val="22"/>
        </w:rPr>
        <w:t>should be revoked</w:t>
      </w:r>
      <w:r w:rsidR="00CD5EF0">
        <w:rPr>
          <w:szCs w:val="22"/>
        </w:rPr>
        <w:t xml:space="preserve"> consistent with </w:t>
      </w:r>
      <w:r w:rsidRPr="00CD5EF0" w:rsidR="00CD5EF0">
        <w:rPr>
          <w:szCs w:val="22"/>
        </w:rPr>
        <w:t>section 31</w:t>
      </w:r>
      <w:r w:rsidR="00CD5EF0">
        <w:rPr>
          <w:szCs w:val="22"/>
        </w:rPr>
        <w:t>2</w:t>
      </w:r>
      <w:r w:rsidRPr="00CD5EF0" w:rsidR="00CD5EF0">
        <w:rPr>
          <w:szCs w:val="22"/>
        </w:rPr>
        <w:t>(</w:t>
      </w:r>
      <w:r w:rsidR="00CD5EF0">
        <w:rPr>
          <w:szCs w:val="22"/>
        </w:rPr>
        <w:t>a</w:t>
      </w:r>
      <w:r w:rsidRPr="00CD5EF0" w:rsidR="00CD5EF0">
        <w:rPr>
          <w:szCs w:val="22"/>
        </w:rPr>
        <w:t>)</w:t>
      </w:r>
      <w:r w:rsidR="00CD5EF0">
        <w:rPr>
          <w:szCs w:val="22"/>
        </w:rPr>
        <w:t>(1)</w:t>
      </w:r>
      <w:r w:rsidRPr="00CD5EF0" w:rsidR="00CD5EF0">
        <w:rPr>
          <w:szCs w:val="22"/>
        </w:rPr>
        <w:t xml:space="preserve"> of the Act, 47 U.S.C. § 31</w:t>
      </w:r>
      <w:r w:rsidR="00CD5EF0">
        <w:rPr>
          <w:szCs w:val="22"/>
        </w:rPr>
        <w:t>2</w:t>
      </w:r>
      <w:r w:rsidRPr="00CD5EF0" w:rsidR="00CD5EF0">
        <w:rPr>
          <w:szCs w:val="22"/>
        </w:rPr>
        <w:t>(</w:t>
      </w:r>
      <w:r w:rsidR="00CD5EF0">
        <w:rPr>
          <w:szCs w:val="22"/>
        </w:rPr>
        <w:t>a</w:t>
      </w:r>
      <w:r w:rsidRPr="00CD5EF0" w:rsidR="00CD5EF0">
        <w:rPr>
          <w:szCs w:val="22"/>
        </w:rPr>
        <w:t>)</w:t>
      </w:r>
      <w:r w:rsidR="00CD5EF0">
        <w:rPr>
          <w:szCs w:val="22"/>
        </w:rPr>
        <w:t>(1).</w:t>
      </w:r>
      <w:r w:rsidRPr="00CD5EF0" w:rsidR="00CD5EF0">
        <w:rPr>
          <w:szCs w:val="22"/>
        </w:rPr>
        <w:t xml:space="preserve"> </w:t>
      </w:r>
    </w:p>
    <w:p w:rsidR="00874751" w:rsidRPr="00E5711D" w:rsidP="00874751" w14:paraId="6C4ACB43" w14:textId="2AE53532">
      <w:pPr>
        <w:pStyle w:val="ParaNum"/>
        <w:numPr>
          <w:ilvl w:val="0"/>
          <w:numId w:val="16"/>
        </w:numPr>
        <w:rPr>
          <w:szCs w:val="22"/>
        </w:rPr>
      </w:pPr>
      <w:r w:rsidRPr="00E5711D">
        <w:rPr>
          <w:szCs w:val="22"/>
        </w:rPr>
        <w:t xml:space="preserve">To determine whether Lorena Margarita Peréz </w:t>
      </w:r>
      <w:r w:rsidRPr="00E5711D" w:rsidR="00835D76">
        <w:rPr>
          <w:szCs w:val="22"/>
        </w:rPr>
        <w:t xml:space="preserve">Toscano </w:t>
      </w:r>
      <w:r w:rsidRPr="00E5711D">
        <w:rPr>
          <w:szCs w:val="22"/>
        </w:rPr>
        <w:t xml:space="preserve">has exercised and continues to exercise </w:t>
      </w:r>
      <w:r w:rsidRPr="00E5711D">
        <w:rPr>
          <w:i/>
          <w:iCs/>
          <w:szCs w:val="22"/>
        </w:rPr>
        <w:t xml:space="preserve">de facto </w:t>
      </w:r>
      <w:r w:rsidRPr="00E5711D">
        <w:rPr>
          <w:szCs w:val="22"/>
        </w:rPr>
        <w:t>control over KBNA-FM, KAMA(</w:t>
      </w:r>
      <w:r w:rsidRPr="00E5711D" w:rsidR="00225776">
        <w:rPr>
          <w:szCs w:val="22"/>
        </w:rPr>
        <w:t>AM</w:t>
      </w:r>
      <w:r w:rsidRPr="00E5711D">
        <w:rPr>
          <w:szCs w:val="22"/>
        </w:rPr>
        <w:t xml:space="preserve">), and KQBU(AM).  </w:t>
      </w:r>
    </w:p>
    <w:p w:rsidR="00874751" w:rsidRPr="00E5711D" w:rsidP="00874751" w14:paraId="043D4DC8" w14:textId="26E019DE">
      <w:pPr>
        <w:pStyle w:val="ParaNum"/>
        <w:numPr>
          <w:ilvl w:val="0"/>
          <w:numId w:val="16"/>
        </w:numPr>
        <w:rPr>
          <w:szCs w:val="22"/>
        </w:rPr>
      </w:pPr>
      <w:r w:rsidRPr="00E5711D">
        <w:rPr>
          <w:szCs w:val="22"/>
        </w:rPr>
        <w:t xml:space="preserve">To determine whether Lorena Margarita Peréz </w:t>
      </w:r>
      <w:r w:rsidRPr="00E5711D" w:rsidR="00835D76">
        <w:rPr>
          <w:szCs w:val="22"/>
        </w:rPr>
        <w:t xml:space="preserve">Toscano </w:t>
      </w:r>
      <w:r w:rsidRPr="00E5711D">
        <w:rPr>
          <w:szCs w:val="22"/>
        </w:rPr>
        <w:t xml:space="preserve">engaged in misrepresentation and/or lack of candor in applications and communications with the Commission </w:t>
      </w:r>
      <w:r w:rsidRPr="00E5711D" w:rsidR="0012538B">
        <w:rPr>
          <w:szCs w:val="22"/>
        </w:rPr>
        <w:t>in</w:t>
      </w:r>
      <w:r w:rsidRPr="00E5711D">
        <w:rPr>
          <w:szCs w:val="22"/>
        </w:rPr>
        <w:t xml:space="preserve"> </w:t>
      </w:r>
      <w:r w:rsidRPr="00E5711D" w:rsidR="0012538B">
        <w:rPr>
          <w:szCs w:val="22"/>
        </w:rPr>
        <w:t xml:space="preserve">violation of </w:t>
      </w:r>
      <w:r w:rsidRPr="00E5711D">
        <w:rPr>
          <w:szCs w:val="22"/>
        </w:rPr>
        <w:t>section 1.17 and</w:t>
      </w:r>
      <w:r w:rsidRPr="00E5711D" w:rsidR="00225776">
        <w:rPr>
          <w:szCs w:val="22"/>
        </w:rPr>
        <w:t>/or</w:t>
      </w:r>
      <w:r w:rsidRPr="00E5711D">
        <w:rPr>
          <w:szCs w:val="22"/>
        </w:rPr>
        <w:t xml:space="preserve"> 73.1015 of the Commission’s </w:t>
      </w:r>
      <w:r w:rsidRPr="00E5711D" w:rsidR="00607EE6">
        <w:rPr>
          <w:szCs w:val="22"/>
        </w:rPr>
        <w:t>R</w:t>
      </w:r>
      <w:r w:rsidRPr="00E5711D">
        <w:rPr>
          <w:szCs w:val="22"/>
        </w:rPr>
        <w:t>ules, 47 CFR §§ 1.17, 73.</w:t>
      </w:r>
      <w:r w:rsidRPr="00E5711D" w:rsidR="00513886">
        <w:rPr>
          <w:szCs w:val="22"/>
        </w:rPr>
        <w:t>1015</w:t>
      </w:r>
      <w:r w:rsidRPr="00E5711D">
        <w:rPr>
          <w:szCs w:val="22"/>
        </w:rPr>
        <w:t>.</w:t>
      </w:r>
    </w:p>
    <w:p w:rsidR="00962777" w:rsidRPr="00E5711D" w:rsidP="0060708C" w14:paraId="7B6C2D2B" w14:textId="7030239E">
      <w:pPr>
        <w:pStyle w:val="ParaNum"/>
        <w:numPr>
          <w:ilvl w:val="0"/>
          <w:numId w:val="16"/>
        </w:numPr>
        <w:rPr>
          <w:szCs w:val="22"/>
        </w:rPr>
      </w:pPr>
      <w:bookmarkStart w:id="228" w:name="_Hlk197009377"/>
      <w:r w:rsidRPr="00E5711D">
        <w:rPr>
          <w:szCs w:val="22"/>
        </w:rPr>
        <w:t xml:space="preserve">To determine, in light of evidence adduced regarding </w:t>
      </w:r>
      <w:r w:rsidRPr="00E5711D" w:rsidR="0060708C">
        <w:rPr>
          <w:szCs w:val="22"/>
        </w:rPr>
        <w:t xml:space="preserve">the foregoing </w:t>
      </w:r>
      <w:r w:rsidRPr="00E5711D">
        <w:rPr>
          <w:szCs w:val="22"/>
        </w:rPr>
        <w:t>issues</w:t>
      </w:r>
      <w:r w:rsidRPr="00E5711D" w:rsidR="00513886">
        <w:rPr>
          <w:szCs w:val="22"/>
        </w:rPr>
        <w:t xml:space="preserve"> (a),</w:t>
      </w:r>
      <w:r w:rsidRPr="00E5711D">
        <w:rPr>
          <w:szCs w:val="22"/>
        </w:rPr>
        <w:t xml:space="preserve"> (</w:t>
      </w:r>
      <w:r w:rsidRPr="00E5711D" w:rsidR="0060708C">
        <w:rPr>
          <w:szCs w:val="22"/>
        </w:rPr>
        <w:t>b</w:t>
      </w:r>
      <w:r w:rsidRPr="00E5711D">
        <w:rPr>
          <w:szCs w:val="22"/>
        </w:rPr>
        <w:t>)</w:t>
      </w:r>
      <w:r w:rsidRPr="00E5711D" w:rsidR="0060708C">
        <w:rPr>
          <w:szCs w:val="22"/>
        </w:rPr>
        <w:t xml:space="preserve">, (e), and </w:t>
      </w:r>
      <w:r w:rsidRPr="00E5711D">
        <w:rPr>
          <w:szCs w:val="22"/>
        </w:rPr>
        <w:t>(</w:t>
      </w:r>
      <w:r w:rsidRPr="00E5711D" w:rsidR="0060708C">
        <w:rPr>
          <w:szCs w:val="22"/>
        </w:rPr>
        <w:t>f</w:t>
      </w:r>
      <w:r w:rsidRPr="00E5711D">
        <w:rPr>
          <w:szCs w:val="22"/>
        </w:rPr>
        <w:t xml:space="preserve">), whether </w:t>
      </w:r>
      <w:bookmarkStart w:id="229" w:name="_Hlk197087573"/>
      <w:r w:rsidRPr="00E5711D" w:rsidR="0060708C">
        <w:rPr>
          <w:szCs w:val="22"/>
        </w:rPr>
        <w:t>Lorena Margarita Peréz</w:t>
      </w:r>
      <w:r w:rsidRPr="00E5711D">
        <w:rPr>
          <w:szCs w:val="22"/>
        </w:rPr>
        <w:t xml:space="preserve"> </w:t>
      </w:r>
      <w:r w:rsidRPr="00E5711D" w:rsidR="00835D76">
        <w:rPr>
          <w:szCs w:val="22"/>
        </w:rPr>
        <w:t xml:space="preserve">Toscano </w:t>
      </w:r>
      <w:bookmarkEnd w:id="229"/>
      <w:r w:rsidRPr="00E5711D">
        <w:rPr>
          <w:szCs w:val="22"/>
        </w:rPr>
        <w:t xml:space="preserve">possesses the character qualifications to be </w:t>
      </w:r>
      <w:r w:rsidRPr="00E5711D" w:rsidR="00225776">
        <w:rPr>
          <w:szCs w:val="22"/>
        </w:rPr>
        <w:t xml:space="preserve">a </w:t>
      </w:r>
      <w:r w:rsidRPr="00E5711D">
        <w:rPr>
          <w:szCs w:val="22"/>
        </w:rPr>
        <w:t>Commission licensee.</w:t>
      </w:r>
    </w:p>
    <w:bookmarkEnd w:id="228"/>
    <w:p w:rsidR="0060708C" w:rsidRPr="00E5711D" w:rsidP="0060708C" w14:paraId="7765ACF3" w14:textId="1BFD0E80">
      <w:pPr>
        <w:pStyle w:val="ListParagraph"/>
        <w:numPr>
          <w:ilvl w:val="0"/>
          <w:numId w:val="16"/>
        </w:numPr>
        <w:rPr>
          <w:kern w:val="28"/>
          <w:sz w:val="22"/>
          <w:szCs w:val="22"/>
        </w:rPr>
      </w:pPr>
      <w:r w:rsidRPr="00E5711D">
        <w:rPr>
          <w:kern w:val="28"/>
          <w:sz w:val="22"/>
          <w:szCs w:val="22"/>
        </w:rPr>
        <w:t>To determine, in light of evidence adduced regarding the foregoing issues whether the pending application</w:t>
      </w:r>
      <w:r w:rsidRPr="00E5711D" w:rsidR="00D76829">
        <w:rPr>
          <w:kern w:val="28"/>
          <w:sz w:val="22"/>
          <w:szCs w:val="22"/>
        </w:rPr>
        <w:t>s</w:t>
      </w:r>
      <w:r w:rsidRPr="00E5711D">
        <w:rPr>
          <w:kern w:val="28"/>
          <w:sz w:val="22"/>
          <w:szCs w:val="22"/>
        </w:rPr>
        <w:t xml:space="preserve"> seeking Commission consent to the transfer of control of the licenses of </w:t>
      </w:r>
      <w:r w:rsidRPr="00E5711D">
        <w:rPr>
          <w:sz w:val="22"/>
          <w:szCs w:val="22"/>
        </w:rPr>
        <w:t>KBNA-FM, KAMA(</w:t>
      </w:r>
      <w:r w:rsidRPr="00E5711D" w:rsidR="00225776">
        <w:rPr>
          <w:sz w:val="22"/>
          <w:szCs w:val="22"/>
        </w:rPr>
        <w:t>AM</w:t>
      </w:r>
      <w:r w:rsidRPr="00E5711D">
        <w:rPr>
          <w:sz w:val="22"/>
          <w:szCs w:val="22"/>
        </w:rPr>
        <w:t xml:space="preserve">), and KQBU(AM) from Luz Maria Rygaard to </w:t>
      </w:r>
      <w:r w:rsidRPr="00E5711D">
        <w:rPr>
          <w:kern w:val="28"/>
          <w:sz w:val="22"/>
          <w:szCs w:val="22"/>
        </w:rPr>
        <w:t xml:space="preserve">Lorena Margarita Peréz </w:t>
      </w:r>
      <w:r w:rsidRPr="00E5711D" w:rsidR="00835D76">
        <w:rPr>
          <w:kern w:val="28"/>
          <w:sz w:val="22"/>
          <w:szCs w:val="22"/>
        </w:rPr>
        <w:t xml:space="preserve">Toscano </w:t>
      </w:r>
      <w:r w:rsidRPr="00E5711D">
        <w:rPr>
          <w:kern w:val="28"/>
          <w:sz w:val="22"/>
          <w:szCs w:val="22"/>
        </w:rPr>
        <w:t>should be granted, dismissed, or denied.</w:t>
      </w:r>
    </w:p>
    <w:p w:rsidR="002A1648" w:rsidRPr="00E5711D" w:rsidP="002A1648" w14:paraId="4C1922FE" w14:textId="403BA71A">
      <w:pPr>
        <w:rPr>
          <w:szCs w:val="22"/>
        </w:rPr>
      </w:pPr>
    </w:p>
    <w:p w:rsidR="00C930F6" w:rsidRPr="00E5711D" w:rsidP="00513886" w14:paraId="03A71B29" w14:textId="4B8C67D9">
      <w:pPr>
        <w:pStyle w:val="ParaNum"/>
        <w:widowControl/>
      </w:pPr>
      <w:r w:rsidRPr="00E5711D">
        <w:t xml:space="preserve">IT IS FURTHER ORDERED that, </w:t>
      </w:r>
      <w:bookmarkStart w:id="230" w:name="_Hlk89784658"/>
      <w:r w:rsidRPr="00E5711D">
        <w:t>pursuant to sections 309(</w:t>
      </w:r>
      <w:r w:rsidRPr="00E5711D">
        <w:t>e</w:t>
      </w:r>
      <w:r w:rsidRPr="00E5711D">
        <w:t>) and 312(c) of the Act, 47 U.S.C. §§ 309(</w:t>
      </w:r>
      <w:r w:rsidRPr="00E5711D">
        <w:t>e</w:t>
      </w:r>
      <w:r w:rsidRPr="00E5711D">
        <w:t>), 312(c), and section</w:t>
      </w:r>
      <w:r w:rsidRPr="00E5711D" w:rsidR="006D3348">
        <w:t>s</w:t>
      </w:r>
      <w:r w:rsidRPr="00E5711D">
        <w:t xml:space="preserve"> </w:t>
      </w:r>
      <w:r w:rsidRPr="00E5711D" w:rsidR="006D3348">
        <w:t>1.91(c) and</w:t>
      </w:r>
      <w:r w:rsidRPr="00E5711D">
        <w:t xml:space="preserve">1.221(c) of the Commission’s </w:t>
      </w:r>
      <w:r w:rsidRPr="00E5711D" w:rsidR="00225776">
        <w:t>R</w:t>
      </w:r>
      <w:r w:rsidRPr="00E5711D">
        <w:t xml:space="preserve">ules, 47 CFR </w:t>
      </w:r>
      <w:bookmarkStart w:id="231" w:name="_Hlk89784180"/>
      <w:r w:rsidRPr="00E5711D" w:rsidR="006D3348">
        <w:t>§</w:t>
      </w:r>
      <w:bookmarkEnd w:id="231"/>
      <w:r w:rsidRPr="00E5711D" w:rsidR="006D3348">
        <w:t>§</w:t>
      </w:r>
      <w:r w:rsidRPr="00E5711D">
        <w:t xml:space="preserve"> </w:t>
      </w:r>
      <w:r w:rsidRPr="00E5711D" w:rsidR="006D3348">
        <w:t xml:space="preserve">1.91(c), </w:t>
      </w:r>
      <w:r w:rsidRPr="00E5711D">
        <w:t xml:space="preserve">1.221(c), to avail </w:t>
      </w:r>
      <w:r w:rsidRPr="00E5711D" w:rsidR="00513886">
        <w:t>themselves</w:t>
      </w:r>
      <w:r w:rsidRPr="00E5711D">
        <w:t xml:space="preserve"> of the opportunity to be heard and to present evidence at a hearing in this proceeding, Luz Maria Rygaard and 97.5 Licensee TX, LLC, in person or by an attorney, SHALL FILE with the Commission, within </w:t>
      </w:r>
      <w:r w:rsidRPr="00E5711D">
        <w:t>t</w:t>
      </w:r>
      <w:r w:rsidRPr="00E5711D" w:rsidR="00D507CB">
        <w:t>wenty</w:t>
      </w:r>
      <w:r w:rsidRPr="00E5711D">
        <w:t xml:space="preserve"> (</w:t>
      </w:r>
      <w:r w:rsidRPr="00E5711D" w:rsidR="00D507CB">
        <w:t>2</w:t>
      </w:r>
      <w:r w:rsidRPr="00E5711D">
        <w:t xml:space="preserve">0) days of the mailing of this </w:t>
      </w:r>
      <w:r w:rsidRPr="00E5711D">
        <w:rPr>
          <w:i/>
        </w:rPr>
        <w:t>Hearing Designation Order, Order to Show Cause Why an Order of Revocation Should not be Issued</w:t>
      </w:r>
      <w:r w:rsidRPr="00E5711D" w:rsidR="002A1648">
        <w:rPr>
          <w:i/>
        </w:rPr>
        <w:t>, and Notice of Opportunity for Hearing</w:t>
      </w:r>
      <w:r w:rsidRPr="00E5711D">
        <w:t xml:space="preserve">, a written appearance stating that </w:t>
      </w:r>
      <w:r w:rsidRPr="00E5711D" w:rsidR="00513886">
        <w:t>they</w:t>
      </w:r>
      <w:r w:rsidRPr="00E5711D">
        <w:t xml:space="preserve"> will appear at the hearing and present evidence on the issues specified above</w:t>
      </w:r>
      <w:bookmarkEnd w:id="230"/>
      <w:r w:rsidRPr="00E5711D">
        <w:t xml:space="preserve">.  </w:t>
      </w:r>
    </w:p>
    <w:p w:rsidR="0064368D" w:rsidRPr="00E5711D" w14:paraId="4F33FFD2" w14:textId="5907F4D5">
      <w:pPr>
        <w:pStyle w:val="ParaNum"/>
      </w:pPr>
      <w:r w:rsidRPr="00E5711D">
        <w:t>IT IS FURTHER ORDERED that i</w:t>
      </w:r>
      <w:r w:rsidRPr="00E5711D">
        <w:t>f Luz Maria Rygaard waives her rights to a hearing pursuant to section 1.92(a)(1) or (a)(3) of the Rules, 47 CFR §§ 1.92(a)(1) or (a)(3), she may submit a timely written statement denying or seeking to mitigate or justify the circumstances or conduct complained of in the order to show cause.</w:t>
      </w:r>
      <w:r>
        <w:rPr>
          <w:vertAlign w:val="superscript"/>
        </w:rPr>
        <w:footnoteReference w:id="215"/>
      </w:r>
    </w:p>
    <w:p w:rsidR="0064368D" w:rsidRPr="00E5711D" w:rsidP="00525F67" w14:paraId="572C3188" w14:textId="2A70FC51">
      <w:pPr>
        <w:pStyle w:val="ParaNum"/>
        <w:widowControl/>
      </w:pPr>
      <w:r w:rsidRPr="00E5711D">
        <w:t>IT IS FURTHER ORDERED that, pursuant to sections 1.91</w:t>
      </w:r>
      <w:r w:rsidRPr="00E5711D" w:rsidR="006D3348">
        <w:t xml:space="preserve"> and 1</w:t>
      </w:r>
      <w:r w:rsidRPr="00E5711D">
        <w:t xml:space="preserve">.92 of the Commission’s </w:t>
      </w:r>
      <w:r w:rsidRPr="00E5711D" w:rsidR="00225776">
        <w:t>R</w:t>
      </w:r>
      <w:r w:rsidRPr="00E5711D">
        <w:t>ules, 47 CFR §§ 1.91</w:t>
      </w:r>
      <w:r w:rsidRPr="00E5711D" w:rsidR="006D3348">
        <w:t xml:space="preserve"> and 1</w:t>
      </w:r>
      <w:r w:rsidRPr="00E5711D">
        <w:t xml:space="preserve">.92, that if Luz Maria Rygaard fails to file a written appearance within the time specified above, or has not filed prior to the expiration of that time a petition to accept, for good cause shown, such written appearance beyond expiration of said </w:t>
      </w:r>
      <w:r w:rsidRPr="00E5711D" w:rsidR="004F7D54">
        <w:t>20</w:t>
      </w:r>
      <w:r w:rsidRPr="00E5711D">
        <w:t xml:space="preserve"> days, the right to a hearing shall be deemed waived.  Where a hearing is waived, the Administrative Law Judge shall issue an order terminating the hearing proceeding and certifying the case to the Commission. </w:t>
      </w:r>
    </w:p>
    <w:p w:rsidR="006D3348" w:rsidRPr="00E5711D" w:rsidP="006D3348" w14:paraId="2D2423D3" w14:textId="73673208">
      <w:pPr>
        <w:pStyle w:val="ParaNum"/>
      </w:pPr>
      <w:r w:rsidRPr="00E5711D">
        <w:t>IT IS FURTHER ORDERED</w:t>
      </w:r>
      <w:r w:rsidRPr="00E5711D">
        <w:rPr>
          <w:b/>
        </w:rPr>
        <w:t xml:space="preserve"> </w:t>
      </w:r>
      <w:r w:rsidRPr="00E5711D">
        <w:t>that, pursuant to section 1.221(c) of the Commission’s rules, 47 CFR § 1.221(c), if Luz Maria Rygaard fails to file a written appearance within the time specified above, a petition to dismiss without prejudice, or a petition to accept for good cause shown an untimely written appearance, the captioned applications shall be dismissed with prejudice for failure to prosecute.</w:t>
      </w:r>
    </w:p>
    <w:p w:rsidR="00962777" w:rsidRPr="00E5711D" w:rsidP="00EF3EFC" w14:paraId="292F3AA3" w14:textId="2A5A213B">
      <w:pPr>
        <w:pStyle w:val="ParaNum"/>
      </w:pPr>
      <w:r w:rsidRPr="00E5711D">
        <w:t>IT IS FURTHER ORDERED that, pursuant to section 3</w:t>
      </w:r>
      <w:r w:rsidRPr="00E5711D" w:rsidR="00C930F6">
        <w:t>09(e)</w:t>
      </w:r>
      <w:r w:rsidRPr="00E5711D">
        <w:t xml:space="preserve"> of the Communications Act of 1934, as amended, 47 U.S.C. § 3</w:t>
      </w:r>
      <w:r w:rsidRPr="00E5711D" w:rsidR="00C930F6">
        <w:t>09</w:t>
      </w:r>
      <w:r w:rsidRPr="00E5711D">
        <w:t>(</w:t>
      </w:r>
      <w:r w:rsidRPr="00E5711D" w:rsidR="00C930F6">
        <w:t>e</w:t>
      </w:r>
      <w:r w:rsidRPr="00E5711D">
        <w:t xml:space="preserve">), to avail </w:t>
      </w:r>
      <w:r w:rsidRPr="00E5711D" w:rsidR="00D507CB">
        <w:t>herself</w:t>
      </w:r>
      <w:r w:rsidRPr="00E5711D">
        <w:t xml:space="preserve"> of the opportunity to be heard and to present evidence at a hearing in this proceeding, </w:t>
      </w:r>
      <w:r w:rsidRPr="00E5711D" w:rsidR="0064368D">
        <w:t>Lorena Margarita Peréz Toscano</w:t>
      </w:r>
      <w:r w:rsidRPr="00E5711D" w:rsidR="00225776">
        <w:t>,</w:t>
      </w:r>
      <w:r w:rsidRPr="00E5711D" w:rsidR="0064368D">
        <w:t xml:space="preserve"> </w:t>
      </w:r>
      <w:r w:rsidRPr="00E5711D">
        <w:t xml:space="preserve">in person or by an attorney, SHALL FILE with the Commission, within </w:t>
      </w:r>
      <w:r w:rsidRPr="00E5711D" w:rsidR="00D507CB">
        <w:t>twenty</w:t>
      </w:r>
      <w:r w:rsidRPr="00E5711D">
        <w:t xml:space="preserve"> (</w:t>
      </w:r>
      <w:r w:rsidRPr="00E5711D" w:rsidR="00D507CB">
        <w:t>2</w:t>
      </w:r>
      <w:r w:rsidRPr="00E5711D">
        <w:t xml:space="preserve">0) days of the mailing of this </w:t>
      </w:r>
      <w:r w:rsidRPr="00E5711D" w:rsidR="002A1648">
        <w:rPr>
          <w:i/>
        </w:rPr>
        <w:t>Hearing Designation Order, Order to Show Cause Why an Order of Revocation Should not be Issued, and Notice of Opportunity for Hearing</w:t>
      </w:r>
      <w:r w:rsidRPr="00E5711D">
        <w:t xml:space="preserve">, a written appearance stating that he will appear at the hearing and present evidence on the issues specified above at a hearing.  </w:t>
      </w:r>
    </w:p>
    <w:p w:rsidR="00962777" w:rsidRPr="00E5711D" w14:paraId="1F9D1BB1" w14:textId="0865CCA9">
      <w:pPr>
        <w:pStyle w:val="ParaNum"/>
      </w:pPr>
      <w:bookmarkStart w:id="232" w:name="_Hlk89784593"/>
      <w:r w:rsidRPr="00E5711D">
        <w:t>IT IS FURTHER ORDERED</w:t>
      </w:r>
      <w:r w:rsidRPr="00E5711D">
        <w:rPr>
          <w:b/>
        </w:rPr>
        <w:t xml:space="preserve"> </w:t>
      </w:r>
      <w:r w:rsidRPr="00E5711D">
        <w:t xml:space="preserve">that, pursuant to section 1.221(c) of the Commission’s rules, 47 CFR § 1.221(c), if </w:t>
      </w:r>
      <w:r w:rsidRPr="00E5711D" w:rsidR="0064368D">
        <w:t xml:space="preserve">Lorena Margarita Peréz Toscano </w:t>
      </w:r>
      <w:r w:rsidRPr="00E5711D">
        <w:t xml:space="preserve">fails to file within the time specified above a written appearance, a petition to dismiss without prejudice, or a petition to accept for good cause shown </w:t>
      </w:r>
      <w:r w:rsidRPr="00E5711D">
        <w:t>an untimely written appearance, the captioned applications shall be dismissed with prejudice for failure to prosecute.</w:t>
      </w:r>
      <w:bookmarkEnd w:id="232"/>
    </w:p>
    <w:p w:rsidR="00962777" w:rsidRPr="00E5711D" w:rsidP="00EF3EFC" w14:paraId="3F463045" w14:textId="77777777">
      <w:pPr>
        <w:pStyle w:val="ParaNum"/>
      </w:pPr>
      <w:r w:rsidRPr="00E5711D">
        <w:t>IT IS FURTHER ORDERED that the Chief, Enforcement Bureau, shall be made a party to this proceeding without the need to file a written appearance.</w:t>
      </w:r>
    </w:p>
    <w:p w:rsidR="00962777" w:rsidRPr="00E5711D" w:rsidP="00EF3EFC" w14:paraId="1BDB6528" w14:textId="79B6A05D">
      <w:pPr>
        <w:pStyle w:val="ParaNum"/>
      </w:pPr>
      <w:r w:rsidRPr="00E5711D">
        <w:t>IT IS FURTHER ORDERED that, in accordance with section 312(d) of the Act, 47 U.S.C. § 312(d), and section 1.91(d) of the Commission’s rules, 47 CFR § 1.91(d), the BURDEN OF PROCEEDING with the introduction of evidence and the BURDEN OF PROOF with respect to the issues (</w:t>
      </w:r>
      <w:r w:rsidRPr="00E5711D" w:rsidR="00513886">
        <w:t>a</w:t>
      </w:r>
      <w:r w:rsidRPr="00E5711D">
        <w:rPr>
          <w:szCs w:val="22"/>
        </w:rPr>
        <w:t>)-(</w:t>
      </w:r>
      <w:r w:rsidRPr="00E5711D" w:rsidR="00513886">
        <w:t>g</w:t>
      </w:r>
      <w:r w:rsidRPr="00E5711D">
        <w:t>) of Paragraph</w:t>
      </w:r>
      <w:r w:rsidR="00AA7483">
        <w:t xml:space="preserve"> </w:t>
      </w:r>
      <w:r w:rsidR="00AA7483">
        <w:fldChar w:fldCharType="begin"/>
      </w:r>
      <w:r w:rsidR="00AA7483">
        <w:instrText xml:space="preserve"> REF _Ref199512933 \r \h </w:instrText>
      </w:r>
      <w:r w:rsidR="00AA7483">
        <w:fldChar w:fldCharType="separate"/>
      </w:r>
      <w:r w:rsidR="00AA7483">
        <w:t>80</w:t>
      </w:r>
      <w:r w:rsidR="00AA7483">
        <w:fldChar w:fldCharType="end"/>
      </w:r>
      <w:r w:rsidRPr="00E5711D">
        <w:t xml:space="preserve"> above, SHALL BE upon the Commission’s Enforcement Bureau.</w:t>
      </w:r>
    </w:p>
    <w:p w:rsidR="00962777" w:rsidRPr="00E5711D" w:rsidP="00EF3EFC" w14:paraId="43D2E955" w14:textId="56724FFF">
      <w:pPr>
        <w:pStyle w:val="ParaNum"/>
      </w:pPr>
      <w:r w:rsidRPr="00E5711D">
        <w:t xml:space="preserve">IT IS FURTHER ORDERED that, pursuant to section 309(e) of the Act, 47 U.S.C. § 309(e), and section 1.254 of the Commission’s rules, 47 CFR § 1.254, the BURDEN OF PROCEEDING with the introduction of evidence and the BURDEN OF PROOF shall be upon </w:t>
      </w:r>
      <w:r w:rsidRPr="00E5711D" w:rsidR="00513886">
        <w:t>Luz Maria Rygaard</w:t>
      </w:r>
      <w:r w:rsidRPr="00E5711D" w:rsidR="00513886">
        <w:rPr>
          <w:szCs w:val="22"/>
        </w:rPr>
        <w:t xml:space="preserve"> </w:t>
      </w:r>
      <w:r w:rsidRPr="00E5711D" w:rsidR="00513886">
        <w:t xml:space="preserve">and Lorena Margarita Peréz Toscano </w:t>
      </w:r>
      <w:r w:rsidRPr="00E5711D">
        <w:t>as to issue (</w:t>
      </w:r>
      <w:r w:rsidRPr="00E5711D" w:rsidR="00513886">
        <w:t>h</w:t>
      </w:r>
      <w:r w:rsidRPr="00E5711D">
        <w:t xml:space="preserve">) at Paragraph </w:t>
      </w:r>
      <w:r w:rsidR="00AA7483">
        <w:fldChar w:fldCharType="begin"/>
      </w:r>
      <w:r w:rsidR="00AA7483">
        <w:instrText xml:space="preserve"> REF _Ref199512933 \r \h </w:instrText>
      </w:r>
      <w:r w:rsidR="00AA7483">
        <w:fldChar w:fldCharType="separate"/>
      </w:r>
      <w:r w:rsidR="00AA7483">
        <w:t>80</w:t>
      </w:r>
      <w:r w:rsidR="00AA7483">
        <w:fldChar w:fldCharType="end"/>
      </w:r>
      <w:r w:rsidRPr="00E5711D">
        <w:t xml:space="preserve"> above.  </w:t>
      </w:r>
    </w:p>
    <w:p w:rsidR="00962777" w:rsidRPr="00E5711D" w:rsidP="00513886" w14:paraId="16D8AB71" w14:textId="77777777">
      <w:pPr>
        <w:pStyle w:val="ParaNum"/>
        <w:widowControl/>
      </w:pPr>
      <w:r w:rsidRPr="00E5711D">
        <w:t>IT IS FURTHER ORDERED that a copy of each document filed in this proceeding subsequent to the date of adoption of this document SHALL BE SERVED on the counsel of record appearing on behalf of the Chief, Enforcement Bureau.  Parties may inquire as to the identity of such counsel by calling the Investigations &amp; Hearings Division of the Enforcement Bureau at (202) 418-1420.  Such service copy SHALL BE ADDRESSED to the named counsel of record, Investigations &amp; Hearings Division, Enforcement Bureau, Federal Communications Commission, 45 L Street NE, Washington, DC 20554.</w:t>
      </w:r>
    </w:p>
    <w:p w:rsidR="00962777" w:rsidRPr="00E5711D" w:rsidP="00EF3EFC" w14:paraId="67E0AE7C" w14:textId="77777777">
      <w:pPr>
        <w:pStyle w:val="ParaNum"/>
      </w:pPr>
      <w:r w:rsidRPr="00E5711D">
        <w:t>IT IS FURTHER ORDERED that the parties to the captioned application shall, pursuant to section 311(a)(2) of the Act, 47 U.S.C § 311(a)(2), and section 73.3594 of the Commission’s rules, 47 CFR § 73.3594, GIVE NOTICE of the hearing within the time and in the manner prescribed in such Rule, and shall advise the Commission of the satisfaction of such requirements as mandated by section 73.3594 of the Commission’s rules, 47 CFR § 73.3594.</w:t>
      </w:r>
    </w:p>
    <w:p w:rsidR="00962777" w:rsidRPr="00E0223B" w:rsidP="00EF3EFC" w14:paraId="3440E665" w14:textId="379B3391">
      <w:pPr>
        <w:pStyle w:val="ParaNum"/>
        <w:rPr>
          <w:szCs w:val="22"/>
        </w:rPr>
      </w:pPr>
      <w:r w:rsidRPr="00E0223B">
        <w:rPr>
          <w:szCs w:val="22"/>
        </w:rPr>
        <w:t xml:space="preserve">IT IS FURTHER ORDERED that copies of this </w:t>
      </w:r>
      <w:r w:rsidRPr="00E0223B" w:rsidR="002A1648">
        <w:rPr>
          <w:i/>
          <w:szCs w:val="22"/>
        </w:rPr>
        <w:t>Hearing Designation Order, Order to Show Cause Why an Order of Revocation Should not be Issued, and Notice of Opportunity for Hearing</w:t>
      </w:r>
      <w:r w:rsidRPr="00E0223B" w:rsidR="002A1648">
        <w:rPr>
          <w:szCs w:val="22"/>
        </w:rPr>
        <w:t xml:space="preserve"> </w:t>
      </w:r>
      <w:r w:rsidRPr="00E0223B">
        <w:rPr>
          <w:szCs w:val="22"/>
        </w:rPr>
        <w:t>shall be sent via Certified Mail, Return Receipt Requested, and by regular first-class mail to:</w:t>
      </w:r>
    </w:p>
    <w:p w:rsidR="00962777" w:rsidRPr="00E0223B" w:rsidP="00EF3EFC" w14:paraId="41AB5161" w14:textId="77777777">
      <w:pPr>
        <w:pStyle w:val="ParaNum"/>
        <w:numPr>
          <w:ilvl w:val="0"/>
          <w:numId w:val="0"/>
        </w:numPr>
        <w:spacing w:after="0"/>
        <w:ind w:left="720"/>
        <w:rPr>
          <w:szCs w:val="22"/>
        </w:rPr>
      </w:pPr>
    </w:p>
    <w:p w:rsidR="0048748D" w:rsidRPr="00E0223B" w:rsidP="0048748D" w14:paraId="37A60639" w14:textId="001EF7EC">
      <w:pPr>
        <w:ind w:left="720"/>
        <w:rPr>
          <w:kern w:val="0"/>
          <w:szCs w:val="22"/>
        </w:rPr>
      </w:pPr>
      <w:r w:rsidRPr="00E0223B">
        <w:rPr>
          <w:kern w:val="0"/>
          <w:szCs w:val="22"/>
        </w:rPr>
        <w:t>97.5 Licensee TX, LLC</w:t>
      </w:r>
    </w:p>
    <w:p w:rsidR="0048748D" w:rsidRPr="00E0223B" w:rsidP="0048748D" w14:paraId="77498847" w14:textId="77777777">
      <w:pPr>
        <w:ind w:left="720"/>
        <w:rPr>
          <w:szCs w:val="22"/>
        </w:rPr>
      </w:pPr>
      <w:r w:rsidRPr="00E0223B">
        <w:rPr>
          <w:szCs w:val="22"/>
        </w:rPr>
        <w:t xml:space="preserve">2100 </w:t>
      </w:r>
      <w:r w:rsidRPr="00E0223B">
        <w:rPr>
          <w:szCs w:val="22"/>
        </w:rPr>
        <w:t>Trawood</w:t>
      </w:r>
      <w:r w:rsidRPr="00E0223B">
        <w:rPr>
          <w:szCs w:val="22"/>
        </w:rPr>
        <w:t xml:space="preserve"> Drive</w:t>
      </w:r>
    </w:p>
    <w:p w:rsidR="0048748D" w:rsidRPr="00E0223B" w:rsidP="0048748D" w14:paraId="5AFE083F" w14:textId="77777777">
      <w:pPr>
        <w:ind w:left="720"/>
        <w:rPr>
          <w:szCs w:val="22"/>
        </w:rPr>
      </w:pPr>
      <w:r w:rsidRPr="00E0223B">
        <w:rPr>
          <w:szCs w:val="22"/>
        </w:rPr>
        <w:t>El Paso, TX  79935</w:t>
      </w:r>
    </w:p>
    <w:p w:rsidR="0048748D" w:rsidRPr="00E0223B" w:rsidP="0048748D" w14:paraId="3AAA6C6D" w14:textId="77777777">
      <w:pPr>
        <w:ind w:left="720"/>
        <w:rPr>
          <w:szCs w:val="22"/>
        </w:rPr>
      </w:pPr>
    </w:p>
    <w:p w:rsidR="0048748D" w:rsidRPr="00E0223B" w:rsidP="0048748D" w14:paraId="370E6F55" w14:textId="77777777">
      <w:pPr>
        <w:ind w:left="720"/>
        <w:rPr>
          <w:szCs w:val="22"/>
        </w:rPr>
      </w:pPr>
      <w:r w:rsidRPr="00E0223B">
        <w:rPr>
          <w:szCs w:val="22"/>
        </w:rPr>
        <w:t>Luz Maria Rygaard</w:t>
      </w:r>
    </w:p>
    <w:p w:rsidR="0048748D" w:rsidRPr="00E0223B" w:rsidP="0048748D" w14:paraId="3FD1F2A2" w14:textId="77777777">
      <w:pPr>
        <w:ind w:left="720"/>
        <w:rPr>
          <w:szCs w:val="22"/>
        </w:rPr>
      </w:pPr>
      <w:r w:rsidRPr="00E0223B">
        <w:rPr>
          <w:szCs w:val="22"/>
        </w:rPr>
        <w:t>1034 Sunflower Trail</w:t>
      </w:r>
    </w:p>
    <w:p w:rsidR="0048748D" w:rsidRPr="00E0223B" w:rsidP="0048748D" w14:paraId="74561A1F" w14:textId="77777777">
      <w:pPr>
        <w:ind w:left="720"/>
        <w:rPr>
          <w:szCs w:val="22"/>
        </w:rPr>
      </w:pPr>
      <w:r w:rsidRPr="00E0223B">
        <w:rPr>
          <w:szCs w:val="22"/>
        </w:rPr>
        <w:t>Austin, TX  78745</w:t>
      </w:r>
    </w:p>
    <w:p w:rsidR="0048748D" w:rsidRPr="00E0223B" w:rsidP="0048748D" w14:paraId="5EFFD452" w14:textId="77777777">
      <w:pPr>
        <w:ind w:left="720"/>
        <w:rPr>
          <w:szCs w:val="22"/>
        </w:rPr>
      </w:pPr>
    </w:p>
    <w:p w:rsidR="0048748D" w:rsidRPr="00E0223B" w:rsidP="0048748D" w14:paraId="178142D4" w14:textId="77777777">
      <w:pPr>
        <w:ind w:left="720"/>
        <w:rPr>
          <w:szCs w:val="22"/>
          <w:lang w:val="pt-BR"/>
        </w:rPr>
      </w:pPr>
      <w:r w:rsidRPr="00E0223B">
        <w:rPr>
          <w:szCs w:val="22"/>
          <w:lang w:val="pt-BR"/>
        </w:rPr>
        <w:t xml:space="preserve">Lorena Margarita </w:t>
      </w:r>
      <w:r w:rsidRPr="00E0223B">
        <w:rPr>
          <w:kern w:val="0"/>
          <w:szCs w:val="22"/>
          <w:lang w:val="pt-BR"/>
        </w:rPr>
        <w:t xml:space="preserve">Pérez </w:t>
      </w:r>
      <w:r w:rsidRPr="00E0223B">
        <w:rPr>
          <w:szCs w:val="22"/>
          <w:lang w:val="pt-BR"/>
        </w:rPr>
        <w:t>Toscano</w:t>
      </w:r>
    </w:p>
    <w:p w:rsidR="0048748D" w:rsidRPr="00E0223B" w:rsidP="0048748D" w14:paraId="54ED8E37" w14:textId="77777777">
      <w:pPr>
        <w:ind w:left="720"/>
        <w:rPr>
          <w:szCs w:val="22"/>
          <w:lang w:val="pt-BR"/>
        </w:rPr>
      </w:pPr>
      <w:r w:rsidRPr="00E0223B">
        <w:rPr>
          <w:szCs w:val="22"/>
          <w:lang w:val="pt-BR"/>
        </w:rPr>
        <w:t>Bosques de Olivos 449</w:t>
      </w:r>
    </w:p>
    <w:p w:rsidR="0048748D" w:rsidRPr="00E0223B" w:rsidP="0048748D" w14:paraId="3875AD98" w14:textId="77777777">
      <w:pPr>
        <w:ind w:left="720"/>
        <w:rPr>
          <w:szCs w:val="22"/>
          <w:lang w:val="pt-BR"/>
        </w:rPr>
      </w:pPr>
      <w:r w:rsidRPr="00E0223B">
        <w:rPr>
          <w:szCs w:val="22"/>
          <w:lang w:val="pt-BR"/>
        </w:rPr>
        <w:t>Bosques de las Lomas</w:t>
      </w:r>
    </w:p>
    <w:p w:rsidR="0048748D" w:rsidRPr="00E0223B" w:rsidP="0048748D" w14:paraId="08B677CE" w14:textId="77777777">
      <w:pPr>
        <w:ind w:left="720"/>
        <w:rPr>
          <w:szCs w:val="22"/>
          <w:lang w:val="pt-BR"/>
        </w:rPr>
      </w:pPr>
      <w:r w:rsidRPr="00E0223B">
        <w:rPr>
          <w:szCs w:val="22"/>
          <w:lang w:val="pt-BR"/>
        </w:rPr>
        <w:t xml:space="preserve">CDMX, 11700  </w:t>
      </w:r>
    </w:p>
    <w:p w:rsidR="00B36D19" w:rsidRPr="00E0223B" w:rsidP="0048748D" w14:paraId="7452562A" w14:textId="6AB2BE81">
      <w:pPr>
        <w:ind w:left="720"/>
        <w:rPr>
          <w:szCs w:val="22"/>
          <w:lang w:val="pt-BR"/>
        </w:rPr>
      </w:pPr>
      <w:r w:rsidRPr="00E0223B">
        <w:rPr>
          <w:szCs w:val="22"/>
          <w:lang w:val="pt-BR"/>
        </w:rPr>
        <w:t>Mexico</w:t>
      </w:r>
    </w:p>
    <w:p w:rsidR="00B36D19" w:rsidRPr="00E0223B" w:rsidP="0048748D" w14:paraId="1785B8AF" w14:textId="77777777">
      <w:pPr>
        <w:ind w:left="720"/>
        <w:rPr>
          <w:szCs w:val="22"/>
          <w:lang w:val="pt-BR"/>
        </w:rPr>
      </w:pPr>
    </w:p>
    <w:p w:rsidR="00B36D19" w:rsidRPr="00E0223B" w:rsidP="00B36D19" w14:paraId="6534DD94" w14:textId="7743C2C8">
      <w:pPr>
        <w:ind w:left="720"/>
        <w:rPr>
          <w:szCs w:val="22"/>
          <w:lang w:val="pt-BR"/>
        </w:rPr>
      </w:pPr>
      <w:r w:rsidRPr="00E0223B">
        <w:rPr>
          <w:szCs w:val="22"/>
          <w:lang w:val="pt-BR"/>
        </w:rPr>
        <w:t>Frank R. Montero, Esq.</w:t>
      </w:r>
    </w:p>
    <w:p w:rsidR="00B36D19" w:rsidRPr="00E0223B" w:rsidP="00B36D19" w14:paraId="382565A9" w14:textId="77777777">
      <w:pPr>
        <w:ind w:left="720"/>
        <w:rPr>
          <w:szCs w:val="22"/>
        </w:rPr>
      </w:pPr>
      <w:r w:rsidRPr="00E0223B">
        <w:rPr>
          <w:szCs w:val="22"/>
        </w:rPr>
        <w:t>Fletcher, Heald &amp; Hildreth, PLC</w:t>
      </w:r>
    </w:p>
    <w:p w:rsidR="00B36D19" w:rsidRPr="00E0223B" w:rsidP="00B36D19" w14:paraId="2D9280DA" w14:textId="0BEB5C3F">
      <w:pPr>
        <w:ind w:left="720"/>
        <w:rPr>
          <w:szCs w:val="22"/>
        </w:rPr>
      </w:pPr>
      <w:r w:rsidRPr="00E0223B">
        <w:rPr>
          <w:szCs w:val="22"/>
        </w:rPr>
        <w:t xml:space="preserve">1300 N 17th Street, </w:t>
      </w:r>
    </w:p>
    <w:p w:rsidR="00B36D19" w:rsidRPr="00E0223B" w:rsidP="00B36D19" w14:paraId="6865EF9A" w14:textId="77777777">
      <w:pPr>
        <w:ind w:left="720"/>
        <w:rPr>
          <w:szCs w:val="22"/>
        </w:rPr>
      </w:pPr>
      <w:r w:rsidRPr="00E0223B">
        <w:rPr>
          <w:szCs w:val="22"/>
        </w:rPr>
        <w:t>Suite 1100</w:t>
      </w:r>
    </w:p>
    <w:p w:rsidR="00B36D19" w:rsidRPr="00E0223B" w:rsidP="00B36D19" w14:paraId="29A5E0EE" w14:textId="77777777">
      <w:pPr>
        <w:ind w:left="720"/>
        <w:rPr>
          <w:szCs w:val="22"/>
        </w:rPr>
      </w:pPr>
      <w:r w:rsidRPr="00E0223B">
        <w:rPr>
          <w:szCs w:val="22"/>
        </w:rPr>
        <w:t>Arlington, VA  22209</w:t>
      </w:r>
    </w:p>
    <w:p w:rsidR="00B36D19" w:rsidRPr="00E0223B" w:rsidP="00B36D19" w14:paraId="06672CEC" w14:textId="5DD91EB2">
      <w:pPr>
        <w:ind w:left="720"/>
        <w:rPr>
          <w:i/>
          <w:iCs/>
          <w:szCs w:val="22"/>
        </w:rPr>
      </w:pPr>
      <w:r w:rsidRPr="00E0223B">
        <w:rPr>
          <w:i/>
          <w:iCs/>
          <w:szCs w:val="22"/>
        </w:rPr>
        <w:t>Counsel for 97.5 Licensee TX, LLC</w:t>
      </w:r>
      <w:r w:rsidRPr="00E0223B" w:rsidR="008634A5">
        <w:rPr>
          <w:i/>
          <w:iCs/>
          <w:szCs w:val="22"/>
        </w:rPr>
        <w:t>,</w:t>
      </w:r>
      <w:r w:rsidRPr="00E0223B">
        <w:rPr>
          <w:i/>
          <w:iCs/>
          <w:szCs w:val="22"/>
        </w:rPr>
        <w:t xml:space="preserve"> Luz Maria Rygaard</w:t>
      </w:r>
      <w:r w:rsidRPr="00E0223B" w:rsidR="008634A5">
        <w:rPr>
          <w:i/>
          <w:iCs/>
          <w:szCs w:val="22"/>
        </w:rPr>
        <w:t>,</w:t>
      </w:r>
      <w:r w:rsidRPr="00E0223B">
        <w:rPr>
          <w:i/>
          <w:iCs/>
          <w:szCs w:val="22"/>
        </w:rPr>
        <w:t xml:space="preserve"> and Lorena Margarita Pérez Toscano</w:t>
      </w:r>
    </w:p>
    <w:p w:rsidR="00525F67" w:rsidRPr="00E0223B" w:rsidP="0048748D" w14:paraId="1ECEE0B0" w14:textId="77777777">
      <w:pPr>
        <w:ind w:left="720"/>
        <w:rPr>
          <w:szCs w:val="22"/>
        </w:rPr>
      </w:pPr>
    </w:p>
    <w:p w:rsidR="00962777" w:rsidRPr="00E0223B" w:rsidP="00EF3EFC" w14:paraId="19DBF0CC" w14:textId="635586AF">
      <w:pPr>
        <w:pStyle w:val="ParaNum"/>
        <w:rPr>
          <w:szCs w:val="22"/>
        </w:rPr>
      </w:pPr>
      <w:r w:rsidRPr="00E0223B">
        <w:rPr>
          <w:szCs w:val="22"/>
        </w:rPr>
        <w:t xml:space="preserve">IT IS FURTHER ORDERED that the Secretary of the Commission shall cause to have this </w:t>
      </w:r>
      <w:r w:rsidRPr="00E0223B" w:rsidR="002A1648">
        <w:rPr>
          <w:i/>
          <w:szCs w:val="22"/>
        </w:rPr>
        <w:t>Hearing Designation Order, Order to Show Cause Why an Order of Revocation Should not be Issued, and Notice of Opportunity for Hearing</w:t>
      </w:r>
      <w:r w:rsidRPr="00E0223B" w:rsidR="00C930F6">
        <w:rPr>
          <w:szCs w:val="22"/>
        </w:rPr>
        <w:t xml:space="preserve"> </w:t>
      </w:r>
      <w:r w:rsidRPr="00E0223B">
        <w:rPr>
          <w:szCs w:val="22"/>
        </w:rPr>
        <w:t>or a summary thereof published in the Federal Register.</w:t>
      </w:r>
    </w:p>
    <w:p w:rsidR="00962777" w:rsidRPr="00E0223B" w:rsidP="00EF3EFC" w14:paraId="3D952C4B" w14:textId="77777777">
      <w:pPr>
        <w:rPr>
          <w:szCs w:val="22"/>
        </w:rPr>
      </w:pPr>
      <w:r w:rsidRPr="00E0223B">
        <w:rPr>
          <w:szCs w:val="22"/>
        </w:rPr>
        <w:tab/>
      </w:r>
      <w:r w:rsidRPr="00E0223B">
        <w:rPr>
          <w:szCs w:val="22"/>
        </w:rPr>
        <w:tab/>
      </w:r>
      <w:r w:rsidRPr="00E0223B">
        <w:rPr>
          <w:szCs w:val="22"/>
        </w:rPr>
        <w:tab/>
      </w:r>
      <w:r w:rsidRPr="00E0223B">
        <w:rPr>
          <w:szCs w:val="22"/>
        </w:rPr>
        <w:tab/>
      </w:r>
      <w:r w:rsidRPr="00E0223B">
        <w:rPr>
          <w:szCs w:val="22"/>
        </w:rPr>
        <w:tab/>
      </w:r>
      <w:r w:rsidRPr="00E0223B">
        <w:rPr>
          <w:szCs w:val="22"/>
        </w:rPr>
        <w:tab/>
        <w:t>FEDERAL COMMUNICATIONS COMMISSION</w:t>
      </w:r>
    </w:p>
    <w:p w:rsidR="00962777" w:rsidRPr="00E5711D" w:rsidP="00EF3EFC" w14:paraId="1ED0FF75" w14:textId="77777777">
      <w:pPr>
        <w:rPr>
          <w:szCs w:val="22"/>
        </w:rPr>
      </w:pPr>
    </w:p>
    <w:p w:rsidR="00962777" w:rsidRPr="00E5711D" w:rsidP="00EF3EFC" w14:paraId="52E4E68C" w14:textId="77777777">
      <w:pPr>
        <w:rPr>
          <w:szCs w:val="22"/>
        </w:rPr>
      </w:pPr>
    </w:p>
    <w:p w:rsidR="00962777" w:rsidRPr="00E5711D" w:rsidP="00EF3EFC" w14:paraId="326D67CB" w14:textId="77777777">
      <w:pPr>
        <w:rPr>
          <w:szCs w:val="22"/>
        </w:rPr>
      </w:pPr>
    </w:p>
    <w:p w:rsidR="00962777" w:rsidRPr="00E5711D" w:rsidP="00EF3EFC" w14:paraId="2A33B5E8" w14:textId="77777777">
      <w:pPr>
        <w:rPr>
          <w:szCs w:val="22"/>
        </w:rPr>
      </w:pPr>
    </w:p>
    <w:p w:rsidR="00962777" w:rsidRPr="00E5711D" w:rsidP="00EF3EFC" w14:paraId="1CD652FC" w14:textId="269ABAF5">
      <w:pPr>
        <w:rPr>
          <w:szCs w:val="22"/>
        </w:rPr>
      </w:pPr>
      <w:r w:rsidRPr="00E5711D">
        <w:rPr>
          <w:szCs w:val="22"/>
        </w:rPr>
        <w:tab/>
      </w:r>
      <w:r w:rsidRPr="00E5711D">
        <w:rPr>
          <w:szCs w:val="22"/>
        </w:rPr>
        <w:tab/>
      </w:r>
      <w:r w:rsidRPr="00E5711D">
        <w:rPr>
          <w:szCs w:val="22"/>
        </w:rPr>
        <w:tab/>
      </w:r>
      <w:r w:rsidRPr="00E5711D">
        <w:rPr>
          <w:szCs w:val="22"/>
        </w:rPr>
        <w:tab/>
      </w:r>
      <w:r w:rsidRPr="00E5711D">
        <w:rPr>
          <w:szCs w:val="22"/>
        </w:rPr>
        <w:tab/>
      </w:r>
      <w:r w:rsidRPr="00E5711D">
        <w:rPr>
          <w:szCs w:val="22"/>
        </w:rPr>
        <w:tab/>
      </w:r>
      <w:r w:rsidRPr="00E5711D" w:rsidR="00E672D9">
        <w:rPr>
          <w:szCs w:val="22"/>
        </w:rPr>
        <w:t>Erin Boone</w:t>
      </w:r>
    </w:p>
    <w:p w:rsidR="00962777" w:rsidRPr="00E5711D" w:rsidP="00EF3EFC" w14:paraId="3734CCB9" w14:textId="6B74A2E0">
      <w:pPr>
        <w:rPr>
          <w:szCs w:val="22"/>
        </w:rPr>
      </w:pPr>
      <w:r w:rsidRPr="00E5711D">
        <w:rPr>
          <w:szCs w:val="22"/>
        </w:rPr>
        <w:tab/>
      </w:r>
      <w:r w:rsidRPr="00E5711D">
        <w:rPr>
          <w:szCs w:val="22"/>
        </w:rPr>
        <w:tab/>
      </w:r>
      <w:r w:rsidRPr="00E5711D">
        <w:rPr>
          <w:szCs w:val="22"/>
        </w:rPr>
        <w:tab/>
      </w:r>
      <w:r w:rsidRPr="00E5711D">
        <w:rPr>
          <w:szCs w:val="22"/>
        </w:rPr>
        <w:tab/>
      </w:r>
      <w:r w:rsidRPr="00E5711D">
        <w:rPr>
          <w:szCs w:val="22"/>
        </w:rPr>
        <w:tab/>
      </w:r>
      <w:r w:rsidRPr="00E5711D">
        <w:rPr>
          <w:szCs w:val="22"/>
        </w:rPr>
        <w:tab/>
      </w:r>
      <w:r w:rsidRPr="00E5711D" w:rsidR="00E672D9">
        <w:rPr>
          <w:szCs w:val="22"/>
        </w:rPr>
        <w:t xml:space="preserve">Acting </w:t>
      </w:r>
      <w:r w:rsidRPr="00E5711D">
        <w:rPr>
          <w:szCs w:val="22"/>
        </w:rPr>
        <w:t>Chief, Media Bureau</w:t>
      </w:r>
    </w:p>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F7795" w14:paraId="6904EDC1" w14:textId="77777777">
      <w:r>
        <w:separator/>
      </w:r>
    </w:p>
  </w:endnote>
  <w:endnote w:type="continuationSeparator" w:id="1">
    <w:p w:rsidR="00FF7795" w14:paraId="1D0A87E9" w14:textId="77777777">
      <w:r>
        <w:continuationSeparator/>
      </w:r>
    </w:p>
  </w:endnote>
  <w:endnote w:type="continuationNotice" w:id="2">
    <w:p w:rsidR="00FF7795" w14:paraId="5B953B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font>
  <w:font w:name="Haettenschweiler">
    <w:panose1 w:val="020B0706040902060204"/>
    <w:charset w:val="00"/>
    <w:family w:val="swiss"/>
    <w:pitch w:val="variable"/>
    <w:sig w:usb0="00000287" w:usb1="00000000" w:usb2="00000000" w:usb3="00000000" w:csb0="0000009F" w:csb1="00000000"/>
  </w:font>
  <w:font w:name="Modern">
    <w:altName w:val="Calibri"/>
    <w:panose1 w:val="00000000000000000000"/>
    <w:charset w:val="00"/>
    <w:family w:val="moder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02213AC"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06596E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426FF5" w14:paraId="0431C44C" w14:textId="04CA4D36">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3B079AF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7795" w14:paraId="590C1795" w14:textId="77777777">
      <w:r>
        <w:separator/>
      </w:r>
    </w:p>
  </w:footnote>
  <w:footnote w:type="continuationSeparator" w:id="1">
    <w:p w:rsidR="00FF7795" w:rsidP="00C721AC" w14:paraId="3225CC7D" w14:textId="77777777">
      <w:pPr>
        <w:spacing w:before="120"/>
        <w:rPr>
          <w:sz w:val="20"/>
        </w:rPr>
      </w:pPr>
      <w:r>
        <w:rPr>
          <w:sz w:val="20"/>
        </w:rPr>
        <w:t xml:space="preserve">(Continued from previous page)  </w:t>
      </w:r>
      <w:r>
        <w:rPr>
          <w:sz w:val="20"/>
        </w:rPr>
        <w:separator/>
      </w:r>
    </w:p>
  </w:footnote>
  <w:footnote w:type="continuationNotice" w:id="2">
    <w:p w:rsidR="00FF7795" w:rsidP="00C721AC" w14:paraId="1EF70CF2" w14:textId="77777777">
      <w:pPr>
        <w:jc w:val="right"/>
        <w:rPr>
          <w:sz w:val="20"/>
        </w:rPr>
      </w:pPr>
      <w:r>
        <w:rPr>
          <w:sz w:val="20"/>
        </w:rPr>
        <w:t>(continued….)</w:t>
      </w:r>
    </w:p>
  </w:footnote>
  <w:footnote w:id="3">
    <w:p w:rsidR="005B6A4B" w14:paraId="66CC18D4" w14:textId="64A3174C">
      <w:pPr>
        <w:pStyle w:val="FootnoteText"/>
      </w:pPr>
      <w:r>
        <w:rPr>
          <w:rStyle w:val="FootnoteReference"/>
        </w:rPr>
        <w:footnoteRef/>
      </w:r>
      <w:r>
        <w:t xml:space="preserve"> </w:t>
      </w:r>
      <w:r w:rsidRPr="008773F6">
        <w:t xml:space="preserve">Application of </w:t>
      </w:r>
      <w:r>
        <w:t>97.5 Licensee TX, LLC</w:t>
      </w:r>
      <w:r w:rsidRPr="008773F6">
        <w:t xml:space="preserve"> for </w:t>
      </w:r>
      <w:r>
        <w:t>Transfer of Control</w:t>
      </w:r>
      <w:r w:rsidRPr="008773F6">
        <w:t xml:space="preserve">, </w:t>
      </w:r>
      <w:r>
        <w:t xml:space="preserve">Application </w:t>
      </w:r>
      <w:r w:rsidRPr="00061299">
        <w:t>File No</w:t>
      </w:r>
      <w:r>
        <w:t>s</w:t>
      </w:r>
      <w:r w:rsidRPr="00061299">
        <w:t>. 0000216454</w:t>
      </w:r>
      <w:r>
        <w:t xml:space="preserve">, </w:t>
      </w:r>
      <w:r w:rsidRPr="008643C6">
        <w:rPr>
          <w:i/>
          <w:iCs/>
        </w:rPr>
        <w:t>et al</w:t>
      </w:r>
      <w:r>
        <w:t>.</w:t>
      </w:r>
      <w:r w:rsidRPr="00061299">
        <w:t xml:space="preserve"> (filed Mar. 15, 2023</w:t>
      </w:r>
      <w:r>
        <w:t>; amended Oct. 29, 2024)</w:t>
      </w:r>
      <w:r w:rsidRPr="00061299">
        <w:t xml:space="preserve">.  </w:t>
      </w:r>
      <w:r>
        <w:t>As reflected in the caption above, 97.5 Licensee is the licensee of</w:t>
      </w:r>
      <w:r w:rsidRPr="003F4250">
        <w:t xml:space="preserve"> KBNA-FM, El Paso, Texas (Facility ID No. 67066); KAMA(AM), El Paso, Texas (Facility ID No. 36948); and KQBU(AM), El Paso, Texas (Facility ID No. 67065)</w:t>
      </w:r>
      <w:r>
        <w:t xml:space="preserve">, which </w:t>
      </w:r>
      <w:r w:rsidR="005A1D90">
        <w:t xml:space="preserve">are </w:t>
      </w:r>
      <w:r>
        <w:t>referred to collectively hereinafter as the Stations</w:t>
      </w:r>
      <w:r w:rsidRPr="003F4250">
        <w:t xml:space="preserve">.  </w:t>
      </w:r>
    </w:p>
  </w:footnote>
  <w:footnote w:id="4">
    <w:p w:rsidR="00664372" w:rsidP="00664372" w14:paraId="60B21971" w14:textId="01B4A063">
      <w:pPr>
        <w:pStyle w:val="FootnoteText"/>
      </w:pPr>
      <w:r>
        <w:rPr>
          <w:rStyle w:val="FootnoteReference"/>
        </w:rPr>
        <w:footnoteRef/>
      </w:r>
      <w:r>
        <w:t xml:space="preserve"> </w:t>
      </w:r>
      <w:r w:rsidRPr="005B6A4B" w:rsidR="005B6A4B">
        <w:t>Rygaard, who is</w:t>
      </w:r>
      <w:r w:rsidR="005B6A4B">
        <w:t xml:space="preserve"> currently</w:t>
      </w:r>
      <w:r w:rsidRPr="005B6A4B" w:rsidR="005B6A4B">
        <w:t xml:space="preserve"> the sole shareholder of </w:t>
      </w:r>
      <w:r w:rsidR="005B6A4B">
        <w:t xml:space="preserve">97.5 </w:t>
      </w:r>
      <w:r w:rsidRPr="005B6A4B" w:rsidR="005B6A4B">
        <w:t>Licensee, and Toscano</w:t>
      </w:r>
      <w:r w:rsidR="005B6A4B">
        <w:t xml:space="preserve">, who seeks to acquire 100% of the capital stock of 97.5 Licensee, are referred to herein </w:t>
      </w:r>
      <w:r w:rsidRPr="005B6A4B" w:rsidR="005B6A4B">
        <w:t>individually</w:t>
      </w:r>
      <w:r w:rsidR="005B6A4B">
        <w:t xml:space="preserve"> each as</w:t>
      </w:r>
      <w:r w:rsidRPr="005B6A4B" w:rsidR="005B6A4B">
        <w:t xml:space="preserve"> Party</w:t>
      </w:r>
      <w:r w:rsidR="005B6A4B">
        <w:t xml:space="preserve"> and </w:t>
      </w:r>
      <w:r w:rsidRPr="005B6A4B" w:rsidR="005B6A4B">
        <w:t>collectively</w:t>
      </w:r>
      <w:r w:rsidR="005B6A4B">
        <w:t xml:space="preserve"> as</w:t>
      </w:r>
      <w:r w:rsidRPr="005B6A4B" w:rsidR="005B6A4B">
        <w:t xml:space="preserve"> Parties</w:t>
      </w:r>
      <w:r w:rsidR="005B6A4B">
        <w:t xml:space="preserve">.  </w:t>
      </w:r>
    </w:p>
  </w:footnote>
  <w:footnote w:id="5">
    <w:p w:rsidR="00E96E09" w14:paraId="0D110E2C" w14:textId="2662CF11">
      <w:pPr>
        <w:pStyle w:val="FootnoteText"/>
      </w:pPr>
      <w:r>
        <w:rPr>
          <w:rStyle w:val="FootnoteReference"/>
        </w:rPr>
        <w:footnoteRef/>
      </w:r>
      <w:r>
        <w:t xml:space="preserve"> Under s</w:t>
      </w:r>
      <w:r w:rsidRPr="00880523">
        <w:t>ection 309(</w:t>
      </w:r>
      <w:r>
        <w:t>e</w:t>
      </w:r>
      <w:r w:rsidRPr="00880523">
        <w:t>) of the Act, “[</w:t>
      </w:r>
      <w:r w:rsidRPr="00880523">
        <w:t>i</w:t>
      </w:r>
      <w:r w:rsidRPr="00880523">
        <w:t xml:space="preserve">]f a substantial and material question of fact is presented or if the Commission for any reason is unable to find that grant of the application would be consistent [with the public interest, convenience, and necessity],” </w:t>
      </w:r>
      <w:r>
        <w:t xml:space="preserve">the </w:t>
      </w:r>
      <w:r w:rsidRPr="00880523">
        <w:t xml:space="preserve">application </w:t>
      </w:r>
      <w:r>
        <w:t xml:space="preserve">must be designated </w:t>
      </w:r>
      <w:r w:rsidRPr="00880523">
        <w:t>for hearing.  47 U.S.C. § 309(e).</w:t>
      </w:r>
      <w:r w:rsidR="00750036">
        <w:t xml:space="preserve">  Further, s</w:t>
      </w:r>
      <w:r w:rsidRPr="00880523" w:rsidR="00750036">
        <w:t>ection 310(d) of the Act</w:t>
      </w:r>
      <w:r w:rsidR="005D670A">
        <w:t xml:space="preserve"> requires that a station license may only be </w:t>
      </w:r>
      <w:r w:rsidRPr="00880523" w:rsidR="00750036">
        <w:t xml:space="preserve">transferred or assigned </w:t>
      </w:r>
      <w:r w:rsidR="005D670A">
        <w:t xml:space="preserve">upon a determination by the Commission that such assignment or transfer would serve the </w:t>
      </w:r>
      <w:r w:rsidRPr="00880523" w:rsidR="00750036">
        <w:t xml:space="preserve">public interest, convenience, and necessity.  </w:t>
      </w:r>
      <w:r w:rsidRPr="008E094D" w:rsidR="00750036">
        <w:t>47 U.S.C. § 310(d)</w:t>
      </w:r>
      <w:r w:rsidRPr="00880523" w:rsidR="00750036">
        <w:t xml:space="preserve">.  </w:t>
      </w:r>
      <w:r>
        <w:t xml:space="preserve">  </w:t>
      </w:r>
    </w:p>
  </w:footnote>
  <w:footnote w:id="6">
    <w:p w:rsidR="00426FF5" w:rsidRPr="008773F6" w:rsidP="00426767" w14:paraId="4F1EFDD1" w14:textId="528D69D7">
      <w:pPr>
        <w:pStyle w:val="FootnoteText"/>
        <w:widowControl w:val="0"/>
      </w:pPr>
      <w:r w:rsidRPr="008773F6">
        <w:rPr>
          <w:rStyle w:val="FootnoteReference"/>
        </w:rPr>
        <w:footnoteRef/>
      </w:r>
      <w:r w:rsidRPr="008773F6">
        <w:t xml:space="preserve"> </w:t>
      </w:r>
      <w:r w:rsidRPr="008773F6">
        <w:rPr>
          <w:i/>
          <w:iCs/>
        </w:rPr>
        <w:t>See, e.g</w:t>
      </w:r>
      <w:r w:rsidRPr="008773F6">
        <w:t>., 47 U.S.C. §</w:t>
      </w:r>
      <w:r w:rsidRPr="008773F6" w:rsidR="00AE678A">
        <w:t>§</w:t>
      </w:r>
      <w:r w:rsidRPr="008773F6">
        <w:t xml:space="preserve"> </w:t>
      </w:r>
      <w:r w:rsidR="00AE678A">
        <w:t xml:space="preserve">310(b), </w:t>
      </w:r>
      <w:r w:rsidRPr="008773F6">
        <w:t>310(d).</w:t>
      </w:r>
    </w:p>
  </w:footnote>
  <w:footnote w:id="7">
    <w:p w:rsidR="00323ABE" w:rsidP="00323ABE" w14:paraId="39B6195F" w14:textId="77777777">
      <w:pPr>
        <w:pStyle w:val="FootnoteText"/>
      </w:pPr>
      <w:r>
        <w:rPr>
          <w:rStyle w:val="FootnoteReference"/>
        </w:rPr>
        <w:footnoteRef/>
      </w:r>
      <w:r>
        <w:t xml:space="preserve"> S</w:t>
      </w:r>
      <w:r w:rsidRPr="00880523">
        <w:t xml:space="preserve">ection 310(d) of the Act provides that no station license shall be transferred or assigned unless the Commission, on application, determines that the public interest, convenience, and necessity will be served thereby.  </w:t>
      </w:r>
      <w:r w:rsidRPr="008E094D">
        <w:t>47 U.S.C. § 310(d)</w:t>
      </w:r>
      <w:r w:rsidRPr="00880523">
        <w:t xml:space="preserve">.  </w:t>
      </w:r>
      <w:bookmarkStart w:id="26" w:name="_Hlk217895820"/>
      <w:r>
        <w:t xml:space="preserve">Additionally, section 312(a) holds that the Commission may revoke a station license for false statements knowingly made either in an application or in any statement of fact required pursuant to section 308 consistent with the guidance set forth in section 312(c).  </w:t>
      </w:r>
      <w:r w:rsidRPr="00474B57">
        <w:t>47 U.S.C. §§ 312(a)</w:t>
      </w:r>
      <w:r>
        <w:t>, (c)</w:t>
      </w:r>
      <w:r w:rsidRPr="00474B57">
        <w:t>.</w:t>
      </w:r>
      <w:r w:rsidRPr="00880523">
        <w:t xml:space="preserve"> </w:t>
      </w:r>
      <w:bookmarkEnd w:id="26"/>
    </w:p>
  </w:footnote>
  <w:footnote w:id="8">
    <w:p w:rsidR="00F422E5" w14:paraId="43972183" w14:textId="79747D1D">
      <w:pPr>
        <w:pStyle w:val="FootnoteText"/>
      </w:pPr>
      <w:r>
        <w:rPr>
          <w:rStyle w:val="FootnoteReference"/>
        </w:rPr>
        <w:footnoteRef/>
      </w:r>
      <w:r>
        <w:t xml:space="preserve"> </w:t>
      </w:r>
      <w:r w:rsidRPr="00F422E5">
        <w:rPr>
          <w:i/>
          <w:iCs/>
        </w:rPr>
        <w:t>Id</w:t>
      </w:r>
      <w:r>
        <w:t xml:space="preserve">.  </w:t>
      </w:r>
    </w:p>
  </w:footnote>
  <w:footnote w:id="9">
    <w:p w:rsidR="006B2DE5" w:rsidRPr="008773F6" w:rsidP="00426767" w14:paraId="2E030CC8" w14:textId="6F0F6D28">
      <w:pPr>
        <w:pStyle w:val="FootnoteText"/>
        <w:widowControl w:val="0"/>
      </w:pPr>
      <w:r w:rsidRPr="008773F6">
        <w:rPr>
          <w:rStyle w:val="FootnoteReference"/>
        </w:rPr>
        <w:footnoteRef/>
      </w:r>
      <w:r w:rsidRPr="008773F6">
        <w:t xml:space="preserve"> </w:t>
      </w:r>
      <w:r w:rsidRPr="008773F6">
        <w:rPr>
          <w:i/>
          <w:iCs/>
        </w:rPr>
        <w:t>See</w:t>
      </w:r>
      <w:r w:rsidRPr="008773F6">
        <w:t xml:space="preserve"> 47 U.S.C. §§ 309(</w:t>
      </w:r>
      <w:r w:rsidR="00690D16">
        <w:t>a</w:t>
      </w:r>
      <w:r w:rsidRPr="008773F6">
        <w:t xml:space="preserve">), </w:t>
      </w:r>
      <w:r w:rsidR="00CD01A8">
        <w:t>(</w:t>
      </w:r>
      <w:r w:rsidRPr="008773F6">
        <w:t>e)</w:t>
      </w:r>
      <w:r w:rsidR="00CD01A8">
        <w:t>;</w:t>
      </w:r>
      <w:r w:rsidRPr="008773F6">
        <w:t xml:space="preserve"> </w:t>
      </w:r>
      <w:r w:rsidR="00690D16">
        <w:t>310(b),</w:t>
      </w:r>
      <w:r w:rsidR="00CD01A8">
        <w:t xml:space="preserve"> </w:t>
      </w:r>
      <w:r w:rsidRPr="008773F6">
        <w:t>(d)</w:t>
      </w:r>
      <w:r w:rsidR="00CD01A8">
        <w:t>; 312(a), (c);</w:t>
      </w:r>
      <w:r w:rsidRPr="008773F6">
        <w:t xml:space="preserve"> 47 CFR §§ 1.17, 73.</w:t>
      </w:r>
      <w:r w:rsidR="00AE678A">
        <w:t>1015, and 73.3540.</w:t>
      </w:r>
      <w:r w:rsidR="004B3E96">
        <w:t xml:space="preserve">  </w:t>
      </w:r>
      <w:r w:rsidRPr="008773F6" w:rsidR="004B3E96">
        <w:t>Actions taken as a result of this proceeding do not preclude the Commission from taking other actions stemming from the facts presented here.</w:t>
      </w:r>
      <w:r w:rsidR="004B3E96">
        <w:t xml:space="preserve">  </w:t>
      </w:r>
    </w:p>
  </w:footnote>
  <w:footnote w:id="10">
    <w:p w:rsidR="00A5738A" w:rsidP="00AA30B8" w14:paraId="0527118E" w14:textId="3DCE5205">
      <w:pPr>
        <w:pStyle w:val="FootnoteText"/>
      </w:pPr>
      <w:r>
        <w:rPr>
          <w:rStyle w:val="FootnoteReference"/>
        </w:rPr>
        <w:footnoteRef/>
      </w:r>
      <w:r>
        <w:rPr>
          <w:szCs w:val="22"/>
        </w:rPr>
        <w:t xml:space="preserve"> </w:t>
      </w:r>
      <w:r w:rsidRPr="00EC624E">
        <w:rPr>
          <w:i/>
          <w:iCs/>
          <w:szCs w:val="22"/>
        </w:rPr>
        <w:t>See</w:t>
      </w:r>
      <w:r>
        <w:rPr>
          <w:szCs w:val="22"/>
        </w:rPr>
        <w:t xml:space="preserve"> Transfer Application at </w:t>
      </w:r>
      <w:r>
        <w:rPr>
          <w:szCs w:val="22"/>
        </w:rPr>
        <w:t>Exh</w:t>
      </w:r>
      <w:r>
        <w:rPr>
          <w:szCs w:val="22"/>
        </w:rPr>
        <w:t xml:space="preserve">. </w:t>
      </w:r>
      <w:r w:rsidRPr="00A5738A">
        <w:rPr>
          <w:i/>
          <w:iCs/>
          <w:szCs w:val="22"/>
        </w:rPr>
        <w:t>97.5 Licensee 310(b)(4) Pet. for Declaratory Ruling</w:t>
      </w:r>
      <w:r>
        <w:rPr>
          <w:szCs w:val="22"/>
        </w:rPr>
        <w:t>.</w:t>
      </w:r>
      <w:r w:rsidR="00AA30B8">
        <w:rPr>
          <w:szCs w:val="22"/>
        </w:rPr>
        <w:t xml:space="preserve"> </w:t>
      </w:r>
      <w:r w:rsidRPr="00AA30B8" w:rsidR="00AA30B8">
        <w:t xml:space="preserve"> </w:t>
      </w:r>
      <w:r w:rsidRPr="00AA30B8" w:rsidR="00AA30B8">
        <w:rPr>
          <w:szCs w:val="22"/>
        </w:rPr>
        <w:t>The Petition was placed on public notice on</w:t>
      </w:r>
      <w:r w:rsidR="00AA30B8">
        <w:rPr>
          <w:szCs w:val="22"/>
        </w:rPr>
        <w:t xml:space="preserve"> August 11</w:t>
      </w:r>
      <w:r w:rsidRPr="00AA30B8" w:rsidR="00AA30B8">
        <w:rPr>
          <w:szCs w:val="22"/>
        </w:rPr>
        <w:t xml:space="preserve">, 2023, with comments due </w:t>
      </w:r>
      <w:r w:rsidR="001F3547">
        <w:rPr>
          <w:szCs w:val="22"/>
        </w:rPr>
        <w:t>September</w:t>
      </w:r>
      <w:r w:rsidRPr="00AA30B8" w:rsidR="00AA30B8">
        <w:rPr>
          <w:szCs w:val="22"/>
        </w:rPr>
        <w:t xml:space="preserve"> </w:t>
      </w:r>
      <w:r w:rsidR="001F3547">
        <w:rPr>
          <w:szCs w:val="22"/>
        </w:rPr>
        <w:t>11</w:t>
      </w:r>
      <w:r w:rsidRPr="00AA30B8" w:rsidR="00AA30B8">
        <w:rPr>
          <w:szCs w:val="22"/>
        </w:rPr>
        <w:t xml:space="preserve">, 2023, and replies due </w:t>
      </w:r>
      <w:r w:rsidR="001F3547">
        <w:rPr>
          <w:szCs w:val="22"/>
        </w:rPr>
        <w:t>September 26</w:t>
      </w:r>
      <w:r w:rsidRPr="00AA30B8" w:rsidR="00AA30B8">
        <w:rPr>
          <w:szCs w:val="22"/>
        </w:rPr>
        <w:t xml:space="preserve">, 2023.  </w:t>
      </w:r>
      <w:r w:rsidRPr="001F3547" w:rsidR="00AA30B8">
        <w:rPr>
          <w:i/>
          <w:iCs/>
          <w:szCs w:val="22"/>
        </w:rPr>
        <w:t>97.5 Licensee TX, LLC Seeks Foreign Ownership Ruling Pursuant to Section 310(b)(4) of the Communications Act of 1934, as Amended</w:t>
      </w:r>
      <w:r w:rsidRPr="00AA30B8" w:rsidR="00AA30B8">
        <w:rPr>
          <w:szCs w:val="22"/>
        </w:rPr>
        <w:t>, MB Docket No.</w:t>
      </w:r>
      <w:r w:rsidR="00AA30B8">
        <w:rPr>
          <w:szCs w:val="22"/>
        </w:rPr>
        <w:t xml:space="preserve"> </w:t>
      </w:r>
      <w:r w:rsidRPr="00AA30B8" w:rsidR="00AA30B8">
        <w:rPr>
          <w:szCs w:val="22"/>
        </w:rPr>
        <w:t>23-275</w:t>
      </w:r>
      <w:r w:rsidR="00521EF4">
        <w:rPr>
          <w:szCs w:val="22"/>
        </w:rPr>
        <w:t xml:space="preserve">, Public Notice, 38 FCC Rcd </w:t>
      </w:r>
      <w:r w:rsidR="00AF0DD4">
        <w:rPr>
          <w:szCs w:val="22"/>
        </w:rPr>
        <w:t>7363</w:t>
      </w:r>
      <w:r w:rsidRPr="00AA30B8" w:rsidR="00AA30B8">
        <w:rPr>
          <w:szCs w:val="22"/>
        </w:rPr>
        <w:t xml:space="preserve"> (</w:t>
      </w:r>
      <w:r w:rsidR="00AF0DD4">
        <w:rPr>
          <w:szCs w:val="22"/>
        </w:rPr>
        <w:t xml:space="preserve">MB </w:t>
      </w:r>
      <w:r w:rsidRPr="00AA30B8" w:rsidR="00AA30B8">
        <w:rPr>
          <w:szCs w:val="22"/>
        </w:rPr>
        <w:t>2023).</w:t>
      </w:r>
      <w:r w:rsidR="001F3547">
        <w:rPr>
          <w:szCs w:val="22"/>
        </w:rPr>
        <w:t xml:space="preserve"> </w:t>
      </w:r>
      <w:r w:rsidR="00647D9C">
        <w:rPr>
          <w:szCs w:val="22"/>
        </w:rPr>
        <w:t xml:space="preserve"> </w:t>
      </w:r>
      <w:r w:rsidRPr="001F3547" w:rsidR="001F3547">
        <w:rPr>
          <w:szCs w:val="22"/>
        </w:rPr>
        <w:t xml:space="preserve">On </w:t>
      </w:r>
      <w:r w:rsidR="001F3547">
        <w:rPr>
          <w:szCs w:val="22"/>
        </w:rPr>
        <w:t>April 26, 2024</w:t>
      </w:r>
      <w:r w:rsidRPr="001F3547" w:rsidR="001F3547">
        <w:rPr>
          <w:szCs w:val="22"/>
        </w:rPr>
        <w:t xml:space="preserve">, the </w:t>
      </w:r>
      <w:r w:rsidR="00FD4582">
        <w:rPr>
          <w:szCs w:val="22"/>
        </w:rPr>
        <w:t>Department of Justice (DOJ)</w:t>
      </w:r>
      <w:r w:rsidRPr="001F3547" w:rsidR="001F3547">
        <w:rPr>
          <w:szCs w:val="22"/>
        </w:rPr>
        <w:t xml:space="preserve"> </w:t>
      </w:r>
      <w:r w:rsidR="00FD4582">
        <w:rPr>
          <w:szCs w:val="22"/>
        </w:rPr>
        <w:t>notified t</w:t>
      </w:r>
      <w:r w:rsidRPr="001F3547" w:rsidR="001F3547">
        <w:rPr>
          <w:szCs w:val="22"/>
        </w:rPr>
        <w:t xml:space="preserve">he Commission </w:t>
      </w:r>
      <w:r w:rsidR="00FD4582">
        <w:rPr>
          <w:szCs w:val="22"/>
        </w:rPr>
        <w:t>that the</w:t>
      </w:r>
      <w:r w:rsidRPr="001F3547" w:rsidR="001F3547">
        <w:rPr>
          <w:szCs w:val="22"/>
        </w:rPr>
        <w:t xml:space="preserve"> </w:t>
      </w:r>
      <w:r w:rsidRPr="00FD4582" w:rsidR="00FD4582">
        <w:rPr>
          <w:szCs w:val="22"/>
        </w:rPr>
        <w:t xml:space="preserve">Committee for the Assessment of Foreign Participation in the United States </w:t>
      </w:r>
      <w:r w:rsidRPr="009D1E54" w:rsidR="00FD4582">
        <w:rPr>
          <w:szCs w:val="22"/>
        </w:rPr>
        <w:t>Telecommunications Services Sector had</w:t>
      </w:r>
      <w:r w:rsidRPr="009D1E54" w:rsidR="001F3547">
        <w:rPr>
          <w:szCs w:val="22"/>
        </w:rPr>
        <w:t xml:space="preserve"> no recommendation to the Commission and no objection to the Commission granting the Petition</w:t>
      </w:r>
      <w:r w:rsidRPr="009D1E54" w:rsidR="00FD4582">
        <w:rPr>
          <w:szCs w:val="22"/>
        </w:rPr>
        <w:t xml:space="preserve">.  At that time, DOJ also </w:t>
      </w:r>
      <w:r w:rsidRPr="009D1E54" w:rsidR="001F3547">
        <w:rPr>
          <w:szCs w:val="22"/>
        </w:rPr>
        <w:t>provided the Commission</w:t>
      </w:r>
      <w:r w:rsidRPr="009D1E54" w:rsidR="00E97FB3">
        <w:rPr>
          <w:szCs w:val="22"/>
        </w:rPr>
        <w:t xml:space="preserve"> with information the Parties </w:t>
      </w:r>
      <w:r w:rsidRPr="009D1E54" w:rsidR="00237F2F">
        <w:rPr>
          <w:szCs w:val="22"/>
        </w:rPr>
        <w:t xml:space="preserve">had submitted </w:t>
      </w:r>
      <w:r w:rsidRPr="009D1E54" w:rsidR="00E97FB3">
        <w:rPr>
          <w:szCs w:val="22"/>
        </w:rPr>
        <w:t>in response to DOJ’s questions related to the proposed foreign ownership</w:t>
      </w:r>
      <w:r w:rsidRPr="009D1E54" w:rsidR="001F3547">
        <w:rPr>
          <w:szCs w:val="22"/>
        </w:rPr>
        <w:t xml:space="preserve">.  Letter from </w:t>
      </w:r>
      <w:r w:rsidRPr="009D1E54" w:rsidR="00FD4582">
        <w:rPr>
          <w:szCs w:val="22"/>
        </w:rPr>
        <w:t>Christine M. Quinn</w:t>
      </w:r>
      <w:r w:rsidRPr="009D1E54" w:rsidR="001F3547">
        <w:rPr>
          <w:szCs w:val="22"/>
        </w:rPr>
        <w:t xml:space="preserve">, </w:t>
      </w:r>
      <w:r w:rsidRPr="009D1E54" w:rsidR="00FD4582">
        <w:t>Attorney Advisor, National Security Division, DOJ, to Marlene H. Dortch, Secretary,</w:t>
      </w:r>
      <w:r w:rsidRPr="009D1E54" w:rsidR="001F3547">
        <w:rPr>
          <w:szCs w:val="22"/>
        </w:rPr>
        <w:t xml:space="preserve"> FCC, MB Docket No. 23-275 (dated </w:t>
      </w:r>
      <w:r w:rsidRPr="009D1E54" w:rsidR="00FD4582">
        <w:rPr>
          <w:szCs w:val="22"/>
        </w:rPr>
        <w:t>April 26</w:t>
      </w:r>
      <w:r w:rsidRPr="009D1E54" w:rsidR="001F3547">
        <w:rPr>
          <w:szCs w:val="22"/>
        </w:rPr>
        <w:t>, 2024).</w:t>
      </w:r>
    </w:p>
  </w:footnote>
  <w:footnote w:id="11">
    <w:p w:rsidR="00D222EF" w:rsidP="00D222EF" w14:paraId="1227739B" w14:textId="18396BA7">
      <w:pPr>
        <w:pStyle w:val="FootnoteText"/>
      </w:pPr>
      <w:r>
        <w:rPr>
          <w:rStyle w:val="FootnoteReference"/>
        </w:rPr>
        <w:footnoteRef/>
      </w:r>
      <w:r>
        <w:t xml:space="preserve"> Transfer Application </w:t>
      </w:r>
      <w:r w:rsidRPr="008773F6">
        <w:t xml:space="preserve">at </w:t>
      </w:r>
      <w:r w:rsidRPr="008773F6">
        <w:t>Exh</w:t>
      </w:r>
      <w:r w:rsidRPr="008773F6">
        <w:t xml:space="preserve">. </w:t>
      </w:r>
      <w:r>
        <w:rPr>
          <w:i/>
          <w:iCs/>
        </w:rPr>
        <w:t>Multiple Ownership Exhibit</w:t>
      </w:r>
      <w:r w:rsidRPr="00A5738A">
        <w:rPr>
          <w:i/>
          <w:iCs/>
        </w:rPr>
        <w:t>.pdf</w:t>
      </w:r>
      <w:r>
        <w:t xml:space="preserve"> (summarizing and providing market information from BIA Media Report)</w:t>
      </w:r>
      <w:r>
        <w:rPr>
          <w:i/>
          <w:iCs/>
        </w:rPr>
        <w:t xml:space="preserve">.  </w:t>
      </w:r>
    </w:p>
  </w:footnote>
  <w:footnote w:id="12">
    <w:p w:rsidR="00D222EF" w14:paraId="7E2907EA" w14:textId="4A96D05C">
      <w:pPr>
        <w:pStyle w:val="FootnoteText"/>
      </w:pPr>
      <w:r>
        <w:rPr>
          <w:rStyle w:val="FootnoteReference"/>
        </w:rPr>
        <w:footnoteRef/>
      </w:r>
      <w:r>
        <w:t xml:space="preserve"> </w:t>
      </w:r>
      <w:r w:rsidRPr="00D222EF">
        <w:rPr>
          <w:i/>
          <w:iCs/>
        </w:rPr>
        <w:t>Id</w:t>
      </w:r>
      <w:r>
        <w:t xml:space="preserve">.  </w:t>
      </w:r>
    </w:p>
  </w:footnote>
  <w:footnote w:id="13">
    <w:p w:rsidR="001557E5" w:rsidP="001557E5" w14:paraId="37DA3E43" w14:textId="7932F1C7">
      <w:pPr>
        <w:pStyle w:val="FootnoteText"/>
      </w:pPr>
      <w:r>
        <w:rPr>
          <w:rStyle w:val="FootnoteReference"/>
        </w:rPr>
        <w:footnoteRef/>
      </w:r>
      <w:r>
        <w:t xml:space="preserve"> </w:t>
      </w:r>
      <w:r w:rsidRPr="001557E5">
        <w:rPr>
          <w:i/>
          <w:iCs/>
        </w:rPr>
        <w:t>See, e.g.</w:t>
      </w:r>
      <w:r>
        <w:t xml:space="preserve">, </w:t>
      </w:r>
      <w:r w:rsidRPr="005D7A93">
        <w:t xml:space="preserve">Transfer of Control Application, </w:t>
      </w:r>
      <w:r>
        <w:t>Application</w:t>
      </w:r>
      <w:r w:rsidRPr="005D7A93">
        <w:t xml:space="preserve"> File No. 0000177516, </w:t>
      </w:r>
      <w:r w:rsidRPr="00D53C0D">
        <w:t>granted Mar. 16, 2022</w:t>
      </w:r>
      <w:r>
        <w:t xml:space="preserve"> (approving Rygaard’s acquisition of control of the Stations)</w:t>
      </w:r>
      <w:r w:rsidRPr="00D53C0D">
        <w:t xml:space="preserve">; </w:t>
      </w:r>
      <w:r w:rsidRPr="005D7A93">
        <w:t xml:space="preserve">FCC Ownership Report, </w:t>
      </w:r>
      <w:r>
        <w:t xml:space="preserve">Application </w:t>
      </w:r>
      <w:r w:rsidRPr="005D7A93">
        <w:t>File No. 0000193208, submitted June 10, 2022</w:t>
      </w:r>
      <w:r>
        <w:t xml:space="preserve"> (post-consummation ownership report filed by Licensee following Rygaard’s acquisition of control); </w:t>
      </w:r>
      <w:r w:rsidRPr="005D7A93">
        <w:t xml:space="preserve">FCC Ownership Report, </w:t>
      </w:r>
      <w:r>
        <w:t xml:space="preserve">Application </w:t>
      </w:r>
      <w:r w:rsidRPr="005D7A93">
        <w:t>File No. 0000230999, submitted Dec. 13, 2023</w:t>
      </w:r>
      <w:r>
        <w:t xml:space="preserve"> (2023 biennial ownership report filed by Licensee)</w:t>
      </w:r>
      <w:r w:rsidRPr="005D7A93">
        <w:t>.</w:t>
      </w:r>
      <w:r>
        <w:t xml:space="preserve"> </w:t>
      </w:r>
    </w:p>
  </w:footnote>
  <w:footnote w:id="14">
    <w:p w:rsidR="00F4238B" w:rsidP="00F4238B" w14:paraId="24F571FA" w14:textId="646E9F90">
      <w:pPr>
        <w:pStyle w:val="FootnoteText"/>
      </w:pPr>
      <w:r>
        <w:rPr>
          <w:rStyle w:val="FootnoteReference"/>
        </w:rPr>
        <w:footnoteRef/>
      </w:r>
      <w:r>
        <w:t xml:space="preserve"> </w:t>
      </w:r>
      <w:r w:rsidRPr="005D7A93">
        <w:t xml:space="preserve">Transfer of Control Application, </w:t>
      </w:r>
      <w:r>
        <w:t>Application</w:t>
      </w:r>
      <w:r w:rsidRPr="005D7A93">
        <w:t xml:space="preserve"> File No. 0000177516, </w:t>
      </w:r>
      <w:r w:rsidRPr="00D53C0D">
        <w:t>granted Mar. 16, 2022</w:t>
      </w:r>
      <w:r w:rsidR="00587410">
        <w:t xml:space="preserve"> (</w:t>
      </w:r>
      <w:r w:rsidRPr="00E108DD" w:rsidR="00587410">
        <w:rPr>
          <w:i/>
          <w:iCs/>
        </w:rPr>
        <w:t>2021 Transfer Application</w:t>
      </w:r>
      <w:r w:rsidR="00587410">
        <w:t>)</w:t>
      </w:r>
      <w:r w:rsidRPr="00D53C0D">
        <w:t>.</w:t>
      </w:r>
    </w:p>
  </w:footnote>
  <w:footnote w:id="15">
    <w:p w:rsidR="00482CBD" w:rsidRPr="005D7A93" w:rsidP="00482CBD" w14:paraId="2257604F" w14:textId="71B707CF">
      <w:pPr>
        <w:pStyle w:val="FootnoteText"/>
      </w:pPr>
      <w:r w:rsidRPr="005D7A93">
        <w:rPr>
          <w:rStyle w:val="FootnoteReference"/>
        </w:rPr>
        <w:footnoteRef/>
      </w:r>
      <w:r w:rsidRPr="005D7A93">
        <w:t xml:space="preserve"> </w:t>
      </w:r>
      <w:r w:rsidR="008011E1">
        <w:t>202</w:t>
      </w:r>
      <w:r w:rsidR="0022721F">
        <w:t>1</w:t>
      </w:r>
      <w:r w:rsidR="008011E1">
        <w:t xml:space="preserve"> </w:t>
      </w:r>
      <w:r>
        <w:t xml:space="preserve">Transfer Application </w:t>
      </w:r>
      <w:r w:rsidRPr="008773F6">
        <w:t xml:space="preserve">at </w:t>
      </w:r>
      <w:r w:rsidRPr="008773F6">
        <w:t>Exh</w:t>
      </w:r>
      <w:r w:rsidRPr="008773F6">
        <w:t xml:space="preserve">. </w:t>
      </w:r>
      <w:r w:rsidRPr="00A5738A">
        <w:rPr>
          <w:i/>
          <w:iCs/>
        </w:rPr>
        <w:t xml:space="preserve">Stock Purchase Agreement </w:t>
      </w:r>
      <w:r w:rsidR="00267535">
        <w:rPr>
          <w:i/>
          <w:iCs/>
        </w:rPr>
        <w:t>- Rygaard</w:t>
      </w:r>
      <w:r w:rsidRPr="00A5738A">
        <w:rPr>
          <w:i/>
          <w:iCs/>
        </w:rPr>
        <w:t>.pdf</w:t>
      </w:r>
      <w:r w:rsidRPr="00AF4F57">
        <w:t xml:space="preserve">.  </w:t>
      </w:r>
    </w:p>
  </w:footnote>
  <w:footnote w:id="16">
    <w:p w:rsidR="00482CBD" w:rsidP="00482CBD" w14:paraId="7FE5A8AF" w14:textId="66135624">
      <w:pPr>
        <w:pStyle w:val="FootnoteText"/>
      </w:pPr>
      <w:r>
        <w:rPr>
          <w:rStyle w:val="FootnoteReference"/>
        </w:rPr>
        <w:footnoteRef/>
      </w:r>
      <w:r>
        <w:t xml:space="preserve"> </w:t>
      </w:r>
      <w:r w:rsidR="008011E1">
        <w:t>2021 Transfer Application</w:t>
      </w:r>
      <w:r w:rsidRPr="00D53C0D">
        <w:t>.</w:t>
      </w:r>
      <w:r>
        <w:t xml:space="preserve">  </w:t>
      </w:r>
    </w:p>
  </w:footnote>
  <w:footnote w:id="17">
    <w:p w:rsidR="0095682E" w:rsidP="0095682E" w14:paraId="735EB797" w14:textId="274BB516">
      <w:pPr>
        <w:pStyle w:val="FootnoteText"/>
      </w:pPr>
      <w:r w:rsidRPr="0022721F">
        <w:rPr>
          <w:rStyle w:val="FootnoteReference"/>
        </w:rPr>
        <w:footnoteRef/>
      </w:r>
      <w:r w:rsidRPr="0022721F">
        <w:t xml:space="preserve"> The November 30, 2021, stock purchase agreement provided with the</w:t>
      </w:r>
      <w:r w:rsidR="00D5395A">
        <w:t xml:space="preserve"> 2021 Transfer A</w:t>
      </w:r>
      <w:r w:rsidRPr="0022721F">
        <w:t>pplication notes in “</w:t>
      </w:r>
      <w:r w:rsidRPr="0022721F">
        <w:rPr>
          <w:i/>
          <w:iCs/>
        </w:rPr>
        <w:t>Section 3.04 Company Accounting</w:t>
      </w:r>
      <w:r w:rsidRPr="0022721F">
        <w:t>” that “[b]</w:t>
      </w:r>
      <w:r w:rsidRPr="0022721F">
        <w:t>oth</w:t>
      </w:r>
      <w:r w:rsidRPr="0022721F">
        <w:t xml:space="preserve"> parties have reasonable knowledge of the company’s accounting and economic situation to the date thereof, as well as of its assets, debts, obligations, and tax liabilities including a recognized debt for around 2.5 million dollars.”  </w:t>
      </w:r>
      <w:r w:rsidR="0022721F">
        <w:t>2021</w:t>
      </w:r>
      <w:r w:rsidR="0089260D">
        <w:t xml:space="preserve"> </w:t>
      </w:r>
      <w:r w:rsidRPr="0022721F">
        <w:t xml:space="preserve">Transfer Application at </w:t>
      </w:r>
      <w:r w:rsidRPr="0022721F">
        <w:t>Exh</w:t>
      </w:r>
      <w:r w:rsidRPr="0022721F">
        <w:t xml:space="preserve">. </w:t>
      </w:r>
      <w:r w:rsidRPr="0022721F">
        <w:rPr>
          <w:i/>
          <w:iCs/>
        </w:rPr>
        <w:t>Stock Purchase Agreement - Rygaard.pdf</w:t>
      </w:r>
      <w:r w:rsidRPr="0022721F">
        <w:t>.</w:t>
      </w:r>
    </w:p>
  </w:footnote>
  <w:footnote w:id="18">
    <w:p w:rsidR="00482CBD" w:rsidP="00482CBD" w14:paraId="6C16E0DB" w14:textId="70469081">
      <w:pPr>
        <w:pStyle w:val="FootnoteText"/>
      </w:pPr>
      <w:r>
        <w:rPr>
          <w:rStyle w:val="FootnoteReference"/>
        </w:rPr>
        <w:footnoteRef/>
      </w:r>
      <w:r>
        <w:t xml:space="preserve"> </w:t>
      </w:r>
      <w:r w:rsidRPr="00D53C0D">
        <w:t>Notice of Consummation, Application File No. 0000190647, submitted May 13, 2022 (notifying the Commission that the transaction was consummated on May 12, 2022).</w:t>
      </w:r>
      <w:r>
        <w:t xml:space="preserve">  </w:t>
      </w:r>
    </w:p>
  </w:footnote>
  <w:footnote w:id="19">
    <w:p w:rsidR="005F7322" w14:paraId="56788031" w14:textId="4C8098A8">
      <w:pPr>
        <w:pStyle w:val="FootnoteText"/>
      </w:pPr>
      <w:r>
        <w:rPr>
          <w:rStyle w:val="FootnoteReference"/>
        </w:rPr>
        <w:footnoteRef/>
      </w:r>
      <w:r>
        <w:t xml:space="preserve"> </w:t>
      </w:r>
      <w:r w:rsidRPr="005D7A93">
        <w:t xml:space="preserve">FCC Ownership Report, </w:t>
      </w:r>
      <w:r>
        <w:t xml:space="preserve">Application </w:t>
      </w:r>
      <w:r w:rsidRPr="005D7A93">
        <w:t xml:space="preserve">File No. </w:t>
      </w:r>
      <w:r w:rsidRPr="005F7322">
        <w:t>0000099118</w:t>
      </w:r>
      <w:r w:rsidRPr="005D7A93">
        <w:t xml:space="preserve">, submitted </w:t>
      </w:r>
      <w:r w:rsidRPr="005F7322">
        <w:t>Jan. 22, 2020</w:t>
      </w:r>
      <w:r>
        <w:t>.</w:t>
      </w:r>
    </w:p>
  </w:footnote>
  <w:footnote w:id="20">
    <w:p w:rsidR="005F7322" w:rsidRPr="005D7A93" w:rsidP="005F7322" w14:paraId="6AC74978" w14:textId="77777777">
      <w:pPr>
        <w:pStyle w:val="FootnoteText"/>
      </w:pPr>
      <w:r w:rsidRPr="005D7A93">
        <w:rPr>
          <w:rStyle w:val="FootnoteReference"/>
        </w:rPr>
        <w:footnoteRef/>
      </w:r>
      <w:r w:rsidRPr="005D7A93">
        <w:t xml:space="preserve"> FCC Ownership Report, </w:t>
      </w:r>
      <w:r>
        <w:t xml:space="preserve">Application </w:t>
      </w:r>
      <w:r w:rsidRPr="005D7A93">
        <w:t>File No. 0000099126, submitted Jan. 22, 2020; Application for Transfer of Control, File No. BALH-20161108AAW, granted Jan. 19, 2017.</w:t>
      </w:r>
    </w:p>
  </w:footnote>
  <w:footnote w:id="21">
    <w:p w:rsidR="00B61A42" w:rsidRPr="005D7A93" w:rsidP="00B61A42" w14:paraId="3A869FDD" w14:textId="61150944">
      <w:pPr>
        <w:pStyle w:val="FootnoteText"/>
      </w:pPr>
      <w:r w:rsidRPr="005D7A93">
        <w:rPr>
          <w:rStyle w:val="FootnoteReference"/>
        </w:rPr>
        <w:footnoteRef/>
      </w:r>
      <w:r w:rsidRPr="005D7A93">
        <w:t xml:space="preserve"> FCC Ownership Report, </w:t>
      </w:r>
      <w:r>
        <w:t xml:space="preserve">Application </w:t>
      </w:r>
      <w:r w:rsidRPr="005D7A93">
        <w:t>File No. 0000099508, submitted Jan. 23, 2020; Application for Transfer of Control, File No. BALH-20161108AAW, granted Jan. 19, 2017</w:t>
      </w:r>
      <w:r>
        <w:t xml:space="preserve">; </w:t>
      </w:r>
      <w:r w:rsidRPr="00E25214">
        <w:rPr>
          <w:i/>
          <w:iCs/>
        </w:rPr>
        <w:t>see also</w:t>
      </w:r>
      <w:r>
        <w:t xml:space="preserve"> Wikipedia, Grupo Radio Centro, </w:t>
      </w:r>
      <w:hyperlink r:id="rId1" w:history="1">
        <w:r w:rsidRPr="00437E50">
          <w:rPr>
            <w:rStyle w:val="Hyperlink"/>
          </w:rPr>
          <w:t>https://en.wikipedia.org/wiki/Grupo_Radio_Centro</w:t>
        </w:r>
      </w:hyperlink>
      <w:r>
        <w:t xml:space="preserve">, (last visited </w:t>
      </w:r>
      <w:r w:rsidR="00587410">
        <w:t>Dec</w:t>
      </w:r>
      <w:r>
        <w:t xml:space="preserve">. </w:t>
      </w:r>
      <w:r w:rsidR="00587410">
        <w:t>29</w:t>
      </w:r>
      <w:r>
        <w:t xml:space="preserve">, 2025); Dun &amp; Bradstreet, Grupo Radio Centro, S.A.B. de C.V., </w:t>
      </w:r>
      <w:hyperlink r:id="rId2" w:history="1">
        <w:r w:rsidRPr="00437E50">
          <w:rPr>
            <w:rStyle w:val="Hyperlink"/>
          </w:rPr>
          <w:t>https://www.dnb.com/business-directory/company-profiles.grupo_radio_centro_sab_de_cv.02093e5fed956797282a0679b310131e.html</w:t>
        </w:r>
      </w:hyperlink>
      <w:r>
        <w:t xml:space="preserve">, (last visited </w:t>
      </w:r>
      <w:r w:rsidR="00587410">
        <w:t>Dec</w:t>
      </w:r>
      <w:r>
        <w:t xml:space="preserve">. </w:t>
      </w:r>
      <w:r w:rsidR="00587410">
        <w:t>29</w:t>
      </w:r>
      <w:r>
        <w:t xml:space="preserve">, 2025); Reuters, Grupo Radio Centro SAB de CV, </w:t>
      </w:r>
      <w:hyperlink r:id="rId3" w:history="1">
        <w:r w:rsidRPr="00437E50">
          <w:rPr>
            <w:rStyle w:val="Hyperlink"/>
          </w:rPr>
          <w:t>https://www.reuters.com/markets/companies/RCENTROA.MX/</w:t>
        </w:r>
      </w:hyperlink>
      <w:r>
        <w:t xml:space="preserve"> (last visited </w:t>
      </w:r>
      <w:r w:rsidR="00587410">
        <w:t>Dec</w:t>
      </w:r>
      <w:r>
        <w:t xml:space="preserve">. </w:t>
      </w:r>
      <w:r w:rsidR="00587410">
        <w:t>29</w:t>
      </w:r>
      <w:r>
        <w:t>, 2025).</w:t>
      </w:r>
    </w:p>
  </w:footnote>
  <w:footnote w:id="22">
    <w:p w:rsidR="00B61A42" w:rsidRPr="005D7A93" w:rsidP="00B61A42" w14:paraId="59AFC35D" w14:textId="77777777">
      <w:pPr>
        <w:pStyle w:val="FootnoteText"/>
      </w:pPr>
      <w:r w:rsidRPr="005D7A93">
        <w:rPr>
          <w:rStyle w:val="FootnoteReference"/>
        </w:rPr>
        <w:footnoteRef/>
      </w:r>
      <w:r w:rsidRPr="005D7A93">
        <w:t xml:space="preserve"> FCC Ownership Report, </w:t>
      </w:r>
      <w:r>
        <w:t xml:space="preserve">Application </w:t>
      </w:r>
      <w:r w:rsidRPr="005D7A93">
        <w:t xml:space="preserve">File No. 0000102641, submitted Jan. 30, 2020; Application for Transfer of Control, File No. BALH-20161108AAW, granted Jan. 19, 2017.  </w:t>
      </w:r>
      <w:r>
        <w:t xml:space="preserve">In turn, </w:t>
      </w:r>
      <w:r w:rsidRPr="000F4349">
        <w:t xml:space="preserve">Controladora GRC, SA de CV, was owned 43.6% by FAG </w:t>
      </w:r>
      <w:r w:rsidRPr="000F4349">
        <w:t>Radiodifusion</w:t>
      </w:r>
      <w:r w:rsidRPr="000F4349">
        <w:t>, SA de CV, a Mexican corporation, and 14.3% by each of the following individuals, all Mexican citizens and siblings:  Francisco Aguirre Gomez, Maria A. Aguirre Gomez, and Ana M. Aguirre Gomez.</w:t>
      </w:r>
      <w:r>
        <w:t xml:space="preserve">  </w:t>
      </w:r>
      <w:r w:rsidRPr="00AB5132">
        <w:rPr>
          <w:i/>
          <w:iCs/>
        </w:rPr>
        <w:t>See</w:t>
      </w:r>
      <w:r w:rsidRPr="000F4349">
        <w:t xml:space="preserve"> </w:t>
      </w:r>
      <w:r w:rsidRPr="005D7A93">
        <w:t xml:space="preserve">FCC Ownership Report, </w:t>
      </w:r>
      <w:r>
        <w:t xml:space="preserve">Application </w:t>
      </w:r>
      <w:r w:rsidRPr="005D7A93">
        <w:t>File No. 0000102649, submitted Jan. 30, 2020; Application for Transfer of Control, File No. BALH-20161108AAW, granted Jan. 19, 2017.</w:t>
      </w:r>
    </w:p>
  </w:footnote>
  <w:footnote w:id="23">
    <w:p w:rsidR="003379EB" w14:paraId="169B8896" w14:textId="09AE5146">
      <w:pPr>
        <w:pStyle w:val="FootnoteText"/>
      </w:pPr>
      <w:r>
        <w:rPr>
          <w:rStyle w:val="FootnoteReference"/>
        </w:rPr>
        <w:footnoteRef/>
      </w:r>
      <w:r>
        <w:t xml:space="preserve"> Transfer Application </w:t>
      </w:r>
      <w:r w:rsidRPr="008773F6">
        <w:t xml:space="preserve">at </w:t>
      </w:r>
      <w:r w:rsidRPr="008773F6">
        <w:t>Exh</w:t>
      </w:r>
      <w:r w:rsidRPr="008773F6">
        <w:t xml:space="preserve">. </w:t>
      </w:r>
      <w:r>
        <w:rPr>
          <w:i/>
          <w:iCs/>
        </w:rPr>
        <w:t>Multiple Ownership Exhibit</w:t>
      </w:r>
      <w:r w:rsidRPr="00A5738A">
        <w:rPr>
          <w:i/>
          <w:iCs/>
        </w:rPr>
        <w:t>.pdf</w:t>
      </w:r>
      <w:r w:rsidRPr="003379EB">
        <w:t xml:space="preserve">.  </w:t>
      </w:r>
    </w:p>
  </w:footnote>
  <w:footnote w:id="24">
    <w:p w:rsidR="00FC4A9B" w14:paraId="2D6AAE79" w14:textId="735767D5">
      <w:pPr>
        <w:pStyle w:val="FootnoteText"/>
      </w:pPr>
      <w:r>
        <w:rPr>
          <w:rStyle w:val="FootnoteReference"/>
        </w:rPr>
        <w:footnoteRef/>
      </w:r>
      <w:r>
        <w:t xml:space="preserve"> Letter from Francisco R. Montero, Counsel for 97.5 Licensee TX, LLC, to Brendan Holland and Christopher Clark, Audio Division, FCC Media Bureau, Aug. 1, 2024 at Attach. A, response to Question 11 (</w:t>
      </w:r>
      <w:r w:rsidRPr="00FC4A9B">
        <w:rPr>
          <w:i/>
          <w:iCs/>
        </w:rPr>
        <w:t>LOI Response</w:t>
      </w:r>
      <w:r>
        <w:t xml:space="preserve">).  </w:t>
      </w:r>
    </w:p>
  </w:footnote>
  <w:footnote w:id="25">
    <w:p w:rsidR="00724211" w:rsidP="00FC4A9B" w14:paraId="2D7238D4" w14:textId="11978B32">
      <w:pPr>
        <w:pStyle w:val="FootnoteText"/>
      </w:pPr>
      <w:r>
        <w:rPr>
          <w:rStyle w:val="FootnoteReference"/>
        </w:rPr>
        <w:footnoteRef/>
      </w:r>
      <w:r>
        <w:t xml:space="preserve"> Transfer Application </w:t>
      </w:r>
      <w:r w:rsidRPr="008773F6">
        <w:t>at</w:t>
      </w:r>
      <w:r>
        <w:t xml:space="preserve"> </w:t>
      </w:r>
      <w:r w:rsidR="00FC4A9B">
        <w:t>“</w:t>
      </w:r>
      <w:r>
        <w:t>Transferee Information, Parties to the Application</w:t>
      </w:r>
      <w:r w:rsidR="00FC4A9B">
        <w:t xml:space="preserve">.” </w:t>
      </w:r>
    </w:p>
  </w:footnote>
  <w:footnote w:id="26">
    <w:p w:rsidR="000B296C" w14:paraId="72367099" w14:textId="40DE8C56">
      <w:pPr>
        <w:pStyle w:val="FootnoteText"/>
      </w:pPr>
      <w:r>
        <w:rPr>
          <w:rStyle w:val="FootnoteReference"/>
        </w:rPr>
        <w:footnoteRef/>
      </w:r>
      <w:r>
        <w:t xml:space="preserve"> LOI Response at Attach. A., response to Question 7, 8,</w:t>
      </w:r>
      <w:r w:rsidR="00D501CF">
        <w:t xml:space="preserve"> 9,</w:t>
      </w:r>
      <w:r>
        <w:t xml:space="preserve"> 11. </w:t>
      </w:r>
      <w:r w:rsidR="005F7322">
        <w:t xml:space="preserve"> </w:t>
      </w:r>
      <w:r w:rsidR="00154653">
        <w:t xml:space="preserve">In response to questions raised by the Bureau, the Parties stated that “Ms. Toscano’s family currently operates the following </w:t>
      </w:r>
      <w:r w:rsidR="00651642">
        <w:t xml:space="preserve">[six] </w:t>
      </w:r>
      <w:r w:rsidR="00154653">
        <w:t xml:space="preserve">stations in Ciudad Juarez, Mexico” and that Toscano, her sisters, and her father operate the stations together </w:t>
      </w:r>
      <w:r w:rsidR="005F7322">
        <w:t>as</w:t>
      </w:r>
      <w:r w:rsidR="00154653">
        <w:t xml:space="preserve"> stockholders of the license</w:t>
      </w:r>
      <w:r w:rsidR="007019D8">
        <w:t xml:space="preserve"> company</w:t>
      </w:r>
      <w:r w:rsidR="00154653">
        <w:t xml:space="preserve">. </w:t>
      </w:r>
      <w:r w:rsidR="00D12261">
        <w:t xml:space="preserve"> The</w:t>
      </w:r>
      <w:r>
        <w:t xml:space="preserve"> </w:t>
      </w:r>
      <w:r w:rsidR="00D12261">
        <w:t>six stations</w:t>
      </w:r>
      <w:r w:rsidR="00651642">
        <w:t xml:space="preserve"> are</w:t>
      </w:r>
      <w:r w:rsidR="00D12261">
        <w:t xml:space="preserve">:  XHEM-FM, XHTO-FM, XHEPR-FM, KEJCC-AM, XEJ-AM, and XEPZ-AM.  The BIA Market Report provided as part of the Transfer Application lists one of these stations, XHEPR-FM, as no longer </w:t>
      </w:r>
      <w:r w:rsidR="007019D8">
        <w:t xml:space="preserve">considered part of </w:t>
      </w:r>
      <w:r w:rsidR="00D12261">
        <w:t xml:space="preserve">the </w:t>
      </w:r>
      <w:r w:rsidR="00651642">
        <w:t xml:space="preserve">El Paso </w:t>
      </w:r>
      <w:r w:rsidR="00D12261">
        <w:t>market, and another, XEPZ-AM, under</w:t>
      </w:r>
      <w:r w:rsidR="00154653">
        <w:t xml:space="preserve"> the name</w:t>
      </w:r>
      <w:r w:rsidR="00D12261">
        <w:t xml:space="preserve"> </w:t>
      </w:r>
      <w:r w:rsidR="00D12261">
        <w:t>Radiorama</w:t>
      </w:r>
      <w:r w:rsidR="00D12261">
        <w:t xml:space="preserve"> SA de CV.  </w:t>
      </w:r>
      <w:r w:rsidRPr="00D12261" w:rsidR="00D12261">
        <w:rPr>
          <w:i/>
          <w:iCs/>
        </w:rPr>
        <w:t>See</w:t>
      </w:r>
      <w:r w:rsidR="00D12261">
        <w:rPr>
          <w:i/>
          <w:iCs/>
        </w:rPr>
        <w:t xml:space="preserve"> </w:t>
      </w:r>
      <w:r w:rsidRPr="00D12261" w:rsidR="00D12261">
        <w:t>Transfer</w:t>
      </w:r>
      <w:r w:rsidR="00D12261">
        <w:t xml:space="preserve"> Application </w:t>
      </w:r>
      <w:r w:rsidRPr="008773F6" w:rsidR="00D12261">
        <w:t xml:space="preserve">at </w:t>
      </w:r>
      <w:r w:rsidRPr="008773F6" w:rsidR="00D12261">
        <w:t>Exh</w:t>
      </w:r>
      <w:r w:rsidRPr="008773F6" w:rsidR="00D12261">
        <w:t xml:space="preserve">. </w:t>
      </w:r>
      <w:r w:rsidR="00D12261">
        <w:rPr>
          <w:i/>
          <w:iCs/>
        </w:rPr>
        <w:t>Multiple Ownership Exhibit</w:t>
      </w:r>
      <w:r w:rsidRPr="00A5738A" w:rsidR="00D12261">
        <w:rPr>
          <w:i/>
          <w:iCs/>
        </w:rPr>
        <w:t>.pdf</w:t>
      </w:r>
      <w:r w:rsidRPr="003379EB" w:rsidR="00D12261">
        <w:t xml:space="preserve">.  </w:t>
      </w:r>
    </w:p>
  </w:footnote>
  <w:footnote w:id="27">
    <w:p w:rsidR="000B296C" w14:paraId="4114F8EB" w14:textId="7282EA87">
      <w:pPr>
        <w:pStyle w:val="FootnoteText"/>
      </w:pPr>
      <w:r>
        <w:rPr>
          <w:rStyle w:val="FootnoteReference"/>
        </w:rPr>
        <w:footnoteRef/>
      </w:r>
      <w:r>
        <w:t xml:space="preserve"> LOI Response at Attach. A., response to Question 15.  </w:t>
      </w:r>
    </w:p>
  </w:footnote>
  <w:footnote w:id="28">
    <w:p w:rsidR="00A65CB3" w:rsidP="00A65CB3" w14:paraId="57D1ED12" w14:textId="30B895C6">
      <w:pPr>
        <w:pStyle w:val="FootnoteText"/>
      </w:pPr>
      <w:r>
        <w:rPr>
          <w:rStyle w:val="FootnoteReference"/>
        </w:rPr>
        <w:footnoteRef/>
      </w:r>
      <w:r>
        <w:t xml:space="preserve"> </w:t>
      </w:r>
      <w:r w:rsidR="00651642">
        <w:t xml:space="preserve">LOI Response at Attach. A, response to Question 6; </w:t>
      </w:r>
      <w:r w:rsidRPr="00F736FF">
        <w:t>Exh</w:t>
      </w:r>
      <w:r w:rsidRPr="00F736FF">
        <w:t>. 6(b), Assignment of Debt Rights Agreement.</w:t>
      </w:r>
      <w:r>
        <w:t xml:space="preserve">  </w:t>
      </w:r>
    </w:p>
  </w:footnote>
  <w:footnote w:id="29">
    <w:p w:rsidR="00FA5C2A" w14:paraId="1AE3B623" w14:textId="57704AB9">
      <w:pPr>
        <w:pStyle w:val="FootnoteText"/>
      </w:pPr>
      <w:r>
        <w:rPr>
          <w:rStyle w:val="FootnoteReference"/>
        </w:rPr>
        <w:footnoteRef/>
      </w:r>
      <w:r>
        <w:t xml:space="preserve"> LOI Response at Attach. A, response to Question 6; </w:t>
      </w:r>
      <w:r>
        <w:t>Exh</w:t>
      </w:r>
      <w:r>
        <w:t xml:space="preserve">. 6(b), Acknowledgement of Indebtedness Agreement.  </w:t>
      </w:r>
    </w:p>
  </w:footnote>
  <w:footnote w:id="30">
    <w:p w:rsidR="00FA5C2A" w:rsidRPr="00267535" w14:paraId="3F0E2163" w14:textId="31A8B1BF">
      <w:pPr>
        <w:pStyle w:val="FootnoteText"/>
      </w:pPr>
      <w:r w:rsidRPr="00267535">
        <w:rPr>
          <w:rStyle w:val="FootnoteReference"/>
        </w:rPr>
        <w:footnoteRef/>
      </w:r>
      <w:r w:rsidRPr="00267535">
        <w:t xml:space="preserve"> LOI Response at Attach. A, </w:t>
      </w:r>
      <w:r w:rsidRPr="00267535">
        <w:t>Exh</w:t>
      </w:r>
      <w:r w:rsidRPr="00267535">
        <w:t xml:space="preserve">. 6(b), Assignment of Debt Rights Agreement.  </w:t>
      </w:r>
    </w:p>
  </w:footnote>
  <w:footnote w:id="31">
    <w:p w:rsidR="00DC1728" w:rsidRPr="00267535" w14:paraId="636CDDCE" w14:textId="51F701DB">
      <w:pPr>
        <w:pStyle w:val="FootnoteText"/>
      </w:pPr>
      <w:r w:rsidRPr="00267535">
        <w:rPr>
          <w:rStyle w:val="FootnoteReference"/>
        </w:rPr>
        <w:footnoteRef/>
      </w:r>
      <w:r w:rsidRPr="00267535">
        <w:t xml:space="preserve"> </w:t>
      </w:r>
      <w:r w:rsidRPr="00267535">
        <w:rPr>
          <w:i/>
          <w:iCs/>
        </w:rPr>
        <w:t>See</w:t>
      </w:r>
      <w:r w:rsidRPr="00267535">
        <w:t xml:space="preserve"> Transfer Application at </w:t>
      </w:r>
      <w:r w:rsidRPr="00267535">
        <w:t>Exh</w:t>
      </w:r>
      <w:r w:rsidRPr="00267535">
        <w:t xml:space="preserve">. </w:t>
      </w:r>
      <w:r w:rsidRPr="00267535">
        <w:rPr>
          <w:i/>
          <w:iCs/>
        </w:rPr>
        <w:t>Stock Purchase Agreement LORENA margarita.pdf</w:t>
      </w:r>
      <w:r w:rsidRPr="00267535">
        <w:t xml:space="preserve"> (providing a copy of the Stock Purchase Agreement between Rygaard and Toscano dated March 31, 2023).  </w:t>
      </w:r>
    </w:p>
  </w:footnote>
  <w:footnote w:id="32">
    <w:p w:rsidR="007903D5" w:rsidRPr="0089260D" w14:paraId="2EFA3E49" w14:textId="380F9F3C">
      <w:pPr>
        <w:pStyle w:val="FootnoteText"/>
        <w:rPr>
          <w:highlight w:val="yellow"/>
        </w:rPr>
      </w:pPr>
      <w:r w:rsidRPr="0089260D">
        <w:rPr>
          <w:rStyle w:val="FootnoteReference"/>
        </w:rPr>
        <w:footnoteRef/>
      </w:r>
      <w:r w:rsidR="0089260D">
        <w:t xml:space="preserve"> </w:t>
      </w:r>
      <w:r w:rsidRPr="0089260D" w:rsidR="0089260D">
        <w:rPr>
          <w:i/>
          <w:iCs/>
        </w:rPr>
        <w:t>Id</w:t>
      </w:r>
      <w:r w:rsidR="0089260D">
        <w:t xml:space="preserve">.  </w:t>
      </w:r>
      <w:r w:rsidRPr="0089260D" w:rsidR="00267535">
        <w:t xml:space="preserve"> </w:t>
      </w:r>
    </w:p>
  </w:footnote>
  <w:footnote w:id="33">
    <w:p w:rsidR="00DA2643" w:rsidRPr="0089260D" w14:paraId="0B48C0FC" w14:textId="4A5C9E02">
      <w:pPr>
        <w:pStyle w:val="FootnoteText"/>
      </w:pPr>
      <w:r w:rsidRPr="0089260D">
        <w:rPr>
          <w:rStyle w:val="FootnoteReference"/>
        </w:rPr>
        <w:footnoteRef/>
      </w:r>
      <w:r w:rsidRPr="0089260D">
        <w:t xml:space="preserve"> </w:t>
      </w:r>
      <w:r w:rsidRPr="0089260D" w:rsidR="00267535">
        <w:t>Transfer Applicatio</w:t>
      </w:r>
      <w:r w:rsidRPr="0089260D" w:rsidR="0089260D">
        <w:t>n at “Changes in Interest,” “Parties to the Application</w:t>
      </w:r>
      <w:r w:rsidRPr="0089260D" w:rsidR="00267535">
        <w:t>.</w:t>
      </w:r>
      <w:r w:rsidRPr="0089260D" w:rsidR="0089260D">
        <w:t xml:space="preserve">”  </w:t>
      </w:r>
    </w:p>
  </w:footnote>
  <w:footnote w:id="34">
    <w:p w:rsidR="00DA2643" w14:paraId="0C96AB8A" w14:textId="5E268B11">
      <w:pPr>
        <w:pStyle w:val="FootnoteText"/>
      </w:pPr>
      <w:r w:rsidRPr="0089260D">
        <w:rPr>
          <w:rStyle w:val="FootnoteReference"/>
        </w:rPr>
        <w:footnoteRef/>
      </w:r>
      <w:r w:rsidRPr="0089260D">
        <w:t xml:space="preserve"> </w:t>
      </w:r>
      <w:r w:rsidRPr="0089260D" w:rsidR="0089260D">
        <w:rPr>
          <w:i/>
          <w:iCs/>
        </w:rPr>
        <w:t>Id</w:t>
      </w:r>
      <w:r w:rsidRPr="0089260D" w:rsidR="0089260D">
        <w:t xml:space="preserve">. </w:t>
      </w:r>
    </w:p>
  </w:footnote>
  <w:footnote w:id="35">
    <w:p w:rsidR="00DD3D4F" w:rsidRPr="008773F6" w:rsidP="00DD3D4F" w14:paraId="667E1AA9" w14:textId="1B3E25FA">
      <w:pPr>
        <w:pStyle w:val="FootnoteText"/>
        <w:widowControl w:val="0"/>
      </w:pPr>
      <w:r w:rsidRPr="008773F6">
        <w:rPr>
          <w:rStyle w:val="FootnoteReference"/>
        </w:rPr>
        <w:footnoteRef/>
      </w:r>
      <w:r w:rsidRPr="008773F6">
        <w:t xml:space="preserve"> </w:t>
      </w:r>
      <w:bookmarkStart w:id="75" w:name="_Hlk79250779"/>
      <w:r w:rsidRPr="008773F6">
        <w:rPr>
          <w:i/>
          <w:iCs/>
        </w:rPr>
        <w:t>See</w:t>
      </w:r>
      <w:r w:rsidRPr="008773F6">
        <w:t xml:space="preserve"> </w:t>
      </w:r>
      <w:r w:rsidR="00A5738A">
        <w:t xml:space="preserve">Transfer </w:t>
      </w:r>
      <w:r w:rsidR="00C402C8">
        <w:t>Application</w:t>
      </w:r>
      <w:r w:rsidR="0047507E">
        <w:t xml:space="preserve"> </w:t>
      </w:r>
      <w:r w:rsidRPr="008773F6">
        <w:t xml:space="preserve">at </w:t>
      </w:r>
      <w:r w:rsidRPr="008773F6">
        <w:t>Exh</w:t>
      </w:r>
      <w:r w:rsidRPr="008773F6">
        <w:t xml:space="preserve">. </w:t>
      </w:r>
      <w:r w:rsidRPr="00A5738A" w:rsidR="00A5738A">
        <w:rPr>
          <w:i/>
          <w:iCs/>
        </w:rPr>
        <w:t>Stock Purchase Agreement LORENA</w:t>
      </w:r>
      <w:r w:rsidR="00A5738A">
        <w:rPr>
          <w:i/>
          <w:iCs/>
        </w:rPr>
        <w:t xml:space="preserve"> margarita</w:t>
      </w:r>
      <w:r w:rsidRPr="00A5738A" w:rsidR="00A5738A">
        <w:rPr>
          <w:i/>
          <w:iCs/>
        </w:rPr>
        <w:t>.pdf</w:t>
      </w:r>
      <w:r w:rsidRPr="008773F6">
        <w:t xml:space="preserve"> (</w:t>
      </w:r>
      <w:r w:rsidR="0047507E">
        <w:t xml:space="preserve">providing </w:t>
      </w:r>
      <w:r w:rsidR="0031018E">
        <w:t xml:space="preserve">a </w:t>
      </w:r>
      <w:r w:rsidR="0047507E">
        <w:t xml:space="preserve">copy of the </w:t>
      </w:r>
      <w:r w:rsidR="00BA5639">
        <w:t xml:space="preserve">Stock Purchase Agreement </w:t>
      </w:r>
      <w:r w:rsidR="00A5738A">
        <w:t xml:space="preserve">between Rygaard and Toscano </w:t>
      </w:r>
      <w:r w:rsidR="00BA5639">
        <w:t>dated March 31, 2023</w:t>
      </w:r>
      <w:r w:rsidRPr="008773F6">
        <w:t xml:space="preserve">).  </w:t>
      </w:r>
      <w:bookmarkEnd w:id="75"/>
    </w:p>
  </w:footnote>
  <w:footnote w:id="36">
    <w:p w:rsidR="004F7322" w14:paraId="63E75422" w14:textId="58C7C325">
      <w:pPr>
        <w:pStyle w:val="FootnoteText"/>
      </w:pPr>
      <w:r w:rsidRPr="009F5A4E">
        <w:rPr>
          <w:rStyle w:val="FootnoteReference"/>
        </w:rPr>
        <w:footnoteRef/>
      </w:r>
      <w:r w:rsidRPr="009F5A4E" w:rsidR="00AF4F57">
        <w:t xml:space="preserve"> </w:t>
      </w:r>
      <w:r w:rsidRPr="00E60EEF" w:rsidR="00E60EEF">
        <w:t>The provision</w:t>
      </w:r>
      <w:r w:rsidR="00E60EEF">
        <w:t xml:space="preserve">, which appears as part of the recitals </w:t>
      </w:r>
      <w:r w:rsidRPr="009F5A4E" w:rsidR="00E60EEF">
        <w:t>at the beginning of the Stock Purchase Agreement state</w:t>
      </w:r>
      <w:r w:rsidR="00E60EEF">
        <w:t>s</w:t>
      </w:r>
      <w:r w:rsidRPr="00E60EEF" w:rsidR="00E60EEF">
        <w:t xml:space="preserve"> in its entirety</w:t>
      </w:r>
      <w:r w:rsidR="00E60EEF">
        <w:t xml:space="preserve">: </w:t>
      </w:r>
      <w:r w:rsidRPr="00E60EEF" w:rsidR="00E60EEF">
        <w:t xml:space="preserve"> “</w:t>
      </w:r>
      <w:r w:rsidRPr="007279C1" w:rsidR="00E60EEF">
        <w:rPr>
          <w:b/>
          <w:bCs/>
        </w:rPr>
        <w:t>WHEREAS</w:t>
      </w:r>
      <w:r w:rsidRPr="00E60EEF" w:rsidR="00E60EEF">
        <w:t xml:space="preserve">, Company [97.5 Holdings] owes to the Buyer [Toscano] a debt for a total of </w:t>
      </w:r>
      <w:r w:rsidRPr="007279C1" w:rsidR="00E60EEF">
        <w:rPr>
          <w:b/>
          <w:bCs/>
        </w:rPr>
        <w:t>$2,451,565.00 USD (Two million four hundred fifty one thousand five hundred sixty five dollars 00/100 US/CY.)</w:t>
      </w:r>
      <w:r w:rsidRPr="007279C1" w:rsidR="007279C1">
        <w:rPr>
          <w:b/>
          <w:bCs/>
        </w:rPr>
        <w:t xml:space="preserve"> </w:t>
      </w:r>
      <w:r w:rsidRPr="007279C1" w:rsidR="00E60EEF">
        <w:rPr>
          <w:b/>
          <w:bCs/>
        </w:rPr>
        <w:t>(“Debt”)</w:t>
      </w:r>
      <w:r w:rsidR="007279C1">
        <w:t xml:space="preserve">.”  </w:t>
      </w:r>
      <w:r w:rsidRPr="0089260D" w:rsidR="00FF7CF9">
        <w:t xml:space="preserve">Stock Purchase Agreement at </w:t>
      </w:r>
      <w:r w:rsidRPr="0089260D" w:rsidR="0017295B">
        <w:t>2</w:t>
      </w:r>
      <w:r w:rsidR="004B4F9D">
        <w:t>, emphasis in original</w:t>
      </w:r>
      <w:r w:rsidRPr="0089260D" w:rsidR="0017295B">
        <w:t>.</w:t>
      </w:r>
      <w:r w:rsidR="0017295B">
        <w:t xml:space="preserve">  </w:t>
      </w:r>
      <w:r w:rsidR="009F5A4E">
        <w:t>Although the provision establishes the debt as a defined term (i.e., “Debt”)</w:t>
      </w:r>
      <w:r w:rsidR="007279C1">
        <w:t>,</w:t>
      </w:r>
      <w:r w:rsidR="009F5A4E">
        <w:t xml:space="preserve"> that term does not appear to be used again in the Stock Purchase Agreement</w:t>
      </w:r>
      <w:r w:rsidRPr="009F5A4E" w:rsidR="009F5A4E">
        <w:t xml:space="preserve">.  </w:t>
      </w:r>
    </w:p>
  </w:footnote>
  <w:footnote w:id="37">
    <w:p w:rsidR="00E14F17" w14:paraId="1BC8C84A" w14:textId="068A6988">
      <w:pPr>
        <w:pStyle w:val="FootnoteText"/>
      </w:pPr>
      <w:r>
        <w:rPr>
          <w:rStyle w:val="FootnoteReference"/>
        </w:rPr>
        <w:footnoteRef/>
      </w:r>
      <w:r>
        <w:t xml:space="preserve"> </w:t>
      </w:r>
      <w:r w:rsidRPr="009F5A4E">
        <w:t xml:space="preserve">Transfer Application at </w:t>
      </w:r>
      <w:r w:rsidRPr="009F5A4E">
        <w:t>Exh</w:t>
      </w:r>
      <w:r w:rsidRPr="009F5A4E">
        <w:t xml:space="preserve">. </w:t>
      </w:r>
      <w:r w:rsidRPr="009F5A4E">
        <w:rPr>
          <w:i/>
          <w:iCs/>
        </w:rPr>
        <w:t>Stock Purchase Agreement LORENA margarita.pdf.</w:t>
      </w:r>
    </w:p>
  </w:footnote>
  <w:footnote w:id="38">
    <w:p w:rsidR="00C402C8" w:rsidRPr="008773F6" w:rsidP="00C402C8" w14:paraId="3D16427F" w14:textId="214DD5F2">
      <w:pPr>
        <w:pStyle w:val="FootnoteText"/>
        <w:widowControl w:val="0"/>
      </w:pPr>
      <w:r w:rsidRPr="008773F6">
        <w:rPr>
          <w:rStyle w:val="FootnoteReference"/>
        </w:rPr>
        <w:footnoteRef/>
      </w:r>
      <w:r w:rsidRPr="008773F6">
        <w:t xml:space="preserve"> </w:t>
      </w:r>
      <w:r w:rsidRPr="008773F6">
        <w:rPr>
          <w:i/>
          <w:iCs/>
        </w:rPr>
        <w:t>See</w:t>
      </w:r>
      <w:r w:rsidRPr="008773F6">
        <w:t xml:space="preserve"> </w:t>
      </w:r>
      <w:r>
        <w:t xml:space="preserve">Transfer Application </w:t>
      </w:r>
      <w:r w:rsidRPr="008773F6">
        <w:t xml:space="preserve">at </w:t>
      </w:r>
      <w:r w:rsidR="00664544">
        <w:t>“Transferee Legal Certifications, Agreements for Sale.”</w:t>
      </w:r>
      <w:r w:rsidRPr="008773F6">
        <w:t xml:space="preserve">  </w:t>
      </w:r>
    </w:p>
  </w:footnote>
  <w:footnote w:id="39">
    <w:p w:rsidR="00D83B60" w14:paraId="3F522425" w14:textId="26A1D31F">
      <w:pPr>
        <w:pStyle w:val="FootnoteText"/>
      </w:pPr>
      <w:r>
        <w:rPr>
          <w:rStyle w:val="FootnoteReference"/>
        </w:rPr>
        <w:footnoteRef/>
      </w:r>
      <w:r>
        <w:t xml:space="preserve"> Transfer Application </w:t>
      </w:r>
      <w:r w:rsidRPr="008773F6">
        <w:t xml:space="preserve">at </w:t>
      </w:r>
      <w:r>
        <w:t xml:space="preserve">“Transferee Certification, General Certification Statements;” “Transferor Certification, General Certification Statements.”  </w:t>
      </w:r>
      <w:r w:rsidRPr="008773F6">
        <w:t xml:space="preserve"> </w:t>
      </w:r>
    </w:p>
  </w:footnote>
  <w:footnote w:id="40">
    <w:p w:rsidR="00DD3D4F" w:rsidRPr="008773F6" w:rsidP="00DD3D4F" w14:paraId="403BDC40" w14:textId="11754CE8">
      <w:pPr>
        <w:pStyle w:val="FootnoteText"/>
        <w:widowControl w:val="0"/>
      </w:pPr>
      <w:r w:rsidRPr="008773F6">
        <w:rPr>
          <w:rStyle w:val="FootnoteReference"/>
        </w:rPr>
        <w:footnoteRef/>
      </w:r>
      <w:r w:rsidR="00773916">
        <w:rPr>
          <w:i/>
          <w:iCs/>
        </w:rPr>
        <w:t xml:space="preserve"> </w:t>
      </w:r>
      <w:r w:rsidR="00773916">
        <w:t xml:space="preserve">Transfer Application </w:t>
      </w:r>
      <w:r w:rsidRPr="008773F6" w:rsidR="00773916">
        <w:t xml:space="preserve">at </w:t>
      </w:r>
      <w:r w:rsidR="00773916">
        <w:t xml:space="preserve">“Transferee Certification, General Certification Statements;” </w:t>
      </w:r>
      <w:r w:rsidR="00243327">
        <w:t xml:space="preserve">and </w:t>
      </w:r>
      <w:r w:rsidR="00773916">
        <w:t>“Transferor Certification, General Certification Statements</w:t>
      </w:r>
      <w:r w:rsidR="00243327">
        <w:t>.</w:t>
      </w:r>
      <w:r w:rsidR="00773916">
        <w:t>”</w:t>
      </w:r>
    </w:p>
  </w:footnote>
  <w:footnote w:id="41">
    <w:p w:rsidR="00243327" w:rsidP="00243327" w14:paraId="67DE0933" w14:textId="0F393442">
      <w:pPr>
        <w:pStyle w:val="FootnoteText"/>
        <w:widowControl w:val="0"/>
      </w:pPr>
      <w:r>
        <w:rPr>
          <w:rStyle w:val="FootnoteReference"/>
        </w:rPr>
        <w:footnoteRef/>
      </w:r>
      <w:r>
        <w:t xml:space="preserve"> Transfer Application </w:t>
      </w:r>
      <w:r w:rsidRPr="008773F6">
        <w:t xml:space="preserve">at </w:t>
      </w:r>
      <w:r>
        <w:t>“Licensee/Permittee Certification.”</w:t>
      </w:r>
    </w:p>
  </w:footnote>
  <w:footnote w:id="42">
    <w:p w:rsidR="00B73206" w14:paraId="016B0663" w14:textId="73453D42">
      <w:pPr>
        <w:pStyle w:val="FootnoteText"/>
      </w:pPr>
      <w:r>
        <w:rPr>
          <w:rStyle w:val="FootnoteReference"/>
        </w:rPr>
        <w:footnoteRef/>
      </w:r>
      <w:r>
        <w:t xml:space="preserve"> Letter of Inquiry from </w:t>
      </w:r>
      <w:r w:rsidRPr="00B73206">
        <w:t xml:space="preserve">Albert Shuldiner, </w:t>
      </w:r>
      <w:r>
        <w:t xml:space="preserve">Chief </w:t>
      </w:r>
      <w:r w:rsidRPr="00B73206">
        <w:t>Audio Division, FCC Media Bureau</w:t>
      </w:r>
      <w:r>
        <w:t>, to 97.5 Licensee TX, LLC</w:t>
      </w:r>
      <w:r w:rsidR="00E048D1">
        <w:t xml:space="preserve"> c/o Francisco R. Montero, Counsel</w:t>
      </w:r>
      <w:r>
        <w:t xml:space="preserve">, </w:t>
      </w:r>
      <w:r w:rsidR="00E048D1">
        <w:t>Jul</w:t>
      </w:r>
      <w:r>
        <w:t xml:space="preserve">. </w:t>
      </w:r>
      <w:r w:rsidR="00E048D1">
        <w:t>3</w:t>
      </w:r>
      <w:r>
        <w:t xml:space="preserve">, 2024.  </w:t>
      </w:r>
    </w:p>
  </w:footnote>
  <w:footnote w:id="43">
    <w:p w:rsidR="00F92757" w14:paraId="696A5866" w14:textId="146B8C86">
      <w:pPr>
        <w:pStyle w:val="FootnoteText"/>
      </w:pPr>
      <w:r>
        <w:rPr>
          <w:rStyle w:val="FootnoteReference"/>
        </w:rPr>
        <w:footnoteRef/>
      </w:r>
      <w:r>
        <w:t xml:space="preserve"> </w:t>
      </w:r>
      <w:r w:rsidRPr="00310FE1" w:rsidR="00310FE1">
        <w:t>LOI Response at Attach. A, Declaration of Luz Maria Rygaard</w:t>
      </w:r>
      <w:r>
        <w:t xml:space="preserve">.  </w:t>
      </w:r>
    </w:p>
  </w:footnote>
  <w:footnote w:id="44">
    <w:p w:rsidR="00056EE2" w14:paraId="7135C40C" w14:textId="7CFAB649">
      <w:pPr>
        <w:pStyle w:val="FootnoteText"/>
      </w:pPr>
      <w:r>
        <w:rPr>
          <w:rStyle w:val="FootnoteReference"/>
        </w:rPr>
        <w:footnoteRef/>
      </w:r>
      <w:r>
        <w:t xml:space="preserve"> </w:t>
      </w:r>
      <w:r w:rsidR="008739B9">
        <w:t xml:space="preserve">LOI Response at Attach. A, response to Question 1.  </w:t>
      </w:r>
    </w:p>
  </w:footnote>
  <w:footnote w:id="45">
    <w:p w:rsidR="00225A1B" w14:paraId="008E3C83" w14:textId="0A18F71C">
      <w:pPr>
        <w:pStyle w:val="FootnoteText"/>
      </w:pPr>
      <w:r>
        <w:rPr>
          <w:rStyle w:val="FootnoteReference"/>
        </w:rPr>
        <w:footnoteRef/>
      </w:r>
      <w:r>
        <w:t xml:space="preserve"> </w:t>
      </w:r>
      <w:r w:rsidRPr="00736B27">
        <w:t xml:space="preserve">LOI Response at Attach. A, response to Question </w:t>
      </w:r>
      <w:r w:rsidRPr="00736B27" w:rsidR="00C27EBC">
        <w:t>1(b).</w:t>
      </w:r>
      <w:r w:rsidR="00C27EBC">
        <w:t xml:space="preserve">  </w:t>
      </w:r>
    </w:p>
  </w:footnote>
  <w:footnote w:id="46">
    <w:p w:rsidR="007D1C6B" w14:paraId="13CBD101" w14:textId="3D9C6365">
      <w:pPr>
        <w:pStyle w:val="FootnoteText"/>
      </w:pPr>
      <w:r>
        <w:rPr>
          <w:rStyle w:val="FootnoteReference"/>
        </w:rPr>
        <w:footnoteRef/>
      </w:r>
      <w:r>
        <w:t xml:space="preserve"> </w:t>
      </w:r>
      <w:r w:rsidR="006D086B">
        <w:t xml:space="preserve">LOI Response at </w:t>
      </w:r>
      <w:r w:rsidR="002161D6">
        <w:t xml:space="preserve">Attach. A, response to Question </w:t>
      </w:r>
      <w:r w:rsidR="00266661">
        <w:t>3</w:t>
      </w:r>
      <w:r w:rsidR="00FC7852">
        <w:t>.</w:t>
      </w:r>
      <w:r w:rsidR="00266661">
        <w:t xml:space="preserve"> </w:t>
      </w:r>
      <w:r w:rsidR="00C43FDB">
        <w:t xml:space="preserve"> </w:t>
      </w:r>
      <w:r>
        <w:t>The LOI Response also stated that Cynthia Denise Johnson was the current Business Manager of Pro Radio</w:t>
      </w:r>
      <w:r w:rsidR="00FE742D">
        <w:t xml:space="preserve"> and that she had held that </w:t>
      </w:r>
      <w:r>
        <w:t xml:space="preserve">position since 2018.  LOI Response at Attach. A, response to Question 16.  In response to the Bureau’s 1.88 Letter, discussed </w:t>
      </w:r>
      <w:r w:rsidR="006A1A56">
        <w:t xml:space="preserve">further </w:t>
      </w:r>
      <w:r>
        <w:t xml:space="preserve">below, the Parties </w:t>
      </w:r>
      <w:r w:rsidR="006A1A56">
        <w:t xml:space="preserve">subsequently </w:t>
      </w:r>
      <w:r>
        <w:t xml:space="preserve">stated that </w:t>
      </w:r>
      <w:r w:rsidR="0026534A">
        <w:t xml:space="preserve">the </w:t>
      </w:r>
      <w:r w:rsidR="006A1A56">
        <w:t xml:space="preserve">information was </w:t>
      </w:r>
      <w:r>
        <w:t>in</w:t>
      </w:r>
      <w:r w:rsidR="006A1A56">
        <w:t>correct</w:t>
      </w:r>
      <w:r>
        <w:t xml:space="preserve"> and</w:t>
      </w:r>
      <w:r w:rsidR="006A1A56">
        <w:t>,</w:t>
      </w:r>
      <w:r w:rsidR="00FE742D">
        <w:t xml:space="preserve"> that</w:t>
      </w:r>
      <w:r>
        <w:t xml:space="preserve"> in fact</w:t>
      </w:r>
      <w:r w:rsidR="006A1A56">
        <w:t>,</w:t>
      </w:r>
      <w:r>
        <w:t xml:space="preserve"> Ms. Johnson began her role as Business Manager of Pro Radio in November 2022. </w:t>
      </w:r>
      <w:r w:rsidR="00A92999">
        <w:t xml:space="preserve"> </w:t>
      </w:r>
      <w:r w:rsidR="00221CD7">
        <w:t xml:space="preserve">1.88 </w:t>
      </w:r>
      <w:r w:rsidR="006A1A56">
        <w:t xml:space="preserve">Letter </w:t>
      </w:r>
      <w:r w:rsidR="00221CD7">
        <w:t>Response at Attach. A, response to Inquiry 1.</w:t>
      </w:r>
    </w:p>
  </w:footnote>
  <w:footnote w:id="47">
    <w:p w:rsidR="00205E6B" w:rsidRPr="00595395" w14:paraId="7F4180A0" w14:textId="5F065AC9">
      <w:pPr>
        <w:pStyle w:val="FootnoteText"/>
      </w:pPr>
      <w:r>
        <w:rPr>
          <w:rStyle w:val="FootnoteReference"/>
        </w:rPr>
        <w:footnoteRef/>
      </w:r>
      <w:r>
        <w:t xml:space="preserve"> LOI Response at Attach. A, response to Question 1 and 3.  Specifically, the LOI Response stated that Pro Radio is 100% owned by </w:t>
      </w:r>
      <w:r>
        <w:t>Medios</w:t>
      </w:r>
      <w:r>
        <w:t xml:space="preserve"> Unidos del </w:t>
      </w:r>
      <w:r>
        <w:t>Sureste</w:t>
      </w:r>
      <w:r>
        <w:t xml:space="preserve">, SA </w:t>
      </w:r>
      <w:r w:rsidRPr="00595395">
        <w:t xml:space="preserve">de C.V., a Mexican incorporated company that is owned by the Transferee and her sisters, </w:t>
      </w:r>
      <w:r w:rsidRPr="00595395" w:rsidR="00405707">
        <w:t xml:space="preserve">Rebeca Elizabeth </w:t>
      </w:r>
      <w:r w:rsidRPr="00595395" w:rsidR="00706BD2">
        <w:t>Peréz</w:t>
      </w:r>
      <w:r w:rsidRPr="00595395" w:rsidR="00405707">
        <w:t xml:space="preserve"> Toscano and Jaqueline </w:t>
      </w:r>
      <w:r w:rsidRPr="00595395" w:rsidR="00706BD2">
        <w:t>Peréz</w:t>
      </w:r>
      <w:r w:rsidRPr="00595395" w:rsidR="00405707">
        <w:t xml:space="preserve"> Toscano</w:t>
      </w:r>
      <w:r w:rsidRPr="00595395">
        <w:rPr>
          <w:szCs w:val="22"/>
        </w:rPr>
        <w:t xml:space="preserve">.  </w:t>
      </w:r>
    </w:p>
  </w:footnote>
  <w:footnote w:id="48">
    <w:p w:rsidR="0011594F" w:rsidRPr="00595395" w14:paraId="360D7890" w14:textId="07B1EAF0">
      <w:pPr>
        <w:pStyle w:val="FootnoteText"/>
      </w:pPr>
      <w:r w:rsidRPr="00595395">
        <w:rPr>
          <w:rStyle w:val="FootnoteReference"/>
        </w:rPr>
        <w:footnoteRef/>
      </w:r>
      <w:r w:rsidRPr="00595395">
        <w:t xml:space="preserve"> </w:t>
      </w:r>
      <w:r w:rsidRPr="00595395" w:rsidR="008739B9">
        <w:t>LOI Response at Attach. A, response to Question 14.</w:t>
      </w:r>
      <w:r w:rsidRPr="00595395" w:rsidR="00C32102">
        <w:t xml:space="preserve">  </w:t>
      </w:r>
      <w:r w:rsidRPr="00595395" w:rsidR="008109E9">
        <w:t>97.5 Licensee states that Ry</w:t>
      </w:r>
      <w:r w:rsidRPr="00595395" w:rsidR="00105AE3">
        <w:t xml:space="preserve">gaard </w:t>
      </w:r>
      <w:r w:rsidRPr="00595395" w:rsidR="00697FED">
        <w:t>is</w:t>
      </w:r>
      <w:r w:rsidRPr="00595395" w:rsidR="00105AE3">
        <w:t xml:space="preserve"> no longer affiliated </w:t>
      </w:r>
      <w:r w:rsidR="00595395">
        <w:t xml:space="preserve">with </w:t>
      </w:r>
      <w:r w:rsidRPr="00595395" w:rsidR="00105AE3">
        <w:t>Pro Radio</w:t>
      </w:r>
      <w:r w:rsidRPr="00595395" w:rsidR="008A7C3A">
        <w:t xml:space="preserve"> but does not indicate when the relationship ended.  </w:t>
      </w:r>
      <w:r w:rsidRPr="00595395" w:rsidR="008A7C3A">
        <w:rPr>
          <w:i/>
          <w:iCs/>
        </w:rPr>
        <w:t>Id.</w:t>
      </w:r>
      <w:r w:rsidRPr="00595395" w:rsidR="008A7C3A">
        <w:t xml:space="preserve">  </w:t>
      </w:r>
      <w:r w:rsidRPr="00595395" w:rsidR="00105AE3">
        <w:t xml:space="preserve">  </w:t>
      </w:r>
    </w:p>
  </w:footnote>
  <w:footnote w:id="49">
    <w:p w:rsidR="00164825" w:rsidRPr="00595395" w14:paraId="1F65BC73" w14:textId="78372655">
      <w:pPr>
        <w:pStyle w:val="FootnoteText"/>
      </w:pPr>
      <w:r w:rsidRPr="00595395">
        <w:rPr>
          <w:rStyle w:val="FootnoteReference"/>
        </w:rPr>
        <w:footnoteRef/>
      </w:r>
      <w:r w:rsidRPr="00595395">
        <w:t xml:space="preserve"> LOI Response at Attach. A, response to Question </w:t>
      </w:r>
      <w:r w:rsidRPr="00595395" w:rsidR="00C73686">
        <w:t xml:space="preserve">1(d).  </w:t>
      </w:r>
    </w:p>
  </w:footnote>
  <w:footnote w:id="50">
    <w:p w:rsidR="00AE6DAA" w:rsidRPr="00595395" w14:paraId="1889AF54" w14:textId="13E939FF">
      <w:pPr>
        <w:pStyle w:val="FootnoteText"/>
      </w:pPr>
      <w:r w:rsidRPr="00595395">
        <w:rPr>
          <w:rStyle w:val="FootnoteReference"/>
        </w:rPr>
        <w:footnoteRef/>
      </w:r>
      <w:r w:rsidRPr="00595395">
        <w:t xml:space="preserve"> LOI at Attach., Question 1(c)- (d).</w:t>
      </w:r>
    </w:p>
  </w:footnote>
  <w:footnote w:id="51">
    <w:p w:rsidR="00C43FDB" w:rsidP="00C43FDB" w14:paraId="46FDF5EF" w14:textId="77777777">
      <w:pPr>
        <w:pStyle w:val="FootnoteText"/>
      </w:pPr>
      <w:r w:rsidRPr="00595395">
        <w:rPr>
          <w:rStyle w:val="FootnoteReference"/>
        </w:rPr>
        <w:footnoteRef/>
      </w:r>
      <w:r w:rsidRPr="00595395">
        <w:t xml:space="preserve"> LOI Response at Attach. A, </w:t>
      </w:r>
      <w:r w:rsidRPr="00595395">
        <w:t>Exh</w:t>
      </w:r>
      <w:r w:rsidRPr="00595395">
        <w:t>. 6(b), Acknowledgement</w:t>
      </w:r>
      <w:r>
        <w:t xml:space="preserve"> of Indebtedness Agreement.</w:t>
      </w:r>
    </w:p>
  </w:footnote>
  <w:footnote w:id="52">
    <w:p w:rsidR="006F3FE8" w:rsidP="006F3FE8" w14:paraId="0D67EBC3" w14:textId="3BE5A5C2">
      <w:pPr>
        <w:pStyle w:val="FootnoteText"/>
      </w:pPr>
      <w:r>
        <w:rPr>
          <w:rStyle w:val="FootnoteReference"/>
        </w:rPr>
        <w:footnoteRef/>
      </w:r>
      <w:r>
        <w:t xml:space="preserve"> </w:t>
      </w:r>
      <w:r w:rsidRPr="008739B9" w:rsidR="008739B9">
        <w:rPr>
          <w:i/>
          <w:iCs/>
        </w:rPr>
        <w:t>Id</w:t>
      </w:r>
      <w:r w:rsidR="008739B9">
        <w:t xml:space="preserve">. </w:t>
      </w:r>
    </w:p>
  </w:footnote>
  <w:footnote w:id="53">
    <w:p w:rsidR="009E499E" w14:paraId="2961B3D0" w14:textId="33223037">
      <w:pPr>
        <w:pStyle w:val="FootnoteText"/>
      </w:pPr>
      <w:r>
        <w:rPr>
          <w:rStyle w:val="FootnoteReference"/>
        </w:rPr>
        <w:footnoteRef/>
      </w:r>
      <w:r>
        <w:t xml:space="preserve"> LOI Response at Attach. A, response to Question 6.  </w:t>
      </w:r>
    </w:p>
  </w:footnote>
  <w:footnote w:id="54">
    <w:p w:rsidR="00567E92" w:rsidP="00567E92" w14:paraId="3CDCFE4B" w14:textId="60EB2D8B">
      <w:pPr>
        <w:pStyle w:val="FootnoteText"/>
      </w:pPr>
      <w:r>
        <w:rPr>
          <w:rStyle w:val="FootnoteReference"/>
        </w:rPr>
        <w:footnoteRef/>
      </w:r>
      <w:r>
        <w:t xml:space="preserve"> </w:t>
      </w:r>
      <w:r w:rsidRPr="009E499E" w:rsidR="009E499E">
        <w:rPr>
          <w:i/>
          <w:iCs/>
        </w:rPr>
        <w:t>Id</w:t>
      </w:r>
      <w:r>
        <w:t xml:space="preserve">.  As detailed above, </w:t>
      </w:r>
      <w:r w:rsidR="0030594F">
        <w:rPr>
          <w:szCs w:val="22"/>
        </w:rPr>
        <w:t>Grupo</w:t>
      </w:r>
      <w:r w:rsidRPr="003D4C4F" w:rsidR="0030594F">
        <w:rPr>
          <w:szCs w:val="22"/>
        </w:rPr>
        <w:t xml:space="preserve"> </w:t>
      </w:r>
      <w:r w:rsidRPr="003D4C4F">
        <w:rPr>
          <w:szCs w:val="22"/>
        </w:rPr>
        <w:t xml:space="preserve">Radio Centro </w:t>
      </w:r>
      <w:r>
        <w:rPr>
          <w:szCs w:val="22"/>
        </w:rPr>
        <w:t>was the 100% owner of Grupo Radio TX, which held a 25% minority interest in 97.5 Holdings</w:t>
      </w:r>
      <w:r w:rsidR="009E499E">
        <w:rPr>
          <w:szCs w:val="22"/>
        </w:rPr>
        <w:t xml:space="preserve">.  </w:t>
      </w:r>
      <w:r>
        <w:rPr>
          <w:szCs w:val="22"/>
        </w:rPr>
        <w:t xml:space="preserve">Rygaard acquired </w:t>
      </w:r>
      <w:r w:rsidR="009E499E">
        <w:rPr>
          <w:szCs w:val="22"/>
        </w:rPr>
        <w:t xml:space="preserve">97.5 Holdings </w:t>
      </w:r>
      <w:r>
        <w:rPr>
          <w:szCs w:val="22"/>
        </w:rPr>
        <w:t xml:space="preserve">in May 2022 </w:t>
      </w:r>
      <w:r w:rsidRPr="00780B41">
        <w:rPr>
          <w:szCs w:val="22"/>
        </w:rPr>
        <w:t>for $10,000</w:t>
      </w:r>
      <w:r w:rsidR="003D48D3">
        <w:rPr>
          <w:szCs w:val="22"/>
        </w:rPr>
        <w:t xml:space="preserve"> USD</w:t>
      </w:r>
      <w:r w:rsidRPr="00780B41">
        <w:rPr>
          <w:szCs w:val="22"/>
        </w:rPr>
        <w:t xml:space="preserve">. </w:t>
      </w:r>
    </w:p>
  </w:footnote>
  <w:footnote w:id="55">
    <w:p w:rsidR="00926DC3" w:rsidP="00926DC3" w14:paraId="00B39B70" w14:textId="68EC1768">
      <w:pPr>
        <w:pStyle w:val="FootnoteText"/>
      </w:pPr>
      <w:r>
        <w:rPr>
          <w:rStyle w:val="FootnoteReference"/>
        </w:rPr>
        <w:footnoteRef/>
      </w:r>
      <w:r>
        <w:t xml:space="preserve"> </w:t>
      </w:r>
      <w:bookmarkStart w:id="84" w:name="_Hlk209610295"/>
      <w:r>
        <w:t xml:space="preserve">LOI Response at Attach. A, </w:t>
      </w:r>
      <w:r>
        <w:t>Exh</w:t>
      </w:r>
      <w:r>
        <w:t xml:space="preserve">. 6(b), </w:t>
      </w:r>
      <w:r>
        <w:rPr>
          <w:szCs w:val="22"/>
        </w:rPr>
        <w:t>A</w:t>
      </w:r>
      <w:r w:rsidRPr="003D4C4F">
        <w:rPr>
          <w:szCs w:val="22"/>
        </w:rPr>
        <w:t xml:space="preserve">ssignment </w:t>
      </w:r>
      <w:r>
        <w:rPr>
          <w:szCs w:val="22"/>
        </w:rPr>
        <w:t>of Debt Rights Agreemen</w:t>
      </w:r>
      <w:r w:rsidRPr="00CC7BBF">
        <w:rPr>
          <w:szCs w:val="22"/>
        </w:rPr>
        <w:t>t</w:t>
      </w:r>
      <w:r>
        <w:t xml:space="preserve">. </w:t>
      </w:r>
      <w:bookmarkEnd w:id="84"/>
      <w:r>
        <w:t xml:space="preserve"> </w:t>
      </w:r>
    </w:p>
  </w:footnote>
  <w:footnote w:id="56">
    <w:p w:rsidR="00926DC3" w14:paraId="46300BB9" w14:textId="6EDE9E30">
      <w:pPr>
        <w:pStyle w:val="FootnoteText"/>
      </w:pPr>
      <w:r>
        <w:rPr>
          <w:rStyle w:val="FootnoteReference"/>
        </w:rPr>
        <w:footnoteRef/>
      </w:r>
      <w:r>
        <w:t xml:space="preserve"> </w:t>
      </w:r>
      <w:r w:rsidRPr="00926DC3">
        <w:rPr>
          <w:i/>
          <w:iCs/>
        </w:rPr>
        <w:t>Id</w:t>
      </w:r>
      <w:r>
        <w:t xml:space="preserve">.  </w:t>
      </w:r>
      <w:r w:rsidRPr="003D4C4F">
        <w:rPr>
          <w:szCs w:val="22"/>
        </w:rPr>
        <w:t xml:space="preserve">The agreement </w:t>
      </w:r>
      <w:r>
        <w:rPr>
          <w:szCs w:val="22"/>
        </w:rPr>
        <w:t xml:space="preserve">also </w:t>
      </w:r>
      <w:r w:rsidRPr="003D4C4F">
        <w:rPr>
          <w:szCs w:val="22"/>
        </w:rPr>
        <w:t>records that Toscano’s payment of consideration was to be made in three tranches, with $400,000</w:t>
      </w:r>
      <w:r>
        <w:rPr>
          <w:szCs w:val="22"/>
        </w:rPr>
        <w:t xml:space="preserve"> being subject to a reconciliation with expenses or liabilities incurred by the Stations.  Toscano’s father, </w:t>
      </w:r>
      <w:r>
        <w:rPr>
          <w:szCs w:val="22"/>
        </w:rPr>
        <w:t>Trigio</w:t>
      </w:r>
      <w:r>
        <w:rPr>
          <w:szCs w:val="22"/>
        </w:rPr>
        <w:t xml:space="preserve"> Javier Peréz de Anda, served as her representative in the reconciliation of those funds, which appeared to be tied to the provision of operational services to the Stations by a company called Southern Radio, Inc.  </w:t>
      </w:r>
    </w:p>
  </w:footnote>
  <w:footnote w:id="57">
    <w:p w:rsidR="00752CFE" w14:paraId="426B8EE3" w14:textId="53609BC8">
      <w:pPr>
        <w:pStyle w:val="FootnoteText"/>
      </w:pPr>
      <w:r>
        <w:rPr>
          <w:rStyle w:val="FootnoteReference"/>
        </w:rPr>
        <w:footnoteRef/>
      </w:r>
      <w:r>
        <w:t xml:space="preserve"> As noted above, a</w:t>
      </w:r>
      <w:r w:rsidRPr="00E5711D">
        <w:t>lthough the Stock</w:t>
      </w:r>
      <w:r w:rsidRPr="00E5711D">
        <w:rPr>
          <w:szCs w:val="22"/>
        </w:rPr>
        <w:t xml:space="preserve"> </w:t>
      </w:r>
      <w:r w:rsidRPr="00E5711D">
        <w:t>Purchase Agreement</w:t>
      </w:r>
      <w:r>
        <w:t xml:space="preserve"> </w:t>
      </w:r>
      <w:r w:rsidRPr="00E5711D">
        <w:t>between Rygaard and Toscano makes</w:t>
      </w:r>
      <w:r w:rsidRPr="00E5711D">
        <w:rPr>
          <w:szCs w:val="22"/>
        </w:rPr>
        <w:t xml:space="preserve"> </w:t>
      </w:r>
      <w:r w:rsidRPr="00E5711D">
        <w:t>passing reference to the debt owed by 97.5 Holdings to Toscano,</w:t>
      </w:r>
      <w:r w:rsidRPr="00752CFE">
        <w:t xml:space="preserve"> </w:t>
      </w:r>
      <w:r w:rsidRPr="00E5711D">
        <w:t xml:space="preserve">the Parties </w:t>
      </w:r>
      <w:r>
        <w:t>did</w:t>
      </w:r>
      <w:r w:rsidRPr="00E5711D">
        <w:t xml:space="preserve"> not include copies of </w:t>
      </w:r>
      <w:r>
        <w:t>either the</w:t>
      </w:r>
      <w:r w:rsidRPr="00CE1104">
        <w:t xml:space="preserve"> </w:t>
      </w:r>
      <w:bookmarkStart w:id="85" w:name="_Hlk208921759"/>
      <w:r w:rsidRPr="00E5711D">
        <w:t>Acknowledgement of Indebtedness Agreement</w:t>
      </w:r>
      <w:r>
        <w:t xml:space="preserve"> or the </w:t>
      </w:r>
      <w:r w:rsidRPr="00E5711D">
        <w:t xml:space="preserve">Assignment of Debt </w:t>
      </w:r>
      <w:bookmarkEnd w:id="85"/>
      <w:r w:rsidRPr="00E5711D">
        <w:t>Rights Agreement as part of the pending Transfer Application</w:t>
      </w:r>
      <w:r>
        <w:t>.  Nor did the Parties provide</w:t>
      </w:r>
      <w:r w:rsidRPr="00E5711D">
        <w:t xml:space="preserve"> any information about the </w:t>
      </w:r>
      <w:r>
        <w:t>debt, its origination,</w:t>
      </w:r>
      <w:r w:rsidRPr="00E5711D">
        <w:t xml:space="preserve"> or the use of the funds by the Stations</w:t>
      </w:r>
      <w:r w:rsidRPr="00E5711D">
        <w:rPr>
          <w:szCs w:val="22"/>
        </w:rPr>
        <w:t>.</w:t>
      </w:r>
      <w:r>
        <w:rPr>
          <w:szCs w:val="22"/>
        </w:rPr>
        <w:t xml:space="preserve">  Th</w:t>
      </w:r>
      <w:r w:rsidR="00713EAF">
        <w:rPr>
          <w:szCs w:val="22"/>
        </w:rPr>
        <w:t>e</w:t>
      </w:r>
      <w:r w:rsidRPr="009F5A4E">
        <w:t xml:space="preserve"> Stock Purchase Agreement state</w:t>
      </w:r>
      <w:r>
        <w:t>s</w:t>
      </w:r>
      <w:r w:rsidRPr="009F5A4E">
        <w:t xml:space="preserve"> </w:t>
      </w:r>
      <w:r>
        <w:t xml:space="preserve">in passing </w:t>
      </w:r>
      <w:r w:rsidRPr="009F5A4E">
        <w:t>that 97.5 Holdings owes Toscano “a debt of $2,451,565.00</w:t>
      </w:r>
      <w:r>
        <w:t xml:space="preserve"> </w:t>
      </w:r>
      <w:r w:rsidRPr="009F5A4E">
        <w:t>USD</w:t>
      </w:r>
      <w:r>
        <w:t>,</w:t>
      </w:r>
      <w:r w:rsidRPr="009F5A4E">
        <w:t>”</w:t>
      </w:r>
      <w:r>
        <w:t xml:space="preserve"> without further explanation or reference.  </w:t>
      </w:r>
      <w:r w:rsidRPr="00752CFE">
        <w:rPr>
          <w:i/>
          <w:iCs/>
        </w:rPr>
        <w:t>See supra</w:t>
      </w:r>
      <w:r>
        <w:t xml:space="preserve"> para. </w:t>
      </w:r>
      <w:r w:rsidR="00076721">
        <w:fldChar w:fldCharType="begin"/>
      </w:r>
      <w:r w:rsidR="00076721">
        <w:instrText xml:space="preserve"> REF _Ref209621361 \r \h </w:instrText>
      </w:r>
      <w:r w:rsidR="00076721">
        <w:fldChar w:fldCharType="separate"/>
      </w:r>
      <w:r w:rsidR="00076721">
        <w:t>12</w:t>
      </w:r>
      <w:r w:rsidR="00076721">
        <w:fldChar w:fldCharType="end"/>
      </w:r>
      <w:r>
        <w:t xml:space="preserve">; </w:t>
      </w:r>
      <w:r w:rsidRPr="009F5A4E">
        <w:t xml:space="preserve">Transfer Application at </w:t>
      </w:r>
      <w:r w:rsidRPr="009F5A4E">
        <w:t>Exh</w:t>
      </w:r>
      <w:r w:rsidRPr="009F5A4E">
        <w:t xml:space="preserve">. </w:t>
      </w:r>
      <w:r w:rsidRPr="009F5A4E">
        <w:rPr>
          <w:i/>
          <w:iCs/>
        </w:rPr>
        <w:t>Stock Purchase Agreement LORENA margarita.pdf.</w:t>
      </w:r>
      <w:r>
        <w:rPr>
          <w:i/>
          <w:iCs/>
        </w:rPr>
        <w:t xml:space="preserve">  </w:t>
      </w:r>
      <w:r>
        <w:t xml:space="preserve"> </w:t>
      </w:r>
    </w:p>
  </w:footnote>
  <w:footnote w:id="58">
    <w:p w:rsidR="00B93C1B" w14:paraId="66419CD9" w14:textId="530B7EF4">
      <w:pPr>
        <w:pStyle w:val="FootnoteText"/>
      </w:pPr>
      <w:r>
        <w:rPr>
          <w:rStyle w:val="FootnoteReference"/>
        </w:rPr>
        <w:footnoteRef/>
      </w:r>
      <w:r>
        <w:t xml:space="preserve"> LOI Response at Attach. A, response to Question 13.  </w:t>
      </w:r>
    </w:p>
  </w:footnote>
  <w:footnote w:id="59">
    <w:p w:rsidR="001812D9" w14:paraId="418EA509" w14:textId="6ACFC4B1">
      <w:pPr>
        <w:pStyle w:val="FootnoteText"/>
      </w:pPr>
      <w:r>
        <w:rPr>
          <w:rStyle w:val="FootnoteReference"/>
        </w:rPr>
        <w:footnoteRef/>
      </w:r>
      <w:r>
        <w:t xml:space="preserve"> </w:t>
      </w:r>
      <w:r w:rsidRPr="00B93C1B" w:rsidR="00B93C1B">
        <w:rPr>
          <w:i/>
          <w:iCs/>
        </w:rPr>
        <w:t>Id</w:t>
      </w:r>
      <w:r w:rsidR="008561D8">
        <w:t xml:space="preserve">.  While the LOI Response states </w:t>
      </w:r>
      <w:r>
        <w:t>“</w:t>
      </w:r>
      <w:r>
        <w:t>Trigio</w:t>
      </w:r>
      <w:r>
        <w:t xml:space="preserve"> Javier </w:t>
      </w:r>
      <w:r w:rsidR="00706BD2">
        <w:t>Peréz</w:t>
      </w:r>
      <w:r>
        <w:t xml:space="preserve"> de Anda was formerly an officer of 97.5 Holdings</w:t>
      </w:r>
      <w:r w:rsidR="008561D8">
        <w:t xml:space="preserve">” and that he </w:t>
      </w:r>
      <w:r w:rsidR="00B93C1B">
        <w:t>“</w:t>
      </w:r>
      <w:r>
        <w:t xml:space="preserve">no longer holds a position with </w:t>
      </w:r>
      <w:r w:rsidR="00E14F17">
        <w:t>[</w:t>
      </w:r>
      <w:r w:rsidR="008561D8">
        <w:t>that company</w:t>
      </w:r>
      <w:r w:rsidR="00E14F17">
        <w:t>],”</w:t>
      </w:r>
      <w:r w:rsidR="008561D8">
        <w:t xml:space="preserve"> it </w:t>
      </w:r>
      <w:r w:rsidR="003347BC">
        <w:t xml:space="preserve">does not indicate the dates that </w:t>
      </w:r>
      <w:r w:rsidR="008561D8">
        <w:t>he served as</w:t>
      </w:r>
      <w:r w:rsidR="003347BC">
        <w:t xml:space="preserve"> an officer </w:t>
      </w:r>
      <w:r w:rsidR="00752CFE">
        <w:t>of that company</w:t>
      </w:r>
      <w:r w:rsidR="008561D8">
        <w:t xml:space="preserve">.  Further, </w:t>
      </w:r>
      <w:r w:rsidRPr="008561D8" w:rsidR="008561D8">
        <w:t xml:space="preserve">Mr. </w:t>
      </w:r>
      <w:r w:rsidR="00706BD2">
        <w:t>Peréz</w:t>
      </w:r>
      <w:r w:rsidRPr="008561D8" w:rsidR="008561D8">
        <w:t xml:space="preserve"> de Anda’s involvement as an attributable interest holder in the Stations does not appear to have been reported to the Commission previously.  Neither the assignment application by which 97.5 Holdings obtained </w:t>
      </w:r>
      <w:r w:rsidR="008A7D63">
        <w:t xml:space="preserve">control of </w:t>
      </w:r>
      <w:r w:rsidRPr="008561D8" w:rsidR="008561D8">
        <w:t>the Station</w:t>
      </w:r>
      <w:r w:rsidR="00EC7878">
        <w:t xml:space="preserve"> licenses </w:t>
      </w:r>
      <w:r w:rsidRPr="008561D8" w:rsidR="008561D8">
        <w:t>in 2016, nor the subsequent ownership reports filed with the Commission reporting the ownership of 97.5 Holdings</w:t>
      </w:r>
      <w:r w:rsidR="008561D8">
        <w:t xml:space="preserve"> in</w:t>
      </w:r>
      <w:r w:rsidR="00E14F17">
        <w:t xml:space="preserve"> either</w:t>
      </w:r>
      <w:r w:rsidR="008561D8">
        <w:t xml:space="preserve"> 2018 </w:t>
      </w:r>
      <w:r w:rsidR="00E14F17">
        <w:t>or</w:t>
      </w:r>
      <w:r w:rsidR="008561D8">
        <w:t xml:space="preserve"> 2020</w:t>
      </w:r>
      <w:r w:rsidRPr="008561D8" w:rsidR="008561D8">
        <w:t xml:space="preserve"> </w:t>
      </w:r>
      <w:r w:rsidR="008561D8">
        <w:t>list</w:t>
      </w:r>
      <w:r w:rsidRPr="008561D8" w:rsidR="008561D8">
        <w:t xml:space="preserve"> Mr. </w:t>
      </w:r>
      <w:r w:rsidR="00706BD2">
        <w:t>Peréz</w:t>
      </w:r>
      <w:r w:rsidRPr="008561D8" w:rsidR="008561D8">
        <w:t xml:space="preserve"> de Anda as an officer of that company.  </w:t>
      </w:r>
      <w:r w:rsidRPr="008561D8" w:rsidR="008561D8">
        <w:rPr>
          <w:i/>
          <w:iCs/>
        </w:rPr>
        <w:t>See</w:t>
      </w:r>
      <w:r w:rsidRPr="008561D8" w:rsidR="008561D8">
        <w:t xml:space="preserve"> Assignment </w:t>
      </w:r>
      <w:r w:rsidR="008561D8">
        <w:t>A</w:t>
      </w:r>
      <w:r w:rsidRPr="008561D8" w:rsidR="008561D8">
        <w:t>pplication</w:t>
      </w:r>
      <w:r w:rsidR="008561D8">
        <w:t xml:space="preserve">. </w:t>
      </w:r>
      <w:r w:rsidRPr="008561D8" w:rsidR="008561D8">
        <w:t xml:space="preserve">File No. BALH-20161108AAW, filed Nov. 08, 2016; Biennial </w:t>
      </w:r>
      <w:r w:rsidR="008561D8">
        <w:t>O</w:t>
      </w:r>
      <w:r w:rsidRPr="008561D8" w:rsidR="008561D8">
        <w:t xml:space="preserve">wnership </w:t>
      </w:r>
      <w:r w:rsidR="008561D8">
        <w:t>R</w:t>
      </w:r>
      <w:r w:rsidRPr="008561D8" w:rsidR="008561D8">
        <w:t>eport</w:t>
      </w:r>
      <w:r w:rsidR="008561D8">
        <w:t xml:space="preserve">, </w:t>
      </w:r>
      <w:r w:rsidR="00F969CA">
        <w:t xml:space="preserve">Application </w:t>
      </w:r>
      <w:r w:rsidRPr="008561D8" w:rsidR="008561D8">
        <w:t>File No. 0000099120, filed Jan. 22, 2020; Biennial Ownership Report</w:t>
      </w:r>
      <w:r w:rsidR="008561D8">
        <w:t>,</w:t>
      </w:r>
      <w:r w:rsidRPr="008561D8" w:rsidR="008561D8">
        <w:t xml:space="preserve"> </w:t>
      </w:r>
      <w:r w:rsidR="00F969CA">
        <w:t xml:space="preserve">Application </w:t>
      </w:r>
      <w:r w:rsidRPr="008561D8" w:rsidR="008561D8">
        <w:t xml:space="preserve">File No. 0000047753, filed Mar. 2, 2018.  The only individuals reported </w:t>
      </w:r>
      <w:r w:rsidR="00EC7878">
        <w:t>as</w:t>
      </w:r>
      <w:r w:rsidRPr="008561D8" w:rsidR="008561D8">
        <w:t xml:space="preserve"> attributable officers or directors of 97.5 Holdings </w:t>
      </w:r>
      <w:r w:rsidR="00EC7878">
        <w:t xml:space="preserve">in those filings </w:t>
      </w:r>
      <w:r w:rsidRPr="008561D8" w:rsidR="008561D8">
        <w:t>were Cynthia Denise Johnson and Rafael Marquez Aguirre.</w:t>
      </w:r>
      <w:r w:rsidR="008561D8">
        <w:t xml:space="preserve"> </w:t>
      </w:r>
      <w:r w:rsidRPr="008561D8" w:rsidR="008561D8">
        <w:t xml:space="preserve"> </w:t>
      </w:r>
      <w:r w:rsidR="008561D8">
        <w:t xml:space="preserve">  </w:t>
      </w:r>
    </w:p>
  </w:footnote>
  <w:footnote w:id="60">
    <w:p w:rsidR="004B23D5" w:rsidP="004B23D5" w14:paraId="04767CAB" w14:textId="4A7CA279">
      <w:pPr>
        <w:pStyle w:val="FootnoteText"/>
      </w:pPr>
      <w:r>
        <w:rPr>
          <w:rStyle w:val="FootnoteReference"/>
        </w:rPr>
        <w:footnoteRef/>
      </w:r>
      <w:r>
        <w:t xml:space="preserve"> </w:t>
      </w:r>
      <w:r w:rsidRPr="00FF27B2" w:rsidR="00FF27B2">
        <w:rPr>
          <w:i/>
          <w:iCs/>
        </w:rPr>
        <w:t>Supra</w:t>
      </w:r>
      <w:r w:rsidR="00FF27B2">
        <w:t xml:space="preserve"> para. </w:t>
      </w:r>
      <w:r w:rsidR="00FF27B2">
        <w:fldChar w:fldCharType="begin"/>
      </w:r>
      <w:r w:rsidR="00FF27B2">
        <w:instrText xml:space="preserve"> REF _Ref209690459 \r \h </w:instrText>
      </w:r>
      <w:r w:rsidR="00FF27B2">
        <w:fldChar w:fldCharType="separate"/>
      </w:r>
      <w:r w:rsidR="002F69DA">
        <w:t>9</w:t>
      </w:r>
      <w:r w:rsidR="00FF27B2">
        <w:fldChar w:fldCharType="end"/>
      </w:r>
      <w:r w:rsidR="008A7D63">
        <w:t>,</w:t>
      </w:r>
      <w:r w:rsidR="00FF27B2">
        <w:t xml:space="preserve"> note </w:t>
      </w:r>
      <w:r w:rsidR="00FF27B2">
        <w:fldChar w:fldCharType="begin"/>
      </w:r>
      <w:r w:rsidR="00FF27B2">
        <w:instrText xml:space="preserve"> NOTEREF _Ref209690512 \h </w:instrText>
      </w:r>
      <w:r w:rsidR="00FF27B2">
        <w:fldChar w:fldCharType="separate"/>
      </w:r>
      <w:r w:rsidR="002F69DA">
        <w:t>25</w:t>
      </w:r>
      <w:r w:rsidR="00FF27B2">
        <w:fldChar w:fldCharType="end"/>
      </w:r>
      <w:r w:rsidR="00FF27B2">
        <w:t xml:space="preserve">; </w:t>
      </w:r>
      <w:r w:rsidRPr="00FF27B2" w:rsidR="00FF27B2">
        <w:rPr>
          <w:i/>
          <w:iCs/>
        </w:rPr>
        <w:t>see also</w:t>
      </w:r>
      <w:r w:rsidR="00FF27B2">
        <w:t xml:space="preserve">, </w:t>
      </w:r>
      <w:r>
        <w:t xml:space="preserve">LOI Response at Attach. A, response to Question 7.  </w:t>
      </w:r>
    </w:p>
  </w:footnote>
  <w:footnote w:id="61">
    <w:p w:rsidR="00F92757" w14:paraId="1D2B0F0F" w14:textId="3D5D72ED">
      <w:pPr>
        <w:pStyle w:val="FootnoteText"/>
      </w:pPr>
      <w:r>
        <w:rPr>
          <w:rStyle w:val="FootnoteReference"/>
        </w:rPr>
        <w:footnoteRef/>
      </w:r>
      <w:r>
        <w:t xml:space="preserve"> </w:t>
      </w:r>
      <w:bookmarkStart w:id="86" w:name="_Hlk209618916"/>
      <w:r w:rsidR="00205E6B">
        <w:t xml:space="preserve">LOI Response at </w:t>
      </w:r>
      <w:r w:rsidR="009225AE">
        <w:t>Attach. A, Declaration</w:t>
      </w:r>
      <w:r w:rsidR="001D4CE9">
        <w:t xml:space="preserve"> of Luz Maria Rygaard</w:t>
      </w:r>
      <w:bookmarkEnd w:id="86"/>
      <w:r w:rsidR="009225AE">
        <w:t xml:space="preserve">.  </w:t>
      </w:r>
    </w:p>
  </w:footnote>
  <w:footnote w:id="62">
    <w:p w:rsidR="00CB5389" w14:paraId="7EFD113C" w14:textId="310DDB80">
      <w:pPr>
        <w:pStyle w:val="FootnoteText"/>
      </w:pPr>
      <w:r>
        <w:rPr>
          <w:rStyle w:val="FootnoteReference"/>
        </w:rPr>
        <w:footnoteRef/>
      </w:r>
      <w:r>
        <w:t xml:space="preserve"> 47 CFR § 1.88</w:t>
      </w:r>
      <w:r w:rsidR="00106F12">
        <w:t xml:space="preserve"> (allowing </w:t>
      </w:r>
      <w:r w:rsidRPr="00106F12" w:rsidR="00106F12">
        <w:t>licensee</w:t>
      </w:r>
      <w:r w:rsidR="00106F12">
        <w:t xml:space="preserve"> to </w:t>
      </w:r>
      <w:r w:rsidRPr="00106F12" w:rsidR="00106F12">
        <w:t xml:space="preserve">file a written statement </w:t>
      </w:r>
      <w:r w:rsidR="00106F12">
        <w:t xml:space="preserve">in response to a Commission inquiry to set </w:t>
      </w:r>
      <w:r w:rsidRPr="00106F12" w:rsidR="00106F12">
        <w:t>forth its views regarding the matters under investigation</w:t>
      </w:r>
      <w:r w:rsidR="00106F12">
        <w:t xml:space="preserve"> in advance of a possible designation for hearing)</w:t>
      </w:r>
      <w:r>
        <w:t xml:space="preserve">.  </w:t>
      </w:r>
    </w:p>
  </w:footnote>
  <w:footnote w:id="63">
    <w:p w:rsidR="00B73206" w14:paraId="3E9E204D" w14:textId="21303C50">
      <w:pPr>
        <w:pStyle w:val="FootnoteText"/>
      </w:pPr>
      <w:r>
        <w:rPr>
          <w:rStyle w:val="FootnoteReference"/>
        </w:rPr>
        <w:footnoteRef/>
      </w:r>
      <w:r>
        <w:t xml:space="preserve"> </w:t>
      </w:r>
      <w:r w:rsidR="00E048D1">
        <w:t xml:space="preserve">Section 1.88 </w:t>
      </w:r>
      <w:r>
        <w:t xml:space="preserve">Letter from </w:t>
      </w:r>
      <w:r w:rsidRPr="00B73206">
        <w:t xml:space="preserve">Albert Shuldiner, </w:t>
      </w:r>
      <w:r>
        <w:t xml:space="preserve">Chief </w:t>
      </w:r>
      <w:r w:rsidRPr="00B73206">
        <w:t>Audio Division, FCC Media Bureau</w:t>
      </w:r>
      <w:r>
        <w:t xml:space="preserve">, to 97.5 Licensee TX, LLC, et al., Oct. 9, 2024.  </w:t>
      </w:r>
    </w:p>
  </w:footnote>
  <w:footnote w:id="64">
    <w:p w:rsidR="00FC25EF" w14:paraId="4FF3B7D5" w14:textId="413F4740">
      <w:pPr>
        <w:pStyle w:val="FootnoteText"/>
      </w:pPr>
      <w:r>
        <w:rPr>
          <w:rStyle w:val="FootnoteReference"/>
        </w:rPr>
        <w:footnoteRef/>
      </w:r>
      <w:r>
        <w:t xml:space="preserve"> 1.88 Letter at 2-4, questions 1-2, 4.</w:t>
      </w:r>
    </w:p>
  </w:footnote>
  <w:footnote w:id="65">
    <w:p w:rsidR="00FC25EF" w14:paraId="4B927EC4" w14:textId="608F761B">
      <w:pPr>
        <w:pStyle w:val="FootnoteText"/>
      </w:pPr>
      <w:r>
        <w:rPr>
          <w:rStyle w:val="FootnoteReference"/>
        </w:rPr>
        <w:footnoteRef/>
      </w:r>
      <w:r>
        <w:t xml:space="preserve"> 1.88 Letter at 3, question 3.</w:t>
      </w:r>
    </w:p>
  </w:footnote>
  <w:footnote w:id="66">
    <w:p w:rsidR="00FC25EF" w:rsidRPr="002F69DA" w14:paraId="7F135969" w14:textId="5AF51494">
      <w:pPr>
        <w:pStyle w:val="FootnoteText"/>
        <w:rPr>
          <w:lang w:val="nb-NO"/>
        </w:rPr>
      </w:pPr>
      <w:r>
        <w:rPr>
          <w:rStyle w:val="FootnoteReference"/>
        </w:rPr>
        <w:footnoteRef/>
      </w:r>
      <w:r w:rsidRPr="002F69DA">
        <w:rPr>
          <w:lang w:val="nb-NO"/>
        </w:rPr>
        <w:t xml:space="preserve"> 1.88 Letter at 4-5, questions 5-6.</w:t>
      </w:r>
    </w:p>
  </w:footnote>
  <w:footnote w:id="67">
    <w:p w:rsidR="00FC25EF" w:rsidRPr="002F69DA" w14:paraId="043AB7A0" w14:textId="1207F8CE">
      <w:pPr>
        <w:pStyle w:val="FootnoteText"/>
        <w:rPr>
          <w:lang w:val="nb-NO"/>
        </w:rPr>
      </w:pPr>
      <w:r>
        <w:rPr>
          <w:rStyle w:val="FootnoteReference"/>
        </w:rPr>
        <w:footnoteRef/>
      </w:r>
      <w:r w:rsidRPr="002F69DA">
        <w:rPr>
          <w:lang w:val="nb-NO"/>
        </w:rPr>
        <w:t xml:space="preserve"> 1.88 Letter at 1.</w:t>
      </w:r>
    </w:p>
  </w:footnote>
  <w:footnote w:id="68">
    <w:p w:rsidR="00FC25EF" w:rsidRPr="002F69DA" w14:paraId="10A4B517" w14:textId="466AA650">
      <w:pPr>
        <w:pStyle w:val="FootnoteText"/>
        <w:rPr>
          <w:lang w:val="nb-NO"/>
        </w:rPr>
      </w:pPr>
      <w:r>
        <w:rPr>
          <w:rStyle w:val="FootnoteReference"/>
        </w:rPr>
        <w:footnoteRef/>
      </w:r>
      <w:r w:rsidRPr="002F69DA">
        <w:rPr>
          <w:lang w:val="nb-NO"/>
        </w:rPr>
        <w:t xml:space="preserve"> 1.88 Letter at 2-6.</w:t>
      </w:r>
    </w:p>
  </w:footnote>
  <w:footnote w:id="69">
    <w:p w:rsidR="00FC25EF" w14:paraId="186CDDA2" w14:textId="376D8B5D">
      <w:pPr>
        <w:pStyle w:val="FootnoteText"/>
      </w:pPr>
      <w:r>
        <w:rPr>
          <w:rStyle w:val="FootnoteReference"/>
        </w:rPr>
        <w:footnoteRef/>
      </w:r>
      <w:r>
        <w:t xml:space="preserve"> 1.88 Letter at 5-6.</w:t>
      </w:r>
    </w:p>
  </w:footnote>
  <w:footnote w:id="70">
    <w:p w:rsidR="006045F1" w14:paraId="34C82005" w14:textId="663B1759">
      <w:pPr>
        <w:pStyle w:val="FootnoteText"/>
      </w:pPr>
      <w:r>
        <w:rPr>
          <w:rStyle w:val="FootnoteReference"/>
        </w:rPr>
        <w:footnoteRef/>
      </w:r>
      <w:r>
        <w:t xml:space="preserve"> Letter from Francisco R. Montero, Counsel for 97.5 Licensee TX, LLC, to Christopher Clark, Brendan Holland, and Albert Shuldiner, Audio Division, FCC Media Bureau, </w:t>
      </w:r>
      <w:r w:rsidR="00194866">
        <w:t>Nov</w:t>
      </w:r>
      <w:r>
        <w:t xml:space="preserve">. </w:t>
      </w:r>
      <w:r w:rsidR="00194866">
        <w:t>8</w:t>
      </w:r>
      <w:r>
        <w:t>, 2024 (</w:t>
      </w:r>
      <w:r w:rsidRPr="00D53C0D" w:rsidR="00194866">
        <w:rPr>
          <w:i/>
        </w:rPr>
        <w:t>1.88 Letter</w:t>
      </w:r>
      <w:r w:rsidRPr="00D53C0D">
        <w:rPr>
          <w:i/>
        </w:rPr>
        <w:t xml:space="preserve"> Response</w:t>
      </w:r>
      <w:r>
        <w:t xml:space="preserve">).  </w:t>
      </w:r>
    </w:p>
  </w:footnote>
  <w:footnote w:id="71">
    <w:p w:rsidR="00AA4CFF" w14:paraId="35B57B5F" w14:textId="41928200">
      <w:pPr>
        <w:pStyle w:val="FootnoteText"/>
      </w:pPr>
      <w:r>
        <w:rPr>
          <w:rStyle w:val="FootnoteReference"/>
        </w:rPr>
        <w:footnoteRef/>
      </w:r>
      <w:r>
        <w:t xml:space="preserve"> </w:t>
      </w:r>
      <w:r w:rsidRPr="00595395">
        <w:rPr>
          <w:i/>
          <w:iCs/>
        </w:rPr>
        <w:t>See</w:t>
      </w:r>
      <w:r>
        <w:t xml:space="preserve"> </w:t>
      </w:r>
      <w:r w:rsidR="0023217B">
        <w:t>LOI at Attach. A, Question 1(d)</w:t>
      </w:r>
      <w:r w:rsidR="00C84CA3">
        <w:t>.</w:t>
      </w:r>
      <w:r w:rsidR="0023217B">
        <w:t xml:space="preserve"> </w:t>
      </w:r>
    </w:p>
  </w:footnote>
  <w:footnote w:id="72">
    <w:p w:rsidR="00426FF5" w:rsidRPr="008773F6" w:rsidP="008773F6" w14:paraId="3D4BCC31" w14:textId="6A4B10FB">
      <w:pPr>
        <w:pStyle w:val="FootnoteText"/>
        <w:widowControl w:val="0"/>
      </w:pPr>
      <w:r w:rsidRPr="008773F6">
        <w:rPr>
          <w:rStyle w:val="FootnoteReference"/>
        </w:rPr>
        <w:footnoteRef/>
      </w:r>
      <w:r w:rsidRPr="008773F6">
        <w:t xml:space="preserve"> 47 U.S.C. § 310(d); </w:t>
      </w:r>
      <w:r w:rsidRPr="008773F6">
        <w:rPr>
          <w:i/>
          <w:iCs/>
        </w:rPr>
        <w:t>see also</w:t>
      </w:r>
      <w:r w:rsidRPr="008773F6">
        <w:t xml:space="preserve"> 47 CFR § 73.3540</w:t>
      </w:r>
      <w:r w:rsidR="00A40116">
        <w:t xml:space="preserve"> </w:t>
      </w:r>
      <w:r w:rsidR="00A40116">
        <w:rPr>
          <w:szCs w:val="22"/>
        </w:rPr>
        <w:t>(requiring the Commission’s p</w:t>
      </w:r>
      <w:r w:rsidRPr="00A40116" w:rsidR="00A40116">
        <w:rPr>
          <w:szCs w:val="22"/>
        </w:rPr>
        <w:t xml:space="preserve">rior consent </w:t>
      </w:r>
      <w:r w:rsidR="00A40116">
        <w:rPr>
          <w:szCs w:val="22"/>
        </w:rPr>
        <w:t>before</w:t>
      </w:r>
      <w:r w:rsidRPr="00A40116" w:rsidR="00A40116">
        <w:rPr>
          <w:szCs w:val="22"/>
        </w:rPr>
        <w:t xml:space="preserve"> a voluntary assignment or transfer of control</w:t>
      </w:r>
      <w:r w:rsidR="00A40116">
        <w:rPr>
          <w:szCs w:val="22"/>
        </w:rPr>
        <w:t>)</w:t>
      </w:r>
      <w:r w:rsidRPr="008773F6">
        <w:t>.</w:t>
      </w:r>
    </w:p>
  </w:footnote>
  <w:footnote w:id="73">
    <w:p w:rsidR="00426FF5" w:rsidRPr="008773F6" w:rsidP="008773F6" w14:paraId="1FE55117" w14:textId="77777777">
      <w:pPr>
        <w:pStyle w:val="FootnoteText"/>
        <w:widowControl w:val="0"/>
      </w:pPr>
      <w:r w:rsidRPr="008773F6">
        <w:rPr>
          <w:rStyle w:val="FootnoteReference"/>
        </w:rPr>
        <w:footnoteRef/>
      </w:r>
      <w:r w:rsidRPr="008773F6">
        <w:t xml:space="preserve"> </w:t>
      </w:r>
      <w:r w:rsidRPr="008773F6">
        <w:rPr>
          <w:i/>
        </w:rPr>
        <w:t>See</w:t>
      </w:r>
      <w:r w:rsidRPr="008773F6">
        <w:t xml:space="preserve"> </w:t>
      </w:r>
      <w:r w:rsidRPr="008773F6">
        <w:rPr>
          <w:i/>
          <w:iCs/>
        </w:rPr>
        <w:t>id</w:t>
      </w:r>
      <w:r w:rsidRPr="008773F6">
        <w:t>.</w:t>
      </w:r>
    </w:p>
  </w:footnote>
  <w:footnote w:id="74">
    <w:p w:rsidR="00426FF5" w:rsidRPr="008773F6" w:rsidP="008773F6" w14:paraId="3B64984D" w14:textId="3E451224">
      <w:pPr>
        <w:spacing w:after="120"/>
        <w:rPr>
          <w:sz w:val="20"/>
        </w:rPr>
      </w:pPr>
      <w:r w:rsidRPr="008773F6">
        <w:rPr>
          <w:rStyle w:val="FootnoteReference"/>
        </w:rPr>
        <w:footnoteRef/>
      </w:r>
      <w:r w:rsidRPr="008773F6">
        <w:rPr>
          <w:sz w:val="20"/>
        </w:rPr>
        <w:t xml:space="preserve"> </w:t>
      </w:r>
      <w:r w:rsidRPr="008773F6">
        <w:rPr>
          <w:i/>
          <w:iCs/>
          <w:sz w:val="20"/>
        </w:rPr>
        <w:t>See WHDH, Inc.</w:t>
      </w:r>
      <w:r w:rsidRPr="008773F6">
        <w:rPr>
          <w:sz w:val="20"/>
        </w:rPr>
        <w:t>, 1</w:t>
      </w:r>
      <w:r w:rsidR="00E33DC6">
        <w:rPr>
          <w:sz w:val="20"/>
        </w:rPr>
        <w:t>7</w:t>
      </w:r>
      <w:r w:rsidRPr="008773F6">
        <w:rPr>
          <w:sz w:val="20"/>
        </w:rPr>
        <w:t xml:space="preserve"> FCC 2d 856, 863</w:t>
      </w:r>
      <w:r w:rsidR="008652E9">
        <w:rPr>
          <w:sz w:val="20"/>
        </w:rPr>
        <w:t>, para. 15</w:t>
      </w:r>
      <w:r w:rsidRPr="008773F6">
        <w:rPr>
          <w:sz w:val="20"/>
        </w:rPr>
        <w:t xml:space="preserve"> (1969), </w:t>
      </w:r>
      <w:r w:rsidRPr="008773F6">
        <w:rPr>
          <w:i/>
          <w:iCs/>
          <w:sz w:val="20"/>
        </w:rPr>
        <w:t>aff’d sub nom.</w:t>
      </w:r>
      <w:r w:rsidRPr="008773F6">
        <w:rPr>
          <w:sz w:val="20"/>
        </w:rPr>
        <w:t xml:space="preserve"> </w:t>
      </w:r>
      <w:r w:rsidRPr="008773F6">
        <w:rPr>
          <w:i/>
          <w:iCs/>
          <w:sz w:val="20"/>
        </w:rPr>
        <w:t>Greater Boston Television Corp. v. FCC</w:t>
      </w:r>
      <w:r w:rsidRPr="008773F6">
        <w:rPr>
          <w:sz w:val="20"/>
        </w:rPr>
        <w:t>, 444 F.2d 841 (D.C. Cir. 1970);</w:t>
      </w:r>
      <w:r w:rsidRPr="008773F6">
        <w:rPr>
          <w:i/>
          <w:sz w:val="20"/>
        </w:rPr>
        <w:t xml:space="preserve"> Paxson Mgmt. Corp. &amp; Lowell W. Paxson (Transferors) &amp; CIG Media LLC (Transferee)</w:t>
      </w:r>
      <w:r w:rsidRPr="008773F6">
        <w:rPr>
          <w:sz w:val="20"/>
        </w:rPr>
        <w:t xml:space="preserve">, </w:t>
      </w:r>
      <w:r w:rsidR="0090562D">
        <w:rPr>
          <w:sz w:val="20"/>
        </w:rPr>
        <w:t xml:space="preserve">Memorandum Opinion and Order, </w:t>
      </w:r>
      <w:r w:rsidRPr="008773F6">
        <w:rPr>
          <w:sz w:val="20"/>
        </w:rPr>
        <w:t>22 FCC Rcd 22224, 22234, para. 28 (2007)</w:t>
      </w:r>
      <w:r w:rsidR="00823F7F">
        <w:rPr>
          <w:sz w:val="20"/>
        </w:rPr>
        <w:t xml:space="preserve"> (“An unauthorized transfer of </w:t>
      </w:r>
      <w:r w:rsidR="00823F7F">
        <w:rPr>
          <w:i/>
          <w:iCs/>
          <w:sz w:val="20"/>
        </w:rPr>
        <w:t xml:space="preserve">de facto </w:t>
      </w:r>
      <w:r w:rsidR="00823F7F">
        <w:rPr>
          <w:sz w:val="20"/>
        </w:rPr>
        <w:t>control would violate Section 310(d) of the Act”).</w:t>
      </w:r>
    </w:p>
  </w:footnote>
  <w:footnote w:id="75">
    <w:p w:rsidR="00426FF5" w:rsidRPr="008773F6" w:rsidP="008773F6" w14:paraId="1D339D9D" w14:textId="77777777">
      <w:pPr>
        <w:pStyle w:val="FootnoteText"/>
        <w:widowControl w:val="0"/>
      </w:pPr>
      <w:r w:rsidRPr="008773F6">
        <w:rPr>
          <w:rStyle w:val="FootnoteReference"/>
        </w:rPr>
        <w:footnoteRef/>
      </w:r>
      <w:r w:rsidRPr="008773F6">
        <w:t xml:space="preserve"> </w:t>
      </w:r>
      <w:r w:rsidRPr="008773F6">
        <w:rPr>
          <w:i/>
        </w:rPr>
        <w:t>See, e.g., Radio Moultrie, Inc.</w:t>
      </w:r>
      <w:r w:rsidRPr="008773F6">
        <w:t>, Order to Show Cause and Notice of Opportunity for Hearing, 17 FCC Rcd 24304, 24306 (2002).</w:t>
      </w:r>
    </w:p>
  </w:footnote>
  <w:footnote w:id="76">
    <w:p w:rsidR="00426FF5" w:rsidRPr="00FD66CD" w:rsidP="008773F6" w14:paraId="60324921" w14:textId="77777777">
      <w:pPr>
        <w:pStyle w:val="FootnoteText"/>
        <w:widowControl w:val="0"/>
      </w:pPr>
      <w:r w:rsidRPr="008773F6">
        <w:rPr>
          <w:rStyle w:val="FootnoteReference"/>
        </w:rPr>
        <w:footnoteRef/>
      </w:r>
      <w:r w:rsidRPr="008773F6">
        <w:t xml:space="preserve"> </w:t>
      </w:r>
      <w:r w:rsidRPr="008773F6">
        <w:rPr>
          <w:i/>
        </w:rPr>
        <w:t>See WQRZ, Inc</w:t>
      </w:r>
      <w:r w:rsidRPr="008773F6">
        <w:t xml:space="preserve">., Decision, 22 FCC 1254, 1332, para. </w:t>
      </w:r>
      <w:r w:rsidRPr="00FD66CD">
        <w:t>51 (1957).</w:t>
      </w:r>
    </w:p>
  </w:footnote>
  <w:footnote w:id="77">
    <w:p w:rsidR="00426FF5" w:rsidRPr="00FD66CD" w:rsidP="008773F6" w14:paraId="0E5A6416" w14:textId="77777777">
      <w:pPr>
        <w:pStyle w:val="FootnoteText"/>
        <w:widowControl w:val="0"/>
      </w:pPr>
      <w:r w:rsidRPr="008773F6">
        <w:rPr>
          <w:rStyle w:val="FootnoteReference"/>
        </w:rPr>
        <w:footnoteRef/>
      </w:r>
      <w:r w:rsidRPr="00FD66CD">
        <w:t xml:space="preserve"> 47 U.S.C. § 310(b).  </w:t>
      </w:r>
    </w:p>
  </w:footnote>
  <w:footnote w:id="78">
    <w:p w:rsidR="002E04B8" w:rsidRPr="00FD66CD" w14:paraId="6AAA646B" w14:textId="6DCAE237">
      <w:pPr>
        <w:pStyle w:val="FootnoteText"/>
      </w:pPr>
      <w:r>
        <w:rPr>
          <w:rStyle w:val="FootnoteReference"/>
        </w:rPr>
        <w:footnoteRef/>
      </w:r>
      <w:r w:rsidRPr="00FD66CD">
        <w:t xml:space="preserve"> </w:t>
      </w:r>
      <w:r w:rsidRPr="00D53C0D" w:rsidR="00D53C0D">
        <w:rPr>
          <w:i/>
          <w:iCs/>
        </w:rPr>
        <w:t>Id</w:t>
      </w:r>
      <w:r w:rsidRPr="00FD66CD" w:rsidR="00060CAF">
        <w:t xml:space="preserve">.  </w:t>
      </w:r>
    </w:p>
  </w:footnote>
  <w:footnote w:id="79">
    <w:p w:rsidR="00426FF5" w:rsidRPr="00FD66CD" w:rsidP="008773F6" w14:paraId="3CBE5E8F" w14:textId="688DF7DF">
      <w:pPr>
        <w:pStyle w:val="FootnoteText"/>
        <w:widowControl w:val="0"/>
      </w:pPr>
      <w:r w:rsidRPr="008773F6">
        <w:rPr>
          <w:rStyle w:val="FootnoteReference"/>
        </w:rPr>
        <w:footnoteRef/>
      </w:r>
      <w:r w:rsidRPr="00FD66CD">
        <w:t xml:space="preserve"> </w:t>
      </w:r>
      <w:r w:rsidRPr="00D53C0D" w:rsidR="00D53C0D">
        <w:rPr>
          <w:i/>
          <w:iCs/>
        </w:rPr>
        <w:t>Id</w:t>
      </w:r>
      <w:r w:rsidRPr="00D53C0D" w:rsidR="00060CAF">
        <w:t xml:space="preserve">.  </w:t>
      </w:r>
    </w:p>
  </w:footnote>
  <w:footnote w:id="80">
    <w:p w:rsidR="00060CAF" w:rsidRPr="002F69DA" w14:paraId="12B18F72" w14:textId="29870AD1">
      <w:pPr>
        <w:pStyle w:val="FootnoteText"/>
      </w:pPr>
      <w:r>
        <w:rPr>
          <w:rStyle w:val="FootnoteReference"/>
        </w:rPr>
        <w:footnoteRef/>
      </w:r>
      <w:r w:rsidRPr="002F69DA">
        <w:t xml:space="preserve"> 47 U.S.C. § 3</w:t>
      </w:r>
      <w:r w:rsidRPr="002F69DA" w:rsidR="00A40580">
        <w:t>1</w:t>
      </w:r>
      <w:r w:rsidRPr="002F69DA">
        <w:t xml:space="preserve">0(b)(4).  </w:t>
      </w:r>
    </w:p>
  </w:footnote>
  <w:footnote w:id="81">
    <w:p w:rsidR="00B47559" w:rsidRPr="002F69DA" w14:paraId="3F797192" w14:textId="4A9C42A6">
      <w:pPr>
        <w:pStyle w:val="FootnoteText"/>
      </w:pPr>
      <w:r>
        <w:rPr>
          <w:rStyle w:val="FootnoteReference"/>
        </w:rPr>
        <w:footnoteRef/>
      </w:r>
      <w:r w:rsidRPr="002F69DA">
        <w:t xml:space="preserve"> 47 CFR § 1.5000 </w:t>
      </w:r>
      <w:r w:rsidRPr="002F69DA">
        <w:rPr>
          <w:i/>
          <w:iCs/>
        </w:rPr>
        <w:t>et seq</w:t>
      </w:r>
      <w:r w:rsidRPr="002F69DA">
        <w:t xml:space="preserve">. </w:t>
      </w:r>
    </w:p>
  </w:footnote>
  <w:footnote w:id="82">
    <w:p w:rsidR="006F3BA9" w:rsidRPr="008773F6" w:rsidP="006F3BA9" w14:paraId="7B8EA61F" w14:textId="3FE48995">
      <w:pPr>
        <w:pStyle w:val="FootnoteText"/>
        <w:widowControl w:val="0"/>
      </w:pPr>
      <w:r w:rsidRPr="008773F6">
        <w:rPr>
          <w:rStyle w:val="FootnoteReference"/>
        </w:rPr>
        <w:footnoteRef/>
      </w:r>
      <w:r w:rsidRPr="008773F6">
        <w:t xml:space="preserve"> </w:t>
      </w:r>
      <w:r w:rsidRPr="008773F6">
        <w:rPr>
          <w:i/>
          <w:iCs/>
        </w:rPr>
        <w:t>WHW Enterprises, Inc., v. FCC</w:t>
      </w:r>
      <w:r w:rsidRPr="008773F6">
        <w:t>, 753 F.2d 1132, 1139 (D.C. Cir. 1985) (</w:t>
      </w:r>
      <w:r w:rsidRPr="008773F6">
        <w:rPr>
          <w:i/>
          <w:iCs/>
        </w:rPr>
        <w:t>WHW</w:t>
      </w:r>
      <w:r w:rsidRPr="008773F6">
        <w:t>)</w:t>
      </w:r>
      <w:r w:rsidR="000E4F6F">
        <w:t>.</w:t>
      </w:r>
      <w:r w:rsidRPr="000E4F6F" w:rsidR="000E4F6F">
        <w:rPr>
          <w:i/>
          <w:iCs/>
        </w:rPr>
        <w:t xml:space="preserve"> </w:t>
      </w:r>
    </w:p>
  </w:footnote>
  <w:footnote w:id="83">
    <w:p w:rsidR="006F3BA9" w:rsidRPr="008773F6" w:rsidP="006F3BA9" w14:paraId="2A87F351" w14:textId="74FA104D">
      <w:pPr>
        <w:pStyle w:val="FootnoteText"/>
        <w:widowControl w:val="0"/>
      </w:pPr>
      <w:r w:rsidRPr="008773F6">
        <w:rPr>
          <w:rStyle w:val="FootnoteReference"/>
        </w:rPr>
        <w:footnoteRef/>
      </w:r>
      <w:r w:rsidRPr="008773F6">
        <w:t xml:space="preserve"> </w:t>
      </w:r>
      <w:r w:rsidRPr="008773F6">
        <w:rPr>
          <w:i/>
          <w:iCs/>
        </w:rPr>
        <w:t>Id., citing RKO General, Inc. v. FCC</w:t>
      </w:r>
      <w:r w:rsidRPr="008773F6">
        <w:t xml:space="preserve">, 670 F.2d 215, 232 (D.C. Cir. 1981), </w:t>
      </w:r>
      <w:r w:rsidRPr="008773F6">
        <w:rPr>
          <w:i/>
          <w:iCs/>
        </w:rPr>
        <w:t>cert. denied</w:t>
      </w:r>
      <w:r w:rsidRPr="008773F6">
        <w:t>, 456 U.S. 927 (1982)</w:t>
      </w:r>
      <w:r w:rsidR="000E4F6F">
        <w:t xml:space="preserve">; </w:t>
      </w:r>
      <w:r w:rsidRPr="00D41522" w:rsidR="000E4F6F">
        <w:rPr>
          <w:i/>
          <w:iCs/>
        </w:rPr>
        <w:t>see also Policy Regarding Character Qualifications in Broadcast Licensing</w:t>
      </w:r>
      <w:r w:rsidRPr="00D41522" w:rsidR="000E4F6F">
        <w:t>, Report, Order and Policy Statement, 102 FCC</w:t>
      </w:r>
      <w:r w:rsidR="000E4F6F">
        <w:t xml:space="preserve"> </w:t>
      </w:r>
      <w:r w:rsidRPr="00D41522" w:rsidR="000E4F6F">
        <w:t>2d 1179, 1209-10, para. 58 (1986), recon. granted in part and denied in part, Memorandum Opinion and Order, 1 FCC Rcd 421 (1986) (subsequent history omitted).</w:t>
      </w:r>
    </w:p>
  </w:footnote>
  <w:footnote w:id="84">
    <w:p w:rsidR="00896B14" w:rsidP="00896B14" w14:paraId="7C9EAB75" w14:textId="2D20CB15">
      <w:pPr>
        <w:pStyle w:val="FootnoteText"/>
      </w:pPr>
      <w:r>
        <w:rPr>
          <w:rStyle w:val="FootnoteReference"/>
        </w:rPr>
        <w:footnoteRef/>
      </w:r>
      <w:r>
        <w:t xml:space="preserve"> </w:t>
      </w:r>
      <w:r w:rsidRPr="00783C10" w:rsidR="00707E75">
        <w:rPr>
          <w:i/>
          <w:iCs/>
        </w:rPr>
        <w:t>See</w:t>
      </w:r>
      <w:r w:rsidR="00707E75">
        <w:t xml:space="preserve"> </w:t>
      </w:r>
      <w:r w:rsidRPr="00071B1A" w:rsidR="00071B1A">
        <w:rPr>
          <w:i/>
          <w:iCs/>
        </w:rPr>
        <w:t>Sinclair Broadcast Group</w:t>
      </w:r>
      <w:r w:rsidRPr="00071B1A" w:rsidR="00071B1A">
        <w:t>, Order, 35 FCC Rcd 5877</w:t>
      </w:r>
      <w:r w:rsidR="00071B1A">
        <w:t>, 5878, para.</w:t>
      </w:r>
      <w:r w:rsidR="005A05A0">
        <w:t xml:space="preserve"> </w:t>
      </w:r>
      <w:r w:rsidR="00071B1A">
        <w:t>2</w:t>
      </w:r>
      <w:r w:rsidRPr="00071B1A" w:rsidR="00071B1A">
        <w:t xml:space="preserve"> (2020) (“Section 1.65 of the Rules requires timely, full, and clear disclosure of all material facts in every application, which is essential to the efficient administration of the Commission's licensing process. Proper analysis of an application is critically dependent on the accuracy and completeness of information and data that only the applicant can provide.”)</w:t>
      </w:r>
      <w:r w:rsidR="00071B1A">
        <w:t xml:space="preserve">; </w:t>
      </w:r>
      <w:r w:rsidRPr="00071B1A" w:rsidR="00071B1A">
        <w:rPr>
          <w:i/>
          <w:iCs/>
        </w:rPr>
        <w:t>Fox Television Stations, Inc.</w:t>
      </w:r>
      <w:r w:rsidRPr="00071B1A" w:rsidR="00071B1A">
        <w:t>, Memorandum Opinion and Order, 33 FCC Rcd 7221, 7238-39, para. 42 (2018)</w:t>
      </w:r>
      <w:r w:rsidR="001451E2">
        <w:t xml:space="preserve"> </w:t>
      </w:r>
      <w:r w:rsidRPr="00783C10" w:rsidR="001451E2">
        <w:t>(“</w:t>
      </w:r>
      <w:r w:rsidRPr="00783C10" w:rsidR="001451E2">
        <w:rPr>
          <w:color w:val="1F1F1F"/>
          <w:shd w:val="clear" w:color="auto" w:fill="FFFFFF"/>
        </w:rPr>
        <w:t>Full and clear disclosure of all material facts in every application is essential to the efficient administration of the Commission's licensing process, and proper analysis of an application is critically dependent on the accuracy and completeness of information and data that only the applicant can provide. Misrepresentation and lack of candor raise serious concerns as to the likelihood of a licensee's truthfulness.”)</w:t>
      </w:r>
      <w:r w:rsidRPr="00783C10" w:rsidR="00071B1A">
        <w:t>.</w:t>
      </w:r>
      <w:r w:rsidR="00071B1A">
        <w:t xml:space="preserve"> </w:t>
      </w:r>
    </w:p>
  </w:footnote>
  <w:footnote w:id="85">
    <w:p w:rsidR="006F3BA9" w:rsidRPr="008773F6" w:rsidP="006F3BA9" w14:paraId="3C8E2E3D" w14:textId="7EBF5B4F">
      <w:pPr>
        <w:pStyle w:val="FootnoteText"/>
        <w:widowControl w:val="0"/>
      </w:pPr>
      <w:r w:rsidRPr="008773F6">
        <w:rPr>
          <w:rStyle w:val="FootnoteReference"/>
        </w:rPr>
        <w:footnoteRef/>
      </w:r>
      <w:r w:rsidRPr="008773F6">
        <w:t xml:space="preserve"> </w:t>
      </w:r>
      <w:r w:rsidRPr="008773F6">
        <w:rPr>
          <w:i/>
          <w:iCs/>
        </w:rPr>
        <w:t>WHW</w:t>
      </w:r>
      <w:r w:rsidR="00174813">
        <w:t xml:space="preserve">, </w:t>
      </w:r>
      <w:r w:rsidRPr="008773F6" w:rsidR="00174813">
        <w:t>753 F.2d</w:t>
      </w:r>
      <w:r w:rsidRPr="00714B4C" w:rsidR="00174813">
        <w:t xml:space="preserve"> </w:t>
      </w:r>
      <w:r w:rsidRPr="008773F6">
        <w:t>at 1139</w:t>
      </w:r>
      <w:r w:rsidR="000E4F6F">
        <w:t xml:space="preserve">; </w:t>
      </w:r>
      <w:r w:rsidRPr="000E4F6F" w:rsidR="000E4F6F">
        <w:rPr>
          <w:i/>
          <w:iCs/>
        </w:rPr>
        <w:t>see also</w:t>
      </w:r>
      <w:r w:rsidR="000E4F6F">
        <w:t xml:space="preserve"> </w:t>
      </w:r>
      <w:r w:rsidRPr="00D41522" w:rsidR="000E4F6F">
        <w:rPr>
          <w:i/>
          <w:iCs/>
        </w:rPr>
        <w:t>Contemporary Media, Inc. v. FCC</w:t>
      </w:r>
      <w:r w:rsidRPr="00D41522" w:rsidR="000E4F6F">
        <w:t xml:space="preserve">, 214 F.3d 187, 193 (D.C. Cir. 2000) </w:t>
      </w:r>
      <w:r w:rsidR="000E4F6F">
        <w:t>(stating t</w:t>
      </w:r>
      <w:r w:rsidR="000E4F6F">
        <w:rPr>
          <w:szCs w:val="22"/>
        </w:rPr>
        <w:t>he Commission “</w:t>
      </w:r>
      <w:r w:rsidRPr="005C5D12" w:rsidR="000E4F6F">
        <w:rPr>
          <w:spacing w:val="-3"/>
          <w:szCs w:val="22"/>
        </w:rPr>
        <w:t>relies heavily on the honesty and probity of its licensees in a regulatory system that is largely self-policing”</w:t>
      </w:r>
      <w:r w:rsidR="000E4F6F">
        <w:rPr>
          <w:spacing w:val="-3"/>
          <w:szCs w:val="22"/>
        </w:rPr>
        <w:t>)</w:t>
      </w:r>
      <w:r w:rsidR="00896B14">
        <w:rPr>
          <w:spacing w:val="-3"/>
          <w:szCs w:val="22"/>
        </w:rPr>
        <w:t xml:space="preserve"> (</w:t>
      </w:r>
      <w:r w:rsidRPr="00896B14" w:rsidR="00896B14">
        <w:rPr>
          <w:i/>
          <w:iCs/>
        </w:rPr>
        <w:t>Contemporary Media</w:t>
      </w:r>
      <w:r w:rsidR="00896B14">
        <w:t>)</w:t>
      </w:r>
      <w:r w:rsidRPr="008773F6">
        <w:t>.</w:t>
      </w:r>
    </w:p>
  </w:footnote>
  <w:footnote w:id="86">
    <w:p w:rsidR="00896B14" w:rsidP="00896B14" w14:paraId="00035E9F" w14:textId="5E555F1A">
      <w:pPr>
        <w:pStyle w:val="FootnoteText"/>
      </w:pPr>
      <w:r>
        <w:rPr>
          <w:rStyle w:val="FootnoteReference"/>
        </w:rPr>
        <w:footnoteRef/>
      </w:r>
      <w:r>
        <w:t xml:space="preserve"> </w:t>
      </w:r>
      <w:r w:rsidRPr="00896B14">
        <w:rPr>
          <w:i/>
          <w:iCs/>
        </w:rPr>
        <w:t>Character Policy Statement</w:t>
      </w:r>
      <w:r>
        <w:t xml:space="preserve">, 102 FCC 2d at 1209-11, paras. 54-61.  The fundamental importance of truthfulness and candor on the part of applicants and licensees in their dealings with the Commission is well established.  </w:t>
      </w:r>
      <w:r w:rsidRPr="00896B14">
        <w:rPr>
          <w:i/>
          <w:iCs/>
        </w:rPr>
        <w:t>See FCC v. WOKO, Inc.</w:t>
      </w:r>
      <w:r>
        <w:t xml:space="preserve">, 329 U.S. 223 (1946); </w:t>
      </w:r>
      <w:r w:rsidRPr="00896B14">
        <w:rPr>
          <w:i/>
          <w:iCs/>
        </w:rPr>
        <w:t>Nick J. Chaconas</w:t>
      </w:r>
      <w:r>
        <w:t xml:space="preserve">, Decision, 28 FCC 2d 231 (1971); </w:t>
      </w:r>
      <w:r w:rsidRPr="00896B14">
        <w:rPr>
          <w:i/>
          <w:iCs/>
        </w:rPr>
        <w:t>Lebanon Valley Radio, Inc.</w:t>
      </w:r>
      <w:r>
        <w:t xml:space="preserve">, Decision, 35 FCC 2d 243 (Rev. Bd 1972).  </w:t>
      </w:r>
    </w:p>
  </w:footnote>
  <w:footnote w:id="87">
    <w:p w:rsidR="006F3BA9" w:rsidRPr="008773F6" w:rsidP="006F3BA9" w14:paraId="07CCBE6A" w14:textId="3D759171">
      <w:pPr>
        <w:pStyle w:val="FootnoteText"/>
        <w:widowControl w:val="0"/>
      </w:pPr>
      <w:r w:rsidRPr="008773F6">
        <w:rPr>
          <w:rStyle w:val="FootnoteReference"/>
        </w:rPr>
        <w:footnoteRef/>
      </w:r>
      <w:r w:rsidRPr="008773F6">
        <w:t xml:space="preserve"> </w:t>
      </w:r>
      <w:r w:rsidRPr="008773F6">
        <w:rPr>
          <w:i/>
          <w:iCs/>
        </w:rPr>
        <w:t>Fox River Broadcasting, Inc</w:t>
      </w:r>
      <w:r w:rsidRPr="008773F6">
        <w:t>., Order, 93 FCC 2d 127, 129</w:t>
      </w:r>
      <w:r w:rsidR="006E4AF0">
        <w:t>, para. 6</w:t>
      </w:r>
      <w:r w:rsidRPr="008773F6">
        <w:t xml:space="preserve"> (1983) (</w:t>
      </w:r>
      <w:r w:rsidRPr="008773F6">
        <w:rPr>
          <w:i/>
          <w:iCs/>
        </w:rPr>
        <w:t>Fox River</w:t>
      </w:r>
      <w:r w:rsidRPr="008773F6">
        <w:t xml:space="preserve">); </w:t>
      </w:r>
      <w:r w:rsidRPr="008773F6">
        <w:rPr>
          <w:i/>
        </w:rPr>
        <w:t>Discussion Radio, Inc.</w:t>
      </w:r>
      <w:r w:rsidRPr="008773F6">
        <w:t>, Memorandum Opinion and Order and Notice of Apparent Liability, 19 FCC Rcd 7433, 7435</w:t>
      </w:r>
      <w:r w:rsidR="00331D9F">
        <w:t>, para. 7</w:t>
      </w:r>
      <w:r w:rsidRPr="008773F6">
        <w:t xml:space="preserve"> (2004) (</w:t>
      </w:r>
      <w:r w:rsidRPr="008773F6">
        <w:rPr>
          <w:i/>
        </w:rPr>
        <w:t>Discussion Radio</w:t>
      </w:r>
      <w:r w:rsidRPr="008773F6">
        <w:t>)</w:t>
      </w:r>
      <w:r w:rsidR="00347E08">
        <w:t xml:space="preserve">; </w:t>
      </w:r>
      <w:r w:rsidR="00585431">
        <w:rPr>
          <w:i/>
          <w:iCs/>
        </w:rPr>
        <w:t xml:space="preserve">see also </w:t>
      </w:r>
      <w:r w:rsidRPr="008773F6" w:rsidR="00585431">
        <w:rPr>
          <w:i/>
          <w:iCs/>
        </w:rPr>
        <w:t>WHW</w:t>
      </w:r>
      <w:r w:rsidR="00585431">
        <w:t xml:space="preserve">, </w:t>
      </w:r>
      <w:r w:rsidRPr="008773F6" w:rsidR="00585431">
        <w:t>753 F.2d</w:t>
      </w:r>
      <w:r w:rsidRPr="008773F6" w:rsidR="00585431">
        <w:rPr>
          <w:i/>
          <w:iCs/>
        </w:rPr>
        <w:t xml:space="preserve"> </w:t>
      </w:r>
      <w:r w:rsidRPr="008773F6" w:rsidR="00585431">
        <w:t>at 1139 (</w:t>
      </w:r>
      <w:r w:rsidR="00585431">
        <w:t>the Commission “refuse</w:t>
      </w:r>
      <w:r w:rsidR="009770E3">
        <w:t>[</w:t>
      </w:r>
      <w:r w:rsidR="00585431">
        <w:t>s</w:t>
      </w:r>
      <w:r w:rsidR="009770E3">
        <w:t>]</w:t>
      </w:r>
      <w:r w:rsidR="00585431">
        <w:t xml:space="preserve"> to tolerate </w:t>
      </w:r>
      <w:r w:rsidR="009770E3">
        <w:t>deliberate</w:t>
      </w:r>
      <w:r w:rsidR="00100360">
        <w:t xml:space="preserve"> misrepresentations”)</w:t>
      </w:r>
      <w:r w:rsidRPr="008773F6">
        <w:t>.</w:t>
      </w:r>
    </w:p>
  </w:footnote>
  <w:footnote w:id="88">
    <w:p w:rsidR="000B49AB" w:rsidRPr="008773F6" w:rsidP="000B49AB" w14:paraId="77FB1DCC" w14:textId="1AC3B46C">
      <w:pPr>
        <w:pStyle w:val="FootnoteText"/>
        <w:widowControl w:val="0"/>
      </w:pPr>
      <w:r w:rsidRPr="008773F6">
        <w:rPr>
          <w:rStyle w:val="FootnoteReference"/>
        </w:rPr>
        <w:footnoteRef/>
      </w:r>
      <w:r w:rsidRPr="008773F6">
        <w:t xml:space="preserve"> </w:t>
      </w:r>
      <w:r w:rsidRPr="008773F6">
        <w:rPr>
          <w:i/>
        </w:rPr>
        <w:t>See</w:t>
      </w:r>
      <w:r w:rsidRPr="008773F6">
        <w:t xml:space="preserve"> </w:t>
      </w:r>
      <w:r w:rsidRPr="008773F6">
        <w:rPr>
          <w:i/>
        </w:rPr>
        <w:t>Fox River</w:t>
      </w:r>
      <w:r w:rsidRPr="008773F6">
        <w:t xml:space="preserve">, 93 FCC 2d at 129; </w:t>
      </w:r>
      <w:r w:rsidRPr="008773F6">
        <w:rPr>
          <w:i/>
        </w:rPr>
        <w:t>Discussion Radio</w:t>
      </w:r>
      <w:r w:rsidRPr="008773F6">
        <w:t>, 19 FCC Rcd at 7435</w:t>
      </w:r>
      <w:r w:rsidR="00D94D7E">
        <w:t xml:space="preserve">; </w:t>
      </w:r>
      <w:r w:rsidR="00D94D7E">
        <w:rPr>
          <w:i/>
          <w:iCs/>
        </w:rPr>
        <w:t xml:space="preserve">see also </w:t>
      </w:r>
      <w:r w:rsidRPr="008773F6" w:rsidR="00D94D7E">
        <w:rPr>
          <w:i/>
          <w:iCs/>
        </w:rPr>
        <w:t>WHW</w:t>
      </w:r>
      <w:r w:rsidR="00D94D7E">
        <w:t xml:space="preserve">, </w:t>
      </w:r>
      <w:r w:rsidRPr="008773F6" w:rsidR="00D94D7E">
        <w:t>753 F.2d</w:t>
      </w:r>
      <w:r w:rsidRPr="00714B4C" w:rsidR="00D94D7E">
        <w:t xml:space="preserve"> </w:t>
      </w:r>
      <w:r w:rsidRPr="008773F6" w:rsidR="00D94D7E">
        <w:t>at 1139</w:t>
      </w:r>
      <w:r w:rsidR="00840920">
        <w:t xml:space="preserve"> (the core of lack of candor is “a failure to </w:t>
      </w:r>
      <w:r w:rsidR="001E4BA2">
        <w:t>be completely forthcoming in the provision of information which could illuminate a decisional matter”</w:t>
      </w:r>
      <w:r w:rsidR="00D47E1E">
        <w:t>)</w:t>
      </w:r>
      <w:r w:rsidRPr="008773F6">
        <w:t>.</w:t>
      </w:r>
    </w:p>
  </w:footnote>
  <w:footnote w:id="89">
    <w:p w:rsidR="006F3BA9" w:rsidRPr="008773F6" w:rsidP="006F3BA9" w14:paraId="54B19550" w14:textId="77777777">
      <w:pPr>
        <w:pStyle w:val="FootnoteText"/>
        <w:widowControl w:val="0"/>
      </w:pPr>
      <w:r w:rsidRPr="008773F6">
        <w:rPr>
          <w:rStyle w:val="FootnoteReference"/>
        </w:rPr>
        <w:footnoteRef/>
      </w:r>
      <w:r w:rsidRPr="008773F6">
        <w:t xml:space="preserve"> </w:t>
      </w:r>
      <w:r w:rsidRPr="008773F6">
        <w:rPr>
          <w:i/>
        </w:rPr>
        <w:t>See</w:t>
      </w:r>
      <w:r w:rsidRPr="008773F6">
        <w:t xml:space="preserve"> 47 CFR § 1.17(a)(1). </w:t>
      </w:r>
    </w:p>
  </w:footnote>
  <w:footnote w:id="90">
    <w:p w:rsidR="006F3BA9" w:rsidRPr="008773F6" w:rsidP="006F3BA9" w14:paraId="6BFA4176" w14:textId="77777777">
      <w:pPr>
        <w:pStyle w:val="FootnoteText"/>
        <w:widowControl w:val="0"/>
      </w:pPr>
      <w:r w:rsidRPr="008773F6">
        <w:rPr>
          <w:rStyle w:val="FootnoteReference"/>
        </w:rPr>
        <w:footnoteRef/>
      </w:r>
      <w:r w:rsidRPr="008773F6">
        <w:t xml:space="preserve"> </w:t>
      </w:r>
      <w:r w:rsidRPr="008773F6">
        <w:rPr>
          <w:i/>
        </w:rPr>
        <w:t>See</w:t>
      </w:r>
      <w:r w:rsidRPr="008773F6">
        <w:t xml:space="preserve"> </w:t>
      </w:r>
      <w:r w:rsidRPr="008773F6">
        <w:rPr>
          <w:i/>
        </w:rPr>
        <w:t>Swan Creek Communications, Inc. v. FCC</w:t>
      </w:r>
      <w:r w:rsidRPr="008773F6">
        <w:t xml:space="preserve">, 39 F.3d 1217, 1222 (D.C. Cir. 1994); </w:t>
      </w:r>
      <w:r w:rsidRPr="008773F6">
        <w:rPr>
          <w:i/>
        </w:rPr>
        <w:t>Discussion Radio</w:t>
      </w:r>
      <w:r w:rsidRPr="008773F6">
        <w:t>, 19 FCC Rcd at 7435.</w:t>
      </w:r>
    </w:p>
  </w:footnote>
  <w:footnote w:id="91">
    <w:p w:rsidR="006F3BA9" w:rsidRPr="008773F6" w:rsidP="006F3BA9" w14:paraId="7AAE4579" w14:textId="77777777">
      <w:pPr>
        <w:pStyle w:val="FootnoteText"/>
        <w:widowControl w:val="0"/>
      </w:pPr>
      <w:r w:rsidRPr="008773F6">
        <w:rPr>
          <w:rStyle w:val="FootnoteReference"/>
        </w:rPr>
        <w:footnoteRef/>
      </w:r>
      <w:r w:rsidRPr="008773F6">
        <w:t xml:space="preserve"> </w:t>
      </w:r>
      <w:r w:rsidRPr="008773F6">
        <w:rPr>
          <w:i/>
        </w:rPr>
        <w:t>David Ortiz Radio Corp. v. FCC</w:t>
      </w:r>
      <w:r w:rsidRPr="008773F6">
        <w:t>, 941 F.2d 1253, 1260 (D.C. Cir. 1991) (</w:t>
      </w:r>
      <w:r w:rsidRPr="008773F6">
        <w:rPr>
          <w:i/>
        </w:rPr>
        <w:t>quoting</w:t>
      </w:r>
      <w:r w:rsidRPr="008773F6">
        <w:t xml:space="preserve"> </w:t>
      </w:r>
      <w:r w:rsidRPr="008773F6">
        <w:rPr>
          <w:i/>
        </w:rPr>
        <w:t>Leflore Broadcasting Co. v. FCC</w:t>
      </w:r>
      <w:r w:rsidRPr="008773F6">
        <w:t xml:space="preserve">, 636 F.2d 454, 462 (D.C. Cir. 1980)); </w:t>
      </w:r>
      <w:r w:rsidRPr="008773F6">
        <w:rPr>
          <w:i/>
        </w:rPr>
        <w:t>see also</w:t>
      </w:r>
      <w:r w:rsidRPr="008773F6">
        <w:t xml:space="preserve"> </w:t>
      </w:r>
      <w:r w:rsidRPr="008773F6">
        <w:rPr>
          <w:i/>
        </w:rPr>
        <w:t>Discussion Radio</w:t>
      </w:r>
      <w:r w:rsidRPr="008773F6">
        <w:t>, 19 FCC Rcd at 7435.</w:t>
      </w:r>
    </w:p>
  </w:footnote>
  <w:footnote w:id="92">
    <w:p w:rsidR="006F3BA9" w:rsidRPr="008773F6" w:rsidP="006F3BA9" w14:paraId="0AAC2BAC" w14:textId="77777777">
      <w:pPr>
        <w:pStyle w:val="FootnoteText"/>
        <w:widowControl w:val="0"/>
      </w:pPr>
      <w:r w:rsidRPr="008773F6">
        <w:rPr>
          <w:rStyle w:val="FootnoteReference"/>
        </w:rPr>
        <w:footnoteRef/>
      </w:r>
      <w:r w:rsidRPr="008773F6">
        <w:t xml:space="preserve"> </w:t>
      </w:r>
      <w:r w:rsidRPr="008773F6">
        <w:rPr>
          <w:i/>
        </w:rPr>
        <w:t>See Discussion Radio</w:t>
      </w:r>
      <w:r w:rsidRPr="008773F6">
        <w:t xml:space="preserve">, 19 FCC Rcd at 7435; </w:t>
      </w:r>
      <w:r w:rsidRPr="008773F6">
        <w:rPr>
          <w:i/>
        </w:rPr>
        <w:t>Black Television Workshop of Los Angeles, Inc</w:t>
      </w:r>
      <w:r w:rsidRPr="008773F6">
        <w:t xml:space="preserve">., Decision, 8 FCC Rcd 4192, 4198, n.41 (1993) (citing </w:t>
      </w:r>
      <w:r w:rsidRPr="008773F6">
        <w:rPr>
          <w:i/>
        </w:rPr>
        <w:t>California Public Broadcasting Forum v. FCC</w:t>
      </w:r>
      <w:r w:rsidRPr="008773F6">
        <w:t xml:space="preserve">, 752 F.2d 670, 679 (D.C. Cir. 1985); </w:t>
      </w:r>
      <w:r w:rsidRPr="008773F6">
        <w:rPr>
          <w:i/>
        </w:rPr>
        <w:t>Joseph Bahr</w:t>
      </w:r>
      <w:r w:rsidRPr="008773F6">
        <w:t>, Memorandum Opinion and Order, 10 FCC Rcd 32, 33 (Rev. Bd. 1994)</w:t>
      </w:r>
      <w:r w:rsidRPr="008773F6">
        <w:rPr>
          <w:i/>
        </w:rPr>
        <w:t>; Scott &amp; Davis Enterprises, Inc</w:t>
      </w:r>
      <w:r w:rsidRPr="008773F6">
        <w:t xml:space="preserve">., Decision, 88 FCC 2d 1090, 1100 (Rev. Bd. 1982)).  Intent to deceive can also be inferred when the surrounding circumstances clearly show the existence of an intent to deceive.  </w:t>
      </w:r>
      <w:r w:rsidRPr="008773F6">
        <w:rPr>
          <w:i/>
        </w:rPr>
        <w:t>See</w:t>
      </w:r>
      <w:r w:rsidRPr="008773F6">
        <w:t xml:space="preserve"> </w:t>
      </w:r>
      <w:r w:rsidRPr="008773F6">
        <w:rPr>
          <w:i/>
        </w:rPr>
        <w:t>Commercial Radio Service, Inc.</w:t>
      </w:r>
      <w:r w:rsidRPr="008773F6">
        <w:t xml:space="preserve">, Order to Show Cause, 21 FCC Rcd 9983, 9986 (2006) (citing </w:t>
      </w:r>
      <w:r w:rsidRPr="008773F6">
        <w:rPr>
          <w:i/>
        </w:rPr>
        <w:t>American International Development, Inc.</w:t>
      </w:r>
      <w:r w:rsidRPr="008773F6">
        <w:t xml:space="preserve">, Memorandum Opinion and Order, 86 FCC 2d 808, 816, n.39 (1981), </w:t>
      </w:r>
      <w:r w:rsidRPr="008773F6">
        <w:rPr>
          <w:i/>
        </w:rPr>
        <w:t>aff’d sub nom. KXIV, Inc. v. FCC</w:t>
      </w:r>
      <w:r w:rsidRPr="008773F6">
        <w:t>, 704 F.2d 1294 (D.C. Cir. 1983)).</w:t>
      </w:r>
    </w:p>
  </w:footnote>
  <w:footnote w:id="93">
    <w:p w:rsidR="006F3BA9" w:rsidRPr="008773F6" w:rsidP="006F3BA9" w14:paraId="0A140A94" w14:textId="304BFE61">
      <w:pPr>
        <w:pStyle w:val="FootnoteText"/>
        <w:widowControl w:val="0"/>
      </w:pPr>
      <w:r w:rsidRPr="008773F6">
        <w:rPr>
          <w:rStyle w:val="FootnoteReference"/>
        </w:rPr>
        <w:footnoteRef/>
      </w:r>
      <w:r w:rsidRPr="008773F6">
        <w:t xml:space="preserve"> </w:t>
      </w:r>
      <w:r w:rsidRPr="00554EA6" w:rsidR="00554EA6">
        <w:t>Section 312(a)(1) holds that the Commission may revoke a station license for false statements knowingly made either in an application or in any statement of fact required pursuant to section 308 consistent with the guidance set forth in section 312(c).  47 U.S.C. §§ 312(a)(1), (c).</w:t>
      </w:r>
    </w:p>
  </w:footnote>
  <w:footnote w:id="94">
    <w:p w:rsidR="006F3BA9" w:rsidRPr="008773F6" w:rsidP="006F3BA9" w14:paraId="7EF34AB7" w14:textId="77777777">
      <w:pPr>
        <w:pStyle w:val="FootnoteText"/>
        <w:widowControl w:val="0"/>
      </w:pPr>
      <w:r w:rsidRPr="008773F6">
        <w:rPr>
          <w:rStyle w:val="FootnoteReference"/>
        </w:rPr>
        <w:footnoteRef/>
      </w:r>
      <w:r w:rsidRPr="008773F6">
        <w:t xml:space="preserve"> </w:t>
      </w:r>
      <w:bookmarkStart w:id="107" w:name="_Hlk129074892"/>
      <w:r w:rsidRPr="008773F6">
        <w:t>47 U.S.C. § 312</w:t>
      </w:r>
      <w:bookmarkEnd w:id="107"/>
      <w:r w:rsidRPr="008773F6">
        <w:t>(a)(2).</w:t>
      </w:r>
    </w:p>
  </w:footnote>
  <w:footnote w:id="95">
    <w:p w:rsidR="006F3BA9" w:rsidRPr="008773F6" w:rsidP="006F3BA9" w14:paraId="568648C3" w14:textId="77777777">
      <w:pPr>
        <w:pStyle w:val="FootnoteText"/>
        <w:widowControl w:val="0"/>
      </w:pPr>
      <w:r w:rsidRPr="008773F6">
        <w:rPr>
          <w:rStyle w:val="FootnoteReference"/>
        </w:rPr>
        <w:footnoteRef/>
      </w:r>
      <w:r w:rsidRPr="008773F6">
        <w:t xml:space="preserve"> </w:t>
      </w:r>
      <w:r w:rsidRPr="008773F6">
        <w:rPr>
          <w:i/>
          <w:iCs/>
        </w:rPr>
        <w:t>See id.</w:t>
      </w:r>
      <w:r w:rsidRPr="008773F6">
        <w:t xml:space="preserve"> § 308(b).</w:t>
      </w:r>
    </w:p>
  </w:footnote>
  <w:footnote w:id="96">
    <w:p w:rsidR="006F3BA9" w:rsidRPr="008773F6" w:rsidP="006F3BA9" w14:paraId="78A24B76" w14:textId="73C1B1F7">
      <w:pPr>
        <w:pStyle w:val="FootnoteText"/>
        <w:widowControl w:val="0"/>
      </w:pPr>
      <w:r w:rsidRPr="008773F6">
        <w:rPr>
          <w:rStyle w:val="FootnoteReference"/>
        </w:rPr>
        <w:footnoteRef/>
      </w:r>
      <w:r w:rsidRPr="008773F6">
        <w:t xml:space="preserve"> </w:t>
      </w:r>
      <w:r w:rsidRPr="008773F6">
        <w:rPr>
          <w:i/>
          <w:iCs/>
        </w:rPr>
        <w:t>Id.</w:t>
      </w:r>
      <w:r w:rsidRPr="008773F6">
        <w:t xml:space="preserve"> § 312(a)(2).  </w:t>
      </w:r>
    </w:p>
  </w:footnote>
  <w:footnote w:id="97">
    <w:p w:rsidR="00926522" w:rsidRPr="008773F6" w:rsidP="00926522" w14:paraId="1910C34C" w14:textId="77777777">
      <w:pPr>
        <w:pStyle w:val="FootnoteText"/>
        <w:widowControl w:val="0"/>
      </w:pPr>
      <w:r w:rsidRPr="008773F6">
        <w:rPr>
          <w:rStyle w:val="FootnoteReference"/>
        </w:rPr>
        <w:footnoteRef/>
      </w:r>
      <w:r w:rsidRPr="008773F6">
        <w:t xml:space="preserve"> </w:t>
      </w:r>
      <w:r w:rsidRPr="008773F6">
        <w:rPr>
          <w:i/>
          <w:iCs/>
        </w:rPr>
        <w:t>See Policy Regarding Character Qualifications In Broadcast Licensing Amendment of Rules of Broadcast Practice and Procedure Relating to Written Responses to Commission Inquiries and Making of Misrepresentations to the Commission by Permittees and Licensees</w:t>
      </w:r>
      <w:r w:rsidRPr="008773F6">
        <w:t>, Report, Order, and Policy Statement, 102 FCC 2d 1179, 1209, para. 55 (</w:t>
      </w:r>
      <w:r w:rsidRPr="008773F6">
        <w:rPr>
          <w:i/>
          <w:iCs/>
        </w:rPr>
        <w:t>1986 Character Policy Statement)</w:t>
      </w:r>
      <w:r w:rsidRPr="008773F6">
        <w:t xml:space="preserve">, </w:t>
      </w:r>
      <w:r w:rsidRPr="008773F6">
        <w:rPr>
          <w:i/>
          <w:iCs/>
        </w:rPr>
        <w:t>recon. dismissed/denied</w:t>
      </w:r>
      <w:r w:rsidRPr="008773F6">
        <w:t>¸ 1 FCC Rcd 421 (1986).</w:t>
      </w:r>
    </w:p>
  </w:footnote>
  <w:footnote w:id="98">
    <w:p w:rsidR="00926522" w:rsidRPr="008773F6" w:rsidP="00926522" w14:paraId="33210730" w14:textId="77777777">
      <w:pPr>
        <w:pStyle w:val="FootnoteText"/>
        <w:widowControl w:val="0"/>
      </w:pPr>
      <w:r w:rsidRPr="008773F6">
        <w:rPr>
          <w:rStyle w:val="FootnoteReference"/>
        </w:rPr>
        <w:footnoteRef/>
      </w:r>
      <w:r w:rsidRPr="008773F6">
        <w:t xml:space="preserve"> </w:t>
      </w:r>
      <w:r w:rsidRPr="008773F6">
        <w:rPr>
          <w:i/>
          <w:iCs/>
        </w:rPr>
        <w:t>1986 Character Policy Statement</w:t>
      </w:r>
      <w:r w:rsidRPr="008773F6">
        <w:t xml:space="preserve"> at 1209, para. 55.</w:t>
      </w:r>
    </w:p>
  </w:footnote>
  <w:footnote w:id="99">
    <w:p w:rsidR="00926522" w:rsidRPr="008773F6" w:rsidP="00D3787B" w14:paraId="29044B85" w14:textId="0607755F">
      <w:pPr>
        <w:spacing w:after="120"/>
        <w:rPr>
          <w:sz w:val="20"/>
        </w:rPr>
      </w:pPr>
      <w:r w:rsidRPr="008773F6">
        <w:rPr>
          <w:rStyle w:val="FootnoteReference"/>
        </w:rPr>
        <w:footnoteRef/>
      </w:r>
      <w:r w:rsidRPr="008773F6">
        <w:rPr>
          <w:sz w:val="20"/>
        </w:rPr>
        <w:t xml:space="preserve"> </w:t>
      </w:r>
      <w:hyperlink r:id="rId4">
        <w:r w:rsidRPr="008773F6">
          <w:rPr>
            <w:i/>
            <w:iCs/>
            <w:sz w:val="20"/>
          </w:rPr>
          <w:t>Contemporary Media</w:t>
        </w:r>
        <w:r w:rsidRPr="00DA68E3">
          <w:rPr>
            <w:sz w:val="20"/>
          </w:rPr>
          <w:t xml:space="preserve">, </w:t>
        </w:r>
      </w:hyperlink>
      <w:hyperlink r:id="rId4">
        <w:r w:rsidRPr="00DA68E3" w:rsidR="001A3F29">
          <w:rPr>
            <w:sz w:val="20"/>
          </w:rPr>
          <w:t>214</w:t>
        </w:r>
      </w:hyperlink>
      <w:r w:rsidRPr="008773F6">
        <w:rPr>
          <w:sz w:val="20"/>
        </w:rPr>
        <w:t xml:space="preserve"> </w:t>
      </w:r>
      <w:hyperlink r:id="rId4">
        <w:r w:rsidRPr="008773F6">
          <w:rPr>
            <w:sz w:val="20"/>
          </w:rPr>
          <w:t>F.3d</w:t>
        </w:r>
        <w:r w:rsidR="001A3F29">
          <w:rPr>
            <w:sz w:val="20"/>
          </w:rPr>
          <w:t xml:space="preserve"> at</w:t>
        </w:r>
        <w:r w:rsidRPr="008773F6">
          <w:rPr>
            <w:sz w:val="20"/>
          </w:rPr>
          <w:t xml:space="preserve"> 193</w:t>
        </w:r>
      </w:hyperlink>
      <w:r w:rsidRPr="008773F6">
        <w:rPr>
          <w:sz w:val="20"/>
        </w:rPr>
        <w:t xml:space="preserve"> </w:t>
      </w:r>
      <w:r w:rsidR="001A3F29">
        <w:rPr>
          <w:sz w:val="20"/>
        </w:rPr>
        <w:t>(</w:t>
      </w:r>
      <w:r w:rsidRPr="006473CD">
        <w:rPr>
          <w:sz w:val="20"/>
        </w:rPr>
        <w:t>citing</w:t>
      </w:r>
      <w:r w:rsidRPr="00D3787B" w:rsidR="006473CD">
        <w:rPr>
          <w:sz w:val="20"/>
        </w:rPr>
        <w:t xml:space="preserve"> </w:t>
      </w:r>
      <w:r w:rsidRPr="008773F6">
        <w:rPr>
          <w:i/>
          <w:iCs/>
          <w:sz w:val="20"/>
        </w:rPr>
        <w:t>Schoen</w:t>
      </w:r>
      <w:hyperlink r:id="rId5">
        <w:r w:rsidRPr="008773F6">
          <w:rPr>
            <w:i/>
            <w:iCs/>
            <w:sz w:val="20"/>
          </w:rPr>
          <w:t>bohm</w:t>
        </w:r>
        <w:r w:rsidR="006473CD">
          <w:rPr>
            <w:i/>
            <w:iCs/>
            <w:sz w:val="20"/>
          </w:rPr>
          <w:t xml:space="preserve"> </w:t>
        </w:r>
        <w:r w:rsidRPr="008773F6">
          <w:rPr>
            <w:sz w:val="20"/>
          </w:rPr>
          <w:t>v</w:t>
        </w:r>
        <w:r w:rsidRPr="008773F6">
          <w:rPr>
            <w:i/>
            <w:iCs/>
            <w:sz w:val="20"/>
          </w:rPr>
          <w:t>.</w:t>
        </w:r>
      </w:hyperlink>
      <w:r w:rsidRPr="008773F6">
        <w:rPr>
          <w:i/>
          <w:iCs/>
          <w:sz w:val="20"/>
        </w:rPr>
        <w:t xml:space="preserve"> </w:t>
      </w:r>
      <w:hyperlink r:id="rId5">
        <w:r w:rsidRPr="009C6BF8">
          <w:rPr>
            <w:sz w:val="20"/>
          </w:rPr>
          <w:t>FCC, 204 F.3d 243, 247 (D.C. Cir. 2000)</w:t>
        </w:r>
      </w:hyperlink>
      <w:r w:rsidRPr="006473CD" w:rsidR="00392735">
        <w:rPr>
          <w:sz w:val="20"/>
        </w:rPr>
        <w:t xml:space="preserve"> (</w:t>
      </w:r>
      <w:r w:rsidR="00DA68E3">
        <w:rPr>
          <w:i/>
          <w:iCs/>
          <w:sz w:val="20"/>
        </w:rPr>
        <w:t>Contemporary Media</w:t>
      </w:r>
      <w:r w:rsidRPr="00541AA9" w:rsidR="001A3F29">
        <w:rPr>
          <w:sz w:val="20"/>
        </w:rPr>
        <w:t>)</w:t>
      </w:r>
      <w:r w:rsidRPr="009C6BF8">
        <w:rPr>
          <w:sz w:val="20"/>
        </w:rPr>
        <w:t>.</w:t>
      </w:r>
    </w:p>
  </w:footnote>
  <w:footnote w:id="100">
    <w:p w:rsidR="00926522" w:rsidRPr="008773F6" w:rsidP="006473CD" w14:paraId="24D205F5" w14:textId="77777777">
      <w:pPr>
        <w:pStyle w:val="FootnoteText"/>
        <w:widowControl w:val="0"/>
      </w:pPr>
      <w:r w:rsidRPr="008773F6">
        <w:rPr>
          <w:rStyle w:val="FootnoteReference"/>
        </w:rPr>
        <w:footnoteRef/>
      </w:r>
      <w:r w:rsidRPr="008773F6">
        <w:t xml:space="preserve"> </w:t>
      </w:r>
      <w:r w:rsidRPr="008773F6">
        <w:rPr>
          <w:i/>
          <w:iCs/>
        </w:rPr>
        <w:t xml:space="preserve">1986 Character Policy Statement, </w:t>
      </w:r>
      <w:r w:rsidRPr="008773F6">
        <w:t>at 1209, para. 56.</w:t>
      </w:r>
    </w:p>
  </w:footnote>
  <w:footnote w:id="101">
    <w:p w:rsidR="00926522" w:rsidRPr="008773F6" w:rsidP="006473CD" w14:paraId="283B5D46" w14:textId="77777777">
      <w:pPr>
        <w:pStyle w:val="FootnoteText"/>
        <w:widowControl w:val="0"/>
      </w:pPr>
      <w:r w:rsidRPr="008773F6">
        <w:rPr>
          <w:rStyle w:val="FootnoteReference"/>
        </w:rPr>
        <w:footnoteRef/>
      </w:r>
      <w:r w:rsidRPr="008773F6">
        <w:t xml:space="preserve"> </w:t>
      </w:r>
      <w:r w:rsidRPr="008773F6">
        <w:rPr>
          <w:i/>
          <w:iCs/>
        </w:rPr>
        <w:t>Id</w:t>
      </w:r>
      <w:r w:rsidRPr="008773F6">
        <w:t>. at 1209-10, para. 57.</w:t>
      </w:r>
    </w:p>
  </w:footnote>
  <w:footnote w:id="102">
    <w:p w:rsidR="00926522" w:rsidRPr="008773F6" w:rsidP="006473CD" w14:paraId="08761508" w14:textId="3618F841">
      <w:pPr>
        <w:pStyle w:val="FootnoteText"/>
      </w:pPr>
      <w:r w:rsidRPr="008773F6">
        <w:rPr>
          <w:rStyle w:val="FootnoteReference"/>
        </w:rPr>
        <w:footnoteRef/>
      </w:r>
      <w:r w:rsidRPr="008773F6">
        <w:t xml:space="preserve"> </w:t>
      </w:r>
      <w:bookmarkStart w:id="108" w:name="_Hlk198815491"/>
      <w:r w:rsidRPr="008773F6">
        <w:t>47 U.S.C. § 312(a)</w:t>
      </w:r>
      <w:r w:rsidR="00EB2452">
        <w:t>(1) (providing that the “Commission may revoke any station license or construction permit</w:t>
      </w:r>
      <w:r w:rsidR="00912FE7">
        <w:t xml:space="preserve"> . . . </w:t>
      </w:r>
      <w:r w:rsidR="00EB2452">
        <w:t>for false statements knowingly made either in the application or in any statement of fact which may be required</w:t>
      </w:r>
      <w:r w:rsidR="00912FE7">
        <w:t xml:space="preserve"> . . . ”</w:t>
      </w:r>
      <w:r w:rsidR="00EB2452">
        <w:t>).</w:t>
      </w:r>
      <w:bookmarkEnd w:id="108"/>
    </w:p>
  </w:footnote>
  <w:footnote w:id="103">
    <w:p w:rsidR="005929A8" w:rsidP="005929A8" w14:paraId="670988BB" w14:textId="790DE9F8">
      <w:pPr>
        <w:pStyle w:val="FootnoteText"/>
      </w:pPr>
      <w:r>
        <w:rPr>
          <w:rStyle w:val="FootnoteReference"/>
        </w:rPr>
        <w:footnoteRef/>
      </w:r>
      <w:r>
        <w:t xml:space="preserve"> </w:t>
      </w:r>
      <w:r w:rsidRPr="007542E0">
        <w:rPr>
          <w:i/>
          <w:iCs/>
          <w:szCs w:val="22"/>
        </w:rPr>
        <w:t>Jefferson Radio Co.</w:t>
      </w:r>
      <w:r w:rsidR="000B3002">
        <w:rPr>
          <w:i/>
          <w:iCs/>
          <w:szCs w:val="22"/>
        </w:rPr>
        <w:t>, Inc.</w:t>
      </w:r>
      <w:r w:rsidRPr="007542E0">
        <w:rPr>
          <w:i/>
          <w:iCs/>
          <w:szCs w:val="22"/>
        </w:rPr>
        <w:t xml:space="preserve"> v. FCC</w:t>
      </w:r>
      <w:r w:rsidRPr="007542E0">
        <w:rPr>
          <w:szCs w:val="22"/>
        </w:rPr>
        <w:t>, 340 F.2d 781, 783 (D.C. Cir. 1964) (“It is the recognized policy of the Commission that assignment of broadcast authorization</w:t>
      </w:r>
      <w:r w:rsidR="00C258D0">
        <w:rPr>
          <w:szCs w:val="22"/>
        </w:rPr>
        <w:t>s</w:t>
      </w:r>
      <w:r w:rsidRPr="007542E0">
        <w:rPr>
          <w:szCs w:val="22"/>
        </w:rPr>
        <w:t xml:space="preserve"> will not be considered until the Commission has determined that the assignor has not forfeited the authorization.”)</w:t>
      </w:r>
      <w:r w:rsidR="0002795B">
        <w:rPr>
          <w:szCs w:val="22"/>
        </w:rPr>
        <w:t xml:space="preserve"> (</w:t>
      </w:r>
      <w:r w:rsidRPr="0002795B" w:rsidR="0002795B">
        <w:rPr>
          <w:i/>
          <w:iCs/>
          <w:szCs w:val="22"/>
        </w:rPr>
        <w:t>Jefferson Radio</w:t>
      </w:r>
      <w:r w:rsidR="0002795B">
        <w:rPr>
          <w:szCs w:val="22"/>
        </w:rPr>
        <w:t>)</w:t>
      </w:r>
      <w:r w:rsidRPr="007542E0">
        <w:rPr>
          <w:szCs w:val="22"/>
        </w:rPr>
        <w:t xml:space="preserve">; </w:t>
      </w:r>
      <w:r w:rsidRPr="007542E0">
        <w:rPr>
          <w:i/>
          <w:iCs/>
          <w:szCs w:val="22"/>
        </w:rPr>
        <w:t>see also</w:t>
      </w:r>
      <w:r w:rsidRPr="007542E0">
        <w:rPr>
          <w:szCs w:val="22"/>
        </w:rPr>
        <w:t xml:space="preserve"> </w:t>
      </w:r>
      <w:r w:rsidRPr="007542E0">
        <w:rPr>
          <w:i/>
          <w:iCs/>
          <w:szCs w:val="22"/>
        </w:rPr>
        <w:t>RKO General, Inc.</w:t>
      </w:r>
      <w:r w:rsidRPr="00BD6760">
        <w:rPr>
          <w:szCs w:val="22"/>
        </w:rPr>
        <w:t xml:space="preserve">, </w:t>
      </w:r>
      <w:r w:rsidR="00A21AF8">
        <w:rPr>
          <w:szCs w:val="22"/>
        </w:rPr>
        <w:t xml:space="preserve">Memorandum Opinion and Order, </w:t>
      </w:r>
      <w:r w:rsidRPr="007542E0">
        <w:rPr>
          <w:szCs w:val="22"/>
        </w:rPr>
        <w:t xml:space="preserve">3 FCC Rcd 5057, 5060-61 </w:t>
      </w:r>
      <w:r w:rsidRPr="004679BC">
        <w:t>(1988)</w:t>
      </w:r>
      <w:r w:rsidR="00520A2D">
        <w:t xml:space="preserve"> (</w:t>
      </w:r>
      <w:r w:rsidRPr="00520A2D" w:rsidR="00520A2D">
        <w:rPr>
          <w:i/>
          <w:iCs/>
        </w:rPr>
        <w:t>RKO General</w:t>
      </w:r>
      <w:r w:rsidR="00520A2D">
        <w:t>)</w:t>
      </w:r>
      <w:r w:rsidRPr="004679BC">
        <w:t xml:space="preserve">; </w:t>
      </w:r>
      <w:r w:rsidRPr="004679BC">
        <w:rPr>
          <w:i/>
          <w:iCs/>
        </w:rPr>
        <w:t>Peninsula Communications, Inc.</w:t>
      </w:r>
      <w:r w:rsidRPr="004679BC">
        <w:t xml:space="preserve">, </w:t>
      </w:r>
      <w:r w:rsidRPr="004679BC" w:rsidR="009A2F07">
        <w:t>Memorandum Opinion and Order,</w:t>
      </w:r>
      <w:r w:rsidRPr="004679BC" w:rsidR="00ED4AE7">
        <w:t xml:space="preserve"> </w:t>
      </w:r>
      <w:r w:rsidRPr="004679BC">
        <w:t xml:space="preserve">13 FCC Rcd 23992, 23996 (1998).  </w:t>
      </w:r>
      <w:r w:rsidRPr="004679BC" w:rsidR="004679BC">
        <w:rPr>
          <w:snapToGrid w:val="0"/>
          <w:kern w:val="28"/>
        </w:rPr>
        <w:t xml:space="preserve">While the Commission has recognized limited exceptions to </w:t>
      </w:r>
      <w:r w:rsidRPr="004679BC" w:rsidR="004679BC">
        <w:rPr>
          <w:i/>
          <w:iCs/>
          <w:snapToGrid w:val="0"/>
          <w:kern w:val="28"/>
        </w:rPr>
        <w:t>Jefferson Radio</w:t>
      </w:r>
      <w:r w:rsidRPr="004679BC" w:rsidR="004679BC">
        <w:rPr>
          <w:snapToGrid w:val="0"/>
          <w:kern w:val="28"/>
        </w:rPr>
        <w:t xml:space="preserve">, namely, in cases involving an assignment by a seriously ill licensee or a licensee in bankruptcy, or an assignment to </w:t>
      </w:r>
      <w:r w:rsidR="00532540">
        <w:rPr>
          <w:snapToGrid w:val="0"/>
          <w:kern w:val="28"/>
        </w:rPr>
        <w:t>an eligible</w:t>
      </w:r>
      <w:r w:rsidRPr="004679BC" w:rsidR="004679BC">
        <w:rPr>
          <w:snapToGrid w:val="0"/>
          <w:kern w:val="28"/>
        </w:rPr>
        <w:t xml:space="preserve"> entity under the Commission’s distress sale policy, none of these exceptions is applicable in this case.  </w:t>
      </w:r>
      <w:r w:rsidRPr="00D3787B" w:rsidR="004679BC">
        <w:rPr>
          <w:i/>
          <w:iCs/>
        </w:rPr>
        <w:t>RKO</w:t>
      </w:r>
      <w:r w:rsidRPr="00D3787B" w:rsidR="007072D4">
        <w:rPr>
          <w:i/>
          <w:iCs/>
        </w:rPr>
        <w:t xml:space="preserve"> General</w:t>
      </w:r>
      <w:r w:rsidRPr="00D3787B" w:rsidR="004679BC">
        <w:t>, 3 FCC Rcd at 5061, para. 24 (</w:t>
      </w:r>
      <w:r w:rsidRPr="00D3787B" w:rsidR="004679BC">
        <w:rPr>
          <w:i/>
          <w:iCs/>
        </w:rPr>
        <w:t>citations omitted</w:t>
      </w:r>
      <w:r w:rsidRPr="00D3787B" w:rsidR="004679BC">
        <w:t>).</w:t>
      </w:r>
      <w:r w:rsidRPr="004679BC" w:rsidR="004679BC">
        <w:t xml:space="preserve">  Fundamentally, t</w:t>
      </w:r>
      <w:r w:rsidRPr="004679BC" w:rsidR="004679BC">
        <w:rPr>
          <w:snapToGrid w:val="0"/>
          <w:kern w:val="28"/>
        </w:rPr>
        <w:t xml:space="preserve">he exceptions to the </w:t>
      </w:r>
      <w:r w:rsidRPr="004679BC" w:rsidR="004679BC">
        <w:rPr>
          <w:i/>
          <w:iCs/>
          <w:snapToGrid w:val="0"/>
          <w:kern w:val="28"/>
        </w:rPr>
        <w:t>Jefferson Radio</w:t>
      </w:r>
      <w:r w:rsidRPr="004679BC" w:rsidR="004679BC">
        <w:rPr>
          <w:snapToGrid w:val="0"/>
          <w:kern w:val="28"/>
        </w:rPr>
        <w:t xml:space="preserve"> policy involve circumstances in which the party whose qualifications are </w:t>
      </w:r>
      <w:r w:rsidR="00532540">
        <w:rPr>
          <w:snapToGrid w:val="0"/>
          <w:kern w:val="28"/>
        </w:rPr>
        <w:t xml:space="preserve">at issue </w:t>
      </w:r>
      <w:r w:rsidRPr="004679BC" w:rsidR="004679BC">
        <w:rPr>
          <w:snapToGrid w:val="0"/>
          <w:kern w:val="28"/>
        </w:rPr>
        <w:t xml:space="preserve">is </w:t>
      </w:r>
      <w:r w:rsidRPr="00B34589" w:rsidR="004679BC">
        <w:rPr>
          <w:i/>
          <w:iCs/>
          <w:snapToGrid w:val="0"/>
          <w:kern w:val="28"/>
        </w:rPr>
        <w:t>leaving</w:t>
      </w:r>
      <w:r w:rsidRPr="004679BC" w:rsidR="004679BC">
        <w:rPr>
          <w:snapToGrid w:val="0"/>
          <w:kern w:val="28"/>
        </w:rPr>
        <w:t xml:space="preserve"> the ranks of Commission licensees, whereas in the present case the basic qualifications of the proposed </w:t>
      </w:r>
      <w:r w:rsidR="009507B7">
        <w:rPr>
          <w:snapToGrid w:val="0"/>
          <w:kern w:val="28"/>
        </w:rPr>
        <w:t>transferee</w:t>
      </w:r>
      <w:r w:rsidRPr="004679BC" w:rsidR="004679BC">
        <w:rPr>
          <w:snapToGrid w:val="0"/>
          <w:kern w:val="28"/>
        </w:rPr>
        <w:t xml:space="preserve"> seeking to become a licensee </w:t>
      </w:r>
      <w:r w:rsidR="00532540">
        <w:rPr>
          <w:snapToGrid w:val="0"/>
          <w:kern w:val="28"/>
        </w:rPr>
        <w:t xml:space="preserve">in the first instance </w:t>
      </w:r>
      <w:r w:rsidRPr="004679BC" w:rsidR="004679BC">
        <w:rPr>
          <w:snapToGrid w:val="0"/>
          <w:kern w:val="28"/>
        </w:rPr>
        <w:t xml:space="preserve">are </w:t>
      </w:r>
      <w:r w:rsidRPr="00485DF5" w:rsidR="00AD52B6">
        <w:rPr>
          <w:snapToGrid w:val="0"/>
          <w:kern w:val="28"/>
        </w:rPr>
        <w:t>at</w:t>
      </w:r>
      <w:r w:rsidR="00AD52B6">
        <w:rPr>
          <w:snapToGrid w:val="0"/>
          <w:kern w:val="28"/>
        </w:rPr>
        <w:t xml:space="preserve"> </w:t>
      </w:r>
      <w:r w:rsidRPr="004679BC" w:rsidR="004679BC">
        <w:rPr>
          <w:snapToGrid w:val="0"/>
          <w:kern w:val="28"/>
        </w:rPr>
        <w:t>the heart of the matter.</w:t>
      </w:r>
      <w:r w:rsidR="00B37D08">
        <w:rPr>
          <w:szCs w:val="22"/>
        </w:rPr>
        <w:t xml:space="preserve">  </w:t>
      </w:r>
    </w:p>
  </w:footnote>
  <w:footnote w:id="104">
    <w:p w:rsidR="005929A8" w:rsidP="005929A8" w14:paraId="73CF5AF4" w14:textId="2FD0A1F0">
      <w:pPr>
        <w:pStyle w:val="FootnoteText"/>
      </w:pPr>
      <w:r>
        <w:rPr>
          <w:rStyle w:val="FootnoteReference"/>
        </w:rPr>
        <w:footnoteRef/>
      </w:r>
      <w:r>
        <w:t xml:space="preserve"> </w:t>
      </w:r>
      <w:r w:rsidRPr="007542E0">
        <w:rPr>
          <w:i/>
          <w:iCs/>
        </w:rPr>
        <w:t>N</w:t>
      </w:r>
      <w:r w:rsidRPr="007542E0">
        <w:rPr>
          <w:i/>
          <w:iCs/>
          <w:szCs w:val="22"/>
        </w:rPr>
        <w:t>orthland Television, Inc.,</w:t>
      </w:r>
      <w:r w:rsidRPr="007542E0">
        <w:rPr>
          <w:szCs w:val="22"/>
        </w:rPr>
        <w:t xml:space="preserve"> 42 RR 2d 1107, 1110 (1978) (“</w:t>
      </w:r>
      <w:r w:rsidRPr="00A62DCD">
        <w:rPr>
          <w:szCs w:val="22"/>
        </w:rPr>
        <w:t>The Commission has repeatedly held that a licensee or permittee has nothing to assign or transfer unless</w:t>
      </w:r>
      <w:r w:rsidRPr="007542E0">
        <w:rPr>
          <w:szCs w:val="22"/>
        </w:rPr>
        <w:t xml:space="preserve"> </w:t>
      </w:r>
      <w:r w:rsidRPr="00A62DCD">
        <w:rPr>
          <w:szCs w:val="22"/>
        </w:rPr>
        <w:t>and until he has established his own qualifications, and assignment and transfer applications are dismissed as</w:t>
      </w:r>
      <w:r w:rsidRPr="007542E0">
        <w:rPr>
          <w:szCs w:val="22"/>
        </w:rPr>
        <w:t xml:space="preserve"> </w:t>
      </w:r>
      <w:r w:rsidRPr="00A62DCD">
        <w:rPr>
          <w:szCs w:val="22"/>
        </w:rPr>
        <w:t>moot upon a finding that the selling party lacks such qualifications.</w:t>
      </w:r>
      <w:r>
        <w:rPr>
          <w:szCs w:val="22"/>
        </w:rPr>
        <w:t>”)</w:t>
      </w:r>
      <w:r w:rsidR="0002795B">
        <w:rPr>
          <w:szCs w:val="22"/>
        </w:rPr>
        <w:t xml:space="preserve"> (</w:t>
      </w:r>
      <w:r w:rsidRPr="0002795B" w:rsidR="0002795B">
        <w:rPr>
          <w:i/>
          <w:iCs/>
          <w:szCs w:val="22"/>
        </w:rPr>
        <w:t>Northland Television</w:t>
      </w:r>
      <w:r w:rsidR="0002795B">
        <w:rPr>
          <w:szCs w:val="22"/>
        </w:rPr>
        <w:t>).</w:t>
      </w:r>
      <w:r>
        <w:rPr>
          <w:szCs w:val="22"/>
        </w:rPr>
        <w:t xml:space="preserve"> </w:t>
      </w:r>
      <w:r w:rsidRPr="007542E0">
        <w:rPr>
          <w:szCs w:val="22"/>
        </w:rPr>
        <w:t xml:space="preserve">  </w:t>
      </w:r>
    </w:p>
  </w:footnote>
  <w:footnote w:id="105">
    <w:p w:rsidR="005929A8" w:rsidP="005929A8" w14:paraId="74E1277E" w14:textId="71E14B7A">
      <w:pPr>
        <w:pStyle w:val="FootnoteText"/>
      </w:pPr>
      <w:r>
        <w:rPr>
          <w:rStyle w:val="FootnoteReference"/>
        </w:rPr>
        <w:footnoteRef/>
      </w:r>
      <w:r>
        <w:t xml:space="preserve"> </w:t>
      </w:r>
      <w:r w:rsidRPr="007542E0">
        <w:rPr>
          <w:i/>
          <w:iCs/>
          <w:szCs w:val="22"/>
        </w:rPr>
        <w:t>Id.</w:t>
      </w:r>
      <w:r w:rsidRPr="007542E0">
        <w:rPr>
          <w:szCs w:val="22"/>
        </w:rPr>
        <w:t xml:space="preserve">; </w:t>
      </w:r>
      <w:r w:rsidRPr="007542E0">
        <w:rPr>
          <w:i/>
          <w:iCs/>
          <w:szCs w:val="22"/>
        </w:rPr>
        <w:t>see also,</w:t>
      </w:r>
      <w:r w:rsidRPr="007542E0">
        <w:rPr>
          <w:szCs w:val="22"/>
        </w:rPr>
        <w:t xml:space="preserve"> </w:t>
      </w:r>
      <w:r w:rsidRPr="007542E0">
        <w:rPr>
          <w:i/>
          <w:iCs/>
          <w:szCs w:val="22"/>
        </w:rPr>
        <w:t>Harry O'Connor</w:t>
      </w:r>
      <w:r w:rsidRPr="007542E0">
        <w:rPr>
          <w:szCs w:val="22"/>
        </w:rPr>
        <w:t xml:space="preserve">, </w:t>
      </w:r>
      <w:r w:rsidR="00EA185E">
        <w:rPr>
          <w:szCs w:val="22"/>
        </w:rPr>
        <w:t xml:space="preserve">Memorandum Opinion and Order and Notice of Apparent Liability, </w:t>
      </w:r>
      <w:r w:rsidRPr="007542E0">
        <w:rPr>
          <w:szCs w:val="22"/>
        </w:rPr>
        <w:t xml:space="preserve">2 FCC 2d </w:t>
      </w:r>
      <w:r w:rsidR="00EA185E">
        <w:rPr>
          <w:szCs w:val="22"/>
        </w:rPr>
        <w:t>45</w:t>
      </w:r>
      <w:r w:rsidR="00D26C3A">
        <w:rPr>
          <w:szCs w:val="22"/>
        </w:rPr>
        <w:t xml:space="preserve">, 48, para. </w:t>
      </w:r>
      <w:r w:rsidRPr="007542E0">
        <w:rPr>
          <w:szCs w:val="22"/>
        </w:rPr>
        <w:t xml:space="preserve"> 8 (1965) (“The purpose underlying this policy is obvious:</w:t>
      </w:r>
      <w:r>
        <w:rPr>
          <w:szCs w:val="22"/>
        </w:rPr>
        <w:t xml:space="preserve"> </w:t>
      </w:r>
      <w:r w:rsidRPr="007542E0">
        <w:rPr>
          <w:szCs w:val="22"/>
        </w:rPr>
        <w:t xml:space="preserve"> A licensee cannot act inconsistently with the Communications Act or the Commission's rules and policies, and then, when a question is raised concerning such improper activity, transfer or assign the license to another; if he could, the only result of the wrongdoing would be a forced sale.”</w:t>
      </w:r>
      <w:r>
        <w:rPr>
          <w:szCs w:val="22"/>
        </w:rPr>
        <w:t xml:space="preserve">) </w:t>
      </w:r>
      <w:r w:rsidR="007B40F6">
        <w:rPr>
          <w:szCs w:val="22"/>
        </w:rPr>
        <w:t xml:space="preserve"> We note moreover that in this case even the transfer of the Station licenses would not </w:t>
      </w:r>
      <w:r w:rsidR="00046646">
        <w:rPr>
          <w:szCs w:val="22"/>
        </w:rPr>
        <w:t xml:space="preserve">improve the situation </w:t>
      </w:r>
      <w:r w:rsidR="007B40F6">
        <w:rPr>
          <w:szCs w:val="22"/>
        </w:rPr>
        <w:t xml:space="preserve">as the Transferee here appears to be as culpable and unqualified to hold the licenses as the Transferor. </w:t>
      </w:r>
    </w:p>
  </w:footnote>
  <w:footnote w:id="106">
    <w:p w:rsidR="005929A8" w:rsidP="005929A8" w14:paraId="7CB4F97E" w14:textId="7E58E001">
      <w:pPr>
        <w:pStyle w:val="FootnoteText"/>
      </w:pPr>
      <w:r>
        <w:rPr>
          <w:rStyle w:val="FootnoteReference"/>
        </w:rPr>
        <w:footnoteRef/>
      </w:r>
      <w:r>
        <w:t xml:space="preserve"> </w:t>
      </w:r>
      <w:r w:rsidRPr="007542E0">
        <w:rPr>
          <w:i/>
          <w:iCs/>
          <w:szCs w:val="22"/>
        </w:rPr>
        <w:t>See</w:t>
      </w:r>
      <w:r w:rsidRPr="007542E0">
        <w:rPr>
          <w:szCs w:val="22"/>
        </w:rPr>
        <w:t xml:space="preserve"> </w:t>
      </w:r>
      <w:r w:rsidRPr="007542E0">
        <w:rPr>
          <w:i/>
          <w:iCs/>
          <w:szCs w:val="22"/>
        </w:rPr>
        <w:t>Cellular System One of Tulsa, Inc.</w:t>
      </w:r>
      <w:r w:rsidRPr="007542E0">
        <w:rPr>
          <w:szCs w:val="22"/>
        </w:rPr>
        <w:t xml:space="preserve">, </w:t>
      </w:r>
      <w:r w:rsidR="00FF572C">
        <w:rPr>
          <w:szCs w:val="22"/>
        </w:rPr>
        <w:t xml:space="preserve">Memorandum Opinion and Order, </w:t>
      </w:r>
      <w:r w:rsidRPr="007542E0">
        <w:rPr>
          <w:szCs w:val="22"/>
        </w:rPr>
        <w:t>102 FCC 2d 86, 90</w:t>
      </w:r>
      <w:r w:rsidR="00FF572C">
        <w:rPr>
          <w:szCs w:val="22"/>
        </w:rPr>
        <w:t>, para. 7</w:t>
      </w:r>
      <w:r w:rsidRPr="007542E0">
        <w:rPr>
          <w:szCs w:val="22"/>
        </w:rPr>
        <w:t xml:space="preserve"> (1985) (“To permit a </w:t>
      </w:r>
      <w:r w:rsidRPr="007542E0">
        <w:rPr>
          <w:szCs w:val="22"/>
        </w:rPr>
        <w:t>licensee</w:t>
      </w:r>
      <w:r w:rsidRPr="007542E0">
        <w:rPr>
          <w:szCs w:val="22"/>
        </w:rPr>
        <w:t xml:space="preserve"> to sell out from under a potential disqualification would significantly impair the Commission's ability to police and deter licensee misconduct.”) </w:t>
      </w:r>
      <w:r w:rsidR="004C0C64">
        <w:rPr>
          <w:szCs w:val="22"/>
        </w:rPr>
        <w:t>(</w:t>
      </w:r>
      <w:r w:rsidRPr="006473CD">
        <w:rPr>
          <w:szCs w:val="22"/>
        </w:rPr>
        <w:t>citing</w:t>
      </w:r>
      <w:r w:rsidRPr="007542E0">
        <w:rPr>
          <w:szCs w:val="22"/>
        </w:rPr>
        <w:t xml:space="preserve"> </w:t>
      </w:r>
      <w:r w:rsidRPr="007542E0">
        <w:rPr>
          <w:i/>
          <w:iCs/>
          <w:szCs w:val="22"/>
        </w:rPr>
        <w:t>Pass Word, Inc.</w:t>
      </w:r>
      <w:r w:rsidRPr="007542E0">
        <w:rPr>
          <w:szCs w:val="22"/>
        </w:rPr>
        <w:t>, 76 FCC 2d 465, 516 (1980)</w:t>
      </w:r>
      <w:r>
        <w:rPr>
          <w:szCs w:val="22"/>
        </w:rPr>
        <w:t>)</w:t>
      </w:r>
      <w:r w:rsidRPr="007542E0">
        <w:rPr>
          <w:szCs w:val="22"/>
        </w:rPr>
        <w:t>.</w:t>
      </w:r>
      <w:r>
        <w:rPr>
          <w:szCs w:val="22"/>
        </w:rPr>
        <w:t xml:space="preserve"> </w:t>
      </w:r>
    </w:p>
  </w:footnote>
  <w:footnote w:id="107">
    <w:p w:rsidR="009D6987" w:rsidRPr="008773F6" w:rsidP="009D6987" w14:paraId="7AA521B3" w14:textId="6C1B252B">
      <w:pPr>
        <w:pStyle w:val="FootnoteText"/>
        <w:widowControl w:val="0"/>
      </w:pPr>
      <w:r w:rsidRPr="008773F6">
        <w:rPr>
          <w:rStyle w:val="FootnoteReference"/>
        </w:rPr>
        <w:footnoteRef/>
      </w:r>
      <w:r w:rsidRPr="008773F6">
        <w:t xml:space="preserve"> </w:t>
      </w:r>
      <w:r w:rsidRPr="008773F6">
        <w:rPr>
          <w:i/>
          <w:iCs/>
        </w:rPr>
        <w:t xml:space="preserve">See supra </w:t>
      </w:r>
      <w:r w:rsidRPr="008773F6">
        <w:t>para</w:t>
      </w:r>
      <w:r w:rsidR="00A6277E">
        <w:t>s</w:t>
      </w:r>
      <w:r w:rsidRPr="008773F6">
        <w:t xml:space="preserve">. </w:t>
      </w:r>
      <w:r w:rsidR="00290B7E">
        <w:rPr>
          <w:highlight w:val="yellow"/>
        </w:rPr>
        <w:fldChar w:fldCharType="begin"/>
      </w:r>
      <w:r w:rsidR="00290B7E">
        <w:instrText xml:space="preserve"> REF _Ref199502072 \r \h </w:instrText>
      </w:r>
      <w:r w:rsidR="00290B7E">
        <w:rPr>
          <w:highlight w:val="yellow"/>
        </w:rPr>
        <w:fldChar w:fldCharType="separate"/>
      </w:r>
      <w:r w:rsidR="002F69DA">
        <w:t>22</w:t>
      </w:r>
      <w:r w:rsidR="00290B7E">
        <w:rPr>
          <w:highlight w:val="yellow"/>
        </w:rPr>
        <w:fldChar w:fldCharType="end"/>
      </w:r>
      <w:r w:rsidR="00A6277E">
        <w:t>-19</w:t>
      </w:r>
      <w:r w:rsidRPr="008773F6">
        <w:t>.</w:t>
      </w:r>
    </w:p>
  </w:footnote>
  <w:footnote w:id="108">
    <w:p w:rsidR="009D6987" w:rsidRPr="008773F6" w:rsidP="009D6987" w14:paraId="2C0AD7F3" w14:textId="77777777">
      <w:pPr>
        <w:pStyle w:val="FootnoteText"/>
        <w:widowControl w:val="0"/>
      </w:pPr>
      <w:r w:rsidRPr="008773F6">
        <w:rPr>
          <w:rStyle w:val="FootnoteReference"/>
        </w:rPr>
        <w:footnoteRef/>
      </w:r>
      <w:r w:rsidRPr="008773F6">
        <w:t xml:space="preserve"> </w:t>
      </w:r>
      <w:r w:rsidRPr="008773F6">
        <w:rPr>
          <w:i/>
        </w:rPr>
        <w:t xml:space="preserve">See </w:t>
      </w:r>
      <w:r w:rsidRPr="008773F6">
        <w:t>47 U.S.C. § 310(d).</w:t>
      </w:r>
    </w:p>
  </w:footnote>
  <w:footnote w:id="109">
    <w:p w:rsidR="009D6987" w:rsidRPr="008773F6" w:rsidP="009D6987" w14:paraId="370B4BF0" w14:textId="7696EB61">
      <w:pPr>
        <w:pStyle w:val="FootnoteText"/>
        <w:widowControl w:val="0"/>
      </w:pPr>
      <w:r w:rsidRPr="008773F6">
        <w:rPr>
          <w:rStyle w:val="FootnoteReference"/>
        </w:rPr>
        <w:footnoteRef/>
      </w:r>
      <w:r w:rsidRPr="008773F6">
        <w:t xml:space="preserve"> </w:t>
      </w:r>
      <w:r w:rsidRPr="008773F6">
        <w:rPr>
          <w:i/>
        </w:rPr>
        <w:t>See</w:t>
      </w:r>
      <w:r w:rsidRPr="008773F6">
        <w:t xml:space="preserve"> 47 CFR § 73.3540 (application for voluntary assignment or transfer of control).</w:t>
      </w:r>
    </w:p>
  </w:footnote>
  <w:footnote w:id="110">
    <w:p w:rsidR="009D6987" w:rsidRPr="008773F6" w:rsidP="009D6987" w14:paraId="476CF4AD" w14:textId="2220C6D5">
      <w:pPr>
        <w:pStyle w:val="FootnoteText"/>
        <w:widowControl w:val="0"/>
      </w:pPr>
      <w:r w:rsidRPr="008773F6">
        <w:rPr>
          <w:rStyle w:val="FootnoteReference"/>
        </w:rPr>
        <w:footnoteRef/>
      </w:r>
      <w:r w:rsidRPr="008773F6">
        <w:t xml:space="preserve"> </w:t>
      </w:r>
      <w:r w:rsidRPr="008773F6">
        <w:rPr>
          <w:i/>
        </w:rPr>
        <w:t>See, e.g., Radio Moultrie, Inc.</w:t>
      </w:r>
      <w:r w:rsidRPr="008773F6">
        <w:t>, Order to Show Cause and Notice of Opportunity for Hearing, 17 FCC Rcd 24304, 24306</w:t>
      </w:r>
      <w:r w:rsidR="00AC7EB1">
        <w:t>, para</w:t>
      </w:r>
      <w:r w:rsidR="003F2D41">
        <w:t>s</w:t>
      </w:r>
      <w:r w:rsidR="00AC7EB1">
        <w:t xml:space="preserve">. </w:t>
      </w:r>
      <w:r w:rsidR="003F2D41">
        <w:t>8-9</w:t>
      </w:r>
      <w:r w:rsidRPr="008773F6">
        <w:t xml:space="preserve"> (2002)</w:t>
      </w:r>
      <w:r w:rsidR="00E120F7">
        <w:t xml:space="preserve">; </w:t>
      </w:r>
      <w:r w:rsidRPr="00C122C4" w:rsidR="00904D03">
        <w:rPr>
          <w:i/>
          <w:iCs/>
        </w:rPr>
        <w:t>Stereo Broadcasters, Inc.</w:t>
      </w:r>
      <w:r w:rsidR="00904D03">
        <w:t xml:space="preserve">, </w:t>
      </w:r>
      <w:r w:rsidR="00BC02E7">
        <w:t xml:space="preserve">Decision, </w:t>
      </w:r>
      <w:r w:rsidR="00D22842">
        <w:t>87 F</w:t>
      </w:r>
      <w:r w:rsidR="002467A7">
        <w:t>.</w:t>
      </w:r>
      <w:r w:rsidR="00D22842">
        <w:t>C</w:t>
      </w:r>
      <w:r w:rsidR="002467A7">
        <w:t>.</w:t>
      </w:r>
      <w:r w:rsidR="00D22842">
        <w:t>C</w:t>
      </w:r>
      <w:r w:rsidR="002467A7">
        <w:t>.</w:t>
      </w:r>
      <w:r w:rsidR="00D22842">
        <w:t>2d</w:t>
      </w:r>
      <w:r w:rsidR="000516CB">
        <w:t xml:space="preserve"> 87</w:t>
      </w:r>
      <w:r w:rsidR="00D22842">
        <w:t xml:space="preserve">, </w:t>
      </w:r>
      <w:r w:rsidR="007B3B88">
        <w:t>9</w:t>
      </w:r>
      <w:r w:rsidR="00777B7B">
        <w:t>2</w:t>
      </w:r>
      <w:r w:rsidR="00780277">
        <w:t>-</w:t>
      </w:r>
      <w:r w:rsidR="00777B7B">
        <w:t xml:space="preserve">93, paras. 15-16 </w:t>
      </w:r>
      <w:r w:rsidR="00623167">
        <w:t>(19</w:t>
      </w:r>
      <w:r w:rsidR="0020644E">
        <w:t xml:space="preserve">81) </w:t>
      </w:r>
      <w:r w:rsidR="00777B7B">
        <w:t xml:space="preserve">(affirming ALJ’s </w:t>
      </w:r>
      <w:r w:rsidR="007E155D">
        <w:t xml:space="preserve">conclusion that unauthorized transfer of control </w:t>
      </w:r>
      <w:r w:rsidR="000963C0">
        <w:t xml:space="preserve">occurred where </w:t>
      </w:r>
      <w:r w:rsidR="004E56DF">
        <w:t>transferee</w:t>
      </w:r>
      <w:r w:rsidR="008B3275">
        <w:t xml:space="preserve"> participated in finances, programming and </w:t>
      </w:r>
      <w:r w:rsidR="00623167">
        <w:t>person</w:t>
      </w:r>
      <w:r w:rsidR="00410B52">
        <w:t>nel</w:t>
      </w:r>
      <w:r w:rsidR="00623167">
        <w:t>, which were “major indices of control”)</w:t>
      </w:r>
      <w:r w:rsidRPr="008773F6">
        <w:t>.</w:t>
      </w:r>
    </w:p>
  </w:footnote>
  <w:footnote w:id="111">
    <w:p w:rsidR="00A45EB5" w14:paraId="17C3F7FD" w14:textId="5E6F481D">
      <w:pPr>
        <w:pStyle w:val="FootnoteText"/>
      </w:pPr>
      <w:r>
        <w:rPr>
          <w:rStyle w:val="FootnoteReference"/>
        </w:rPr>
        <w:footnoteRef/>
      </w:r>
      <w:r>
        <w:t xml:space="preserve"> 1.88 Letter at 3, question 3.</w:t>
      </w:r>
    </w:p>
  </w:footnote>
  <w:footnote w:id="112">
    <w:p w:rsidR="005379C2" w14:paraId="23C0FBDE" w14:textId="0210F15E">
      <w:pPr>
        <w:pStyle w:val="FootnoteText"/>
      </w:pPr>
      <w:r>
        <w:rPr>
          <w:rStyle w:val="FootnoteReference"/>
        </w:rPr>
        <w:footnoteRef/>
      </w:r>
      <w:r>
        <w:t xml:space="preserve"> </w:t>
      </w:r>
      <w:r w:rsidRPr="00A45EB5" w:rsidR="00A45EB5">
        <w:rPr>
          <w:i/>
          <w:iCs/>
        </w:rPr>
        <w:t>Id</w:t>
      </w:r>
      <w:r w:rsidR="00A45EB5">
        <w:t>.</w:t>
      </w:r>
    </w:p>
  </w:footnote>
  <w:footnote w:id="113">
    <w:p w:rsidR="003033E7" w14:paraId="7B442986" w14:textId="5F0863E3">
      <w:pPr>
        <w:pStyle w:val="FootnoteText"/>
      </w:pPr>
      <w:r>
        <w:rPr>
          <w:rStyle w:val="FootnoteReference"/>
        </w:rPr>
        <w:footnoteRef/>
      </w:r>
      <w:r>
        <w:t xml:space="preserve"> 1.88</w:t>
      </w:r>
      <w:r w:rsidRPr="00696C3F">
        <w:t xml:space="preserve"> </w:t>
      </w:r>
      <w:r w:rsidR="00A27514">
        <w:t xml:space="preserve">Letter </w:t>
      </w:r>
      <w:r w:rsidRPr="00696C3F">
        <w:t>Response at Attach</w:t>
      </w:r>
      <w:r w:rsidR="008A6EB0">
        <w:t>.</w:t>
      </w:r>
      <w:r w:rsidRPr="00696C3F">
        <w:t xml:space="preserve"> A, </w:t>
      </w:r>
      <w:r w:rsidR="003220C8">
        <w:t>r</w:t>
      </w:r>
      <w:r>
        <w:t>esponse to Inquiry 3 and Exhibit 3</w:t>
      </w:r>
      <w:r w:rsidRPr="00696C3F">
        <w:t>.</w:t>
      </w:r>
      <w:r>
        <w:t xml:space="preserve">  The 1.88 </w:t>
      </w:r>
      <w:r w:rsidR="00A27514">
        <w:t xml:space="preserve">Letter </w:t>
      </w:r>
      <w:r>
        <w:t xml:space="preserve">Response </w:t>
      </w:r>
      <w:r w:rsidR="00EF2B2A">
        <w:t>states</w:t>
      </w:r>
      <w:r>
        <w:t xml:space="preserve"> that Rygaard review</w:t>
      </w:r>
      <w:r w:rsidR="00EF2B2A">
        <w:t>s</w:t>
      </w:r>
      <w:r>
        <w:t xml:space="preserve"> </w:t>
      </w:r>
      <w:r w:rsidR="00EF2B2A">
        <w:t xml:space="preserve">the quarterly reports and approves the work listed therein, </w:t>
      </w:r>
      <w:r>
        <w:t xml:space="preserve">while the most it claims with regard to the other documents is that they “are minutes from meetings attended by Ms. Rygaard.”  </w:t>
      </w:r>
    </w:p>
  </w:footnote>
  <w:footnote w:id="114">
    <w:p w:rsidR="00CA3188" w14:paraId="3C243AB3" w14:textId="5FECD2E8">
      <w:pPr>
        <w:pStyle w:val="FootnoteText"/>
      </w:pPr>
      <w:r>
        <w:rPr>
          <w:rStyle w:val="FootnoteReference"/>
        </w:rPr>
        <w:footnoteRef/>
      </w:r>
      <w:r>
        <w:t xml:space="preserve"> 1.88</w:t>
      </w:r>
      <w:r w:rsidRPr="00696C3F">
        <w:t xml:space="preserve"> </w:t>
      </w:r>
      <w:r w:rsidR="00706BD2">
        <w:t xml:space="preserve">Letter </w:t>
      </w:r>
      <w:r w:rsidRPr="00696C3F">
        <w:t>Response at Attach</w:t>
      </w:r>
      <w:r w:rsidR="008A6EB0">
        <w:t>.</w:t>
      </w:r>
      <w:r w:rsidRPr="00696C3F">
        <w:t xml:space="preserve"> A, </w:t>
      </w:r>
      <w:r w:rsidR="003220C8">
        <w:t>r</w:t>
      </w:r>
      <w:r>
        <w:t>esponse to Inquiry 3</w:t>
      </w:r>
      <w:r w:rsidRPr="00696C3F">
        <w:t xml:space="preserve">.  </w:t>
      </w:r>
    </w:p>
  </w:footnote>
  <w:footnote w:id="115">
    <w:p w:rsidR="00696C3F" w14:paraId="1D984928" w14:textId="7EC86F0C">
      <w:pPr>
        <w:pStyle w:val="FootnoteText"/>
      </w:pPr>
      <w:r>
        <w:rPr>
          <w:rStyle w:val="FootnoteReference"/>
        </w:rPr>
        <w:footnoteRef/>
      </w:r>
      <w:r>
        <w:t xml:space="preserve"> </w:t>
      </w:r>
      <w:r w:rsidRPr="00A6277E" w:rsidR="00A6277E">
        <w:rPr>
          <w:i/>
          <w:iCs/>
        </w:rPr>
        <w:t>Id</w:t>
      </w:r>
      <w:r w:rsidRPr="00696C3F">
        <w:t xml:space="preserve">.  </w:t>
      </w:r>
    </w:p>
  </w:footnote>
  <w:footnote w:id="116">
    <w:p w:rsidR="007354C5" w14:paraId="57ED9B04" w14:textId="0AFC88B4">
      <w:pPr>
        <w:pStyle w:val="FootnoteText"/>
      </w:pPr>
      <w:r>
        <w:rPr>
          <w:rStyle w:val="FootnoteReference"/>
        </w:rPr>
        <w:footnoteRef/>
      </w:r>
      <w:r>
        <w:t xml:space="preserve"> </w:t>
      </w:r>
      <w:r w:rsidRPr="007354C5">
        <w:rPr>
          <w:i/>
          <w:iCs/>
        </w:rPr>
        <w:t>See, e.g.</w:t>
      </w:r>
      <w:r>
        <w:t>, 1.88</w:t>
      </w:r>
      <w:r w:rsidRPr="00696C3F">
        <w:t xml:space="preserve"> </w:t>
      </w:r>
      <w:r>
        <w:t xml:space="preserve">Letter </w:t>
      </w:r>
      <w:r w:rsidRPr="00696C3F">
        <w:t>Response at Attach</w:t>
      </w:r>
      <w:r>
        <w:t>.</w:t>
      </w:r>
      <w:r w:rsidRPr="00696C3F">
        <w:t xml:space="preserve"> A, </w:t>
      </w:r>
      <w:r w:rsidR="003220C8">
        <w:t>r</w:t>
      </w:r>
      <w:r>
        <w:t>esponse to Inquiry 2.</w:t>
      </w:r>
    </w:p>
  </w:footnote>
  <w:footnote w:id="117">
    <w:p w:rsidR="007447F5" w14:paraId="5EDDD6CC" w14:textId="08A34C13">
      <w:pPr>
        <w:pStyle w:val="FootnoteText"/>
      </w:pPr>
      <w:r>
        <w:rPr>
          <w:rStyle w:val="FootnoteReference"/>
        </w:rPr>
        <w:footnoteRef/>
      </w:r>
      <w:r>
        <w:t xml:space="preserve"> </w:t>
      </w:r>
      <w:r w:rsidR="007354C5">
        <w:t>1.88</w:t>
      </w:r>
      <w:r w:rsidRPr="00696C3F" w:rsidR="007354C5">
        <w:t xml:space="preserve"> </w:t>
      </w:r>
      <w:r w:rsidR="007354C5">
        <w:t xml:space="preserve">Letter </w:t>
      </w:r>
      <w:r w:rsidRPr="00696C3F" w:rsidR="007354C5">
        <w:t>Response at Attach</w:t>
      </w:r>
      <w:r w:rsidR="007354C5">
        <w:t>.</w:t>
      </w:r>
      <w:r w:rsidRPr="00696C3F" w:rsidR="007354C5">
        <w:t xml:space="preserve"> A, </w:t>
      </w:r>
      <w:r w:rsidR="003220C8">
        <w:t>r</w:t>
      </w:r>
      <w:r w:rsidR="007354C5">
        <w:t>esponse to Inquiry 3.</w:t>
      </w:r>
    </w:p>
  </w:footnote>
  <w:footnote w:id="118">
    <w:p w:rsidR="00E255BC" w14:paraId="15BA6D3E" w14:textId="3477E57B">
      <w:pPr>
        <w:pStyle w:val="FootnoteText"/>
      </w:pPr>
      <w:r>
        <w:rPr>
          <w:rStyle w:val="FootnoteReference"/>
        </w:rPr>
        <w:footnoteRef/>
      </w:r>
      <w:r>
        <w:t xml:space="preserve"> According to the 1.88 Letter Response, prior to becoming the </w:t>
      </w:r>
      <w:r w:rsidRPr="00E255BC">
        <w:t>Business Manager of Pro Radio</w:t>
      </w:r>
      <w:r>
        <w:t xml:space="preserve"> in November 2022,</w:t>
      </w:r>
      <w:r w:rsidRPr="00E255BC">
        <w:t xml:space="preserve"> Cynthia Denise Johnson </w:t>
      </w:r>
      <w:r>
        <w:t>was the Business Manager of Southern Radio, Inc.</w:t>
      </w:r>
      <w:r w:rsidR="00943987">
        <w:t>,</w:t>
      </w:r>
      <w:r>
        <w:t xml:space="preserve"> </w:t>
      </w:r>
      <w:r w:rsidR="00943987">
        <w:t>which programmed the Stations when the Mexican-owned company Grupo Radio</w:t>
      </w:r>
      <w:r w:rsidRPr="00F45E93" w:rsidR="00943987">
        <w:t xml:space="preserve"> </w:t>
      </w:r>
      <w:r w:rsidR="00BF2FCD">
        <w:t xml:space="preserve">Centro </w:t>
      </w:r>
      <w:r w:rsidR="00943987">
        <w:t>was involved</w:t>
      </w:r>
      <w:r>
        <w:t xml:space="preserve">.  </w:t>
      </w:r>
      <w:r w:rsidR="00943987">
        <w:t xml:space="preserve">Ms. Johnson worked for Southern Radio, Inc. from 2010 to October 2022.  </w:t>
      </w:r>
      <w:r>
        <w:t>1.88</w:t>
      </w:r>
      <w:r w:rsidRPr="00696C3F">
        <w:t xml:space="preserve"> </w:t>
      </w:r>
      <w:r w:rsidRPr="00A27514">
        <w:t xml:space="preserve">Letter </w:t>
      </w:r>
      <w:r w:rsidRPr="00696C3F">
        <w:t>Response at Attach</w:t>
      </w:r>
      <w:r>
        <w:t>.</w:t>
      </w:r>
      <w:r w:rsidRPr="00696C3F">
        <w:t xml:space="preserve"> A, </w:t>
      </w:r>
      <w:r w:rsidR="003220C8">
        <w:t>r</w:t>
      </w:r>
      <w:r>
        <w:t>esponse to Inquiry 1</w:t>
      </w:r>
      <w:r w:rsidR="00943987">
        <w:t xml:space="preserve"> and</w:t>
      </w:r>
      <w:r>
        <w:t xml:space="preserve"> Affidavit </w:t>
      </w:r>
      <w:r w:rsidR="00F45E93">
        <w:t>o</w:t>
      </w:r>
      <w:r>
        <w:t>f Cythina Denise Johnson.</w:t>
      </w:r>
      <w:r w:rsidR="00943987">
        <w:t xml:space="preserve">  </w:t>
      </w:r>
      <w:r w:rsidR="00223CF6">
        <w:t xml:space="preserve">In addition, Ms. Johnson appears on various ownership reports and Commission filings for the Stations over the years.  </w:t>
      </w:r>
      <w:r w:rsidRPr="00F45E93" w:rsidR="00223CF6">
        <w:rPr>
          <w:i/>
          <w:iCs/>
        </w:rPr>
        <w:t>See, e.g.</w:t>
      </w:r>
      <w:r w:rsidR="00223CF6">
        <w:t xml:space="preserve">, </w:t>
      </w:r>
      <w:r w:rsidRPr="005D7A93" w:rsidR="00943987">
        <w:t xml:space="preserve">FCC Ownership Report, </w:t>
      </w:r>
      <w:r w:rsidR="00943987">
        <w:t xml:space="preserve">Application </w:t>
      </w:r>
      <w:r w:rsidRPr="005D7A93" w:rsidR="00943987">
        <w:t>File No. 0000099508, submitted Jan. 23, 2020</w:t>
      </w:r>
      <w:r w:rsidR="00943987">
        <w:t xml:space="preserve"> </w:t>
      </w:r>
      <w:r w:rsidR="00223CF6">
        <w:t>(listing Cynthia Denise Johnson as an attributable officer of Grupo Radio Centro TX, LLC).</w:t>
      </w:r>
      <w:r w:rsidR="00F45E93">
        <w:t xml:space="preserve">  </w:t>
      </w:r>
      <w:r w:rsidR="00943987">
        <w:t xml:space="preserve">  </w:t>
      </w:r>
    </w:p>
  </w:footnote>
  <w:footnote w:id="119">
    <w:p w:rsidR="00805F5B" w14:paraId="2DF18441" w14:textId="68374EB7">
      <w:pPr>
        <w:pStyle w:val="FootnoteText"/>
      </w:pPr>
      <w:r>
        <w:rPr>
          <w:rStyle w:val="FootnoteReference"/>
        </w:rPr>
        <w:footnoteRef/>
      </w:r>
      <w:r>
        <w:t xml:space="preserve"> </w:t>
      </w:r>
      <w:bookmarkStart w:id="139" w:name="_Hlk204691172"/>
      <w:r>
        <w:t>1.88</w:t>
      </w:r>
      <w:r w:rsidRPr="00696C3F">
        <w:t xml:space="preserve"> </w:t>
      </w:r>
      <w:r w:rsidRPr="00A27514" w:rsidR="00A27514">
        <w:t xml:space="preserve">Letter </w:t>
      </w:r>
      <w:r w:rsidRPr="00696C3F">
        <w:t>Response at Attach</w:t>
      </w:r>
      <w:r w:rsidR="00651D3B">
        <w:t>.</w:t>
      </w:r>
      <w:r w:rsidRPr="00696C3F">
        <w:t xml:space="preserve"> A, </w:t>
      </w:r>
      <w:r w:rsidR="003220C8">
        <w:t>r</w:t>
      </w:r>
      <w:r>
        <w:t>esponse to Inquiry 3, and Exhibit 1(b)</w:t>
      </w:r>
      <w:r w:rsidRPr="00696C3F">
        <w:t>.</w:t>
      </w:r>
      <w:bookmarkEnd w:id="139"/>
      <w:r w:rsidRPr="00696C3F">
        <w:t xml:space="preserve">  </w:t>
      </w:r>
      <w:r w:rsidRPr="00E255BC" w:rsidR="00E255BC">
        <w:t xml:space="preserve">  </w:t>
      </w:r>
    </w:p>
  </w:footnote>
  <w:footnote w:id="120">
    <w:p w:rsidR="00515DA9" w14:paraId="7442DD2A" w14:textId="56ACD820">
      <w:pPr>
        <w:pStyle w:val="FootnoteText"/>
      </w:pPr>
      <w:r>
        <w:rPr>
          <w:rStyle w:val="FootnoteReference"/>
        </w:rPr>
        <w:footnoteRef/>
      </w:r>
      <w:r>
        <w:t xml:space="preserve"> </w:t>
      </w:r>
      <w:r w:rsidRPr="00515DA9">
        <w:rPr>
          <w:i/>
          <w:iCs/>
        </w:rPr>
        <w:t>See supra</w:t>
      </w:r>
      <w:r w:rsidR="00382137">
        <w:t xml:space="preserve"> para. </w:t>
      </w:r>
      <w:r w:rsidR="00382137">
        <w:fldChar w:fldCharType="begin"/>
      </w:r>
      <w:r w:rsidR="00382137">
        <w:instrText xml:space="preserve"> REF _Ref209693003 \r \h </w:instrText>
      </w:r>
      <w:r w:rsidR="00382137">
        <w:fldChar w:fldCharType="separate"/>
      </w:r>
      <w:r w:rsidR="002F69DA">
        <w:t>17</w:t>
      </w:r>
      <w:r w:rsidR="00382137">
        <w:fldChar w:fldCharType="end"/>
      </w:r>
      <w:r>
        <w:t>.</w:t>
      </w:r>
    </w:p>
  </w:footnote>
  <w:footnote w:id="121">
    <w:p w:rsidR="00E80848" w14:paraId="185F2FA3" w14:textId="07E9845C">
      <w:pPr>
        <w:pStyle w:val="FootnoteText"/>
      </w:pPr>
      <w:r>
        <w:rPr>
          <w:rStyle w:val="FootnoteReference"/>
        </w:rPr>
        <w:footnoteRef/>
      </w:r>
      <w:r>
        <w:t xml:space="preserve"> LOI Response at Attach. A, response to Question (1).</w:t>
      </w:r>
    </w:p>
  </w:footnote>
  <w:footnote w:id="122">
    <w:p w:rsidR="00E80848" w14:paraId="4768D74A" w14:textId="48272372">
      <w:pPr>
        <w:pStyle w:val="FootnoteText"/>
      </w:pPr>
      <w:r>
        <w:rPr>
          <w:rStyle w:val="FootnoteReference"/>
        </w:rPr>
        <w:footnoteRef/>
      </w:r>
      <w:r>
        <w:t xml:space="preserve"> 1.88</w:t>
      </w:r>
      <w:r w:rsidRPr="00696C3F">
        <w:t xml:space="preserve"> </w:t>
      </w:r>
      <w:r w:rsidRPr="00A27514">
        <w:t xml:space="preserve">Letter </w:t>
      </w:r>
      <w:r w:rsidRPr="00696C3F">
        <w:t>Response at Attach</w:t>
      </w:r>
      <w:r>
        <w:t>.</w:t>
      </w:r>
      <w:r w:rsidRPr="00696C3F">
        <w:t xml:space="preserve"> A, </w:t>
      </w:r>
      <w:r>
        <w:t>response to Inquiry 1, and Exhibit 1(a)</w:t>
      </w:r>
      <w:r w:rsidRPr="00696C3F">
        <w:t>.</w:t>
      </w:r>
    </w:p>
  </w:footnote>
  <w:footnote w:id="123">
    <w:p w:rsidR="00562CC5" w:rsidP="00562CC5" w14:paraId="63DC04BE" w14:textId="2769FE53">
      <w:pPr>
        <w:pStyle w:val="FootnoteText"/>
      </w:pPr>
      <w:r>
        <w:rPr>
          <w:rStyle w:val="FootnoteReference"/>
        </w:rPr>
        <w:footnoteRef/>
      </w:r>
      <w:r>
        <w:t xml:space="preserve"> </w:t>
      </w:r>
      <w:bookmarkStart w:id="140" w:name="_Hlk195174988"/>
      <w:r>
        <w:t>LOI Response at Attach</w:t>
      </w:r>
      <w:r w:rsidR="00651D3B">
        <w:t>.</w:t>
      </w:r>
      <w:r>
        <w:t xml:space="preserve"> A, </w:t>
      </w:r>
      <w:r w:rsidR="003220C8">
        <w:t xml:space="preserve">response to </w:t>
      </w:r>
      <w:r>
        <w:t xml:space="preserve">Question (1). </w:t>
      </w:r>
      <w:bookmarkEnd w:id="140"/>
    </w:p>
  </w:footnote>
  <w:footnote w:id="124">
    <w:p w:rsidR="00AE1104" w14:paraId="5ADB8B2E" w14:textId="4DD6B7A2">
      <w:pPr>
        <w:pStyle w:val="FootnoteText"/>
      </w:pPr>
      <w:r>
        <w:rPr>
          <w:rStyle w:val="FootnoteReference"/>
        </w:rPr>
        <w:footnoteRef/>
      </w:r>
      <w:r>
        <w:t xml:space="preserve"> </w:t>
      </w:r>
      <w:r w:rsidRPr="00515DA9" w:rsidR="00382137">
        <w:rPr>
          <w:i/>
          <w:iCs/>
        </w:rPr>
        <w:t>See supra</w:t>
      </w:r>
      <w:r w:rsidR="00382137">
        <w:t xml:space="preserve"> para. </w:t>
      </w:r>
      <w:r w:rsidR="00382137">
        <w:fldChar w:fldCharType="begin"/>
      </w:r>
      <w:r w:rsidR="00382137">
        <w:instrText xml:space="preserve"> REF _Ref209693003 \r \h </w:instrText>
      </w:r>
      <w:r w:rsidR="00382137">
        <w:fldChar w:fldCharType="separate"/>
      </w:r>
      <w:r w:rsidR="002F69DA">
        <w:t>17</w:t>
      </w:r>
      <w:r w:rsidR="00382137">
        <w:fldChar w:fldCharType="end"/>
      </w:r>
      <w:r w:rsidR="00382137">
        <w:t>.</w:t>
      </w:r>
      <w:r>
        <w:t xml:space="preserve">  </w:t>
      </w:r>
    </w:p>
  </w:footnote>
  <w:footnote w:id="125">
    <w:p w:rsidR="00515DA9" w14:paraId="3F36EE0B" w14:textId="527AC79B">
      <w:pPr>
        <w:pStyle w:val="FootnoteText"/>
      </w:pPr>
      <w:r>
        <w:rPr>
          <w:rStyle w:val="FootnoteReference"/>
        </w:rPr>
        <w:footnoteRef/>
      </w:r>
      <w:r>
        <w:t xml:space="preserve"> 1.88</w:t>
      </w:r>
      <w:r w:rsidRPr="00696C3F">
        <w:t xml:space="preserve"> </w:t>
      </w:r>
      <w:r w:rsidRPr="00A27514">
        <w:t xml:space="preserve">Letter </w:t>
      </w:r>
      <w:r w:rsidRPr="00696C3F">
        <w:t>Response at Attach</w:t>
      </w:r>
      <w:r>
        <w:t>.</w:t>
      </w:r>
      <w:r w:rsidRPr="00696C3F">
        <w:t xml:space="preserve"> A, </w:t>
      </w:r>
      <w:r>
        <w:t>response to Inquiry 1 (“Identifying the programming agreement with Pro Radio as beginning in 2021 was merely a typographical error.”).</w:t>
      </w:r>
    </w:p>
  </w:footnote>
  <w:footnote w:id="126">
    <w:p w:rsidR="00085AF6" w:rsidP="00085AF6" w14:paraId="396133A2" w14:textId="5282A70D">
      <w:pPr>
        <w:pStyle w:val="FootnoteText"/>
      </w:pPr>
      <w:r>
        <w:rPr>
          <w:rStyle w:val="FootnoteReference"/>
        </w:rPr>
        <w:footnoteRef/>
      </w:r>
      <w:r>
        <w:t xml:space="preserve"> </w:t>
      </w:r>
      <w:r w:rsidRPr="00515DA9" w:rsidR="00515DA9">
        <w:rPr>
          <w:i/>
          <w:iCs/>
        </w:rPr>
        <w:t>Id</w:t>
      </w:r>
      <w:r w:rsidR="00515DA9">
        <w:t>.</w:t>
      </w:r>
      <w:r w:rsidR="00BF2FCD">
        <w:t xml:space="preserve"> </w:t>
      </w:r>
      <w:r>
        <w:t xml:space="preserve"> </w:t>
      </w:r>
      <w:r w:rsidR="00C8297F">
        <w:t xml:space="preserve">Assuming the veracity of the revised commencement date, the Parties notably provide no information </w:t>
      </w:r>
      <w:r w:rsidR="005C5FE8">
        <w:t>regarding</w:t>
      </w:r>
      <w:r w:rsidR="00C8297F">
        <w:t xml:space="preserve"> what programming the Stations carried from the time of Rygaard’s acquisition of the Stations in May 2022 </w:t>
      </w:r>
      <w:r w:rsidR="00482DD8">
        <w:t>until</w:t>
      </w:r>
      <w:r w:rsidR="00C8297F">
        <w:t xml:space="preserve"> the</w:t>
      </w:r>
      <w:r w:rsidR="00A27514">
        <w:t xml:space="preserve"> alleged</w:t>
      </w:r>
      <w:r w:rsidR="00C8297F">
        <w:t xml:space="preserve"> commencement of the Pro Radio programming in December 2022.  </w:t>
      </w:r>
    </w:p>
  </w:footnote>
  <w:footnote w:id="127">
    <w:p w:rsidR="00FF41D7" w:rsidP="00FF41D7" w14:paraId="2E304E80" w14:textId="34F7B462">
      <w:pPr>
        <w:pStyle w:val="FootnoteText"/>
      </w:pPr>
      <w:r>
        <w:rPr>
          <w:rStyle w:val="FootnoteReference"/>
        </w:rPr>
        <w:footnoteRef/>
      </w:r>
      <w:r>
        <w:t xml:space="preserve"> LOI Response at Attach. A, </w:t>
      </w:r>
      <w:r w:rsidR="003220C8">
        <w:t>r</w:t>
      </w:r>
      <w:r>
        <w:t xml:space="preserve">esponse to Question 14; </w:t>
      </w:r>
      <w:r w:rsidR="003220C8">
        <w:t>1</w:t>
      </w:r>
      <w:r>
        <w:t xml:space="preserve">.88 </w:t>
      </w:r>
      <w:r w:rsidR="00A27514">
        <w:t xml:space="preserve">Letter </w:t>
      </w:r>
      <w:r>
        <w:t xml:space="preserve">Response at Attach. A, p. 5, </w:t>
      </w:r>
      <w:r w:rsidR="003220C8">
        <w:t>r</w:t>
      </w:r>
      <w:r>
        <w:t xml:space="preserve">esponse to Inquiry 2.  </w:t>
      </w:r>
    </w:p>
  </w:footnote>
  <w:footnote w:id="128">
    <w:p w:rsidR="003910F2" w:rsidP="003910F2" w14:paraId="09AC5CAA" w14:textId="1DCFD817">
      <w:pPr>
        <w:pStyle w:val="FootnoteText"/>
      </w:pPr>
      <w:r>
        <w:rPr>
          <w:rStyle w:val="FootnoteReference"/>
        </w:rPr>
        <w:footnoteRef/>
      </w:r>
      <w:r>
        <w:t xml:space="preserve"> </w:t>
      </w:r>
      <w:r w:rsidRPr="003910F2">
        <w:rPr>
          <w:i/>
          <w:iCs/>
        </w:rPr>
        <w:t>See</w:t>
      </w:r>
      <w:r>
        <w:t xml:space="preserve"> Texas Secretary of State, Business Information for Pro Radio, LLC (Filing No. </w:t>
      </w:r>
      <w:r w:rsidRPr="003910F2">
        <w:t>0804682712</w:t>
      </w:r>
      <w:r>
        <w:t xml:space="preserve">) </w:t>
      </w:r>
      <w:r w:rsidR="00A040E7">
        <w:t>retrieved</w:t>
      </w:r>
      <w:r>
        <w:t xml:space="preserve"> via </w:t>
      </w:r>
      <w:r w:rsidR="00A040E7">
        <w:t>LexisNexis Public Records search</w:t>
      </w:r>
      <w:r>
        <w:t>.</w:t>
      </w:r>
      <w:r w:rsidR="00BF2E71">
        <w:t xml:space="preserve">  </w:t>
      </w:r>
      <w:r w:rsidR="00E600BC">
        <w:t xml:space="preserve">This corporate business record lists </w:t>
      </w:r>
      <w:r w:rsidR="00BF2E71">
        <w:rPr>
          <w:szCs w:val="22"/>
        </w:rPr>
        <w:t xml:space="preserve">Rygaard </w:t>
      </w:r>
      <w:r w:rsidR="00E600BC">
        <w:rPr>
          <w:szCs w:val="22"/>
        </w:rPr>
        <w:t xml:space="preserve">as a director </w:t>
      </w:r>
      <w:r w:rsidR="00EE47EB">
        <w:rPr>
          <w:szCs w:val="22"/>
        </w:rPr>
        <w:t xml:space="preserve">and the registered agent </w:t>
      </w:r>
      <w:r w:rsidR="00E600BC">
        <w:rPr>
          <w:szCs w:val="22"/>
        </w:rPr>
        <w:t>of</w:t>
      </w:r>
      <w:r w:rsidR="00BF2E71">
        <w:rPr>
          <w:szCs w:val="22"/>
        </w:rPr>
        <w:t xml:space="preserve"> Pro Radio</w:t>
      </w:r>
      <w:r w:rsidR="00E600BC">
        <w:rPr>
          <w:szCs w:val="22"/>
        </w:rPr>
        <w:t>, at the same time that Toscano is reflected as the president and a director</w:t>
      </w:r>
      <w:r w:rsidR="00382137">
        <w:rPr>
          <w:szCs w:val="22"/>
        </w:rPr>
        <w:t xml:space="preserve"> of the company</w:t>
      </w:r>
      <w:r w:rsidR="00EE47EB">
        <w:rPr>
          <w:szCs w:val="22"/>
        </w:rPr>
        <w:t xml:space="preserve">.  In addition, </w:t>
      </w:r>
      <w:r w:rsidRPr="00EE47EB" w:rsidR="00EE47EB">
        <w:rPr>
          <w:szCs w:val="22"/>
        </w:rPr>
        <w:t>Elizabeth Peréz Toscano</w:t>
      </w:r>
      <w:r w:rsidR="00EE47EB">
        <w:rPr>
          <w:szCs w:val="22"/>
        </w:rPr>
        <w:t xml:space="preserve"> is reported as secretary and director, </w:t>
      </w:r>
      <w:r w:rsidRPr="00EE47EB" w:rsidR="00EE47EB">
        <w:rPr>
          <w:szCs w:val="22"/>
        </w:rPr>
        <w:t xml:space="preserve">Jaqueline Peréz Toscano </w:t>
      </w:r>
      <w:r w:rsidR="00E600BC">
        <w:rPr>
          <w:szCs w:val="22"/>
        </w:rPr>
        <w:t>as</w:t>
      </w:r>
      <w:r w:rsidR="00EE47EB">
        <w:rPr>
          <w:szCs w:val="22"/>
        </w:rPr>
        <w:t xml:space="preserve"> vice president and director, and</w:t>
      </w:r>
      <w:r w:rsidR="00E600BC">
        <w:rPr>
          <w:szCs w:val="22"/>
        </w:rPr>
        <w:t xml:space="preserve"> Denise Johnson as the corporate secretary of the company.  </w:t>
      </w:r>
    </w:p>
  </w:footnote>
  <w:footnote w:id="129">
    <w:p w:rsidR="004723A9" w14:paraId="18A74FF3" w14:textId="2C374FED">
      <w:pPr>
        <w:pStyle w:val="FootnoteText"/>
      </w:pPr>
      <w:r>
        <w:rPr>
          <w:rStyle w:val="FootnoteReference"/>
        </w:rPr>
        <w:footnoteRef/>
      </w:r>
      <w:r>
        <w:t xml:space="preserve"> The sole reference to the outstanding debt was contained in a brief provision of the stock purchase agreement between Rygaard and </w:t>
      </w:r>
      <w:r w:rsidRPr="004723A9">
        <w:t>Grupo Radio TX and 97.5 Investment</w:t>
      </w:r>
      <w:r>
        <w:t xml:space="preserve"> </w:t>
      </w:r>
      <w:r w:rsidR="004D0548">
        <w:t xml:space="preserve">entitled “Company Accounting,” which stated:  “Both parties have reasonable knowledge of the company’s accounting and economic situation to the date thereof, as well as of its assets, debts, obligations, and tax liabilities including a recognized debt for around 2.5 million dollars.”  </w:t>
      </w:r>
      <w:r w:rsidR="00391D6A">
        <w:t xml:space="preserve">2021 </w:t>
      </w:r>
      <w:r w:rsidR="004D0548">
        <w:t>T</w:t>
      </w:r>
      <w:r w:rsidRPr="004723A9">
        <w:t xml:space="preserve">ransfer </w:t>
      </w:r>
      <w:r w:rsidR="00E92181">
        <w:t>Application</w:t>
      </w:r>
      <w:r w:rsidRPr="004723A9" w:rsidR="00E92181">
        <w:t xml:space="preserve"> </w:t>
      </w:r>
      <w:r>
        <w:t>at</w:t>
      </w:r>
      <w:r w:rsidRPr="004723A9">
        <w:t xml:space="preserve"> </w:t>
      </w:r>
      <w:r w:rsidRPr="008773F6">
        <w:t>Exh</w:t>
      </w:r>
      <w:r w:rsidRPr="008773F6">
        <w:t xml:space="preserve">. </w:t>
      </w:r>
      <w:r w:rsidRPr="00A5738A">
        <w:rPr>
          <w:i/>
          <w:iCs/>
        </w:rPr>
        <w:t>Stock Purchase Agreement</w:t>
      </w:r>
      <w:r>
        <w:rPr>
          <w:i/>
          <w:iCs/>
        </w:rPr>
        <w:t xml:space="preserve"> - Rygaard</w:t>
      </w:r>
      <w:r w:rsidRPr="00A5738A">
        <w:rPr>
          <w:i/>
          <w:iCs/>
        </w:rPr>
        <w:t>.pdf</w:t>
      </w:r>
      <w:r w:rsidRPr="008773F6">
        <w:t>.</w:t>
      </w:r>
    </w:p>
  </w:footnote>
  <w:footnote w:id="130">
    <w:p w:rsidR="00B4256B" w14:paraId="0FA783CF" w14:textId="4DBE22AD">
      <w:pPr>
        <w:pStyle w:val="FootnoteText"/>
      </w:pPr>
      <w:r>
        <w:rPr>
          <w:rStyle w:val="FootnoteReference"/>
        </w:rPr>
        <w:footnoteRef/>
      </w:r>
      <w:r>
        <w:t xml:space="preserve"> Notably, in responding to questions about the origination of the loan and the sale of the </w:t>
      </w:r>
      <w:r w:rsidR="00E915A1">
        <w:t>S</w:t>
      </w:r>
      <w:r>
        <w:t>tations to Rygaard, the 1.88 Letter Response</w:t>
      </w:r>
      <w:r w:rsidR="00A80B83">
        <w:t xml:space="preserve"> indicates that the loan was made by Grupo Radio TX</w:t>
      </w:r>
      <w:r w:rsidR="00C9101F">
        <w:t>, a U.S. corporation</w:t>
      </w:r>
      <w:r w:rsidR="00A80B83">
        <w:t xml:space="preserve">; however, the loan documents </w:t>
      </w:r>
      <w:r w:rsidR="004D0548">
        <w:t xml:space="preserve">make clear that it </w:t>
      </w:r>
      <w:r w:rsidR="00524F21">
        <w:t xml:space="preserve">was actually </w:t>
      </w:r>
      <w:r w:rsidR="00A80B83">
        <w:t>the Mexican parent company, Grupo Radio Centro</w:t>
      </w:r>
      <w:r w:rsidR="004D0548">
        <w:t xml:space="preserve">, that provided the funds to the Stations and </w:t>
      </w:r>
      <w:r w:rsidR="00524F21">
        <w:t>sold</w:t>
      </w:r>
      <w:r w:rsidR="004D0548">
        <w:t xml:space="preserve"> the </w:t>
      </w:r>
      <w:r w:rsidR="00586561">
        <w:t xml:space="preserve">right to collect that </w:t>
      </w:r>
      <w:r w:rsidR="004D0548">
        <w:t>debt to Toscano</w:t>
      </w:r>
      <w:r w:rsidR="00A80B83">
        <w:t xml:space="preserve">.  Further, in briefly describing the negotiations in connection with the sale of 97.5 Holdings to Rygaard in 2021, the 1.88 Letter Response </w:t>
      </w:r>
      <w:r>
        <w:t xml:space="preserve">refers to the </w:t>
      </w:r>
      <w:r w:rsidR="00A80B83">
        <w:t xml:space="preserve">negotiations </w:t>
      </w:r>
      <w:r>
        <w:t xml:space="preserve">as being </w:t>
      </w:r>
      <w:r w:rsidR="00586561">
        <w:t>“</w:t>
      </w:r>
      <w:r>
        <w:t xml:space="preserve">between </w:t>
      </w:r>
      <w:r w:rsidR="00586561">
        <w:t xml:space="preserve">Ms. </w:t>
      </w:r>
      <w:r>
        <w:t>Rygaard and Grupo Radio TX</w:t>
      </w:r>
      <w:r w:rsidR="00E915A1">
        <w:t>.</w:t>
      </w:r>
      <w:r w:rsidR="00586561">
        <w:t>”</w:t>
      </w:r>
      <w:r w:rsidR="00E915A1">
        <w:t xml:space="preserve">  </w:t>
      </w:r>
      <w:r w:rsidR="00586561">
        <w:t>1.88</w:t>
      </w:r>
      <w:r w:rsidRPr="00696C3F" w:rsidR="00586561">
        <w:t xml:space="preserve"> </w:t>
      </w:r>
      <w:r w:rsidRPr="00A27514" w:rsidR="00586561">
        <w:t xml:space="preserve">Letter </w:t>
      </w:r>
      <w:r w:rsidRPr="00696C3F" w:rsidR="00586561">
        <w:t>Response at Attach</w:t>
      </w:r>
      <w:r w:rsidR="00586561">
        <w:t>.</w:t>
      </w:r>
      <w:r w:rsidRPr="00696C3F" w:rsidR="00586561">
        <w:t xml:space="preserve"> A, </w:t>
      </w:r>
      <w:r w:rsidR="00586561">
        <w:t xml:space="preserve">response to Inquiry 4.  </w:t>
      </w:r>
      <w:r w:rsidR="00E915A1">
        <w:t>No mention is made of the involvement of the majority owner at the time,</w:t>
      </w:r>
      <w:r w:rsidRPr="00E16E03" w:rsidR="00E915A1">
        <w:rPr>
          <w:szCs w:val="22"/>
        </w:rPr>
        <w:t xml:space="preserve"> U.S. citizen Rafael Marquez Aguirre</w:t>
      </w:r>
      <w:r w:rsidR="00E915A1">
        <w:rPr>
          <w:szCs w:val="22"/>
        </w:rPr>
        <w:t xml:space="preserve"> who</w:t>
      </w:r>
      <w:r w:rsidRPr="00E16E03" w:rsidR="00E915A1">
        <w:rPr>
          <w:szCs w:val="22"/>
        </w:rPr>
        <w:t xml:space="preserve"> held 75% of the equity and voting interests </w:t>
      </w:r>
      <w:r w:rsidR="00E915A1">
        <w:rPr>
          <w:szCs w:val="22"/>
        </w:rPr>
        <w:t>of</w:t>
      </w:r>
      <w:r w:rsidRPr="00E16E03" w:rsidR="00E915A1">
        <w:rPr>
          <w:szCs w:val="22"/>
        </w:rPr>
        <w:t xml:space="preserve"> 97.5 Holdings</w:t>
      </w:r>
      <w:r w:rsidR="00A80B83">
        <w:t>.</w:t>
      </w:r>
      <w:r w:rsidR="00E915A1">
        <w:t xml:space="preserve">  This potentially indicates that the Mexican-owned minority interest holder </w:t>
      </w:r>
      <w:r w:rsidR="00524F21">
        <w:t>at that time</w:t>
      </w:r>
      <w:r w:rsidR="00C63BD8">
        <w:t xml:space="preserve">, Grupo Radio Centro, </w:t>
      </w:r>
      <w:r w:rsidR="00E915A1">
        <w:t xml:space="preserve">was exercising actual control of the Stations in violation of the Commission’s foreign ownership rules. </w:t>
      </w:r>
      <w:r w:rsidR="004D0548">
        <w:t xml:space="preserve"> As noted above, no declarations or attestations were provided </w:t>
      </w:r>
      <w:r w:rsidR="00524F21">
        <w:t xml:space="preserve">by </w:t>
      </w:r>
      <w:r w:rsidR="00586561">
        <w:t xml:space="preserve">Mr. </w:t>
      </w:r>
      <w:r w:rsidRPr="00586561" w:rsidR="00586561">
        <w:t xml:space="preserve">Peréz </w:t>
      </w:r>
      <w:r w:rsidR="00586561">
        <w:t xml:space="preserve">de Anda, </w:t>
      </w:r>
      <w:r w:rsidR="004D0548">
        <w:t xml:space="preserve">Mr. Marquez Aguirre, Grupo Radio TX, Grupo Radio Centro, Pro Radio, or </w:t>
      </w:r>
      <w:r w:rsidR="00524F21">
        <w:t>any party other than Rygaard in support of the response</w:t>
      </w:r>
      <w:r w:rsidR="00C9101F">
        <w:t>s</w:t>
      </w:r>
      <w:r w:rsidR="00524F21">
        <w:t xml:space="preserve"> to this line of inquiry</w:t>
      </w:r>
      <w:r w:rsidR="00C63BD8">
        <w:t>, contrary to the Bureau’s instructions in the 1.88 Letter</w:t>
      </w:r>
      <w:r w:rsidR="00524F21">
        <w:t>.</w:t>
      </w:r>
      <w:r w:rsidR="00C63BD8">
        <w:rPr>
          <w:i/>
          <w:iCs/>
        </w:rPr>
        <w:t xml:space="preserve"> </w:t>
      </w:r>
      <w:r w:rsidR="00C63BD8">
        <w:t xml:space="preserve"> 1.88 Letter at 5-6 (stating “</w:t>
      </w:r>
      <w:r w:rsidR="00524F21">
        <w:t xml:space="preserve"> </w:t>
      </w:r>
      <w:r w:rsidRPr="00473AE2" w:rsidR="00473AE2">
        <w:t>In addition to such general affidavit or declaration of the authorized officer of the Applicant described above, if such officer (or any other affiant or declarant) is relying on the personal knowledge of any other individual rather than his or her own knowledge, and if multiple employees contribute to the response, the Applicant shall provide separate affidavits or declarations of each such individual with personal knowledge that identify clearly to which responses the affiant or declarant with such personal knowledge is attesting.  All such declarations provided must comply with 47 CFR § 1.16, and be substantially in the form set forth therein.</w:t>
      </w:r>
      <w:r w:rsidR="00473AE2">
        <w:t>”).</w:t>
      </w:r>
      <w:r w:rsidRPr="00473AE2" w:rsidR="00473AE2">
        <w:t xml:space="preserve">  </w:t>
      </w:r>
      <w:r w:rsidR="00524F21">
        <w:t xml:space="preserve"> </w:t>
      </w:r>
    </w:p>
  </w:footnote>
  <w:footnote w:id="131">
    <w:p w:rsidR="00586561" w14:paraId="119B596D" w14:textId="4706FB0B">
      <w:pPr>
        <w:pStyle w:val="FootnoteText"/>
      </w:pPr>
      <w:r>
        <w:rPr>
          <w:rStyle w:val="FootnoteReference"/>
        </w:rPr>
        <w:footnoteRef/>
      </w:r>
      <w:r>
        <w:t xml:space="preserve"> 1.88</w:t>
      </w:r>
      <w:r w:rsidRPr="00696C3F">
        <w:t xml:space="preserve"> </w:t>
      </w:r>
      <w:r w:rsidRPr="00A27514">
        <w:t xml:space="preserve">Letter </w:t>
      </w:r>
      <w:r w:rsidRPr="00696C3F">
        <w:t>Response at Attach</w:t>
      </w:r>
      <w:r>
        <w:t>.</w:t>
      </w:r>
      <w:r w:rsidRPr="00696C3F">
        <w:t xml:space="preserve"> A, </w:t>
      </w:r>
      <w:r>
        <w:t xml:space="preserve">response to Inquiry 4 (stating “Neither Ms. Toscano nor </w:t>
      </w:r>
      <w:r>
        <w:t>Trigio</w:t>
      </w:r>
      <w:r>
        <w:t xml:space="preserve"> Javier </w:t>
      </w:r>
      <w:r w:rsidRPr="00586561">
        <w:t xml:space="preserve">Peréz </w:t>
      </w:r>
      <w:r>
        <w:t>de Anda played a role in</w:t>
      </w:r>
      <w:r w:rsidR="00FA7388">
        <w:t>”</w:t>
      </w:r>
      <w:r>
        <w:t xml:space="preserve"> the sale </w:t>
      </w:r>
      <w:r w:rsidR="00305392">
        <w:t>of the stock of 97.5 Holdings between Rygaard and Grupo Radio).</w:t>
      </w:r>
      <w:r>
        <w:t xml:space="preserve"> </w:t>
      </w:r>
    </w:p>
  </w:footnote>
  <w:footnote w:id="132">
    <w:p w:rsidR="00396686" w14:paraId="22047C9D" w14:textId="414CA8AC">
      <w:pPr>
        <w:pStyle w:val="FootnoteText"/>
      </w:pPr>
      <w:r>
        <w:rPr>
          <w:rStyle w:val="FootnoteReference"/>
        </w:rPr>
        <w:footnoteRef/>
      </w:r>
      <w:r>
        <w:t xml:space="preserve"> </w:t>
      </w:r>
      <w:r w:rsidRPr="003D4C4F" w:rsidR="005E2A89">
        <w:rPr>
          <w:szCs w:val="22"/>
        </w:rPr>
        <w:t xml:space="preserve">The agreement records that Toscano’s payment of consideration </w:t>
      </w:r>
      <w:r w:rsidR="00935CEC">
        <w:rPr>
          <w:szCs w:val="22"/>
        </w:rPr>
        <w:t xml:space="preserve">made in exchange for the right to collect the outstanding debt </w:t>
      </w:r>
      <w:r w:rsidRPr="003D4C4F" w:rsidR="005E2A89">
        <w:rPr>
          <w:szCs w:val="22"/>
        </w:rPr>
        <w:t>was to be made in three tranches, with $400,000</w:t>
      </w:r>
      <w:r w:rsidR="005E2A89">
        <w:rPr>
          <w:szCs w:val="22"/>
        </w:rPr>
        <w:t xml:space="preserve"> being subject to a reconciliation </w:t>
      </w:r>
      <w:r w:rsidR="008E0C9F">
        <w:rPr>
          <w:szCs w:val="22"/>
        </w:rPr>
        <w:t>against</w:t>
      </w:r>
      <w:r w:rsidR="005E2A89">
        <w:rPr>
          <w:szCs w:val="22"/>
        </w:rPr>
        <w:t xml:space="preserve"> expenses or liabilities incurred by the Stations.  Toscano’s f</w:t>
      </w:r>
      <w:r w:rsidR="008E0C9F">
        <w:rPr>
          <w:szCs w:val="22"/>
        </w:rPr>
        <w:t>a</w:t>
      </w:r>
      <w:r w:rsidR="005E2A89">
        <w:rPr>
          <w:szCs w:val="22"/>
        </w:rPr>
        <w:t xml:space="preserve">ther, </w:t>
      </w:r>
      <w:r w:rsidR="00935CEC">
        <w:rPr>
          <w:szCs w:val="22"/>
        </w:rPr>
        <w:t>Mr.</w:t>
      </w:r>
      <w:r w:rsidR="005E2A89">
        <w:rPr>
          <w:szCs w:val="22"/>
        </w:rPr>
        <w:t xml:space="preserve"> Peréz de Anda, served as </w:t>
      </w:r>
      <w:r w:rsidR="008E0C9F">
        <w:rPr>
          <w:szCs w:val="22"/>
        </w:rPr>
        <w:t>her</w:t>
      </w:r>
      <w:r w:rsidR="005E2A89">
        <w:rPr>
          <w:szCs w:val="22"/>
        </w:rPr>
        <w:t xml:space="preserve"> representative </w:t>
      </w:r>
      <w:r w:rsidR="008E0C9F">
        <w:rPr>
          <w:szCs w:val="22"/>
        </w:rPr>
        <w:t xml:space="preserve">with respect to the </w:t>
      </w:r>
      <w:r w:rsidR="005E2A89">
        <w:rPr>
          <w:szCs w:val="22"/>
        </w:rPr>
        <w:t>reconciliation of those funds</w:t>
      </w:r>
      <w:r w:rsidR="008E0C9F">
        <w:rPr>
          <w:szCs w:val="22"/>
        </w:rPr>
        <w:t>.  Specifically, the agreement states “[t]</w:t>
      </w:r>
      <w:r w:rsidRPr="008E0C9F" w:rsidR="008E0C9F">
        <w:rPr>
          <w:szCs w:val="22"/>
        </w:rPr>
        <w:t xml:space="preserve">he parties agree on behalf of “THE ASSIGNEE” [Toscano] to appoint Mr. </w:t>
      </w:r>
      <w:r w:rsidRPr="008E0C9F" w:rsidR="008E0C9F">
        <w:rPr>
          <w:szCs w:val="22"/>
        </w:rPr>
        <w:t>Trigio</w:t>
      </w:r>
      <w:r w:rsidRPr="008E0C9F" w:rsidR="008E0C9F">
        <w:rPr>
          <w:szCs w:val="22"/>
        </w:rPr>
        <w:t xml:space="preserve"> Javier Peréz de Anda</w:t>
      </w:r>
      <w:r w:rsidR="008E0C9F">
        <w:rPr>
          <w:szCs w:val="22"/>
        </w:rPr>
        <w:t>…</w:t>
      </w:r>
      <w:r w:rsidRPr="008E0C9F" w:rsidR="008E0C9F">
        <w:rPr>
          <w:szCs w:val="22"/>
        </w:rPr>
        <w:t>”</w:t>
      </w:r>
      <w:r w:rsidR="008E0C9F">
        <w:rPr>
          <w:szCs w:val="22"/>
        </w:rPr>
        <w:t xml:space="preserve">.  </w:t>
      </w:r>
      <w:r w:rsidR="008E0C9F">
        <w:t xml:space="preserve">LOI Response at Attach. A, </w:t>
      </w:r>
      <w:r w:rsidR="008E0C9F">
        <w:rPr>
          <w:szCs w:val="22"/>
        </w:rPr>
        <w:t>A</w:t>
      </w:r>
      <w:r w:rsidRPr="003D4C4F" w:rsidR="008E0C9F">
        <w:rPr>
          <w:szCs w:val="22"/>
        </w:rPr>
        <w:t xml:space="preserve">ssignment </w:t>
      </w:r>
      <w:r w:rsidR="008E0C9F">
        <w:rPr>
          <w:szCs w:val="22"/>
        </w:rPr>
        <w:t>of Debt Rights Agreemen</w:t>
      </w:r>
      <w:r w:rsidRPr="00CC7BBF" w:rsidR="008E0C9F">
        <w:rPr>
          <w:szCs w:val="22"/>
        </w:rPr>
        <w:t>t</w:t>
      </w:r>
      <w:r w:rsidRPr="00CC7BBF" w:rsidR="008E0C9F">
        <w:t xml:space="preserve">. </w:t>
      </w:r>
      <w:r w:rsidR="008E0C9F">
        <w:t xml:space="preserve"> </w:t>
      </w:r>
    </w:p>
  </w:footnote>
  <w:footnote w:id="133">
    <w:p w:rsidR="003D1E22" w14:paraId="26935D19" w14:textId="34EFABEC">
      <w:pPr>
        <w:pStyle w:val="FootnoteText"/>
      </w:pPr>
      <w:r>
        <w:rPr>
          <w:rStyle w:val="FootnoteReference"/>
        </w:rPr>
        <w:footnoteRef/>
      </w:r>
      <w:r>
        <w:t xml:space="preserve"> </w:t>
      </w:r>
      <w:r w:rsidR="007C6B4F">
        <w:t xml:space="preserve">LOI Response at Attach. A, </w:t>
      </w:r>
      <w:r w:rsidR="003220C8">
        <w:t>r</w:t>
      </w:r>
      <w:r w:rsidR="007C6B4F">
        <w:t>esponse to Question 13.</w:t>
      </w:r>
    </w:p>
  </w:footnote>
  <w:footnote w:id="134">
    <w:p w:rsidR="00473AE2" w14:paraId="71299446" w14:textId="5915B1F8">
      <w:pPr>
        <w:pStyle w:val="FootnoteText"/>
      </w:pPr>
      <w:r>
        <w:rPr>
          <w:rStyle w:val="FootnoteReference"/>
        </w:rPr>
        <w:footnoteRef/>
      </w:r>
      <w:r>
        <w:t xml:space="preserve"> </w:t>
      </w:r>
      <w:r w:rsidRPr="00473AE2">
        <w:t xml:space="preserve">Transfer Application at </w:t>
      </w:r>
      <w:r w:rsidRPr="00473AE2">
        <w:t>Exh</w:t>
      </w:r>
      <w:r w:rsidRPr="00473AE2">
        <w:t xml:space="preserve">. </w:t>
      </w:r>
      <w:r w:rsidRPr="005E2A89">
        <w:rPr>
          <w:i/>
          <w:iCs/>
        </w:rPr>
        <w:t xml:space="preserve">Stock Purchase Agreement </w:t>
      </w:r>
      <w:r w:rsidRPr="00267535" w:rsidR="00391D6A">
        <w:rPr>
          <w:i/>
          <w:iCs/>
        </w:rPr>
        <w:t>LORENA margarita</w:t>
      </w:r>
      <w:r w:rsidRPr="005E2A89">
        <w:rPr>
          <w:i/>
          <w:iCs/>
        </w:rPr>
        <w:t>.pdf</w:t>
      </w:r>
      <w:r w:rsidRPr="00473AE2">
        <w:t>.</w:t>
      </w:r>
    </w:p>
  </w:footnote>
  <w:footnote w:id="135">
    <w:p w:rsidR="000E7CF9" w:rsidRPr="008773F6" w:rsidP="000E7CF9" w14:paraId="5E388564" w14:textId="2BF78083">
      <w:pPr>
        <w:pStyle w:val="FootnoteText"/>
        <w:widowControl w:val="0"/>
      </w:pPr>
      <w:r w:rsidRPr="008773F6">
        <w:rPr>
          <w:rStyle w:val="FootnoteReference"/>
        </w:rPr>
        <w:footnoteRef/>
      </w:r>
      <w:r w:rsidRPr="008773F6">
        <w:t xml:space="preserve"> </w:t>
      </w:r>
      <w:r w:rsidRPr="008773F6">
        <w:rPr>
          <w:i/>
        </w:rPr>
        <w:t>Contemporary Media Inc. v. FCC</w:t>
      </w:r>
      <w:r w:rsidRPr="008773F6">
        <w:t>, 214</w:t>
      </w:r>
      <w:r w:rsidR="00F40A76">
        <w:t xml:space="preserve"> F.3d</w:t>
      </w:r>
      <w:r w:rsidRPr="008773F6">
        <w:t xml:space="preserve"> </w:t>
      </w:r>
      <w:r w:rsidR="0087332D">
        <w:t>at</w:t>
      </w:r>
      <w:r w:rsidRPr="008773F6">
        <w:t xml:space="preserve"> 193 (citation omitted).</w:t>
      </w:r>
    </w:p>
  </w:footnote>
  <w:footnote w:id="136">
    <w:p w:rsidR="000E7CF9" w:rsidRPr="008773F6" w:rsidP="000E7CF9" w14:paraId="39623C86" w14:textId="77777777">
      <w:pPr>
        <w:pStyle w:val="FootnoteText"/>
        <w:widowControl w:val="0"/>
        <w:rPr>
          <w:rStyle w:val="documentbody"/>
        </w:rPr>
      </w:pPr>
      <w:r w:rsidRPr="008773F6">
        <w:rPr>
          <w:rStyle w:val="FootnoteReference"/>
        </w:rPr>
        <w:footnoteRef/>
      </w:r>
      <w:r w:rsidRPr="008773F6">
        <w:t xml:space="preserve"> </w:t>
      </w:r>
      <w:r w:rsidRPr="008773F6">
        <w:rPr>
          <w:i/>
        </w:rPr>
        <w:t>See 1986 Character Policy Statement</w:t>
      </w:r>
      <w:r w:rsidRPr="008773F6">
        <w:t xml:space="preserve">, </w:t>
      </w:r>
      <w:r w:rsidRPr="008773F6">
        <w:rPr>
          <w:rStyle w:val="documentbody"/>
        </w:rPr>
        <w:t xml:space="preserve">102 FCC 2d at 1209-11.  The fundamental importance of truthfulness and candor on the part of applicants and licensees in their dealings with the Commission is well established.  </w:t>
      </w:r>
      <w:r w:rsidRPr="008773F6">
        <w:rPr>
          <w:rStyle w:val="documentbody"/>
          <w:i/>
        </w:rPr>
        <w:t>See</w:t>
      </w:r>
      <w:r w:rsidRPr="008773F6">
        <w:t xml:space="preserve"> </w:t>
      </w:r>
      <w:r w:rsidRPr="008773F6">
        <w:rPr>
          <w:i/>
        </w:rPr>
        <w:t xml:space="preserve">FCC v. WOKO, Inc., </w:t>
      </w:r>
      <w:r w:rsidRPr="008773F6">
        <w:t xml:space="preserve">329 U.S. 223 (1946); </w:t>
      </w:r>
      <w:r w:rsidRPr="008773F6">
        <w:rPr>
          <w:i/>
        </w:rPr>
        <w:t>Nick J. Chaconas</w:t>
      </w:r>
      <w:r w:rsidRPr="008773F6">
        <w:t>,</w:t>
      </w:r>
      <w:r w:rsidRPr="008773F6">
        <w:rPr>
          <w:i/>
        </w:rPr>
        <w:t xml:space="preserve"> </w:t>
      </w:r>
      <w:r w:rsidRPr="008773F6">
        <w:t xml:space="preserve">Decision, </w:t>
      </w:r>
      <w:hyperlink r:id="rId6" w:tgtFrame="_top" w:history="1">
        <w:r w:rsidRPr="008773F6">
          <w:rPr>
            <w:rStyle w:val="documentbody"/>
          </w:rPr>
          <w:t>28 FCC 2d 231 (1971)</w:t>
        </w:r>
      </w:hyperlink>
      <w:r w:rsidRPr="008773F6">
        <w:rPr>
          <w:rStyle w:val="documentbody"/>
        </w:rPr>
        <w:t xml:space="preserve">; </w:t>
      </w:r>
      <w:hyperlink r:id="rId6" w:tgtFrame="_top" w:history="1">
        <w:r w:rsidRPr="008773F6">
          <w:rPr>
            <w:rStyle w:val="documentbody"/>
            <w:i/>
            <w:iCs/>
          </w:rPr>
          <w:t>Lebanon Valley Radio, Inc.,</w:t>
        </w:r>
        <w:r w:rsidRPr="008773F6">
          <w:rPr>
            <w:rStyle w:val="documentbody"/>
          </w:rPr>
          <w:t xml:space="preserve"> Decision, 35 FCC 2d 243 (Rev. Bd. 1972)</w:t>
        </w:r>
      </w:hyperlink>
      <w:r w:rsidRPr="008773F6">
        <w:rPr>
          <w:rStyle w:val="documentbody"/>
        </w:rPr>
        <w:t>.</w:t>
      </w:r>
    </w:p>
  </w:footnote>
  <w:footnote w:id="137">
    <w:p w:rsidR="00254BF3" w14:paraId="2DC0FE7B" w14:textId="76104636">
      <w:pPr>
        <w:pStyle w:val="FootnoteText"/>
      </w:pPr>
      <w:r>
        <w:rPr>
          <w:rStyle w:val="FootnoteReference"/>
        </w:rPr>
        <w:footnoteRef/>
      </w:r>
      <w:r>
        <w:t xml:space="preserve"> As discussed further below, while </w:t>
      </w:r>
      <w:r w:rsidR="00A835CE">
        <w:t>a</w:t>
      </w:r>
      <w:r w:rsidR="001F67A4">
        <w:t xml:space="preserve"> written</w:t>
      </w:r>
      <w:r w:rsidR="00A835CE">
        <w:t xml:space="preserve"> </w:t>
      </w:r>
      <w:r w:rsidR="001F67A4">
        <w:t>time brokerage agreement</w:t>
      </w:r>
      <w:r w:rsidR="00C5541A">
        <w:t xml:space="preserve"> </w:t>
      </w:r>
      <w:r w:rsidR="001F67A4">
        <w:t xml:space="preserve">did not </w:t>
      </w:r>
      <w:r w:rsidR="00A835CE">
        <w:t>exist</w:t>
      </w:r>
      <w:r w:rsidR="001F67A4">
        <w:t xml:space="preserve"> </w:t>
      </w:r>
      <w:r w:rsidR="00A835CE">
        <w:t>at the time of the</w:t>
      </w:r>
      <w:r w:rsidR="00C5541A">
        <w:t xml:space="preserve"> Transfer Application</w:t>
      </w:r>
      <w:r w:rsidR="00A40B9F">
        <w:t>,</w:t>
      </w:r>
      <w:r w:rsidR="00C5541A">
        <w:t xml:space="preserve"> </w:t>
      </w:r>
      <w:r w:rsidR="00A835CE">
        <w:t xml:space="preserve">the Parties </w:t>
      </w:r>
      <w:r w:rsidR="00A40B9F">
        <w:t xml:space="preserve">subsequently drafted and executed a programming </w:t>
      </w:r>
      <w:r w:rsidR="00A835CE">
        <w:t>agreement</w:t>
      </w:r>
      <w:r w:rsidR="0001080A">
        <w:t xml:space="preserve"> in November 2024</w:t>
      </w:r>
      <w:r w:rsidR="00A40B9F">
        <w:t xml:space="preserve">, which they provided to the Bureau and appended to </w:t>
      </w:r>
      <w:r>
        <w:t xml:space="preserve">the </w:t>
      </w:r>
      <w:r w:rsidR="00C5715A">
        <w:t>Transfer A</w:t>
      </w:r>
      <w:r>
        <w:t>pplication</w:t>
      </w:r>
      <w:r w:rsidR="00A40B9F">
        <w:t xml:space="preserve">.  </w:t>
      </w:r>
      <w:r w:rsidR="0033354B">
        <w:t>A</w:t>
      </w:r>
      <w:r>
        <w:t xml:space="preserve"> copy </w:t>
      </w:r>
      <w:r w:rsidR="0033354B">
        <w:t xml:space="preserve">was also uploaded </w:t>
      </w:r>
      <w:r>
        <w:t xml:space="preserve">to the Stations’ public inspection files.  </w:t>
      </w:r>
    </w:p>
  </w:footnote>
  <w:footnote w:id="138">
    <w:p w:rsidR="001F7035" w:rsidP="001F7035" w14:paraId="15ABB63E" w14:textId="2A3CA65E">
      <w:pPr>
        <w:pStyle w:val="FootnoteText"/>
      </w:pPr>
      <w:r>
        <w:rPr>
          <w:rStyle w:val="FootnoteReference"/>
        </w:rPr>
        <w:footnoteRef/>
      </w:r>
      <w:r>
        <w:t xml:space="preserve"> </w:t>
      </w:r>
      <w:r w:rsidRPr="00EE300C">
        <w:t>Transfer Application</w:t>
      </w:r>
      <w:r w:rsidRPr="00210729">
        <w:t xml:space="preserve"> at</w:t>
      </w:r>
      <w:r w:rsidRPr="001F7035">
        <w:t xml:space="preserve"> </w:t>
      </w:r>
      <w:r>
        <w:t>“Transferee Legal Certifications, Agreements for Sale.</w:t>
      </w:r>
      <w:r w:rsidR="0001080A">
        <w:t>”</w:t>
      </w:r>
      <w:r>
        <w:t xml:space="preserve">   </w:t>
      </w:r>
    </w:p>
  </w:footnote>
  <w:footnote w:id="139">
    <w:p w:rsidR="00E74336" w:rsidRPr="002A4176" w:rsidP="00E74336" w14:paraId="14823395" w14:textId="6DD92B5E">
      <w:pPr>
        <w:pStyle w:val="FootnoteText"/>
      </w:pPr>
      <w:r w:rsidRPr="001B441C">
        <w:rPr>
          <w:rStyle w:val="FootnoteReference"/>
        </w:rPr>
        <w:footnoteRef/>
      </w:r>
      <w:r w:rsidRPr="001B441C">
        <w:t xml:space="preserve"> 47 CFR § 73.3526(e)(14) (instructing commercial radio stations to place every agreement or contract for </w:t>
      </w:r>
      <w:r w:rsidRPr="002A4176">
        <w:t xml:space="preserve">time brokerage of the station in the public inspection file within 30 days of execution and to retain the agreement in the file for as long as the contract or agreement is in force). </w:t>
      </w:r>
    </w:p>
  </w:footnote>
  <w:footnote w:id="140">
    <w:p w:rsidR="00086C62" w:rsidP="00086C62" w14:paraId="7E3B2C4E" w14:textId="52D11F8B">
      <w:pPr>
        <w:pStyle w:val="FootnoteText"/>
      </w:pPr>
      <w:r>
        <w:rPr>
          <w:rStyle w:val="FootnoteReference"/>
        </w:rPr>
        <w:footnoteRef/>
      </w:r>
      <w:r>
        <w:t xml:space="preserve"> </w:t>
      </w:r>
      <w:r w:rsidRPr="00086C62">
        <w:t>Several sections of the Transfer Application call for the relevant party—be it the Licensee, Transferor, or Transferee—to consider whether they have provided copies of all relevant agreements and exhibits related to the transaction, including any time brokerage agreement or joint sales agreement</w:t>
      </w:r>
      <w:r>
        <w:t xml:space="preserve">.  For example, with respect to the programming or sale of advertising on the stations involved in the transfer of control, the instructions to the Licensee/Permittee portion of the </w:t>
      </w:r>
      <w:r w:rsidRPr="00485BEE">
        <w:t>Form 2100-Schedule 315</w:t>
      </w:r>
      <w:r>
        <w:t xml:space="preserve"> state that:</w:t>
      </w:r>
    </w:p>
    <w:p w:rsidR="00086C62" w:rsidP="00086C62" w14:paraId="3F1FB8AD" w14:textId="77777777">
      <w:pPr>
        <w:pStyle w:val="FootnoteText"/>
        <w:ind w:left="720"/>
      </w:pPr>
      <w:r>
        <w:t>All applicants must submit to the Commission with this application and place in the online public inspection file of each subject station a complete and final copy of the unredacted contract for the transfer(s) of control of the authorizations that are the subject of this application, including all exhibits and attachments. […]</w:t>
      </w:r>
    </w:p>
    <w:p w:rsidR="00086C62" w:rsidRPr="002C0FE7" w:rsidP="00086C62" w14:paraId="3EFCA6EE" w14:textId="77777777">
      <w:pPr>
        <w:pStyle w:val="FootnoteText"/>
        <w:ind w:left="720"/>
      </w:pPr>
      <w:r>
        <w:t xml:space="preserve">This item asks applicants to certify that the agreements for transfer of control of the subject authorizations “comply fully with the Commission’s rules and policies.”  In order to complete this certification, applicants must consider a broad range of issues.  If the applicant also holds a time brokerage agreement (also known as a local marketing agreement) pursuant to which the Transferee </w:t>
      </w:r>
      <w:r w:rsidRPr="00FC3E64">
        <w:t>will supply</w:t>
      </w:r>
      <w:r>
        <w:t xml:space="preserve"> programming for the subject station(s) or any other station in the market, or a joint sales agreement pursuant to which the Transferee </w:t>
      </w:r>
      <w:r w:rsidRPr="00FC3E64">
        <w:t>will sell</w:t>
      </w:r>
      <w:r>
        <w:t xml:space="preserve"> commercial advertising time for the subject station(s) or any other station in the market, prior to FCC </w:t>
      </w:r>
      <w:r w:rsidRPr="002C0FE7">
        <w:t>approval, then the applicant should review the Instructions for the Joint Sales/Time Brokerage Agreements sub-question, Multiple Ownership Question, in the Transferees Legal Certifications Section.</w:t>
      </w:r>
    </w:p>
    <w:p w:rsidR="00086C62" w:rsidRPr="002C0FE7" w:rsidP="00086C62" w14:paraId="7D9CC961" w14:textId="77777777">
      <w:pPr>
        <w:widowControl/>
        <w:spacing w:after="120"/>
        <w:rPr>
          <w:sz w:val="20"/>
        </w:rPr>
      </w:pPr>
      <w:r>
        <w:rPr>
          <w:sz w:val="20"/>
        </w:rPr>
        <w:t xml:space="preserve">Similarly, the instructions to the Transferee’s portion of the form state:  </w:t>
      </w:r>
    </w:p>
    <w:p w:rsidR="00086C62" w:rsidRPr="002C0FE7" w:rsidP="00086C62" w14:paraId="02E6950A" w14:textId="77777777">
      <w:pPr>
        <w:widowControl/>
        <w:spacing w:after="120"/>
        <w:ind w:left="720"/>
        <w:rPr>
          <w:sz w:val="20"/>
        </w:rPr>
      </w:pPr>
      <w:r w:rsidRPr="002C0FE7">
        <w:rPr>
          <w:i/>
          <w:iCs/>
          <w:sz w:val="20"/>
        </w:rPr>
        <w:t>Agreements for Sale of Station</w:t>
      </w:r>
      <w:r w:rsidRPr="002C0FE7">
        <w:rPr>
          <w:sz w:val="20"/>
        </w:rPr>
        <w:t xml:space="preserve">. This question requires the Transferee to certify that the written agreement submitted with the application and contained in the licensee/permittee's public inspection file embodies the complete and final agreement between the parties and that the agreement complies fully with the Commission's rules and policies regarding station sales contracts.  The Transferee must undertake an independent evaluation of the contract in order to make this certification.  </w:t>
      </w:r>
      <w:r w:rsidRPr="001D027C">
        <w:rPr>
          <w:b/>
          <w:bCs/>
          <w:sz w:val="20"/>
        </w:rPr>
        <w:t>The applicant should take particular care in answering this question if it has an attributable time brokerage or local marketing agreement, or an attributable joint sales agreement, for the stations subject to the application or for any other stations in the same market. A</w:t>
      </w:r>
      <w:r w:rsidRPr="00C5715A">
        <w:rPr>
          <w:b/>
          <w:bCs/>
          <w:sz w:val="20"/>
        </w:rPr>
        <w:t>pplicants who are required to demonstrate compliance with 47 CFR § 73.3555(a) must file a copy of each such agreement for radio stations as an exhibit to the application</w:t>
      </w:r>
      <w:r w:rsidRPr="002C0FE7">
        <w:rPr>
          <w:sz w:val="20"/>
        </w:rPr>
        <w:t>.</w:t>
      </w:r>
    </w:p>
    <w:p w:rsidR="00086C62" w:rsidRPr="001B441C" w:rsidP="00086C62" w14:paraId="62F04B6A" w14:textId="0021A736">
      <w:pPr>
        <w:widowControl/>
        <w:spacing w:after="120"/>
        <w:rPr>
          <w:sz w:val="20"/>
        </w:rPr>
      </w:pPr>
      <w:bookmarkStart w:id="160" w:name="_Hlk196992320"/>
      <w:r w:rsidRPr="002C0FE7">
        <w:rPr>
          <w:sz w:val="20"/>
        </w:rPr>
        <w:t>Form 2100-Schedule 315</w:t>
      </w:r>
      <w:bookmarkEnd w:id="160"/>
      <w:r w:rsidRPr="002C0FE7">
        <w:rPr>
          <w:sz w:val="20"/>
        </w:rPr>
        <w:t>, Instructions at “Licensee/Permittee Legal Certifications, Agreements for Transfer of Control of Station</w:t>
      </w:r>
      <w:r>
        <w:rPr>
          <w:sz w:val="20"/>
        </w:rPr>
        <w:t>;” “</w:t>
      </w:r>
      <w:r w:rsidRPr="00C5715A">
        <w:rPr>
          <w:sz w:val="20"/>
        </w:rPr>
        <w:t>Transferee</w:t>
      </w:r>
      <w:r>
        <w:rPr>
          <w:sz w:val="20"/>
        </w:rPr>
        <w:t xml:space="preserve"> Legal Certifications, Agreements for Sale of Station,”</w:t>
      </w:r>
      <w:r w:rsidRPr="002C0FE7">
        <w:rPr>
          <w:sz w:val="20"/>
        </w:rPr>
        <w:t xml:space="preserve"> (available at: </w:t>
      </w:r>
      <w:hyperlink r:id="rId7" w:history="1">
        <w:r w:rsidRPr="001B441C">
          <w:rPr>
            <w:rStyle w:val="Hyperlink"/>
            <w:sz w:val="20"/>
          </w:rPr>
          <w:t>https://www.fcc.gov/sites/default/files/2100-315-instructions.pdf</w:t>
        </w:r>
      </w:hyperlink>
      <w:r w:rsidRPr="001B441C">
        <w:rPr>
          <w:sz w:val="20"/>
        </w:rPr>
        <w:t xml:space="preserve">) (emphasis added).  </w:t>
      </w:r>
    </w:p>
  </w:footnote>
  <w:footnote w:id="141">
    <w:p w:rsidR="00E30434" w:rsidRPr="002A4176" w:rsidP="00E30434" w14:paraId="3BC2B92F" w14:textId="77777777">
      <w:pPr>
        <w:widowControl/>
        <w:spacing w:after="120"/>
        <w:rPr>
          <w:sz w:val="20"/>
        </w:rPr>
      </w:pPr>
      <w:r w:rsidRPr="002A4176">
        <w:rPr>
          <w:rStyle w:val="FootnoteReference"/>
        </w:rPr>
        <w:footnoteRef/>
      </w:r>
      <w:r w:rsidRPr="002A4176">
        <w:rPr>
          <w:sz w:val="20"/>
        </w:rPr>
        <w:t xml:space="preserve"> The instructions to the form expand on that particular legal certification, stating:  </w:t>
      </w:r>
    </w:p>
    <w:p w:rsidR="00E30434" w:rsidP="00E30434" w14:paraId="38470755" w14:textId="77777777">
      <w:pPr>
        <w:widowControl/>
        <w:spacing w:after="120"/>
        <w:ind w:left="720"/>
        <w:rPr>
          <w:sz w:val="20"/>
        </w:rPr>
      </w:pPr>
      <w:r w:rsidRPr="002A4176">
        <w:rPr>
          <w:sz w:val="20"/>
        </w:rPr>
        <w:t xml:space="preserve">The Transferee must answer “Yes” or “No” as to whether the Transferee or any party to the application holds an attributable radio Joint Sales Agreement or radio or television Time Brokerage Agreement with the station(s) subject to this application, or with any other station in the same market as the station(s) that are the subject of this application.  </w:t>
      </w:r>
      <w:r w:rsidRPr="002A4176">
        <w:rPr>
          <w:b/>
          <w:bCs/>
          <w:sz w:val="20"/>
        </w:rPr>
        <w:t>If answering “Yes,” the Transferee must upload an attachment including a copy</w:t>
      </w:r>
      <w:r w:rsidRPr="00335758">
        <w:rPr>
          <w:b/>
          <w:bCs/>
          <w:sz w:val="20"/>
        </w:rPr>
        <w:t>(</w:t>
      </w:r>
      <w:r w:rsidRPr="00335758">
        <w:rPr>
          <w:b/>
          <w:bCs/>
          <w:sz w:val="20"/>
        </w:rPr>
        <w:t>ies</w:t>
      </w:r>
      <w:r w:rsidRPr="00335758">
        <w:rPr>
          <w:b/>
          <w:bCs/>
          <w:sz w:val="20"/>
        </w:rPr>
        <w:t>) of any such agreement(s).</w:t>
      </w:r>
      <w:r>
        <w:rPr>
          <w:b/>
          <w:bCs/>
          <w:sz w:val="20"/>
        </w:rPr>
        <w:t xml:space="preserve"> </w:t>
      </w:r>
      <w:r w:rsidRPr="001B441C">
        <w:rPr>
          <w:sz w:val="20"/>
        </w:rPr>
        <w:t xml:space="preserve"> See Note 2 to 47 CFR § 73.3555.</w:t>
      </w:r>
      <w:r>
        <w:rPr>
          <w:sz w:val="20"/>
        </w:rPr>
        <w:t xml:space="preserve">  </w:t>
      </w:r>
      <w:r w:rsidRPr="001B441C">
        <w:rPr>
          <w:sz w:val="20"/>
        </w:rPr>
        <w:t xml:space="preserve"> </w:t>
      </w:r>
    </w:p>
    <w:p w:rsidR="00E30434" w:rsidRPr="003157EA" w:rsidP="00E30434" w14:paraId="17F117C1" w14:textId="77777777">
      <w:pPr>
        <w:widowControl/>
        <w:spacing w:after="120"/>
        <w:rPr>
          <w:sz w:val="20"/>
        </w:rPr>
      </w:pPr>
      <w:r w:rsidRPr="001B441C">
        <w:rPr>
          <w:sz w:val="20"/>
        </w:rPr>
        <w:t xml:space="preserve">Form </w:t>
      </w:r>
      <w:r w:rsidRPr="00EE300C">
        <w:rPr>
          <w:sz w:val="20"/>
        </w:rPr>
        <w:t xml:space="preserve">2100-Schedule 315, Instructions at “Transferee Legal Certifications, Joint Sales/Time Brokerage Agreements,” (available at: </w:t>
      </w:r>
      <w:hyperlink r:id="rId7" w:history="1">
        <w:r w:rsidRPr="00EE300C">
          <w:rPr>
            <w:rStyle w:val="Hyperlink"/>
            <w:sz w:val="20"/>
          </w:rPr>
          <w:t>https://www.fcc.gov/sites/default/files/2100-315-instructions.pdf</w:t>
        </w:r>
      </w:hyperlink>
      <w:r w:rsidRPr="00EE300C">
        <w:rPr>
          <w:sz w:val="20"/>
        </w:rPr>
        <w:t xml:space="preserve">) (emphasis added).  </w:t>
      </w:r>
    </w:p>
  </w:footnote>
  <w:footnote w:id="142">
    <w:p w:rsidR="00E30434" w:rsidP="00E30434" w14:paraId="30493CF3" w14:textId="4522CC77">
      <w:pPr>
        <w:pStyle w:val="FootnoteText"/>
      </w:pPr>
      <w:r>
        <w:rPr>
          <w:rStyle w:val="FootnoteReference"/>
        </w:rPr>
        <w:footnoteRef/>
      </w:r>
      <w:r>
        <w:t xml:space="preserve"> </w:t>
      </w:r>
      <w:r w:rsidRPr="00EE300C">
        <w:t>Transfer Application</w:t>
      </w:r>
      <w:r w:rsidRPr="00210729">
        <w:t xml:space="preserve"> at</w:t>
      </w:r>
      <w:r w:rsidRPr="001F7035">
        <w:t xml:space="preserve"> </w:t>
      </w:r>
      <w:r>
        <w:t>“Transferee Legal Certifications, Multiple Ownership.</w:t>
      </w:r>
      <w:r w:rsidR="00C27954">
        <w:t>”</w:t>
      </w:r>
      <w:r>
        <w:t xml:space="preserve">   </w:t>
      </w:r>
    </w:p>
  </w:footnote>
  <w:footnote w:id="143">
    <w:p w:rsidR="00DC555B" w14:paraId="5F87B1CA" w14:textId="7D320F54">
      <w:pPr>
        <w:pStyle w:val="FootnoteText"/>
      </w:pPr>
      <w:r>
        <w:rPr>
          <w:rStyle w:val="FootnoteReference"/>
        </w:rPr>
        <w:footnoteRef/>
      </w:r>
      <w:r>
        <w:t xml:space="preserve"> </w:t>
      </w:r>
      <w:r w:rsidRPr="0037670B">
        <w:rPr>
          <w:i/>
          <w:iCs/>
        </w:rPr>
        <w:t>See</w:t>
      </w:r>
      <w:r>
        <w:t xml:space="preserve"> </w:t>
      </w:r>
      <w:r w:rsidRPr="0037670B" w:rsidR="0037670B">
        <w:rPr>
          <w:i/>
          <w:iCs/>
        </w:rPr>
        <w:t>supra</w:t>
      </w:r>
      <w:r w:rsidR="0037670B">
        <w:t xml:space="preserve"> </w:t>
      </w:r>
      <w:r>
        <w:t xml:space="preserve">para. </w:t>
      </w:r>
      <w:r>
        <w:fldChar w:fldCharType="begin"/>
      </w:r>
      <w:r>
        <w:instrText xml:space="preserve"> REF _Ref217380432 \r \h </w:instrText>
      </w:r>
      <w:r>
        <w:fldChar w:fldCharType="separate"/>
      </w:r>
      <w:r>
        <w:t>16</w:t>
      </w:r>
      <w:r>
        <w:fldChar w:fldCharType="end"/>
      </w:r>
      <w:r>
        <w:t>; LOI Response at Attach. A, response to Question 1.</w:t>
      </w:r>
    </w:p>
  </w:footnote>
  <w:footnote w:id="144">
    <w:p w:rsidR="00540BE8" w:rsidP="00540BE8" w14:paraId="0D9275C3" w14:textId="5594A14C">
      <w:pPr>
        <w:pStyle w:val="FootnoteText"/>
      </w:pPr>
      <w:r>
        <w:rPr>
          <w:rStyle w:val="FootnoteReference"/>
        </w:rPr>
        <w:footnoteRef/>
      </w:r>
      <w:r>
        <w:t xml:space="preserve"> Notably, the Parties failed to provide any correspondence</w:t>
      </w:r>
      <w:r w:rsidR="006C3840">
        <w:t>,</w:t>
      </w:r>
      <w:r w:rsidRPr="006C3840" w:rsidR="006C3840">
        <w:t xml:space="preserve"> </w:t>
      </w:r>
      <w:r w:rsidR="006C3840">
        <w:t>documents</w:t>
      </w:r>
      <w:r>
        <w:t xml:space="preserve">, or </w:t>
      </w:r>
      <w:r w:rsidR="006C3840">
        <w:t xml:space="preserve">other </w:t>
      </w:r>
      <w:r>
        <w:t xml:space="preserve">support for the </w:t>
      </w:r>
      <w:r w:rsidR="006C3840">
        <w:t xml:space="preserve">negotiation and origination of the </w:t>
      </w:r>
      <w:r>
        <w:t>agreement and its terms</w:t>
      </w:r>
      <w:r w:rsidR="006C3840">
        <w:t xml:space="preserve"> as requested by the Bureau</w:t>
      </w:r>
      <w:r>
        <w:t xml:space="preserve">.  </w:t>
      </w:r>
      <w:r w:rsidRPr="003157EA">
        <w:rPr>
          <w:i/>
          <w:iCs/>
        </w:rPr>
        <w:t>See</w:t>
      </w:r>
      <w:r>
        <w:t xml:space="preserve"> 1.88 Letter at 2</w:t>
      </w:r>
      <w:r w:rsidR="007A5A65">
        <w:t>, question 1</w:t>
      </w:r>
      <w:r>
        <w:t xml:space="preserve">.  </w:t>
      </w:r>
    </w:p>
  </w:footnote>
  <w:footnote w:id="145">
    <w:p w:rsidR="00A15771" w:rsidP="00A15771" w14:paraId="3672131F" w14:textId="453EF723">
      <w:pPr>
        <w:pStyle w:val="FootnoteText"/>
      </w:pPr>
      <w:r>
        <w:rPr>
          <w:rStyle w:val="FootnoteReference"/>
        </w:rPr>
        <w:footnoteRef/>
      </w:r>
      <w:r>
        <w:t xml:space="preserve"> </w:t>
      </w:r>
      <w:r w:rsidRPr="003157EA">
        <w:rPr>
          <w:i/>
          <w:iCs/>
        </w:rPr>
        <w:t>See</w:t>
      </w:r>
      <w:r>
        <w:t xml:space="preserve"> 1.88 Letter at 2</w:t>
      </w:r>
      <w:r w:rsidR="007A5A65">
        <w:t>, question 1</w:t>
      </w:r>
      <w:r w:rsidR="00EC48DD">
        <w:t xml:space="preserve">; </w:t>
      </w:r>
      <w:r w:rsidRPr="00EC48DD" w:rsidR="00EC48DD">
        <w:rPr>
          <w:i/>
          <w:iCs/>
        </w:rPr>
        <w:t xml:space="preserve">see also </w:t>
      </w:r>
      <w:r w:rsidR="00D72984">
        <w:rPr>
          <w:i/>
          <w:iCs/>
        </w:rPr>
        <w:t>infra</w:t>
      </w:r>
      <w:r w:rsidR="00D72984">
        <w:t xml:space="preserve"> </w:t>
      </w:r>
      <w:r w:rsidR="00EC48DD">
        <w:t>paras.</w:t>
      </w:r>
      <w:r w:rsidR="00D72984">
        <w:t xml:space="preserve"> </w:t>
      </w:r>
      <w:r w:rsidR="00D72984">
        <w:fldChar w:fldCharType="begin"/>
      </w:r>
      <w:r w:rsidR="00D72984">
        <w:instrText xml:space="preserve"> REF _Ref217383407 \r \h </w:instrText>
      </w:r>
      <w:r w:rsidR="00D72984">
        <w:fldChar w:fldCharType="separate"/>
      </w:r>
      <w:r w:rsidR="00D72984">
        <w:t>59</w:t>
      </w:r>
      <w:r w:rsidR="00D72984">
        <w:fldChar w:fldCharType="end"/>
      </w:r>
      <w:r w:rsidR="00D72984">
        <w:t>-</w:t>
      </w:r>
      <w:r w:rsidR="00D72984">
        <w:fldChar w:fldCharType="begin"/>
      </w:r>
      <w:r w:rsidR="00D72984">
        <w:instrText xml:space="preserve"> REF _Ref217383412 \r \h </w:instrText>
      </w:r>
      <w:r w:rsidR="00D72984">
        <w:fldChar w:fldCharType="separate"/>
      </w:r>
      <w:r w:rsidR="00D72984">
        <w:t>63</w:t>
      </w:r>
      <w:r w:rsidR="00D72984">
        <w:fldChar w:fldCharType="end"/>
      </w:r>
      <w:r>
        <w:t>.</w:t>
      </w:r>
    </w:p>
  </w:footnote>
  <w:footnote w:id="146">
    <w:p w:rsidR="0037670B" w14:paraId="12A8740A" w14:textId="78F872B9">
      <w:pPr>
        <w:pStyle w:val="FootnoteText"/>
      </w:pPr>
      <w:r>
        <w:rPr>
          <w:rStyle w:val="FootnoteReference"/>
        </w:rPr>
        <w:footnoteRef/>
      </w:r>
      <w:r>
        <w:t xml:space="preserve"> </w:t>
      </w:r>
      <w:r w:rsidRPr="0037670B">
        <w:rPr>
          <w:i/>
          <w:iCs/>
        </w:rPr>
        <w:t>See</w:t>
      </w:r>
      <w:r>
        <w:t xml:space="preserve"> </w:t>
      </w:r>
      <w:r w:rsidRPr="0037670B">
        <w:rPr>
          <w:i/>
          <w:iCs/>
        </w:rPr>
        <w:t>supra</w:t>
      </w:r>
      <w:r>
        <w:t xml:space="preserve"> para. </w:t>
      </w:r>
      <w:r>
        <w:fldChar w:fldCharType="begin"/>
      </w:r>
      <w:r>
        <w:instrText xml:space="preserve"> REF _Ref209693003 \r \h </w:instrText>
      </w:r>
      <w:r>
        <w:fldChar w:fldCharType="separate"/>
      </w:r>
      <w:r>
        <w:t>17</w:t>
      </w:r>
      <w:r>
        <w:fldChar w:fldCharType="end"/>
      </w:r>
      <w:r>
        <w:t xml:space="preserve">;  </w:t>
      </w:r>
      <w:r w:rsidRPr="0037670B">
        <w:t xml:space="preserve">LOI Response </w:t>
      </w:r>
      <w:r>
        <w:t xml:space="preserve">at Attach. A, response </w:t>
      </w:r>
      <w:r w:rsidRPr="0037670B">
        <w:t>to Q</w:t>
      </w:r>
      <w:r>
        <w:t>uestion</w:t>
      </w:r>
      <w:r w:rsidRPr="0037670B">
        <w:t xml:space="preserve"> 6.   </w:t>
      </w:r>
    </w:p>
  </w:footnote>
  <w:footnote w:id="147">
    <w:p w:rsidR="00707F69" w14:paraId="02EBF623" w14:textId="5C2F1FF5">
      <w:pPr>
        <w:pStyle w:val="FootnoteText"/>
      </w:pPr>
      <w:r>
        <w:rPr>
          <w:rStyle w:val="FootnoteReference"/>
        </w:rPr>
        <w:footnoteRef/>
      </w:r>
      <w:r>
        <w:t xml:space="preserve"> </w:t>
      </w:r>
      <w:r w:rsidRPr="00707F69">
        <w:rPr>
          <w:i/>
          <w:iCs/>
        </w:rPr>
        <w:t>See</w:t>
      </w:r>
      <w:r>
        <w:t xml:space="preserve"> </w:t>
      </w:r>
      <w:r w:rsidRPr="00707F69" w:rsidR="00EC48DD">
        <w:rPr>
          <w:i/>
          <w:iCs/>
        </w:rPr>
        <w:t>supra</w:t>
      </w:r>
      <w:r w:rsidR="00EC48DD">
        <w:t xml:space="preserve"> para. </w:t>
      </w:r>
      <w:r w:rsidR="00EC48DD">
        <w:fldChar w:fldCharType="begin"/>
      </w:r>
      <w:r w:rsidR="00EC48DD">
        <w:instrText xml:space="preserve"> REF _Ref209621361 \r \h </w:instrText>
      </w:r>
      <w:r w:rsidR="00EC48DD">
        <w:fldChar w:fldCharType="separate"/>
      </w:r>
      <w:r w:rsidR="002F69DA">
        <w:t>12</w:t>
      </w:r>
      <w:r w:rsidR="00EC48DD">
        <w:fldChar w:fldCharType="end"/>
      </w:r>
      <w:r w:rsidR="00EC48DD">
        <w:t xml:space="preserve">, note </w:t>
      </w:r>
      <w:r w:rsidR="00EC48DD">
        <w:fldChar w:fldCharType="begin"/>
      </w:r>
      <w:r w:rsidR="00EC48DD">
        <w:instrText xml:space="preserve"> NOTEREF _Ref208914659 \h </w:instrText>
      </w:r>
      <w:r w:rsidR="00EC48DD">
        <w:fldChar w:fldCharType="separate"/>
      </w:r>
      <w:r w:rsidR="002F69DA">
        <w:t>31</w:t>
      </w:r>
      <w:r w:rsidR="00EC48DD">
        <w:fldChar w:fldCharType="end"/>
      </w:r>
      <w:r>
        <w:t xml:space="preserve">.  </w:t>
      </w:r>
    </w:p>
  </w:footnote>
  <w:footnote w:id="148">
    <w:p w:rsidR="00A15771" w:rsidP="00A15771" w14:paraId="029332DA" w14:textId="517EE188">
      <w:pPr>
        <w:pStyle w:val="FootnoteText"/>
      </w:pPr>
      <w:r>
        <w:rPr>
          <w:rStyle w:val="FootnoteReference"/>
        </w:rPr>
        <w:footnoteRef/>
      </w:r>
      <w:r>
        <w:t xml:space="preserve"> If, in fact</w:t>
      </w:r>
      <w:r w:rsidR="00E140FB">
        <w:t>,</w:t>
      </w:r>
      <w:r>
        <w:t xml:space="preserve"> Toscano (through Pro Radio) was providing programming to the Stations, </w:t>
      </w:r>
      <w:r w:rsidR="00161F19">
        <w:t xml:space="preserve">then </w:t>
      </w:r>
      <w:r w:rsidR="00E140FB">
        <w:t>she</w:t>
      </w:r>
      <w:r>
        <w:t xml:space="preserve"> arguably held an unreported attributable interest in the Stations at the time of the Transfer Application.  </w:t>
      </w:r>
      <w:r w:rsidRPr="006E4510">
        <w:t xml:space="preserve">The </w:t>
      </w:r>
      <w:r>
        <w:t>Commission’s equity debt plus rule (</w:t>
      </w:r>
      <w:r w:rsidRPr="006E4510">
        <w:t>EDP</w:t>
      </w:r>
      <w:r>
        <w:t>) states that if an entity or individual holds an equity or debt interest that, in the aggregate, exceeds 33% of the total asset value of the licensee and also supplies over 15% of the weekly broadcast programming hours to the stations in which the interest is held, then that interest will be attributable under the Commission’s ownership rules.  47 CFR 73.</w:t>
      </w:r>
      <w:r w:rsidR="00EC48DD">
        <w:t>3</w:t>
      </w:r>
      <w:r>
        <w:t>555, note 2(</w:t>
      </w:r>
      <w:r>
        <w:t>i</w:t>
      </w:r>
      <w:r>
        <w:t xml:space="preserve">)(1).  Given that </w:t>
      </w:r>
      <w:r w:rsidRPr="005C51C1">
        <w:t xml:space="preserve">Toscano’s debt interest in the Stations </w:t>
      </w:r>
      <w:r>
        <w:t xml:space="preserve">(approximately $2.5 million USD) exceeds the total asset value of the licensee ($10,000 USD consideration in the current transaction), her interest is greater than 33% of the total asset value of the Stations, which, </w:t>
      </w:r>
      <w:r w:rsidR="00EC48DD">
        <w:t xml:space="preserve">when </w:t>
      </w:r>
      <w:r w:rsidRPr="005C51C1">
        <w:t xml:space="preserve">combined with her </w:t>
      </w:r>
      <w:r>
        <w:t xml:space="preserve">provision of </w:t>
      </w:r>
      <w:r w:rsidRPr="005C51C1">
        <w:t xml:space="preserve">programming </w:t>
      </w:r>
      <w:r>
        <w:t xml:space="preserve">to </w:t>
      </w:r>
      <w:r w:rsidRPr="005C51C1">
        <w:t>the Stations</w:t>
      </w:r>
      <w:r w:rsidR="00EC48DD">
        <w:t>,</w:t>
      </w:r>
      <w:r>
        <w:t xml:space="preserve"> would appear to result in </w:t>
      </w:r>
      <w:r w:rsidRPr="005C51C1">
        <w:t>an attributable interest under the Commission’s attribution rules.</w:t>
      </w:r>
      <w:r>
        <w:t xml:space="preserve">  Such an interest does not appear to have been reported on ownership reports filed with the Commission previously.  </w:t>
      </w:r>
    </w:p>
  </w:footnote>
  <w:footnote w:id="149">
    <w:p w:rsidR="00A560BF" w:rsidP="00A560BF" w14:paraId="60A83C05" w14:textId="77777777">
      <w:pPr>
        <w:pStyle w:val="FootnoteText"/>
      </w:pPr>
      <w:r>
        <w:rPr>
          <w:rStyle w:val="FootnoteReference"/>
        </w:rPr>
        <w:footnoteRef/>
      </w:r>
      <w:r>
        <w:t xml:space="preserve"> LOI Response at Attach. A, response to Question 4;</w:t>
      </w:r>
      <w:r w:rsidRPr="00BE42A5">
        <w:t xml:space="preserve"> </w:t>
      </w:r>
      <w:r>
        <w:t>1.88</w:t>
      </w:r>
      <w:r w:rsidRPr="00696C3F">
        <w:t xml:space="preserve"> </w:t>
      </w:r>
      <w:r>
        <w:t xml:space="preserve">Letter </w:t>
      </w:r>
      <w:r w:rsidRPr="00696C3F">
        <w:t>Response at Attach</w:t>
      </w:r>
      <w:r>
        <w:t>.</w:t>
      </w:r>
      <w:r w:rsidRPr="00696C3F">
        <w:t xml:space="preserve"> A, </w:t>
      </w:r>
      <w:r>
        <w:t>response to Inquiry 5.</w:t>
      </w:r>
    </w:p>
  </w:footnote>
  <w:footnote w:id="150">
    <w:p w:rsidR="002F6F89" w:rsidP="002F6F89" w14:paraId="1E721004" w14:textId="61F6BD8C">
      <w:pPr>
        <w:pStyle w:val="FootnoteText"/>
      </w:pPr>
      <w:r>
        <w:rPr>
          <w:rStyle w:val="FootnoteReference"/>
        </w:rPr>
        <w:footnoteRef/>
      </w:r>
      <w:r>
        <w:t xml:space="preserve"> </w:t>
      </w:r>
      <w:r w:rsidRPr="002F6F89">
        <w:rPr>
          <w:i/>
          <w:iCs/>
        </w:rPr>
        <w:t>See</w:t>
      </w:r>
      <w:r>
        <w:t xml:space="preserve"> Transfer Application at “Licensee/Permittee Certification;” 1.88</w:t>
      </w:r>
      <w:r w:rsidRPr="00696C3F">
        <w:t xml:space="preserve"> </w:t>
      </w:r>
      <w:r>
        <w:t xml:space="preserve">Letter </w:t>
      </w:r>
      <w:r w:rsidRPr="00696C3F">
        <w:t>Response at Attach</w:t>
      </w:r>
      <w:r>
        <w:t>.</w:t>
      </w:r>
      <w:r w:rsidRPr="00696C3F">
        <w:t xml:space="preserve"> A, </w:t>
      </w:r>
      <w:r w:rsidR="003220C8">
        <w:t>r</w:t>
      </w:r>
      <w:r>
        <w:t xml:space="preserve">esponse to Inquiry 5.  </w:t>
      </w:r>
    </w:p>
  </w:footnote>
  <w:footnote w:id="151">
    <w:p w:rsidR="00FA1712" w14:paraId="61162A15" w14:textId="3D1FAB4D">
      <w:pPr>
        <w:pStyle w:val="FootnoteText"/>
      </w:pPr>
      <w:r>
        <w:rPr>
          <w:rStyle w:val="FootnoteReference"/>
        </w:rPr>
        <w:footnoteRef/>
      </w:r>
      <w:r w:rsidR="002F6F89">
        <w:t xml:space="preserve"> </w:t>
      </w:r>
      <w:r w:rsidR="008A6EB0">
        <w:t>1.88</w:t>
      </w:r>
      <w:r w:rsidRPr="00696C3F" w:rsidR="008A6EB0">
        <w:t xml:space="preserve"> </w:t>
      </w:r>
      <w:r w:rsidR="008A6EB0">
        <w:t xml:space="preserve">Letter </w:t>
      </w:r>
      <w:r w:rsidRPr="00696C3F" w:rsidR="008A6EB0">
        <w:t>Response at Attach</w:t>
      </w:r>
      <w:r w:rsidR="008A6EB0">
        <w:t>.</w:t>
      </w:r>
      <w:r w:rsidRPr="00696C3F" w:rsidR="008A6EB0">
        <w:t xml:space="preserve"> A, </w:t>
      </w:r>
      <w:r w:rsidR="003220C8">
        <w:t>r</w:t>
      </w:r>
      <w:r w:rsidR="008A6EB0">
        <w:t>esponse to Inquiry 5.</w:t>
      </w:r>
      <w:r w:rsidR="008640A0">
        <w:t xml:space="preserve">  Despite </w:t>
      </w:r>
      <w:r w:rsidRPr="00E5711D" w:rsidR="008640A0">
        <w:t xml:space="preserve">the Bureau’s </w:t>
      </w:r>
      <w:r w:rsidR="008640A0">
        <w:t>direction that Rygaard provide a full accounting of the preparation and submission of the Transfer Application, including if, how, and when she reviewed the application, no</w:t>
      </w:r>
      <w:r w:rsidRPr="00E5711D" w:rsidR="008640A0">
        <w:t xml:space="preserve"> such information</w:t>
      </w:r>
      <w:r w:rsidR="008640A0">
        <w:t xml:space="preserve"> was provided</w:t>
      </w:r>
      <w:r w:rsidRPr="00E5711D" w:rsidR="008640A0">
        <w:t>.</w:t>
      </w:r>
      <w:r w:rsidR="008640A0">
        <w:t xml:space="preserve">  </w:t>
      </w:r>
      <w:r w:rsidRPr="008640A0" w:rsidR="008640A0">
        <w:rPr>
          <w:i/>
          <w:iCs/>
        </w:rPr>
        <w:t>See</w:t>
      </w:r>
      <w:r w:rsidR="008640A0">
        <w:t xml:space="preserve"> 1.88 Letter at 4, question 5.  </w:t>
      </w:r>
    </w:p>
  </w:footnote>
  <w:footnote w:id="152">
    <w:p w:rsidR="00EE300C" w:rsidRPr="008773F6" w:rsidP="00EE300C" w14:paraId="356382F6" w14:textId="77777777">
      <w:pPr>
        <w:pStyle w:val="FootnoteText"/>
        <w:widowControl w:val="0"/>
        <w:tabs>
          <w:tab w:val="left" w:pos="6463"/>
        </w:tabs>
      </w:pPr>
      <w:r w:rsidRPr="00EE300C">
        <w:rPr>
          <w:rStyle w:val="FootnoteReference"/>
        </w:rPr>
        <w:footnoteRef/>
      </w:r>
      <w:r w:rsidRPr="00EE300C">
        <w:t xml:space="preserve"> Transfer Application</w:t>
      </w:r>
      <w:r w:rsidRPr="00210729">
        <w:t xml:space="preserve"> at</w:t>
      </w:r>
      <w:r>
        <w:t xml:space="preserve"> “Transferor Certification,” “Transferee Certification.”</w:t>
      </w:r>
      <w:r w:rsidRPr="008773F6">
        <w:tab/>
      </w:r>
    </w:p>
  </w:footnote>
  <w:footnote w:id="153">
    <w:p w:rsidR="00EE300C" w:rsidRPr="008773F6" w:rsidP="00EE300C" w14:paraId="45A3E238" w14:textId="77777777">
      <w:pPr>
        <w:pStyle w:val="FootnoteText"/>
        <w:widowControl w:val="0"/>
      </w:pPr>
      <w:r w:rsidRPr="008773F6">
        <w:rPr>
          <w:rStyle w:val="FootnoteReference"/>
        </w:rPr>
        <w:footnoteRef/>
      </w:r>
      <w:r w:rsidRPr="008773F6">
        <w:t xml:space="preserve"> </w:t>
      </w:r>
      <w:r w:rsidRPr="00E1264E">
        <w:rPr>
          <w:i/>
          <w:iCs/>
        </w:rPr>
        <w:t>Id</w:t>
      </w:r>
      <w:r>
        <w:t>.</w:t>
      </w:r>
    </w:p>
  </w:footnote>
  <w:footnote w:id="154">
    <w:p w:rsidR="00EE300C" w:rsidP="00EE300C" w14:paraId="3B2A69CB" w14:textId="77777777">
      <w:pPr>
        <w:pStyle w:val="FootnoteText"/>
      </w:pPr>
      <w:r>
        <w:rPr>
          <w:rStyle w:val="FootnoteReference"/>
        </w:rPr>
        <w:footnoteRef/>
      </w:r>
      <w:r>
        <w:t xml:space="preserve"> Transfer Application at “Transferor Certification.” </w:t>
      </w:r>
    </w:p>
  </w:footnote>
  <w:footnote w:id="155">
    <w:p w:rsidR="00EE300C" w:rsidP="00EE300C" w14:paraId="6529565A" w14:textId="77777777">
      <w:pPr>
        <w:pStyle w:val="FootnoteText"/>
      </w:pPr>
      <w:r>
        <w:rPr>
          <w:rStyle w:val="FootnoteReference"/>
        </w:rPr>
        <w:footnoteRef/>
      </w:r>
      <w:r>
        <w:t xml:space="preserve"> Transfer Application at “Transferee Certification.”  </w:t>
      </w:r>
    </w:p>
  </w:footnote>
  <w:footnote w:id="156">
    <w:p w:rsidR="00620A55" w:rsidRPr="005D7A93" w:rsidP="00620A55" w14:paraId="103A3783" w14:textId="236EFA60">
      <w:pPr>
        <w:pStyle w:val="FootnoteText"/>
      </w:pPr>
      <w:r w:rsidRPr="005D7A93">
        <w:rPr>
          <w:rStyle w:val="FootnoteReference"/>
        </w:rPr>
        <w:footnoteRef/>
      </w:r>
      <w:r w:rsidRPr="005D7A93">
        <w:t xml:space="preserve"> FCC Ownership Report, </w:t>
      </w:r>
      <w:r w:rsidR="009D491D">
        <w:t xml:space="preserve">Application </w:t>
      </w:r>
      <w:r w:rsidRPr="005D7A93">
        <w:t>File No. 0000193208, submitted June 10, 2022.</w:t>
      </w:r>
    </w:p>
  </w:footnote>
  <w:footnote w:id="157">
    <w:p w:rsidR="00620A55" w:rsidRPr="005D7A93" w:rsidP="00620A55" w14:paraId="24705803" w14:textId="1DD1D434">
      <w:pPr>
        <w:pStyle w:val="FootnoteText"/>
      </w:pPr>
      <w:r w:rsidRPr="005D7A93">
        <w:rPr>
          <w:rStyle w:val="FootnoteReference"/>
        </w:rPr>
        <w:footnoteRef/>
      </w:r>
      <w:r w:rsidRPr="005D7A93">
        <w:t xml:space="preserve"> FCC Ownership Report, </w:t>
      </w:r>
      <w:r w:rsidR="009D491D">
        <w:t xml:space="preserve">Application </w:t>
      </w:r>
      <w:r w:rsidRPr="005D7A93">
        <w:t>File No. 0000230999, submitted Dec. 13, 2023.</w:t>
      </w:r>
    </w:p>
  </w:footnote>
  <w:footnote w:id="158">
    <w:p w:rsidR="00072963" w14:paraId="5ED3F731" w14:textId="536A68F1">
      <w:pPr>
        <w:pStyle w:val="FootnoteText"/>
      </w:pPr>
      <w:r>
        <w:rPr>
          <w:rStyle w:val="FootnoteReference"/>
        </w:rPr>
        <w:footnoteRef/>
      </w:r>
      <w:r>
        <w:t xml:space="preserve"> LOI Response </w:t>
      </w:r>
      <w:r w:rsidR="008A6EB0">
        <w:t xml:space="preserve">at Attach. A, response to Question </w:t>
      </w:r>
      <w:r w:rsidRPr="008A6EB0">
        <w:t>16</w:t>
      </w:r>
      <w:r>
        <w:t xml:space="preserve">.  </w:t>
      </w:r>
    </w:p>
  </w:footnote>
  <w:footnote w:id="159">
    <w:p w:rsidR="00597C11" w14:paraId="02E28753" w14:textId="28D87BCB">
      <w:pPr>
        <w:pStyle w:val="FootnoteText"/>
      </w:pPr>
      <w:r>
        <w:rPr>
          <w:rStyle w:val="FootnoteReference"/>
        </w:rPr>
        <w:footnoteRef/>
      </w:r>
      <w:r>
        <w:t xml:space="preserve"> </w:t>
      </w:r>
      <w:r w:rsidRPr="008A6EB0" w:rsidR="008A6EB0">
        <w:rPr>
          <w:i/>
          <w:iCs/>
        </w:rPr>
        <w:t>Id</w:t>
      </w:r>
      <w:r w:rsidR="008A6EB0">
        <w:t xml:space="preserve">. </w:t>
      </w:r>
      <w:r>
        <w:t xml:space="preserve"> </w:t>
      </w:r>
    </w:p>
  </w:footnote>
  <w:footnote w:id="160">
    <w:p w:rsidR="001F60E6" w:rsidP="001F60E6" w14:paraId="0C2CA4B3" w14:textId="7E3686CC">
      <w:pPr>
        <w:pStyle w:val="FootnoteText"/>
      </w:pPr>
      <w:r>
        <w:rPr>
          <w:rStyle w:val="FootnoteReference"/>
        </w:rPr>
        <w:footnoteRef/>
      </w:r>
      <w:r>
        <w:t xml:space="preserve"> </w:t>
      </w:r>
      <w:r w:rsidR="008A6EB0">
        <w:t>1.88</w:t>
      </w:r>
      <w:r w:rsidRPr="00696C3F" w:rsidR="008A6EB0">
        <w:t xml:space="preserve"> </w:t>
      </w:r>
      <w:r w:rsidR="008A6EB0">
        <w:t xml:space="preserve">Letter </w:t>
      </w:r>
      <w:r w:rsidRPr="00696C3F" w:rsidR="008A6EB0">
        <w:t>Response at Attach</w:t>
      </w:r>
      <w:r w:rsidR="008A6EB0">
        <w:t>.</w:t>
      </w:r>
      <w:r w:rsidRPr="00696C3F" w:rsidR="008A6EB0">
        <w:t xml:space="preserve"> A, </w:t>
      </w:r>
      <w:r w:rsidR="00640602">
        <w:t>r</w:t>
      </w:r>
      <w:r w:rsidR="008A6EB0">
        <w:t xml:space="preserve">esponse to Inquiry 1.  </w:t>
      </w:r>
    </w:p>
  </w:footnote>
  <w:footnote w:id="161">
    <w:p w:rsidR="00AA66BD" w14:paraId="480C9D7F" w14:textId="4C92AD22">
      <w:pPr>
        <w:pStyle w:val="FootnoteText"/>
      </w:pPr>
      <w:r>
        <w:rPr>
          <w:rStyle w:val="FootnoteReference"/>
        </w:rPr>
        <w:footnoteRef/>
      </w:r>
      <w:r>
        <w:t xml:space="preserve"> </w:t>
      </w:r>
      <w:r w:rsidR="00C31257">
        <w:t>The LOI Response states that “Ms. Johnson held the position of Vice President/Secretary for Grupo Radio TX LLC from May of 2016 until 2018.”</w:t>
      </w:r>
      <w:r w:rsidRPr="00C31257" w:rsidR="00C31257">
        <w:t xml:space="preserve"> </w:t>
      </w:r>
      <w:r w:rsidR="00C31257">
        <w:t xml:space="preserve">LOI Response at Attach. A, response to Question </w:t>
      </w:r>
      <w:r w:rsidRPr="008A6EB0" w:rsidR="00C31257">
        <w:t>16</w:t>
      </w:r>
      <w:r w:rsidR="00C31257">
        <w:t xml:space="preserve">.  Additionally, the 1.88 Letter Response states that “[f]rom2010 until October 2022, [Ms. Johnson] worked for Southern Radio, Inc. (‘Southern Radio’) </w:t>
      </w:r>
      <w:r w:rsidRPr="00C31257" w:rsidR="00C31257">
        <w:rPr>
          <w:i/>
          <w:iCs/>
        </w:rPr>
        <w:t>and</w:t>
      </w:r>
      <w:r w:rsidR="00C31257">
        <w:t xml:space="preserve"> Grupo Radio Centro TX, LLC (‘Grupo Radio’).”  1.88</w:t>
      </w:r>
      <w:r w:rsidRPr="00696C3F" w:rsidR="00C31257">
        <w:t xml:space="preserve"> </w:t>
      </w:r>
      <w:r w:rsidR="00C31257">
        <w:t xml:space="preserve">Letter </w:t>
      </w:r>
      <w:r w:rsidRPr="00696C3F" w:rsidR="00C31257">
        <w:t>Response at Attach</w:t>
      </w:r>
      <w:r w:rsidR="00C31257">
        <w:t>.</w:t>
      </w:r>
      <w:r w:rsidRPr="00696C3F" w:rsidR="00C31257">
        <w:t xml:space="preserve"> A, </w:t>
      </w:r>
      <w:r w:rsidR="00C31257">
        <w:t xml:space="preserve">response to Inquiry 1 (emphasis added).  </w:t>
      </w:r>
      <w:r w:rsidR="00A0431B">
        <w:t>Based on the 1.88 Letter Response, it appears that Southern Radio, Inc. previously programmed and sold the advertising time on the Stations while they were owned by Grupo Radio and 97.5 Investment/</w:t>
      </w:r>
      <w:r w:rsidRPr="00E5711D" w:rsidR="00A0431B">
        <w:t>Rafael Marques Aguirre</w:t>
      </w:r>
      <w:r w:rsidR="00A0431B">
        <w:t>.</w:t>
      </w:r>
      <w:r w:rsidR="00C31257">
        <w:t xml:space="preserve">  </w:t>
      </w:r>
    </w:p>
  </w:footnote>
  <w:footnote w:id="162">
    <w:p w:rsidR="00C0341D" w:rsidRPr="005D7A93" w:rsidP="00C0341D" w14:paraId="13AA43ED" w14:textId="179977A3">
      <w:pPr>
        <w:pStyle w:val="FootnoteText"/>
      </w:pPr>
      <w:r w:rsidRPr="005D7A93">
        <w:rPr>
          <w:rStyle w:val="FootnoteReference"/>
        </w:rPr>
        <w:footnoteRef/>
      </w:r>
      <w:r w:rsidRPr="005D7A93">
        <w:t xml:space="preserve"> FCC Ownership Report, </w:t>
      </w:r>
      <w:r w:rsidR="009D491D">
        <w:t xml:space="preserve">Application </w:t>
      </w:r>
      <w:r w:rsidRPr="005D7A93">
        <w:t>File No. 0000231004, submitted Dec. 13, 2023.</w:t>
      </w:r>
    </w:p>
  </w:footnote>
  <w:footnote w:id="163">
    <w:p w:rsidR="00310E68" w14:paraId="3CB9C7E7" w14:textId="52C826B0">
      <w:pPr>
        <w:pStyle w:val="FootnoteText"/>
      </w:pPr>
      <w:r w:rsidRPr="001930AE">
        <w:rPr>
          <w:rStyle w:val="FootnoteReference"/>
        </w:rPr>
        <w:footnoteRef/>
      </w:r>
      <w:r w:rsidRPr="001930AE">
        <w:t xml:space="preserve"> FCC Ownership Report, </w:t>
      </w:r>
      <w:r w:rsidR="009D491D">
        <w:t xml:space="preserve">Application </w:t>
      </w:r>
      <w:r w:rsidRPr="001930AE">
        <w:t>File No. 0000230999, submitted Dec. 13, 2023.  The former owner, Rafael Marquez Aguirre, also appeared as the certifying official, listed as “President” and allegedly attesting to the veracity of the information contained in th</w:t>
      </w:r>
      <w:r w:rsidR="004631A8">
        <w:t>at</w:t>
      </w:r>
      <w:r w:rsidRPr="001930AE">
        <w:t xml:space="preserve"> report.</w:t>
      </w:r>
      <w:r>
        <w:t xml:space="preserve">  </w:t>
      </w:r>
    </w:p>
  </w:footnote>
  <w:footnote w:id="164">
    <w:p w:rsidR="00752617" w:rsidP="00752617" w14:paraId="0335A373" w14:textId="77777777">
      <w:pPr>
        <w:pStyle w:val="FootnoteText"/>
      </w:pPr>
      <w:r>
        <w:rPr>
          <w:rStyle w:val="FootnoteReference"/>
        </w:rPr>
        <w:footnoteRef/>
      </w:r>
      <w:r>
        <w:t xml:space="preserve"> LOI Response at Attach. A, response to Question </w:t>
      </w:r>
      <w:r w:rsidRPr="008A6EB0">
        <w:t>17</w:t>
      </w:r>
      <w:r>
        <w:t xml:space="preserve">.  </w:t>
      </w:r>
    </w:p>
  </w:footnote>
  <w:footnote w:id="165">
    <w:p w:rsidR="001930AE" w14:paraId="4B6B1142" w14:textId="648E4D2C">
      <w:pPr>
        <w:pStyle w:val="FootnoteText"/>
      </w:pPr>
      <w:r>
        <w:rPr>
          <w:rStyle w:val="FootnoteReference"/>
        </w:rPr>
        <w:footnoteRef/>
      </w:r>
      <w:r>
        <w:t xml:space="preserve"> 1.88</w:t>
      </w:r>
      <w:r w:rsidRPr="00696C3F">
        <w:t xml:space="preserve"> </w:t>
      </w:r>
      <w:r>
        <w:t xml:space="preserve">Letter </w:t>
      </w:r>
      <w:r w:rsidRPr="00696C3F">
        <w:t>Response at Attach</w:t>
      </w:r>
      <w:r>
        <w:t>.</w:t>
      </w:r>
      <w:r w:rsidRPr="00696C3F">
        <w:t xml:space="preserve"> A, </w:t>
      </w:r>
      <w:r w:rsidR="00640602">
        <w:t>r</w:t>
      </w:r>
      <w:r>
        <w:t xml:space="preserve">esponse to Inquiry 6.  </w:t>
      </w:r>
    </w:p>
  </w:footnote>
  <w:footnote w:id="166">
    <w:p w:rsidR="00A0431B" w14:paraId="09810C08" w14:textId="55ED353B">
      <w:pPr>
        <w:pStyle w:val="FootnoteText"/>
      </w:pPr>
      <w:r>
        <w:rPr>
          <w:rStyle w:val="FootnoteReference"/>
        </w:rPr>
        <w:footnoteRef/>
      </w:r>
      <w:r>
        <w:t xml:space="preserve"> </w:t>
      </w:r>
      <w:r w:rsidR="007A5A65">
        <w:t xml:space="preserve">1.88 Letter at 4-5, question 6.  </w:t>
      </w:r>
    </w:p>
  </w:footnote>
  <w:footnote w:id="167">
    <w:p w:rsidR="006C4830" w14:paraId="74A824D6" w14:textId="6108F8FE">
      <w:pPr>
        <w:pStyle w:val="FootnoteText"/>
      </w:pPr>
      <w:r>
        <w:rPr>
          <w:rStyle w:val="FootnoteReference"/>
        </w:rPr>
        <w:footnoteRef/>
      </w:r>
      <w:r>
        <w:t xml:space="preserve"> </w:t>
      </w:r>
      <w:r w:rsidRPr="00C134F9">
        <w:rPr>
          <w:i/>
          <w:iCs/>
        </w:rPr>
        <w:t>See</w:t>
      </w:r>
      <w:r>
        <w:t xml:space="preserve"> 47 CFR § 73.1015.  </w:t>
      </w:r>
    </w:p>
  </w:footnote>
  <w:footnote w:id="168">
    <w:p w:rsidR="003C280A" w:rsidP="003C280A" w14:paraId="328371F3" w14:textId="4E97F8A5">
      <w:pPr>
        <w:pStyle w:val="FootnoteText"/>
      </w:pPr>
      <w:r>
        <w:rPr>
          <w:rStyle w:val="FootnoteReference"/>
        </w:rPr>
        <w:footnoteRef/>
      </w:r>
      <w:r>
        <w:t xml:space="preserve"> </w:t>
      </w:r>
      <w:r w:rsidRPr="00F529CF">
        <w:t>It is well-established that the</w:t>
      </w:r>
      <w:r w:rsidR="00891EB6">
        <w:t xml:space="preserve"> Commission</w:t>
      </w:r>
      <w:r w:rsidRPr="00F529CF">
        <w:t xml:space="preserve"> has broad investigatory authority </w:t>
      </w:r>
      <w:r w:rsidR="00347816">
        <w:t xml:space="preserve">pursuant to its </w:t>
      </w:r>
      <w:r w:rsidR="00D0156F">
        <w:t>licensing</w:t>
      </w:r>
      <w:r w:rsidR="00347816">
        <w:t xml:space="preserve"> function</w:t>
      </w:r>
      <w:r w:rsidR="00D0156F">
        <w:t xml:space="preserve"> </w:t>
      </w:r>
      <w:r w:rsidRPr="00F529CF">
        <w:t xml:space="preserve">under </w:t>
      </w:r>
      <w:r w:rsidR="00314241">
        <w:t>s</w:t>
      </w:r>
      <w:r w:rsidRPr="00F529CF">
        <w:t>ections 4(</w:t>
      </w:r>
      <w:r w:rsidRPr="00F529CF">
        <w:t>i</w:t>
      </w:r>
      <w:r w:rsidRPr="00F529CF">
        <w:t xml:space="preserve">), 4(j), and 403 of the Act, its </w:t>
      </w:r>
      <w:r w:rsidR="00C134F9">
        <w:t>R</w:t>
      </w:r>
      <w:r w:rsidRPr="00F529CF">
        <w:t xml:space="preserve">ules, and </w:t>
      </w:r>
      <w:r w:rsidRPr="00C134F9">
        <w:t>relevant precedent</w:t>
      </w:r>
      <w:r w:rsidRPr="00F529CF">
        <w:t xml:space="preserve">.  </w:t>
      </w:r>
      <w:r w:rsidRPr="006D7FE2">
        <w:rPr>
          <w:i/>
          <w:iCs/>
        </w:rPr>
        <w:t>See</w:t>
      </w:r>
      <w:r>
        <w:t xml:space="preserve"> </w:t>
      </w:r>
      <w:r w:rsidRPr="00796873">
        <w:t>47 U.S.C. § 154(</w:t>
      </w:r>
      <w:r w:rsidRPr="00796873">
        <w:t>i</w:t>
      </w:r>
      <w:r w:rsidRPr="00796873">
        <w:t>)</w:t>
      </w:r>
      <w:r>
        <w:t xml:space="preserve"> (authorizing </w:t>
      </w:r>
      <w:r w:rsidRPr="00F529CF">
        <w:t>the Commission to “issue such orders, not inconsistent with this Act, as may be necessary in the execution of its functions”</w:t>
      </w:r>
      <w:r>
        <w:t>);</w:t>
      </w:r>
      <w:r w:rsidRPr="00F529CF">
        <w:t xml:space="preserve"> </w:t>
      </w:r>
      <w:r w:rsidRPr="00796873">
        <w:t>47 U.S.C. § 154(j)</w:t>
      </w:r>
      <w:r w:rsidRPr="00F529CF">
        <w:t xml:space="preserve"> </w:t>
      </w:r>
      <w:r>
        <w:t xml:space="preserve">(stating </w:t>
      </w:r>
      <w:r w:rsidRPr="00F529CF">
        <w:t>“the Commission may conduct its proceedings in such manner as will best conduce to the proper dispatch of business and to the ends of justice”</w:t>
      </w:r>
      <w:r>
        <w:t>);</w:t>
      </w:r>
      <w:r w:rsidRPr="00F529CF">
        <w:t xml:space="preserve"> </w:t>
      </w:r>
      <w:r w:rsidRPr="00796873">
        <w:t>47 U.S.C. § 403</w:t>
      </w:r>
      <w:r>
        <w:t xml:space="preserve"> (granting</w:t>
      </w:r>
      <w:r w:rsidRPr="00F529CF">
        <w:t xml:space="preserve"> the Commission “full authority and power at any time to institute an inquiry, on its own motion, in any case and as to any matter . . . relating to the enforcement of any of the provisions of this Act.”</w:t>
      </w:r>
      <w:r>
        <w:t>).</w:t>
      </w:r>
      <w:r w:rsidR="003A2EEA">
        <w:t xml:space="preserve">  </w:t>
      </w:r>
      <w:r w:rsidRPr="003A2EEA" w:rsidR="003A2EEA">
        <w:t>Various decisions have confirmed the Commission</w:t>
      </w:r>
      <w:r w:rsidR="001410CC">
        <w:t>’</w:t>
      </w:r>
      <w:r w:rsidRPr="003A2EEA" w:rsidR="003A2EEA">
        <w:t xml:space="preserve">s authority to investigate potential rule violations and assess penalties against those that disregard Commission inquiries. </w:t>
      </w:r>
      <w:r w:rsidR="003A2EEA">
        <w:t xml:space="preserve"> </w:t>
      </w:r>
      <w:r w:rsidRPr="003A2EEA" w:rsidR="003A2EEA">
        <w:rPr>
          <w:i/>
          <w:iCs/>
        </w:rPr>
        <w:t>See, e.g.</w:t>
      </w:r>
      <w:r w:rsidRPr="003A2EEA" w:rsidR="003A2EEA">
        <w:t xml:space="preserve">, </w:t>
      </w:r>
      <w:r w:rsidRPr="003A2EEA" w:rsidR="003A2EEA">
        <w:rPr>
          <w:i/>
          <w:iCs/>
        </w:rPr>
        <w:t>SBC Communications, Inc.</w:t>
      </w:r>
      <w:r w:rsidRPr="003A2EEA" w:rsidR="003A2EEA">
        <w:t>, Forfeiture Order, 17 FCC Rcd 7589, 7599-7600, paras. 23-28 (2002)</w:t>
      </w:r>
      <w:r w:rsidR="001410CC">
        <w:t xml:space="preserve"> </w:t>
      </w:r>
      <w:r w:rsidRPr="001410CC" w:rsidR="001410CC">
        <w:t xml:space="preserve">(ordering $100,000 forfeiture for egregious and intentional failure to certify the response to a Bureau inquiry); </w:t>
      </w:r>
      <w:r w:rsidRPr="001410CC" w:rsidR="001410CC">
        <w:rPr>
          <w:i/>
          <w:iCs/>
        </w:rPr>
        <w:t>Fox Television Stations</w:t>
      </w:r>
      <w:r w:rsidR="001410CC">
        <w:rPr>
          <w:i/>
          <w:iCs/>
        </w:rPr>
        <w:t>, Inc.</w:t>
      </w:r>
      <w:r w:rsidRPr="001410CC" w:rsidR="001410CC">
        <w:t>, Notice of Apparent Liability for Forfeiture, 25 FCC Rcd 7074 (E</w:t>
      </w:r>
      <w:r w:rsidR="00A63344">
        <w:t>B</w:t>
      </w:r>
      <w:r w:rsidRPr="001410CC" w:rsidR="001410CC">
        <w:t xml:space="preserve"> 2010) (proposing a $25,000 forfeiture for failure to respond to a Bureau letter of inquiry)</w:t>
      </w:r>
      <w:r w:rsidR="001410CC">
        <w:t xml:space="preserve"> (Fox Television)</w:t>
      </w:r>
      <w:r w:rsidRPr="001410CC" w:rsidR="001410CC">
        <w:t xml:space="preserve">; </w:t>
      </w:r>
      <w:r w:rsidRPr="001410CC" w:rsidR="001410CC">
        <w:rPr>
          <w:i/>
          <w:iCs/>
        </w:rPr>
        <w:t>BigZoo.Com Corporation</w:t>
      </w:r>
      <w:r w:rsidRPr="001410CC" w:rsidR="001410CC">
        <w:t xml:space="preserve">, Forfeiture Order, 20 FCC Rcd 3954 (EB 2005) (ordering $20,000 forfeiture for failure to respond to a letter of inquiry); </w:t>
      </w:r>
      <w:r w:rsidRPr="001410CC" w:rsidR="001410CC">
        <w:rPr>
          <w:i/>
          <w:iCs/>
        </w:rPr>
        <w:t>Digital Antenna, Inc.</w:t>
      </w:r>
      <w:r w:rsidRPr="001410CC" w:rsidR="001410CC">
        <w:t>, Notice of Apparent Liability for Forfeiture and Order, 23 FCC Rcd 7600, 7602 (EB</w:t>
      </w:r>
      <w:r w:rsidR="00A63344">
        <w:t xml:space="preserve"> </w:t>
      </w:r>
      <w:r w:rsidRPr="001410CC" w:rsidR="001410CC">
        <w:t>2008) (proposing $11,000 forfeiture for failure to provide a complete response to a letter of inquiry).</w:t>
      </w:r>
    </w:p>
  </w:footnote>
  <w:footnote w:id="169">
    <w:p w:rsidR="003C280A" w:rsidP="003C280A" w14:paraId="77B734DE" w14:textId="43210E0C">
      <w:pPr>
        <w:pStyle w:val="FootnoteText"/>
      </w:pPr>
      <w:r>
        <w:rPr>
          <w:rStyle w:val="FootnoteReference"/>
        </w:rPr>
        <w:footnoteRef/>
      </w:r>
      <w:r>
        <w:t xml:space="preserve"> </w:t>
      </w:r>
      <w:r w:rsidRPr="00796873">
        <w:t>47 CF</w:t>
      </w:r>
      <w:r w:rsidR="0051009F">
        <w:t>R</w:t>
      </w:r>
      <w:r w:rsidRPr="00796873">
        <w:t xml:space="preserve"> § 73.1015.</w:t>
      </w:r>
      <w:r>
        <w:t xml:space="preserve">  </w:t>
      </w:r>
    </w:p>
  </w:footnote>
  <w:footnote w:id="170">
    <w:p w:rsidR="003C280A" w:rsidRPr="00796873" w:rsidP="003C280A" w14:paraId="4A740E53" w14:textId="5031046B">
      <w:pPr>
        <w:pStyle w:val="FootnoteText"/>
      </w:pPr>
      <w:r>
        <w:rPr>
          <w:rStyle w:val="FootnoteReference"/>
        </w:rPr>
        <w:footnoteRef/>
      </w:r>
      <w:r>
        <w:t xml:space="preserve"> </w:t>
      </w:r>
      <w:r w:rsidRPr="0051009F" w:rsidR="0051009F">
        <w:rPr>
          <w:i/>
          <w:iCs/>
        </w:rPr>
        <w:t>Id</w:t>
      </w:r>
      <w:r w:rsidRPr="00796873">
        <w:t>.</w:t>
      </w:r>
    </w:p>
  </w:footnote>
  <w:footnote w:id="171">
    <w:p w:rsidR="003C280A" w:rsidRPr="00796873" w:rsidP="00703251" w14:paraId="615672B9" w14:textId="44642C34">
      <w:pPr>
        <w:pStyle w:val="FootnoteText"/>
      </w:pPr>
      <w:r w:rsidRPr="00796873">
        <w:rPr>
          <w:rStyle w:val="FootnoteReference"/>
        </w:rPr>
        <w:footnoteRef/>
      </w:r>
      <w:r w:rsidRPr="00796873">
        <w:t xml:space="preserve"> </w:t>
      </w:r>
      <w:r w:rsidRPr="00796873">
        <w:rPr>
          <w:i/>
          <w:iCs/>
        </w:rPr>
        <w:t>See, e.g.</w:t>
      </w:r>
      <w:r w:rsidRPr="00796873">
        <w:t xml:space="preserve">, </w:t>
      </w:r>
      <w:r w:rsidRPr="00703251" w:rsidR="00703251">
        <w:rPr>
          <w:i/>
          <w:iCs/>
        </w:rPr>
        <w:t>Marion Education Exchange</w:t>
      </w:r>
      <w:r w:rsidR="00703251">
        <w:t>, Hearing Designation Order, 37 FCC Rcd 2426, 2433-34, para. 21 (2022)</w:t>
      </w:r>
      <w:r w:rsidRPr="00796873">
        <w:t xml:space="preserve">; </w:t>
      </w:r>
      <w:r w:rsidRPr="00796873">
        <w:rPr>
          <w:i/>
          <w:iCs/>
        </w:rPr>
        <w:t>Fox Television</w:t>
      </w:r>
      <w:r w:rsidRPr="00796873">
        <w:t xml:space="preserve">, 25 FCC Rcd </w:t>
      </w:r>
      <w:r w:rsidR="001410CC">
        <w:t>at</w:t>
      </w:r>
      <w:r w:rsidRPr="00796873">
        <w:t xml:space="preserve"> 7078, para. 10.</w:t>
      </w:r>
    </w:p>
  </w:footnote>
  <w:footnote w:id="172">
    <w:p w:rsidR="00796873" w14:paraId="33CC763C" w14:textId="07FAC472">
      <w:pPr>
        <w:pStyle w:val="FootnoteText"/>
      </w:pPr>
      <w:r>
        <w:rPr>
          <w:rStyle w:val="FootnoteReference"/>
        </w:rPr>
        <w:footnoteRef/>
      </w:r>
      <w:r>
        <w:t xml:space="preserve"> </w:t>
      </w:r>
      <w:r w:rsidRPr="00796873">
        <w:rPr>
          <w:i/>
          <w:iCs/>
        </w:rPr>
        <w:t>See</w:t>
      </w:r>
      <w:r w:rsidRPr="00796873">
        <w:t xml:space="preserve"> 47 CFR § 1.17.</w:t>
      </w:r>
      <w:r>
        <w:t xml:space="preserve">  </w:t>
      </w:r>
    </w:p>
  </w:footnote>
  <w:footnote w:id="173">
    <w:p w:rsidR="00AE2AD1" w14:paraId="1BF42BDE" w14:textId="00A611D6">
      <w:pPr>
        <w:pStyle w:val="FootnoteText"/>
      </w:pPr>
      <w:r>
        <w:rPr>
          <w:rStyle w:val="FootnoteReference"/>
        </w:rPr>
        <w:footnoteRef/>
      </w:r>
      <w:r>
        <w:t xml:space="preserve"> </w:t>
      </w:r>
      <w:r w:rsidRPr="00AE2AD1">
        <w:t>47 CFR § 73.1015</w:t>
      </w:r>
      <w:r>
        <w:t xml:space="preserve">.  </w:t>
      </w:r>
    </w:p>
  </w:footnote>
  <w:footnote w:id="174">
    <w:p w:rsidR="00F70141" w14:paraId="72709901" w14:textId="1B3B4545">
      <w:pPr>
        <w:pStyle w:val="FootnoteText"/>
      </w:pPr>
      <w:r>
        <w:rPr>
          <w:rStyle w:val="FootnoteReference"/>
        </w:rPr>
        <w:footnoteRef/>
      </w:r>
      <w:r>
        <w:t xml:space="preserve"> LOI at Attach., Question 1.</w:t>
      </w:r>
    </w:p>
  </w:footnote>
  <w:footnote w:id="175">
    <w:p w:rsidR="00625089" w14:paraId="1BEEFB42" w14:textId="7B400D54">
      <w:pPr>
        <w:pStyle w:val="FootnoteText"/>
      </w:pPr>
      <w:r>
        <w:rPr>
          <w:rStyle w:val="FootnoteReference"/>
        </w:rPr>
        <w:footnoteRef/>
      </w:r>
      <w:r>
        <w:t xml:space="preserve"> </w:t>
      </w:r>
      <w:r w:rsidR="00703251">
        <w:t>LOI at Attach., Question 1(c)- (d).</w:t>
      </w:r>
    </w:p>
  </w:footnote>
  <w:footnote w:id="176">
    <w:p w:rsidR="00F70141" w14:paraId="16E31516" w14:textId="634C5111">
      <w:pPr>
        <w:pStyle w:val="FootnoteText"/>
      </w:pPr>
      <w:r>
        <w:rPr>
          <w:rStyle w:val="FootnoteReference"/>
        </w:rPr>
        <w:footnoteRef/>
      </w:r>
      <w:r>
        <w:t xml:space="preserve"> LOI Response at Attach. A, </w:t>
      </w:r>
      <w:r w:rsidR="00640602">
        <w:t>r</w:t>
      </w:r>
      <w:r>
        <w:t>esponse to Question 1.</w:t>
      </w:r>
    </w:p>
  </w:footnote>
  <w:footnote w:id="177">
    <w:p w:rsidR="00A1267E" w14:paraId="0099A64F" w14:textId="3CFA9B61">
      <w:pPr>
        <w:pStyle w:val="FootnoteText"/>
      </w:pPr>
      <w:r>
        <w:rPr>
          <w:rStyle w:val="FootnoteReference"/>
        </w:rPr>
        <w:footnoteRef/>
      </w:r>
      <w:r>
        <w:t xml:space="preserve"> 47 </w:t>
      </w:r>
      <w:r w:rsidRPr="00AE2AD1">
        <w:t xml:space="preserve">CFR § </w:t>
      </w:r>
      <w:r w:rsidRPr="00A1267E">
        <w:t>73.3526(e)(14)</w:t>
      </w:r>
      <w:r>
        <w:t xml:space="preserve">.  </w:t>
      </w:r>
    </w:p>
  </w:footnote>
  <w:footnote w:id="178">
    <w:p w:rsidR="0051009F" w14:paraId="7C2335BE" w14:textId="01CED544">
      <w:pPr>
        <w:pStyle w:val="FootnoteText"/>
      </w:pPr>
      <w:r>
        <w:rPr>
          <w:rStyle w:val="FootnoteReference"/>
        </w:rPr>
        <w:footnoteRef/>
      </w:r>
      <w:r>
        <w:t xml:space="preserve"> </w:t>
      </w:r>
      <w:r w:rsidR="00E42B95">
        <w:t xml:space="preserve">LOI Response at Attach. A, </w:t>
      </w:r>
      <w:r w:rsidR="00640602">
        <w:t>r</w:t>
      </w:r>
      <w:r w:rsidR="00E42B95">
        <w:t>esponse to Question 1.</w:t>
      </w:r>
    </w:p>
  </w:footnote>
  <w:footnote w:id="179">
    <w:p w:rsidR="009C5612" w14:paraId="65C653CB" w14:textId="76D84E3E">
      <w:pPr>
        <w:pStyle w:val="FootnoteText"/>
      </w:pPr>
      <w:r>
        <w:rPr>
          <w:rStyle w:val="FootnoteReference"/>
        </w:rPr>
        <w:footnoteRef/>
      </w:r>
      <w:r>
        <w:t xml:space="preserve"> </w:t>
      </w:r>
      <w:r w:rsidR="00703251">
        <w:t>1.88 Letter Response at Attach A,</w:t>
      </w:r>
      <w:r w:rsidR="00640602">
        <w:t xml:space="preserve"> </w:t>
      </w:r>
      <w:r w:rsidR="00640602">
        <w:t>Exh</w:t>
      </w:r>
      <w:r w:rsidR="00640602">
        <w:t>. 1(a).</w:t>
      </w:r>
    </w:p>
  </w:footnote>
  <w:footnote w:id="180">
    <w:p w:rsidR="00687E18" w14:paraId="3AE83F65" w14:textId="70ECC5F9">
      <w:pPr>
        <w:pStyle w:val="FootnoteText"/>
      </w:pPr>
      <w:r>
        <w:rPr>
          <w:rStyle w:val="FootnoteReference"/>
        </w:rPr>
        <w:footnoteRef/>
      </w:r>
      <w:r>
        <w:t xml:space="preserve"> LOI at Attach., Question 17.  </w:t>
      </w:r>
    </w:p>
  </w:footnote>
  <w:footnote w:id="181">
    <w:p w:rsidR="00687E18" w:rsidP="00687E18" w14:paraId="717AB190" w14:textId="55E6931B">
      <w:pPr>
        <w:pStyle w:val="FootnoteText"/>
      </w:pPr>
      <w:r>
        <w:rPr>
          <w:rStyle w:val="FootnoteReference"/>
        </w:rPr>
        <w:footnoteRef/>
      </w:r>
      <w:r>
        <w:t xml:space="preserve"> LOI Response at Attach. A, </w:t>
      </w:r>
      <w:r w:rsidR="00640602">
        <w:t>r</w:t>
      </w:r>
      <w:r>
        <w:t xml:space="preserve">esponse to Question 17.  </w:t>
      </w:r>
    </w:p>
  </w:footnote>
  <w:footnote w:id="182">
    <w:p w:rsidR="00C939EE" w14:paraId="0C787E07" w14:textId="2E576592">
      <w:pPr>
        <w:pStyle w:val="FootnoteText"/>
      </w:pPr>
      <w:r>
        <w:rPr>
          <w:rStyle w:val="FootnoteReference"/>
        </w:rPr>
        <w:footnoteRef/>
      </w:r>
      <w:r>
        <w:t xml:space="preserve"> 1.88 Letter at 4-5, question 6.  </w:t>
      </w:r>
    </w:p>
  </w:footnote>
  <w:footnote w:id="183">
    <w:p w:rsidR="00232E56" w14:paraId="5FA2F181" w14:textId="09A65E1C">
      <w:pPr>
        <w:pStyle w:val="FootnoteText"/>
      </w:pPr>
      <w:r>
        <w:rPr>
          <w:rStyle w:val="FootnoteReference"/>
        </w:rPr>
        <w:footnoteRef/>
      </w:r>
      <w:r>
        <w:t xml:space="preserve"> 1.88 Letter Response at Attach A., </w:t>
      </w:r>
      <w:r w:rsidR="00AC4FDB">
        <w:t>r</w:t>
      </w:r>
      <w:r>
        <w:t>esponse to Inquiry 6.</w:t>
      </w:r>
      <w:r w:rsidR="00042D36">
        <w:t xml:space="preserve">  </w:t>
      </w:r>
    </w:p>
  </w:footnote>
  <w:footnote w:id="184">
    <w:p w:rsidR="00F50B1D" w14:paraId="72854584" w14:textId="7BEDA9BB">
      <w:pPr>
        <w:pStyle w:val="FootnoteText"/>
      </w:pPr>
      <w:r>
        <w:rPr>
          <w:rStyle w:val="FootnoteReference"/>
        </w:rPr>
        <w:footnoteRef/>
      </w:r>
      <w:r>
        <w:t xml:space="preserve"> </w:t>
      </w:r>
      <w:r w:rsidR="00B728AF">
        <w:t xml:space="preserve">LOI at 5-6.  </w:t>
      </w:r>
    </w:p>
  </w:footnote>
  <w:footnote w:id="185">
    <w:p w:rsidR="004A1B12" w14:paraId="0F479C68" w14:textId="67956A16">
      <w:pPr>
        <w:pStyle w:val="FootnoteText"/>
      </w:pPr>
      <w:r>
        <w:rPr>
          <w:rStyle w:val="FootnoteReference"/>
        </w:rPr>
        <w:footnoteRef/>
      </w:r>
      <w:r>
        <w:t xml:space="preserve"> </w:t>
      </w:r>
      <w:r w:rsidR="00B728AF">
        <w:t xml:space="preserve">LOI Response at Attach. A, Declaration of </w:t>
      </w:r>
      <w:r w:rsidR="00AC4FDB">
        <w:t xml:space="preserve">Luz </w:t>
      </w:r>
      <w:r w:rsidR="00B728AF">
        <w:t xml:space="preserve">Maria Rygaard.  </w:t>
      </w:r>
    </w:p>
  </w:footnote>
  <w:footnote w:id="186">
    <w:p w:rsidR="000C308F" w14:paraId="7267F05E" w14:textId="108497C2">
      <w:pPr>
        <w:pStyle w:val="FootnoteText"/>
      </w:pPr>
      <w:r>
        <w:rPr>
          <w:rStyle w:val="FootnoteReference"/>
        </w:rPr>
        <w:footnoteRef/>
      </w:r>
      <w:r>
        <w:t xml:space="preserve"> </w:t>
      </w:r>
      <w:r w:rsidR="00B728AF">
        <w:t xml:space="preserve">1.88 Letter at 2-3, </w:t>
      </w:r>
      <w:r w:rsidR="00A008BB">
        <w:t>question</w:t>
      </w:r>
      <w:r w:rsidR="00B728AF">
        <w:t xml:space="preserve"> 1</w:t>
      </w:r>
      <w:r w:rsidR="00AC4FDB">
        <w:t xml:space="preserve"> (directing the Licensee to provide, among other things, a description of the negotiations between the parties that led to the agreement and “copies of all relevant emails and correspondence, as well as a detailed recitation of all conversations and agreements, oral or written, with dates indicated, between Rygaard, Toscano, Pro Radio, or others regarding the programming agreement and substantiating the inception of the agreement and its terms.”).</w:t>
      </w:r>
    </w:p>
  </w:footnote>
  <w:footnote w:id="187">
    <w:p w:rsidR="00CD27EF" w14:paraId="575F491C" w14:textId="43310716">
      <w:pPr>
        <w:pStyle w:val="FootnoteText"/>
      </w:pPr>
      <w:r>
        <w:rPr>
          <w:rStyle w:val="FootnoteReference"/>
        </w:rPr>
        <w:footnoteRef/>
      </w:r>
      <w:r w:rsidR="00AC4FDB">
        <w:rPr>
          <w:i/>
          <w:iCs/>
        </w:rPr>
        <w:t xml:space="preserve"> </w:t>
      </w:r>
      <w:r w:rsidRPr="00AC4FDB" w:rsidR="00AC4FDB">
        <w:rPr>
          <w:i/>
          <w:iCs/>
        </w:rPr>
        <w:t>See</w:t>
      </w:r>
      <w:r w:rsidR="00AC4FDB">
        <w:t xml:space="preserve"> </w:t>
      </w:r>
      <w:r w:rsidR="00B728AF">
        <w:t xml:space="preserve">1.88 Letter Response at Attach A., </w:t>
      </w:r>
      <w:r w:rsidR="00AC4FDB">
        <w:t>r</w:t>
      </w:r>
      <w:r w:rsidR="00B728AF">
        <w:t xml:space="preserve">esponse to Inquiry 1.   </w:t>
      </w:r>
    </w:p>
  </w:footnote>
  <w:footnote w:id="188">
    <w:p w:rsidR="008D1837" w14:paraId="1CBDF0CE" w14:textId="01FB0F83">
      <w:pPr>
        <w:pStyle w:val="FootnoteText"/>
      </w:pPr>
      <w:r>
        <w:rPr>
          <w:rStyle w:val="FootnoteReference"/>
        </w:rPr>
        <w:footnoteRef/>
      </w:r>
      <w:r>
        <w:t xml:space="preserve"> </w:t>
      </w:r>
      <w:r w:rsidR="00B36D19">
        <w:t>1.88 Letter at 3, question 3</w:t>
      </w:r>
      <w:r w:rsidR="00B85B3C">
        <w:t xml:space="preserve"> (“</w:t>
      </w:r>
      <w:r w:rsidRPr="00B85B3C" w:rsidR="00B85B3C">
        <w:t>General statements that Rygaard has maintained control will not be</w:t>
      </w:r>
      <w:r w:rsidR="00AC4FDB">
        <w:t xml:space="preserve"> </w:t>
      </w:r>
      <w:r w:rsidRPr="00B85B3C" w:rsidR="00B85B3C">
        <w:t>sufficient.  Instead, Rygaard is instructed to provide emails, correspondence, documents, financial statements, or similar documentation to show that she has exercised control over the Stations since acquiring them over two years ago.  As part of this showing, Rygaard should demonstrate how she maintained control over the programming, personnel, and finances of the Stations, including oversight of Pro Radio’s programming and/or operation of the Stations, separate and apart from her role as an executive of Pro Radio.</w:t>
      </w:r>
      <w:r w:rsidR="00AC4FDB">
        <w:t>”</w:t>
      </w:r>
      <w:r w:rsidR="00B85B3C">
        <w:t xml:space="preserve">).  </w:t>
      </w:r>
      <w:r w:rsidRPr="00B85B3C" w:rsidR="00B85B3C">
        <w:t xml:space="preserve">  </w:t>
      </w:r>
    </w:p>
  </w:footnote>
  <w:footnote w:id="189">
    <w:p w:rsidR="00EB6FEC" w:rsidP="00EB6FEC" w14:paraId="62547EFA" w14:textId="0F70BAE4">
      <w:pPr>
        <w:pStyle w:val="FootnoteText"/>
      </w:pPr>
      <w:r>
        <w:rPr>
          <w:rStyle w:val="FootnoteReference"/>
        </w:rPr>
        <w:footnoteRef/>
      </w:r>
      <w:r>
        <w:t xml:space="preserve"> </w:t>
      </w:r>
      <w:r w:rsidRPr="005370FE">
        <w:rPr>
          <w:i/>
          <w:iCs/>
        </w:rPr>
        <w:t>See supra</w:t>
      </w:r>
      <w:r>
        <w:t xml:space="preserve"> paras. </w:t>
      </w:r>
      <w:r>
        <w:fldChar w:fldCharType="begin"/>
      </w:r>
      <w:r>
        <w:instrText xml:space="preserve"> REF _Ref208927248 \r \h </w:instrText>
      </w:r>
      <w:r>
        <w:fldChar w:fldCharType="separate"/>
      </w:r>
      <w:r w:rsidR="002F69DA">
        <w:t>33</w:t>
      </w:r>
      <w:r>
        <w:fldChar w:fldCharType="end"/>
      </w:r>
      <w:r>
        <w:t>-</w:t>
      </w:r>
      <w:r>
        <w:fldChar w:fldCharType="begin"/>
      </w:r>
      <w:r>
        <w:instrText xml:space="preserve"> REF _Ref208927243 \r \h </w:instrText>
      </w:r>
      <w:r>
        <w:fldChar w:fldCharType="separate"/>
      </w:r>
      <w:r w:rsidR="002F69DA">
        <w:t>36</w:t>
      </w:r>
      <w:r>
        <w:fldChar w:fldCharType="end"/>
      </w:r>
      <w:r w:rsidR="003E1728">
        <w:t xml:space="preserve">, note </w:t>
      </w:r>
      <w:r w:rsidR="003E1728">
        <w:fldChar w:fldCharType="begin"/>
      </w:r>
      <w:r w:rsidR="003E1728">
        <w:instrText xml:space="preserve"> NOTEREF _Ref209698175 \h </w:instrText>
      </w:r>
      <w:r w:rsidR="003E1728">
        <w:fldChar w:fldCharType="separate"/>
      </w:r>
      <w:r w:rsidR="002F69DA">
        <w:t>139</w:t>
      </w:r>
      <w:r w:rsidR="003E1728">
        <w:fldChar w:fldCharType="end"/>
      </w:r>
      <w:r>
        <w:t xml:space="preserve">. </w:t>
      </w:r>
    </w:p>
  </w:footnote>
  <w:footnote w:id="190">
    <w:p w:rsidR="005E5456" w14:paraId="60331696" w14:textId="33891C43">
      <w:pPr>
        <w:pStyle w:val="FootnoteText"/>
      </w:pPr>
      <w:r>
        <w:rPr>
          <w:rStyle w:val="FootnoteReference"/>
        </w:rPr>
        <w:footnoteRef/>
      </w:r>
      <w:r>
        <w:t xml:space="preserve"> </w:t>
      </w:r>
      <w:r w:rsidR="00B728AF">
        <w:t>1.88 Letter at 3-4, question 4.</w:t>
      </w:r>
    </w:p>
  </w:footnote>
  <w:footnote w:id="191">
    <w:p w:rsidR="003C2F3D" w:rsidP="003C2F3D" w14:paraId="31CD8B46" w14:textId="3F592DB5">
      <w:pPr>
        <w:pStyle w:val="FootnoteText"/>
      </w:pPr>
      <w:r>
        <w:rPr>
          <w:rStyle w:val="FootnoteReference"/>
        </w:rPr>
        <w:footnoteRef/>
      </w:r>
      <w:r>
        <w:t xml:space="preserve"> 1.88</w:t>
      </w:r>
      <w:r w:rsidRPr="00696C3F">
        <w:t xml:space="preserve"> </w:t>
      </w:r>
      <w:r w:rsidRPr="00A27514">
        <w:t xml:space="preserve">Letter </w:t>
      </w:r>
      <w:r w:rsidRPr="00696C3F">
        <w:t>Response at Attach</w:t>
      </w:r>
      <w:r>
        <w:t>.</w:t>
      </w:r>
      <w:r w:rsidRPr="00696C3F">
        <w:t xml:space="preserve"> A, </w:t>
      </w:r>
      <w:r>
        <w:t>response to Inquiry 4 (stating “</w:t>
      </w:r>
      <w:r w:rsidR="00126677">
        <w:t>[n]</w:t>
      </w:r>
      <w:r>
        <w:t xml:space="preserve">either Ms. Toscano nor </w:t>
      </w:r>
      <w:r>
        <w:t>Trigio</w:t>
      </w:r>
      <w:r>
        <w:t xml:space="preserve"> Javier </w:t>
      </w:r>
      <w:r w:rsidRPr="00586561">
        <w:t xml:space="preserve">Peréz </w:t>
      </w:r>
      <w:r>
        <w:t xml:space="preserve">de Anda played a role in” the sale of 97.5 Holdings </w:t>
      </w:r>
      <w:r w:rsidR="002C2C04">
        <w:t xml:space="preserve">to </w:t>
      </w:r>
      <w:r>
        <w:t xml:space="preserve">Rygaard). </w:t>
      </w:r>
    </w:p>
  </w:footnote>
  <w:footnote w:id="192">
    <w:p w:rsidR="00CB0C63" w:rsidP="00CB0C63" w14:paraId="7B9B28DC" w14:textId="3981AB67">
      <w:pPr>
        <w:pStyle w:val="FootnoteText"/>
      </w:pPr>
      <w:r>
        <w:rPr>
          <w:rStyle w:val="FootnoteReference"/>
        </w:rPr>
        <w:footnoteRef/>
      </w:r>
      <w:r>
        <w:t xml:space="preserve"> </w:t>
      </w:r>
      <w:r w:rsidRPr="0054548C" w:rsidR="002C2C04">
        <w:rPr>
          <w:i/>
          <w:iCs/>
        </w:rPr>
        <w:t>See supra</w:t>
      </w:r>
      <w:r w:rsidR="002C2C04">
        <w:t xml:space="preserve"> para. </w:t>
      </w:r>
      <w:r w:rsidR="00126677">
        <w:fldChar w:fldCharType="begin"/>
      </w:r>
      <w:r w:rsidR="00126677">
        <w:instrText xml:space="preserve"> REF _Ref217393832 \r \h </w:instrText>
      </w:r>
      <w:r w:rsidR="00126677">
        <w:fldChar w:fldCharType="separate"/>
      </w:r>
      <w:r w:rsidR="00126677">
        <w:t>42</w:t>
      </w:r>
      <w:r w:rsidR="00126677">
        <w:fldChar w:fldCharType="end"/>
      </w:r>
      <w:r w:rsidR="00126677">
        <w:t xml:space="preserve"> </w:t>
      </w:r>
      <w:r w:rsidR="00105BFC">
        <w:t>a</w:t>
      </w:r>
      <w:r w:rsidR="002C2C04">
        <w:t>nd note</w:t>
      </w:r>
      <w:r w:rsidR="00126677">
        <w:t xml:space="preserve"> </w:t>
      </w:r>
      <w:r w:rsidR="00126677">
        <w:fldChar w:fldCharType="begin"/>
      </w:r>
      <w:r w:rsidR="00126677">
        <w:instrText xml:space="preserve"> NOTEREF _Ref217393848 \h </w:instrText>
      </w:r>
      <w:r w:rsidR="00126677">
        <w:fldChar w:fldCharType="separate"/>
      </w:r>
      <w:r w:rsidR="00126677">
        <w:t>133</w:t>
      </w:r>
      <w:r w:rsidR="00126677">
        <w:fldChar w:fldCharType="end"/>
      </w:r>
      <w:r w:rsidR="002C2C04">
        <w:t>.  As discussed above,</w:t>
      </w:r>
      <w:r w:rsidR="00126677">
        <w:t xml:space="preserve"> </w:t>
      </w:r>
      <w:r>
        <w:rPr>
          <w:szCs w:val="22"/>
        </w:rPr>
        <w:t xml:space="preserve">Mr. Peréz de Anda, served as </w:t>
      </w:r>
      <w:r w:rsidR="00105BFC">
        <w:rPr>
          <w:szCs w:val="22"/>
        </w:rPr>
        <w:t xml:space="preserve">his daughter’s </w:t>
      </w:r>
      <w:r>
        <w:rPr>
          <w:szCs w:val="22"/>
        </w:rPr>
        <w:t xml:space="preserve">representative with respect to the reconciliation </w:t>
      </w:r>
      <w:r w:rsidR="00126677">
        <w:rPr>
          <w:szCs w:val="22"/>
        </w:rPr>
        <w:t xml:space="preserve">of </w:t>
      </w:r>
      <w:r>
        <w:rPr>
          <w:szCs w:val="22"/>
        </w:rPr>
        <w:t>funds</w:t>
      </w:r>
      <w:r w:rsidRPr="00126677" w:rsidR="00126677">
        <w:t xml:space="preserve"> </w:t>
      </w:r>
      <w:r w:rsidR="00126677">
        <w:t xml:space="preserve">paid pursuant to the </w:t>
      </w:r>
      <w:r w:rsidR="00126677">
        <w:rPr>
          <w:szCs w:val="22"/>
        </w:rPr>
        <w:t>Assignment of Debt Rights A</w:t>
      </w:r>
      <w:r w:rsidRPr="003D4C4F" w:rsidR="00126677">
        <w:rPr>
          <w:szCs w:val="22"/>
        </w:rPr>
        <w:t xml:space="preserve">greement </w:t>
      </w:r>
      <w:r w:rsidR="00126677">
        <w:rPr>
          <w:szCs w:val="22"/>
        </w:rPr>
        <w:t xml:space="preserve">by which </w:t>
      </w:r>
      <w:r w:rsidRPr="003D4C4F" w:rsidR="00126677">
        <w:rPr>
          <w:szCs w:val="22"/>
        </w:rPr>
        <w:t>Toscano</w:t>
      </w:r>
      <w:r w:rsidR="00126677">
        <w:rPr>
          <w:szCs w:val="22"/>
        </w:rPr>
        <w:t xml:space="preserve"> acquired the right to collect 97.5 Holdings’ outstanding debt</w:t>
      </w:r>
      <w:r>
        <w:rPr>
          <w:szCs w:val="22"/>
        </w:rPr>
        <w:t>.  Specifically, the agreement states “[t]</w:t>
      </w:r>
      <w:r w:rsidRPr="008E0C9F">
        <w:rPr>
          <w:szCs w:val="22"/>
        </w:rPr>
        <w:t xml:space="preserve">he parties agree on behalf of “THE ASSIGNEE” [Toscano] to appoint Mr. </w:t>
      </w:r>
      <w:r w:rsidRPr="008E0C9F">
        <w:rPr>
          <w:szCs w:val="22"/>
        </w:rPr>
        <w:t>Trigio</w:t>
      </w:r>
      <w:r w:rsidRPr="008E0C9F">
        <w:rPr>
          <w:szCs w:val="22"/>
        </w:rPr>
        <w:t xml:space="preserve"> Javier Peréz de Anda</w:t>
      </w:r>
      <w:r>
        <w:rPr>
          <w:szCs w:val="22"/>
        </w:rPr>
        <w:t>…</w:t>
      </w:r>
      <w:r w:rsidRPr="008E0C9F">
        <w:rPr>
          <w:szCs w:val="22"/>
        </w:rPr>
        <w:t>”</w:t>
      </w:r>
      <w:r>
        <w:rPr>
          <w:szCs w:val="22"/>
        </w:rPr>
        <w:t xml:space="preserve">.  </w:t>
      </w:r>
      <w:r>
        <w:t xml:space="preserve">LOI Response at Attach. A, </w:t>
      </w:r>
      <w:r>
        <w:rPr>
          <w:szCs w:val="22"/>
        </w:rPr>
        <w:t>A</w:t>
      </w:r>
      <w:r w:rsidRPr="003D4C4F">
        <w:rPr>
          <w:szCs w:val="22"/>
        </w:rPr>
        <w:t xml:space="preserve">ssignment </w:t>
      </w:r>
      <w:r>
        <w:rPr>
          <w:szCs w:val="22"/>
        </w:rPr>
        <w:t>of Debt Rights Agreemen</w:t>
      </w:r>
      <w:r w:rsidRPr="00CC7BBF">
        <w:rPr>
          <w:szCs w:val="22"/>
        </w:rPr>
        <w:t>t</w:t>
      </w:r>
      <w:r w:rsidRPr="00CC7BBF">
        <w:t xml:space="preserve">. </w:t>
      </w:r>
      <w:r>
        <w:t xml:space="preserve"> </w:t>
      </w:r>
    </w:p>
  </w:footnote>
  <w:footnote w:id="193">
    <w:p w:rsidR="00E412F6" w14:paraId="0A850981" w14:textId="0823FE00">
      <w:pPr>
        <w:pStyle w:val="FootnoteText"/>
      </w:pPr>
      <w:r>
        <w:rPr>
          <w:rStyle w:val="FootnoteReference"/>
        </w:rPr>
        <w:footnoteRef/>
      </w:r>
      <w:r>
        <w:t xml:space="preserve"> </w:t>
      </w:r>
      <w:r w:rsidRPr="0013665E">
        <w:rPr>
          <w:i/>
          <w:iCs/>
        </w:rPr>
        <w:t>See</w:t>
      </w:r>
      <w:r>
        <w:t xml:space="preserve"> </w:t>
      </w:r>
      <w:r w:rsidR="00EE0034">
        <w:t xml:space="preserve">47 CFR § 73.1015.  </w:t>
      </w:r>
    </w:p>
  </w:footnote>
  <w:footnote w:id="194">
    <w:p w:rsidR="00926522" w:rsidRPr="008773F6" w:rsidP="00A63344" w14:paraId="2C1858A3" w14:textId="526285F0">
      <w:pPr>
        <w:pStyle w:val="FootnoteText"/>
      </w:pPr>
      <w:r w:rsidRPr="008773F6">
        <w:rPr>
          <w:rStyle w:val="FootnoteReference"/>
        </w:rPr>
        <w:footnoteRef/>
      </w:r>
      <w:r w:rsidRPr="008773F6">
        <w:t xml:space="preserve"> </w:t>
      </w:r>
      <w:r w:rsidR="00A63344">
        <w:t xml:space="preserve">Section 308(b) of the Act identifies the character of an applicant to be among those factors that the Commission considers in determining whether an applicant has the requisite qualifications to be a Commission licensee.  </w:t>
      </w:r>
      <w:r w:rsidR="001E6FE3">
        <w:t>47 U.S.C. § 308(b)</w:t>
      </w:r>
      <w:r w:rsidRPr="00A63344" w:rsidR="00A63344">
        <w:t xml:space="preserve"> (“All applications for station licenses, or modifications or renewals thereof, shall set forth such facts as the Commission by regulation may prescribe as to the citizenship, character, and financial, technical, and other qualifications of the applicant to operate the station.”)</w:t>
      </w:r>
      <w:r w:rsidR="001714FA">
        <w:t>.</w:t>
      </w:r>
      <w:r w:rsidR="00A63344">
        <w:t xml:space="preserve"> </w:t>
      </w:r>
    </w:p>
  </w:footnote>
  <w:footnote w:id="195">
    <w:p w:rsidR="00926522" w:rsidRPr="008773F6" w:rsidP="00926522" w14:paraId="3D3F1008" w14:textId="6F2D468E">
      <w:pPr>
        <w:pStyle w:val="FootnoteText"/>
        <w:widowControl w:val="0"/>
      </w:pPr>
      <w:r w:rsidRPr="008773F6">
        <w:rPr>
          <w:rStyle w:val="FootnoteReference"/>
        </w:rPr>
        <w:footnoteRef/>
      </w:r>
      <w:r w:rsidRPr="008773F6">
        <w:t xml:space="preserve"> </w:t>
      </w:r>
      <w:r w:rsidRPr="008773F6" w:rsidR="00A63344">
        <w:rPr>
          <w:szCs w:val="22"/>
        </w:rPr>
        <w:t>Section 312(a)(2) of the Act provides that the Commission may revoke any license if “conditions com[e] to the attention of the Commission which would warrant it in refusing to grant a license or permit on the original application.”</w:t>
      </w:r>
      <w:r w:rsidR="00A63344">
        <w:rPr>
          <w:szCs w:val="22"/>
        </w:rPr>
        <w:t xml:space="preserve">  </w:t>
      </w:r>
      <w:r w:rsidRPr="008773F6" w:rsidR="00A63344">
        <w:t>47 U.S.C. § 312(a)(2)</w:t>
      </w:r>
      <w:r w:rsidR="001714FA">
        <w:t>;</w:t>
      </w:r>
      <w:r w:rsidR="00A63344">
        <w:t xml:space="preserve"> </w:t>
      </w:r>
      <w:r w:rsidR="001714FA">
        <w:t>s</w:t>
      </w:r>
      <w:r w:rsidRPr="00A63344" w:rsidR="001714FA">
        <w:rPr>
          <w:i/>
          <w:iCs/>
        </w:rPr>
        <w:t>ee</w:t>
      </w:r>
      <w:r w:rsidR="001714FA">
        <w:rPr>
          <w:i/>
          <w:iCs/>
        </w:rPr>
        <w:t xml:space="preserve"> also</w:t>
      </w:r>
      <w:r w:rsidRPr="001714FA" w:rsidR="001714FA">
        <w:t xml:space="preserve">, </w:t>
      </w:r>
      <w:r w:rsidRPr="00A63344" w:rsidR="001714FA">
        <w:rPr>
          <w:i/>
          <w:iCs/>
        </w:rPr>
        <w:t>Roger Wahl</w:t>
      </w:r>
      <w:r w:rsidR="001714FA">
        <w:t>, Revocation Order</w:t>
      </w:r>
      <w:r w:rsidRPr="00A63344" w:rsidR="001714FA">
        <w:t>, 3</w:t>
      </w:r>
      <w:r w:rsidR="001714FA">
        <w:t>8 FCC Rcd 3335 (EB 2023) (r</w:t>
      </w:r>
      <w:r w:rsidRPr="001714FA" w:rsidR="001714FA">
        <w:t>evoking broadcast station license pursuant to Section 312(a)(2) because of conditions that would warrant refusal to grant a license in the first place, namely the failure to satisfy the character requirement of section 308(b)</w:t>
      </w:r>
      <w:r w:rsidR="001714FA">
        <w:t xml:space="preserve">).  </w:t>
      </w:r>
    </w:p>
  </w:footnote>
  <w:footnote w:id="196">
    <w:p w:rsidR="001714FA" w14:paraId="0DF4A3BB" w14:textId="14054660">
      <w:pPr>
        <w:pStyle w:val="FootnoteText"/>
      </w:pPr>
      <w:r>
        <w:rPr>
          <w:rStyle w:val="FootnoteReference"/>
        </w:rPr>
        <w:footnoteRef/>
      </w:r>
      <w:r>
        <w:t xml:space="preserve"> </w:t>
      </w:r>
      <w:r w:rsidRPr="001714FA">
        <w:rPr>
          <w:i/>
          <w:iCs/>
        </w:rPr>
        <w:t>Id</w:t>
      </w:r>
      <w:r>
        <w:t>.</w:t>
      </w:r>
    </w:p>
  </w:footnote>
  <w:footnote w:id="197">
    <w:p w:rsidR="00926522" w:rsidRPr="008773F6" w:rsidP="00926522" w14:paraId="173D6125" w14:textId="42A22DC2">
      <w:pPr>
        <w:pStyle w:val="FootnoteText"/>
        <w:widowControl w:val="0"/>
      </w:pPr>
      <w:r w:rsidRPr="008773F6">
        <w:rPr>
          <w:rStyle w:val="FootnoteReference"/>
        </w:rPr>
        <w:footnoteRef/>
      </w:r>
      <w:r w:rsidRPr="008773F6">
        <w:t xml:space="preserve"> </w:t>
      </w:r>
      <w:r w:rsidRPr="008773F6">
        <w:rPr>
          <w:i/>
          <w:iCs/>
        </w:rPr>
        <w:t>1986 Character Policy Statement</w:t>
      </w:r>
      <w:r w:rsidR="007221D4">
        <w:rPr>
          <w:i/>
          <w:iCs/>
        </w:rPr>
        <w:t xml:space="preserve">, </w:t>
      </w:r>
      <w:r w:rsidR="0093702C">
        <w:t>102 F</w:t>
      </w:r>
      <w:r w:rsidR="009B1B5A">
        <w:t>.</w:t>
      </w:r>
      <w:r w:rsidR="0093702C">
        <w:t>C</w:t>
      </w:r>
      <w:r w:rsidR="009B1B5A">
        <w:t>.</w:t>
      </w:r>
      <w:r w:rsidR="0093702C">
        <w:t>C</w:t>
      </w:r>
      <w:r w:rsidR="009B1B5A">
        <w:t>.</w:t>
      </w:r>
      <w:r w:rsidR="0093702C">
        <w:t>2d</w:t>
      </w:r>
      <w:r w:rsidRPr="008773F6">
        <w:t xml:space="preserve"> at 1209, para. 55.</w:t>
      </w:r>
    </w:p>
  </w:footnote>
  <w:footnote w:id="198">
    <w:p w:rsidR="00926522" w:rsidRPr="008773F6" w:rsidP="00926522" w14:paraId="28C47A58" w14:textId="5FDF4B49">
      <w:pPr>
        <w:pStyle w:val="FootnoteText"/>
        <w:widowControl w:val="0"/>
      </w:pPr>
      <w:r w:rsidRPr="008773F6">
        <w:rPr>
          <w:rStyle w:val="FootnoteReference"/>
        </w:rPr>
        <w:footnoteRef/>
      </w:r>
      <w:r w:rsidRPr="008773F6">
        <w:t xml:space="preserve"> </w:t>
      </w:r>
      <w:r w:rsidRPr="00A767C9">
        <w:rPr>
          <w:i/>
          <w:iCs/>
        </w:rPr>
        <w:t>S</w:t>
      </w:r>
      <w:r w:rsidRPr="00A767C9">
        <w:rPr>
          <w:i/>
        </w:rPr>
        <w:t>ee 1986 Character Policy Statement</w:t>
      </w:r>
      <w:r w:rsidRPr="00A767C9" w:rsidR="00A767C9">
        <w:rPr>
          <w:i/>
        </w:rPr>
        <w:t xml:space="preserve"> </w:t>
      </w:r>
      <w:r w:rsidRPr="00A767C9" w:rsidR="00A767C9">
        <w:rPr>
          <w:iCs/>
        </w:rPr>
        <w:t xml:space="preserve">at </w:t>
      </w:r>
      <w:r w:rsidR="00A767C9">
        <w:rPr>
          <w:iCs/>
        </w:rPr>
        <w:t>1210-11</w:t>
      </w:r>
      <w:r w:rsidRPr="00A767C9" w:rsidR="00A767C9">
        <w:rPr>
          <w:iCs/>
        </w:rPr>
        <w:t>, para</w:t>
      </w:r>
      <w:r w:rsidR="00A767C9">
        <w:rPr>
          <w:iCs/>
        </w:rPr>
        <w:t>s</w:t>
      </w:r>
      <w:r w:rsidRPr="00A767C9" w:rsidR="00A767C9">
        <w:rPr>
          <w:iCs/>
        </w:rPr>
        <w:t>.</w:t>
      </w:r>
      <w:r w:rsidR="00A767C9">
        <w:rPr>
          <w:iCs/>
        </w:rPr>
        <w:t xml:space="preserve"> 60-61;</w:t>
      </w:r>
      <w:r w:rsidRPr="00A767C9" w:rsidR="00A767C9">
        <w:rPr>
          <w:iCs/>
        </w:rPr>
        <w:t xml:space="preserve"> </w:t>
      </w:r>
      <w:r w:rsidRPr="00A767C9">
        <w:rPr>
          <w:i/>
        </w:rPr>
        <w:t xml:space="preserve">1990 Character </w:t>
      </w:r>
      <w:r w:rsidRPr="004B47E2">
        <w:rPr>
          <w:i/>
        </w:rPr>
        <w:t>Policy Statement</w:t>
      </w:r>
      <w:r w:rsidRPr="00A767C9" w:rsidR="00A767C9">
        <w:rPr>
          <w:iCs/>
        </w:rPr>
        <w:t xml:space="preserve"> at 3252, para. 10</w:t>
      </w:r>
      <w:r w:rsidRPr="008773F6">
        <w:t>.</w:t>
      </w:r>
    </w:p>
  </w:footnote>
  <w:footnote w:id="199">
    <w:p w:rsidR="00926522" w:rsidRPr="008773F6" w:rsidP="00926522" w14:paraId="14965AC3" w14:textId="05968705">
      <w:pPr>
        <w:spacing w:after="120" w:line="275" w:lineRule="auto"/>
        <w:jc w:val="both"/>
        <w:rPr>
          <w:sz w:val="20"/>
        </w:rPr>
      </w:pPr>
      <w:r w:rsidRPr="008773F6">
        <w:rPr>
          <w:rStyle w:val="FootnoteReference"/>
        </w:rPr>
        <w:footnoteRef/>
      </w:r>
      <w:r w:rsidRPr="008773F6">
        <w:rPr>
          <w:sz w:val="20"/>
        </w:rPr>
        <w:t xml:space="preserve"> </w:t>
      </w:r>
      <w:hyperlink r:id="rId4">
        <w:r w:rsidRPr="008773F6">
          <w:rPr>
            <w:i/>
            <w:iCs/>
            <w:sz w:val="20"/>
          </w:rPr>
          <w:t>Contemporary Media</w:t>
        </w:r>
      </w:hyperlink>
      <w:r w:rsidRPr="008773F6" w:rsidR="0087332D">
        <w:rPr>
          <w:i/>
          <w:iCs/>
          <w:sz w:val="20"/>
        </w:rPr>
        <w:t>,</w:t>
      </w:r>
      <w:r w:rsidRPr="00DB3282" w:rsidR="0087332D">
        <w:rPr>
          <w:sz w:val="20"/>
        </w:rPr>
        <w:t xml:space="preserve"> 214</w:t>
      </w:r>
      <w:r w:rsidRPr="008773F6">
        <w:rPr>
          <w:sz w:val="20"/>
        </w:rPr>
        <w:t xml:space="preserve"> </w:t>
      </w:r>
      <w:r w:rsidRPr="008773F6" w:rsidR="007D6B24">
        <w:rPr>
          <w:sz w:val="20"/>
        </w:rPr>
        <w:t xml:space="preserve">F.3d </w:t>
      </w:r>
      <w:r w:rsidR="0087332D">
        <w:rPr>
          <w:sz w:val="20"/>
        </w:rPr>
        <w:t>at</w:t>
      </w:r>
      <w:r w:rsidRPr="008773F6" w:rsidR="007D6B24">
        <w:rPr>
          <w:sz w:val="20"/>
        </w:rPr>
        <w:t xml:space="preserve"> 196 </w:t>
      </w:r>
      <w:r w:rsidR="0087332D">
        <w:rPr>
          <w:sz w:val="20"/>
        </w:rPr>
        <w:t>(</w:t>
      </w:r>
      <w:r w:rsidRPr="00DB3282">
        <w:rPr>
          <w:sz w:val="20"/>
        </w:rPr>
        <w:t>citing</w:t>
      </w:r>
      <w:r w:rsidRPr="008773F6">
        <w:rPr>
          <w:i/>
          <w:iCs/>
          <w:sz w:val="20"/>
        </w:rPr>
        <w:t xml:space="preserve"> Schoen</w:t>
      </w:r>
      <w:hyperlink r:id="rId5">
        <w:r w:rsidRPr="008773F6">
          <w:rPr>
            <w:i/>
            <w:iCs/>
            <w:sz w:val="20"/>
          </w:rPr>
          <w:t>bohm</w:t>
        </w:r>
        <w:r w:rsidR="00697203">
          <w:rPr>
            <w:sz w:val="20"/>
          </w:rPr>
          <w:t xml:space="preserve">, </w:t>
        </w:r>
      </w:hyperlink>
      <w:r w:rsidRPr="008773F6" w:rsidR="009C6BF8">
        <w:rPr>
          <w:sz w:val="20"/>
        </w:rPr>
        <w:t xml:space="preserve">204 F.3d </w:t>
      </w:r>
      <w:r w:rsidR="00697203">
        <w:rPr>
          <w:sz w:val="20"/>
        </w:rPr>
        <w:t xml:space="preserve">at </w:t>
      </w:r>
      <w:r w:rsidRPr="008773F6" w:rsidR="009C6BF8">
        <w:rPr>
          <w:sz w:val="20"/>
        </w:rPr>
        <w:t>247</w:t>
      </w:r>
      <w:r w:rsidR="00A767C9">
        <w:rPr>
          <w:sz w:val="20"/>
        </w:rPr>
        <w:t>)</w:t>
      </w:r>
      <w:r w:rsidR="00556BE6">
        <w:rPr>
          <w:sz w:val="20"/>
        </w:rPr>
        <w:t xml:space="preserve"> (“‘it is well recognized that the Commission may disqualify an applicant who deliber</w:t>
      </w:r>
      <w:r w:rsidR="005175B0">
        <w:rPr>
          <w:sz w:val="20"/>
        </w:rPr>
        <w:t>ately makes misrepresentations or lacks candor in dealing with the agency</w:t>
      </w:r>
      <w:r w:rsidRPr="008773F6">
        <w:rPr>
          <w:sz w:val="20"/>
        </w:rPr>
        <w:t>.</w:t>
      </w:r>
      <w:r w:rsidR="005175B0">
        <w:rPr>
          <w:sz w:val="20"/>
        </w:rPr>
        <w:t xml:space="preserve">’”).  </w:t>
      </w:r>
    </w:p>
  </w:footnote>
  <w:footnote w:id="200">
    <w:p w:rsidR="00926522" w:rsidRPr="004B47E2" w:rsidP="00926522" w14:paraId="6724A7AE" w14:textId="502AFAA9">
      <w:pPr>
        <w:pStyle w:val="FootnoteText"/>
        <w:widowControl w:val="0"/>
      </w:pPr>
      <w:r w:rsidRPr="008773F6">
        <w:rPr>
          <w:rStyle w:val="FootnoteReference"/>
        </w:rPr>
        <w:footnoteRef/>
      </w:r>
      <w:r w:rsidRPr="008773F6">
        <w:t xml:space="preserve"> </w:t>
      </w:r>
      <w:r w:rsidRPr="004B47E2">
        <w:rPr>
          <w:i/>
          <w:iCs/>
        </w:rPr>
        <w:t xml:space="preserve">1986 Character Policy Statement, </w:t>
      </w:r>
      <w:r w:rsidRPr="004B47E2" w:rsidR="007262D5">
        <w:t xml:space="preserve">102 FCC 2d </w:t>
      </w:r>
      <w:r w:rsidRPr="004B47E2">
        <w:t>at 1209, para. 56.</w:t>
      </w:r>
    </w:p>
  </w:footnote>
  <w:footnote w:id="201">
    <w:p w:rsidR="00926522" w:rsidRPr="004B47E2" w:rsidP="00926522" w14:paraId="0441AAF0" w14:textId="77777777">
      <w:pPr>
        <w:pStyle w:val="FootnoteText"/>
        <w:widowControl w:val="0"/>
      </w:pPr>
      <w:r w:rsidRPr="004B47E2">
        <w:rPr>
          <w:rStyle w:val="FootnoteReference"/>
        </w:rPr>
        <w:footnoteRef/>
      </w:r>
      <w:r w:rsidRPr="004B47E2">
        <w:t xml:space="preserve"> </w:t>
      </w:r>
      <w:r w:rsidRPr="004B47E2">
        <w:rPr>
          <w:i/>
          <w:iCs/>
        </w:rPr>
        <w:t>Id</w:t>
      </w:r>
      <w:r w:rsidRPr="004B47E2">
        <w:t>. at 1209-10, para. 57.</w:t>
      </w:r>
    </w:p>
  </w:footnote>
  <w:footnote w:id="202">
    <w:p w:rsidR="00926522" w:rsidRPr="004B47E2" w:rsidP="00926522" w14:paraId="66475BCD" w14:textId="77777777">
      <w:pPr>
        <w:pStyle w:val="FootnoteText"/>
        <w:widowControl w:val="0"/>
      </w:pPr>
      <w:r w:rsidRPr="004B47E2">
        <w:rPr>
          <w:rStyle w:val="FootnoteReference"/>
        </w:rPr>
        <w:footnoteRef/>
      </w:r>
      <w:r w:rsidRPr="004B47E2">
        <w:t xml:space="preserve"> 47 U.S.C. § 312(a).</w:t>
      </w:r>
    </w:p>
  </w:footnote>
  <w:footnote w:id="203">
    <w:p w:rsidR="000E7CF9" w:rsidRPr="002F69DA" w:rsidP="000E7CF9" w14:paraId="0D808174" w14:textId="77777777">
      <w:pPr>
        <w:pStyle w:val="FootnoteText"/>
        <w:widowControl w:val="0"/>
        <w:rPr>
          <w:lang w:val="nb-NO"/>
        </w:rPr>
      </w:pPr>
      <w:r w:rsidRPr="004B47E2">
        <w:rPr>
          <w:rStyle w:val="FootnoteReference"/>
        </w:rPr>
        <w:footnoteRef/>
      </w:r>
      <w:r w:rsidRPr="004B47E2">
        <w:t xml:space="preserve"> </w:t>
      </w:r>
      <w:r w:rsidRPr="004B47E2">
        <w:rPr>
          <w:i/>
          <w:iCs/>
        </w:rPr>
        <w:t>See 1986 Character Policy Statement</w:t>
      </w:r>
      <w:r w:rsidRPr="004B47E2">
        <w:t xml:space="preserve">, 102 FCC 2d at 1211, para. </w:t>
      </w:r>
      <w:r w:rsidRPr="002F69DA">
        <w:rPr>
          <w:lang w:val="nb-NO"/>
        </w:rPr>
        <w:t xml:space="preserve">61.  </w:t>
      </w:r>
    </w:p>
  </w:footnote>
  <w:footnote w:id="204">
    <w:p w:rsidR="000E7CF9" w:rsidRPr="002F69DA" w:rsidP="000E7CF9" w14:paraId="15F3068D" w14:textId="77777777">
      <w:pPr>
        <w:pStyle w:val="FootnoteText"/>
        <w:widowControl w:val="0"/>
        <w:rPr>
          <w:lang w:val="nb-NO"/>
        </w:rPr>
      </w:pPr>
      <w:r w:rsidRPr="004B47E2">
        <w:rPr>
          <w:rStyle w:val="FootnoteReference"/>
        </w:rPr>
        <w:footnoteRef/>
      </w:r>
      <w:r w:rsidRPr="002F69DA">
        <w:rPr>
          <w:lang w:val="nb-NO"/>
        </w:rPr>
        <w:t xml:space="preserve"> </w:t>
      </w:r>
      <w:r w:rsidRPr="002F69DA">
        <w:rPr>
          <w:i/>
          <w:iCs/>
          <w:lang w:val="nb-NO"/>
        </w:rPr>
        <w:t>Id</w:t>
      </w:r>
      <w:r w:rsidRPr="002F69DA">
        <w:rPr>
          <w:lang w:val="nb-NO"/>
        </w:rPr>
        <w:t>. at 1188-89, para. 21.</w:t>
      </w:r>
    </w:p>
  </w:footnote>
  <w:footnote w:id="205">
    <w:p w:rsidR="000E7CF9" w:rsidRPr="002F69DA" w:rsidP="000E7CF9" w14:paraId="274F06AC" w14:textId="77777777">
      <w:pPr>
        <w:pStyle w:val="FootnoteText"/>
        <w:widowControl w:val="0"/>
        <w:rPr>
          <w:lang w:val="nb-NO"/>
        </w:rPr>
      </w:pPr>
      <w:r w:rsidRPr="004B47E2">
        <w:rPr>
          <w:rStyle w:val="FootnoteReference"/>
        </w:rPr>
        <w:footnoteRef/>
      </w:r>
      <w:r w:rsidRPr="002F69DA">
        <w:rPr>
          <w:lang w:val="nb-NO"/>
        </w:rPr>
        <w:t xml:space="preserve"> </w:t>
      </w:r>
      <w:r w:rsidRPr="002F69DA">
        <w:rPr>
          <w:i/>
          <w:iCs/>
          <w:lang w:val="nb-NO"/>
        </w:rPr>
        <w:t>Id</w:t>
      </w:r>
      <w:r w:rsidRPr="002F69DA">
        <w:rPr>
          <w:lang w:val="nb-NO"/>
        </w:rPr>
        <w:t>. at 1121, para. 61.</w:t>
      </w:r>
    </w:p>
  </w:footnote>
  <w:footnote w:id="206">
    <w:p w:rsidR="000E7CF9" w:rsidRPr="002F69DA" w:rsidP="000E7CF9" w14:paraId="1DBFB7D9" w14:textId="77777777">
      <w:pPr>
        <w:pStyle w:val="FootnoteText"/>
        <w:widowControl w:val="0"/>
        <w:rPr>
          <w:lang w:val="nb-NO"/>
        </w:rPr>
      </w:pPr>
      <w:r w:rsidRPr="004B47E2">
        <w:rPr>
          <w:rStyle w:val="FootnoteReference"/>
        </w:rPr>
        <w:footnoteRef/>
      </w:r>
      <w:r w:rsidRPr="002F69DA">
        <w:rPr>
          <w:lang w:val="nb-NO"/>
        </w:rPr>
        <w:t xml:space="preserve"> </w:t>
      </w:r>
      <w:r w:rsidRPr="002F69DA">
        <w:rPr>
          <w:i/>
          <w:iCs/>
          <w:lang w:val="nb-NO"/>
        </w:rPr>
        <w:t>Id</w:t>
      </w:r>
      <w:r w:rsidRPr="002F69DA">
        <w:rPr>
          <w:lang w:val="nb-NO"/>
        </w:rPr>
        <w:t>.</w:t>
      </w:r>
    </w:p>
  </w:footnote>
  <w:footnote w:id="207">
    <w:p w:rsidR="000E7CF9" w:rsidRPr="004B47E2" w:rsidP="000E7CF9" w14:paraId="5EFCBE9F" w14:textId="77777777">
      <w:pPr>
        <w:pStyle w:val="FootnoteText"/>
        <w:widowControl w:val="0"/>
      </w:pPr>
      <w:r w:rsidRPr="004B47E2">
        <w:rPr>
          <w:rStyle w:val="FootnoteReference"/>
        </w:rPr>
        <w:footnoteRef/>
      </w:r>
      <w:r w:rsidRPr="002F69DA">
        <w:rPr>
          <w:lang w:val="nb-NO"/>
        </w:rPr>
        <w:t xml:space="preserve"> </w:t>
      </w:r>
      <w:r w:rsidRPr="002F69DA">
        <w:rPr>
          <w:i/>
          <w:iCs/>
          <w:lang w:val="nb-NO"/>
        </w:rPr>
        <w:t>Id</w:t>
      </w:r>
      <w:r w:rsidRPr="002F69DA">
        <w:rPr>
          <w:lang w:val="nb-NO"/>
        </w:rPr>
        <w:t xml:space="preserve">. at 1120, para. </w:t>
      </w:r>
      <w:r w:rsidRPr="004B47E2">
        <w:t>60.</w:t>
      </w:r>
    </w:p>
  </w:footnote>
  <w:footnote w:id="208">
    <w:p w:rsidR="009547F4" w:rsidRPr="004B47E2" w:rsidP="0002795B" w14:paraId="7821A79C" w14:textId="24ADA1B5">
      <w:pPr>
        <w:pStyle w:val="FootnoteText"/>
      </w:pPr>
      <w:r w:rsidRPr="004B47E2">
        <w:rPr>
          <w:rStyle w:val="FootnoteReference"/>
        </w:rPr>
        <w:footnoteRef/>
      </w:r>
      <w:r w:rsidRPr="004B47E2">
        <w:t xml:space="preserve"> </w:t>
      </w:r>
      <w:r w:rsidRPr="0002795B" w:rsidR="0002795B">
        <w:rPr>
          <w:i/>
          <w:iCs/>
        </w:rPr>
        <w:t>Jefferson Radio</w:t>
      </w:r>
      <w:r w:rsidR="0002795B">
        <w:t xml:space="preserve">, 340 F.2d at 783; </w:t>
      </w:r>
      <w:r w:rsidRPr="0002795B" w:rsidR="0002795B">
        <w:rPr>
          <w:i/>
          <w:iCs/>
        </w:rPr>
        <w:t>Northland Television</w:t>
      </w:r>
      <w:r w:rsidR="0002795B">
        <w:t xml:space="preserve">, 42 RR 2d at 1110.   </w:t>
      </w:r>
      <w:r w:rsidRPr="004B47E2">
        <w:t xml:space="preserve"> </w:t>
      </w:r>
    </w:p>
  </w:footnote>
  <w:footnote w:id="209">
    <w:p w:rsidR="004A4A1B" w14:paraId="7D1BF510" w14:textId="47A045CA">
      <w:pPr>
        <w:pStyle w:val="FootnoteText"/>
      </w:pPr>
      <w:r>
        <w:rPr>
          <w:rStyle w:val="FootnoteReference"/>
        </w:rPr>
        <w:footnoteRef/>
      </w:r>
      <w:r>
        <w:t xml:space="preserve"> </w:t>
      </w:r>
      <w:r w:rsidRPr="00A24608">
        <w:rPr>
          <w:i/>
          <w:iCs/>
        </w:rPr>
        <w:t>See</w:t>
      </w:r>
      <w:r w:rsidRPr="00A24608" w:rsidR="002E6B3A">
        <w:rPr>
          <w:i/>
          <w:iCs/>
        </w:rPr>
        <w:t>, e.g.</w:t>
      </w:r>
      <w:r w:rsidR="002E6B3A">
        <w:t>,</w:t>
      </w:r>
      <w:r>
        <w:t xml:space="preserve"> </w:t>
      </w:r>
      <w:r w:rsidRPr="00A24608" w:rsidR="00A24608">
        <w:rPr>
          <w:i/>
          <w:iCs/>
        </w:rPr>
        <w:t>One Media, Inc.</w:t>
      </w:r>
      <w:r w:rsidRPr="00A24608" w:rsidR="00A24608">
        <w:t xml:space="preserve">, Order, DA 25-68 (MB </w:t>
      </w:r>
      <w:r w:rsidR="00E94238">
        <w:t xml:space="preserve">Feb. 13, </w:t>
      </w:r>
      <w:r w:rsidRPr="00A24608" w:rsidR="00A24608">
        <w:t xml:space="preserve">2025) (Order adopting a consent decree settling an unauthorized transfer of control following the death of </w:t>
      </w:r>
      <w:r w:rsidR="00A24608">
        <w:t>a</w:t>
      </w:r>
      <w:r w:rsidRPr="00A24608" w:rsidR="00A24608">
        <w:t xml:space="preserve"> single majority shareholder); </w:t>
      </w:r>
      <w:r w:rsidRPr="00A24608" w:rsidR="00A24608">
        <w:rPr>
          <w:i/>
          <w:iCs/>
        </w:rPr>
        <w:t>MHR License LLC</w:t>
      </w:r>
      <w:r w:rsidRPr="00A24608" w:rsidR="00A24608">
        <w:t>, Order,</w:t>
      </w:r>
      <w:r w:rsidR="00A24608">
        <w:t xml:space="preserve"> </w:t>
      </w:r>
      <w:r w:rsidRPr="00A24608" w:rsidR="00A24608">
        <w:t xml:space="preserve">39 FCC Rcd 10472 (MB 2024) (Order adopting a consent decree settling transfers of control resulting from changes in corporate form and structure over time); </w:t>
      </w:r>
      <w:r w:rsidRPr="00A24608" w:rsidR="00A24608">
        <w:rPr>
          <w:i/>
          <w:iCs/>
        </w:rPr>
        <w:t>Riverside Communications, LLC</w:t>
      </w:r>
      <w:r w:rsidRPr="00A24608" w:rsidR="00A24608">
        <w:t xml:space="preserve">, </w:t>
      </w:r>
      <w:r w:rsidR="00026499">
        <w:t>39 FCC Rcd</w:t>
      </w:r>
      <w:r w:rsidR="001A1B5F">
        <w:t xml:space="preserve"> 7415</w:t>
      </w:r>
      <w:r w:rsidRPr="00A24608" w:rsidR="00A24608">
        <w:t xml:space="preserve"> (MB 2024) (Order adopting a consent decree settling transfer of control involving one member of LLC purchasing the other member’s 50% interest without prior application to the </w:t>
      </w:r>
      <w:r w:rsidR="006D2991">
        <w:t>Commission</w:t>
      </w:r>
      <w:r w:rsidRPr="00A24608" w:rsidR="00A24608">
        <w:t>).</w:t>
      </w:r>
    </w:p>
  </w:footnote>
  <w:footnote w:id="210">
    <w:p w:rsidR="00A24608" w14:paraId="67BDF6EC" w14:textId="69FE7970">
      <w:pPr>
        <w:pStyle w:val="FootnoteText"/>
      </w:pPr>
      <w:r>
        <w:rPr>
          <w:rStyle w:val="FootnoteReference"/>
        </w:rPr>
        <w:footnoteRef/>
      </w:r>
      <w:r>
        <w:t xml:space="preserve"> </w:t>
      </w:r>
      <w:r w:rsidRPr="004C7FCC">
        <w:rPr>
          <w:i/>
          <w:iCs/>
        </w:rPr>
        <w:t>See, e.g.</w:t>
      </w:r>
      <w:r>
        <w:t xml:space="preserve">, </w:t>
      </w:r>
      <w:r w:rsidRPr="004C7FCC" w:rsidR="004C7FCC">
        <w:rPr>
          <w:i/>
          <w:iCs/>
        </w:rPr>
        <w:t>Docomo Pacific, Inc.</w:t>
      </w:r>
      <w:r w:rsidRPr="004C7FCC" w:rsidR="004C7FCC">
        <w:t xml:space="preserve">, </w:t>
      </w:r>
      <w:r w:rsidR="004C7FCC">
        <w:t xml:space="preserve">Order, </w:t>
      </w:r>
      <w:r w:rsidRPr="004C7FCC" w:rsidR="004C7FCC">
        <w:t xml:space="preserve">38 FCC Rcd 5718 (EB 2023) (Order adopting consent decree settling entity’s acquisition of ownership interest exceeding the level of foreign ownership approved previously by the Commission); </w:t>
      </w:r>
      <w:r w:rsidRPr="004C7FCC" w:rsidR="004C7FCC">
        <w:rPr>
          <w:i/>
          <w:iCs/>
        </w:rPr>
        <w:t>America Movil, S.A.B. De C.V. Puerto Rico Telephone Company, Inc.</w:t>
      </w:r>
      <w:r w:rsidRPr="004C7FCC" w:rsidR="004C7FCC">
        <w:t xml:space="preserve">, </w:t>
      </w:r>
      <w:r w:rsidR="004C7FCC">
        <w:t xml:space="preserve">Order, </w:t>
      </w:r>
      <w:r w:rsidRPr="004C7FCC" w:rsidR="004C7FCC">
        <w:t xml:space="preserve">31 FCC Rcd 6809 (EB 2016) (Order adopting consent decree settling individual’s acquisition of ownership interest exceeding the level of foreign ownership approved previously by the Commission). </w:t>
      </w:r>
    </w:p>
  </w:footnote>
  <w:footnote w:id="211">
    <w:p w:rsidR="00865F55" w14:paraId="5AE66AD0" w14:textId="0E14A2CB">
      <w:pPr>
        <w:pStyle w:val="FootnoteText"/>
      </w:pPr>
      <w:r>
        <w:rPr>
          <w:rStyle w:val="FootnoteReference"/>
        </w:rPr>
        <w:footnoteRef/>
      </w:r>
      <w:r>
        <w:t xml:space="preserve"> </w:t>
      </w:r>
      <w:r w:rsidR="00387322">
        <w:rPr>
          <w:i/>
          <w:iCs/>
        </w:rPr>
        <w:t>Contra</w:t>
      </w:r>
      <w:r w:rsidRPr="00387322">
        <w:t xml:space="preserve"> </w:t>
      </w:r>
      <w:r w:rsidRPr="00387322">
        <w:rPr>
          <w:i/>
          <w:iCs/>
        </w:rPr>
        <w:t>Auburn Network, Inc.</w:t>
      </w:r>
      <w:r w:rsidRPr="00387322">
        <w:t>, Initial</w:t>
      </w:r>
      <w:r w:rsidRPr="00E331E1">
        <w:t xml:space="preserve"> Decision, FCC 22D-01 (ALJ 2022) (Initial Decision</w:t>
      </w:r>
      <w:r w:rsidR="00E331E1">
        <w:t>,</w:t>
      </w:r>
      <w:r w:rsidRPr="00E331E1">
        <w:t xml:space="preserve"> in </w:t>
      </w:r>
      <w:r w:rsidR="00E331E1">
        <w:t xml:space="preserve">a </w:t>
      </w:r>
      <w:r w:rsidRPr="00E331E1">
        <w:t>matter still pending before the Commission</w:t>
      </w:r>
      <w:r w:rsidR="00E331E1">
        <w:t>,</w:t>
      </w:r>
      <w:r w:rsidRPr="00E331E1">
        <w:t xml:space="preserve"> </w:t>
      </w:r>
      <w:r w:rsidR="00E331E1">
        <w:t xml:space="preserve">finding </w:t>
      </w:r>
      <w:r w:rsidRPr="00E331E1">
        <w:t xml:space="preserve">that the </w:t>
      </w:r>
      <w:r w:rsidR="00E331E1">
        <w:t>felony conviction of</w:t>
      </w:r>
      <w:r w:rsidRPr="00E331E1">
        <w:t xml:space="preserve"> the licensee’s principal was not </w:t>
      </w:r>
      <w:r w:rsidRPr="00E331E1" w:rsidR="00E331E1">
        <w:t>disqualifying</w:t>
      </w:r>
      <w:r w:rsidRPr="00E331E1">
        <w:t xml:space="preserve">, in part because </w:t>
      </w:r>
      <w:r w:rsidR="00E331E1">
        <w:t>the behavior was a decade earlier in a non-FCC context and it was not persuasively demonstrated that the licensee was li</w:t>
      </w:r>
      <w:r w:rsidRPr="00E331E1" w:rsidR="00E331E1">
        <w:t>kely to behave dishonestly with the Commission</w:t>
      </w:r>
      <w:r w:rsidRPr="00E331E1">
        <w:t>).</w:t>
      </w:r>
    </w:p>
  </w:footnote>
  <w:footnote w:id="212">
    <w:p w:rsidR="00835D76" w:rsidP="00835D76" w14:paraId="2C2D90DD" w14:textId="6DA46977">
      <w:pPr>
        <w:pStyle w:val="FootnoteText"/>
      </w:pPr>
      <w:r>
        <w:rPr>
          <w:rStyle w:val="FootnoteReference"/>
        </w:rPr>
        <w:footnoteRef/>
      </w:r>
      <w:r>
        <w:t xml:space="preserve"> 47 CFR § 1.1208 (“Proceedings in which </w:t>
      </w:r>
      <w:r w:rsidRPr="00835D76">
        <w:rPr>
          <w:i/>
          <w:iCs/>
        </w:rPr>
        <w:t xml:space="preserve">ex </w:t>
      </w:r>
      <w:r w:rsidRPr="00835D76">
        <w:rPr>
          <w:i/>
          <w:iCs/>
        </w:rPr>
        <w:t>parte</w:t>
      </w:r>
      <w:r>
        <w:t xml:space="preserve"> presentations are prohibited, referred to as ‘restricted’ proceedings, include</w:t>
      </w:r>
      <w:r w:rsidRPr="00835D76">
        <w:t>, but are not limited to, all proceedings that have been designated for hearing</w:t>
      </w:r>
      <w:r w:rsidR="00E331E1">
        <w:t xml:space="preserve"> . . .</w:t>
      </w:r>
      <w:r>
        <w:t xml:space="preserve">”); </w:t>
      </w:r>
      <w:r w:rsidRPr="00835D76">
        <w:rPr>
          <w:i/>
          <w:iCs/>
        </w:rPr>
        <w:t>see also</w:t>
      </w:r>
      <w:r w:rsidRPr="00835D76">
        <w:t xml:space="preserve"> 47 CFR </w:t>
      </w:r>
      <w:r>
        <w:t xml:space="preserve">§§ 1.1202(b) (describing what constitutes an ex </w:t>
      </w:r>
      <w:r>
        <w:t>parte</w:t>
      </w:r>
      <w:r>
        <w:t xml:space="preserve"> presentation), 1.1204 (exceptions). </w:t>
      </w:r>
    </w:p>
  </w:footnote>
  <w:footnote w:id="213">
    <w:p w:rsidR="002E517A" w14:paraId="7D32865C" w14:textId="7A13C5A4">
      <w:pPr>
        <w:pStyle w:val="FootnoteText"/>
      </w:pPr>
      <w:r>
        <w:rPr>
          <w:rStyle w:val="FootnoteReference"/>
        </w:rPr>
        <w:footnoteRef/>
      </w:r>
      <w:r w:rsidR="00E23244">
        <w:t xml:space="preserve"> 47 CFR</w:t>
      </w:r>
      <w:r w:rsidRPr="00E23244" w:rsidR="00E23244">
        <w:t xml:space="preserve"> § 1.51.</w:t>
      </w:r>
    </w:p>
  </w:footnote>
  <w:footnote w:id="214">
    <w:p w:rsidR="00E23244" w14:paraId="054CC04E" w14:textId="719D18DD">
      <w:pPr>
        <w:pStyle w:val="FootnoteText"/>
      </w:pPr>
      <w:r>
        <w:rPr>
          <w:rStyle w:val="FootnoteReference"/>
        </w:rPr>
        <w:footnoteRef/>
      </w:r>
      <w:r>
        <w:t xml:space="preserve"> 47 CFR</w:t>
      </w:r>
      <w:r w:rsidRPr="00E23244">
        <w:t xml:space="preserve"> § 1.209.</w:t>
      </w:r>
    </w:p>
  </w:footnote>
  <w:footnote w:id="215">
    <w:p w:rsidR="0064368D" w:rsidRPr="008773F6" w:rsidP="0064368D" w14:paraId="67283E6D" w14:textId="77777777">
      <w:pPr>
        <w:pStyle w:val="FootnoteText"/>
        <w:widowControl w:val="0"/>
      </w:pPr>
      <w:r w:rsidRPr="008773F6">
        <w:rPr>
          <w:rStyle w:val="FootnoteReference"/>
        </w:rPr>
        <w:footnoteRef/>
      </w:r>
      <w:r w:rsidRPr="008773F6">
        <w:t xml:space="preserve"> The Commission will not accept such a statement if it is not submitted within the time period set out in 1.91(c), absent some well-justified explanation of why it was filed 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65483E0" w14:textId="5390CF29">
    <w:pPr>
      <w:pStyle w:val="Header"/>
      <w:rPr>
        <w:b w:val="0"/>
      </w:rPr>
    </w:pPr>
    <w:r>
      <w:tab/>
      <w:t>Federal Communications Commission</w:t>
    </w:r>
    <w:r>
      <w:tab/>
    </w:r>
    <w:r w:rsidR="00426FF5">
      <w:t>DA 2</w:t>
    </w:r>
    <w:r w:rsidR="00033AE0">
      <w:t>6</w:t>
    </w:r>
    <w:r w:rsidR="00426FF5">
      <w:t>-</w:t>
    </w:r>
    <w:r w:rsidR="00F5190D">
      <w:t>76</w:t>
    </w:r>
  </w:p>
  <w:p w:rsidR="00D25FB5" w14:paraId="6353EC68" w14:textId="43EF4CC2">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35778450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25A14F4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D37A330" w14:textId="2EDDBF28">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55255069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rsidR="000555D3">
      <w:tab/>
      <w:t>Federal Communications Commission</w:t>
    </w:r>
    <w:r w:rsidR="000555D3">
      <w:tab/>
    </w:r>
    <w:r w:rsidR="00426FF5">
      <w:rPr>
        <w:spacing w:val="-2"/>
      </w:rPr>
      <w:t>DA 2</w:t>
    </w:r>
    <w:r w:rsidR="00033AE0">
      <w:rPr>
        <w:spacing w:val="-2"/>
      </w:rPr>
      <w:t>6</w:t>
    </w:r>
    <w:r w:rsidR="00426FF5">
      <w:rPr>
        <w:spacing w:val="-2"/>
      </w:rPr>
      <w:t>-</w:t>
    </w:r>
    <w:r w:rsidR="00F5190D">
      <w:rPr>
        <w:spacing w:val="-2"/>
      </w:rPr>
      <w:t>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ACBC1BC"/>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51137D"/>
    <w:multiLevelType w:val="hybridMultilevel"/>
    <w:tmpl w:val="352A075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F735A"/>
    <w:multiLevelType w:val="hybridMultilevel"/>
    <w:tmpl w:val="DDA0C08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E07D62"/>
    <w:multiLevelType w:val="hybridMultilevel"/>
    <w:tmpl w:val="B306948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7B66F24"/>
    <w:multiLevelType w:val="hybridMultilevel"/>
    <w:tmpl w:val="11FC482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E0E622F"/>
    <w:multiLevelType w:val="hybridMultilevel"/>
    <w:tmpl w:val="E3802A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1730CBA"/>
    <w:multiLevelType w:val="hybridMultilevel"/>
    <w:tmpl w:val="452E6C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E94C60"/>
    <w:multiLevelType w:val="hybridMultilevel"/>
    <w:tmpl w:val="FEBC09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BD532B"/>
    <w:multiLevelType w:val="hybridMultilevel"/>
    <w:tmpl w:val="473C196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C54007D"/>
    <w:multiLevelType w:val="multilevel"/>
    <w:tmpl w:val="721888FE"/>
    <w:lvl w:ilvl="0">
      <w:start w:val="1"/>
      <w:numFmt w:val="decimal"/>
      <w:lvlText w:val="%1."/>
      <w:lvlJc w:val="left"/>
      <w:pPr>
        <w:tabs>
          <w:tab w:val="num" w:pos="810"/>
        </w:tabs>
        <w:ind w:left="-270" w:firstLine="720"/>
      </w:pPr>
      <w:rPr>
        <w:rFonts w:ascii="Times New Roman" w:hAnsi="Times New Roman" w:hint="default"/>
        <w:b w:val="0"/>
        <w:i w:val="0"/>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2">
    <w:nsid w:val="248246F3"/>
    <w:multiLevelType w:val="singleLevel"/>
    <w:tmpl w:val="B1F45678"/>
    <w:lvl w:ilvl="0">
      <w:start w:val="1"/>
      <w:numFmt w:val="decimal"/>
      <w:lvlText w:val="%1."/>
      <w:lvlJc w:val="left"/>
      <w:pPr>
        <w:tabs>
          <w:tab w:val="num" w:pos="1080"/>
        </w:tabs>
        <w:ind w:left="0" w:firstLine="720"/>
      </w:pPr>
    </w:lvl>
  </w:abstractNum>
  <w:abstractNum w:abstractNumId="1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nsid w:val="2AFD59FD"/>
    <w:multiLevelType w:val="hybridMultilevel"/>
    <w:tmpl w:val="846A5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9A3AED"/>
    <w:multiLevelType w:val="hybridMultilevel"/>
    <w:tmpl w:val="2B18A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96368C"/>
    <w:multiLevelType w:val="hybridMultilevel"/>
    <w:tmpl w:val="5384631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3C1EF6"/>
    <w:multiLevelType w:val="hybridMultilevel"/>
    <w:tmpl w:val="D1240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4E652C1B"/>
    <w:multiLevelType w:val="hybridMultilevel"/>
    <w:tmpl w:val="17EACD6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F743B20"/>
    <w:multiLevelType w:val="hybridMultilevel"/>
    <w:tmpl w:val="FA9E314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nsid w:val="6CB07048"/>
    <w:multiLevelType w:val="hybridMultilevel"/>
    <w:tmpl w:val="CA0E09B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CB93E3C"/>
    <w:multiLevelType w:val="hybridMultilevel"/>
    <w:tmpl w:val="54BAC89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E1B4510"/>
    <w:multiLevelType w:val="hybridMultilevel"/>
    <w:tmpl w:val="4EB4AEF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C207A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2F3CE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56E59A2"/>
    <w:multiLevelType w:val="hybridMultilevel"/>
    <w:tmpl w:val="A6D275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63C3638"/>
    <w:multiLevelType w:val="hybridMultilevel"/>
    <w:tmpl w:val="F3C6A23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9132CD3"/>
    <w:multiLevelType w:val="hybridMultilevel"/>
    <w:tmpl w:val="452E6C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4004971">
    <w:abstractNumId w:val="21"/>
  </w:num>
  <w:num w:numId="2" w16cid:durableId="2123189402">
    <w:abstractNumId w:val="13"/>
  </w:num>
  <w:num w:numId="3" w16cid:durableId="1385374797">
    <w:abstractNumId w:val="10"/>
  </w:num>
  <w:num w:numId="4" w16cid:durableId="945766801">
    <w:abstractNumId w:val="22"/>
  </w:num>
  <w:num w:numId="5" w16cid:durableId="893154446">
    <w:abstractNumId w:val="4"/>
  </w:num>
  <w:num w:numId="6" w16cid:durableId="1393113795">
    <w:abstractNumId w:val="24"/>
  </w:num>
  <w:num w:numId="7" w16cid:durableId="994917356">
    <w:abstractNumId w:val="2"/>
  </w:num>
  <w:num w:numId="8" w16cid:durableId="1155759563">
    <w:abstractNumId w:val="28"/>
  </w:num>
  <w:num w:numId="9" w16cid:durableId="1226793964">
    <w:abstractNumId w:val="3"/>
  </w:num>
  <w:num w:numId="10" w16cid:durableId="1430076322">
    <w:abstractNumId w:val="23"/>
  </w:num>
  <w:num w:numId="11" w16cid:durableId="2051298895">
    <w:abstractNumId w:val="19"/>
  </w:num>
  <w:num w:numId="12" w16cid:durableId="1687512205">
    <w:abstractNumId w:val="11"/>
  </w:num>
  <w:num w:numId="13" w16cid:durableId="1297643496">
    <w:abstractNumId w:val="18"/>
  </w:num>
  <w:num w:numId="14" w16cid:durableId="1366831596">
    <w:abstractNumId w:val="12"/>
  </w:num>
  <w:num w:numId="15" w16cid:durableId="662780810">
    <w:abstractNumId w:val="5"/>
  </w:num>
  <w:num w:numId="16" w16cid:durableId="1628900731">
    <w:abstractNumId w:val="20"/>
  </w:num>
  <w:num w:numId="17" w16cid:durableId="1729718290">
    <w:abstractNumId w:val="27"/>
  </w:num>
  <w:num w:numId="18" w16cid:durableId="216356549">
    <w:abstractNumId w:val="6"/>
  </w:num>
  <w:num w:numId="19" w16cid:durableId="369260342">
    <w:abstractNumId w:val="9"/>
  </w:num>
  <w:num w:numId="20" w16cid:durableId="1044792327">
    <w:abstractNumId w:val="29"/>
  </w:num>
  <w:num w:numId="21" w16cid:durableId="1005471922">
    <w:abstractNumId w:val="1"/>
  </w:num>
  <w:num w:numId="22" w16cid:durableId="1764254582">
    <w:abstractNumId w:val="7"/>
  </w:num>
  <w:num w:numId="23" w16cid:durableId="879168552">
    <w:abstractNumId w:val="21"/>
    <w:lvlOverride w:ilvl="0">
      <w:startOverride w:val="1"/>
    </w:lvlOverride>
  </w:num>
  <w:num w:numId="24" w16cid:durableId="1224678797">
    <w:abstractNumId w:val="16"/>
  </w:num>
  <w:num w:numId="25" w16cid:durableId="1521511244">
    <w:abstractNumId w:val="21"/>
    <w:lvlOverride w:ilvl="0">
      <w:startOverride w:val="1"/>
    </w:lvlOverride>
  </w:num>
  <w:num w:numId="26" w16cid:durableId="1862696221">
    <w:abstractNumId w:val="21"/>
    <w:lvlOverride w:ilvl="0">
      <w:startOverride w:val="1"/>
    </w:lvlOverride>
  </w:num>
  <w:num w:numId="27" w16cid:durableId="1512260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3837764">
    <w:abstractNumId w:val="21"/>
    <w:lvlOverride w:ilvl="0">
      <w:startOverride w:val="1"/>
    </w:lvlOverride>
  </w:num>
  <w:num w:numId="29" w16cid:durableId="1981574779">
    <w:abstractNumId w:val="17"/>
  </w:num>
  <w:num w:numId="30" w16cid:durableId="1789931940">
    <w:abstractNumId w:val="8"/>
  </w:num>
  <w:num w:numId="31" w16cid:durableId="552081628">
    <w:abstractNumId w:val="21"/>
    <w:lvlOverride w:ilvl="0">
      <w:startOverride w:val="1"/>
    </w:lvlOverride>
  </w:num>
  <w:num w:numId="32" w16cid:durableId="1244297022">
    <w:abstractNumId w:val="26"/>
  </w:num>
  <w:num w:numId="33" w16cid:durableId="607587956">
    <w:abstractNumId w:val="25"/>
  </w:num>
  <w:num w:numId="34" w16cid:durableId="509417533">
    <w:abstractNumId w:val="15"/>
  </w:num>
  <w:num w:numId="35" w16cid:durableId="1578588393">
    <w:abstractNumId w:val="0"/>
  </w:num>
  <w:num w:numId="36" w16cid:durableId="14734046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F5"/>
    <w:rsid w:val="00000862"/>
    <w:rsid w:val="00000C4F"/>
    <w:rsid w:val="00000D2A"/>
    <w:rsid w:val="00000FB0"/>
    <w:rsid w:val="0000164F"/>
    <w:rsid w:val="000017E7"/>
    <w:rsid w:val="00002548"/>
    <w:rsid w:val="000026AA"/>
    <w:rsid w:val="000029C2"/>
    <w:rsid w:val="00002F34"/>
    <w:rsid w:val="00003697"/>
    <w:rsid w:val="00003C7D"/>
    <w:rsid w:val="0000430F"/>
    <w:rsid w:val="000044A6"/>
    <w:rsid w:val="000046E7"/>
    <w:rsid w:val="00004B13"/>
    <w:rsid w:val="00004E34"/>
    <w:rsid w:val="000063C8"/>
    <w:rsid w:val="0000646E"/>
    <w:rsid w:val="0000670C"/>
    <w:rsid w:val="0000707B"/>
    <w:rsid w:val="00007128"/>
    <w:rsid w:val="00007329"/>
    <w:rsid w:val="000076CF"/>
    <w:rsid w:val="00007D79"/>
    <w:rsid w:val="00007F82"/>
    <w:rsid w:val="000102C9"/>
    <w:rsid w:val="0001080A"/>
    <w:rsid w:val="0001247E"/>
    <w:rsid w:val="0001372C"/>
    <w:rsid w:val="00013A78"/>
    <w:rsid w:val="00013C19"/>
    <w:rsid w:val="00013EA3"/>
    <w:rsid w:val="000147C7"/>
    <w:rsid w:val="00015332"/>
    <w:rsid w:val="00015636"/>
    <w:rsid w:val="00015B40"/>
    <w:rsid w:val="00015DB4"/>
    <w:rsid w:val="00016C6B"/>
    <w:rsid w:val="00017206"/>
    <w:rsid w:val="000172F0"/>
    <w:rsid w:val="000177C9"/>
    <w:rsid w:val="00017878"/>
    <w:rsid w:val="0002031C"/>
    <w:rsid w:val="0002060F"/>
    <w:rsid w:val="00020B47"/>
    <w:rsid w:val="000212AA"/>
    <w:rsid w:val="000214F1"/>
    <w:rsid w:val="00021860"/>
    <w:rsid w:val="00021ABE"/>
    <w:rsid w:val="0002219A"/>
    <w:rsid w:val="00022DCA"/>
    <w:rsid w:val="000233B2"/>
    <w:rsid w:val="00023470"/>
    <w:rsid w:val="00023931"/>
    <w:rsid w:val="00023C80"/>
    <w:rsid w:val="00023CE2"/>
    <w:rsid w:val="000242B9"/>
    <w:rsid w:val="00024979"/>
    <w:rsid w:val="000249CE"/>
    <w:rsid w:val="00024B79"/>
    <w:rsid w:val="00024EBB"/>
    <w:rsid w:val="00024F89"/>
    <w:rsid w:val="00026120"/>
    <w:rsid w:val="000263D2"/>
    <w:rsid w:val="00026499"/>
    <w:rsid w:val="00026983"/>
    <w:rsid w:val="00026987"/>
    <w:rsid w:val="00026F47"/>
    <w:rsid w:val="0002795B"/>
    <w:rsid w:val="00027A9C"/>
    <w:rsid w:val="00027E56"/>
    <w:rsid w:val="00030E5C"/>
    <w:rsid w:val="00030ED3"/>
    <w:rsid w:val="0003144A"/>
    <w:rsid w:val="00032292"/>
    <w:rsid w:val="000329A3"/>
    <w:rsid w:val="00032DE1"/>
    <w:rsid w:val="00032EDC"/>
    <w:rsid w:val="00032FCA"/>
    <w:rsid w:val="00033805"/>
    <w:rsid w:val="0003393B"/>
    <w:rsid w:val="00033AE0"/>
    <w:rsid w:val="00033D7A"/>
    <w:rsid w:val="000341C8"/>
    <w:rsid w:val="000346D6"/>
    <w:rsid w:val="00034CF4"/>
    <w:rsid w:val="00034D7D"/>
    <w:rsid w:val="00034E1A"/>
    <w:rsid w:val="000354AD"/>
    <w:rsid w:val="00035C55"/>
    <w:rsid w:val="00036039"/>
    <w:rsid w:val="00036597"/>
    <w:rsid w:val="00036E2E"/>
    <w:rsid w:val="00037F90"/>
    <w:rsid w:val="000401B3"/>
    <w:rsid w:val="000408A1"/>
    <w:rsid w:val="00040A01"/>
    <w:rsid w:val="00041038"/>
    <w:rsid w:val="00042982"/>
    <w:rsid w:val="00042D36"/>
    <w:rsid w:val="00042D94"/>
    <w:rsid w:val="000434E4"/>
    <w:rsid w:val="00043973"/>
    <w:rsid w:val="00044004"/>
    <w:rsid w:val="00044398"/>
    <w:rsid w:val="00044999"/>
    <w:rsid w:val="00044D5E"/>
    <w:rsid w:val="00045512"/>
    <w:rsid w:val="00045588"/>
    <w:rsid w:val="00045A97"/>
    <w:rsid w:val="00045BE6"/>
    <w:rsid w:val="00046646"/>
    <w:rsid w:val="00047509"/>
    <w:rsid w:val="00047927"/>
    <w:rsid w:val="00047DAC"/>
    <w:rsid w:val="00050572"/>
    <w:rsid w:val="0005089C"/>
    <w:rsid w:val="000509E6"/>
    <w:rsid w:val="000513C6"/>
    <w:rsid w:val="000516CB"/>
    <w:rsid w:val="000517EB"/>
    <w:rsid w:val="00051866"/>
    <w:rsid w:val="0005202E"/>
    <w:rsid w:val="000521FD"/>
    <w:rsid w:val="00052387"/>
    <w:rsid w:val="0005309D"/>
    <w:rsid w:val="000533D4"/>
    <w:rsid w:val="000535F9"/>
    <w:rsid w:val="00053E2F"/>
    <w:rsid w:val="0005418F"/>
    <w:rsid w:val="00054205"/>
    <w:rsid w:val="00054613"/>
    <w:rsid w:val="000547EA"/>
    <w:rsid w:val="0005490D"/>
    <w:rsid w:val="00054B9B"/>
    <w:rsid w:val="0005508C"/>
    <w:rsid w:val="000555D3"/>
    <w:rsid w:val="000557AA"/>
    <w:rsid w:val="00055A7F"/>
    <w:rsid w:val="00055AC3"/>
    <w:rsid w:val="00055B61"/>
    <w:rsid w:val="00055E8C"/>
    <w:rsid w:val="00055F75"/>
    <w:rsid w:val="000565FB"/>
    <w:rsid w:val="00056A93"/>
    <w:rsid w:val="00056EE2"/>
    <w:rsid w:val="00057415"/>
    <w:rsid w:val="00057573"/>
    <w:rsid w:val="000575A8"/>
    <w:rsid w:val="00057994"/>
    <w:rsid w:val="00057E83"/>
    <w:rsid w:val="000605BC"/>
    <w:rsid w:val="00060CAF"/>
    <w:rsid w:val="00060D54"/>
    <w:rsid w:val="00061299"/>
    <w:rsid w:val="0006137A"/>
    <w:rsid w:val="00061445"/>
    <w:rsid w:val="000627A6"/>
    <w:rsid w:val="000627B7"/>
    <w:rsid w:val="00062A38"/>
    <w:rsid w:val="00063EA5"/>
    <w:rsid w:val="000648AF"/>
    <w:rsid w:val="00064E31"/>
    <w:rsid w:val="00065E18"/>
    <w:rsid w:val="00065EAF"/>
    <w:rsid w:val="00066380"/>
    <w:rsid w:val="0006657B"/>
    <w:rsid w:val="00066CB2"/>
    <w:rsid w:val="000670F0"/>
    <w:rsid w:val="000678AA"/>
    <w:rsid w:val="00067F58"/>
    <w:rsid w:val="00070151"/>
    <w:rsid w:val="00070894"/>
    <w:rsid w:val="0007132A"/>
    <w:rsid w:val="0007157C"/>
    <w:rsid w:val="00071B1A"/>
    <w:rsid w:val="00071C15"/>
    <w:rsid w:val="00071C66"/>
    <w:rsid w:val="00071F6F"/>
    <w:rsid w:val="00072963"/>
    <w:rsid w:val="00072ABC"/>
    <w:rsid w:val="000758A7"/>
    <w:rsid w:val="0007636D"/>
    <w:rsid w:val="000763DD"/>
    <w:rsid w:val="000766A0"/>
    <w:rsid w:val="00076721"/>
    <w:rsid w:val="00077BF2"/>
    <w:rsid w:val="000800DA"/>
    <w:rsid w:val="00080169"/>
    <w:rsid w:val="00080507"/>
    <w:rsid w:val="00080AC9"/>
    <w:rsid w:val="00080DA3"/>
    <w:rsid w:val="000816EB"/>
    <w:rsid w:val="00081CB7"/>
    <w:rsid w:val="00081D0A"/>
    <w:rsid w:val="00082396"/>
    <w:rsid w:val="0008244B"/>
    <w:rsid w:val="00082653"/>
    <w:rsid w:val="000826D8"/>
    <w:rsid w:val="00082899"/>
    <w:rsid w:val="0008340B"/>
    <w:rsid w:val="0008349B"/>
    <w:rsid w:val="00083541"/>
    <w:rsid w:val="00083F92"/>
    <w:rsid w:val="0008442D"/>
    <w:rsid w:val="00084597"/>
    <w:rsid w:val="000845B7"/>
    <w:rsid w:val="00084664"/>
    <w:rsid w:val="000846B0"/>
    <w:rsid w:val="00084725"/>
    <w:rsid w:val="00084F9D"/>
    <w:rsid w:val="00084FCC"/>
    <w:rsid w:val="0008518F"/>
    <w:rsid w:val="00085236"/>
    <w:rsid w:val="0008575B"/>
    <w:rsid w:val="00085AF6"/>
    <w:rsid w:val="00085DD6"/>
    <w:rsid w:val="00086C62"/>
    <w:rsid w:val="00086CF6"/>
    <w:rsid w:val="00086ECC"/>
    <w:rsid w:val="000875BF"/>
    <w:rsid w:val="00087E95"/>
    <w:rsid w:val="0009026F"/>
    <w:rsid w:val="000908C9"/>
    <w:rsid w:val="00090A9D"/>
    <w:rsid w:val="000913F7"/>
    <w:rsid w:val="00091468"/>
    <w:rsid w:val="000914EE"/>
    <w:rsid w:val="000919B0"/>
    <w:rsid w:val="00092458"/>
    <w:rsid w:val="00092E0F"/>
    <w:rsid w:val="0009428E"/>
    <w:rsid w:val="000943CB"/>
    <w:rsid w:val="0009446C"/>
    <w:rsid w:val="00094638"/>
    <w:rsid w:val="000947D0"/>
    <w:rsid w:val="00094831"/>
    <w:rsid w:val="000961CD"/>
    <w:rsid w:val="000963C0"/>
    <w:rsid w:val="00096799"/>
    <w:rsid w:val="000968CB"/>
    <w:rsid w:val="00096CB6"/>
    <w:rsid w:val="00096D8C"/>
    <w:rsid w:val="000978E5"/>
    <w:rsid w:val="000A0368"/>
    <w:rsid w:val="000A049F"/>
    <w:rsid w:val="000A0E8F"/>
    <w:rsid w:val="000A0EA8"/>
    <w:rsid w:val="000A1C75"/>
    <w:rsid w:val="000A1D77"/>
    <w:rsid w:val="000A235E"/>
    <w:rsid w:val="000A2A11"/>
    <w:rsid w:val="000A3732"/>
    <w:rsid w:val="000A37C3"/>
    <w:rsid w:val="000A39C6"/>
    <w:rsid w:val="000A3F6E"/>
    <w:rsid w:val="000A4375"/>
    <w:rsid w:val="000A4B07"/>
    <w:rsid w:val="000A4B0C"/>
    <w:rsid w:val="000A5314"/>
    <w:rsid w:val="000A5432"/>
    <w:rsid w:val="000A586D"/>
    <w:rsid w:val="000A5C81"/>
    <w:rsid w:val="000A65AB"/>
    <w:rsid w:val="000A68B9"/>
    <w:rsid w:val="000A6A2E"/>
    <w:rsid w:val="000A6B64"/>
    <w:rsid w:val="000A6C63"/>
    <w:rsid w:val="000A6DF2"/>
    <w:rsid w:val="000A78E3"/>
    <w:rsid w:val="000A7F9A"/>
    <w:rsid w:val="000B0DE3"/>
    <w:rsid w:val="000B100E"/>
    <w:rsid w:val="000B11A8"/>
    <w:rsid w:val="000B126B"/>
    <w:rsid w:val="000B12B3"/>
    <w:rsid w:val="000B12E7"/>
    <w:rsid w:val="000B1C1E"/>
    <w:rsid w:val="000B296C"/>
    <w:rsid w:val="000B3002"/>
    <w:rsid w:val="000B36E8"/>
    <w:rsid w:val="000B462B"/>
    <w:rsid w:val="000B49AB"/>
    <w:rsid w:val="000B5331"/>
    <w:rsid w:val="000B5778"/>
    <w:rsid w:val="000B59FF"/>
    <w:rsid w:val="000B629A"/>
    <w:rsid w:val="000B63D1"/>
    <w:rsid w:val="000B68C4"/>
    <w:rsid w:val="000B6C9D"/>
    <w:rsid w:val="000B6E26"/>
    <w:rsid w:val="000B723B"/>
    <w:rsid w:val="000B773B"/>
    <w:rsid w:val="000C018C"/>
    <w:rsid w:val="000C0B65"/>
    <w:rsid w:val="000C0FA6"/>
    <w:rsid w:val="000C1ABD"/>
    <w:rsid w:val="000C213E"/>
    <w:rsid w:val="000C308F"/>
    <w:rsid w:val="000C3607"/>
    <w:rsid w:val="000C3784"/>
    <w:rsid w:val="000C38BC"/>
    <w:rsid w:val="000C526F"/>
    <w:rsid w:val="000C5362"/>
    <w:rsid w:val="000C54B5"/>
    <w:rsid w:val="000C643E"/>
    <w:rsid w:val="000C6CE9"/>
    <w:rsid w:val="000C6D6F"/>
    <w:rsid w:val="000C77E3"/>
    <w:rsid w:val="000C7A06"/>
    <w:rsid w:val="000C7FF8"/>
    <w:rsid w:val="000D02B7"/>
    <w:rsid w:val="000D09C9"/>
    <w:rsid w:val="000D0F61"/>
    <w:rsid w:val="000D13A8"/>
    <w:rsid w:val="000D15A6"/>
    <w:rsid w:val="000D1601"/>
    <w:rsid w:val="000D28A0"/>
    <w:rsid w:val="000D308F"/>
    <w:rsid w:val="000D3452"/>
    <w:rsid w:val="000D346F"/>
    <w:rsid w:val="000D38C3"/>
    <w:rsid w:val="000D4083"/>
    <w:rsid w:val="000D4441"/>
    <w:rsid w:val="000D46AD"/>
    <w:rsid w:val="000D49AB"/>
    <w:rsid w:val="000D4D43"/>
    <w:rsid w:val="000D4F1C"/>
    <w:rsid w:val="000D4F86"/>
    <w:rsid w:val="000D558E"/>
    <w:rsid w:val="000D56A1"/>
    <w:rsid w:val="000D588D"/>
    <w:rsid w:val="000D63F0"/>
    <w:rsid w:val="000D6810"/>
    <w:rsid w:val="000D69AA"/>
    <w:rsid w:val="000D70DB"/>
    <w:rsid w:val="000E0167"/>
    <w:rsid w:val="000E0505"/>
    <w:rsid w:val="000E05FE"/>
    <w:rsid w:val="000E0722"/>
    <w:rsid w:val="000E0D98"/>
    <w:rsid w:val="000E1324"/>
    <w:rsid w:val="000E13F4"/>
    <w:rsid w:val="000E1B21"/>
    <w:rsid w:val="000E1B2E"/>
    <w:rsid w:val="000E3695"/>
    <w:rsid w:val="000E3D42"/>
    <w:rsid w:val="000E3F46"/>
    <w:rsid w:val="000E4206"/>
    <w:rsid w:val="000E42C9"/>
    <w:rsid w:val="000E4DD3"/>
    <w:rsid w:val="000E4F6F"/>
    <w:rsid w:val="000E5010"/>
    <w:rsid w:val="000E50A9"/>
    <w:rsid w:val="000E52A3"/>
    <w:rsid w:val="000E5DE1"/>
    <w:rsid w:val="000E5FDF"/>
    <w:rsid w:val="000E6034"/>
    <w:rsid w:val="000E6537"/>
    <w:rsid w:val="000E7CF9"/>
    <w:rsid w:val="000F0D82"/>
    <w:rsid w:val="000F1755"/>
    <w:rsid w:val="000F1DC7"/>
    <w:rsid w:val="000F287E"/>
    <w:rsid w:val="000F2A19"/>
    <w:rsid w:val="000F2B75"/>
    <w:rsid w:val="000F2C45"/>
    <w:rsid w:val="000F30AB"/>
    <w:rsid w:val="000F341F"/>
    <w:rsid w:val="000F3EC8"/>
    <w:rsid w:val="000F4226"/>
    <w:rsid w:val="000F422D"/>
    <w:rsid w:val="000F4349"/>
    <w:rsid w:val="000F5336"/>
    <w:rsid w:val="000F59D7"/>
    <w:rsid w:val="000F7BA5"/>
    <w:rsid w:val="000F7C87"/>
    <w:rsid w:val="000F7F23"/>
    <w:rsid w:val="00100360"/>
    <w:rsid w:val="001003D7"/>
    <w:rsid w:val="00100B0D"/>
    <w:rsid w:val="0010154D"/>
    <w:rsid w:val="00101755"/>
    <w:rsid w:val="00101BDE"/>
    <w:rsid w:val="001026F7"/>
    <w:rsid w:val="0010283E"/>
    <w:rsid w:val="001028CB"/>
    <w:rsid w:val="00102AB9"/>
    <w:rsid w:val="001031BD"/>
    <w:rsid w:val="001032E6"/>
    <w:rsid w:val="00103497"/>
    <w:rsid w:val="001034A7"/>
    <w:rsid w:val="0010493C"/>
    <w:rsid w:val="0010549C"/>
    <w:rsid w:val="001058C3"/>
    <w:rsid w:val="00105928"/>
    <w:rsid w:val="00105AE3"/>
    <w:rsid w:val="00105BCA"/>
    <w:rsid w:val="00105BFC"/>
    <w:rsid w:val="00106F12"/>
    <w:rsid w:val="001077CD"/>
    <w:rsid w:val="00107A20"/>
    <w:rsid w:val="00110271"/>
    <w:rsid w:val="00110D9B"/>
    <w:rsid w:val="00110E14"/>
    <w:rsid w:val="001110CD"/>
    <w:rsid w:val="00111213"/>
    <w:rsid w:val="00111F09"/>
    <w:rsid w:val="00112266"/>
    <w:rsid w:val="00112E84"/>
    <w:rsid w:val="00113067"/>
    <w:rsid w:val="001130A3"/>
    <w:rsid w:val="0011321B"/>
    <w:rsid w:val="0011348F"/>
    <w:rsid w:val="001138B9"/>
    <w:rsid w:val="00113C36"/>
    <w:rsid w:val="00113EED"/>
    <w:rsid w:val="001140B1"/>
    <w:rsid w:val="001140BA"/>
    <w:rsid w:val="001149AD"/>
    <w:rsid w:val="0011528D"/>
    <w:rsid w:val="0011594F"/>
    <w:rsid w:val="00115991"/>
    <w:rsid w:val="00115D6C"/>
    <w:rsid w:val="00116352"/>
    <w:rsid w:val="001163F9"/>
    <w:rsid w:val="001164FA"/>
    <w:rsid w:val="00116EDA"/>
    <w:rsid w:val="00116EF2"/>
    <w:rsid w:val="0011739D"/>
    <w:rsid w:val="00117457"/>
    <w:rsid w:val="001209BA"/>
    <w:rsid w:val="00121367"/>
    <w:rsid w:val="00121664"/>
    <w:rsid w:val="00121952"/>
    <w:rsid w:val="00122676"/>
    <w:rsid w:val="001227DF"/>
    <w:rsid w:val="00122BD5"/>
    <w:rsid w:val="00122F45"/>
    <w:rsid w:val="00123355"/>
    <w:rsid w:val="001237B3"/>
    <w:rsid w:val="0012446B"/>
    <w:rsid w:val="00124644"/>
    <w:rsid w:val="001248CD"/>
    <w:rsid w:val="001252F1"/>
    <w:rsid w:val="0012538B"/>
    <w:rsid w:val="00125421"/>
    <w:rsid w:val="00125729"/>
    <w:rsid w:val="00125AA9"/>
    <w:rsid w:val="00126492"/>
    <w:rsid w:val="00126541"/>
    <w:rsid w:val="00126677"/>
    <w:rsid w:val="00126BD5"/>
    <w:rsid w:val="00126FB0"/>
    <w:rsid w:val="001271BF"/>
    <w:rsid w:val="0012767A"/>
    <w:rsid w:val="00130641"/>
    <w:rsid w:val="001308F0"/>
    <w:rsid w:val="00130D8C"/>
    <w:rsid w:val="00130EA5"/>
    <w:rsid w:val="00130FA5"/>
    <w:rsid w:val="00131133"/>
    <w:rsid w:val="00131579"/>
    <w:rsid w:val="001318C3"/>
    <w:rsid w:val="00132C5F"/>
    <w:rsid w:val="00132D69"/>
    <w:rsid w:val="0013324F"/>
    <w:rsid w:val="001333B2"/>
    <w:rsid w:val="0013359B"/>
    <w:rsid w:val="00133F79"/>
    <w:rsid w:val="001342DB"/>
    <w:rsid w:val="001345B3"/>
    <w:rsid w:val="00134F7C"/>
    <w:rsid w:val="00135702"/>
    <w:rsid w:val="00135D4A"/>
    <w:rsid w:val="001363EE"/>
    <w:rsid w:val="0013665E"/>
    <w:rsid w:val="00136682"/>
    <w:rsid w:val="00136BFC"/>
    <w:rsid w:val="00137157"/>
    <w:rsid w:val="00137E5E"/>
    <w:rsid w:val="00140179"/>
    <w:rsid w:val="0014023A"/>
    <w:rsid w:val="00140395"/>
    <w:rsid w:val="001409D5"/>
    <w:rsid w:val="00140C2D"/>
    <w:rsid w:val="001410CC"/>
    <w:rsid w:val="00141AB1"/>
    <w:rsid w:val="00142093"/>
    <w:rsid w:val="00142461"/>
    <w:rsid w:val="00142C33"/>
    <w:rsid w:val="00142D95"/>
    <w:rsid w:val="00143A3D"/>
    <w:rsid w:val="00143B48"/>
    <w:rsid w:val="00143DC1"/>
    <w:rsid w:val="00143F3A"/>
    <w:rsid w:val="00143F51"/>
    <w:rsid w:val="001444CC"/>
    <w:rsid w:val="001446BD"/>
    <w:rsid w:val="00144D88"/>
    <w:rsid w:val="00144EEB"/>
    <w:rsid w:val="00144F50"/>
    <w:rsid w:val="00145106"/>
    <w:rsid w:val="00145141"/>
    <w:rsid w:val="001451E2"/>
    <w:rsid w:val="0014529E"/>
    <w:rsid w:val="0014599B"/>
    <w:rsid w:val="00145FD3"/>
    <w:rsid w:val="00146217"/>
    <w:rsid w:val="001462EC"/>
    <w:rsid w:val="001464DA"/>
    <w:rsid w:val="0014653A"/>
    <w:rsid w:val="001473FA"/>
    <w:rsid w:val="0015021B"/>
    <w:rsid w:val="00150D88"/>
    <w:rsid w:val="00150DE2"/>
    <w:rsid w:val="001513C7"/>
    <w:rsid w:val="00151C0E"/>
    <w:rsid w:val="00151F55"/>
    <w:rsid w:val="001520DA"/>
    <w:rsid w:val="00152147"/>
    <w:rsid w:val="00153B5E"/>
    <w:rsid w:val="00154653"/>
    <w:rsid w:val="00154CA0"/>
    <w:rsid w:val="001557E5"/>
    <w:rsid w:val="00155BB8"/>
    <w:rsid w:val="00155E1B"/>
    <w:rsid w:val="00156177"/>
    <w:rsid w:val="0015633B"/>
    <w:rsid w:val="0015637C"/>
    <w:rsid w:val="001568CB"/>
    <w:rsid w:val="00156A08"/>
    <w:rsid w:val="0015737D"/>
    <w:rsid w:val="00157B12"/>
    <w:rsid w:val="00157DDD"/>
    <w:rsid w:val="001602F4"/>
    <w:rsid w:val="00160366"/>
    <w:rsid w:val="00161C6A"/>
    <w:rsid w:val="00161DE4"/>
    <w:rsid w:val="00161F19"/>
    <w:rsid w:val="00162CAD"/>
    <w:rsid w:val="00162EF5"/>
    <w:rsid w:val="001631F1"/>
    <w:rsid w:val="00163301"/>
    <w:rsid w:val="0016395E"/>
    <w:rsid w:val="00164031"/>
    <w:rsid w:val="001640F9"/>
    <w:rsid w:val="00164359"/>
    <w:rsid w:val="001646A4"/>
    <w:rsid w:val="00164825"/>
    <w:rsid w:val="00164A75"/>
    <w:rsid w:val="00164E79"/>
    <w:rsid w:val="00166263"/>
    <w:rsid w:val="0016645E"/>
    <w:rsid w:val="00166D44"/>
    <w:rsid w:val="0016789A"/>
    <w:rsid w:val="00167A5F"/>
    <w:rsid w:val="00167BB2"/>
    <w:rsid w:val="001708C0"/>
    <w:rsid w:val="00170D1B"/>
    <w:rsid w:val="001714FA"/>
    <w:rsid w:val="0017173E"/>
    <w:rsid w:val="00171C8E"/>
    <w:rsid w:val="001728CC"/>
    <w:rsid w:val="0017295B"/>
    <w:rsid w:val="001729E2"/>
    <w:rsid w:val="00172FC2"/>
    <w:rsid w:val="00173BF7"/>
    <w:rsid w:val="00173C38"/>
    <w:rsid w:val="00174053"/>
    <w:rsid w:val="00174740"/>
    <w:rsid w:val="00174813"/>
    <w:rsid w:val="0017563F"/>
    <w:rsid w:val="00176932"/>
    <w:rsid w:val="0017718D"/>
    <w:rsid w:val="0017726F"/>
    <w:rsid w:val="0017776D"/>
    <w:rsid w:val="001805BB"/>
    <w:rsid w:val="0018091C"/>
    <w:rsid w:val="00180A75"/>
    <w:rsid w:val="00180C05"/>
    <w:rsid w:val="00180D77"/>
    <w:rsid w:val="001812D9"/>
    <w:rsid w:val="001818E1"/>
    <w:rsid w:val="00181CC6"/>
    <w:rsid w:val="00181DFB"/>
    <w:rsid w:val="00182286"/>
    <w:rsid w:val="00182A1D"/>
    <w:rsid w:val="00182EC2"/>
    <w:rsid w:val="0018337D"/>
    <w:rsid w:val="00183A83"/>
    <w:rsid w:val="00183E9B"/>
    <w:rsid w:val="0018421A"/>
    <w:rsid w:val="001851A2"/>
    <w:rsid w:val="001852C3"/>
    <w:rsid w:val="00185719"/>
    <w:rsid w:val="001870CE"/>
    <w:rsid w:val="001877D9"/>
    <w:rsid w:val="00187BF1"/>
    <w:rsid w:val="00190464"/>
    <w:rsid w:val="0019073C"/>
    <w:rsid w:val="00191CE2"/>
    <w:rsid w:val="00191E66"/>
    <w:rsid w:val="00192902"/>
    <w:rsid w:val="001930AE"/>
    <w:rsid w:val="0019390D"/>
    <w:rsid w:val="001943A6"/>
    <w:rsid w:val="001946ED"/>
    <w:rsid w:val="00194866"/>
    <w:rsid w:val="00194A66"/>
    <w:rsid w:val="00194DDC"/>
    <w:rsid w:val="001952E6"/>
    <w:rsid w:val="00195506"/>
    <w:rsid w:val="00195F66"/>
    <w:rsid w:val="0019680C"/>
    <w:rsid w:val="00196F22"/>
    <w:rsid w:val="00197593"/>
    <w:rsid w:val="001976A8"/>
    <w:rsid w:val="00197F4F"/>
    <w:rsid w:val="001A0019"/>
    <w:rsid w:val="001A0243"/>
    <w:rsid w:val="001A0B7C"/>
    <w:rsid w:val="001A0E2D"/>
    <w:rsid w:val="001A1056"/>
    <w:rsid w:val="001A1B5F"/>
    <w:rsid w:val="001A1CC9"/>
    <w:rsid w:val="001A1F44"/>
    <w:rsid w:val="001A2996"/>
    <w:rsid w:val="001A2BBA"/>
    <w:rsid w:val="001A3031"/>
    <w:rsid w:val="001A312F"/>
    <w:rsid w:val="001A3F29"/>
    <w:rsid w:val="001A5284"/>
    <w:rsid w:val="001A5B9A"/>
    <w:rsid w:val="001A5D9A"/>
    <w:rsid w:val="001A6E76"/>
    <w:rsid w:val="001A7D17"/>
    <w:rsid w:val="001B00E7"/>
    <w:rsid w:val="001B11DE"/>
    <w:rsid w:val="001B173C"/>
    <w:rsid w:val="001B1B01"/>
    <w:rsid w:val="001B1FE3"/>
    <w:rsid w:val="001B20AD"/>
    <w:rsid w:val="001B210B"/>
    <w:rsid w:val="001B24F4"/>
    <w:rsid w:val="001B2650"/>
    <w:rsid w:val="001B2DF2"/>
    <w:rsid w:val="001B2EB9"/>
    <w:rsid w:val="001B371E"/>
    <w:rsid w:val="001B3C21"/>
    <w:rsid w:val="001B3E73"/>
    <w:rsid w:val="001B3F48"/>
    <w:rsid w:val="001B4364"/>
    <w:rsid w:val="001B441C"/>
    <w:rsid w:val="001B4678"/>
    <w:rsid w:val="001B4DF6"/>
    <w:rsid w:val="001B4F68"/>
    <w:rsid w:val="001B52D5"/>
    <w:rsid w:val="001B55F2"/>
    <w:rsid w:val="001B6629"/>
    <w:rsid w:val="001B6EA3"/>
    <w:rsid w:val="001B6F80"/>
    <w:rsid w:val="001B78B4"/>
    <w:rsid w:val="001B7998"/>
    <w:rsid w:val="001C0499"/>
    <w:rsid w:val="001C06DE"/>
    <w:rsid w:val="001C088D"/>
    <w:rsid w:val="001C09A9"/>
    <w:rsid w:val="001C354A"/>
    <w:rsid w:val="001C3C63"/>
    <w:rsid w:val="001C4A01"/>
    <w:rsid w:val="001C4D60"/>
    <w:rsid w:val="001C4D81"/>
    <w:rsid w:val="001C5417"/>
    <w:rsid w:val="001C5E0E"/>
    <w:rsid w:val="001C6163"/>
    <w:rsid w:val="001C6C5A"/>
    <w:rsid w:val="001C6D8A"/>
    <w:rsid w:val="001C6DF3"/>
    <w:rsid w:val="001C75BF"/>
    <w:rsid w:val="001C763C"/>
    <w:rsid w:val="001C7EBB"/>
    <w:rsid w:val="001C7EF1"/>
    <w:rsid w:val="001D027C"/>
    <w:rsid w:val="001D0760"/>
    <w:rsid w:val="001D1285"/>
    <w:rsid w:val="001D1D09"/>
    <w:rsid w:val="001D224B"/>
    <w:rsid w:val="001D240B"/>
    <w:rsid w:val="001D274A"/>
    <w:rsid w:val="001D2AF5"/>
    <w:rsid w:val="001D2B3B"/>
    <w:rsid w:val="001D367B"/>
    <w:rsid w:val="001D3834"/>
    <w:rsid w:val="001D3B73"/>
    <w:rsid w:val="001D3F6E"/>
    <w:rsid w:val="001D408B"/>
    <w:rsid w:val="001D4496"/>
    <w:rsid w:val="001D4B02"/>
    <w:rsid w:val="001D4CE9"/>
    <w:rsid w:val="001D5231"/>
    <w:rsid w:val="001D54FC"/>
    <w:rsid w:val="001D56DB"/>
    <w:rsid w:val="001D5787"/>
    <w:rsid w:val="001D6651"/>
    <w:rsid w:val="001D6BCF"/>
    <w:rsid w:val="001D6C84"/>
    <w:rsid w:val="001D73DB"/>
    <w:rsid w:val="001E0034"/>
    <w:rsid w:val="001E01CA"/>
    <w:rsid w:val="001E07A8"/>
    <w:rsid w:val="001E0A54"/>
    <w:rsid w:val="001E0D55"/>
    <w:rsid w:val="001E1781"/>
    <w:rsid w:val="001E18AC"/>
    <w:rsid w:val="001E2DB3"/>
    <w:rsid w:val="001E3266"/>
    <w:rsid w:val="001E3545"/>
    <w:rsid w:val="001E4045"/>
    <w:rsid w:val="001E4A1E"/>
    <w:rsid w:val="001E4BA2"/>
    <w:rsid w:val="001E4E38"/>
    <w:rsid w:val="001E5639"/>
    <w:rsid w:val="001E6483"/>
    <w:rsid w:val="001E6858"/>
    <w:rsid w:val="001E6952"/>
    <w:rsid w:val="001E6FE3"/>
    <w:rsid w:val="001E7932"/>
    <w:rsid w:val="001E7D59"/>
    <w:rsid w:val="001F082E"/>
    <w:rsid w:val="001F086A"/>
    <w:rsid w:val="001F1334"/>
    <w:rsid w:val="001F16A7"/>
    <w:rsid w:val="001F2151"/>
    <w:rsid w:val="001F2B35"/>
    <w:rsid w:val="001F2EE2"/>
    <w:rsid w:val="001F353E"/>
    <w:rsid w:val="001F3547"/>
    <w:rsid w:val="001F3946"/>
    <w:rsid w:val="001F3AB3"/>
    <w:rsid w:val="001F3AE0"/>
    <w:rsid w:val="001F43AB"/>
    <w:rsid w:val="001F47B4"/>
    <w:rsid w:val="001F4F66"/>
    <w:rsid w:val="001F5005"/>
    <w:rsid w:val="001F50A4"/>
    <w:rsid w:val="001F543C"/>
    <w:rsid w:val="001F5C0E"/>
    <w:rsid w:val="001F5E90"/>
    <w:rsid w:val="001F5ED0"/>
    <w:rsid w:val="001F5F55"/>
    <w:rsid w:val="001F60BB"/>
    <w:rsid w:val="001F60E6"/>
    <w:rsid w:val="001F67A4"/>
    <w:rsid w:val="001F6889"/>
    <w:rsid w:val="001F6B87"/>
    <w:rsid w:val="001F7035"/>
    <w:rsid w:val="001F7320"/>
    <w:rsid w:val="001F764C"/>
    <w:rsid w:val="001F78ED"/>
    <w:rsid w:val="001F79B2"/>
    <w:rsid w:val="001F7CD1"/>
    <w:rsid w:val="002000F8"/>
    <w:rsid w:val="00200C40"/>
    <w:rsid w:val="00200CE1"/>
    <w:rsid w:val="0020153C"/>
    <w:rsid w:val="002015CC"/>
    <w:rsid w:val="00201662"/>
    <w:rsid w:val="002019B4"/>
    <w:rsid w:val="0020247F"/>
    <w:rsid w:val="00202702"/>
    <w:rsid w:val="002032B9"/>
    <w:rsid w:val="00203A40"/>
    <w:rsid w:val="002046F4"/>
    <w:rsid w:val="00204BAD"/>
    <w:rsid w:val="00204FE4"/>
    <w:rsid w:val="0020500D"/>
    <w:rsid w:val="00205E6B"/>
    <w:rsid w:val="00205E78"/>
    <w:rsid w:val="002062CD"/>
    <w:rsid w:val="0020644E"/>
    <w:rsid w:val="00206B02"/>
    <w:rsid w:val="00206F26"/>
    <w:rsid w:val="002072C0"/>
    <w:rsid w:val="00207BB8"/>
    <w:rsid w:val="00207DE0"/>
    <w:rsid w:val="00210729"/>
    <w:rsid w:val="0021215A"/>
    <w:rsid w:val="00212934"/>
    <w:rsid w:val="00213B95"/>
    <w:rsid w:val="00213D12"/>
    <w:rsid w:val="00213DB4"/>
    <w:rsid w:val="00213FA4"/>
    <w:rsid w:val="00214853"/>
    <w:rsid w:val="00214956"/>
    <w:rsid w:val="0021554E"/>
    <w:rsid w:val="0021580C"/>
    <w:rsid w:val="002161D6"/>
    <w:rsid w:val="00216D15"/>
    <w:rsid w:val="002178A8"/>
    <w:rsid w:val="00217C47"/>
    <w:rsid w:val="00220044"/>
    <w:rsid w:val="00220AB0"/>
    <w:rsid w:val="00220B3A"/>
    <w:rsid w:val="00220C5A"/>
    <w:rsid w:val="00221204"/>
    <w:rsid w:val="00221BD6"/>
    <w:rsid w:val="00221CD7"/>
    <w:rsid w:val="00221E68"/>
    <w:rsid w:val="0022297D"/>
    <w:rsid w:val="00222B26"/>
    <w:rsid w:val="00222FD4"/>
    <w:rsid w:val="00223BD3"/>
    <w:rsid w:val="00223CF6"/>
    <w:rsid w:val="00224760"/>
    <w:rsid w:val="0022546C"/>
    <w:rsid w:val="002255BA"/>
    <w:rsid w:val="00225776"/>
    <w:rsid w:val="00225A1B"/>
    <w:rsid w:val="00227073"/>
    <w:rsid w:val="0022721F"/>
    <w:rsid w:val="00227B5A"/>
    <w:rsid w:val="00227BF3"/>
    <w:rsid w:val="002300C1"/>
    <w:rsid w:val="0023013D"/>
    <w:rsid w:val="002304F2"/>
    <w:rsid w:val="00230B5A"/>
    <w:rsid w:val="00231451"/>
    <w:rsid w:val="0023196B"/>
    <w:rsid w:val="00231D90"/>
    <w:rsid w:val="00231F4B"/>
    <w:rsid w:val="00231F8E"/>
    <w:rsid w:val="0023217B"/>
    <w:rsid w:val="002325DF"/>
    <w:rsid w:val="002326F7"/>
    <w:rsid w:val="00232E56"/>
    <w:rsid w:val="0023309B"/>
    <w:rsid w:val="002331B3"/>
    <w:rsid w:val="002337A9"/>
    <w:rsid w:val="002341EE"/>
    <w:rsid w:val="00234259"/>
    <w:rsid w:val="00234275"/>
    <w:rsid w:val="00234ABA"/>
    <w:rsid w:val="00234BCE"/>
    <w:rsid w:val="00235384"/>
    <w:rsid w:val="0023654E"/>
    <w:rsid w:val="00236D6A"/>
    <w:rsid w:val="00237029"/>
    <w:rsid w:val="00237100"/>
    <w:rsid w:val="002373B1"/>
    <w:rsid w:val="00237F2F"/>
    <w:rsid w:val="00237F65"/>
    <w:rsid w:val="00240AC5"/>
    <w:rsid w:val="00240E62"/>
    <w:rsid w:val="0024103C"/>
    <w:rsid w:val="0024126F"/>
    <w:rsid w:val="0024147B"/>
    <w:rsid w:val="00241E46"/>
    <w:rsid w:val="002425C1"/>
    <w:rsid w:val="002426F4"/>
    <w:rsid w:val="00242DCB"/>
    <w:rsid w:val="00243327"/>
    <w:rsid w:val="002433A5"/>
    <w:rsid w:val="00243555"/>
    <w:rsid w:val="002438B8"/>
    <w:rsid w:val="00243DDE"/>
    <w:rsid w:val="002440C5"/>
    <w:rsid w:val="002442FF"/>
    <w:rsid w:val="002444F1"/>
    <w:rsid w:val="00244685"/>
    <w:rsid w:val="00245425"/>
    <w:rsid w:val="0024556C"/>
    <w:rsid w:val="002457D5"/>
    <w:rsid w:val="002457FE"/>
    <w:rsid w:val="00245C69"/>
    <w:rsid w:val="00245D38"/>
    <w:rsid w:val="002467A7"/>
    <w:rsid w:val="00246B04"/>
    <w:rsid w:val="00246C01"/>
    <w:rsid w:val="002471B3"/>
    <w:rsid w:val="00247506"/>
    <w:rsid w:val="00247566"/>
    <w:rsid w:val="002475C4"/>
    <w:rsid w:val="002476B7"/>
    <w:rsid w:val="00247705"/>
    <w:rsid w:val="00250748"/>
    <w:rsid w:val="00250886"/>
    <w:rsid w:val="00251083"/>
    <w:rsid w:val="00251C3C"/>
    <w:rsid w:val="00251D45"/>
    <w:rsid w:val="00252012"/>
    <w:rsid w:val="00252290"/>
    <w:rsid w:val="002529B3"/>
    <w:rsid w:val="00252A1C"/>
    <w:rsid w:val="00253F1C"/>
    <w:rsid w:val="00254974"/>
    <w:rsid w:val="00254B27"/>
    <w:rsid w:val="00254BF3"/>
    <w:rsid w:val="00254E35"/>
    <w:rsid w:val="002556EF"/>
    <w:rsid w:val="00255AA3"/>
    <w:rsid w:val="00255F83"/>
    <w:rsid w:val="002562D8"/>
    <w:rsid w:val="00256390"/>
    <w:rsid w:val="002578F4"/>
    <w:rsid w:val="00257E1B"/>
    <w:rsid w:val="00257FA0"/>
    <w:rsid w:val="0026009E"/>
    <w:rsid w:val="002604C9"/>
    <w:rsid w:val="00260BF8"/>
    <w:rsid w:val="00261183"/>
    <w:rsid w:val="002616C2"/>
    <w:rsid w:val="00261770"/>
    <w:rsid w:val="002618AB"/>
    <w:rsid w:val="00261F9B"/>
    <w:rsid w:val="002630C7"/>
    <w:rsid w:val="002634F2"/>
    <w:rsid w:val="00263DAD"/>
    <w:rsid w:val="002648F5"/>
    <w:rsid w:val="0026534A"/>
    <w:rsid w:val="002662DC"/>
    <w:rsid w:val="00266661"/>
    <w:rsid w:val="00267040"/>
    <w:rsid w:val="00267535"/>
    <w:rsid w:val="002679DC"/>
    <w:rsid w:val="00267F2B"/>
    <w:rsid w:val="00270F95"/>
    <w:rsid w:val="00271934"/>
    <w:rsid w:val="00271B4E"/>
    <w:rsid w:val="00271D4A"/>
    <w:rsid w:val="002720C0"/>
    <w:rsid w:val="00272103"/>
    <w:rsid w:val="0027220A"/>
    <w:rsid w:val="002723D1"/>
    <w:rsid w:val="00272F4E"/>
    <w:rsid w:val="0027336E"/>
    <w:rsid w:val="00273843"/>
    <w:rsid w:val="00273BF6"/>
    <w:rsid w:val="00274221"/>
    <w:rsid w:val="002748E4"/>
    <w:rsid w:val="0027492F"/>
    <w:rsid w:val="00274B94"/>
    <w:rsid w:val="0027592D"/>
    <w:rsid w:val="00275CF5"/>
    <w:rsid w:val="00275E81"/>
    <w:rsid w:val="00276451"/>
    <w:rsid w:val="00276C29"/>
    <w:rsid w:val="00277042"/>
    <w:rsid w:val="00277207"/>
    <w:rsid w:val="00277422"/>
    <w:rsid w:val="00277A96"/>
    <w:rsid w:val="00277F42"/>
    <w:rsid w:val="002810B2"/>
    <w:rsid w:val="00281B2A"/>
    <w:rsid w:val="00281F39"/>
    <w:rsid w:val="00281FE6"/>
    <w:rsid w:val="002822D0"/>
    <w:rsid w:val="00282639"/>
    <w:rsid w:val="00282AB4"/>
    <w:rsid w:val="00282EEC"/>
    <w:rsid w:val="00282F88"/>
    <w:rsid w:val="0028301F"/>
    <w:rsid w:val="00283CA8"/>
    <w:rsid w:val="00283E6F"/>
    <w:rsid w:val="00283EFB"/>
    <w:rsid w:val="00284324"/>
    <w:rsid w:val="00285017"/>
    <w:rsid w:val="00285073"/>
    <w:rsid w:val="002852B5"/>
    <w:rsid w:val="0028551D"/>
    <w:rsid w:val="002855F3"/>
    <w:rsid w:val="0028572E"/>
    <w:rsid w:val="002859E2"/>
    <w:rsid w:val="002867C9"/>
    <w:rsid w:val="00286ABA"/>
    <w:rsid w:val="00286F5D"/>
    <w:rsid w:val="00287014"/>
    <w:rsid w:val="00287E41"/>
    <w:rsid w:val="00290B7E"/>
    <w:rsid w:val="00290F89"/>
    <w:rsid w:val="00291323"/>
    <w:rsid w:val="0029146E"/>
    <w:rsid w:val="002914AA"/>
    <w:rsid w:val="002916D1"/>
    <w:rsid w:val="002917F7"/>
    <w:rsid w:val="0029191A"/>
    <w:rsid w:val="002919F7"/>
    <w:rsid w:val="00292173"/>
    <w:rsid w:val="002925BF"/>
    <w:rsid w:val="00292826"/>
    <w:rsid w:val="00293002"/>
    <w:rsid w:val="002936D7"/>
    <w:rsid w:val="002939EE"/>
    <w:rsid w:val="00293AA5"/>
    <w:rsid w:val="0029400B"/>
    <w:rsid w:val="00294603"/>
    <w:rsid w:val="00294BA2"/>
    <w:rsid w:val="00295338"/>
    <w:rsid w:val="00295425"/>
    <w:rsid w:val="00295EFF"/>
    <w:rsid w:val="00296CBB"/>
    <w:rsid w:val="00296EE4"/>
    <w:rsid w:val="00297F02"/>
    <w:rsid w:val="002A03ED"/>
    <w:rsid w:val="002A0623"/>
    <w:rsid w:val="002A0634"/>
    <w:rsid w:val="002A0C8A"/>
    <w:rsid w:val="002A12F4"/>
    <w:rsid w:val="002A1648"/>
    <w:rsid w:val="002A1A00"/>
    <w:rsid w:val="002A273C"/>
    <w:rsid w:val="002A2D2E"/>
    <w:rsid w:val="002A2E78"/>
    <w:rsid w:val="002A3361"/>
    <w:rsid w:val="002A33AB"/>
    <w:rsid w:val="002A3634"/>
    <w:rsid w:val="002A3B0F"/>
    <w:rsid w:val="002A3FC5"/>
    <w:rsid w:val="002A4176"/>
    <w:rsid w:val="002A47FB"/>
    <w:rsid w:val="002A4A29"/>
    <w:rsid w:val="002A6E2E"/>
    <w:rsid w:val="002A6EE6"/>
    <w:rsid w:val="002A7162"/>
    <w:rsid w:val="002A7183"/>
    <w:rsid w:val="002A73F6"/>
    <w:rsid w:val="002B00F0"/>
    <w:rsid w:val="002B03C0"/>
    <w:rsid w:val="002B03FF"/>
    <w:rsid w:val="002B0A4D"/>
    <w:rsid w:val="002B135E"/>
    <w:rsid w:val="002B1CFB"/>
    <w:rsid w:val="002B1D9D"/>
    <w:rsid w:val="002B2011"/>
    <w:rsid w:val="002B22EA"/>
    <w:rsid w:val="002B2774"/>
    <w:rsid w:val="002B2800"/>
    <w:rsid w:val="002B330B"/>
    <w:rsid w:val="002B33E7"/>
    <w:rsid w:val="002B40DE"/>
    <w:rsid w:val="002B5485"/>
    <w:rsid w:val="002B5806"/>
    <w:rsid w:val="002B5B0A"/>
    <w:rsid w:val="002B5BB1"/>
    <w:rsid w:val="002B6531"/>
    <w:rsid w:val="002B6559"/>
    <w:rsid w:val="002B66C1"/>
    <w:rsid w:val="002B6FCE"/>
    <w:rsid w:val="002B70AF"/>
    <w:rsid w:val="002B79CF"/>
    <w:rsid w:val="002B7B97"/>
    <w:rsid w:val="002B7C56"/>
    <w:rsid w:val="002C00E8"/>
    <w:rsid w:val="002C0318"/>
    <w:rsid w:val="002C0A4A"/>
    <w:rsid w:val="002C0BF2"/>
    <w:rsid w:val="002C0FE7"/>
    <w:rsid w:val="002C131F"/>
    <w:rsid w:val="002C2C04"/>
    <w:rsid w:val="002C2F01"/>
    <w:rsid w:val="002C366D"/>
    <w:rsid w:val="002C3702"/>
    <w:rsid w:val="002C46D5"/>
    <w:rsid w:val="002C4CFD"/>
    <w:rsid w:val="002C4D94"/>
    <w:rsid w:val="002C59C9"/>
    <w:rsid w:val="002C612A"/>
    <w:rsid w:val="002C6183"/>
    <w:rsid w:val="002C6304"/>
    <w:rsid w:val="002C6FEF"/>
    <w:rsid w:val="002C78EA"/>
    <w:rsid w:val="002C7A7B"/>
    <w:rsid w:val="002C7AAB"/>
    <w:rsid w:val="002D061B"/>
    <w:rsid w:val="002D06B1"/>
    <w:rsid w:val="002D08F6"/>
    <w:rsid w:val="002D0A84"/>
    <w:rsid w:val="002D2219"/>
    <w:rsid w:val="002D393D"/>
    <w:rsid w:val="002D3CE7"/>
    <w:rsid w:val="002D3D3F"/>
    <w:rsid w:val="002D4105"/>
    <w:rsid w:val="002D4658"/>
    <w:rsid w:val="002D4EAC"/>
    <w:rsid w:val="002D500C"/>
    <w:rsid w:val="002D5200"/>
    <w:rsid w:val="002D54C1"/>
    <w:rsid w:val="002D550C"/>
    <w:rsid w:val="002D58E7"/>
    <w:rsid w:val="002D5F42"/>
    <w:rsid w:val="002D6267"/>
    <w:rsid w:val="002D638F"/>
    <w:rsid w:val="002D657A"/>
    <w:rsid w:val="002D67C7"/>
    <w:rsid w:val="002D6C77"/>
    <w:rsid w:val="002D72FC"/>
    <w:rsid w:val="002D733E"/>
    <w:rsid w:val="002D76D0"/>
    <w:rsid w:val="002D7BD8"/>
    <w:rsid w:val="002D7D01"/>
    <w:rsid w:val="002D7D96"/>
    <w:rsid w:val="002E04B8"/>
    <w:rsid w:val="002E09E5"/>
    <w:rsid w:val="002E11E5"/>
    <w:rsid w:val="002E1466"/>
    <w:rsid w:val="002E2357"/>
    <w:rsid w:val="002E3C2C"/>
    <w:rsid w:val="002E3F58"/>
    <w:rsid w:val="002E481E"/>
    <w:rsid w:val="002E4B29"/>
    <w:rsid w:val="002E4B53"/>
    <w:rsid w:val="002E517A"/>
    <w:rsid w:val="002E520B"/>
    <w:rsid w:val="002E528D"/>
    <w:rsid w:val="002E53C9"/>
    <w:rsid w:val="002E6338"/>
    <w:rsid w:val="002E6548"/>
    <w:rsid w:val="002E65FC"/>
    <w:rsid w:val="002E6684"/>
    <w:rsid w:val="002E6AA0"/>
    <w:rsid w:val="002E6ADE"/>
    <w:rsid w:val="002E6B3A"/>
    <w:rsid w:val="002E6D5A"/>
    <w:rsid w:val="002E6E9F"/>
    <w:rsid w:val="002E747F"/>
    <w:rsid w:val="002E795D"/>
    <w:rsid w:val="002E7A3C"/>
    <w:rsid w:val="002E7B65"/>
    <w:rsid w:val="002F1664"/>
    <w:rsid w:val="002F19FE"/>
    <w:rsid w:val="002F1C50"/>
    <w:rsid w:val="002F2665"/>
    <w:rsid w:val="002F2CA1"/>
    <w:rsid w:val="002F3058"/>
    <w:rsid w:val="002F32A8"/>
    <w:rsid w:val="002F32B1"/>
    <w:rsid w:val="002F34DF"/>
    <w:rsid w:val="002F3779"/>
    <w:rsid w:val="002F385C"/>
    <w:rsid w:val="002F42AF"/>
    <w:rsid w:val="002F4C24"/>
    <w:rsid w:val="002F5341"/>
    <w:rsid w:val="002F53CC"/>
    <w:rsid w:val="002F5AF3"/>
    <w:rsid w:val="002F61DD"/>
    <w:rsid w:val="002F6351"/>
    <w:rsid w:val="002F6497"/>
    <w:rsid w:val="002F661F"/>
    <w:rsid w:val="002F69A5"/>
    <w:rsid w:val="002F69DA"/>
    <w:rsid w:val="002F6D53"/>
    <w:rsid w:val="002F6D8B"/>
    <w:rsid w:val="002F6F89"/>
    <w:rsid w:val="002F6FC6"/>
    <w:rsid w:val="002F742D"/>
    <w:rsid w:val="00301E7C"/>
    <w:rsid w:val="003025D3"/>
    <w:rsid w:val="00302718"/>
    <w:rsid w:val="003030E5"/>
    <w:rsid w:val="003033E7"/>
    <w:rsid w:val="00303E10"/>
    <w:rsid w:val="0030499A"/>
    <w:rsid w:val="0030508B"/>
    <w:rsid w:val="003052A2"/>
    <w:rsid w:val="00305392"/>
    <w:rsid w:val="0030594F"/>
    <w:rsid w:val="0030603B"/>
    <w:rsid w:val="00306138"/>
    <w:rsid w:val="003063F2"/>
    <w:rsid w:val="00306C47"/>
    <w:rsid w:val="003070B5"/>
    <w:rsid w:val="003072C9"/>
    <w:rsid w:val="00310081"/>
    <w:rsid w:val="0031018E"/>
    <w:rsid w:val="0031049C"/>
    <w:rsid w:val="00310A9F"/>
    <w:rsid w:val="00310AAC"/>
    <w:rsid w:val="00310B1A"/>
    <w:rsid w:val="00310B37"/>
    <w:rsid w:val="00310E68"/>
    <w:rsid w:val="00310FE1"/>
    <w:rsid w:val="003118D2"/>
    <w:rsid w:val="00311E69"/>
    <w:rsid w:val="00311F18"/>
    <w:rsid w:val="003121B0"/>
    <w:rsid w:val="00312D44"/>
    <w:rsid w:val="003133B5"/>
    <w:rsid w:val="00313416"/>
    <w:rsid w:val="00313B8E"/>
    <w:rsid w:val="00314241"/>
    <w:rsid w:val="00314711"/>
    <w:rsid w:val="00314B72"/>
    <w:rsid w:val="00314E5A"/>
    <w:rsid w:val="003153C2"/>
    <w:rsid w:val="003157EA"/>
    <w:rsid w:val="00315954"/>
    <w:rsid w:val="00315AD6"/>
    <w:rsid w:val="00315E8A"/>
    <w:rsid w:val="0031767D"/>
    <w:rsid w:val="00317B4F"/>
    <w:rsid w:val="003207B4"/>
    <w:rsid w:val="00321142"/>
    <w:rsid w:val="00321853"/>
    <w:rsid w:val="003220C8"/>
    <w:rsid w:val="00322324"/>
    <w:rsid w:val="0032250A"/>
    <w:rsid w:val="003238CA"/>
    <w:rsid w:val="00323ABE"/>
    <w:rsid w:val="00324202"/>
    <w:rsid w:val="00324360"/>
    <w:rsid w:val="003245C6"/>
    <w:rsid w:val="003245EE"/>
    <w:rsid w:val="00324CE0"/>
    <w:rsid w:val="00324E26"/>
    <w:rsid w:val="00325067"/>
    <w:rsid w:val="00325302"/>
    <w:rsid w:val="00325579"/>
    <w:rsid w:val="00325862"/>
    <w:rsid w:val="00325B17"/>
    <w:rsid w:val="00326754"/>
    <w:rsid w:val="0032676A"/>
    <w:rsid w:val="003269B2"/>
    <w:rsid w:val="00330156"/>
    <w:rsid w:val="003306B2"/>
    <w:rsid w:val="003310F3"/>
    <w:rsid w:val="00331B05"/>
    <w:rsid w:val="00331C79"/>
    <w:rsid w:val="00331CB6"/>
    <w:rsid w:val="00331D4E"/>
    <w:rsid w:val="00331D9F"/>
    <w:rsid w:val="003324DA"/>
    <w:rsid w:val="00332505"/>
    <w:rsid w:val="003333FB"/>
    <w:rsid w:val="0033354B"/>
    <w:rsid w:val="0033363A"/>
    <w:rsid w:val="00333B58"/>
    <w:rsid w:val="00334016"/>
    <w:rsid w:val="00334730"/>
    <w:rsid w:val="003347BC"/>
    <w:rsid w:val="00334973"/>
    <w:rsid w:val="00334C37"/>
    <w:rsid w:val="00334D13"/>
    <w:rsid w:val="0033541C"/>
    <w:rsid w:val="00335425"/>
    <w:rsid w:val="00335466"/>
    <w:rsid w:val="00335758"/>
    <w:rsid w:val="00335DF5"/>
    <w:rsid w:val="00335F4F"/>
    <w:rsid w:val="00336487"/>
    <w:rsid w:val="0033676C"/>
    <w:rsid w:val="00336A9E"/>
    <w:rsid w:val="00336C46"/>
    <w:rsid w:val="00336F35"/>
    <w:rsid w:val="0033740C"/>
    <w:rsid w:val="003379EB"/>
    <w:rsid w:val="003400A9"/>
    <w:rsid w:val="0034043C"/>
    <w:rsid w:val="00340AF4"/>
    <w:rsid w:val="003413A9"/>
    <w:rsid w:val="00341666"/>
    <w:rsid w:val="0034175B"/>
    <w:rsid w:val="00341C02"/>
    <w:rsid w:val="00341D9A"/>
    <w:rsid w:val="003424A2"/>
    <w:rsid w:val="0034287E"/>
    <w:rsid w:val="00342D3B"/>
    <w:rsid w:val="003431A2"/>
    <w:rsid w:val="0034333A"/>
    <w:rsid w:val="00343749"/>
    <w:rsid w:val="00343EA8"/>
    <w:rsid w:val="00343F27"/>
    <w:rsid w:val="00344AC3"/>
    <w:rsid w:val="00345456"/>
    <w:rsid w:val="00345C2F"/>
    <w:rsid w:val="00345E9A"/>
    <w:rsid w:val="00346078"/>
    <w:rsid w:val="00346475"/>
    <w:rsid w:val="00346907"/>
    <w:rsid w:val="00346A6F"/>
    <w:rsid w:val="00346C27"/>
    <w:rsid w:val="0034774A"/>
    <w:rsid w:val="00347816"/>
    <w:rsid w:val="00347E08"/>
    <w:rsid w:val="00347E94"/>
    <w:rsid w:val="003500B5"/>
    <w:rsid w:val="00350249"/>
    <w:rsid w:val="00350397"/>
    <w:rsid w:val="00350401"/>
    <w:rsid w:val="003510C3"/>
    <w:rsid w:val="00351192"/>
    <w:rsid w:val="0035120C"/>
    <w:rsid w:val="003513FA"/>
    <w:rsid w:val="00352101"/>
    <w:rsid w:val="003522B2"/>
    <w:rsid w:val="00352980"/>
    <w:rsid w:val="00352AF8"/>
    <w:rsid w:val="00352CCB"/>
    <w:rsid w:val="00353780"/>
    <w:rsid w:val="00353ECD"/>
    <w:rsid w:val="0035480F"/>
    <w:rsid w:val="00354880"/>
    <w:rsid w:val="0035490E"/>
    <w:rsid w:val="00355B0C"/>
    <w:rsid w:val="00355C2C"/>
    <w:rsid w:val="003562D9"/>
    <w:rsid w:val="0035658C"/>
    <w:rsid w:val="00356774"/>
    <w:rsid w:val="003570B2"/>
    <w:rsid w:val="0035724C"/>
    <w:rsid w:val="00357A73"/>
    <w:rsid w:val="00357B9E"/>
    <w:rsid w:val="00357DED"/>
    <w:rsid w:val="0036064C"/>
    <w:rsid w:val="0036073C"/>
    <w:rsid w:val="00360C0A"/>
    <w:rsid w:val="00361274"/>
    <w:rsid w:val="00361BDF"/>
    <w:rsid w:val="003620BD"/>
    <w:rsid w:val="00362924"/>
    <w:rsid w:val="003630D0"/>
    <w:rsid w:val="003631FF"/>
    <w:rsid w:val="00363798"/>
    <w:rsid w:val="00364D73"/>
    <w:rsid w:val="00364E95"/>
    <w:rsid w:val="00365065"/>
    <w:rsid w:val="0036508A"/>
    <w:rsid w:val="00365271"/>
    <w:rsid w:val="00365417"/>
    <w:rsid w:val="0036549F"/>
    <w:rsid w:val="00365593"/>
    <w:rsid w:val="00365940"/>
    <w:rsid w:val="00365EBD"/>
    <w:rsid w:val="00366003"/>
    <w:rsid w:val="003660ED"/>
    <w:rsid w:val="0036735E"/>
    <w:rsid w:val="0036798F"/>
    <w:rsid w:val="00367BBA"/>
    <w:rsid w:val="00370137"/>
    <w:rsid w:val="003701E1"/>
    <w:rsid w:val="003702DB"/>
    <w:rsid w:val="00370400"/>
    <w:rsid w:val="00370546"/>
    <w:rsid w:val="00370799"/>
    <w:rsid w:val="003707EE"/>
    <w:rsid w:val="0037121B"/>
    <w:rsid w:val="0037124B"/>
    <w:rsid w:val="00371846"/>
    <w:rsid w:val="00371B24"/>
    <w:rsid w:val="00371CB2"/>
    <w:rsid w:val="00372EE1"/>
    <w:rsid w:val="003734FB"/>
    <w:rsid w:val="003739B3"/>
    <w:rsid w:val="00373A1A"/>
    <w:rsid w:val="00374C2F"/>
    <w:rsid w:val="00374D2E"/>
    <w:rsid w:val="00375823"/>
    <w:rsid w:val="00375AE9"/>
    <w:rsid w:val="00375AF4"/>
    <w:rsid w:val="00375B3B"/>
    <w:rsid w:val="00375C1C"/>
    <w:rsid w:val="003764E7"/>
    <w:rsid w:val="0037670B"/>
    <w:rsid w:val="003767A0"/>
    <w:rsid w:val="00376A1D"/>
    <w:rsid w:val="00376DEB"/>
    <w:rsid w:val="00377023"/>
    <w:rsid w:val="0037727C"/>
    <w:rsid w:val="00380356"/>
    <w:rsid w:val="00380ACC"/>
    <w:rsid w:val="00380BE3"/>
    <w:rsid w:val="0038170E"/>
    <w:rsid w:val="00381800"/>
    <w:rsid w:val="00382137"/>
    <w:rsid w:val="0038292B"/>
    <w:rsid w:val="00383C3F"/>
    <w:rsid w:val="00383C93"/>
    <w:rsid w:val="0038477D"/>
    <w:rsid w:val="00384D59"/>
    <w:rsid w:val="00385A31"/>
    <w:rsid w:val="00385D8A"/>
    <w:rsid w:val="00386824"/>
    <w:rsid w:val="00386DA1"/>
    <w:rsid w:val="00386F0D"/>
    <w:rsid w:val="00387322"/>
    <w:rsid w:val="0038742D"/>
    <w:rsid w:val="0038763D"/>
    <w:rsid w:val="0038770C"/>
    <w:rsid w:val="00387E5B"/>
    <w:rsid w:val="00390159"/>
    <w:rsid w:val="003902AC"/>
    <w:rsid w:val="003904AF"/>
    <w:rsid w:val="00390751"/>
    <w:rsid w:val="00390CBE"/>
    <w:rsid w:val="003910F2"/>
    <w:rsid w:val="00391CA1"/>
    <w:rsid w:val="00391D63"/>
    <w:rsid w:val="00391D6A"/>
    <w:rsid w:val="00391E52"/>
    <w:rsid w:val="00391E8B"/>
    <w:rsid w:val="00392735"/>
    <w:rsid w:val="00392761"/>
    <w:rsid w:val="00393559"/>
    <w:rsid w:val="0039365F"/>
    <w:rsid w:val="00393B40"/>
    <w:rsid w:val="003945E8"/>
    <w:rsid w:val="00394E40"/>
    <w:rsid w:val="003954CB"/>
    <w:rsid w:val="003955D0"/>
    <w:rsid w:val="00395E76"/>
    <w:rsid w:val="00396084"/>
    <w:rsid w:val="00396177"/>
    <w:rsid w:val="00396333"/>
    <w:rsid w:val="00396355"/>
    <w:rsid w:val="0039655D"/>
    <w:rsid w:val="00396686"/>
    <w:rsid w:val="00397090"/>
    <w:rsid w:val="003974AD"/>
    <w:rsid w:val="003978D7"/>
    <w:rsid w:val="003A0014"/>
    <w:rsid w:val="003A12AA"/>
    <w:rsid w:val="003A12E6"/>
    <w:rsid w:val="003A270C"/>
    <w:rsid w:val="003A294C"/>
    <w:rsid w:val="003A29CE"/>
    <w:rsid w:val="003A2EEA"/>
    <w:rsid w:val="003A36DB"/>
    <w:rsid w:val="003A3BA5"/>
    <w:rsid w:val="003A429A"/>
    <w:rsid w:val="003A43EC"/>
    <w:rsid w:val="003A4A1D"/>
    <w:rsid w:val="003A4FCF"/>
    <w:rsid w:val="003A507F"/>
    <w:rsid w:val="003A5E4B"/>
    <w:rsid w:val="003A687D"/>
    <w:rsid w:val="003A7738"/>
    <w:rsid w:val="003B0052"/>
    <w:rsid w:val="003B0522"/>
    <w:rsid w:val="003B0550"/>
    <w:rsid w:val="003B0A14"/>
    <w:rsid w:val="003B1140"/>
    <w:rsid w:val="003B1A31"/>
    <w:rsid w:val="003B1A8D"/>
    <w:rsid w:val="003B206A"/>
    <w:rsid w:val="003B2A52"/>
    <w:rsid w:val="003B2C0C"/>
    <w:rsid w:val="003B2F5F"/>
    <w:rsid w:val="003B3AA9"/>
    <w:rsid w:val="003B3C13"/>
    <w:rsid w:val="003B3CA9"/>
    <w:rsid w:val="003B4191"/>
    <w:rsid w:val="003B426A"/>
    <w:rsid w:val="003B455E"/>
    <w:rsid w:val="003B45CA"/>
    <w:rsid w:val="003B4C1A"/>
    <w:rsid w:val="003B5B19"/>
    <w:rsid w:val="003B613A"/>
    <w:rsid w:val="003B6590"/>
    <w:rsid w:val="003B65D8"/>
    <w:rsid w:val="003B669A"/>
    <w:rsid w:val="003B694F"/>
    <w:rsid w:val="003B73C1"/>
    <w:rsid w:val="003B7642"/>
    <w:rsid w:val="003C03EE"/>
    <w:rsid w:val="003C094E"/>
    <w:rsid w:val="003C0A68"/>
    <w:rsid w:val="003C1BB8"/>
    <w:rsid w:val="003C2135"/>
    <w:rsid w:val="003C214B"/>
    <w:rsid w:val="003C233B"/>
    <w:rsid w:val="003C280A"/>
    <w:rsid w:val="003C2A8C"/>
    <w:rsid w:val="003C2C3B"/>
    <w:rsid w:val="003C2F3D"/>
    <w:rsid w:val="003C3084"/>
    <w:rsid w:val="003C32F2"/>
    <w:rsid w:val="003C3571"/>
    <w:rsid w:val="003C36F6"/>
    <w:rsid w:val="003C4448"/>
    <w:rsid w:val="003C46E8"/>
    <w:rsid w:val="003C495F"/>
    <w:rsid w:val="003C513D"/>
    <w:rsid w:val="003C5167"/>
    <w:rsid w:val="003C54A5"/>
    <w:rsid w:val="003C5698"/>
    <w:rsid w:val="003C63B2"/>
    <w:rsid w:val="003C65DC"/>
    <w:rsid w:val="003D039B"/>
    <w:rsid w:val="003D03F8"/>
    <w:rsid w:val="003D0550"/>
    <w:rsid w:val="003D0565"/>
    <w:rsid w:val="003D0C4A"/>
    <w:rsid w:val="003D0EA9"/>
    <w:rsid w:val="003D0F27"/>
    <w:rsid w:val="003D1017"/>
    <w:rsid w:val="003D15D1"/>
    <w:rsid w:val="003D181F"/>
    <w:rsid w:val="003D1A28"/>
    <w:rsid w:val="003D1E22"/>
    <w:rsid w:val="003D20AC"/>
    <w:rsid w:val="003D29FB"/>
    <w:rsid w:val="003D2C41"/>
    <w:rsid w:val="003D377B"/>
    <w:rsid w:val="003D3CA1"/>
    <w:rsid w:val="003D408C"/>
    <w:rsid w:val="003D4278"/>
    <w:rsid w:val="003D44AB"/>
    <w:rsid w:val="003D47E5"/>
    <w:rsid w:val="003D48D3"/>
    <w:rsid w:val="003D4A30"/>
    <w:rsid w:val="003D4C4F"/>
    <w:rsid w:val="003D4C5A"/>
    <w:rsid w:val="003D58AD"/>
    <w:rsid w:val="003D5D5E"/>
    <w:rsid w:val="003D6761"/>
    <w:rsid w:val="003D6C36"/>
    <w:rsid w:val="003D6C62"/>
    <w:rsid w:val="003D6D9D"/>
    <w:rsid w:val="003D6DB8"/>
    <w:rsid w:val="003D6E9C"/>
    <w:rsid w:val="003D790E"/>
    <w:rsid w:val="003D7D2D"/>
    <w:rsid w:val="003E0067"/>
    <w:rsid w:val="003E02BF"/>
    <w:rsid w:val="003E069E"/>
    <w:rsid w:val="003E09D7"/>
    <w:rsid w:val="003E0F3C"/>
    <w:rsid w:val="003E1728"/>
    <w:rsid w:val="003E1A8C"/>
    <w:rsid w:val="003E1C29"/>
    <w:rsid w:val="003E1CB2"/>
    <w:rsid w:val="003E208C"/>
    <w:rsid w:val="003E30C8"/>
    <w:rsid w:val="003E3984"/>
    <w:rsid w:val="003E3FA7"/>
    <w:rsid w:val="003E4425"/>
    <w:rsid w:val="003E4FB3"/>
    <w:rsid w:val="003E6CF5"/>
    <w:rsid w:val="003E7E87"/>
    <w:rsid w:val="003E7F26"/>
    <w:rsid w:val="003F02D3"/>
    <w:rsid w:val="003F052D"/>
    <w:rsid w:val="003F07A6"/>
    <w:rsid w:val="003F10AB"/>
    <w:rsid w:val="003F130B"/>
    <w:rsid w:val="003F171C"/>
    <w:rsid w:val="003F19F3"/>
    <w:rsid w:val="003F1AFD"/>
    <w:rsid w:val="003F21FC"/>
    <w:rsid w:val="003F2313"/>
    <w:rsid w:val="003F2D41"/>
    <w:rsid w:val="003F325F"/>
    <w:rsid w:val="003F4250"/>
    <w:rsid w:val="003F4895"/>
    <w:rsid w:val="003F4E1B"/>
    <w:rsid w:val="003F4EC3"/>
    <w:rsid w:val="003F4F7E"/>
    <w:rsid w:val="003F56D6"/>
    <w:rsid w:val="003F5D8E"/>
    <w:rsid w:val="003F616F"/>
    <w:rsid w:val="003F68E0"/>
    <w:rsid w:val="003F6B0E"/>
    <w:rsid w:val="003F6E0A"/>
    <w:rsid w:val="003F725E"/>
    <w:rsid w:val="003F7E87"/>
    <w:rsid w:val="003F7F71"/>
    <w:rsid w:val="00400028"/>
    <w:rsid w:val="00400264"/>
    <w:rsid w:val="004008ED"/>
    <w:rsid w:val="00400A8C"/>
    <w:rsid w:val="0040132D"/>
    <w:rsid w:val="00401438"/>
    <w:rsid w:val="00401D64"/>
    <w:rsid w:val="00402440"/>
    <w:rsid w:val="00402F74"/>
    <w:rsid w:val="00403262"/>
    <w:rsid w:val="004036BC"/>
    <w:rsid w:val="0040397F"/>
    <w:rsid w:val="00403B38"/>
    <w:rsid w:val="00403DB6"/>
    <w:rsid w:val="00404EE7"/>
    <w:rsid w:val="00405517"/>
    <w:rsid w:val="00405707"/>
    <w:rsid w:val="004063A6"/>
    <w:rsid w:val="00406EE9"/>
    <w:rsid w:val="00407759"/>
    <w:rsid w:val="00410345"/>
    <w:rsid w:val="0041047F"/>
    <w:rsid w:val="00410691"/>
    <w:rsid w:val="00410745"/>
    <w:rsid w:val="00410AE5"/>
    <w:rsid w:val="00410B52"/>
    <w:rsid w:val="00410DA8"/>
    <w:rsid w:val="004111C1"/>
    <w:rsid w:val="0041137B"/>
    <w:rsid w:val="00411384"/>
    <w:rsid w:val="004113CF"/>
    <w:rsid w:val="00411627"/>
    <w:rsid w:val="00411D25"/>
    <w:rsid w:val="0041224E"/>
    <w:rsid w:val="00412482"/>
    <w:rsid w:val="004128A5"/>
    <w:rsid w:val="00412FC5"/>
    <w:rsid w:val="0041391D"/>
    <w:rsid w:val="00414405"/>
    <w:rsid w:val="00414658"/>
    <w:rsid w:val="00414C83"/>
    <w:rsid w:val="00414DD8"/>
    <w:rsid w:val="004158AF"/>
    <w:rsid w:val="00416272"/>
    <w:rsid w:val="004168F9"/>
    <w:rsid w:val="00416B62"/>
    <w:rsid w:val="00416C5E"/>
    <w:rsid w:val="00416E9A"/>
    <w:rsid w:val="00417CCD"/>
    <w:rsid w:val="004207E5"/>
    <w:rsid w:val="00420A02"/>
    <w:rsid w:val="00420F9C"/>
    <w:rsid w:val="0042147A"/>
    <w:rsid w:val="00421485"/>
    <w:rsid w:val="00421C7A"/>
    <w:rsid w:val="00422276"/>
    <w:rsid w:val="0042261D"/>
    <w:rsid w:val="00422D7C"/>
    <w:rsid w:val="00423469"/>
    <w:rsid w:val="00424090"/>
    <w:rsid w:val="004242F1"/>
    <w:rsid w:val="004244E0"/>
    <w:rsid w:val="00424922"/>
    <w:rsid w:val="00424EDD"/>
    <w:rsid w:val="00424F1C"/>
    <w:rsid w:val="00425218"/>
    <w:rsid w:val="00425545"/>
    <w:rsid w:val="00425689"/>
    <w:rsid w:val="004258AE"/>
    <w:rsid w:val="0042603D"/>
    <w:rsid w:val="00426354"/>
    <w:rsid w:val="004264B9"/>
    <w:rsid w:val="00426767"/>
    <w:rsid w:val="00426798"/>
    <w:rsid w:val="00426D80"/>
    <w:rsid w:val="00426FF5"/>
    <w:rsid w:val="00427EC9"/>
    <w:rsid w:val="0043001B"/>
    <w:rsid w:val="00430569"/>
    <w:rsid w:val="004307CE"/>
    <w:rsid w:val="00430ABF"/>
    <w:rsid w:val="00431128"/>
    <w:rsid w:val="00431141"/>
    <w:rsid w:val="00431500"/>
    <w:rsid w:val="00431714"/>
    <w:rsid w:val="00431B5E"/>
    <w:rsid w:val="00431BF1"/>
    <w:rsid w:val="00431DDD"/>
    <w:rsid w:val="00432184"/>
    <w:rsid w:val="00433002"/>
    <w:rsid w:val="004331A4"/>
    <w:rsid w:val="00433272"/>
    <w:rsid w:val="00433D57"/>
    <w:rsid w:val="00434DC2"/>
    <w:rsid w:val="004351E0"/>
    <w:rsid w:val="00435338"/>
    <w:rsid w:val="00435417"/>
    <w:rsid w:val="00435418"/>
    <w:rsid w:val="0043572A"/>
    <w:rsid w:val="00435C78"/>
    <w:rsid w:val="00435F67"/>
    <w:rsid w:val="00436190"/>
    <w:rsid w:val="00436526"/>
    <w:rsid w:val="00437D38"/>
    <w:rsid w:val="00437E50"/>
    <w:rsid w:val="00440C2C"/>
    <w:rsid w:val="0044115C"/>
    <w:rsid w:val="004411EC"/>
    <w:rsid w:val="0044167E"/>
    <w:rsid w:val="00441F1C"/>
    <w:rsid w:val="004421AB"/>
    <w:rsid w:val="00442594"/>
    <w:rsid w:val="00442EFC"/>
    <w:rsid w:val="00443641"/>
    <w:rsid w:val="00443EEB"/>
    <w:rsid w:val="00444097"/>
    <w:rsid w:val="00444CD3"/>
    <w:rsid w:val="00444F9F"/>
    <w:rsid w:val="004452CF"/>
    <w:rsid w:val="00445A00"/>
    <w:rsid w:val="00445E86"/>
    <w:rsid w:val="00446117"/>
    <w:rsid w:val="004474D0"/>
    <w:rsid w:val="00447C35"/>
    <w:rsid w:val="0045106D"/>
    <w:rsid w:val="00451B0F"/>
    <w:rsid w:val="004524E9"/>
    <w:rsid w:val="00452799"/>
    <w:rsid w:val="004545E7"/>
    <w:rsid w:val="0045463B"/>
    <w:rsid w:val="00454706"/>
    <w:rsid w:val="004548AB"/>
    <w:rsid w:val="004549E8"/>
    <w:rsid w:val="004549FC"/>
    <w:rsid w:val="0045545F"/>
    <w:rsid w:val="00455D07"/>
    <w:rsid w:val="00455E20"/>
    <w:rsid w:val="0045635A"/>
    <w:rsid w:val="00457C0B"/>
    <w:rsid w:val="00457DAB"/>
    <w:rsid w:val="00457F7B"/>
    <w:rsid w:val="00460434"/>
    <w:rsid w:val="00460873"/>
    <w:rsid w:val="00460DAB"/>
    <w:rsid w:val="0046215F"/>
    <w:rsid w:val="0046247D"/>
    <w:rsid w:val="00462788"/>
    <w:rsid w:val="00462AC1"/>
    <w:rsid w:val="00462D7A"/>
    <w:rsid w:val="00462E26"/>
    <w:rsid w:val="00462F21"/>
    <w:rsid w:val="004631A8"/>
    <w:rsid w:val="00463478"/>
    <w:rsid w:val="00463879"/>
    <w:rsid w:val="00463DD6"/>
    <w:rsid w:val="00463E87"/>
    <w:rsid w:val="00463F2A"/>
    <w:rsid w:val="0046409C"/>
    <w:rsid w:val="004640EE"/>
    <w:rsid w:val="00464774"/>
    <w:rsid w:val="004648A5"/>
    <w:rsid w:val="00464B33"/>
    <w:rsid w:val="00464E9D"/>
    <w:rsid w:val="00465B28"/>
    <w:rsid w:val="00466548"/>
    <w:rsid w:val="00466B05"/>
    <w:rsid w:val="0046712E"/>
    <w:rsid w:val="0046750F"/>
    <w:rsid w:val="004679BC"/>
    <w:rsid w:val="00467E28"/>
    <w:rsid w:val="00470108"/>
    <w:rsid w:val="00470F78"/>
    <w:rsid w:val="00471278"/>
    <w:rsid w:val="00471826"/>
    <w:rsid w:val="00471D8B"/>
    <w:rsid w:val="00472370"/>
    <w:rsid w:val="004723A9"/>
    <w:rsid w:val="004726AA"/>
    <w:rsid w:val="0047276A"/>
    <w:rsid w:val="004727FB"/>
    <w:rsid w:val="00473052"/>
    <w:rsid w:val="00473216"/>
    <w:rsid w:val="00473560"/>
    <w:rsid w:val="00473AE2"/>
    <w:rsid w:val="004741A4"/>
    <w:rsid w:val="004745DC"/>
    <w:rsid w:val="00474A61"/>
    <w:rsid w:val="00474B57"/>
    <w:rsid w:val="00474B9B"/>
    <w:rsid w:val="0047507E"/>
    <w:rsid w:val="00475AF5"/>
    <w:rsid w:val="00477C11"/>
    <w:rsid w:val="004800B8"/>
    <w:rsid w:val="00480695"/>
    <w:rsid w:val="004817E3"/>
    <w:rsid w:val="004817E9"/>
    <w:rsid w:val="00481EBF"/>
    <w:rsid w:val="0048230D"/>
    <w:rsid w:val="004826A1"/>
    <w:rsid w:val="00482794"/>
    <w:rsid w:val="00482CBD"/>
    <w:rsid w:val="00482DD8"/>
    <w:rsid w:val="004830F7"/>
    <w:rsid w:val="00483ACA"/>
    <w:rsid w:val="004843C0"/>
    <w:rsid w:val="00484738"/>
    <w:rsid w:val="00484789"/>
    <w:rsid w:val="00484D25"/>
    <w:rsid w:val="0048587A"/>
    <w:rsid w:val="004858C4"/>
    <w:rsid w:val="00485BEE"/>
    <w:rsid w:val="00485DF5"/>
    <w:rsid w:val="004864A0"/>
    <w:rsid w:val="0048654C"/>
    <w:rsid w:val="00486709"/>
    <w:rsid w:val="00486A2D"/>
    <w:rsid w:val="0048748D"/>
    <w:rsid w:val="00487783"/>
    <w:rsid w:val="004905A3"/>
    <w:rsid w:val="004913B4"/>
    <w:rsid w:val="00491561"/>
    <w:rsid w:val="004918BC"/>
    <w:rsid w:val="00491BAE"/>
    <w:rsid w:val="0049209E"/>
    <w:rsid w:val="00492AB2"/>
    <w:rsid w:val="00492C35"/>
    <w:rsid w:val="00492E36"/>
    <w:rsid w:val="00493C77"/>
    <w:rsid w:val="0049406C"/>
    <w:rsid w:val="004943A3"/>
    <w:rsid w:val="00494E74"/>
    <w:rsid w:val="00494ED6"/>
    <w:rsid w:val="00495872"/>
    <w:rsid w:val="00495ED6"/>
    <w:rsid w:val="0049649C"/>
    <w:rsid w:val="00497338"/>
    <w:rsid w:val="00497585"/>
    <w:rsid w:val="004A0500"/>
    <w:rsid w:val="004A070B"/>
    <w:rsid w:val="004A092E"/>
    <w:rsid w:val="004A0E17"/>
    <w:rsid w:val="004A0F30"/>
    <w:rsid w:val="004A1B12"/>
    <w:rsid w:val="004A1DF3"/>
    <w:rsid w:val="004A201C"/>
    <w:rsid w:val="004A220E"/>
    <w:rsid w:val="004A2379"/>
    <w:rsid w:val="004A2648"/>
    <w:rsid w:val="004A2813"/>
    <w:rsid w:val="004A29B5"/>
    <w:rsid w:val="004A2D27"/>
    <w:rsid w:val="004A2EC5"/>
    <w:rsid w:val="004A3035"/>
    <w:rsid w:val="004A36BE"/>
    <w:rsid w:val="004A36D9"/>
    <w:rsid w:val="004A36F6"/>
    <w:rsid w:val="004A3B23"/>
    <w:rsid w:val="004A3BA2"/>
    <w:rsid w:val="004A4158"/>
    <w:rsid w:val="004A4798"/>
    <w:rsid w:val="004A4A1B"/>
    <w:rsid w:val="004A60EA"/>
    <w:rsid w:val="004A6660"/>
    <w:rsid w:val="004A6BC3"/>
    <w:rsid w:val="004A70A5"/>
    <w:rsid w:val="004A7A93"/>
    <w:rsid w:val="004A7FDB"/>
    <w:rsid w:val="004B09F6"/>
    <w:rsid w:val="004B0EFE"/>
    <w:rsid w:val="004B149B"/>
    <w:rsid w:val="004B1DC5"/>
    <w:rsid w:val="004B2015"/>
    <w:rsid w:val="004B23CB"/>
    <w:rsid w:val="004B23D5"/>
    <w:rsid w:val="004B2A0F"/>
    <w:rsid w:val="004B2DF5"/>
    <w:rsid w:val="004B3462"/>
    <w:rsid w:val="004B368F"/>
    <w:rsid w:val="004B3E64"/>
    <w:rsid w:val="004B3E96"/>
    <w:rsid w:val="004B47DE"/>
    <w:rsid w:val="004B47E2"/>
    <w:rsid w:val="004B4AFA"/>
    <w:rsid w:val="004B4B8E"/>
    <w:rsid w:val="004B4CFB"/>
    <w:rsid w:val="004B4F9D"/>
    <w:rsid w:val="004B500C"/>
    <w:rsid w:val="004B57AF"/>
    <w:rsid w:val="004B5B59"/>
    <w:rsid w:val="004B6321"/>
    <w:rsid w:val="004B6382"/>
    <w:rsid w:val="004B6622"/>
    <w:rsid w:val="004B6D70"/>
    <w:rsid w:val="004B7361"/>
    <w:rsid w:val="004B75A5"/>
    <w:rsid w:val="004B78EC"/>
    <w:rsid w:val="004B7EDD"/>
    <w:rsid w:val="004C0013"/>
    <w:rsid w:val="004C046C"/>
    <w:rsid w:val="004C056F"/>
    <w:rsid w:val="004C0980"/>
    <w:rsid w:val="004C0C64"/>
    <w:rsid w:val="004C2046"/>
    <w:rsid w:val="004C27C2"/>
    <w:rsid w:val="004C2830"/>
    <w:rsid w:val="004C2881"/>
    <w:rsid w:val="004C2CFF"/>
    <w:rsid w:val="004C2EE3"/>
    <w:rsid w:val="004C3424"/>
    <w:rsid w:val="004C3642"/>
    <w:rsid w:val="004C3E4D"/>
    <w:rsid w:val="004C56F9"/>
    <w:rsid w:val="004C5746"/>
    <w:rsid w:val="004C6414"/>
    <w:rsid w:val="004C67F1"/>
    <w:rsid w:val="004C71AF"/>
    <w:rsid w:val="004C72D9"/>
    <w:rsid w:val="004C75FE"/>
    <w:rsid w:val="004C7A1F"/>
    <w:rsid w:val="004C7FCC"/>
    <w:rsid w:val="004D0042"/>
    <w:rsid w:val="004D04B4"/>
    <w:rsid w:val="004D0548"/>
    <w:rsid w:val="004D058C"/>
    <w:rsid w:val="004D095F"/>
    <w:rsid w:val="004D09BB"/>
    <w:rsid w:val="004D0A78"/>
    <w:rsid w:val="004D0E56"/>
    <w:rsid w:val="004D0EB5"/>
    <w:rsid w:val="004D11B4"/>
    <w:rsid w:val="004D1240"/>
    <w:rsid w:val="004D1546"/>
    <w:rsid w:val="004D17E9"/>
    <w:rsid w:val="004D1C0F"/>
    <w:rsid w:val="004D1EC0"/>
    <w:rsid w:val="004D2228"/>
    <w:rsid w:val="004D28DD"/>
    <w:rsid w:val="004D29EC"/>
    <w:rsid w:val="004D2A1B"/>
    <w:rsid w:val="004D2E95"/>
    <w:rsid w:val="004D2FDB"/>
    <w:rsid w:val="004D323A"/>
    <w:rsid w:val="004D32FB"/>
    <w:rsid w:val="004D333D"/>
    <w:rsid w:val="004D3D43"/>
    <w:rsid w:val="004D3E3A"/>
    <w:rsid w:val="004D49F1"/>
    <w:rsid w:val="004D521A"/>
    <w:rsid w:val="004D597C"/>
    <w:rsid w:val="004D6C2B"/>
    <w:rsid w:val="004D6E84"/>
    <w:rsid w:val="004D7DE3"/>
    <w:rsid w:val="004D7E4B"/>
    <w:rsid w:val="004D7F69"/>
    <w:rsid w:val="004E08AB"/>
    <w:rsid w:val="004E0A5B"/>
    <w:rsid w:val="004E0EA1"/>
    <w:rsid w:val="004E0F07"/>
    <w:rsid w:val="004E14DF"/>
    <w:rsid w:val="004E187F"/>
    <w:rsid w:val="004E1C5F"/>
    <w:rsid w:val="004E250F"/>
    <w:rsid w:val="004E2515"/>
    <w:rsid w:val="004E2938"/>
    <w:rsid w:val="004E3133"/>
    <w:rsid w:val="004E3390"/>
    <w:rsid w:val="004E33A8"/>
    <w:rsid w:val="004E33F9"/>
    <w:rsid w:val="004E3791"/>
    <w:rsid w:val="004E399E"/>
    <w:rsid w:val="004E3A12"/>
    <w:rsid w:val="004E3CA6"/>
    <w:rsid w:val="004E3F5F"/>
    <w:rsid w:val="004E4222"/>
    <w:rsid w:val="004E49C0"/>
    <w:rsid w:val="004E4A22"/>
    <w:rsid w:val="004E56DF"/>
    <w:rsid w:val="004E573A"/>
    <w:rsid w:val="004E6A2B"/>
    <w:rsid w:val="004E70F0"/>
    <w:rsid w:val="004E77E4"/>
    <w:rsid w:val="004E7E77"/>
    <w:rsid w:val="004E7FA2"/>
    <w:rsid w:val="004E7FB5"/>
    <w:rsid w:val="004F0257"/>
    <w:rsid w:val="004F0348"/>
    <w:rsid w:val="004F04F9"/>
    <w:rsid w:val="004F0DFA"/>
    <w:rsid w:val="004F0E25"/>
    <w:rsid w:val="004F0EEB"/>
    <w:rsid w:val="004F0FA8"/>
    <w:rsid w:val="004F0FDA"/>
    <w:rsid w:val="004F142C"/>
    <w:rsid w:val="004F1BA8"/>
    <w:rsid w:val="004F28A5"/>
    <w:rsid w:val="004F29B7"/>
    <w:rsid w:val="004F36EC"/>
    <w:rsid w:val="004F3CF7"/>
    <w:rsid w:val="004F46AA"/>
    <w:rsid w:val="004F48C5"/>
    <w:rsid w:val="004F50B2"/>
    <w:rsid w:val="004F53D9"/>
    <w:rsid w:val="004F5F7A"/>
    <w:rsid w:val="004F5F99"/>
    <w:rsid w:val="004F5FE4"/>
    <w:rsid w:val="004F62F9"/>
    <w:rsid w:val="004F6379"/>
    <w:rsid w:val="004F6519"/>
    <w:rsid w:val="004F69E7"/>
    <w:rsid w:val="004F7322"/>
    <w:rsid w:val="004F7722"/>
    <w:rsid w:val="004F7D54"/>
    <w:rsid w:val="0050022F"/>
    <w:rsid w:val="005006EC"/>
    <w:rsid w:val="005007F2"/>
    <w:rsid w:val="0050115B"/>
    <w:rsid w:val="005016FA"/>
    <w:rsid w:val="00502063"/>
    <w:rsid w:val="005020C3"/>
    <w:rsid w:val="00502123"/>
    <w:rsid w:val="005022DE"/>
    <w:rsid w:val="00502744"/>
    <w:rsid w:val="00502A9B"/>
    <w:rsid w:val="00502D93"/>
    <w:rsid w:val="005033F5"/>
    <w:rsid w:val="005042F2"/>
    <w:rsid w:val="00504790"/>
    <w:rsid w:val="00504D0F"/>
    <w:rsid w:val="00504F41"/>
    <w:rsid w:val="0050514B"/>
    <w:rsid w:val="005051BC"/>
    <w:rsid w:val="0050561A"/>
    <w:rsid w:val="00505906"/>
    <w:rsid w:val="00505A92"/>
    <w:rsid w:val="00506347"/>
    <w:rsid w:val="00506435"/>
    <w:rsid w:val="00506443"/>
    <w:rsid w:val="00507440"/>
    <w:rsid w:val="00507503"/>
    <w:rsid w:val="00507863"/>
    <w:rsid w:val="0051009F"/>
    <w:rsid w:val="0051041D"/>
    <w:rsid w:val="005106B0"/>
    <w:rsid w:val="00510ED4"/>
    <w:rsid w:val="00510F36"/>
    <w:rsid w:val="00511132"/>
    <w:rsid w:val="005113EF"/>
    <w:rsid w:val="005114DE"/>
    <w:rsid w:val="005118F2"/>
    <w:rsid w:val="00511968"/>
    <w:rsid w:val="00511B57"/>
    <w:rsid w:val="00511C3E"/>
    <w:rsid w:val="00511C90"/>
    <w:rsid w:val="00511CAC"/>
    <w:rsid w:val="0051236E"/>
    <w:rsid w:val="00512468"/>
    <w:rsid w:val="00512897"/>
    <w:rsid w:val="0051295E"/>
    <w:rsid w:val="00512D10"/>
    <w:rsid w:val="00512D66"/>
    <w:rsid w:val="00512DCB"/>
    <w:rsid w:val="00512E85"/>
    <w:rsid w:val="00512E91"/>
    <w:rsid w:val="0051338D"/>
    <w:rsid w:val="00513886"/>
    <w:rsid w:val="0051498D"/>
    <w:rsid w:val="00514E35"/>
    <w:rsid w:val="00514EE1"/>
    <w:rsid w:val="00515064"/>
    <w:rsid w:val="0051559A"/>
    <w:rsid w:val="00515AD0"/>
    <w:rsid w:val="00515B7A"/>
    <w:rsid w:val="00515BF0"/>
    <w:rsid w:val="00515DA9"/>
    <w:rsid w:val="00515E3F"/>
    <w:rsid w:val="00516226"/>
    <w:rsid w:val="005162DB"/>
    <w:rsid w:val="005169DC"/>
    <w:rsid w:val="00516ECB"/>
    <w:rsid w:val="00517009"/>
    <w:rsid w:val="005175B0"/>
    <w:rsid w:val="005176BF"/>
    <w:rsid w:val="00520A2D"/>
    <w:rsid w:val="00520DD5"/>
    <w:rsid w:val="00520E2E"/>
    <w:rsid w:val="005216E6"/>
    <w:rsid w:val="00521C2C"/>
    <w:rsid w:val="00521D59"/>
    <w:rsid w:val="00521EF4"/>
    <w:rsid w:val="00522254"/>
    <w:rsid w:val="00522C66"/>
    <w:rsid w:val="00522E22"/>
    <w:rsid w:val="0052306A"/>
    <w:rsid w:val="0052315F"/>
    <w:rsid w:val="0052355A"/>
    <w:rsid w:val="005235CE"/>
    <w:rsid w:val="00523CDC"/>
    <w:rsid w:val="00523F51"/>
    <w:rsid w:val="005244A4"/>
    <w:rsid w:val="00524AB4"/>
    <w:rsid w:val="00524ADC"/>
    <w:rsid w:val="00524F21"/>
    <w:rsid w:val="005251B1"/>
    <w:rsid w:val="005256BD"/>
    <w:rsid w:val="00525779"/>
    <w:rsid w:val="005257C7"/>
    <w:rsid w:val="00525F67"/>
    <w:rsid w:val="00526083"/>
    <w:rsid w:val="0052665A"/>
    <w:rsid w:val="00526A73"/>
    <w:rsid w:val="00526A82"/>
    <w:rsid w:val="00527125"/>
    <w:rsid w:val="005272B3"/>
    <w:rsid w:val="00527958"/>
    <w:rsid w:val="00527AEE"/>
    <w:rsid w:val="00530A89"/>
    <w:rsid w:val="0053119F"/>
    <w:rsid w:val="00531B97"/>
    <w:rsid w:val="00532519"/>
    <w:rsid w:val="00532540"/>
    <w:rsid w:val="00532D50"/>
    <w:rsid w:val="00533180"/>
    <w:rsid w:val="005332D7"/>
    <w:rsid w:val="00533582"/>
    <w:rsid w:val="005344B6"/>
    <w:rsid w:val="00534579"/>
    <w:rsid w:val="0053465F"/>
    <w:rsid w:val="00534B4F"/>
    <w:rsid w:val="00535932"/>
    <w:rsid w:val="00535C8B"/>
    <w:rsid w:val="005361FA"/>
    <w:rsid w:val="00536443"/>
    <w:rsid w:val="005366F0"/>
    <w:rsid w:val="005370FE"/>
    <w:rsid w:val="0053713C"/>
    <w:rsid w:val="005379C2"/>
    <w:rsid w:val="00540228"/>
    <w:rsid w:val="00540BE8"/>
    <w:rsid w:val="00540EA0"/>
    <w:rsid w:val="00541557"/>
    <w:rsid w:val="00541673"/>
    <w:rsid w:val="0054187C"/>
    <w:rsid w:val="00541AA9"/>
    <w:rsid w:val="00541E64"/>
    <w:rsid w:val="0054289E"/>
    <w:rsid w:val="005428F7"/>
    <w:rsid w:val="00542B41"/>
    <w:rsid w:val="0054407B"/>
    <w:rsid w:val="00544521"/>
    <w:rsid w:val="005445B0"/>
    <w:rsid w:val="00544B47"/>
    <w:rsid w:val="00544F3D"/>
    <w:rsid w:val="00545086"/>
    <w:rsid w:val="00545196"/>
    <w:rsid w:val="0054548C"/>
    <w:rsid w:val="00545B40"/>
    <w:rsid w:val="00545C09"/>
    <w:rsid w:val="00545EA7"/>
    <w:rsid w:val="005462B3"/>
    <w:rsid w:val="005462EB"/>
    <w:rsid w:val="0054665E"/>
    <w:rsid w:val="005472C3"/>
    <w:rsid w:val="00547C56"/>
    <w:rsid w:val="00550086"/>
    <w:rsid w:val="00550A84"/>
    <w:rsid w:val="0055125B"/>
    <w:rsid w:val="005512E5"/>
    <w:rsid w:val="00551F87"/>
    <w:rsid w:val="005524E6"/>
    <w:rsid w:val="00552562"/>
    <w:rsid w:val="00552921"/>
    <w:rsid w:val="00552E12"/>
    <w:rsid w:val="00552FD0"/>
    <w:rsid w:val="00553051"/>
    <w:rsid w:val="0055313D"/>
    <w:rsid w:val="00553304"/>
    <w:rsid w:val="00553697"/>
    <w:rsid w:val="00553A03"/>
    <w:rsid w:val="005540F7"/>
    <w:rsid w:val="00554EA6"/>
    <w:rsid w:val="00554F41"/>
    <w:rsid w:val="005550EE"/>
    <w:rsid w:val="0055520F"/>
    <w:rsid w:val="0055614C"/>
    <w:rsid w:val="005567BF"/>
    <w:rsid w:val="00556BE6"/>
    <w:rsid w:val="0055739B"/>
    <w:rsid w:val="00557891"/>
    <w:rsid w:val="00557AD8"/>
    <w:rsid w:val="00557BCD"/>
    <w:rsid w:val="00557D45"/>
    <w:rsid w:val="005604EC"/>
    <w:rsid w:val="0056084B"/>
    <w:rsid w:val="00560A8E"/>
    <w:rsid w:val="005614D2"/>
    <w:rsid w:val="005617CB"/>
    <w:rsid w:val="00561A4C"/>
    <w:rsid w:val="005624F0"/>
    <w:rsid w:val="00562CC5"/>
    <w:rsid w:val="005630C6"/>
    <w:rsid w:val="0056343B"/>
    <w:rsid w:val="0056389F"/>
    <w:rsid w:val="0056414A"/>
    <w:rsid w:val="005644DA"/>
    <w:rsid w:val="0056497B"/>
    <w:rsid w:val="005659EB"/>
    <w:rsid w:val="00565CBC"/>
    <w:rsid w:val="00566721"/>
    <w:rsid w:val="00566989"/>
    <w:rsid w:val="00566D06"/>
    <w:rsid w:val="005674A1"/>
    <w:rsid w:val="00567771"/>
    <w:rsid w:val="00567E92"/>
    <w:rsid w:val="0057022C"/>
    <w:rsid w:val="00570641"/>
    <w:rsid w:val="00570692"/>
    <w:rsid w:val="00570970"/>
    <w:rsid w:val="00571253"/>
    <w:rsid w:val="00571627"/>
    <w:rsid w:val="00571665"/>
    <w:rsid w:val="005719F9"/>
    <w:rsid w:val="00571DA2"/>
    <w:rsid w:val="00572070"/>
    <w:rsid w:val="00572D43"/>
    <w:rsid w:val="0057310E"/>
    <w:rsid w:val="005734CE"/>
    <w:rsid w:val="00574A14"/>
    <w:rsid w:val="00574A40"/>
    <w:rsid w:val="0057540D"/>
    <w:rsid w:val="0057561A"/>
    <w:rsid w:val="00575A69"/>
    <w:rsid w:val="005765EC"/>
    <w:rsid w:val="005768DF"/>
    <w:rsid w:val="00577477"/>
    <w:rsid w:val="00577B64"/>
    <w:rsid w:val="00577C4A"/>
    <w:rsid w:val="00577D04"/>
    <w:rsid w:val="005816A4"/>
    <w:rsid w:val="005819E2"/>
    <w:rsid w:val="00582204"/>
    <w:rsid w:val="0058264A"/>
    <w:rsid w:val="00582A11"/>
    <w:rsid w:val="00582CFC"/>
    <w:rsid w:val="00582E21"/>
    <w:rsid w:val="0058351A"/>
    <w:rsid w:val="00583ECA"/>
    <w:rsid w:val="0058459C"/>
    <w:rsid w:val="005848AA"/>
    <w:rsid w:val="00585431"/>
    <w:rsid w:val="00586561"/>
    <w:rsid w:val="00586B2B"/>
    <w:rsid w:val="00587393"/>
    <w:rsid w:val="00587410"/>
    <w:rsid w:val="00587644"/>
    <w:rsid w:val="0058769B"/>
    <w:rsid w:val="00587760"/>
    <w:rsid w:val="00587EFF"/>
    <w:rsid w:val="00587F37"/>
    <w:rsid w:val="005902A6"/>
    <w:rsid w:val="005903EF"/>
    <w:rsid w:val="00590C5E"/>
    <w:rsid w:val="00590D8C"/>
    <w:rsid w:val="00590F96"/>
    <w:rsid w:val="00590F97"/>
    <w:rsid w:val="0059134E"/>
    <w:rsid w:val="00591631"/>
    <w:rsid w:val="00591EA7"/>
    <w:rsid w:val="00591EC1"/>
    <w:rsid w:val="005929A8"/>
    <w:rsid w:val="00594A5F"/>
    <w:rsid w:val="005952CD"/>
    <w:rsid w:val="00595395"/>
    <w:rsid w:val="00595AEE"/>
    <w:rsid w:val="00595C80"/>
    <w:rsid w:val="00596174"/>
    <w:rsid w:val="005966DA"/>
    <w:rsid w:val="00596E30"/>
    <w:rsid w:val="00596E7B"/>
    <w:rsid w:val="00597479"/>
    <w:rsid w:val="005978CF"/>
    <w:rsid w:val="00597B73"/>
    <w:rsid w:val="00597C11"/>
    <w:rsid w:val="00597D43"/>
    <w:rsid w:val="00597EA7"/>
    <w:rsid w:val="005A0043"/>
    <w:rsid w:val="005A05A0"/>
    <w:rsid w:val="005A0F26"/>
    <w:rsid w:val="005A142C"/>
    <w:rsid w:val="005A15E2"/>
    <w:rsid w:val="005A1A95"/>
    <w:rsid w:val="005A1D90"/>
    <w:rsid w:val="005A21FE"/>
    <w:rsid w:val="005A27A1"/>
    <w:rsid w:val="005A2875"/>
    <w:rsid w:val="005A2A8C"/>
    <w:rsid w:val="005A2C32"/>
    <w:rsid w:val="005A37C2"/>
    <w:rsid w:val="005A4140"/>
    <w:rsid w:val="005A45ED"/>
    <w:rsid w:val="005A529B"/>
    <w:rsid w:val="005A5376"/>
    <w:rsid w:val="005A60FD"/>
    <w:rsid w:val="005A69E4"/>
    <w:rsid w:val="005A6FFA"/>
    <w:rsid w:val="005A7C73"/>
    <w:rsid w:val="005B0B39"/>
    <w:rsid w:val="005B0DE0"/>
    <w:rsid w:val="005B1403"/>
    <w:rsid w:val="005B16F2"/>
    <w:rsid w:val="005B17C9"/>
    <w:rsid w:val="005B19FE"/>
    <w:rsid w:val="005B260C"/>
    <w:rsid w:val="005B26B4"/>
    <w:rsid w:val="005B2712"/>
    <w:rsid w:val="005B2974"/>
    <w:rsid w:val="005B3599"/>
    <w:rsid w:val="005B39B0"/>
    <w:rsid w:val="005B39D7"/>
    <w:rsid w:val="005B3BC1"/>
    <w:rsid w:val="005B42FE"/>
    <w:rsid w:val="005B50EE"/>
    <w:rsid w:val="005B57D8"/>
    <w:rsid w:val="005B5AD4"/>
    <w:rsid w:val="005B5BD7"/>
    <w:rsid w:val="005B624D"/>
    <w:rsid w:val="005B65BF"/>
    <w:rsid w:val="005B663A"/>
    <w:rsid w:val="005B6A4B"/>
    <w:rsid w:val="005B6ABC"/>
    <w:rsid w:val="005B6F1B"/>
    <w:rsid w:val="005B73BD"/>
    <w:rsid w:val="005C01B3"/>
    <w:rsid w:val="005C0C89"/>
    <w:rsid w:val="005C0F02"/>
    <w:rsid w:val="005C183E"/>
    <w:rsid w:val="005C18AC"/>
    <w:rsid w:val="005C25B6"/>
    <w:rsid w:val="005C2899"/>
    <w:rsid w:val="005C2EE5"/>
    <w:rsid w:val="005C35B8"/>
    <w:rsid w:val="005C362A"/>
    <w:rsid w:val="005C3650"/>
    <w:rsid w:val="005C4507"/>
    <w:rsid w:val="005C46CD"/>
    <w:rsid w:val="005C4F4C"/>
    <w:rsid w:val="005C51C1"/>
    <w:rsid w:val="005C51D8"/>
    <w:rsid w:val="005C5409"/>
    <w:rsid w:val="005C5D12"/>
    <w:rsid w:val="005C5EFA"/>
    <w:rsid w:val="005C5FE8"/>
    <w:rsid w:val="005C694B"/>
    <w:rsid w:val="005C6CAE"/>
    <w:rsid w:val="005C72BF"/>
    <w:rsid w:val="005C7532"/>
    <w:rsid w:val="005C7768"/>
    <w:rsid w:val="005D0B65"/>
    <w:rsid w:val="005D0BF2"/>
    <w:rsid w:val="005D0CFE"/>
    <w:rsid w:val="005D15FE"/>
    <w:rsid w:val="005D1AB1"/>
    <w:rsid w:val="005D20A7"/>
    <w:rsid w:val="005D23AE"/>
    <w:rsid w:val="005D246D"/>
    <w:rsid w:val="005D326D"/>
    <w:rsid w:val="005D3D62"/>
    <w:rsid w:val="005D3F14"/>
    <w:rsid w:val="005D432D"/>
    <w:rsid w:val="005D4DD2"/>
    <w:rsid w:val="005D4E8C"/>
    <w:rsid w:val="005D670A"/>
    <w:rsid w:val="005D6BAF"/>
    <w:rsid w:val="005D6C22"/>
    <w:rsid w:val="005D6F9D"/>
    <w:rsid w:val="005D737E"/>
    <w:rsid w:val="005D73EA"/>
    <w:rsid w:val="005D789B"/>
    <w:rsid w:val="005D7A0A"/>
    <w:rsid w:val="005D7A93"/>
    <w:rsid w:val="005E0B0B"/>
    <w:rsid w:val="005E14C2"/>
    <w:rsid w:val="005E17CA"/>
    <w:rsid w:val="005E21A0"/>
    <w:rsid w:val="005E2A89"/>
    <w:rsid w:val="005E2BCF"/>
    <w:rsid w:val="005E2BFF"/>
    <w:rsid w:val="005E2E85"/>
    <w:rsid w:val="005E325A"/>
    <w:rsid w:val="005E33B0"/>
    <w:rsid w:val="005E35A0"/>
    <w:rsid w:val="005E3D53"/>
    <w:rsid w:val="005E4352"/>
    <w:rsid w:val="005E5456"/>
    <w:rsid w:val="005E55BB"/>
    <w:rsid w:val="005E575B"/>
    <w:rsid w:val="005E5990"/>
    <w:rsid w:val="005E642A"/>
    <w:rsid w:val="005E66D5"/>
    <w:rsid w:val="005E6BBE"/>
    <w:rsid w:val="005E6BFD"/>
    <w:rsid w:val="005E7068"/>
    <w:rsid w:val="005E75DD"/>
    <w:rsid w:val="005E792C"/>
    <w:rsid w:val="005F090B"/>
    <w:rsid w:val="005F0FB3"/>
    <w:rsid w:val="005F14AF"/>
    <w:rsid w:val="005F17EA"/>
    <w:rsid w:val="005F1B3E"/>
    <w:rsid w:val="005F1EE9"/>
    <w:rsid w:val="005F1F6C"/>
    <w:rsid w:val="005F226F"/>
    <w:rsid w:val="005F265A"/>
    <w:rsid w:val="005F296C"/>
    <w:rsid w:val="005F329D"/>
    <w:rsid w:val="005F366A"/>
    <w:rsid w:val="005F3A7C"/>
    <w:rsid w:val="005F41B6"/>
    <w:rsid w:val="005F42E2"/>
    <w:rsid w:val="005F435C"/>
    <w:rsid w:val="005F4732"/>
    <w:rsid w:val="005F4BF7"/>
    <w:rsid w:val="005F5317"/>
    <w:rsid w:val="005F53A9"/>
    <w:rsid w:val="005F5977"/>
    <w:rsid w:val="005F5A1D"/>
    <w:rsid w:val="005F653E"/>
    <w:rsid w:val="005F6C66"/>
    <w:rsid w:val="005F6EBA"/>
    <w:rsid w:val="005F7315"/>
    <w:rsid w:val="005F7322"/>
    <w:rsid w:val="005F75A8"/>
    <w:rsid w:val="005F7DB4"/>
    <w:rsid w:val="006007E2"/>
    <w:rsid w:val="00601491"/>
    <w:rsid w:val="00601691"/>
    <w:rsid w:val="006018CB"/>
    <w:rsid w:val="00601BA1"/>
    <w:rsid w:val="0060228B"/>
    <w:rsid w:val="00602989"/>
    <w:rsid w:val="006034B9"/>
    <w:rsid w:val="006037FD"/>
    <w:rsid w:val="006043E2"/>
    <w:rsid w:val="006045F1"/>
    <w:rsid w:val="0060477F"/>
    <w:rsid w:val="00604C93"/>
    <w:rsid w:val="00605043"/>
    <w:rsid w:val="006055EE"/>
    <w:rsid w:val="00606A2A"/>
    <w:rsid w:val="00606B8B"/>
    <w:rsid w:val="00606DF9"/>
    <w:rsid w:val="0060708C"/>
    <w:rsid w:val="006070A8"/>
    <w:rsid w:val="00607AFC"/>
    <w:rsid w:val="00607BA5"/>
    <w:rsid w:val="00607EE6"/>
    <w:rsid w:val="006116A6"/>
    <w:rsid w:val="0061180A"/>
    <w:rsid w:val="006120AC"/>
    <w:rsid w:val="00612E84"/>
    <w:rsid w:val="0061300D"/>
    <w:rsid w:val="006135F3"/>
    <w:rsid w:val="00613668"/>
    <w:rsid w:val="00614312"/>
    <w:rsid w:val="006148F7"/>
    <w:rsid w:val="00614B0A"/>
    <w:rsid w:val="00614B61"/>
    <w:rsid w:val="00615D9B"/>
    <w:rsid w:val="00615F05"/>
    <w:rsid w:val="006165C2"/>
    <w:rsid w:val="00616D9A"/>
    <w:rsid w:val="006179C4"/>
    <w:rsid w:val="00617E26"/>
    <w:rsid w:val="00617FFB"/>
    <w:rsid w:val="006208D1"/>
    <w:rsid w:val="00620A55"/>
    <w:rsid w:val="006215ED"/>
    <w:rsid w:val="00621734"/>
    <w:rsid w:val="006217F2"/>
    <w:rsid w:val="00621803"/>
    <w:rsid w:val="00621CE9"/>
    <w:rsid w:val="00621E5B"/>
    <w:rsid w:val="00621E8C"/>
    <w:rsid w:val="00622310"/>
    <w:rsid w:val="00622D94"/>
    <w:rsid w:val="00623167"/>
    <w:rsid w:val="00623716"/>
    <w:rsid w:val="00623737"/>
    <w:rsid w:val="006239DA"/>
    <w:rsid w:val="00624C2D"/>
    <w:rsid w:val="00624CB6"/>
    <w:rsid w:val="00625089"/>
    <w:rsid w:val="00625939"/>
    <w:rsid w:val="006267EF"/>
    <w:rsid w:val="00626ADA"/>
    <w:rsid w:val="00626C9F"/>
    <w:rsid w:val="00626EB6"/>
    <w:rsid w:val="00626F97"/>
    <w:rsid w:val="00627332"/>
    <w:rsid w:val="00627A27"/>
    <w:rsid w:val="00631E08"/>
    <w:rsid w:val="00632892"/>
    <w:rsid w:val="00633401"/>
    <w:rsid w:val="0063367F"/>
    <w:rsid w:val="00633FEF"/>
    <w:rsid w:val="006343D2"/>
    <w:rsid w:val="006343EE"/>
    <w:rsid w:val="0063491F"/>
    <w:rsid w:val="00634C3F"/>
    <w:rsid w:val="006357FA"/>
    <w:rsid w:val="00635B64"/>
    <w:rsid w:val="00635D4F"/>
    <w:rsid w:val="00635F90"/>
    <w:rsid w:val="00636016"/>
    <w:rsid w:val="006363B3"/>
    <w:rsid w:val="00636507"/>
    <w:rsid w:val="00636C78"/>
    <w:rsid w:val="00636C85"/>
    <w:rsid w:val="00637288"/>
    <w:rsid w:val="00637F75"/>
    <w:rsid w:val="00640602"/>
    <w:rsid w:val="00640802"/>
    <w:rsid w:val="00640922"/>
    <w:rsid w:val="00640B11"/>
    <w:rsid w:val="00640B6A"/>
    <w:rsid w:val="00640D9B"/>
    <w:rsid w:val="00641173"/>
    <w:rsid w:val="006416D9"/>
    <w:rsid w:val="00641A9E"/>
    <w:rsid w:val="006428BB"/>
    <w:rsid w:val="00642B84"/>
    <w:rsid w:val="00642F4F"/>
    <w:rsid w:val="0064308F"/>
    <w:rsid w:val="006433C3"/>
    <w:rsid w:val="00643482"/>
    <w:rsid w:val="0064368D"/>
    <w:rsid w:val="00643B17"/>
    <w:rsid w:val="0064424A"/>
    <w:rsid w:val="00644389"/>
    <w:rsid w:val="00644D6E"/>
    <w:rsid w:val="00644EBD"/>
    <w:rsid w:val="00644F9B"/>
    <w:rsid w:val="00645397"/>
    <w:rsid w:val="00646057"/>
    <w:rsid w:val="00646A21"/>
    <w:rsid w:val="006473CD"/>
    <w:rsid w:val="00647507"/>
    <w:rsid w:val="0064752F"/>
    <w:rsid w:val="006477AC"/>
    <w:rsid w:val="00647B4E"/>
    <w:rsid w:val="00647D9C"/>
    <w:rsid w:val="00647E51"/>
    <w:rsid w:val="00647EC5"/>
    <w:rsid w:val="00650372"/>
    <w:rsid w:val="00650786"/>
    <w:rsid w:val="00650C42"/>
    <w:rsid w:val="00651199"/>
    <w:rsid w:val="00651642"/>
    <w:rsid w:val="0065185D"/>
    <w:rsid w:val="00651A33"/>
    <w:rsid w:val="00651CE4"/>
    <w:rsid w:val="00651D3B"/>
    <w:rsid w:val="00652E8E"/>
    <w:rsid w:val="006531B8"/>
    <w:rsid w:val="0065354F"/>
    <w:rsid w:val="0065380D"/>
    <w:rsid w:val="00653B0B"/>
    <w:rsid w:val="00653B2D"/>
    <w:rsid w:val="00653D4D"/>
    <w:rsid w:val="006541F1"/>
    <w:rsid w:val="0065438F"/>
    <w:rsid w:val="0065478C"/>
    <w:rsid w:val="0065498D"/>
    <w:rsid w:val="006549FF"/>
    <w:rsid w:val="00654F80"/>
    <w:rsid w:val="00655CF9"/>
    <w:rsid w:val="00655D03"/>
    <w:rsid w:val="00656147"/>
    <w:rsid w:val="0065644D"/>
    <w:rsid w:val="00656B10"/>
    <w:rsid w:val="00657017"/>
    <w:rsid w:val="006572CD"/>
    <w:rsid w:val="0065738D"/>
    <w:rsid w:val="00657666"/>
    <w:rsid w:val="006579FC"/>
    <w:rsid w:val="00657A7B"/>
    <w:rsid w:val="00657B78"/>
    <w:rsid w:val="00660182"/>
    <w:rsid w:val="006604F3"/>
    <w:rsid w:val="00660A06"/>
    <w:rsid w:val="00660A5E"/>
    <w:rsid w:val="0066106C"/>
    <w:rsid w:val="00662ACD"/>
    <w:rsid w:val="00662DDA"/>
    <w:rsid w:val="00662FCF"/>
    <w:rsid w:val="006630AF"/>
    <w:rsid w:val="00663B5D"/>
    <w:rsid w:val="006642F3"/>
    <w:rsid w:val="00664372"/>
    <w:rsid w:val="00664544"/>
    <w:rsid w:val="00664599"/>
    <w:rsid w:val="00664653"/>
    <w:rsid w:val="00665A48"/>
    <w:rsid w:val="00665FB0"/>
    <w:rsid w:val="0066640D"/>
    <w:rsid w:val="006671DE"/>
    <w:rsid w:val="0066733C"/>
    <w:rsid w:val="00667457"/>
    <w:rsid w:val="00667758"/>
    <w:rsid w:val="00667FFA"/>
    <w:rsid w:val="006701F8"/>
    <w:rsid w:val="006702C8"/>
    <w:rsid w:val="006731E6"/>
    <w:rsid w:val="00674308"/>
    <w:rsid w:val="00674668"/>
    <w:rsid w:val="00675271"/>
    <w:rsid w:val="006756FC"/>
    <w:rsid w:val="00675AD2"/>
    <w:rsid w:val="00675F9A"/>
    <w:rsid w:val="00677150"/>
    <w:rsid w:val="006774CD"/>
    <w:rsid w:val="00680290"/>
    <w:rsid w:val="006806B0"/>
    <w:rsid w:val="0068170C"/>
    <w:rsid w:val="00681C80"/>
    <w:rsid w:val="00681EEF"/>
    <w:rsid w:val="0068287E"/>
    <w:rsid w:val="0068330C"/>
    <w:rsid w:val="00683388"/>
    <w:rsid w:val="00683805"/>
    <w:rsid w:val="00683AB3"/>
    <w:rsid w:val="00683F84"/>
    <w:rsid w:val="006844BB"/>
    <w:rsid w:val="0068458C"/>
    <w:rsid w:val="00684961"/>
    <w:rsid w:val="006851D0"/>
    <w:rsid w:val="00685737"/>
    <w:rsid w:val="00685A15"/>
    <w:rsid w:val="00685BD3"/>
    <w:rsid w:val="00685CDA"/>
    <w:rsid w:val="006865D9"/>
    <w:rsid w:val="006866E7"/>
    <w:rsid w:val="00686A34"/>
    <w:rsid w:val="006872FD"/>
    <w:rsid w:val="00687E18"/>
    <w:rsid w:val="00690474"/>
    <w:rsid w:val="006907FF"/>
    <w:rsid w:val="00690C03"/>
    <w:rsid w:val="00690D16"/>
    <w:rsid w:val="00690DA7"/>
    <w:rsid w:val="006910B3"/>
    <w:rsid w:val="006919FA"/>
    <w:rsid w:val="00692384"/>
    <w:rsid w:val="00692A3E"/>
    <w:rsid w:val="00692DF3"/>
    <w:rsid w:val="00692FF2"/>
    <w:rsid w:val="00693042"/>
    <w:rsid w:val="00693421"/>
    <w:rsid w:val="00693720"/>
    <w:rsid w:val="00694121"/>
    <w:rsid w:val="00694850"/>
    <w:rsid w:val="00694CAE"/>
    <w:rsid w:val="00695494"/>
    <w:rsid w:val="00696063"/>
    <w:rsid w:val="0069669B"/>
    <w:rsid w:val="006969AB"/>
    <w:rsid w:val="00696C3F"/>
    <w:rsid w:val="00696F00"/>
    <w:rsid w:val="00696F3F"/>
    <w:rsid w:val="00697076"/>
    <w:rsid w:val="0069719F"/>
    <w:rsid w:val="00697203"/>
    <w:rsid w:val="00697A5C"/>
    <w:rsid w:val="00697FED"/>
    <w:rsid w:val="006A09C4"/>
    <w:rsid w:val="006A11E3"/>
    <w:rsid w:val="006A14E3"/>
    <w:rsid w:val="006A162F"/>
    <w:rsid w:val="006A1639"/>
    <w:rsid w:val="006A16D6"/>
    <w:rsid w:val="006A16D8"/>
    <w:rsid w:val="006A17E5"/>
    <w:rsid w:val="006A19BA"/>
    <w:rsid w:val="006A1A56"/>
    <w:rsid w:val="006A1DB0"/>
    <w:rsid w:val="006A323B"/>
    <w:rsid w:val="006A3794"/>
    <w:rsid w:val="006A3A37"/>
    <w:rsid w:val="006A3ADE"/>
    <w:rsid w:val="006A41FE"/>
    <w:rsid w:val="006A46E8"/>
    <w:rsid w:val="006A48EE"/>
    <w:rsid w:val="006A4CB0"/>
    <w:rsid w:val="006A4DC7"/>
    <w:rsid w:val="006A5131"/>
    <w:rsid w:val="006A5A81"/>
    <w:rsid w:val="006A5D97"/>
    <w:rsid w:val="006A6A81"/>
    <w:rsid w:val="006A7076"/>
    <w:rsid w:val="006A7DB9"/>
    <w:rsid w:val="006A7EAD"/>
    <w:rsid w:val="006A7F65"/>
    <w:rsid w:val="006B0414"/>
    <w:rsid w:val="006B0FDC"/>
    <w:rsid w:val="006B125A"/>
    <w:rsid w:val="006B1662"/>
    <w:rsid w:val="006B1E7C"/>
    <w:rsid w:val="006B2076"/>
    <w:rsid w:val="006B245D"/>
    <w:rsid w:val="006B283A"/>
    <w:rsid w:val="006B2933"/>
    <w:rsid w:val="006B2DE5"/>
    <w:rsid w:val="006B3386"/>
    <w:rsid w:val="006B33F3"/>
    <w:rsid w:val="006B3649"/>
    <w:rsid w:val="006B37DA"/>
    <w:rsid w:val="006B392E"/>
    <w:rsid w:val="006B4498"/>
    <w:rsid w:val="006B4930"/>
    <w:rsid w:val="006B4A6D"/>
    <w:rsid w:val="006B4D8F"/>
    <w:rsid w:val="006B4F95"/>
    <w:rsid w:val="006B51C1"/>
    <w:rsid w:val="006B53D0"/>
    <w:rsid w:val="006B5503"/>
    <w:rsid w:val="006B5A7C"/>
    <w:rsid w:val="006B5D97"/>
    <w:rsid w:val="006B62ED"/>
    <w:rsid w:val="006B739C"/>
    <w:rsid w:val="006B78A5"/>
    <w:rsid w:val="006B7C80"/>
    <w:rsid w:val="006C0AEE"/>
    <w:rsid w:val="006C0C4C"/>
    <w:rsid w:val="006C0E1D"/>
    <w:rsid w:val="006C1847"/>
    <w:rsid w:val="006C1855"/>
    <w:rsid w:val="006C1A4B"/>
    <w:rsid w:val="006C1B3E"/>
    <w:rsid w:val="006C2221"/>
    <w:rsid w:val="006C2B5A"/>
    <w:rsid w:val="006C2BFE"/>
    <w:rsid w:val="006C319C"/>
    <w:rsid w:val="006C373C"/>
    <w:rsid w:val="006C3840"/>
    <w:rsid w:val="006C38DD"/>
    <w:rsid w:val="006C3C5E"/>
    <w:rsid w:val="006C4105"/>
    <w:rsid w:val="006C4147"/>
    <w:rsid w:val="006C4514"/>
    <w:rsid w:val="006C4663"/>
    <w:rsid w:val="006C4830"/>
    <w:rsid w:val="006C4A3A"/>
    <w:rsid w:val="006C4DBA"/>
    <w:rsid w:val="006C4F66"/>
    <w:rsid w:val="006C543A"/>
    <w:rsid w:val="006C54B9"/>
    <w:rsid w:val="006C5618"/>
    <w:rsid w:val="006C5ABB"/>
    <w:rsid w:val="006C5EBE"/>
    <w:rsid w:val="006C65AD"/>
    <w:rsid w:val="006C69DD"/>
    <w:rsid w:val="006C6D59"/>
    <w:rsid w:val="006C7FF0"/>
    <w:rsid w:val="006D02EC"/>
    <w:rsid w:val="006D053E"/>
    <w:rsid w:val="006D086B"/>
    <w:rsid w:val="006D1905"/>
    <w:rsid w:val="006D1C83"/>
    <w:rsid w:val="006D201E"/>
    <w:rsid w:val="006D253E"/>
    <w:rsid w:val="006D262F"/>
    <w:rsid w:val="006D26BA"/>
    <w:rsid w:val="006D2991"/>
    <w:rsid w:val="006D2BCE"/>
    <w:rsid w:val="006D3348"/>
    <w:rsid w:val="006D334C"/>
    <w:rsid w:val="006D4B2B"/>
    <w:rsid w:val="006D4D38"/>
    <w:rsid w:val="006D56E8"/>
    <w:rsid w:val="006D5D48"/>
    <w:rsid w:val="006D60B9"/>
    <w:rsid w:val="006D6387"/>
    <w:rsid w:val="006D68B1"/>
    <w:rsid w:val="006D6B52"/>
    <w:rsid w:val="006D6DA5"/>
    <w:rsid w:val="006D736C"/>
    <w:rsid w:val="006D78FA"/>
    <w:rsid w:val="006D79E7"/>
    <w:rsid w:val="006D7FE2"/>
    <w:rsid w:val="006D7FF2"/>
    <w:rsid w:val="006E10CB"/>
    <w:rsid w:val="006E199D"/>
    <w:rsid w:val="006E1BFD"/>
    <w:rsid w:val="006E36C5"/>
    <w:rsid w:val="006E3CF6"/>
    <w:rsid w:val="006E3D8E"/>
    <w:rsid w:val="006E3FA0"/>
    <w:rsid w:val="006E423A"/>
    <w:rsid w:val="006E42C1"/>
    <w:rsid w:val="006E449D"/>
    <w:rsid w:val="006E4510"/>
    <w:rsid w:val="006E473E"/>
    <w:rsid w:val="006E4AF0"/>
    <w:rsid w:val="006E5D4A"/>
    <w:rsid w:val="006E5FAF"/>
    <w:rsid w:val="006E604B"/>
    <w:rsid w:val="006E6734"/>
    <w:rsid w:val="006E6DB7"/>
    <w:rsid w:val="006E734A"/>
    <w:rsid w:val="006E77D2"/>
    <w:rsid w:val="006F011E"/>
    <w:rsid w:val="006F12C4"/>
    <w:rsid w:val="006F1DC0"/>
    <w:rsid w:val="006F1F3A"/>
    <w:rsid w:val="006F22E7"/>
    <w:rsid w:val="006F24E0"/>
    <w:rsid w:val="006F27AC"/>
    <w:rsid w:val="006F3444"/>
    <w:rsid w:val="006F354F"/>
    <w:rsid w:val="006F35D8"/>
    <w:rsid w:val="006F38C7"/>
    <w:rsid w:val="006F3B89"/>
    <w:rsid w:val="006F3BA9"/>
    <w:rsid w:val="006F3E89"/>
    <w:rsid w:val="006F3FE8"/>
    <w:rsid w:val="006F4517"/>
    <w:rsid w:val="006F5B1E"/>
    <w:rsid w:val="006F5D6D"/>
    <w:rsid w:val="006F5F75"/>
    <w:rsid w:val="006F625B"/>
    <w:rsid w:val="006F686A"/>
    <w:rsid w:val="006F6C47"/>
    <w:rsid w:val="006F6D0D"/>
    <w:rsid w:val="006F6EAC"/>
    <w:rsid w:val="006F6FFC"/>
    <w:rsid w:val="006F7393"/>
    <w:rsid w:val="006F7645"/>
    <w:rsid w:val="006F76DC"/>
    <w:rsid w:val="006F7CE4"/>
    <w:rsid w:val="006F7CF5"/>
    <w:rsid w:val="007007F5"/>
    <w:rsid w:val="007019D8"/>
    <w:rsid w:val="007021A3"/>
    <w:rsid w:val="0070224F"/>
    <w:rsid w:val="007022BD"/>
    <w:rsid w:val="00702466"/>
    <w:rsid w:val="00703251"/>
    <w:rsid w:val="007033A7"/>
    <w:rsid w:val="007039D6"/>
    <w:rsid w:val="00703B13"/>
    <w:rsid w:val="00703D35"/>
    <w:rsid w:val="00704154"/>
    <w:rsid w:val="00704824"/>
    <w:rsid w:val="00704B09"/>
    <w:rsid w:val="00705088"/>
    <w:rsid w:val="00705373"/>
    <w:rsid w:val="007056CC"/>
    <w:rsid w:val="0070593D"/>
    <w:rsid w:val="00706896"/>
    <w:rsid w:val="00706A70"/>
    <w:rsid w:val="00706B86"/>
    <w:rsid w:val="00706BD2"/>
    <w:rsid w:val="007072D4"/>
    <w:rsid w:val="00707393"/>
    <w:rsid w:val="0070783E"/>
    <w:rsid w:val="00707E75"/>
    <w:rsid w:val="00707F1F"/>
    <w:rsid w:val="00707F69"/>
    <w:rsid w:val="00710654"/>
    <w:rsid w:val="00710696"/>
    <w:rsid w:val="00710931"/>
    <w:rsid w:val="00710ADB"/>
    <w:rsid w:val="00710C94"/>
    <w:rsid w:val="00710EF0"/>
    <w:rsid w:val="00711049"/>
    <w:rsid w:val="0071152F"/>
    <w:rsid w:val="007115F7"/>
    <w:rsid w:val="00711AE0"/>
    <w:rsid w:val="00711C05"/>
    <w:rsid w:val="00711D12"/>
    <w:rsid w:val="00711DC6"/>
    <w:rsid w:val="007127AA"/>
    <w:rsid w:val="007128DB"/>
    <w:rsid w:val="00712F14"/>
    <w:rsid w:val="007131BC"/>
    <w:rsid w:val="00713A98"/>
    <w:rsid w:val="00713EAF"/>
    <w:rsid w:val="007146E7"/>
    <w:rsid w:val="00714B4C"/>
    <w:rsid w:val="00714CEB"/>
    <w:rsid w:val="00715CAC"/>
    <w:rsid w:val="007160DF"/>
    <w:rsid w:val="0071622F"/>
    <w:rsid w:val="007170FA"/>
    <w:rsid w:val="0071754F"/>
    <w:rsid w:val="007177D1"/>
    <w:rsid w:val="0071795D"/>
    <w:rsid w:val="00717F04"/>
    <w:rsid w:val="007203B6"/>
    <w:rsid w:val="00720A8A"/>
    <w:rsid w:val="00720B96"/>
    <w:rsid w:val="00720E97"/>
    <w:rsid w:val="00721683"/>
    <w:rsid w:val="007221D4"/>
    <w:rsid w:val="00722321"/>
    <w:rsid w:val="00723761"/>
    <w:rsid w:val="00724211"/>
    <w:rsid w:val="00724441"/>
    <w:rsid w:val="007244AC"/>
    <w:rsid w:val="00725310"/>
    <w:rsid w:val="00725DC0"/>
    <w:rsid w:val="00726238"/>
    <w:rsid w:val="007262D5"/>
    <w:rsid w:val="0072765C"/>
    <w:rsid w:val="007279C1"/>
    <w:rsid w:val="00727AE7"/>
    <w:rsid w:val="0073098E"/>
    <w:rsid w:val="00730FBC"/>
    <w:rsid w:val="007316A9"/>
    <w:rsid w:val="00731A53"/>
    <w:rsid w:val="00732234"/>
    <w:rsid w:val="007323EB"/>
    <w:rsid w:val="00732538"/>
    <w:rsid w:val="00733373"/>
    <w:rsid w:val="007339C0"/>
    <w:rsid w:val="00734257"/>
    <w:rsid w:val="0073460C"/>
    <w:rsid w:val="00734BC9"/>
    <w:rsid w:val="0073509A"/>
    <w:rsid w:val="007354C5"/>
    <w:rsid w:val="00735BF8"/>
    <w:rsid w:val="00735F81"/>
    <w:rsid w:val="0073641F"/>
    <w:rsid w:val="007367F8"/>
    <w:rsid w:val="00736B27"/>
    <w:rsid w:val="00736B9B"/>
    <w:rsid w:val="00736D56"/>
    <w:rsid w:val="00736E04"/>
    <w:rsid w:val="00737ADA"/>
    <w:rsid w:val="007402E0"/>
    <w:rsid w:val="007406DE"/>
    <w:rsid w:val="00740ED2"/>
    <w:rsid w:val="00741599"/>
    <w:rsid w:val="00741632"/>
    <w:rsid w:val="00741F87"/>
    <w:rsid w:val="00742437"/>
    <w:rsid w:val="007428C9"/>
    <w:rsid w:val="00742ACF"/>
    <w:rsid w:val="00743080"/>
    <w:rsid w:val="00743646"/>
    <w:rsid w:val="00743BD0"/>
    <w:rsid w:val="00744130"/>
    <w:rsid w:val="007444F6"/>
    <w:rsid w:val="007446A5"/>
    <w:rsid w:val="007447F5"/>
    <w:rsid w:val="007447F8"/>
    <w:rsid w:val="00744E8F"/>
    <w:rsid w:val="007452B4"/>
    <w:rsid w:val="00745BCB"/>
    <w:rsid w:val="007460A9"/>
    <w:rsid w:val="00746118"/>
    <w:rsid w:val="007466F1"/>
    <w:rsid w:val="007474BD"/>
    <w:rsid w:val="0074776A"/>
    <w:rsid w:val="00747952"/>
    <w:rsid w:val="00750036"/>
    <w:rsid w:val="00750B65"/>
    <w:rsid w:val="00750C58"/>
    <w:rsid w:val="00751DB5"/>
    <w:rsid w:val="00752353"/>
    <w:rsid w:val="007524C3"/>
    <w:rsid w:val="00752617"/>
    <w:rsid w:val="00752CFE"/>
    <w:rsid w:val="00753551"/>
    <w:rsid w:val="00753B89"/>
    <w:rsid w:val="00753C4F"/>
    <w:rsid w:val="00753CD5"/>
    <w:rsid w:val="00753E53"/>
    <w:rsid w:val="00753F5C"/>
    <w:rsid w:val="00754070"/>
    <w:rsid w:val="007542E0"/>
    <w:rsid w:val="007545C7"/>
    <w:rsid w:val="0075483A"/>
    <w:rsid w:val="00754D00"/>
    <w:rsid w:val="00756B7B"/>
    <w:rsid w:val="00756EA2"/>
    <w:rsid w:val="0075777E"/>
    <w:rsid w:val="007579E6"/>
    <w:rsid w:val="0076009C"/>
    <w:rsid w:val="0076029D"/>
    <w:rsid w:val="007607DA"/>
    <w:rsid w:val="00760F91"/>
    <w:rsid w:val="0076192F"/>
    <w:rsid w:val="00761B20"/>
    <w:rsid w:val="00761CC3"/>
    <w:rsid w:val="00761D6A"/>
    <w:rsid w:val="00762A13"/>
    <w:rsid w:val="00762FE9"/>
    <w:rsid w:val="0076376C"/>
    <w:rsid w:val="00763BCA"/>
    <w:rsid w:val="00763CF3"/>
    <w:rsid w:val="00763E19"/>
    <w:rsid w:val="00763F1F"/>
    <w:rsid w:val="00764368"/>
    <w:rsid w:val="007654D2"/>
    <w:rsid w:val="007659A5"/>
    <w:rsid w:val="00765ADE"/>
    <w:rsid w:val="00765D18"/>
    <w:rsid w:val="00766617"/>
    <w:rsid w:val="00766DA1"/>
    <w:rsid w:val="00766FE1"/>
    <w:rsid w:val="00767830"/>
    <w:rsid w:val="00767B5D"/>
    <w:rsid w:val="00767DBF"/>
    <w:rsid w:val="00767F93"/>
    <w:rsid w:val="0077043C"/>
    <w:rsid w:val="007708F4"/>
    <w:rsid w:val="007713C7"/>
    <w:rsid w:val="00771D14"/>
    <w:rsid w:val="00772B97"/>
    <w:rsid w:val="00772C29"/>
    <w:rsid w:val="00772CC6"/>
    <w:rsid w:val="00772FE2"/>
    <w:rsid w:val="007730DE"/>
    <w:rsid w:val="00773477"/>
    <w:rsid w:val="007735C7"/>
    <w:rsid w:val="00773916"/>
    <w:rsid w:val="00773B20"/>
    <w:rsid w:val="0077478C"/>
    <w:rsid w:val="00774D20"/>
    <w:rsid w:val="00775A8F"/>
    <w:rsid w:val="0077682D"/>
    <w:rsid w:val="00777213"/>
    <w:rsid w:val="00777446"/>
    <w:rsid w:val="007777DD"/>
    <w:rsid w:val="00777B7B"/>
    <w:rsid w:val="00777E53"/>
    <w:rsid w:val="00780277"/>
    <w:rsid w:val="00780B41"/>
    <w:rsid w:val="00780FF0"/>
    <w:rsid w:val="00781286"/>
    <w:rsid w:val="00781919"/>
    <w:rsid w:val="00782615"/>
    <w:rsid w:val="007829D3"/>
    <w:rsid w:val="00782D51"/>
    <w:rsid w:val="0078306E"/>
    <w:rsid w:val="0078321A"/>
    <w:rsid w:val="00783527"/>
    <w:rsid w:val="00783C10"/>
    <w:rsid w:val="007845AF"/>
    <w:rsid w:val="0078496C"/>
    <w:rsid w:val="00784D13"/>
    <w:rsid w:val="00784F0D"/>
    <w:rsid w:val="00785689"/>
    <w:rsid w:val="00785CD9"/>
    <w:rsid w:val="00785D8D"/>
    <w:rsid w:val="0078618B"/>
    <w:rsid w:val="007866F7"/>
    <w:rsid w:val="00786775"/>
    <w:rsid w:val="00786D18"/>
    <w:rsid w:val="00786E35"/>
    <w:rsid w:val="00787419"/>
    <w:rsid w:val="007875DE"/>
    <w:rsid w:val="007900C8"/>
    <w:rsid w:val="007903D5"/>
    <w:rsid w:val="00790586"/>
    <w:rsid w:val="00790716"/>
    <w:rsid w:val="0079102B"/>
    <w:rsid w:val="007911FF"/>
    <w:rsid w:val="0079156C"/>
    <w:rsid w:val="007922A2"/>
    <w:rsid w:val="0079254B"/>
    <w:rsid w:val="00792B8A"/>
    <w:rsid w:val="00792EF5"/>
    <w:rsid w:val="007930E0"/>
    <w:rsid w:val="00794000"/>
    <w:rsid w:val="00794084"/>
    <w:rsid w:val="00794ACC"/>
    <w:rsid w:val="00794C4C"/>
    <w:rsid w:val="00794C7E"/>
    <w:rsid w:val="00794D93"/>
    <w:rsid w:val="0079545C"/>
    <w:rsid w:val="0079556A"/>
    <w:rsid w:val="0079570B"/>
    <w:rsid w:val="007959E8"/>
    <w:rsid w:val="00795E2D"/>
    <w:rsid w:val="00796435"/>
    <w:rsid w:val="0079660B"/>
    <w:rsid w:val="0079680F"/>
    <w:rsid w:val="00796873"/>
    <w:rsid w:val="00797036"/>
    <w:rsid w:val="007971B5"/>
    <w:rsid w:val="0079754B"/>
    <w:rsid w:val="00797878"/>
    <w:rsid w:val="007978F2"/>
    <w:rsid w:val="007A0517"/>
    <w:rsid w:val="007A0B50"/>
    <w:rsid w:val="007A0FB3"/>
    <w:rsid w:val="007A1562"/>
    <w:rsid w:val="007A1898"/>
    <w:rsid w:val="007A1E6D"/>
    <w:rsid w:val="007A2251"/>
    <w:rsid w:val="007A29A2"/>
    <w:rsid w:val="007A31FA"/>
    <w:rsid w:val="007A32AF"/>
    <w:rsid w:val="007A3499"/>
    <w:rsid w:val="007A3E58"/>
    <w:rsid w:val="007A4335"/>
    <w:rsid w:val="007A4EF8"/>
    <w:rsid w:val="007A556B"/>
    <w:rsid w:val="007A5969"/>
    <w:rsid w:val="007A5A38"/>
    <w:rsid w:val="007A5A65"/>
    <w:rsid w:val="007A72BF"/>
    <w:rsid w:val="007A7D4C"/>
    <w:rsid w:val="007B0514"/>
    <w:rsid w:val="007B0EB2"/>
    <w:rsid w:val="007B10A3"/>
    <w:rsid w:val="007B18C5"/>
    <w:rsid w:val="007B1F8B"/>
    <w:rsid w:val="007B3B88"/>
    <w:rsid w:val="007B3D42"/>
    <w:rsid w:val="007B40F6"/>
    <w:rsid w:val="007B41A6"/>
    <w:rsid w:val="007B47E9"/>
    <w:rsid w:val="007B4BB0"/>
    <w:rsid w:val="007B515D"/>
    <w:rsid w:val="007B58C2"/>
    <w:rsid w:val="007B6594"/>
    <w:rsid w:val="007B6A30"/>
    <w:rsid w:val="007B6C02"/>
    <w:rsid w:val="007B71BF"/>
    <w:rsid w:val="007B76AA"/>
    <w:rsid w:val="007B78FA"/>
    <w:rsid w:val="007B7D5F"/>
    <w:rsid w:val="007C0703"/>
    <w:rsid w:val="007C07A6"/>
    <w:rsid w:val="007C088B"/>
    <w:rsid w:val="007C1195"/>
    <w:rsid w:val="007C158D"/>
    <w:rsid w:val="007C326B"/>
    <w:rsid w:val="007C393A"/>
    <w:rsid w:val="007C3C92"/>
    <w:rsid w:val="007C4133"/>
    <w:rsid w:val="007C43F5"/>
    <w:rsid w:val="007C4CE0"/>
    <w:rsid w:val="007C5E10"/>
    <w:rsid w:val="007C6055"/>
    <w:rsid w:val="007C6634"/>
    <w:rsid w:val="007C683A"/>
    <w:rsid w:val="007C69AD"/>
    <w:rsid w:val="007C6B4F"/>
    <w:rsid w:val="007C72CC"/>
    <w:rsid w:val="007C76D3"/>
    <w:rsid w:val="007D03AB"/>
    <w:rsid w:val="007D0B6F"/>
    <w:rsid w:val="007D10D1"/>
    <w:rsid w:val="007D1271"/>
    <w:rsid w:val="007D16C8"/>
    <w:rsid w:val="007D1A59"/>
    <w:rsid w:val="007D1C6B"/>
    <w:rsid w:val="007D236F"/>
    <w:rsid w:val="007D2561"/>
    <w:rsid w:val="007D2A54"/>
    <w:rsid w:val="007D2C01"/>
    <w:rsid w:val="007D2F35"/>
    <w:rsid w:val="007D317C"/>
    <w:rsid w:val="007D3EBE"/>
    <w:rsid w:val="007D40D4"/>
    <w:rsid w:val="007D41BB"/>
    <w:rsid w:val="007D429C"/>
    <w:rsid w:val="007D484F"/>
    <w:rsid w:val="007D4F40"/>
    <w:rsid w:val="007D5183"/>
    <w:rsid w:val="007D6105"/>
    <w:rsid w:val="007D62EC"/>
    <w:rsid w:val="007D6704"/>
    <w:rsid w:val="007D68E4"/>
    <w:rsid w:val="007D69F3"/>
    <w:rsid w:val="007D6AC8"/>
    <w:rsid w:val="007D6B24"/>
    <w:rsid w:val="007D71E3"/>
    <w:rsid w:val="007D73C3"/>
    <w:rsid w:val="007D7696"/>
    <w:rsid w:val="007D7CA7"/>
    <w:rsid w:val="007E0393"/>
    <w:rsid w:val="007E04EE"/>
    <w:rsid w:val="007E07CD"/>
    <w:rsid w:val="007E0865"/>
    <w:rsid w:val="007E0BEA"/>
    <w:rsid w:val="007E0FC3"/>
    <w:rsid w:val="007E13CA"/>
    <w:rsid w:val="007E14EC"/>
    <w:rsid w:val="007E155D"/>
    <w:rsid w:val="007E1A36"/>
    <w:rsid w:val="007E1DC4"/>
    <w:rsid w:val="007E2F2A"/>
    <w:rsid w:val="007E3238"/>
    <w:rsid w:val="007E35FC"/>
    <w:rsid w:val="007E36E5"/>
    <w:rsid w:val="007E3C48"/>
    <w:rsid w:val="007E52CA"/>
    <w:rsid w:val="007E5D18"/>
    <w:rsid w:val="007E5E5F"/>
    <w:rsid w:val="007E6828"/>
    <w:rsid w:val="007E68E4"/>
    <w:rsid w:val="007E7C24"/>
    <w:rsid w:val="007F07C2"/>
    <w:rsid w:val="007F0D84"/>
    <w:rsid w:val="007F0E76"/>
    <w:rsid w:val="007F0FEF"/>
    <w:rsid w:val="007F10B2"/>
    <w:rsid w:val="007F121D"/>
    <w:rsid w:val="007F17BF"/>
    <w:rsid w:val="007F4F5F"/>
    <w:rsid w:val="007F6081"/>
    <w:rsid w:val="007F60AD"/>
    <w:rsid w:val="007F6468"/>
    <w:rsid w:val="007F6855"/>
    <w:rsid w:val="007F69C6"/>
    <w:rsid w:val="007F6C3F"/>
    <w:rsid w:val="007F7021"/>
    <w:rsid w:val="007F7344"/>
    <w:rsid w:val="007F742A"/>
    <w:rsid w:val="0080061F"/>
    <w:rsid w:val="008011E1"/>
    <w:rsid w:val="00801231"/>
    <w:rsid w:val="00801A60"/>
    <w:rsid w:val="00801DA0"/>
    <w:rsid w:val="00801E2D"/>
    <w:rsid w:val="0080253A"/>
    <w:rsid w:val="00803736"/>
    <w:rsid w:val="00803819"/>
    <w:rsid w:val="008038D3"/>
    <w:rsid w:val="00803CD7"/>
    <w:rsid w:val="008040BE"/>
    <w:rsid w:val="00804443"/>
    <w:rsid w:val="008047FF"/>
    <w:rsid w:val="00805A46"/>
    <w:rsid w:val="00805C6B"/>
    <w:rsid w:val="00805DBD"/>
    <w:rsid w:val="00805F5B"/>
    <w:rsid w:val="008066E8"/>
    <w:rsid w:val="00806730"/>
    <w:rsid w:val="0080680A"/>
    <w:rsid w:val="00807A35"/>
    <w:rsid w:val="00807A3D"/>
    <w:rsid w:val="00807BE6"/>
    <w:rsid w:val="00807D8E"/>
    <w:rsid w:val="00807FF9"/>
    <w:rsid w:val="008107F6"/>
    <w:rsid w:val="008109E9"/>
    <w:rsid w:val="00810ADD"/>
    <w:rsid w:val="00810B6F"/>
    <w:rsid w:val="008114C7"/>
    <w:rsid w:val="008115E4"/>
    <w:rsid w:val="00811886"/>
    <w:rsid w:val="008127A6"/>
    <w:rsid w:val="008128EA"/>
    <w:rsid w:val="00813143"/>
    <w:rsid w:val="008132AC"/>
    <w:rsid w:val="008137AD"/>
    <w:rsid w:val="008137C7"/>
    <w:rsid w:val="00813C5E"/>
    <w:rsid w:val="00813EB6"/>
    <w:rsid w:val="008142D3"/>
    <w:rsid w:val="00814515"/>
    <w:rsid w:val="008145D2"/>
    <w:rsid w:val="008146F7"/>
    <w:rsid w:val="008148EB"/>
    <w:rsid w:val="00814F8D"/>
    <w:rsid w:val="0081518C"/>
    <w:rsid w:val="0081528F"/>
    <w:rsid w:val="00815297"/>
    <w:rsid w:val="008152C3"/>
    <w:rsid w:val="00815C39"/>
    <w:rsid w:val="00816BEC"/>
    <w:rsid w:val="0081745D"/>
    <w:rsid w:val="008177A0"/>
    <w:rsid w:val="00817B6F"/>
    <w:rsid w:val="00817F10"/>
    <w:rsid w:val="00820DD8"/>
    <w:rsid w:val="00820FDE"/>
    <w:rsid w:val="008212AD"/>
    <w:rsid w:val="00821ACD"/>
    <w:rsid w:val="0082254F"/>
    <w:rsid w:val="00822B4E"/>
    <w:rsid w:val="00822CE0"/>
    <w:rsid w:val="00822D78"/>
    <w:rsid w:val="008235AF"/>
    <w:rsid w:val="008236F1"/>
    <w:rsid w:val="0082396B"/>
    <w:rsid w:val="00823F7F"/>
    <w:rsid w:val="00824AA4"/>
    <w:rsid w:val="008251C1"/>
    <w:rsid w:val="00825540"/>
    <w:rsid w:val="0082555B"/>
    <w:rsid w:val="00825986"/>
    <w:rsid w:val="00825C98"/>
    <w:rsid w:val="00825F29"/>
    <w:rsid w:val="00826323"/>
    <w:rsid w:val="008267E9"/>
    <w:rsid w:val="00826922"/>
    <w:rsid w:val="00826E89"/>
    <w:rsid w:val="008278DA"/>
    <w:rsid w:val="0083065A"/>
    <w:rsid w:val="0083088E"/>
    <w:rsid w:val="00830B34"/>
    <w:rsid w:val="00831F52"/>
    <w:rsid w:val="00831F55"/>
    <w:rsid w:val="00832603"/>
    <w:rsid w:val="00832660"/>
    <w:rsid w:val="00832880"/>
    <w:rsid w:val="00832CDA"/>
    <w:rsid w:val="00832E84"/>
    <w:rsid w:val="008331E3"/>
    <w:rsid w:val="008339E8"/>
    <w:rsid w:val="00833AA6"/>
    <w:rsid w:val="00833CB7"/>
    <w:rsid w:val="008342E7"/>
    <w:rsid w:val="0083482D"/>
    <w:rsid w:val="00834933"/>
    <w:rsid w:val="00834E64"/>
    <w:rsid w:val="00835829"/>
    <w:rsid w:val="00835D76"/>
    <w:rsid w:val="00836261"/>
    <w:rsid w:val="00836A1A"/>
    <w:rsid w:val="008370A3"/>
    <w:rsid w:val="00837126"/>
    <w:rsid w:val="0083789B"/>
    <w:rsid w:val="008402D5"/>
    <w:rsid w:val="00840487"/>
    <w:rsid w:val="00840920"/>
    <w:rsid w:val="00840ACE"/>
    <w:rsid w:val="008417C1"/>
    <w:rsid w:val="00841AB1"/>
    <w:rsid w:val="00842243"/>
    <w:rsid w:val="008426F9"/>
    <w:rsid w:val="00842913"/>
    <w:rsid w:val="00842C94"/>
    <w:rsid w:val="008437E8"/>
    <w:rsid w:val="00843E1F"/>
    <w:rsid w:val="00844110"/>
    <w:rsid w:val="0084455E"/>
    <w:rsid w:val="00844804"/>
    <w:rsid w:val="00844DB8"/>
    <w:rsid w:val="008454D5"/>
    <w:rsid w:val="0084562E"/>
    <w:rsid w:val="008461EB"/>
    <w:rsid w:val="008463EA"/>
    <w:rsid w:val="008464E9"/>
    <w:rsid w:val="00846516"/>
    <w:rsid w:val="00846A39"/>
    <w:rsid w:val="00846B62"/>
    <w:rsid w:val="00847F76"/>
    <w:rsid w:val="00850015"/>
    <w:rsid w:val="00850490"/>
    <w:rsid w:val="00850544"/>
    <w:rsid w:val="00850B48"/>
    <w:rsid w:val="00851078"/>
    <w:rsid w:val="008510E6"/>
    <w:rsid w:val="0085124C"/>
    <w:rsid w:val="0085145F"/>
    <w:rsid w:val="00851F2E"/>
    <w:rsid w:val="00851FF6"/>
    <w:rsid w:val="00852C99"/>
    <w:rsid w:val="00852E04"/>
    <w:rsid w:val="00853029"/>
    <w:rsid w:val="0085352D"/>
    <w:rsid w:val="00853630"/>
    <w:rsid w:val="008538C0"/>
    <w:rsid w:val="00853C39"/>
    <w:rsid w:val="00853DB0"/>
    <w:rsid w:val="00853F4E"/>
    <w:rsid w:val="008540EC"/>
    <w:rsid w:val="00854703"/>
    <w:rsid w:val="00854B3C"/>
    <w:rsid w:val="008550F0"/>
    <w:rsid w:val="008557A7"/>
    <w:rsid w:val="00855A3C"/>
    <w:rsid w:val="00855C9E"/>
    <w:rsid w:val="00855E8D"/>
    <w:rsid w:val="00855F59"/>
    <w:rsid w:val="00855F63"/>
    <w:rsid w:val="008561D8"/>
    <w:rsid w:val="00856419"/>
    <w:rsid w:val="00856AA0"/>
    <w:rsid w:val="00856C22"/>
    <w:rsid w:val="00856E8E"/>
    <w:rsid w:val="008575D6"/>
    <w:rsid w:val="00857982"/>
    <w:rsid w:val="0086030A"/>
    <w:rsid w:val="0086051A"/>
    <w:rsid w:val="00860D1F"/>
    <w:rsid w:val="008611BD"/>
    <w:rsid w:val="008614A3"/>
    <w:rsid w:val="008614DF"/>
    <w:rsid w:val="008619CE"/>
    <w:rsid w:val="00861B9E"/>
    <w:rsid w:val="008627A4"/>
    <w:rsid w:val="008629F4"/>
    <w:rsid w:val="00862D46"/>
    <w:rsid w:val="008631D8"/>
    <w:rsid w:val="008634A5"/>
    <w:rsid w:val="00863D36"/>
    <w:rsid w:val="008640A0"/>
    <w:rsid w:val="008643C6"/>
    <w:rsid w:val="008652E9"/>
    <w:rsid w:val="00865C6B"/>
    <w:rsid w:val="00865F55"/>
    <w:rsid w:val="00866179"/>
    <w:rsid w:val="0086645F"/>
    <w:rsid w:val="00866A78"/>
    <w:rsid w:val="00866F11"/>
    <w:rsid w:val="008672DA"/>
    <w:rsid w:val="008673A9"/>
    <w:rsid w:val="00867747"/>
    <w:rsid w:val="00870DF4"/>
    <w:rsid w:val="00870FC9"/>
    <w:rsid w:val="008716C5"/>
    <w:rsid w:val="008716C6"/>
    <w:rsid w:val="008719C6"/>
    <w:rsid w:val="0087252A"/>
    <w:rsid w:val="00872853"/>
    <w:rsid w:val="00872D4B"/>
    <w:rsid w:val="00873009"/>
    <w:rsid w:val="008730E2"/>
    <w:rsid w:val="0087332D"/>
    <w:rsid w:val="008735A3"/>
    <w:rsid w:val="008735FF"/>
    <w:rsid w:val="008739B9"/>
    <w:rsid w:val="00873C07"/>
    <w:rsid w:val="0087410E"/>
    <w:rsid w:val="00874751"/>
    <w:rsid w:val="00875FAC"/>
    <w:rsid w:val="008761AF"/>
    <w:rsid w:val="0087660C"/>
    <w:rsid w:val="008766E0"/>
    <w:rsid w:val="008768F1"/>
    <w:rsid w:val="00876DF0"/>
    <w:rsid w:val="008771A1"/>
    <w:rsid w:val="00877265"/>
    <w:rsid w:val="008773F6"/>
    <w:rsid w:val="00877AF1"/>
    <w:rsid w:val="008803C0"/>
    <w:rsid w:val="00880523"/>
    <w:rsid w:val="0088092D"/>
    <w:rsid w:val="008814AD"/>
    <w:rsid w:val="00881838"/>
    <w:rsid w:val="00881CC5"/>
    <w:rsid w:val="0088242C"/>
    <w:rsid w:val="0088275B"/>
    <w:rsid w:val="00882913"/>
    <w:rsid w:val="00882A73"/>
    <w:rsid w:val="00883586"/>
    <w:rsid w:val="008835D3"/>
    <w:rsid w:val="0088395B"/>
    <w:rsid w:val="00884C93"/>
    <w:rsid w:val="00884CCB"/>
    <w:rsid w:val="00884DF8"/>
    <w:rsid w:val="0088505F"/>
    <w:rsid w:val="0088517A"/>
    <w:rsid w:val="0088531C"/>
    <w:rsid w:val="008854DB"/>
    <w:rsid w:val="00885679"/>
    <w:rsid w:val="00885688"/>
    <w:rsid w:val="00885D91"/>
    <w:rsid w:val="00886787"/>
    <w:rsid w:val="0088705C"/>
    <w:rsid w:val="008871DE"/>
    <w:rsid w:val="00887BFB"/>
    <w:rsid w:val="00887E67"/>
    <w:rsid w:val="00887F2F"/>
    <w:rsid w:val="008900B5"/>
    <w:rsid w:val="00890125"/>
    <w:rsid w:val="008901E4"/>
    <w:rsid w:val="00890546"/>
    <w:rsid w:val="00890830"/>
    <w:rsid w:val="00890BE0"/>
    <w:rsid w:val="00890D92"/>
    <w:rsid w:val="0089123D"/>
    <w:rsid w:val="008915D5"/>
    <w:rsid w:val="00891CD9"/>
    <w:rsid w:val="00891D10"/>
    <w:rsid w:val="00891D9F"/>
    <w:rsid w:val="00891E75"/>
    <w:rsid w:val="00891EB6"/>
    <w:rsid w:val="0089233F"/>
    <w:rsid w:val="008923A8"/>
    <w:rsid w:val="0089260D"/>
    <w:rsid w:val="0089267D"/>
    <w:rsid w:val="00893902"/>
    <w:rsid w:val="00893CFB"/>
    <w:rsid w:val="008950A3"/>
    <w:rsid w:val="008951D9"/>
    <w:rsid w:val="00895246"/>
    <w:rsid w:val="00895C40"/>
    <w:rsid w:val="00895E70"/>
    <w:rsid w:val="00895F8D"/>
    <w:rsid w:val="00896046"/>
    <w:rsid w:val="00896816"/>
    <w:rsid w:val="00896B14"/>
    <w:rsid w:val="0089775C"/>
    <w:rsid w:val="00897878"/>
    <w:rsid w:val="008A04D1"/>
    <w:rsid w:val="008A07EB"/>
    <w:rsid w:val="008A083A"/>
    <w:rsid w:val="008A09B9"/>
    <w:rsid w:val="008A0ACA"/>
    <w:rsid w:val="008A0DC5"/>
    <w:rsid w:val="008A11B4"/>
    <w:rsid w:val="008A1250"/>
    <w:rsid w:val="008A12F1"/>
    <w:rsid w:val="008A13E3"/>
    <w:rsid w:val="008A13F8"/>
    <w:rsid w:val="008A25AC"/>
    <w:rsid w:val="008A2729"/>
    <w:rsid w:val="008A2A9C"/>
    <w:rsid w:val="008A30EC"/>
    <w:rsid w:val="008A30F1"/>
    <w:rsid w:val="008A391D"/>
    <w:rsid w:val="008A402B"/>
    <w:rsid w:val="008A4A81"/>
    <w:rsid w:val="008A4E1C"/>
    <w:rsid w:val="008A54F3"/>
    <w:rsid w:val="008A561C"/>
    <w:rsid w:val="008A5DD1"/>
    <w:rsid w:val="008A677E"/>
    <w:rsid w:val="008A6AF0"/>
    <w:rsid w:val="008A6B4C"/>
    <w:rsid w:val="008A6E64"/>
    <w:rsid w:val="008A6EB0"/>
    <w:rsid w:val="008A74AA"/>
    <w:rsid w:val="008A78E1"/>
    <w:rsid w:val="008A7C3A"/>
    <w:rsid w:val="008A7C79"/>
    <w:rsid w:val="008A7D63"/>
    <w:rsid w:val="008A7F20"/>
    <w:rsid w:val="008B06DC"/>
    <w:rsid w:val="008B2741"/>
    <w:rsid w:val="008B2C5E"/>
    <w:rsid w:val="008B3275"/>
    <w:rsid w:val="008B3502"/>
    <w:rsid w:val="008B38EE"/>
    <w:rsid w:val="008B3CB6"/>
    <w:rsid w:val="008B3FA6"/>
    <w:rsid w:val="008B4174"/>
    <w:rsid w:val="008B4939"/>
    <w:rsid w:val="008B49A4"/>
    <w:rsid w:val="008B4A45"/>
    <w:rsid w:val="008B4C21"/>
    <w:rsid w:val="008B55BF"/>
    <w:rsid w:val="008B58B5"/>
    <w:rsid w:val="008B6032"/>
    <w:rsid w:val="008B62CC"/>
    <w:rsid w:val="008B693C"/>
    <w:rsid w:val="008B6C6C"/>
    <w:rsid w:val="008B7329"/>
    <w:rsid w:val="008B764D"/>
    <w:rsid w:val="008B7961"/>
    <w:rsid w:val="008B7D1B"/>
    <w:rsid w:val="008C01A6"/>
    <w:rsid w:val="008C0386"/>
    <w:rsid w:val="008C108C"/>
    <w:rsid w:val="008C1561"/>
    <w:rsid w:val="008C1B7C"/>
    <w:rsid w:val="008C1E55"/>
    <w:rsid w:val="008C2674"/>
    <w:rsid w:val="008C2D15"/>
    <w:rsid w:val="008C3274"/>
    <w:rsid w:val="008C35CB"/>
    <w:rsid w:val="008C40E3"/>
    <w:rsid w:val="008C42AE"/>
    <w:rsid w:val="008C48A1"/>
    <w:rsid w:val="008C503F"/>
    <w:rsid w:val="008C5130"/>
    <w:rsid w:val="008C55E6"/>
    <w:rsid w:val="008C5FD4"/>
    <w:rsid w:val="008C6087"/>
    <w:rsid w:val="008C60B8"/>
    <w:rsid w:val="008C615E"/>
    <w:rsid w:val="008C68F1"/>
    <w:rsid w:val="008C74A7"/>
    <w:rsid w:val="008C77E9"/>
    <w:rsid w:val="008C7894"/>
    <w:rsid w:val="008C7DC7"/>
    <w:rsid w:val="008D05EE"/>
    <w:rsid w:val="008D0EE2"/>
    <w:rsid w:val="008D0F9C"/>
    <w:rsid w:val="008D1411"/>
    <w:rsid w:val="008D1837"/>
    <w:rsid w:val="008D1C2B"/>
    <w:rsid w:val="008D1FB2"/>
    <w:rsid w:val="008D2FF6"/>
    <w:rsid w:val="008D315F"/>
    <w:rsid w:val="008D34E1"/>
    <w:rsid w:val="008D3C80"/>
    <w:rsid w:val="008D3E03"/>
    <w:rsid w:val="008D3FD6"/>
    <w:rsid w:val="008D4068"/>
    <w:rsid w:val="008D46C8"/>
    <w:rsid w:val="008D486E"/>
    <w:rsid w:val="008D4C31"/>
    <w:rsid w:val="008D4FCD"/>
    <w:rsid w:val="008D5890"/>
    <w:rsid w:val="008D5C63"/>
    <w:rsid w:val="008D6C31"/>
    <w:rsid w:val="008D6E92"/>
    <w:rsid w:val="008D77A0"/>
    <w:rsid w:val="008D7DB4"/>
    <w:rsid w:val="008E042F"/>
    <w:rsid w:val="008E0482"/>
    <w:rsid w:val="008E073C"/>
    <w:rsid w:val="008E094D"/>
    <w:rsid w:val="008E0C9F"/>
    <w:rsid w:val="008E0EE8"/>
    <w:rsid w:val="008E154A"/>
    <w:rsid w:val="008E1D70"/>
    <w:rsid w:val="008E24D8"/>
    <w:rsid w:val="008E2DCD"/>
    <w:rsid w:val="008E2E0D"/>
    <w:rsid w:val="008E2E1F"/>
    <w:rsid w:val="008E3292"/>
    <w:rsid w:val="008E3701"/>
    <w:rsid w:val="008E4A3B"/>
    <w:rsid w:val="008E4EF3"/>
    <w:rsid w:val="008E548B"/>
    <w:rsid w:val="008E5C66"/>
    <w:rsid w:val="008E60E6"/>
    <w:rsid w:val="008E680F"/>
    <w:rsid w:val="008E6E61"/>
    <w:rsid w:val="008E7030"/>
    <w:rsid w:val="008E72CD"/>
    <w:rsid w:val="008E7345"/>
    <w:rsid w:val="008E796B"/>
    <w:rsid w:val="008F10B2"/>
    <w:rsid w:val="008F1276"/>
    <w:rsid w:val="008F149F"/>
    <w:rsid w:val="008F1FC0"/>
    <w:rsid w:val="008F2CF1"/>
    <w:rsid w:val="008F3060"/>
    <w:rsid w:val="008F30C6"/>
    <w:rsid w:val="008F31F5"/>
    <w:rsid w:val="008F346E"/>
    <w:rsid w:val="008F34FF"/>
    <w:rsid w:val="008F36E9"/>
    <w:rsid w:val="008F3899"/>
    <w:rsid w:val="008F38C7"/>
    <w:rsid w:val="008F3B49"/>
    <w:rsid w:val="008F3BE5"/>
    <w:rsid w:val="008F3C5A"/>
    <w:rsid w:val="008F4365"/>
    <w:rsid w:val="008F46FB"/>
    <w:rsid w:val="008F4708"/>
    <w:rsid w:val="008F48B6"/>
    <w:rsid w:val="008F4966"/>
    <w:rsid w:val="008F5B08"/>
    <w:rsid w:val="008F6144"/>
    <w:rsid w:val="008F6857"/>
    <w:rsid w:val="008F6AEC"/>
    <w:rsid w:val="008F6C3A"/>
    <w:rsid w:val="008F6EA9"/>
    <w:rsid w:val="008F6ECB"/>
    <w:rsid w:val="008F7B55"/>
    <w:rsid w:val="008F7E5F"/>
    <w:rsid w:val="009001B5"/>
    <w:rsid w:val="009004A9"/>
    <w:rsid w:val="009005FD"/>
    <w:rsid w:val="0090063B"/>
    <w:rsid w:val="00900DE8"/>
    <w:rsid w:val="00900E05"/>
    <w:rsid w:val="0090118B"/>
    <w:rsid w:val="00901786"/>
    <w:rsid w:val="00901A46"/>
    <w:rsid w:val="00902382"/>
    <w:rsid w:val="00902AE0"/>
    <w:rsid w:val="00902BF6"/>
    <w:rsid w:val="00902D38"/>
    <w:rsid w:val="00902F27"/>
    <w:rsid w:val="00903360"/>
    <w:rsid w:val="00903C6B"/>
    <w:rsid w:val="009041DF"/>
    <w:rsid w:val="009049E9"/>
    <w:rsid w:val="00904D03"/>
    <w:rsid w:val="0090506A"/>
    <w:rsid w:val="009054A5"/>
    <w:rsid w:val="0090562D"/>
    <w:rsid w:val="00905E31"/>
    <w:rsid w:val="00906331"/>
    <w:rsid w:val="0090679D"/>
    <w:rsid w:val="009068DD"/>
    <w:rsid w:val="00906933"/>
    <w:rsid w:val="00907578"/>
    <w:rsid w:val="0090791A"/>
    <w:rsid w:val="009079A8"/>
    <w:rsid w:val="00910042"/>
    <w:rsid w:val="00910507"/>
    <w:rsid w:val="0091050D"/>
    <w:rsid w:val="0091067D"/>
    <w:rsid w:val="00910CD5"/>
    <w:rsid w:val="00910D92"/>
    <w:rsid w:val="00911C03"/>
    <w:rsid w:val="00912854"/>
    <w:rsid w:val="00912B36"/>
    <w:rsid w:val="00912DD8"/>
    <w:rsid w:val="00912FE7"/>
    <w:rsid w:val="00913167"/>
    <w:rsid w:val="00913228"/>
    <w:rsid w:val="00914475"/>
    <w:rsid w:val="00915378"/>
    <w:rsid w:val="00915F3C"/>
    <w:rsid w:val="00916238"/>
    <w:rsid w:val="0091686E"/>
    <w:rsid w:val="00916D06"/>
    <w:rsid w:val="0091701B"/>
    <w:rsid w:val="0091744B"/>
    <w:rsid w:val="009174AD"/>
    <w:rsid w:val="00917EB6"/>
    <w:rsid w:val="0092021B"/>
    <w:rsid w:val="00920297"/>
    <w:rsid w:val="00920E6B"/>
    <w:rsid w:val="0092143B"/>
    <w:rsid w:val="00921543"/>
    <w:rsid w:val="00921563"/>
    <w:rsid w:val="00921803"/>
    <w:rsid w:val="00921B16"/>
    <w:rsid w:val="00921BED"/>
    <w:rsid w:val="009225AE"/>
    <w:rsid w:val="009226C9"/>
    <w:rsid w:val="00922846"/>
    <w:rsid w:val="00922B4E"/>
    <w:rsid w:val="009230B4"/>
    <w:rsid w:val="0092364A"/>
    <w:rsid w:val="00923A1B"/>
    <w:rsid w:val="00923BA0"/>
    <w:rsid w:val="00924725"/>
    <w:rsid w:val="009250D3"/>
    <w:rsid w:val="0092514D"/>
    <w:rsid w:val="00926393"/>
    <w:rsid w:val="009264AE"/>
    <w:rsid w:val="00926503"/>
    <w:rsid w:val="00926522"/>
    <w:rsid w:val="00926DC3"/>
    <w:rsid w:val="00927032"/>
    <w:rsid w:val="009271B3"/>
    <w:rsid w:val="009274E6"/>
    <w:rsid w:val="00927953"/>
    <w:rsid w:val="00927CE6"/>
    <w:rsid w:val="00927F88"/>
    <w:rsid w:val="00930023"/>
    <w:rsid w:val="0093061E"/>
    <w:rsid w:val="00930AE3"/>
    <w:rsid w:val="00931270"/>
    <w:rsid w:val="00931466"/>
    <w:rsid w:val="00931D77"/>
    <w:rsid w:val="00931F23"/>
    <w:rsid w:val="00932228"/>
    <w:rsid w:val="009322C2"/>
    <w:rsid w:val="00932D81"/>
    <w:rsid w:val="00932E0B"/>
    <w:rsid w:val="0093317C"/>
    <w:rsid w:val="00933270"/>
    <w:rsid w:val="00933FB9"/>
    <w:rsid w:val="00934204"/>
    <w:rsid w:val="00935726"/>
    <w:rsid w:val="009358B7"/>
    <w:rsid w:val="00935CEC"/>
    <w:rsid w:val="00935E3A"/>
    <w:rsid w:val="00936156"/>
    <w:rsid w:val="0093702C"/>
    <w:rsid w:val="00937256"/>
    <w:rsid w:val="00937571"/>
    <w:rsid w:val="009377CE"/>
    <w:rsid w:val="009402B2"/>
    <w:rsid w:val="009403D2"/>
    <w:rsid w:val="009406BD"/>
    <w:rsid w:val="009409CF"/>
    <w:rsid w:val="00940EC7"/>
    <w:rsid w:val="00941084"/>
    <w:rsid w:val="0094190D"/>
    <w:rsid w:val="00942289"/>
    <w:rsid w:val="00942497"/>
    <w:rsid w:val="00943484"/>
    <w:rsid w:val="009436D6"/>
    <w:rsid w:val="009436EE"/>
    <w:rsid w:val="00943987"/>
    <w:rsid w:val="00943BE0"/>
    <w:rsid w:val="00943E5B"/>
    <w:rsid w:val="009446A0"/>
    <w:rsid w:val="009450C0"/>
    <w:rsid w:val="009455DE"/>
    <w:rsid w:val="00945EB1"/>
    <w:rsid w:val="00946FFC"/>
    <w:rsid w:val="009470E0"/>
    <w:rsid w:val="009472B3"/>
    <w:rsid w:val="0094758E"/>
    <w:rsid w:val="00947CC0"/>
    <w:rsid w:val="00947D59"/>
    <w:rsid w:val="0095006E"/>
    <w:rsid w:val="00950113"/>
    <w:rsid w:val="009502F6"/>
    <w:rsid w:val="009505B2"/>
    <w:rsid w:val="009507B7"/>
    <w:rsid w:val="009509EB"/>
    <w:rsid w:val="009511A7"/>
    <w:rsid w:val="00952552"/>
    <w:rsid w:val="00952D86"/>
    <w:rsid w:val="00952DBF"/>
    <w:rsid w:val="00952E8F"/>
    <w:rsid w:val="00952ED5"/>
    <w:rsid w:val="00952FAB"/>
    <w:rsid w:val="00953D4C"/>
    <w:rsid w:val="00953F2D"/>
    <w:rsid w:val="00954709"/>
    <w:rsid w:val="009547F4"/>
    <w:rsid w:val="00955429"/>
    <w:rsid w:val="00955552"/>
    <w:rsid w:val="00955DBF"/>
    <w:rsid w:val="00955E90"/>
    <w:rsid w:val="0095682E"/>
    <w:rsid w:val="00956B1E"/>
    <w:rsid w:val="00956D83"/>
    <w:rsid w:val="00957460"/>
    <w:rsid w:val="00957738"/>
    <w:rsid w:val="00957CD8"/>
    <w:rsid w:val="00957E6C"/>
    <w:rsid w:val="00957FDF"/>
    <w:rsid w:val="009602BA"/>
    <w:rsid w:val="009605BC"/>
    <w:rsid w:val="0096096D"/>
    <w:rsid w:val="00960CE9"/>
    <w:rsid w:val="00961F4F"/>
    <w:rsid w:val="0096242F"/>
    <w:rsid w:val="009624C3"/>
    <w:rsid w:val="00962777"/>
    <w:rsid w:val="009628A2"/>
    <w:rsid w:val="00962AE0"/>
    <w:rsid w:val="009632D1"/>
    <w:rsid w:val="0096355B"/>
    <w:rsid w:val="009635A7"/>
    <w:rsid w:val="0096373D"/>
    <w:rsid w:val="00963BF6"/>
    <w:rsid w:val="00963BFE"/>
    <w:rsid w:val="009643A9"/>
    <w:rsid w:val="009644DD"/>
    <w:rsid w:val="009651B2"/>
    <w:rsid w:val="009654CD"/>
    <w:rsid w:val="009654E0"/>
    <w:rsid w:val="00965508"/>
    <w:rsid w:val="00965511"/>
    <w:rsid w:val="00965622"/>
    <w:rsid w:val="00965F47"/>
    <w:rsid w:val="00966565"/>
    <w:rsid w:val="0096661A"/>
    <w:rsid w:val="009668E1"/>
    <w:rsid w:val="00966ACE"/>
    <w:rsid w:val="00966D8A"/>
    <w:rsid w:val="00966DE6"/>
    <w:rsid w:val="00966E86"/>
    <w:rsid w:val="00967319"/>
    <w:rsid w:val="0096758C"/>
    <w:rsid w:val="00970711"/>
    <w:rsid w:val="00970AED"/>
    <w:rsid w:val="00970B50"/>
    <w:rsid w:val="00970C4E"/>
    <w:rsid w:val="00970E0B"/>
    <w:rsid w:val="00970EA7"/>
    <w:rsid w:val="00970F96"/>
    <w:rsid w:val="00971B73"/>
    <w:rsid w:val="009726D8"/>
    <w:rsid w:val="00972C32"/>
    <w:rsid w:val="00972D53"/>
    <w:rsid w:val="0097388A"/>
    <w:rsid w:val="00973FAA"/>
    <w:rsid w:val="009745AE"/>
    <w:rsid w:val="00974C76"/>
    <w:rsid w:val="00974C92"/>
    <w:rsid w:val="009750D1"/>
    <w:rsid w:val="00975737"/>
    <w:rsid w:val="0097596A"/>
    <w:rsid w:val="00975E08"/>
    <w:rsid w:val="0097618D"/>
    <w:rsid w:val="009770E3"/>
    <w:rsid w:val="00977DB9"/>
    <w:rsid w:val="0098001E"/>
    <w:rsid w:val="009800E3"/>
    <w:rsid w:val="009806D5"/>
    <w:rsid w:val="00980855"/>
    <w:rsid w:val="00980A9E"/>
    <w:rsid w:val="00981875"/>
    <w:rsid w:val="00981C4A"/>
    <w:rsid w:val="00982953"/>
    <w:rsid w:val="009829CD"/>
    <w:rsid w:val="00983A16"/>
    <w:rsid w:val="00983BF1"/>
    <w:rsid w:val="00983CF8"/>
    <w:rsid w:val="00983D55"/>
    <w:rsid w:val="0098450B"/>
    <w:rsid w:val="0098534E"/>
    <w:rsid w:val="00985488"/>
    <w:rsid w:val="00985548"/>
    <w:rsid w:val="0098564E"/>
    <w:rsid w:val="009858E9"/>
    <w:rsid w:val="0098730E"/>
    <w:rsid w:val="009873B6"/>
    <w:rsid w:val="00987811"/>
    <w:rsid w:val="00987FAF"/>
    <w:rsid w:val="00990023"/>
    <w:rsid w:val="0099003A"/>
    <w:rsid w:val="009900D6"/>
    <w:rsid w:val="0099036B"/>
    <w:rsid w:val="0099038D"/>
    <w:rsid w:val="00990440"/>
    <w:rsid w:val="0099072E"/>
    <w:rsid w:val="0099141B"/>
    <w:rsid w:val="00991588"/>
    <w:rsid w:val="00991B62"/>
    <w:rsid w:val="00991C9B"/>
    <w:rsid w:val="00991D8F"/>
    <w:rsid w:val="00992224"/>
    <w:rsid w:val="00992B47"/>
    <w:rsid w:val="00992F7E"/>
    <w:rsid w:val="00993031"/>
    <w:rsid w:val="00993161"/>
    <w:rsid w:val="009932CF"/>
    <w:rsid w:val="00993909"/>
    <w:rsid w:val="0099425F"/>
    <w:rsid w:val="00994395"/>
    <w:rsid w:val="009943C2"/>
    <w:rsid w:val="009947B2"/>
    <w:rsid w:val="0099525F"/>
    <w:rsid w:val="0099572C"/>
    <w:rsid w:val="00995916"/>
    <w:rsid w:val="00996363"/>
    <w:rsid w:val="009963D4"/>
    <w:rsid w:val="0099644E"/>
    <w:rsid w:val="00996E58"/>
    <w:rsid w:val="009972AF"/>
    <w:rsid w:val="0099755E"/>
    <w:rsid w:val="009976C6"/>
    <w:rsid w:val="00997D44"/>
    <w:rsid w:val="009A00FD"/>
    <w:rsid w:val="009A0465"/>
    <w:rsid w:val="009A0725"/>
    <w:rsid w:val="009A0A88"/>
    <w:rsid w:val="009A143F"/>
    <w:rsid w:val="009A16C3"/>
    <w:rsid w:val="009A1B4C"/>
    <w:rsid w:val="009A1C2B"/>
    <w:rsid w:val="009A2DB2"/>
    <w:rsid w:val="009A2F07"/>
    <w:rsid w:val="009A366B"/>
    <w:rsid w:val="009A36E8"/>
    <w:rsid w:val="009A37E8"/>
    <w:rsid w:val="009A3FC8"/>
    <w:rsid w:val="009A47F7"/>
    <w:rsid w:val="009A48A7"/>
    <w:rsid w:val="009A4E51"/>
    <w:rsid w:val="009A5017"/>
    <w:rsid w:val="009A54B3"/>
    <w:rsid w:val="009A5795"/>
    <w:rsid w:val="009A5A44"/>
    <w:rsid w:val="009A750E"/>
    <w:rsid w:val="009A7AFD"/>
    <w:rsid w:val="009B0238"/>
    <w:rsid w:val="009B0C50"/>
    <w:rsid w:val="009B14C9"/>
    <w:rsid w:val="009B1B0F"/>
    <w:rsid w:val="009B1B2F"/>
    <w:rsid w:val="009B1B5A"/>
    <w:rsid w:val="009B2BA0"/>
    <w:rsid w:val="009B36BF"/>
    <w:rsid w:val="009B38F7"/>
    <w:rsid w:val="009B4DCE"/>
    <w:rsid w:val="009B50E2"/>
    <w:rsid w:val="009B5646"/>
    <w:rsid w:val="009B5785"/>
    <w:rsid w:val="009B5ECF"/>
    <w:rsid w:val="009B6946"/>
    <w:rsid w:val="009B711B"/>
    <w:rsid w:val="009C0C26"/>
    <w:rsid w:val="009C0EC2"/>
    <w:rsid w:val="009C1551"/>
    <w:rsid w:val="009C15E8"/>
    <w:rsid w:val="009C2F50"/>
    <w:rsid w:val="009C4823"/>
    <w:rsid w:val="009C4FD5"/>
    <w:rsid w:val="009C51C8"/>
    <w:rsid w:val="009C5243"/>
    <w:rsid w:val="009C5612"/>
    <w:rsid w:val="009C5ABD"/>
    <w:rsid w:val="009C5D90"/>
    <w:rsid w:val="009C65C8"/>
    <w:rsid w:val="009C67C2"/>
    <w:rsid w:val="009C6BF8"/>
    <w:rsid w:val="009C7037"/>
    <w:rsid w:val="009C72B9"/>
    <w:rsid w:val="009C7696"/>
    <w:rsid w:val="009D01CE"/>
    <w:rsid w:val="009D052A"/>
    <w:rsid w:val="009D055B"/>
    <w:rsid w:val="009D0900"/>
    <w:rsid w:val="009D0B9E"/>
    <w:rsid w:val="009D16E9"/>
    <w:rsid w:val="009D1BCA"/>
    <w:rsid w:val="009D1C1B"/>
    <w:rsid w:val="009D1E54"/>
    <w:rsid w:val="009D1E7C"/>
    <w:rsid w:val="009D20DE"/>
    <w:rsid w:val="009D2268"/>
    <w:rsid w:val="009D22B1"/>
    <w:rsid w:val="009D22EA"/>
    <w:rsid w:val="009D2716"/>
    <w:rsid w:val="009D2766"/>
    <w:rsid w:val="009D2AE2"/>
    <w:rsid w:val="009D3C1D"/>
    <w:rsid w:val="009D3E7A"/>
    <w:rsid w:val="009D40B2"/>
    <w:rsid w:val="009D4230"/>
    <w:rsid w:val="009D491D"/>
    <w:rsid w:val="009D4CAD"/>
    <w:rsid w:val="009D51B4"/>
    <w:rsid w:val="009D543B"/>
    <w:rsid w:val="009D5643"/>
    <w:rsid w:val="009D5710"/>
    <w:rsid w:val="009D5AF2"/>
    <w:rsid w:val="009D63A4"/>
    <w:rsid w:val="009D6602"/>
    <w:rsid w:val="009D6657"/>
    <w:rsid w:val="009D67DA"/>
    <w:rsid w:val="009D67EA"/>
    <w:rsid w:val="009D6987"/>
    <w:rsid w:val="009D7308"/>
    <w:rsid w:val="009D7324"/>
    <w:rsid w:val="009D76BF"/>
    <w:rsid w:val="009E0749"/>
    <w:rsid w:val="009E10F3"/>
    <w:rsid w:val="009E1C01"/>
    <w:rsid w:val="009E1C15"/>
    <w:rsid w:val="009E24FA"/>
    <w:rsid w:val="009E2591"/>
    <w:rsid w:val="009E26F7"/>
    <w:rsid w:val="009E2A20"/>
    <w:rsid w:val="009E2B0F"/>
    <w:rsid w:val="009E2DE6"/>
    <w:rsid w:val="009E3516"/>
    <w:rsid w:val="009E3AEA"/>
    <w:rsid w:val="009E42BA"/>
    <w:rsid w:val="009E4356"/>
    <w:rsid w:val="009E499E"/>
    <w:rsid w:val="009E54CF"/>
    <w:rsid w:val="009E59A7"/>
    <w:rsid w:val="009E5DD6"/>
    <w:rsid w:val="009E612E"/>
    <w:rsid w:val="009E71CB"/>
    <w:rsid w:val="009E7648"/>
    <w:rsid w:val="009E785A"/>
    <w:rsid w:val="009E7D76"/>
    <w:rsid w:val="009E7E2F"/>
    <w:rsid w:val="009E7FB6"/>
    <w:rsid w:val="009F06E6"/>
    <w:rsid w:val="009F0B06"/>
    <w:rsid w:val="009F0F50"/>
    <w:rsid w:val="009F1678"/>
    <w:rsid w:val="009F1E59"/>
    <w:rsid w:val="009F2944"/>
    <w:rsid w:val="009F2EE4"/>
    <w:rsid w:val="009F361D"/>
    <w:rsid w:val="009F3D65"/>
    <w:rsid w:val="009F4306"/>
    <w:rsid w:val="009F4643"/>
    <w:rsid w:val="009F46BF"/>
    <w:rsid w:val="009F5403"/>
    <w:rsid w:val="009F55A0"/>
    <w:rsid w:val="009F56CC"/>
    <w:rsid w:val="009F58F1"/>
    <w:rsid w:val="009F5A4E"/>
    <w:rsid w:val="009F5E0F"/>
    <w:rsid w:val="009F604A"/>
    <w:rsid w:val="009F61C5"/>
    <w:rsid w:val="009F6656"/>
    <w:rsid w:val="009F6DB4"/>
    <w:rsid w:val="009F7216"/>
    <w:rsid w:val="009F7623"/>
    <w:rsid w:val="009F76DB"/>
    <w:rsid w:val="00A00315"/>
    <w:rsid w:val="00A00521"/>
    <w:rsid w:val="00A008BB"/>
    <w:rsid w:val="00A01028"/>
    <w:rsid w:val="00A0174F"/>
    <w:rsid w:val="00A01A1D"/>
    <w:rsid w:val="00A01BF6"/>
    <w:rsid w:val="00A021C1"/>
    <w:rsid w:val="00A02647"/>
    <w:rsid w:val="00A0283D"/>
    <w:rsid w:val="00A02C2C"/>
    <w:rsid w:val="00A02E4B"/>
    <w:rsid w:val="00A030C9"/>
    <w:rsid w:val="00A03215"/>
    <w:rsid w:val="00A0329A"/>
    <w:rsid w:val="00A0364D"/>
    <w:rsid w:val="00A03989"/>
    <w:rsid w:val="00A040E7"/>
    <w:rsid w:val="00A0431B"/>
    <w:rsid w:val="00A04968"/>
    <w:rsid w:val="00A057C2"/>
    <w:rsid w:val="00A05D2F"/>
    <w:rsid w:val="00A06562"/>
    <w:rsid w:val="00A0677A"/>
    <w:rsid w:val="00A07449"/>
    <w:rsid w:val="00A105D9"/>
    <w:rsid w:val="00A10F5C"/>
    <w:rsid w:val="00A11586"/>
    <w:rsid w:val="00A1159D"/>
    <w:rsid w:val="00A117BD"/>
    <w:rsid w:val="00A1267E"/>
    <w:rsid w:val="00A12E45"/>
    <w:rsid w:val="00A1365F"/>
    <w:rsid w:val="00A13B9C"/>
    <w:rsid w:val="00A13E86"/>
    <w:rsid w:val="00A14EAF"/>
    <w:rsid w:val="00A15447"/>
    <w:rsid w:val="00A156D1"/>
    <w:rsid w:val="00A15771"/>
    <w:rsid w:val="00A15BA0"/>
    <w:rsid w:val="00A15FF2"/>
    <w:rsid w:val="00A16394"/>
    <w:rsid w:val="00A1684A"/>
    <w:rsid w:val="00A17CF6"/>
    <w:rsid w:val="00A200F8"/>
    <w:rsid w:val="00A211EC"/>
    <w:rsid w:val="00A213EF"/>
    <w:rsid w:val="00A21A65"/>
    <w:rsid w:val="00A21AF8"/>
    <w:rsid w:val="00A221E3"/>
    <w:rsid w:val="00A224D6"/>
    <w:rsid w:val="00A228E9"/>
    <w:rsid w:val="00A22B52"/>
    <w:rsid w:val="00A233A3"/>
    <w:rsid w:val="00A2419B"/>
    <w:rsid w:val="00A243BE"/>
    <w:rsid w:val="00A24608"/>
    <w:rsid w:val="00A2468A"/>
    <w:rsid w:val="00A253C9"/>
    <w:rsid w:val="00A254FA"/>
    <w:rsid w:val="00A2618E"/>
    <w:rsid w:val="00A26811"/>
    <w:rsid w:val="00A272BC"/>
    <w:rsid w:val="00A27514"/>
    <w:rsid w:val="00A27520"/>
    <w:rsid w:val="00A279AA"/>
    <w:rsid w:val="00A30303"/>
    <w:rsid w:val="00A30492"/>
    <w:rsid w:val="00A3096E"/>
    <w:rsid w:val="00A30CB4"/>
    <w:rsid w:val="00A3230B"/>
    <w:rsid w:val="00A3273F"/>
    <w:rsid w:val="00A3298B"/>
    <w:rsid w:val="00A32A81"/>
    <w:rsid w:val="00A32C3B"/>
    <w:rsid w:val="00A32EB1"/>
    <w:rsid w:val="00A33023"/>
    <w:rsid w:val="00A33512"/>
    <w:rsid w:val="00A339E5"/>
    <w:rsid w:val="00A3405F"/>
    <w:rsid w:val="00A35704"/>
    <w:rsid w:val="00A35E38"/>
    <w:rsid w:val="00A360DC"/>
    <w:rsid w:val="00A3631C"/>
    <w:rsid w:val="00A3666A"/>
    <w:rsid w:val="00A366A8"/>
    <w:rsid w:val="00A3674F"/>
    <w:rsid w:val="00A369D6"/>
    <w:rsid w:val="00A36CCA"/>
    <w:rsid w:val="00A37CBF"/>
    <w:rsid w:val="00A37CDC"/>
    <w:rsid w:val="00A4004E"/>
    <w:rsid w:val="00A40116"/>
    <w:rsid w:val="00A4026A"/>
    <w:rsid w:val="00A40580"/>
    <w:rsid w:val="00A40B9A"/>
    <w:rsid w:val="00A40B9F"/>
    <w:rsid w:val="00A40D1D"/>
    <w:rsid w:val="00A41179"/>
    <w:rsid w:val="00A411C8"/>
    <w:rsid w:val="00A416B8"/>
    <w:rsid w:val="00A41828"/>
    <w:rsid w:val="00A41EE2"/>
    <w:rsid w:val="00A42162"/>
    <w:rsid w:val="00A421FB"/>
    <w:rsid w:val="00A42A50"/>
    <w:rsid w:val="00A42DB5"/>
    <w:rsid w:val="00A435E0"/>
    <w:rsid w:val="00A43876"/>
    <w:rsid w:val="00A43A78"/>
    <w:rsid w:val="00A43E77"/>
    <w:rsid w:val="00A4413E"/>
    <w:rsid w:val="00A4421F"/>
    <w:rsid w:val="00A44E63"/>
    <w:rsid w:val="00A451FE"/>
    <w:rsid w:val="00A4583A"/>
    <w:rsid w:val="00A459A5"/>
    <w:rsid w:val="00A45B2E"/>
    <w:rsid w:val="00A45EB5"/>
    <w:rsid w:val="00A45F4F"/>
    <w:rsid w:val="00A46BAC"/>
    <w:rsid w:val="00A46F4E"/>
    <w:rsid w:val="00A47536"/>
    <w:rsid w:val="00A476F1"/>
    <w:rsid w:val="00A5011D"/>
    <w:rsid w:val="00A503AB"/>
    <w:rsid w:val="00A50D58"/>
    <w:rsid w:val="00A51701"/>
    <w:rsid w:val="00A51BBA"/>
    <w:rsid w:val="00A527DE"/>
    <w:rsid w:val="00A52AE4"/>
    <w:rsid w:val="00A52C9D"/>
    <w:rsid w:val="00A530F6"/>
    <w:rsid w:val="00A53118"/>
    <w:rsid w:val="00A53463"/>
    <w:rsid w:val="00A5359D"/>
    <w:rsid w:val="00A536FA"/>
    <w:rsid w:val="00A53DDA"/>
    <w:rsid w:val="00A54116"/>
    <w:rsid w:val="00A549A9"/>
    <w:rsid w:val="00A54ACF"/>
    <w:rsid w:val="00A54B9C"/>
    <w:rsid w:val="00A55C8C"/>
    <w:rsid w:val="00A55F4A"/>
    <w:rsid w:val="00A560BF"/>
    <w:rsid w:val="00A5646B"/>
    <w:rsid w:val="00A567F5"/>
    <w:rsid w:val="00A56F88"/>
    <w:rsid w:val="00A572A4"/>
    <w:rsid w:val="00A5738A"/>
    <w:rsid w:val="00A57E68"/>
    <w:rsid w:val="00A600A9"/>
    <w:rsid w:val="00A60DA3"/>
    <w:rsid w:val="00A61452"/>
    <w:rsid w:val="00A61C16"/>
    <w:rsid w:val="00A61F79"/>
    <w:rsid w:val="00A6277E"/>
    <w:rsid w:val="00A62CD7"/>
    <w:rsid w:val="00A62DCD"/>
    <w:rsid w:val="00A62F27"/>
    <w:rsid w:val="00A6310D"/>
    <w:rsid w:val="00A63344"/>
    <w:rsid w:val="00A640DC"/>
    <w:rsid w:val="00A6475F"/>
    <w:rsid w:val="00A652FF"/>
    <w:rsid w:val="00A65CB3"/>
    <w:rsid w:val="00A65EAC"/>
    <w:rsid w:val="00A6670C"/>
    <w:rsid w:val="00A669B6"/>
    <w:rsid w:val="00A66E1C"/>
    <w:rsid w:val="00A674D6"/>
    <w:rsid w:val="00A6755E"/>
    <w:rsid w:val="00A6785B"/>
    <w:rsid w:val="00A6797D"/>
    <w:rsid w:val="00A67F67"/>
    <w:rsid w:val="00A702F6"/>
    <w:rsid w:val="00A7032D"/>
    <w:rsid w:val="00A70365"/>
    <w:rsid w:val="00A703C5"/>
    <w:rsid w:val="00A710D7"/>
    <w:rsid w:val="00A71ACB"/>
    <w:rsid w:val="00A726D3"/>
    <w:rsid w:val="00A72CB0"/>
    <w:rsid w:val="00A72DD4"/>
    <w:rsid w:val="00A73201"/>
    <w:rsid w:val="00A73BC5"/>
    <w:rsid w:val="00A73D0A"/>
    <w:rsid w:val="00A7421A"/>
    <w:rsid w:val="00A743C5"/>
    <w:rsid w:val="00A74D14"/>
    <w:rsid w:val="00A75A82"/>
    <w:rsid w:val="00A75AA7"/>
    <w:rsid w:val="00A763C1"/>
    <w:rsid w:val="00A76737"/>
    <w:rsid w:val="00A767C9"/>
    <w:rsid w:val="00A77435"/>
    <w:rsid w:val="00A77ACC"/>
    <w:rsid w:val="00A80B83"/>
    <w:rsid w:val="00A80BD6"/>
    <w:rsid w:val="00A80C50"/>
    <w:rsid w:val="00A80F3B"/>
    <w:rsid w:val="00A81BF9"/>
    <w:rsid w:val="00A823FC"/>
    <w:rsid w:val="00A82F6D"/>
    <w:rsid w:val="00A83349"/>
    <w:rsid w:val="00A835CE"/>
    <w:rsid w:val="00A84072"/>
    <w:rsid w:val="00A84A66"/>
    <w:rsid w:val="00A84B16"/>
    <w:rsid w:val="00A8553A"/>
    <w:rsid w:val="00A85A47"/>
    <w:rsid w:val="00A85B51"/>
    <w:rsid w:val="00A86A44"/>
    <w:rsid w:val="00A86F03"/>
    <w:rsid w:val="00A87863"/>
    <w:rsid w:val="00A8797A"/>
    <w:rsid w:val="00A87D83"/>
    <w:rsid w:val="00A87E0A"/>
    <w:rsid w:val="00A90135"/>
    <w:rsid w:val="00A9047B"/>
    <w:rsid w:val="00A911C8"/>
    <w:rsid w:val="00A912E9"/>
    <w:rsid w:val="00A91347"/>
    <w:rsid w:val="00A9164D"/>
    <w:rsid w:val="00A92201"/>
    <w:rsid w:val="00A926B8"/>
    <w:rsid w:val="00A92999"/>
    <w:rsid w:val="00A93028"/>
    <w:rsid w:val="00A9349C"/>
    <w:rsid w:val="00A941D1"/>
    <w:rsid w:val="00A94A23"/>
    <w:rsid w:val="00A954B7"/>
    <w:rsid w:val="00A95759"/>
    <w:rsid w:val="00A95E74"/>
    <w:rsid w:val="00A974AB"/>
    <w:rsid w:val="00A97525"/>
    <w:rsid w:val="00AA02C8"/>
    <w:rsid w:val="00AA0589"/>
    <w:rsid w:val="00AA0A0C"/>
    <w:rsid w:val="00AA0A51"/>
    <w:rsid w:val="00AA0D35"/>
    <w:rsid w:val="00AA0DAA"/>
    <w:rsid w:val="00AA121E"/>
    <w:rsid w:val="00AA15C4"/>
    <w:rsid w:val="00AA2078"/>
    <w:rsid w:val="00AA237F"/>
    <w:rsid w:val="00AA2B58"/>
    <w:rsid w:val="00AA30B8"/>
    <w:rsid w:val="00AA35D5"/>
    <w:rsid w:val="00AA3FC4"/>
    <w:rsid w:val="00AA4212"/>
    <w:rsid w:val="00AA4B24"/>
    <w:rsid w:val="00AA4B63"/>
    <w:rsid w:val="00AA4C80"/>
    <w:rsid w:val="00AA4CFF"/>
    <w:rsid w:val="00AA55B7"/>
    <w:rsid w:val="00AA5805"/>
    <w:rsid w:val="00AA5B9E"/>
    <w:rsid w:val="00AA629D"/>
    <w:rsid w:val="00AA66BD"/>
    <w:rsid w:val="00AA6907"/>
    <w:rsid w:val="00AA69F9"/>
    <w:rsid w:val="00AA6AE8"/>
    <w:rsid w:val="00AA6BEE"/>
    <w:rsid w:val="00AA6EC9"/>
    <w:rsid w:val="00AA70F5"/>
    <w:rsid w:val="00AA7483"/>
    <w:rsid w:val="00AA74FA"/>
    <w:rsid w:val="00AB02BA"/>
    <w:rsid w:val="00AB165C"/>
    <w:rsid w:val="00AB234F"/>
    <w:rsid w:val="00AB2407"/>
    <w:rsid w:val="00AB2770"/>
    <w:rsid w:val="00AB2803"/>
    <w:rsid w:val="00AB2E70"/>
    <w:rsid w:val="00AB36BC"/>
    <w:rsid w:val="00AB4341"/>
    <w:rsid w:val="00AB4C88"/>
    <w:rsid w:val="00AB5132"/>
    <w:rsid w:val="00AB53DF"/>
    <w:rsid w:val="00AB5B63"/>
    <w:rsid w:val="00AB5C8B"/>
    <w:rsid w:val="00AB5FDD"/>
    <w:rsid w:val="00AB6140"/>
    <w:rsid w:val="00AB656B"/>
    <w:rsid w:val="00AB6656"/>
    <w:rsid w:val="00AC009A"/>
    <w:rsid w:val="00AC02BA"/>
    <w:rsid w:val="00AC02F0"/>
    <w:rsid w:val="00AC0551"/>
    <w:rsid w:val="00AC0739"/>
    <w:rsid w:val="00AC0BBD"/>
    <w:rsid w:val="00AC0EBA"/>
    <w:rsid w:val="00AC11F5"/>
    <w:rsid w:val="00AC1C52"/>
    <w:rsid w:val="00AC2937"/>
    <w:rsid w:val="00AC32D5"/>
    <w:rsid w:val="00AC44F8"/>
    <w:rsid w:val="00AC45C5"/>
    <w:rsid w:val="00AC4768"/>
    <w:rsid w:val="00AC4FDB"/>
    <w:rsid w:val="00AC5040"/>
    <w:rsid w:val="00AC5934"/>
    <w:rsid w:val="00AC5AF6"/>
    <w:rsid w:val="00AC5CBF"/>
    <w:rsid w:val="00AC6051"/>
    <w:rsid w:val="00AC6075"/>
    <w:rsid w:val="00AC638A"/>
    <w:rsid w:val="00AC6DE8"/>
    <w:rsid w:val="00AC6F2F"/>
    <w:rsid w:val="00AC7A45"/>
    <w:rsid w:val="00AC7C05"/>
    <w:rsid w:val="00AC7EB1"/>
    <w:rsid w:val="00AD05F1"/>
    <w:rsid w:val="00AD06C0"/>
    <w:rsid w:val="00AD14A2"/>
    <w:rsid w:val="00AD1558"/>
    <w:rsid w:val="00AD156A"/>
    <w:rsid w:val="00AD1620"/>
    <w:rsid w:val="00AD18B0"/>
    <w:rsid w:val="00AD1A0C"/>
    <w:rsid w:val="00AD1BD1"/>
    <w:rsid w:val="00AD1D75"/>
    <w:rsid w:val="00AD1DA0"/>
    <w:rsid w:val="00AD21D7"/>
    <w:rsid w:val="00AD2757"/>
    <w:rsid w:val="00AD2CDC"/>
    <w:rsid w:val="00AD34D8"/>
    <w:rsid w:val="00AD3AA0"/>
    <w:rsid w:val="00AD3BEF"/>
    <w:rsid w:val="00AD4049"/>
    <w:rsid w:val="00AD4221"/>
    <w:rsid w:val="00AD4757"/>
    <w:rsid w:val="00AD4B53"/>
    <w:rsid w:val="00AD52B6"/>
    <w:rsid w:val="00AD64CF"/>
    <w:rsid w:val="00AD79C9"/>
    <w:rsid w:val="00AD7A0C"/>
    <w:rsid w:val="00AE01EB"/>
    <w:rsid w:val="00AE035D"/>
    <w:rsid w:val="00AE046A"/>
    <w:rsid w:val="00AE0718"/>
    <w:rsid w:val="00AE0A06"/>
    <w:rsid w:val="00AE0DC7"/>
    <w:rsid w:val="00AE0DEC"/>
    <w:rsid w:val="00AE1104"/>
    <w:rsid w:val="00AE1301"/>
    <w:rsid w:val="00AE199A"/>
    <w:rsid w:val="00AE244F"/>
    <w:rsid w:val="00AE25DB"/>
    <w:rsid w:val="00AE2745"/>
    <w:rsid w:val="00AE2836"/>
    <w:rsid w:val="00AE2AD1"/>
    <w:rsid w:val="00AE3217"/>
    <w:rsid w:val="00AE3686"/>
    <w:rsid w:val="00AE3FD5"/>
    <w:rsid w:val="00AE45C0"/>
    <w:rsid w:val="00AE5002"/>
    <w:rsid w:val="00AE56F8"/>
    <w:rsid w:val="00AE5DE8"/>
    <w:rsid w:val="00AE61C9"/>
    <w:rsid w:val="00AE678A"/>
    <w:rsid w:val="00AE6D4B"/>
    <w:rsid w:val="00AE6DAA"/>
    <w:rsid w:val="00AE7403"/>
    <w:rsid w:val="00AE77FE"/>
    <w:rsid w:val="00AE7B95"/>
    <w:rsid w:val="00AF0191"/>
    <w:rsid w:val="00AF0C82"/>
    <w:rsid w:val="00AF0DD4"/>
    <w:rsid w:val="00AF19EE"/>
    <w:rsid w:val="00AF1B32"/>
    <w:rsid w:val="00AF1B60"/>
    <w:rsid w:val="00AF231B"/>
    <w:rsid w:val="00AF2565"/>
    <w:rsid w:val="00AF4618"/>
    <w:rsid w:val="00AF4682"/>
    <w:rsid w:val="00AF4F57"/>
    <w:rsid w:val="00AF5005"/>
    <w:rsid w:val="00AF5177"/>
    <w:rsid w:val="00AF5CD5"/>
    <w:rsid w:val="00AF648D"/>
    <w:rsid w:val="00AF6508"/>
    <w:rsid w:val="00AF6579"/>
    <w:rsid w:val="00AF740E"/>
    <w:rsid w:val="00AF74D9"/>
    <w:rsid w:val="00AF7886"/>
    <w:rsid w:val="00AF7972"/>
    <w:rsid w:val="00AF7A6A"/>
    <w:rsid w:val="00B00003"/>
    <w:rsid w:val="00B00112"/>
    <w:rsid w:val="00B001D8"/>
    <w:rsid w:val="00B01445"/>
    <w:rsid w:val="00B014EC"/>
    <w:rsid w:val="00B0175B"/>
    <w:rsid w:val="00B01FFD"/>
    <w:rsid w:val="00B02836"/>
    <w:rsid w:val="00B02A68"/>
    <w:rsid w:val="00B02D99"/>
    <w:rsid w:val="00B0359A"/>
    <w:rsid w:val="00B03992"/>
    <w:rsid w:val="00B03C23"/>
    <w:rsid w:val="00B03C75"/>
    <w:rsid w:val="00B03E96"/>
    <w:rsid w:val="00B0402D"/>
    <w:rsid w:val="00B0462D"/>
    <w:rsid w:val="00B04D7B"/>
    <w:rsid w:val="00B05AD9"/>
    <w:rsid w:val="00B06DF3"/>
    <w:rsid w:val="00B06F76"/>
    <w:rsid w:val="00B07096"/>
    <w:rsid w:val="00B071BC"/>
    <w:rsid w:val="00B074BA"/>
    <w:rsid w:val="00B0795F"/>
    <w:rsid w:val="00B07E5C"/>
    <w:rsid w:val="00B113E9"/>
    <w:rsid w:val="00B11FCC"/>
    <w:rsid w:val="00B1296D"/>
    <w:rsid w:val="00B12E19"/>
    <w:rsid w:val="00B1306F"/>
    <w:rsid w:val="00B141E7"/>
    <w:rsid w:val="00B15809"/>
    <w:rsid w:val="00B15E0E"/>
    <w:rsid w:val="00B15E18"/>
    <w:rsid w:val="00B15E4E"/>
    <w:rsid w:val="00B1622C"/>
    <w:rsid w:val="00B16233"/>
    <w:rsid w:val="00B167E6"/>
    <w:rsid w:val="00B16BC4"/>
    <w:rsid w:val="00B172C9"/>
    <w:rsid w:val="00B176A3"/>
    <w:rsid w:val="00B21369"/>
    <w:rsid w:val="00B21542"/>
    <w:rsid w:val="00B2166D"/>
    <w:rsid w:val="00B220C2"/>
    <w:rsid w:val="00B221F0"/>
    <w:rsid w:val="00B22C9D"/>
    <w:rsid w:val="00B23259"/>
    <w:rsid w:val="00B2349E"/>
    <w:rsid w:val="00B236A3"/>
    <w:rsid w:val="00B23881"/>
    <w:rsid w:val="00B239C6"/>
    <w:rsid w:val="00B240E5"/>
    <w:rsid w:val="00B243BE"/>
    <w:rsid w:val="00B247AD"/>
    <w:rsid w:val="00B2482A"/>
    <w:rsid w:val="00B24A82"/>
    <w:rsid w:val="00B25508"/>
    <w:rsid w:val="00B2572C"/>
    <w:rsid w:val="00B2585B"/>
    <w:rsid w:val="00B258CE"/>
    <w:rsid w:val="00B2599F"/>
    <w:rsid w:val="00B259DE"/>
    <w:rsid w:val="00B25B3B"/>
    <w:rsid w:val="00B25EED"/>
    <w:rsid w:val="00B25FE9"/>
    <w:rsid w:val="00B263B5"/>
    <w:rsid w:val="00B2685E"/>
    <w:rsid w:val="00B26B1A"/>
    <w:rsid w:val="00B26B74"/>
    <w:rsid w:val="00B26C61"/>
    <w:rsid w:val="00B26FFF"/>
    <w:rsid w:val="00B2792A"/>
    <w:rsid w:val="00B27BCE"/>
    <w:rsid w:val="00B30D9E"/>
    <w:rsid w:val="00B31566"/>
    <w:rsid w:val="00B315AC"/>
    <w:rsid w:val="00B3184F"/>
    <w:rsid w:val="00B31BCC"/>
    <w:rsid w:val="00B31EEA"/>
    <w:rsid w:val="00B32A44"/>
    <w:rsid w:val="00B32E22"/>
    <w:rsid w:val="00B33038"/>
    <w:rsid w:val="00B33096"/>
    <w:rsid w:val="00B33A87"/>
    <w:rsid w:val="00B34340"/>
    <w:rsid w:val="00B34589"/>
    <w:rsid w:val="00B34644"/>
    <w:rsid w:val="00B3485C"/>
    <w:rsid w:val="00B34BA6"/>
    <w:rsid w:val="00B34EE4"/>
    <w:rsid w:val="00B34F90"/>
    <w:rsid w:val="00B3534B"/>
    <w:rsid w:val="00B3553C"/>
    <w:rsid w:val="00B3578A"/>
    <w:rsid w:val="00B35B25"/>
    <w:rsid w:val="00B35CFF"/>
    <w:rsid w:val="00B35D1E"/>
    <w:rsid w:val="00B35EA5"/>
    <w:rsid w:val="00B362D7"/>
    <w:rsid w:val="00B36D19"/>
    <w:rsid w:val="00B37527"/>
    <w:rsid w:val="00B3791D"/>
    <w:rsid w:val="00B37D08"/>
    <w:rsid w:val="00B37FC1"/>
    <w:rsid w:val="00B404F8"/>
    <w:rsid w:val="00B40809"/>
    <w:rsid w:val="00B40814"/>
    <w:rsid w:val="00B4111A"/>
    <w:rsid w:val="00B413CA"/>
    <w:rsid w:val="00B4168F"/>
    <w:rsid w:val="00B41846"/>
    <w:rsid w:val="00B41DD3"/>
    <w:rsid w:val="00B4256B"/>
    <w:rsid w:val="00B42C11"/>
    <w:rsid w:val="00B431F4"/>
    <w:rsid w:val="00B4358C"/>
    <w:rsid w:val="00B435AB"/>
    <w:rsid w:val="00B43E29"/>
    <w:rsid w:val="00B4469F"/>
    <w:rsid w:val="00B4476B"/>
    <w:rsid w:val="00B4499B"/>
    <w:rsid w:val="00B44B79"/>
    <w:rsid w:val="00B44F84"/>
    <w:rsid w:val="00B44F92"/>
    <w:rsid w:val="00B45100"/>
    <w:rsid w:val="00B4566E"/>
    <w:rsid w:val="00B45850"/>
    <w:rsid w:val="00B458D0"/>
    <w:rsid w:val="00B45D65"/>
    <w:rsid w:val="00B460BF"/>
    <w:rsid w:val="00B4623D"/>
    <w:rsid w:val="00B46584"/>
    <w:rsid w:val="00B46784"/>
    <w:rsid w:val="00B468F1"/>
    <w:rsid w:val="00B46DC0"/>
    <w:rsid w:val="00B4715D"/>
    <w:rsid w:val="00B47559"/>
    <w:rsid w:val="00B502D1"/>
    <w:rsid w:val="00B5086B"/>
    <w:rsid w:val="00B50DE8"/>
    <w:rsid w:val="00B50FF6"/>
    <w:rsid w:val="00B520FD"/>
    <w:rsid w:val="00B522B2"/>
    <w:rsid w:val="00B52372"/>
    <w:rsid w:val="00B5263A"/>
    <w:rsid w:val="00B527A8"/>
    <w:rsid w:val="00B52C58"/>
    <w:rsid w:val="00B52CED"/>
    <w:rsid w:val="00B53C30"/>
    <w:rsid w:val="00B53C44"/>
    <w:rsid w:val="00B54D8D"/>
    <w:rsid w:val="00B54FE4"/>
    <w:rsid w:val="00B553AF"/>
    <w:rsid w:val="00B555E9"/>
    <w:rsid w:val="00B5615C"/>
    <w:rsid w:val="00B56541"/>
    <w:rsid w:val="00B56A3D"/>
    <w:rsid w:val="00B6010F"/>
    <w:rsid w:val="00B6057D"/>
    <w:rsid w:val="00B6066A"/>
    <w:rsid w:val="00B60698"/>
    <w:rsid w:val="00B61412"/>
    <w:rsid w:val="00B6158E"/>
    <w:rsid w:val="00B619B5"/>
    <w:rsid w:val="00B61A42"/>
    <w:rsid w:val="00B625BC"/>
    <w:rsid w:val="00B62600"/>
    <w:rsid w:val="00B62F9A"/>
    <w:rsid w:val="00B63498"/>
    <w:rsid w:val="00B63A83"/>
    <w:rsid w:val="00B63AF4"/>
    <w:rsid w:val="00B63C15"/>
    <w:rsid w:val="00B64813"/>
    <w:rsid w:val="00B64A76"/>
    <w:rsid w:val="00B65484"/>
    <w:rsid w:val="00B657FE"/>
    <w:rsid w:val="00B65A35"/>
    <w:rsid w:val="00B65A62"/>
    <w:rsid w:val="00B66726"/>
    <w:rsid w:val="00B6718F"/>
    <w:rsid w:val="00B67442"/>
    <w:rsid w:val="00B6762F"/>
    <w:rsid w:val="00B67AC1"/>
    <w:rsid w:val="00B70CDD"/>
    <w:rsid w:val="00B712EA"/>
    <w:rsid w:val="00B7135E"/>
    <w:rsid w:val="00B728AF"/>
    <w:rsid w:val="00B73206"/>
    <w:rsid w:val="00B73412"/>
    <w:rsid w:val="00B73BC2"/>
    <w:rsid w:val="00B73CAA"/>
    <w:rsid w:val="00B73D99"/>
    <w:rsid w:val="00B73ECA"/>
    <w:rsid w:val="00B7473B"/>
    <w:rsid w:val="00B74ABC"/>
    <w:rsid w:val="00B75731"/>
    <w:rsid w:val="00B75CB6"/>
    <w:rsid w:val="00B76C8B"/>
    <w:rsid w:val="00B76DD7"/>
    <w:rsid w:val="00B7744C"/>
    <w:rsid w:val="00B801AD"/>
    <w:rsid w:val="00B80712"/>
    <w:rsid w:val="00B80A97"/>
    <w:rsid w:val="00B811F7"/>
    <w:rsid w:val="00B815F2"/>
    <w:rsid w:val="00B8176F"/>
    <w:rsid w:val="00B82045"/>
    <w:rsid w:val="00B82210"/>
    <w:rsid w:val="00B826D5"/>
    <w:rsid w:val="00B82AEE"/>
    <w:rsid w:val="00B82E28"/>
    <w:rsid w:val="00B832A6"/>
    <w:rsid w:val="00B832C9"/>
    <w:rsid w:val="00B8382B"/>
    <w:rsid w:val="00B83DD9"/>
    <w:rsid w:val="00B85B3C"/>
    <w:rsid w:val="00B865A3"/>
    <w:rsid w:val="00B86908"/>
    <w:rsid w:val="00B86C9A"/>
    <w:rsid w:val="00B87321"/>
    <w:rsid w:val="00B87727"/>
    <w:rsid w:val="00B903BC"/>
    <w:rsid w:val="00B913A9"/>
    <w:rsid w:val="00B915DE"/>
    <w:rsid w:val="00B9161D"/>
    <w:rsid w:val="00B9179E"/>
    <w:rsid w:val="00B92469"/>
    <w:rsid w:val="00B92850"/>
    <w:rsid w:val="00B92E27"/>
    <w:rsid w:val="00B92EC3"/>
    <w:rsid w:val="00B92F7D"/>
    <w:rsid w:val="00B933B9"/>
    <w:rsid w:val="00B9341C"/>
    <w:rsid w:val="00B93C1B"/>
    <w:rsid w:val="00B93F28"/>
    <w:rsid w:val="00B94CBA"/>
    <w:rsid w:val="00B95228"/>
    <w:rsid w:val="00B95282"/>
    <w:rsid w:val="00B9652A"/>
    <w:rsid w:val="00B96623"/>
    <w:rsid w:val="00B969D3"/>
    <w:rsid w:val="00B96F4C"/>
    <w:rsid w:val="00BA023D"/>
    <w:rsid w:val="00BA02E0"/>
    <w:rsid w:val="00BA03CA"/>
    <w:rsid w:val="00BA0404"/>
    <w:rsid w:val="00BA0A4C"/>
    <w:rsid w:val="00BA1099"/>
    <w:rsid w:val="00BA1A21"/>
    <w:rsid w:val="00BA1D9D"/>
    <w:rsid w:val="00BA1DB0"/>
    <w:rsid w:val="00BA25DB"/>
    <w:rsid w:val="00BA264F"/>
    <w:rsid w:val="00BA29B8"/>
    <w:rsid w:val="00BA371F"/>
    <w:rsid w:val="00BA37F3"/>
    <w:rsid w:val="00BA3F00"/>
    <w:rsid w:val="00BA433E"/>
    <w:rsid w:val="00BA4582"/>
    <w:rsid w:val="00BA4E67"/>
    <w:rsid w:val="00BA5356"/>
    <w:rsid w:val="00BA53DA"/>
    <w:rsid w:val="00BA5639"/>
    <w:rsid w:val="00BA5A79"/>
    <w:rsid w:val="00BA5BC5"/>
    <w:rsid w:val="00BA5DC6"/>
    <w:rsid w:val="00BA6172"/>
    <w:rsid w:val="00BA6196"/>
    <w:rsid w:val="00BA69F0"/>
    <w:rsid w:val="00BA6C73"/>
    <w:rsid w:val="00BA6EE1"/>
    <w:rsid w:val="00BA70CE"/>
    <w:rsid w:val="00BB0265"/>
    <w:rsid w:val="00BB0516"/>
    <w:rsid w:val="00BB1C06"/>
    <w:rsid w:val="00BB1D1C"/>
    <w:rsid w:val="00BB1F41"/>
    <w:rsid w:val="00BB21D4"/>
    <w:rsid w:val="00BB2756"/>
    <w:rsid w:val="00BB2B26"/>
    <w:rsid w:val="00BB333C"/>
    <w:rsid w:val="00BB3360"/>
    <w:rsid w:val="00BB3979"/>
    <w:rsid w:val="00BB406F"/>
    <w:rsid w:val="00BB47B4"/>
    <w:rsid w:val="00BB4ED2"/>
    <w:rsid w:val="00BB50A4"/>
    <w:rsid w:val="00BB521D"/>
    <w:rsid w:val="00BB5876"/>
    <w:rsid w:val="00BB6E2E"/>
    <w:rsid w:val="00BB734A"/>
    <w:rsid w:val="00BB7A27"/>
    <w:rsid w:val="00BC02BF"/>
    <w:rsid w:val="00BC02E7"/>
    <w:rsid w:val="00BC07C6"/>
    <w:rsid w:val="00BC0B76"/>
    <w:rsid w:val="00BC221C"/>
    <w:rsid w:val="00BC231A"/>
    <w:rsid w:val="00BC2BB4"/>
    <w:rsid w:val="00BC2CC7"/>
    <w:rsid w:val="00BC32AB"/>
    <w:rsid w:val="00BC3331"/>
    <w:rsid w:val="00BC367E"/>
    <w:rsid w:val="00BC43EA"/>
    <w:rsid w:val="00BC4420"/>
    <w:rsid w:val="00BC456C"/>
    <w:rsid w:val="00BC4965"/>
    <w:rsid w:val="00BC4A97"/>
    <w:rsid w:val="00BC53D4"/>
    <w:rsid w:val="00BC5846"/>
    <w:rsid w:val="00BC625A"/>
    <w:rsid w:val="00BC64A0"/>
    <w:rsid w:val="00BC66FF"/>
    <w:rsid w:val="00BC6D8C"/>
    <w:rsid w:val="00BC7D2B"/>
    <w:rsid w:val="00BD0897"/>
    <w:rsid w:val="00BD19B3"/>
    <w:rsid w:val="00BD1A2D"/>
    <w:rsid w:val="00BD1D6A"/>
    <w:rsid w:val="00BD202E"/>
    <w:rsid w:val="00BD23A4"/>
    <w:rsid w:val="00BD2489"/>
    <w:rsid w:val="00BD2665"/>
    <w:rsid w:val="00BD286D"/>
    <w:rsid w:val="00BD498A"/>
    <w:rsid w:val="00BD4FA8"/>
    <w:rsid w:val="00BD5434"/>
    <w:rsid w:val="00BD65E7"/>
    <w:rsid w:val="00BD6760"/>
    <w:rsid w:val="00BD69A0"/>
    <w:rsid w:val="00BD69B7"/>
    <w:rsid w:val="00BD6AE9"/>
    <w:rsid w:val="00BD6F96"/>
    <w:rsid w:val="00BD74DF"/>
    <w:rsid w:val="00BD77FE"/>
    <w:rsid w:val="00BD78D7"/>
    <w:rsid w:val="00BE0172"/>
    <w:rsid w:val="00BE0928"/>
    <w:rsid w:val="00BE0EB5"/>
    <w:rsid w:val="00BE16D1"/>
    <w:rsid w:val="00BE203D"/>
    <w:rsid w:val="00BE2647"/>
    <w:rsid w:val="00BE28CC"/>
    <w:rsid w:val="00BE2BC9"/>
    <w:rsid w:val="00BE359E"/>
    <w:rsid w:val="00BE373A"/>
    <w:rsid w:val="00BE3F62"/>
    <w:rsid w:val="00BE41A4"/>
    <w:rsid w:val="00BE42A5"/>
    <w:rsid w:val="00BE439A"/>
    <w:rsid w:val="00BE43B9"/>
    <w:rsid w:val="00BE476E"/>
    <w:rsid w:val="00BE4BEE"/>
    <w:rsid w:val="00BE4CF1"/>
    <w:rsid w:val="00BE5556"/>
    <w:rsid w:val="00BE5762"/>
    <w:rsid w:val="00BE5E08"/>
    <w:rsid w:val="00BE5F19"/>
    <w:rsid w:val="00BE6001"/>
    <w:rsid w:val="00BE6616"/>
    <w:rsid w:val="00BE695E"/>
    <w:rsid w:val="00BE69C8"/>
    <w:rsid w:val="00BE6ABE"/>
    <w:rsid w:val="00BE6BDA"/>
    <w:rsid w:val="00BE6CE2"/>
    <w:rsid w:val="00BE7990"/>
    <w:rsid w:val="00BE7E44"/>
    <w:rsid w:val="00BE7EE1"/>
    <w:rsid w:val="00BF0314"/>
    <w:rsid w:val="00BF04B3"/>
    <w:rsid w:val="00BF10C4"/>
    <w:rsid w:val="00BF116F"/>
    <w:rsid w:val="00BF150D"/>
    <w:rsid w:val="00BF1E35"/>
    <w:rsid w:val="00BF2096"/>
    <w:rsid w:val="00BF237B"/>
    <w:rsid w:val="00BF23E8"/>
    <w:rsid w:val="00BF28C1"/>
    <w:rsid w:val="00BF2E71"/>
    <w:rsid w:val="00BF2FCD"/>
    <w:rsid w:val="00BF3775"/>
    <w:rsid w:val="00BF402B"/>
    <w:rsid w:val="00BF4FBC"/>
    <w:rsid w:val="00BF5042"/>
    <w:rsid w:val="00BF54F1"/>
    <w:rsid w:val="00BF5953"/>
    <w:rsid w:val="00BF5BDC"/>
    <w:rsid w:val="00BF5CCB"/>
    <w:rsid w:val="00BF5EE3"/>
    <w:rsid w:val="00BF624A"/>
    <w:rsid w:val="00BF62F6"/>
    <w:rsid w:val="00BF6F2B"/>
    <w:rsid w:val="00BF7214"/>
    <w:rsid w:val="00BF7637"/>
    <w:rsid w:val="00BF782E"/>
    <w:rsid w:val="00BF7D3D"/>
    <w:rsid w:val="00C0008E"/>
    <w:rsid w:val="00C001AC"/>
    <w:rsid w:val="00C0083C"/>
    <w:rsid w:val="00C0122D"/>
    <w:rsid w:val="00C017AB"/>
    <w:rsid w:val="00C01E25"/>
    <w:rsid w:val="00C02738"/>
    <w:rsid w:val="00C02AB2"/>
    <w:rsid w:val="00C02BE7"/>
    <w:rsid w:val="00C0341D"/>
    <w:rsid w:val="00C03AC9"/>
    <w:rsid w:val="00C03CB3"/>
    <w:rsid w:val="00C03E0A"/>
    <w:rsid w:val="00C04808"/>
    <w:rsid w:val="00C04A8D"/>
    <w:rsid w:val="00C04E07"/>
    <w:rsid w:val="00C053C0"/>
    <w:rsid w:val="00C053F9"/>
    <w:rsid w:val="00C054BF"/>
    <w:rsid w:val="00C057BA"/>
    <w:rsid w:val="00C06078"/>
    <w:rsid w:val="00C06175"/>
    <w:rsid w:val="00C0622D"/>
    <w:rsid w:val="00C0625F"/>
    <w:rsid w:val="00C07307"/>
    <w:rsid w:val="00C10141"/>
    <w:rsid w:val="00C10634"/>
    <w:rsid w:val="00C107E1"/>
    <w:rsid w:val="00C10866"/>
    <w:rsid w:val="00C118CC"/>
    <w:rsid w:val="00C122C4"/>
    <w:rsid w:val="00C12611"/>
    <w:rsid w:val="00C1271E"/>
    <w:rsid w:val="00C134E4"/>
    <w:rsid w:val="00C134F9"/>
    <w:rsid w:val="00C13590"/>
    <w:rsid w:val="00C13A2C"/>
    <w:rsid w:val="00C13DD4"/>
    <w:rsid w:val="00C144D8"/>
    <w:rsid w:val="00C14654"/>
    <w:rsid w:val="00C14C4B"/>
    <w:rsid w:val="00C14E69"/>
    <w:rsid w:val="00C15254"/>
    <w:rsid w:val="00C15CCB"/>
    <w:rsid w:val="00C16190"/>
    <w:rsid w:val="00C162B1"/>
    <w:rsid w:val="00C16DC5"/>
    <w:rsid w:val="00C17ADB"/>
    <w:rsid w:val="00C17C2E"/>
    <w:rsid w:val="00C17FCB"/>
    <w:rsid w:val="00C20339"/>
    <w:rsid w:val="00C2052F"/>
    <w:rsid w:val="00C2112F"/>
    <w:rsid w:val="00C213AE"/>
    <w:rsid w:val="00C21480"/>
    <w:rsid w:val="00C22324"/>
    <w:rsid w:val="00C223E4"/>
    <w:rsid w:val="00C224BB"/>
    <w:rsid w:val="00C2294F"/>
    <w:rsid w:val="00C229F8"/>
    <w:rsid w:val="00C22B3A"/>
    <w:rsid w:val="00C22EAC"/>
    <w:rsid w:val="00C23106"/>
    <w:rsid w:val="00C23591"/>
    <w:rsid w:val="00C23969"/>
    <w:rsid w:val="00C23B19"/>
    <w:rsid w:val="00C23C7A"/>
    <w:rsid w:val="00C23E9B"/>
    <w:rsid w:val="00C24156"/>
    <w:rsid w:val="00C24BD2"/>
    <w:rsid w:val="00C24C0E"/>
    <w:rsid w:val="00C24CD2"/>
    <w:rsid w:val="00C24D68"/>
    <w:rsid w:val="00C250AC"/>
    <w:rsid w:val="00C250BF"/>
    <w:rsid w:val="00C250DD"/>
    <w:rsid w:val="00C258D0"/>
    <w:rsid w:val="00C25A09"/>
    <w:rsid w:val="00C25A4C"/>
    <w:rsid w:val="00C26551"/>
    <w:rsid w:val="00C26566"/>
    <w:rsid w:val="00C266D4"/>
    <w:rsid w:val="00C2672A"/>
    <w:rsid w:val="00C26FE4"/>
    <w:rsid w:val="00C27954"/>
    <w:rsid w:val="00C27CC8"/>
    <w:rsid w:val="00C27EBC"/>
    <w:rsid w:val="00C30823"/>
    <w:rsid w:val="00C31257"/>
    <w:rsid w:val="00C31403"/>
    <w:rsid w:val="00C31A0D"/>
    <w:rsid w:val="00C32102"/>
    <w:rsid w:val="00C32104"/>
    <w:rsid w:val="00C32397"/>
    <w:rsid w:val="00C338CC"/>
    <w:rsid w:val="00C33C9F"/>
    <w:rsid w:val="00C33F58"/>
    <w:rsid w:val="00C34006"/>
    <w:rsid w:val="00C34620"/>
    <w:rsid w:val="00C36118"/>
    <w:rsid w:val="00C367D3"/>
    <w:rsid w:val="00C36821"/>
    <w:rsid w:val="00C368A6"/>
    <w:rsid w:val="00C36B4C"/>
    <w:rsid w:val="00C36F1B"/>
    <w:rsid w:val="00C3714A"/>
    <w:rsid w:val="00C373F8"/>
    <w:rsid w:val="00C37741"/>
    <w:rsid w:val="00C37855"/>
    <w:rsid w:val="00C378BC"/>
    <w:rsid w:val="00C37972"/>
    <w:rsid w:val="00C402C8"/>
    <w:rsid w:val="00C40441"/>
    <w:rsid w:val="00C4055F"/>
    <w:rsid w:val="00C40743"/>
    <w:rsid w:val="00C407AD"/>
    <w:rsid w:val="00C40A7F"/>
    <w:rsid w:val="00C415E3"/>
    <w:rsid w:val="00C41921"/>
    <w:rsid w:val="00C4208D"/>
    <w:rsid w:val="00C4246B"/>
    <w:rsid w:val="00C4254A"/>
    <w:rsid w:val="00C426B1"/>
    <w:rsid w:val="00C42C54"/>
    <w:rsid w:val="00C434C7"/>
    <w:rsid w:val="00C434C8"/>
    <w:rsid w:val="00C4364C"/>
    <w:rsid w:val="00C43989"/>
    <w:rsid w:val="00C43B6A"/>
    <w:rsid w:val="00C43D40"/>
    <w:rsid w:val="00C43FDB"/>
    <w:rsid w:val="00C4450B"/>
    <w:rsid w:val="00C44AE2"/>
    <w:rsid w:val="00C44B03"/>
    <w:rsid w:val="00C44CAC"/>
    <w:rsid w:val="00C44D84"/>
    <w:rsid w:val="00C44F5F"/>
    <w:rsid w:val="00C45132"/>
    <w:rsid w:val="00C45D20"/>
    <w:rsid w:val="00C45D98"/>
    <w:rsid w:val="00C46F04"/>
    <w:rsid w:val="00C475F5"/>
    <w:rsid w:val="00C478CF"/>
    <w:rsid w:val="00C4793E"/>
    <w:rsid w:val="00C47F80"/>
    <w:rsid w:val="00C50086"/>
    <w:rsid w:val="00C503B8"/>
    <w:rsid w:val="00C504FD"/>
    <w:rsid w:val="00C50E78"/>
    <w:rsid w:val="00C50FDE"/>
    <w:rsid w:val="00C513FD"/>
    <w:rsid w:val="00C51B43"/>
    <w:rsid w:val="00C51E41"/>
    <w:rsid w:val="00C52652"/>
    <w:rsid w:val="00C52B8B"/>
    <w:rsid w:val="00C52F08"/>
    <w:rsid w:val="00C532F2"/>
    <w:rsid w:val="00C533D0"/>
    <w:rsid w:val="00C53701"/>
    <w:rsid w:val="00C5371A"/>
    <w:rsid w:val="00C53C7D"/>
    <w:rsid w:val="00C54154"/>
    <w:rsid w:val="00C54214"/>
    <w:rsid w:val="00C54BA9"/>
    <w:rsid w:val="00C5541A"/>
    <w:rsid w:val="00C55E0D"/>
    <w:rsid w:val="00C56DD3"/>
    <w:rsid w:val="00C5715A"/>
    <w:rsid w:val="00C571F4"/>
    <w:rsid w:val="00C57B12"/>
    <w:rsid w:val="00C57D87"/>
    <w:rsid w:val="00C6039F"/>
    <w:rsid w:val="00C603ED"/>
    <w:rsid w:val="00C60662"/>
    <w:rsid w:val="00C60D14"/>
    <w:rsid w:val="00C60FDD"/>
    <w:rsid w:val="00C61E13"/>
    <w:rsid w:val="00C61F43"/>
    <w:rsid w:val="00C6242C"/>
    <w:rsid w:val="00C62798"/>
    <w:rsid w:val="00C6343C"/>
    <w:rsid w:val="00C63711"/>
    <w:rsid w:val="00C63BD8"/>
    <w:rsid w:val="00C64277"/>
    <w:rsid w:val="00C64989"/>
    <w:rsid w:val="00C652A6"/>
    <w:rsid w:val="00C6537D"/>
    <w:rsid w:val="00C6550C"/>
    <w:rsid w:val="00C65C90"/>
    <w:rsid w:val="00C66160"/>
    <w:rsid w:val="00C66BF7"/>
    <w:rsid w:val="00C66C7A"/>
    <w:rsid w:val="00C6743F"/>
    <w:rsid w:val="00C677AA"/>
    <w:rsid w:val="00C67A88"/>
    <w:rsid w:val="00C67B4E"/>
    <w:rsid w:val="00C67FD1"/>
    <w:rsid w:val="00C70FF6"/>
    <w:rsid w:val="00C71713"/>
    <w:rsid w:val="00C71A13"/>
    <w:rsid w:val="00C71C4F"/>
    <w:rsid w:val="00C721AC"/>
    <w:rsid w:val="00C727FB"/>
    <w:rsid w:val="00C72A27"/>
    <w:rsid w:val="00C72DED"/>
    <w:rsid w:val="00C72ED9"/>
    <w:rsid w:val="00C733C7"/>
    <w:rsid w:val="00C73686"/>
    <w:rsid w:val="00C7369C"/>
    <w:rsid w:val="00C73CC2"/>
    <w:rsid w:val="00C74164"/>
    <w:rsid w:val="00C749FA"/>
    <w:rsid w:val="00C75691"/>
    <w:rsid w:val="00C76233"/>
    <w:rsid w:val="00C764F6"/>
    <w:rsid w:val="00C767C6"/>
    <w:rsid w:val="00C76B82"/>
    <w:rsid w:val="00C77CCA"/>
    <w:rsid w:val="00C80067"/>
    <w:rsid w:val="00C80439"/>
    <w:rsid w:val="00C804C2"/>
    <w:rsid w:val="00C807A6"/>
    <w:rsid w:val="00C8240E"/>
    <w:rsid w:val="00C828C6"/>
    <w:rsid w:val="00C8297F"/>
    <w:rsid w:val="00C82DC1"/>
    <w:rsid w:val="00C83116"/>
    <w:rsid w:val="00C8320C"/>
    <w:rsid w:val="00C83A40"/>
    <w:rsid w:val="00C83A59"/>
    <w:rsid w:val="00C83AB3"/>
    <w:rsid w:val="00C83AB9"/>
    <w:rsid w:val="00C83E4C"/>
    <w:rsid w:val="00C84022"/>
    <w:rsid w:val="00C8421E"/>
    <w:rsid w:val="00C8445C"/>
    <w:rsid w:val="00C84A96"/>
    <w:rsid w:val="00C84CA3"/>
    <w:rsid w:val="00C84D9D"/>
    <w:rsid w:val="00C8553F"/>
    <w:rsid w:val="00C857BF"/>
    <w:rsid w:val="00C85BFB"/>
    <w:rsid w:val="00C86092"/>
    <w:rsid w:val="00C867B3"/>
    <w:rsid w:val="00C867DB"/>
    <w:rsid w:val="00C86F22"/>
    <w:rsid w:val="00C8765B"/>
    <w:rsid w:val="00C87A87"/>
    <w:rsid w:val="00C87F02"/>
    <w:rsid w:val="00C87F15"/>
    <w:rsid w:val="00C902F0"/>
    <w:rsid w:val="00C903CA"/>
    <w:rsid w:val="00C90D6A"/>
    <w:rsid w:val="00C90FF3"/>
    <w:rsid w:val="00C9101F"/>
    <w:rsid w:val="00C91634"/>
    <w:rsid w:val="00C9176C"/>
    <w:rsid w:val="00C917AC"/>
    <w:rsid w:val="00C91A95"/>
    <w:rsid w:val="00C92406"/>
    <w:rsid w:val="00C92793"/>
    <w:rsid w:val="00C92829"/>
    <w:rsid w:val="00C9295B"/>
    <w:rsid w:val="00C929EA"/>
    <w:rsid w:val="00C930F6"/>
    <w:rsid w:val="00C939EE"/>
    <w:rsid w:val="00C93A2D"/>
    <w:rsid w:val="00C93A4E"/>
    <w:rsid w:val="00C94C93"/>
    <w:rsid w:val="00C951FB"/>
    <w:rsid w:val="00C955BE"/>
    <w:rsid w:val="00C9574E"/>
    <w:rsid w:val="00C958A1"/>
    <w:rsid w:val="00C95F4A"/>
    <w:rsid w:val="00C963ED"/>
    <w:rsid w:val="00C96715"/>
    <w:rsid w:val="00C96B77"/>
    <w:rsid w:val="00C96DC1"/>
    <w:rsid w:val="00C972F1"/>
    <w:rsid w:val="00C97D81"/>
    <w:rsid w:val="00CA094B"/>
    <w:rsid w:val="00CA143F"/>
    <w:rsid w:val="00CA1D75"/>
    <w:rsid w:val="00CA247E"/>
    <w:rsid w:val="00CA25C6"/>
    <w:rsid w:val="00CA279C"/>
    <w:rsid w:val="00CA2D46"/>
    <w:rsid w:val="00CA3188"/>
    <w:rsid w:val="00CA3439"/>
    <w:rsid w:val="00CA3459"/>
    <w:rsid w:val="00CA3585"/>
    <w:rsid w:val="00CA38C1"/>
    <w:rsid w:val="00CA3D3E"/>
    <w:rsid w:val="00CA4639"/>
    <w:rsid w:val="00CA476F"/>
    <w:rsid w:val="00CA4B10"/>
    <w:rsid w:val="00CA556E"/>
    <w:rsid w:val="00CA5626"/>
    <w:rsid w:val="00CA5CA7"/>
    <w:rsid w:val="00CA5E92"/>
    <w:rsid w:val="00CA6562"/>
    <w:rsid w:val="00CA6CF4"/>
    <w:rsid w:val="00CA6D21"/>
    <w:rsid w:val="00CA6D27"/>
    <w:rsid w:val="00CA7226"/>
    <w:rsid w:val="00CA76D2"/>
    <w:rsid w:val="00CA7D0C"/>
    <w:rsid w:val="00CA7F1C"/>
    <w:rsid w:val="00CB0478"/>
    <w:rsid w:val="00CB0730"/>
    <w:rsid w:val="00CB0C30"/>
    <w:rsid w:val="00CB0C63"/>
    <w:rsid w:val="00CB1394"/>
    <w:rsid w:val="00CB13BF"/>
    <w:rsid w:val="00CB1A66"/>
    <w:rsid w:val="00CB20A4"/>
    <w:rsid w:val="00CB2B58"/>
    <w:rsid w:val="00CB2D61"/>
    <w:rsid w:val="00CB314B"/>
    <w:rsid w:val="00CB34C8"/>
    <w:rsid w:val="00CB4989"/>
    <w:rsid w:val="00CB4B5A"/>
    <w:rsid w:val="00CB4EB1"/>
    <w:rsid w:val="00CB51EF"/>
    <w:rsid w:val="00CB5389"/>
    <w:rsid w:val="00CB5771"/>
    <w:rsid w:val="00CB5846"/>
    <w:rsid w:val="00CB5ABD"/>
    <w:rsid w:val="00CB67ED"/>
    <w:rsid w:val="00CB6967"/>
    <w:rsid w:val="00CB772A"/>
    <w:rsid w:val="00CB7862"/>
    <w:rsid w:val="00CC04E2"/>
    <w:rsid w:val="00CC055E"/>
    <w:rsid w:val="00CC0B85"/>
    <w:rsid w:val="00CC0D7A"/>
    <w:rsid w:val="00CC0DD0"/>
    <w:rsid w:val="00CC1860"/>
    <w:rsid w:val="00CC2591"/>
    <w:rsid w:val="00CC2A49"/>
    <w:rsid w:val="00CC38F8"/>
    <w:rsid w:val="00CC38F9"/>
    <w:rsid w:val="00CC3B64"/>
    <w:rsid w:val="00CC4433"/>
    <w:rsid w:val="00CC443D"/>
    <w:rsid w:val="00CC4674"/>
    <w:rsid w:val="00CC46C3"/>
    <w:rsid w:val="00CC50D0"/>
    <w:rsid w:val="00CC5201"/>
    <w:rsid w:val="00CC5263"/>
    <w:rsid w:val="00CC528C"/>
    <w:rsid w:val="00CC5965"/>
    <w:rsid w:val="00CC5E6B"/>
    <w:rsid w:val="00CC5F3D"/>
    <w:rsid w:val="00CC6471"/>
    <w:rsid w:val="00CC6FD7"/>
    <w:rsid w:val="00CC7127"/>
    <w:rsid w:val="00CC71C6"/>
    <w:rsid w:val="00CC72B6"/>
    <w:rsid w:val="00CC73AC"/>
    <w:rsid w:val="00CC7BBF"/>
    <w:rsid w:val="00CC7C29"/>
    <w:rsid w:val="00CD01A8"/>
    <w:rsid w:val="00CD0544"/>
    <w:rsid w:val="00CD0A53"/>
    <w:rsid w:val="00CD130A"/>
    <w:rsid w:val="00CD13D3"/>
    <w:rsid w:val="00CD150A"/>
    <w:rsid w:val="00CD1619"/>
    <w:rsid w:val="00CD1941"/>
    <w:rsid w:val="00CD1AE3"/>
    <w:rsid w:val="00CD242D"/>
    <w:rsid w:val="00CD27EF"/>
    <w:rsid w:val="00CD322E"/>
    <w:rsid w:val="00CD32F5"/>
    <w:rsid w:val="00CD361D"/>
    <w:rsid w:val="00CD36D7"/>
    <w:rsid w:val="00CD37F3"/>
    <w:rsid w:val="00CD3860"/>
    <w:rsid w:val="00CD474C"/>
    <w:rsid w:val="00CD4795"/>
    <w:rsid w:val="00CD4976"/>
    <w:rsid w:val="00CD50E5"/>
    <w:rsid w:val="00CD54EF"/>
    <w:rsid w:val="00CD550F"/>
    <w:rsid w:val="00CD5874"/>
    <w:rsid w:val="00CD588A"/>
    <w:rsid w:val="00CD5EF0"/>
    <w:rsid w:val="00CD6F48"/>
    <w:rsid w:val="00CD7981"/>
    <w:rsid w:val="00CD7A3D"/>
    <w:rsid w:val="00CE022A"/>
    <w:rsid w:val="00CE052C"/>
    <w:rsid w:val="00CE1104"/>
    <w:rsid w:val="00CE1A0E"/>
    <w:rsid w:val="00CE26DE"/>
    <w:rsid w:val="00CE27B9"/>
    <w:rsid w:val="00CE2BF7"/>
    <w:rsid w:val="00CE2C3C"/>
    <w:rsid w:val="00CE2CA0"/>
    <w:rsid w:val="00CE3B10"/>
    <w:rsid w:val="00CE434F"/>
    <w:rsid w:val="00CE4A4C"/>
    <w:rsid w:val="00CE54A8"/>
    <w:rsid w:val="00CE55D3"/>
    <w:rsid w:val="00CE560B"/>
    <w:rsid w:val="00CE582D"/>
    <w:rsid w:val="00CE5A09"/>
    <w:rsid w:val="00CE5D47"/>
    <w:rsid w:val="00CE5FCF"/>
    <w:rsid w:val="00CE6127"/>
    <w:rsid w:val="00CE643E"/>
    <w:rsid w:val="00CE6522"/>
    <w:rsid w:val="00CE65C6"/>
    <w:rsid w:val="00CE6722"/>
    <w:rsid w:val="00CE6778"/>
    <w:rsid w:val="00CE6A08"/>
    <w:rsid w:val="00CE6E25"/>
    <w:rsid w:val="00CE7344"/>
    <w:rsid w:val="00CE738B"/>
    <w:rsid w:val="00CE784F"/>
    <w:rsid w:val="00CE79D4"/>
    <w:rsid w:val="00CE7DD5"/>
    <w:rsid w:val="00CF017D"/>
    <w:rsid w:val="00CF0F0F"/>
    <w:rsid w:val="00CF19F0"/>
    <w:rsid w:val="00CF1AD5"/>
    <w:rsid w:val="00CF22F9"/>
    <w:rsid w:val="00CF25C7"/>
    <w:rsid w:val="00CF267D"/>
    <w:rsid w:val="00CF27FA"/>
    <w:rsid w:val="00CF2DC2"/>
    <w:rsid w:val="00CF3829"/>
    <w:rsid w:val="00CF3E49"/>
    <w:rsid w:val="00CF3EC2"/>
    <w:rsid w:val="00CF4180"/>
    <w:rsid w:val="00CF4347"/>
    <w:rsid w:val="00CF443E"/>
    <w:rsid w:val="00CF485F"/>
    <w:rsid w:val="00CF665A"/>
    <w:rsid w:val="00CF6AD2"/>
    <w:rsid w:val="00CF6C20"/>
    <w:rsid w:val="00CF6C96"/>
    <w:rsid w:val="00CF717D"/>
    <w:rsid w:val="00CF7B0D"/>
    <w:rsid w:val="00CF7CDE"/>
    <w:rsid w:val="00CF7F46"/>
    <w:rsid w:val="00D0051E"/>
    <w:rsid w:val="00D00A25"/>
    <w:rsid w:val="00D00B9A"/>
    <w:rsid w:val="00D01181"/>
    <w:rsid w:val="00D0123F"/>
    <w:rsid w:val="00D01496"/>
    <w:rsid w:val="00D0156F"/>
    <w:rsid w:val="00D01739"/>
    <w:rsid w:val="00D01AC3"/>
    <w:rsid w:val="00D0218D"/>
    <w:rsid w:val="00D0283E"/>
    <w:rsid w:val="00D028A0"/>
    <w:rsid w:val="00D035D1"/>
    <w:rsid w:val="00D03AF1"/>
    <w:rsid w:val="00D04070"/>
    <w:rsid w:val="00D0431B"/>
    <w:rsid w:val="00D046F3"/>
    <w:rsid w:val="00D04B70"/>
    <w:rsid w:val="00D05C4F"/>
    <w:rsid w:val="00D05E26"/>
    <w:rsid w:val="00D060EF"/>
    <w:rsid w:val="00D06746"/>
    <w:rsid w:val="00D0684F"/>
    <w:rsid w:val="00D06A42"/>
    <w:rsid w:val="00D06E01"/>
    <w:rsid w:val="00D07F16"/>
    <w:rsid w:val="00D1019E"/>
    <w:rsid w:val="00D105C2"/>
    <w:rsid w:val="00D10787"/>
    <w:rsid w:val="00D10936"/>
    <w:rsid w:val="00D111AB"/>
    <w:rsid w:val="00D1173C"/>
    <w:rsid w:val="00D11C8D"/>
    <w:rsid w:val="00D12261"/>
    <w:rsid w:val="00D12C57"/>
    <w:rsid w:val="00D13AC4"/>
    <w:rsid w:val="00D13B1B"/>
    <w:rsid w:val="00D1422B"/>
    <w:rsid w:val="00D143FF"/>
    <w:rsid w:val="00D14909"/>
    <w:rsid w:val="00D15E59"/>
    <w:rsid w:val="00D167EE"/>
    <w:rsid w:val="00D1680C"/>
    <w:rsid w:val="00D168BF"/>
    <w:rsid w:val="00D16FDD"/>
    <w:rsid w:val="00D172D5"/>
    <w:rsid w:val="00D1737F"/>
    <w:rsid w:val="00D17897"/>
    <w:rsid w:val="00D203C9"/>
    <w:rsid w:val="00D20844"/>
    <w:rsid w:val="00D20CEF"/>
    <w:rsid w:val="00D214EF"/>
    <w:rsid w:val="00D216A1"/>
    <w:rsid w:val="00D21AEC"/>
    <w:rsid w:val="00D222EF"/>
    <w:rsid w:val="00D22725"/>
    <w:rsid w:val="00D22842"/>
    <w:rsid w:val="00D2294A"/>
    <w:rsid w:val="00D23664"/>
    <w:rsid w:val="00D238EE"/>
    <w:rsid w:val="00D23B51"/>
    <w:rsid w:val="00D23B9B"/>
    <w:rsid w:val="00D24264"/>
    <w:rsid w:val="00D245FE"/>
    <w:rsid w:val="00D24BA9"/>
    <w:rsid w:val="00D24BAE"/>
    <w:rsid w:val="00D25AB6"/>
    <w:rsid w:val="00D25FB5"/>
    <w:rsid w:val="00D267DB"/>
    <w:rsid w:val="00D2693B"/>
    <w:rsid w:val="00D269C1"/>
    <w:rsid w:val="00D26C3A"/>
    <w:rsid w:val="00D2756D"/>
    <w:rsid w:val="00D27892"/>
    <w:rsid w:val="00D3008F"/>
    <w:rsid w:val="00D30EFD"/>
    <w:rsid w:val="00D3135E"/>
    <w:rsid w:val="00D317AB"/>
    <w:rsid w:val="00D321B3"/>
    <w:rsid w:val="00D327C0"/>
    <w:rsid w:val="00D32964"/>
    <w:rsid w:val="00D33892"/>
    <w:rsid w:val="00D33D8F"/>
    <w:rsid w:val="00D3523A"/>
    <w:rsid w:val="00D352A4"/>
    <w:rsid w:val="00D36ECC"/>
    <w:rsid w:val="00D36FD1"/>
    <w:rsid w:val="00D3723C"/>
    <w:rsid w:val="00D376B2"/>
    <w:rsid w:val="00D37791"/>
    <w:rsid w:val="00D3787B"/>
    <w:rsid w:val="00D37BCE"/>
    <w:rsid w:val="00D40110"/>
    <w:rsid w:val="00D4036C"/>
    <w:rsid w:val="00D405F1"/>
    <w:rsid w:val="00D4092B"/>
    <w:rsid w:val="00D41522"/>
    <w:rsid w:val="00D42740"/>
    <w:rsid w:val="00D42851"/>
    <w:rsid w:val="00D42F15"/>
    <w:rsid w:val="00D431CA"/>
    <w:rsid w:val="00D43355"/>
    <w:rsid w:val="00D436C2"/>
    <w:rsid w:val="00D43873"/>
    <w:rsid w:val="00D43C4A"/>
    <w:rsid w:val="00D43D26"/>
    <w:rsid w:val="00D43ED1"/>
    <w:rsid w:val="00D44223"/>
    <w:rsid w:val="00D44E93"/>
    <w:rsid w:val="00D44FD0"/>
    <w:rsid w:val="00D45202"/>
    <w:rsid w:val="00D455BC"/>
    <w:rsid w:val="00D460BA"/>
    <w:rsid w:val="00D46154"/>
    <w:rsid w:val="00D463D1"/>
    <w:rsid w:val="00D46496"/>
    <w:rsid w:val="00D47370"/>
    <w:rsid w:val="00D4747A"/>
    <w:rsid w:val="00D47E1E"/>
    <w:rsid w:val="00D47F52"/>
    <w:rsid w:val="00D501B1"/>
    <w:rsid w:val="00D501C5"/>
    <w:rsid w:val="00D501CF"/>
    <w:rsid w:val="00D505E9"/>
    <w:rsid w:val="00D50697"/>
    <w:rsid w:val="00D507CB"/>
    <w:rsid w:val="00D50942"/>
    <w:rsid w:val="00D50A63"/>
    <w:rsid w:val="00D50B45"/>
    <w:rsid w:val="00D514A9"/>
    <w:rsid w:val="00D51B35"/>
    <w:rsid w:val="00D51FCC"/>
    <w:rsid w:val="00D5212F"/>
    <w:rsid w:val="00D52678"/>
    <w:rsid w:val="00D5395A"/>
    <w:rsid w:val="00D53C0D"/>
    <w:rsid w:val="00D53C6B"/>
    <w:rsid w:val="00D53EAE"/>
    <w:rsid w:val="00D53FCC"/>
    <w:rsid w:val="00D54169"/>
    <w:rsid w:val="00D542D1"/>
    <w:rsid w:val="00D543DC"/>
    <w:rsid w:val="00D545E1"/>
    <w:rsid w:val="00D548C3"/>
    <w:rsid w:val="00D55094"/>
    <w:rsid w:val="00D55250"/>
    <w:rsid w:val="00D570C9"/>
    <w:rsid w:val="00D572C7"/>
    <w:rsid w:val="00D576FB"/>
    <w:rsid w:val="00D57AC9"/>
    <w:rsid w:val="00D57E10"/>
    <w:rsid w:val="00D57FDE"/>
    <w:rsid w:val="00D6023E"/>
    <w:rsid w:val="00D607DC"/>
    <w:rsid w:val="00D6097B"/>
    <w:rsid w:val="00D60E2B"/>
    <w:rsid w:val="00D61641"/>
    <w:rsid w:val="00D61CC9"/>
    <w:rsid w:val="00D620B7"/>
    <w:rsid w:val="00D621C4"/>
    <w:rsid w:val="00D6230D"/>
    <w:rsid w:val="00D63C77"/>
    <w:rsid w:val="00D63E05"/>
    <w:rsid w:val="00D6406B"/>
    <w:rsid w:val="00D6425E"/>
    <w:rsid w:val="00D64A69"/>
    <w:rsid w:val="00D64A70"/>
    <w:rsid w:val="00D654FD"/>
    <w:rsid w:val="00D660E4"/>
    <w:rsid w:val="00D66110"/>
    <w:rsid w:val="00D66752"/>
    <w:rsid w:val="00D66854"/>
    <w:rsid w:val="00D66D32"/>
    <w:rsid w:val="00D66E4B"/>
    <w:rsid w:val="00D67097"/>
    <w:rsid w:val="00D6772D"/>
    <w:rsid w:val="00D67C7E"/>
    <w:rsid w:val="00D7035E"/>
    <w:rsid w:val="00D70C6A"/>
    <w:rsid w:val="00D71087"/>
    <w:rsid w:val="00D72239"/>
    <w:rsid w:val="00D728A1"/>
    <w:rsid w:val="00D72984"/>
    <w:rsid w:val="00D72A4A"/>
    <w:rsid w:val="00D733C2"/>
    <w:rsid w:val="00D738C1"/>
    <w:rsid w:val="00D738CB"/>
    <w:rsid w:val="00D73E69"/>
    <w:rsid w:val="00D74638"/>
    <w:rsid w:val="00D74BBD"/>
    <w:rsid w:val="00D74C63"/>
    <w:rsid w:val="00D74ED2"/>
    <w:rsid w:val="00D75069"/>
    <w:rsid w:val="00D752A8"/>
    <w:rsid w:val="00D75FA6"/>
    <w:rsid w:val="00D760A0"/>
    <w:rsid w:val="00D76829"/>
    <w:rsid w:val="00D77BA2"/>
    <w:rsid w:val="00D8008B"/>
    <w:rsid w:val="00D8043E"/>
    <w:rsid w:val="00D817C6"/>
    <w:rsid w:val="00D8186C"/>
    <w:rsid w:val="00D81F43"/>
    <w:rsid w:val="00D820A6"/>
    <w:rsid w:val="00D8237A"/>
    <w:rsid w:val="00D82602"/>
    <w:rsid w:val="00D82E16"/>
    <w:rsid w:val="00D830FE"/>
    <w:rsid w:val="00D832D8"/>
    <w:rsid w:val="00D8397D"/>
    <w:rsid w:val="00D83B60"/>
    <w:rsid w:val="00D84482"/>
    <w:rsid w:val="00D845A0"/>
    <w:rsid w:val="00D85160"/>
    <w:rsid w:val="00D853C8"/>
    <w:rsid w:val="00D856A6"/>
    <w:rsid w:val="00D85AC8"/>
    <w:rsid w:val="00D85D31"/>
    <w:rsid w:val="00D85F55"/>
    <w:rsid w:val="00D8615E"/>
    <w:rsid w:val="00D869A8"/>
    <w:rsid w:val="00D86D92"/>
    <w:rsid w:val="00D90406"/>
    <w:rsid w:val="00D90B06"/>
    <w:rsid w:val="00D91301"/>
    <w:rsid w:val="00D91329"/>
    <w:rsid w:val="00D91788"/>
    <w:rsid w:val="00D91B72"/>
    <w:rsid w:val="00D91C51"/>
    <w:rsid w:val="00D91E18"/>
    <w:rsid w:val="00D92087"/>
    <w:rsid w:val="00D9227E"/>
    <w:rsid w:val="00D92300"/>
    <w:rsid w:val="00D9240D"/>
    <w:rsid w:val="00D92DA1"/>
    <w:rsid w:val="00D92E4C"/>
    <w:rsid w:val="00D93197"/>
    <w:rsid w:val="00D93671"/>
    <w:rsid w:val="00D93D08"/>
    <w:rsid w:val="00D93D13"/>
    <w:rsid w:val="00D93FAB"/>
    <w:rsid w:val="00D94543"/>
    <w:rsid w:val="00D945DA"/>
    <w:rsid w:val="00D9496F"/>
    <w:rsid w:val="00D94D7E"/>
    <w:rsid w:val="00D94ED9"/>
    <w:rsid w:val="00D951AD"/>
    <w:rsid w:val="00D95212"/>
    <w:rsid w:val="00D952C5"/>
    <w:rsid w:val="00D95336"/>
    <w:rsid w:val="00D9538B"/>
    <w:rsid w:val="00D95BB7"/>
    <w:rsid w:val="00D96DB7"/>
    <w:rsid w:val="00D96FFB"/>
    <w:rsid w:val="00D970E9"/>
    <w:rsid w:val="00D97A32"/>
    <w:rsid w:val="00D97DFF"/>
    <w:rsid w:val="00D97F5A"/>
    <w:rsid w:val="00DA10EF"/>
    <w:rsid w:val="00DA1364"/>
    <w:rsid w:val="00DA23E2"/>
    <w:rsid w:val="00DA2507"/>
    <w:rsid w:val="00DA2529"/>
    <w:rsid w:val="00DA2643"/>
    <w:rsid w:val="00DA2816"/>
    <w:rsid w:val="00DA301F"/>
    <w:rsid w:val="00DA34FA"/>
    <w:rsid w:val="00DA369B"/>
    <w:rsid w:val="00DA3FD4"/>
    <w:rsid w:val="00DA4266"/>
    <w:rsid w:val="00DA4C0F"/>
    <w:rsid w:val="00DA548F"/>
    <w:rsid w:val="00DA54CE"/>
    <w:rsid w:val="00DA5825"/>
    <w:rsid w:val="00DA5F11"/>
    <w:rsid w:val="00DA68E3"/>
    <w:rsid w:val="00DA6BB0"/>
    <w:rsid w:val="00DA79BA"/>
    <w:rsid w:val="00DA7FE4"/>
    <w:rsid w:val="00DB0663"/>
    <w:rsid w:val="00DB074F"/>
    <w:rsid w:val="00DB07F1"/>
    <w:rsid w:val="00DB0B3D"/>
    <w:rsid w:val="00DB1117"/>
    <w:rsid w:val="00DB130A"/>
    <w:rsid w:val="00DB16C6"/>
    <w:rsid w:val="00DB17B6"/>
    <w:rsid w:val="00DB1802"/>
    <w:rsid w:val="00DB192C"/>
    <w:rsid w:val="00DB29D8"/>
    <w:rsid w:val="00DB2ADE"/>
    <w:rsid w:val="00DB2EBB"/>
    <w:rsid w:val="00DB3282"/>
    <w:rsid w:val="00DB34F6"/>
    <w:rsid w:val="00DB391E"/>
    <w:rsid w:val="00DB4023"/>
    <w:rsid w:val="00DB4044"/>
    <w:rsid w:val="00DB43CF"/>
    <w:rsid w:val="00DB4748"/>
    <w:rsid w:val="00DB48A3"/>
    <w:rsid w:val="00DB4E83"/>
    <w:rsid w:val="00DB4F90"/>
    <w:rsid w:val="00DB5499"/>
    <w:rsid w:val="00DB54C8"/>
    <w:rsid w:val="00DB54F4"/>
    <w:rsid w:val="00DB58BE"/>
    <w:rsid w:val="00DB5A7A"/>
    <w:rsid w:val="00DB5D6D"/>
    <w:rsid w:val="00DB5E15"/>
    <w:rsid w:val="00DB6D3B"/>
    <w:rsid w:val="00DB733A"/>
    <w:rsid w:val="00DC0149"/>
    <w:rsid w:val="00DC0397"/>
    <w:rsid w:val="00DC10A1"/>
    <w:rsid w:val="00DC1520"/>
    <w:rsid w:val="00DC1728"/>
    <w:rsid w:val="00DC252F"/>
    <w:rsid w:val="00DC302D"/>
    <w:rsid w:val="00DC314C"/>
    <w:rsid w:val="00DC3599"/>
    <w:rsid w:val="00DC417F"/>
    <w:rsid w:val="00DC4183"/>
    <w:rsid w:val="00DC4548"/>
    <w:rsid w:val="00DC54B6"/>
    <w:rsid w:val="00DC54CA"/>
    <w:rsid w:val="00DC555B"/>
    <w:rsid w:val="00DC5ABC"/>
    <w:rsid w:val="00DC655F"/>
    <w:rsid w:val="00DC68F4"/>
    <w:rsid w:val="00DC7B7E"/>
    <w:rsid w:val="00DC7D32"/>
    <w:rsid w:val="00DD06C6"/>
    <w:rsid w:val="00DD0B59"/>
    <w:rsid w:val="00DD0C86"/>
    <w:rsid w:val="00DD129A"/>
    <w:rsid w:val="00DD12B9"/>
    <w:rsid w:val="00DD1695"/>
    <w:rsid w:val="00DD19D0"/>
    <w:rsid w:val="00DD2940"/>
    <w:rsid w:val="00DD2953"/>
    <w:rsid w:val="00DD2A93"/>
    <w:rsid w:val="00DD3176"/>
    <w:rsid w:val="00DD33C9"/>
    <w:rsid w:val="00DD377A"/>
    <w:rsid w:val="00DD3D4F"/>
    <w:rsid w:val="00DD43F2"/>
    <w:rsid w:val="00DD48A1"/>
    <w:rsid w:val="00DD4B41"/>
    <w:rsid w:val="00DD57F9"/>
    <w:rsid w:val="00DD5C68"/>
    <w:rsid w:val="00DD5EE8"/>
    <w:rsid w:val="00DD6225"/>
    <w:rsid w:val="00DD67A3"/>
    <w:rsid w:val="00DD781C"/>
    <w:rsid w:val="00DD7C46"/>
    <w:rsid w:val="00DD7EBD"/>
    <w:rsid w:val="00DE0C17"/>
    <w:rsid w:val="00DE177F"/>
    <w:rsid w:val="00DE192F"/>
    <w:rsid w:val="00DE1A6C"/>
    <w:rsid w:val="00DE22CF"/>
    <w:rsid w:val="00DE29AE"/>
    <w:rsid w:val="00DE2F9C"/>
    <w:rsid w:val="00DE33E2"/>
    <w:rsid w:val="00DE342D"/>
    <w:rsid w:val="00DE38A3"/>
    <w:rsid w:val="00DE39C1"/>
    <w:rsid w:val="00DE3C9A"/>
    <w:rsid w:val="00DE3EF8"/>
    <w:rsid w:val="00DE4001"/>
    <w:rsid w:val="00DE441C"/>
    <w:rsid w:val="00DE488C"/>
    <w:rsid w:val="00DE57E4"/>
    <w:rsid w:val="00DE676F"/>
    <w:rsid w:val="00DE779E"/>
    <w:rsid w:val="00DE783B"/>
    <w:rsid w:val="00DE7A00"/>
    <w:rsid w:val="00DF02C1"/>
    <w:rsid w:val="00DF038F"/>
    <w:rsid w:val="00DF046E"/>
    <w:rsid w:val="00DF0764"/>
    <w:rsid w:val="00DF1663"/>
    <w:rsid w:val="00DF180E"/>
    <w:rsid w:val="00DF1F41"/>
    <w:rsid w:val="00DF21D7"/>
    <w:rsid w:val="00DF2367"/>
    <w:rsid w:val="00DF2728"/>
    <w:rsid w:val="00DF2C34"/>
    <w:rsid w:val="00DF2DBC"/>
    <w:rsid w:val="00DF2FE9"/>
    <w:rsid w:val="00DF340F"/>
    <w:rsid w:val="00DF369D"/>
    <w:rsid w:val="00DF3D1B"/>
    <w:rsid w:val="00DF3EA1"/>
    <w:rsid w:val="00DF404E"/>
    <w:rsid w:val="00DF4595"/>
    <w:rsid w:val="00DF5064"/>
    <w:rsid w:val="00DF5397"/>
    <w:rsid w:val="00DF5963"/>
    <w:rsid w:val="00DF603E"/>
    <w:rsid w:val="00DF6194"/>
    <w:rsid w:val="00DF6202"/>
    <w:rsid w:val="00DF62B6"/>
    <w:rsid w:val="00DF6A99"/>
    <w:rsid w:val="00DF732E"/>
    <w:rsid w:val="00DF7D68"/>
    <w:rsid w:val="00DF7ECE"/>
    <w:rsid w:val="00E0009A"/>
    <w:rsid w:val="00E007AB"/>
    <w:rsid w:val="00E00F24"/>
    <w:rsid w:val="00E0166B"/>
    <w:rsid w:val="00E01C33"/>
    <w:rsid w:val="00E01D94"/>
    <w:rsid w:val="00E0223B"/>
    <w:rsid w:val="00E02302"/>
    <w:rsid w:val="00E02548"/>
    <w:rsid w:val="00E03251"/>
    <w:rsid w:val="00E03E89"/>
    <w:rsid w:val="00E04183"/>
    <w:rsid w:val="00E04263"/>
    <w:rsid w:val="00E048D1"/>
    <w:rsid w:val="00E049C5"/>
    <w:rsid w:val="00E049F2"/>
    <w:rsid w:val="00E054A6"/>
    <w:rsid w:val="00E0584D"/>
    <w:rsid w:val="00E05E46"/>
    <w:rsid w:val="00E05F14"/>
    <w:rsid w:val="00E0645B"/>
    <w:rsid w:val="00E066CF"/>
    <w:rsid w:val="00E07179"/>
    <w:rsid w:val="00E07225"/>
    <w:rsid w:val="00E0726F"/>
    <w:rsid w:val="00E07912"/>
    <w:rsid w:val="00E07F99"/>
    <w:rsid w:val="00E10457"/>
    <w:rsid w:val="00E105EB"/>
    <w:rsid w:val="00E106B2"/>
    <w:rsid w:val="00E107C1"/>
    <w:rsid w:val="00E108DD"/>
    <w:rsid w:val="00E1098B"/>
    <w:rsid w:val="00E12037"/>
    <w:rsid w:val="00E120F7"/>
    <w:rsid w:val="00E12455"/>
    <w:rsid w:val="00E1258E"/>
    <w:rsid w:val="00E1264E"/>
    <w:rsid w:val="00E13201"/>
    <w:rsid w:val="00E132CC"/>
    <w:rsid w:val="00E136BC"/>
    <w:rsid w:val="00E13C2E"/>
    <w:rsid w:val="00E14095"/>
    <w:rsid w:val="00E140FB"/>
    <w:rsid w:val="00E1493F"/>
    <w:rsid w:val="00E14A31"/>
    <w:rsid w:val="00E14C8B"/>
    <w:rsid w:val="00E14ED7"/>
    <w:rsid w:val="00E14F17"/>
    <w:rsid w:val="00E15BBE"/>
    <w:rsid w:val="00E162AA"/>
    <w:rsid w:val="00E163FD"/>
    <w:rsid w:val="00E16E03"/>
    <w:rsid w:val="00E16FF0"/>
    <w:rsid w:val="00E17148"/>
    <w:rsid w:val="00E1728E"/>
    <w:rsid w:val="00E1757A"/>
    <w:rsid w:val="00E1784E"/>
    <w:rsid w:val="00E17A7A"/>
    <w:rsid w:val="00E200A4"/>
    <w:rsid w:val="00E20275"/>
    <w:rsid w:val="00E202E1"/>
    <w:rsid w:val="00E2053D"/>
    <w:rsid w:val="00E20AAE"/>
    <w:rsid w:val="00E20AB4"/>
    <w:rsid w:val="00E20B9C"/>
    <w:rsid w:val="00E20FCA"/>
    <w:rsid w:val="00E20FE8"/>
    <w:rsid w:val="00E21CBD"/>
    <w:rsid w:val="00E21E0D"/>
    <w:rsid w:val="00E22432"/>
    <w:rsid w:val="00E229FA"/>
    <w:rsid w:val="00E22D80"/>
    <w:rsid w:val="00E23235"/>
    <w:rsid w:val="00E23244"/>
    <w:rsid w:val="00E232C0"/>
    <w:rsid w:val="00E23402"/>
    <w:rsid w:val="00E2343E"/>
    <w:rsid w:val="00E23C59"/>
    <w:rsid w:val="00E23EF2"/>
    <w:rsid w:val="00E249F4"/>
    <w:rsid w:val="00E24B1D"/>
    <w:rsid w:val="00E25214"/>
    <w:rsid w:val="00E255BC"/>
    <w:rsid w:val="00E25E35"/>
    <w:rsid w:val="00E26054"/>
    <w:rsid w:val="00E26A48"/>
    <w:rsid w:val="00E26B15"/>
    <w:rsid w:val="00E26B83"/>
    <w:rsid w:val="00E27215"/>
    <w:rsid w:val="00E2727A"/>
    <w:rsid w:val="00E27A85"/>
    <w:rsid w:val="00E302A8"/>
    <w:rsid w:val="00E30434"/>
    <w:rsid w:val="00E30B71"/>
    <w:rsid w:val="00E30D3F"/>
    <w:rsid w:val="00E317DC"/>
    <w:rsid w:val="00E31C17"/>
    <w:rsid w:val="00E320C5"/>
    <w:rsid w:val="00E32865"/>
    <w:rsid w:val="00E32A2E"/>
    <w:rsid w:val="00E33120"/>
    <w:rsid w:val="00E331E1"/>
    <w:rsid w:val="00E33354"/>
    <w:rsid w:val="00E337E8"/>
    <w:rsid w:val="00E33DC6"/>
    <w:rsid w:val="00E351DA"/>
    <w:rsid w:val="00E35424"/>
    <w:rsid w:val="00E35A4D"/>
    <w:rsid w:val="00E35FAF"/>
    <w:rsid w:val="00E36FB3"/>
    <w:rsid w:val="00E370BB"/>
    <w:rsid w:val="00E37177"/>
    <w:rsid w:val="00E3756F"/>
    <w:rsid w:val="00E401C1"/>
    <w:rsid w:val="00E4078D"/>
    <w:rsid w:val="00E40D31"/>
    <w:rsid w:val="00E40ED3"/>
    <w:rsid w:val="00E412F6"/>
    <w:rsid w:val="00E41696"/>
    <w:rsid w:val="00E41D4B"/>
    <w:rsid w:val="00E41E82"/>
    <w:rsid w:val="00E420C3"/>
    <w:rsid w:val="00E42337"/>
    <w:rsid w:val="00E429B2"/>
    <w:rsid w:val="00E42B7D"/>
    <w:rsid w:val="00E42B95"/>
    <w:rsid w:val="00E42F11"/>
    <w:rsid w:val="00E43053"/>
    <w:rsid w:val="00E43222"/>
    <w:rsid w:val="00E43E03"/>
    <w:rsid w:val="00E446F2"/>
    <w:rsid w:val="00E4482C"/>
    <w:rsid w:val="00E44A69"/>
    <w:rsid w:val="00E44A6A"/>
    <w:rsid w:val="00E4541B"/>
    <w:rsid w:val="00E457E8"/>
    <w:rsid w:val="00E458FF"/>
    <w:rsid w:val="00E45B82"/>
    <w:rsid w:val="00E45EEC"/>
    <w:rsid w:val="00E46131"/>
    <w:rsid w:val="00E4651E"/>
    <w:rsid w:val="00E469BC"/>
    <w:rsid w:val="00E46AF1"/>
    <w:rsid w:val="00E46D74"/>
    <w:rsid w:val="00E47B58"/>
    <w:rsid w:val="00E50690"/>
    <w:rsid w:val="00E506F6"/>
    <w:rsid w:val="00E5086E"/>
    <w:rsid w:val="00E50B12"/>
    <w:rsid w:val="00E50D53"/>
    <w:rsid w:val="00E51018"/>
    <w:rsid w:val="00E51114"/>
    <w:rsid w:val="00E51398"/>
    <w:rsid w:val="00E514CC"/>
    <w:rsid w:val="00E51765"/>
    <w:rsid w:val="00E51ED2"/>
    <w:rsid w:val="00E52460"/>
    <w:rsid w:val="00E52E79"/>
    <w:rsid w:val="00E53466"/>
    <w:rsid w:val="00E53C26"/>
    <w:rsid w:val="00E54023"/>
    <w:rsid w:val="00E5408C"/>
    <w:rsid w:val="00E5409F"/>
    <w:rsid w:val="00E546A5"/>
    <w:rsid w:val="00E548B1"/>
    <w:rsid w:val="00E54B4F"/>
    <w:rsid w:val="00E5553C"/>
    <w:rsid w:val="00E55BBF"/>
    <w:rsid w:val="00E5643A"/>
    <w:rsid w:val="00E56BF3"/>
    <w:rsid w:val="00E5711D"/>
    <w:rsid w:val="00E5749C"/>
    <w:rsid w:val="00E600BC"/>
    <w:rsid w:val="00E60396"/>
    <w:rsid w:val="00E60976"/>
    <w:rsid w:val="00E60EC4"/>
    <w:rsid w:val="00E60EEF"/>
    <w:rsid w:val="00E6107D"/>
    <w:rsid w:val="00E61478"/>
    <w:rsid w:val="00E62579"/>
    <w:rsid w:val="00E63932"/>
    <w:rsid w:val="00E63DDA"/>
    <w:rsid w:val="00E64910"/>
    <w:rsid w:val="00E6493F"/>
    <w:rsid w:val="00E65600"/>
    <w:rsid w:val="00E65E0B"/>
    <w:rsid w:val="00E6630E"/>
    <w:rsid w:val="00E66402"/>
    <w:rsid w:val="00E66893"/>
    <w:rsid w:val="00E668F1"/>
    <w:rsid w:val="00E66CC9"/>
    <w:rsid w:val="00E672D9"/>
    <w:rsid w:val="00E678A6"/>
    <w:rsid w:val="00E67B47"/>
    <w:rsid w:val="00E67BB2"/>
    <w:rsid w:val="00E67C56"/>
    <w:rsid w:val="00E67E9E"/>
    <w:rsid w:val="00E70249"/>
    <w:rsid w:val="00E71358"/>
    <w:rsid w:val="00E713EA"/>
    <w:rsid w:val="00E7217C"/>
    <w:rsid w:val="00E72345"/>
    <w:rsid w:val="00E723D3"/>
    <w:rsid w:val="00E72468"/>
    <w:rsid w:val="00E73620"/>
    <w:rsid w:val="00E736E6"/>
    <w:rsid w:val="00E74336"/>
    <w:rsid w:val="00E74780"/>
    <w:rsid w:val="00E74C94"/>
    <w:rsid w:val="00E75285"/>
    <w:rsid w:val="00E7543F"/>
    <w:rsid w:val="00E75876"/>
    <w:rsid w:val="00E75DCC"/>
    <w:rsid w:val="00E76BBA"/>
    <w:rsid w:val="00E77074"/>
    <w:rsid w:val="00E7711D"/>
    <w:rsid w:val="00E77BE5"/>
    <w:rsid w:val="00E801B3"/>
    <w:rsid w:val="00E8038A"/>
    <w:rsid w:val="00E80848"/>
    <w:rsid w:val="00E8084D"/>
    <w:rsid w:val="00E808F5"/>
    <w:rsid w:val="00E81156"/>
    <w:rsid w:val="00E8145A"/>
    <w:rsid w:val="00E81EE6"/>
    <w:rsid w:val="00E8224E"/>
    <w:rsid w:val="00E833AA"/>
    <w:rsid w:val="00E83CF1"/>
    <w:rsid w:val="00E844B0"/>
    <w:rsid w:val="00E8456D"/>
    <w:rsid w:val="00E847B8"/>
    <w:rsid w:val="00E84B46"/>
    <w:rsid w:val="00E85095"/>
    <w:rsid w:val="00E8517B"/>
    <w:rsid w:val="00E854FB"/>
    <w:rsid w:val="00E8585F"/>
    <w:rsid w:val="00E85C4F"/>
    <w:rsid w:val="00E85EFE"/>
    <w:rsid w:val="00E86003"/>
    <w:rsid w:val="00E8651D"/>
    <w:rsid w:val="00E86730"/>
    <w:rsid w:val="00E8680B"/>
    <w:rsid w:val="00E87191"/>
    <w:rsid w:val="00E8FA8B"/>
    <w:rsid w:val="00E90096"/>
    <w:rsid w:val="00E901C2"/>
    <w:rsid w:val="00E91137"/>
    <w:rsid w:val="00E915A1"/>
    <w:rsid w:val="00E91C06"/>
    <w:rsid w:val="00E91D28"/>
    <w:rsid w:val="00E91F4B"/>
    <w:rsid w:val="00E92162"/>
    <w:rsid w:val="00E92181"/>
    <w:rsid w:val="00E926CB"/>
    <w:rsid w:val="00E92B6F"/>
    <w:rsid w:val="00E93885"/>
    <w:rsid w:val="00E93AD8"/>
    <w:rsid w:val="00E93B22"/>
    <w:rsid w:val="00E93CAA"/>
    <w:rsid w:val="00E94238"/>
    <w:rsid w:val="00E9484E"/>
    <w:rsid w:val="00E94A40"/>
    <w:rsid w:val="00E94CF0"/>
    <w:rsid w:val="00E95D85"/>
    <w:rsid w:val="00E9626F"/>
    <w:rsid w:val="00E9669F"/>
    <w:rsid w:val="00E966D0"/>
    <w:rsid w:val="00E96840"/>
    <w:rsid w:val="00E96DC3"/>
    <w:rsid w:val="00E96E09"/>
    <w:rsid w:val="00E97016"/>
    <w:rsid w:val="00E97D2C"/>
    <w:rsid w:val="00E97E8D"/>
    <w:rsid w:val="00E97FB3"/>
    <w:rsid w:val="00EA041D"/>
    <w:rsid w:val="00EA1069"/>
    <w:rsid w:val="00EA1110"/>
    <w:rsid w:val="00EA15BA"/>
    <w:rsid w:val="00EA185E"/>
    <w:rsid w:val="00EA1D7A"/>
    <w:rsid w:val="00EA207F"/>
    <w:rsid w:val="00EA244A"/>
    <w:rsid w:val="00EA3623"/>
    <w:rsid w:val="00EA3767"/>
    <w:rsid w:val="00EA3D5B"/>
    <w:rsid w:val="00EA3E68"/>
    <w:rsid w:val="00EA4B11"/>
    <w:rsid w:val="00EA4C09"/>
    <w:rsid w:val="00EA4C92"/>
    <w:rsid w:val="00EA4D59"/>
    <w:rsid w:val="00EA50F6"/>
    <w:rsid w:val="00EA537A"/>
    <w:rsid w:val="00EA5D70"/>
    <w:rsid w:val="00EA62FA"/>
    <w:rsid w:val="00EA665A"/>
    <w:rsid w:val="00EA6F8F"/>
    <w:rsid w:val="00EA7487"/>
    <w:rsid w:val="00EA799E"/>
    <w:rsid w:val="00EA7C70"/>
    <w:rsid w:val="00EB0052"/>
    <w:rsid w:val="00EB04F5"/>
    <w:rsid w:val="00EB12CE"/>
    <w:rsid w:val="00EB1C6E"/>
    <w:rsid w:val="00EB2452"/>
    <w:rsid w:val="00EB33D0"/>
    <w:rsid w:val="00EB33FC"/>
    <w:rsid w:val="00EB358F"/>
    <w:rsid w:val="00EB35BA"/>
    <w:rsid w:val="00EB39B8"/>
    <w:rsid w:val="00EB4104"/>
    <w:rsid w:val="00EB454C"/>
    <w:rsid w:val="00EB457E"/>
    <w:rsid w:val="00EB4C09"/>
    <w:rsid w:val="00EB50B7"/>
    <w:rsid w:val="00EB50ED"/>
    <w:rsid w:val="00EB5ED6"/>
    <w:rsid w:val="00EB6034"/>
    <w:rsid w:val="00EB6205"/>
    <w:rsid w:val="00EB635F"/>
    <w:rsid w:val="00EB6991"/>
    <w:rsid w:val="00EB6FEC"/>
    <w:rsid w:val="00EB74C8"/>
    <w:rsid w:val="00EB776A"/>
    <w:rsid w:val="00EB7AF8"/>
    <w:rsid w:val="00EB7DF4"/>
    <w:rsid w:val="00EC0E8C"/>
    <w:rsid w:val="00EC1133"/>
    <w:rsid w:val="00EC1440"/>
    <w:rsid w:val="00EC17FD"/>
    <w:rsid w:val="00EC1922"/>
    <w:rsid w:val="00EC2182"/>
    <w:rsid w:val="00EC26F9"/>
    <w:rsid w:val="00EC272F"/>
    <w:rsid w:val="00EC2984"/>
    <w:rsid w:val="00EC36B4"/>
    <w:rsid w:val="00EC3A65"/>
    <w:rsid w:val="00EC3A78"/>
    <w:rsid w:val="00EC3FAB"/>
    <w:rsid w:val="00EC45BC"/>
    <w:rsid w:val="00EC48DD"/>
    <w:rsid w:val="00EC4AC7"/>
    <w:rsid w:val="00EC4FF2"/>
    <w:rsid w:val="00EC52E3"/>
    <w:rsid w:val="00EC5F53"/>
    <w:rsid w:val="00EC6036"/>
    <w:rsid w:val="00EC624E"/>
    <w:rsid w:val="00EC6376"/>
    <w:rsid w:val="00EC6570"/>
    <w:rsid w:val="00EC6688"/>
    <w:rsid w:val="00EC6CAD"/>
    <w:rsid w:val="00EC6EDE"/>
    <w:rsid w:val="00EC7878"/>
    <w:rsid w:val="00EC7CC4"/>
    <w:rsid w:val="00ED0737"/>
    <w:rsid w:val="00ED0FB2"/>
    <w:rsid w:val="00ED1005"/>
    <w:rsid w:val="00ED1047"/>
    <w:rsid w:val="00ED1100"/>
    <w:rsid w:val="00ED155E"/>
    <w:rsid w:val="00ED158A"/>
    <w:rsid w:val="00ED16F1"/>
    <w:rsid w:val="00ED22B9"/>
    <w:rsid w:val="00ED2C66"/>
    <w:rsid w:val="00ED2D11"/>
    <w:rsid w:val="00ED37CB"/>
    <w:rsid w:val="00ED3D2B"/>
    <w:rsid w:val="00ED4529"/>
    <w:rsid w:val="00ED4609"/>
    <w:rsid w:val="00ED48FE"/>
    <w:rsid w:val="00ED4AE7"/>
    <w:rsid w:val="00ED5288"/>
    <w:rsid w:val="00ED63F0"/>
    <w:rsid w:val="00ED6904"/>
    <w:rsid w:val="00ED6F8E"/>
    <w:rsid w:val="00ED73D9"/>
    <w:rsid w:val="00EE0034"/>
    <w:rsid w:val="00EE0530"/>
    <w:rsid w:val="00EE1237"/>
    <w:rsid w:val="00EE18B6"/>
    <w:rsid w:val="00EE1FCD"/>
    <w:rsid w:val="00EE247A"/>
    <w:rsid w:val="00EE2D50"/>
    <w:rsid w:val="00EE2F16"/>
    <w:rsid w:val="00EE300C"/>
    <w:rsid w:val="00EE31D2"/>
    <w:rsid w:val="00EE40F9"/>
    <w:rsid w:val="00EE43C4"/>
    <w:rsid w:val="00EE4474"/>
    <w:rsid w:val="00EE47EB"/>
    <w:rsid w:val="00EE4D77"/>
    <w:rsid w:val="00EE4FB7"/>
    <w:rsid w:val="00EE50AF"/>
    <w:rsid w:val="00EE51C8"/>
    <w:rsid w:val="00EE54B7"/>
    <w:rsid w:val="00EE5A0E"/>
    <w:rsid w:val="00EE5DA0"/>
    <w:rsid w:val="00EE6488"/>
    <w:rsid w:val="00EE6A6C"/>
    <w:rsid w:val="00EE6B76"/>
    <w:rsid w:val="00EE6E81"/>
    <w:rsid w:val="00EE70D5"/>
    <w:rsid w:val="00EE718A"/>
    <w:rsid w:val="00EE77A1"/>
    <w:rsid w:val="00EE7A4C"/>
    <w:rsid w:val="00EF05BF"/>
    <w:rsid w:val="00EF066A"/>
    <w:rsid w:val="00EF0965"/>
    <w:rsid w:val="00EF09CD"/>
    <w:rsid w:val="00EF0A07"/>
    <w:rsid w:val="00EF18C0"/>
    <w:rsid w:val="00EF1D5D"/>
    <w:rsid w:val="00EF207B"/>
    <w:rsid w:val="00EF20D1"/>
    <w:rsid w:val="00EF2330"/>
    <w:rsid w:val="00EF2344"/>
    <w:rsid w:val="00EF24E0"/>
    <w:rsid w:val="00EF28D3"/>
    <w:rsid w:val="00EF2B2A"/>
    <w:rsid w:val="00EF2C54"/>
    <w:rsid w:val="00EF318D"/>
    <w:rsid w:val="00EF3BB7"/>
    <w:rsid w:val="00EF3EA7"/>
    <w:rsid w:val="00EF3EFC"/>
    <w:rsid w:val="00EF4170"/>
    <w:rsid w:val="00EF43CF"/>
    <w:rsid w:val="00EF49C0"/>
    <w:rsid w:val="00EF527D"/>
    <w:rsid w:val="00EF5A7B"/>
    <w:rsid w:val="00EF5A90"/>
    <w:rsid w:val="00EF5AF1"/>
    <w:rsid w:val="00EF5D10"/>
    <w:rsid w:val="00EF61EC"/>
    <w:rsid w:val="00EF6350"/>
    <w:rsid w:val="00EF63EA"/>
    <w:rsid w:val="00EF64EA"/>
    <w:rsid w:val="00EF66FA"/>
    <w:rsid w:val="00EF69D5"/>
    <w:rsid w:val="00EF6E41"/>
    <w:rsid w:val="00EF7580"/>
    <w:rsid w:val="00EF78A0"/>
    <w:rsid w:val="00EF7C27"/>
    <w:rsid w:val="00F00023"/>
    <w:rsid w:val="00F00B85"/>
    <w:rsid w:val="00F00C25"/>
    <w:rsid w:val="00F00D23"/>
    <w:rsid w:val="00F017AA"/>
    <w:rsid w:val="00F021FA"/>
    <w:rsid w:val="00F02820"/>
    <w:rsid w:val="00F0297A"/>
    <w:rsid w:val="00F02A5D"/>
    <w:rsid w:val="00F02DB2"/>
    <w:rsid w:val="00F030CB"/>
    <w:rsid w:val="00F0366D"/>
    <w:rsid w:val="00F03AB2"/>
    <w:rsid w:val="00F03F37"/>
    <w:rsid w:val="00F04744"/>
    <w:rsid w:val="00F04903"/>
    <w:rsid w:val="00F0583A"/>
    <w:rsid w:val="00F05977"/>
    <w:rsid w:val="00F05CD1"/>
    <w:rsid w:val="00F05EDE"/>
    <w:rsid w:val="00F0616E"/>
    <w:rsid w:val="00F0628F"/>
    <w:rsid w:val="00F06339"/>
    <w:rsid w:val="00F064B4"/>
    <w:rsid w:val="00F06B0E"/>
    <w:rsid w:val="00F06DA9"/>
    <w:rsid w:val="00F070B5"/>
    <w:rsid w:val="00F072A7"/>
    <w:rsid w:val="00F07695"/>
    <w:rsid w:val="00F07D49"/>
    <w:rsid w:val="00F07D63"/>
    <w:rsid w:val="00F10274"/>
    <w:rsid w:val="00F10492"/>
    <w:rsid w:val="00F11106"/>
    <w:rsid w:val="00F114E4"/>
    <w:rsid w:val="00F11D42"/>
    <w:rsid w:val="00F120F2"/>
    <w:rsid w:val="00F1258A"/>
    <w:rsid w:val="00F1275A"/>
    <w:rsid w:val="00F13B08"/>
    <w:rsid w:val="00F13CA9"/>
    <w:rsid w:val="00F13DE8"/>
    <w:rsid w:val="00F13EB5"/>
    <w:rsid w:val="00F13EF0"/>
    <w:rsid w:val="00F14CD1"/>
    <w:rsid w:val="00F150A4"/>
    <w:rsid w:val="00F15275"/>
    <w:rsid w:val="00F15A23"/>
    <w:rsid w:val="00F1676A"/>
    <w:rsid w:val="00F167FD"/>
    <w:rsid w:val="00F16ADB"/>
    <w:rsid w:val="00F16EE8"/>
    <w:rsid w:val="00F1703C"/>
    <w:rsid w:val="00F173CC"/>
    <w:rsid w:val="00F177D0"/>
    <w:rsid w:val="00F17961"/>
    <w:rsid w:val="00F17ADB"/>
    <w:rsid w:val="00F2001B"/>
    <w:rsid w:val="00F2015A"/>
    <w:rsid w:val="00F20C0C"/>
    <w:rsid w:val="00F21361"/>
    <w:rsid w:val="00F218D8"/>
    <w:rsid w:val="00F21E39"/>
    <w:rsid w:val="00F21F9C"/>
    <w:rsid w:val="00F22B5C"/>
    <w:rsid w:val="00F2380D"/>
    <w:rsid w:val="00F23D8F"/>
    <w:rsid w:val="00F24222"/>
    <w:rsid w:val="00F24B85"/>
    <w:rsid w:val="00F24D01"/>
    <w:rsid w:val="00F25D0C"/>
    <w:rsid w:val="00F2603E"/>
    <w:rsid w:val="00F265CD"/>
    <w:rsid w:val="00F26645"/>
    <w:rsid w:val="00F266E1"/>
    <w:rsid w:val="00F26FC6"/>
    <w:rsid w:val="00F27BCE"/>
    <w:rsid w:val="00F27F09"/>
    <w:rsid w:val="00F3050C"/>
    <w:rsid w:val="00F30C11"/>
    <w:rsid w:val="00F31AD3"/>
    <w:rsid w:val="00F32917"/>
    <w:rsid w:val="00F32A92"/>
    <w:rsid w:val="00F336CA"/>
    <w:rsid w:val="00F339FA"/>
    <w:rsid w:val="00F33AA6"/>
    <w:rsid w:val="00F33C7F"/>
    <w:rsid w:val="00F33EB0"/>
    <w:rsid w:val="00F345DC"/>
    <w:rsid w:val="00F35409"/>
    <w:rsid w:val="00F3633F"/>
    <w:rsid w:val="00F36897"/>
    <w:rsid w:val="00F36970"/>
    <w:rsid w:val="00F36CB2"/>
    <w:rsid w:val="00F36D4A"/>
    <w:rsid w:val="00F37308"/>
    <w:rsid w:val="00F3779E"/>
    <w:rsid w:val="00F40506"/>
    <w:rsid w:val="00F406B6"/>
    <w:rsid w:val="00F40A76"/>
    <w:rsid w:val="00F40AA4"/>
    <w:rsid w:val="00F40C26"/>
    <w:rsid w:val="00F40EDB"/>
    <w:rsid w:val="00F40F1A"/>
    <w:rsid w:val="00F415D3"/>
    <w:rsid w:val="00F416C4"/>
    <w:rsid w:val="00F42114"/>
    <w:rsid w:val="00F422E5"/>
    <w:rsid w:val="00F4238B"/>
    <w:rsid w:val="00F42F73"/>
    <w:rsid w:val="00F4380E"/>
    <w:rsid w:val="00F43987"/>
    <w:rsid w:val="00F43A2C"/>
    <w:rsid w:val="00F43DAD"/>
    <w:rsid w:val="00F442B9"/>
    <w:rsid w:val="00F443FE"/>
    <w:rsid w:val="00F4468E"/>
    <w:rsid w:val="00F449E0"/>
    <w:rsid w:val="00F454D1"/>
    <w:rsid w:val="00F45E93"/>
    <w:rsid w:val="00F46092"/>
    <w:rsid w:val="00F460D5"/>
    <w:rsid w:val="00F463FA"/>
    <w:rsid w:val="00F465A6"/>
    <w:rsid w:val="00F4699B"/>
    <w:rsid w:val="00F46ADD"/>
    <w:rsid w:val="00F46F67"/>
    <w:rsid w:val="00F46FFD"/>
    <w:rsid w:val="00F5074E"/>
    <w:rsid w:val="00F50A18"/>
    <w:rsid w:val="00F50B1D"/>
    <w:rsid w:val="00F50D7C"/>
    <w:rsid w:val="00F5102D"/>
    <w:rsid w:val="00F5190D"/>
    <w:rsid w:val="00F51D46"/>
    <w:rsid w:val="00F520FD"/>
    <w:rsid w:val="00F529CF"/>
    <w:rsid w:val="00F52B49"/>
    <w:rsid w:val="00F52F1A"/>
    <w:rsid w:val="00F53ADE"/>
    <w:rsid w:val="00F552DC"/>
    <w:rsid w:val="00F5532D"/>
    <w:rsid w:val="00F55371"/>
    <w:rsid w:val="00F564C7"/>
    <w:rsid w:val="00F5671E"/>
    <w:rsid w:val="00F5703E"/>
    <w:rsid w:val="00F570F5"/>
    <w:rsid w:val="00F5717B"/>
    <w:rsid w:val="00F571A9"/>
    <w:rsid w:val="00F5725F"/>
    <w:rsid w:val="00F5739A"/>
    <w:rsid w:val="00F57924"/>
    <w:rsid w:val="00F579BD"/>
    <w:rsid w:val="00F579CC"/>
    <w:rsid w:val="00F57A02"/>
    <w:rsid w:val="00F604A3"/>
    <w:rsid w:val="00F612E6"/>
    <w:rsid w:val="00F6163B"/>
    <w:rsid w:val="00F61796"/>
    <w:rsid w:val="00F61C01"/>
    <w:rsid w:val="00F61DD4"/>
    <w:rsid w:val="00F62A76"/>
    <w:rsid w:val="00F62B68"/>
    <w:rsid w:val="00F62E97"/>
    <w:rsid w:val="00F62F87"/>
    <w:rsid w:val="00F63FE3"/>
    <w:rsid w:val="00F64209"/>
    <w:rsid w:val="00F64F4D"/>
    <w:rsid w:val="00F6568A"/>
    <w:rsid w:val="00F65AF6"/>
    <w:rsid w:val="00F65E0F"/>
    <w:rsid w:val="00F6614F"/>
    <w:rsid w:val="00F6648F"/>
    <w:rsid w:val="00F66FAB"/>
    <w:rsid w:val="00F67346"/>
    <w:rsid w:val="00F678D2"/>
    <w:rsid w:val="00F67E64"/>
    <w:rsid w:val="00F70137"/>
    <w:rsid w:val="00F70141"/>
    <w:rsid w:val="00F702D0"/>
    <w:rsid w:val="00F71279"/>
    <w:rsid w:val="00F718E1"/>
    <w:rsid w:val="00F71BCC"/>
    <w:rsid w:val="00F72041"/>
    <w:rsid w:val="00F7232F"/>
    <w:rsid w:val="00F728C2"/>
    <w:rsid w:val="00F7369F"/>
    <w:rsid w:val="00F736FF"/>
    <w:rsid w:val="00F73A5A"/>
    <w:rsid w:val="00F7501A"/>
    <w:rsid w:val="00F7506D"/>
    <w:rsid w:val="00F751D4"/>
    <w:rsid w:val="00F751D7"/>
    <w:rsid w:val="00F7542B"/>
    <w:rsid w:val="00F755F3"/>
    <w:rsid w:val="00F75934"/>
    <w:rsid w:val="00F75BDD"/>
    <w:rsid w:val="00F76587"/>
    <w:rsid w:val="00F76630"/>
    <w:rsid w:val="00F766FD"/>
    <w:rsid w:val="00F76904"/>
    <w:rsid w:val="00F76A98"/>
    <w:rsid w:val="00F7743D"/>
    <w:rsid w:val="00F776DC"/>
    <w:rsid w:val="00F77C01"/>
    <w:rsid w:val="00F77DC4"/>
    <w:rsid w:val="00F8099E"/>
    <w:rsid w:val="00F80B65"/>
    <w:rsid w:val="00F80C18"/>
    <w:rsid w:val="00F80D9E"/>
    <w:rsid w:val="00F8125C"/>
    <w:rsid w:val="00F81B00"/>
    <w:rsid w:val="00F81E3B"/>
    <w:rsid w:val="00F82205"/>
    <w:rsid w:val="00F82573"/>
    <w:rsid w:val="00F832E6"/>
    <w:rsid w:val="00F83A4D"/>
    <w:rsid w:val="00F855AB"/>
    <w:rsid w:val="00F856DD"/>
    <w:rsid w:val="00F857E2"/>
    <w:rsid w:val="00F857EF"/>
    <w:rsid w:val="00F8588F"/>
    <w:rsid w:val="00F859A5"/>
    <w:rsid w:val="00F86686"/>
    <w:rsid w:val="00F87526"/>
    <w:rsid w:val="00F879D8"/>
    <w:rsid w:val="00F87C28"/>
    <w:rsid w:val="00F90118"/>
    <w:rsid w:val="00F901DF"/>
    <w:rsid w:val="00F90334"/>
    <w:rsid w:val="00F90669"/>
    <w:rsid w:val="00F90775"/>
    <w:rsid w:val="00F90CA5"/>
    <w:rsid w:val="00F915C8"/>
    <w:rsid w:val="00F9199E"/>
    <w:rsid w:val="00F91A81"/>
    <w:rsid w:val="00F91C3F"/>
    <w:rsid w:val="00F92102"/>
    <w:rsid w:val="00F924A3"/>
    <w:rsid w:val="00F92757"/>
    <w:rsid w:val="00F92A55"/>
    <w:rsid w:val="00F931F9"/>
    <w:rsid w:val="00F93BF5"/>
    <w:rsid w:val="00F94391"/>
    <w:rsid w:val="00F944A8"/>
    <w:rsid w:val="00F944BC"/>
    <w:rsid w:val="00F960BD"/>
    <w:rsid w:val="00F96177"/>
    <w:rsid w:val="00F962B7"/>
    <w:rsid w:val="00F96560"/>
    <w:rsid w:val="00F966A0"/>
    <w:rsid w:val="00F96801"/>
    <w:rsid w:val="00F969CA"/>
    <w:rsid w:val="00F9773E"/>
    <w:rsid w:val="00F97C1B"/>
    <w:rsid w:val="00F97FDB"/>
    <w:rsid w:val="00FA0192"/>
    <w:rsid w:val="00FA06E9"/>
    <w:rsid w:val="00FA1712"/>
    <w:rsid w:val="00FA1AE1"/>
    <w:rsid w:val="00FA1C35"/>
    <w:rsid w:val="00FA220D"/>
    <w:rsid w:val="00FA3A09"/>
    <w:rsid w:val="00FA4716"/>
    <w:rsid w:val="00FA4AAD"/>
    <w:rsid w:val="00FA4AB5"/>
    <w:rsid w:val="00FA4C58"/>
    <w:rsid w:val="00FA4D47"/>
    <w:rsid w:val="00FA51CA"/>
    <w:rsid w:val="00FA544A"/>
    <w:rsid w:val="00FA56F4"/>
    <w:rsid w:val="00FA58E3"/>
    <w:rsid w:val="00FA5BF9"/>
    <w:rsid w:val="00FA5C2A"/>
    <w:rsid w:val="00FA5EB0"/>
    <w:rsid w:val="00FA7388"/>
    <w:rsid w:val="00FA74CF"/>
    <w:rsid w:val="00FB0710"/>
    <w:rsid w:val="00FB1F35"/>
    <w:rsid w:val="00FB235B"/>
    <w:rsid w:val="00FB2CBB"/>
    <w:rsid w:val="00FB2E64"/>
    <w:rsid w:val="00FB30B2"/>
    <w:rsid w:val="00FB33CB"/>
    <w:rsid w:val="00FB36EE"/>
    <w:rsid w:val="00FB3E26"/>
    <w:rsid w:val="00FB3F28"/>
    <w:rsid w:val="00FB40DE"/>
    <w:rsid w:val="00FB44F1"/>
    <w:rsid w:val="00FB471E"/>
    <w:rsid w:val="00FB4DC6"/>
    <w:rsid w:val="00FB57D4"/>
    <w:rsid w:val="00FB5CE0"/>
    <w:rsid w:val="00FB73ED"/>
    <w:rsid w:val="00FB7C9C"/>
    <w:rsid w:val="00FB7DF2"/>
    <w:rsid w:val="00FC0002"/>
    <w:rsid w:val="00FC04DC"/>
    <w:rsid w:val="00FC06F7"/>
    <w:rsid w:val="00FC0A35"/>
    <w:rsid w:val="00FC0B94"/>
    <w:rsid w:val="00FC144E"/>
    <w:rsid w:val="00FC151A"/>
    <w:rsid w:val="00FC2173"/>
    <w:rsid w:val="00FC247F"/>
    <w:rsid w:val="00FC25EF"/>
    <w:rsid w:val="00FC26E4"/>
    <w:rsid w:val="00FC28CB"/>
    <w:rsid w:val="00FC2A9C"/>
    <w:rsid w:val="00FC3E64"/>
    <w:rsid w:val="00FC3F74"/>
    <w:rsid w:val="00FC412C"/>
    <w:rsid w:val="00FC4A9B"/>
    <w:rsid w:val="00FC4B25"/>
    <w:rsid w:val="00FC641A"/>
    <w:rsid w:val="00FC6CF3"/>
    <w:rsid w:val="00FC6FE0"/>
    <w:rsid w:val="00FC70B1"/>
    <w:rsid w:val="00FC7263"/>
    <w:rsid w:val="00FC759F"/>
    <w:rsid w:val="00FC76FB"/>
    <w:rsid w:val="00FC7852"/>
    <w:rsid w:val="00FC7F82"/>
    <w:rsid w:val="00FD0030"/>
    <w:rsid w:val="00FD02F0"/>
    <w:rsid w:val="00FD0AB4"/>
    <w:rsid w:val="00FD0B76"/>
    <w:rsid w:val="00FD0B77"/>
    <w:rsid w:val="00FD22F0"/>
    <w:rsid w:val="00FD2341"/>
    <w:rsid w:val="00FD2BC1"/>
    <w:rsid w:val="00FD37C9"/>
    <w:rsid w:val="00FD3AB7"/>
    <w:rsid w:val="00FD3D94"/>
    <w:rsid w:val="00FD4446"/>
    <w:rsid w:val="00FD4582"/>
    <w:rsid w:val="00FD546B"/>
    <w:rsid w:val="00FD5F37"/>
    <w:rsid w:val="00FD6009"/>
    <w:rsid w:val="00FD60F3"/>
    <w:rsid w:val="00FD66CD"/>
    <w:rsid w:val="00FD6A8C"/>
    <w:rsid w:val="00FE0157"/>
    <w:rsid w:val="00FE0C06"/>
    <w:rsid w:val="00FE0C60"/>
    <w:rsid w:val="00FE143F"/>
    <w:rsid w:val="00FE16B0"/>
    <w:rsid w:val="00FE296D"/>
    <w:rsid w:val="00FE2F43"/>
    <w:rsid w:val="00FE381F"/>
    <w:rsid w:val="00FE466F"/>
    <w:rsid w:val="00FE4795"/>
    <w:rsid w:val="00FE4E8E"/>
    <w:rsid w:val="00FE4E99"/>
    <w:rsid w:val="00FE4EE1"/>
    <w:rsid w:val="00FE52EB"/>
    <w:rsid w:val="00FE5FD6"/>
    <w:rsid w:val="00FE6078"/>
    <w:rsid w:val="00FE6931"/>
    <w:rsid w:val="00FE6DF3"/>
    <w:rsid w:val="00FE714B"/>
    <w:rsid w:val="00FE742D"/>
    <w:rsid w:val="00FE7668"/>
    <w:rsid w:val="00FF0BCC"/>
    <w:rsid w:val="00FF0CAB"/>
    <w:rsid w:val="00FF104B"/>
    <w:rsid w:val="00FF12FE"/>
    <w:rsid w:val="00FF1B27"/>
    <w:rsid w:val="00FF22F2"/>
    <w:rsid w:val="00FF27B2"/>
    <w:rsid w:val="00FF27F0"/>
    <w:rsid w:val="00FF2893"/>
    <w:rsid w:val="00FF38E1"/>
    <w:rsid w:val="00FF41D7"/>
    <w:rsid w:val="00FF4C0C"/>
    <w:rsid w:val="00FF4F95"/>
    <w:rsid w:val="00FF53E5"/>
    <w:rsid w:val="00FF53F4"/>
    <w:rsid w:val="00FF572C"/>
    <w:rsid w:val="00FF5C8D"/>
    <w:rsid w:val="00FF639D"/>
    <w:rsid w:val="00FF678C"/>
    <w:rsid w:val="00FF7037"/>
    <w:rsid w:val="00FF72C1"/>
    <w:rsid w:val="00FF740E"/>
    <w:rsid w:val="00FF7588"/>
    <w:rsid w:val="00FF75BA"/>
    <w:rsid w:val="00FF7795"/>
    <w:rsid w:val="00FF7AF2"/>
    <w:rsid w:val="00FF7B2B"/>
    <w:rsid w:val="00FF7CF9"/>
    <w:rsid w:val="00FF7FB1"/>
    <w:rsid w:val="0114E163"/>
    <w:rsid w:val="01C58B50"/>
    <w:rsid w:val="02441140"/>
    <w:rsid w:val="0255680C"/>
    <w:rsid w:val="03133F67"/>
    <w:rsid w:val="03526BB3"/>
    <w:rsid w:val="0420EF56"/>
    <w:rsid w:val="04B7BBB6"/>
    <w:rsid w:val="04C2ABA2"/>
    <w:rsid w:val="06C7600C"/>
    <w:rsid w:val="08304A3E"/>
    <w:rsid w:val="08787157"/>
    <w:rsid w:val="091F48B8"/>
    <w:rsid w:val="09602EE2"/>
    <w:rsid w:val="09B8C2F0"/>
    <w:rsid w:val="0A881A4C"/>
    <w:rsid w:val="0B13CA1F"/>
    <w:rsid w:val="0B22091C"/>
    <w:rsid w:val="0B661D09"/>
    <w:rsid w:val="0BFBC9E1"/>
    <w:rsid w:val="0C275E92"/>
    <w:rsid w:val="0CA9FB84"/>
    <w:rsid w:val="0CD34393"/>
    <w:rsid w:val="0D650055"/>
    <w:rsid w:val="0D78D746"/>
    <w:rsid w:val="0F9A52D7"/>
    <w:rsid w:val="100DB4C7"/>
    <w:rsid w:val="10245AAB"/>
    <w:rsid w:val="1083AAD4"/>
    <w:rsid w:val="116F8708"/>
    <w:rsid w:val="13CC271E"/>
    <w:rsid w:val="13EC4836"/>
    <w:rsid w:val="14231EC5"/>
    <w:rsid w:val="1430C151"/>
    <w:rsid w:val="14BCECF5"/>
    <w:rsid w:val="166846A4"/>
    <w:rsid w:val="166FD7EA"/>
    <w:rsid w:val="172F900B"/>
    <w:rsid w:val="173EDBD5"/>
    <w:rsid w:val="178A41B5"/>
    <w:rsid w:val="17C0B3F6"/>
    <w:rsid w:val="1803990B"/>
    <w:rsid w:val="191B54E2"/>
    <w:rsid w:val="19994942"/>
    <w:rsid w:val="19DA2639"/>
    <w:rsid w:val="19EA112B"/>
    <w:rsid w:val="1A6B6BD3"/>
    <w:rsid w:val="1C3CAC7A"/>
    <w:rsid w:val="1C55A85C"/>
    <w:rsid w:val="1D7573E9"/>
    <w:rsid w:val="1DF5C624"/>
    <w:rsid w:val="1E8A03C2"/>
    <w:rsid w:val="1FA7E236"/>
    <w:rsid w:val="2013554B"/>
    <w:rsid w:val="20E05AA5"/>
    <w:rsid w:val="21CF0845"/>
    <w:rsid w:val="224736E3"/>
    <w:rsid w:val="23257C11"/>
    <w:rsid w:val="23627C9B"/>
    <w:rsid w:val="2397A67F"/>
    <w:rsid w:val="23A227CC"/>
    <w:rsid w:val="23C1F1DD"/>
    <w:rsid w:val="23E2A104"/>
    <w:rsid w:val="25555F7C"/>
    <w:rsid w:val="258806B6"/>
    <w:rsid w:val="26A29C2B"/>
    <w:rsid w:val="26B4BA4A"/>
    <w:rsid w:val="27AD6E7A"/>
    <w:rsid w:val="287DF965"/>
    <w:rsid w:val="297443F6"/>
    <w:rsid w:val="29797170"/>
    <w:rsid w:val="29A030F7"/>
    <w:rsid w:val="29DAA349"/>
    <w:rsid w:val="29DAF8E2"/>
    <w:rsid w:val="2A210892"/>
    <w:rsid w:val="2ABAE55A"/>
    <w:rsid w:val="2AE6859B"/>
    <w:rsid w:val="2BCF1B34"/>
    <w:rsid w:val="2CB772F7"/>
    <w:rsid w:val="2D95FB19"/>
    <w:rsid w:val="2DFA9B63"/>
    <w:rsid w:val="2E253C14"/>
    <w:rsid w:val="2E5173D7"/>
    <w:rsid w:val="2EC71BA0"/>
    <w:rsid w:val="2F0BDC60"/>
    <w:rsid w:val="2F642603"/>
    <w:rsid w:val="2F777B7E"/>
    <w:rsid w:val="314CC28C"/>
    <w:rsid w:val="338B7D71"/>
    <w:rsid w:val="34BF365D"/>
    <w:rsid w:val="34C795E8"/>
    <w:rsid w:val="34E4EC75"/>
    <w:rsid w:val="355B8093"/>
    <w:rsid w:val="3569872D"/>
    <w:rsid w:val="3580CC25"/>
    <w:rsid w:val="36B8F6C3"/>
    <w:rsid w:val="3851B183"/>
    <w:rsid w:val="3943D91D"/>
    <w:rsid w:val="39AC51AB"/>
    <w:rsid w:val="3ACCA227"/>
    <w:rsid w:val="3B12AB4D"/>
    <w:rsid w:val="3BB0F1DB"/>
    <w:rsid w:val="3BC8B1DB"/>
    <w:rsid w:val="3C0D27CA"/>
    <w:rsid w:val="3C7790A5"/>
    <w:rsid w:val="3CF2CC03"/>
    <w:rsid w:val="3D38E812"/>
    <w:rsid w:val="3DD4D8DF"/>
    <w:rsid w:val="3E935F74"/>
    <w:rsid w:val="3EC979EF"/>
    <w:rsid w:val="3EDED5E5"/>
    <w:rsid w:val="3FC71DBE"/>
    <w:rsid w:val="4106613E"/>
    <w:rsid w:val="4293D194"/>
    <w:rsid w:val="4372FDBD"/>
    <w:rsid w:val="4593F04B"/>
    <w:rsid w:val="460297F6"/>
    <w:rsid w:val="46C020BF"/>
    <w:rsid w:val="4775A667"/>
    <w:rsid w:val="47B179DB"/>
    <w:rsid w:val="483F99C9"/>
    <w:rsid w:val="495853A6"/>
    <w:rsid w:val="495BD6C4"/>
    <w:rsid w:val="496BD644"/>
    <w:rsid w:val="49EF29E9"/>
    <w:rsid w:val="4B49488F"/>
    <w:rsid w:val="4C773B27"/>
    <w:rsid w:val="4E7D0E61"/>
    <w:rsid w:val="4F5E2F79"/>
    <w:rsid w:val="4F9E1EFE"/>
    <w:rsid w:val="5023C469"/>
    <w:rsid w:val="507552C9"/>
    <w:rsid w:val="507C28A8"/>
    <w:rsid w:val="50F20EB7"/>
    <w:rsid w:val="51091ADD"/>
    <w:rsid w:val="51319599"/>
    <w:rsid w:val="52DCFA75"/>
    <w:rsid w:val="53973312"/>
    <w:rsid w:val="5471EC1C"/>
    <w:rsid w:val="55AE0249"/>
    <w:rsid w:val="55D531F8"/>
    <w:rsid w:val="56CF201B"/>
    <w:rsid w:val="58EF8E2F"/>
    <w:rsid w:val="59155676"/>
    <w:rsid w:val="59ECE518"/>
    <w:rsid w:val="5AE2E467"/>
    <w:rsid w:val="5AF2EF3F"/>
    <w:rsid w:val="5CE8CEDF"/>
    <w:rsid w:val="5F243A9F"/>
    <w:rsid w:val="6010BCA8"/>
    <w:rsid w:val="605530A3"/>
    <w:rsid w:val="6078D4FD"/>
    <w:rsid w:val="607F962E"/>
    <w:rsid w:val="6327B2A9"/>
    <w:rsid w:val="63FB6283"/>
    <w:rsid w:val="642CEB20"/>
    <w:rsid w:val="6562D602"/>
    <w:rsid w:val="6585D2BF"/>
    <w:rsid w:val="65E4A5A6"/>
    <w:rsid w:val="66A44489"/>
    <w:rsid w:val="66D1B738"/>
    <w:rsid w:val="66D8DC84"/>
    <w:rsid w:val="67773172"/>
    <w:rsid w:val="68342351"/>
    <w:rsid w:val="6865AB53"/>
    <w:rsid w:val="6887031C"/>
    <w:rsid w:val="6907A6E8"/>
    <w:rsid w:val="6944FD6A"/>
    <w:rsid w:val="69FA2A95"/>
    <w:rsid w:val="6B2A3EB1"/>
    <w:rsid w:val="6B4F242D"/>
    <w:rsid w:val="6B9673DA"/>
    <w:rsid w:val="6C1B3D1E"/>
    <w:rsid w:val="6C74B40B"/>
    <w:rsid w:val="6C7814A2"/>
    <w:rsid w:val="6CAE5EC1"/>
    <w:rsid w:val="6DDBFBC4"/>
    <w:rsid w:val="6E2AD46C"/>
    <w:rsid w:val="6E475CE0"/>
    <w:rsid w:val="7013319F"/>
    <w:rsid w:val="721A4AA5"/>
    <w:rsid w:val="72AEAAFB"/>
    <w:rsid w:val="7342354D"/>
    <w:rsid w:val="738E1335"/>
    <w:rsid w:val="74A97B4A"/>
    <w:rsid w:val="750BE192"/>
    <w:rsid w:val="7634A2D0"/>
    <w:rsid w:val="7827E1B6"/>
    <w:rsid w:val="7883F8BA"/>
    <w:rsid w:val="78954013"/>
    <w:rsid w:val="7909FA86"/>
    <w:rsid w:val="79886D1A"/>
    <w:rsid w:val="79E1569C"/>
    <w:rsid w:val="7A3E9D2E"/>
    <w:rsid w:val="7B493EA5"/>
    <w:rsid w:val="7BBE3207"/>
    <w:rsid w:val="7BC73EE2"/>
    <w:rsid w:val="7BDFA98D"/>
    <w:rsid w:val="7D141631"/>
    <w:rsid w:val="7D1ECDB9"/>
    <w:rsid w:val="7D7B22E6"/>
    <w:rsid w:val="7E15B5BF"/>
    <w:rsid w:val="7E953FE6"/>
    <w:rsid w:val="7F2BCD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A26813"/>
  <w15:chartTrackingRefBased/>
  <w15:docId w15:val="{A037947B-11B6-4EBA-8836-94E6EF62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190D"/>
    <w:pPr>
      <w:widowControl w:val="0"/>
    </w:pPr>
    <w:rPr>
      <w:snapToGrid w:val="0"/>
      <w:kern w:val="28"/>
      <w:sz w:val="22"/>
    </w:rPr>
  </w:style>
  <w:style w:type="paragraph" w:styleId="Heading1">
    <w:name w:val="heading 1"/>
    <w:basedOn w:val="Normal"/>
    <w:next w:val="ParaNum"/>
    <w:qFormat/>
    <w:rsid w:val="00F5190D"/>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5190D"/>
    <w:pPr>
      <w:keepNext/>
      <w:numPr>
        <w:ilvl w:val="1"/>
        <w:numId w:val="2"/>
      </w:numPr>
      <w:spacing w:after="120"/>
      <w:outlineLvl w:val="1"/>
    </w:pPr>
    <w:rPr>
      <w:b/>
    </w:rPr>
  </w:style>
  <w:style w:type="paragraph" w:styleId="Heading3">
    <w:name w:val="heading 3"/>
    <w:basedOn w:val="Normal"/>
    <w:next w:val="ParaNum"/>
    <w:qFormat/>
    <w:rsid w:val="00F5190D"/>
    <w:pPr>
      <w:keepNext/>
      <w:numPr>
        <w:ilvl w:val="2"/>
        <w:numId w:val="2"/>
      </w:numPr>
      <w:tabs>
        <w:tab w:val="left" w:pos="2160"/>
      </w:tabs>
      <w:spacing w:after="120"/>
      <w:outlineLvl w:val="2"/>
    </w:pPr>
    <w:rPr>
      <w:b/>
    </w:rPr>
  </w:style>
  <w:style w:type="paragraph" w:styleId="Heading4">
    <w:name w:val="heading 4"/>
    <w:basedOn w:val="Normal"/>
    <w:next w:val="ParaNum"/>
    <w:qFormat/>
    <w:rsid w:val="00F5190D"/>
    <w:pPr>
      <w:keepNext/>
      <w:numPr>
        <w:ilvl w:val="3"/>
        <w:numId w:val="2"/>
      </w:numPr>
      <w:tabs>
        <w:tab w:val="left" w:pos="2880"/>
      </w:tabs>
      <w:spacing w:after="120"/>
      <w:outlineLvl w:val="3"/>
    </w:pPr>
    <w:rPr>
      <w:b/>
    </w:rPr>
  </w:style>
  <w:style w:type="paragraph" w:styleId="Heading5">
    <w:name w:val="heading 5"/>
    <w:basedOn w:val="Normal"/>
    <w:next w:val="ParaNum"/>
    <w:qFormat/>
    <w:rsid w:val="00F5190D"/>
    <w:pPr>
      <w:keepNext/>
      <w:numPr>
        <w:ilvl w:val="4"/>
        <w:numId w:val="2"/>
      </w:numPr>
      <w:tabs>
        <w:tab w:val="left" w:pos="3600"/>
      </w:tabs>
      <w:suppressAutoHyphens/>
      <w:spacing w:after="120"/>
      <w:outlineLvl w:val="4"/>
    </w:pPr>
    <w:rPr>
      <w:b/>
    </w:rPr>
  </w:style>
  <w:style w:type="paragraph" w:styleId="Heading6">
    <w:name w:val="heading 6"/>
    <w:basedOn w:val="Normal"/>
    <w:next w:val="ParaNum"/>
    <w:qFormat/>
    <w:rsid w:val="00F5190D"/>
    <w:pPr>
      <w:numPr>
        <w:ilvl w:val="5"/>
        <w:numId w:val="2"/>
      </w:numPr>
      <w:tabs>
        <w:tab w:val="left" w:pos="4320"/>
      </w:tabs>
      <w:spacing w:after="120"/>
      <w:outlineLvl w:val="5"/>
    </w:pPr>
    <w:rPr>
      <w:b/>
    </w:rPr>
  </w:style>
  <w:style w:type="paragraph" w:styleId="Heading7">
    <w:name w:val="heading 7"/>
    <w:basedOn w:val="Normal"/>
    <w:next w:val="ParaNum"/>
    <w:qFormat/>
    <w:rsid w:val="00F5190D"/>
    <w:pPr>
      <w:numPr>
        <w:ilvl w:val="6"/>
        <w:numId w:val="2"/>
      </w:numPr>
      <w:tabs>
        <w:tab w:val="left" w:pos="5040"/>
      </w:tabs>
      <w:spacing w:after="120"/>
      <w:ind w:left="5040" w:hanging="720"/>
      <w:outlineLvl w:val="6"/>
    </w:pPr>
    <w:rPr>
      <w:b/>
    </w:rPr>
  </w:style>
  <w:style w:type="paragraph" w:styleId="Heading8">
    <w:name w:val="heading 8"/>
    <w:basedOn w:val="Normal"/>
    <w:next w:val="ParaNum"/>
    <w:qFormat/>
    <w:rsid w:val="00F5190D"/>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qFormat/>
    <w:rsid w:val="00F5190D"/>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semiHidden/>
    <w:rsid w:val="00F519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F5190D"/>
  </w:style>
  <w:style w:type="paragraph" w:customStyle="1" w:styleId="ParaNum">
    <w:name w:val="ParaNum"/>
    <w:basedOn w:val="Normal"/>
    <w:link w:val="ParaNumChar"/>
    <w:rsid w:val="00F5190D"/>
    <w:pPr>
      <w:numPr>
        <w:numId w:val="1"/>
      </w:numPr>
      <w:tabs>
        <w:tab w:val="clear" w:pos="1080"/>
        <w:tab w:val="num" w:pos="1440"/>
      </w:tabs>
      <w:spacing w:after="120"/>
    </w:pPr>
  </w:style>
  <w:style w:type="paragraph" w:styleId="EndnoteText">
    <w:name w:val="endnote text"/>
    <w:basedOn w:val="Normal"/>
    <w:semiHidden/>
    <w:rsid w:val="00F5190D"/>
    <w:rPr>
      <w:sz w:val="20"/>
    </w:rPr>
  </w:style>
  <w:style w:type="character" w:styleId="EndnoteReference">
    <w:name w:val="endnote reference"/>
    <w:basedOn w:val="DefaultParagraphFont"/>
    <w:semiHidden/>
    <w:rsid w:val="00F5190D"/>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Footnote Text Char2 Char Char Char,f,fn,fn Char"/>
    <w:link w:val="FootnoteTextChar1"/>
    <w:rsid w:val="00F5190D"/>
    <w:pPr>
      <w:spacing w:after="120"/>
    </w:pPr>
  </w:style>
  <w:style w:type="character" w:styleId="FootnoteReference">
    <w:name w:val="footnote reference"/>
    <w:aliases w:val="(NECG) Footn,(NECG) Footnote Reference,-E Funotenzeichen,A,Appel note de bas de p,FR,Footnote Reference/,Footnote Reference1,Ref,Style 124,Style 13,Style 17,Style 20,Style 34,fr,o,Style 9,callout"/>
    <w:basedOn w:val="DefaultParagraphFont"/>
    <w:rsid w:val="00F5190D"/>
    <w:rPr>
      <w:rFonts w:ascii="Times New Roman" w:hAnsi="Times New Roman"/>
      <w:dstrike w:val="0"/>
      <w:color w:val="auto"/>
      <w:sz w:val="22"/>
      <w:vertAlign w:val="superscript"/>
    </w:rPr>
  </w:style>
  <w:style w:type="paragraph" w:styleId="TOC1">
    <w:name w:val="toc 1"/>
    <w:basedOn w:val="Normal"/>
    <w:next w:val="Normal"/>
    <w:rsid w:val="00F5190D"/>
    <w:pPr>
      <w:tabs>
        <w:tab w:val="left" w:pos="360"/>
        <w:tab w:val="right" w:leader="dot" w:pos="9360"/>
      </w:tabs>
      <w:suppressAutoHyphens/>
      <w:ind w:left="360" w:right="720" w:hanging="360"/>
    </w:pPr>
    <w:rPr>
      <w:caps/>
      <w:noProof/>
    </w:rPr>
  </w:style>
  <w:style w:type="paragraph" w:styleId="TOC2">
    <w:name w:val="toc 2"/>
    <w:basedOn w:val="Normal"/>
    <w:next w:val="Normal"/>
    <w:rsid w:val="00F5190D"/>
    <w:pPr>
      <w:tabs>
        <w:tab w:val="left" w:pos="720"/>
        <w:tab w:val="right" w:leader="dot" w:pos="9360"/>
      </w:tabs>
      <w:suppressAutoHyphens/>
      <w:ind w:left="720" w:right="720" w:hanging="360"/>
    </w:pPr>
    <w:rPr>
      <w:noProof/>
    </w:rPr>
  </w:style>
  <w:style w:type="paragraph" w:styleId="TOC3">
    <w:name w:val="toc 3"/>
    <w:basedOn w:val="Normal"/>
    <w:next w:val="Normal"/>
    <w:rsid w:val="00F5190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5190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5190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5190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5190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5190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5190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5190D"/>
    <w:pPr>
      <w:tabs>
        <w:tab w:val="right" w:pos="9360"/>
      </w:tabs>
      <w:suppressAutoHyphens/>
    </w:pPr>
  </w:style>
  <w:style w:type="character" w:customStyle="1" w:styleId="EquationCaption">
    <w:name w:val="_Equation Caption"/>
    <w:rsid w:val="00F5190D"/>
  </w:style>
  <w:style w:type="paragraph" w:styleId="Header">
    <w:name w:val="header"/>
    <w:basedOn w:val="Normal"/>
    <w:autoRedefine/>
    <w:rsid w:val="00F5190D"/>
    <w:pPr>
      <w:tabs>
        <w:tab w:val="center" w:pos="4680"/>
        <w:tab w:val="right" w:pos="9360"/>
      </w:tabs>
    </w:pPr>
    <w:rPr>
      <w:b/>
    </w:rPr>
  </w:style>
  <w:style w:type="paragraph" w:styleId="Footer">
    <w:name w:val="footer"/>
    <w:basedOn w:val="Normal"/>
    <w:link w:val="FooterChar"/>
    <w:rsid w:val="00F5190D"/>
    <w:pPr>
      <w:tabs>
        <w:tab w:val="center" w:pos="4320"/>
        <w:tab w:val="right" w:pos="8640"/>
      </w:tabs>
    </w:pPr>
  </w:style>
  <w:style w:type="character" w:styleId="PageNumber">
    <w:name w:val="page number"/>
    <w:basedOn w:val="DefaultParagraphFont"/>
    <w:rsid w:val="00F5190D"/>
  </w:style>
  <w:style w:type="paragraph" w:styleId="BlockText">
    <w:name w:val="Block Text"/>
    <w:basedOn w:val="Normal"/>
    <w:rsid w:val="00F5190D"/>
    <w:pPr>
      <w:spacing w:after="240"/>
      <w:ind w:left="1440" w:right="1440"/>
    </w:pPr>
  </w:style>
  <w:style w:type="paragraph" w:customStyle="1" w:styleId="Paratitle">
    <w:name w:val="Para title"/>
    <w:basedOn w:val="Normal"/>
    <w:rsid w:val="00F5190D"/>
    <w:pPr>
      <w:tabs>
        <w:tab w:val="center" w:pos="9270"/>
      </w:tabs>
      <w:spacing w:after="240"/>
    </w:pPr>
    <w:rPr>
      <w:spacing w:val="-2"/>
    </w:rPr>
  </w:style>
  <w:style w:type="paragraph" w:customStyle="1" w:styleId="Bullet">
    <w:name w:val="Bullet"/>
    <w:basedOn w:val="Normal"/>
    <w:rsid w:val="00F5190D"/>
    <w:pPr>
      <w:tabs>
        <w:tab w:val="num" w:pos="1080"/>
        <w:tab w:val="left" w:pos="2160"/>
      </w:tabs>
      <w:spacing w:after="220"/>
      <w:ind w:left="0" w:firstLine="720"/>
    </w:pPr>
  </w:style>
  <w:style w:type="paragraph" w:customStyle="1" w:styleId="TableFormat">
    <w:name w:val="TableFormat"/>
    <w:basedOn w:val="Bullet"/>
    <w:rsid w:val="00F5190D"/>
    <w:pPr>
      <w:numPr>
        <w:numId w:val="0"/>
      </w:numPr>
      <w:tabs>
        <w:tab w:val="clear" w:pos="2160"/>
        <w:tab w:val="left" w:pos="5040"/>
      </w:tabs>
      <w:ind w:left="5040" w:hanging="3600"/>
    </w:pPr>
  </w:style>
  <w:style w:type="paragraph" w:customStyle="1" w:styleId="TOCTitle">
    <w:name w:val="TOC Title"/>
    <w:basedOn w:val="Normal"/>
    <w:rsid w:val="00F5190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5190D"/>
    <w:pPr>
      <w:jc w:val="center"/>
    </w:pPr>
    <w:rPr>
      <w:rFonts w:ascii="Times New Roman Bold" w:hAnsi="Times New Roman Bold"/>
      <w:b/>
      <w:bCs/>
      <w:caps/>
      <w:szCs w:val="22"/>
    </w:rPr>
  </w:style>
  <w:style w:type="character" w:styleId="Hyperlink">
    <w:name w:val="Hyperlink"/>
    <w:basedOn w:val="DefaultParagraphFont"/>
    <w:rsid w:val="00F5190D"/>
    <w:rPr>
      <w:color w:val="0000FF"/>
      <w:u w:val="single"/>
    </w:rPr>
  </w:style>
  <w:style w:type="character" w:customStyle="1" w:styleId="FooterChar">
    <w:name w:val="Footer Char"/>
    <w:link w:val="Footer"/>
    <w:rsid w:val="00287014"/>
    <w:rPr>
      <w:snapToGrid w:val="0"/>
      <w:kern w:val="28"/>
      <w:sz w:val="22"/>
    </w:rPr>
  </w:style>
  <w:style w:type="character" w:customStyle="1" w:styleId="Document8">
    <w:name w:val="Document 8"/>
    <w:basedOn w:val="DefaultParagraphFont"/>
    <w:rsid w:val="00426FF5"/>
  </w:style>
  <w:style w:type="character" w:customStyle="1" w:styleId="Document4">
    <w:name w:val="Document 4"/>
    <w:rsid w:val="00426FF5"/>
    <w:rPr>
      <w:b/>
      <w:i/>
      <w:sz w:val="24"/>
    </w:rPr>
  </w:style>
  <w:style w:type="character" w:customStyle="1" w:styleId="Document6">
    <w:name w:val="Document 6"/>
    <w:basedOn w:val="DefaultParagraphFont"/>
    <w:rsid w:val="00426FF5"/>
  </w:style>
  <w:style w:type="character" w:customStyle="1" w:styleId="Document5">
    <w:name w:val="Document 5"/>
    <w:basedOn w:val="DefaultParagraphFont"/>
    <w:rsid w:val="00426FF5"/>
  </w:style>
  <w:style w:type="character" w:customStyle="1" w:styleId="Document2">
    <w:name w:val="Document 2"/>
    <w:rsid w:val="00426FF5"/>
    <w:rPr>
      <w:rFonts w:ascii="Times New Roman" w:hAnsi="Times New Roman"/>
      <w:noProof w:val="0"/>
      <w:sz w:val="24"/>
      <w:lang w:val="en-US"/>
    </w:rPr>
  </w:style>
  <w:style w:type="character" w:customStyle="1" w:styleId="Document7">
    <w:name w:val="Document 7"/>
    <w:basedOn w:val="DefaultParagraphFont"/>
    <w:rsid w:val="00426FF5"/>
  </w:style>
  <w:style w:type="character" w:customStyle="1" w:styleId="Bibliogrphy">
    <w:name w:val="Bibliogrphy"/>
    <w:basedOn w:val="DefaultParagraphFont"/>
    <w:rsid w:val="00426FF5"/>
  </w:style>
  <w:style w:type="character" w:customStyle="1" w:styleId="RightPar1">
    <w:name w:val="Right Par 1"/>
    <w:basedOn w:val="DefaultParagraphFont"/>
    <w:rsid w:val="00426FF5"/>
  </w:style>
  <w:style w:type="character" w:customStyle="1" w:styleId="RightPar2">
    <w:name w:val="Right Par 2"/>
    <w:basedOn w:val="DefaultParagraphFont"/>
    <w:rsid w:val="00426FF5"/>
  </w:style>
  <w:style w:type="character" w:customStyle="1" w:styleId="Document3">
    <w:name w:val="Document 3"/>
    <w:rsid w:val="00426FF5"/>
    <w:rPr>
      <w:rFonts w:ascii="Times New Roman" w:hAnsi="Times New Roman"/>
      <w:noProof w:val="0"/>
      <w:sz w:val="24"/>
      <w:lang w:val="en-US"/>
    </w:rPr>
  </w:style>
  <w:style w:type="character" w:customStyle="1" w:styleId="RightPar3">
    <w:name w:val="Right Par 3"/>
    <w:basedOn w:val="DefaultParagraphFont"/>
    <w:rsid w:val="00426FF5"/>
  </w:style>
  <w:style w:type="character" w:customStyle="1" w:styleId="RightPar4">
    <w:name w:val="Right Par 4"/>
    <w:basedOn w:val="DefaultParagraphFont"/>
    <w:rsid w:val="00426FF5"/>
  </w:style>
  <w:style w:type="character" w:customStyle="1" w:styleId="RightPar5">
    <w:name w:val="Right Par 5"/>
    <w:basedOn w:val="DefaultParagraphFont"/>
    <w:rsid w:val="00426FF5"/>
  </w:style>
  <w:style w:type="character" w:customStyle="1" w:styleId="RightPar6">
    <w:name w:val="Right Par 6"/>
    <w:basedOn w:val="DefaultParagraphFont"/>
    <w:rsid w:val="00426FF5"/>
  </w:style>
  <w:style w:type="character" w:customStyle="1" w:styleId="RightPar7">
    <w:name w:val="Right Par 7"/>
    <w:basedOn w:val="DefaultParagraphFont"/>
    <w:rsid w:val="00426FF5"/>
  </w:style>
  <w:style w:type="character" w:customStyle="1" w:styleId="RightPar8">
    <w:name w:val="Right Par 8"/>
    <w:basedOn w:val="DefaultParagraphFont"/>
    <w:rsid w:val="00426FF5"/>
  </w:style>
  <w:style w:type="character" w:customStyle="1" w:styleId="TechInit">
    <w:name w:val="Tech Init"/>
    <w:rsid w:val="00426FF5"/>
    <w:rPr>
      <w:rFonts w:ascii="Times New Roman" w:hAnsi="Times New Roman"/>
      <w:noProof w:val="0"/>
      <w:sz w:val="24"/>
      <w:lang w:val="en-US"/>
    </w:rPr>
  </w:style>
  <w:style w:type="paragraph" w:customStyle="1" w:styleId="Document1">
    <w:name w:val="Document 1"/>
    <w:rsid w:val="00426FF5"/>
    <w:pPr>
      <w:keepNext/>
      <w:keepLines/>
      <w:widowControl w:val="0"/>
      <w:tabs>
        <w:tab w:val="left" w:pos="-720"/>
      </w:tabs>
      <w:suppressAutoHyphens/>
    </w:pPr>
    <w:rPr>
      <w:snapToGrid w:val="0"/>
      <w:sz w:val="24"/>
    </w:rPr>
  </w:style>
  <w:style w:type="character" w:customStyle="1" w:styleId="Technical5">
    <w:name w:val="Technical 5"/>
    <w:basedOn w:val="DefaultParagraphFont"/>
    <w:rsid w:val="00426FF5"/>
  </w:style>
  <w:style w:type="character" w:customStyle="1" w:styleId="Technical6">
    <w:name w:val="Technical 6"/>
    <w:basedOn w:val="DefaultParagraphFont"/>
    <w:rsid w:val="00426FF5"/>
  </w:style>
  <w:style w:type="character" w:customStyle="1" w:styleId="Technical2">
    <w:name w:val="Technical 2"/>
    <w:rsid w:val="00426FF5"/>
    <w:rPr>
      <w:rFonts w:ascii="Times New Roman" w:hAnsi="Times New Roman"/>
      <w:noProof w:val="0"/>
      <w:sz w:val="24"/>
      <w:lang w:val="en-US"/>
    </w:rPr>
  </w:style>
  <w:style w:type="character" w:customStyle="1" w:styleId="Technical3">
    <w:name w:val="Technical 3"/>
    <w:rsid w:val="00426FF5"/>
    <w:rPr>
      <w:rFonts w:ascii="Times New Roman" w:hAnsi="Times New Roman"/>
      <w:noProof w:val="0"/>
      <w:sz w:val="24"/>
      <w:lang w:val="en-US"/>
    </w:rPr>
  </w:style>
  <w:style w:type="character" w:customStyle="1" w:styleId="Technical4">
    <w:name w:val="Technical 4"/>
    <w:basedOn w:val="DefaultParagraphFont"/>
    <w:rsid w:val="00426FF5"/>
  </w:style>
  <w:style w:type="character" w:customStyle="1" w:styleId="Technical1">
    <w:name w:val="Technical 1"/>
    <w:rsid w:val="00426FF5"/>
    <w:rPr>
      <w:rFonts w:ascii="Times New Roman" w:hAnsi="Times New Roman"/>
      <w:noProof w:val="0"/>
      <w:sz w:val="24"/>
      <w:lang w:val="en-US"/>
    </w:rPr>
  </w:style>
  <w:style w:type="character" w:customStyle="1" w:styleId="Technical7">
    <w:name w:val="Technical 7"/>
    <w:basedOn w:val="DefaultParagraphFont"/>
    <w:rsid w:val="00426FF5"/>
  </w:style>
  <w:style w:type="character" w:customStyle="1" w:styleId="Technical8">
    <w:name w:val="Technical 8"/>
    <w:basedOn w:val="DefaultParagraphFont"/>
    <w:rsid w:val="00426FF5"/>
  </w:style>
  <w:style w:type="character" w:customStyle="1" w:styleId="DocInit">
    <w:name w:val="Doc Init"/>
    <w:basedOn w:val="DefaultParagraphFont"/>
    <w:rsid w:val="00426FF5"/>
  </w:style>
  <w:style w:type="character" w:customStyle="1" w:styleId="BulletList">
    <w:name w:val="Bullet List"/>
    <w:basedOn w:val="DefaultParagraphFont"/>
    <w:rsid w:val="00426FF5"/>
  </w:style>
  <w:style w:type="character" w:customStyle="1" w:styleId="Document80">
    <w:name w:val="Document[8]"/>
    <w:basedOn w:val="DefaultParagraphFont"/>
    <w:rsid w:val="00426FF5"/>
  </w:style>
  <w:style w:type="character" w:customStyle="1" w:styleId="Document40">
    <w:name w:val="Document[4]"/>
    <w:rsid w:val="00426FF5"/>
    <w:rPr>
      <w:b/>
      <w:i/>
      <w:sz w:val="24"/>
    </w:rPr>
  </w:style>
  <w:style w:type="character" w:customStyle="1" w:styleId="Document60">
    <w:name w:val="Document[6]"/>
    <w:basedOn w:val="DefaultParagraphFont"/>
    <w:rsid w:val="00426FF5"/>
  </w:style>
  <w:style w:type="character" w:customStyle="1" w:styleId="Document50">
    <w:name w:val="Document[5]"/>
    <w:basedOn w:val="DefaultParagraphFont"/>
    <w:rsid w:val="00426FF5"/>
  </w:style>
  <w:style w:type="character" w:customStyle="1" w:styleId="Document20">
    <w:name w:val="Document[2]"/>
    <w:rsid w:val="00426FF5"/>
    <w:rPr>
      <w:rFonts w:ascii="Times New Roman" w:hAnsi="Times New Roman"/>
      <w:noProof w:val="0"/>
      <w:sz w:val="24"/>
      <w:lang w:val="en-US"/>
    </w:rPr>
  </w:style>
  <w:style w:type="character" w:customStyle="1" w:styleId="Document70">
    <w:name w:val="Document[7]"/>
    <w:basedOn w:val="DefaultParagraphFont"/>
    <w:rsid w:val="00426FF5"/>
  </w:style>
  <w:style w:type="character" w:customStyle="1" w:styleId="RightPar10">
    <w:name w:val="Right Par[1]"/>
    <w:basedOn w:val="DefaultParagraphFont"/>
    <w:rsid w:val="00426FF5"/>
  </w:style>
  <w:style w:type="character" w:customStyle="1" w:styleId="RightPar20">
    <w:name w:val="Right Par[2]"/>
    <w:basedOn w:val="DefaultParagraphFont"/>
    <w:rsid w:val="00426FF5"/>
  </w:style>
  <w:style w:type="character" w:customStyle="1" w:styleId="Document30">
    <w:name w:val="Document[3]"/>
    <w:rsid w:val="00426FF5"/>
    <w:rPr>
      <w:rFonts w:ascii="Times New Roman" w:hAnsi="Times New Roman"/>
      <w:noProof w:val="0"/>
      <w:sz w:val="24"/>
      <w:lang w:val="en-US"/>
    </w:rPr>
  </w:style>
  <w:style w:type="character" w:customStyle="1" w:styleId="RightPar30">
    <w:name w:val="Right Par[3]"/>
    <w:basedOn w:val="DefaultParagraphFont"/>
    <w:rsid w:val="00426FF5"/>
  </w:style>
  <w:style w:type="character" w:customStyle="1" w:styleId="RightPar40">
    <w:name w:val="Right Par[4]"/>
    <w:basedOn w:val="DefaultParagraphFont"/>
    <w:rsid w:val="00426FF5"/>
  </w:style>
  <w:style w:type="character" w:customStyle="1" w:styleId="RightPar50">
    <w:name w:val="Right Par[5]"/>
    <w:basedOn w:val="DefaultParagraphFont"/>
    <w:rsid w:val="00426FF5"/>
  </w:style>
  <w:style w:type="character" w:customStyle="1" w:styleId="RightPar60">
    <w:name w:val="Right Par[6]"/>
    <w:basedOn w:val="DefaultParagraphFont"/>
    <w:rsid w:val="00426FF5"/>
  </w:style>
  <w:style w:type="character" w:customStyle="1" w:styleId="RightPar70">
    <w:name w:val="Right Par[7]"/>
    <w:basedOn w:val="DefaultParagraphFont"/>
    <w:rsid w:val="00426FF5"/>
  </w:style>
  <w:style w:type="character" w:customStyle="1" w:styleId="RightPar80">
    <w:name w:val="Right Par[8]"/>
    <w:basedOn w:val="DefaultParagraphFont"/>
    <w:rsid w:val="00426FF5"/>
  </w:style>
  <w:style w:type="paragraph" w:customStyle="1" w:styleId="Document10">
    <w:name w:val="Document[1]"/>
    <w:rsid w:val="00426FF5"/>
    <w:pPr>
      <w:keepNext/>
      <w:keepLines/>
      <w:widowControl w:val="0"/>
      <w:tabs>
        <w:tab w:val="left" w:pos="-720"/>
      </w:tabs>
      <w:suppressAutoHyphens/>
    </w:pPr>
    <w:rPr>
      <w:snapToGrid w:val="0"/>
      <w:sz w:val="24"/>
    </w:rPr>
  </w:style>
  <w:style w:type="character" w:customStyle="1" w:styleId="Technical50">
    <w:name w:val="Technical[5]"/>
    <w:basedOn w:val="DefaultParagraphFont"/>
    <w:rsid w:val="00426FF5"/>
  </w:style>
  <w:style w:type="character" w:customStyle="1" w:styleId="Technical60">
    <w:name w:val="Technical[6]"/>
    <w:basedOn w:val="DefaultParagraphFont"/>
    <w:rsid w:val="00426FF5"/>
  </w:style>
  <w:style w:type="character" w:customStyle="1" w:styleId="Technical20">
    <w:name w:val="Technical[2]"/>
    <w:rsid w:val="00426FF5"/>
    <w:rPr>
      <w:rFonts w:ascii="Times New Roman" w:hAnsi="Times New Roman"/>
      <w:noProof w:val="0"/>
      <w:sz w:val="24"/>
      <w:lang w:val="en-US"/>
    </w:rPr>
  </w:style>
  <w:style w:type="character" w:customStyle="1" w:styleId="Technical30">
    <w:name w:val="Technical[3]"/>
    <w:rsid w:val="00426FF5"/>
    <w:rPr>
      <w:rFonts w:ascii="Times New Roman" w:hAnsi="Times New Roman"/>
      <w:noProof w:val="0"/>
      <w:sz w:val="24"/>
      <w:lang w:val="en-US"/>
    </w:rPr>
  </w:style>
  <w:style w:type="character" w:customStyle="1" w:styleId="Technical40">
    <w:name w:val="Technical[4]"/>
    <w:basedOn w:val="DefaultParagraphFont"/>
    <w:rsid w:val="00426FF5"/>
  </w:style>
  <w:style w:type="character" w:customStyle="1" w:styleId="Technical10">
    <w:name w:val="Technical[1]"/>
    <w:rsid w:val="00426FF5"/>
    <w:rPr>
      <w:rFonts w:ascii="Times New Roman" w:hAnsi="Times New Roman"/>
      <w:noProof w:val="0"/>
      <w:sz w:val="24"/>
      <w:lang w:val="en-US"/>
    </w:rPr>
  </w:style>
  <w:style w:type="character" w:customStyle="1" w:styleId="Technical70">
    <w:name w:val="Technical[7]"/>
    <w:basedOn w:val="DefaultParagraphFont"/>
    <w:rsid w:val="00426FF5"/>
  </w:style>
  <w:style w:type="character" w:customStyle="1" w:styleId="Technical80">
    <w:name w:val="Technical[8]"/>
    <w:basedOn w:val="DefaultParagraphFont"/>
    <w:rsid w:val="00426FF5"/>
  </w:style>
  <w:style w:type="character" w:customStyle="1" w:styleId="FormatDownload">
    <w:name w:val="Format Download"/>
    <w:rsid w:val="00426FF5"/>
    <w:rPr>
      <w:rFonts w:ascii="Courier New" w:hAnsi="Courier New"/>
      <w:noProof w:val="0"/>
      <w:sz w:val="20"/>
      <w:lang w:val="en-US"/>
    </w:rPr>
  </w:style>
  <w:style w:type="paragraph" w:customStyle="1" w:styleId="MACNormal">
    <w:name w:val="MACNormal"/>
    <w:rsid w:val="00426FF5"/>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sid w:val="00426FF5"/>
    <w:rPr>
      <w:rFonts w:ascii="Times New Roman" w:hAnsi="Times New Roman"/>
      <w:noProof w:val="0"/>
      <w:sz w:val="24"/>
      <w:lang w:val="en-US"/>
    </w:rPr>
  </w:style>
  <w:style w:type="character" w:customStyle="1" w:styleId="footnotetex">
    <w:name w:val="footnote tex"/>
    <w:rsid w:val="00426FF5"/>
    <w:rPr>
      <w:rFonts w:ascii="Times New Roman" w:hAnsi="Times New Roman"/>
      <w:noProof w:val="0"/>
      <w:sz w:val="24"/>
      <w:lang w:val="en-US"/>
    </w:rPr>
  </w:style>
  <w:style w:type="character" w:customStyle="1" w:styleId="reference">
    <w:name w:val="reference"/>
    <w:rsid w:val="00426FF5"/>
    <w:rPr>
      <w:rFonts w:ascii="Times New Roman" w:hAnsi="Times New Roman"/>
    </w:rPr>
  </w:style>
  <w:style w:type="paragraph" w:customStyle="1" w:styleId="itemize">
    <w:name w:val="itemize"/>
    <w:rsid w:val="00426FF5"/>
    <w:pPr>
      <w:widowControl w:val="0"/>
      <w:tabs>
        <w:tab w:val="left" w:pos="540"/>
        <w:tab w:val="left" w:pos="900"/>
      </w:tabs>
      <w:suppressAutoHyphens/>
      <w:ind w:left="900" w:hanging="900"/>
    </w:pPr>
    <w:rPr>
      <w:snapToGrid w:val="0"/>
      <w:sz w:val="24"/>
    </w:rPr>
  </w:style>
  <w:style w:type="paragraph" w:customStyle="1" w:styleId="header2">
    <w:name w:val="header2"/>
    <w:rsid w:val="00426FF5"/>
    <w:pPr>
      <w:widowControl w:val="0"/>
      <w:tabs>
        <w:tab w:val="left" w:pos="1440"/>
        <w:tab w:val="center" w:pos="4320"/>
        <w:tab w:val="right" w:pos="8640"/>
      </w:tabs>
      <w:suppressAutoHyphens/>
      <w:jc w:val="center"/>
    </w:pPr>
    <w:rPr>
      <w:b/>
      <w:snapToGrid w:val="0"/>
      <w:sz w:val="24"/>
    </w:rPr>
  </w:style>
  <w:style w:type="character" w:customStyle="1" w:styleId="Paragraph1">
    <w:name w:val="Paragraph 1"/>
    <w:basedOn w:val="DefaultParagraphFont"/>
    <w:rsid w:val="00426FF5"/>
  </w:style>
  <w:style w:type="character" w:customStyle="1" w:styleId="Paragraph2">
    <w:name w:val="Paragraph 2"/>
    <w:basedOn w:val="DefaultParagraphFont"/>
    <w:rsid w:val="00426FF5"/>
  </w:style>
  <w:style w:type="character" w:customStyle="1" w:styleId="Paragraph3">
    <w:name w:val="Paragraph 3"/>
    <w:basedOn w:val="DefaultParagraphFont"/>
    <w:rsid w:val="00426FF5"/>
  </w:style>
  <w:style w:type="character" w:customStyle="1" w:styleId="Paragraph4">
    <w:name w:val="Paragraph 4"/>
    <w:basedOn w:val="DefaultParagraphFont"/>
    <w:rsid w:val="00426FF5"/>
  </w:style>
  <w:style w:type="character" w:customStyle="1" w:styleId="Paragraph5">
    <w:name w:val="Paragraph 5"/>
    <w:basedOn w:val="DefaultParagraphFont"/>
    <w:rsid w:val="00426FF5"/>
  </w:style>
  <w:style w:type="character" w:customStyle="1" w:styleId="Paragraph6">
    <w:name w:val="Paragraph 6"/>
    <w:basedOn w:val="DefaultParagraphFont"/>
    <w:rsid w:val="00426FF5"/>
  </w:style>
  <w:style w:type="character" w:customStyle="1" w:styleId="Paragraph7">
    <w:name w:val="Paragraph 7"/>
    <w:basedOn w:val="DefaultParagraphFont"/>
    <w:rsid w:val="00426FF5"/>
  </w:style>
  <w:style w:type="character" w:customStyle="1" w:styleId="Paragraph8">
    <w:name w:val="Paragraph 8"/>
    <w:basedOn w:val="DefaultParagraphFont"/>
    <w:rsid w:val="00426FF5"/>
  </w:style>
  <w:style w:type="character" w:customStyle="1" w:styleId="1">
    <w:name w:val="1"/>
    <w:basedOn w:val="DefaultParagraphFont"/>
    <w:rsid w:val="00426FF5"/>
  </w:style>
  <w:style w:type="character" w:customStyle="1" w:styleId="2">
    <w:name w:val="2"/>
    <w:rsid w:val="00426FF5"/>
    <w:rPr>
      <w:b/>
      <w:i/>
      <w:sz w:val="24"/>
    </w:rPr>
  </w:style>
  <w:style w:type="character" w:customStyle="1" w:styleId="3">
    <w:name w:val="3"/>
    <w:basedOn w:val="DefaultParagraphFont"/>
    <w:rsid w:val="00426FF5"/>
  </w:style>
  <w:style w:type="character" w:customStyle="1" w:styleId="4">
    <w:name w:val="4"/>
    <w:basedOn w:val="DefaultParagraphFont"/>
    <w:rsid w:val="00426FF5"/>
  </w:style>
  <w:style w:type="character" w:customStyle="1" w:styleId="5">
    <w:name w:val="5"/>
    <w:rsid w:val="00426FF5"/>
    <w:rPr>
      <w:rFonts w:ascii="Times New Roman" w:hAnsi="Times New Roman"/>
      <w:noProof w:val="0"/>
      <w:sz w:val="24"/>
      <w:lang w:val="en-US"/>
    </w:rPr>
  </w:style>
  <w:style w:type="character" w:customStyle="1" w:styleId="6">
    <w:name w:val="6"/>
    <w:basedOn w:val="DefaultParagraphFont"/>
    <w:rsid w:val="00426FF5"/>
  </w:style>
  <w:style w:type="character" w:customStyle="1" w:styleId="7">
    <w:name w:val="7"/>
    <w:basedOn w:val="DefaultParagraphFont"/>
    <w:rsid w:val="00426FF5"/>
  </w:style>
  <w:style w:type="character" w:customStyle="1" w:styleId="8">
    <w:name w:val="8"/>
    <w:basedOn w:val="DefaultParagraphFont"/>
    <w:rsid w:val="00426FF5"/>
  </w:style>
  <w:style w:type="character" w:customStyle="1" w:styleId="9">
    <w:name w:val="9"/>
    <w:rsid w:val="00426FF5"/>
    <w:rPr>
      <w:rFonts w:ascii="Times New Roman" w:hAnsi="Times New Roman"/>
      <w:noProof w:val="0"/>
      <w:sz w:val="24"/>
      <w:lang w:val="en-US"/>
    </w:rPr>
  </w:style>
  <w:style w:type="character" w:customStyle="1" w:styleId="10">
    <w:name w:val="10"/>
    <w:basedOn w:val="DefaultParagraphFont"/>
    <w:rsid w:val="00426FF5"/>
  </w:style>
  <w:style w:type="character" w:customStyle="1" w:styleId="11">
    <w:name w:val="11"/>
    <w:basedOn w:val="DefaultParagraphFont"/>
    <w:rsid w:val="00426FF5"/>
  </w:style>
  <w:style w:type="character" w:customStyle="1" w:styleId="12">
    <w:name w:val="12"/>
    <w:basedOn w:val="DefaultParagraphFont"/>
    <w:rsid w:val="00426FF5"/>
  </w:style>
  <w:style w:type="character" w:customStyle="1" w:styleId="13">
    <w:name w:val="13"/>
    <w:basedOn w:val="DefaultParagraphFont"/>
    <w:rsid w:val="00426FF5"/>
  </w:style>
  <w:style w:type="character" w:customStyle="1" w:styleId="14">
    <w:name w:val="14"/>
    <w:basedOn w:val="DefaultParagraphFont"/>
    <w:rsid w:val="00426FF5"/>
  </w:style>
  <w:style w:type="character" w:customStyle="1" w:styleId="15">
    <w:name w:val="15"/>
    <w:basedOn w:val="DefaultParagraphFont"/>
    <w:rsid w:val="00426FF5"/>
  </w:style>
  <w:style w:type="paragraph" w:customStyle="1" w:styleId="16">
    <w:name w:val="16"/>
    <w:rsid w:val="00426FF5"/>
    <w:pPr>
      <w:keepNext/>
      <w:keepLines/>
      <w:widowControl w:val="0"/>
      <w:tabs>
        <w:tab w:val="left" w:pos="-720"/>
      </w:tabs>
      <w:suppressAutoHyphens/>
    </w:pPr>
    <w:rPr>
      <w:snapToGrid w:val="0"/>
      <w:sz w:val="24"/>
    </w:rPr>
  </w:style>
  <w:style w:type="character" w:customStyle="1" w:styleId="17">
    <w:name w:val="17"/>
    <w:basedOn w:val="DefaultParagraphFont"/>
    <w:rsid w:val="00426FF5"/>
  </w:style>
  <w:style w:type="character" w:customStyle="1" w:styleId="18">
    <w:name w:val="18"/>
    <w:basedOn w:val="DefaultParagraphFont"/>
    <w:rsid w:val="00426FF5"/>
  </w:style>
  <w:style w:type="character" w:customStyle="1" w:styleId="19">
    <w:name w:val="19"/>
    <w:rsid w:val="00426FF5"/>
    <w:rPr>
      <w:rFonts w:ascii="Times New Roman" w:hAnsi="Times New Roman"/>
      <w:noProof w:val="0"/>
      <w:sz w:val="24"/>
      <w:lang w:val="en-US"/>
    </w:rPr>
  </w:style>
  <w:style w:type="character" w:customStyle="1" w:styleId="20a">
    <w:name w:val="20a"/>
    <w:rsid w:val="00426FF5"/>
    <w:rPr>
      <w:rFonts w:ascii="Times New Roman" w:hAnsi="Times New Roman"/>
      <w:noProof w:val="0"/>
      <w:sz w:val="24"/>
      <w:lang w:val="en-US"/>
    </w:rPr>
  </w:style>
  <w:style w:type="character" w:customStyle="1" w:styleId="21a">
    <w:name w:val="21a"/>
    <w:basedOn w:val="DefaultParagraphFont"/>
    <w:rsid w:val="00426FF5"/>
  </w:style>
  <w:style w:type="character" w:customStyle="1" w:styleId="22a">
    <w:name w:val="22a"/>
    <w:rsid w:val="00426FF5"/>
    <w:rPr>
      <w:rFonts w:ascii="Times New Roman" w:hAnsi="Times New Roman"/>
      <w:noProof w:val="0"/>
      <w:sz w:val="24"/>
      <w:lang w:val="en-US"/>
    </w:rPr>
  </w:style>
  <w:style w:type="character" w:customStyle="1" w:styleId="23a">
    <w:name w:val="23a"/>
    <w:basedOn w:val="DefaultParagraphFont"/>
    <w:rsid w:val="00426FF5"/>
  </w:style>
  <w:style w:type="character" w:customStyle="1" w:styleId="24a">
    <w:name w:val="24a"/>
    <w:basedOn w:val="DefaultParagraphFont"/>
    <w:rsid w:val="00426FF5"/>
  </w:style>
  <w:style w:type="character" w:customStyle="1" w:styleId="FormatDownl">
    <w:name w:val="Format Downl"/>
    <w:rsid w:val="00426FF5"/>
    <w:rPr>
      <w:rFonts w:ascii="Courier New" w:hAnsi="Courier New"/>
      <w:noProof w:val="0"/>
      <w:sz w:val="20"/>
      <w:lang w:val="en-US"/>
    </w:rPr>
  </w:style>
  <w:style w:type="character" w:customStyle="1" w:styleId="Heading">
    <w:name w:val="Heading"/>
    <w:basedOn w:val="DefaultParagraphFont"/>
    <w:rsid w:val="00426FF5"/>
  </w:style>
  <w:style w:type="character" w:customStyle="1" w:styleId="RightPar">
    <w:name w:val="Right Par"/>
    <w:basedOn w:val="DefaultParagraphFont"/>
    <w:rsid w:val="00426FF5"/>
  </w:style>
  <w:style w:type="character" w:customStyle="1" w:styleId="Subheading">
    <w:name w:val="Subheading"/>
    <w:basedOn w:val="DefaultParagraphFont"/>
    <w:rsid w:val="00426FF5"/>
  </w:style>
  <w:style w:type="character" w:customStyle="1" w:styleId="25a">
    <w:name w:val="25a"/>
    <w:basedOn w:val="DefaultParagraphFont"/>
    <w:rsid w:val="00426FF5"/>
  </w:style>
  <w:style w:type="paragraph" w:customStyle="1" w:styleId="Word222Null">
    <w:name w:val="Word222Null"/>
    <w:rsid w:val="00426FF5"/>
    <w:pPr>
      <w:widowControl w:val="0"/>
      <w:tabs>
        <w:tab w:val="left" w:pos="-720"/>
      </w:tabs>
      <w:suppressAutoHyphens/>
    </w:pPr>
    <w:rPr>
      <w:rFonts w:ascii="Modern" w:hAnsi="Modern"/>
      <w:snapToGrid w:val="0"/>
      <w:sz w:val="24"/>
    </w:rPr>
  </w:style>
  <w:style w:type="paragraph" w:customStyle="1" w:styleId="Heading71">
    <w:name w:val="Heading 71"/>
    <w:rsid w:val="00426FF5"/>
    <w:pPr>
      <w:widowControl w:val="0"/>
      <w:tabs>
        <w:tab w:val="left" w:pos="360"/>
        <w:tab w:val="left" w:pos="1152"/>
        <w:tab w:val="left" w:pos="1548"/>
        <w:tab w:val="left" w:pos="3276"/>
        <w:tab w:val="left" w:pos="3618"/>
        <w:tab w:val="left" w:pos="4320"/>
      </w:tabs>
      <w:suppressAutoHyphens/>
      <w:ind w:left="792" w:hanging="792"/>
    </w:pPr>
    <w:rPr>
      <w:rFonts w:ascii="Book Antiqua" w:hAnsi="Book Antiqua"/>
      <w:b/>
      <w:snapToGrid w:val="0"/>
      <w:sz w:val="22"/>
    </w:rPr>
  </w:style>
  <w:style w:type="paragraph" w:customStyle="1" w:styleId="Heading61">
    <w:name w:val="Heading 61"/>
    <w:rsid w:val="00426FF5"/>
    <w:pPr>
      <w:widowControl w:val="0"/>
      <w:tabs>
        <w:tab w:val="left" w:pos="360"/>
        <w:tab w:val="left" w:pos="1152"/>
        <w:tab w:val="left" w:pos="1548"/>
        <w:tab w:val="left" w:pos="3276"/>
        <w:tab w:val="left" w:pos="3618"/>
        <w:tab w:val="left" w:pos="4320"/>
      </w:tabs>
      <w:suppressAutoHyphens/>
      <w:ind w:left="792" w:hanging="792"/>
    </w:pPr>
    <w:rPr>
      <w:rFonts w:ascii="Book Antiqua" w:hAnsi="Book Antiqua"/>
      <w:b/>
      <w:snapToGrid w:val="0"/>
      <w:sz w:val="22"/>
    </w:rPr>
  </w:style>
  <w:style w:type="paragraph" w:customStyle="1" w:styleId="Heading51">
    <w:name w:val="Heading 51"/>
    <w:rsid w:val="00426FF5"/>
    <w:pPr>
      <w:widowControl w:val="0"/>
      <w:tabs>
        <w:tab w:val="left" w:pos="360"/>
        <w:tab w:val="left" w:pos="1152"/>
        <w:tab w:val="left" w:pos="1548"/>
        <w:tab w:val="left" w:pos="3276"/>
        <w:tab w:val="left" w:pos="3618"/>
        <w:tab w:val="left" w:pos="4320"/>
      </w:tabs>
      <w:suppressAutoHyphens/>
      <w:ind w:left="792" w:hanging="792"/>
    </w:pPr>
    <w:rPr>
      <w:rFonts w:ascii="Book Antiqua" w:hAnsi="Book Antiqua"/>
      <w:b/>
      <w:snapToGrid w:val="0"/>
      <w:sz w:val="22"/>
    </w:rPr>
  </w:style>
  <w:style w:type="paragraph" w:customStyle="1" w:styleId="Heading41">
    <w:name w:val="Heading 41"/>
    <w:rsid w:val="00426FF5"/>
    <w:pPr>
      <w:widowControl w:val="0"/>
      <w:tabs>
        <w:tab w:val="left" w:pos="360"/>
        <w:tab w:val="left" w:pos="1350"/>
        <w:tab w:val="left" w:pos="1548"/>
        <w:tab w:val="left" w:pos="3276"/>
        <w:tab w:val="left" w:pos="3618"/>
        <w:tab w:val="left" w:pos="4320"/>
      </w:tabs>
      <w:suppressAutoHyphens/>
      <w:ind w:left="990" w:hanging="990"/>
    </w:pPr>
    <w:rPr>
      <w:rFonts w:ascii="Book Antiqua" w:hAnsi="Book Antiqua"/>
      <w:b/>
      <w:snapToGrid w:val="0"/>
      <w:sz w:val="22"/>
    </w:rPr>
  </w:style>
  <w:style w:type="paragraph" w:customStyle="1" w:styleId="NORMALINDEN">
    <w:name w:val="NORMAL INDEN"/>
    <w:rsid w:val="00426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snapToGrid w:val="0"/>
      <w:sz w:val="22"/>
    </w:rPr>
  </w:style>
  <w:style w:type="paragraph" w:customStyle="1" w:styleId="enumlev1">
    <w:name w:val="enumlev1"/>
    <w:rsid w:val="00426FF5"/>
    <w:pPr>
      <w:widowControl w:val="0"/>
      <w:tabs>
        <w:tab w:val="left" w:pos="1152"/>
        <w:tab w:val="left" w:pos="1548"/>
        <w:tab w:val="left" w:pos="1944"/>
        <w:tab w:val="left" w:pos="2340"/>
        <w:tab w:val="left" w:pos="2880"/>
      </w:tabs>
      <w:suppressAutoHyphens/>
      <w:ind w:left="1188" w:hanging="1188"/>
    </w:pPr>
    <w:rPr>
      <w:rFonts w:ascii="Book Antiqua" w:hAnsi="Book Antiqua"/>
      <w:snapToGrid w:val="0"/>
      <w:sz w:val="22"/>
    </w:rPr>
  </w:style>
  <w:style w:type="character" w:customStyle="1" w:styleId="footnoteref">
    <w:name w:val="footnote ref"/>
    <w:rsid w:val="00426FF5"/>
    <w:rPr>
      <w:rFonts w:ascii="Times New Roman" w:hAnsi="Times New Roman"/>
      <w:noProof w:val="0"/>
      <w:sz w:val="27"/>
      <w:vertAlign w:val="superscript"/>
      <w:lang w:val="en-US"/>
    </w:rPr>
  </w:style>
  <w:style w:type="character" w:customStyle="1" w:styleId="DefaultPara">
    <w:name w:val="Default Para"/>
    <w:basedOn w:val="DefaultParagraphFont"/>
    <w:rsid w:val="00426FF5"/>
  </w:style>
  <w:style w:type="paragraph" w:customStyle="1" w:styleId="26a">
    <w:name w:val="26a"/>
    <w:rsid w:val="00426FF5"/>
    <w:pPr>
      <w:widowControl w:val="0"/>
      <w:tabs>
        <w:tab w:val="left" w:pos="-720"/>
      </w:tabs>
      <w:suppressAutoHyphens/>
    </w:pPr>
    <w:rPr>
      <w:snapToGrid w:val="0"/>
      <w:sz w:val="24"/>
    </w:rPr>
  </w:style>
  <w:style w:type="paragraph" w:customStyle="1" w:styleId="List1">
    <w:name w:val="List1"/>
    <w:rsid w:val="00426FF5"/>
    <w:pPr>
      <w:widowControl w:val="0"/>
      <w:tabs>
        <w:tab w:val="left" w:pos="-720"/>
      </w:tabs>
      <w:suppressAutoHyphens/>
    </w:pPr>
    <w:rPr>
      <w:snapToGrid w:val="0"/>
      <w:sz w:val="24"/>
    </w:rPr>
  </w:style>
  <w:style w:type="character" w:customStyle="1" w:styleId="endnoterefe">
    <w:name w:val="endnote refe"/>
    <w:rsid w:val="00426FF5"/>
    <w:rPr>
      <w:rFonts w:ascii="Times New Roman" w:hAnsi="Times New Roman"/>
      <w:noProof w:val="0"/>
      <w:sz w:val="24"/>
      <w:vertAlign w:val="superscript"/>
      <w:lang w:val="en-US"/>
    </w:rPr>
  </w:style>
  <w:style w:type="character" w:styleId="LineNumber">
    <w:name w:val="line number"/>
    <w:basedOn w:val="DefaultParagraphFont"/>
    <w:rsid w:val="00426FF5"/>
  </w:style>
  <w:style w:type="character" w:customStyle="1" w:styleId="Highlight">
    <w:name w:val="Highlight"/>
    <w:rsid w:val="00426FF5"/>
    <w:rPr>
      <w:rFonts w:ascii="Lucida Sans" w:hAnsi="Lucida Sans"/>
      <w:b/>
      <w:i/>
      <w:noProof w:val="0"/>
      <w:sz w:val="28"/>
      <w:lang w:val="en-US"/>
    </w:rPr>
  </w:style>
  <w:style w:type="character" w:customStyle="1" w:styleId="Headline">
    <w:name w:val="Headline"/>
    <w:rsid w:val="00426FF5"/>
    <w:rPr>
      <w:rFonts w:ascii="Lucida Sans" w:hAnsi="Lucida Sans"/>
      <w:b/>
      <w:noProof w:val="0"/>
      <w:sz w:val="48"/>
      <w:lang w:val="en-US"/>
    </w:rPr>
  </w:style>
  <w:style w:type="character" w:customStyle="1" w:styleId="2ndlineHea">
    <w:name w:val="2nd line Hea"/>
    <w:rsid w:val="00426FF5"/>
    <w:rPr>
      <w:rFonts w:ascii="Lucida Sans" w:hAnsi="Lucida Sans"/>
      <w:b/>
      <w:noProof w:val="0"/>
      <w:sz w:val="36"/>
      <w:lang w:val="en-US"/>
    </w:rPr>
  </w:style>
  <w:style w:type="character" w:customStyle="1" w:styleId="Graphicshea">
    <w:name w:val="Graphics hea"/>
    <w:rsid w:val="00426FF5"/>
    <w:rPr>
      <w:rFonts w:ascii="Arial" w:hAnsi="Arial"/>
      <w:b/>
      <w:noProof w:val="0"/>
      <w:sz w:val="28"/>
      <w:lang w:val="en-US"/>
    </w:rPr>
  </w:style>
  <w:style w:type="character" w:customStyle="1" w:styleId="Graphicsbod">
    <w:name w:val="Graphics bod"/>
    <w:rsid w:val="00426FF5"/>
    <w:rPr>
      <w:rFonts w:ascii="Arial" w:hAnsi="Arial"/>
      <w:b/>
      <w:noProof w:val="0"/>
      <w:sz w:val="24"/>
      <w:lang w:val="en-US"/>
    </w:rPr>
  </w:style>
  <w:style w:type="character" w:customStyle="1" w:styleId="Articlehead">
    <w:name w:val="Article head"/>
    <w:rsid w:val="00426FF5"/>
    <w:rPr>
      <w:rFonts w:ascii="Arial Narrow" w:hAnsi="Arial Narrow"/>
      <w:b/>
      <w:noProof w:val="0"/>
      <w:sz w:val="28"/>
      <w:lang w:val="en-US"/>
    </w:rPr>
  </w:style>
  <w:style w:type="character" w:customStyle="1" w:styleId="EquationCa">
    <w:name w:val="_Equation Ca"/>
    <w:basedOn w:val="DefaultParagraphFont"/>
    <w:rsid w:val="00426FF5"/>
  </w:style>
  <w:style w:type="character" w:customStyle="1" w:styleId="27a">
    <w:name w:val="27a"/>
    <w:basedOn w:val="DefaultParagraphFont"/>
    <w:rsid w:val="00426FF5"/>
  </w:style>
  <w:style w:type="paragraph" w:customStyle="1" w:styleId="Heading91">
    <w:name w:val="Heading 91"/>
    <w:rsid w:val="00426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snapToGrid w:val="0"/>
    </w:rPr>
  </w:style>
  <w:style w:type="paragraph" w:customStyle="1" w:styleId="Heading81">
    <w:name w:val="Heading 81"/>
    <w:rsid w:val="00426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snapToGrid w:val="0"/>
    </w:rPr>
  </w:style>
  <w:style w:type="character" w:customStyle="1" w:styleId="28">
    <w:name w:val="28"/>
    <w:basedOn w:val="DefaultParagraphFont"/>
    <w:rsid w:val="00426FF5"/>
  </w:style>
  <w:style w:type="character" w:customStyle="1" w:styleId="29">
    <w:name w:val="29"/>
    <w:rsid w:val="00426FF5"/>
    <w:rPr>
      <w:b/>
      <w:i/>
      <w:sz w:val="24"/>
    </w:rPr>
  </w:style>
  <w:style w:type="character" w:customStyle="1" w:styleId="30b">
    <w:name w:val="30b"/>
    <w:basedOn w:val="DefaultParagraphFont"/>
    <w:rsid w:val="00426FF5"/>
  </w:style>
  <w:style w:type="character" w:customStyle="1" w:styleId="31b">
    <w:name w:val="31b"/>
    <w:basedOn w:val="DefaultParagraphFont"/>
    <w:rsid w:val="00426FF5"/>
  </w:style>
  <w:style w:type="character" w:customStyle="1" w:styleId="32b">
    <w:name w:val="32b"/>
    <w:rsid w:val="00426FF5"/>
    <w:rPr>
      <w:rFonts w:ascii="Times New Roman" w:hAnsi="Times New Roman"/>
      <w:noProof w:val="0"/>
      <w:sz w:val="24"/>
      <w:lang w:val="en-US"/>
    </w:rPr>
  </w:style>
  <w:style w:type="character" w:customStyle="1" w:styleId="33b">
    <w:name w:val="33b"/>
    <w:basedOn w:val="DefaultParagraphFont"/>
    <w:rsid w:val="00426FF5"/>
  </w:style>
  <w:style w:type="character" w:customStyle="1" w:styleId="34b">
    <w:name w:val="34b"/>
    <w:basedOn w:val="DefaultParagraphFont"/>
    <w:rsid w:val="00426FF5"/>
  </w:style>
  <w:style w:type="character" w:customStyle="1" w:styleId="35b">
    <w:name w:val="35b"/>
    <w:basedOn w:val="DefaultParagraphFont"/>
    <w:rsid w:val="00426FF5"/>
  </w:style>
  <w:style w:type="character" w:customStyle="1" w:styleId="36b">
    <w:name w:val="36b"/>
    <w:rsid w:val="00426FF5"/>
    <w:rPr>
      <w:rFonts w:ascii="Times New Roman" w:hAnsi="Times New Roman"/>
      <w:noProof w:val="0"/>
      <w:sz w:val="24"/>
      <w:lang w:val="en-US"/>
    </w:rPr>
  </w:style>
  <w:style w:type="character" w:customStyle="1" w:styleId="37b">
    <w:name w:val="37b"/>
    <w:basedOn w:val="DefaultParagraphFont"/>
    <w:rsid w:val="00426FF5"/>
  </w:style>
  <w:style w:type="character" w:customStyle="1" w:styleId="38">
    <w:name w:val="38"/>
    <w:basedOn w:val="DefaultParagraphFont"/>
    <w:rsid w:val="00426FF5"/>
  </w:style>
  <w:style w:type="character" w:customStyle="1" w:styleId="39">
    <w:name w:val="39"/>
    <w:basedOn w:val="DefaultParagraphFont"/>
    <w:rsid w:val="00426FF5"/>
  </w:style>
  <w:style w:type="character" w:customStyle="1" w:styleId="40">
    <w:name w:val="40"/>
    <w:basedOn w:val="DefaultParagraphFont"/>
    <w:rsid w:val="00426FF5"/>
  </w:style>
  <w:style w:type="character" w:customStyle="1" w:styleId="41">
    <w:name w:val="41"/>
    <w:basedOn w:val="DefaultParagraphFont"/>
    <w:rsid w:val="00426FF5"/>
  </w:style>
  <w:style w:type="character" w:customStyle="1" w:styleId="42a">
    <w:name w:val="42a"/>
    <w:basedOn w:val="DefaultParagraphFont"/>
    <w:rsid w:val="00426FF5"/>
  </w:style>
  <w:style w:type="paragraph" w:customStyle="1" w:styleId="43a">
    <w:name w:val="43a"/>
    <w:rsid w:val="00426FF5"/>
    <w:pPr>
      <w:keepNext/>
      <w:keepLines/>
      <w:widowControl w:val="0"/>
      <w:tabs>
        <w:tab w:val="left" w:pos="-720"/>
      </w:tabs>
      <w:suppressAutoHyphens/>
    </w:pPr>
    <w:rPr>
      <w:snapToGrid w:val="0"/>
      <w:sz w:val="24"/>
    </w:rPr>
  </w:style>
  <w:style w:type="character" w:customStyle="1" w:styleId="44a">
    <w:name w:val="44a"/>
    <w:basedOn w:val="DefaultParagraphFont"/>
    <w:rsid w:val="00426FF5"/>
  </w:style>
  <w:style w:type="character" w:customStyle="1" w:styleId="45a">
    <w:name w:val="45a"/>
    <w:basedOn w:val="DefaultParagraphFont"/>
    <w:rsid w:val="00426FF5"/>
  </w:style>
  <w:style w:type="character" w:customStyle="1" w:styleId="46a">
    <w:name w:val="46a"/>
    <w:rsid w:val="00426FF5"/>
    <w:rPr>
      <w:rFonts w:ascii="Times New Roman" w:hAnsi="Times New Roman"/>
      <w:noProof w:val="0"/>
      <w:sz w:val="24"/>
      <w:lang w:val="en-US"/>
    </w:rPr>
  </w:style>
  <w:style w:type="character" w:customStyle="1" w:styleId="47a">
    <w:name w:val="47a"/>
    <w:rsid w:val="00426FF5"/>
    <w:rPr>
      <w:rFonts w:ascii="Times New Roman" w:hAnsi="Times New Roman"/>
      <w:noProof w:val="0"/>
      <w:sz w:val="24"/>
      <w:lang w:val="en-US"/>
    </w:rPr>
  </w:style>
  <w:style w:type="character" w:customStyle="1" w:styleId="48p">
    <w:name w:val="48p"/>
    <w:basedOn w:val="DefaultParagraphFont"/>
    <w:rsid w:val="00426FF5"/>
  </w:style>
  <w:style w:type="character" w:customStyle="1" w:styleId="49p">
    <w:name w:val="49p"/>
    <w:rsid w:val="00426FF5"/>
    <w:rPr>
      <w:rFonts w:ascii="Times New Roman" w:hAnsi="Times New Roman"/>
      <w:noProof w:val="0"/>
      <w:sz w:val="24"/>
      <w:lang w:val="en-US"/>
    </w:rPr>
  </w:style>
  <w:style w:type="character" w:customStyle="1" w:styleId="50b">
    <w:name w:val="50b"/>
    <w:basedOn w:val="DefaultParagraphFont"/>
    <w:rsid w:val="00426FF5"/>
  </w:style>
  <w:style w:type="character" w:customStyle="1" w:styleId="51b">
    <w:name w:val="51b"/>
    <w:basedOn w:val="DefaultParagraphFont"/>
    <w:rsid w:val="00426FF5"/>
  </w:style>
  <w:style w:type="paragraph" w:customStyle="1" w:styleId="52a">
    <w:name w:val="52a"/>
    <w:rsid w:val="00426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snapToGrid w:val="0"/>
      <w:sz w:val="22"/>
    </w:rPr>
  </w:style>
  <w:style w:type="character" w:customStyle="1" w:styleId="53a">
    <w:name w:val="53a"/>
    <w:rsid w:val="00426FF5"/>
    <w:rPr>
      <w:rFonts w:ascii="Times New Roman" w:hAnsi="Times New Roman"/>
      <w:noProof w:val="0"/>
      <w:sz w:val="27"/>
      <w:vertAlign w:val="superscript"/>
      <w:lang w:val="en-US"/>
    </w:rPr>
  </w:style>
  <w:style w:type="character" w:customStyle="1" w:styleId="54b">
    <w:name w:val="54b"/>
    <w:basedOn w:val="DefaultParagraphFont"/>
    <w:rsid w:val="00426FF5"/>
  </w:style>
  <w:style w:type="paragraph" w:customStyle="1" w:styleId="55b">
    <w:name w:val="55b"/>
    <w:rsid w:val="00426FF5"/>
    <w:pPr>
      <w:widowControl w:val="0"/>
      <w:tabs>
        <w:tab w:val="left" w:pos="-720"/>
      </w:tabs>
      <w:suppressAutoHyphens/>
    </w:pPr>
    <w:rPr>
      <w:snapToGrid w:val="0"/>
      <w:sz w:val="24"/>
    </w:rPr>
  </w:style>
  <w:style w:type="character" w:customStyle="1" w:styleId="56b">
    <w:name w:val="56b"/>
    <w:rsid w:val="00426FF5"/>
    <w:rPr>
      <w:rFonts w:ascii="Times New Roman" w:hAnsi="Times New Roman"/>
      <w:noProof w:val="0"/>
      <w:sz w:val="24"/>
      <w:vertAlign w:val="superscript"/>
      <w:lang w:val="en-US"/>
    </w:rPr>
  </w:style>
  <w:style w:type="character" w:customStyle="1" w:styleId="57b">
    <w:name w:val="57b"/>
    <w:basedOn w:val="DefaultParagraphFont"/>
    <w:rsid w:val="00426FF5"/>
  </w:style>
  <w:style w:type="character" w:customStyle="1" w:styleId="HIGHLIGHT1">
    <w:name w:val="HIGHLIGHT 1"/>
    <w:rsid w:val="00426FF5"/>
    <w:rPr>
      <w:rFonts w:ascii="Times New Roman" w:hAnsi="Times New Roman"/>
      <w:b/>
      <w:i/>
      <w:noProof w:val="0"/>
      <w:sz w:val="24"/>
      <w:lang w:val="en-US"/>
    </w:rPr>
  </w:style>
  <w:style w:type="character" w:customStyle="1" w:styleId="LETTERLAND">
    <w:name w:val="LETTER LAND"/>
    <w:rsid w:val="00426FF5"/>
    <w:rPr>
      <w:rFonts w:ascii="Times New Roman" w:hAnsi="Times New Roman"/>
      <w:noProof w:val="0"/>
      <w:sz w:val="24"/>
      <w:lang w:val="en-US"/>
    </w:rPr>
  </w:style>
  <w:style w:type="character" w:customStyle="1" w:styleId="LEGALLAND">
    <w:name w:val="LEGAL LAND"/>
    <w:rsid w:val="00426FF5"/>
    <w:rPr>
      <w:rFonts w:ascii="Times New Roman" w:hAnsi="Times New Roman"/>
      <w:noProof w:val="0"/>
      <w:sz w:val="24"/>
      <w:lang w:val="en-US"/>
    </w:rPr>
  </w:style>
  <w:style w:type="character" w:customStyle="1" w:styleId="LETTERPORT">
    <w:name w:val="LETTER PORT"/>
    <w:rsid w:val="00426FF5"/>
    <w:rPr>
      <w:rFonts w:ascii="Times New Roman" w:hAnsi="Times New Roman"/>
      <w:noProof w:val="0"/>
      <w:sz w:val="24"/>
      <w:lang w:val="en-US"/>
    </w:rPr>
  </w:style>
  <w:style w:type="character" w:customStyle="1" w:styleId="LEGALPORT">
    <w:name w:val="LEGAL PORT"/>
    <w:rsid w:val="00426FF5"/>
    <w:rPr>
      <w:rFonts w:ascii="Times New Roman" w:hAnsi="Times New Roman"/>
      <w:noProof w:val="0"/>
      <w:sz w:val="24"/>
      <w:lang w:val="en-US"/>
    </w:rPr>
  </w:style>
  <w:style w:type="character" w:customStyle="1" w:styleId="Title1">
    <w:name w:val="Title1"/>
    <w:rsid w:val="00426FF5"/>
    <w:rPr>
      <w:b/>
      <w:sz w:val="36"/>
    </w:rPr>
  </w:style>
  <w:style w:type="character" w:customStyle="1" w:styleId="BLOCKQUOTE">
    <w:name w:val="BLOCK QUOTE"/>
    <w:basedOn w:val="DefaultParagraphFont"/>
    <w:rsid w:val="00426FF5"/>
  </w:style>
  <w:style w:type="character" w:customStyle="1" w:styleId="HIGHLIGHT2">
    <w:name w:val="HIGHLIGHT 2"/>
    <w:rsid w:val="00426FF5"/>
    <w:rPr>
      <w:rFonts w:ascii="Times New Roman" w:hAnsi="Times New Roman"/>
      <w:b/>
      <w:noProof w:val="0"/>
      <w:sz w:val="29"/>
      <w:lang w:val="en-US"/>
    </w:rPr>
  </w:style>
  <w:style w:type="character" w:customStyle="1" w:styleId="HIGHLIGHT3">
    <w:name w:val="HIGHLIGHT 3"/>
    <w:rsid w:val="00426FF5"/>
    <w:rPr>
      <w:sz w:val="29"/>
      <w:u w:val="single"/>
    </w:rPr>
  </w:style>
  <w:style w:type="character" w:customStyle="1" w:styleId="LETTERHEAD">
    <w:name w:val="LETTERHEAD"/>
    <w:basedOn w:val="DefaultParagraphFont"/>
    <w:rsid w:val="00426FF5"/>
  </w:style>
  <w:style w:type="paragraph" w:customStyle="1" w:styleId="INVOICEFEE">
    <w:name w:val="INVOICE FEE"/>
    <w:rsid w:val="00426FF5"/>
    <w:pPr>
      <w:widowControl w:val="0"/>
      <w:tabs>
        <w:tab w:val="left" w:pos="-1584"/>
        <w:tab w:val="left" w:pos="0"/>
        <w:tab w:val="decimal" w:pos="9432"/>
      </w:tabs>
      <w:suppressAutoHyphens/>
    </w:pPr>
    <w:rPr>
      <w:snapToGrid w:val="0"/>
      <w:sz w:val="24"/>
    </w:rPr>
  </w:style>
  <w:style w:type="character" w:customStyle="1" w:styleId="MEMORANDUM">
    <w:name w:val="MEMORANDUM"/>
    <w:rsid w:val="00426FF5"/>
    <w:rPr>
      <w:sz w:val="24"/>
    </w:rPr>
  </w:style>
  <w:style w:type="paragraph" w:customStyle="1" w:styleId="INVOICEEXP">
    <w:name w:val="INVOICE EXP"/>
    <w:rsid w:val="00426FF5"/>
    <w:pPr>
      <w:widowControl w:val="0"/>
      <w:tabs>
        <w:tab w:val="left" w:pos="-6912"/>
        <w:tab w:val="left" w:pos="-5328"/>
        <w:tab w:val="decimal" w:pos="4104"/>
      </w:tabs>
      <w:suppressAutoHyphens/>
    </w:pPr>
    <w:rPr>
      <w:snapToGrid w:val="0"/>
      <w:sz w:val="24"/>
    </w:rPr>
  </w:style>
  <w:style w:type="paragraph" w:customStyle="1" w:styleId="INVOICETOT">
    <w:name w:val="INVOICE TOT"/>
    <w:rsid w:val="00426FF5"/>
    <w:pPr>
      <w:widowControl w:val="0"/>
      <w:tabs>
        <w:tab w:val="left" w:pos="-6912"/>
        <w:tab w:val="left" w:pos="-5328"/>
        <w:tab w:val="decimal" w:pos="4104"/>
      </w:tabs>
      <w:suppressAutoHyphens/>
    </w:pPr>
    <w:rPr>
      <w:snapToGrid w:val="0"/>
      <w:sz w:val="24"/>
    </w:rPr>
  </w:style>
  <w:style w:type="character" w:customStyle="1" w:styleId="SMALL">
    <w:name w:val="SMALL"/>
    <w:rsid w:val="00426FF5"/>
    <w:rPr>
      <w:rFonts w:ascii="Times New Roman" w:hAnsi="Times New Roman"/>
      <w:noProof w:val="0"/>
      <w:sz w:val="19"/>
      <w:lang w:val="en-US"/>
    </w:rPr>
  </w:style>
  <w:style w:type="character" w:customStyle="1" w:styleId="FINE">
    <w:name w:val="FINE"/>
    <w:rsid w:val="00426FF5"/>
    <w:rPr>
      <w:rFonts w:ascii="Times New Roman" w:hAnsi="Times New Roman"/>
      <w:noProof w:val="0"/>
      <w:sz w:val="14"/>
      <w:lang w:val="en-US"/>
    </w:rPr>
  </w:style>
  <w:style w:type="character" w:customStyle="1" w:styleId="LARGE">
    <w:name w:val="LARGE"/>
    <w:rsid w:val="00426FF5"/>
    <w:rPr>
      <w:rFonts w:ascii="Times New Roman" w:hAnsi="Times New Roman"/>
      <w:noProof w:val="0"/>
      <w:sz w:val="29"/>
      <w:lang w:val="en-US"/>
    </w:rPr>
  </w:style>
  <w:style w:type="character" w:customStyle="1" w:styleId="EXTRALARGE">
    <w:name w:val="EXTRA LARGE"/>
    <w:rsid w:val="00426FF5"/>
    <w:rPr>
      <w:rFonts w:ascii="Times New Roman" w:hAnsi="Times New Roman"/>
      <w:noProof w:val="0"/>
      <w:sz w:val="48"/>
      <w:lang w:val="en-US"/>
    </w:rPr>
  </w:style>
  <w:style w:type="character" w:customStyle="1" w:styleId="VERYLARGE">
    <w:name w:val="VERY LARGE"/>
    <w:rsid w:val="00426FF5"/>
    <w:rPr>
      <w:rFonts w:ascii="Times New Roman" w:hAnsi="Times New Roman"/>
      <w:noProof w:val="0"/>
      <w:sz w:val="36"/>
      <w:lang w:val="en-US"/>
    </w:rPr>
  </w:style>
  <w:style w:type="character" w:customStyle="1" w:styleId="Style14">
    <w:name w:val="Style 14"/>
    <w:rsid w:val="00426FF5"/>
    <w:rPr>
      <w:rFonts w:ascii="Arial" w:hAnsi="Arial"/>
      <w:noProof w:val="0"/>
      <w:sz w:val="15"/>
      <w:lang w:val="en-US"/>
    </w:rPr>
  </w:style>
  <w:style w:type="character" w:customStyle="1" w:styleId="Style12">
    <w:name w:val="Style 12"/>
    <w:rsid w:val="00426FF5"/>
    <w:rPr>
      <w:rFonts w:ascii="Times New Roman" w:hAnsi="Times New Roman"/>
      <w:i/>
      <w:noProof w:val="0"/>
      <w:sz w:val="22"/>
      <w:lang w:val="en-US"/>
    </w:rPr>
  </w:style>
  <w:style w:type="paragraph" w:customStyle="1" w:styleId="Style3">
    <w:name w:val="Style 3"/>
    <w:rsid w:val="00426FF5"/>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sid w:val="00426FF5"/>
    <w:rPr>
      <w:rFonts w:ascii="Arial" w:hAnsi="Arial"/>
      <w:noProof w:val="0"/>
      <w:sz w:val="15"/>
      <w:lang w:val="en-US"/>
    </w:rPr>
  </w:style>
  <w:style w:type="character" w:customStyle="1" w:styleId="Style1">
    <w:name w:val="Style 1"/>
    <w:rsid w:val="00426FF5"/>
    <w:rPr>
      <w:rFonts w:ascii="Times New Roman" w:hAnsi="Times New Roman"/>
      <w:noProof w:val="0"/>
      <w:sz w:val="22"/>
      <w:lang w:val="en-US"/>
    </w:rPr>
  </w:style>
  <w:style w:type="character" w:customStyle="1" w:styleId="Style2">
    <w:name w:val="Style 2"/>
    <w:rsid w:val="00426FF5"/>
    <w:rPr>
      <w:rFonts w:ascii="Times New Roman" w:hAnsi="Times New Roman"/>
      <w:i/>
      <w:noProof w:val="0"/>
      <w:sz w:val="22"/>
      <w:lang w:val="en-US"/>
    </w:rPr>
  </w:style>
  <w:style w:type="character" w:customStyle="1" w:styleId="Style5">
    <w:name w:val="Style 5"/>
    <w:rsid w:val="00426FF5"/>
    <w:rPr>
      <w:rFonts w:ascii="Times New Roman" w:hAnsi="Times New Roman"/>
      <w:b/>
      <w:noProof w:val="0"/>
      <w:sz w:val="34"/>
      <w:lang w:val="en-US"/>
    </w:rPr>
  </w:style>
  <w:style w:type="character" w:customStyle="1" w:styleId="Style7">
    <w:name w:val="Style 7"/>
    <w:rsid w:val="00426FF5"/>
    <w:rPr>
      <w:rFonts w:ascii="Arial" w:hAnsi="Arial"/>
      <w:noProof w:val="0"/>
      <w:sz w:val="22"/>
      <w:lang w:val="en-US"/>
    </w:rPr>
  </w:style>
  <w:style w:type="character" w:customStyle="1" w:styleId="Style6">
    <w:name w:val="Style 6"/>
    <w:rsid w:val="00426FF5"/>
    <w:rPr>
      <w:rFonts w:ascii="Times New Roman" w:hAnsi="Times New Roman"/>
      <w:noProof w:val="0"/>
      <w:sz w:val="27"/>
      <w:lang w:val="en-US"/>
    </w:rPr>
  </w:style>
  <w:style w:type="character" w:customStyle="1" w:styleId="Unnamed1">
    <w:name w:val="Unnamed 1"/>
    <w:rsid w:val="00426FF5"/>
    <w:rPr>
      <w:rFonts w:ascii="Times New Roman" w:hAnsi="Times New Roman"/>
      <w:noProof w:val="0"/>
      <w:sz w:val="24"/>
      <w:lang w:val="en-US"/>
    </w:rPr>
  </w:style>
  <w:style w:type="character" w:customStyle="1" w:styleId="58aa">
    <w:name w:val="58aa"/>
    <w:rsid w:val="00426FF5"/>
    <w:rPr>
      <w:rFonts w:ascii="Courier New" w:hAnsi="Courier New"/>
      <w:noProof w:val="0"/>
      <w:sz w:val="20"/>
      <w:lang w:val="en-US"/>
    </w:rPr>
  </w:style>
  <w:style w:type="character" w:customStyle="1" w:styleId="BldUnd">
    <w:name w:val="Bld/Und"/>
    <w:rsid w:val="00426FF5"/>
    <w:rPr>
      <w:sz w:val="24"/>
      <w:u w:val="single"/>
    </w:rPr>
  </w:style>
  <w:style w:type="character" w:customStyle="1" w:styleId="Agenda1">
    <w:name w:val="Agenda 1"/>
    <w:basedOn w:val="DefaultParagraphFont"/>
    <w:rsid w:val="00426FF5"/>
  </w:style>
  <w:style w:type="character" w:customStyle="1" w:styleId="Agenda2">
    <w:name w:val="Agenda 2"/>
    <w:basedOn w:val="DefaultParagraphFont"/>
    <w:rsid w:val="00426FF5"/>
  </w:style>
  <w:style w:type="character" w:customStyle="1" w:styleId="Agenda3">
    <w:name w:val="Agenda 3"/>
    <w:basedOn w:val="DefaultParagraphFont"/>
    <w:rsid w:val="00426FF5"/>
  </w:style>
  <w:style w:type="character" w:customStyle="1" w:styleId="Agenda4">
    <w:name w:val="Agenda 4"/>
    <w:basedOn w:val="DefaultParagraphFont"/>
    <w:rsid w:val="00426FF5"/>
  </w:style>
  <w:style w:type="character" w:customStyle="1" w:styleId="Agenda5">
    <w:name w:val="Agenda 5"/>
    <w:basedOn w:val="DefaultParagraphFont"/>
    <w:rsid w:val="00426FF5"/>
  </w:style>
  <w:style w:type="character" w:customStyle="1" w:styleId="Agenda6">
    <w:name w:val="Agenda 6"/>
    <w:basedOn w:val="DefaultParagraphFont"/>
    <w:rsid w:val="00426FF5"/>
  </w:style>
  <w:style w:type="character" w:customStyle="1" w:styleId="Agenda7">
    <w:name w:val="Agenda 7"/>
    <w:basedOn w:val="DefaultParagraphFont"/>
    <w:rsid w:val="00426FF5"/>
  </w:style>
  <w:style w:type="character" w:customStyle="1" w:styleId="Agenda8">
    <w:name w:val="Agenda 8"/>
    <w:basedOn w:val="DefaultParagraphFont"/>
    <w:rsid w:val="00426FF5"/>
  </w:style>
  <w:style w:type="character" w:customStyle="1" w:styleId="591">
    <w:name w:val="59 1"/>
    <w:basedOn w:val="DefaultParagraphFont"/>
    <w:rsid w:val="00426FF5"/>
  </w:style>
  <w:style w:type="character" w:customStyle="1" w:styleId="592">
    <w:name w:val="59 2"/>
    <w:basedOn w:val="DefaultParagraphFont"/>
    <w:rsid w:val="00426FF5"/>
  </w:style>
  <w:style w:type="character" w:customStyle="1" w:styleId="593">
    <w:name w:val="59 3"/>
    <w:basedOn w:val="DefaultParagraphFont"/>
    <w:rsid w:val="00426FF5"/>
  </w:style>
  <w:style w:type="character" w:customStyle="1" w:styleId="594">
    <w:name w:val="59 4"/>
    <w:basedOn w:val="DefaultParagraphFont"/>
    <w:rsid w:val="00426FF5"/>
  </w:style>
  <w:style w:type="character" w:customStyle="1" w:styleId="595">
    <w:name w:val="59 5"/>
    <w:basedOn w:val="DefaultParagraphFont"/>
    <w:rsid w:val="00426FF5"/>
  </w:style>
  <w:style w:type="character" w:customStyle="1" w:styleId="596">
    <w:name w:val="59 6"/>
    <w:basedOn w:val="DefaultParagraphFont"/>
    <w:rsid w:val="00426FF5"/>
  </w:style>
  <w:style w:type="character" w:customStyle="1" w:styleId="597">
    <w:name w:val="59 7"/>
    <w:basedOn w:val="DefaultParagraphFont"/>
    <w:rsid w:val="00426FF5"/>
  </w:style>
  <w:style w:type="character" w:customStyle="1" w:styleId="598">
    <w:name w:val="59 8"/>
    <w:basedOn w:val="DefaultParagraphFont"/>
    <w:rsid w:val="00426FF5"/>
  </w:style>
  <w:style w:type="character" w:customStyle="1" w:styleId="601">
    <w:name w:val="60 1"/>
    <w:basedOn w:val="DefaultParagraphFont"/>
    <w:rsid w:val="00426FF5"/>
  </w:style>
  <w:style w:type="character" w:customStyle="1" w:styleId="602">
    <w:name w:val="60 2"/>
    <w:basedOn w:val="DefaultParagraphFont"/>
    <w:rsid w:val="00426FF5"/>
  </w:style>
  <w:style w:type="character" w:customStyle="1" w:styleId="603">
    <w:name w:val="60 3"/>
    <w:basedOn w:val="DefaultParagraphFont"/>
    <w:rsid w:val="00426FF5"/>
  </w:style>
  <w:style w:type="character" w:customStyle="1" w:styleId="604">
    <w:name w:val="60 4"/>
    <w:basedOn w:val="DefaultParagraphFont"/>
    <w:rsid w:val="00426FF5"/>
  </w:style>
  <w:style w:type="character" w:customStyle="1" w:styleId="605">
    <w:name w:val="60 5"/>
    <w:basedOn w:val="DefaultParagraphFont"/>
    <w:rsid w:val="00426FF5"/>
  </w:style>
  <w:style w:type="character" w:customStyle="1" w:styleId="606">
    <w:name w:val="60 6"/>
    <w:basedOn w:val="DefaultParagraphFont"/>
    <w:rsid w:val="00426FF5"/>
  </w:style>
  <w:style w:type="character" w:customStyle="1" w:styleId="607">
    <w:name w:val="60 7"/>
    <w:basedOn w:val="DefaultParagraphFont"/>
    <w:rsid w:val="00426FF5"/>
  </w:style>
  <w:style w:type="character" w:customStyle="1" w:styleId="608">
    <w:name w:val="60 8"/>
    <w:basedOn w:val="DefaultParagraphFont"/>
    <w:rsid w:val="00426FF5"/>
  </w:style>
  <w:style w:type="character" w:customStyle="1" w:styleId="291a">
    <w:name w:val="29 1a"/>
    <w:basedOn w:val="DefaultParagraphFont"/>
    <w:rsid w:val="00426FF5"/>
  </w:style>
  <w:style w:type="character" w:customStyle="1" w:styleId="292a">
    <w:name w:val="29 2a"/>
    <w:basedOn w:val="DefaultParagraphFont"/>
    <w:rsid w:val="00426FF5"/>
  </w:style>
  <w:style w:type="character" w:customStyle="1" w:styleId="293a">
    <w:name w:val="29 3a"/>
    <w:basedOn w:val="DefaultParagraphFont"/>
    <w:rsid w:val="00426FF5"/>
  </w:style>
  <w:style w:type="character" w:customStyle="1" w:styleId="294">
    <w:name w:val="29 4"/>
    <w:basedOn w:val="DefaultParagraphFont"/>
    <w:rsid w:val="00426FF5"/>
  </w:style>
  <w:style w:type="character" w:customStyle="1" w:styleId="295a">
    <w:name w:val="29 5a"/>
    <w:basedOn w:val="DefaultParagraphFont"/>
    <w:rsid w:val="00426FF5"/>
  </w:style>
  <w:style w:type="character" w:customStyle="1" w:styleId="296a">
    <w:name w:val="29 6a"/>
    <w:basedOn w:val="DefaultParagraphFont"/>
    <w:rsid w:val="00426FF5"/>
  </w:style>
  <w:style w:type="character" w:customStyle="1" w:styleId="297a">
    <w:name w:val="29 7a"/>
    <w:basedOn w:val="DefaultParagraphFont"/>
    <w:rsid w:val="00426FF5"/>
  </w:style>
  <w:style w:type="character" w:customStyle="1" w:styleId="298">
    <w:name w:val="29 8"/>
    <w:basedOn w:val="DefaultParagraphFont"/>
    <w:rsid w:val="00426FF5"/>
  </w:style>
  <w:style w:type="paragraph" w:customStyle="1" w:styleId="NormalIndent1">
    <w:name w:val="Normal Indent1"/>
    <w:rsid w:val="00426FF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Book Antiqua" w:hAnsi="Book Antiqua"/>
      <w:snapToGrid w:val="0"/>
      <w:sz w:val="22"/>
    </w:rPr>
  </w:style>
  <w:style w:type="character" w:customStyle="1" w:styleId="DefaultParagraphFo">
    <w:name w:val="Default Paragraph Fo"/>
    <w:basedOn w:val="DefaultParagraphFont"/>
    <w:rsid w:val="00426FF5"/>
  </w:style>
  <w:style w:type="character" w:customStyle="1" w:styleId="aa">
    <w:name w:val="_aa"/>
    <w:basedOn w:val="DefaultParagraphFont"/>
    <w:rsid w:val="00426FF5"/>
  </w:style>
  <w:style w:type="character" w:customStyle="1" w:styleId="110">
    <w:name w:val="1 1"/>
    <w:basedOn w:val="DefaultParagraphFont"/>
    <w:rsid w:val="00426FF5"/>
  </w:style>
  <w:style w:type="character" w:customStyle="1" w:styleId="120">
    <w:name w:val="1 2"/>
    <w:basedOn w:val="DefaultParagraphFont"/>
    <w:rsid w:val="00426FF5"/>
  </w:style>
  <w:style w:type="character" w:customStyle="1" w:styleId="130">
    <w:name w:val="1 3"/>
    <w:basedOn w:val="DefaultParagraphFont"/>
    <w:rsid w:val="00426FF5"/>
  </w:style>
  <w:style w:type="paragraph" w:styleId="Index1">
    <w:name w:val="index 1"/>
    <w:basedOn w:val="Normal"/>
    <w:next w:val="Normal"/>
    <w:autoRedefine/>
    <w:rsid w:val="00426FF5"/>
    <w:pPr>
      <w:tabs>
        <w:tab w:val="right" w:leader="dot" w:pos="9360"/>
      </w:tabs>
      <w:suppressAutoHyphens/>
      <w:ind w:left="1440" w:right="720" w:hanging="1440"/>
    </w:pPr>
    <w:rPr>
      <w:kern w:val="0"/>
      <w:sz w:val="24"/>
    </w:rPr>
  </w:style>
  <w:style w:type="paragraph" w:styleId="Index2">
    <w:name w:val="index 2"/>
    <w:basedOn w:val="Normal"/>
    <w:next w:val="Normal"/>
    <w:autoRedefine/>
    <w:rsid w:val="00426FF5"/>
    <w:pPr>
      <w:tabs>
        <w:tab w:val="right" w:leader="dot" w:pos="9360"/>
      </w:tabs>
      <w:suppressAutoHyphens/>
      <w:ind w:left="1440" w:right="720" w:hanging="720"/>
    </w:pPr>
    <w:rPr>
      <w:kern w:val="0"/>
      <w:sz w:val="24"/>
    </w:rPr>
  </w:style>
  <w:style w:type="paragraph" w:styleId="Caption">
    <w:name w:val="caption"/>
    <w:basedOn w:val="Normal"/>
    <w:next w:val="Normal"/>
    <w:qFormat/>
    <w:rsid w:val="00426FF5"/>
    <w:rPr>
      <w:kern w:val="0"/>
      <w:sz w:val="24"/>
    </w:rPr>
  </w:style>
  <w:style w:type="character" w:customStyle="1" w:styleId="EquationCaption1">
    <w:name w:val="_Equation Caption1"/>
    <w:rsid w:val="00426FF5"/>
  </w:style>
  <w:style w:type="paragraph" w:customStyle="1" w:styleId="GeneralNumb">
    <w:name w:val="General Numb."/>
    <w:basedOn w:val="Normal"/>
    <w:rsid w:val="00426FF5"/>
    <w:pPr>
      <w:widowControl/>
      <w:spacing w:before="240"/>
    </w:pPr>
    <w:rPr>
      <w:snapToGrid/>
      <w:kern w:val="0"/>
      <w:sz w:val="24"/>
    </w:rPr>
  </w:style>
  <w:style w:type="paragraph" w:styleId="BodyText">
    <w:name w:val="Body Text"/>
    <w:basedOn w:val="Normal"/>
    <w:link w:val="BodyTextChar"/>
    <w:rsid w:val="00426FF5"/>
    <w:pPr>
      <w:tabs>
        <w:tab w:val="left" w:pos="720"/>
        <w:tab w:val="center" w:pos="4680"/>
      </w:tabs>
      <w:suppressAutoHyphens/>
      <w:jc w:val="both"/>
    </w:pPr>
    <w:rPr>
      <w:spacing w:val="-3"/>
      <w:kern w:val="0"/>
      <w:sz w:val="24"/>
    </w:rPr>
  </w:style>
  <w:style w:type="character" w:customStyle="1" w:styleId="BodyTextChar">
    <w:name w:val="Body Text Char"/>
    <w:link w:val="BodyText"/>
    <w:rsid w:val="00426FF5"/>
    <w:rPr>
      <w:snapToGrid w:val="0"/>
      <w:spacing w:val="-3"/>
      <w:sz w:val="24"/>
    </w:rPr>
  </w:style>
  <w:style w:type="paragraph" w:styleId="DocumentMap">
    <w:name w:val="Document Map"/>
    <w:basedOn w:val="Normal"/>
    <w:link w:val="DocumentMapChar"/>
    <w:rsid w:val="00426FF5"/>
    <w:pPr>
      <w:shd w:val="clear" w:color="auto" w:fill="000080"/>
      <w:tabs>
        <w:tab w:val="left" w:pos="-720"/>
      </w:tabs>
      <w:suppressAutoHyphens/>
    </w:pPr>
    <w:rPr>
      <w:rFonts w:ascii="Tahoma" w:hAnsi="Tahoma"/>
      <w:kern w:val="0"/>
      <w:sz w:val="24"/>
    </w:rPr>
  </w:style>
  <w:style w:type="character" w:customStyle="1" w:styleId="DocumentMapChar">
    <w:name w:val="Document Map Char"/>
    <w:link w:val="DocumentMap"/>
    <w:rsid w:val="00426FF5"/>
    <w:rPr>
      <w:rFonts w:ascii="Tahoma" w:hAnsi="Tahoma"/>
      <w:snapToGrid w:val="0"/>
      <w:sz w:val="24"/>
      <w:shd w:val="clear" w:color="auto" w:fill="000080"/>
    </w:rPr>
  </w:style>
  <w:style w:type="character" w:styleId="CommentReference">
    <w:name w:val="annotation reference"/>
    <w:uiPriority w:val="99"/>
    <w:unhideWhenUsed/>
    <w:rsid w:val="00426FF5"/>
    <w:rPr>
      <w:sz w:val="16"/>
      <w:szCs w:val="16"/>
    </w:rPr>
  </w:style>
  <w:style w:type="paragraph" w:styleId="CommentText">
    <w:name w:val="annotation text"/>
    <w:basedOn w:val="Normal"/>
    <w:link w:val="CommentTextChar"/>
    <w:uiPriority w:val="99"/>
    <w:unhideWhenUsed/>
    <w:rsid w:val="00426FF5"/>
    <w:pPr>
      <w:tabs>
        <w:tab w:val="left" w:pos="-720"/>
      </w:tabs>
      <w:suppressAutoHyphens/>
    </w:pPr>
    <w:rPr>
      <w:kern w:val="0"/>
      <w:sz w:val="20"/>
    </w:rPr>
  </w:style>
  <w:style w:type="character" w:customStyle="1" w:styleId="CommentTextChar">
    <w:name w:val="Comment Text Char"/>
    <w:link w:val="CommentText"/>
    <w:uiPriority w:val="99"/>
    <w:rsid w:val="00426FF5"/>
    <w:rPr>
      <w:snapToGrid w:val="0"/>
    </w:rPr>
  </w:style>
  <w:style w:type="paragraph" w:styleId="CommentSubject">
    <w:name w:val="annotation subject"/>
    <w:basedOn w:val="CommentText"/>
    <w:next w:val="CommentText"/>
    <w:link w:val="CommentSubjectChar"/>
    <w:uiPriority w:val="99"/>
    <w:unhideWhenUsed/>
    <w:rsid w:val="00426FF5"/>
    <w:rPr>
      <w:b/>
      <w:bCs/>
    </w:rPr>
  </w:style>
  <w:style w:type="character" w:customStyle="1" w:styleId="CommentSubjectChar">
    <w:name w:val="Comment Subject Char"/>
    <w:link w:val="CommentSubject"/>
    <w:uiPriority w:val="99"/>
    <w:rsid w:val="00426FF5"/>
    <w:rPr>
      <w:b/>
      <w:bCs/>
      <w:snapToGrid w:val="0"/>
    </w:rPr>
  </w:style>
  <w:style w:type="paragraph" w:styleId="BalloonText">
    <w:name w:val="Balloon Text"/>
    <w:basedOn w:val="Normal"/>
    <w:link w:val="BalloonTextChar"/>
    <w:uiPriority w:val="99"/>
    <w:unhideWhenUsed/>
    <w:rsid w:val="00426FF5"/>
    <w:pPr>
      <w:tabs>
        <w:tab w:val="left" w:pos="-720"/>
      </w:tabs>
      <w:suppressAutoHyphens/>
    </w:pPr>
    <w:rPr>
      <w:rFonts w:ascii="Segoe UI" w:hAnsi="Segoe UI" w:cs="Segoe UI"/>
      <w:kern w:val="0"/>
      <w:sz w:val="18"/>
      <w:szCs w:val="18"/>
    </w:rPr>
  </w:style>
  <w:style w:type="character" w:customStyle="1" w:styleId="BalloonTextChar">
    <w:name w:val="Balloon Text Char"/>
    <w:link w:val="BalloonText"/>
    <w:uiPriority w:val="99"/>
    <w:rsid w:val="00426FF5"/>
    <w:rPr>
      <w:rFonts w:ascii="Segoe UI" w:hAnsi="Segoe UI" w:cs="Segoe UI"/>
      <w:snapToGrid w:val="0"/>
      <w:sz w:val="18"/>
      <w:szCs w:val="18"/>
    </w:rPr>
  </w:style>
  <w:style w:type="paragraph" w:styleId="ListParagraph">
    <w:name w:val="List Paragraph"/>
    <w:basedOn w:val="Normal"/>
    <w:uiPriority w:val="34"/>
    <w:qFormat/>
    <w:rsid w:val="00426FF5"/>
    <w:pPr>
      <w:tabs>
        <w:tab w:val="left" w:pos="-720"/>
      </w:tabs>
      <w:suppressAutoHyphens/>
      <w:ind w:left="720"/>
    </w:pPr>
    <w:rPr>
      <w:kern w:val="0"/>
      <w:sz w:val="24"/>
    </w:rPr>
  </w:style>
  <w:style w:type="character" w:customStyle="1" w:styleId="FootnoteTextChar1">
    <w:name w:val="Footnote Text Char1"/>
    <w:aliases w:val="ALTS FOOTNOTE Char1,ALTS FOOTNOTE Char Char,Footnote Text Char Char Char Char,Footnote Text Char Char Char Char Char Char Char,Footnote Text Char1 Char Char,Footnote Text Char1 Char1 Char Char Char Char,Footnote Text Char2 Char"/>
    <w:link w:val="FootnoteText"/>
    <w:rsid w:val="00426FF5"/>
  </w:style>
  <w:style w:type="paragraph" w:styleId="Revision">
    <w:name w:val="Revision"/>
    <w:hidden/>
    <w:uiPriority w:val="99"/>
    <w:semiHidden/>
    <w:rsid w:val="00426FF5"/>
    <w:rPr>
      <w:snapToGrid w:val="0"/>
      <w:sz w:val="24"/>
    </w:rPr>
  </w:style>
  <w:style w:type="character" w:styleId="UnresolvedMention">
    <w:name w:val="Unresolved Mention"/>
    <w:uiPriority w:val="99"/>
    <w:unhideWhenUsed/>
    <w:rsid w:val="00426FF5"/>
    <w:rPr>
      <w:color w:val="605E5C"/>
      <w:shd w:val="clear" w:color="auto" w:fill="E1DFDD"/>
    </w:rPr>
  </w:style>
  <w:style w:type="character" w:customStyle="1" w:styleId="FootnoteTextChar">
    <w:name w:val="Footnote Text Char"/>
    <w:uiPriority w:val="99"/>
    <w:semiHidden/>
    <w:rsid w:val="00426FF5"/>
    <w:rPr>
      <w:sz w:val="20"/>
      <w:szCs w:val="20"/>
    </w:rPr>
  </w:style>
  <w:style w:type="character" w:customStyle="1" w:styleId="Heading2Char">
    <w:name w:val="Heading 2 Char"/>
    <w:link w:val="Heading2"/>
    <w:rsid w:val="001F086A"/>
    <w:rPr>
      <w:b/>
      <w:snapToGrid w:val="0"/>
      <w:kern w:val="28"/>
      <w:sz w:val="22"/>
    </w:rPr>
  </w:style>
  <w:style w:type="character" w:customStyle="1" w:styleId="ParaNumChar">
    <w:name w:val="ParaNum Char"/>
    <w:link w:val="ParaNum"/>
    <w:rsid w:val="00426FF5"/>
    <w:rPr>
      <w:snapToGrid w:val="0"/>
      <w:kern w:val="28"/>
      <w:sz w:val="22"/>
    </w:rPr>
  </w:style>
  <w:style w:type="character" w:customStyle="1" w:styleId="documentbody">
    <w:name w:val="documentbody"/>
    <w:rsid w:val="00426FF5"/>
  </w:style>
  <w:style w:type="paragraph" w:styleId="NormalWeb">
    <w:name w:val="Normal (Web)"/>
    <w:basedOn w:val="Normal"/>
    <w:uiPriority w:val="99"/>
    <w:unhideWhenUsed/>
    <w:rsid w:val="00426FF5"/>
    <w:pPr>
      <w:widowControl/>
      <w:spacing w:before="100" w:beforeAutospacing="1" w:after="100" w:afterAutospacing="1"/>
    </w:pPr>
    <w:rPr>
      <w:snapToGrid/>
      <w:kern w:val="0"/>
      <w:sz w:val="24"/>
      <w:szCs w:val="24"/>
    </w:rPr>
  </w:style>
  <w:style w:type="paragraph" w:customStyle="1" w:styleId="indent-1">
    <w:name w:val="indent-1"/>
    <w:basedOn w:val="Normal"/>
    <w:rsid w:val="00426FF5"/>
    <w:pPr>
      <w:widowControl/>
      <w:spacing w:before="100" w:beforeAutospacing="1" w:after="100" w:afterAutospacing="1"/>
    </w:pPr>
    <w:rPr>
      <w:snapToGrid/>
      <w:kern w:val="0"/>
      <w:sz w:val="24"/>
      <w:szCs w:val="24"/>
    </w:rPr>
  </w:style>
  <w:style w:type="character" w:customStyle="1" w:styleId="paragraph-hierarchy">
    <w:name w:val="paragraph-hierarchy"/>
    <w:basedOn w:val="DefaultParagraphFont"/>
    <w:rsid w:val="00426FF5"/>
  </w:style>
  <w:style w:type="character" w:customStyle="1" w:styleId="paren">
    <w:name w:val="paren"/>
    <w:basedOn w:val="DefaultParagraphFont"/>
    <w:rsid w:val="00426FF5"/>
  </w:style>
  <w:style w:type="paragraph" w:customStyle="1" w:styleId="indent-2">
    <w:name w:val="indent-2"/>
    <w:basedOn w:val="Normal"/>
    <w:rsid w:val="00426FF5"/>
    <w:pPr>
      <w:widowControl/>
      <w:spacing w:before="100" w:beforeAutospacing="1" w:after="100" w:afterAutospacing="1"/>
    </w:pPr>
    <w:rPr>
      <w:snapToGrid/>
      <w:kern w:val="0"/>
      <w:sz w:val="24"/>
      <w:szCs w:val="24"/>
    </w:rPr>
  </w:style>
  <w:style w:type="character" w:styleId="FollowedHyperlink">
    <w:name w:val="FollowedHyperlink"/>
    <w:uiPriority w:val="99"/>
    <w:unhideWhenUsed/>
    <w:rsid w:val="00426FF5"/>
    <w:rPr>
      <w:color w:val="954F72"/>
      <w:u w:val="single"/>
    </w:rPr>
  </w:style>
  <w:style w:type="paragraph" w:styleId="TOCHeading">
    <w:name w:val="TOC Heading"/>
    <w:basedOn w:val="Heading1"/>
    <w:next w:val="Normal"/>
    <w:uiPriority w:val="39"/>
    <w:unhideWhenUsed/>
    <w:qFormat/>
    <w:rsid w:val="00E03E89"/>
    <w:pPr>
      <w:keepLines/>
      <w:widowControl/>
      <w:numPr>
        <w:numId w:val="0"/>
      </w:numPr>
      <w:tabs>
        <w:tab w:val="left" w:pos="720"/>
      </w:tabs>
      <w:suppressAutoHyphens w:val="0"/>
      <w:spacing w:before="240" w:after="0" w:line="259" w:lineRule="auto"/>
      <w:outlineLvl w:val="9"/>
    </w:pPr>
    <w:rPr>
      <w:rFonts w:asciiTheme="majorHAnsi" w:eastAsiaTheme="majorEastAsia" w:hAnsiTheme="majorHAnsi" w:cstheme="majorBidi"/>
      <w:b w:val="0"/>
      <w:caps w:val="0"/>
      <w:snapToGrid/>
      <w:color w:val="2F5496" w:themeColor="accent1" w:themeShade="BF"/>
      <w:kern w:val="0"/>
      <w:sz w:val="32"/>
      <w:szCs w:val="32"/>
    </w:rPr>
  </w:style>
  <w:style w:type="character" w:styleId="Mention">
    <w:name w:val="Mention"/>
    <w:basedOn w:val="DefaultParagraphFont"/>
    <w:uiPriority w:val="99"/>
    <w:unhideWhenUsed/>
    <w:rsid w:val="000479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EBHearings@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en.wikipedia.org/wiki/Grupo_Radio_Centro" TargetMode="External" /><Relationship Id="rId2" Type="http://schemas.openxmlformats.org/officeDocument/2006/relationships/hyperlink" Target="https://www.dnb.com/business-directory/company-profiles.grupo_radio_centro_sab_de_cv.02093e5fed956797282a0679b310131e.html" TargetMode="External" /><Relationship Id="rId3" Type="http://schemas.openxmlformats.org/officeDocument/2006/relationships/hyperlink" Target="https://www.reuters.com/markets/companies/RCENTROA.MX/" TargetMode="External" /><Relationship Id="rId4" Type="http://schemas.openxmlformats.org/officeDocument/2006/relationships/hyperlink" Target="http://www.westlaw.com/Find/Default.wl?rs=dfa1.0&amp;amp;vr=2.0&amp;amp;DB=506&amp;amp;FindType=Y&amp;amp;ReferencePositionType=S&amp;amp;SerialNum=2000372136&amp;amp;ReferencePosition=193" TargetMode="External" /><Relationship Id="rId5" Type="http://schemas.openxmlformats.org/officeDocument/2006/relationships/hyperlink" Target="http://www.westlaw.com/Find/Default.wl?rs=dfa1.0&amp;amp;vr=2.0&amp;amp;DB=506&amp;amp;FindType=Y&amp;amp;ReferencePositionType=S&amp;amp;SerialNum=2000059254&amp;amp;ReferencePosition=247" TargetMode="External" /><Relationship Id="rId6" Type="http://schemas.openxmlformats.org/officeDocument/2006/relationships/hyperlink" Target="about:blank" TargetMode="External" /><Relationship Id="rId7" Type="http://schemas.openxmlformats.org/officeDocument/2006/relationships/hyperlink" Target="https://www.fcc.gov/sites/default/files/2100-315-instructions.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K:\Co-Share\Forms\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