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C56EB5" w:rsidRPr="00C56EB5" w:rsidP="00460CA4" w14:paraId="723665D5" w14:textId="147FDAD1">
      <w:pPr>
        <w:widowControl/>
        <w:ind w:left="7200" w:firstLine="720"/>
        <w:rPr>
          <w:b/>
          <w:snapToGrid/>
          <w:color w:val="000000"/>
          <w:kern w:val="0"/>
          <w:szCs w:val="22"/>
          <w:highlight w:val="yellow"/>
        </w:rPr>
      </w:pPr>
      <w:bookmarkStart w:id="0" w:name="TOChere"/>
      <w:r>
        <w:rPr>
          <w:b/>
          <w:snapToGrid/>
          <w:color w:val="000000"/>
          <w:kern w:val="0"/>
          <w:szCs w:val="22"/>
        </w:rPr>
        <w:t xml:space="preserve">     </w:t>
      </w:r>
      <w:r w:rsidRPr="00C56EB5">
        <w:rPr>
          <w:b/>
          <w:snapToGrid/>
          <w:color w:val="000000"/>
          <w:kern w:val="0"/>
          <w:szCs w:val="22"/>
        </w:rPr>
        <w:t>DA 26-</w:t>
      </w:r>
      <w:r w:rsidR="007A0AD0">
        <w:rPr>
          <w:b/>
          <w:snapToGrid/>
          <w:color w:val="000000"/>
          <w:kern w:val="0"/>
          <w:szCs w:val="22"/>
        </w:rPr>
        <w:t>779</w:t>
      </w:r>
    </w:p>
    <w:p w:rsidR="00C56EB5" w:rsidRPr="00C56EB5" w:rsidP="00460CA4" w14:paraId="2BED94A4" w14:textId="76246626">
      <w:pPr>
        <w:widowControl/>
        <w:ind w:left="6480"/>
        <w:jc w:val="center"/>
        <w:rPr>
          <w:b/>
          <w:snapToGrid/>
          <w:color w:val="000000"/>
          <w:kern w:val="0"/>
          <w:szCs w:val="22"/>
        </w:rPr>
      </w:pPr>
      <w:r>
        <w:rPr>
          <w:b/>
          <w:snapToGrid/>
          <w:color w:val="000000"/>
          <w:kern w:val="0"/>
          <w:szCs w:val="22"/>
        </w:rPr>
        <w:t xml:space="preserve">          </w:t>
      </w:r>
      <w:r w:rsidR="00460CA4">
        <w:rPr>
          <w:b/>
          <w:snapToGrid/>
          <w:color w:val="000000"/>
          <w:kern w:val="0"/>
          <w:szCs w:val="22"/>
        </w:rPr>
        <w:t xml:space="preserve"> </w:t>
      </w:r>
      <w:r w:rsidRPr="00C56EB5">
        <w:rPr>
          <w:b/>
          <w:snapToGrid/>
          <w:color w:val="000000"/>
          <w:kern w:val="0"/>
          <w:szCs w:val="22"/>
        </w:rPr>
        <w:t xml:space="preserve">Released: </w:t>
      </w:r>
      <w:r>
        <w:rPr>
          <w:b/>
          <w:snapToGrid/>
          <w:color w:val="000000"/>
          <w:kern w:val="0"/>
          <w:szCs w:val="22"/>
        </w:rPr>
        <w:t>Ju</w:t>
      </w:r>
      <w:r w:rsidR="00A54FD2">
        <w:rPr>
          <w:b/>
          <w:snapToGrid/>
          <w:color w:val="000000"/>
          <w:kern w:val="0"/>
          <w:szCs w:val="22"/>
        </w:rPr>
        <w:t>ly</w:t>
      </w:r>
      <w:r w:rsidRPr="00C56EB5">
        <w:rPr>
          <w:b/>
          <w:snapToGrid/>
          <w:color w:val="000000"/>
          <w:kern w:val="0"/>
          <w:szCs w:val="22"/>
        </w:rPr>
        <w:t xml:space="preserve"> </w:t>
      </w:r>
      <w:r w:rsidR="00A54FD2">
        <w:rPr>
          <w:b/>
          <w:snapToGrid/>
          <w:color w:val="000000"/>
          <w:kern w:val="0"/>
          <w:szCs w:val="22"/>
        </w:rPr>
        <w:t>27</w:t>
      </w:r>
      <w:r w:rsidRPr="00C56EB5">
        <w:rPr>
          <w:b/>
          <w:snapToGrid/>
          <w:color w:val="000000"/>
          <w:kern w:val="0"/>
          <w:szCs w:val="22"/>
        </w:rPr>
        <w:t>, 2026</w:t>
      </w:r>
    </w:p>
    <w:p w:rsidR="00C56EB5" w:rsidRPr="00C56EB5" w:rsidP="00C56EB5" w14:paraId="546C1F95" w14:textId="77777777">
      <w:pPr>
        <w:widowControl/>
        <w:spacing w:before="60"/>
        <w:jc w:val="right"/>
        <w:rPr>
          <w:b/>
          <w:snapToGrid/>
          <w:color w:val="000000"/>
          <w:kern w:val="0"/>
          <w:szCs w:val="22"/>
        </w:rPr>
      </w:pPr>
    </w:p>
    <w:p w:rsidR="00F431F9" w:rsidP="00C56EB5" w14:paraId="7C84D4AC" w14:textId="77777777">
      <w:pPr>
        <w:widowControl/>
        <w:jc w:val="center"/>
        <w:rPr>
          <w:b/>
          <w:snapToGrid/>
          <w:kern w:val="0"/>
          <w:szCs w:val="22"/>
        </w:rPr>
      </w:pPr>
      <w:r w:rsidRPr="00C56EB5">
        <w:rPr>
          <w:b/>
          <w:snapToGrid/>
          <w:kern w:val="0"/>
          <w:szCs w:val="22"/>
        </w:rPr>
        <w:t xml:space="preserve">NOTICE OF DOMESTIC SECTION 214 </w:t>
      </w:r>
      <w:r w:rsidR="00E30906">
        <w:rPr>
          <w:b/>
          <w:snapToGrid/>
          <w:kern w:val="0"/>
          <w:szCs w:val="22"/>
        </w:rPr>
        <w:t>APPLICATION</w:t>
      </w:r>
      <w:r w:rsidRPr="00C56EB5">
        <w:rPr>
          <w:b/>
          <w:snapToGrid/>
          <w:kern w:val="0"/>
          <w:szCs w:val="22"/>
        </w:rPr>
        <w:t xml:space="preserve"> GRANTED </w:t>
      </w:r>
    </w:p>
    <w:p w:rsidR="00C56EB5" w:rsidRPr="00C56EB5" w:rsidP="00C56EB5" w14:paraId="53048652" w14:textId="0810832C">
      <w:pPr>
        <w:widowControl/>
        <w:jc w:val="center"/>
        <w:rPr>
          <w:b/>
          <w:snapToGrid/>
          <w:kern w:val="0"/>
          <w:szCs w:val="22"/>
        </w:rPr>
      </w:pPr>
      <w:r>
        <w:rPr>
          <w:b/>
          <w:snapToGrid/>
          <w:kern w:val="0"/>
          <w:szCs w:val="22"/>
        </w:rPr>
        <w:t>SUBJECT TO CONDITION</w:t>
      </w:r>
    </w:p>
    <w:p w:rsidR="00C56EB5" w:rsidRPr="00C56EB5" w:rsidP="00C56EB5" w14:paraId="6FA1E6E8" w14:textId="77777777">
      <w:pPr>
        <w:widowControl/>
        <w:jc w:val="right"/>
        <w:rPr>
          <w:b/>
          <w:snapToGrid/>
          <w:color w:val="000000"/>
          <w:kern w:val="0"/>
          <w:szCs w:val="22"/>
        </w:rPr>
      </w:pPr>
    </w:p>
    <w:p w:rsidR="00C56EB5" w:rsidRPr="00C56EB5" w:rsidP="00C56EB5" w14:paraId="31243A6F" w14:textId="3F28A568">
      <w:pPr>
        <w:jc w:val="center"/>
        <w:rPr>
          <w:b/>
          <w:snapToGrid/>
          <w:kern w:val="0"/>
          <w:szCs w:val="22"/>
        </w:rPr>
      </w:pPr>
      <w:r w:rsidRPr="00C56EB5">
        <w:rPr>
          <w:b/>
          <w:snapToGrid/>
          <w:color w:val="000000"/>
          <w:kern w:val="0"/>
          <w:szCs w:val="22"/>
        </w:rPr>
        <w:t>WC Docket No.</w:t>
      </w:r>
      <w:r w:rsidRPr="00C56EB5">
        <w:rPr>
          <w:b/>
          <w:snapToGrid/>
          <w:kern w:val="0"/>
          <w:szCs w:val="22"/>
        </w:rPr>
        <w:t xml:space="preserve"> 26-</w:t>
      </w:r>
      <w:r w:rsidR="00EF4366">
        <w:rPr>
          <w:b/>
          <w:snapToGrid/>
          <w:kern w:val="0"/>
          <w:szCs w:val="22"/>
        </w:rPr>
        <w:t>56</w:t>
      </w:r>
    </w:p>
    <w:p w:rsidR="00C56EB5" w:rsidRPr="00C56EB5" w:rsidP="00C56EB5" w14:paraId="55E27A62" w14:textId="77777777">
      <w:pPr>
        <w:jc w:val="center"/>
        <w:rPr>
          <w:b/>
          <w:snapToGrid/>
          <w:kern w:val="0"/>
          <w:szCs w:val="22"/>
        </w:rPr>
      </w:pPr>
    </w:p>
    <w:p w:rsidR="00C56EB5" w:rsidRPr="00C56EB5" w:rsidP="00C56EB5" w14:paraId="21200A30" w14:textId="0CB96648">
      <w:pPr>
        <w:widowControl/>
        <w:ind w:firstLine="720"/>
        <w:rPr>
          <w:rFonts w:eastAsia="MS Mincho"/>
          <w:snapToGrid/>
          <w:kern w:val="0"/>
        </w:rPr>
      </w:pPr>
      <w:r w:rsidRPr="00C56EB5">
        <w:rPr>
          <w:snapToGrid/>
          <w:color w:val="000000"/>
          <w:kern w:val="0"/>
          <w:szCs w:val="22"/>
        </w:rPr>
        <w:t>The Wireline Competition Bureau (Bureau) grants</w:t>
      </w:r>
      <w:r w:rsidR="00CF460E">
        <w:rPr>
          <w:snapToGrid/>
          <w:color w:val="000000"/>
          <w:kern w:val="0"/>
          <w:szCs w:val="22"/>
        </w:rPr>
        <w:t>, as conditioned,</w:t>
      </w:r>
      <w:r w:rsidRPr="00C56EB5">
        <w:rPr>
          <w:snapToGrid/>
          <w:color w:val="000000"/>
          <w:kern w:val="0"/>
          <w:szCs w:val="22"/>
        </w:rPr>
        <w:t xml:space="preserve"> the application listed in this Public Notice pursuant to the Commission’s streamlined procedures for domestic section 214 transfer of control applications, 47 CFR § 63.03.  The Bureau determined that a grant of this application serves the public interest.</w:t>
      </w:r>
      <w:r>
        <w:rPr>
          <w:snapToGrid/>
          <w:color w:val="000000"/>
          <w:kern w:val="0"/>
          <w:szCs w:val="22"/>
          <w:vertAlign w:val="superscript"/>
        </w:rPr>
        <w:footnoteReference w:id="3"/>
      </w:r>
      <w:r w:rsidRPr="00C56EB5">
        <w:rPr>
          <w:snapToGrid/>
          <w:color w:val="000000"/>
          <w:kern w:val="0"/>
          <w:szCs w:val="22"/>
        </w:rPr>
        <w:t xml:space="preserve">  For the purposes of computation of time when filing a petition for reconsideration or application for review, or for judicial review of the Commission’s decision, the date of “public notice” shall be the release date of this Public Notice.</w:t>
      </w:r>
      <w:r>
        <w:rPr>
          <w:snapToGrid/>
          <w:color w:val="000000"/>
          <w:kern w:val="0"/>
          <w:szCs w:val="22"/>
          <w:vertAlign w:val="superscript"/>
        </w:rPr>
        <w:footnoteReference w:id="4"/>
      </w:r>
      <w:r w:rsidRPr="00C56EB5">
        <w:rPr>
          <w:rFonts w:eastAsia="MS Mincho"/>
          <w:snapToGrid/>
          <w:color w:val="4F81BD"/>
          <w:kern w:val="0"/>
        </w:rPr>
        <w:t xml:space="preserve">  </w:t>
      </w:r>
      <w:r w:rsidRPr="00C56EB5">
        <w:rPr>
          <w:rFonts w:eastAsia="MS Mincho"/>
          <w:snapToGrid/>
          <w:kern w:val="0"/>
        </w:rPr>
        <w:t>Should no petition for reconsideration, application for review, or petition for judicial review be timely filed, the proceeding listed in this Public Notice shall be terminated, and the docket will be closed.</w:t>
      </w:r>
    </w:p>
    <w:p w:rsidR="00C56EB5" w:rsidRPr="00C56EB5" w:rsidP="00C56EB5" w14:paraId="3263FAB7" w14:textId="77777777">
      <w:pPr>
        <w:autoSpaceDE w:val="0"/>
        <w:autoSpaceDN w:val="0"/>
        <w:adjustRightInd w:val="0"/>
        <w:rPr>
          <w:b/>
          <w:bCs/>
          <w:snapToGrid/>
          <w:color w:val="000000"/>
          <w:kern w:val="0"/>
          <w:szCs w:val="22"/>
          <w:lang w:eastAsia="ja-JP"/>
        </w:rPr>
      </w:pPr>
    </w:p>
    <w:p w:rsidR="007E387C" w:rsidP="00EF4366" w14:paraId="42030EB2" w14:textId="77777777">
      <w:pPr>
        <w:ind w:left="720"/>
        <w:rPr>
          <w:szCs w:val="22"/>
        </w:rPr>
      </w:pPr>
      <w:r w:rsidRPr="009A6574">
        <w:rPr>
          <w:szCs w:val="22"/>
        </w:rPr>
        <w:t xml:space="preserve">Domestic Section 214 </w:t>
      </w:r>
      <w:r>
        <w:rPr>
          <w:szCs w:val="22"/>
        </w:rPr>
        <w:t xml:space="preserve">Application Filed </w:t>
      </w:r>
      <w:r w:rsidRPr="009A6574">
        <w:rPr>
          <w:szCs w:val="22"/>
        </w:rPr>
        <w:t xml:space="preserve">for the Transfer of Control of </w:t>
      </w:r>
      <w:r>
        <w:rPr>
          <w:szCs w:val="22"/>
        </w:rPr>
        <w:t xml:space="preserve">Zayo Group, LLC and Certain Other Subsidiaries of </w:t>
      </w:r>
      <w:r w:rsidRPr="00723D69">
        <w:rPr>
          <w:szCs w:val="22"/>
        </w:rPr>
        <w:t>DigitalBridge</w:t>
      </w:r>
      <w:r w:rsidRPr="00723D69">
        <w:rPr>
          <w:szCs w:val="22"/>
        </w:rPr>
        <w:t xml:space="preserve"> Group, Inc. to Duncan Holdco LLC</w:t>
      </w:r>
      <w:r>
        <w:rPr>
          <w:szCs w:val="22"/>
        </w:rPr>
        <w:t>,</w:t>
      </w:r>
      <w:r w:rsidRPr="009A6574">
        <w:rPr>
          <w:szCs w:val="22"/>
        </w:rPr>
        <w:t xml:space="preserve"> </w:t>
      </w:r>
    </w:p>
    <w:p w:rsidR="00C56EB5" w:rsidRPr="00C56EB5" w:rsidP="00EF4366" w14:paraId="59E20B71" w14:textId="1155D06A">
      <w:pPr>
        <w:ind w:left="720"/>
        <w:rPr>
          <w:szCs w:val="22"/>
        </w:rPr>
      </w:pPr>
      <w:r w:rsidRPr="009A6574">
        <w:rPr>
          <w:szCs w:val="22"/>
        </w:rPr>
        <w:t>WC Docket No. 2</w:t>
      </w:r>
      <w:r>
        <w:rPr>
          <w:szCs w:val="22"/>
        </w:rPr>
        <w:t>6</w:t>
      </w:r>
      <w:r w:rsidRPr="009A6574">
        <w:rPr>
          <w:szCs w:val="22"/>
        </w:rPr>
        <w:t>-</w:t>
      </w:r>
      <w:r>
        <w:rPr>
          <w:szCs w:val="22"/>
        </w:rPr>
        <w:t>56</w:t>
      </w:r>
      <w:r w:rsidRPr="009A6574">
        <w:rPr>
          <w:szCs w:val="22"/>
        </w:rPr>
        <w:t xml:space="preserve"> (filed</w:t>
      </w:r>
      <w:r>
        <w:rPr>
          <w:szCs w:val="22"/>
        </w:rPr>
        <w:t xml:space="preserve"> Mar. </w:t>
      </w:r>
      <w:r w:rsidR="0068737F">
        <w:rPr>
          <w:szCs w:val="22"/>
        </w:rPr>
        <w:t>5</w:t>
      </w:r>
      <w:r w:rsidRPr="009A6574">
        <w:rPr>
          <w:szCs w:val="22"/>
        </w:rPr>
        <w:t>, 202</w:t>
      </w:r>
      <w:r>
        <w:rPr>
          <w:szCs w:val="22"/>
        </w:rPr>
        <w:t>6</w:t>
      </w:r>
      <w:r w:rsidRPr="009A6574">
        <w:rPr>
          <w:szCs w:val="22"/>
        </w:rPr>
        <w:t>).</w:t>
      </w:r>
      <w:r w:rsidRPr="00C56EB5">
        <w:rPr>
          <w:snapToGrid/>
          <w:kern w:val="0"/>
          <w:szCs w:val="22"/>
        </w:rPr>
        <w:t xml:space="preserve"> </w:t>
      </w:r>
    </w:p>
    <w:p w:rsidR="00C56EB5" w:rsidRPr="00C56EB5" w:rsidP="00C56EB5" w14:paraId="4FDDD47A" w14:textId="77777777">
      <w:pPr>
        <w:widowControl/>
        <w:rPr>
          <w:snapToGrid/>
          <w:kern w:val="0"/>
          <w:szCs w:val="22"/>
        </w:rPr>
      </w:pPr>
    </w:p>
    <w:p w:rsidR="00C56EB5" w:rsidRPr="00C56EB5" w:rsidP="00C56EB5" w14:paraId="0C2D31C7" w14:textId="5CDFA0C2">
      <w:pPr>
        <w:tabs>
          <w:tab w:val="right" w:pos="8880"/>
        </w:tabs>
        <w:autoSpaceDE w:val="0"/>
        <w:autoSpaceDN w:val="0"/>
        <w:adjustRightInd w:val="0"/>
        <w:rPr>
          <w:b/>
          <w:bCs/>
          <w:snapToGrid/>
          <w:color w:val="000000"/>
          <w:kern w:val="0"/>
          <w:szCs w:val="22"/>
          <w:lang w:eastAsia="ja-JP"/>
        </w:rPr>
      </w:pPr>
      <w:r w:rsidRPr="00C56EB5">
        <w:rPr>
          <w:b/>
          <w:bCs/>
          <w:snapToGrid/>
          <w:color w:val="000000"/>
          <w:kern w:val="0"/>
          <w:szCs w:val="22"/>
          <w:lang w:eastAsia="ja-JP"/>
        </w:rPr>
        <w:t xml:space="preserve">Effective Grant Date: </w:t>
      </w:r>
      <w:r>
        <w:rPr>
          <w:b/>
          <w:bCs/>
          <w:snapToGrid/>
          <w:color w:val="000000"/>
          <w:kern w:val="0"/>
          <w:szCs w:val="22"/>
          <w:lang w:eastAsia="ja-JP"/>
        </w:rPr>
        <w:t>Ju</w:t>
      </w:r>
      <w:r w:rsidR="00EF4366">
        <w:rPr>
          <w:b/>
          <w:bCs/>
          <w:snapToGrid/>
          <w:color w:val="000000"/>
          <w:kern w:val="0"/>
          <w:szCs w:val="22"/>
          <w:lang w:eastAsia="ja-JP"/>
        </w:rPr>
        <w:t>ly</w:t>
      </w:r>
      <w:r w:rsidRPr="00C56EB5">
        <w:rPr>
          <w:b/>
          <w:bCs/>
          <w:snapToGrid/>
          <w:color w:val="000000"/>
          <w:kern w:val="0"/>
          <w:szCs w:val="22"/>
          <w:lang w:eastAsia="ja-JP"/>
        </w:rPr>
        <w:t xml:space="preserve"> </w:t>
      </w:r>
      <w:r w:rsidR="00EF4366">
        <w:rPr>
          <w:b/>
          <w:bCs/>
          <w:snapToGrid/>
          <w:color w:val="000000"/>
          <w:kern w:val="0"/>
          <w:szCs w:val="22"/>
          <w:lang w:eastAsia="ja-JP"/>
        </w:rPr>
        <w:t>2</w:t>
      </w:r>
      <w:r w:rsidR="007E387C">
        <w:rPr>
          <w:b/>
          <w:bCs/>
          <w:snapToGrid/>
          <w:color w:val="000000"/>
          <w:kern w:val="0"/>
          <w:szCs w:val="22"/>
          <w:lang w:eastAsia="ja-JP"/>
        </w:rPr>
        <w:t>6</w:t>
      </w:r>
      <w:r w:rsidRPr="00C56EB5">
        <w:rPr>
          <w:b/>
          <w:bCs/>
          <w:snapToGrid/>
          <w:color w:val="000000"/>
          <w:kern w:val="0"/>
          <w:szCs w:val="22"/>
          <w:lang w:eastAsia="ja-JP"/>
        </w:rPr>
        <w:t>, 2026</w:t>
      </w:r>
    </w:p>
    <w:p w:rsidR="00C56EB5" w:rsidRPr="00C56EB5" w:rsidP="00C56EB5" w14:paraId="3CDB5085" w14:textId="77777777">
      <w:pPr>
        <w:autoSpaceDE w:val="0"/>
        <w:autoSpaceDN w:val="0"/>
        <w:adjustRightInd w:val="0"/>
        <w:rPr>
          <w:b/>
          <w:bCs/>
          <w:snapToGrid/>
          <w:color w:val="000000"/>
          <w:kern w:val="0"/>
          <w:szCs w:val="22"/>
          <w:lang w:eastAsia="ja-JP"/>
        </w:rPr>
      </w:pPr>
    </w:p>
    <w:p w:rsidR="00DF01AE" w:rsidP="00DF01AE" w14:paraId="2EA0AFC4" w14:textId="39B3907C">
      <w:pPr>
        <w:widowControl/>
        <w:ind w:firstLine="720"/>
        <w:rPr>
          <w:snapToGrid/>
          <w:kern w:val="0"/>
        </w:rPr>
      </w:pPr>
      <w:r w:rsidRPr="00C56EB5">
        <w:rPr>
          <w:snapToGrid/>
          <w:kern w:val="0"/>
        </w:rPr>
        <w:t xml:space="preserve">For further information, please contact </w:t>
      </w:r>
      <w:r w:rsidR="00051F61">
        <w:rPr>
          <w:snapToGrid/>
          <w:kern w:val="0"/>
        </w:rPr>
        <w:t>Dennis Johnson</w:t>
      </w:r>
      <w:r>
        <w:rPr>
          <w:snapToGrid/>
          <w:kern w:val="0"/>
        </w:rPr>
        <w:t xml:space="preserve"> </w:t>
      </w:r>
      <w:r w:rsidRPr="00C56EB5">
        <w:rPr>
          <w:snapToGrid/>
          <w:kern w:val="0"/>
        </w:rPr>
        <w:t>at (202) 418-</w:t>
      </w:r>
      <w:r w:rsidR="00051F61">
        <w:rPr>
          <w:snapToGrid/>
          <w:kern w:val="0"/>
        </w:rPr>
        <w:t>0809</w:t>
      </w:r>
      <w:r w:rsidRPr="00C56EB5">
        <w:rPr>
          <w:snapToGrid/>
          <w:kern w:val="0"/>
        </w:rPr>
        <w:t>, Competition Policy Division, Wireline Competition Bureau.</w:t>
      </w:r>
    </w:p>
    <w:p w:rsidR="00BA3BA8" w:rsidRPr="00DF01AE" w:rsidP="00DF01AE" w14:paraId="5EEB861F" w14:textId="09E844B6">
      <w:pPr>
        <w:widowControl/>
        <w:ind w:left="3600" w:firstLine="720"/>
        <w:rPr>
          <w:snapToGrid/>
          <w:kern w:val="0"/>
        </w:rPr>
      </w:pPr>
      <w:r w:rsidRPr="00C56EB5">
        <w:rPr>
          <w:b/>
          <w:bCs/>
          <w:snapToGrid/>
          <w:color w:val="000000"/>
          <w:kern w:val="0"/>
          <w:szCs w:val="22"/>
        </w:rPr>
        <w:t>-FCC-</w:t>
      </w:r>
      <w:bookmarkEnd w:id="0"/>
    </w:p>
    <w:sectPr>
      <w:headerReference w:type="default" r:id="rId6"/>
      <w:footerReference w:type="even" r:id="rId7"/>
      <w:footerReference w:type="default" r:id="rId8"/>
      <w:headerReference w:type="first" r:id="rId9"/>
      <w:footerReference w:type="first" r:id="rId10"/>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15EEF" w14:paraId="4DE7EBAF" w14:textId="77777777">
      <w:pPr>
        <w:spacing w:line="20" w:lineRule="exact"/>
      </w:pPr>
    </w:p>
  </w:endnote>
  <w:endnote w:type="continuationSeparator" w:id="1">
    <w:p w:rsidR="00F15EEF" w14:paraId="7D66A1CC" w14:textId="77777777">
      <w:r>
        <w:t xml:space="preserve"> </w:t>
      </w:r>
    </w:p>
  </w:endnote>
  <w:endnote w:type="continuationNotice" w:id="2">
    <w:p w:rsidR="00F15EEF" w14:paraId="4B048211"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750958C7" w14:textId="77777777">
    <w:pPr>
      <w:pStyle w:val="Footer"/>
      <w:framePr w:wrap="around" w:vAnchor="text" w:hAnchor="margin" w:xAlign="center" w:y="1"/>
    </w:pPr>
    <w:r>
      <w:fldChar w:fldCharType="begin"/>
    </w:r>
    <w:r>
      <w:instrText xml:space="preserve">PAGE  </w:instrText>
    </w:r>
    <w:r>
      <w:fldChar w:fldCharType="separate"/>
    </w:r>
    <w:r>
      <w:fldChar w:fldCharType="end"/>
    </w:r>
  </w:p>
  <w:p w:rsidR="00BA3BA8" w14:paraId="029FC55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349682E1"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02A8E80E"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15EEF" w14:paraId="3ACCEC6F" w14:textId="77777777">
      <w:r>
        <w:separator/>
      </w:r>
    </w:p>
  </w:footnote>
  <w:footnote w:type="continuationSeparator" w:id="1">
    <w:p w:rsidR="00F15EEF" w14:paraId="5F2FCAF8" w14:textId="77777777">
      <w:pPr>
        <w:rPr>
          <w:sz w:val="20"/>
        </w:rPr>
      </w:pPr>
      <w:r>
        <w:rPr>
          <w:sz w:val="20"/>
        </w:rPr>
        <w:t xml:space="preserve">(Continued from previous page)  </w:t>
      </w:r>
      <w:r>
        <w:rPr>
          <w:sz w:val="20"/>
        </w:rPr>
        <w:separator/>
      </w:r>
    </w:p>
  </w:footnote>
  <w:footnote w:type="continuationNotice" w:id="2">
    <w:p w:rsidR="00F15EEF" w14:paraId="27944409" w14:textId="77777777">
      <w:pPr>
        <w:jc w:val="right"/>
        <w:rPr>
          <w:sz w:val="20"/>
        </w:rPr>
      </w:pPr>
      <w:r>
        <w:rPr>
          <w:sz w:val="20"/>
        </w:rPr>
        <w:t>(continued….)</w:t>
      </w:r>
    </w:p>
  </w:footnote>
  <w:footnote w:id="3">
    <w:p w:rsidR="00C56EB5" w:rsidRPr="00BD7250" w:rsidP="00C56EB5" w14:paraId="79FCD679" w14:textId="5C49D3AA">
      <w:pPr>
        <w:pStyle w:val="FootnoteText"/>
        <w:rPr>
          <w:b/>
          <w:bCs/>
          <w:color w:val="000000"/>
        </w:rPr>
      </w:pPr>
      <w:r w:rsidRPr="00CC1FB2">
        <w:rPr>
          <w:rStyle w:val="FootnoteReference"/>
          <w:color w:val="000000"/>
        </w:rPr>
        <w:footnoteRef/>
      </w:r>
      <w:r w:rsidRPr="00CC1FB2">
        <w:rPr>
          <w:color w:val="000000"/>
        </w:rPr>
        <w:t xml:space="preserve"> </w:t>
      </w:r>
      <w:r w:rsidRPr="00CC1FB2">
        <w:rPr>
          <w:i/>
          <w:color w:val="000000"/>
        </w:rPr>
        <w:t>Implementation of Further Streamlining Measures for Domestic Section 214 Authorizations</w:t>
      </w:r>
      <w:r w:rsidRPr="00CC1FB2">
        <w:rPr>
          <w:iCs/>
          <w:color w:val="000000"/>
        </w:rPr>
        <w:t>,</w:t>
      </w:r>
      <w:r w:rsidRPr="00CC1FB2">
        <w:rPr>
          <w:color w:val="000000"/>
        </w:rPr>
        <w:t xml:space="preserve"> </w:t>
      </w:r>
      <w:r w:rsidRPr="00CC1FB2">
        <w:rPr>
          <w:iCs/>
          <w:color w:val="000000"/>
        </w:rPr>
        <w:t xml:space="preserve">Report and Order, </w:t>
      </w:r>
      <w:r w:rsidRPr="00CC1FB2">
        <w:rPr>
          <w:color w:val="000000"/>
        </w:rPr>
        <w:t xml:space="preserve">17 FCC </w:t>
      </w:r>
      <w:r w:rsidRPr="00CC1FB2">
        <w:rPr>
          <w:color w:val="000000"/>
        </w:rPr>
        <w:t>Rcd</w:t>
      </w:r>
      <w:r w:rsidRPr="00CC1FB2">
        <w:rPr>
          <w:color w:val="000000"/>
        </w:rPr>
        <w:t xml:space="preserve"> 5517, 5529, para. 22 (2002).</w:t>
      </w:r>
      <w:r w:rsidR="00BC5F1B">
        <w:rPr>
          <w:color w:val="000000"/>
        </w:rPr>
        <w:t xml:space="preserve">  </w:t>
      </w:r>
      <w:r w:rsidR="00863C83">
        <w:rPr>
          <w:color w:val="000000"/>
        </w:rPr>
        <w:t>On July 1</w:t>
      </w:r>
      <w:r w:rsidR="005F2D38">
        <w:rPr>
          <w:color w:val="000000"/>
        </w:rPr>
        <w:t xml:space="preserve">, 2026, </w:t>
      </w:r>
      <w:r w:rsidR="004C22EE">
        <w:rPr>
          <w:color w:val="000000"/>
        </w:rPr>
        <w:t xml:space="preserve">the </w:t>
      </w:r>
      <w:r w:rsidR="000F16A1">
        <w:rPr>
          <w:color w:val="000000"/>
        </w:rPr>
        <w:t>U.S. Department of Justice, on behalf of the Committee for the Asse</w:t>
      </w:r>
      <w:r w:rsidR="00FA4568">
        <w:rPr>
          <w:color w:val="000000"/>
        </w:rPr>
        <w:t>ssment of Foreign Participation in the United States Telecommunications Services Sector</w:t>
      </w:r>
      <w:r w:rsidR="00433912">
        <w:rPr>
          <w:color w:val="000000"/>
        </w:rPr>
        <w:t xml:space="preserve"> (Committee), filed a letter stating that </w:t>
      </w:r>
      <w:r w:rsidRPr="00DC571E" w:rsidR="00CA03D3">
        <w:rPr>
          <w:color w:val="000000"/>
        </w:rPr>
        <w:t xml:space="preserve">a referral of the </w:t>
      </w:r>
      <w:r w:rsidRPr="00DC571E" w:rsidR="00607335">
        <w:rPr>
          <w:color w:val="000000"/>
        </w:rPr>
        <w:t xml:space="preserve">application </w:t>
      </w:r>
      <w:r w:rsidRPr="00DC571E" w:rsidR="00FE30CF">
        <w:rPr>
          <w:color w:val="000000"/>
        </w:rPr>
        <w:t xml:space="preserve">to the Committee </w:t>
      </w:r>
      <w:r w:rsidRPr="00DC571E" w:rsidR="00607335">
        <w:rPr>
          <w:color w:val="000000"/>
        </w:rPr>
        <w:t xml:space="preserve">was not necessary, </w:t>
      </w:r>
      <w:r w:rsidRPr="00DC571E" w:rsidR="00EF4AFD">
        <w:rPr>
          <w:color w:val="000000"/>
        </w:rPr>
        <w:t xml:space="preserve">and in making this determination, considered among several factors, </w:t>
      </w:r>
      <w:r w:rsidR="00E81450">
        <w:rPr>
          <w:color w:val="000000"/>
        </w:rPr>
        <w:t>the a</w:t>
      </w:r>
      <w:r w:rsidRPr="00DC571E" w:rsidR="001243C7">
        <w:rPr>
          <w:color w:val="000000"/>
        </w:rPr>
        <w:t>pplicants</w:t>
      </w:r>
      <w:r w:rsidR="00E81450">
        <w:rPr>
          <w:color w:val="000000"/>
        </w:rPr>
        <w:t>’</w:t>
      </w:r>
      <w:r w:rsidRPr="00DC571E" w:rsidR="001243C7">
        <w:rPr>
          <w:color w:val="000000"/>
        </w:rPr>
        <w:t xml:space="preserve"> commitment to abide by </w:t>
      </w:r>
      <w:r w:rsidR="00E81450">
        <w:rPr>
          <w:color w:val="000000"/>
        </w:rPr>
        <w:t>the</w:t>
      </w:r>
      <w:r w:rsidRPr="00DC571E" w:rsidR="001243C7">
        <w:rPr>
          <w:color w:val="000000"/>
        </w:rPr>
        <w:t xml:space="preserve"> </w:t>
      </w:r>
      <w:r w:rsidRPr="00DC571E" w:rsidR="004F441F">
        <w:rPr>
          <w:color w:val="000000"/>
        </w:rPr>
        <w:t xml:space="preserve">May 22, 2026 </w:t>
      </w:r>
      <w:r w:rsidRPr="00DC571E" w:rsidR="001C5631">
        <w:rPr>
          <w:color w:val="000000"/>
        </w:rPr>
        <w:t>Letter of Agreement</w:t>
      </w:r>
      <w:r w:rsidRPr="00D903F7" w:rsidR="001C5631">
        <w:rPr>
          <w:color w:val="000000"/>
        </w:rPr>
        <w:t xml:space="preserve"> (</w:t>
      </w:r>
      <w:r w:rsidR="00F1526E">
        <w:rPr>
          <w:color w:val="000000"/>
        </w:rPr>
        <w:t xml:space="preserve">2026 </w:t>
      </w:r>
      <w:r w:rsidR="001C5631">
        <w:rPr>
          <w:color w:val="000000"/>
        </w:rPr>
        <w:t>LOA)</w:t>
      </w:r>
      <w:r w:rsidR="001243C7">
        <w:rPr>
          <w:color w:val="000000"/>
        </w:rPr>
        <w:t xml:space="preserve"> and the </w:t>
      </w:r>
      <w:r w:rsidR="00E81450">
        <w:rPr>
          <w:color w:val="000000"/>
        </w:rPr>
        <w:t>a</w:t>
      </w:r>
      <w:r w:rsidR="001243C7">
        <w:rPr>
          <w:color w:val="000000"/>
        </w:rPr>
        <w:t>pplicants’ request that the May 2026 LOA be made a condition of the license</w:t>
      </w:r>
      <w:r w:rsidR="00EE7AF1">
        <w:rPr>
          <w:color w:val="000000"/>
        </w:rPr>
        <w:t xml:space="preserve">.  </w:t>
      </w:r>
      <w:r w:rsidR="00A14632">
        <w:rPr>
          <w:color w:val="000000"/>
        </w:rPr>
        <w:t>Letter from Christopher R</w:t>
      </w:r>
      <w:r w:rsidR="00BD33AD">
        <w:rPr>
          <w:color w:val="000000"/>
        </w:rPr>
        <w:t>. Clements, U.S. Department of Justice, to Marlene H. Dortch, Secretary, FCC</w:t>
      </w:r>
      <w:r w:rsidR="004A16DC">
        <w:rPr>
          <w:color w:val="000000"/>
        </w:rPr>
        <w:t xml:space="preserve">, WC Docket No. 26-56 (filed </w:t>
      </w:r>
      <w:r w:rsidR="00261525">
        <w:rPr>
          <w:color w:val="000000"/>
        </w:rPr>
        <w:t xml:space="preserve">July 1, 2026).  </w:t>
      </w:r>
      <w:r w:rsidR="0006031A">
        <w:t>C</w:t>
      </w:r>
      <w:r w:rsidR="00C52BDC">
        <w:t xml:space="preserve">onsistent with the grant of </w:t>
      </w:r>
      <w:r w:rsidR="007E5A52">
        <w:t xml:space="preserve">a </w:t>
      </w:r>
      <w:r w:rsidR="00C52BDC">
        <w:t>related international 214 application</w:t>
      </w:r>
      <w:r w:rsidR="0006031A">
        <w:t xml:space="preserve">, </w:t>
      </w:r>
      <w:r w:rsidR="007D34F7">
        <w:t xml:space="preserve">and </w:t>
      </w:r>
      <w:r w:rsidR="0006031A">
        <w:rPr>
          <w:color w:val="000000"/>
        </w:rPr>
        <w:t>a</w:t>
      </w:r>
      <w:r w:rsidRPr="00BD7250" w:rsidR="00BD7250">
        <w:rPr>
          <w:color w:val="000000"/>
        </w:rPr>
        <w:t xml:space="preserve">s requested by </w:t>
      </w:r>
      <w:r w:rsidR="007D34F7">
        <w:rPr>
          <w:color w:val="000000"/>
        </w:rPr>
        <w:t>the applicants</w:t>
      </w:r>
      <w:r w:rsidRPr="00BD7250" w:rsidR="00BD7250">
        <w:rPr>
          <w:color w:val="000000"/>
        </w:rPr>
        <w:t>, we condition grant of the domestic application (WC Docket No. 2</w:t>
      </w:r>
      <w:r w:rsidR="00EE7AF1">
        <w:rPr>
          <w:color w:val="000000"/>
        </w:rPr>
        <w:t>6</w:t>
      </w:r>
      <w:r w:rsidRPr="00BD7250" w:rsidR="00BD7250">
        <w:rPr>
          <w:color w:val="000000"/>
        </w:rPr>
        <w:t>-</w:t>
      </w:r>
      <w:r w:rsidR="00EE7AF1">
        <w:rPr>
          <w:color w:val="000000"/>
        </w:rPr>
        <w:t>56</w:t>
      </w:r>
      <w:r w:rsidRPr="00BD7250" w:rsidR="00BD7250">
        <w:rPr>
          <w:color w:val="000000"/>
        </w:rPr>
        <w:t xml:space="preserve">) on the </w:t>
      </w:r>
      <w:r w:rsidR="007F277A">
        <w:rPr>
          <w:color w:val="000000"/>
        </w:rPr>
        <w:t>a</w:t>
      </w:r>
      <w:r w:rsidRPr="00BD7250" w:rsidR="00BD7250">
        <w:rPr>
          <w:color w:val="000000"/>
        </w:rPr>
        <w:t xml:space="preserve">pplicants’ continued compliance with the </w:t>
      </w:r>
      <w:r w:rsidR="00262D70">
        <w:rPr>
          <w:color w:val="000000"/>
        </w:rPr>
        <w:t xml:space="preserve">2026 </w:t>
      </w:r>
      <w:r w:rsidR="001C5631">
        <w:rPr>
          <w:color w:val="000000"/>
        </w:rPr>
        <w:t>LOA</w:t>
      </w:r>
      <w:r w:rsidR="00CD0395">
        <w:rPr>
          <w:color w:val="000000"/>
        </w:rPr>
        <w:t xml:space="preserve">. </w:t>
      </w:r>
      <w:r w:rsidRPr="00BD7250" w:rsidR="00BD7250">
        <w:rPr>
          <w:color w:val="000000"/>
        </w:rPr>
        <w:t xml:space="preserve"> </w:t>
      </w:r>
      <w:r w:rsidRPr="0003689B" w:rsidR="0003689B">
        <w:rPr>
          <w:i/>
          <w:iCs/>
          <w:color w:val="000000"/>
        </w:rPr>
        <w:t>See</w:t>
      </w:r>
      <w:r w:rsidR="0003689B">
        <w:rPr>
          <w:color w:val="000000"/>
        </w:rPr>
        <w:t xml:space="preserve"> </w:t>
      </w:r>
      <w:r w:rsidR="007051B6">
        <w:rPr>
          <w:color w:val="000000"/>
        </w:rPr>
        <w:t>International Authorization Granted</w:t>
      </w:r>
      <w:r w:rsidR="000C5009">
        <w:rPr>
          <w:color w:val="000000"/>
        </w:rPr>
        <w:t xml:space="preserve"> Section 214 Applications (47</w:t>
      </w:r>
      <w:r w:rsidR="00A80A1D">
        <w:rPr>
          <w:color w:val="000000"/>
        </w:rPr>
        <w:t xml:space="preserve"> CFR </w:t>
      </w:r>
      <w:r w:rsidR="001D3FD3">
        <w:rPr>
          <w:color w:val="000000"/>
        </w:rPr>
        <w:t xml:space="preserve">§§ </w:t>
      </w:r>
      <w:r w:rsidR="00641669">
        <w:rPr>
          <w:color w:val="000000"/>
        </w:rPr>
        <w:t xml:space="preserve">63.18, 63.24); Section 310(b) Petitions (47 CFR </w:t>
      </w:r>
      <w:r w:rsidR="00890AA6">
        <w:rPr>
          <w:color w:val="000000"/>
        </w:rPr>
        <w:t>§ 1.5000)</w:t>
      </w:r>
      <w:r w:rsidR="00E81450">
        <w:rPr>
          <w:color w:val="000000"/>
        </w:rPr>
        <w:t>, Report TEL-02661, Public Notice, DA 26-709 (OIA 2026)</w:t>
      </w:r>
      <w:r w:rsidR="00DF01AE">
        <w:rPr>
          <w:color w:val="000000"/>
        </w:rPr>
        <w:t>;</w:t>
      </w:r>
      <w:r w:rsidR="00890AA6">
        <w:rPr>
          <w:color w:val="000000"/>
        </w:rPr>
        <w:t xml:space="preserve"> </w:t>
      </w:r>
      <w:r w:rsidRPr="00DF01AE" w:rsidR="00DF01AE">
        <w:rPr>
          <w:i/>
          <w:iCs/>
          <w:color w:val="000000"/>
        </w:rPr>
        <w:t>s</w:t>
      </w:r>
      <w:r w:rsidRPr="00323D9E" w:rsidR="00FF05DB">
        <w:rPr>
          <w:i/>
          <w:iCs/>
          <w:color w:val="000000"/>
        </w:rPr>
        <w:t>ee</w:t>
      </w:r>
      <w:r w:rsidR="0003689B">
        <w:rPr>
          <w:i/>
          <w:iCs/>
          <w:color w:val="000000"/>
        </w:rPr>
        <w:t xml:space="preserve"> also</w:t>
      </w:r>
      <w:r w:rsidR="00FF05DB">
        <w:rPr>
          <w:color w:val="000000"/>
        </w:rPr>
        <w:t xml:space="preserve"> Letter from </w:t>
      </w:r>
      <w:r w:rsidR="00323D9E">
        <w:rPr>
          <w:color w:val="000000"/>
        </w:rPr>
        <w:t>Matt S. DelNero</w:t>
      </w:r>
      <w:r w:rsidR="006B5195">
        <w:rPr>
          <w:color w:val="000000"/>
        </w:rPr>
        <w:t xml:space="preserve"> et al., Counsel for Duncan Holdco LLC, and Ulises R. Pin, Counsel for </w:t>
      </w:r>
      <w:r w:rsidR="006B5195">
        <w:rPr>
          <w:color w:val="000000"/>
        </w:rPr>
        <w:t>DigitalBridge</w:t>
      </w:r>
      <w:r w:rsidR="006B5195">
        <w:rPr>
          <w:color w:val="000000"/>
        </w:rPr>
        <w:t xml:space="preserve"> Group, Inc.</w:t>
      </w:r>
      <w:r w:rsidR="007A1065">
        <w:rPr>
          <w:color w:val="000000"/>
        </w:rPr>
        <w:t xml:space="preserve">, to Marlene H. Dortch, Secretary, FCC, WC Docket No. 26-56 (filed </w:t>
      </w:r>
      <w:r w:rsidR="000706F0">
        <w:rPr>
          <w:color w:val="000000"/>
        </w:rPr>
        <w:t>Ju</w:t>
      </w:r>
      <w:r w:rsidR="00BA7CD1">
        <w:rPr>
          <w:color w:val="000000"/>
        </w:rPr>
        <w:t>ne</w:t>
      </w:r>
      <w:r w:rsidR="000706F0">
        <w:rPr>
          <w:color w:val="000000"/>
        </w:rPr>
        <w:t xml:space="preserve"> </w:t>
      </w:r>
      <w:r w:rsidR="00BA7CD1">
        <w:rPr>
          <w:color w:val="000000"/>
        </w:rPr>
        <w:t>26</w:t>
      </w:r>
      <w:r w:rsidR="000706F0">
        <w:rPr>
          <w:color w:val="000000"/>
        </w:rPr>
        <w:t>, 2026) (</w:t>
      </w:r>
      <w:r w:rsidR="00B44BD7">
        <w:rPr>
          <w:color w:val="000000"/>
        </w:rPr>
        <w:t xml:space="preserve">stating that the applicants </w:t>
      </w:r>
      <w:r w:rsidR="00E26AE1">
        <w:rPr>
          <w:color w:val="000000"/>
        </w:rPr>
        <w:t xml:space="preserve">commit to abide by the terms of the 2026 LOA).  </w:t>
      </w:r>
      <w:r w:rsidRPr="00BD7250" w:rsidR="00BD7250">
        <w:rPr>
          <w:color w:val="000000"/>
        </w:rPr>
        <w:t>A failure to comply with and/or remain in compliance with this condition shall constitute a failure to meet a condition of this authorization and thus grounds for declaring this authorization terminated without further action on the part of the Commission.  Failure to meet this condition may also result in monetary sanctions or other enforcement action by the Commission.</w:t>
      </w:r>
    </w:p>
  </w:footnote>
  <w:footnote w:id="4">
    <w:p w:rsidR="00C56EB5" w:rsidP="00C56EB5" w14:paraId="73BCE82D" w14:textId="77777777">
      <w:pPr>
        <w:pStyle w:val="FootnoteText"/>
      </w:pPr>
      <w:r w:rsidRPr="00CC1FB2">
        <w:rPr>
          <w:rStyle w:val="FootnoteReference"/>
          <w:color w:val="000000"/>
        </w:rPr>
        <w:footnoteRef/>
      </w:r>
      <w:r w:rsidRPr="00CC1FB2">
        <w:rPr>
          <w:color w:val="000000"/>
        </w:rPr>
        <w:t xml:space="preserve"> </w:t>
      </w:r>
      <w:r w:rsidRPr="00CC1FB2">
        <w:rPr>
          <w:i/>
          <w:color w:val="000000"/>
        </w:rPr>
        <w:t>Id.</w:t>
      </w:r>
      <w:r w:rsidRPr="00CC1FB2">
        <w:rPr>
          <w:color w:val="000000"/>
        </w:rPr>
        <w:t>;</w:t>
      </w:r>
      <w:r w:rsidRPr="00CC1FB2">
        <w:rPr>
          <w:i/>
          <w:color w:val="000000"/>
        </w:rPr>
        <w:t xml:space="preserve"> see</w:t>
      </w:r>
      <w:r w:rsidRPr="00CC1FB2">
        <w:rPr>
          <w:color w:val="000000"/>
        </w:rPr>
        <w:t xml:space="preserve"> 47 CFR § 1.4 (Computation of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5C51536A" w14:textId="77777777">
    <w:pPr>
      <w:tabs>
        <w:tab w:val="center" w:pos="4680"/>
        <w:tab w:val="right" w:pos="9360"/>
      </w:tabs>
    </w:pPr>
    <w:r>
      <w:rPr>
        <w:b/>
      </w:rPr>
      <w:tab/>
      <w:t>Federal Communications Commission</w:t>
    </w:r>
    <w:r>
      <w:rPr>
        <w:b/>
      </w:rPr>
      <w:tab/>
    </w:r>
    <w:r>
      <w:rPr>
        <w:b/>
      </w:rPr>
      <w:fldChar w:fldCharType="begin"/>
    </w:r>
    <w:r>
      <w:rPr>
        <w:b/>
      </w:rPr>
      <w:instrText xml:space="preserve"> MACROBUTTON  AcceptAllChangesShown "FCC/DA  XX-XXX" </w:instrText>
    </w:r>
    <w:r>
      <w:rPr>
        <w:b/>
      </w:rPr>
      <w:fldChar w:fldCharType="end"/>
    </w:r>
  </w:p>
  <w:p w:rsidR="00BA3BA8" w14:paraId="36F9DF14" w14:textId="77777777">
    <w:pPr>
      <w:tabs>
        <w:tab w:val="left" w:pos="-720"/>
      </w:tabs>
      <w:suppressAutoHyphens/>
      <w:spacing w:line="19" w:lineRule="exact"/>
      <w:rPr>
        <w:spacing w:val="-2"/>
      </w:rPr>
    </w:pPr>
    <w:r>
      <w:rPr>
        <w:noProof/>
      </w:rPr>
      <w:pict>
        <v:rect id="Rectangle 15" o:spid="_x0000_s2049" style="width:468pt;height:0.95pt;margin-top:0;margin-left:0;mso-position-horizontal-relative:margin;position:absolute;visibility:visible;z-index:-251658240" o:allowincell="f" fillcolor="black" stroked="f" strokeweight="0.05pt">
          <w10:wrap anchorx="margin"/>
        </v:rect>
      </w:pict>
    </w:r>
  </w:p>
  <w:p w:rsidR="00BA3BA8" w14:paraId="2AEFC661"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rsidRPr="00F03EA1" w:rsidP="00F03EA1" w14:paraId="4752C5A0"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50" type="#_x0000_t75" style="width:468.75pt;height:112.5pt">
          <v:imagedata r:id="rId1" o:title="PN Portrait pic"/>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2">
    <w:nsid w:val="248246F3"/>
    <w:multiLevelType w:val="singleLevel"/>
    <w:tmpl w:val="B1F45678"/>
    <w:lvl w:ilvl="0">
      <w:start w:val="1"/>
      <w:numFmt w:val="decimal"/>
      <w:lvlText w:val="%1."/>
      <w:lvlJc w:val="left"/>
      <w:pPr>
        <w:tabs>
          <w:tab w:val="num" w:pos="1080"/>
        </w:tabs>
        <w:ind w:left="0" w:firstLine="720"/>
      </w:pPr>
    </w:lvl>
  </w:abstractNum>
  <w:abstractNum w:abstractNumId="3">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61182925"/>
    <w:multiLevelType w:val="singleLevel"/>
    <w:tmpl w:val="D180CED0"/>
    <w:lvl w:ilvl="0">
      <w:start w:val="1"/>
      <w:numFmt w:val="decimal"/>
      <w:pStyle w:val="ParaNum"/>
      <w:lvlText w:val="%1."/>
      <w:lvlJc w:val="left"/>
      <w:pPr>
        <w:tabs>
          <w:tab w:val="num" w:pos="1080"/>
        </w:tabs>
        <w:ind w:left="0" w:firstLine="720"/>
      </w:pPr>
    </w:lvl>
  </w:abstractNum>
  <w:num w:numId="1" w16cid:durableId="331568027">
    <w:abstractNumId w:val="1"/>
  </w:num>
  <w:num w:numId="2" w16cid:durableId="374278790">
    <w:abstractNumId w:val="5"/>
  </w:num>
  <w:num w:numId="3" w16cid:durableId="1610163009">
    <w:abstractNumId w:val="3"/>
  </w:num>
  <w:num w:numId="4" w16cid:durableId="752363463">
    <w:abstractNumId w:val="4"/>
  </w:num>
  <w:num w:numId="5" w16cid:durableId="676543974">
    <w:abstractNumId w:val="2"/>
  </w:num>
  <w:num w:numId="6" w16cid:durableId="1415125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D5C"/>
    <w:rsid w:val="0001399A"/>
    <w:rsid w:val="0003689B"/>
    <w:rsid w:val="00051F61"/>
    <w:rsid w:val="0006031A"/>
    <w:rsid w:val="0006524F"/>
    <w:rsid w:val="000706F0"/>
    <w:rsid w:val="0008491C"/>
    <w:rsid w:val="000C5009"/>
    <w:rsid w:val="000F16A1"/>
    <w:rsid w:val="001243C7"/>
    <w:rsid w:val="001C5631"/>
    <w:rsid w:val="001D3FD3"/>
    <w:rsid w:val="001F44FE"/>
    <w:rsid w:val="00251881"/>
    <w:rsid w:val="00260037"/>
    <w:rsid w:val="002601FB"/>
    <w:rsid w:val="00261525"/>
    <w:rsid w:val="00262D70"/>
    <w:rsid w:val="00295BE8"/>
    <w:rsid w:val="002B6EB3"/>
    <w:rsid w:val="002E1D5C"/>
    <w:rsid w:val="00304B35"/>
    <w:rsid w:val="00323D9E"/>
    <w:rsid w:val="00323DD4"/>
    <w:rsid w:val="00366904"/>
    <w:rsid w:val="003D76A1"/>
    <w:rsid w:val="003E76CD"/>
    <w:rsid w:val="00415A13"/>
    <w:rsid w:val="00430183"/>
    <w:rsid w:val="00433912"/>
    <w:rsid w:val="00460CA4"/>
    <w:rsid w:val="004627EE"/>
    <w:rsid w:val="004A16DC"/>
    <w:rsid w:val="004C22EE"/>
    <w:rsid w:val="004E31B1"/>
    <w:rsid w:val="004E3533"/>
    <w:rsid w:val="004F441F"/>
    <w:rsid w:val="00514F4B"/>
    <w:rsid w:val="00515A61"/>
    <w:rsid w:val="005A390C"/>
    <w:rsid w:val="005F2D38"/>
    <w:rsid w:val="00607335"/>
    <w:rsid w:val="00623880"/>
    <w:rsid w:val="00641669"/>
    <w:rsid w:val="00655E55"/>
    <w:rsid w:val="0068737F"/>
    <w:rsid w:val="006A2706"/>
    <w:rsid w:val="006B5195"/>
    <w:rsid w:val="007051B6"/>
    <w:rsid w:val="00723D69"/>
    <w:rsid w:val="00767D32"/>
    <w:rsid w:val="00777631"/>
    <w:rsid w:val="007A0AD0"/>
    <w:rsid w:val="007A1065"/>
    <w:rsid w:val="007D34F7"/>
    <w:rsid w:val="007E387C"/>
    <w:rsid w:val="007E5A52"/>
    <w:rsid w:val="007F277A"/>
    <w:rsid w:val="00822CE2"/>
    <w:rsid w:val="00863C83"/>
    <w:rsid w:val="00877649"/>
    <w:rsid w:val="00890AA6"/>
    <w:rsid w:val="008B67ED"/>
    <w:rsid w:val="00906B18"/>
    <w:rsid w:val="00934BF6"/>
    <w:rsid w:val="00936002"/>
    <w:rsid w:val="00970FDE"/>
    <w:rsid w:val="009A6574"/>
    <w:rsid w:val="00A14632"/>
    <w:rsid w:val="00A20679"/>
    <w:rsid w:val="00A37D57"/>
    <w:rsid w:val="00A54FD2"/>
    <w:rsid w:val="00A76160"/>
    <w:rsid w:val="00A80A1D"/>
    <w:rsid w:val="00AB62B1"/>
    <w:rsid w:val="00AE2628"/>
    <w:rsid w:val="00B02CB9"/>
    <w:rsid w:val="00B27806"/>
    <w:rsid w:val="00B44BD7"/>
    <w:rsid w:val="00BA3BA8"/>
    <w:rsid w:val="00BA7CD1"/>
    <w:rsid w:val="00BC5F1B"/>
    <w:rsid w:val="00BD109F"/>
    <w:rsid w:val="00BD33AD"/>
    <w:rsid w:val="00BD7250"/>
    <w:rsid w:val="00C1073C"/>
    <w:rsid w:val="00C52BDC"/>
    <w:rsid w:val="00C53381"/>
    <w:rsid w:val="00C56EB5"/>
    <w:rsid w:val="00C6015C"/>
    <w:rsid w:val="00C63DA4"/>
    <w:rsid w:val="00C82E20"/>
    <w:rsid w:val="00CA03D3"/>
    <w:rsid w:val="00CC1FB2"/>
    <w:rsid w:val="00CD0395"/>
    <w:rsid w:val="00CF460E"/>
    <w:rsid w:val="00D6303B"/>
    <w:rsid w:val="00D903F7"/>
    <w:rsid w:val="00D91644"/>
    <w:rsid w:val="00DC571E"/>
    <w:rsid w:val="00DC731A"/>
    <w:rsid w:val="00DF01AE"/>
    <w:rsid w:val="00E26AE1"/>
    <w:rsid w:val="00E30906"/>
    <w:rsid w:val="00E81450"/>
    <w:rsid w:val="00EC5E21"/>
    <w:rsid w:val="00EE7AF1"/>
    <w:rsid w:val="00EF3E9C"/>
    <w:rsid w:val="00EF4366"/>
    <w:rsid w:val="00EF466B"/>
    <w:rsid w:val="00EF4AFD"/>
    <w:rsid w:val="00F00654"/>
    <w:rsid w:val="00F03EA1"/>
    <w:rsid w:val="00F1526E"/>
    <w:rsid w:val="00F15EEF"/>
    <w:rsid w:val="00F431F9"/>
    <w:rsid w:val="00F51618"/>
    <w:rsid w:val="00FA4568"/>
    <w:rsid w:val="00FB3013"/>
    <w:rsid w:val="00FE30CF"/>
    <w:rsid w:val="00FF05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125C625"/>
  <w15:chartTrackingRefBased/>
  <w15:docId w15:val="{0CC037D7-D53E-43E1-A798-D65CB9495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napToGrid w:val="0"/>
      <w:kern w:val="28"/>
      <w:sz w:val="22"/>
    </w:rPr>
  </w:style>
  <w:style w:type="paragraph" w:styleId="Heading1">
    <w:name w:val="heading 1"/>
    <w:basedOn w:val="Normal"/>
    <w:next w:val="ParaNum"/>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pPr>
      <w:numPr>
        <w:ilvl w:val="5"/>
        <w:numId w:val="3"/>
      </w:numPr>
      <w:tabs>
        <w:tab w:val="left" w:pos="4320"/>
      </w:tabs>
      <w:spacing w:after="120"/>
      <w:outlineLvl w:val="5"/>
    </w:pPr>
    <w:rPr>
      <w:b/>
    </w:rPr>
  </w:style>
  <w:style w:type="paragraph" w:styleId="Heading7">
    <w:name w:val="heading 7"/>
    <w:basedOn w:val="Normal"/>
    <w:next w:val="ParaNum"/>
    <w:qFormat/>
    <w:pPr>
      <w:numPr>
        <w:ilvl w:val="6"/>
        <w:numId w:val="3"/>
      </w:numPr>
      <w:tabs>
        <w:tab w:val="left" w:pos="5040"/>
      </w:tabs>
      <w:spacing w:after="120"/>
      <w:ind w:left="5040" w:hanging="720"/>
      <w:outlineLvl w:val="6"/>
    </w:pPr>
    <w:rPr>
      <w:b/>
    </w:rPr>
  </w:style>
  <w:style w:type="paragraph" w:styleId="Heading8">
    <w:name w:val="heading 8"/>
    <w:basedOn w:val="Normal"/>
    <w:next w:val="ParaNum"/>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semiHidden/>
    <w:pPr>
      <w:spacing w:after="120"/>
    </w:pPr>
  </w:style>
  <w:style w:type="character" w:styleId="FootnoteReference">
    <w:name w:val="footnote reference"/>
    <w:semiHidden/>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rPr>
      <w:color w:val="0000FF"/>
      <w:u w:val="single"/>
    </w:rPr>
  </w:style>
  <w:style w:type="character" w:customStyle="1" w:styleId="FooterChar">
    <w:name w:val="Footer Char"/>
    <w:link w:val="Footer"/>
    <w:uiPriority w:val="99"/>
    <w:rPr>
      <w:snapToGrid w:val="0"/>
      <w:kern w:val="28"/>
      <w:sz w:val="22"/>
    </w:rPr>
  </w:style>
  <w:style w:type="character" w:styleId="UnresolvedMention">
    <w:name w:val="Unresolved Mention"/>
    <w:uiPriority w:val="99"/>
    <w:semiHidden/>
    <w:unhideWhenUsed/>
    <w:rPr>
      <w:color w:val="605E5C"/>
      <w:shd w:val="clear" w:color="auto" w:fill="E1DFDD"/>
    </w:rPr>
  </w:style>
  <w:style w:type="paragraph" w:styleId="Revision">
    <w:name w:val="Revision"/>
    <w:hidden/>
    <w:uiPriority w:val="99"/>
    <w:semiHidden/>
    <w:rsid w:val="00304B35"/>
    <w:rPr>
      <w:snapToGrid w:val="0"/>
      <w:kern w:val="28"/>
      <w:sz w:val="22"/>
    </w:rPr>
  </w:style>
  <w:style w:type="character" w:styleId="CommentReference">
    <w:name w:val="annotation reference"/>
    <w:uiPriority w:val="99"/>
    <w:semiHidden/>
    <w:unhideWhenUsed/>
    <w:rsid w:val="00822CE2"/>
    <w:rPr>
      <w:sz w:val="16"/>
      <w:szCs w:val="16"/>
    </w:rPr>
  </w:style>
  <w:style w:type="paragraph" w:styleId="CommentText">
    <w:name w:val="annotation text"/>
    <w:basedOn w:val="Normal"/>
    <w:link w:val="CommentTextChar"/>
    <w:uiPriority w:val="99"/>
    <w:unhideWhenUsed/>
    <w:rsid w:val="00822CE2"/>
    <w:rPr>
      <w:sz w:val="20"/>
    </w:rPr>
  </w:style>
  <w:style w:type="character" w:customStyle="1" w:styleId="CommentTextChar">
    <w:name w:val="Comment Text Char"/>
    <w:link w:val="CommentText"/>
    <w:uiPriority w:val="99"/>
    <w:rsid w:val="00822CE2"/>
    <w:rPr>
      <w:snapToGrid w:val="0"/>
      <w:kern w:val="28"/>
    </w:rPr>
  </w:style>
  <w:style w:type="paragraph" w:styleId="CommentSubject">
    <w:name w:val="annotation subject"/>
    <w:basedOn w:val="CommentText"/>
    <w:next w:val="CommentText"/>
    <w:link w:val="CommentSubjectChar"/>
    <w:uiPriority w:val="99"/>
    <w:semiHidden/>
    <w:unhideWhenUsed/>
    <w:rsid w:val="00822CE2"/>
    <w:rPr>
      <w:b/>
      <w:bCs/>
    </w:rPr>
  </w:style>
  <w:style w:type="character" w:customStyle="1" w:styleId="CommentSubjectChar">
    <w:name w:val="Comment Subject Char"/>
    <w:link w:val="CommentSubject"/>
    <w:uiPriority w:val="99"/>
    <w:semiHidden/>
    <w:rsid w:val="00822CE2"/>
    <w:rPr>
      <w:b/>
      <w:bCs/>
      <w:snapToGrid w:val="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Public%20Notice%20Portrait.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Public Notice Portrait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