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BA3BA8" w14:paraId="6BE9D7FC" w14:textId="77777777">
      <w:pPr>
        <w:jc w:val="right"/>
        <w:rPr>
          <w:sz w:val="24"/>
        </w:rPr>
      </w:pPr>
    </w:p>
    <w:p w:rsidR="00BA3BA8" w14:paraId="4863713A" w14:textId="319908BB">
      <w:pPr>
        <w:jc w:val="right"/>
        <w:rPr>
          <w:b/>
          <w:sz w:val="24"/>
        </w:rPr>
      </w:pPr>
      <w:r>
        <w:rPr>
          <w:b/>
          <w:sz w:val="24"/>
        </w:rPr>
        <w:t>DA 26-</w:t>
      </w:r>
      <w:r w:rsidR="0039280C">
        <w:rPr>
          <w:b/>
          <w:sz w:val="24"/>
        </w:rPr>
        <w:t>783</w:t>
      </w:r>
    </w:p>
    <w:p w:rsidR="00BA3BA8" w14:paraId="29FB9D3B" w14:textId="0E24596E">
      <w:pPr>
        <w:spacing w:before="60"/>
        <w:jc w:val="right"/>
        <w:rPr>
          <w:b/>
          <w:sz w:val="24"/>
        </w:rPr>
      </w:pPr>
      <w:r>
        <w:rPr>
          <w:b/>
          <w:sz w:val="24"/>
        </w:rPr>
        <w:t xml:space="preserve">Released:  </w:t>
      </w:r>
      <w:r w:rsidR="00AC0FCF">
        <w:rPr>
          <w:b/>
          <w:sz w:val="24"/>
        </w:rPr>
        <w:t>July 27, 2026</w:t>
      </w:r>
    </w:p>
    <w:p w:rsidR="00BA3BA8" w14:paraId="34CBAE23" w14:textId="77777777">
      <w:pPr>
        <w:jc w:val="right"/>
        <w:rPr>
          <w:sz w:val="24"/>
        </w:rPr>
      </w:pPr>
    </w:p>
    <w:p w:rsidR="00BA3BA8" w14:paraId="04E4360E" w14:textId="5FC1E17C">
      <w:pPr>
        <w:spacing w:after="240"/>
        <w:jc w:val="center"/>
        <w:rPr>
          <w:rFonts w:ascii="Times New Roman Bold" w:hAnsi="Times New Roman Bold"/>
          <w:b/>
          <w:caps/>
          <w:sz w:val="24"/>
        </w:rPr>
      </w:pPr>
      <w:r w:rsidRPr="00A12BBA">
        <w:rPr>
          <w:rFonts w:ascii="Times New Roman Bold" w:hAnsi="Times New Roman Bold"/>
          <w:b/>
          <w:i/>
          <w:iCs/>
          <w:caps/>
          <w:sz w:val="24"/>
        </w:rPr>
        <w:t>ex parte</w:t>
      </w:r>
      <w:r>
        <w:rPr>
          <w:rFonts w:ascii="Times New Roman Bold" w:hAnsi="Times New Roman Bold"/>
          <w:b/>
          <w:caps/>
          <w:sz w:val="24"/>
        </w:rPr>
        <w:t xml:space="preserve"> status of </w:t>
      </w:r>
      <w:r w:rsidR="00F936C6">
        <w:rPr>
          <w:rFonts w:ascii="Times New Roman Bold" w:hAnsi="Times New Roman Bold"/>
          <w:b/>
          <w:caps/>
          <w:sz w:val="24"/>
        </w:rPr>
        <w:t xml:space="preserve">CERTAIN </w:t>
      </w:r>
      <w:r>
        <w:rPr>
          <w:rFonts w:ascii="Times New Roman Bold" w:hAnsi="Times New Roman Bold"/>
          <w:b/>
          <w:caps/>
          <w:sz w:val="24"/>
        </w:rPr>
        <w:t xml:space="preserve">communications </w:t>
      </w:r>
      <w:r w:rsidR="008F4A59">
        <w:rPr>
          <w:rFonts w:ascii="Times New Roman Bold" w:hAnsi="Times New Roman Bold"/>
          <w:b/>
          <w:caps/>
          <w:sz w:val="24"/>
        </w:rPr>
        <w:t>related</w:t>
      </w:r>
      <w:r>
        <w:rPr>
          <w:rFonts w:ascii="Times New Roman Bold" w:hAnsi="Times New Roman Bold"/>
          <w:b/>
          <w:caps/>
          <w:sz w:val="24"/>
        </w:rPr>
        <w:t xml:space="preserve"> to </w:t>
      </w:r>
      <w:r w:rsidR="00A12BBA">
        <w:rPr>
          <w:rFonts w:ascii="Times New Roman Bold" w:hAnsi="Times New Roman Bold"/>
          <w:b/>
          <w:caps/>
          <w:sz w:val="24"/>
        </w:rPr>
        <w:t xml:space="preserve">the </w:t>
      </w:r>
      <w:r>
        <w:rPr>
          <w:rFonts w:ascii="Times New Roman Bold" w:hAnsi="Times New Roman Bold"/>
          <w:b/>
          <w:caps/>
          <w:sz w:val="24"/>
        </w:rPr>
        <w:t xml:space="preserve">development of </w:t>
      </w:r>
      <w:r w:rsidR="00A12BBA">
        <w:rPr>
          <w:rFonts w:ascii="Times New Roman Bold" w:hAnsi="Times New Roman Bold"/>
          <w:b/>
          <w:caps/>
          <w:sz w:val="24"/>
        </w:rPr>
        <w:t>a</w:t>
      </w:r>
      <w:r w:rsidR="00F936C6">
        <w:rPr>
          <w:rFonts w:ascii="Times New Roman Bold" w:hAnsi="Times New Roman Bold"/>
          <w:b/>
          <w:caps/>
          <w:sz w:val="24"/>
        </w:rPr>
        <w:t>N INITIAL</w:t>
      </w:r>
      <w:r w:rsidR="00A12BBA">
        <w:rPr>
          <w:rFonts w:ascii="Times New Roman Bold" w:hAnsi="Times New Roman Bold"/>
          <w:b/>
          <w:caps/>
          <w:sz w:val="24"/>
        </w:rPr>
        <w:t xml:space="preserve"> </w:t>
      </w:r>
      <w:r>
        <w:rPr>
          <w:rFonts w:ascii="Times New Roman Bold" w:hAnsi="Times New Roman Bold"/>
          <w:b/>
          <w:caps/>
          <w:sz w:val="24"/>
        </w:rPr>
        <w:t xml:space="preserve">upper c-band </w:t>
      </w:r>
      <w:r w:rsidR="00A22A65">
        <w:rPr>
          <w:rFonts w:ascii="Times New Roman Bold" w:hAnsi="Times New Roman Bold"/>
          <w:b/>
          <w:caps/>
          <w:sz w:val="24"/>
        </w:rPr>
        <w:t xml:space="preserve">FSS TRANSITION </w:t>
      </w:r>
      <w:r>
        <w:rPr>
          <w:rFonts w:ascii="Times New Roman Bold" w:hAnsi="Times New Roman Bold"/>
          <w:b/>
          <w:caps/>
          <w:sz w:val="24"/>
        </w:rPr>
        <w:t>cost catalog</w:t>
      </w:r>
      <w:r w:rsidR="00F936C6">
        <w:rPr>
          <w:rFonts w:ascii="Times New Roman Bold" w:hAnsi="Times New Roman Bold"/>
          <w:b/>
          <w:caps/>
          <w:sz w:val="24"/>
        </w:rPr>
        <w:t xml:space="preserve"> PROPOSAL</w:t>
      </w:r>
    </w:p>
    <w:p w:rsidR="00BA3BA8" w14:paraId="4115CE1F" w14:textId="07FB66CD">
      <w:pPr>
        <w:jc w:val="center"/>
        <w:rPr>
          <w:b/>
          <w:sz w:val="24"/>
        </w:rPr>
      </w:pPr>
      <w:r>
        <w:rPr>
          <w:b/>
          <w:sz w:val="24"/>
        </w:rPr>
        <w:t>GN Docket No. 25-59</w:t>
      </w:r>
    </w:p>
    <w:p w:rsidR="00205330" w14:paraId="66A698A2" w14:textId="77777777">
      <w:pPr>
        <w:jc w:val="center"/>
        <w:rPr>
          <w:b/>
          <w:sz w:val="24"/>
        </w:rPr>
      </w:pPr>
    </w:p>
    <w:p w:rsidR="00205330" w:rsidP="00205330" w14:paraId="2997147A" w14:textId="079F81A3">
      <w:pPr>
        <w:rPr>
          <w:bCs/>
          <w:szCs w:val="22"/>
        </w:rPr>
      </w:pPr>
      <w:r w:rsidRPr="00C06945">
        <w:rPr>
          <w:b/>
          <w:szCs w:val="22"/>
        </w:rPr>
        <w:tab/>
      </w:r>
      <w:r w:rsidR="00671AC8">
        <w:rPr>
          <w:bCs/>
          <w:szCs w:val="22"/>
        </w:rPr>
        <w:t>T</w:t>
      </w:r>
      <w:r w:rsidR="0070564D">
        <w:t>he</w:t>
      </w:r>
      <w:r w:rsidR="00D010B4">
        <w:t xml:space="preserve"> Wireless Telecommunications</w:t>
      </w:r>
      <w:r w:rsidR="0070564D">
        <w:t xml:space="preserve"> Bureau </w:t>
      </w:r>
      <w:r w:rsidR="00D010B4">
        <w:t>(Bureau)</w:t>
      </w:r>
      <w:r w:rsidR="00671AC8">
        <w:t>, pursuant to section 1.1200(a) of the Commission’s rules,</w:t>
      </w:r>
      <w:r>
        <w:rPr>
          <w:rStyle w:val="FootnoteReference"/>
        </w:rPr>
        <w:footnoteReference w:id="3"/>
      </w:r>
      <w:r w:rsidR="00D010B4">
        <w:t xml:space="preserve"> hereby</w:t>
      </w:r>
      <w:r w:rsidR="0070564D">
        <w:t xml:space="preserve"> modifies the Commission’s </w:t>
      </w:r>
      <w:r w:rsidRPr="00A379D1" w:rsidR="0070564D">
        <w:rPr>
          <w:i/>
          <w:iCs/>
        </w:rPr>
        <w:t xml:space="preserve">ex </w:t>
      </w:r>
      <w:r w:rsidRPr="00A379D1" w:rsidR="0070564D">
        <w:rPr>
          <w:i/>
          <w:iCs/>
        </w:rPr>
        <w:t>parte</w:t>
      </w:r>
      <w:r w:rsidR="0070564D">
        <w:t xml:space="preserve"> rules to treat as exempt non-policy discussions between </w:t>
      </w:r>
      <w:r w:rsidR="00B73752">
        <w:t xml:space="preserve">vendors and other </w:t>
      </w:r>
      <w:r w:rsidR="0070564D">
        <w:t xml:space="preserve">Upper C-band stakeholders and </w:t>
      </w:r>
      <w:r w:rsidR="006C3D29">
        <w:t xml:space="preserve">the Commission’s contractor </w:t>
      </w:r>
      <w:r w:rsidR="0070564D">
        <w:t>Teltrium</w:t>
      </w:r>
      <w:r w:rsidR="00D660C0">
        <w:t>, Inc. (</w:t>
      </w:r>
      <w:r w:rsidR="00D660C0">
        <w:t>Teltrium</w:t>
      </w:r>
      <w:r w:rsidR="00D660C0">
        <w:t>)</w:t>
      </w:r>
      <w:r w:rsidR="0070564D">
        <w:t xml:space="preserve"> </w:t>
      </w:r>
      <w:r w:rsidR="002875B8">
        <w:t xml:space="preserve">for purposes of </w:t>
      </w:r>
      <w:r w:rsidR="0070564D">
        <w:t>develop</w:t>
      </w:r>
      <w:r w:rsidR="002875B8">
        <w:t>ing</w:t>
      </w:r>
      <w:r w:rsidR="0070564D">
        <w:t xml:space="preserve"> an initial </w:t>
      </w:r>
      <w:r w:rsidR="003E534F">
        <w:t>proposed</w:t>
      </w:r>
      <w:r w:rsidR="0070564D">
        <w:t xml:space="preserve"> Cost Catalog</w:t>
      </w:r>
      <w:r w:rsidR="00225689">
        <w:t xml:space="preserve"> </w:t>
      </w:r>
      <w:r w:rsidR="003E534F">
        <w:t xml:space="preserve">as </w:t>
      </w:r>
      <w:r w:rsidR="00263CBA">
        <w:t>directed</w:t>
      </w:r>
      <w:r w:rsidR="00693024">
        <w:t xml:space="preserve"> </w:t>
      </w:r>
      <w:r w:rsidR="0018362D">
        <w:t xml:space="preserve">by the </w:t>
      </w:r>
      <w:r w:rsidRPr="00C06945" w:rsidR="00C06945">
        <w:rPr>
          <w:bCs/>
          <w:i/>
          <w:iCs/>
          <w:szCs w:val="22"/>
        </w:rPr>
        <w:t>Upper C-band R&amp;O</w:t>
      </w:r>
      <w:r w:rsidR="002875B8">
        <w:rPr>
          <w:bCs/>
          <w:szCs w:val="22"/>
        </w:rPr>
        <w:t>.</w:t>
      </w:r>
      <w:r>
        <w:rPr>
          <w:rStyle w:val="FootnoteReference"/>
          <w:bCs/>
          <w:szCs w:val="22"/>
        </w:rPr>
        <w:footnoteReference w:id="4"/>
      </w:r>
      <w:r w:rsidR="002875B8">
        <w:rPr>
          <w:bCs/>
          <w:szCs w:val="22"/>
        </w:rPr>
        <w:t xml:space="preserve">  </w:t>
      </w:r>
      <w:r w:rsidR="00685645">
        <w:rPr>
          <w:bCs/>
          <w:szCs w:val="22"/>
        </w:rPr>
        <w:t xml:space="preserve">The </w:t>
      </w:r>
      <w:r w:rsidR="00685645">
        <w:rPr>
          <w:bCs/>
          <w:i/>
          <w:iCs/>
          <w:szCs w:val="22"/>
        </w:rPr>
        <w:t xml:space="preserve">Upper C-band R&amp;O </w:t>
      </w:r>
      <w:r w:rsidR="00685645">
        <w:rPr>
          <w:bCs/>
          <w:szCs w:val="22"/>
        </w:rPr>
        <w:t xml:space="preserve">promulgates </w:t>
      </w:r>
      <w:r w:rsidR="00C06945">
        <w:rPr>
          <w:bCs/>
          <w:szCs w:val="22"/>
        </w:rPr>
        <w:t>rules to make 160 megahertz of the Upper C-band available for terrestrial wireless use in the contiguous United States by transitioning existing operations out of the 4.0–4.16 GHz portion of the band.</w:t>
      </w:r>
      <w:r>
        <w:rPr>
          <w:rStyle w:val="FootnoteReference"/>
          <w:bCs/>
          <w:szCs w:val="22"/>
        </w:rPr>
        <w:footnoteReference w:id="5"/>
      </w:r>
      <w:r w:rsidR="00C06945">
        <w:rPr>
          <w:bCs/>
          <w:szCs w:val="22"/>
        </w:rPr>
        <w:t xml:space="preserve">  </w:t>
      </w:r>
      <w:r w:rsidR="00FC5594">
        <w:rPr>
          <w:bCs/>
          <w:szCs w:val="22"/>
        </w:rPr>
        <w:t>T</w:t>
      </w:r>
      <w:r w:rsidR="00A51365">
        <w:rPr>
          <w:bCs/>
          <w:szCs w:val="22"/>
        </w:rPr>
        <w:t xml:space="preserve">he Commission </w:t>
      </w:r>
      <w:r w:rsidR="00296478">
        <w:rPr>
          <w:bCs/>
          <w:szCs w:val="22"/>
        </w:rPr>
        <w:t xml:space="preserve">required new Upper C-band licensees to reimburse specific </w:t>
      </w:r>
      <w:r w:rsidR="00A17E86">
        <w:rPr>
          <w:bCs/>
          <w:szCs w:val="22"/>
        </w:rPr>
        <w:t xml:space="preserve">categories of eligible </w:t>
      </w:r>
      <w:r w:rsidR="00CA54CA">
        <w:rPr>
          <w:bCs/>
          <w:szCs w:val="22"/>
        </w:rPr>
        <w:t xml:space="preserve">Fixed Satellite Service (FSS) </w:t>
      </w:r>
      <w:r w:rsidR="00296478">
        <w:rPr>
          <w:bCs/>
          <w:szCs w:val="22"/>
        </w:rPr>
        <w:t xml:space="preserve">incumbents for the reasonable and necessary </w:t>
      </w:r>
      <w:r w:rsidR="003E48CA">
        <w:rPr>
          <w:bCs/>
          <w:szCs w:val="22"/>
        </w:rPr>
        <w:t xml:space="preserve">costs of transitioning their </w:t>
      </w:r>
      <w:r w:rsidR="00CA54CA">
        <w:rPr>
          <w:bCs/>
          <w:szCs w:val="22"/>
        </w:rPr>
        <w:t xml:space="preserve">services out of </w:t>
      </w:r>
      <w:r w:rsidR="001201F5">
        <w:rPr>
          <w:bCs/>
          <w:szCs w:val="22"/>
        </w:rPr>
        <w:t>4.0–4.16 GHz.</w:t>
      </w:r>
      <w:r>
        <w:rPr>
          <w:rStyle w:val="FootnoteReference"/>
          <w:bCs/>
          <w:szCs w:val="22"/>
        </w:rPr>
        <w:footnoteReference w:id="6"/>
      </w:r>
      <w:r w:rsidR="001201F5">
        <w:rPr>
          <w:bCs/>
          <w:szCs w:val="22"/>
        </w:rPr>
        <w:t xml:space="preserve"> </w:t>
      </w:r>
      <w:r w:rsidR="006000D6">
        <w:rPr>
          <w:bCs/>
          <w:szCs w:val="22"/>
        </w:rPr>
        <w:t xml:space="preserve"> </w:t>
      </w:r>
      <w:r w:rsidR="00C06945">
        <w:rPr>
          <w:bCs/>
          <w:szCs w:val="22"/>
        </w:rPr>
        <w:t xml:space="preserve">The Commission delegated to the Bureau </w:t>
      </w:r>
      <w:r w:rsidR="00D6562D">
        <w:rPr>
          <w:bCs/>
          <w:szCs w:val="22"/>
        </w:rPr>
        <w:t>broad</w:t>
      </w:r>
      <w:r w:rsidR="00C06945">
        <w:rPr>
          <w:bCs/>
          <w:szCs w:val="22"/>
        </w:rPr>
        <w:t xml:space="preserve"> authority to develop a Cost Catalog to provide guidance to eligible </w:t>
      </w:r>
      <w:r w:rsidR="001201F5">
        <w:rPr>
          <w:bCs/>
          <w:szCs w:val="22"/>
        </w:rPr>
        <w:t>FSS</w:t>
      </w:r>
      <w:r w:rsidR="00C06945">
        <w:rPr>
          <w:bCs/>
          <w:szCs w:val="22"/>
        </w:rPr>
        <w:t xml:space="preserve"> incumbents as well as potential auction bidders about a range of presumptively reasonable transition costs.</w:t>
      </w:r>
      <w:r>
        <w:rPr>
          <w:rStyle w:val="FootnoteReference"/>
          <w:bCs/>
          <w:szCs w:val="22"/>
        </w:rPr>
        <w:footnoteReference w:id="7"/>
      </w:r>
      <w:r w:rsidR="00C06945">
        <w:rPr>
          <w:bCs/>
          <w:szCs w:val="22"/>
        </w:rPr>
        <w:t xml:space="preserve"> </w:t>
      </w:r>
      <w:r w:rsidR="00A67A17">
        <w:rPr>
          <w:bCs/>
          <w:szCs w:val="22"/>
        </w:rPr>
        <w:t xml:space="preserve"> </w:t>
      </w:r>
      <w:r w:rsidR="005C7738">
        <w:rPr>
          <w:bCs/>
          <w:szCs w:val="22"/>
        </w:rPr>
        <w:t xml:space="preserve">The Cost Catalog will also detail the process and relevant categories for incumbent earth station </w:t>
      </w:r>
      <w:r w:rsidR="00D76E22">
        <w:rPr>
          <w:bCs/>
          <w:szCs w:val="22"/>
        </w:rPr>
        <w:t>operators seeking a lump sum payment by choosing to opt out of the formal transition</w:t>
      </w:r>
      <w:r w:rsidR="003232D2">
        <w:rPr>
          <w:bCs/>
          <w:szCs w:val="22"/>
        </w:rPr>
        <w:t xml:space="preserve"> or otherwise transition to an alternative distribution technology.</w:t>
      </w:r>
      <w:r>
        <w:rPr>
          <w:rStyle w:val="FootnoteReference"/>
          <w:bCs/>
          <w:szCs w:val="22"/>
        </w:rPr>
        <w:footnoteReference w:id="8"/>
      </w:r>
    </w:p>
    <w:p w:rsidR="00EE5D8B" w:rsidRPr="00C06945" w:rsidP="00205330" w14:paraId="33E3946A" w14:textId="77777777">
      <w:pPr>
        <w:rPr>
          <w:bCs/>
          <w:szCs w:val="22"/>
        </w:rPr>
      </w:pPr>
    </w:p>
    <w:p w:rsidR="0012526E" w:rsidP="00253CAA" w14:paraId="61D6DC4C" w14:textId="1A4F3C55">
      <w:pPr>
        <w:ind w:firstLine="720"/>
      </w:pPr>
      <w:r>
        <w:t>T</w:t>
      </w:r>
      <w:r w:rsidR="001B47CE">
        <w:t xml:space="preserve">he Commission </w:t>
      </w:r>
      <w:r w:rsidR="007D701E">
        <w:t>directed the Bureau to seek public comment on a</w:t>
      </w:r>
      <w:r w:rsidR="00FD6E59">
        <w:t xml:space="preserve"> </w:t>
      </w:r>
      <w:r w:rsidR="007C1AB0">
        <w:t>proposed</w:t>
      </w:r>
      <w:r w:rsidR="00A82396">
        <w:t xml:space="preserve"> FSS </w:t>
      </w:r>
      <w:r w:rsidR="0067316A">
        <w:t>transition</w:t>
      </w:r>
      <w:r w:rsidR="007D701E">
        <w:t xml:space="preserve"> Cost Catalog</w:t>
      </w:r>
      <w:r w:rsidR="003C5B03">
        <w:t>, and to</w:t>
      </w:r>
      <w:r w:rsidR="00BF26DB">
        <w:t xml:space="preserve"> then</w:t>
      </w:r>
      <w:r w:rsidR="003C5B03">
        <w:t xml:space="preserve"> finalize </w:t>
      </w:r>
      <w:r w:rsidR="00BF26DB">
        <w:t>the Cost Catalog</w:t>
      </w:r>
      <w:r w:rsidR="003C5B03">
        <w:t xml:space="preserve"> no later than six months after the </w:t>
      </w:r>
      <w:r w:rsidRPr="003C5B03" w:rsidR="003C5B03">
        <w:rPr>
          <w:i/>
          <w:iCs/>
        </w:rPr>
        <w:t>Upper C-band R&amp;O</w:t>
      </w:r>
      <w:r w:rsidR="003C5B03">
        <w:t xml:space="preserve"> </w:t>
      </w:r>
      <w:r w:rsidR="00A413C6">
        <w:t>is</w:t>
      </w:r>
      <w:r w:rsidR="003C5B03">
        <w:t xml:space="preserve"> released.</w:t>
      </w:r>
      <w:r>
        <w:rPr>
          <w:rStyle w:val="FootnoteReference"/>
        </w:rPr>
        <w:footnoteReference w:id="9"/>
      </w:r>
      <w:r w:rsidR="007E7FCB">
        <w:t xml:space="preserve">  To that end, the Bureau </w:t>
      </w:r>
      <w:r w:rsidR="00474635">
        <w:t xml:space="preserve">has </w:t>
      </w:r>
      <w:r w:rsidR="001C44BB">
        <w:t xml:space="preserve">engaged </w:t>
      </w:r>
      <w:r w:rsidR="001C44BB">
        <w:t>Teltrium</w:t>
      </w:r>
      <w:r w:rsidR="005C424B">
        <w:t xml:space="preserve"> </w:t>
      </w:r>
      <w:r w:rsidR="001C44BB">
        <w:t xml:space="preserve">to consult and assist with the </w:t>
      </w:r>
      <w:r w:rsidR="0058659C">
        <w:t>Cost Catalog’s development</w:t>
      </w:r>
      <w:r w:rsidR="00D46F09">
        <w:t xml:space="preserve">.  </w:t>
      </w:r>
      <w:r w:rsidR="00297708">
        <w:t xml:space="preserve">In </w:t>
      </w:r>
      <w:r w:rsidR="00BC7780">
        <w:t>order to</w:t>
      </w:r>
      <w:r w:rsidR="00297708">
        <w:t xml:space="preserve"> </w:t>
      </w:r>
      <w:r w:rsidR="00B65AFD">
        <w:t xml:space="preserve">develop an initial proposal </w:t>
      </w:r>
      <w:r w:rsidR="009643B9">
        <w:t>on which the Bureau will seek public comment</w:t>
      </w:r>
      <w:r w:rsidR="00297708">
        <w:t xml:space="preserve">, </w:t>
      </w:r>
      <w:r w:rsidR="00297708">
        <w:t>Teltrium</w:t>
      </w:r>
      <w:r w:rsidR="00297708">
        <w:t xml:space="preserve"> </w:t>
      </w:r>
      <w:r w:rsidR="009643B9">
        <w:t xml:space="preserve">may </w:t>
      </w:r>
      <w:r w:rsidR="00865F6B">
        <w:t>hold</w:t>
      </w:r>
      <w:r w:rsidR="00297708">
        <w:t xml:space="preserve"> </w:t>
      </w:r>
      <w:r w:rsidR="009643B9">
        <w:t xml:space="preserve">targeted </w:t>
      </w:r>
      <w:r w:rsidR="00297708">
        <w:t xml:space="preserve">confidential meetings with </w:t>
      </w:r>
      <w:r w:rsidR="00E0278A">
        <w:t xml:space="preserve">vendors and other </w:t>
      </w:r>
      <w:r w:rsidR="00297708">
        <w:t>relevant stakeholders</w:t>
      </w:r>
      <w:r w:rsidR="00B349C3">
        <w:t xml:space="preserve"> to gain </w:t>
      </w:r>
      <w:r w:rsidR="00A847F3">
        <w:t xml:space="preserve">background </w:t>
      </w:r>
      <w:r w:rsidR="00B349C3">
        <w:t xml:space="preserve">information on the expected range of </w:t>
      </w:r>
      <w:r w:rsidR="00A847F3">
        <w:t xml:space="preserve">specific </w:t>
      </w:r>
      <w:r w:rsidR="00B349C3">
        <w:t>costs that could be incurred in this transition</w:t>
      </w:r>
      <w:r w:rsidR="0059506F">
        <w:t xml:space="preserve"> which may involve</w:t>
      </w:r>
      <w:r w:rsidR="00B349C3">
        <w:t xml:space="preserve"> </w:t>
      </w:r>
      <w:r w:rsidR="00EA51C3">
        <w:t xml:space="preserve">commercially sensitive cost data.  </w:t>
      </w:r>
      <w:r w:rsidR="00DC7AB0">
        <w:t xml:space="preserve">These </w:t>
      </w:r>
      <w:r w:rsidR="0059506F">
        <w:t xml:space="preserve">informational </w:t>
      </w:r>
      <w:r w:rsidR="00DC7AB0">
        <w:t xml:space="preserve">meetings </w:t>
      </w:r>
      <w:r w:rsidR="00374CFC">
        <w:t xml:space="preserve">with the Commission’s contractor </w:t>
      </w:r>
      <w:r w:rsidR="00DC7AB0">
        <w:t>are</w:t>
      </w:r>
      <w:r w:rsidR="00796FA1">
        <w:t xml:space="preserve"> consistent with past Commission practice in developing </w:t>
      </w:r>
      <w:r w:rsidR="0059506F">
        <w:t xml:space="preserve">initial drafts of </w:t>
      </w:r>
      <w:r w:rsidR="00796FA1">
        <w:t>other cost catalogs</w:t>
      </w:r>
      <w:r w:rsidR="00331263">
        <w:t>.</w:t>
      </w:r>
      <w:r>
        <w:rPr>
          <w:rStyle w:val="FootnoteReference"/>
        </w:rPr>
        <w:footnoteReference w:id="10"/>
      </w:r>
      <w:r w:rsidR="00796FA1">
        <w:t xml:space="preserve"> </w:t>
      </w:r>
      <w:r w:rsidR="00331263">
        <w:t xml:space="preserve"> </w:t>
      </w:r>
      <w:r w:rsidR="00FB4978">
        <w:t>Teltrium</w:t>
      </w:r>
      <w:r w:rsidR="00FB4978">
        <w:t xml:space="preserve"> will </w:t>
      </w:r>
      <w:r w:rsidR="008F4B07">
        <w:t xml:space="preserve">conduct </w:t>
      </w:r>
      <w:r w:rsidR="00C40875">
        <w:t>an independent</w:t>
      </w:r>
      <w:r w:rsidR="008F4B07">
        <w:t xml:space="preserve"> analysis of</w:t>
      </w:r>
      <w:r w:rsidR="00FB4978">
        <w:t xml:space="preserve"> </w:t>
      </w:r>
      <w:r w:rsidR="008F4B07">
        <w:t xml:space="preserve">the information that it obtains from </w:t>
      </w:r>
      <w:r w:rsidR="0045527B">
        <w:t xml:space="preserve">its confidential </w:t>
      </w:r>
      <w:r w:rsidR="008F4B07">
        <w:t>meetings</w:t>
      </w:r>
      <w:r w:rsidR="0094599B">
        <w:t xml:space="preserve"> in order to </w:t>
      </w:r>
      <w:r w:rsidR="00374CFC">
        <w:t>prepare an initial draft</w:t>
      </w:r>
      <w:r w:rsidR="001256B2">
        <w:t xml:space="preserve"> of</w:t>
      </w:r>
      <w:r w:rsidR="0094599B">
        <w:t xml:space="preserve"> the </w:t>
      </w:r>
      <w:r w:rsidR="00BC28A1">
        <w:t>proposed</w:t>
      </w:r>
      <w:r w:rsidR="0094599B">
        <w:t xml:space="preserve"> Cost Catalog</w:t>
      </w:r>
      <w:r w:rsidR="00374CFC">
        <w:t xml:space="preserve"> for consideration by Bureau staff, who will remain the ultimate decision makers</w:t>
      </w:r>
      <w:r w:rsidR="00423657">
        <w:t xml:space="preserve"> pursuant to their delegated authority in the </w:t>
      </w:r>
      <w:r w:rsidRPr="00D73645" w:rsidR="00423657">
        <w:rPr>
          <w:i/>
          <w:iCs/>
        </w:rPr>
        <w:t>Upper C-band R&amp;O</w:t>
      </w:r>
      <w:r w:rsidR="00E4119F">
        <w:t>.</w:t>
      </w:r>
      <w:r w:rsidR="006C02B2">
        <w:t xml:space="preserve">  </w:t>
      </w:r>
      <w:r w:rsidR="00FD5B49">
        <w:t xml:space="preserve">It is not anticipated that these discussions will include any discussions of or advocacy related </w:t>
      </w:r>
      <w:r w:rsidR="00E42A3D">
        <w:t xml:space="preserve">to </w:t>
      </w:r>
      <w:r w:rsidR="00FD5B49">
        <w:t xml:space="preserve">the merits of policy actions pending before the Commission.  </w:t>
      </w:r>
      <w:r w:rsidR="006C02B2">
        <w:t xml:space="preserve">Further, once an initial draft Cost Catalog is released for public comment, all </w:t>
      </w:r>
      <w:r w:rsidR="00D914D1">
        <w:t xml:space="preserve">stakeholder </w:t>
      </w:r>
      <w:r w:rsidR="00C40875">
        <w:t xml:space="preserve">communications </w:t>
      </w:r>
      <w:r w:rsidR="00D914D1">
        <w:t>Teltrium</w:t>
      </w:r>
      <w:r w:rsidR="00D914D1">
        <w:t xml:space="preserve"> </w:t>
      </w:r>
      <w:r w:rsidR="00C40875">
        <w:t xml:space="preserve">undertakes from that </w:t>
      </w:r>
      <w:r w:rsidR="00D914D1">
        <w:t xml:space="preserve">point forward will be subject to the Commission’s </w:t>
      </w:r>
      <w:r w:rsidRPr="007149B8" w:rsidR="00D914D1">
        <w:rPr>
          <w:i/>
          <w:iCs/>
        </w:rPr>
        <w:t xml:space="preserve">ex </w:t>
      </w:r>
      <w:r w:rsidRPr="007149B8" w:rsidR="00D914D1">
        <w:rPr>
          <w:i/>
          <w:iCs/>
        </w:rPr>
        <w:t>parte</w:t>
      </w:r>
      <w:r w:rsidR="00D914D1">
        <w:t xml:space="preserve"> rules.</w:t>
      </w:r>
      <w:r w:rsidR="00E4119F">
        <w:t xml:space="preserve">  </w:t>
      </w:r>
      <w:r w:rsidR="00175452">
        <w:t xml:space="preserve">  </w:t>
      </w:r>
    </w:p>
    <w:p w:rsidR="0012526E" w:rsidP="00A379D1" w14:paraId="39FE01F5" w14:textId="77777777"/>
    <w:p w:rsidR="00A379D1" w:rsidP="00253CAA" w14:paraId="1BA714E9" w14:textId="5F748E50">
      <w:pPr>
        <w:ind w:firstLine="720"/>
      </w:pPr>
      <w:r>
        <w:t>The Bureau finds that</w:t>
      </w:r>
      <w:r w:rsidR="00FD5B49">
        <w:t xml:space="preserve"> </w:t>
      </w:r>
      <w:r>
        <w:t xml:space="preserve">modifying the applicable </w:t>
      </w:r>
      <w:r w:rsidRPr="00253CAA">
        <w:rPr>
          <w:i/>
          <w:iCs/>
        </w:rPr>
        <w:t xml:space="preserve">ex </w:t>
      </w:r>
      <w:r w:rsidRPr="00253CAA">
        <w:rPr>
          <w:i/>
          <w:iCs/>
        </w:rPr>
        <w:t>parte</w:t>
      </w:r>
      <w:r>
        <w:t xml:space="preserve"> rules to exempt such non-policy discussions between Upper C-band stakeholders and </w:t>
      </w:r>
      <w:r>
        <w:t>Teltrium</w:t>
      </w:r>
      <w:r>
        <w:t xml:space="preserve"> </w:t>
      </w:r>
      <w:r w:rsidR="00E037F4">
        <w:t xml:space="preserve">under these conditions </w:t>
      </w:r>
      <w:r>
        <w:t xml:space="preserve">will serve the public interest.  </w:t>
      </w:r>
      <w:r w:rsidR="008F53CD">
        <w:t>The Bureau emphasizes</w:t>
      </w:r>
      <w:r w:rsidR="000C1DFC">
        <w:t>, however,</w:t>
      </w:r>
      <w:r w:rsidR="008F53CD">
        <w:t xml:space="preserve"> that any </w:t>
      </w:r>
      <w:r w:rsidR="0045527B">
        <w:t>discussion or advocacy</w:t>
      </w:r>
      <w:r w:rsidR="008F53CD">
        <w:t xml:space="preserve"> directly re</w:t>
      </w:r>
      <w:r w:rsidR="00050A61">
        <w:t>lated to policy matter</w:t>
      </w:r>
      <w:r w:rsidR="00611EFD">
        <w:t>s</w:t>
      </w:r>
      <w:r w:rsidR="00050A61">
        <w:t xml:space="preserve"> </w:t>
      </w:r>
      <w:r w:rsidR="00B072E2">
        <w:t xml:space="preserve">should be directed to Bureau staff and </w:t>
      </w:r>
      <w:r w:rsidR="005D24F2">
        <w:t>will</w:t>
      </w:r>
      <w:r w:rsidR="00E1341D">
        <w:t xml:space="preserve"> remain subject to the </w:t>
      </w:r>
      <w:r w:rsidR="00982585">
        <w:t>notice and disclosure requirements of</w:t>
      </w:r>
      <w:r w:rsidR="00E1341D">
        <w:t xml:space="preserve"> </w:t>
      </w:r>
      <w:r w:rsidR="00611EFD">
        <w:t xml:space="preserve">the </w:t>
      </w:r>
      <w:r w:rsidR="00E1341D">
        <w:t xml:space="preserve">Commission’s </w:t>
      </w:r>
      <w:r w:rsidRPr="00470B1C" w:rsidR="00E1341D">
        <w:rPr>
          <w:i/>
          <w:iCs/>
        </w:rPr>
        <w:t xml:space="preserve">ex </w:t>
      </w:r>
      <w:r w:rsidRPr="00470B1C" w:rsidR="00E1341D">
        <w:rPr>
          <w:i/>
          <w:iCs/>
        </w:rPr>
        <w:t>parte</w:t>
      </w:r>
      <w:r w:rsidR="00E1341D">
        <w:t xml:space="preserve"> rules</w:t>
      </w:r>
      <w:r w:rsidR="0092633C">
        <w:t xml:space="preserve">.  </w:t>
      </w:r>
      <w:r w:rsidR="00CD4FCA">
        <w:t xml:space="preserve">  </w:t>
      </w:r>
      <w:r w:rsidR="005F0732">
        <w:t xml:space="preserve">  </w:t>
      </w:r>
    </w:p>
    <w:p w:rsidR="00A379D1" w:rsidP="00A379D1" w14:paraId="0BDB0D5F" w14:textId="77777777"/>
    <w:p w:rsidR="00BA3BA8" w:rsidP="00A379D1" w14:paraId="6636A1AE" w14:textId="0A41476E">
      <w:pPr>
        <w:ind w:firstLine="720"/>
      </w:pPr>
      <w:r>
        <w:t xml:space="preserve">Accordingly, </w:t>
      </w:r>
      <w:r w:rsidR="00AE648C">
        <w:t>by this Public Notice, pursuant to section 1.1200(a) of the Commission’s rules,</w:t>
      </w:r>
      <w:r>
        <w:rPr>
          <w:rStyle w:val="FootnoteReference"/>
        </w:rPr>
        <w:footnoteReference w:id="11"/>
      </w:r>
      <w:r w:rsidR="00AE648C">
        <w:t xml:space="preserve"> the Bureau modifies the applicability of the Commission’s </w:t>
      </w:r>
      <w:r w:rsidRPr="00A379D1" w:rsidR="00AE648C">
        <w:rPr>
          <w:i/>
          <w:iCs/>
        </w:rPr>
        <w:t xml:space="preserve">ex </w:t>
      </w:r>
      <w:r w:rsidRPr="00A379D1" w:rsidR="00AE648C">
        <w:rPr>
          <w:i/>
          <w:iCs/>
        </w:rPr>
        <w:t>parte</w:t>
      </w:r>
      <w:r w:rsidR="00AE648C">
        <w:t xml:space="preserve"> rules to treat as exempt</w:t>
      </w:r>
      <w:r w:rsidR="00F65CA6">
        <w:t xml:space="preserve"> presentations</w:t>
      </w:r>
      <w:r w:rsidR="00AE648C">
        <w:t xml:space="preserve"> </w:t>
      </w:r>
      <w:r w:rsidR="007149B8">
        <w:t>non-policy discussions</w:t>
      </w:r>
      <w:r w:rsidR="00AE648C">
        <w:t xml:space="preserve"> between </w:t>
      </w:r>
      <w:r w:rsidR="00390E06">
        <w:t xml:space="preserve">Upper C-band stakeholders and </w:t>
      </w:r>
      <w:r w:rsidR="00390E06">
        <w:t>Teltrium</w:t>
      </w:r>
      <w:r w:rsidR="00390E06">
        <w:t xml:space="preserve"> related to the development of </w:t>
      </w:r>
      <w:r w:rsidR="007149B8">
        <w:t xml:space="preserve">an initial </w:t>
      </w:r>
      <w:r w:rsidR="00BC28A1">
        <w:t>proposed</w:t>
      </w:r>
      <w:r w:rsidR="00390E06">
        <w:t xml:space="preserve"> Cost Catalog</w:t>
      </w:r>
      <w:r w:rsidR="007E5B04">
        <w:t>.</w:t>
      </w:r>
      <w:r>
        <w:rPr>
          <w:rStyle w:val="FootnoteReference"/>
        </w:rPr>
        <w:footnoteReference w:id="12"/>
      </w:r>
      <w:r w:rsidR="007E5B04">
        <w:t xml:space="preserve">  </w:t>
      </w:r>
      <w:r w:rsidR="00BD5150">
        <w:t>T</w:t>
      </w:r>
      <w:r w:rsidR="00CE2D4C">
        <w:t xml:space="preserve">his exemption </w:t>
      </w:r>
      <w:r w:rsidR="00302730">
        <w:t>will</w:t>
      </w:r>
      <w:r w:rsidR="00CE2D4C">
        <w:t xml:space="preserve"> expire, and the </w:t>
      </w:r>
      <w:r w:rsidR="00AF26C0">
        <w:t xml:space="preserve">notice and </w:t>
      </w:r>
      <w:r w:rsidR="00D66053">
        <w:t xml:space="preserve">disclosure requirements </w:t>
      </w:r>
      <w:r w:rsidR="00E06FE5">
        <w:t>of the</w:t>
      </w:r>
      <w:r w:rsidR="00D66053">
        <w:t xml:space="preserve"> </w:t>
      </w:r>
      <w:r w:rsidR="00CE2D4C">
        <w:t xml:space="preserve">Commission’s </w:t>
      </w:r>
      <w:r w:rsidRPr="00641020" w:rsidR="00CE2D4C">
        <w:rPr>
          <w:i/>
          <w:iCs/>
        </w:rPr>
        <w:t xml:space="preserve">ex </w:t>
      </w:r>
      <w:r w:rsidRPr="00641020" w:rsidR="00CE2D4C">
        <w:rPr>
          <w:i/>
          <w:iCs/>
        </w:rPr>
        <w:t>parte</w:t>
      </w:r>
      <w:r w:rsidR="00CE2D4C">
        <w:t xml:space="preserve"> rules </w:t>
      </w:r>
      <w:r w:rsidR="00E06FE5">
        <w:t>will apply</w:t>
      </w:r>
      <w:r w:rsidR="00CE2D4C">
        <w:t xml:space="preserve">, </w:t>
      </w:r>
      <w:r w:rsidR="00031DF8">
        <w:t xml:space="preserve">to all presentations </w:t>
      </w:r>
      <w:r w:rsidR="00F45FC6">
        <w:t>to</w:t>
      </w:r>
      <w:r w:rsidR="00031DF8">
        <w:t xml:space="preserve"> </w:t>
      </w:r>
      <w:r w:rsidR="00031DF8">
        <w:t>Teltrium</w:t>
      </w:r>
      <w:r w:rsidR="00031DF8">
        <w:t xml:space="preserve"> </w:t>
      </w:r>
      <w:r w:rsidR="00CE2D4C">
        <w:t xml:space="preserve">upon release of the </w:t>
      </w:r>
      <w:r w:rsidR="00735561">
        <w:t xml:space="preserve">initial draft </w:t>
      </w:r>
      <w:r w:rsidR="00CE2D4C">
        <w:t xml:space="preserve">Cost Catalog for public comment.  </w:t>
      </w:r>
      <w:r w:rsidR="00F16C95">
        <w:t>From that point forward, and in all other respects, this proceeding is subject to the Commission’s requirements for “permit but disclose” proceedings under section 1.1206.</w:t>
      </w:r>
      <w:r>
        <w:rPr>
          <w:rStyle w:val="FootnoteReference"/>
        </w:rPr>
        <w:footnoteReference w:id="13"/>
      </w:r>
      <w:r w:rsidR="00F16C95">
        <w:t xml:space="preserve">  </w:t>
      </w:r>
      <w:r w:rsidR="007E5B04">
        <w:t xml:space="preserve">We </w:t>
      </w:r>
      <w:r w:rsidR="00CE2D4C">
        <w:t xml:space="preserve">further </w:t>
      </w:r>
      <w:r w:rsidR="007E5B04">
        <w:t>emphasize</w:t>
      </w:r>
      <w:r w:rsidR="00CE2D4C">
        <w:t xml:space="preserve"> t</w:t>
      </w:r>
      <w:r w:rsidR="007E5B04">
        <w:t xml:space="preserve">hat only information that is placed in the record may be relied upon in any decision by </w:t>
      </w:r>
      <w:r w:rsidR="00C0398D">
        <w:t>the</w:t>
      </w:r>
      <w:r w:rsidR="007E5B04">
        <w:t xml:space="preserve"> Bureau in this proceeding.</w:t>
      </w:r>
    </w:p>
    <w:p w:rsidR="004D31AC" w:rsidP="004D31AC" w14:paraId="69F23D8D" w14:textId="77777777"/>
    <w:p w:rsidR="004D31AC" w:rsidRPr="004D31AC" w:rsidP="004D31AC" w14:paraId="2DEF6F29" w14:textId="13C820AF">
      <w:pPr>
        <w:jc w:val="center"/>
        <w:rPr>
          <w:b/>
          <w:bCs/>
        </w:rPr>
      </w:pPr>
      <w:r w:rsidRPr="004D31AC">
        <w:rPr>
          <w:b/>
          <w:bCs/>
        </w:rPr>
        <w:t>-</w:t>
      </w:r>
      <w:r w:rsidR="009525DB">
        <w:rPr>
          <w:b/>
          <w:bCs/>
        </w:rPr>
        <w:t xml:space="preserve"> </w:t>
      </w:r>
      <w:r w:rsidRPr="004D31AC">
        <w:rPr>
          <w:b/>
          <w:bCs/>
        </w:rPr>
        <w:t>FCC</w:t>
      </w:r>
      <w:r w:rsidR="009525DB">
        <w:rPr>
          <w:b/>
          <w:bCs/>
        </w:rPr>
        <w:t xml:space="preserve"> </w:t>
      </w:r>
      <w:r w:rsidRPr="004D31AC">
        <w:rPr>
          <w:b/>
          <w:bCs/>
        </w:rPr>
        <w:t>-</w:t>
      </w:r>
    </w:p>
    <w:sectPr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720" w:left="1440" w:header="63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17155A" w14:paraId="013698AF" w14:textId="77777777">
      <w:pPr>
        <w:spacing w:line="20" w:lineRule="exact"/>
      </w:pPr>
    </w:p>
  </w:endnote>
  <w:endnote w:type="continuationSeparator" w:id="1">
    <w:p w:rsidR="0017155A" w14:paraId="67CCC889" w14:textId="77777777">
      <w:r>
        <w:t xml:space="preserve"> </w:t>
      </w:r>
    </w:p>
  </w:endnote>
  <w:endnote w:type="continuationNotice" w:id="2">
    <w:p w:rsidR="0017155A" w14:paraId="532DFB08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423F85DB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BA3BA8" w14:paraId="19FEFF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534DD042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784C9496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7155A" w14:paraId="573236B2" w14:textId="77777777">
      <w:r>
        <w:separator/>
      </w:r>
    </w:p>
  </w:footnote>
  <w:footnote w:type="continuationSeparator" w:id="1">
    <w:p w:rsidR="0017155A" w14:paraId="2C3C5169" w14:textId="77777777">
      <w:pPr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17155A" w14:paraId="63DE5A99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  <w:footnote w:id="3">
    <w:p w:rsidR="00671AC8" w:rsidP="00671AC8" w14:paraId="406261F7" w14:textId="77777777">
      <w:pPr>
        <w:pStyle w:val="FootnoteText"/>
      </w:pPr>
      <w:r>
        <w:rPr>
          <w:rStyle w:val="FootnoteReference"/>
        </w:rPr>
        <w:footnoteRef/>
      </w:r>
      <w:r>
        <w:t xml:space="preserve"> 47 CFR § 1.1200(a).</w:t>
      </w:r>
    </w:p>
  </w:footnote>
  <w:footnote w:id="4">
    <w:p w:rsidR="007A4B22" w14:paraId="69CFA6A3" w14:textId="62770F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See generally Upper C-band (3.98–4.2 GHz), Expanding Flexible Use of the 3.7 to 4.2 GHz Band</w:t>
      </w:r>
      <w:r>
        <w:t>, GN Docket Nos. 25-59 and 18-122, Report and Order, Order of Proposed Modification, and Order on Reconsideration, FCC 26-46 (</w:t>
      </w:r>
      <w:r w:rsidRPr="00AC7F3A">
        <w:t xml:space="preserve">July </w:t>
      </w:r>
      <w:r w:rsidRPr="00C45070">
        <w:t>24</w:t>
      </w:r>
      <w:r>
        <w:t>, 2026) (</w:t>
      </w:r>
      <w:r w:rsidRPr="006467DC">
        <w:rPr>
          <w:i/>
          <w:iCs/>
        </w:rPr>
        <w:t xml:space="preserve">Upper C-band </w:t>
      </w:r>
      <w:r>
        <w:rPr>
          <w:i/>
          <w:iCs/>
        </w:rPr>
        <w:t>R&amp;O</w:t>
      </w:r>
      <w:r>
        <w:t xml:space="preserve">).  </w:t>
      </w:r>
    </w:p>
  </w:footnote>
  <w:footnote w:id="5">
    <w:p w:rsidR="00C06945" w14:paraId="0E901BA1" w14:textId="11094DCD">
      <w:pPr>
        <w:pStyle w:val="FootnoteText"/>
      </w:pPr>
      <w:r>
        <w:rPr>
          <w:rStyle w:val="FootnoteReference"/>
        </w:rPr>
        <w:footnoteRef/>
      </w:r>
      <w:r>
        <w:t xml:space="preserve"> The full Upper C-band includes 3.98–4.2 GHz; new terrestrial wireless </w:t>
      </w:r>
      <w:r>
        <w:t>licensees</w:t>
      </w:r>
      <w:r>
        <w:t xml:space="preserve"> in the 3.7 GHz Service will operate from 3.98–4.14 GHz, with a guard band from 4.14–4.16 GHz.  </w:t>
      </w:r>
      <w:r w:rsidRPr="002755D4">
        <w:rPr>
          <w:i/>
          <w:iCs/>
        </w:rPr>
        <w:t>Upper C-band R&amp;O</w:t>
      </w:r>
      <w:r>
        <w:t xml:space="preserve"> at </w:t>
      </w:r>
      <w:r w:rsidRPr="000F3CE9">
        <w:t>3–4, 13, paras. 3, 27</w:t>
      </w:r>
      <w:r>
        <w:t>.</w:t>
      </w:r>
    </w:p>
  </w:footnote>
  <w:footnote w:id="6">
    <w:p w:rsidR="00787DCF" w14:paraId="7CEF52B0" w14:textId="767FFC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6D59" w:rsidR="00F627F9">
        <w:rPr>
          <w:i/>
          <w:iCs/>
        </w:rPr>
        <w:t>See</w:t>
      </w:r>
      <w:r w:rsidR="00F627F9">
        <w:t xml:space="preserve"> </w:t>
      </w:r>
      <w:r w:rsidR="00C45070">
        <w:rPr>
          <w:i/>
          <w:iCs/>
          <w:szCs w:val="22"/>
        </w:rPr>
        <w:t>id.</w:t>
      </w:r>
      <w:r w:rsidR="00F627F9">
        <w:rPr>
          <w:i/>
          <w:iCs/>
        </w:rPr>
        <w:t xml:space="preserve"> </w:t>
      </w:r>
      <w:r w:rsidR="00F627F9">
        <w:t xml:space="preserve">at </w:t>
      </w:r>
      <w:r w:rsidRPr="00E832D1" w:rsidR="00F627F9">
        <w:t>4</w:t>
      </w:r>
      <w:r w:rsidRPr="00E832D1" w:rsidR="00CA72E8">
        <w:t>3</w:t>
      </w:r>
      <w:r w:rsidRPr="00E832D1" w:rsidR="007F3ADE">
        <w:t>–44</w:t>
      </w:r>
      <w:r w:rsidRPr="00E832D1" w:rsidR="00F627F9">
        <w:t>, 5</w:t>
      </w:r>
      <w:r w:rsidRPr="00E832D1" w:rsidR="00E832D1">
        <w:t>7</w:t>
      </w:r>
      <w:r w:rsidR="00F627F9">
        <w:t xml:space="preserve">, paras. </w:t>
      </w:r>
      <w:r w:rsidRPr="00E832D1" w:rsidR="00F627F9">
        <w:t>90, 11</w:t>
      </w:r>
      <w:r w:rsidRPr="00E832D1" w:rsidR="00E832D1">
        <w:t>4</w:t>
      </w:r>
      <w:r w:rsidR="00F627F9">
        <w:t xml:space="preserve">.  The </w:t>
      </w:r>
      <w:r w:rsidR="00F627F9">
        <w:rPr>
          <w:i/>
          <w:iCs/>
          <w:szCs w:val="22"/>
        </w:rPr>
        <w:t>Upper C-band R&amp;O</w:t>
      </w:r>
      <w:r w:rsidR="00F627F9">
        <w:rPr>
          <w:i/>
          <w:iCs/>
        </w:rPr>
        <w:t xml:space="preserve"> </w:t>
      </w:r>
      <w:r w:rsidR="00F627F9">
        <w:t xml:space="preserve">defines the eligible space station operators and incumbent earth station operators that may be reimbursed for their reasonable and necessary transition costs.  </w:t>
      </w:r>
      <w:r w:rsidR="00F627F9">
        <w:rPr>
          <w:i/>
          <w:iCs/>
        </w:rPr>
        <w:t xml:space="preserve">See </w:t>
      </w:r>
      <w:bookmarkStart w:id="0" w:name="_Hlk37840202"/>
      <w:r w:rsidR="00035111">
        <w:rPr>
          <w:i/>
          <w:iCs/>
          <w:szCs w:val="22"/>
        </w:rPr>
        <w:t>id.</w:t>
      </w:r>
      <w:r w:rsidR="00F627F9">
        <w:rPr>
          <w:i/>
          <w:iCs/>
        </w:rPr>
        <w:t xml:space="preserve"> </w:t>
      </w:r>
      <w:r w:rsidR="00F627F9">
        <w:t xml:space="preserve">at </w:t>
      </w:r>
      <w:r w:rsidRPr="00B67F9D" w:rsidR="00F627F9">
        <w:t>4</w:t>
      </w:r>
      <w:r w:rsidRPr="00B67F9D" w:rsidR="00B67F9D">
        <w:t>4</w:t>
      </w:r>
      <w:r w:rsidRPr="00B67F9D" w:rsidR="00F627F9">
        <w:t>–4</w:t>
      </w:r>
      <w:r w:rsidRPr="00B67F9D" w:rsidR="00B67F9D">
        <w:t>7</w:t>
      </w:r>
      <w:r w:rsidRPr="00B67F9D" w:rsidR="00F627F9">
        <w:t>, para</w:t>
      </w:r>
      <w:r w:rsidRPr="00B67F9D" w:rsidR="00B530A3">
        <w:t>s</w:t>
      </w:r>
      <w:r w:rsidRPr="00B67F9D" w:rsidR="00F627F9">
        <w:t>. 92</w:t>
      </w:r>
      <w:r w:rsidRPr="00B67F9D" w:rsidR="00B530A3">
        <w:t>–95</w:t>
      </w:r>
      <w:bookmarkEnd w:id="0"/>
      <w:r w:rsidRPr="00B67F9D" w:rsidR="00935D91">
        <w:t>.</w:t>
      </w:r>
      <w:r w:rsidR="0098045B">
        <w:t xml:space="preserve">   </w:t>
      </w:r>
    </w:p>
  </w:footnote>
  <w:footnote w:id="7">
    <w:p w:rsidR="00935D91" w14:paraId="7E77BB2B" w14:textId="25737A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6D59" w:rsidR="00E510CA">
        <w:rPr>
          <w:i/>
          <w:iCs/>
        </w:rPr>
        <w:t>See</w:t>
      </w:r>
      <w:r w:rsidR="00E510CA">
        <w:t xml:space="preserve"> </w:t>
      </w:r>
      <w:r w:rsidR="00035111">
        <w:rPr>
          <w:i/>
          <w:iCs/>
          <w:szCs w:val="22"/>
        </w:rPr>
        <w:t>id.</w:t>
      </w:r>
      <w:r w:rsidR="00E510CA">
        <w:rPr>
          <w:i/>
          <w:iCs/>
        </w:rPr>
        <w:t xml:space="preserve"> </w:t>
      </w:r>
      <w:r w:rsidR="00E510CA">
        <w:t xml:space="preserve">at </w:t>
      </w:r>
      <w:r w:rsidRPr="00DA12C8" w:rsidR="00DA12C8">
        <w:t>60</w:t>
      </w:r>
      <w:r w:rsidRPr="00DA12C8" w:rsidR="003A7EEB">
        <w:t xml:space="preserve">, </w:t>
      </w:r>
      <w:r w:rsidRPr="00DA12C8" w:rsidR="004D14A6">
        <w:t>7</w:t>
      </w:r>
      <w:r w:rsidRPr="00DA12C8" w:rsidR="00DA12C8">
        <w:t>7</w:t>
      </w:r>
      <w:r w:rsidRPr="00DA12C8" w:rsidR="00E510CA">
        <w:t>, para</w:t>
      </w:r>
      <w:r w:rsidRPr="00DA12C8" w:rsidR="003A7EEB">
        <w:t>s</w:t>
      </w:r>
      <w:r w:rsidRPr="00DA12C8" w:rsidR="00E510CA">
        <w:t xml:space="preserve">. </w:t>
      </w:r>
      <w:r w:rsidRPr="00DA12C8" w:rsidR="003A7EEB">
        <w:t>12</w:t>
      </w:r>
      <w:r w:rsidRPr="00DA12C8" w:rsidR="00DA12C8">
        <w:t>1</w:t>
      </w:r>
      <w:r w:rsidRPr="00DA12C8" w:rsidR="003A7EEB">
        <w:t xml:space="preserve">, </w:t>
      </w:r>
      <w:r w:rsidRPr="00DA12C8" w:rsidR="004D14A6">
        <w:t>15</w:t>
      </w:r>
      <w:r w:rsidRPr="00DA12C8" w:rsidR="00DA12C8">
        <w:t>4</w:t>
      </w:r>
      <w:r w:rsidR="00E510CA">
        <w:t xml:space="preserve">.  </w:t>
      </w:r>
    </w:p>
  </w:footnote>
  <w:footnote w:id="8">
    <w:p w:rsidR="003232D2" w14:paraId="6B23FDE4" w14:textId="465F97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6D59">
        <w:rPr>
          <w:i/>
          <w:iCs/>
        </w:rPr>
        <w:t>See</w:t>
      </w:r>
      <w:r>
        <w:t xml:space="preserve"> </w:t>
      </w:r>
      <w:r w:rsidR="00035111">
        <w:rPr>
          <w:i/>
          <w:iCs/>
          <w:szCs w:val="22"/>
        </w:rPr>
        <w:t>id.</w:t>
      </w:r>
      <w:r>
        <w:rPr>
          <w:i/>
          <w:iCs/>
        </w:rPr>
        <w:t xml:space="preserve"> </w:t>
      </w:r>
      <w:r>
        <w:t xml:space="preserve">at </w:t>
      </w:r>
      <w:r w:rsidR="00DC3BE5">
        <w:t>63–</w:t>
      </w:r>
      <w:r w:rsidRPr="00DC3BE5" w:rsidR="00DC3BE5">
        <w:t>64</w:t>
      </w:r>
      <w:r w:rsidRPr="00DC3BE5" w:rsidR="00717CBC">
        <w:t xml:space="preserve">, </w:t>
      </w:r>
      <w:r w:rsidRPr="00DC3BE5">
        <w:t>7</w:t>
      </w:r>
      <w:r w:rsidRPr="00DC3BE5" w:rsidR="002E2535">
        <w:t>7</w:t>
      </w:r>
      <w:r w:rsidRPr="00DC3BE5">
        <w:t>, para</w:t>
      </w:r>
      <w:r w:rsidRPr="00DC3BE5" w:rsidR="00717CBC">
        <w:t>s</w:t>
      </w:r>
      <w:r w:rsidRPr="00DC3BE5">
        <w:t xml:space="preserve">. </w:t>
      </w:r>
      <w:r w:rsidRPr="00DC3BE5" w:rsidR="00717CBC">
        <w:t>12</w:t>
      </w:r>
      <w:r w:rsidRPr="00DC3BE5" w:rsidR="00DC3BE5">
        <w:t>6</w:t>
      </w:r>
      <w:r w:rsidRPr="00DC3BE5" w:rsidR="00717CBC">
        <w:t xml:space="preserve">, </w:t>
      </w:r>
      <w:r w:rsidRPr="00DC3BE5">
        <w:t>15</w:t>
      </w:r>
      <w:r w:rsidRPr="00DC3BE5" w:rsidR="002E2535">
        <w:t>4</w:t>
      </w:r>
      <w:r>
        <w:t xml:space="preserve">.  </w:t>
      </w:r>
    </w:p>
  </w:footnote>
  <w:footnote w:id="9">
    <w:p w:rsidR="003C5B03" w14:paraId="7C8F59B1" w14:textId="1C1B7C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6D59">
        <w:rPr>
          <w:i/>
          <w:iCs/>
        </w:rPr>
        <w:t>See</w:t>
      </w:r>
      <w:r>
        <w:t xml:space="preserve"> </w:t>
      </w:r>
      <w:r w:rsidR="00035111">
        <w:rPr>
          <w:i/>
          <w:iCs/>
          <w:szCs w:val="22"/>
        </w:rPr>
        <w:t>id.</w:t>
      </w:r>
      <w:r>
        <w:rPr>
          <w:i/>
          <w:iCs/>
        </w:rPr>
        <w:t xml:space="preserve"> </w:t>
      </w:r>
      <w:r>
        <w:t xml:space="preserve">at </w:t>
      </w:r>
      <w:r w:rsidRPr="002E2535">
        <w:t>7</w:t>
      </w:r>
      <w:r w:rsidRPr="002E2535" w:rsidR="002E2535">
        <w:t>7</w:t>
      </w:r>
      <w:r w:rsidRPr="002E2535">
        <w:t>, para. 15</w:t>
      </w:r>
      <w:r w:rsidRPr="002E2535" w:rsidR="002E2535">
        <w:t>4</w:t>
      </w:r>
      <w:r>
        <w:t xml:space="preserve">.  </w:t>
      </w:r>
    </w:p>
  </w:footnote>
  <w:footnote w:id="10">
    <w:p w:rsidR="0092633C" w14:paraId="6AFFB40F" w14:textId="2E13BC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6097" w:rsidR="004B6531">
        <w:rPr>
          <w:i/>
          <w:iCs/>
        </w:rPr>
        <w:t>See</w:t>
      </w:r>
      <w:r w:rsidR="008E42D1">
        <w:rPr>
          <w:i/>
          <w:iCs/>
        </w:rPr>
        <w:t>, e.g.</w:t>
      </w:r>
      <w:r w:rsidR="008E42D1">
        <w:t>,</w:t>
      </w:r>
      <w:r w:rsidRPr="00FF6097" w:rsidR="004B6531">
        <w:rPr>
          <w:i/>
          <w:iCs/>
        </w:rPr>
        <w:t xml:space="preserve"> Notice Concerning Ex </w:t>
      </w:r>
      <w:r w:rsidRPr="00FF6097" w:rsidR="004B6531">
        <w:rPr>
          <w:i/>
          <w:iCs/>
        </w:rPr>
        <w:t>Parte</w:t>
      </w:r>
      <w:r w:rsidRPr="00FF6097" w:rsidR="004B6531">
        <w:rPr>
          <w:i/>
          <w:iCs/>
        </w:rPr>
        <w:t xml:space="preserve"> Status of Communications with Respect to the 3.7 GHz Band Transition Relocation Coordinator and Relocation Payment Clearinghouse</w:t>
      </w:r>
      <w:r w:rsidR="004B6531">
        <w:t xml:space="preserve">, </w:t>
      </w:r>
      <w:r w:rsidR="00097690">
        <w:t>GN Docket Nos. 20-305</w:t>
      </w:r>
      <w:r w:rsidR="00547874">
        <w:t xml:space="preserve"> and 18-122</w:t>
      </w:r>
      <w:r w:rsidR="00097690">
        <w:t xml:space="preserve">, IB Docket No. 20-205, Public Notice, </w:t>
      </w:r>
      <w:r w:rsidR="00777283">
        <w:t xml:space="preserve">35 FCC </w:t>
      </w:r>
      <w:r w:rsidR="00777283">
        <w:t>Rcd</w:t>
      </w:r>
      <w:r w:rsidR="00777283">
        <w:t xml:space="preserve"> </w:t>
      </w:r>
      <w:r w:rsidR="00FF6097">
        <w:t>13025 (WTB 2020)</w:t>
      </w:r>
      <w:r w:rsidR="008E42D1">
        <w:t xml:space="preserve">; </w:t>
      </w:r>
      <w:r w:rsidRPr="00370DD0" w:rsidR="008E42D1">
        <w:rPr>
          <w:i/>
          <w:iCs/>
        </w:rPr>
        <w:t xml:space="preserve">Media Bureau Seeks Comment on </w:t>
      </w:r>
      <w:r w:rsidRPr="00370DD0" w:rsidR="008E42D1">
        <w:rPr>
          <w:i/>
          <w:iCs/>
        </w:rPr>
        <w:t>Widelity</w:t>
      </w:r>
      <w:r w:rsidRPr="00370DD0" w:rsidR="008E42D1">
        <w:rPr>
          <w:i/>
          <w:iCs/>
        </w:rPr>
        <w:t xml:space="preserve"> Report and Catalog of Potential Expenses and Estimated Costs</w:t>
      </w:r>
      <w:r w:rsidR="008E42D1">
        <w:t xml:space="preserve">, </w:t>
      </w:r>
      <w:r w:rsidR="00FC2556">
        <w:t xml:space="preserve">GN Docket No. 12-268, Public Notice, </w:t>
      </w:r>
      <w:r w:rsidR="008E42D1">
        <w:t xml:space="preserve">29 FCC </w:t>
      </w:r>
      <w:r w:rsidR="008E42D1">
        <w:t>Rcd</w:t>
      </w:r>
      <w:r w:rsidR="008E42D1">
        <w:t xml:space="preserve"> 2989</w:t>
      </w:r>
      <w:r w:rsidR="00370DD0">
        <w:t xml:space="preserve"> (MB 2014).</w:t>
      </w:r>
    </w:p>
  </w:footnote>
  <w:footnote w:id="11">
    <w:p w:rsidR="00AE648C" w14:paraId="2C2C822E" w14:textId="2EE4D529">
      <w:pPr>
        <w:pStyle w:val="FootnoteText"/>
      </w:pPr>
      <w:r>
        <w:rPr>
          <w:rStyle w:val="FootnoteReference"/>
        </w:rPr>
        <w:footnoteRef/>
      </w:r>
      <w:r>
        <w:t xml:space="preserve"> 47 CFR § 1.1200(a).</w:t>
      </w:r>
    </w:p>
  </w:footnote>
  <w:footnote w:id="12">
    <w:p w:rsidR="00F65CA6" w:rsidRPr="007B3E18" w14:paraId="1CD208D4" w14:textId="09F2FC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B3E18">
        <w:rPr>
          <w:i/>
          <w:iCs/>
        </w:rPr>
        <w:t>See</w:t>
      </w:r>
      <w:r w:rsidR="007B3E18">
        <w:t xml:space="preserve"> </w:t>
      </w:r>
      <w:r w:rsidRPr="003C7FC2" w:rsidR="003C7FC2">
        <w:rPr>
          <w:i/>
          <w:iCs/>
        </w:rPr>
        <w:t>id</w:t>
      </w:r>
      <w:r w:rsidR="003C7FC2">
        <w:t>.</w:t>
      </w:r>
      <w:r w:rsidR="007B3E18">
        <w:t xml:space="preserve"> § 1.1204(a) (providing that exempt presentations are not subject to</w:t>
      </w:r>
      <w:r w:rsidR="003021DF">
        <w:t xml:space="preserve">, </w:t>
      </w:r>
      <w:r w:rsidR="003021DF">
        <w:rPr>
          <w:i/>
          <w:iCs/>
        </w:rPr>
        <w:t>inter alia</w:t>
      </w:r>
      <w:r w:rsidR="003021DF">
        <w:t>,</w:t>
      </w:r>
      <w:r w:rsidR="007B3E18">
        <w:t xml:space="preserve"> the </w:t>
      </w:r>
      <w:r w:rsidR="006464D0">
        <w:t xml:space="preserve">notice and </w:t>
      </w:r>
      <w:r w:rsidR="007B3E18">
        <w:t xml:space="preserve">disclosure requirements </w:t>
      </w:r>
      <w:r w:rsidR="003021DF">
        <w:t>of permit-but-disclose proceedings).</w:t>
      </w:r>
    </w:p>
  </w:footnote>
  <w:footnote w:id="13">
    <w:p w:rsidR="00F16C95" w:rsidP="00F16C95" w14:paraId="6716CE94" w14:textId="1DE556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7FC2" w:rsidR="003C7FC2">
        <w:rPr>
          <w:i/>
          <w:iCs/>
        </w:rPr>
        <w:t>Id</w:t>
      </w:r>
      <w:r w:rsidR="003C7FC2">
        <w:t>.</w:t>
      </w:r>
      <w:r>
        <w:t xml:space="preserve"> § 1.1206.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5C768FED" w14:textId="6D3A9CD4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 w:rsidR="00373886">
      <w:rPr>
        <w:b/>
      </w:rPr>
      <w:t>DA 26-</w:t>
    </w:r>
    <w:r w:rsidR="0039280C">
      <w:rPr>
        <w:b/>
      </w:rPr>
      <w:t>783</w:t>
    </w:r>
  </w:p>
  <w:p w:rsidR="00BA3BA8" w14:paraId="4B7C58E1" w14:textId="48BED3A9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49" style="width:468pt;height:0.95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 strokeweight="0.05pt">
              <w10:wrap anchorx="margin"/>
            </v:rect>
          </w:pict>
        </mc:Fallback>
      </mc:AlternateContent>
    </w:r>
  </w:p>
  <w:p w:rsidR="00BA3BA8" w14:paraId="7C6A8B26" w14:textId="77777777">
    <w:pPr>
      <w:spacing w:before="40"/>
      <w:rPr>
        <w:rFonts w:ascii="Arial" w:hAnsi="Arial" w:cs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:rsidRPr="00F03EA1" w:rsidP="00F03EA1" w14:paraId="5DD194D6" w14:textId="2F185DB6">
    <w:pPr>
      <w:pStyle w:val="Header"/>
    </w:pPr>
    <w:r>
      <w:rPr>
        <w:noProof/>
      </w:rPr>
      <w:drawing>
        <wp:inline distT="0" distB="0" distL="0" distR="0">
          <wp:extent cx="5953125" cy="1428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858083415">
    <w:abstractNumId w:val="1"/>
  </w:num>
  <w:num w:numId="2" w16cid:durableId="1910769602">
    <w:abstractNumId w:val="5"/>
  </w:num>
  <w:num w:numId="3" w16cid:durableId="1451050984">
    <w:abstractNumId w:val="3"/>
  </w:num>
  <w:num w:numId="4" w16cid:durableId="1298491566">
    <w:abstractNumId w:val="4"/>
  </w:num>
  <w:num w:numId="5" w16cid:durableId="854733937">
    <w:abstractNumId w:val="2"/>
  </w:num>
  <w:num w:numId="6" w16cid:durableId="22708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9E"/>
    <w:rsid w:val="00000958"/>
    <w:rsid w:val="00003154"/>
    <w:rsid w:val="00031DF8"/>
    <w:rsid w:val="0003478A"/>
    <w:rsid w:val="00035111"/>
    <w:rsid w:val="00050A61"/>
    <w:rsid w:val="00050F9D"/>
    <w:rsid w:val="000767E9"/>
    <w:rsid w:val="000818C1"/>
    <w:rsid w:val="00081C35"/>
    <w:rsid w:val="00087080"/>
    <w:rsid w:val="00087BA6"/>
    <w:rsid w:val="00094590"/>
    <w:rsid w:val="00097690"/>
    <w:rsid w:val="000C16E2"/>
    <w:rsid w:val="000C1DFC"/>
    <w:rsid w:val="000D6A2F"/>
    <w:rsid w:val="000D74BD"/>
    <w:rsid w:val="000F3CE9"/>
    <w:rsid w:val="00113E52"/>
    <w:rsid w:val="00114B84"/>
    <w:rsid w:val="001201F5"/>
    <w:rsid w:val="0012526E"/>
    <w:rsid w:val="001256B2"/>
    <w:rsid w:val="001267B0"/>
    <w:rsid w:val="001320B7"/>
    <w:rsid w:val="00140E3F"/>
    <w:rsid w:val="00140F93"/>
    <w:rsid w:val="00147E69"/>
    <w:rsid w:val="001622C2"/>
    <w:rsid w:val="001622F4"/>
    <w:rsid w:val="0017155A"/>
    <w:rsid w:val="001726D6"/>
    <w:rsid w:val="00175452"/>
    <w:rsid w:val="001757AD"/>
    <w:rsid w:val="0018362D"/>
    <w:rsid w:val="0018726A"/>
    <w:rsid w:val="001B47CE"/>
    <w:rsid w:val="001C3D2A"/>
    <w:rsid w:val="001C44BB"/>
    <w:rsid w:val="001D5123"/>
    <w:rsid w:val="001F15BE"/>
    <w:rsid w:val="001F25AD"/>
    <w:rsid w:val="001F6A9A"/>
    <w:rsid w:val="002002D9"/>
    <w:rsid w:val="00200CD6"/>
    <w:rsid w:val="00205330"/>
    <w:rsid w:val="00225689"/>
    <w:rsid w:val="00253115"/>
    <w:rsid w:val="00253CAA"/>
    <w:rsid w:val="00263CBA"/>
    <w:rsid w:val="002755D4"/>
    <w:rsid w:val="002815E7"/>
    <w:rsid w:val="002874E2"/>
    <w:rsid w:val="002875B8"/>
    <w:rsid w:val="00296478"/>
    <w:rsid w:val="00297708"/>
    <w:rsid w:val="002A3F3C"/>
    <w:rsid w:val="002A64A4"/>
    <w:rsid w:val="002B65F5"/>
    <w:rsid w:val="002B7304"/>
    <w:rsid w:val="002C17D2"/>
    <w:rsid w:val="002E0E33"/>
    <w:rsid w:val="002E2535"/>
    <w:rsid w:val="002E4454"/>
    <w:rsid w:val="002F41F6"/>
    <w:rsid w:val="002F48E8"/>
    <w:rsid w:val="003021DF"/>
    <w:rsid w:val="00302730"/>
    <w:rsid w:val="00307EFD"/>
    <w:rsid w:val="00313A11"/>
    <w:rsid w:val="00314EAB"/>
    <w:rsid w:val="003232D2"/>
    <w:rsid w:val="0032735B"/>
    <w:rsid w:val="00331263"/>
    <w:rsid w:val="00347C51"/>
    <w:rsid w:val="00350276"/>
    <w:rsid w:val="00357AAC"/>
    <w:rsid w:val="00370DD0"/>
    <w:rsid w:val="00373886"/>
    <w:rsid w:val="00374CFC"/>
    <w:rsid w:val="0038118C"/>
    <w:rsid w:val="00381A61"/>
    <w:rsid w:val="00384AA9"/>
    <w:rsid w:val="00386D59"/>
    <w:rsid w:val="00390E06"/>
    <w:rsid w:val="00391C9F"/>
    <w:rsid w:val="0039280C"/>
    <w:rsid w:val="00393023"/>
    <w:rsid w:val="003955D0"/>
    <w:rsid w:val="003A1181"/>
    <w:rsid w:val="003A7EEB"/>
    <w:rsid w:val="003B53A1"/>
    <w:rsid w:val="003B5A06"/>
    <w:rsid w:val="003C5B03"/>
    <w:rsid w:val="003C7FC2"/>
    <w:rsid w:val="003D5BFD"/>
    <w:rsid w:val="003D72C5"/>
    <w:rsid w:val="003E11B6"/>
    <w:rsid w:val="003E48CA"/>
    <w:rsid w:val="003E534F"/>
    <w:rsid w:val="00423657"/>
    <w:rsid w:val="00430183"/>
    <w:rsid w:val="00430C95"/>
    <w:rsid w:val="00435AAC"/>
    <w:rsid w:val="00436815"/>
    <w:rsid w:val="00440CDF"/>
    <w:rsid w:val="0045527B"/>
    <w:rsid w:val="00456577"/>
    <w:rsid w:val="00470B1C"/>
    <w:rsid w:val="00474635"/>
    <w:rsid w:val="004B6531"/>
    <w:rsid w:val="004B7DEC"/>
    <w:rsid w:val="004C1AEA"/>
    <w:rsid w:val="004C2B1F"/>
    <w:rsid w:val="004C31DB"/>
    <w:rsid w:val="004C772F"/>
    <w:rsid w:val="004D0D81"/>
    <w:rsid w:val="004D14A6"/>
    <w:rsid w:val="004D31AC"/>
    <w:rsid w:val="004D3249"/>
    <w:rsid w:val="004D3742"/>
    <w:rsid w:val="004D4C10"/>
    <w:rsid w:val="004F3935"/>
    <w:rsid w:val="00502EAC"/>
    <w:rsid w:val="00517AC8"/>
    <w:rsid w:val="005232BB"/>
    <w:rsid w:val="00547874"/>
    <w:rsid w:val="005563EC"/>
    <w:rsid w:val="005653B2"/>
    <w:rsid w:val="00574587"/>
    <w:rsid w:val="0058659C"/>
    <w:rsid w:val="0059506F"/>
    <w:rsid w:val="005A1695"/>
    <w:rsid w:val="005C424B"/>
    <w:rsid w:val="005C7738"/>
    <w:rsid w:val="005D24F2"/>
    <w:rsid w:val="005D64EA"/>
    <w:rsid w:val="005E032F"/>
    <w:rsid w:val="005E1BBD"/>
    <w:rsid w:val="005E2E93"/>
    <w:rsid w:val="005F0732"/>
    <w:rsid w:val="005F0764"/>
    <w:rsid w:val="005F0A1D"/>
    <w:rsid w:val="005F1F0D"/>
    <w:rsid w:val="006000D6"/>
    <w:rsid w:val="0060026D"/>
    <w:rsid w:val="00607CAD"/>
    <w:rsid w:val="00611EFD"/>
    <w:rsid w:val="00634C76"/>
    <w:rsid w:val="00641020"/>
    <w:rsid w:val="006464D0"/>
    <w:rsid w:val="006467DC"/>
    <w:rsid w:val="00646F75"/>
    <w:rsid w:val="006539FA"/>
    <w:rsid w:val="00656F80"/>
    <w:rsid w:val="0066004D"/>
    <w:rsid w:val="00663957"/>
    <w:rsid w:val="00671AC8"/>
    <w:rsid w:val="0067316A"/>
    <w:rsid w:val="00675EC9"/>
    <w:rsid w:val="00685645"/>
    <w:rsid w:val="006860DF"/>
    <w:rsid w:val="00686E04"/>
    <w:rsid w:val="0069002D"/>
    <w:rsid w:val="00693024"/>
    <w:rsid w:val="006C02B2"/>
    <w:rsid w:val="006C3D29"/>
    <w:rsid w:val="006D06AA"/>
    <w:rsid w:val="006F5E54"/>
    <w:rsid w:val="0070564D"/>
    <w:rsid w:val="007149B8"/>
    <w:rsid w:val="00717CBC"/>
    <w:rsid w:val="00725286"/>
    <w:rsid w:val="00735561"/>
    <w:rsid w:val="00746F78"/>
    <w:rsid w:val="00762715"/>
    <w:rsid w:val="007675E5"/>
    <w:rsid w:val="00774162"/>
    <w:rsid w:val="00776269"/>
    <w:rsid w:val="00777283"/>
    <w:rsid w:val="00785F49"/>
    <w:rsid w:val="00787DCF"/>
    <w:rsid w:val="00790DA0"/>
    <w:rsid w:val="00796FA1"/>
    <w:rsid w:val="007A4B22"/>
    <w:rsid w:val="007B3E18"/>
    <w:rsid w:val="007C1AB0"/>
    <w:rsid w:val="007D701E"/>
    <w:rsid w:val="007E5B04"/>
    <w:rsid w:val="007E7FCB"/>
    <w:rsid w:val="007F3ADE"/>
    <w:rsid w:val="007F42CF"/>
    <w:rsid w:val="0085195F"/>
    <w:rsid w:val="0085503E"/>
    <w:rsid w:val="0085676D"/>
    <w:rsid w:val="00857FE6"/>
    <w:rsid w:val="00862213"/>
    <w:rsid w:val="00864950"/>
    <w:rsid w:val="00865F6B"/>
    <w:rsid w:val="008E42D1"/>
    <w:rsid w:val="008E71B4"/>
    <w:rsid w:val="008F42EB"/>
    <w:rsid w:val="008F4A59"/>
    <w:rsid w:val="008F4B07"/>
    <w:rsid w:val="008F5146"/>
    <w:rsid w:val="008F53CD"/>
    <w:rsid w:val="008F55A6"/>
    <w:rsid w:val="009109EE"/>
    <w:rsid w:val="00923B72"/>
    <w:rsid w:val="0092633C"/>
    <w:rsid w:val="00935D91"/>
    <w:rsid w:val="0094599B"/>
    <w:rsid w:val="009525DB"/>
    <w:rsid w:val="009532FE"/>
    <w:rsid w:val="009643B9"/>
    <w:rsid w:val="0097063B"/>
    <w:rsid w:val="00976CC2"/>
    <w:rsid w:val="0098045B"/>
    <w:rsid w:val="00980529"/>
    <w:rsid w:val="00982585"/>
    <w:rsid w:val="009927E5"/>
    <w:rsid w:val="009B3CC7"/>
    <w:rsid w:val="009C2B87"/>
    <w:rsid w:val="009C47CC"/>
    <w:rsid w:val="009F09EB"/>
    <w:rsid w:val="009F1186"/>
    <w:rsid w:val="00A07A34"/>
    <w:rsid w:val="00A12BBA"/>
    <w:rsid w:val="00A17D78"/>
    <w:rsid w:val="00A17E86"/>
    <w:rsid w:val="00A20679"/>
    <w:rsid w:val="00A22A65"/>
    <w:rsid w:val="00A32528"/>
    <w:rsid w:val="00A379D1"/>
    <w:rsid w:val="00A4111C"/>
    <w:rsid w:val="00A413C6"/>
    <w:rsid w:val="00A51365"/>
    <w:rsid w:val="00A57993"/>
    <w:rsid w:val="00A6149F"/>
    <w:rsid w:val="00A67A17"/>
    <w:rsid w:val="00A80530"/>
    <w:rsid w:val="00A82396"/>
    <w:rsid w:val="00A847F3"/>
    <w:rsid w:val="00A919EE"/>
    <w:rsid w:val="00A93DDE"/>
    <w:rsid w:val="00AA7CC9"/>
    <w:rsid w:val="00AC0FCF"/>
    <w:rsid w:val="00AC467E"/>
    <w:rsid w:val="00AC7F3A"/>
    <w:rsid w:val="00AD2A19"/>
    <w:rsid w:val="00AE1EF6"/>
    <w:rsid w:val="00AE648C"/>
    <w:rsid w:val="00AF029D"/>
    <w:rsid w:val="00AF26C0"/>
    <w:rsid w:val="00B072E2"/>
    <w:rsid w:val="00B10CEF"/>
    <w:rsid w:val="00B179E2"/>
    <w:rsid w:val="00B2420C"/>
    <w:rsid w:val="00B2713A"/>
    <w:rsid w:val="00B30CB2"/>
    <w:rsid w:val="00B32435"/>
    <w:rsid w:val="00B3423F"/>
    <w:rsid w:val="00B349C3"/>
    <w:rsid w:val="00B4620C"/>
    <w:rsid w:val="00B47E1E"/>
    <w:rsid w:val="00B530A3"/>
    <w:rsid w:val="00B55634"/>
    <w:rsid w:val="00B616D2"/>
    <w:rsid w:val="00B65AFD"/>
    <w:rsid w:val="00B6782C"/>
    <w:rsid w:val="00B67F9D"/>
    <w:rsid w:val="00B72543"/>
    <w:rsid w:val="00B73752"/>
    <w:rsid w:val="00B73A16"/>
    <w:rsid w:val="00B73FA3"/>
    <w:rsid w:val="00B86F09"/>
    <w:rsid w:val="00B873A6"/>
    <w:rsid w:val="00BA3BA8"/>
    <w:rsid w:val="00BC02FA"/>
    <w:rsid w:val="00BC28A1"/>
    <w:rsid w:val="00BC3FF1"/>
    <w:rsid w:val="00BC7780"/>
    <w:rsid w:val="00BD1BCE"/>
    <w:rsid w:val="00BD5150"/>
    <w:rsid w:val="00BE02E3"/>
    <w:rsid w:val="00BE0AF3"/>
    <w:rsid w:val="00BE1DAE"/>
    <w:rsid w:val="00BE456C"/>
    <w:rsid w:val="00BF26DB"/>
    <w:rsid w:val="00BF7446"/>
    <w:rsid w:val="00C0398D"/>
    <w:rsid w:val="00C06945"/>
    <w:rsid w:val="00C15AB0"/>
    <w:rsid w:val="00C2611D"/>
    <w:rsid w:val="00C30890"/>
    <w:rsid w:val="00C33698"/>
    <w:rsid w:val="00C336EC"/>
    <w:rsid w:val="00C40875"/>
    <w:rsid w:val="00C42FD3"/>
    <w:rsid w:val="00C45070"/>
    <w:rsid w:val="00C63B1A"/>
    <w:rsid w:val="00C74B84"/>
    <w:rsid w:val="00C77D24"/>
    <w:rsid w:val="00CA54CA"/>
    <w:rsid w:val="00CA72E8"/>
    <w:rsid w:val="00CA74EF"/>
    <w:rsid w:val="00CC04A7"/>
    <w:rsid w:val="00CC0A24"/>
    <w:rsid w:val="00CC2FCD"/>
    <w:rsid w:val="00CD0FF3"/>
    <w:rsid w:val="00CD4FCA"/>
    <w:rsid w:val="00CD54A7"/>
    <w:rsid w:val="00CD79C3"/>
    <w:rsid w:val="00CE0383"/>
    <w:rsid w:val="00CE05D7"/>
    <w:rsid w:val="00CE1222"/>
    <w:rsid w:val="00CE2D4C"/>
    <w:rsid w:val="00D010B4"/>
    <w:rsid w:val="00D242FB"/>
    <w:rsid w:val="00D42986"/>
    <w:rsid w:val="00D46F09"/>
    <w:rsid w:val="00D6562D"/>
    <w:rsid w:val="00D66053"/>
    <w:rsid w:val="00D660C0"/>
    <w:rsid w:val="00D7203A"/>
    <w:rsid w:val="00D73645"/>
    <w:rsid w:val="00D76490"/>
    <w:rsid w:val="00D76E22"/>
    <w:rsid w:val="00D82A3E"/>
    <w:rsid w:val="00D914D1"/>
    <w:rsid w:val="00D94B15"/>
    <w:rsid w:val="00D973EC"/>
    <w:rsid w:val="00DA10C1"/>
    <w:rsid w:val="00DA12C8"/>
    <w:rsid w:val="00DA305C"/>
    <w:rsid w:val="00DA6E7A"/>
    <w:rsid w:val="00DB35A8"/>
    <w:rsid w:val="00DC3BE5"/>
    <w:rsid w:val="00DC7AB0"/>
    <w:rsid w:val="00DD247C"/>
    <w:rsid w:val="00DD39C5"/>
    <w:rsid w:val="00DE275F"/>
    <w:rsid w:val="00DE2E81"/>
    <w:rsid w:val="00E0278A"/>
    <w:rsid w:val="00E037F4"/>
    <w:rsid w:val="00E03CFE"/>
    <w:rsid w:val="00E06FE5"/>
    <w:rsid w:val="00E12283"/>
    <w:rsid w:val="00E1341D"/>
    <w:rsid w:val="00E14A0A"/>
    <w:rsid w:val="00E172E7"/>
    <w:rsid w:val="00E244E9"/>
    <w:rsid w:val="00E3536B"/>
    <w:rsid w:val="00E4119F"/>
    <w:rsid w:val="00E42A3D"/>
    <w:rsid w:val="00E4328C"/>
    <w:rsid w:val="00E4435F"/>
    <w:rsid w:val="00E47AEF"/>
    <w:rsid w:val="00E504AB"/>
    <w:rsid w:val="00E510CA"/>
    <w:rsid w:val="00E56B9C"/>
    <w:rsid w:val="00E708CE"/>
    <w:rsid w:val="00E819C0"/>
    <w:rsid w:val="00E832D1"/>
    <w:rsid w:val="00E9060E"/>
    <w:rsid w:val="00E93804"/>
    <w:rsid w:val="00EA4000"/>
    <w:rsid w:val="00EA51C3"/>
    <w:rsid w:val="00EA77DB"/>
    <w:rsid w:val="00ED1BE2"/>
    <w:rsid w:val="00EE5D8B"/>
    <w:rsid w:val="00EE6727"/>
    <w:rsid w:val="00EF1187"/>
    <w:rsid w:val="00EF466B"/>
    <w:rsid w:val="00EF5F67"/>
    <w:rsid w:val="00F03EA1"/>
    <w:rsid w:val="00F10B5F"/>
    <w:rsid w:val="00F13BE8"/>
    <w:rsid w:val="00F16C95"/>
    <w:rsid w:val="00F178D2"/>
    <w:rsid w:val="00F20B33"/>
    <w:rsid w:val="00F343AE"/>
    <w:rsid w:val="00F35650"/>
    <w:rsid w:val="00F45FC6"/>
    <w:rsid w:val="00F50D58"/>
    <w:rsid w:val="00F52472"/>
    <w:rsid w:val="00F57282"/>
    <w:rsid w:val="00F627F9"/>
    <w:rsid w:val="00F65CA6"/>
    <w:rsid w:val="00F84D58"/>
    <w:rsid w:val="00F91A5B"/>
    <w:rsid w:val="00F936C6"/>
    <w:rsid w:val="00FA639E"/>
    <w:rsid w:val="00FB4978"/>
    <w:rsid w:val="00FC2556"/>
    <w:rsid w:val="00FC5594"/>
    <w:rsid w:val="00FD2307"/>
    <w:rsid w:val="00FD54C9"/>
    <w:rsid w:val="00FD5B49"/>
    <w:rsid w:val="00FD6178"/>
    <w:rsid w:val="00FD6E59"/>
    <w:rsid w:val="00FF6097"/>
    <w:rsid w:val="00FF7C4D"/>
    <w:rsid w:val="04EC4D0F"/>
    <w:rsid w:val="3AF2AD00"/>
    <w:rsid w:val="7C7508E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246899F"/>
  <w15:chartTrackingRefBased/>
  <w15:docId w15:val="{5C33B62F-B56C-4FA8-82F7-07A1ACEF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semiHidden/>
    <w:pPr>
      <w:spacing w:after="120"/>
    </w:p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74EF"/>
    <w:rPr>
      <w:snapToGrid w:val="0"/>
      <w:kern w:val="28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64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95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950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950"/>
    <w:rPr>
      <w:b/>
      <w:bCs/>
      <w:snapToGrid w:val="0"/>
      <w:kern w:val="28"/>
    </w:rPr>
  </w:style>
  <w:style w:type="paragraph" w:styleId="ListParagraph">
    <w:name w:val="List Paragraph"/>
    <w:basedOn w:val="Normal"/>
    <w:uiPriority w:val="34"/>
    <w:qFormat/>
    <w:rsid w:val="0095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Form\OS%20Process\Public%20Notice%20Portrait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Public Notice Portrait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