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786CF78F" w14:textId="77777777">
      <w:pPr>
        <w:jc w:val="right"/>
        <w:rPr>
          <w:sz w:val="24"/>
        </w:rPr>
      </w:pPr>
    </w:p>
    <w:p w:rsidR="00BA3BA8" w14:paraId="587EB532" w14:textId="3B5859C7">
      <w:pPr>
        <w:jc w:val="right"/>
        <w:rPr>
          <w:b/>
          <w:sz w:val="24"/>
        </w:rPr>
      </w:pPr>
      <w:r>
        <w:rPr>
          <w:b/>
          <w:sz w:val="24"/>
        </w:rPr>
        <w:t>DA 26-</w:t>
      </w:r>
      <w:r w:rsidR="00A93807">
        <w:rPr>
          <w:b/>
          <w:sz w:val="24"/>
        </w:rPr>
        <w:t>84</w:t>
      </w:r>
    </w:p>
    <w:p w:rsidR="00BA3BA8" w14:paraId="0FFA17BC" w14:textId="70F17FE3">
      <w:pPr>
        <w:spacing w:before="60"/>
        <w:jc w:val="right"/>
        <w:rPr>
          <w:b/>
          <w:sz w:val="24"/>
        </w:rPr>
      </w:pPr>
      <w:r>
        <w:rPr>
          <w:b/>
          <w:sz w:val="24"/>
        </w:rPr>
        <w:t xml:space="preserve">Released:  </w:t>
      </w:r>
      <w:r w:rsidR="00C46062">
        <w:rPr>
          <w:b/>
          <w:sz w:val="24"/>
        </w:rPr>
        <w:t xml:space="preserve">January </w:t>
      </w:r>
      <w:r w:rsidR="00B25F24">
        <w:rPr>
          <w:b/>
          <w:sz w:val="24"/>
        </w:rPr>
        <w:t>2</w:t>
      </w:r>
      <w:r w:rsidR="004E6173">
        <w:rPr>
          <w:b/>
          <w:sz w:val="24"/>
        </w:rPr>
        <w:t>5</w:t>
      </w:r>
      <w:r w:rsidR="00C46062">
        <w:rPr>
          <w:b/>
          <w:sz w:val="24"/>
        </w:rPr>
        <w:t>, 2026</w:t>
      </w:r>
    </w:p>
    <w:p w:rsidR="00BA3BA8" w14:paraId="086D2F3D" w14:textId="77777777">
      <w:pPr>
        <w:jc w:val="right"/>
        <w:rPr>
          <w:sz w:val="24"/>
        </w:rPr>
      </w:pPr>
    </w:p>
    <w:p w:rsidR="00C46062" w:rsidRPr="009C4FC4" w:rsidP="00C46062" w14:paraId="5A503FC9" w14:textId="3A8508BB">
      <w:pPr>
        <w:tabs>
          <w:tab w:val="center" w:pos="5184"/>
        </w:tabs>
        <w:jc w:val="center"/>
        <w:rPr>
          <w:rFonts w:ascii="Times New Roman Bold" w:hAnsi="Times New Roman Bold"/>
          <w:b/>
          <w:caps/>
          <w:szCs w:val="22"/>
        </w:rPr>
      </w:pPr>
      <w:bookmarkStart w:id="0" w:name="OLE_LINK1"/>
      <w:bookmarkStart w:id="1" w:name="OLE_LINK2"/>
      <w:r>
        <w:rPr>
          <w:rFonts w:ascii="Times New Roman Bold" w:hAnsi="Times New Roman Bold"/>
          <w:b/>
          <w:caps/>
          <w:szCs w:val="22"/>
        </w:rPr>
        <w:t xml:space="preserve">The Federal Communications Commission </w:t>
      </w:r>
      <w:r w:rsidR="00EF7EB6">
        <w:rPr>
          <w:rFonts w:ascii="Times New Roman Bold" w:hAnsi="Times New Roman Bold"/>
          <w:b/>
          <w:caps/>
          <w:szCs w:val="22"/>
        </w:rPr>
        <w:t>Modifie</w:t>
      </w:r>
      <w:r w:rsidR="0074363C">
        <w:rPr>
          <w:rFonts w:ascii="Times New Roman Bold" w:hAnsi="Times New Roman Bold"/>
          <w:b/>
          <w:caps/>
          <w:szCs w:val="22"/>
        </w:rPr>
        <w:t xml:space="preserve">s the </w:t>
      </w:r>
      <w:r w:rsidR="00EF7EB6">
        <w:rPr>
          <w:rFonts w:ascii="Times New Roman Bold" w:hAnsi="Times New Roman Bold"/>
          <w:b/>
          <w:caps/>
          <w:szCs w:val="22"/>
        </w:rPr>
        <w:t>Area</w:t>
      </w:r>
      <w:r w:rsidR="0074363C">
        <w:rPr>
          <w:rFonts w:ascii="Times New Roman Bold" w:hAnsi="Times New Roman Bold"/>
          <w:b/>
          <w:caps/>
          <w:szCs w:val="22"/>
        </w:rPr>
        <w:t xml:space="preserve"> of </w:t>
      </w:r>
      <w:r w:rsidR="000E3000">
        <w:rPr>
          <w:rFonts w:ascii="Times New Roman Bold" w:hAnsi="Times New Roman Bold"/>
          <w:b/>
          <w:caps/>
          <w:szCs w:val="22"/>
        </w:rPr>
        <w:t xml:space="preserve">Activation of </w:t>
      </w:r>
      <w:r w:rsidR="006C64D8">
        <w:rPr>
          <w:rFonts w:ascii="Times New Roman Bold" w:hAnsi="Times New Roman Bold"/>
          <w:b/>
          <w:caps/>
          <w:szCs w:val="22"/>
        </w:rPr>
        <w:t>the</w:t>
      </w:r>
      <w:r w:rsidRPr="008C32D3">
        <w:rPr>
          <w:rFonts w:ascii="Times New Roman Bold" w:hAnsi="Times New Roman Bold"/>
          <w:b/>
          <w:caps/>
          <w:szCs w:val="22"/>
        </w:rPr>
        <w:t xml:space="preserve"> Disaster information Reporting System </w:t>
      </w:r>
      <w:bookmarkEnd w:id="0"/>
      <w:bookmarkEnd w:id="1"/>
      <w:r w:rsidRPr="008C32D3">
        <w:rPr>
          <w:rFonts w:ascii="Times New Roman Bold" w:hAnsi="Times New Roman Bold"/>
          <w:b/>
          <w:caps/>
          <w:szCs w:val="22"/>
        </w:rPr>
        <w:t xml:space="preserve">and Mandatory Disaster Response Intiative </w:t>
      </w:r>
      <w:r w:rsidR="000F532E">
        <w:rPr>
          <w:rFonts w:ascii="Times New Roman Bold" w:hAnsi="Times New Roman Bold"/>
          <w:b/>
          <w:caps/>
          <w:szCs w:val="22"/>
        </w:rPr>
        <w:t>for Communications Impacted by</w:t>
      </w:r>
      <w:r w:rsidRPr="009C4FC4">
        <w:rPr>
          <w:rFonts w:ascii="Times New Roman Bold" w:hAnsi="Times New Roman Bold"/>
          <w:b/>
          <w:caps/>
          <w:szCs w:val="22"/>
        </w:rPr>
        <w:t xml:space="preserve"> </w:t>
      </w:r>
      <w:r>
        <w:rPr>
          <w:rFonts w:ascii="Times New Roman Bold" w:hAnsi="Times New Roman Bold"/>
          <w:b/>
          <w:caps/>
          <w:szCs w:val="22"/>
        </w:rPr>
        <w:t>winter storm fern</w:t>
      </w:r>
    </w:p>
    <w:p w:rsidR="00BA3BA8" w14:paraId="432565AC" w14:textId="77777777">
      <w:bookmarkStart w:id="2" w:name="TOChere"/>
    </w:p>
    <w:p w:rsidR="00EB3150" w:rsidRPr="00E851AE" w:rsidP="00900C3F" w14:paraId="7FE9E0BF" w14:textId="27FD6760">
      <w:pPr>
        <w:ind w:firstLine="720"/>
        <w:rPr>
          <w:b/>
          <w:bCs/>
          <w:szCs w:val="22"/>
        </w:rPr>
      </w:pPr>
      <w:r w:rsidRPr="009C4FC4">
        <w:rPr>
          <w:szCs w:val="22"/>
        </w:rPr>
        <w:t xml:space="preserve">On </w:t>
      </w:r>
      <w:r w:rsidRPr="00CE1DB3">
        <w:rPr>
          <w:szCs w:val="22"/>
        </w:rPr>
        <w:t>January 23, 2026</w:t>
      </w:r>
      <w:r w:rsidRPr="00A74268">
        <w:rPr>
          <w:szCs w:val="22"/>
        </w:rPr>
        <w:t>,</w:t>
      </w:r>
      <w:r w:rsidRPr="009C4FC4">
        <w:rPr>
          <w:szCs w:val="22"/>
        </w:rPr>
        <w:t xml:space="preserve"> the </w:t>
      </w:r>
      <w:r>
        <w:rPr>
          <w:szCs w:val="22"/>
        </w:rPr>
        <w:t>Public Safety and Homeland Security Bureau (PSHSB), in coordination with the Federal Emergency Management Agency (FEMA), announced the activation</w:t>
      </w:r>
      <w:r w:rsidRPr="001F3D47">
        <w:rPr>
          <w:szCs w:val="22"/>
        </w:rPr>
        <w:t xml:space="preserve"> </w:t>
      </w:r>
      <w:r>
        <w:rPr>
          <w:szCs w:val="22"/>
        </w:rPr>
        <w:t>of the Disaster Information Reporting System (</w:t>
      </w:r>
      <w:r w:rsidRPr="001F3D47">
        <w:rPr>
          <w:szCs w:val="22"/>
        </w:rPr>
        <w:t>DIRS</w:t>
      </w:r>
      <w:r>
        <w:rPr>
          <w:szCs w:val="22"/>
        </w:rPr>
        <w:t>)</w:t>
      </w:r>
      <w:r w:rsidRPr="001F3D47">
        <w:rPr>
          <w:szCs w:val="22"/>
        </w:rPr>
        <w:t xml:space="preserve"> </w:t>
      </w:r>
      <w:r>
        <w:rPr>
          <w:szCs w:val="22"/>
        </w:rPr>
        <w:t xml:space="preserve">and the </w:t>
      </w:r>
      <w:r w:rsidRPr="009E614C">
        <w:rPr>
          <w:szCs w:val="24"/>
        </w:rPr>
        <w:t>Mandatory Disaster Response Initiative (MDRI</w:t>
      </w:r>
      <w:r>
        <w:rPr>
          <w:szCs w:val="24"/>
        </w:rPr>
        <w:t>)</w:t>
      </w:r>
      <w:r>
        <w:rPr>
          <w:szCs w:val="22"/>
        </w:rPr>
        <w:t xml:space="preserve"> in certain counties in states impacted by</w:t>
      </w:r>
      <w:r w:rsidRPr="001F3D47">
        <w:rPr>
          <w:szCs w:val="22"/>
        </w:rPr>
        <w:t xml:space="preserve"> </w:t>
      </w:r>
      <w:r>
        <w:rPr>
          <w:szCs w:val="22"/>
        </w:rPr>
        <w:t>Winter Storm Fern</w:t>
      </w:r>
      <w:r w:rsidRPr="00335F71">
        <w:rPr>
          <w:szCs w:val="22"/>
        </w:rPr>
        <w:t>.</w:t>
      </w:r>
      <w:r>
        <w:rPr>
          <w:rStyle w:val="FootnoteReference"/>
          <w:szCs w:val="22"/>
        </w:rPr>
        <w:footnoteReference w:id="3"/>
      </w:r>
      <w:r w:rsidRPr="001F3D47">
        <w:rPr>
          <w:b/>
          <w:bCs/>
          <w:szCs w:val="22"/>
        </w:rPr>
        <w:t xml:space="preserve">  </w:t>
      </w:r>
      <w:r w:rsidRPr="009513C5">
        <w:rPr>
          <w:szCs w:val="22"/>
        </w:rPr>
        <w:t xml:space="preserve">On January 24, 2026, the FCC announced the expansion of this activation to include </w:t>
      </w:r>
      <w:r w:rsidR="007C539B">
        <w:rPr>
          <w:szCs w:val="22"/>
        </w:rPr>
        <w:t xml:space="preserve">additional </w:t>
      </w:r>
      <w:r w:rsidRPr="009513C5">
        <w:rPr>
          <w:szCs w:val="22"/>
        </w:rPr>
        <w:t>counties in Georgia, Maryland, Mississippi, New Jersey, New York, Virginia, and West Virginia.</w:t>
      </w:r>
      <w:r>
        <w:rPr>
          <w:rStyle w:val="FootnoteReference"/>
          <w:szCs w:val="22"/>
        </w:rPr>
        <w:footnoteReference w:id="4"/>
      </w:r>
      <w:r>
        <w:rPr>
          <w:b/>
          <w:bCs/>
          <w:szCs w:val="22"/>
        </w:rPr>
        <w:t xml:space="preserve">  </w:t>
      </w:r>
      <w:r w:rsidR="00E851AE">
        <w:rPr>
          <w:szCs w:val="22"/>
        </w:rPr>
        <w:t>By</w:t>
      </w:r>
      <w:r w:rsidRPr="001F3D47" w:rsidR="00C46062">
        <w:rPr>
          <w:szCs w:val="22"/>
        </w:rPr>
        <w:t xml:space="preserve"> this </w:t>
      </w:r>
      <w:r w:rsidR="00C46062">
        <w:rPr>
          <w:szCs w:val="22"/>
        </w:rPr>
        <w:t>Publi</w:t>
      </w:r>
      <w:r w:rsidRPr="001F3D47" w:rsidR="00C46062">
        <w:rPr>
          <w:szCs w:val="22"/>
        </w:rPr>
        <w:t xml:space="preserve">c </w:t>
      </w:r>
      <w:r w:rsidR="00C46062">
        <w:rPr>
          <w:szCs w:val="22"/>
        </w:rPr>
        <w:t>N</w:t>
      </w:r>
      <w:r w:rsidRPr="001F3D47" w:rsidR="00C46062">
        <w:rPr>
          <w:szCs w:val="22"/>
        </w:rPr>
        <w:t xml:space="preserve">otice, </w:t>
      </w:r>
      <w:r w:rsidR="00C46062">
        <w:rPr>
          <w:szCs w:val="22"/>
        </w:rPr>
        <w:t xml:space="preserve">PSHSB </w:t>
      </w:r>
      <w:r w:rsidRPr="008D1882" w:rsidR="00C46062">
        <w:rPr>
          <w:szCs w:val="22"/>
        </w:rPr>
        <w:t>expands</w:t>
      </w:r>
      <w:r w:rsidRPr="001F3D47" w:rsidR="00C46062">
        <w:rPr>
          <w:b/>
          <w:bCs/>
          <w:szCs w:val="22"/>
        </w:rPr>
        <w:t xml:space="preserve"> </w:t>
      </w:r>
      <w:r w:rsidRPr="001F3D47" w:rsidR="00C46062">
        <w:rPr>
          <w:szCs w:val="22"/>
        </w:rPr>
        <w:t xml:space="preserve">the </w:t>
      </w:r>
      <w:r w:rsidR="00C46062">
        <w:rPr>
          <w:szCs w:val="22"/>
        </w:rPr>
        <w:t xml:space="preserve">activation of </w:t>
      </w:r>
      <w:r w:rsidRPr="001F3D47" w:rsidR="00C46062">
        <w:rPr>
          <w:szCs w:val="22"/>
        </w:rPr>
        <w:t xml:space="preserve">DIRS </w:t>
      </w:r>
      <w:r w:rsidR="008D1882">
        <w:rPr>
          <w:szCs w:val="22"/>
        </w:rPr>
        <w:t xml:space="preserve">and the MDRI </w:t>
      </w:r>
      <w:r w:rsidR="00C46062">
        <w:rPr>
          <w:szCs w:val="22"/>
        </w:rPr>
        <w:t>in the below-referenced areas</w:t>
      </w:r>
      <w:r w:rsidR="00D073E9">
        <w:rPr>
          <w:szCs w:val="22"/>
        </w:rPr>
        <w:t xml:space="preserve"> at the request </w:t>
      </w:r>
      <w:r w:rsidR="00AA5BDF">
        <w:rPr>
          <w:szCs w:val="22"/>
        </w:rPr>
        <w:t>o</w:t>
      </w:r>
      <w:r w:rsidR="00D073E9">
        <w:rPr>
          <w:szCs w:val="22"/>
        </w:rPr>
        <w:t xml:space="preserve">f the </w:t>
      </w:r>
      <w:r w:rsidR="00F90253">
        <w:rPr>
          <w:szCs w:val="22"/>
        </w:rPr>
        <w:t>Commonwealth of Kentucky</w:t>
      </w:r>
      <w:r w:rsidR="00B5116B">
        <w:rPr>
          <w:szCs w:val="22"/>
        </w:rPr>
        <w:t>, and deactivates DIRS and the MDRI in the below-referenced areas of South Carolina,</w:t>
      </w:r>
      <w:r w:rsidR="00C46062">
        <w:rPr>
          <w:szCs w:val="22"/>
        </w:rPr>
        <w:t xml:space="preserve"> in response to Winter Storm Fern. </w:t>
      </w:r>
    </w:p>
    <w:p w:rsidR="00EB3150" w:rsidP="00900C3F" w14:paraId="4D95EF32" w14:textId="77777777">
      <w:pPr>
        <w:tabs>
          <w:tab w:val="center" w:pos="5184"/>
        </w:tabs>
        <w:rPr>
          <w:b/>
          <w:szCs w:val="22"/>
        </w:rPr>
      </w:pPr>
    </w:p>
    <w:p w:rsidR="00EB3150" w:rsidRPr="00360666" w:rsidP="00900C3F" w14:paraId="4A5FEF2E" w14:textId="1696F296">
      <w:pPr>
        <w:tabs>
          <w:tab w:val="center" w:pos="5184"/>
        </w:tabs>
        <w:rPr>
          <w:b/>
          <w:szCs w:val="22"/>
        </w:rPr>
      </w:pPr>
      <w:r w:rsidRPr="00360666">
        <w:rPr>
          <w:b/>
          <w:szCs w:val="22"/>
        </w:rPr>
        <w:t>ADDITIONAL COUNTIES FOR DIRS ACTIVATION INCLUDE:</w:t>
      </w:r>
    </w:p>
    <w:p w:rsidR="00C46062" w:rsidP="00900C3F" w14:paraId="336A40C4" w14:textId="58423B4D">
      <w:pPr>
        <w:ind w:firstLine="720"/>
        <w:rPr>
          <w:szCs w:val="22"/>
        </w:rPr>
      </w:pPr>
      <w:r>
        <w:rPr>
          <w:szCs w:val="22"/>
        </w:rPr>
        <w:t xml:space="preserve"> </w:t>
      </w:r>
    </w:p>
    <w:p w:rsidR="002674EE" w:rsidP="00900C3F" w14:paraId="0E0F5B15" w14:textId="5869DB5C">
      <w:pPr>
        <w:rPr>
          <w:b/>
          <w:bCs/>
        </w:rPr>
      </w:pPr>
      <w:r>
        <w:rPr>
          <w:b/>
          <w:bCs/>
        </w:rPr>
        <w:t xml:space="preserve">Kentucky:  </w:t>
      </w:r>
      <w:r w:rsidRPr="002674EE">
        <w:t>Bath</w:t>
      </w:r>
      <w:r>
        <w:t xml:space="preserve">, </w:t>
      </w:r>
      <w:r w:rsidRPr="002674EE">
        <w:t>Bourbon</w:t>
      </w:r>
      <w:r>
        <w:t xml:space="preserve">, </w:t>
      </w:r>
      <w:r w:rsidRPr="002674EE">
        <w:t>Boyd</w:t>
      </w:r>
      <w:r>
        <w:t xml:space="preserve">, </w:t>
      </w:r>
      <w:r w:rsidRPr="002674EE">
        <w:t>Carter</w:t>
      </w:r>
      <w:r>
        <w:t xml:space="preserve">, </w:t>
      </w:r>
      <w:r w:rsidRPr="002674EE">
        <w:t>Clark</w:t>
      </w:r>
      <w:r>
        <w:t xml:space="preserve">, </w:t>
      </w:r>
      <w:r w:rsidRPr="002674EE">
        <w:t>Elliott</w:t>
      </w:r>
      <w:r>
        <w:t xml:space="preserve">, </w:t>
      </w:r>
      <w:r w:rsidRPr="002674EE">
        <w:t>Fleming</w:t>
      </w:r>
      <w:r>
        <w:t xml:space="preserve">, </w:t>
      </w:r>
      <w:r w:rsidRPr="002674EE">
        <w:t>Greenup</w:t>
      </w:r>
      <w:r>
        <w:t xml:space="preserve">, </w:t>
      </w:r>
      <w:r w:rsidRPr="002674EE">
        <w:t>Harrison</w:t>
      </w:r>
      <w:r>
        <w:t xml:space="preserve">, </w:t>
      </w:r>
      <w:r w:rsidRPr="002674EE">
        <w:t>Lewis</w:t>
      </w:r>
      <w:r>
        <w:t xml:space="preserve">, </w:t>
      </w:r>
      <w:r w:rsidRPr="002674EE">
        <w:t>Mason</w:t>
      </w:r>
      <w:r>
        <w:t xml:space="preserve">, </w:t>
      </w:r>
      <w:r w:rsidRPr="002674EE">
        <w:t>Nicholas</w:t>
      </w:r>
      <w:r>
        <w:t xml:space="preserve">, </w:t>
      </w:r>
      <w:r w:rsidRPr="002674EE">
        <w:t>Robertson</w:t>
      </w:r>
      <w:r>
        <w:t xml:space="preserve">, </w:t>
      </w:r>
      <w:r w:rsidRPr="002674EE">
        <w:t>Rowan</w:t>
      </w:r>
      <w:r>
        <w:t xml:space="preserve">, </w:t>
      </w:r>
      <w:r w:rsidR="001E16C3">
        <w:t xml:space="preserve">and </w:t>
      </w:r>
      <w:r w:rsidRPr="002674EE">
        <w:t>Scott</w:t>
      </w:r>
    </w:p>
    <w:p w:rsidR="000B3DAD" w:rsidRPr="000C701E" w:rsidP="00900C3F" w14:paraId="2BCD4062" w14:textId="77777777">
      <w:pPr>
        <w:rPr>
          <w:szCs w:val="22"/>
        </w:rPr>
      </w:pPr>
    </w:p>
    <w:p w:rsidR="00C46062" w:rsidP="00900C3F" w14:paraId="0E43662A" w14:textId="6BD211CE">
      <w:pPr>
        <w:ind w:firstLine="619"/>
        <w:rPr>
          <w:szCs w:val="22"/>
        </w:rPr>
      </w:pPr>
      <w:r>
        <w:t>DIRS is a web-based system that communications providers, including wireless, wireline, broadcast, cable, and interconnected Voice over Internet Protocol (VoIP) providers use to report communications infrastructure status and situational awareness information during times of crisis.</w:t>
      </w:r>
      <w:r w:rsidRPr="001F3D47">
        <w:rPr>
          <w:szCs w:val="22"/>
        </w:rPr>
        <w:t xml:space="preserve"> </w:t>
      </w:r>
      <w:r>
        <w:rPr>
          <w:szCs w:val="22"/>
        </w:rPr>
        <w:t xml:space="preserve"> </w:t>
      </w:r>
    </w:p>
    <w:p w:rsidR="00900C3F" w:rsidP="00900C3F" w14:paraId="45C6A405" w14:textId="77777777">
      <w:pPr>
        <w:ind w:firstLine="619"/>
        <w:rPr>
          <w:szCs w:val="22"/>
        </w:rPr>
      </w:pPr>
    </w:p>
    <w:p w:rsidR="00C46062" w:rsidP="00900C3F" w14:paraId="4AB30D42" w14:textId="5413929F">
      <w:pPr>
        <w:ind w:firstLine="720"/>
        <w:rPr>
          <w:szCs w:val="22"/>
        </w:rPr>
      </w:pPr>
      <w:r w:rsidRPr="00AF2B73">
        <w:rPr>
          <w:szCs w:val="22"/>
        </w:rPr>
        <w:t xml:space="preserve">The Commission requests that communications providers that provide service to any areas listed below expeditiously submit and update information through DIRS regarding, </w:t>
      </w:r>
      <w:r w:rsidRPr="00AF2B73">
        <w:rPr>
          <w:i/>
          <w:szCs w:val="22"/>
        </w:rPr>
        <w:t>inter alia</w:t>
      </w:r>
      <w:r w:rsidRPr="00AF2B73">
        <w:rPr>
          <w:szCs w:val="22"/>
        </w:rPr>
        <w:t>, the status of their communications equipment, restoration efforts, and power (</w:t>
      </w:r>
      <w:r w:rsidRPr="00AF2B73">
        <w:rPr>
          <w:i/>
          <w:szCs w:val="22"/>
        </w:rPr>
        <w:t>i.e.</w:t>
      </w:r>
      <w:r w:rsidRPr="00AF2B73">
        <w:rPr>
          <w:szCs w:val="22"/>
        </w:rPr>
        <w:t xml:space="preserve">, whether they are using commercial power or back-up power).  Communications providers can accomplish this by accessing DIRS at </w:t>
      </w:r>
      <w:hyperlink r:id="rId6" w:history="1">
        <w:r w:rsidRPr="00D51BAC">
          <w:rPr>
            <w:rStyle w:val="Hyperlink"/>
            <w:szCs w:val="22"/>
          </w:rPr>
          <w:t>https://www.dirs.fcc.gov</w:t>
        </w:r>
      </w:hyperlink>
      <w:r w:rsidRPr="00AF2B73">
        <w:rPr>
          <w:szCs w:val="22"/>
        </w:rPr>
        <w:t xml:space="preserve">.  </w:t>
      </w:r>
      <w:r w:rsidRPr="00AF2B73" w:rsidR="005902AE">
        <w:rPr>
          <w:szCs w:val="22"/>
        </w:rPr>
        <w:t xml:space="preserve">Providers that have not previously done so will be asked to first provide contact information and obtain a User ID when they access DIRS.  There is a link on the login page that will allow them to obtain the User ID and password.  If a user does not remember </w:t>
      </w:r>
      <w:r w:rsidR="005902AE">
        <w:rPr>
          <w:szCs w:val="22"/>
        </w:rPr>
        <w:t>their</w:t>
      </w:r>
      <w:r w:rsidRPr="00AF2B73" w:rsidR="005902AE">
        <w:rPr>
          <w:szCs w:val="22"/>
        </w:rPr>
        <w:t xml:space="preserve"> password, </w:t>
      </w:r>
      <w:r w:rsidR="005902AE">
        <w:rPr>
          <w:szCs w:val="22"/>
        </w:rPr>
        <w:t>they</w:t>
      </w:r>
      <w:r w:rsidRPr="00AF2B73" w:rsidR="005902AE">
        <w:rPr>
          <w:szCs w:val="22"/>
        </w:rPr>
        <w:t xml:space="preserve"> should use the forgotten password link on the login page.  If any user has any problems accessing DIRS, please contact any of the numbers listed below</w:t>
      </w:r>
      <w:r w:rsidRPr="00AF2B73">
        <w:rPr>
          <w:szCs w:val="22"/>
        </w:rPr>
        <w:t xml:space="preserve">.  </w:t>
      </w:r>
    </w:p>
    <w:p w:rsidR="00900C3F" w:rsidP="00900C3F" w14:paraId="01269854" w14:textId="77777777">
      <w:pPr>
        <w:ind w:firstLine="720"/>
        <w:rPr>
          <w:szCs w:val="22"/>
        </w:rPr>
      </w:pPr>
    </w:p>
    <w:p w:rsidR="0049560F" w:rsidRPr="00882088" w:rsidP="001C4FE4" w14:paraId="4612A613" w14:textId="538DC5A7">
      <w:pPr>
        <w:spacing w:after="120"/>
        <w:ind w:firstLine="720"/>
        <w:contextualSpacing/>
        <w:rPr>
          <w:rFonts w:eastAsia="DengXian Light"/>
          <w:szCs w:val="22"/>
        </w:rPr>
      </w:pPr>
      <w:r>
        <w:t xml:space="preserve">In DIRS, this activation </w:t>
      </w:r>
      <w:r w:rsidR="00DA13A2">
        <w:t>has</w:t>
      </w:r>
      <w:r>
        <w:t xml:space="preserve"> the following name: </w:t>
      </w:r>
      <w:r w:rsidR="00344949">
        <w:t>WINTER STORM FERN</w:t>
      </w:r>
      <w:r>
        <w:t xml:space="preserve">.  </w:t>
      </w:r>
      <w:r w:rsidRPr="008A10F7">
        <w:rPr>
          <w:rFonts w:eastAsia="DengXian Light"/>
          <w:szCs w:val="22"/>
        </w:rPr>
        <w:t xml:space="preserve">DIRS reports are due </w:t>
      </w:r>
      <w:r w:rsidRPr="00926A43">
        <w:rPr>
          <w:rFonts w:eastAsia="DengXian Light"/>
          <w:szCs w:val="22"/>
        </w:rPr>
        <w:t xml:space="preserve">by </w:t>
      </w:r>
      <w:r w:rsidRPr="00926A43">
        <w:rPr>
          <w:rFonts w:eastAsia="DengXian Light"/>
          <w:b/>
          <w:bCs/>
          <w:szCs w:val="22"/>
        </w:rPr>
        <w:t>9:00</w:t>
      </w:r>
      <w:r w:rsidR="00EE1331">
        <w:rPr>
          <w:rFonts w:eastAsia="DengXian Light"/>
          <w:b/>
          <w:bCs/>
          <w:szCs w:val="22"/>
        </w:rPr>
        <w:t xml:space="preserve"> a.m.</w:t>
      </w:r>
      <w:r w:rsidRPr="00926A43" w:rsidR="00926A43">
        <w:rPr>
          <w:rFonts w:eastAsia="DengXian Light"/>
          <w:b/>
          <w:bCs/>
          <w:szCs w:val="22"/>
        </w:rPr>
        <w:t xml:space="preserve"> EST </w:t>
      </w:r>
      <w:r w:rsidRPr="00455597">
        <w:rPr>
          <w:rFonts w:eastAsia="DengXian Light"/>
          <w:b/>
          <w:bCs/>
          <w:szCs w:val="22"/>
        </w:rPr>
        <w:t xml:space="preserve">on </w:t>
      </w:r>
      <w:r w:rsidR="001E16C3">
        <w:rPr>
          <w:rFonts w:eastAsia="DengXian Light"/>
          <w:b/>
          <w:bCs/>
          <w:szCs w:val="22"/>
        </w:rPr>
        <w:t>Mon</w:t>
      </w:r>
      <w:r w:rsidRPr="00455597" w:rsidR="00455597">
        <w:rPr>
          <w:rFonts w:eastAsia="DengXian Light"/>
          <w:b/>
          <w:bCs/>
          <w:szCs w:val="22"/>
        </w:rPr>
        <w:t>day, January 2</w:t>
      </w:r>
      <w:r w:rsidR="001E16C3">
        <w:rPr>
          <w:rFonts w:eastAsia="DengXian Light"/>
          <w:b/>
          <w:bCs/>
          <w:szCs w:val="22"/>
        </w:rPr>
        <w:t>6</w:t>
      </w:r>
      <w:r w:rsidRPr="00455597" w:rsidR="00455597">
        <w:rPr>
          <w:rFonts w:eastAsia="DengXian Light"/>
          <w:b/>
          <w:bCs/>
          <w:szCs w:val="22"/>
        </w:rPr>
        <w:t>, 2026</w:t>
      </w:r>
      <w:r w:rsidRPr="00455597">
        <w:rPr>
          <w:rFonts w:eastAsia="DengXian Light"/>
          <w:b/>
          <w:bCs/>
          <w:szCs w:val="22"/>
        </w:rPr>
        <w:t>,</w:t>
      </w:r>
      <w:r w:rsidRPr="001C2D79">
        <w:rPr>
          <w:rFonts w:eastAsia="DengXian Light"/>
          <w:b/>
          <w:bCs/>
          <w:szCs w:val="22"/>
        </w:rPr>
        <w:t xml:space="preserve"> and each day thereafter by</w:t>
      </w:r>
      <w:r w:rsidRPr="008A10F7">
        <w:rPr>
          <w:rFonts w:eastAsia="DengXian Light"/>
          <w:szCs w:val="22"/>
        </w:rPr>
        <w:t xml:space="preserve"> </w:t>
      </w:r>
      <w:r w:rsidRPr="00455597">
        <w:rPr>
          <w:rFonts w:eastAsia="DengXian Light"/>
          <w:b/>
          <w:bCs/>
          <w:szCs w:val="22"/>
        </w:rPr>
        <w:t>9:00</w:t>
      </w:r>
      <w:r w:rsidR="006C2465">
        <w:rPr>
          <w:rFonts w:eastAsia="DengXian Light"/>
          <w:b/>
          <w:bCs/>
          <w:szCs w:val="22"/>
        </w:rPr>
        <w:t xml:space="preserve"> a.m.</w:t>
      </w:r>
      <w:r w:rsidRPr="00455597" w:rsidR="00455597">
        <w:rPr>
          <w:rFonts w:eastAsia="DengXian Light"/>
          <w:b/>
          <w:bCs/>
          <w:szCs w:val="22"/>
        </w:rPr>
        <w:t xml:space="preserve"> EST</w:t>
      </w:r>
      <w:r w:rsidRPr="008A10F7">
        <w:rPr>
          <w:rFonts w:eastAsia="DengXian Light"/>
          <w:szCs w:val="22"/>
        </w:rPr>
        <w:t xml:space="preserve"> </w:t>
      </w:r>
      <w:r w:rsidRPr="001C2D79">
        <w:rPr>
          <w:rFonts w:eastAsia="DengXian Light"/>
          <w:b/>
          <w:bCs/>
          <w:szCs w:val="22"/>
        </w:rPr>
        <w:t>until DIRS is deactivated.</w:t>
      </w:r>
      <w:r>
        <w:rPr>
          <w:rFonts w:eastAsia="DengXian Light"/>
          <w:szCs w:val="22"/>
        </w:rPr>
        <w:t xml:space="preserve">  </w:t>
      </w:r>
      <w:r w:rsidRPr="008A10F7">
        <w:rPr>
          <w:rFonts w:eastAsia="DengXian Light"/>
          <w:szCs w:val="22"/>
        </w:rPr>
        <w:t xml:space="preserve">Cable communications providers, wireless service providers, wireline communications providers, </w:t>
      </w:r>
      <w:r>
        <w:rPr>
          <w:rFonts w:eastAsia="DengXian Light"/>
          <w:szCs w:val="22"/>
        </w:rPr>
        <w:t>and i</w:t>
      </w:r>
      <w:r w:rsidRPr="008A10F7">
        <w:rPr>
          <w:rFonts w:eastAsia="DengXian Light"/>
          <w:szCs w:val="22"/>
        </w:rPr>
        <w:t>nterconnected VoIP providers are not required to make submissions in the Network Outage Reporting System (NORS) pertaining to any incidents that arise during the DIRS activation that are timely reported in DIRS.</w:t>
      </w:r>
      <w:r>
        <w:rPr>
          <w:rFonts w:eastAsia="DengXian Light"/>
          <w:szCs w:val="22"/>
          <w:vertAlign w:val="superscript"/>
        </w:rPr>
        <w:footnoteReference w:id="5"/>
      </w:r>
      <w:r w:rsidRPr="008A10F7">
        <w:rPr>
          <w:rFonts w:eastAsia="DengXian Light"/>
          <w:szCs w:val="22"/>
        </w:rPr>
        <w:t xml:space="preserve">  To promote a comprehensive and effective disaster response, </w:t>
      </w:r>
      <w:r>
        <w:rPr>
          <w:rFonts w:eastAsia="DengXian Light"/>
          <w:szCs w:val="22"/>
        </w:rPr>
        <w:t>PSHSB</w:t>
      </w:r>
      <w:r w:rsidRPr="008A10F7">
        <w:rPr>
          <w:rFonts w:eastAsia="DengXian Light"/>
          <w:szCs w:val="22"/>
        </w:rPr>
        <w:t xml:space="preserve"> encourage</w:t>
      </w:r>
      <w:r>
        <w:rPr>
          <w:rFonts w:eastAsia="DengXian Light"/>
          <w:szCs w:val="22"/>
        </w:rPr>
        <w:t>s</w:t>
      </w:r>
      <w:r w:rsidRPr="008A10F7">
        <w:rPr>
          <w:rFonts w:eastAsia="DengXian Light"/>
          <w:szCs w:val="22"/>
        </w:rPr>
        <w:t xml:space="preserve"> other </w:t>
      </w:r>
      <w:r>
        <w:rPr>
          <w:rFonts w:eastAsia="DengXian Light"/>
          <w:szCs w:val="22"/>
        </w:rPr>
        <w:t xml:space="preserve">communications providers </w:t>
      </w:r>
      <w:r w:rsidRPr="008A10F7">
        <w:rPr>
          <w:rFonts w:eastAsia="DengXian Light"/>
          <w:szCs w:val="22"/>
        </w:rPr>
        <w:t>to voluntarily report in DIRS using forms applicable to their infrastructure.</w:t>
      </w:r>
    </w:p>
    <w:p w:rsidR="00511CBD" w:rsidRPr="00882088" w:rsidP="001C4FE4" w14:paraId="713FB6B0" w14:textId="77777777">
      <w:pPr>
        <w:spacing w:after="120"/>
        <w:ind w:firstLine="720"/>
        <w:contextualSpacing/>
        <w:rPr>
          <w:rFonts w:eastAsia="DengXian Light"/>
          <w:szCs w:val="22"/>
        </w:rPr>
      </w:pPr>
    </w:p>
    <w:p w:rsidR="00511CBD" w:rsidRPr="0011795C" w:rsidP="001C4FE4" w14:paraId="2F972424" w14:textId="3958EEC3">
      <w:pPr>
        <w:spacing w:after="120"/>
        <w:contextualSpacing/>
        <w:rPr>
          <w:b/>
          <w:bCs/>
          <w:szCs w:val="22"/>
        </w:rPr>
      </w:pPr>
      <w:r w:rsidRPr="0011795C">
        <w:rPr>
          <w:b/>
          <w:bCs/>
          <w:szCs w:val="22"/>
        </w:rPr>
        <w:t xml:space="preserve">MDRI EXPANDED TO </w:t>
      </w:r>
      <w:r>
        <w:rPr>
          <w:b/>
          <w:bCs/>
          <w:szCs w:val="22"/>
        </w:rPr>
        <w:t>I</w:t>
      </w:r>
      <w:r w:rsidR="00F804EB">
        <w:rPr>
          <w:b/>
          <w:bCs/>
          <w:szCs w:val="22"/>
        </w:rPr>
        <w:t>N</w:t>
      </w:r>
      <w:r>
        <w:rPr>
          <w:b/>
          <w:bCs/>
          <w:szCs w:val="22"/>
        </w:rPr>
        <w:t xml:space="preserve">CLUDE </w:t>
      </w:r>
      <w:r w:rsidRPr="0011795C">
        <w:rPr>
          <w:b/>
          <w:bCs/>
          <w:szCs w:val="22"/>
        </w:rPr>
        <w:t>COUNTIES IN</w:t>
      </w:r>
      <w:r>
        <w:rPr>
          <w:b/>
          <w:bCs/>
          <w:szCs w:val="22"/>
        </w:rPr>
        <w:t xml:space="preserve"> </w:t>
      </w:r>
      <w:r w:rsidR="004E6173">
        <w:rPr>
          <w:b/>
          <w:bCs/>
          <w:szCs w:val="22"/>
        </w:rPr>
        <w:t>KENTUCKY</w:t>
      </w:r>
    </w:p>
    <w:p w:rsidR="00511CBD" w:rsidP="001C4FE4" w14:paraId="0BA40D19" w14:textId="77777777">
      <w:pPr>
        <w:spacing w:after="120"/>
        <w:ind w:firstLine="623"/>
        <w:contextualSpacing/>
      </w:pPr>
    </w:p>
    <w:p w:rsidR="00C46062" w:rsidP="001C4FE4" w14:paraId="6A873BC3" w14:textId="070B9D4A">
      <w:pPr>
        <w:spacing w:after="120"/>
        <w:ind w:firstLine="623"/>
        <w:contextualSpacing/>
        <w:rPr>
          <w:szCs w:val="24"/>
        </w:rPr>
      </w:pPr>
      <w:r w:rsidRPr="0094185D">
        <w:t xml:space="preserve">As a result of </w:t>
      </w:r>
      <w:r>
        <w:t>PSHSB’s expansion of the</w:t>
      </w:r>
      <w:r w:rsidRPr="0094185D">
        <w:t xml:space="preserve"> DIRS activation area, the MDRI has also been expanded to include</w:t>
      </w:r>
      <w:r>
        <w:t xml:space="preserve"> the below-referenced areas </w:t>
      </w:r>
      <w:r w:rsidRPr="0094185D">
        <w:rPr>
          <w:szCs w:val="22"/>
        </w:rPr>
        <w:t>in response to</w:t>
      </w:r>
      <w:r>
        <w:rPr>
          <w:szCs w:val="22"/>
        </w:rPr>
        <w:t xml:space="preserve"> Winter Storm Fern</w:t>
      </w:r>
      <w:r w:rsidRPr="0094185D">
        <w:t>.</w:t>
      </w:r>
      <w:r w:rsidRPr="00EA11F2">
        <w:rPr>
          <w:color w:val="000000"/>
        </w:rPr>
        <w:t xml:space="preserve">  </w:t>
      </w:r>
    </w:p>
    <w:p w:rsidR="009917FA" w:rsidP="009917FA" w14:paraId="11205A55" w14:textId="77777777">
      <w:pPr>
        <w:tabs>
          <w:tab w:val="center" w:pos="5184"/>
        </w:tabs>
        <w:rPr>
          <w:b/>
          <w:szCs w:val="22"/>
        </w:rPr>
      </w:pPr>
      <w:bookmarkStart w:id="3" w:name="_Hlk115432757"/>
      <w:bookmarkStart w:id="4" w:name="_Hlk526842846"/>
      <w:bookmarkStart w:id="5" w:name="_Hlk526842909"/>
    </w:p>
    <w:p w:rsidR="00C46062" w:rsidP="001C4FE4" w14:paraId="07D6CE77" w14:textId="51C8EB46">
      <w:pPr>
        <w:tabs>
          <w:tab w:val="center" w:pos="5184"/>
        </w:tabs>
        <w:spacing w:after="120"/>
        <w:contextualSpacing/>
        <w:rPr>
          <w:b/>
          <w:szCs w:val="22"/>
        </w:rPr>
      </w:pPr>
      <w:r>
        <w:rPr>
          <w:b/>
          <w:szCs w:val="22"/>
        </w:rPr>
        <w:t>ADDITIONAL COUNTIES FOR MDRI ACTIVATION INCLUDE:</w:t>
      </w:r>
    </w:p>
    <w:p w:rsidR="001C4FE4" w:rsidRPr="001C4FE4" w:rsidP="001C4FE4" w14:paraId="333EDE56" w14:textId="77777777">
      <w:pPr>
        <w:tabs>
          <w:tab w:val="center" w:pos="5184"/>
        </w:tabs>
        <w:spacing w:after="120"/>
        <w:contextualSpacing/>
        <w:rPr>
          <w:b/>
          <w:szCs w:val="22"/>
        </w:rPr>
      </w:pPr>
    </w:p>
    <w:p w:rsidR="004E6173" w:rsidP="001C4FE4" w14:paraId="23CC8310" w14:textId="68A2C07D">
      <w:pPr>
        <w:spacing w:after="120"/>
        <w:contextualSpacing/>
        <w:rPr>
          <w:b/>
          <w:bCs/>
        </w:rPr>
      </w:pPr>
      <w:r>
        <w:rPr>
          <w:b/>
          <w:bCs/>
        </w:rPr>
        <w:t xml:space="preserve">Kentucky:  </w:t>
      </w:r>
      <w:r w:rsidRPr="002674EE">
        <w:t>Bath</w:t>
      </w:r>
      <w:r>
        <w:t xml:space="preserve">, </w:t>
      </w:r>
      <w:r w:rsidRPr="002674EE">
        <w:t>Bourbon</w:t>
      </w:r>
      <w:r>
        <w:t xml:space="preserve">, </w:t>
      </w:r>
      <w:r w:rsidRPr="002674EE">
        <w:t>Boyd</w:t>
      </w:r>
      <w:r>
        <w:t xml:space="preserve">, </w:t>
      </w:r>
      <w:r w:rsidRPr="002674EE">
        <w:t>Carter</w:t>
      </w:r>
      <w:r>
        <w:t xml:space="preserve">, </w:t>
      </w:r>
      <w:r w:rsidRPr="002674EE">
        <w:t>Clark</w:t>
      </w:r>
      <w:r>
        <w:t xml:space="preserve">, </w:t>
      </w:r>
      <w:r w:rsidRPr="002674EE">
        <w:t>Elliott</w:t>
      </w:r>
      <w:r>
        <w:t xml:space="preserve">, </w:t>
      </w:r>
      <w:r w:rsidRPr="002674EE">
        <w:t>Fleming</w:t>
      </w:r>
      <w:r>
        <w:t xml:space="preserve">, </w:t>
      </w:r>
      <w:r w:rsidRPr="002674EE">
        <w:t>Greenup</w:t>
      </w:r>
      <w:r>
        <w:t xml:space="preserve">, </w:t>
      </w:r>
      <w:r w:rsidRPr="002674EE">
        <w:t>Harrison</w:t>
      </w:r>
      <w:r>
        <w:t xml:space="preserve">, </w:t>
      </w:r>
      <w:r w:rsidRPr="002674EE">
        <w:t>Lewis</w:t>
      </w:r>
      <w:r>
        <w:t xml:space="preserve">, </w:t>
      </w:r>
      <w:r w:rsidRPr="002674EE">
        <w:t>Mason</w:t>
      </w:r>
      <w:r>
        <w:t xml:space="preserve">, </w:t>
      </w:r>
      <w:r w:rsidRPr="002674EE">
        <w:t>Nicholas</w:t>
      </w:r>
      <w:r>
        <w:t xml:space="preserve">, </w:t>
      </w:r>
      <w:r w:rsidRPr="002674EE">
        <w:t>Robertson</w:t>
      </w:r>
      <w:r>
        <w:t xml:space="preserve">, </w:t>
      </w:r>
      <w:r w:rsidRPr="002674EE">
        <w:t>Rowan</w:t>
      </w:r>
      <w:r>
        <w:t xml:space="preserve">, </w:t>
      </w:r>
      <w:r w:rsidR="001E16C3">
        <w:t xml:space="preserve">and </w:t>
      </w:r>
      <w:r w:rsidRPr="002674EE">
        <w:t>Scott</w:t>
      </w:r>
    </w:p>
    <w:p w:rsidR="009917FA" w:rsidP="001C4FE4" w14:paraId="67CC0CDB" w14:textId="77777777">
      <w:pPr>
        <w:spacing w:after="120"/>
        <w:ind w:firstLine="623"/>
        <w:contextualSpacing/>
        <w:rPr>
          <w:szCs w:val="22"/>
        </w:rPr>
      </w:pPr>
    </w:p>
    <w:p w:rsidR="00F25AD1" w:rsidRPr="006E1809" w:rsidP="006E1809" w14:paraId="1A265A12" w14:textId="17D68975">
      <w:pPr>
        <w:spacing w:after="120"/>
        <w:ind w:firstLine="623"/>
        <w:contextualSpacing/>
      </w:pPr>
      <w:r>
        <w:rPr>
          <w:szCs w:val="22"/>
        </w:rPr>
        <w:t xml:space="preserve">Upon the release of this Public Notice, </w:t>
      </w:r>
      <w:r w:rsidR="00FA72A1">
        <w:t>a</w:t>
      </w:r>
      <w:r w:rsidRPr="0094185D">
        <w:t xml:space="preserve">ll facilities-based mobile wireless providers operating in </w:t>
      </w:r>
      <w:r w:rsidRPr="00C77C16">
        <w:rPr>
          <w:szCs w:val="22"/>
        </w:rPr>
        <w:t>such areas</w:t>
      </w:r>
      <w:r>
        <w:rPr>
          <w:b/>
          <w:bCs/>
          <w:szCs w:val="22"/>
        </w:rPr>
        <w:t xml:space="preserve"> </w:t>
      </w:r>
      <w:r w:rsidRPr="0094185D">
        <w:rPr>
          <w:szCs w:val="22"/>
        </w:rPr>
        <w:t xml:space="preserve">are </w:t>
      </w:r>
      <w:r w:rsidRPr="0094185D">
        <w:t>required to (1) provide for reasonable roaming under disaster arrangements when technically feasible; (2) activate mutual aid arrangements with other facilities-based mobile wireless providers</w:t>
      </w:r>
      <w:r w:rsidRPr="0094185D">
        <w:rPr>
          <w:szCs w:val="24"/>
        </w:rPr>
        <w:t>;</w:t>
      </w:r>
      <w:r w:rsidRPr="0094185D">
        <w:t xml:space="preserve"> (3) take reasonable measures to enhance municipal preparedness and restoration; (4) take reasonable measures to increase consumer readiness and preparation; and (5) take reasonable measures to improve public awareness and stakeholder communications on service and restoration status.</w:t>
      </w:r>
      <w:r>
        <w:rPr>
          <w:vertAlign w:val="superscript"/>
        </w:rPr>
        <w:footnoteReference w:id="6"/>
      </w:r>
      <w:r w:rsidR="006E1809">
        <w:t xml:space="preserve">  </w:t>
      </w:r>
      <w:r>
        <w:rPr>
          <w:szCs w:val="22"/>
        </w:rPr>
        <w:t xml:space="preserve">Facilities-based mobile wireless </w:t>
      </w:r>
      <w:r w:rsidRPr="00AF2B73">
        <w:rPr>
          <w:szCs w:val="22"/>
        </w:rPr>
        <w:t xml:space="preserve">providers that serve </w:t>
      </w:r>
      <w:r>
        <w:rPr>
          <w:szCs w:val="22"/>
        </w:rPr>
        <w:t>the above-referenced</w:t>
      </w:r>
      <w:r w:rsidRPr="00AF2B73">
        <w:rPr>
          <w:szCs w:val="22"/>
        </w:rPr>
        <w:t xml:space="preserve"> </w:t>
      </w:r>
      <w:r w:rsidRPr="004C6029">
        <w:rPr>
          <w:szCs w:val="22"/>
        </w:rPr>
        <w:t>areas</w:t>
      </w:r>
      <w:r w:rsidRPr="00AF2B73">
        <w:rPr>
          <w:szCs w:val="22"/>
        </w:rPr>
        <w:t xml:space="preserve"> and that </w:t>
      </w:r>
      <w:r>
        <w:rPr>
          <w:szCs w:val="22"/>
        </w:rPr>
        <w:t xml:space="preserve">have </w:t>
      </w:r>
      <w:r w:rsidRPr="00AF2B73">
        <w:rPr>
          <w:szCs w:val="22"/>
        </w:rPr>
        <w:t xml:space="preserve">provided contact information in DIRS will </w:t>
      </w:r>
      <w:r>
        <w:rPr>
          <w:szCs w:val="22"/>
        </w:rPr>
        <w:t xml:space="preserve">be individually notified that the MDRI has been activated in their area.  </w:t>
      </w:r>
    </w:p>
    <w:p w:rsidR="001C4FE4" w:rsidP="00F25AD1" w14:paraId="548C990A" w14:textId="77777777">
      <w:pPr>
        <w:spacing w:after="120"/>
        <w:ind w:firstLine="720"/>
        <w:contextualSpacing/>
        <w:rPr>
          <w:szCs w:val="22"/>
        </w:rPr>
      </w:pPr>
    </w:p>
    <w:p w:rsidR="00F25AD1" w:rsidP="00F25AD1" w14:paraId="4C5A31DD" w14:textId="77777777">
      <w:pPr>
        <w:spacing w:after="120"/>
        <w:ind w:firstLine="720"/>
      </w:pPr>
      <w:r>
        <w:rPr>
          <w:szCs w:val="22"/>
        </w:rPr>
        <w:t>PSHSB will announce when the MDRI has been deactivated by subsequent Public Notice.  Providers should familiarize themselves with the Commission’s MDRI requirements.</w:t>
      </w:r>
      <w:r>
        <w:rPr>
          <w:rStyle w:val="FootnoteReference"/>
          <w:szCs w:val="22"/>
        </w:rPr>
        <w:footnoteReference w:id="7"/>
      </w:r>
      <w:r>
        <w:rPr>
          <w:szCs w:val="22"/>
        </w:rPr>
        <w:t xml:space="preserve">  </w:t>
      </w:r>
      <w:r>
        <w:t xml:space="preserve">Details on the Mandatory Disaster Response Initiative can be found on the FCC website at </w:t>
      </w:r>
      <w:hyperlink r:id="rId7" w:history="1">
        <w:r>
          <w:rPr>
            <w:rStyle w:val="Hyperlink"/>
          </w:rPr>
          <w:t>https://www.fcc.gov/wireless-network-resiliency-during-disasters</w:t>
        </w:r>
      </w:hyperlink>
      <w:r>
        <w:t xml:space="preserve">.  </w:t>
      </w:r>
    </w:p>
    <w:p w:rsidR="00555886" w:rsidP="00900C3F" w14:paraId="4EAAB3AE" w14:textId="77777777">
      <w:pPr>
        <w:rPr>
          <w:rFonts w:ascii="Times New Roman Bold" w:eastAsia="DengXian Light" w:hAnsi="Times New Roman Bold"/>
          <w:b/>
          <w:bCs/>
          <w:caps/>
          <w:szCs w:val="22"/>
        </w:rPr>
      </w:pPr>
    </w:p>
    <w:p w:rsidR="009F1FC5" w:rsidP="00900C3F" w14:paraId="1112482C" w14:textId="3E228DE7">
      <w:pPr>
        <w:rPr>
          <w:rFonts w:ascii="Times New Roman Bold" w:eastAsia="DengXian Light" w:hAnsi="Times New Roman Bold"/>
          <w:b/>
          <w:bCs/>
          <w:caps/>
          <w:szCs w:val="22"/>
        </w:rPr>
      </w:pPr>
      <w:r w:rsidRPr="00B424CB">
        <w:rPr>
          <w:rFonts w:ascii="Times New Roman Bold" w:eastAsia="DengXian Light" w:hAnsi="Times New Roman Bold"/>
          <w:b/>
          <w:bCs/>
          <w:caps/>
          <w:szCs w:val="22"/>
        </w:rPr>
        <w:t>Deactivation of DIRS and MDRI in certain counties</w:t>
      </w:r>
      <w:r w:rsidR="00B424CB">
        <w:rPr>
          <w:rFonts w:ascii="Times New Roman Bold" w:eastAsia="DengXian Light" w:hAnsi="Times New Roman Bold"/>
          <w:b/>
          <w:bCs/>
          <w:caps/>
          <w:szCs w:val="22"/>
        </w:rPr>
        <w:t xml:space="preserve"> in SOuth Carolina</w:t>
      </w:r>
    </w:p>
    <w:p w:rsidR="00555886" w:rsidP="00900C3F" w14:paraId="15D0B0EF" w14:textId="77777777">
      <w:pPr>
        <w:rPr>
          <w:rFonts w:ascii="Times New Roman Bold" w:eastAsia="DengXian Light" w:hAnsi="Times New Roman Bold"/>
          <w:b/>
          <w:bCs/>
          <w:caps/>
          <w:szCs w:val="22"/>
        </w:rPr>
      </w:pPr>
    </w:p>
    <w:p w:rsidR="009F1FC5" w:rsidP="00900C3F" w14:paraId="05677CE8" w14:textId="77777777">
      <w:pPr>
        <w:ind w:firstLine="720"/>
      </w:pPr>
      <w:r>
        <w:t>Also by this Public Notice, the Federal Communications Commission (Commission), at the request of the State of South Carolina and in coordination with the Federal Emergency Management Agency (FEMA), is announcing the deactivation of the Disaster Information Reporting System (DIRS) and the Mandatory Disaster Response Initiative (MDRI) for the following counties in South Carolina impacted by Winter Storm Fern:</w:t>
      </w:r>
    </w:p>
    <w:p w:rsidR="00900C3F" w:rsidP="001C4FE4" w14:paraId="10066D94" w14:textId="77777777">
      <w:pPr>
        <w:spacing w:after="120"/>
        <w:contextualSpacing/>
        <w:rPr>
          <w:b/>
          <w:bCs/>
        </w:rPr>
      </w:pPr>
    </w:p>
    <w:p w:rsidR="001C4FE4" w:rsidP="001C4FE4" w14:paraId="6A2EA3BC" w14:textId="16866D7A">
      <w:pPr>
        <w:spacing w:after="120"/>
        <w:contextualSpacing/>
      </w:pPr>
      <w:r w:rsidRPr="00526AD7">
        <w:rPr>
          <w:b/>
          <w:bCs/>
        </w:rPr>
        <w:t>South Carolina:</w:t>
      </w:r>
      <w:r>
        <w:t xml:space="preserve"> </w:t>
      </w:r>
      <w:r w:rsidR="0071679C">
        <w:t xml:space="preserve"> </w:t>
      </w:r>
      <w:r w:rsidRPr="00A35CE6" w:rsidR="00A35CE6">
        <w:t>Bamberg</w:t>
      </w:r>
      <w:r w:rsidR="00A35CE6">
        <w:t xml:space="preserve">, </w:t>
      </w:r>
      <w:r w:rsidRPr="00A35CE6" w:rsidR="00A35CE6">
        <w:t>Beaufort</w:t>
      </w:r>
      <w:r w:rsidR="00A35CE6">
        <w:t xml:space="preserve">, </w:t>
      </w:r>
      <w:r w:rsidRPr="00A35CE6" w:rsidR="00A35CE6">
        <w:t>Berkeley</w:t>
      </w:r>
      <w:r w:rsidR="00A35CE6">
        <w:t xml:space="preserve">, </w:t>
      </w:r>
      <w:r w:rsidRPr="00A35CE6" w:rsidR="00A35CE6">
        <w:t>Charleston</w:t>
      </w:r>
      <w:r w:rsidR="00A35CE6">
        <w:t xml:space="preserve">, </w:t>
      </w:r>
      <w:r w:rsidRPr="00A35CE6" w:rsidR="00A35CE6">
        <w:t>Clarendon</w:t>
      </w:r>
      <w:r w:rsidR="00A35CE6">
        <w:t xml:space="preserve">, </w:t>
      </w:r>
      <w:r w:rsidRPr="00A35CE6" w:rsidR="00A35CE6">
        <w:t>Colleton</w:t>
      </w:r>
      <w:r w:rsidR="00A35CE6">
        <w:t xml:space="preserve">, </w:t>
      </w:r>
      <w:r w:rsidRPr="00A35CE6" w:rsidR="00A35CE6">
        <w:t>Dorchester</w:t>
      </w:r>
      <w:r w:rsidR="00A35CE6">
        <w:t xml:space="preserve">, </w:t>
      </w:r>
      <w:r w:rsidRPr="00A35CE6" w:rsidR="00A35CE6">
        <w:t>Florence</w:t>
      </w:r>
      <w:r w:rsidR="00A35CE6">
        <w:t xml:space="preserve">, </w:t>
      </w:r>
      <w:r w:rsidRPr="00A35CE6" w:rsidR="00A35CE6">
        <w:t>Georgetown</w:t>
      </w:r>
      <w:r w:rsidR="00A35CE6">
        <w:t xml:space="preserve">, </w:t>
      </w:r>
      <w:r w:rsidRPr="00A35CE6" w:rsidR="00A35CE6">
        <w:t>Hampton</w:t>
      </w:r>
      <w:r w:rsidR="00A35CE6">
        <w:t xml:space="preserve">, </w:t>
      </w:r>
      <w:r w:rsidRPr="00A35CE6" w:rsidR="00A35CE6">
        <w:t>Horry</w:t>
      </w:r>
      <w:r w:rsidR="00A35CE6">
        <w:t xml:space="preserve">, </w:t>
      </w:r>
      <w:r w:rsidRPr="00A35CE6" w:rsidR="00A35CE6">
        <w:t>Jasper</w:t>
      </w:r>
      <w:r w:rsidR="00A35CE6">
        <w:t>,</w:t>
      </w:r>
      <w:r w:rsidR="0071679C">
        <w:t xml:space="preserve"> and</w:t>
      </w:r>
      <w:r w:rsidR="00A35CE6">
        <w:t xml:space="preserve"> </w:t>
      </w:r>
      <w:r w:rsidRPr="00A35CE6" w:rsidR="00A35CE6">
        <w:t>Marion</w:t>
      </w:r>
      <w:r>
        <w:t xml:space="preserve"> </w:t>
      </w:r>
    </w:p>
    <w:p w:rsidR="001C4FE4" w:rsidP="00900C3F" w14:paraId="01C765EB" w14:textId="77777777">
      <w:pPr>
        <w:contextualSpacing/>
      </w:pPr>
    </w:p>
    <w:p w:rsidR="00090991" w:rsidP="001C4FE4" w14:paraId="50FBB5C1" w14:textId="4429B05D">
      <w:pPr>
        <w:spacing w:after="120"/>
        <w:ind w:firstLine="720"/>
        <w:contextualSpacing/>
      </w:pPr>
      <w:r w:rsidRPr="00456B06">
        <w:t xml:space="preserve">Cable communications providers, wireless service providers, wireline communications providers, </w:t>
      </w:r>
      <w:r w:rsidRPr="00456B06">
        <w:t xml:space="preserve">and </w:t>
      </w:r>
      <w:r>
        <w:t>i</w:t>
      </w:r>
      <w:r w:rsidRPr="001F3D47">
        <w:rPr>
          <w:szCs w:val="22"/>
        </w:rPr>
        <w:t xml:space="preserve">nterconnected VoIP </w:t>
      </w:r>
      <w:r w:rsidRPr="00456B06">
        <w:t xml:space="preserve">providers </w:t>
      </w:r>
      <w:r w:rsidRPr="00456B06">
        <w:rPr>
          <w:bCs/>
        </w:rPr>
        <w:t>that provide service in</w:t>
      </w:r>
      <w:r>
        <w:rPr>
          <w:bCs/>
        </w:rPr>
        <w:t xml:space="preserve"> the below-referenced areas </w:t>
      </w:r>
      <w:r w:rsidRPr="00456B06">
        <w:t xml:space="preserve">are </w:t>
      </w:r>
      <w:r w:rsidRPr="00456B06">
        <w:rPr>
          <w:bCs/>
        </w:rPr>
        <w:t xml:space="preserve">no </w:t>
      </w:r>
      <w:r>
        <w:rPr>
          <w:bCs/>
        </w:rPr>
        <w:t>l</w:t>
      </w:r>
      <w:r w:rsidRPr="00456B06">
        <w:rPr>
          <w:bCs/>
        </w:rPr>
        <w:t xml:space="preserve">onger </w:t>
      </w:r>
      <w:r w:rsidRPr="00456B06">
        <w:t xml:space="preserve">required to report their infrastructure status </w:t>
      </w:r>
      <w:r>
        <w:t>daily</w:t>
      </w:r>
      <w:r w:rsidRPr="00456B06">
        <w:t xml:space="preserve"> in DIRS</w:t>
      </w:r>
      <w:r>
        <w:t xml:space="preserve"> for this event</w:t>
      </w:r>
      <w:r w:rsidRPr="00456B06">
        <w:t>.</w:t>
      </w:r>
      <w:r>
        <w:rPr>
          <w:vertAlign w:val="superscript"/>
        </w:rPr>
        <w:footnoteReference w:id="8"/>
      </w:r>
      <w:r w:rsidRPr="00456B06">
        <w:t xml:space="preserve">  </w:t>
      </w:r>
      <w:r w:rsidRPr="001D1264">
        <w:t>These providers</w:t>
      </w:r>
      <w:r w:rsidRPr="001D1264">
        <w:rPr>
          <w:b/>
        </w:rPr>
        <w:t xml:space="preserve"> </w:t>
      </w:r>
      <w:r w:rsidRPr="001D1264">
        <w:t xml:space="preserve">must provide a single, final report to the Commission within 24 hours of release of this </w:t>
      </w:r>
      <w:r>
        <w:t>P</w:t>
      </w:r>
      <w:r w:rsidRPr="001D1264">
        <w:t xml:space="preserve">ublic </w:t>
      </w:r>
      <w:r>
        <w:t>N</w:t>
      </w:r>
      <w:r w:rsidRPr="001D1264">
        <w:t>otice detailing the state of their infrastructure at the time of DIRS deactivation and an estimated date of resolution of any remaining outages.</w:t>
      </w:r>
      <w:r>
        <w:rPr>
          <w:vertAlign w:val="superscript"/>
        </w:rPr>
        <w:footnoteReference w:id="9"/>
      </w:r>
      <w:r w:rsidRPr="001D1264">
        <w:t xml:space="preserve">  </w:t>
      </w:r>
      <w:r>
        <w:t>PSHSB</w:t>
      </w:r>
      <w:r w:rsidRPr="001D1264">
        <w:t xml:space="preserve"> encourage</w:t>
      </w:r>
      <w:r>
        <w:t>s</w:t>
      </w:r>
      <w:r w:rsidRPr="001D1264">
        <w:t xml:space="preserve"> </w:t>
      </w:r>
      <w:r>
        <w:t xml:space="preserve">other communications providers </w:t>
      </w:r>
      <w:r w:rsidRPr="001D1264">
        <w:t xml:space="preserve">that voluntarily reported in DIRS </w:t>
      </w:r>
      <w:r>
        <w:t>to also</w:t>
      </w:r>
      <w:r w:rsidRPr="001D1264">
        <w:t xml:space="preserve"> submit a final DIRS report. </w:t>
      </w:r>
    </w:p>
    <w:p w:rsidR="009F1FC5" w:rsidP="00E445FE" w14:paraId="7B9B54D4" w14:textId="77777777">
      <w:pPr>
        <w:rPr>
          <w:b/>
        </w:rPr>
      </w:pPr>
    </w:p>
    <w:p w:rsidR="00E445FE" w:rsidRPr="00863EB4" w:rsidP="00900C3F" w14:paraId="2CBB61AB" w14:textId="685763C4">
      <w:pPr>
        <w:rPr>
          <w:b/>
        </w:rPr>
      </w:pPr>
      <w:r w:rsidRPr="00863EB4">
        <w:rPr>
          <w:b/>
        </w:rPr>
        <w:t xml:space="preserve">DIRS </w:t>
      </w:r>
      <w:r>
        <w:rPr>
          <w:b/>
        </w:rPr>
        <w:t xml:space="preserve">AND MDRI </w:t>
      </w:r>
      <w:r w:rsidRPr="00863EB4">
        <w:rPr>
          <w:b/>
        </w:rPr>
        <w:t>REMAIN ACTIVATED IN:</w:t>
      </w:r>
    </w:p>
    <w:p w:rsidR="00E445FE" w:rsidP="00900C3F" w14:paraId="118B6C03" w14:textId="77777777">
      <w:pPr>
        <w:rPr>
          <w:szCs w:val="24"/>
        </w:rPr>
      </w:pPr>
    </w:p>
    <w:p w:rsidR="006053BD" w:rsidRPr="000B1610" w:rsidP="006053BD" w14:paraId="5D2BA4AC" w14:textId="77777777">
      <w:pPr>
        <w:tabs>
          <w:tab w:val="center" w:pos="5184"/>
        </w:tabs>
        <w:rPr>
          <w:szCs w:val="22"/>
        </w:rPr>
      </w:pPr>
      <w:r w:rsidRPr="000B1610">
        <w:rPr>
          <w:b/>
          <w:bCs/>
          <w:szCs w:val="22"/>
        </w:rPr>
        <w:t xml:space="preserve">Alabama: </w:t>
      </w:r>
      <w:r w:rsidRPr="000B1610">
        <w:rPr>
          <w:szCs w:val="22"/>
        </w:rPr>
        <w:t>Blount, Cherokee, Colbert, Cullman, Dekalb, Etowah, Fayette, Franklin, Jackson, Lamar, Lauderdale, Lawrence, Limestone, Madison, Marion, Marshall, Morgan, Walker, and Winston</w:t>
      </w:r>
    </w:p>
    <w:p w:rsidR="006053BD" w:rsidP="003F3BAC" w14:paraId="7C75BF7A" w14:textId="77777777">
      <w:pPr>
        <w:tabs>
          <w:tab w:val="center" w:pos="5184"/>
        </w:tabs>
        <w:rPr>
          <w:b/>
          <w:bCs/>
          <w:szCs w:val="22"/>
        </w:rPr>
      </w:pPr>
    </w:p>
    <w:p w:rsidR="003F3BAC" w:rsidRPr="000B1610" w:rsidP="003F3BAC" w14:paraId="374C1F39" w14:textId="34B704E8">
      <w:pPr>
        <w:tabs>
          <w:tab w:val="center" w:pos="5184"/>
        </w:tabs>
        <w:rPr>
          <w:b/>
          <w:bCs/>
          <w:szCs w:val="22"/>
        </w:rPr>
      </w:pPr>
      <w:r w:rsidRPr="000B1610">
        <w:rPr>
          <w:b/>
          <w:bCs/>
          <w:szCs w:val="22"/>
        </w:rPr>
        <w:t>Georgia:</w:t>
      </w:r>
      <w:r>
        <w:rPr>
          <w:b/>
          <w:bCs/>
          <w:szCs w:val="22"/>
        </w:rPr>
        <w:t xml:space="preserve"> </w:t>
      </w:r>
      <w:r w:rsidRPr="000B1610">
        <w:rPr>
          <w:b/>
          <w:bCs/>
          <w:szCs w:val="22"/>
        </w:rPr>
        <w:t xml:space="preserve"> </w:t>
      </w:r>
      <w:r w:rsidRPr="000B1610">
        <w:rPr>
          <w:szCs w:val="22"/>
        </w:rPr>
        <w:t xml:space="preserve">Banks, </w:t>
      </w:r>
      <w:r w:rsidR="003D0006">
        <w:rPr>
          <w:szCs w:val="22"/>
        </w:rPr>
        <w:t xml:space="preserve">Barrow, </w:t>
      </w:r>
      <w:r w:rsidRPr="000B1610">
        <w:rPr>
          <w:szCs w:val="22"/>
        </w:rPr>
        <w:t xml:space="preserve">Bartow, Butts, </w:t>
      </w:r>
      <w:r w:rsidR="009C42F1">
        <w:rPr>
          <w:szCs w:val="22"/>
        </w:rPr>
        <w:t xml:space="preserve">Clark, </w:t>
      </w:r>
      <w:r w:rsidRPr="000B1610">
        <w:rPr>
          <w:szCs w:val="22"/>
        </w:rPr>
        <w:t xml:space="preserve">Carroll, Coweta, Catoosa, Chattooga, Cherokee, Clayton, Cobb, Columbia, Dade, Dawson, Dekalb, Douglas, Elbert, Fayette, Fannin, Floyd, Forsyth, Franklin, Fulton, Gilmer, Glascock, Gordon, Greene, Gwinnett, Habersham, Haralson, Hart, Heard, Henry, Jefferson, Lamar, Lincoln, Lumpkin, Madison, McDuffie, Meriwether, Monroe, Murray, </w:t>
      </w:r>
      <w:r w:rsidR="009C42F1">
        <w:rPr>
          <w:szCs w:val="22"/>
        </w:rPr>
        <w:t xml:space="preserve">Oconee, </w:t>
      </w:r>
      <w:r w:rsidRPr="000B1610">
        <w:rPr>
          <w:szCs w:val="22"/>
        </w:rPr>
        <w:t xml:space="preserve">Oglethorpe, Paulding, Pickens, Pike, Polk, Rabun, </w:t>
      </w:r>
      <w:r w:rsidR="00AF5D43">
        <w:rPr>
          <w:szCs w:val="22"/>
        </w:rPr>
        <w:t xml:space="preserve">Rockdale, </w:t>
      </w:r>
      <w:r w:rsidRPr="000B1610">
        <w:rPr>
          <w:szCs w:val="22"/>
        </w:rPr>
        <w:t xml:space="preserve">Spalding, Towns, Troup, Union, Walker, </w:t>
      </w:r>
      <w:r w:rsidR="00AF5D43">
        <w:rPr>
          <w:szCs w:val="22"/>
        </w:rPr>
        <w:t xml:space="preserve">Walton, </w:t>
      </w:r>
      <w:r w:rsidRPr="000B1610">
        <w:rPr>
          <w:szCs w:val="22"/>
        </w:rPr>
        <w:t>Warren, White, Whitfield, and Wilkes</w:t>
      </w:r>
    </w:p>
    <w:p w:rsidR="003F3BAC" w:rsidRPr="000B1610" w:rsidP="003F3BAC" w14:paraId="7E56A3DF" w14:textId="77777777">
      <w:pPr>
        <w:tabs>
          <w:tab w:val="center" w:pos="5184"/>
        </w:tabs>
        <w:rPr>
          <w:b/>
          <w:bCs/>
          <w:szCs w:val="22"/>
        </w:rPr>
      </w:pPr>
    </w:p>
    <w:p w:rsidR="003F3BAC" w:rsidRPr="000B1610" w:rsidP="003F3BAC" w14:paraId="5CD99DDE" w14:textId="136F9519">
      <w:pPr>
        <w:tabs>
          <w:tab w:val="center" w:pos="5184"/>
        </w:tabs>
        <w:rPr>
          <w:szCs w:val="22"/>
        </w:rPr>
      </w:pPr>
      <w:r w:rsidRPr="000B1610">
        <w:rPr>
          <w:b/>
          <w:bCs/>
          <w:szCs w:val="22"/>
        </w:rPr>
        <w:t>Kentucky:</w:t>
      </w:r>
      <w:r>
        <w:rPr>
          <w:b/>
          <w:bCs/>
          <w:szCs w:val="22"/>
        </w:rPr>
        <w:t xml:space="preserve"> </w:t>
      </w:r>
      <w:r w:rsidRPr="000B1610">
        <w:rPr>
          <w:b/>
          <w:bCs/>
          <w:szCs w:val="22"/>
        </w:rPr>
        <w:t xml:space="preserve"> </w:t>
      </w:r>
      <w:r w:rsidRPr="000B1610">
        <w:rPr>
          <w:szCs w:val="22"/>
        </w:rPr>
        <w:t>Adair, Allen, Anderson, Barren, Bell, Boyle, Breathitt, Breckinridge, Bullitt, Butler, Caldwell, Calloway, Casey, Christian, Clay, Clinton, Cumberland, Edmonson, Estill, Fayette, Franklin, Floyd, Fulton, Garrard, Graves, Grayson, Green, Hardin, Harlan, Hart, Hickman, Hopkins, Jackson, Jefferson, Jessamine, Johnson, Knott, Knox, Larue, Laurel, Lawrence, Lee, Leslie, Letcher, Lincoln, Logan, Lyon, Madison, Magoffin, Marshall, Martin, McCracken, McCreary, Menifee, Mercer, Metcalfe, Monroe, Montgomery, Morgan, Muhlenberg, Nelson, Ohio, Owsley, Perry, Pike, Powell, Pulaski, Rockcastle, Russell, Shelby, Simpson, Taylor, Todd, Trigg, Warren, Washington, Wayne, Whitley, Wolfe, and Woodford</w:t>
      </w:r>
    </w:p>
    <w:p w:rsidR="003F3BAC" w:rsidRPr="000B1610" w:rsidP="003F3BAC" w14:paraId="238A313B" w14:textId="77777777">
      <w:pPr>
        <w:tabs>
          <w:tab w:val="center" w:pos="5184"/>
        </w:tabs>
        <w:rPr>
          <w:szCs w:val="22"/>
        </w:rPr>
      </w:pPr>
    </w:p>
    <w:p w:rsidR="005C1DED" w:rsidP="005C1DED" w14:paraId="4354A392" w14:textId="77777777">
      <w:r w:rsidRPr="00FF21E1">
        <w:rPr>
          <w:b/>
          <w:bCs/>
        </w:rPr>
        <w:t>Maryland:</w:t>
      </w:r>
      <w:r>
        <w:rPr>
          <w:b/>
          <w:bCs/>
        </w:rPr>
        <w:t xml:space="preserve"> </w:t>
      </w:r>
      <w:r>
        <w:t xml:space="preserve"> </w:t>
      </w:r>
      <w:r w:rsidRPr="00E50765">
        <w:t>Anne Arundel</w:t>
      </w:r>
      <w:r>
        <w:t xml:space="preserve">, </w:t>
      </w:r>
      <w:r w:rsidRPr="00E50765">
        <w:t>Baltimore</w:t>
      </w:r>
      <w:r>
        <w:t xml:space="preserve">, </w:t>
      </w:r>
      <w:r w:rsidRPr="00E50765">
        <w:t>Calvert</w:t>
      </w:r>
      <w:r>
        <w:t xml:space="preserve">, </w:t>
      </w:r>
      <w:r w:rsidRPr="00E50765">
        <w:t>Carolina</w:t>
      </w:r>
      <w:r>
        <w:t xml:space="preserve">, </w:t>
      </w:r>
      <w:r w:rsidRPr="00E50765">
        <w:t>Cecil</w:t>
      </w:r>
      <w:r>
        <w:t xml:space="preserve">, </w:t>
      </w:r>
      <w:r w:rsidRPr="00E50765">
        <w:t>Charles</w:t>
      </w:r>
      <w:r>
        <w:t xml:space="preserve">, </w:t>
      </w:r>
      <w:r w:rsidRPr="00E50765">
        <w:t>Dorchester</w:t>
      </w:r>
      <w:r>
        <w:t xml:space="preserve">, </w:t>
      </w:r>
      <w:r w:rsidRPr="00E50765">
        <w:t>Harford</w:t>
      </w:r>
      <w:r>
        <w:t xml:space="preserve">, </w:t>
      </w:r>
      <w:r w:rsidRPr="00E50765">
        <w:t>Kent</w:t>
      </w:r>
      <w:r>
        <w:t xml:space="preserve">, </w:t>
      </w:r>
      <w:r w:rsidRPr="00E50765">
        <w:t>Prince George's</w:t>
      </w:r>
      <w:r>
        <w:t xml:space="preserve">, </w:t>
      </w:r>
      <w:r w:rsidRPr="00E50765">
        <w:t>Queen Anne's</w:t>
      </w:r>
      <w:r>
        <w:t xml:space="preserve">, </w:t>
      </w:r>
      <w:r w:rsidRPr="00E50765">
        <w:t>St. Mary's</w:t>
      </w:r>
      <w:r>
        <w:t xml:space="preserve">, and </w:t>
      </w:r>
      <w:r w:rsidRPr="00E50765">
        <w:t>Talbot</w:t>
      </w:r>
    </w:p>
    <w:p w:rsidR="005C1DED" w:rsidP="003F3BAC" w14:paraId="79EDD403" w14:textId="77777777">
      <w:pPr>
        <w:tabs>
          <w:tab w:val="center" w:pos="5184"/>
        </w:tabs>
        <w:rPr>
          <w:b/>
          <w:bCs/>
          <w:szCs w:val="22"/>
        </w:rPr>
      </w:pPr>
    </w:p>
    <w:p w:rsidR="003F3BAC" w:rsidRPr="000B1610" w:rsidP="003F3BAC" w14:paraId="078F6746" w14:textId="643FAD72">
      <w:pPr>
        <w:tabs>
          <w:tab w:val="center" w:pos="5184"/>
        </w:tabs>
        <w:rPr>
          <w:szCs w:val="22"/>
        </w:rPr>
      </w:pPr>
      <w:r w:rsidRPr="000B1610">
        <w:rPr>
          <w:b/>
          <w:bCs/>
          <w:szCs w:val="22"/>
        </w:rPr>
        <w:t>Mississippi:</w:t>
      </w:r>
      <w:r>
        <w:rPr>
          <w:b/>
          <w:bCs/>
          <w:szCs w:val="22"/>
        </w:rPr>
        <w:t xml:space="preserve"> </w:t>
      </w:r>
      <w:r w:rsidRPr="000B1610">
        <w:rPr>
          <w:b/>
          <w:bCs/>
          <w:szCs w:val="22"/>
        </w:rPr>
        <w:t xml:space="preserve"> </w:t>
      </w:r>
      <w:r w:rsidRPr="000B1610">
        <w:rPr>
          <w:szCs w:val="22"/>
        </w:rPr>
        <w:t xml:space="preserve">Adams, Alcorn, </w:t>
      </w:r>
      <w:r w:rsidR="00F75B30">
        <w:rPr>
          <w:szCs w:val="22"/>
        </w:rPr>
        <w:t>Amit</w:t>
      </w:r>
      <w:r w:rsidR="00756D61">
        <w:rPr>
          <w:szCs w:val="22"/>
        </w:rPr>
        <w:t xml:space="preserve">e, </w:t>
      </w:r>
      <w:r w:rsidRPr="000B1610">
        <w:rPr>
          <w:szCs w:val="22"/>
        </w:rPr>
        <w:t>Attala, Benton, Bolivar, Calhoun, Carroll, Chickasaw, Choctaw, Claiborne, Clarke, Clay, Coahoma, Copiah, Covington, DeSoto, Franklin, Grenada, Hinds, Holmes, Humphreys, Itawamba, Issaquena, Jasper, Jefferson, Jefferson Davis, Jones, Kemper, Lafayette, Lauderdale, Lawrence, Leake, Lee, Leflore, Lincoln, Lowndes, Madison, Marion, Marshall, Monroe, Montgomery, Neshoba, Newton, Noxubee, Oktibbeha, Panola, Pike, Pontotoc, Prentiss, Quitman, Rankin, Scott, Sharkey, Simpson, Smith, Sunflower, Tallahatchie, Tate, Tishomingo, Tippah, Tunica, Union, Warren, Washington, Wayne, Webster, Winston, Yalobusha, and Yazoo</w:t>
      </w:r>
    </w:p>
    <w:p w:rsidR="003F3BAC" w:rsidRPr="000B1610" w:rsidP="003F3BAC" w14:paraId="23799CCE" w14:textId="77777777">
      <w:pPr>
        <w:tabs>
          <w:tab w:val="center" w:pos="5184"/>
        </w:tabs>
        <w:rPr>
          <w:b/>
          <w:bCs/>
          <w:szCs w:val="22"/>
        </w:rPr>
      </w:pPr>
    </w:p>
    <w:p w:rsidR="00DE615E" w:rsidP="00DE615E" w14:paraId="67C3CE94" w14:textId="77777777">
      <w:r w:rsidRPr="00FF21E1">
        <w:rPr>
          <w:b/>
          <w:bCs/>
        </w:rPr>
        <w:t>New Jersey:</w:t>
      </w:r>
      <w:r>
        <w:t xml:space="preserve">  </w:t>
      </w:r>
      <w:r w:rsidRPr="00E50765">
        <w:t>Atlantic</w:t>
      </w:r>
      <w:r>
        <w:t xml:space="preserve">, </w:t>
      </w:r>
      <w:r w:rsidRPr="00E50765">
        <w:t>Burlington</w:t>
      </w:r>
      <w:r>
        <w:t xml:space="preserve">, </w:t>
      </w:r>
      <w:r w:rsidRPr="00E50765">
        <w:t>Camden</w:t>
      </w:r>
      <w:r>
        <w:t xml:space="preserve">, </w:t>
      </w:r>
      <w:r w:rsidRPr="00E50765">
        <w:t>Cape May</w:t>
      </w:r>
      <w:r>
        <w:t xml:space="preserve">, </w:t>
      </w:r>
      <w:r w:rsidRPr="00E50765">
        <w:t>Cumberland</w:t>
      </w:r>
      <w:r>
        <w:t xml:space="preserve">, </w:t>
      </w:r>
      <w:r w:rsidRPr="00E50765">
        <w:t>Ocean</w:t>
      </w:r>
      <w:r>
        <w:t xml:space="preserve">, and </w:t>
      </w:r>
      <w:r w:rsidRPr="00E50765">
        <w:t>Salem</w:t>
      </w:r>
    </w:p>
    <w:p w:rsidR="00DE615E" w:rsidP="00DE615E" w14:paraId="5DD8F31C" w14:textId="77777777"/>
    <w:p w:rsidR="00DE615E" w:rsidP="00DE615E" w14:paraId="66F34FDD" w14:textId="77777777">
      <w:r w:rsidRPr="00FF21E1">
        <w:rPr>
          <w:b/>
          <w:bCs/>
        </w:rPr>
        <w:t>New York:</w:t>
      </w:r>
      <w:r>
        <w:t xml:space="preserve">  </w:t>
      </w:r>
      <w:r w:rsidRPr="00E50765">
        <w:t>Nassau</w:t>
      </w:r>
      <w:r>
        <w:t xml:space="preserve">, </w:t>
      </w:r>
      <w:r w:rsidRPr="00E50765">
        <w:t>Richmond</w:t>
      </w:r>
      <w:r>
        <w:t xml:space="preserve">, and </w:t>
      </w:r>
      <w:r w:rsidRPr="00E50765">
        <w:t>Suffolk</w:t>
      </w:r>
    </w:p>
    <w:p w:rsidR="00DE615E" w:rsidP="003F3BAC" w14:paraId="0394298D" w14:textId="77777777">
      <w:pPr>
        <w:tabs>
          <w:tab w:val="center" w:pos="5184"/>
        </w:tabs>
        <w:rPr>
          <w:b/>
          <w:bCs/>
          <w:szCs w:val="22"/>
        </w:rPr>
      </w:pPr>
    </w:p>
    <w:p w:rsidR="003F3BAC" w:rsidRPr="000B1610" w:rsidP="003F3BAC" w14:paraId="0B816368" w14:textId="0AD0B3F3">
      <w:pPr>
        <w:tabs>
          <w:tab w:val="center" w:pos="5184"/>
        </w:tabs>
        <w:rPr>
          <w:szCs w:val="22"/>
        </w:rPr>
      </w:pPr>
      <w:r w:rsidRPr="000B1610">
        <w:rPr>
          <w:b/>
          <w:bCs/>
          <w:szCs w:val="22"/>
        </w:rPr>
        <w:t xml:space="preserve">North Carolina: </w:t>
      </w:r>
      <w:r>
        <w:rPr>
          <w:b/>
          <w:bCs/>
          <w:szCs w:val="22"/>
        </w:rPr>
        <w:t xml:space="preserve"> </w:t>
      </w:r>
      <w:r w:rsidRPr="000B1610">
        <w:rPr>
          <w:szCs w:val="22"/>
        </w:rPr>
        <w:t xml:space="preserve">Ashe, Avery, Beaufort, Bertie, Buncombe, Burke, Cabarrus, Caldwell, Caswell, Catawba, Chatham, Cherokee, Clay, Cleveland, Cumberland, Davidson, Davie, Durham, EBCI, Edgecombe, Forsyth, Franklin, Gaston, Gates, Graham, Granville, Greene, Guilford, Halifax, Harnett, Haywood, Henderson, Hertford, Hoke, Iredell, Jackson, Johnston, Lee, Lenoir, Lincoln, Macon, Madison, Martin, McDowell, Mecklenburg, Mitchell, Montgomery, Moore, Nash, Northampton, Orange, Person, Pitt, Polk, Randolph, Richmond, Robeson, Rockingham, Rowan, Rutherford, Scotland, Stanly, Stokes, </w:t>
      </w:r>
      <w:r w:rsidRPr="000B1610">
        <w:rPr>
          <w:szCs w:val="22"/>
        </w:rPr>
        <w:t>Surry, Swain, Transylvania, Union, Vance, Wake, Warren, Watauga, Wayne, Wilkes, Wilson, Yadkin, and Yancey</w:t>
      </w:r>
    </w:p>
    <w:p w:rsidR="003F3BAC" w:rsidRPr="000B1610" w:rsidP="003F3BAC" w14:paraId="7DCF34B7" w14:textId="77777777">
      <w:pPr>
        <w:tabs>
          <w:tab w:val="center" w:pos="5184"/>
        </w:tabs>
        <w:rPr>
          <w:b/>
          <w:bCs/>
          <w:szCs w:val="22"/>
        </w:rPr>
      </w:pPr>
    </w:p>
    <w:p w:rsidR="003F3BAC" w:rsidRPr="000B1610" w:rsidP="003F3BAC" w14:paraId="11264991" w14:textId="4971D015">
      <w:pPr>
        <w:tabs>
          <w:tab w:val="center" w:pos="5184"/>
        </w:tabs>
        <w:rPr>
          <w:szCs w:val="22"/>
        </w:rPr>
      </w:pPr>
      <w:r w:rsidRPr="000B1610">
        <w:rPr>
          <w:b/>
          <w:bCs/>
          <w:szCs w:val="22"/>
        </w:rPr>
        <w:t xml:space="preserve">South Carolina: </w:t>
      </w:r>
      <w:r>
        <w:rPr>
          <w:b/>
          <w:bCs/>
          <w:szCs w:val="22"/>
        </w:rPr>
        <w:t xml:space="preserve"> </w:t>
      </w:r>
      <w:r w:rsidRPr="000B1610">
        <w:rPr>
          <w:szCs w:val="22"/>
        </w:rPr>
        <w:t>Abbeville, Aiken, Allendale, Anderson, Barnwell, Calhoun, Cherokee, Chester, Chesterfield, Darlington, Dillon, Edgefield, Fairfield, Greenville, Greenwood, Kershaw, Lancaster, Laurens, Lee, Lexington, Marlboro, McCormick, Newberry, Oconee, Orangeburg, Pickens, Richland, Saluda, Spartanburg, Sumter, Union, Williamsburg, and York</w:t>
      </w:r>
    </w:p>
    <w:p w:rsidR="003F3BAC" w:rsidRPr="000B1610" w:rsidP="003F3BAC" w14:paraId="04E10789" w14:textId="77777777">
      <w:pPr>
        <w:tabs>
          <w:tab w:val="center" w:pos="5184"/>
        </w:tabs>
        <w:rPr>
          <w:b/>
          <w:bCs/>
          <w:szCs w:val="22"/>
        </w:rPr>
      </w:pPr>
    </w:p>
    <w:p w:rsidR="003F3BAC" w:rsidRPr="000B1610" w:rsidP="003F3BAC" w14:paraId="47EACDAA" w14:textId="712DB844">
      <w:pPr>
        <w:tabs>
          <w:tab w:val="center" w:pos="5184"/>
        </w:tabs>
        <w:rPr>
          <w:b/>
          <w:bCs/>
          <w:szCs w:val="22"/>
        </w:rPr>
      </w:pPr>
      <w:r w:rsidRPr="000B1610">
        <w:rPr>
          <w:b/>
          <w:bCs/>
          <w:szCs w:val="22"/>
        </w:rPr>
        <w:t xml:space="preserve">Tennessee: </w:t>
      </w:r>
      <w:r>
        <w:rPr>
          <w:b/>
          <w:bCs/>
          <w:szCs w:val="22"/>
        </w:rPr>
        <w:t xml:space="preserve"> </w:t>
      </w:r>
      <w:r w:rsidRPr="000B1610">
        <w:rPr>
          <w:szCs w:val="22"/>
        </w:rPr>
        <w:t>Bedford, Benton, Cannon, Carroll, Cheatham, Chester, Clay, Coffee, Crockett, Davidson, Decatur, Dekalb, Dickson, Dyer, Fayette, Franklin, Gibson, Giles, Grundy, Hardeman, Hardin, Haywood, Henderson, Henry, Hickman, Houston, Humphreys, Jackson, Lake, Lauderdale, Lawrence, Lewis, Lincoln, Macon, Madison, Marion, Marshall, Maury, McNairy, Montgomery, Moore, Obion, Overton, Perry, Pickett, Putnam, Robertson, Rutherford, Sequatchie, Shelby, Smith, Stewart, Sumner, Tipton, Trousdale, Van Buren, Warren, Wayne, Weakley, White, Williamson, and Wilson</w:t>
      </w:r>
    </w:p>
    <w:p w:rsidR="003F3BAC" w:rsidP="003F3BAC" w14:paraId="15E0C3C2" w14:textId="77777777">
      <w:pPr>
        <w:tabs>
          <w:tab w:val="center" w:pos="5184"/>
        </w:tabs>
        <w:rPr>
          <w:b/>
          <w:bCs/>
          <w:szCs w:val="22"/>
        </w:rPr>
      </w:pPr>
    </w:p>
    <w:p w:rsidR="003F3BAC" w:rsidP="00900C3F" w14:paraId="266978CD" w14:textId="3EF22DFB">
      <w:pPr>
        <w:rPr>
          <w:szCs w:val="22"/>
        </w:rPr>
      </w:pPr>
      <w:r>
        <w:rPr>
          <w:b/>
          <w:bCs/>
          <w:szCs w:val="22"/>
        </w:rPr>
        <w:t xml:space="preserve">Virginia:  </w:t>
      </w:r>
      <w:r w:rsidRPr="00CB535D">
        <w:rPr>
          <w:szCs w:val="22"/>
        </w:rPr>
        <w:t xml:space="preserve">Amelia, Amherst, Appomattox, Bedford, Bland, Brunswick, Buchanan, Buckingham, Campbell, Caroline, Carroll, Charles City, Charlotte, Chesterfield, </w:t>
      </w:r>
      <w:r w:rsidRPr="00D87DAF" w:rsidR="00DE13C3">
        <w:t>City of Galax, City of Hopewell, City of Lynchburg, City of Manassas, City of Manassas Park, City of Martinsville, City of Norton, City of Petersburg, City of Radford, City of Richmond, and City of Williamsburg</w:t>
      </w:r>
      <w:r w:rsidR="00DE13C3">
        <w:t xml:space="preserve">, </w:t>
      </w:r>
      <w:r w:rsidRPr="00CB535D">
        <w:rPr>
          <w:szCs w:val="22"/>
        </w:rPr>
        <w:t>Cumberland, Dickenson, Dinwiddie, Essex, Floyd, Fluvanna, Franklin, Goochland, Grayson, Greensville, Halifax, Hanover, Henrico, Henry, James City, King &amp; Queen, King George, King William, Lee, Louisa, Lunenburg, Mecklenburg, Middlesex, Montogomery, Nelson, New Kent, Nottoway, Patrick, Pittsylvania, Powhatan, Prince Edward, Prince George, Prince William, Pulaski, Richmond</w:t>
      </w:r>
      <w:r>
        <w:rPr>
          <w:szCs w:val="22"/>
        </w:rPr>
        <w:t xml:space="preserve"> County and City of Richmond</w:t>
      </w:r>
      <w:r w:rsidRPr="00CB535D">
        <w:rPr>
          <w:szCs w:val="22"/>
        </w:rPr>
        <w:t xml:space="preserve">, Russell, Scott, Smyth, Southampton, Spotsylvania, Stafford, Surry, Sussex, Tazewell, Washington, Westmoreland, Wise, Wythe, </w:t>
      </w:r>
      <w:r>
        <w:rPr>
          <w:szCs w:val="22"/>
        </w:rPr>
        <w:t xml:space="preserve">and </w:t>
      </w:r>
      <w:r w:rsidRPr="00CB535D">
        <w:rPr>
          <w:szCs w:val="22"/>
        </w:rPr>
        <w:t>York</w:t>
      </w:r>
    </w:p>
    <w:p w:rsidR="00900C3F" w:rsidP="00900C3F" w14:paraId="7D7DD4EE" w14:textId="77777777">
      <w:pPr>
        <w:tabs>
          <w:tab w:val="center" w:pos="5184"/>
        </w:tabs>
        <w:rPr>
          <w:b/>
          <w:bCs/>
        </w:rPr>
      </w:pPr>
    </w:p>
    <w:p w:rsidR="004E6173" w:rsidP="00900C3F" w14:paraId="3C2FBA79" w14:textId="77777777">
      <w:pPr>
        <w:tabs>
          <w:tab w:val="center" w:pos="5184"/>
        </w:tabs>
      </w:pPr>
      <w:r w:rsidRPr="00FF21E1">
        <w:rPr>
          <w:b/>
          <w:bCs/>
        </w:rPr>
        <w:t>West Virginia:</w:t>
      </w:r>
      <w:r>
        <w:t xml:space="preserve">  </w:t>
      </w:r>
      <w:r w:rsidRPr="00E50765">
        <w:t>Boone</w:t>
      </w:r>
      <w:r>
        <w:t xml:space="preserve">, </w:t>
      </w:r>
      <w:r w:rsidRPr="00E50765">
        <w:t>Fayette</w:t>
      </w:r>
      <w:r>
        <w:t xml:space="preserve">, </w:t>
      </w:r>
      <w:r w:rsidRPr="00E50765">
        <w:t>Greenbrier</w:t>
      </w:r>
      <w:r>
        <w:t xml:space="preserve">, </w:t>
      </w:r>
      <w:r w:rsidRPr="00E50765">
        <w:t>Kanawha</w:t>
      </w:r>
      <w:r>
        <w:t xml:space="preserve">, </w:t>
      </w:r>
      <w:r w:rsidRPr="00E50765">
        <w:t>Logan</w:t>
      </w:r>
      <w:r>
        <w:t xml:space="preserve">, </w:t>
      </w:r>
      <w:r w:rsidRPr="00E50765">
        <w:t>McDowell</w:t>
      </w:r>
      <w:r>
        <w:t xml:space="preserve">, </w:t>
      </w:r>
      <w:r w:rsidRPr="00E50765">
        <w:t>Mercer</w:t>
      </w:r>
      <w:r>
        <w:t xml:space="preserve">, </w:t>
      </w:r>
      <w:r w:rsidRPr="00E50765">
        <w:t>Mingo</w:t>
      </w:r>
      <w:r>
        <w:t xml:space="preserve">, </w:t>
      </w:r>
      <w:r w:rsidRPr="00E50765">
        <w:t>Monroe</w:t>
      </w:r>
      <w:r>
        <w:t xml:space="preserve">, </w:t>
      </w:r>
      <w:r w:rsidRPr="00E50765">
        <w:t>Nicholas</w:t>
      </w:r>
      <w:r>
        <w:t xml:space="preserve">, </w:t>
      </w:r>
      <w:r w:rsidRPr="00E50765">
        <w:t>Pendleton</w:t>
      </w:r>
      <w:r>
        <w:t xml:space="preserve">, </w:t>
      </w:r>
      <w:r w:rsidRPr="00E50765">
        <w:t>Pocahontas</w:t>
      </w:r>
      <w:r>
        <w:t xml:space="preserve">, </w:t>
      </w:r>
      <w:r w:rsidRPr="00E50765">
        <w:t>Preston</w:t>
      </w:r>
      <w:r>
        <w:t xml:space="preserve">, </w:t>
      </w:r>
      <w:r w:rsidRPr="00E50765">
        <w:t>Raleigh</w:t>
      </w:r>
      <w:r>
        <w:t xml:space="preserve">, </w:t>
      </w:r>
      <w:r w:rsidRPr="00E50765">
        <w:t>Randolph</w:t>
      </w:r>
      <w:r>
        <w:t xml:space="preserve">, </w:t>
      </w:r>
      <w:r w:rsidRPr="00E50765">
        <w:t>Summers</w:t>
      </w:r>
      <w:r>
        <w:t xml:space="preserve">, </w:t>
      </w:r>
      <w:r w:rsidRPr="00E50765">
        <w:t>Webster</w:t>
      </w:r>
      <w:r>
        <w:t xml:space="preserve">, and </w:t>
      </w:r>
      <w:r w:rsidRPr="00E50765">
        <w:t>Wyoming</w:t>
      </w:r>
    </w:p>
    <w:p w:rsidR="004E6173" w:rsidP="004E6173" w14:paraId="0E117BBE" w14:textId="77777777"/>
    <w:p w:rsidR="00900C3F" w:rsidP="00900C3F" w14:paraId="373EF636" w14:textId="77777777">
      <w:pPr>
        <w:ind w:firstLine="720"/>
      </w:pPr>
      <w:r>
        <w:t>P</w:t>
      </w:r>
      <w:r w:rsidR="00284E40">
        <w:t>roviders should</w:t>
      </w:r>
      <w:r>
        <w:t xml:space="preserve"> continue to provide information for the </w:t>
      </w:r>
      <w:r w:rsidR="0036720D">
        <w:t>counties in which DIRS and the MDRI remain activated</w:t>
      </w:r>
      <w:r>
        <w:t>.</w:t>
      </w:r>
      <w:r>
        <w:t xml:space="preserve">  </w:t>
      </w:r>
    </w:p>
    <w:p w:rsidR="00900C3F" w:rsidP="00900C3F" w14:paraId="76660C3B" w14:textId="77777777">
      <w:pPr>
        <w:ind w:firstLine="720"/>
      </w:pPr>
    </w:p>
    <w:p w:rsidR="00C46062" w:rsidRPr="00900C3F" w:rsidP="00900C3F" w14:paraId="6EE7C382" w14:textId="05785514">
      <w:pPr>
        <w:ind w:firstLine="720"/>
      </w:pPr>
      <w:r>
        <w:rPr>
          <w:szCs w:val="22"/>
        </w:rPr>
        <w:t>The FCC</w:t>
      </w:r>
      <w:r w:rsidRPr="0094185D">
        <w:rPr>
          <w:szCs w:val="22"/>
        </w:rPr>
        <w:t xml:space="preserve"> continues to monitor this event and may amend the DIRS or MDRI activation area in the coming days.</w:t>
      </w:r>
      <w:bookmarkEnd w:id="3"/>
      <w:bookmarkEnd w:id="4"/>
      <w:bookmarkEnd w:id="5"/>
      <w:r w:rsidRPr="00A24DA3">
        <w:t xml:space="preserve">  </w:t>
      </w:r>
    </w:p>
    <w:p w:rsidR="00065967" w:rsidP="001C4FE4" w14:paraId="76955671" w14:textId="77777777">
      <w:pPr>
        <w:spacing w:after="120"/>
        <w:contextualSpacing/>
        <w:rPr>
          <w:szCs w:val="22"/>
        </w:rPr>
      </w:pPr>
    </w:p>
    <w:p w:rsidR="00C46062" w:rsidRPr="00A24DA3" w:rsidP="001C4FE4" w14:paraId="4C443D26" w14:textId="730DE19E">
      <w:pPr>
        <w:spacing w:after="120"/>
        <w:contextualSpacing/>
        <w:rPr>
          <w:szCs w:val="22"/>
        </w:rPr>
      </w:pPr>
      <w:r w:rsidRPr="00A24DA3">
        <w:rPr>
          <w:szCs w:val="22"/>
        </w:rPr>
        <w:t xml:space="preserve">For </w:t>
      </w:r>
      <w:r>
        <w:rPr>
          <w:szCs w:val="22"/>
        </w:rPr>
        <w:t>f</w:t>
      </w:r>
      <w:r w:rsidRPr="00A24DA3">
        <w:rPr>
          <w:szCs w:val="22"/>
        </w:rPr>
        <w:t>urther information on</w:t>
      </w:r>
      <w:r>
        <w:rPr>
          <w:szCs w:val="22"/>
        </w:rPr>
        <w:t xml:space="preserve"> this </w:t>
      </w:r>
      <w:r w:rsidRPr="00A24DA3">
        <w:rPr>
          <w:szCs w:val="22"/>
        </w:rPr>
        <w:t>DIRS</w:t>
      </w:r>
      <w:r>
        <w:rPr>
          <w:szCs w:val="22"/>
        </w:rPr>
        <w:t xml:space="preserve"> activation</w:t>
      </w:r>
      <w:r w:rsidRPr="00A24DA3">
        <w:rPr>
          <w:szCs w:val="22"/>
        </w:rPr>
        <w:t>, please contact:</w:t>
      </w:r>
    </w:p>
    <w:p w:rsidR="001C4FE4" w:rsidP="001C4FE4" w14:paraId="49709C11" w14:textId="77777777">
      <w:pPr>
        <w:tabs>
          <w:tab w:val="center" w:pos="5184"/>
        </w:tabs>
        <w:spacing w:after="120"/>
        <w:contextualSpacing/>
        <w:rPr>
          <w:szCs w:val="22"/>
        </w:rPr>
      </w:pPr>
    </w:p>
    <w:p w:rsidR="00C46062" w:rsidRPr="00C46062" w:rsidP="001C4FE4" w14:paraId="70EABC6F" w14:textId="10796284">
      <w:pPr>
        <w:tabs>
          <w:tab w:val="center" w:pos="5184"/>
        </w:tabs>
        <w:spacing w:after="120"/>
        <w:contextualSpacing/>
        <w:rPr>
          <w:color w:val="0000FF"/>
          <w:szCs w:val="22"/>
          <w:u w:val="single"/>
        </w:rPr>
      </w:pPr>
      <w:r w:rsidRPr="00A24DA3">
        <w:rPr>
          <w:szCs w:val="22"/>
        </w:rPr>
        <w:t xml:space="preserve">Michael Caiafa (202) 418-1311, </w:t>
      </w:r>
      <w:hyperlink r:id="rId8" w:history="1">
        <w:r w:rsidRPr="00C46062">
          <w:rPr>
            <w:color w:val="0000FF"/>
            <w:szCs w:val="22"/>
            <w:u w:val="single"/>
          </w:rPr>
          <w:t>michael.caiafa@fcc.gov</w:t>
        </w:r>
      </w:hyperlink>
    </w:p>
    <w:p w:rsidR="00C46062" w:rsidRPr="00C46062" w:rsidP="001C4FE4" w14:paraId="784BE229" w14:textId="77777777">
      <w:pPr>
        <w:spacing w:after="120"/>
        <w:contextualSpacing/>
        <w:rPr>
          <w:color w:val="0000FF"/>
          <w:szCs w:val="22"/>
          <w:u w:val="single"/>
        </w:rPr>
      </w:pPr>
      <w:r w:rsidRPr="00A24DA3">
        <w:rPr>
          <w:szCs w:val="22"/>
        </w:rPr>
        <w:t xml:space="preserve">John Healy (215) 847-8094, </w:t>
      </w:r>
      <w:hyperlink r:id="rId9" w:history="1">
        <w:r w:rsidRPr="00C46062">
          <w:rPr>
            <w:color w:val="0000FF"/>
            <w:szCs w:val="22"/>
            <w:u w:val="single"/>
          </w:rPr>
          <w:t>john.healy@fcc.gov</w:t>
        </w:r>
      </w:hyperlink>
    </w:p>
    <w:p w:rsidR="00C46062" w:rsidRPr="00C46062" w:rsidP="001C4FE4" w14:paraId="12303835" w14:textId="77777777">
      <w:pPr>
        <w:spacing w:after="120"/>
        <w:contextualSpacing/>
        <w:rPr>
          <w:color w:val="0000FF"/>
          <w:szCs w:val="22"/>
          <w:u w:val="single"/>
        </w:rPr>
      </w:pPr>
      <w:r w:rsidRPr="00C46062">
        <w:rPr>
          <w:szCs w:val="22"/>
        </w:rPr>
        <w:t xml:space="preserve">Juan Chapa, (202) 418-0431, </w:t>
      </w:r>
      <w:hyperlink r:id="rId10" w:history="1">
        <w:r w:rsidRPr="00C46062">
          <w:rPr>
            <w:color w:val="0000FF"/>
            <w:szCs w:val="22"/>
            <w:u w:val="single"/>
          </w:rPr>
          <w:t>juan.chapa@fcc.gov</w:t>
        </w:r>
      </w:hyperlink>
      <w:r w:rsidRPr="00C46062">
        <w:rPr>
          <w:color w:val="0000FF"/>
          <w:szCs w:val="22"/>
          <w:u w:val="single"/>
        </w:rPr>
        <w:t xml:space="preserve"> </w:t>
      </w:r>
    </w:p>
    <w:p w:rsidR="00C46062" w:rsidRPr="00C46062" w:rsidP="001C4FE4" w14:paraId="5EE8FFBA" w14:textId="77777777">
      <w:pPr>
        <w:spacing w:after="120"/>
        <w:contextualSpacing/>
        <w:rPr>
          <w:color w:val="0000FF"/>
          <w:szCs w:val="22"/>
          <w:u w:val="single"/>
        </w:rPr>
      </w:pPr>
      <w:r w:rsidRPr="00A24DA3">
        <w:rPr>
          <w:szCs w:val="22"/>
        </w:rPr>
        <w:t xml:space="preserve">FCC 24/7 Operations Center (202) 418-1122, </w:t>
      </w:r>
      <w:hyperlink r:id="rId11" w:history="1">
        <w:r w:rsidRPr="00C46062">
          <w:rPr>
            <w:color w:val="0000FF"/>
            <w:szCs w:val="22"/>
            <w:u w:val="single"/>
          </w:rPr>
          <w:t>fccoperationcenter@fcc.gov</w:t>
        </w:r>
      </w:hyperlink>
      <w:r w:rsidRPr="00C46062">
        <w:rPr>
          <w:color w:val="0000FF"/>
          <w:szCs w:val="22"/>
          <w:u w:val="single"/>
        </w:rPr>
        <w:t xml:space="preserve"> </w:t>
      </w:r>
    </w:p>
    <w:p w:rsidR="00C46062" w:rsidRPr="00C46062" w:rsidP="001C4FE4" w14:paraId="2BA75E6F" w14:textId="77777777">
      <w:pPr>
        <w:spacing w:after="120"/>
        <w:contextualSpacing/>
        <w:rPr>
          <w:color w:val="0000FF"/>
          <w:szCs w:val="22"/>
          <w:u w:val="single"/>
        </w:rPr>
      </w:pPr>
    </w:p>
    <w:p w:rsidR="00C46062" w:rsidRPr="00A24DA3" w:rsidP="001C4FE4" w14:paraId="4EDE9653" w14:textId="3B6E5251">
      <w:pPr>
        <w:tabs>
          <w:tab w:val="center" w:pos="5184"/>
        </w:tabs>
        <w:spacing w:after="120"/>
        <w:contextualSpacing/>
        <w:rPr>
          <w:szCs w:val="22"/>
        </w:rPr>
      </w:pPr>
      <w:r w:rsidRPr="00A24DA3">
        <w:t xml:space="preserve">For </w:t>
      </w:r>
      <w:r w:rsidRPr="00A24DA3">
        <w:rPr>
          <w:szCs w:val="22"/>
        </w:rPr>
        <w:t>further information concerning this MDRI activation, please contact:</w:t>
      </w:r>
    </w:p>
    <w:p w:rsidR="00C46062" w:rsidRPr="00A24DA3" w:rsidP="001C4FE4" w14:paraId="4C39CB5D" w14:textId="77777777">
      <w:pPr>
        <w:tabs>
          <w:tab w:val="center" w:pos="5184"/>
        </w:tabs>
        <w:spacing w:after="120"/>
        <w:contextualSpacing/>
        <w:rPr>
          <w:szCs w:val="22"/>
        </w:rPr>
      </w:pPr>
      <w:r w:rsidRPr="00A24DA3">
        <w:rPr>
          <w:szCs w:val="22"/>
        </w:rPr>
        <w:t xml:space="preserve"> </w:t>
      </w:r>
    </w:p>
    <w:p w:rsidR="00C46062" w:rsidRPr="00A24DA3" w:rsidP="001C4FE4" w14:paraId="603B8720" w14:textId="1BC5101D">
      <w:pPr>
        <w:tabs>
          <w:tab w:val="center" w:pos="5184"/>
        </w:tabs>
        <w:spacing w:after="120"/>
        <w:contextualSpacing/>
        <w:rPr>
          <w:szCs w:val="22"/>
        </w:rPr>
      </w:pPr>
      <w:r w:rsidRPr="00A24DA3">
        <w:rPr>
          <w:szCs w:val="22"/>
        </w:rPr>
        <w:t xml:space="preserve">Justin Cain, (202) 853-7365, (202) 418-2924, </w:t>
      </w:r>
      <w:hyperlink r:id="rId12" w:history="1">
        <w:r w:rsidRPr="00C46062">
          <w:rPr>
            <w:color w:val="0000FF"/>
            <w:szCs w:val="22"/>
            <w:u w:val="single"/>
          </w:rPr>
          <w:t>justin.cain@fcc.gov</w:t>
        </w:r>
      </w:hyperlink>
      <w:r w:rsidRPr="00A24DA3">
        <w:rPr>
          <w:szCs w:val="22"/>
        </w:rPr>
        <w:t xml:space="preserve">  </w:t>
      </w:r>
    </w:p>
    <w:p w:rsidR="00C46062" w:rsidRPr="00A24DA3" w:rsidP="001C4FE4" w14:paraId="66BBB662" w14:textId="7207D7D0">
      <w:pPr>
        <w:tabs>
          <w:tab w:val="center" w:pos="5184"/>
        </w:tabs>
        <w:spacing w:after="120"/>
        <w:contextualSpacing/>
        <w:rPr>
          <w:szCs w:val="22"/>
        </w:rPr>
      </w:pPr>
      <w:r w:rsidRPr="00A24DA3">
        <w:rPr>
          <w:szCs w:val="22"/>
        </w:rPr>
        <w:t xml:space="preserve">Logan Bennett, (202) 418-7790, </w:t>
      </w:r>
      <w:hyperlink r:id="rId13" w:history="1">
        <w:r w:rsidRPr="00C46062">
          <w:rPr>
            <w:color w:val="0000FF"/>
            <w:szCs w:val="22"/>
            <w:u w:val="single"/>
          </w:rPr>
          <w:t>logan.bennett@fcc.gov</w:t>
        </w:r>
      </w:hyperlink>
      <w:r w:rsidRPr="00A24DA3">
        <w:rPr>
          <w:szCs w:val="22"/>
        </w:rPr>
        <w:t xml:space="preserve"> </w:t>
      </w:r>
    </w:p>
    <w:p w:rsidR="00C46062" w:rsidP="001C4FE4" w14:paraId="4A50ACAF" w14:textId="31EF3801">
      <w:pPr>
        <w:spacing w:after="120"/>
        <w:contextualSpacing/>
      </w:pPr>
      <w:r w:rsidRPr="00A24DA3">
        <w:rPr>
          <w:szCs w:val="22"/>
        </w:rPr>
        <w:t xml:space="preserve">FCC 24/7 Operations Center, (202) 418-1122, </w:t>
      </w:r>
      <w:hyperlink r:id="rId14" w:history="1">
        <w:r w:rsidRPr="00C46062">
          <w:rPr>
            <w:color w:val="0000FF"/>
            <w:szCs w:val="22"/>
            <w:u w:val="single"/>
          </w:rPr>
          <w:t>fccops@fcc.gov</w:t>
        </w:r>
      </w:hyperlink>
    </w:p>
    <w:p w:rsidR="007A170F" w:rsidP="001C4FE4" w14:paraId="76828CF4" w14:textId="77777777">
      <w:pPr>
        <w:spacing w:after="120"/>
        <w:contextualSpacing/>
      </w:pPr>
    </w:p>
    <w:p w:rsidR="007A170F" w:rsidP="001C4FE4" w14:paraId="37AA0064" w14:textId="32A42881">
      <w:pPr>
        <w:spacing w:after="120"/>
        <w:contextualSpacing/>
      </w:pPr>
      <w:r w:rsidRPr="00A24DA3">
        <w:t>For more information on the FCC’s response to</w:t>
      </w:r>
      <w:r>
        <w:t xml:space="preserve"> Winter Storm Fern</w:t>
      </w:r>
      <w:r w:rsidRPr="00A24DA3">
        <w:t>,</w:t>
      </w:r>
      <w:r w:rsidRPr="00A24DA3">
        <w:rPr>
          <w:color w:val="FF0000"/>
        </w:rPr>
        <w:t xml:space="preserve"> </w:t>
      </w:r>
      <w:r w:rsidRPr="002D7F53">
        <w:t xml:space="preserve">please </w:t>
      </w:r>
      <w:r w:rsidRPr="00A24DA3">
        <w:t>visit</w:t>
      </w:r>
      <w:r>
        <w:t xml:space="preserve"> </w:t>
      </w:r>
      <w:hyperlink r:id="rId15" w:history="1">
        <w:r w:rsidRPr="00C46062">
          <w:rPr>
            <w:rStyle w:val="Hyperlink"/>
          </w:rPr>
          <w:t>https://www.fcc.gov/fern</w:t>
        </w:r>
      </w:hyperlink>
      <w:r w:rsidRPr="00A24DA3">
        <w:t>.</w:t>
      </w:r>
    </w:p>
    <w:p w:rsidR="005B240A" w:rsidP="005B240A" w14:paraId="1BAD799B" w14:textId="77777777">
      <w:pPr>
        <w:jc w:val="center"/>
        <w:rPr>
          <w:szCs w:val="22"/>
        </w:rPr>
      </w:pPr>
    </w:p>
    <w:p w:rsidR="005B240A" w:rsidP="005B240A" w14:paraId="7FD5E999" w14:textId="77777777">
      <w:pPr>
        <w:jc w:val="center"/>
        <w:rPr>
          <w:szCs w:val="22"/>
        </w:rPr>
      </w:pPr>
    </w:p>
    <w:p w:rsidR="00BA3BA8" w:rsidRPr="006053BD" w:rsidP="006053BD" w14:paraId="3833B3E5" w14:textId="39F766E4">
      <w:pPr>
        <w:jc w:val="center"/>
        <w:rPr>
          <w:szCs w:val="22"/>
        </w:rPr>
      </w:pPr>
      <w:r w:rsidRPr="002A551D">
        <w:rPr>
          <w:szCs w:val="22"/>
        </w:rPr>
        <w:t>- FCC -</w:t>
      </w:r>
      <w:bookmarkEnd w:id="2"/>
    </w:p>
    <w:sectPr>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0CE1" w14:paraId="3A5F0C8D" w14:textId="77777777">
      <w:pPr>
        <w:spacing w:line="20" w:lineRule="exact"/>
      </w:pPr>
    </w:p>
  </w:endnote>
  <w:endnote w:type="continuationSeparator" w:id="1">
    <w:p w:rsidR="00FC0CE1" w14:paraId="74964475" w14:textId="77777777">
      <w:r>
        <w:t xml:space="preserve"> </w:t>
      </w:r>
    </w:p>
  </w:endnote>
  <w:endnote w:type="continuationNotice" w:id="2">
    <w:p w:rsidR="00FC0CE1" w14:paraId="332BC2A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3223077"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1AA11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3A2D93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E7A2D5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0CE1" w14:paraId="4393FDE0" w14:textId="77777777">
      <w:r>
        <w:separator/>
      </w:r>
    </w:p>
  </w:footnote>
  <w:footnote w:type="continuationSeparator" w:id="1">
    <w:p w:rsidR="00FC0CE1" w14:paraId="74C59D04" w14:textId="77777777">
      <w:pPr>
        <w:rPr>
          <w:sz w:val="20"/>
        </w:rPr>
      </w:pPr>
      <w:r>
        <w:rPr>
          <w:sz w:val="20"/>
        </w:rPr>
        <w:t xml:space="preserve">(Continued from previous page)  </w:t>
      </w:r>
      <w:r>
        <w:rPr>
          <w:sz w:val="20"/>
        </w:rPr>
        <w:separator/>
      </w:r>
    </w:p>
  </w:footnote>
  <w:footnote w:type="continuationNotice" w:id="2">
    <w:p w:rsidR="00FC0CE1" w14:paraId="2BF4AC29" w14:textId="77777777">
      <w:pPr>
        <w:jc w:val="right"/>
        <w:rPr>
          <w:sz w:val="20"/>
        </w:rPr>
      </w:pPr>
      <w:r>
        <w:rPr>
          <w:sz w:val="20"/>
        </w:rPr>
        <w:t>(continued….)</w:t>
      </w:r>
    </w:p>
  </w:footnote>
  <w:footnote w:id="3">
    <w:p w:rsidR="00BB1C4C" w:rsidRPr="009C4FC4" w:rsidP="00BB1C4C" w14:paraId="3C966116" w14:textId="6DE263E7">
      <w:pPr>
        <w:pStyle w:val="FootnoteText"/>
        <w:spacing w:before="120"/>
      </w:pPr>
      <w:r w:rsidRPr="00C46062">
        <w:rPr>
          <w:rStyle w:val="FootnoteReference"/>
          <w:sz w:val="20"/>
        </w:rPr>
        <w:footnoteRef/>
      </w:r>
      <w:r>
        <w:t xml:space="preserve"> </w:t>
      </w:r>
      <w:r w:rsidRPr="00EF019B">
        <w:rPr>
          <w:i/>
          <w:iCs/>
        </w:rPr>
        <w:t>The Federal Communications Commission Activates the Disaster Information Reporting System (DIRS) and the Mandatory Disaster Response Initiative (MDRI) In Response To Winter Storm Fern</w:t>
      </w:r>
      <w:r>
        <w:t>, Public Notice, DA 26-77 (PSHSB Jan. 23, 2026).</w:t>
      </w:r>
    </w:p>
  </w:footnote>
  <w:footnote w:id="4">
    <w:p w:rsidR="00877BC1" w:rsidRPr="009C4FC4" w:rsidP="00877BC1" w14:paraId="63416DFD" w14:textId="6B9F07B9">
      <w:pPr>
        <w:pStyle w:val="FootnoteText"/>
        <w:spacing w:before="120"/>
      </w:pPr>
      <w:r>
        <w:rPr>
          <w:rStyle w:val="FootnoteReference"/>
        </w:rPr>
        <w:footnoteRef/>
      </w:r>
      <w:r>
        <w:t xml:space="preserve"> </w:t>
      </w:r>
      <w:r w:rsidRPr="00EF019B">
        <w:rPr>
          <w:i/>
          <w:iCs/>
        </w:rPr>
        <w:t xml:space="preserve">The Federal Communications Commission </w:t>
      </w:r>
      <w:r w:rsidR="00F82FE7">
        <w:rPr>
          <w:i/>
          <w:iCs/>
        </w:rPr>
        <w:t>Announces</w:t>
      </w:r>
      <w:r w:rsidRPr="00EF019B">
        <w:rPr>
          <w:i/>
          <w:iCs/>
        </w:rPr>
        <w:t xml:space="preserve"> the </w:t>
      </w:r>
      <w:r w:rsidR="00F82FE7">
        <w:rPr>
          <w:i/>
          <w:iCs/>
        </w:rPr>
        <w:t>Expansion of the</w:t>
      </w:r>
      <w:r w:rsidRPr="00EF019B">
        <w:rPr>
          <w:i/>
          <w:iCs/>
        </w:rPr>
        <w:t xml:space="preserve"> </w:t>
      </w:r>
      <w:r w:rsidR="00E26397">
        <w:rPr>
          <w:i/>
          <w:iCs/>
        </w:rPr>
        <w:t xml:space="preserve">Disaster </w:t>
      </w:r>
      <w:r w:rsidRPr="00EF019B">
        <w:rPr>
          <w:i/>
          <w:iCs/>
        </w:rPr>
        <w:t xml:space="preserve">Information Reporting System and the Mandatory Disaster Response Initiative </w:t>
      </w:r>
      <w:r w:rsidR="009C60E6">
        <w:rPr>
          <w:i/>
          <w:iCs/>
        </w:rPr>
        <w:t xml:space="preserve">For Communications </w:t>
      </w:r>
      <w:r w:rsidR="00A60133">
        <w:rPr>
          <w:i/>
          <w:iCs/>
        </w:rPr>
        <w:t xml:space="preserve">Impacted By </w:t>
      </w:r>
      <w:r w:rsidR="00432EA3">
        <w:rPr>
          <w:i/>
          <w:iCs/>
        </w:rPr>
        <w:t>W</w:t>
      </w:r>
      <w:r w:rsidRPr="00EF019B">
        <w:rPr>
          <w:i/>
          <w:iCs/>
        </w:rPr>
        <w:t>inter Storm Fern</w:t>
      </w:r>
      <w:r>
        <w:t>, Public Notice, DA 26-</w:t>
      </w:r>
      <w:r w:rsidR="00A60133">
        <w:t>83</w:t>
      </w:r>
      <w:r>
        <w:t xml:space="preserve"> (PSHSB Jan. 24, 2026).</w:t>
      </w:r>
    </w:p>
    <w:p w:rsidR="008A4BD5" w14:paraId="7FBA7758" w14:textId="602570C1">
      <w:pPr>
        <w:pStyle w:val="FootnoteText"/>
      </w:pPr>
    </w:p>
  </w:footnote>
  <w:footnote w:id="5">
    <w:p w:rsidR="00C46062" w:rsidP="00C46062" w14:paraId="2FBADD82" w14:textId="77777777">
      <w:pPr>
        <w:pStyle w:val="FootnoteText"/>
        <w:spacing w:before="120"/>
      </w:pPr>
      <w:r w:rsidRPr="00C46062">
        <w:rPr>
          <w:rStyle w:val="FootnoteReference"/>
          <w:sz w:val="20"/>
        </w:rPr>
        <w:footnoteRef/>
      </w:r>
      <w:r>
        <w:t xml:space="preserve"> </w:t>
      </w:r>
      <w:r>
        <w:rPr>
          <w:i/>
          <w:iCs/>
        </w:rPr>
        <w:t xml:space="preserve">See </w:t>
      </w:r>
      <w:r>
        <w:t xml:space="preserve">47 CFR § 4.18(b).  </w:t>
      </w:r>
    </w:p>
  </w:footnote>
  <w:footnote w:id="6">
    <w:p w:rsidR="00D44FA6" w:rsidRPr="003C7661" w:rsidP="00D44FA6" w14:paraId="5C34CA90" w14:textId="77777777">
      <w:pPr>
        <w:pStyle w:val="FootnoteText"/>
        <w:spacing w:before="120"/>
        <w:rPr>
          <w:color w:val="000000"/>
        </w:rPr>
      </w:pPr>
      <w:r w:rsidRPr="00C46062">
        <w:rPr>
          <w:rStyle w:val="FootnoteReference"/>
          <w:color w:val="000000"/>
          <w:sz w:val="20"/>
        </w:rPr>
        <w:footnoteRef/>
      </w:r>
      <w:r w:rsidRPr="003C7661">
        <w:rPr>
          <w:color w:val="000000"/>
        </w:rPr>
        <w:t xml:space="preserve"> 47 CFR § 4.17(a)(3)(i)-(v); </w:t>
      </w:r>
      <w:r w:rsidRPr="003C7661">
        <w:rPr>
          <w:i/>
          <w:color w:val="000000"/>
        </w:rPr>
        <w:t>see also</w:t>
      </w:r>
      <w:r w:rsidRPr="003C7661">
        <w:rPr>
          <w:color w:val="000000"/>
        </w:rPr>
        <w:t xml:space="preserve"> FCC, </w:t>
      </w:r>
      <w:r w:rsidRPr="003C7661">
        <w:rPr>
          <w:i/>
          <w:color w:val="000000"/>
        </w:rPr>
        <w:t>Wireless Network Resiliency During Disasters</w:t>
      </w:r>
      <w:r w:rsidRPr="003C7661">
        <w:rPr>
          <w:color w:val="000000"/>
        </w:rPr>
        <w:t xml:space="preserve"> (June 4, 2024), </w:t>
      </w:r>
      <w:hyperlink r:id="rId1" w:history="1">
        <w:r w:rsidRPr="00C46062">
          <w:rPr>
            <w:rStyle w:val="Hyperlink"/>
            <w:color w:val="000000"/>
          </w:rPr>
          <w:t>https://www.fcc.gov/wireless-network-resiliency-during-disasters</w:t>
        </w:r>
      </w:hyperlink>
      <w:r w:rsidRPr="003C7661">
        <w:rPr>
          <w:color w:val="000000"/>
        </w:rPr>
        <w:t xml:space="preserve">.  </w:t>
      </w:r>
    </w:p>
  </w:footnote>
  <w:footnote w:id="7">
    <w:p w:rsidR="00F25AD1" w:rsidRPr="005C5DC5" w:rsidP="00F25AD1" w14:paraId="3B37D682" w14:textId="77777777">
      <w:pPr>
        <w:pStyle w:val="FootnoteText"/>
      </w:pPr>
      <w:r w:rsidRPr="003B6BE2">
        <w:rPr>
          <w:rStyle w:val="FootnoteReference"/>
          <w:sz w:val="20"/>
        </w:rPr>
        <w:footnoteRef/>
      </w:r>
      <w:r w:rsidRPr="003B6BE2">
        <w:t xml:space="preserve"> </w:t>
      </w:r>
      <w:r w:rsidRPr="00F76E66">
        <w:t>47 CFR § 4.17</w:t>
      </w:r>
      <w:r>
        <w:t>.</w:t>
      </w:r>
    </w:p>
  </w:footnote>
  <w:footnote w:id="8">
    <w:p w:rsidR="00090991" w:rsidP="00090991" w14:paraId="6378835B" w14:textId="77777777">
      <w:pPr>
        <w:pStyle w:val="FootnoteText"/>
        <w:spacing w:before="120"/>
      </w:pPr>
      <w:r w:rsidRPr="00C46062">
        <w:rPr>
          <w:rStyle w:val="FootnoteReference"/>
          <w:sz w:val="20"/>
        </w:rPr>
        <w:footnoteRef/>
      </w:r>
      <w:r>
        <w:t xml:space="preserve"> </w:t>
      </w:r>
      <w:r>
        <w:rPr>
          <w:i/>
          <w:iCs/>
        </w:rPr>
        <w:t xml:space="preserve">See </w:t>
      </w:r>
      <w:r>
        <w:t xml:space="preserve">47 CFR § 4.18(a)(1). </w:t>
      </w:r>
    </w:p>
  </w:footnote>
  <w:footnote w:id="9">
    <w:p w:rsidR="00090991" w:rsidP="00090991" w14:paraId="21541686" w14:textId="77777777">
      <w:pPr>
        <w:pStyle w:val="FootnoteText"/>
        <w:spacing w:before="120"/>
      </w:pPr>
      <w:r w:rsidRPr="00C46062">
        <w:rPr>
          <w:rStyle w:val="FootnoteReference"/>
          <w:sz w:val="20"/>
        </w:rPr>
        <w:footnoteRef/>
      </w:r>
      <w:r>
        <w:t xml:space="preserve"> 47 CFR § 4.18(a)(2).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4284B1A" w14:textId="6ECC3945">
    <w:pPr>
      <w:tabs>
        <w:tab w:val="center" w:pos="4680"/>
        <w:tab w:val="right" w:pos="9360"/>
      </w:tabs>
    </w:pPr>
    <w:r>
      <w:rPr>
        <w:b/>
      </w:rPr>
      <w:tab/>
      <w:t>Federal Communications Commission</w:t>
    </w:r>
    <w:r>
      <w:rPr>
        <w:b/>
      </w:rPr>
      <w:tab/>
    </w:r>
    <w:r w:rsidR="00C46062">
      <w:rPr>
        <w:b/>
      </w:rPr>
      <w:t>DA 26-</w:t>
    </w:r>
    <w:r w:rsidR="00717801">
      <w:rPr>
        <w:b/>
      </w:rPr>
      <w:t>XX</w:t>
    </w:r>
  </w:p>
  <w:p w:rsidR="00BA3BA8" w14:paraId="28D5F478" w14:textId="60C2FFA5">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310792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04B1AB5" w14:textId="54A6F946">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333681490">
    <w:abstractNumId w:val="1"/>
  </w:num>
  <w:num w:numId="2" w16cid:durableId="1689521643">
    <w:abstractNumId w:val="5"/>
  </w:num>
  <w:num w:numId="3" w16cid:durableId="479617981">
    <w:abstractNumId w:val="3"/>
  </w:num>
  <w:num w:numId="4" w16cid:durableId="138038560">
    <w:abstractNumId w:val="4"/>
  </w:num>
  <w:num w:numId="5" w16cid:durableId="335115663">
    <w:abstractNumId w:val="2"/>
  </w:num>
  <w:num w:numId="6" w16cid:durableId="131683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62"/>
    <w:rsid w:val="00002BA0"/>
    <w:rsid w:val="00006D43"/>
    <w:rsid w:val="00012B2E"/>
    <w:rsid w:val="00042176"/>
    <w:rsid w:val="00046D52"/>
    <w:rsid w:val="00065967"/>
    <w:rsid w:val="00090991"/>
    <w:rsid w:val="000B0E57"/>
    <w:rsid w:val="000B1610"/>
    <w:rsid w:val="000B3DAD"/>
    <w:rsid w:val="000C701E"/>
    <w:rsid w:val="000E3000"/>
    <w:rsid w:val="000F1A4B"/>
    <w:rsid w:val="000F532E"/>
    <w:rsid w:val="001146FF"/>
    <w:rsid w:val="0011795C"/>
    <w:rsid w:val="00132E40"/>
    <w:rsid w:val="001413C0"/>
    <w:rsid w:val="001527FF"/>
    <w:rsid w:val="00181DB5"/>
    <w:rsid w:val="001973B1"/>
    <w:rsid w:val="001A2AB8"/>
    <w:rsid w:val="001C2D79"/>
    <w:rsid w:val="001C4FE4"/>
    <w:rsid w:val="001C7C82"/>
    <w:rsid w:val="001C7DA5"/>
    <w:rsid w:val="001D1264"/>
    <w:rsid w:val="001D1734"/>
    <w:rsid w:val="001D7A69"/>
    <w:rsid w:val="001E16C3"/>
    <w:rsid w:val="001F3D47"/>
    <w:rsid w:val="00240098"/>
    <w:rsid w:val="0024076D"/>
    <w:rsid w:val="00240F3D"/>
    <w:rsid w:val="002425F6"/>
    <w:rsid w:val="002448B9"/>
    <w:rsid w:val="00247AAC"/>
    <w:rsid w:val="002674EE"/>
    <w:rsid w:val="002833F0"/>
    <w:rsid w:val="00284E40"/>
    <w:rsid w:val="002A551D"/>
    <w:rsid w:val="002B0B49"/>
    <w:rsid w:val="002C0E39"/>
    <w:rsid w:val="002D1EFE"/>
    <w:rsid w:val="002D2893"/>
    <w:rsid w:val="002D7F53"/>
    <w:rsid w:val="002E1BAE"/>
    <w:rsid w:val="002F2985"/>
    <w:rsid w:val="002F5D12"/>
    <w:rsid w:val="003148BB"/>
    <w:rsid w:val="00314A9D"/>
    <w:rsid w:val="003177BB"/>
    <w:rsid w:val="003328A2"/>
    <w:rsid w:val="00335F71"/>
    <w:rsid w:val="0033657C"/>
    <w:rsid w:val="00344949"/>
    <w:rsid w:val="00360666"/>
    <w:rsid w:val="0036720D"/>
    <w:rsid w:val="003B41EE"/>
    <w:rsid w:val="003B6BE2"/>
    <w:rsid w:val="003C46E1"/>
    <w:rsid w:val="003C7661"/>
    <w:rsid w:val="003D0006"/>
    <w:rsid w:val="003D06AE"/>
    <w:rsid w:val="003E3C1A"/>
    <w:rsid w:val="003F3BAC"/>
    <w:rsid w:val="00411A94"/>
    <w:rsid w:val="00430183"/>
    <w:rsid w:val="00432EA3"/>
    <w:rsid w:val="00447F32"/>
    <w:rsid w:val="00455597"/>
    <w:rsid w:val="00456B06"/>
    <w:rsid w:val="0049041E"/>
    <w:rsid w:val="00490E8D"/>
    <w:rsid w:val="0049560F"/>
    <w:rsid w:val="004C6029"/>
    <w:rsid w:val="004E6173"/>
    <w:rsid w:val="004F29B5"/>
    <w:rsid w:val="00511CBD"/>
    <w:rsid w:val="0052596E"/>
    <w:rsid w:val="00526AD7"/>
    <w:rsid w:val="00555886"/>
    <w:rsid w:val="005833F8"/>
    <w:rsid w:val="00587948"/>
    <w:rsid w:val="005902AE"/>
    <w:rsid w:val="0059478D"/>
    <w:rsid w:val="005A7E94"/>
    <w:rsid w:val="005B240A"/>
    <w:rsid w:val="005C1DED"/>
    <w:rsid w:val="005C5DC5"/>
    <w:rsid w:val="005D7AD8"/>
    <w:rsid w:val="006053BD"/>
    <w:rsid w:val="00623F19"/>
    <w:rsid w:val="00633844"/>
    <w:rsid w:val="00656061"/>
    <w:rsid w:val="006632D0"/>
    <w:rsid w:val="006A5607"/>
    <w:rsid w:val="006B1E46"/>
    <w:rsid w:val="006C2465"/>
    <w:rsid w:val="006C48F0"/>
    <w:rsid w:val="006C64D8"/>
    <w:rsid w:val="006D53E9"/>
    <w:rsid w:val="006E1809"/>
    <w:rsid w:val="006F7794"/>
    <w:rsid w:val="0071679C"/>
    <w:rsid w:val="00717801"/>
    <w:rsid w:val="0074363C"/>
    <w:rsid w:val="00756D61"/>
    <w:rsid w:val="00762A09"/>
    <w:rsid w:val="00773572"/>
    <w:rsid w:val="007802A9"/>
    <w:rsid w:val="007A03CF"/>
    <w:rsid w:val="007A170F"/>
    <w:rsid w:val="007A3AC2"/>
    <w:rsid w:val="007C3FA7"/>
    <w:rsid w:val="007C539B"/>
    <w:rsid w:val="007D22D0"/>
    <w:rsid w:val="00803E98"/>
    <w:rsid w:val="008309C3"/>
    <w:rsid w:val="0083108A"/>
    <w:rsid w:val="00863EB4"/>
    <w:rsid w:val="00873214"/>
    <w:rsid w:val="00877BC1"/>
    <w:rsid w:val="00882088"/>
    <w:rsid w:val="0089163C"/>
    <w:rsid w:val="00895D6C"/>
    <w:rsid w:val="008A0B6E"/>
    <w:rsid w:val="008A10F7"/>
    <w:rsid w:val="008A2BF8"/>
    <w:rsid w:val="008A4BD5"/>
    <w:rsid w:val="008B794B"/>
    <w:rsid w:val="008C0583"/>
    <w:rsid w:val="008C32D3"/>
    <w:rsid w:val="008C4E1B"/>
    <w:rsid w:val="008D1882"/>
    <w:rsid w:val="00900C3F"/>
    <w:rsid w:val="00906D2C"/>
    <w:rsid w:val="00926A43"/>
    <w:rsid w:val="0094185D"/>
    <w:rsid w:val="00947AEB"/>
    <w:rsid w:val="009513C5"/>
    <w:rsid w:val="00974F20"/>
    <w:rsid w:val="0098534C"/>
    <w:rsid w:val="009917FA"/>
    <w:rsid w:val="009A0709"/>
    <w:rsid w:val="009A198F"/>
    <w:rsid w:val="009A2300"/>
    <w:rsid w:val="009B525C"/>
    <w:rsid w:val="009B5297"/>
    <w:rsid w:val="009C42F1"/>
    <w:rsid w:val="009C4FC4"/>
    <w:rsid w:val="009C60E6"/>
    <w:rsid w:val="009E012D"/>
    <w:rsid w:val="009E1ABC"/>
    <w:rsid w:val="009E614C"/>
    <w:rsid w:val="009F0896"/>
    <w:rsid w:val="009F1FC5"/>
    <w:rsid w:val="009F299E"/>
    <w:rsid w:val="009F35B4"/>
    <w:rsid w:val="00A148D8"/>
    <w:rsid w:val="00A15097"/>
    <w:rsid w:val="00A20679"/>
    <w:rsid w:val="00A2476B"/>
    <w:rsid w:val="00A24DA3"/>
    <w:rsid w:val="00A253FF"/>
    <w:rsid w:val="00A34316"/>
    <w:rsid w:val="00A35CE6"/>
    <w:rsid w:val="00A53299"/>
    <w:rsid w:val="00A53DA4"/>
    <w:rsid w:val="00A56D08"/>
    <w:rsid w:val="00A60133"/>
    <w:rsid w:val="00A74268"/>
    <w:rsid w:val="00A93803"/>
    <w:rsid w:val="00A93807"/>
    <w:rsid w:val="00AA5BDF"/>
    <w:rsid w:val="00AA6F4F"/>
    <w:rsid w:val="00AB1D03"/>
    <w:rsid w:val="00AE643A"/>
    <w:rsid w:val="00AF2B73"/>
    <w:rsid w:val="00AF5D43"/>
    <w:rsid w:val="00B25F24"/>
    <w:rsid w:val="00B424CB"/>
    <w:rsid w:val="00B5116B"/>
    <w:rsid w:val="00B722E6"/>
    <w:rsid w:val="00BA3BA8"/>
    <w:rsid w:val="00BB1C4C"/>
    <w:rsid w:val="00BB6B54"/>
    <w:rsid w:val="00BC7B22"/>
    <w:rsid w:val="00BE3D71"/>
    <w:rsid w:val="00C2532F"/>
    <w:rsid w:val="00C3324D"/>
    <w:rsid w:val="00C46062"/>
    <w:rsid w:val="00C72779"/>
    <w:rsid w:val="00C77C16"/>
    <w:rsid w:val="00C97611"/>
    <w:rsid w:val="00CA4D00"/>
    <w:rsid w:val="00CB26CB"/>
    <w:rsid w:val="00CB535D"/>
    <w:rsid w:val="00CC50F5"/>
    <w:rsid w:val="00CE1DB3"/>
    <w:rsid w:val="00D073E9"/>
    <w:rsid w:val="00D44FA6"/>
    <w:rsid w:val="00D51B3E"/>
    <w:rsid w:val="00D51BAC"/>
    <w:rsid w:val="00D87DAF"/>
    <w:rsid w:val="00DA13A2"/>
    <w:rsid w:val="00DA5AB3"/>
    <w:rsid w:val="00DB4CDE"/>
    <w:rsid w:val="00DC2E1E"/>
    <w:rsid w:val="00DE112F"/>
    <w:rsid w:val="00DE13C3"/>
    <w:rsid w:val="00DE615E"/>
    <w:rsid w:val="00DF121E"/>
    <w:rsid w:val="00E163A0"/>
    <w:rsid w:val="00E26397"/>
    <w:rsid w:val="00E445FE"/>
    <w:rsid w:val="00E50765"/>
    <w:rsid w:val="00E750BB"/>
    <w:rsid w:val="00E851AE"/>
    <w:rsid w:val="00EA0166"/>
    <w:rsid w:val="00EA11F2"/>
    <w:rsid w:val="00EB29D6"/>
    <w:rsid w:val="00EB3150"/>
    <w:rsid w:val="00EC11A1"/>
    <w:rsid w:val="00EC323C"/>
    <w:rsid w:val="00EE1331"/>
    <w:rsid w:val="00EF019B"/>
    <w:rsid w:val="00EF466B"/>
    <w:rsid w:val="00EF5A12"/>
    <w:rsid w:val="00EF7EB6"/>
    <w:rsid w:val="00F03366"/>
    <w:rsid w:val="00F03EA1"/>
    <w:rsid w:val="00F25AD1"/>
    <w:rsid w:val="00F26DD8"/>
    <w:rsid w:val="00F62F94"/>
    <w:rsid w:val="00F75B30"/>
    <w:rsid w:val="00F76E66"/>
    <w:rsid w:val="00F804EB"/>
    <w:rsid w:val="00F82FE7"/>
    <w:rsid w:val="00F84513"/>
    <w:rsid w:val="00F90253"/>
    <w:rsid w:val="00FA72A1"/>
    <w:rsid w:val="00FC0CE1"/>
    <w:rsid w:val="00FC1865"/>
    <w:rsid w:val="00FD3683"/>
    <w:rsid w:val="00FF2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8E2492"/>
  <w15:chartTrackingRefBased/>
  <w15:docId w15:val="{DE10C6CD-4579-424C-8B1C-FA029996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1 Char Char Char Char,Footnote Text Char2,Footnote Text Char2 Char,Footnote Text Char2 Char Char Char Char,fn"/>
    <w:link w:val="FootnoteTextChar"/>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Text Char Char Char Char Char,Footnote Text Char1 Char Char1,Footnote Text Char1 Char Char Char,Footnote Text Char1 Char1 Char Char Char Char Char,Footnote Text Char2 Char1,Footnote Text Char2 Char Char"/>
    <w:link w:val="FootnoteText"/>
    <w:rsid w:val="00C46062"/>
  </w:style>
  <w:style w:type="character" w:styleId="FollowedHyperlink">
    <w:name w:val="FollowedHyperlink"/>
    <w:basedOn w:val="DefaultParagraphFont"/>
    <w:uiPriority w:val="99"/>
    <w:semiHidden/>
    <w:unhideWhenUsed/>
    <w:rsid w:val="00C460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uan.chapa@fcc.gov" TargetMode="External" /><Relationship Id="rId11" Type="http://schemas.openxmlformats.org/officeDocument/2006/relationships/hyperlink" Target="mailto:fccoperationcenter@fcc.gov" TargetMode="External" /><Relationship Id="rId12" Type="http://schemas.openxmlformats.org/officeDocument/2006/relationships/hyperlink" Target="mailto:justin.cain@fcc.gov" TargetMode="External" /><Relationship Id="rId13" Type="http://schemas.openxmlformats.org/officeDocument/2006/relationships/hyperlink" Target="mailto:logan.bennett@fcc.gov" TargetMode="External" /><Relationship Id="rId14" Type="http://schemas.openxmlformats.org/officeDocument/2006/relationships/hyperlink" Target="mailto:fccops@fcc.gov" TargetMode="External" /><Relationship Id="rId15" Type="http://schemas.openxmlformats.org/officeDocument/2006/relationships/hyperlink" Target="https://www.fcc.gov/fern"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dirs.fcc.gov" TargetMode="External" /><Relationship Id="rId7" Type="http://schemas.openxmlformats.org/officeDocument/2006/relationships/hyperlink" Target="https://www.fcc.gov/wireless-network-resiliency-during-disasters" TargetMode="External" /><Relationship Id="rId8" Type="http://schemas.openxmlformats.org/officeDocument/2006/relationships/hyperlink" Target="mailto:michael.caiafa@fcc.gov" TargetMode="External" /><Relationship Id="rId9" Type="http://schemas.openxmlformats.org/officeDocument/2006/relationships/hyperlink" Target="mailto:john.healy@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wireless-network-resiliency-during-disaster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