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4.11.0 -->
  <w:body>
    <w:p w:rsidR="004C2EE3" w14:paraId="36711DFD" w14:textId="77777777">
      <w:pPr>
        <w:jc w:val="center"/>
        <w:rPr>
          <w:b/>
        </w:rPr>
      </w:pPr>
      <w:r w:rsidRPr="0070224F">
        <w:rPr>
          <w:rFonts w:ascii="Times New Roman Bold" w:hAnsi="Times New Roman Bold"/>
          <w:b/>
          <w:kern w:val="0"/>
          <w:szCs w:val="22"/>
        </w:rPr>
        <w:t>Before</w:t>
      </w:r>
      <w:r>
        <w:rPr>
          <w:b/>
        </w:rPr>
        <w:t xml:space="preserve"> the</w:t>
      </w:r>
    </w:p>
    <w:p w:rsidR="00921803" w:rsidP="00921803" w14:paraId="2C9850A6" w14:textId="77777777">
      <w:pPr>
        <w:pStyle w:val="StyleBoldCentered"/>
      </w:pPr>
      <w:r>
        <w:t>F</w:t>
      </w:r>
      <w:r>
        <w:rPr>
          <w:caps w:val="0"/>
        </w:rPr>
        <w:t>ederal Communications Commission</w:t>
      </w:r>
    </w:p>
    <w:p w:rsidR="004C2EE3" w:rsidP="00096D8C" w14:paraId="6A5AACB2" w14:textId="77777777">
      <w:pPr>
        <w:pStyle w:val="StyleBoldCentered"/>
      </w:pPr>
      <w:r>
        <w:rPr>
          <w:caps w:val="0"/>
        </w:rPr>
        <w:t>Washington, D.C. 20554</w:t>
      </w:r>
    </w:p>
    <w:p w:rsidR="004C2EE3" w:rsidP="0070224F" w14:paraId="33A011F0" w14:textId="77777777"/>
    <w:p w:rsidR="004C2EE3" w:rsidP="0070224F" w14:paraId="1EDD05E5" w14:textId="77777777"/>
    <w:tbl>
      <w:tblPr>
        <w:tblW w:w="0" w:type="auto"/>
        <w:tblLayout w:type="fixed"/>
        <w:tblLook w:val="0000"/>
      </w:tblPr>
      <w:tblGrid>
        <w:gridCol w:w="4698"/>
        <w:gridCol w:w="630"/>
        <w:gridCol w:w="4248"/>
      </w:tblGrid>
      <w:tr w14:paraId="1A00403C" w14:textId="77777777">
        <w:tblPrEx>
          <w:tblW w:w="0" w:type="auto"/>
          <w:tblLayout w:type="fixed"/>
          <w:tblLook w:val="0000"/>
        </w:tblPrEx>
        <w:tc>
          <w:tcPr>
            <w:tcW w:w="4698" w:type="dxa"/>
          </w:tcPr>
          <w:p w:rsidR="004C2EE3" w14:paraId="2037F6A3" w14:textId="77777777">
            <w:pPr>
              <w:tabs>
                <w:tab w:val="center" w:pos="4680"/>
              </w:tabs>
              <w:suppressAutoHyphens/>
              <w:rPr>
                <w:spacing w:val="-2"/>
              </w:rPr>
            </w:pPr>
            <w:r>
              <w:rPr>
                <w:spacing w:val="-2"/>
              </w:rPr>
              <w:t>In the Matter of</w:t>
            </w:r>
          </w:p>
          <w:p w:rsidR="004C2EE3" w14:paraId="1DFD99E4" w14:textId="77777777">
            <w:pPr>
              <w:tabs>
                <w:tab w:val="center" w:pos="4680"/>
              </w:tabs>
              <w:suppressAutoHyphens/>
              <w:rPr>
                <w:spacing w:val="-2"/>
              </w:rPr>
            </w:pPr>
          </w:p>
          <w:p w:rsidR="004C2EE3" w:rsidRPr="007115F7" w:rsidP="007115F7" w14:paraId="25058F08" w14:textId="677CF1A8">
            <w:pPr>
              <w:tabs>
                <w:tab w:val="center" w:pos="4680"/>
              </w:tabs>
              <w:suppressAutoHyphens/>
              <w:rPr>
                <w:spacing w:val="-2"/>
              </w:rPr>
            </w:pPr>
            <w:r>
              <w:rPr>
                <w:spacing w:val="-2"/>
              </w:rPr>
              <w:t>Entitlement to Lowest Unit Charge for Legally Qualified Candidates for Federal Office and All Authorized Committees</w:t>
            </w:r>
          </w:p>
        </w:tc>
        <w:tc>
          <w:tcPr>
            <w:tcW w:w="630" w:type="dxa"/>
          </w:tcPr>
          <w:p w:rsidR="004C2EE3" w14:paraId="614CD928" w14:textId="77777777">
            <w:pPr>
              <w:tabs>
                <w:tab w:val="center" w:pos="4680"/>
              </w:tabs>
              <w:suppressAutoHyphens/>
              <w:rPr>
                <w:b/>
                <w:spacing w:val="-2"/>
              </w:rPr>
            </w:pPr>
            <w:r>
              <w:rPr>
                <w:b/>
                <w:spacing w:val="-2"/>
              </w:rPr>
              <w:t>)</w:t>
            </w:r>
          </w:p>
          <w:p w:rsidR="004C2EE3" w14:paraId="5C33B6A9" w14:textId="77777777">
            <w:pPr>
              <w:tabs>
                <w:tab w:val="center" w:pos="4680"/>
              </w:tabs>
              <w:suppressAutoHyphens/>
              <w:rPr>
                <w:b/>
                <w:spacing w:val="-2"/>
              </w:rPr>
            </w:pPr>
            <w:r>
              <w:rPr>
                <w:b/>
                <w:spacing w:val="-2"/>
              </w:rPr>
              <w:t>)</w:t>
            </w:r>
          </w:p>
          <w:p w:rsidR="004C2EE3" w14:paraId="46F35726" w14:textId="77777777">
            <w:pPr>
              <w:tabs>
                <w:tab w:val="center" w:pos="4680"/>
              </w:tabs>
              <w:suppressAutoHyphens/>
              <w:rPr>
                <w:b/>
                <w:spacing w:val="-2"/>
              </w:rPr>
            </w:pPr>
            <w:r>
              <w:rPr>
                <w:b/>
                <w:spacing w:val="-2"/>
              </w:rPr>
              <w:t>)</w:t>
            </w:r>
          </w:p>
          <w:p w:rsidR="004C2EE3" w14:paraId="006319E9" w14:textId="77777777">
            <w:pPr>
              <w:tabs>
                <w:tab w:val="center" w:pos="4680"/>
              </w:tabs>
              <w:suppressAutoHyphens/>
              <w:rPr>
                <w:b/>
                <w:spacing w:val="-2"/>
              </w:rPr>
            </w:pPr>
            <w:r>
              <w:rPr>
                <w:b/>
                <w:spacing w:val="-2"/>
              </w:rPr>
              <w:t>)</w:t>
            </w:r>
          </w:p>
          <w:p w:rsidR="004C2EE3" w:rsidRPr="00EB1A05" w14:paraId="41DB4E90" w14:textId="63118333">
            <w:pPr>
              <w:tabs>
                <w:tab w:val="center" w:pos="4680"/>
              </w:tabs>
              <w:suppressAutoHyphens/>
              <w:rPr>
                <w:b/>
                <w:spacing w:val="-2"/>
              </w:rPr>
            </w:pPr>
            <w:r>
              <w:rPr>
                <w:b/>
                <w:spacing w:val="-2"/>
              </w:rPr>
              <w:t>)</w:t>
            </w:r>
          </w:p>
        </w:tc>
        <w:tc>
          <w:tcPr>
            <w:tcW w:w="4248" w:type="dxa"/>
          </w:tcPr>
          <w:p w:rsidR="004C2EE3" w14:paraId="1561BB3D" w14:textId="77777777">
            <w:pPr>
              <w:tabs>
                <w:tab w:val="center" w:pos="4680"/>
              </w:tabs>
              <w:suppressAutoHyphens/>
              <w:rPr>
                <w:spacing w:val="-2"/>
              </w:rPr>
            </w:pPr>
          </w:p>
          <w:p w:rsidR="004C2EE3" w14:paraId="6158CD3A" w14:textId="77777777">
            <w:pPr>
              <w:pStyle w:val="TOAHeading"/>
              <w:tabs>
                <w:tab w:val="center" w:pos="4680"/>
                <w:tab w:val="clear" w:pos="9360"/>
              </w:tabs>
              <w:rPr>
                <w:spacing w:val="-2"/>
              </w:rPr>
            </w:pPr>
          </w:p>
          <w:p w:rsidR="004C2EE3" w14:paraId="26C62182" w14:textId="589D0CED">
            <w:pPr>
              <w:tabs>
                <w:tab w:val="center" w:pos="4680"/>
              </w:tabs>
              <w:suppressAutoHyphens/>
              <w:rPr>
                <w:spacing w:val="-2"/>
              </w:rPr>
            </w:pPr>
          </w:p>
        </w:tc>
      </w:tr>
    </w:tbl>
    <w:p w:rsidR="004C2EE3" w:rsidP="0070224F" w14:paraId="16AD06A1" w14:textId="77777777"/>
    <w:p w:rsidR="00841AB1" w:rsidP="00F021FA" w14:paraId="06E4173F" w14:textId="666AD6D9">
      <w:pPr>
        <w:pStyle w:val="StyleBoldCentered"/>
      </w:pPr>
      <w:r>
        <w:t xml:space="preserve">ORDER </w:t>
      </w:r>
      <w:r w:rsidR="004F4F0B">
        <w:t>on reconsideration</w:t>
      </w:r>
    </w:p>
    <w:p w:rsidR="004C2EE3" w14:paraId="775C8DAC" w14:textId="77777777">
      <w:pPr>
        <w:tabs>
          <w:tab w:val="left" w:pos="-720"/>
        </w:tabs>
        <w:suppressAutoHyphens/>
        <w:spacing w:line="227" w:lineRule="auto"/>
        <w:rPr>
          <w:spacing w:val="-2"/>
        </w:rPr>
      </w:pPr>
    </w:p>
    <w:p w:rsidR="004C2EE3" w:rsidP="00133F79" w14:paraId="34B3EBC2" w14:textId="2C18D815">
      <w:pPr>
        <w:tabs>
          <w:tab w:val="left" w:pos="720"/>
          <w:tab w:val="right" w:pos="9360"/>
        </w:tabs>
        <w:suppressAutoHyphens/>
        <w:spacing w:line="227" w:lineRule="auto"/>
        <w:rPr>
          <w:spacing w:val="-2"/>
        </w:rPr>
      </w:pPr>
      <w:r>
        <w:rPr>
          <w:b/>
          <w:spacing w:val="-2"/>
        </w:rPr>
        <w:t xml:space="preserve">Adopted:  </w:t>
      </w:r>
      <w:r w:rsidRPr="00A92296" w:rsidR="002952A6">
        <w:rPr>
          <w:b/>
          <w:spacing w:val="-2"/>
        </w:rPr>
        <w:t>August 13, 2026</w:t>
      </w:r>
      <w:r w:rsidRPr="00A92296">
        <w:rPr>
          <w:b/>
          <w:spacing w:val="-2"/>
        </w:rPr>
        <w:tab/>
      </w:r>
      <w:r w:rsidRPr="00A92296" w:rsidR="00822CE0">
        <w:rPr>
          <w:b/>
          <w:spacing w:val="-2"/>
        </w:rPr>
        <w:t>Released</w:t>
      </w:r>
      <w:r w:rsidRPr="00A92296">
        <w:rPr>
          <w:b/>
          <w:spacing w:val="-2"/>
        </w:rPr>
        <w:t>:</w:t>
      </w:r>
      <w:r w:rsidRPr="00A92296" w:rsidR="00822CE0">
        <w:rPr>
          <w:b/>
          <w:spacing w:val="-2"/>
        </w:rPr>
        <w:t xml:space="preserve"> </w:t>
      </w:r>
      <w:r w:rsidRPr="00A92296">
        <w:rPr>
          <w:b/>
          <w:spacing w:val="-2"/>
        </w:rPr>
        <w:t xml:space="preserve"> </w:t>
      </w:r>
      <w:r w:rsidRPr="00A92296" w:rsidR="002952A6">
        <w:rPr>
          <w:b/>
          <w:spacing w:val="-2"/>
        </w:rPr>
        <w:t>August 13, 2026</w:t>
      </w:r>
    </w:p>
    <w:p w:rsidR="00822CE0" w14:paraId="75683715" w14:textId="77777777"/>
    <w:p w:rsidR="004C2EE3" w14:paraId="3A161704" w14:textId="0FDEA8A1">
      <w:pPr>
        <w:rPr>
          <w:spacing w:val="-2"/>
        </w:rPr>
      </w:pPr>
      <w:r>
        <w:t xml:space="preserve">By </w:t>
      </w:r>
      <w:r w:rsidR="004E4A22">
        <w:t>the</w:t>
      </w:r>
      <w:r w:rsidR="00247950">
        <w:t xml:space="preserve"> Acting Chief, Media Bureau:</w:t>
      </w:r>
    </w:p>
    <w:p w:rsidR="00822CE0" w14:paraId="7C7DCDFD" w14:textId="77777777">
      <w:pPr>
        <w:rPr>
          <w:spacing w:val="-2"/>
        </w:rPr>
      </w:pPr>
    </w:p>
    <w:p w:rsidR="00412FC5" w:rsidP="00C36B4C" w14:paraId="01546570" w14:textId="169FE9E0">
      <w:pPr>
        <w:pStyle w:val="Heading1"/>
      </w:pPr>
      <w:r>
        <w:t>introduction</w:t>
      </w:r>
    </w:p>
    <w:p w:rsidR="007772EF" w:rsidP="004F4F0B" w14:paraId="1E647E38" w14:textId="2C3C895D">
      <w:pPr>
        <w:pStyle w:val="ParaNum"/>
      </w:pPr>
      <w:r>
        <w:t xml:space="preserve">In this </w:t>
      </w:r>
      <w:r>
        <w:rPr>
          <w:i/>
          <w:iCs/>
        </w:rPr>
        <w:t>Order on Reconsideration</w:t>
      </w:r>
      <w:r>
        <w:t xml:space="preserve">, we consider a petition </w:t>
      </w:r>
      <w:r w:rsidR="00764380">
        <w:t>from</w:t>
      </w:r>
      <w:r w:rsidR="00B15520">
        <w:t xml:space="preserve"> the Television Bureau of Advertising, Inc.</w:t>
      </w:r>
      <w:r w:rsidR="009B1E7B">
        <w:t xml:space="preserve"> (TVB)</w:t>
      </w:r>
      <w:r w:rsidR="00133367">
        <w:t xml:space="preserve"> for reconsideratio</w:t>
      </w:r>
      <w:r w:rsidR="00114D0D">
        <w:t>n</w:t>
      </w:r>
      <w:r w:rsidR="00B15520">
        <w:t xml:space="preserve"> of </w:t>
      </w:r>
      <w:r w:rsidR="00277A47">
        <w:t xml:space="preserve">the Media Bureau’s March 2026 public notice </w:t>
      </w:r>
      <w:r w:rsidR="00C0238E">
        <w:t xml:space="preserve">reminding broadcasters and the public about the FCC’s </w:t>
      </w:r>
      <w:r w:rsidR="00051BF4">
        <w:t>“</w:t>
      </w:r>
      <w:r w:rsidR="00C0238E">
        <w:t>lowest unit charge</w:t>
      </w:r>
      <w:r w:rsidR="00051BF4">
        <w:t>”</w:t>
      </w:r>
      <w:r w:rsidR="00C0238E">
        <w:t xml:space="preserve"> (LUC) requirements</w:t>
      </w:r>
      <w:r w:rsidR="0034504B">
        <w:t>.</w:t>
      </w:r>
      <w:r>
        <w:rPr>
          <w:rStyle w:val="FootnoteReference"/>
        </w:rPr>
        <w:footnoteReference w:id="3"/>
      </w:r>
      <w:r w:rsidR="002E03ED">
        <w:t xml:space="preserve">  For the reasons stated below, we </w:t>
      </w:r>
      <w:r w:rsidRPr="00C8067B" w:rsidR="00C20193">
        <w:t>d</w:t>
      </w:r>
      <w:r w:rsidRPr="00C8067B" w:rsidR="000E2059">
        <w:t>ismiss</w:t>
      </w:r>
      <w:r w:rsidR="00C20193">
        <w:t xml:space="preserve"> TVB’s request f</w:t>
      </w:r>
      <w:r w:rsidR="00D35DFC">
        <w:t>or reconsideration.</w:t>
      </w:r>
      <w:r>
        <w:rPr>
          <w:rStyle w:val="FootnoteReference"/>
        </w:rPr>
        <w:footnoteReference w:id="4"/>
      </w:r>
      <w:r w:rsidR="000E2059">
        <w:t xml:space="preserve">  </w:t>
      </w:r>
    </w:p>
    <w:p w:rsidR="00CA1553" w:rsidP="004F4F0B" w14:paraId="473821A9" w14:textId="0017B0C2">
      <w:pPr>
        <w:pStyle w:val="ParaNum"/>
      </w:pPr>
      <w:r>
        <w:t xml:space="preserve">First, </w:t>
      </w:r>
      <w:r w:rsidR="007772EF">
        <w:t xml:space="preserve">TVB argues that the Bureau’s Public Notice broke new substantive ground, and their </w:t>
      </w:r>
      <w:r w:rsidR="00B32265">
        <w:t>P</w:t>
      </w:r>
      <w:r w:rsidR="007772EF">
        <w:t xml:space="preserve">etition thus seeks reconsideration of what they contend is a new and final agency action.  As explained below, however, </w:t>
      </w:r>
      <w:r w:rsidR="00E827EE">
        <w:t xml:space="preserve">that </w:t>
      </w:r>
      <w:r w:rsidR="00F633DF">
        <w:t>premise is incorrect</w:t>
      </w:r>
      <w:r w:rsidR="00B93ADD">
        <w:t xml:space="preserve">.  </w:t>
      </w:r>
      <w:r w:rsidR="00B823C4">
        <w:t>T</w:t>
      </w:r>
      <w:r w:rsidR="007772EF">
        <w:t>he Public Notice merely remin</w:t>
      </w:r>
      <w:r w:rsidR="00EE33C9">
        <w:t xml:space="preserve">ds </w:t>
      </w:r>
      <w:r w:rsidR="007772EF">
        <w:t>the public</w:t>
      </w:r>
      <w:r w:rsidR="00F633DF">
        <w:t>,</w:t>
      </w:r>
      <w:r w:rsidR="007772EF">
        <w:t xml:space="preserve"> going into an election season</w:t>
      </w:r>
      <w:r w:rsidR="00F633DF">
        <w:t>,</w:t>
      </w:r>
      <w:r w:rsidR="007772EF">
        <w:t xml:space="preserve"> of the agency’s longstanding and previous decisions regarding the scope of LUC obligations</w:t>
      </w:r>
      <w:r w:rsidR="00205578">
        <w:t xml:space="preserve">.  </w:t>
      </w:r>
      <w:r w:rsidR="00A210BF">
        <w:t xml:space="preserve">It </w:t>
      </w:r>
      <w:r w:rsidR="00F10090">
        <w:t>simply</w:t>
      </w:r>
      <w:r w:rsidR="00A210BF">
        <w:t xml:space="preserve"> collect</w:t>
      </w:r>
      <w:r w:rsidR="00ED3F08">
        <w:t>s</w:t>
      </w:r>
      <w:r w:rsidR="00A210BF">
        <w:t xml:space="preserve"> in one place </w:t>
      </w:r>
      <w:r w:rsidR="00530E6F">
        <w:t xml:space="preserve">prior FCC </w:t>
      </w:r>
      <w:r w:rsidR="00290CE9">
        <w:t>orders and other relevant authority</w:t>
      </w:r>
      <w:r w:rsidR="00A1047D">
        <w:t xml:space="preserve"> so that a wide range of stakeholders can b</w:t>
      </w:r>
      <w:r w:rsidR="00ED18B1">
        <w:t>e aware of existing law.</w:t>
      </w:r>
      <w:r w:rsidR="00667A05">
        <w:t xml:space="preserve">  </w:t>
      </w:r>
      <w:r w:rsidR="00A274CE">
        <w:t>Such a reminder</w:t>
      </w:r>
      <w:r>
        <w:t xml:space="preserve"> is not a decision </w:t>
      </w:r>
      <w:r w:rsidR="00B823C4">
        <w:t xml:space="preserve">or action </w:t>
      </w:r>
      <w:r>
        <w:t xml:space="preserve">that can be challenged through a petition for reconsideration.  </w:t>
      </w:r>
    </w:p>
    <w:p w:rsidR="007772EF" w:rsidP="004F4F0B" w14:paraId="251DDC97" w14:textId="5A58F2FC">
      <w:pPr>
        <w:pStyle w:val="ParaNum"/>
      </w:pPr>
      <w:r>
        <w:t xml:space="preserve">Second, and given the above, </w:t>
      </w:r>
      <w:r w:rsidR="006A6128">
        <w:t xml:space="preserve">insofar as </w:t>
      </w:r>
      <w:r>
        <w:t xml:space="preserve">TVB’s Petition takes issue with </w:t>
      </w:r>
      <w:r w:rsidR="00FB3943">
        <w:t>prior</w:t>
      </w:r>
      <w:r>
        <w:t xml:space="preserve"> </w:t>
      </w:r>
      <w:r w:rsidR="00082036">
        <w:t xml:space="preserve">agency </w:t>
      </w:r>
      <w:r w:rsidR="00FB3943">
        <w:t>guidance</w:t>
      </w:r>
      <w:r w:rsidR="00270A61">
        <w:t>,</w:t>
      </w:r>
      <w:r>
        <w:t xml:space="preserve"> t</w:t>
      </w:r>
      <w:r>
        <w:t xml:space="preserve">he time for </w:t>
      </w:r>
      <w:r w:rsidR="00082036">
        <w:t xml:space="preserve">challenging </w:t>
      </w:r>
      <w:r w:rsidR="0002028A">
        <w:t>that</w:t>
      </w:r>
      <w:r>
        <w:t xml:space="preserve"> </w:t>
      </w:r>
      <w:r w:rsidR="00E14569">
        <w:t xml:space="preserve">prior </w:t>
      </w:r>
      <w:r w:rsidR="00A16FCF">
        <w:t>guidance</w:t>
      </w:r>
      <w:r w:rsidR="00E14569">
        <w:t xml:space="preserve"> </w:t>
      </w:r>
      <w:r>
        <w:t>has passed</w:t>
      </w:r>
      <w:r>
        <w:t>.</w:t>
      </w:r>
      <w:r>
        <w:rPr>
          <w:rStyle w:val="FootnoteReference"/>
        </w:rPr>
        <w:footnoteReference w:id="5"/>
      </w:r>
      <w:r>
        <w:t xml:space="preserve">  Moreover, t</w:t>
      </w:r>
      <w:r>
        <w:t>here is nothing in the Public Notice that reopened those issues</w:t>
      </w:r>
      <w:r w:rsidR="002C1478">
        <w:t xml:space="preserve"> or </w:t>
      </w:r>
      <w:r>
        <w:t xml:space="preserve">underlying </w:t>
      </w:r>
      <w:r w:rsidR="00DD3B50">
        <w:t>guidance</w:t>
      </w:r>
      <w:r w:rsidR="002C1478">
        <w:t xml:space="preserve"> </w:t>
      </w:r>
      <w:r>
        <w:t>sufficient to provide TVB with a right to challenge th</w:t>
      </w:r>
      <w:r w:rsidR="002C1478">
        <w:t>em</w:t>
      </w:r>
      <w:r>
        <w:t xml:space="preserve"> through a petition for reconsideration of the Public Notice.  </w:t>
      </w:r>
      <w:r w:rsidR="003D33ED">
        <w:t>Likewise,</w:t>
      </w:r>
      <w:r w:rsidR="002E5E4B">
        <w:t xml:space="preserve"> insofar as</w:t>
      </w:r>
      <w:r w:rsidR="003D33ED">
        <w:t xml:space="preserve"> </w:t>
      </w:r>
      <w:r w:rsidR="006F4025">
        <w:t>TVB appears to take issue with the longstanding definition of “authorized committee</w:t>
      </w:r>
      <w:r w:rsidR="00EA79A6">
        <w:t>,</w:t>
      </w:r>
      <w:r w:rsidR="006F4025">
        <w:t>”</w:t>
      </w:r>
      <w:r w:rsidR="00EA79A6">
        <w:t xml:space="preserve"> which comes from </w:t>
      </w:r>
      <w:r w:rsidR="00EE33C9">
        <w:t>52 U</w:t>
      </w:r>
      <w:r w:rsidR="002E5E4B">
        <w:t>.</w:t>
      </w:r>
      <w:r w:rsidR="00EE33C9">
        <w:t>S</w:t>
      </w:r>
      <w:r w:rsidR="002E5E4B">
        <w:t>.</w:t>
      </w:r>
      <w:r w:rsidR="00EE33C9">
        <w:t>C</w:t>
      </w:r>
      <w:r w:rsidR="002E5E4B">
        <w:t xml:space="preserve">. </w:t>
      </w:r>
      <w:r w:rsidR="00EE23C7">
        <w:t>§</w:t>
      </w:r>
      <w:r w:rsidR="002E5E4B">
        <w:t>§</w:t>
      </w:r>
      <w:r w:rsidR="00EE33C9">
        <w:t xml:space="preserve"> 30101</w:t>
      </w:r>
      <w:r w:rsidR="00EE23C7">
        <w:t>-30102</w:t>
      </w:r>
      <w:r w:rsidR="006F4025">
        <w:t xml:space="preserve">, they are seeking the wrong type of relief </w:t>
      </w:r>
      <w:r w:rsidR="00BA18F2">
        <w:t>in</w:t>
      </w:r>
      <w:r w:rsidR="006F4025">
        <w:t xml:space="preserve"> the wrong forum.  </w:t>
      </w:r>
      <w:r w:rsidR="001F4DF2">
        <w:t>Changing that definition is an issue for</w:t>
      </w:r>
      <w:r w:rsidR="004A171E">
        <w:t xml:space="preserve"> Congres</w:t>
      </w:r>
      <w:r w:rsidR="00E3118A">
        <w:t>s</w:t>
      </w:r>
      <w:r w:rsidR="00AC2CDE">
        <w:t>, or</w:t>
      </w:r>
      <w:r w:rsidR="001F4DF2">
        <w:t xml:space="preserve"> the Federal Election Commission </w:t>
      </w:r>
      <w:r w:rsidR="00073D2A">
        <w:t xml:space="preserve">(FEC) </w:t>
      </w:r>
      <w:r w:rsidR="00A55EEE">
        <w:t>through its implementing rules, to</w:t>
      </w:r>
      <w:r w:rsidR="001F4DF2">
        <w:t xml:space="preserve"> </w:t>
      </w:r>
      <w:r w:rsidR="00BA18F2">
        <w:t>decide</w:t>
      </w:r>
      <w:r w:rsidR="001F4DF2">
        <w:t xml:space="preserve">. </w:t>
      </w:r>
    </w:p>
    <w:p w:rsidR="00CA1553" w:rsidP="009B67A9" w14:paraId="5312E7B1" w14:textId="36A93AEC">
      <w:pPr>
        <w:pStyle w:val="ParaNum"/>
        <w:widowControl/>
      </w:pPr>
      <w:r>
        <w:t xml:space="preserve">Third, </w:t>
      </w:r>
      <w:r w:rsidR="00CD0979">
        <w:t xml:space="preserve">we note that </w:t>
      </w:r>
      <w:r>
        <w:t xml:space="preserve">existing </w:t>
      </w:r>
      <w:r w:rsidR="00A907D2">
        <w:t xml:space="preserve">industry </w:t>
      </w:r>
      <w:r>
        <w:t xml:space="preserve">practice comports with the FCC’s </w:t>
      </w:r>
      <w:r w:rsidR="009A73A1">
        <w:t>existing interpretations of the</w:t>
      </w:r>
      <w:r>
        <w:t xml:space="preserve"> LUC </w:t>
      </w:r>
      <w:r w:rsidR="009A73A1">
        <w:t>requirements</w:t>
      </w:r>
      <w:r>
        <w:t>.  This further confirms that the Public Notice broke no new ground</w:t>
      </w:r>
      <w:r w:rsidR="005522F7">
        <w:t>;</w:t>
      </w:r>
      <w:r w:rsidR="007B2526">
        <w:t xml:space="preserve"> </w:t>
      </w:r>
      <w:r w:rsidR="005522F7">
        <w:t>i</w:t>
      </w:r>
      <w:r w:rsidR="007B2526">
        <w:t>t did not change the status quo.</w:t>
      </w:r>
      <w:r w:rsidR="00A907D2">
        <w:t xml:space="preserve">  As always, if there are particular </w:t>
      </w:r>
      <w:r w:rsidR="002D2954">
        <w:t xml:space="preserve">instances </w:t>
      </w:r>
      <w:r w:rsidR="001C385F">
        <w:t>in which</w:t>
      </w:r>
      <w:r w:rsidR="00EB54C5">
        <w:t xml:space="preserve"> </w:t>
      </w:r>
      <w:r w:rsidR="00CF6835">
        <w:t>a party</w:t>
      </w:r>
      <w:r w:rsidR="002D2954">
        <w:t xml:space="preserve"> </w:t>
      </w:r>
      <w:r w:rsidR="00CF6835">
        <w:t>wishes</w:t>
      </w:r>
      <w:r w:rsidR="002D2954">
        <w:t xml:space="preserve"> to challenge</w:t>
      </w:r>
      <w:r w:rsidR="0069058E">
        <w:t xml:space="preserve"> </w:t>
      </w:r>
      <w:r w:rsidR="00556E7D">
        <w:t xml:space="preserve">a </w:t>
      </w:r>
      <w:r w:rsidR="000C41DE">
        <w:t>station’s</w:t>
      </w:r>
      <w:r w:rsidR="002D2954">
        <w:t xml:space="preserve"> application of the LUC</w:t>
      </w:r>
      <w:r w:rsidR="00DC221F">
        <w:t xml:space="preserve"> </w:t>
      </w:r>
      <w:r w:rsidR="005221C0">
        <w:t>in a specific case, the agency can adjudicate those disputes on a case-by-case basis consistent with FCC precedent.</w:t>
      </w:r>
      <w:r>
        <w:rPr>
          <w:rStyle w:val="FootnoteReference"/>
        </w:rPr>
        <w:footnoteReference w:id="6"/>
      </w:r>
    </w:p>
    <w:p w:rsidR="00D35DFC" w:rsidP="00CC3220" w14:paraId="19DA5F99" w14:textId="40F7B6B8">
      <w:pPr>
        <w:pStyle w:val="Heading1"/>
      </w:pPr>
      <w:r>
        <w:t>background</w:t>
      </w:r>
    </w:p>
    <w:p w:rsidR="00CC3220" w:rsidP="00CC3220" w14:paraId="2738A78F" w14:textId="214288B8">
      <w:pPr>
        <w:pStyle w:val="ParaNum"/>
      </w:pPr>
      <w:r>
        <w:t xml:space="preserve">Under </w:t>
      </w:r>
      <w:r w:rsidR="002609D0">
        <w:t>s</w:t>
      </w:r>
      <w:r>
        <w:t xml:space="preserve">ection 315(b) of the Communications Act, </w:t>
      </w:r>
      <w:r w:rsidR="0048696B">
        <w:t xml:space="preserve">during the period immediately preceding an election, </w:t>
      </w:r>
      <w:r w:rsidR="00C83474">
        <w:t xml:space="preserve">any </w:t>
      </w:r>
      <w:r w:rsidR="00C67EE9">
        <w:t>“</w:t>
      </w:r>
      <w:r w:rsidR="00C83474">
        <w:t>use</w:t>
      </w:r>
      <w:r w:rsidR="00C67EE9">
        <w:t>”</w:t>
      </w:r>
      <w:r w:rsidR="00C83474">
        <w:t xml:space="preserve"> of broadcast airtime for campaign advertisements </w:t>
      </w:r>
      <w:r w:rsidR="00F9693D">
        <w:t>“</w:t>
      </w:r>
      <w:r w:rsidR="00C83474">
        <w:t>by a</w:t>
      </w:r>
      <w:r w:rsidR="00F9693D">
        <w:t>ny person who is a</w:t>
      </w:r>
      <w:r w:rsidR="00C83474">
        <w:t xml:space="preserve"> legally qualified candidate</w:t>
      </w:r>
      <w:r w:rsidR="00F9693D">
        <w:t xml:space="preserve"> for any public office”</w:t>
      </w:r>
      <w:r w:rsidR="00C83474">
        <w:t xml:space="preserve"> must receive the “lowest unit charge” that the station offers for that airtime.</w:t>
      </w:r>
      <w:r>
        <w:rPr>
          <w:rStyle w:val="FootnoteReference"/>
        </w:rPr>
        <w:footnoteReference w:id="7"/>
      </w:r>
      <w:r w:rsidR="00467357">
        <w:t xml:space="preserve">  </w:t>
      </w:r>
      <w:r w:rsidR="00ED1AFC">
        <w:t>The statute directs the Commission to</w:t>
      </w:r>
      <w:r w:rsidR="00727E63">
        <w:t xml:space="preserve"> “prescribe appropriate rules and regulations to carry out” that requirement</w:t>
      </w:r>
      <w:r w:rsidR="00285770">
        <w:t>.</w:t>
      </w:r>
      <w:r>
        <w:rPr>
          <w:rStyle w:val="FootnoteReference"/>
        </w:rPr>
        <w:footnoteReference w:id="8"/>
      </w:r>
      <w:r w:rsidR="0070572D">
        <w:t xml:space="preserve"> </w:t>
      </w:r>
      <w:r w:rsidR="00285770">
        <w:t xml:space="preserve"> </w:t>
      </w:r>
      <w:r w:rsidR="00851A2E">
        <w:t xml:space="preserve">The Commission has accordingly implemented </w:t>
      </w:r>
      <w:r w:rsidR="002609D0">
        <w:t>s</w:t>
      </w:r>
      <w:r w:rsidR="00851A2E">
        <w:t>ection 315(b) of the Act</w:t>
      </w:r>
      <w:r w:rsidR="00452C8E">
        <w:t xml:space="preserve"> </w:t>
      </w:r>
      <w:r w:rsidR="00187143">
        <w:t>in</w:t>
      </w:r>
      <w:r w:rsidR="00285770">
        <w:t xml:space="preserve"> </w:t>
      </w:r>
      <w:r w:rsidR="00F37A19">
        <w:t>s</w:t>
      </w:r>
      <w:r w:rsidR="00285770">
        <w:t xml:space="preserve">ection 73.1942 </w:t>
      </w:r>
      <w:r w:rsidR="00452C8E">
        <w:t xml:space="preserve">of </w:t>
      </w:r>
      <w:r w:rsidR="00187143">
        <w:t>its</w:t>
      </w:r>
      <w:r w:rsidR="00452C8E">
        <w:t xml:space="preserve"> rules</w:t>
      </w:r>
      <w:r w:rsidR="00187143">
        <w:t>,</w:t>
      </w:r>
      <w:r>
        <w:rPr>
          <w:rStyle w:val="FootnoteReference"/>
        </w:rPr>
        <w:footnoteReference w:id="9"/>
      </w:r>
      <w:r w:rsidR="00187143">
        <w:t xml:space="preserve"> </w:t>
      </w:r>
      <w:r w:rsidR="00AD017B">
        <w:t>and</w:t>
      </w:r>
      <w:r w:rsidR="00187143">
        <w:t xml:space="preserve"> in various other rules and orders.</w:t>
      </w:r>
      <w:r>
        <w:rPr>
          <w:rStyle w:val="FootnoteReference"/>
        </w:rPr>
        <w:footnoteReference w:id="10"/>
      </w:r>
      <w:r w:rsidR="00452C8E">
        <w:t xml:space="preserve"> </w:t>
      </w:r>
    </w:p>
    <w:p w:rsidR="002609D0" w:rsidRPr="00A03465" w:rsidP="00CC3220" w14:paraId="54149CFA" w14:textId="4B2270AF">
      <w:pPr>
        <w:pStyle w:val="ParaNum"/>
      </w:pPr>
      <w:r w:rsidRPr="00A03465">
        <w:t>Neither section 315 of the Act nor section 73.1942</w:t>
      </w:r>
      <w:r w:rsidRPr="00A03465" w:rsidR="004A6F27">
        <w:t xml:space="preserve"> of the Commission’s rules </w:t>
      </w:r>
      <w:r w:rsidRPr="00A03465" w:rsidR="0050122C">
        <w:t>specifies</w:t>
      </w:r>
      <w:r w:rsidRPr="00A03465" w:rsidR="004A6F27">
        <w:t xml:space="preserve"> what “use</w:t>
      </w:r>
      <w:r w:rsidRPr="00A03465" w:rsidR="001509BD">
        <w:t>” of broadcast airtime</w:t>
      </w:r>
      <w:r w:rsidRPr="00A03465" w:rsidR="004A6F27">
        <w:t xml:space="preserve"> </w:t>
      </w:r>
      <w:r w:rsidRPr="00A03465" w:rsidR="001509BD">
        <w:t>“</w:t>
      </w:r>
      <w:r w:rsidRPr="00A03465" w:rsidR="004A6F27">
        <w:t>by</w:t>
      </w:r>
      <w:r w:rsidRPr="00A03465" w:rsidR="000B727D">
        <w:t>” a candidate entails.</w:t>
      </w:r>
      <w:r w:rsidRPr="00A03465" w:rsidR="00401F01">
        <w:t xml:space="preserve">  </w:t>
      </w:r>
      <w:r w:rsidRPr="00A03465" w:rsidR="00EA54DB">
        <w:t xml:space="preserve">But </w:t>
      </w:r>
      <w:r w:rsidRPr="00A03465" w:rsidR="00842533">
        <w:t xml:space="preserve">as TVB </w:t>
      </w:r>
      <w:r w:rsidRPr="00A03465" w:rsidR="00A03465">
        <w:t>repeatedly acknowledges</w:t>
      </w:r>
      <w:r w:rsidRPr="00A03465" w:rsidR="00134C5A">
        <w:t xml:space="preserve">, </w:t>
      </w:r>
      <w:r w:rsidRPr="00A03465" w:rsidR="004911CF">
        <w:t xml:space="preserve">the Commission and industry have </w:t>
      </w:r>
      <w:r w:rsidRPr="00A03465" w:rsidR="0031306D">
        <w:t xml:space="preserve">long recognized </w:t>
      </w:r>
      <w:r w:rsidRPr="00A03465" w:rsidR="00EA54DB">
        <w:t>t</w:t>
      </w:r>
      <w:r w:rsidRPr="00A03465" w:rsidR="00EF4B66">
        <w:t>he Commission that</w:t>
      </w:r>
      <w:r w:rsidRPr="00A03465" w:rsidR="001E226D">
        <w:t xml:space="preserve"> the LUC entitlement </w:t>
      </w:r>
      <w:r w:rsidRPr="00A03465" w:rsidR="006151B7">
        <w:t xml:space="preserve">extends to </w:t>
      </w:r>
      <w:r w:rsidRPr="00A03465" w:rsidR="00113B9F">
        <w:t xml:space="preserve">both candidates and their </w:t>
      </w:r>
      <w:r w:rsidRPr="00A03465" w:rsidR="009C2943">
        <w:t xml:space="preserve">principal </w:t>
      </w:r>
      <w:r w:rsidRPr="00A03465" w:rsidR="00113B9F">
        <w:t>campaign committees.</w:t>
      </w:r>
      <w:r>
        <w:rPr>
          <w:rStyle w:val="FootnoteReference"/>
        </w:rPr>
        <w:footnoteReference w:id="11"/>
      </w:r>
      <w:r w:rsidRPr="00A03465" w:rsidR="005E5167">
        <w:t xml:space="preserve">  </w:t>
      </w:r>
      <w:r w:rsidRPr="00A03465" w:rsidR="00E0278B">
        <w:t>And previous Media Bureau guidance, in response to informal inquiries from regulated parties, has established candidate-party coordinated advertisements as eligible for the LUC rate.</w:t>
      </w:r>
    </w:p>
    <w:p w:rsidR="00346C46" w:rsidP="00CC3220" w14:paraId="50B4A5D1" w14:textId="7E6C5078">
      <w:pPr>
        <w:pStyle w:val="ParaNum"/>
      </w:pPr>
      <w:r>
        <w:t xml:space="preserve">In the </w:t>
      </w:r>
      <w:r w:rsidRPr="00320351" w:rsidR="005E333C">
        <w:t>Public Notice</w:t>
      </w:r>
      <w:r w:rsidR="005E333C">
        <w:t>, the Burea</w:t>
      </w:r>
      <w:r w:rsidR="008037ED">
        <w:t xml:space="preserve">u </w:t>
      </w:r>
      <w:r w:rsidR="00EA54DB">
        <w:t>broke no new ground.  Rather,</w:t>
      </w:r>
      <w:r w:rsidR="003B2DC1">
        <w:t xml:space="preserve"> consistent with the longstanding, undisputed </w:t>
      </w:r>
      <w:r w:rsidR="00BF6802">
        <w:t xml:space="preserve">recognition that </w:t>
      </w:r>
      <w:r w:rsidR="006452C9">
        <w:t>principal campaign committees are eligible for the LUC</w:t>
      </w:r>
      <w:r w:rsidR="0044725C">
        <w:t xml:space="preserve">, and </w:t>
      </w:r>
      <w:r w:rsidR="00E2431D">
        <w:t xml:space="preserve">with </w:t>
      </w:r>
      <w:r w:rsidR="00FF7FF5">
        <w:t>section 315(b)(2)(F) of the Act, the Bureau</w:t>
      </w:r>
      <w:r w:rsidR="00EA54DB">
        <w:t xml:space="preserve"> </w:t>
      </w:r>
      <w:r w:rsidR="008037ED">
        <w:t xml:space="preserve">explained that </w:t>
      </w:r>
      <w:r w:rsidR="00F140FC">
        <w:t>“[t]o determine what qualifies as an authorized committee,</w:t>
      </w:r>
      <w:r w:rsidR="009E170A">
        <w:t xml:space="preserve">” the Commission is bound by the </w:t>
      </w:r>
      <w:r w:rsidR="00B47A13">
        <w:t>meaning given that term by the Federal Election Campaign Act (FECA</w:t>
      </w:r>
      <w:r w:rsidR="005672AC">
        <w:t>).</w:t>
      </w:r>
      <w:r>
        <w:rPr>
          <w:rStyle w:val="FootnoteReference"/>
        </w:rPr>
        <w:footnoteReference w:id="12"/>
      </w:r>
      <w:r w:rsidR="005672AC">
        <w:t xml:space="preserve">  </w:t>
      </w:r>
      <w:r w:rsidR="00BE05DE">
        <w:t>Accordingly, t</w:t>
      </w:r>
      <w:r w:rsidR="005672AC">
        <w:t xml:space="preserve">he Bureau </w:t>
      </w:r>
      <w:r w:rsidR="00E01A1B">
        <w:t>stated</w:t>
      </w:r>
      <w:r w:rsidR="00F47652">
        <w:t xml:space="preserve"> that “joint fundraising committee[s]”</w:t>
      </w:r>
      <w:r w:rsidR="00761E6B">
        <w:t xml:space="preserve">—committees authorized to raise funds jointly with other candidates, committees, or organizations—are entitled to the LUC rate when purchasing airtime for </w:t>
      </w:r>
      <w:r w:rsidR="00627422">
        <w:t>use by a participating candidate.</w:t>
      </w:r>
      <w:r>
        <w:rPr>
          <w:rStyle w:val="FootnoteReference"/>
        </w:rPr>
        <w:footnoteReference w:id="13"/>
      </w:r>
    </w:p>
    <w:p w:rsidR="00627422" w:rsidP="00CC3220" w14:paraId="00754504" w14:textId="79D57548">
      <w:pPr>
        <w:pStyle w:val="ParaNum"/>
      </w:pPr>
      <w:r>
        <w:t>In addition</w:t>
      </w:r>
      <w:r w:rsidR="00B42E67">
        <w:t xml:space="preserve">, </w:t>
      </w:r>
      <w:r w:rsidR="00CD2E9B">
        <w:t xml:space="preserve">the </w:t>
      </w:r>
      <w:r w:rsidRPr="00320351" w:rsidR="003B38C2">
        <w:t>Public Notice</w:t>
      </w:r>
      <w:r w:rsidR="0029296B">
        <w:rPr>
          <w:i/>
          <w:iCs/>
        </w:rPr>
        <w:t xml:space="preserve"> </w:t>
      </w:r>
      <w:r w:rsidR="0029296B">
        <w:t xml:space="preserve">includes a reminder </w:t>
      </w:r>
      <w:r w:rsidR="00CD2E9B">
        <w:t>that “candidate</w:t>
      </w:r>
      <w:r w:rsidR="00084971">
        <w:t>-</w:t>
      </w:r>
      <w:r w:rsidR="00CD2E9B">
        <w:t xml:space="preserve">party coordinated ads,” in which a candidate </w:t>
      </w:r>
      <w:r w:rsidR="00356BD9">
        <w:t xml:space="preserve">uses </w:t>
      </w:r>
      <w:r w:rsidR="00977F56">
        <w:t xml:space="preserve">airtime </w:t>
      </w:r>
      <w:r w:rsidR="00356BD9">
        <w:t>jointly with hi</w:t>
      </w:r>
      <w:r w:rsidR="00CD2E9B">
        <w:t>s or her political party’s national or state committee</w:t>
      </w:r>
      <w:r w:rsidR="00977F56">
        <w:t xml:space="preserve"> to broadcast “advertisements that qualify as coordinated expenditures</w:t>
      </w:r>
      <w:r w:rsidR="00137738">
        <w:t xml:space="preserve"> of political parties and legally qualified candidates for </w:t>
      </w:r>
      <w:r w:rsidR="001936C3">
        <w:t>federal office</w:t>
      </w:r>
      <w:r w:rsidR="0055137A">
        <w:t>,</w:t>
      </w:r>
      <w:r w:rsidR="00977F56">
        <w:t>”</w:t>
      </w:r>
      <w:r w:rsidR="00EB0386">
        <w:t xml:space="preserve"> are </w:t>
      </w:r>
      <w:r w:rsidR="0055137A">
        <w:t>entitled to the LUC.</w:t>
      </w:r>
      <w:r>
        <w:rPr>
          <w:rStyle w:val="FootnoteReference"/>
        </w:rPr>
        <w:footnoteReference w:id="14"/>
      </w:r>
    </w:p>
    <w:p w:rsidR="00E71274" w:rsidP="00CC3220" w14:paraId="2D67D2DA" w14:textId="39D961F9">
      <w:pPr>
        <w:pStyle w:val="ParaNum"/>
      </w:pPr>
      <w:r>
        <w:t xml:space="preserve">In the Petition, </w:t>
      </w:r>
      <w:r w:rsidR="00A94E5F">
        <w:t xml:space="preserve">TVB </w:t>
      </w:r>
      <w:r w:rsidR="0010599D">
        <w:t xml:space="preserve">asserts that </w:t>
      </w:r>
      <w:r w:rsidR="008A3296">
        <w:t>“[f]or more than five decades, broadcasters, candidates, parties</w:t>
      </w:r>
      <w:r w:rsidR="00523593">
        <w:t>, [Political Action Committees], and other participants in the political advertising marketplace all understood, under the Act and FCC rules, that only a candidate and their singular designated principal campaign committee were entitled to the LUC.”</w:t>
      </w:r>
      <w:r>
        <w:rPr>
          <w:rStyle w:val="FootnoteReference"/>
        </w:rPr>
        <w:footnoteReference w:id="15"/>
      </w:r>
      <w:r w:rsidR="00523593">
        <w:t xml:space="preserve">  </w:t>
      </w:r>
      <w:r w:rsidR="006B520D">
        <w:t xml:space="preserve">On this </w:t>
      </w:r>
      <w:r w:rsidR="00672FE9">
        <w:t xml:space="preserve">premise, </w:t>
      </w:r>
      <w:r w:rsidR="005C1A30">
        <w:t xml:space="preserve">TVB </w:t>
      </w:r>
      <w:r w:rsidR="00816DB1">
        <w:t xml:space="preserve">contends that the </w:t>
      </w:r>
      <w:r w:rsidRPr="00320351" w:rsidR="009E339E">
        <w:t>Public Notice</w:t>
      </w:r>
      <w:r w:rsidR="009E339E">
        <w:rPr>
          <w:i/>
          <w:iCs/>
        </w:rPr>
        <w:t xml:space="preserve"> </w:t>
      </w:r>
      <w:r w:rsidR="00BC6799">
        <w:t>“set</w:t>
      </w:r>
      <w:r w:rsidR="008973DA">
        <w:t>[s]</w:t>
      </w:r>
      <w:r w:rsidR="00BC6799">
        <w:t xml:space="preserve"> forth new substantive LUC requirements</w:t>
      </w:r>
      <w:r w:rsidR="00287975">
        <w:t xml:space="preserve">” </w:t>
      </w:r>
      <w:r w:rsidR="00F527C9">
        <w:t>without notice and comment</w:t>
      </w:r>
      <w:r w:rsidR="008973DA">
        <w:t xml:space="preserve"> required under the Administrative Procedure Act, and otherwise </w:t>
      </w:r>
      <w:r w:rsidR="0035378E">
        <w:t>violates the Constitution and federal law</w:t>
      </w:r>
      <w:r w:rsidR="00F527C9">
        <w:t>.</w:t>
      </w:r>
      <w:r>
        <w:rPr>
          <w:rStyle w:val="FootnoteReference"/>
        </w:rPr>
        <w:footnoteReference w:id="16"/>
      </w:r>
      <w:r w:rsidR="00F527C9">
        <w:t xml:space="preserve">  </w:t>
      </w:r>
    </w:p>
    <w:p w:rsidR="004C0C0C" w:rsidP="004C0C0C" w14:paraId="3D2BBA6A" w14:textId="4BB61B54">
      <w:pPr>
        <w:pStyle w:val="Heading1"/>
      </w:pPr>
      <w:r>
        <w:t>DISCUSSION</w:t>
      </w:r>
    </w:p>
    <w:p w:rsidR="005221C0" w:rsidP="00B61B3B" w14:paraId="1A53DB4A" w14:textId="64ACD279">
      <w:pPr>
        <w:pStyle w:val="ParaNum"/>
      </w:pPr>
      <w:r>
        <w:t xml:space="preserve">The central premise of </w:t>
      </w:r>
      <w:r w:rsidR="00931D03">
        <w:t>TVB</w:t>
      </w:r>
      <w:r w:rsidR="00832DA8">
        <w:t>’s</w:t>
      </w:r>
      <w:r w:rsidR="000543D9">
        <w:t xml:space="preserve"> </w:t>
      </w:r>
      <w:r w:rsidR="00E7152A">
        <w:t>Petition</w:t>
      </w:r>
      <w:r w:rsidR="001372BA">
        <w:t>—</w:t>
      </w:r>
      <w:r w:rsidR="00306724">
        <w:t xml:space="preserve">that </w:t>
      </w:r>
      <w:r w:rsidR="000543D9">
        <w:t xml:space="preserve">the </w:t>
      </w:r>
      <w:r w:rsidRPr="00320351" w:rsidR="000543D9">
        <w:t>Public Notice</w:t>
      </w:r>
      <w:r w:rsidR="00BD1695">
        <w:t xml:space="preserve"> </w:t>
      </w:r>
      <w:r w:rsidR="00AE5EEB">
        <w:t>announces</w:t>
      </w:r>
      <w:r w:rsidR="002E2199">
        <w:t xml:space="preserve"> </w:t>
      </w:r>
      <w:r w:rsidR="00AE5EEB">
        <w:t>“</w:t>
      </w:r>
      <w:r w:rsidR="002E2199">
        <w:t xml:space="preserve">new political broadcasting requirements” </w:t>
      </w:r>
      <w:r w:rsidR="006A6A3E">
        <w:t>that would “upend” existing practice</w:t>
      </w:r>
      <w:r>
        <w:rPr>
          <w:rStyle w:val="FootnoteReference"/>
        </w:rPr>
        <w:footnoteReference w:id="17"/>
      </w:r>
      <w:r w:rsidR="001372BA">
        <w:t>—</w:t>
      </w:r>
      <w:r w:rsidR="00EE4B57">
        <w:t>is</w:t>
      </w:r>
      <w:r w:rsidR="008B265A">
        <w:t xml:space="preserve"> wrong </w:t>
      </w:r>
      <w:r>
        <w:t>many times over</w:t>
      </w:r>
      <w:r w:rsidR="008B265A">
        <w:t>.</w:t>
      </w:r>
      <w:r w:rsidR="00EC2B19">
        <w:t xml:space="preserve">  </w:t>
      </w:r>
    </w:p>
    <w:p w:rsidR="00842C76" w:rsidP="00B61B3B" w14:paraId="65EDD824" w14:textId="4491E534">
      <w:pPr>
        <w:pStyle w:val="ParaNum"/>
      </w:pPr>
      <w:r>
        <w:t>As an initial matter,</w:t>
      </w:r>
      <w:r w:rsidR="006E3E8F">
        <w:t xml:space="preserve"> t</w:t>
      </w:r>
      <w:r w:rsidR="00EC2B19">
        <w:t xml:space="preserve">he </w:t>
      </w:r>
      <w:r w:rsidRPr="00320351" w:rsidR="00EC2B19">
        <w:t>Public Notice</w:t>
      </w:r>
      <w:r w:rsidR="00EC2B19">
        <w:t xml:space="preserve"> does not adopt any </w:t>
      </w:r>
      <w:r w:rsidR="00AC47B3">
        <w:t>new rules</w:t>
      </w:r>
      <w:r w:rsidR="00EE0664">
        <w:t xml:space="preserve"> or requirements</w:t>
      </w:r>
      <w:r w:rsidR="00EA54DB">
        <w:t>.  I</w:t>
      </w:r>
      <w:r w:rsidR="00AC47B3">
        <w:t>nstead</w:t>
      </w:r>
      <w:r w:rsidR="00EA54DB">
        <w:t>,</w:t>
      </w:r>
      <w:r w:rsidR="00AC47B3">
        <w:t xml:space="preserve"> </w:t>
      </w:r>
      <w:r w:rsidR="00EA54DB">
        <w:t xml:space="preserve">it </w:t>
      </w:r>
      <w:r w:rsidR="00FC61C2">
        <w:t xml:space="preserve">simply </w:t>
      </w:r>
      <w:r w:rsidR="00C34937">
        <w:t>“</w:t>
      </w:r>
      <w:r w:rsidR="00172192">
        <w:t>remind</w:t>
      </w:r>
      <w:r w:rsidR="00440CD5">
        <w:t>[</w:t>
      </w:r>
      <w:r w:rsidR="00172192">
        <w:t>s</w:t>
      </w:r>
      <w:r w:rsidR="00440CD5">
        <w:t>]</w:t>
      </w:r>
      <w:r w:rsidR="00172192">
        <w:t xml:space="preserve"> broadcasters and the public”</w:t>
      </w:r>
      <w:r w:rsidR="00175227">
        <w:t xml:space="preserve"> </w:t>
      </w:r>
      <w:r w:rsidR="00485DD9">
        <w:t xml:space="preserve">about </w:t>
      </w:r>
      <w:r w:rsidR="00D54E74">
        <w:t>th</w:t>
      </w:r>
      <w:r w:rsidR="00EE35B4">
        <w:t>e</w:t>
      </w:r>
      <w:r w:rsidR="00D54E74">
        <w:t xml:space="preserve"> FCC’s</w:t>
      </w:r>
      <w:r w:rsidR="00EA54DB">
        <w:t xml:space="preserve"> </w:t>
      </w:r>
      <w:r w:rsidR="00485DD9">
        <w:t>existing</w:t>
      </w:r>
      <w:r w:rsidR="00D54E74">
        <w:t xml:space="preserve"> LUC</w:t>
      </w:r>
      <w:r w:rsidR="00485DD9">
        <w:t xml:space="preserve"> requirements</w:t>
      </w:r>
      <w:r w:rsidR="00D54E74">
        <w:t xml:space="preserve"> and “restate[s] previous Media Bureau guidance</w:t>
      </w:r>
      <w:r w:rsidR="00165DA1">
        <w:t>,</w:t>
      </w:r>
      <w:r w:rsidR="00D54E74">
        <w:t>”</w:t>
      </w:r>
      <w:r w:rsidR="006E3E8F">
        <w:t xml:space="preserve"> </w:t>
      </w:r>
      <w:r w:rsidR="00381B8C">
        <w:t xml:space="preserve">to ensure </w:t>
      </w:r>
      <w:r w:rsidR="00EF4D17">
        <w:t>that</w:t>
      </w:r>
      <w:r w:rsidR="00BB05E8">
        <w:t xml:space="preserve"> broadcasters and</w:t>
      </w:r>
      <w:r w:rsidR="00A36ABB">
        <w:t xml:space="preserve"> the public</w:t>
      </w:r>
      <w:r w:rsidR="002D27CC">
        <w:t xml:space="preserve"> </w:t>
      </w:r>
      <w:r w:rsidR="00EF4D17">
        <w:t>are aware</w:t>
      </w:r>
      <w:r w:rsidR="00FC224B">
        <w:t>,</w:t>
      </w:r>
      <w:r w:rsidR="006E3E8F">
        <w:t xml:space="preserve"> going into an election season</w:t>
      </w:r>
      <w:r w:rsidR="00FC224B">
        <w:t xml:space="preserve">, of how the FCC has </w:t>
      </w:r>
      <w:r w:rsidR="0004329E">
        <w:t>previously interpreted th</w:t>
      </w:r>
      <w:r w:rsidR="00165DA1">
        <w:t>e LUC</w:t>
      </w:r>
      <w:r w:rsidR="0004329E">
        <w:t xml:space="preserve"> requirements</w:t>
      </w:r>
      <w:r w:rsidR="00485DD9">
        <w:t>.</w:t>
      </w:r>
      <w:r>
        <w:rPr>
          <w:rStyle w:val="FootnoteReference"/>
        </w:rPr>
        <w:footnoteReference w:id="18"/>
      </w:r>
      <w:r w:rsidR="00485DD9">
        <w:t xml:space="preserve">  </w:t>
      </w:r>
      <w:r w:rsidR="00AA4E66">
        <w:t xml:space="preserve">The FCC routinely provides these types of reminders.  </w:t>
      </w:r>
      <w:r w:rsidR="00F473F6">
        <w:t xml:space="preserve">Therefore, we dismiss the Petition because </w:t>
      </w:r>
      <w:r w:rsidR="002B0753">
        <w:t>the Public Notice is not</w:t>
      </w:r>
      <w:r w:rsidR="00BE05DE">
        <w:t xml:space="preserve"> the type of </w:t>
      </w:r>
      <w:r w:rsidR="002B0753">
        <w:t>action that can be challenged through a petition for reconsideration.</w:t>
      </w:r>
      <w:r>
        <w:t xml:space="preserve"> </w:t>
      </w:r>
    </w:p>
    <w:p w:rsidR="00AF5F16" w:rsidP="00B61B3B" w14:paraId="1E81516D" w14:textId="349FAD02">
      <w:pPr>
        <w:pStyle w:val="ParaNum"/>
      </w:pPr>
      <w:r>
        <w:t xml:space="preserve">TVB’s real issue appears to be with </w:t>
      </w:r>
      <w:r w:rsidR="009C0171">
        <w:t>past</w:t>
      </w:r>
      <w:r>
        <w:t xml:space="preserve"> agency </w:t>
      </w:r>
      <w:r w:rsidR="00A47A38">
        <w:t>guidance</w:t>
      </w:r>
      <w:r>
        <w:t xml:space="preserve">.  But the time for filing petitions for reconsideration or otherwise challenging </w:t>
      </w:r>
      <w:r w:rsidR="00A47A38">
        <w:t>earlier guidance</w:t>
      </w:r>
      <w:r>
        <w:t xml:space="preserve"> has long since passed.  Moreover, there is nothing in the </w:t>
      </w:r>
      <w:r w:rsidR="00842C76">
        <w:t xml:space="preserve">Public Notice </w:t>
      </w:r>
      <w:r>
        <w:t xml:space="preserve">that </w:t>
      </w:r>
      <w:r w:rsidR="00842C76">
        <w:t>reopen</w:t>
      </w:r>
      <w:r>
        <w:t>s</w:t>
      </w:r>
      <w:r w:rsidR="00842C76">
        <w:t xml:space="preserve"> or otherwise create</w:t>
      </w:r>
      <w:r>
        <w:t>s</w:t>
      </w:r>
      <w:r w:rsidR="00842C76">
        <w:t xml:space="preserve"> a new opportunity to challenge </w:t>
      </w:r>
      <w:r w:rsidR="00F1110B">
        <w:t>the agency’s prior</w:t>
      </w:r>
      <w:r w:rsidR="00945147">
        <w:t xml:space="preserve"> determinations</w:t>
      </w:r>
      <w:r w:rsidR="00842C76">
        <w:t xml:space="preserve">.  </w:t>
      </w:r>
      <w:r w:rsidR="00870BCE">
        <w:t xml:space="preserve">TVB’s Petition </w:t>
      </w:r>
      <w:r w:rsidR="00AC7200">
        <w:t>is thus an</w:t>
      </w:r>
      <w:r w:rsidR="00870BCE">
        <w:t xml:space="preserve"> untimely attempt to challenge prior agency </w:t>
      </w:r>
      <w:r w:rsidR="00AC0543">
        <w:t>actions</w:t>
      </w:r>
      <w:r w:rsidR="00870BCE">
        <w:t>.</w:t>
      </w:r>
      <w:r>
        <w:rPr>
          <w:rStyle w:val="FootnoteReference"/>
        </w:rPr>
        <w:footnoteReference w:id="19"/>
      </w:r>
      <w:r>
        <w:t xml:space="preserve">  </w:t>
      </w:r>
    </w:p>
    <w:p w:rsidR="00D26383" w:rsidP="00B61B3B" w14:paraId="02D7952E" w14:textId="5F11231F">
      <w:pPr>
        <w:pStyle w:val="ParaNum"/>
      </w:pPr>
      <w:r>
        <w:t xml:space="preserve">In addition, </w:t>
      </w:r>
      <w:r w:rsidR="00264C5A">
        <w:t xml:space="preserve">the underlying LUC </w:t>
      </w:r>
      <w:r w:rsidR="007C26AB">
        <w:t xml:space="preserve">requirements </w:t>
      </w:r>
      <w:r w:rsidR="00264C5A">
        <w:t xml:space="preserve">established in law and </w:t>
      </w:r>
      <w:r w:rsidR="00870BCE">
        <w:t xml:space="preserve">in </w:t>
      </w:r>
      <w:r w:rsidR="005E4C43">
        <w:t>prior</w:t>
      </w:r>
      <w:r w:rsidR="00985F37">
        <w:t xml:space="preserve"> FCC</w:t>
      </w:r>
      <w:r w:rsidR="005E4C43">
        <w:t xml:space="preserve"> </w:t>
      </w:r>
      <w:r w:rsidR="00F42830">
        <w:t>guidance</w:t>
      </w:r>
      <w:r w:rsidR="00264C5A">
        <w:t xml:space="preserve"> </w:t>
      </w:r>
      <w:r w:rsidR="007C26AB">
        <w:t>comport</w:t>
      </w:r>
      <w:r w:rsidR="00264C5A">
        <w:t xml:space="preserve"> </w:t>
      </w:r>
      <w:r w:rsidR="007A2223">
        <w:t xml:space="preserve">with </w:t>
      </w:r>
      <w:r w:rsidR="007B7EB8">
        <w:t>existing industry practice.</w:t>
      </w:r>
      <w:r w:rsidR="00B61B3B">
        <w:t xml:space="preserve">  </w:t>
      </w:r>
      <w:r w:rsidR="00801766">
        <w:t>This confirm</w:t>
      </w:r>
      <w:r w:rsidR="00683C16">
        <w:t>s</w:t>
      </w:r>
      <w:r w:rsidR="00801766">
        <w:t xml:space="preserve"> that </w:t>
      </w:r>
      <w:r w:rsidR="00683C16">
        <w:t xml:space="preserve">the Public Notice broke </w:t>
      </w:r>
      <w:r w:rsidR="00801766">
        <w:t>no new ground</w:t>
      </w:r>
      <w:r w:rsidR="00683C16">
        <w:t xml:space="preserve">, but merely </w:t>
      </w:r>
      <w:r w:rsidR="00003F1A">
        <w:t>summarized</w:t>
      </w:r>
      <w:r w:rsidR="006423B8">
        <w:t xml:space="preserve"> the status quo</w:t>
      </w:r>
      <w:r w:rsidR="00801766">
        <w:t xml:space="preserve">.  </w:t>
      </w:r>
    </w:p>
    <w:p w:rsidR="004875B1" w:rsidRPr="002A18FB" w:rsidP="00AE7755" w14:paraId="291D80ED" w14:textId="05F1B97A">
      <w:pPr>
        <w:pStyle w:val="ParaNum"/>
      </w:pPr>
      <w:r w:rsidRPr="00D33E86">
        <w:rPr>
          <w:u w:val="single"/>
        </w:rPr>
        <w:t>Candidate</w:t>
      </w:r>
      <w:r w:rsidR="007104E2">
        <w:rPr>
          <w:u w:val="single"/>
        </w:rPr>
        <w:t>-</w:t>
      </w:r>
      <w:r w:rsidRPr="00D33E86">
        <w:rPr>
          <w:u w:val="single"/>
        </w:rPr>
        <w:t>party coordinated ads</w:t>
      </w:r>
      <w:r w:rsidRPr="00425AE3">
        <w:rPr>
          <w:i/>
          <w:iCs/>
        </w:rPr>
        <w:t>.</w:t>
      </w:r>
      <w:r>
        <w:t xml:space="preserve">  The </w:t>
      </w:r>
      <w:r w:rsidRPr="00AD5154">
        <w:t>Public Notice</w:t>
      </w:r>
      <w:r w:rsidRPr="00BB4266">
        <w:t>’s</w:t>
      </w:r>
      <w:r>
        <w:t xml:space="preserve"> discussion of candidate</w:t>
      </w:r>
      <w:r w:rsidR="003D3694">
        <w:t>-</w:t>
      </w:r>
      <w:r>
        <w:t>party coordinated ads takes no new action and breaks no new ground, but merely “restate[s] previous Media Bureau guidance regarding LUC eligibility.”</w:t>
      </w:r>
      <w:r>
        <w:rPr>
          <w:rStyle w:val="FootnoteReference"/>
        </w:rPr>
        <w:footnoteReference w:id="20"/>
      </w:r>
      <w:r>
        <w:t xml:space="preserve">  </w:t>
      </w:r>
      <w:r w:rsidR="008E7B3C">
        <w:t>Indeed,</w:t>
      </w:r>
      <w:r>
        <w:t xml:space="preserve"> contrary to TVB’s unsupported assertion, the prevailing practice among broadcasters </w:t>
      </w:r>
      <w:r w:rsidR="008E7B3C">
        <w:t xml:space="preserve">has been to make the LUC available for party-coordinated ads </w:t>
      </w:r>
      <w:r>
        <w:t>for well over a decade.  That</w:t>
      </w:r>
      <w:r w:rsidR="00DF25BA">
        <w:t xml:space="preserve"> practice</w:t>
      </w:r>
      <w:r>
        <w:t xml:space="preserve"> is reflected in the National Association of Broadcasters’ </w:t>
      </w:r>
      <w:r w:rsidRPr="00AD5154">
        <w:rPr>
          <w:i/>
        </w:rPr>
        <w:t>Political Broadcasting Handbook</w:t>
      </w:r>
      <w:r>
        <w:t xml:space="preserve"> (formerly known as the </w:t>
      </w:r>
      <w:r w:rsidRPr="00023D8F">
        <w:rPr>
          <w:i/>
        </w:rPr>
        <w:t>Political Broadcasting Catechism</w:t>
      </w:r>
      <w:r>
        <w:t>), which recognizes that “[t]he national political parties and their campaign committee[s] have limited ‘hard money’ funds; ads paid for from those funds can be coordinated with a federal candidate and would, if they are, be entitled to the LUC.”</w:t>
      </w:r>
      <w:r>
        <w:rPr>
          <w:rStyle w:val="FootnoteReference"/>
        </w:rPr>
        <w:footnoteReference w:id="21"/>
      </w:r>
      <w:r>
        <w:t xml:space="preserve"> </w:t>
      </w:r>
    </w:p>
    <w:p w:rsidR="00A82DA9" w:rsidP="00A92296" w14:paraId="5D6A7AB1" w14:textId="3952686E">
      <w:pPr>
        <w:pStyle w:val="ParaNum"/>
        <w:widowControl/>
      </w:pPr>
      <w:r w:rsidRPr="007940EA">
        <w:rPr>
          <w:u w:val="single"/>
        </w:rPr>
        <w:t>Joint Fundraising Committees</w:t>
      </w:r>
      <w:r w:rsidRPr="007940EA">
        <w:rPr>
          <w:i/>
          <w:iCs/>
        </w:rPr>
        <w:t>.</w:t>
      </w:r>
      <w:r w:rsidRPr="007940EA">
        <w:t xml:space="preserve">  </w:t>
      </w:r>
      <w:r w:rsidRPr="007940EA" w:rsidR="006950B7">
        <w:t>T</w:t>
      </w:r>
      <w:r w:rsidRPr="007940EA" w:rsidR="00B755EB">
        <w:t xml:space="preserve">he </w:t>
      </w:r>
      <w:r w:rsidRPr="00AD5154" w:rsidR="00B755EB">
        <w:t>Public Notice</w:t>
      </w:r>
      <w:r w:rsidR="00B755EB">
        <w:rPr>
          <w:i/>
          <w:iCs/>
        </w:rPr>
        <w:t xml:space="preserve"> </w:t>
      </w:r>
      <w:r w:rsidR="00B26962">
        <w:t xml:space="preserve">also </w:t>
      </w:r>
      <w:r w:rsidR="00B755EB">
        <w:t>correctly recognizes</w:t>
      </w:r>
      <w:r w:rsidR="00985E44">
        <w:t xml:space="preserve"> that the Commission has long </w:t>
      </w:r>
      <w:r w:rsidR="00CF57A2">
        <w:t>treated</w:t>
      </w:r>
      <w:r w:rsidR="007D4C40">
        <w:t xml:space="preserve"> “both candidates and their authorized campaign committees” </w:t>
      </w:r>
      <w:r w:rsidR="00CF57A2">
        <w:t xml:space="preserve">as </w:t>
      </w:r>
      <w:r w:rsidR="006E6265">
        <w:t>eligible for the</w:t>
      </w:r>
      <w:r w:rsidR="008B727C">
        <w:t xml:space="preserve"> LUC</w:t>
      </w:r>
      <w:r w:rsidR="0098305D">
        <w:t>.</w:t>
      </w:r>
      <w:r>
        <w:rPr>
          <w:rStyle w:val="FootnoteReference"/>
        </w:rPr>
        <w:footnoteReference w:id="22"/>
      </w:r>
      <w:r w:rsidR="00427BAB">
        <w:t xml:space="preserve">  </w:t>
      </w:r>
      <w:r>
        <w:t>TVB does not dispute this</w:t>
      </w:r>
      <w:r w:rsidR="00FE5B89">
        <w:t xml:space="preserve">, but contends that </w:t>
      </w:r>
      <w:r w:rsidR="00FC5693">
        <w:t xml:space="preserve">only the “designated principal campaign committee” </w:t>
      </w:r>
      <w:r w:rsidR="004825A4">
        <w:t>can be a</w:t>
      </w:r>
      <w:r w:rsidR="007938E4">
        <w:t>n</w:t>
      </w:r>
      <w:r w:rsidR="00B63818">
        <w:t xml:space="preserve"> LUC-eligible</w:t>
      </w:r>
      <w:r w:rsidR="007938E4">
        <w:t xml:space="preserve"> “authorized committee</w:t>
      </w:r>
      <w:r>
        <w:t>.</w:t>
      </w:r>
      <w:r w:rsidR="007938E4">
        <w:t>”</w:t>
      </w:r>
      <w:r>
        <w:rPr>
          <w:rStyle w:val="FootnoteReference"/>
        </w:rPr>
        <w:footnoteReference w:id="23"/>
      </w:r>
      <w:r>
        <w:t xml:space="preserve">  </w:t>
      </w:r>
    </w:p>
    <w:p w:rsidR="001C18E4" w:rsidP="004B556C" w14:paraId="632B8063" w14:textId="43A0A030">
      <w:pPr>
        <w:pStyle w:val="ParaNum"/>
      </w:pPr>
      <w:r>
        <w:t>T</w:t>
      </w:r>
      <w:r w:rsidR="006C67D1">
        <w:t xml:space="preserve">he </w:t>
      </w:r>
      <w:r w:rsidRPr="00AD5154" w:rsidR="006C67D1">
        <w:t>Public Notice</w:t>
      </w:r>
      <w:r w:rsidR="006C67D1">
        <w:rPr>
          <w:i/>
          <w:iCs/>
        </w:rPr>
        <w:t xml:space="preserve"> </w:t>
      </w:r>
      <w:r w:rsidR="000E2059">
        <w:t xml:space="preserve">makes plain </w:t>
      </w:r>
      <w:r>
        <w:t>why that is wrong.</w:t>
      </w:r>
      <w:r w:rsidR="006C67D1">
        <w:t xml:space="preserve"> </w:t>
      </w:r>
      <w:r>
        <w:t xml:space="preserve"> </w:t>
      </w:r>
      <w:r w:rsidR="00F46FF9">
        <w:t>S</w:t>
      </w:r>
      <w:r w:rsidR="006E6265">
        <w:t>ubsection 315(b)(2)(F) of the Act</w:t>
      </w:r>
      <w:r w:rsidR="00F46FF9">
        <w:t xml:space="preserve"> </w:t>
      </w:r>
      <w:r w:rsidR="008B2DE7">
        <w:t>“explicitly defines the term ‘authorized committee’ as having the same meaning” assigned by</w:t>
      </w:r>
      <w:r w:rsidR="001E17E4">
        <w:t xml:space="preserve"> FECA</w:t>
      </w:r>
      <w:r w:rsidR="00F46FF9">
        <w:t>.</w:t>
      </w:r>
      <w:r>
        <w:rPr>
          <w:rStyle w:val="FootnoteReference"/>
        </w:rPr>
        <w:footnoteReference w:id="24"/>
      </w:r>
      <w:r w:rsidR="00F46FF9">
        <w:t xml:space="preserve">  </w:t>
      </w:r>
      <w:r w:rsidR="000B58D4">
        <w:t>T</w:t>
      </w:r>
      <w:r w:rsidR="001E17E4">
        <w:t xml:space="preserve">he </w:t>
      </w:r>
      <w:r w:rsidR="002B45F0">
        <w:t>Commission is</w:t>
      </w:r>
      <w:r w:rsidR="000B58D4">
        <w:t xml:space="preserve"> thus</w:t>
      </w:r>
      <w:r w:rsidR="002B45F0">
        <w:t xml:space="preserve"> bound to apply FECA’s definition of “authorized committee” when interpreting the</w:t>
      </w:r>
      <w:r w:rsidR="003B4952">
        <w:t xml:space="preserve"> LUC r</w:t>
      </w:r>
      <w:r w:rsidR="00946C5B">
        <w:t>equirement.</w:t>
      </w:r>
      <w:r>
        <w:rPr>
          <w:rStyle w:val="FootnoteReference"/>
        </w:rPr>
        <w:footnoteReference w:id="25"/>
      </w:r>
      <w:r w:rsidR="002B45F0">
        <w:t xml:space="preserve"> </w:t>
      </w:r>
      <w:r w:rsidR="006F1DBD">
        <w:t xml:space="preserve"> </w:t>
      </w:r>
      <w:r w:rsidR="007450F1">
        <w:t>And</w:t>
      </w:r>
      <w:r w:rsidR="00946C5B">
        <w:t xml:space="preserve"> </w:t>
      </w:r>
      <w:r w:rsidR="00134958">
        <w:t>J</w:t>
      </w:r>
      <w:r w:rsidR="00946C5B">
        <w:t xml:space="preserve">oint </w:t>
      </w:r>
      <w:r w:rsidR="00134958">
        <w:t>F</w:t>
      </w:r>
      <w:r w:rsidR="00946C5B">
        <w:t xml:space="preserve">undraising </w:t>
      </w:r>
      <w:r w:rsidR="00134958">
        <w:t>C</w:t>
      </w:r>
      <w:r w:rsidR="00946C5B">
        <w:t>ommittee</w:t>
      </w:r>
      <w:r w:rsidR="00134958">
        <w:t xml:space="preserve">s are “authorized committees” under </w:t>
      </w:r>
      <w:r w:rsidR="00785C7F">
        <w:t>FECA.</w:t>
      </w:r>
      <w:r>
        <w:rPr>
          <w:rStyle w:val="FootnoteReference"/>
        </w:rPr>
        <w:footnoteReference w:id="26"/>
      </w:r>
      <w:r w:rsidR="00785C7F">
        <w:t xml:space="preserve">  </w:t>
      </w:r>
      <w:r w:rsidR="00A349A5">
        <w:t>TVB appears to take issue with the longstanding definition of “authorized committee,” which comes from 52 U</w:t>
      </w:r>
      <w:r w:rsidR="00AB2138">
        <w:t>.</w:t>
      </w:r>
      <w:r w:rsidR="00A349A5">
        <w:t>S</w:t>
      </w:r>
      <w:r w:rsidR="00AB2138">
        <w:t>.</w:t>
      </w:r>
      <w:r w:rsidR="00A349A5">
        <w:t>C</w:t>
      </w:r>
      <w:r w:rsidR="00AB2138">
        <w:t xml:space="preserve">. </w:t>
      </w:r>
      <w:r w:rsidR="004E180C">
        <w:t>§</w:t>
      </w:r>
      <w:r w:rsidR="00AB2138">
        <w:t>§</w:t>
      </w:r>
      <w:r w:rsidR="00A349A5">
        <w:t xml:space="preserve"> 30101</w:t>
      </w:r>
      <w:r w:rsidR="004E180C">
        <w:t>-30102</w:t>
      </w:r>
      <w:r w:rsidR="00A349A5">
        <w:t xml:space="preserve">.  But once again, a petition for reconsideration of the </w:t>
      </w:r>
      <w:r w:rsidR="00FE1326">
        <w:t>Public Notice</w:t>
      </w:r>
      <w:r w:rsidR="00A349A5">
        <w:t xml:space="preserve"> is not the right vehicle for the relief that TVB seeks.  If TVB wants to change the definition of “authorized committee,” then it </w:t>
      </w:r>
      <w:r w:rsidR="00404046">
        <w:t>must</w:t>
      </w:r>
      <w:r w:rsidR="00A349A5">
        <w:t xml:space="preserve"> ask Congress to </w:t>
      </w:r>
      <w:r w:rsidR="00013929">
        <w:t>amen</w:t>
      </w:r>
      <w:r w:rsidR="00066B0E">
        <w:t>d</w:t>
      </w:r>
      <w:r w:rsidR="00A349A5">
        <w:t xml:space="preserve"> </w:t>
      </w:r>
      <w:r w:rsidR="00066B0E">
        <w:t>section</w:t>
      </w:r>
      <w:r w:rsidR="00A349A5">
        <w:t xml:space="preserve"> 30101</w:t>
      </w:r>
      <w:r w:rsidR="00066B0E">
        <w:t xml:space="preserve"> of FECA</w:t>
      </w:r>
      <w:r w:rsidR="001C777A">
        <w:t>, or the FE</w:t>
      </w:r>
      <w:r w:rsidR="0006049E">
        <w:t>C to amend its implementing rules</w:t>
      </w:r>
      <w:r w:rsidR="00A349A5">
        <w:t xml:space="preserve">.  </w:t>
      </w:r>
      <w:r w:rsidR="004B556C">
        <w:t>In the meantime, t</w:t>
      </w:r>
      <w:r w:rsidR="00A349A5">
        <w:t xml:space="preserve">he FCC </w:t>
      </w:r>
      <w:r w:rsidR="004B556C">
        <w:t>is obligated to</w:t>
      </w:r>
      <w:r w:rsidR="00A349A5">
        <w:t xml:space="preserve"> follow FECA </w:t>
      </w:r>
      <w:r w:rsidR="00DA283B">
        <w:t>as Congress has enacted it and the FEC implements it</w:t>
      </w:r>
      <w:r w:rsidR="00A349A5">
        <w:t>.</w:t>
      </w:r>
    </w:p>
    <w:p w:rsidR="002C5A2E" w:rsidP="00522013" w14:paraId="40C15FCD" w14:textId="0B339B61">
      <w:pPr>
        <w:pStyle w:val="ParaNum"/>
      </w:pPr>
      <w:r>
        <w:t>I</w:t>
      </w:r>
      <w:r w:rsidR="00033188">
        <w:t>n</w:t>
      </w:r>
      <w:r w:rsidR="0048564C">
        <w:t xml:space="preserve"> </w:t>
      </w:r>
      <w:r w:rsidR="00033188">
        <w:t>acknowledging</w:t>
      </w:r>
      <w:r w:rsidR="00F4027D">
        <w:t xml:space="preserve"> that the governing definition of “authorized committee”</w:t>
      </w:r>
      <w:r w:rsidR="00033188">
        <w:t xml:space="preserve"> extends to Joint Fundraising Committees, the </w:t>
      </w:r>
      <w:r w:rsidRPr="00AD5154" w:rsidR="00033188">
        <w:t>Public Notice</w:t>
      </w:r>
      <w:r w:rsidR="00033188">
        <w:rPr>
          <w:i/>
          <w:iCs/>
        </w:rPr>
        <w:t xml:space="preserve"> </w:t>
      </w:r>
      <w:r w:rsidR="00033188">
        <w:t>does not</w:t>
      </w:r>
      <w:r w:rsidR="00F2371D">
        <w:t xml:space="preserve"> expand the “universe” of committees eligible for the LUC</w:t>
      </w:r>
      <w:r>
        <w:t>, as TVB contends</w:t>
      </w:r>
      <w:r w:rsidR="00F2371D">
        <w:t>.</w:t>
      </w:r>
      <w:r w:rsidR="007748D5">
        <w:t xml:space="preserve"> </w:t>
      </w:r>
      <w:r w:rsidR="00F4027D">
        <w:t xml:space="preserve"> </w:t>
      </w:r>
      <w:r w:rsidR="00A6416A">
        <w:t xml:space="preserve">Although it is true that Joint Fundraising Committees are a </w:t>
      </w:r>
      <w:r w:rsidR="004A7F3B">
        <w:t>relatively new type of authorized committee</w:t>
      </w:r>
      <w:r w:rsidR="00360ADC">
        <w:t>,</w:t>
      </w:r>
      <w:r w:rsidR="00A6416A">
        <w:t xml:space="preserve"> </w:t>
      </w:r>
      <w:r w:rsidR="001609F8">
        <w:t>the existing practice of broadcasters with respect to these committees has been to regard them as eligible for the LUC</w:t>
      </w:r>
      <w:r w:rsidR="00673CAC">
        <w:t xml:space="preserve">, </w:t>
      </w:r>
      <w:r w:rsidR="001609F8">
        <w:t xml:space="preserve">consistent with the </w:t>
      </w:r>
      <w:r w:rsidRPr="00AD5154" w:rsidR="001609F8">
        <w:t>Public Notice</w:t>
      </w:r>
      <w:r w:rsidR="007C366E">
        <w:t>.</w:t>
      </w:r>
      <w:r>
        <w:rPr>
          <w:rStyle w:val="FootnoteReference"/>
        </w:rPr>
        <w:footnoteReference w:id="27"/>
      </w:r>
      <w:r w:rsidR="007C366E">
        <w:t xml:space="preserve">  </w:t>
      </w:r>
      <w:r w:rsidR="009C0DC4">
        <w:t>I</w:t>
      </w:r>
      <w:r w:rsidR="0060780E">
        <w:t>n any event</w:t>
      </w:r>
      <w:r w:rsidR="006C1C53">
        <w:t>, i</w:t>
      </w:r>
      <w:r w:rsidR="009C0DC4">
        <w:t xml:space="preserve">f parties wish to change the definition of </w:t>
      </w:r>
      <w:r w:rsidR="00CF4D5E">
        <w:t xml:space="preserve">“authorized committee,” they must ask </w:t>
      </w:r>
      <w:r w:rsidR="00790E74">
        <w:t>Congress to amend FECA</w:t>
      </w:r>
      <w:r w:rsidR="0060780E">
        <w:t>.</w:t>
      </w:r>
      <w:r w:rsidR="002A23F4">
        <w:t xml:space="preserve"> </w:t>
      </w:r>
      <w:r w:rsidR="00522013">
        <w:t xml:space="preserve"> </w:t>
      </w:r>
    </w:p>
    <w:p w:rsidR="002343C9" w:rsidP="00522013" w14:paraId="0A193313" w14:textId="5B10B65E">
      <w:pPr>
        <w:pStyle w:val="ParaNum"/>
      </w:pPr>
      <w:r>
        <w:t>Finally, we take this opportunity to remind the public that any disputes regarding application of the LUC in any specific instance can be adjudicated by the FCC on a case-by-case basis, consistent with agency’s precedent and practice.</w:t>
      </w:r>
      <w:r>
        <w:rPr>
          <w:rStyle w:val="FootnoteReference"/>
        </w:rPr>
        <w:footnoteReference w:id="28"/>
      </w:r>
    </w:p>
    <w:p w:rsidR="008F66CD" w:rsidP="008F66CD" w14:paraId="21AED7C1" w14:textId="43B1A452">
      <w:pPr>
        <w:pStyle w:val="Heading1"/>
      </w:pPr>
      <w:r>
        <w:t>ORDERING CLAUSE</w:t>
      </w:r>
      <w:r w:rsidR="000C1E44">
        <w:t>s</w:t>
      </w:r>
    </w:p>
    <w:p w:rsidR="00FE077A" w:rsidP="00CF4496" w14:paraId="235BC00D" w14:textId="4CDBDC7F">
      <w:pPr>
        <w:pStyle w:val="ParaNum"/>
      </w:pPr>
      <w:r>
        <w:t xml:space="preserve">For the foregoing reasons, </w:t>
      </w:r>
      <w:r w:rsidR="004D07C4">
        <w:t>and to the extent set forth above,</w:t>
      </w:r>
      <w:r>
        <w:rPr>
          <w:rStyle w:val="FootnoteReference"/>
        </w:rPr>
        <w:footnoteReference w:id="29"/>
      </w:r>
      <w:r w:rsidR="004D07C4">
        <w:t xml:space="preserve"> </w:t>
      </w:r>
      <w:r w:rsidRPr="00AD5154">
        <w:rPr>
          <w:b/>
        </w:rPr>
        <w:t>IT IS ORDERED</w:t>
      </w:r>
      <w:r>
        <w:t xml:space="preserve"> that</w:t>
      </w:r>
      <w:r w:rsidR="00C33E77">
        <w:t>,</w:t>
      </w:r>
      <w:r>
        <w:t xml:space="preserve"> pursuant to </w:t>
      </w:r>
      <w:r w:rsidR="00455118">
        <w:t xml:space="preserve">Section 405 </w:t>
      </w:r>
      <w:r>
        <w:t xml:space="preserve">of the Communications Act of 1934, as amended, </w:t>
      </w:r>
      <w:r w:rsidRPr="00027737" w:rsidR="00027737">
        <w:t>47 U.S.C. § 405</w:t>
      </w:r>
      <w:r w:rsidR="00027737">
        <w:t xml:space="preserve">, </w:t>
      </w:r>
      <w:r w:rsidRPr="00251A41" w:rsidR="00251A41">
        <w:t>and section 1.106 of the Commission’s rules, 47 CFR § 1.106</w:t>
      </w:r>
      <w:r w:rsidR="00251A41">
        <w:t xml:space="preserve">, </w:t>
      </w:r>
      <w:r>
        <w:t xml:space="preserve">the Petition </w:t>
      </w:r>
      <w:r w:rsidR="00B558CB">
        <w:t xml:space="preserve">for Reconsideration </w:t>
      </w:r>
      <w:r w:rsidRPr="00AD5154" w:rsidR="00B558CB">
        <w:t>dated April 29, 2026</w:t>
      </w:r>
      <w:r w:rsidR="00B558CB">
        <w:t xml:space="preserve">, by the Television Bureau of Advertising, Inc., is </w:t>
      </w:r>
      <w:r w:rsidRPr="00AD5154" w:rsidR="00B558CB">
        <w:rPr>
          <w:b/>
        </w:rPr>
        <w:t>D</w:t>
      </w:r>
      <w:r w:rsidRPr="00AD5154" w:rsidR="006C7527">
        <w:rPr>
          <w:b/>
        </w:rPr>
        <w:t>ISMISSED</w:t>
      </w:r>
      <w:r w:rsidRPr="006634C2" w:rsidR="00B558CB">
        <w:t>.</w:t>
      </w:r>
      <w:r w:rsidR="00B558CB">
        <w:t xml:space="preserve"> </w:t>
      </w:r>
    </w:p>
    <w:p w:rsidR="006D38F7" w:rsidP="00A92296" w14:paraId="76D87C86" w14:textId="141B330C">
      <w:pPr>
        <w:pStyle w:val="ParaNum"/>
        <w:keepNext/>
        <w:keepLines/>
      </w:pPr>
      <w:r w:rsidRPr="00AD5154">
        <w:rPr>
          <w:b/>
          <w:bCs/>
        </w:rPr>
        <w:t>IT IS FURTHER ORDERED</w:t>
      </w:r>
      <w:r>
        <w:t xml:space="preserve"> that this Order on Reconsideration </w:t>
      </w:r>
      <w:r w:rsidRPr="00AD5154">
        <w:rPr>
          <w:b/>
          <w:bCs/>
        </w:rPr>
        <w:t>SHALL BE EFFECTIVE</w:t>
      </w:r>
      <w:r>
        <w:t xml:space="preserve"> upon release.</w:t>
      </w:r>
    </w:p>
    <w:p w:rsidR="00FE077A" w:rsidRPr="006E43CB" w:rsidP="00A92296" w14:paraId="02713003" w14:textId="29EC3883">
      <w:pPr>
        <w:keepNext/>
        <w:keepLines/>
        <w:spacing w:before="240"/>
        <w:ind w:left="4320"/>
        <w:rPr>
          <w:color w:val="000000"/>
        </w:rPr>
      </w:pPr>
      <w:r w:rsidRPr="22554D6A">
        <w:rPr>
          <w:color w:val="000000" w:themeColor="text1"/>
        </w:rPr>
        <w:t>FEDERAL COMMUNICATIONS COMMISSION</w:t>
      </w:r>
    </w:p>
    <w:p w:rsidR="00FE077A" w:rsidRPr="006E43CB" w:rsidP="00A92296" w14:paraId="53B9213E" w14:textId="752AA036">
      <w:pPr>
        <w:keepNext/>
        <w:keepLines/>
        <w:ind w:left="4320"/>
        <w:rPr>
          <w:color w:val="000000"/>
        </w:rPr>
      </w:pPr>
    </w:p>
    <w:p w:rsidR="00FE077A" w:rsidRPr="006E43CB" w:rsidP="00A92296" w14:paraId="5B0A5206" w14:textId="25E8E3A1">
      <w:pPr>
        <w:keepNext/>
        <w:keepLines/>
        <w:ind w:left="4320"/>
        <w:rPr>
          <w:color w:val="000000"/>
        </w:rPr>
      </w:pPr>
    </w:p>
    <w:p w:rsidR="00FE077A" w:rsidRPr="006E43CB" w:rsidP="00A92296" w14:paraId="213AD172" w14:textId="41B4FC70">
      <w:pPr>
        <w:keepNext/>
        <w:keepLines/>
        <w:ind w:left="4320"/>
        <w:rPr>
          <w:color w:val="000000"/>
        </w:rPr>
      </w:pPr>
    </w:p>
    <w:p w:rsidR="00CF4496" w:rsidRPr="006E43CB" w:rsidP="00A92296" w14:paraId="51B23AAA" w14:textId="77777777">
      <w:pPr>
        <w:keepNext/>
        <w:keepLines/>
        <w:ind w:left="4320"/>
        <w:rPr>
          <w:color w:val="000000"/>
        </w:rPr>
      </w:pPr>
      <w:r w:rsidRPr="006E43CB">
        <w:rPr>
          <w:color w:val="000000"/>
        </w:rPr>
        <w:tab/>
      </w:r>
      <w:r w:rsidRPr="006E43CB">
        <w:rPr>
          <w:color w:val="000000"/>
        </w:rPr>
        <w:tab/>
      </w:r>
      <w:r w:rsidRPr="006E43CB">
        <w:rPr>
          <w:color w:val="000000"/>
        </w:rPr>
        <w:tab/>
      </w:r>
      <w:r w:rsidRPr="006E43CB">
        <w:rPr>
          <w:color w:val="000000"/>
        </w:rPr>
        <w:tab/>
      </w:r>
      <w:r w:rsidRPr="006E43CB">
        <w:rPr>
          <w:color w:val="000000"/>
        </w:rPr>
        <w:tab/>
      </w:r>
    </w:p>
    <w:p w:rsidR="00FE077A" w:rsidP="00A92296" w14:paraId="4B4B845C" w14:textId="53C7CB6B">
      <w:pPr>
        <w:keepNext/>
        <w:keepLines/>
        <w:ind w:left="4320"/>
      </w:pPr>
      <w:r>
        <w:t>Alexander Sanjenis</w:t>
      </w:r>
    </w:p>
    <w:p w:rsidR="00CF4496" w:rsidRPr="006E43CB" w:rsidP="00A92296" w14:paraId="2803D1AE" w14:textId="6037C719">
      <w:pPr>
        <w:keepNext/>
        <w:keepLines/>
        <w:ind w:left="4320"/>
      </w:pPr>
      <w:r>
        <w:t>Acting Chief, Media Bureau</w:t>
      </w:r>
    </w:p>
    <w:p w:rsidR="008F66CD" w:rsidRPr="00487F12" w:rsidP="00A92296" w14:paraId="22C5D73A" w14:textId="64BC6FCE">
      <w:pPr>
        <w:pStyle w:val="ParaNum"/>
        <w:keepNext/>
        <w:keepLines/>
        <w:numPr>
          <w:ilvl w:val="0"/>
          <w:numId w:val="0"/>
        </w:numPr>
        <w:ind w:left="4320"/>
      </w:pPr>
    </w:p>
    <w:sectPr w:rsidSect="0055614C"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endnotePr>
        <w:numFmt w:val="decimal"/>
      </w:endnotePr>
      <w:pgSz w:w="12240" w:h="15840"/>
      <w:pgMar w:top="1440" w:right="1440" w:bottom="720" w:left="1440" w:header="720" w:footer="720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endnote w:type="separator" w:id="0">
    <w:p w:rsidR="008E592A" w14:paraId="3DEEE37F" w14:textId="77777777">
      <w:pPr>
        <w:spacing w:line="20" w:lineRule="exact"/>
      </w:pPr>
    </w:p>
  </w:endnote>
  <w:endnote w:type="continuationSeparator" w:id="1">
    <w:p w:rsidR="008E592A" w14:paraId="091B459D" w14:textId="77777777">
      <w:r>
        <w:t xml:space="preserve"> </w:t>
      </w:r>
    </w:p>
  </w:endnote>
  <w:endnote w:type="continuationNotice" w:id="2">
    <w:p w:rsidR="008E592A" w14:paraId="1A345E4B" w14:textId="77777777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altName w:val="Heavy Heap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25FB5" w:rsidP="0055614C" w14:paraId="6E390EDC" w14:textId="77777777">
    <w:pPr>
      <w:pStyle w:val="Footer"/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fldChar w:fldCharType="end"/>
    </w:r>
  </w:p>
  <w:p w:rsidR="00D25FB5" w14:paraId="1DFC086F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25FB5" w:rsidP="00A92296" w14:paraId="6F211CB4" w14:textId="67C670A1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25FB5" w14:paraId="7A66A02D" w14:textId="77777777">
    <w:pPr>
      <w:pStyle w:val="Footer"/>
      <w:tabs>
        <w:tab w:val="clear" w:pos="864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8E592A" w14:paraId="651EB21E" w14:textId="77777777">
      <w:r>
        <w:separator/>
      </w:r>
    </w:p>
  </w:footnote>
  <w:footnote w:type="continuationSeparator" w:id="1">
    <w:p w:rsidR="008E592A" w:rsidP="00C721AC" w14:paraId="62DB5DDF" w14:textId="77777777">
      <w:pPr>
        <w:spacing w:before="120"/>
        <w:rPr>
          <w:sz w:val="20"/>
        </w:rPr>
      </w:pPr>
      <w:r>
        <w:rPr>
          <w:sz w:val="20"/>
        </w:rPr>
        <w:t xml:space="preserve">(Continued from previous page)  </w:t>
      </w:r>
      <w:r>
        <w:rPr>
          <w:sz w:val="20"/>
        </w:rPr>
        <w:separator/>
      </w:r>
    </w:p>
  </w:footnote>
  <w:footnote w:type="continuationNotice" w:id="2">
    <w:p w:rsidR="008E592A" w:rsidP="00C721AC" w14:paraId="4E1E942F" w14:textId="77777777">
      <w:pPr>
        <w:jc w:val="right"/>
        <w:rPr>
          <w:sz w:val="20"/>
        </w:rPr>
      </w:pPr>
      <w:r>
        <w:rPr>
          <w:sz w:val="20"/>
        </w:rPr>
        <w:t>(continued….)</w:t>
      </w:r>
    </w:p>
  </w:footnote>
  <w:footnote w:id="3">
    <w:p w:rsidR="005C535D" w:rsidRPr="00E07DA4" w14:paraId="460056D5" w14:textId="13215E6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C70991">
        <w:rPr>
          <w:i/>
          <w:iCs/>
        </w:rPr>
        <w:t>FCC Media Bureau Provides Guidance on Entitlement to Lowest Unit Charge for Legally Qualified Candidates for Federal Office and All Authorized Committees</w:t>
      </w:r>
      <w:r w:rsidR="00C70991">
        <w:t xml:space="preserve">, </w:t>
      </w:r>
      <w:r w:rsidR="001E4051">
        <w:t>Public Notice, DA 26-300</w:t>
      </w:r>
      <w:r w:rsidR="002E03ED">
        <w:t xml:space="preserve">, </w:t>
      </w:r>
      <w:r w:rsidR="002F4884">
        <w:t>2026</w:t>
      </w:r>
      <w:r w:rsidR="002E03ED">
        <w:t xml:space="preserve"> WL </w:t>
      </w:r>
      <w:r w:rsidR="002F4884">
        <w:t>1013722</w:t>
      </w:r>
      <w:r w:rsidR="001E4051">
        <w:t xml:space="preserve"> (</w:t>
      </w:r>
      <w:r w:rsidR="00FF19CA">
        <w:t>MB</w:t>
      </w:r>
      <w:r w:rsidR="002F4884">
        <w:t xml:space="preserve"> </w:t>
      </w:r>
      <w:r w:rsidR="001E4051">
        <w:t>Mar. 30, 2026)</w:t>
      </w:r>
      <w:r w:rsidR="000D2173">
        <w:t xml:space="preserve"> (</w:t>
      </w:r>
      <w:r w:rsidRPr="00AD5154" w:rsidR="000D2173">
        <w:t>Public Notice</w:t>
      </w:r>
      <w:r w:rsidR="000D2173">
        <w:t>)</w:t>
      </w:r>
      <w:r w:rsidR="00114D0D">
        <w:t xml:space="preserve">; </w:t>
      </w:r>
      <w:r w:rsidR="00133367">
        <w:t xml:space="preserve">Petition for Reconsideration or, In the Alternative, for Declaratory Ruling of the Television Bureau of Advertising, Inc. (Apr. 29, 2026) (Petition).  </w:t>
      </w:r>
    </w:p>
  </w:footnote>
  <w:footnote w:id="4">
    <w:p w:rsidR="00D35DFC" w14:paraId="288D7746" w14:textId="2EF67DF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F451D0">
        <w:t xml:space="preserve">We </w:t>
      </w:r>
      <w:r w:rsidR="00367CA4">
        <w:t xml:space="preserve">defer action on </w:t>
      </w:r>
      <w:r w:rsidR="004B4F0E">
        <w:t>TVB</w:t>
      </w:r>
      <w:r w:rsidR="00E71A92">
        <w:t xml:space="preserve">’s alternative request for a declaratory ruling and do not address it in this </w:t>
      </w:r>
      <w:r w:rsidR="00E71A92">
        <w:rPr>
          <w:i/>
          <w:iCs/>
        </w:rPr>
        <w:t>Order on Reconsideration</w:t>
      </w:r>
      <w:r>
        <w:t>.</w:t>
      </w:r>
    </w:p>
  </w:footnote>
  <w:footnote w:id="5">
    <w:p w:rsidR="00E14569" w14:paraId="506673F6" w14:textId="460A49C0">
      <w:pPr>
        <w:pStyle w:val="FootnoteText"/>
      </w:pPr>
      <w:r>
        <w:rPr>
          <w:rStyle w:val="FootnoteReference"/>
        </w:rPr>
        <w:footnoteRef/>
      </w:r>
      <w:r>
        <w:t xml:space="preserve"> As indicated elsewhere in this document, parties can challenge the application </w:t>
      </w:r>
      <w:r w:rsidR="006A1826">
        <w:t xml:space="preserve">vel </w:t>
      </w:r>
      <w:r w:rsidR="006A1826">
        <w:t xml:space="preserve">non </w:t>
      </w:r>
      <w:r>
        <w:t>of</w:t>
      </w:r>
      <w:r>
        <w:t xml:space="preserve"> the LUC</w:t>
      </w:r>
      <w:r w:rsidR="00AC5023">
        <w:t xml:space="preserve"> </w:t>
      </w:r>
      <w:r>
        <w:t>in a particular case based on particular facts.</w:t>
      </w:r>
    </w:p>
  </w:footnote>
  <w:footnote w:id="6">
    <w:p w:rsidR="001A33B1" w:rsidRPr="005B43A0" w14:paraId="3E5404E1" w14:textId="374FC71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i/>
          <w:iCs/>
        </w:rPr>
        <w:t xml:space="preserve">See Exclusive Jurisdiction </w:t>
      </w:r>
      <w:r w:rsidR="009B00A8">
        <w:rPr>
          <w:i/>
          <w:iCs/>
        </w:rPr>
        <w:t>With Respect To Violations of the Lowest Unit Charge Require</w:t>
      </w:r>
      <w:r w:rsidR="005B43A0">
        <w:rPr>
          <w:i/>
          <w:iCs/>
        </w:rPr>
        <w:t>ments of Section 315(b) of the Communications Act of 1934, As Amended</w:t>
      </w:r>
      <w:r w:rsidR="005B43A0">
        <w:t xml:space="preserve">, </w:t>
      </w:r>
      <w:r w:rsidR="00B5033D">
        <w:t xml:space="preserve">6 FCC </w:t>
      </w:r>
      <w:r w:rsidR="00B5033D">
        <w:t>Rcd</w:t>
      </w:r>
      <w:r w:rsidR="00B5033D">
        <w:t xml:space="preserve"> 7511, </w:t>
      </w:r>
      <w:r w:rsidR="000659AA">
        <w:t>7513-14</w:t>
      </w:r>
      <w:r w:rsidR="00A8362E">
        <w:t xml:space="preserve">, paras. </w:t>
      </w:r>
      <w:r w:rsidR="000659AA">
        <w:t>21</w:t>
      </w:r>
      <w:r w:rsidR="00A8362E">
        <w:t>-</w:t>
      </w:r>
      <w:r w:rsidR="000659AA">
        <w:t>26</w:t>
      </w:r>
      <w:r w:rsidR="00A8362E">
        <w:t xml:space="preserve"> (1991)</w:t>
      </w:r>
      <w:r w:rsidR="000659AA">
        <w:t xml:space="preserve"> (outlining complaint procedures)</w:t>
      </w:r>
      <w:r w:rsidR="005E6715">
        <w:t>.</w:t>
      </w:r>
    </w:p>
  </w:footnote>
  <w:footnote w:id="7">
    <w:p w:rsidR="00727E63" w14:paraId="6294E9E4" w14:textId="604E944E">
      <w:pPr>
        <w:pStyle w:val="FootnoteText"/>
      </w:pPr>
      <w:r>
        <w:rPr>
          <w:rStyle w:val="FootnoteReference"/>
        </w:rPr>
        <w:footnoteRef/>
      </w:r>
      <w:r>
        <w:t xml:space="preserve"> 47 U.S.C. § 315(b).</w:t>
      </w:r>
    </w:p>
  </w:footnote>
  <w:footnote w:id="8">
    <w:p w:rsidR="00727E63" w:rsidRPr="0070572D" w14:paraId="351BE8E5" w14:textId="14434CA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70572D">
        <w:rPr>
          <w:i/>
          <w:iCs/>
        </w:rPr>
        <w:t xml:space="preserve">Id. </w:t>
      </w:r>
      <w:r w:rsidR="0070572D">
        <w:t>§ 315(d).</w:t>
      </w:r>
    </w:p>
  </w:footnote>
  <w:footnote w:id="9">
    <w:p w:rsidR="00187143" w14:paraId="6CBE2C12" w14:textId="44B486BF">
      <w:pPr>
        <w:pStyle w:val="FootnoteText"/>
      </w:pPr>
      <w:r>
        <w:rPr>
          <w:rStyle w:val="FootnoteReference"/>
        </w:rPr>
        <w:footnoteRef/>
      </w:r>
      <w:r>
        <w:t xml:space="preserve"> 47 CFR 73.1942.</w:t>
      </w:r>
    </w:p>
  </w:footnote>
  <w:footnote w:id="10">
    <w:p w:rsidR="00187143" w:rsidRPr="008819A9" w14:paraId="522120C1" w14:textId="7900106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2517F2">
        <w:rPr>
          <w:i/>
          <w:iCs/>
        </w:rPr>
        <w:t>E</w:t>
      </w:r>
      <w:r w:rsidR="00AC626E">
        <w:rPr>
          <w:i/>
          <w:iCs/>
        </w:rPr>
        <w:t>.g.</w:t>
      </w:r>
      <w:r w:rsidR="00AC626E">
        <w:t xml:space="preserve">, </w:t>
      </w:r>
      <w:r w:rsidR="00AC626E">
        <w:rPr>
          <w:i/>
          <w:iCs/>
        </w:rPr>
        <w:t xml:space="preserve">id. </w:t>
      </w:r>
      <w:r w:rsidR="00AC626E">
        <w:t xml:space="preserve">§ 76.206; </w:t>
      </w:r>
      <w:r w:rsidR="003D78B8">
        <w:rPr>
          <w:i/>
          <w:iCs/>
        </w:rPr>
        <w:t>The Law of Political Broadcasting &amp; Cablecasting: Political Primer</w:t>
      </w:r>
      <w:r w:rsidR="003D78B8">
        <w:t xml:space="preserve">, </w:t>
      </w:r>
      <w:r w:rsidR="00C61D09">
        <w:t>Update to 1978 Public Notice and Primer</w:t>
      </w:r>
      <w:r w:rsidR="00014311">
        <w:t xml:space="preserve">, </w:t>
      </w:r>
      <w:r w:rsidR="003D78B8">
        <w:t>100 F.C.C.2d 1476</w:t>
      </w:r>
      <w:r w:rsidR="000C6A12">
        <w:t xml:space="preserve"> (1984) (</w:t>
      </w:r>
      <w:r w:rsidR="000C6A12">
        <w:rPr>
          <w:i/>
          <w:iCs/>
        </w:rPr>
        <w:t>Political Primer</w:t>
      </w:r>
      <w:r w:rsidR="000C6A12">
        <w:t xml:space="preserve">); </w:t>
      </w:r>
      <w:r w:rsidR="000C6A12">
        <w:rPr>
          <w:i/>
          <w:iCs/>
        </w:rPr>
        <w:t>Codification of the Commission’s Political Programming Policies</w:t>
      </w:r>
      <w:r w:rsidR="000C6A12">
        <w:t xml:space="preserve">, </w:t>
      </w:r>
      <w:r w:rsidR="009C1582">
        <w:t>Memorandum Opinion and Order</w:t>
      </w:r>
      <w:r w:rsidR="00014311">
        <w:t xml:space="preserve">, </w:t>
      </w:r>
      <w:r w:rsidR="000C6A12">
        <w:t xml:space="preserve">7 FCC </w:t>
      </w:r>
      <w:r w:rsidR="000C6A12">
        <w:t>Rc</w:t>
      </w:r>
      <w:r w:rsidR="00014311">
        <w:t>d</w:t>
      </w:r>
      <w:r w:rsidR="00014311">
        <w:t xml:space="preserve"> </w:t>
      </w:r>
      <w:r w:rsidRPr="006439F7" w:rsidR="006439F7">
        <w:t>4611</w:t>
      </w:r>
      <w:r w:rsidR="008819A9">
        <w:t xml:space="preserve"> (199</w:t>
      </w:r>
      <w:r w:rsidR="006439F7">
        <w:t>2</w:t>
      </w:r>
      <w:r w:rsidR="008819A9">
        <w:t>) (</w:t>
      </w:r>
      <w:r w:rsidR="008819A9">
        <w:rPr>
          <w:i/>
          <w:iCs/>
        </w:rPr>
        <w:t>199</w:t>
      </w:r>
      <w:r w:rsidR="006439F7">
        <w:rPr>
          <w:i/>
          <w:iCs/>
        </w:rPr>
        <w:t>2</w:t>
      </w:r>
      <w:r w:rsidR="008819A9">
        <w:rPr>
          <w:i/>
          <w:iCs/>
        </w:rPr>
        <w:t xml:space="preserve"> Political Programming Order</w:t>
      </w:r>
      <w:r w:rsidR="008819A9">
        <w:t>)</w:t>
      </w:r>
      <w:r w:rsidR="0022390E">
        <w:t xml:space="preserve">, </w:t>
      </w:r>
      <w:r w:rsidR="0022390E">
        <w:rPr>
          <w:i/>
          <w:iCs/>
        </w:rPr>
        <w:t>reconside</w:t>
      </w:r>
      <w:r w:rsidR="00FC01EF">
        <w:rPr>
          <w:i/>
          <w:iCs/>
        </w:rPr>
        <w:t>ration granted</w:t>
      </w:r>
      <w:r w:rsidR="00F075CE">
        <w:t xml:space="preserve">, </w:t>
      </w:r>
      <w:r w:rsidR="00FF19CA">
        <w:t xml:space="preserve">Memorandum Opinion and Order, </w:t>
      </w:r>
      <w:r w:rsidR="00F075CE">
        <w:t xml:space="preserve">9 FCC </w:t>
      </w:r>
      <w:r w:rsidR="005E2F03">
        <w:t>Rcd</w:t>
      </w:r>
      <w:r w:rsidR="00ED1381">
        <w:t xml:space="preserve"> </w:t>
      </w:r>
      <w:r w:rsidR="00471ADF">
        <w:t>651</w:t>
      </w:r>
      <w:r w:rsidR="00414D54">
        <w:t xml:space="preserve"> (1994)</w:t>
      </w:r>
      <w:r w:rsidR="008819A9">
        <w:t>.</w:t>
      </w:r>
    </w:p>
  </w:footnote>
  <w:footnote w:id="11">
    <w:p w:rsidR="00A70EDC" w:rsidRPr="00A70EDC" w14:paraId="7944B607" w14:textId="25FFD3B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i/>
          <w:iCs/>
        </w:rPr>
        <w:t>See</w:t>
      </w:r>
      <w:r w:rsidR="00795FCF">
        <w:rPr>
          <w:i/>
          <w:iCs/>
        </w:rPr>
        <w:t>, e.g.</w:t>
      </w:r>
      <w:r w:rsidR="00795FCF">
        <w:t>,</w:t>
      </w:r>
      <w:r>
        <w:rPr>
          <w:i/>
          <w:iCs/>
        </w:rPr>
        <w:t xml:space="preserve"> </w:t>
      </w:r>
      <w:r>
        <w:t xml:space="preserve">Pet. at </w:t>
      </w:r>
      <w:r w:rsidR="005971EC">
        <w:t>2</w:t>
      </w:r>
      <w:r w:rsidR="00795FCF">
        <w:t>, 4 (</w:t>
      </w:r>
      <w:r w:rsidR="00AB00D3">
        <w:t>recognizing that principal campaign committees are eligible for the LUC)</w:t>
      </w:r>
      <w:r w:rsidR="005971EC">
        <w:t>.</w:t>
      </w:r>
    </w:p>
  </w:footnote>
  <w:footnote w:id="12">
    <w:p w:rsidR="0055137A" w:rsidRPr="003D5486" w14:paraId="22A0124D" w14:textId="08D6D35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0A79B6" w:rsidR="003D5486">
        <w:t>Public Notice</w:t>
      </w:r>
      <w:r w:rsidR="003D5486">
        <w:t xml:space="preserve">, at </w:t>
      </w:r>
      <w:r w:rsidR="00245C34">
        <w:t xml:space="preserve">1 </w:t>
      </w:r>
      <w:r w:rsidR="00FF7FF5">
        <w:t>(citing 47 U.S.C. § 315(b)(2)(F))</w:t>
      </w:r>
      <w:r w:rsidR="003D5486">
        <w:t>.</w:t>
      </w:r>
    </w:p>
  </w:footnote>
  <w:footnote w:id="13">
    <w:p w:rsidR="007840C6" w:rsidRPr="007840C6" w14:paraId="7BA56777" w14:textId="337D644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i/>
          <w:iCs/>
        </w:rPr>
        <w:t xml:space="preserve">Id. </w:t>
      </w:r>
      <w:r>
        <w:t xml:space="preserve">at </w:t>
      </w:r>
      <w:r w:rsidR="0012645B">
        <w:t>2.</w:t>
      </w:r>
    </w:p>
  </w:footnote>
  <w:footnote w:id="14">
    <w:p w:rsidR="007840C6" w:rsidRPr="007840C6" w14:paraId="3AC64EA1" w14:textId="53FBAFC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i/>
          <w:iCs/>
        </w:rPr>
        <w:t xml:space="preserve">Id. </w:t>
      </w:r>
      <w:r>
        <w:t xml:space="preserve">at </w:t>
      </w:r>
      <w:r w:rsidR="000A63D7">
        <w:t>1-2.</w:t>
      </w:r>
    </w:p>
  </w:footnote>
  <w:footnote w:id="15">
    <w:p w:rsidR="00523593" w14:paraId="0D325832" w14:textId="36C1199B">
      <w:pPr>
        <w:pStyle w:val="FootnoteText"/>
      </w:pPr>
      <w:r>
        <w:rPr>
          <w:rStyle w:val="FootnoteReference"/>
        </w:rPr>
        <w:footnoteRef/>
      </w:r>
      <w:r>
        <w:t xml:space="preserve"> Pet. at 4.</w:t>
      </w:r>
    </w:p>
  </w:footnote>
  <w:footnote w:id="16">
    <w:p w:rsidR="000A42AA" w:rsidRPr="00014786" w14:paraId="7D8BF2D8" w14:textId="1A1D82A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014786">
        <w:rPr>
          <w:i/>
          <w:iCs/>
        </w:rPr>
        <w:t xml:space="preserve">Id. </w:t>
      </w:r>
      <w:r w:rsidR="00014786">
        <w:t xml:space="preserve">at 13; </w:t>
      </w:r>
      <w:r w:rsidR="00014786">
        <w:rPr>
          <w:i/>
          <w:iCs/>
        </w:rPr>
        <w:t xml:space="preserve">see </w:t>
      </w:r>
      <w:r w:rsidR="001A2890">
        <w:rPr>
          <w:i/>
          <w:iCs/>
        </w:rPr>
        <w:t xml:space="preserve">generally </w:t>
      </w:r>
      <w:r w:rsidR="001A2890">
        <w:t>Pe</w:t>
      </w:r>
      <w:r w:rsidR="003C247A">
        <w:t xml:space="preserve">tition at </w:t>
      </w:r>
      <w:r w:rsidR="009755B7">
        <w:t>2-</w:t>
      </w:r>
      <w:r w:rsidR="002F6266">
        <w:t>24</w:t>
      </w:r>
      <w:r w:rsidR="00BD4044">
        <w:t>.</w:t>
      </w:r>
      <w:r w:rsidR="00A436F2">
        <w:t xml:space="preserve"> </w:t>
      </w:r>
    </w:p>
  </w:footnote>
  <w:footnote w:id="17">
    <w:p w:rsidR="00F0010C" w:rsidRPr="00F0010C" w14:paraId="5D1A6B4A" w14:textId="52C1B50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i/>
          <w:iCs/>
        </w:rPr>
        <w:t xml:space="preserve">Id. </w:t>
      </w:r>
      <w:r>
        <w:t xml:space="preserve">at 4, </w:t>
      </w:r>
      <w:r w:rsidR="00AE6471">
        <w:t>13.</w:t>
      </w:r>
    </w:p>
  </w:footnote>
  <w:footnote w:id="18">
    <w:p w:rsidR="00440CD5" w:rsidRPr="00440CD5" w14:paraId="1E59B872" w14:textId="39F17F2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0A79B6">
        <w:t>Public Notice</w:t>
      </w:r>
      <w:r>
        <w:rPr>
          <w:i/>
          <w:iCs/>
        </w:rPr>
        <w:t xml:space="preserve"> </w:t>
      </w:r>
      <w:r>
        <w:t xml:space="preserve">at </w:t>
      </w:r>
      <w:r w:rsidR="00955716">
        <w:t>1-2.</w:t>
      </w:r>
    </w:p>
  </w:footnote>
  <w:footnote w:id="19">
    <w:p w:rsidR="00CC084F" w:rsidRPr="009850AB" w14:paraId="311B10D6" w14:textId="0A8CC6E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E4B04">
        <w:t>Notably, too,</w:t>
      </w:r>
      <w:r>
        <w:t xml:space="preserve"> the Commission would be afforded deference to reasonable interpretations of its own rules under </w:t>
      </w:r>
      <w:r>
        <w:rPr>
          <w:i/>
          <w:iCs/>
        </w:rPr>
        <w:t xml:space="preserve">Kisor v. </w:t>
      </w:r>
      <w:r w:rsidR="00497547">
        <w:rPr>
          <w:i/>
          <w:iCs/>
        </w:rPr>
        <w:t>Wilkie</w:t>
      </w:r>
      <w:r w:rsidR="00497547">
        <w:t xml:space="preserve">, </w:t>
      </w:r>
      <w:r w:rsidRPr="00522013" w:rsidR="00C677C9">
        <w:t>588 U</w:t>
      </w:r>
      <w:r w:rsidR="00C677C9">
        <w:t>.</w:t>
      </w:r>
      <w:r w:rsidRPr="00522013" w:rsidR="00C677C9">
        <w:t>S</w:t>
      </w:r>
      <w:r w:rsidR="00C677C9">
        <w:t>.</w:t>
      </w:r>
      <w:r w:rsidRPr="00522013" w:rsidR="00C677C9">
        <w:t xml:space="preserve"> 558</w:t>
      </w:r>
      <w:r w:rsidR="00C677C9">
        <w:t xml:space="preserve"> </w:t>
      </w:r>
      <w:r w:rsidRPr="00522013" w:rsidR="00C677C9">
        <w:t>(2019)</w:t>
      </w:r>
      <w:r w:rsidR="00C677C9">
        <w:t xml:space="preserve">, which was not overturned by </w:t>
      </w:r>
      <w:r w:rsidR="00C677C9">
        <w:rPr>
          <w:i/>
          <w:iCs/>
        </w:rPr>
        <w:t>Loper Bright Enterprise</w:t>
      </w:r>
      <w:r w:rsidR="009850AB">
        <w:rPr>
          <w:i/>
          <w:iCs/>
        </w:rPr>
        <w:t xml:space="preserve"> v. Raimondo</w:t>
      </w:r>
      <w:r w:rsidR="009850AB">
        <w:t xml:space="preserve">, </w:t>
      </w:r>
      <w:r w:rsidR="00FB33BD">
        <w:t>603 U.S. 369 (20</w:t>
      </w:r>
      <w:r w:rsidR="003B194C">
        <w:t>24).</w:t>
      </w:r>
    </w:p>
  </w:footnote>
  <w:footnote w:id="20">
    <w:p w:rsidR="00D33E86" w:rsidRPr="004F6759" w:rsidP="00D33E86" w14:paraId="4C5F8652" w14:textId="678EDE7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EE4B57">
        <w:rPr>
          <w:i/>
          <w:iCs/>
        </w:rPr>
        <w:t>Id.</w:t>
      </w:r>
      <w:r>
        <w:rPr>
          <w:i/>
          <w:iCs/>
        </w:rPr>
        <w:t xml:space="preserve"> </w:t>
      </w:r>
      <w:r>
        <w:t xml:space="preserve">at </w:t>
      </w:r>
      <w:r w:rsidR="00DC0E8A">
        <w:t xml:space="preserve">2.  </w:t>
      </w:r>
      <w:r>
        <w:t xml:space="preserve">That these prior rulings have largely taken the form of informal oral opinions, </w:t>
      </w:r>
      <w:r w:rsidRPr="00346410">
        <w:rPr>
          <w:i/>
          <w:iCs/>
        </w:rPr>
        <w:t>see</w:t>
      </w:r>
      <w:r>
        <w:t xml:space="preserve"> </w:t>
      </w:r>
      <w:r w:rsidRPr="00223DC5">
        <w:rPr>
          <w:i/>
          <w:iCs/>
        </w:rPr>
        <w:t>Political Primer</w:t>
      </w:r>
      <w:r>
        <w:t xml:space="preserve"> at 1478, para. 5, does not change the fact that the </w:t>
      </w:r>
      <w:r w:rsidRPr="00346410">
        <w:rPr>
          <w:i/>
          <w:iCs/>
        </w:rPr>
        <w:t>Public Notice</w:t>
      </w:r>
      <w:r>
        <w:t xml:space="preserve"> did no more than restate past guidance and took no new action.</w:t>
      </w:r>
    </w:p>
  </w:footnote>
  <w:footnote w:id="21">
    <w:p w:rsidR="00D33E86" w:rsidRPr="0099790B" w:rsidP="00D33E86" w14:paraId="07B0D621" w14:textId="5979050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2D44D5">
        <w:t>Nat’l</w:t>
      </w:r>
      <w:r w:rsidR="002D44D5">
        <w:t xml:space="preserve"> </w:t>
      </w:r>
      <w:r w:rsidR="002D44D5">
        <w:t>Ass’n</w:t>
      </w:r>
      <w:r w:rsidR="002D44D5">
        <w:t xml:space="preserve"> of Broads., </w:t>
      </w:r>
      <w:r w:rsidR="002D44D5">
        <w:rPr>
          <w:i/>
          <w:iCs/>
        </w:rPr>
        <w:t>Political Broadcasting Catechism</w:t>
      </w:r>
      <w:r w:rsidR="002D44D5">
        <w:t xml:space="preserve"> 36 (</w:t>
      </w:r>
      <w:r w:rsidR="006D5ECA">
        <w:t>18th ed. 2014)</w:t>
      </w:r>
      <w:r w:rsidR="0099790B">
        <w:t xml:space="preserve">; </w:t>
      </w:r>
      <w:r w:rsidR="0099790B">
        <w:rPr>
          <w:i/>
          <w:iCs/>
        </w:rPr>
        <w:t xml:space="preserve">accord </w:t>
      </w:r>
      <w:r w:rsidR="0099790B">
        <w:t>Nat’l</w:t>
      </w:r>
      <w:r w:rsidR="0099790B">
        <w:t xml:space="preserve"> </w:t>
      </w:r>
      <w:r w:rsidR="0099790B">
        <w:t>Ass’n</w:t>
      </w:r>
      <w:r w:rsidR="0099790B">
        <w:t xml:space="preserve"> of Broads., </w:t>
      </w:r>
      <w:r w:rsidR="0099790B">
        <w:rPr>
          <w:i/>
          <w:iCs/>
        </w:rPr>
        <w:t xml:space="preserve">Political Broadcasting Handbook </w:t>
      </w:r>
      <w:r w:rsidR="0099790B">
        <w:t>19 (19th ed. 2024).</w:t>
      </w:r>
    </w:p>
  </w:footnote>
  <w:footnote w:id="22">
    <w:p w:rsidR="00686CD2" w:rsidRPr="00686CD2" w14:paraId="1F949EC4" w14:textId="78E0584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i/>
          <w:iCs/>
        </w:rPr>
        <w:t xml:space="preserve">Id. </w:t>
      </w:r>
      <w:r>
        <w:t xml:space="preserve">at </w:t>
      </w:r>
      <w:r w:rsidR="00AA5D22">
        <w:t>1.</w:t>
      </w:r>
    </w:p>
  </w:footnote>
  <w:footnote w:id="23">
    <w:p w:rsidR="00BD66F7" w:rsidRPr="00BD66F7" w14:paraId="1F5D0C11" w14:textId="5778C396">
      <w:pPr>
        <w:pStyle w:val="FootnoteText"/>
      </w:pPr>
      <w:r>
        <w:rPr>
          <w:rStyle w:val="FootnoteReference"/>
        </w:rPr>
        <w:footnoteRef/>
      </w:r>
      <w:r>
        <w:t xml:space="preserve"> Pet. at 21</w:t>
      </w:r>
      <w:r w:rsidR="00B63818">
        <w:t>.</w:t>
      </w:r>
    </w:p>
  </w:footnote>
  <w:footnote w:id="24">
    <w:p w:rsidR="00F46FF9" w:rsidRPr="00F46FF9" w14:paraId="7269B626" w14:textId="10F7BA6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0A79B6">
        <w:t>Public Notice</w:t>
      </w:r>
      <w:r>
        <w:rPr>
          <w:i/>
          <w:iCs/>
        </w:rPr>
        <w:t xml:space="preserve"> </w:t>
      </w:r>
      <w:r>
        <w:t xml:space="preserve">at </w:t>
      </w:r>
      <w:r w:rsidR="00A755C0">
        <w:t xml:space="preserve">1 </w:t>
      </w:r>
      <w:r w:rsidR="000B58D4">
        <w:t>(citing 47 U.S.C. § 315(b)(2)(F)).</w:t>
      </w:r>
    </w:p>
  </w:footnote>
  <w:footnote w:id="25">
    <w:p w:rsidR="00946C5B" w:rsidRPr="00946C5B" w14:paraId="3B95A1FF" w14:textId="0BEF65C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5F50A9">
        <w:rPr>
          <w:i/>
          <w:iCs/>
        </w:rPr>
        <w:t>Id.</w:t>
      </w:r>
      <w:r>
        <w:rPr>
          <w:i/>
          <w:iCs/>
        </w:rPr>
        <w:t xml:space="preserve"> </w:t>
      </w:r>
      <w:r>
        <w:t xml:space="preserve">at </w:t>
      </w:r>
      <w:r w:rsidR="006B5A21">
        <w:t>1</w:t>
      </w:r>
      <w:r w:rsidR="00BC1504">
        <w:t>-2</w:t>
      </w:r>
      <w:r w:rsidR="006B5A21">
        <w:t>.</w:t>
      </w:r>
    </w:p>
  </w:footnote>
  <w:footnote w:id="26">
    <w:p w:rsidR="00785C7F" w14:paraId="27D3976B" w14:textId="7D04B04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i/>
          <w:iCs/>
        </w:rPr>
        <w:t>S</w:t>
      </w:r>
      <w:r w:rsidRPr="00630592">
        <w:rPr>
          <w:i/>
          <w:iCs/>
        </w:rPr>
        <w:t>ee</w:t>
      </w:r>
      <w:r>
        <w:t xml:space="preserve"> 52 U.S.C. § 30102(e)(3)(A)(ii): </w:t>
      </w:r>
      <w:r w:rsidRPr="00630592">
        <w:rPr>
          <w:i/>
          <w:iCs/>
        </w:rPr>
        <w:t>see also</w:t>
      </w:r>
      <w:r>
        <w:t xml:space="preserve"> </w:t>
      </w:r>
      <w:r w:rsidRPr="00785C7F">
        <w:rPr>
          <w:i/>
          <w:iCs/>
        </w:rPr>
        <w:t>id.</w:t>
      </w:r>
      <w:r>
        <w:t xml:space="preserve"> § 30101(6)</w:t>
      </w:r>
      <w:r w:rsidR="008D072C">
        <w:t xml:space="preserve"> (“The term ‘authorized committee’ means the principal campaign committee or any other political committee authorized by a candidate </w:t>
      </w:r>
      <w:r w:rsidR="00EE6658">
        <w:t>under section 30102(e)(1)</w:t>
      </w:r>
      <w:r w:rsidR="00FB0D79">
        <w:t xml:space="preserve"> . . . to receive contributions or make expenditures on behalf of such candidate.”)</w:t>
      </w:r>
      <w:r w:rsidR="00EE6658">
        <w:t>;</w:t>
      </w:r>
      <w:r w:rsidR="00FB0D79">
        <w:t xml:space="preserve"> </w:t>
      </w:r>
      <w:r w:rsidR="00FB0D79">
        <w:rPr>
          <w:i/>
          <w:iCs/>
        </w:rPr>
        <w:t xml:space="preserve">id. </w:t>
      </w:r>
      <w:r w:rsidR="00FB0D79">
        <w:t>§</w:t>
      </w:r>
      <w:r>
        <w:t xml:space="preserve"> 30102(e)(1).</w:t>
      </w:r>
    </w:p>
  </w:footnote>
  <w:footnote w:id="27">
    <w:p w:rsidR="001609F8" w14:paraId="7ABD6AE2" w14:textId="2B05085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5B2B9C">
        <w:rPr>
          <w:i/>
          <w:iCs/>
        </w:rPr>
        <w:t>See</w:t>
      </w:r>
      <w:r w:rsidR="00063C2C">
        <w:t xml:space="preserve"> Br</w:t>
      </w:r>
      <w:r w:rsidR="004A5674">
        <w:t>.</w:t>
      </w:r>
      <w:r w:rsidR="00063C2C">
        <w:t xml:space="preserve"> of Intervenors NRCC &amp; NRSC, </w:t>
      </w:r>
      <w:r w:rsidR="00063C2C">
        <w:rPr>
          <w:i/>
          <w:iCs/>
        </w:rPr>
        <w:t>Brown v. FCC</w:t>
      </w:r>
      <w:r w:rsidR="00063C2C">
        <w:t>, No. 26-1785 (4th Cir. filed July 20, 2026)</w:t>
      </w:r>
      <w:r w:rsidR="00156838">
        <w:t xml:space="preserve">; </w:t>
      </w:r>
      <w:r w:rsidR="004A5674">
        <w:t xml:space="preserve">Br. of </w:t>
      </w:r>
      <w:r w:rsidR="004A5674">
        <w:t>Nat’l</w:t>
      </w:r>
      <w:r w:rsidR="004A5674">
        <w:t xml:space="preserve"> Media </w:t>
      </w:r>
      <w:r w:rsidR="004A5674">
        <w:t>Rsch</w:t>
      </w:r>
      <w:r w:rsidR="004A5674">
        <w:t xml:space="preserve">. Planning &amp; Placement et al., </w:t>
      </w:r>
      <w:r w:rsidR="004A5674">
        <w:rPr>
          <w:i/>
          <w:iCs/>
        </w:rPr>
        <w:t>Brown v. FCC</w:t>
      </w:r>
      <w:r w:rsidR="004A5674">
        <w:t>, No. 26-1785 (4th Cir. filed July 24 , 2026)</w:t>
      </w:r>
      <w:r>
        <w:t>.</w:t>
      </w:r>
    </w:p>
  </w:footnote>
  <w:footnote w:id="28">
    <w:p w:rsidR="00222855" w:rsidRPr="00222855" w14:paraId="2B3112DC" w14:textId="2AB7B0F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i/>
          <w:iCs/>
        </w:rPr>
        <w:t xml:space="preserve">See supra </w:t>
      </w:r>
      <w:r>
        <w:t>note</w:t>
      </w:r>
      <w:r w:rsidR="001D77D8">
        <w:t>s</w:t>
      </w:r>
      <w:r>
        <w:t xml:space="preserve"> </w:t>
      </w:r>
      <w:r w:rsidRPr="00B5773B" w:rsidR="00F460B2">
        <w:t>3</w:t>
      </w:r>
      <w:r w:rsidR="001D77D8">
        <w:t>, 4</w:t>
      </w:r>
      <w:r>
        <w:t>.</w:t>
      </w:r>
    </w:p>
  </w:footnote>
  <w:footnote w:id="29">
    <w:p w:rsidR="004D07C4" w:rsidRPr="004D07C4" w14:paraId="1F7281E0" w14:textId="5112D3AB">
      <w:pPr>
        <w:pStyle w:val="FootnoteText"/>
      </w:pPr>
      <w:r>
        <w:rPr>
          <w:rStyle w:val="FootnoteReference"/>
        </w:rPr>
        <w:footnoteRef/>
      </w:r>
      <w:r>
        <w:t xml:space="preserve"> As noted, </w:t>
      </w:r>
      <w:r>
        <w:rPr>
          <w:i/>
          <w:iCs/>
        </w:rPr>
        <w:t>see supra</w:t>
      </w:r>
      <w:r w:rsidR="00C82E6B">
        <w:rPr>
          <w:i/>
          <w:iCs/>
        </w:rPr>
        <w:t xml:space="preserve"> </w:t>
      </w:r>
      <w:r w:rsidR="00C82E6B">
        <w:t>note</w:t>
      </w:r>
      <w:r>
        <w:rPr>
          <w:i/>
          <w:iCs/>
        </w:rPr>
        <w:t xml:space="preserve"> </w:t>
      </w:r>
      <w:r w:rsidRPr="00B5773B" w:rsidR="00F460B2">
        <w:t>2</w:t>
      </w:r>
      <w:r w:rsidR="00F460B2">
        <w:t xml:space="preserve">, </w:t>
      </w:r>
      <w:r>
        <w:t>we d</w:t>
      </w:r>
      <w:r w:rsidR="00C33E77">
        <w:t>efer action on TVB’s alternative request for a declaratory ruling.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25FB5" w:rsidP="00810B6F" w14:paraId="66CB46D2" w14:textId="10E9FA98">
    <w:pPr>
      <w:pStyle w:val="Header"/>
      <w:rPr>
        <w:b w:val="0"/>
      </w:rPr>
    </w:pPr>
    <w:r>
      <w:tab/>
      <w:t>Federal Communications Commission</w:t>
    </w:r>
    <w:r>
      <w:tab/>
    </w:r>
    <w:r w:rsidR="009B67A9">
      <w:t>DA 26-851</w:t>
    </w:r>
  </w:p>
  <w:p w:rsidR="00D25FB5" w14:paraId="1F68DBB4" w14:textId="2BCA2BBA">
    <w:pPr>
      <w:tabs>
        <w:tab w:val="left" w:pos="-720"/>
      </w:tabs>
      <w:suppressAutoHyphens/>
      <w:spacing w:line="19" w:lineRule="exact"/>
      <w:rPr>
        <w:spacing w:val="-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0" allowOverlap="1">
              <wp:simplePos x="0" y="0"/>
              <wp:positionH relativeFrom="margin">
                <wp:posOffset>0</wp:posOffset>
              </wp:positionH>
              <wp:positionV relativeFrom="paragraph">
                <wp:posOffset>0</wp:posOffset>
              </wp:positionV>
              <wp:extent cx="5943600" cy="12065"/>
              <wp:effectExtent l="0" t="0" r="0" b="0"/>
              <wp:wrapNone/>
              <wp:docPr id="2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43600" cy="1206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ffectLst/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63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xmlns:a="http://schemas.openxmlformats.org/drawingml/2006/main" uri="{AF507438-7753-43E0-B8FC-AC1667EBCBE1}">
                          <a14:hiddenEffects xmlns:a14="http://schemas.microsoft.com/office/drawing/2010/main">
                            <a:effectLst>
                              <a:outerShdw algn="ctr" dir="2700000" dist="35921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2049" style="width:468pt;height:0.95pt;margin-top:0;margin-left:0;mso-height-percent:0;mso-height-relative:page;mso-position-horizontal-relative:margin;mso-width-percent:0;mso-width-relative:page;mso-wrap-distance-bottom:0;mso-wrap-distance-left:9pt;mso-wrap-distance-right:9pt;mso-wrap-distance-top:0;mso-wrap-style:square;position:absolute;visibility:visible;v-text-anchor:top;z-index:-251657216" o:allowincell="f" fillcolor="black" stroked="f" strokeweight="0.05pt">
              <w10:wrap anchorx="margin"/>
            </v:rect>
          </w:pict>
        </mc:Fallback>
      </mc:AlternateContent>
    </w:r>
  </w:p>
  <w:p w:rsidR="00D25FB5" w14:paraId="14C15412" w14:textId="77777777">
    <w:pPr>
      <w:spacing w:after="389" w:line="100" w:lineRule="exact"/>
      <w:rPr>
        <w:sz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25FB5" w:rsidP="00810B6F" w14:paraId="7C19831B" w14:textId="7C7BE50D">
    <w:pPr>
      <w:pStyle w:val="Header"/>
      <w:rPr>
        <w:b w:val="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0" allowOverlap="1">
              <wp:simplePos x="0" y="0"/>
              <wp:positionH relativeFrom="margin">
                <wp:posOffset>7620</wp:posOffset>
              </wp:positionH>
              <wp:positionV relativeFrom="paragraph">
                <wp:posOffset>160655</wp:posOffset>
              </wp:positionV>
              <wp:extent cx="5943600" cy="12065"/>
              <wp:effectExtent l="0" t="0" r="0" b="0"/>
              <wp:wrapNone/>
              <wp:docPr id="1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43600" cy="1206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ffectLst/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63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xmlns:a="http://schemas.openxmlformats.org/drawingml/2006/main" uri="{AF507438-7753-43E0-B8FC-AC1667EBCBE1}">
                          <a14:hiddenEffects xmlns:a14="http://schemas.microsoft.com/office/drawing/2010/main">
                            <a:effectLst>
                              <a:outerShdw algn="ctr" dir="2700000" dist="35921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3" o:spid="_x0000_s2050" style="width:468pt;height:0.95pt;margin-top:12.65pt;margin-left:0.6pt;mso-height-percent:0;mso-height-relative:page;mso-position-horizontal-relative:margin;mso-width-percent:0;mso-width-relative:page;mso-wrap-distance-bottom:0;mso-wrap-distance-left:9pt;mso-wrap-distance-right:9pt;mso-wrap-distance-top:0;mso-wrap-style:square;position:absolute;visibility:visible;v-text-anchor:top;z-index:-251655168" o:allowincell="f" fillcolor="black" stroked="f" strokeweight="0.05pt">
              <w10:wrap anchorx="margin"/>
            </v:rect>
          </w:pict>
        </mc:Fallback>
      </mc:AlternateContent>
    </w:r>
    <w:r>
      <w:tab/>
      <w:t>Federal Communications Commission</w:t>
    </w:r>
    <w:r>
      <w:tab/>
    </w:r>
    <w:r w:rsidR="009B67A9">
      <w:rPr>
        <w:spacing w:val="-2"/>
      </w:rPr>
      <w:t>DA 26-851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84B453C"/>
    <w:multiLevelType w:val="singleLevel"/>
    <w:tmpl w:val="40A8E97A"/>
    <w:lvl w:ilvl="0">
      <w:start w:val="1"/>
      <w:numFmt w:val="decimal"/>
      <w:lvlText w:val="%1."/>
      <w:lvlJc w:val="left"/>
      <w:pPr>
        <w:tabs>
          <w:tab w:val="num" w:pos="1080"/>
        </w:tabs>
        <w:ind w:left="0" w:firstLine="720"/>
      </w:pPr>
    </w:lvl>
  </w:abstractNum>
  <w:abstractNum w:abstractNumId="1">
    <w:nsid w:val="23F40A0F"/>
    <w:multiLevelType w:val="singleLevel"/>
    <w:tmpl w:val="3244DD0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248246F3"/>
    <w:multiLevelType w:val="singleLevel"/>
    <w:tmpl w:val="B1F45678"/>
    <w:lvl w:ilvl="0">
      <w:start w:val="1"/>
      <w:numFmt w:val="decimal"/>
      <w:lvlText w:val="%1."/>
      <w:lvlJc w:val="left"/>
      <w:pPr>
        <w:tabs>
          <w:tab w:val="num" w:pos="1080"/>
        </w:tabs>
        <w:ind w:left="0" w:firstLine="720"/>
      </w:pPr>
    </w:lvl>
  </w:abstractNum>
  <w:abstractNum w:abstractNumId="3">
    <w:nsid w:val="27E06CBB"/>
    <w:multiLevelType w:val="multilevel"/>
    <w:tmpl w:val="F1A86982"/>
    <w:lvl w:ilvl="0">
      <w:start w:val="1"/>
      <w:numFmt w:val="upperRoman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upperLetter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lowerRoman"/>
      <w:pStyle w:val="Heading5"/>
      <w:lvlText w:val="(%5)"/>
      <w:lvlJc w:val="left"/>
      <w:pPr>
        <w:tabs>
          <w:tab w:val="num" w:pos="3600"/>
        </w:tabs>
        <w:ind w:left="3600" w:hanging="720"/>
      </w:pPr>
    </w:lvl>
    <w:lvl w:ilvl="5">
      <w:start w:val="1"/>
      <w:numFmt w:val="lowerLetter"/>
      <w:pStyle w:val="Heading6"/>
      <w:lvlText w:val="(%6)"/>
      <w:lvlJc w:val="left"/>
      <w:pPr>
        <w:tabs>
          <w:tab w:val="num" w:pos="4320"/>
        </w:tabs>
        <w:ind w:left="4320" w:hanging="720"/>
      </w:pPr>
    </w:lvl>
    <w:lvl w:ilvl="6">
      <w:start w:val="1"/>
      <w:numFmt w:val="lowerRoman"/>
      <w:pStyle w:val="Heading7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4">
    <w:nsid w:val="4DF61CE4"/>
    <w:multiLevelType w:val="multilevel"/>
    <w:tmpl w:val="F1A86982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lowerRoman"/>
      <w:lvlText w:val="(%5)"/>
      <w:lvlJc w:val="left"/>
      <w:pPr>
        <w:tabs>
          <w:tab w:val="num" w:pos="3600"/>
        </w:tabs>
        <w:ind w:left="3600" w:hanging="720"/>
      </w:pPr>
    </w:lvl>
    <w:lvl w:ilvl="5">
      <w:start w:val="1"/>
      <w:numFmt w:val="lowerLetter"/>
      <w:lvlText w:val="(%6)"/>
      <w:lvlJc w:val="left"/>
      <w:pPr>
        <w:tabs>
          <w:tab w:val="num" w:pos="4320"/>
        </w:tabs>
        <w:ind w:left="4320" w:hanging="72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5">
    <w:nsid w:val="61182925"/>
    <w:multiLevelType w:val="singleLevel"/>
    <w:tmpl w:val="A9EE9842"/>
    <w:lvl w:ilvl="0">
      <w:start w:val="1"/>
      <w:numFmt w:val="decimal"/>
      <w:pStyle w:val="ParaNum"/>
      <w:lvlText w:val="%1."/>
      <w:lvlJc w:val="left"/>
      <w:pPr>
        <w:tabs>
          <w:tab w:val="num" w:pos="1080"/>
        </w:tabs>
        <w:ind w:left="0" w:firstLine="720"/>
      </w:pPr>
    </w:lvl>
  </w:abstractNum>
  <w:abstractNum w:abstractNumId="6">
    <w:nsid w:val="666D3999"/>
    <w:multiLevelType w:val="hybridMultilevel"/>
    <w:tmpl w:val="CAEC5ABC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581E1F"/>
    <w:multiLevelType w:val="hybridMultilevel"/>
    <w:tmpl w:val="86D8B75C"/>
    <w:lvl w:ilvl="0">
      <w:start w:val="1"/>
      <w:numFmt w:val="decimal"/>
      <w:lvlText w:val="%1)"/>
      <w:lvlJc w:val="left"/>
      <w:pPr>
        <w:ind w:left="1020" w:hanging="360"/>
      </w:pPr>
    </w:lvl>
    <w:lvl w:ilvl="1">
      <w:start w:val="1"/>
      <w:numFmt w:val="decimal"/>
      <w:lvlText w:val="%2)"/>
      <w:lvlJc w:val="left"/>
      <w:pPr>
        <w:ind w:left="1020" w:hanging="360"/>
      </w:pPr>
    </w:lvl>
    <w:lvl w:ilvl="2">
      <w:start w:val="1"/>
      <w:numFmt w:val="decimal"/>
      <w:lvlText w:val="%3)"/>
      <w:lvlJc w:val="left"/>
      <w:pPr>
        <w:ind w:left="1020" w:hanging="360"/>
      </w:pPr>
    </w:lvl>
    <w:lvl w:ilvl="3">
      <w:start w:val="1"/>
      <w:numFmt w:val="decimal"/>
      <w:lvlText w:val="%4)"/>
      <w:lvlJc w:val="left"/>
      <w:pPr>
        <w:ind w:left="1020" w:hanging="360"/>
      </w:pPr>
    </w:lvl>
    <w:lvl w:ilvl="4">
      <w:start w:val="1"/>
      <w:numFmt w:val="decimal"/>
      <w:lvlText w:val="%5)"/>
      <w:lvlJc w:val="left"/>
      <w:pPr>
        <w:ind w:left="1020" w:hanging="360"/>
      </w:pPr>
    </w:lvl>
    <w:lvl w:ilvl="5">
      <w:start w:val="1"/>
      <w:numFmt w:val="decimal"/>
      <w:lvlText w:val="%6)"/>
      <w:lvlJc w:val="left"/>
      <w:pPr>
        <w:ind w:left="1020" w:hanging="360"/>
      </w:pPr>
    </w:lvl>
    <w:lvl w:ilvl="6">
      <w:start w:val="1"/>
      <w:numFmt w:val="decimal"/>
      <w:lvlText w:val="%7)"/>
      <w:lvlJc w:val="left"/>
      <w:pPr>
        <w:ind w:left="1020" w:hanging="360"/>
      </w:pPr>
    </w:lvl>
    <w:lvl w:ilvl="7">
      <w:start w:val="1"/>
      <w:numFmt w:val="decimal"/>
      <w:lvlText w:val="%8)"/>
      <w:lvlJc w:val="left"/>
      <w:pPr>
        <w:ind w:left="1020" w:hanging="360"/>
      </w:pPr>
    </w:lvl>
    <w:lvl w:ilvl="8">
      <w:start w:val="1"/>
      <w:numFmt w:val="decimal"/>
      <w:lvlText w:val="%9)"/>
      <w:lvlJc w:val="left"/>
      <w:pPr>
        <w:ind w:left="1020" w:hanging="360"/>
      </w:pPr>
    </w:lvl>
  </w:abstractNum>
  <w:num w:numId="1" w16cid:durableId="1755929373">
    <w:abstractNumId w:val="1"/>
  </w:num>
  <w:num w:numId="2" w16cid:durableId="1123766484">
    <w:abstractNumId w:val="5"/>
  </w:num>
  <w:num w:numId="3" w16cid:durableId="265893593">
    <w:abstractNumId w:val="3"/>
  </w:num>
  <w:num w:numId="4" w16cid:durableId="1470584864">
    <w:abstractNumId w:val="4"/>
  </w:num>
  <w:num w:numId="5" w16cid:durableId="157618295">
    <w:abstractNumId w:val="2"/>
  </w:num>
  <w:num w:numId="6" w16cid:durableId="1326594846">
    <w:abstractNumId w:val="0"/>
  </w:num>
  <w:num w:numId="7" w16cid:durableId="1537808787">
    <w:abstractNumId w:val="7"/>
  </w:num>
  <w:num w:numId="8" w16cid:durableId="12284587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attachedTemplate r:id="rId1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95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  <w:footnote w:id="2"/>
  </w:footnotePr>
  <w:endnotePr>
    <w:numFmt w:val="decimal"/>
    <w:endnote w:id="0"/>
    <w:endnote w:id="1"/>
    <w:endnote w:id="2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6C5"/>
    <w:rsid w:val="000000C0"/>
    <w:rsid w:val="00000F55"/>
    <w:rsid w:val="0000184F"/>
    <w:rsid w:val="00001F61"/>
    <w:rsid w:val="00002F36"/>
    <w:rsid w:val="00003F1A"/>
    <w:rsid w:val="000057AC"/>
    <w:rsid w:val="00010041"/>
    <w:rsid w:val="0001091F"/>
    <w:rsid w:val="00010DCD"/>
    <w:rsid w:val="000122A8"/>
    <w:rsid w:val="000137D7"/>
    <w:rsid w:val="00013929"/>
    <w:rsid w:val="00014311"/>
    <w:rsid w:val="00014786"/>
    <w:rsid w:val="00016711"/>
    <w:rsid w:val="0002028A"/>
    <w:rsid w:val="00020E38"/>
    <w:rsid w:val="000216B1"/>
    <w:rsid w:val="00022B3A"/>
    <w:rsid w:val="000233E4"/>
    <w:rsid w:val="00023A76"/>
    <w:rsid w:val="00023D8F"/>
    <w:rsid w:val="00026ABB"/>
    <w:rsid w:val="00027737"/>
    <w:rsid w:val="000307F4"/>
    <w:rsid w:val="00031E34"/>
    <w:rsid w:val="00033188"/>
    <w:rsid w:val="00033BD5"/>
    <w:rsid w:val="00033C05"/>
    <w:rsid w:val="000353D9"/>
    <w:rsid w:val="00036039"/>
    <w:rsid w:val="00036110"/>
    <w:rsid w:val="00037F90"/>
    <w:rsid w:val="00040171"/>
    <w:rsid w:val="0004127A"/>
    <w:rsid w:val="0004329E"/>
    <w:rsid w:val="000439AF"/>
    <w:rsid w:val="00043FB8"/>
    <w:rsid w:val="00045E9E"/>
    <w:rsid w:val="00045EE9"/>
    <w:rsid w:val="00046C05"/>
    <w:rsid w:val="00047E61"/>
    <w:rsid w:val="00051BF4"/>
    <w:rsid w:val="00053086"/>
    <w:rsid w:val="000532B9"/>
    <w:rsid w:val="00053973"/>
    <w:rsid w:val="000543D9"/>
    <w:rsid w:val="00054941"/>
    <w:rsid w:val="0005688A"/>
    <w:rsid w:val="00057232"/>
    <w:rsid w:val="000573EE"/>
    <w:rsid w:val="00057F1E"/>
    <w:rsid w:val="0006049E"/>
    <w:rsid w:val="00061C73"/>
    <w:rsid w:val="000628B4"/>
    <w:rsid w:val="00063C2C"/>
    <w:rsid w:val="00064DFE"/>
    <w:rsid w:val="000659AA"/>
    <w:rsid w:val="00066B0E"/>
    <w:rsid w:val="000705E3"/>
    <w:rsid w:val="00071F7C"/>
    <w:rsid w:val="00073D2A"/>
    <w:rsid w:val="00074032"/>
    <w:rsid w:val="0007479C"/>
    <w:rsid w:val="0007504E"/>
    <w:rsid w:val="00076F58"/>
    <w:rsid w:val="000772EC"/>
    <w:rsid w:val="0007787A"/>
    <w:rsid w:val="000806C4"/>
    <w:rsid w:val="00082036"/>
    <w:rsid w:val="0008213A"/>
    <w:rsid w:val="00084971"/>
    <w:rsid w:val="000875BF"/>
    <w:rsid w:val="00091264"/>
    <w:rsid w:val="00091CF9"/>
    <w:rsid w:val="00093399"/>
    <w:rsid w:val="00093F33"/>
    <w:rsid w:val="000953FA"/>
    <w:rsid w:val="00095C05"/>
    <w:rsid w:val="00096D8C"/>
    <w:rsid w:val="000A05F5"/>
    <w:rsid w:val="000A0C77"/>
    <w:rsid w:val="000A15D5"/>
    <w:rsid w:val="000A17C2"/>
    <w:rsid w:val="000A37E2"/>
    <w:rsid w:val="000A42AA"/>
    <w:rsid w:val="000A4757"/>
    <w:rsid w:val="000A5CB3"/>
    <w:rsid w:val="000A5FAF"/>
    <w:rsid w:val="000A608E"/>
    <w:rsid w:val="000A63D7"/>
    <w:rsid w:val="000A65E4"/>
    <w:rsid w:val="000A717A"/>
    <w:rsid w:val="000A79B6"/>
    <w:rsid w:val="000A7E25"/>
    <w:rsid w:val="000B05B0"/>
    <w:rsid w:val="000B066D"/>
    <w:rsid w:val="000B1895"/>
    <w:rsid w:val="000B2494"/>
    <w:rsid w:val="000B250E"/>
    <w:rsid w:val="000B2589"/>
    <w:rsid w:val="000B2706"/>
    <w:rsid w:val="000B303D"/>
    <w:rsid w:val="000B3651"/>
    <w:rsid w:val="000B490E"/>
    <w:rsid w:val="000B4BC9"/>
    <w:rsid w:val="000B4F5D"/>
    <w:rsid w:val="000B58D4"/>
    <w:rsid w:val="000B69B5"/>
    <w:rsid w:val="000B6B02"/>
    <w:rsid w:val="000B727D"/>
    <w:rsid w:val="000B74B8"/>
    <w:rsid w:val="000B76DD"/>
    <w:rsid w:val="000B772C"/>
    <w:rsid w:val="000C02F7"/>
    <w:rsid w:val="000C0B65"/>
    <w:rsid w:val="000C1A0D"/>
    <w:rsid w:val="000C1E44"/>
    <w:rsid w:val="000C3D75"/>
    <w:rsid w:val="000C41DE"/>
    <w:rsid w:val="000C441E"/>
    <w:rsid w:val="000C48B1"/>
    <w:rsid w:val="000C4A1E"/>
    <w:rsid w:val="000C550C"/>
    <w:rsid w:val="000C5B2D"/>
    <w:rsid w:val="000C6A12"/>
    <w:rsid w:val="000D0D6E"/>
    <w:rsid w:val="000D1E21"/>
    <w:rsid w:val="000D2173"/>
    <w:rsid w:val="000D2C25"/>
    <w:rsid w:val="000D3B77"/>
    <w:rsid w:val="000D6781"/>
    <w:rsid w:val="000E05FE"/>
    <w:rsid w:val="000E1D7E"/>
    <w:rsid w:val="000E2059"/>
    <w:rsid w:val="000E3D42"/>
    <w:rsid w:val="000E41C7"/>
    <w:rsid w:val="000E4862"/>
    <w:rsid w:val="000E4F76"/>
    <w:rsid w:val="000E7177"/>
    <w:rsid w:val="000F3CED"/>
    <w:rsid w:val="000F5D21"/>
    <w:rsid w:val="000F7A7E"/>
    <w:rsid w:val="000F7BD7"/>
    <w:rsid w:val="00101112"/>
    <w:rsid w:val="0010129E"/>
    <w:rsid w:val="0010164F"/>
    <w:rsid w:val="0010249E"/>
    <w:rsid w:val="00103833"/>
    <w:rsid w:val="00103C30"/>
    <w:rsid w:val="00104E6C"/>
    <w:rsid w:val="00105484"/>
    <w:rsid w:val="0010599D"/>
    <w:rsid w:val="00107011"/>
    <w:rsid w:val="00110B2F"/>
    <w:rsid w:val="00113B9F"/>
    <w:rsid w:val="001144C8"/>
    <w:rsid w:val="00114D0D"/>
    <w:rsid w:val="001156C5"/>
    <w:rsid w:val="00115BA8"/>
    <w:rsid w:val="0011702C"/>
    <w:rsid w:val="00117F62"/>
    <w:rsid w:val="00120833"/>
    <w:rsid w:val="00120F4D"/>
    <w:rsid w:val="00122BD5"/>
    <w:rsid w:val="00122F4C"/>
    <w:rsid w:val="00123D50"/>
    <w:rsid w:val="0012645B"/>
    <w:rsid w:val="00126B00"/>
    <w:rsid w:val="001300CC"/>
    <w:rsid w:val="00130A9D"/>
    <w:rsid w:val="00130C45"/>
    <w:rsid w:val="00131A36"/>
    <w:rsid w:val="00132BE0"/>
    <w:rsid w:val="00133367"/>
    <w:rsid w:val="001333D9"/>
    <w:rsid w:val="001337A3"/>
    <w:rsid w:val="00133F79"/>
    <w:rsid w:val="00134958"/>
    <w:rsid w:val="00134C5A"/>
    <w:rsid w:val="00135FC2"/>
    <w:rsid w:val="00136913"/>
    <w:rsid w:val="001372BA"/>
    <w:rsid w:val="00137304"/>
    <w:rsid w:val="001376E9"/>
    <w:rsid w:val="00137738"/>
    <w:rsid w:val="0013795A"/>
    <w:rsid w:val="00137DB1"/>
    <w:rsid w:val="0014042C"/>
    <w:rsid w:val="001439DE"/>
    <w:rsid w:val="00145830"/>
    <w:rsid w:val="00145D6E"/>
    <w:rsid w:val="00146562"/>
    <w:rsid w:val="001474B4"/>
    <w:rsid w:val="00147D18"/>
    <w:rsid w:val="001509BD"/>
    <w:rsid w:val="00151726"/>
    <w:rsid w:val="00152886"/>
    <w:rsid w:val="001528CB"/>
    <w:rsid w:val="00152A49"/>
    <w:rsid w:val="001534B6"/>
    <w:rsid w:val="00156838"/>
    <w:rsid w:val="00156BFD"/>
    <w:rsid w:val="00160839"/>
    <w:rsid w:val="001609F8"/>
    <w:rsid w:val="00162839"/>
    <w:rsid w:val="0016343F"/>
    <w:rsid w:val="0016463E"/>
    <w:rsid w:val="00165327"/>
    <w:rsid w:val="00165365"/>
    <w:rsid w:val="00165DA1"/>
    <w:rsid w:val="00166C86"/>
    <w:rsid w:val="00166F4B"/>
    <w:rsid w:val="00166F8B"/>
    <w:rsid w:val="0016789D"/>
    <w:rsid w:val="00167C4A"/>
    <w:rsid w:val="00172192"/>
    <w:rsid w:val="0017373C"/>
    <w:rsid w:val="0017398D"/>
    <w:rsid w:val="00173D3E"/>
    <w:rsid w:val="0017483F"/>
    <w:rsid w:val="00175227"/>
    <w:rsid w:val="00175417"/>
    <w:rsid w:val="00175489"/>
    <w:rsid w:val="00175847"/>
    <w:rsid w:val="001770E7"/>
    <w:rsid w:val="00177FC8"/>
    <w:rsid w:val="00181F38"/>
    <w:rsid w:val="00182132"/>
    <w:rsid w:val="00182B87"/>
    <w:rsid w:val="00183F61"/>
    <w:rsid w:val="00184D4B"/>
    <w:rsid w:val="00186EFF"/>
    <w:rsid w:val="00186FF2"/>
    <w:rsid w:val="00187143"/>
    <w:rsid w:val="00187760"/>
    <w:rsid w:val="001900BF"/>
    <w:rsid w:val="00190488"/>
    <w:rsid w:val="00191780"/>
    <w:rsid w:val="00191E60"/>
    <w:rsid w:val="001930F4"/>
    <w:rsid w:val="001936C3"/>
    <w:rsid w:val="00194A66"/>
    <w:rsid w:val="0019716C"/>
    <w:rsid w:val="001A1C86"/>
    <w:rsid w:val="001A2890"/>
    <w:rsid w:val="001A306F"/>
    <w:rsid w:val="001A33B1"/>
    <w:rsid w:val="001A3AA1"/>
    <w:rsid w:val="001A3CBB"/>
    <w:rsid w:val="001A5C45"/>
    <w:rsid w:val="001A5D36"/>
    <w:rsid w:val="001A7858"/>
    <w:rsid w:val="001A7DEA"/>
    <w:rsid w:val="001B014E"/>
    <w:rsid w:val="001B07B2"/>
    <w:rsid w:val="001B0953"/>
    <w:rsid w:val="001B2178"/>
    <w:rsid w:val="001B2B55"/>
    <w:rsid w:val="001B5180"/>
    <w:rsid w:val="001B554E"/>
    <w:rsid w:val="001B5FE3"/>
    <w:rsid w:val="001C077F"/>
    <w:rsid w:val="001C119B"/>
    <w:rsid w:val="001C179C"/>
    <w:rsid w:val="001C18E4"/>
    <w:rsid w:val="001C20FB"/>
    <w:rsid w:val="001C385F"/>
    <w:rsid w:val="001C4643"/>
    <w:rsid w:val="001C59FE"/>
    <w:rsid w:val="001C5DB9"/>
    <w:rsid w:val="001C777A"/>
    <w:rsid w:val="001D3D8D"/>
    <w:rsid w:val="001D5ED0"/>
    <w:rsid w:val="001D6BCF"/>
    <w:rsid w:val="001D6EE2"/>
    <w:rsid w:val="001D7166"/>
    <w:rsid w:val="001D77D8"/>
    <w:rsid w:val="001D7CDD"/>
    <w:rsid w:val="001E0028"/>
    <w:rsid w:val="001E01CA"/>
    <w:rsid w:val="001E17E4"/>
    <w:rsid w:val="001E21E3"/>
    <w:rsid w:val="001E226D"/>
    <w:rsid w:val="001E3296"/>
    <w:rsid w:val="001E4051"/>
    <w:rsid w:val="001E4FF8"/>
    <w:rsid w:val="001E53C4"/>
    <w:rsid w:val="001E5724"/>
    <w:rsid w:val="001E5853"/>
    <w:rsid w:val="001E5B3B"/>
    <w:rsid w:val="001F0734"/>
    <w:rsid w:val="001F1BDB"/>
    <w:rsid w:val="001F1EE7"/>
    <w:rsid w:val="001F3D24"/>
    <w:rsid w:val="001F3D27"/>
    <w:rsid w:val="001F426A"/>
    <w:rsid w:val="001F4DF2"/>
    <w:rsid w:val="001F57B4"/>
    <w:rsid w:val="001F66BB"/>
    <w:rsid w:val="001F70EA"/>
    <w:rsid w:val="001F7836"/>
    <w:rsid w:val="00201877"/>
    <w:rsid w:val="002022E1"/>
    <w:rsid w:val="00203906"/>
    <w:rsid w:val="00203C26"/>
    <w:rsid w:val="00205578"/>
    <w:rsid w:val="00207185"/>
    <w:rsid w:val="00207632"/>
    <w:rsid w:val="00215197"/>
    <w:rsid w:val="002155A5"/>
    <w:rsid w:val="002169D6"/>
    <w:rsid w:val="002222C6"/>
    <w:rsid w:val="00222855"/>
    <w:rsid w:val="0022390E"/>
    <w:rsid w:val="0022391D"/>
    <w:rsid w:val="00223DC5"/>
    <w:rsid w:val="002300C2"/>
    <w:rsid w:val="00231053"/>
    <w:rsid w:val="0023388D"/>
    <w:rsid w:val="002343C9"/>
    <w:rsid w:val="00235E04"/>
    <w:rsid w:val="00236735"/>
    <w:rsid w:val="002372C7"/>
    <w:rsid w:val="00240CEB"/>
    <w:rsid w:val="00245C16"/>
    <w:rsid w:val="00245C34"/>
    <w:rsid w:val="00247950"/>
    <w:rsid w:val="00250375"/>
    <w:rsid w:val="00250F65"/>
    <w:rsid w:val="002515C8"/>
    <w:rsid w:val="002517F2"/>
    <w:rsid w:val="00251A41"/>
    <w:rsid w:val="002522B5"/>
    <w:rsid w:val="00254E7E"/>
    <w:rsid w:val="002565FB"/>
    <w:rsid w:val="00257CCD"/>
    <w:rsid w:val="002609D0"/>
    <w:rsid w:val="00261E54"/>
    <w:rsid w:val="002620C9"/>
    <w:rsid w:val="00262D46"/>
    <w:rsid w:val="00263517"/>
    <w:rsid w:val="00263AB5"/>
    <w:rsid w:val="002641F3"/>
    <w:rsid w:val="00264C5A"/>
    <w:rsid w:val="00266F04"/>
    <w:rsid w:val="00267340"/>
    <w:rsid w:val="00270A61"/>
    <w:rsid w:val="00270D3F"/>
    <w:rsid w:val="0027148D"/>
    <w:rsid w:val="00275156"/>
    <w:rsid w:val="00275CF5"/>
    <w:rsid w:val="0027624F"/>
    <w:rsid w:val="00276CD0"/>
    <w:rsid w:val="00277A47"/>
    <w:rsid w:val="00280B59"/>
    <w:rsid w:val="0028123A"/>
    <w:rsid w:val="0028301F"/>
    <w:rsid w:val="00283524"/>
    <w:rsid w:val="00284DC1"/>
    <w:rsid w:val="00285017"/>
    <w:rsid w:val="00285290"/>
    <w:rsid w:val="00285316"/>
    <w:rsid w:val="00285770"/>
    <w:rsid w:val="00286033"/>
    <w:rsid w:val="00286159"/>
    <w:rsid w:val="002861AD"/>
    <w:rsid w:val="0028764B"/>
    <w:rsid w:val="00287975"/>
    <w:rsid w:val="002879E0"/>
    <w:rsid w:val="00287ACD"/>
    <w:rsid w:val="00290816"/>
    <w:rsid w:val="00290CE9"/>
    <w:rsid w:val="00290EC3"/>
    <w:rsid w:val="002920BE"/>
    <w:rsid w:val="00292214"/>
    <w:rsid w:val="0029296B"/>
    <w:rsid w:val="00292C6F"/>
    <w:rsid w:val="00293812"/>
    <w:rsid w:val="00293DD6"/>
    <w:rsid w:val="0029402F"/>
    <w:rsid w:val="0029421C"/>
    <w:rsid w:val="002952A6"/>
    <w:rsid w:val="00295F0F"/>
    <w:rsid w:val="002978A0"/>
    <w:rsid w:val="00297AB9"/>
    <w:rsid w:val="002A18FB"/>
    <w:rsid w:val="002A23F4"/>
    <w:rsid w:val="002A2D2E"/>
    <w:rsid w:val="002A3699"/>
    <w:rsid w:val="002A4806"/>
    <w:rsid w:val="002A6B10"/>
    <w:rsid w:val="002B03E1"/>
    <w:rsid w:val="002B0753"/>
    <w:rsid w:val="002B23DB"/>
    <w:rsid w:val="002B3611"/>
    <w:rsid w:val="002B4264"/>
    <w:rsid w:val="002B45F0"/>
    <w:rsid w:val="002B5A53"/>
    <w:rsid w:val="002B6148"/>
    <w:rsid w:val="002B7077"/>
    <w:rsid w:val="002B7C3E"/>
    <w:rsid w:val="002C00E8"/>
    <w:rsid w:val="002C0115"/>
    <w:rsid w:val="002C042E"/>
    <w:rsid w:val="002C06DC"/>
    <w:rsid w:val="002C07DF"/>
    <w:rsid w:val="002C1478"/>
    <w:rsid w:val="002C1D1C"/>
    <w:rsid w:val="002C1D5A"/>
    <w:rsid w:val="002C4FC0"/>
    <w:rsid w:val="002C5A2E"/>
    <w:rsid w:val="002D0CC9"/>
    <w:rsid w:val="002D1ABB"/>
    <w:rsid w:val="002D27CC"/>
    <w:rsid w:val="002D2954"/>
    <w:rsid w:val="002D2F35"/>
    <w:rsid w:val="002D3590"/>
    <w:rsid w:val="002D3BCB"/>
    <w:rsid w:val="002D44D5"/>
    <w:rsid w:val="002D63D2"/>
    <w:rsid w:val="002D64E4"/>
    <w:rsid w:val="002D7A9A"/>
    <w:rsid w:val="002D7FF5"/>
    <w:rsid w:val="002E03ED"/>
    <w:rsid w:val="002E0DA2"/>
    <w:rsid w:val="002E1110"/>
    <w:rsid w:val="002E2199"/>
    <w:rsid w:val="002E2375"/>
    <w:rsid w:val="002E2CF3"/>
    <w:rsid w:val="002E360A"/>
    <w:rsid w:val="002E3860"/>
    <w:rsid w:val="002E3874"/>
    <w:rsid w:val="002E4F8D"/>
    <w:rsid w:val="002E5E4B"/>
    <w:rsid w:val="002E7244"/>
    <w:rsid w:val="002E72B0"/>
    <w:rsid w:val="002E7A76"/>
    <w:rsid w:val="002F0224"/>
    <w:rsid w:val="002F0CB7"/>
    <w:rsid w:val="002F2C57"/>
    <w:rsid w:val="002F3B9D"/>
    <w:rsid w:val="002F3C5F"/>
    <w:rsid w:val="002F3F4D"/>
    <w:rsid w:val="002F4884"/>
    <w:rsid w:val="002F6266"/>
    <w:rsid w:val="002F74B5"/>
    <w:rsid w:val="00300829"/>
    <w:rsid w:val="00302060"/>
    <w:rsid w:val="00304FBE"/>
    <w:rsid w:val="0030586F"/>
    <w:rsid w:val="00306724"/>
    <w:rsid w:val="00306E63"/>
    <w:rsid w:val="0030721E"/>
    <w:rsid w:val="00310E05"/>
    <w:rsid w:val="00311320"/>
    <w:rsid w:val="00312C10"/>
    <w:rsid w:val="00312E96"/>
    <w:rsid w:val="0031306D"/>
    <w:rsid w:val="003132C1"/>
    <w:rsid w:val="00314694"/>
    <w:rsid w:val="00316262"/>
    <w:rsid w:val="00317356"/>
    <w:rsid w:val="00317938"/>
    <w:rsid w:val="00317A80"/>
    <w:rsid w:val="00320351"/>
    <w:rsid w:val="003242C3"/>
    <w:rsid w:val="00324879"/>
    <w:rsid w:val="0032619A"/>
    <w:rsid w:val="003270EC"/>
    <w:rsid w:val="00327B2A"/>
    <w:rsid w:val="00327CFD"/>
    <w:rsid w:val="00330F8A"/>
    <w:rsid w:val="003313D6"/>
    <w:rsid w:val="003314F5"/>
    <w:rsid w:val="0033172A"/>
    <w:rsid w:val="00332260"/>
    <w:rsid w:val="00333297"/>
    <w:rsid w:val="00333752"/>
    <w:rsid w:val="00334465"/>
    <w:rsid w:val="00334EBC"/>
    <w:rsid w:val="003353EE"/>
    <w:rsid w:val="00335C04"/>
    <w:rsid w:val="003364CD"/>
    <w:rsid w:val="00336B74"/>
    <w:rsid w:val="00337AA2"/>
    <w:rsid w:val="00343032"/>
    <w:rsid w:val="00343749"/>
    <w:rsid w:val="0034457F"/>
    <w:rsid w:val="00344D96"/>
    <w:rsid w:val="00344E57"/>
    <w:rsid w:val="00344EE6"/>
    <w:rsid w:val="0034504B"/>
    <w:rsid w:val="00346410"/>
    <w:rsid w:val="00346659"/>
    <w:rsid w:val="00346C46"/>
    <w:rsid w:val="003478CB"/>
    <w:rsid w:val="00350A00"/>
    <w:rsid w:val="00350DDA"/>
    <w:rsid w:val="00351C9A"/>
    <w:rsid w:val="003526B0"/>
    <w:rsid w:val="0035378E"/>
    <w:rsid w:val="00353EE1"/>
    <w:rsid w:val="003543CB"/>
    <w:rsid w:val="003559BD"/>
    <w:rsid w:val="00356BD9"/>
    <w:rsid w:val="00356C26"/>
    <w:rsid w:val="00357693"/>
    <w:rsid w:val="00360676"/>
    <w:rsid w:val="00360ADC"/>
    <w:rsid w:val="003628FD"/>
    <w:rsid w:val="00362CF6"/>
    <w:rsid w:val="00363535"/>
    <w:rsid w:val="00364930"/>
    <w:rsid w:val="00364CF6"/>
    <w:rsid w:val="0036542D"/>
    <w:rsid w:val="003660ED"/>
    <w:rsid w:val="00366A83"/>
    <w:rsid w:val="00366C28"/>
    <w:rsid w:val="00366F8B"/>
    <w:rsid w:val="00367CA4"/>
    <w:rsid w:val="003708CC"/>
    <w:rsid w:val="0037097B"/>
    <w:rsid w:val="00370B9A"/>
    <w:rsid w:val="003722F1"/>
    <w:rsid w:val="00373624"/>
    <w:rsid w:val="00373FB0"/>
    <w:rsid w:val="00377BCA"/>
    <w:rsid w:val="00377DBA"/>
    <w:rsid w:val="00380DC0"/>
    <w:rsid w:val="00381A5C"/>
    <w:rsid w:val="00381B8C"/>
    <w:rsid w:val="00383037"/>
    <w:rsid w:val="0038327E"/>
    <w:rsid w:val="00383C48"/>
    <w:rsid w:val="003842EF"/>
    <w:rsid w:val="003856E2"/>
    <w:rsid w:val="00386037"/>
    <w:rsid w:val="003909E3"/>
    <w:rsid w:val="00391868"/>
    <w:rsid w:val="003921E1"/>
    <w:rsid w:val="0039355E"/>
    <w:rsid w:val="0039380A"/>
    <w:rsid w:val="00393878"/>
    <w:rsid w:val="0039580B"/>
    <w:rsid w:val="003964E3"/>
    <w:rsid w:val="00396DC5"/>
    <w:rsid w:val="00396E19"/>
    <w:rsid w:val="003A0D3E"/>
    <w:rsid w:val="003A11D7"/>
    <w:rsid w:val="003A22B3"/>
    <w:rsid w:val="003A23DF"/>
    <w:rsid w:val="003A3550"/>
    <w:rsid w:val="003A38E4"/>
    <w:rsid w:val="003A4F56"/>
    <w:rsid w:val="003A5359"/>
    <w:rsid w:val="003A58EB"/>
    <w:rsid w:val="003A5D57"/>
    <w:rsid w:val="003A6547"/>
    <w:rsid w:val="003A74F5"/>
    <w:rsid w:val="003A7BD1"/>
    <w:rsid w:val="003B01B5"/>
    <w:rsid w:val="003B0550"/>
    <w:rsid w:val="003B0865"/>
    <w:rsid w:val="003B149C"/>
    <w:rsid w:val="003B194C"/>
    <w:rsid w:val="003B28B9"/>
    <w:rsid w:val="003B2DC1"/>
    <w:rsid w:val="003B2F2D"/>
    <w:rsid w:val="003B38C2"/>
    <w:rsid w:val="003B4952"/>
    <w:rsid w:val="003B67BF"/>
    <w:rsid w:val="003B694F"/>
    <w:rsid w:val="003B7258"/>
    <w:rsid w:val="003C0C8D"/>
    <w:rsid w:val="003C1D67"/>
    <w:rsid w:val="003C22C3"/>
    <w:rsid w:val="003C247A"/>
    <w:rsid w:val="003C37F5"/>
    <w:rsid w:val="003C3812"/>
    <w:rsid w:val="003C5F03"/>
    <w:rsid w:val="003C7398"/>
    <w:rsid w:val="003D0BF9"/>
    <w:rsid w:val="003D1B2D"/>
    <w:rsid w:val="003D33ED"/>
    <w:rsid w:val="003D3694"/>
    <w:rsid w:val="003D4155"/>
    <w:rsid w:val="003D4D2E"/>
    <w:rsid w:val="003D4EFC"/>
    <w:rsid w:val="003D5486"/>
    <w:rsid w:val="003D5A4E"/>
    <w:rsid w:val="003D709B"/>
    <w:rsid w:val="003D78B8"/>
    <w:rsid w:val="003E10BF"/>
    <w:rsid w:val="003E31B7"/>
    <w:rsid w:val="003E49F9"/>
    <w:rsid w:val="003E4DA9"/>
    <w:rsid w:val="003E5E3F"/>
    <w:rsid w:val="003E688A"/>
    <w:rsid w:val="003E6AE2"/>
    <w:rsid w:val="003E7984"/>
    <w:rsid w:val="003F171C"/>
    <w:rsid w:val="003F1EC7"/>
    <w:rsid w:val="003F23E8"/>
    <w:rsid w:val="003F282B"/>
    <w:rsid w:val="003F423E"/>
    <w:rsid w:val="003F4C8F"/>
    <w:rsid w:val="003F5041"/>
    <w:rsid w:val="003F6218"/>
    <w:rsid w:val="003F6544"/>
    <w:rsid w:val="003F7D6C"/>
    <w:rsid w:val="00400358"/>
    <w:rsid w:val="004010F7"/>
    <w:rsid w:val="00401F01"/>
    <w:rsid w:val="0040331E"/>
    <w:rsid w:val="00403405"/>
    <w:rsid w:val="00404046"/>
    <w:rsid w:val="00405723"/>
    <w:rsid w:val="00405880"/>
    <w:rsid w:val="0041034D"/>
    <w:rsid w:val="00410A56"/>
    <w:rsid w:val="00410C3B"/>
    <w:rsid w:val="0041195A"/>
    <w:rsid w:val="0041200C"/>
    <w:rsid w:val="00412536"/>
    <w:rsid w:val="00412FC5"/>
    <w:rsid w:val="00413A14"/>
    <w:rsid w:val="00413EDA"/>
    <w:rsid w:val="00414BBE"/>
    <w:rsid w:val="00414D54"/>
    <w:rsid w:val="004150E7"/>
    <w:rsid w:val="0041745E"/>
    <w:rsid w:val="00417561"/>
    <w:rsid w:val="004177B7"/>
    <w:rsid w:val="00420DBD"/>
    <w:rsid w:val="004214AB"/>
    <w:rsid w:val="00422276"/>
    <w:rsid w:val="004236FC"/>
    <w:rsid w:val="004242F1"/>
    <w:rsid w:val="00424616"/>
    <w:rsid w:val="004258EA"/>
    <w:rsid w:val="00425AE3"/>
    <w:rsid w:val="00425B18"/>
    <w:rsid w:val="00425FF5"/>
    <w:rsid w:val="00426295"/>
    <w:rsid w:val="004279E5"/>
    <w:rsid w:val="00427BAB"/>
    <w:rsid w:val="004339F7"/>
    <w:rsid w:val="00435929"/>
    <w:rsid w:val="00437484"/>
    <w:rsid w:val="00440CD5"/>
    <w:rsid w:val="00441364"/>
    <w:rsid w:val="00441D28"/>
    <w:rsid w:val="00445421"/>
    <w:rsid w:val="004454A4"/>
    <w:rsid w:val="00445A00"/>
    <w:rsid w:val="0044616A"/>
    <w:rsid w:val="00446740"/>
    <w:rsid w:val="00447055"/>
    <w:rsid w:val="0044725C"/>
    <w:rsid w:val="0044757A"/>
    <w:rsid w:val="00451B0F"/>
    <w:rsid w:val="00451D9C"/>
    <w:rsid w:val="00451F89"/>
    <w:rsid w:val="00452C8E"/>
    <w:rsid w:val="0045338C"/>
    <w:rsid w:val="00455118"/>
    <w:rsid w:val="00456AD9"/>
    <w:rsid w:val="0046176D"/>
    <w:rsid w:val="004624C4"/>
    <w:rsid w:val="00463C6C"/>
    <w:rsid w:val="00463FB9"/>
    <w:rsid w:val="004654AB"/>
    <w:rsid w:val="00465736"/>
    <w:rsid w:val="00465BB4"/>
    <w:rsid w:val="00467357"/>
    <w:rsid w:val="00467374"/>
    <w:rsid w:val="00471494"/>
    <w:rsid w:val="00471ADF"/>
    <w:rsid w:val="00475A2B"/>
    <w:rsid w:val="00476137"/>
    <w:rsid w:val="004769E1"/>
    <w:rsid w:val="004770C6"/>
    <w:rsid w:val="00477815"/>
    <w:rsid w:val="004778CE"/>
    <w:rsid w:val="004825A4"/>
    <w:rsid w:val="0048308A"/>
    <w:rsid w:val="004848E4"/>
    <w:rsid w:val="00484C58"/>
    <w:rsid w:val="00485280"/>
    <w:rsid w:val="0048541A"/>
    <w:rsid w:val="0048564C"/>
    <w:rsid w:val="00485DD9"/>
    <w:rsid w:val="0048696B"/>
    <w:rsid w:val="00486DF1"/>
    <w:rsid w:val="004875B1"/>
    <w:rsid w:val="00487768"/>
    <w:rsid w:val="00487F12"/>
    <w:rsid w:val="004910E6"/>
    <w:rsid w:val="004911CF"/>
    <w:rsid w:val="0049181E"/>
    <w:rsid w:val="00491C01"/>
    <w:rsid w:val="00491D8D"/>
    <w:rsid w:val="004929DB"/>
    <w:rsid w:val="0049439B"/>
    <w:rsid w:val="00497547"/>
    <w:rsid w:val="004A02EA"/>
    <w:rsid w:val="004A1410"/>
    <w:rsid w:val="004A171E"/>
    <w:rsid w:val="004A17EA"/>
    <w:rsid w:val="004A5374"/>
    <w:rsid w:val="004A5674"/>
    <w:rsid w:val="004A64E5"/>
    <w:rsid w:val="004A6878"/>
    <w:rsid w:val="004A6F27"/>
    <w:rsid w:val="004A78FA"/>
    <w:rsid w:val="004A79F1"/>
    <w:rsid w:val="004A7F3B"/>
    <w:rsid w:val="004B0340"/>
    <w:rsid w:val="004B1022"/>
    <w:rsid w:val="004B1225"/>
    <w:rsid w:val="004B14D5"/>
    <w:rsid w:val="004B249D"/>
    <w:rsid w:val="004B2BEB"/>
    <w:rsid w:val="004B3EB2"/>
    <w:rsid w:val="004B3FC6"/>
    <w:rsid w:val="004B4667"/>
    <w:rsid w:val="004B4F0E"/>
    <w:rsid w:val="004B556C"/>
    <w:rsid w:val="004B5E5D"/>
    <w:rsid w:val="004B64FC"/>
    <w:rsid w:val="004B6C18"/>
    <w:rsid w:val="004B7D16"/>
    <w:rsid w:val="004C0C0C"/>
    <w:rsid w:val="004C0E42"/>
    <w:rsid w:val="004C1ABB"/>
    <w:rsid w:val="004C2EE3"/>
    <w:rsid w:val="004D07C4"/>
    <w:rsid w:val="004D11C6"/>
    <w:rsid w:val="004D34C1"/>
    <w:rsid w:val="004D3A6A"/>
    <w:rsid w:val="004D5286"/>
    <w:rsid w:val="004D5426"/>
    <w:rsid w:val="004D5434"/>
    <w:rsid w:val="004D5AED"/>
    <w:rsid w:val="004D6B5A"/>
    <w:rsid w:val="004D6CC8"/>
    <w:rsid w:val="004D6F2E"/>
    <w:rsid w:val="004E0479"/>
    <w:rsid w:val="004E180C"/>
    <w:rsid w:val="004E1B23"/>
    <w:rsid w:val="004E2E91"/>
    <w:rsid w:val="004E30FF"/>
    <w:rsid w:val="004E35C9"/>
    <w:rsid w:val="004E4A22"/>
    <w:rsid w:val="004E629F"/>
    <w:rsid w:val="004E62C3"/>
    <w:rsid w:val="004F09BD"/>
    <w:rsid w:val="004F0F5E"/>
    <w:rsid w:val="004F176A"/>
    <w:rsid w:val="004F1E0E"/>
    <w:rsid w:val="004F25F7"/>
    <w:rsid w:val="004F348F"/>
    <w:rsid w:val="004F350F"/>
    <w:rsid w:val="004F3C66"/>
    <w:rsid w:val="004F45C1"/>
    <w:rsid w:val="004F4F0B"/>
    <w:rsid w:val="004F6759"/>
    <w:rsid w:val="004F75F2"/>
    <w:rsid w:val="00500211"/>
    <w:rsid w:val="005003EC"/>
    <w:rsid w:val="00500773"/>
    <w:rsid w:val="00500CA1"/>
    <w:rsid w:val="0050122C"/>
    <w:rsid w:val="00501B6F"/>
    <w:rsid w:val="00503CEA"/>
    <w:rsid w:val="0050431B"/>
    <w:rsid w:val="005044C7"/>
    <w:rsid w:val="0050671F"/>
    <w:rsid w:val="005068A6"/>
    <w:rsid w:val="00507C52"/>
    <w:rsid w:val="00511857"/>
    <w:rsid w:val="00511968"/>
    <w:rsid w:val="00512217"/>
    <w:rsid w:val="005139A6"/>
    <w:rsid w:val="0051467F"/>
    <w:rsid w:val="00515532"/>
    <w:rsid w:val="0051657B"/>
    <w:rsid w:val="00517E63"/>
    <w:rsid w:val="00520C1F"/>
    <w:rsid w:val="0052107E"/>
    <w:rsid w:val="00522013"/>
    <w:rsid w:val="005221C0"/>
    <w:rsid w:val="00523593"/>
    <w:rsid w:val="005235F5"/>
    <w:rsid w:val="00524689"/>
    <w:rsid w:val="00524793"/>
    <w:rsid w:val="00525072"/>
    <w:rsid w:val="00525148"/>
    <w:rsid w:val="00526D1A"/>
    <w:rsid w:val="00530970"/>
    <w:rsid w:val="00530A56"/>
    <w:rsid w:val="00530ADD"/>
    <w:rsid w:val="00530E6F"/>
    <w:rsid w:val="0053271A"/>
    <w:rsid w:val="00533BFC"/>
    <w:rsid w:val="00533CB7"/>
    <w:rsid w:val="005340D4"/>
    <w:rsid w:val="005351A7"/>
    <w:rsid w:val="00535D76"/>
    <w:rsid w:val="00535F40"/>
    <w:rsid w:val="005364D3"/>
    <w:rsid w:val="005369EA"/>
    <w:rsid w:val="005378BD"/>
    <w:rsid w:val="00537909"/>
    <w:rsid w:val="005411A9"/>
    <w:rsid w:val="005421AF"/>
    <w:rsid w:val="0054285D"/>
    <w:rsid w:val="00544CFB"/>
    <w:rsid w:val="00545850"/>
    <w:rsid w:val="00545943"/>
    <w:rsid w:val="005461BF"/>
    <w:rsid w:val="0054651D"/>
    <w:rsid w:val="005465E5"/>
    <w:rsid w:val="00546756"/>
    <w:rsid w:val="005500B3"/>
    <w:rsid w:val="00550BEA"/>
    <w:rsid w:val="0055137A"/>
    <w:rsid w:val="00551C87"/>
    <w:rsid w:val="00551FE0"/>
    <w:rsid w:val="005522F7"/>
    <w:rsid w:val="00552D00"/>
    <w:rsid w:val="005530AD"/>
    <w:rsid w:val="0055395C"/>
    <w:rsid w:val="0055435F"/>
    <w:rsid w:val="00555100"/>
    <w:rsid w:val="005555A7"/>
    <w:rsid w:val="00555854"/>
    <w:rsid w:val="0055614C"/>
    <w:rsid w:val="005566A5"/>
    <w:rsid w:val="00556E28"/>
    <w:rsid w:val="00556E7D"/>
    <w:rsid w:val="005572C3"/>
    <w:rsid w:val="00557FD4"/>
    <w:rsid w:val="005616DC"/>
    <w:rsid w:val="00562492"/>
    <w:rsid w:val="0056348A"/>
    <w:rsid w:val="00563E57"/>
    <w:rsid w:val="005644EA"/>
    <w:rsid w:val="00564561"/>
    <w:rsid w:val="0056639E"/>
    <w:rsid w:val="0056653E"/>
    <w:rsid w:val="00566D06"/>
    <w:rsid w:val="005672AC"/>
    <w:rsid w:val="00567A91"/>
    <w:rsid w:val="00570B0C"/>
    <w:rsid w:val="00571663"/>
    <w:rsid w:val="00571B30"/>
    <w:rsid w:val="00572507"/>
    <w:rsid w:val="00572BDC"/>
    <w:rsid w:val="0057306C"/>
    <w:rsid w:val="005751AF"/>
    <w:rsid w:val="005753F9"/>
    <w:rsid w:val="00575EB1"/>
    <w:rsid w:val="0057629B"/>
    <w:rsid w:val="0057635A"/>
    <w:rsid w:val="005771D3"/>
    <w:rsid w:val="00577B98"/>
    <w:rsid w:val="0058294C"/>
    <w:rsid w:val="00582C2D"/>
    <w:rsid w:val="0058366B"/>
    <w:rsid w:val="005872EE"/>
    <w:rsid w:val="00591A87"/>
    <w:rsid w:val="00593377"/>
    <w:rsid w:val="005940ED"/>
    <w:rsid w:val="00594863"/>
    <w:rsid w:val="00596C9F"/>
    <w:rsid w:val="005971EC"/>
    <w:rsid w:val="00597447"/>
    <w:rsid w:val="005A1A40"/>
    <w:rsid w:val="005A3BA7"/>
    <w:rsid w:val="005A5788"/>
    <w:rsid w:val="005A579E"/>
    <w:rsid w:val="005A5C10"/>
    <w:rsid w:val="005A65C2"/>
    <w:rsid w:val="005B036B"/>
    <w:rsid w:val="005B07E6"/>
    <w:rsid w:val="005B11EA"/>
    <w:rsid w:val="005B228E"/>
    <w:rsid w:val="005B2B9C"/>
    <w:rsid w:val="005B43A0"/>
    <w:rsid w:val="005B5734"/>
    <w:rsid w:val="005B6369"/>
    <w:rsid w:val="005C1322"/>
    <w:rsid w:val="005C1439"/>
    <w:rsid w:val="005C1722"/>
    <w:rsid w:val="005C1A30"/>
    <w:rsid w:val="005C25A0"/>
    <w:rsid w:val="005C28B7"/>
    <w:rsid w:val="005C2EE0"/>
    <w:rsid w:val="005C3749"/>
    <w:rsid w:val="005C3E47"/>
    <w:rsid w:val="005C457A"/>
    <w:rsid w:val="005C535D"/>
    <w:rsid w:val="005C53C2"/>
    <w:rsid w:val="005C6858"/>
    <w:rsid w:val="005C6943"/>
    <w:rsid w:val="005C69C4"/>
    <w:rsid w:val="005C7A24"/>
    <w:rsid w:val="005C7B97"/>
    <w:rsid w:val="005D0F14"/>
    <w:rsid w:val="005D1616"/>
    <w:rsid w:val="005D1CBD"/>
    <w:rsid w:val="005D3C85"/>
    <w:rsid w:val="005D5DAC"/>
    <w:rsid w:val="005D64DC"/>
    <w:rsid w:val="005D7D01"/>
    <w:rsid w:val="005E0364"/>
    <w:rsid w:val="005E0673"/>
    <w:rsid w:val="005E074C"/>
    <w:rsid w:val="005E078B"/>
    <w:rsid w:val="005E14C2"/>
    <w:rsid w:val="005E21AF"/>
    <w:rsid w:val="005E255D"/>
    <w:rsid w:val="005E2F03"/>
    <w:rsid w:val="005E333C"/>
    <w:rsid w:val="005E4C43"/>
    <w:rsid w:val="005E5167"/>
    <w:rsid w:val="005E6715"/>
    <w:rsid w:val="005E6CDB"/>
    <w:rsid w:val="005F087B"/>
    <w:rsid w:val="005F1911"/>
    <w:rsid w:val="005F2C9B"/>
    <w:rsid w:val="005F3718"/>
    <w:rsid w:val="005F3722"/>
    <w:rsid w:val="005F4810"/>
    <w:rsid w:val="005F4954"/>
    <w:rsid w:val="005F50A9"/>
    <w:rsid w:val="005F5DB1"/>
    <w:rsid w:val="005F5F5D"/>
    <w:rsid w:val="005F6C4F"/>
    <w:rsid w:val="005F6DB0"/>
    <w:rsid w:val="00600A5D"/>
    <w:rsid w:val="00600C2F"/>
    <w:rsid w:val="006018D1"/>
    <w:rsid w:val="00601A60"/>
    <w:rsid w:val="00602650"/>
    <w:rsid w:val="00602ED6"/>
    <w:rsid w:val="00603A9D"/>
    <w:rsid w:val="00603B65"/>
    <w:rsid w:val="006054AB"/>
    <w:rsid w:val="00605539"/>
    <w:rsid w:val="00606602"/>
    <w:rsid w:val="0060780E"/>
    <w:rsid w:val="00607BA5"/>
    <w:rsid w:val="0061180A"/>
    <w:rsid w:val="00611EC3"/>
    <w:rsid w:val="006124BB"/>
    <w:rsid w:val="00613D8E"/>
    <w:rsid w:val="00614AE3"/>
    <w:rsid w:val="006151B7"/>
    <w:rsid w:val="0061658E"/>
    <w:rsid w:val="006173A2"/>
    <w:rsid w:val="0062128D"/>
    <w:rsid w:val="006212B0"/>
    <w:rsid w:val="006219EC"/>
    <w:rsid w:val="00621B15"/>
    <w:rsid w:val="00622502"/>
    <w:rsid w:val="00622A40"/>
    <w:rsid w:val="00622B90"/>
    <w:rsid w:val="006230C0"/>
    <w:rsid w:val="006239A4"/>
    <w:rsid w:val="00625729"/>
    <w:rsid w:val="006257B4"/>
    <w:rsid w:val="00625FF8"/>
    <w:rsid w:val="006260A1"/>
    <w:rsid w:val="00626EB6"/>
    <w:rsid w:val="006272DA"/>
    <w:rsid w:val="00627422"/>
    <w:rsid w:val="006302BB"/>
    <w:rsid w:val="00630592"/>
    <w:rsid w:val="00631779"/>
    <w:rsid w:val="0063519D"/>
    <w:rsid w:val="00636F6E"/>
    <w:rsid w:val="00637B77"/>
    <w:rsid w:val="00637BC3"/>
    <w:rsid w:val="00640BB7"/>
    <w:rsid w:val="006423B8"/>
    <w:rsid w:val="006439F7"/>
    <w:rsid w:val="00644639"/>
    <w:rsid w:val="00645288"/>
    <w:rsid w:val="006452C9"/>
    <w:rsid w:val="0064553D"/>
    <w:rsid w:val="00646E53"/>
    <w:rsid w:val="0064746E"/>
    <w:rsid w:val="006476E1"/>
    <w:rsid w:val="00647B6B"/>
    <w:rsid w:val="00650602"/>
    <w:rsid w:val="006513FE"/>
    <w:rsid w:val="006520AA"/>
    <w:rsid w:val="0065576A"/>
    <w:rsid w:val="006559AC"/>
    <w:rsid w:val="00655D03"/>
    <w:rsid w:val="00657A2C"/>
    <w:rsid w:val="00662801"/>
    <w:rsid w:val="006634C2"/>
    <w:rsid w:val="0066384F"/>
    <w:rsid w:val="00663A62"/>
    <w:rsid w:val="00665966"/>
    <w:rsid w:val="006675E2"/>
    <w:rsid w:val="00667A05"/>
    <w:rsid w:val="0067170F"/>
    <w:rsid w:val="0067191C"/>
    <w:rsid w:val="0067252C"/>
    <w:rsid w:val="00672FE9"/>
    <w:rsid w:val="00673A88"/>
    <w:rsid w:val="00673CAC"/>
    <w:rsid w:val="006741D6"/>
    <w:rsid w:val="00674B3F"/>
    <w:rsid w:val="00675F8E"/>
    <w:rsid w:val="0067631C"/>
    <w:rsid w:val="00677A7A"/>
    <w:rsid w:val="006820FC"/>
    <w:rsid w:val="0068294F"/>
    <w:rsid w:val="00682CE8"/>
    <w:rsid w:val="00683388"/>
    <w:rsid w:val="006835E2"/>
    <w:rsid w:val="00683C16"/>
    <w:rsid w:val="00683F84"/>
    <w:rsid w:val="00685077"/>
    <w:rsid w:val="006852E9"/>
    <w:rsid w:val="00685C24"/>
    <w:rsid w:val="00686155"/>
    <w:rsid w:val="00686CD2"/>
    <w:rsid w:val="0069058E"/>
    <w:rsid w:val="00690CEB"/>
    <w:rsid w:val="00692C8A"/>
    <w:rsid w:val="00692DAA"/>
    <w:rsid w:val="00693B60"/>
    <w:rsid w:val="00694587"/>
    <w:rsid w:val="006950B7"/>
    <w:rsid w:val="00697799"/>
    <w:rsid w:val="006977A8"/>
    <w:rsid w:val="00697A73"/>
    <w:rsid w:val="006A0339"/>
    <w:rsid w:val="006A0344"/>
    <w:rsid w:val="006A1753"/>
    <w:rsid w:val="006A1826"/>
    <w:rsid w:val="006A223C"/>
    <w:rsid w:val="006A3FD3"/>
    <w:rsid w:val="006A43C6"/>
    <w:rsid w:val="006A44C0"/>
    <w:rsid w:val="006A471A"/>
    <w:rsid w:val="006A6128"/>
    <w:rsid w:val="006A6356"/>
    <w:rsid w:val="006A6A3E"/>
    <w:rsid w:val="006A6A81"/>
    <w:rsid w:val="006A6B73"/>
    <w:rsid w:val="006A79A9"/>
    <w:rsid w:val="006B0DA3"/>
    <w:rsid w:val="006B0E7E"/>
    <w:rsid w:val="006B1D6F"/>
    <w:rsid w:val="006B23E0"/>
    <w:rsid w:val="006B2F5E"/>
    <w:rsid w:val="006B4405"/>
    <w:rsid w:val="006B488F"/>
    <w:rsid w:val="006B4AB5"/>
    <w:rsid w:val="006B520D"/>
    <w:rsid w:val="006B539A"/>
    <w:rsid w:val="006B5A21"/>
    <w:rsid w:val="006B5BD5"/>
    <w:rsid w:val="006C01B8"/>
    <w:rsid w:val="006C0514"/>
    <w:rsid w:val="006C1939"/>
    <w:rsid w:val="006C1C53"/>
    <w:rsid w:val="006C2480"/>
    <w:rsid w:val="006C3AC3"/>
    <w:rsid w:val="006C3B82"/>
    <w:rsid w:val="006C3E35"/>
    <w:rsid w:val="006C47BB"/>
    <w:rsid w:val="006C4EAA"/>
    <w:rsid w:val="006C4F44"/>
    <w:rsid w:val="006C589E"/>
    <w:rsid w:val="006C67D1"/>
    <w:rsid w:val="006C7527"/>
    <w:rsid w:val="006C78CD"/>
    <w:rsid w:val="006D13A5"/>
    <w:rsid w:val="006D2130"/>
    <w:rsid w:val="006D339E"/>
    <w:rsid w:val="006D38F7"/>
    <w:rsid w:val="006D3CAE"/>
    <w:rsid w:val="006D4D92"/>
    <w:rsid w:val="006D526A"/>
    <w:rsid w:val="006D58D5"/>
    <w:rsid w:val="006D5ECA"/>
    <w:rsid w:val="006D73DE"/>
    <w:rsid w:val="006D7B19"/>
    <w:rsid w:val="006E0C78"/>
    <w:rsid w:val="006E1459"/>
    <w:rsid w:val="006E2431"/>
    <w:rsid w:val="006E3068"/>
    <w:rsid w:val="006E33A2"/>
    <w:rsid w:val="006E3B9C"/>
    <w:rsid w:val="006E3E8F"/>
    <w:rsid w:val="006E43CB"/>
    <w:rsid w:val="006E483C"/>
    <w:rsid w:val="006E521F"/>
    <w:rsid w:val="006E5F1F"/>
    <w:rsid w:val="006E6265"/>
    <w:rsid w:val="006E70B1"/>
    <w:rsid w:val="006E7C8B"/>
    <w:rsid w:val="006F127F"/>
    <w:rsid w:val="006F1DBD"/>
    <w:rsid w:val="006F2784"/>
    <w:rsid w:val="006F27AB"/>
    <w:rsid w:val="006F3B11"/>
    <w:rsid w:val="006F4025"/>
    <w:rsid w:val="006F44B2"/>
    <w:rsid w:val="006F6980"/>
    <w:rsid w:val="006F7393"/>
    <w:rsid w:val="007001F3"/>
    <w:rsid w:val="0070039C"/>
    <w:rsid w:val="0070224F"/>
    <w:rsid w:val="00702F57"/>
    <w:rsid w:val="00703580"/>
    <w:rsid w:val="0070572D"/>
    <w:rsid w:val="00706CF8"/>
    <w:rsid w:val="00706FBA"/>
    <w:rsid w:val="007104E2"/>
    <w:rsid w:val="007115F7"/>
    <w:rsid w:val="007126E5"/>
    <w:rsid w:val="007127E4"/>
    <w:rsid w:val="00712B3A"/>
    <w:rsid w:val="00712DBA"/>
    <w:rsid w:val="00713135"/>
    <w:rsid w:val="00713719"/>
    <w:rsid w:val="007155E7"/>
    <w:rsid w:val="00715C13"/>
    <w:rsid w:val="00716308"/>
    <w:rsid w:val="00717EA4"/>
    <w:rsid w:val="00720CF8"/>
    <w:rsid w:val="00723611"/>
    <w:rsid w:val="007271C9"/>
    <w:rsid w:val="00727E63"/>
    <w:rsid w:val="00732820"/>
    <w:rsid w:val="00732F24"/>
    <w:rsid w:val="00733084"/>
    <w:rsid w:val="00734D9D"/>
    <w:rsid w:val="00735869"/>
    <w:rsid w:val="007376E9"/>
    <w:rsid w:val="00741393"/>
    <w:rsid w:val="007419F0"/>
    <w:rsid w:val="00742268"/>
    <w:rsid w:val="00742AA9"/>
    <w:rsid w:val="0074300C"/>
    <w:rsid w:val="00743D18"/>
    <w:rsid w:val="007450F1"/>
    <w:rsid w:val="0074703E"/>
    <w:rsid w:val="00747851"/>
    <w:rsid w:val="007506E2"/>
    <w:rsid w:val="00750E95"/>
    <w:rsid w:val="007518D0"/>
    <w:rsid w:val="00751E9E"/>
    <w:rsid w:val="00752624"/>
    <w:rsid w:val="007527D5"/>
    <w:rsid w:val="00753C89"/>
    <w:rsid w:val="00754E77"/>
    <w:rsid w:val="00757521"/>
    <w:rsid w:val="0075787E"/>
    <w:rsid w:val="00760809"/>
    <w:rsid w:val="00760A8E"/>
    <w:rsid w:val="00761E6B"/>
    <w:rsid w:val="00762D35"/>
    <w:rsid w:val="00764114"/>
    <w:rsid w:val="00764380"/>
    <w:rsid w:val="007645B9"/>
    <w:rsid w:val="00764D30"/>
    <w:rsid w:val="007666A5"/>
    <w:rsid w:val="00767637"/>
    <w:rsid w:val="00770D3D"/>
    <w:rsid w:val="0077237C"/>
    <w:rsid w:val="0077383E"/>
    <w:rsid w:val="007748D5"/>
    <w:rsid w:val="007760FA"/>
    <w:rsid w:val="007772EF"/>
    <w:rsid w:val="00777472"/>
    <w:rsid w:val="00777B05"/>
    <w:rsid w:val="00781A41"/>
    <w:rsid w:val="00781EDA"/>
    <w:rsid w:val="0078218E"/>
    <w:rsid w:val="007824DD"/>
    <w:rsid w:val="00783134"/>
    <w:rsid w:val="00783771"/>
    <w:rsid w:val="007840C6"/>
    <w:rsid w:val="007841B5"/>
    <w:rsid w:val="00785689"/>
    <w:rsid w:val="00785C7F"/>
    <w:rsid w:val="007861DA"/>
    <w:rsid w:val="0078640E"/>
    <w:rsid w:val="0078681C"/>
    <w:rsid w:val="007878FA"/>
    <w:rsid w:val="00787ABF"/>
    <w:rsid w:val="0079093F"/>
    <w:rsid w:val="00790AF6"/>
    <w:rsid w:val="00790E74"/>
    <w:rsid w:val="00792A0D"/>
    <w:rsid w:val="00793409"/>
    <w:rsid w:val="007935CA"/>
    <w:rsid w:val="007938E4"/>
    <w:rsid w:val="007940EA"/>
    <w:rsid w:val="00794A67"/>
    <w:rsid w:val="00795077"/>
    <w:rsid w:val="0079561D"/>
    <w:rsid w:val="00795FCF"/>
    <w:rsid w:val="00796093"/>
    <w:rsid w:val="00797208"/>
    <w:rsid w:val="00797429"/>
    <w:rsid w:val="0079754B"/>
    <w:rsid w:val="007A146F"/>
    <w:rsid w:val="007A1936"/>
    <w:rsid w:val="007A1E6D"/>
    <w:rsid w:val="007A2223"/>
    <w:rsid w:val="007A3BA4"/>
    <w:rsid w:val="007B04DD"/>
    <w:rsid w:val="007B0EB2"/>
    <w:rsid w:val="007B12A5"/>
    <w:rsid w:val="007B19CD"/>
    <w:rsid w:val="007B21E4"/>
    <w:rsid w:val="007B24FD"/>
    <w:rsid w:val="007B2526"/>
    <w:rsid w:val="007B25E7"/>
    <w:rsid w:val="007B302F"/>
    <w:rsid w:val="007B5983"/>
    <w:rsid w:val="007B5D5A"/>
    <w:rsid w:val="007B6387"/>
    <w:rsid w:val="007B68A6"/>
    <w:rsid w:val="007B6B5F"/>
    <w:rsid w:val="007B6DAC"/>
    <w:rsid w:val="007B7EB8"/>
    <w:rsid w:val="007C1850"/>
    <w:rsid w:val="007C26AB"/>
    <w:rsid w:val="007C366E"/>
    <w:rsid w:val="007C4A0D"/>
    <w:rsid w:val="007C61C6"/>
    <w:rsid w:val="007C7CFC"/>
    <w:rsid w:val="007D28F7"/>
    <w:rsid w:val="007D29AD"/>
    <w:rsid w:val="007D29D3"/>
    <w:rsid w:val="007D2B7D"/>
    <w:rsid w:val="007D348E"/>
    <w:rsid w:val="007D38D3"/>
    <w:rsid w:val="007D4C40"/>
    <w:rsid w:val="007D5265"/>
    <w:rsid w:val="007D748E"/>
    <w:rsid w:val="007D7D0F"/>
    <w:rsid w:val="007E05CD"/>
    <w:rsid w:val="007E1B06"/>
    <w:rsid w:val="007E252A"/>
    <w:rsid w:val="007E2B24"/>
    <w:rsid w:val="007E2C10"/>
    <w:rsid w:val="007E2DA7"/>
    <w:rsid w:val="007E2FCE"/>
    <w:rsid w:val="007E3192"/>
    <w:rsid w:val="007E6DE6"/>
    <w:rsid w:val="007E77D3"/>
    <w:rsid w:val="007E7C2B"/>
    <w:rsid w:val="007E7F5C"/>
    <w:rsid w:val="007E7FD6"/>
    <w:rsid w:val="007F047A"/>
    <w:rsid w:val="007F2E5F"/>
    <w:rsid w:val="007F2FD1"/>
    <w:rsid w:val="007F375E"/>
    <w:rsid w:val="007F4261"/>
    <w:rsid w:val="007F6976"/>
    <w:rsid w:val="007F7277"/>
    <w:rsid w:val="0080050C"/>
    <w:rsid w:val="008013F8"/>
    <w:rsid w:val="00801766"/>
    <w:rsid w:val="00802CF1"/>
    <w:rsid w:val="0080309B"/>
    <w:rsid w:val="0080313F"/>
    <w:rsid w:val="0080328F"/>
    <w:rsid w:val="00803696"/>
    <w:rsid w:val="008037ED"/>
    <w:rsid w:val="00805C68"/>
    <w:rsid w:val="008060B7"/>
    <w:rsid w:val="00807C0C"/>
    <w:rsid w:val="00810B6F"/>
    <w:rsid w:val="00811740"/>
    <w:rsid w:val="008133DB"/>
    <w:rsid w:val="008138E7"/>
    <w:rsid w:val="00815BCE"/>
    <w:rsid w:val="00816DB1"/>
    <w:rsid w:val="00816FD3"/>
    <w:rsid w:val="00820D5F"/>
    <w:rsid w:val="00821894"/>
    <w:rsid w:val="00821C06"/>
    <w:rsid w:val="008223CD"/>
    <w:rsid w:val="00822BA4"/>
    <w:rsid w:val="00822CE0"/>
    <w:rsid w:val="00823B27"/>
    <w:rsid w:val="00823BA3"/>
    <w:rsid w:val="00824611"/>
    <w:rsid w:val="00824CE0"/>
    <w:rsid w:val="0082568F"/>
    <w:rsid w:val="0082646F"/>
    <w:rsid w:val="00827C01"/>
    <w:rsid w:val="00827F26"/>
    <w:rsid w:val="008309C1"/>
    <w:rsid w:val="00830C2E"/>
    <w:rsid w:val="00832DA8"/>
    <w:rsid w:val="00832DCD"/>
    <w:rsid w:val="008337E0"/>
    <w:rsid w:val="00833D7A"/>
    <w:rsid w:val="00835543"/>
    <w:rsid w:val="00836072"/>
    <w:rsid w:val="00836CD2"/>
    <w:rsid w:val="00841160"/>
    <w:rsid w:val="008416B6"/>
    <w:rsid w:val="00841AB1"/>
    <w:rsid w:val="008423FC"/>
    <w:rsid w:val="00842533"/>
    <w:rsid w:val="00842C76"/>
    <w:rsid w:val="0084777A"/>
    <w:rsid w:val="008505D0"/>
    <w:rsid w:val="008506F4"/>
    <w:rsid w:val="00851629"/>
    <w:rsid w:val="00851939"/>
    <w:rsid w:val="00851A2E"/>
    <w:rsid w:val="00851DB5"/>
    <w:rsid w:val="00852C88"/>
    <w:rsid w:val="00852F45"/>
    <w:rsid w:val="00854789"/>
    <w:rsid w:val="00856A1E"/>
    <w:rsid w:val="00856DF7"/>
    <w:rsid w:val="00857659"/>
    <w:rsid w:val="00857D37"/>
    <w:rsid w:val="00861FDA"/>
    <w:rsid w:val="008622A4"/>
    <w:rsid w:val="0086265D"/>
    <w:rsid w:val="00866810"/>
    <w:rsid w:val="00866B93"/>
    <w:rsid w:val="00870BCE"/>
    <w:rsid w:val="00872524"/>
    <w:rsid w:val="00872CAA"/>
    <w:rsid w:val="0087379D"/>
    <w:rsid w:val="00875B31"/>
    <w:rsid w:val="008763C3"/>
    <w:rsid w:val="00876604"/>
    <w:rsid w:val="00881404"/>
    <w:rsid w:val="008819A9"/>
    <w:rsid w:val="00882F59"/>
    <w:rsid w:val="00883BFF"/>
    <w:rsid w:val="008841AA"/>
    <w:rsid w:val="00884D7B"/>
    <w:rsid w:val="00885AF9"/>
    <w:rsid w:val="00885AFC"/>
    <w:rsid w:val="00885CCB"/>
    <w:rsid w:val="00886700"/>
    <w:rsid w:val="00887D53"/>
    <w:rsid w:val="008950AF"/>
    <w:rsid w:val="00896926"/>
    <w:rsid w:val="008973DA"/>
    <w:rsid w:val="00897B74"/>
    <w:rsid w:val="00897FD4"/>
    <w:rsid w:val="008A3296"/>
    <w:rsid w:val="008A365F"/>
    <w:rsid w:val="008A5D9F"/>
    <w:rsid w:val="008A62C4"/>
    <w:rsid w:val="008A6A81"/>
    <w:rsid w:val="008B0843"/>
    <w:rsid w:val="008B0FF5"/>
    <w:rsid w:val="008B181A"/>
    <w:rsid w:val="008B22E4"/>
    <w:rsid w:val="008B265A"/>
    <w:rsid w:val="008B2944"/>
    <w:rsid w:val="008B2DE7"/>
    <w:rsid w:val="008B475A"/>
    <w:rsid w:val="008B727C"/>
    <w:rsid w:val="008C1EBD"/>
    <w:rsid w:val="008C273E"/>
    <w:rsid w:val="008C3F09"/>
    <w:rsid w:val="008C5797"/>
    <w:rsid w:val="008C64D4"/>
    <w:rsid w:val="008C68F1"/>
    <w:rsid w:val="008C71C6"/>
    <w:rsid w:val="008C7D85"/>
    <w:rsid w:val="008C7D88"/>
    <w:rsid w:val="008D034F"/>
    <w:rsid w:val="008D072C"/>
    <w:rsid w:val="008D1A53"/>
    <w:rsid w:val="008D2338"/>
    <w:rsid w:val="008D37CB"/>
    <w:rsid w:val="008D448D"/>
    <w:rsid w:val="008D498B"/>
    <w:rsid w:val="008D4FA4"/>
    <w:rsid w:val="008D5919"/>
    <w:rsid w:val="008E14D8"/>
    <w:rsid w:val="008E312F"/>
    <w:rsid w:val="008E38F9"/>
    <w:rsid w:val="008E3D71"/>
    <w:rsid w:val="008E3EC9"/>
    <w:rsid w:val="008E5531"/>
    <w:rsid w:val="008E592A"/>
    <w:rsid w:val="008E6321"/>
    <w:rsid w:val="008E7940"/>
    <w:rsid w:val="008E7B3C"/>
    <w:rsid w:val="008F020D"/>
    <w:rsid w:val="008F0D2D"/>
    <w:rsid w:val="008F24C7"/>
    <w:rsid w:val="008F430B"/>
    <w:rsid w:val="008F5906"/>
    <w:rsid w:val="008F66CD"/>
    <w:rsid w:val="008F727C"/>
    <w:rsid w:val="008F7B40"/>
    <w:rsid w:val="00900475"/>
    <w:rsid w:val="00902699"/>
    <w:rsid w:val="00903967"/>
    <w:rsid w:val="00904806"/>
    <w:rsid w:val="009050A3"/>
    <w:rsid w:val="009065B1"/>
    <w:rsid w:val="00907835"/>
    <w:rsid w:val="00910928"/>
    <w:rsid w:val="0091108F"/>
    <w:rsid w:val="00913B10"/>
    <w:rsid w:val="00916793"/>
    <w:rsid w:val="00916C18"/>
    <w:rsid w:val="00921803"/>
    <w:rsid w:val="00922230"/>
    <w:rsid w:val="00923872"/>
    <w:rsid w:val="00923F61"/>
    <w:rsid w:val="00924CB4"/>
    <w:rsid w:val="00924E67"/>
    <w:rsid w:val="00926503"/>
    <w:rsid w:val="009267A8"/>
    <w:rsid w:val="00926978"/>
    <w:rsid w:val="00927334"/>
    <w:rsid w:val="00927AD1"/>
    <w:rsid w:val="009311EE"/>
    <w:rsid w:val="0093122D"/>
    <w:rsid w:val="00931D03"/>
    <w:rsid w:val="00931E65"/>
    <w:rsid w:val="009322FE"/>
    <w:rsid w:val="009328CC"/>
    <w:rsid w:val="009343A6"/>
    <w:rsid w:val="00934597"/>
    <w:rsid w:val="00936371"/>
    <w:rsid w:val="0094298C"/>
    <w:rsid w:val="0094334A"/>
    <w:rsid w:val="00943477"/>
    <w:rsid w:val="009442AA"/>
    <w:rsid w:val="00944A41"/>
    <w:rsid w:val="00945147"/>
    <w:rsid w:val="0094533B"/>
    <w:rsid w:val="009466B9"/>
    <w:rsid w:val="00946C5B"/>
    <w:rsid w:val="0095277E"/>
    <w:rsid w:val="00953A60"/>
    <w:rsid w:val="00955716"/>
    <w:rsid w:val="009558EF"/>
    <w:rsid w:val="00956B07"/>
    <w:rsid w:val="00956B73"/>
    <w:rsid w:val="00956FC8"/>
    <w:rsid w:val="00963830"/>
    <w:rsid w:val="00963C52"/>
    <w:rsid w:val="0096502F"/>
    <w:rsid w:val="0096543F"/>
    <w:rsid w:val="00967C98"/>
    <w:rsid w:val="00970BED"/>
    <w:rsid w:val="0097156A"/>
    <w:rsid w:val="0097160B"/>
    <w:rsid w:val="009726D8"/>
    <w:rsid w:val="00972D31"/>
    <w:rsid w:val="00974384"/>
    <w:rsid w:val="00974709"/>
    <w:rsid w:val="009749DE"/>
    <w:rsid w:val="00975169"/>
    <w:rsid w:val="0097530A"/>
    <w:rsid w:val="009755B7"/>
    <w:rsid w:val="00976464"/>
    <w:rsid w:val="009774AF"/>
    <w:rsid w:val="00977F56"/>
    <w:rsid w:val="00980D22"/>
    <w:rsid w:val="0098101C"/>
    <w:rsid w:val="0098305D"/>
    <w:rsid w:val="009830DF"/>
    <w:rsid w:val="00984AD9"/>
    <w:rsid w:val="00984CE9"/>
    <w:rsid w:val="00984F65"/>
    <w:rsid w:val="009850AB"/>
    <w:rsid w:val="00985D12"/>
    <w:rsid w:val="00985E44"/>
    <w:rsid w:val="00985F37"/>
    <w:rsid w:val="00987D74"/>
    <w:rsid w:val="00990C2B"/>
    <w:rsid w:val="00991445"/>
    <w:rsid w:val="0099150D"/>
    <w:rsid w:val="009917AD"/>
    <w:rsid w:val="0099225E"/>
    <w:rsid w:val="009930EF"/>
    <w:rsid w:val="009956C5"/>
    <w:rsid w:val="0099576B"/>
    <w:rsid w:val="00995FF4"/>
    <w:rsid w:val="00996AC2"/>
    <w:rsid w:val="00996EBA"/>
    <w:rsid w:val="009973AE"/>
    <w:rsid w:val="00997434"/>
    <w:rsid w:val="0099790B"/>
    <w:rsid w:val="009A0D1F"/>
    <w:rsid w:val="009A200D"/>
    <w:rsid w:val="009A365E"/>
    <w:rsid w:val="009A3714"/>
    <w:rsid w:val="009A427F"/>
    <w:rsid w:val="009A473E"/>
    <w:rsid w:val="009A56E4"/>
    <w:rsid w:val="009A5853"/>
    <w:rsid w:val="009A5E27"/>
    <w:rsid w:val="009A73A1"/>
    <w:rsid w:val="009A7BC5"/>
    <w:rsid w:val="009B00A8"/>
    <w:rsid w:val="009B1B06"/>
    <w:rsid w:val="009B1E7B"/>
    <w:rsid w:val="009B3160"/>
    <w:rsid w:val="009B39CD"/>
    <w:rsid w:val="009B444C"/>
    <w:rsid w:val="009B45B4"/>
    <w:rsid w:val="009B4D3B"/>
    <w:rsid w:val="009B4FA2"/>
    <w:rsid w:val="009B67A9"/>
    <w:rsid w:val="009B726C"/>
    <w:rsid w:val="009B7627"/>
    <w:rsid w:val="009B7F42"/>
    <w:rsid w:val="009C0171"/>
    <w:rsid w:val="009C019C"/>
    <w:rsid w:val="009C0DC4"/>
    <w:rsid w:val="009C1582"/>
    <w:rsid w:val="009C2307"/>
    <w:rsid w:val="009C2943"/>
    <w:rsid w:val="009C317D"/>
    <w:rsid w:val="009C3748"/>
    <w:rsid w:val="009C3806"/>
    <w:rsid w:val="009C46A5"/>
    <w:rsid w:val="009C4E37"/>
    <w:rsid w:val="009C6142"/>
    <w:rsid w:val="009C76D2"/>
    <w:rsid w:val="009C7B83"/>
    <w:rsid w:val="009D1712"/>
    <w:rsid w:val="009D1A3B"/>
    <w:rsid w:val="009D1C56"/>
    <w:rsid w:val="009D1FA9"/>
    <w:rsid w:val="009D2612"/>
    <w:rsid w:val="009D280C"/>
    <w:rsid w:val="009D2E8D"/>
    <w:rsid w:val="009D37C3"/>
    <w:rsid w:val="009D3D1A"/>
    <w:rsid w:val="009D3E07"/>
    <w:rsid w:val="009D43C9"/>
    <w:rsid w:val="009D46A8"/>
    <w:rsid w:val="009D619C"/>
    <w:rsid w:val="009D693A"/>
    <w:rsid w:val="009D7308"/>
    <w:rsid w:val="009D78DA"/>
    <w:rsid w:val="009E000A"/>
    <w:rsid w:val="009E170A"/>
    <w:rsid w:val="009E2118"/>
    <w:rsid w:val="009E339E"/>
    <w:rsid w:val="009E3603"/>
    <w:rsid w:val="009E3618"/>
    <w:rsid w:val="009E488C"/>
    <w:rsid w:val="009E632F"/>
    <w:rsid w:val="009E63FE"/>
    <w:rsid w:val="009E77FC"/>
    <w:rsid w:val="009F03F8"/>
    <w:rsid w:val="009F05D0"/>
    <w:rsid w:val="009F1AD7"/>
    <w:rsid w:val="009F21FF"/>
    <w:rsid w:val="009F52F7"/>
    <w:rsid w:val="009F5B3C"/>
    <w:rsid w:val="009F6C15"/>
    <w:rsid w:val="009F76DB"/>
    <w:rsid w:val="009F7EE2"/>
    <w:rsid w:val="00A00A4C"/>
    <w:rsid w:val="00A02222"/>
    <w:rsid w:val="00A03465"/>
    <w:rsid w:val="00A061DF"/>
    <w:rsid w:val="00A06A54"/>
    <w:rsid w:val="00A1047D"/>
    <w:rsid w:val="00A10A74"/>
    <w:rsid w:val="00A10FD5"/>
    <w:rsid w:val="00A11268"/>
    <w:rsid w:val="00A141C3"/>
    <w:rsid w:val="00A16FCF"/>
    <w:rsid w:val="00A200AF"/>
    <w:rsid w:val="00A210BF"/>
    <w:rsid w:val="00A243E4"/>
    <w:rsid w:val="00A245EC"/>
    <w:rsid w:val="00A25498"/>
    <w:rsid w:val="00A26955"/>
    <w:rsid w:val="00A274CE"/>
    <w:rsid w:val="00A27CD3"/>
    <w:rsid w:val="00A32116"/>
    <w:rsid w:val="00A32C3B"/>
    <w:rsid w:val="00A349A5"/>
    <w:rsid w:val="00A35746"/>
    <w:rsid w:val="00A35BE4"/>
    <w:rsid w:val="00A36ABB"/>
    <w:rsid w:val="00A36E35"/>
    <w:rsid w:val="00A3765B"/>
    <w:rsid w:val="00A37CCB"/>
    <w:rsid w:val="00A40968"/>
    <w:rsid w:val="00A410DE"/>
    <w:rsid w:val="00A436F2"/>
    <w:rsid w:val="00A43CB7"/>
    <w:rsid w:val="00A44176"/>
    <w:rsid w:val="00A444B8"/>
    <w:rsid w:val="00A45649"/>
    <w:rsid w:val="00A45F4F"/>
    <w:rsid w:val="00A464C3"/>
    <w:rsid w:val="00A47A38"/>
    <w:rsid w:val="00A534FC"/>
    <w:rsid w:val="00A53A95"/>
    <w:rsid w:val="00A551FF"/>
    <w:rsid w:val="00A55EEE"/>
    <w:rsid w:val="00A55FB1"/>
    <w:rsid w:val="00A566CF"/>
    <w:rsid w:val="00A56EB5"/>
    <w:rsid w:val="00A5779A"/>
    <w:rsid w:val="00A600A9"/>
    <w:rsid w:val="00A60E7F"/>
    <w:rsid w:val="00A61C3D"/>
    <w:rsid w:val="00A621E7"/>
    <w:rsid w:val="00A632D3"/>
    <w:rsid w:val="00A6416A"/>
    <w:rsid w:val="00A655D8"/>
    <w:rsid w:val="00A65D2D"/>
    <w:rsid w:val="00A66783"/>
    <w:rsid w:val="00A670D6"/>
    <w:rsid w:val="00A70BFE"/>
    <w:rsid w:val="00A70EDC"/>
    <w:rsid w:val="00A7161E"/>
    <w:rsid w:val="00A72A4D"/>
    <w:rsid w:val="00A730F2"/>
    <w:rsid w:val="00A7319F"/>
    <w:rsid w:val="00A73C95"/>
    <w:rsid w:val="00A75129"/>
    <w:rsid w:val="00A755C0"/>
    <w:rsid w:val="00A75CC2"/>
    <w:rsid w:val="00A75CE0"/>
    <w:rsid w:val="00A77044"/>
    <w:rsid w:val="00A779FA"/>
    <w:rsid w:val="00A81116"/>
    <w:rsid w:val="00A81DB5"/>
    <w:rsid w:val="00A82DA9"/>
    <w:rsid w:val="00A83001"/>
    <w:rsid w:val="00A832A4"/>
    <w:rsid w:val="00A8362E"/>
    <w:rsid w:val="00A847C8"/>
    <w:rsid w:val="00A85A5E"/>
    <w:rsid w:val="00A865D3"/>
    <w:rsid w:val="00A867AC"/>
    <w:rsid w:val="00A87C8F"/>
    <w:rsid w:val="00A907D2"/>
    <w:rsid w:val="00A916BF"/>
    <w:rsid w:val="00A92296"/>
    <w:rsid w:val="00A924D6"/>
    <w:rsid w:val="00A9252B"/>
    <w:rsid w:val="00A92EA8"/>
    <w:rsid w:val="00A933B3"/>
    <w:rsid w:val="00A94E5F"/>
    <w:rsid w:val="00A9543A"/>
    <w:rsid w:val="00A961F8"/>
    <w:rsid w:val="00AA0989"/>
    <w:rsid w:val="00AA1512"/>
    <w:rsid w:val="00AA2034"/>
    <w:rsid w:val="00AA2087"/>
    <w:rsid w:val="00AA26BF"/>
    <w:rsid w:val="00AA2DDF"/>
    <w:rsid w:val="00AA343D"/>
    <w:rsid w:val="00AA386D"/>
    <w:rsid w:val="00AA4E66"/>
    <w:rsid w:val="00AA4F36"/>
    <w:rsid w:val="00AA55B7"/>
    <w:rsid w:val="00AA55E7"/>
    <w:rsid w:val="00AA5B9E"/>
    <w:rsid w:val="00AA5D22"/>
    <w:rsid w:val="00AA71AB"/>
    <w:rsid w:val="00AA7624"/>
    <w:rsid w:val="00AB0024"/>
    <w:rsid w:val="00AB00D3"/>
    <w:rsid w:val="00AB0891"/>
    <w:rsid w:val="00AB0B5A"/>
    <w:rsid w:val="00AB202E"/>
    <w:rsid w:val="00AB2138"/>
    <w:rsid w:val="00AB2407"/>
    <w:rsid w:val="00AB29D9"/>
    <w:rsid w:val="00AB2DCF"/>
    <w:rsid w:val="00AB33F0"/>
    <w:rsid w:val="00AB53DF"/>
    <w:rsid w:val="00AB5A2E"/>
    <w:rsid w:val="00AB605B"/>
    <w:rsid w:val="00AB6A4B"/>
    <w:rsid w:val="00AB6AB4"/>
    <w:rsid w:val="00AB6F18"/>
    <w:rsid w:val="00AB7135"/>
    <w:rsid w:val="00AC0543"/>
    <w:rsid w:val="00AC08CD"/>
    <w:rsid w:val="00AC2618"/>
    <w:rsid w:val="00AC2CDE"/>
    <w:rsid w:val="00AC371E"/>
    <w:rsid w:val="00AC479B"/>
    <w:rsid w:val="00AC47B3"/>
    <w:rsid w:val="00AC5023"/>
    <w:rsid w:val="00AC519C"/>
    <w:rsid w:val="00AC626E"/>
    <w:rsid w:val="00AC7200"/>
    <w:rsid w:val="00AC7F71"/>
    <w:rsid w:val="00AD017B"/>
    <w:rsid w:val="00AD0377"/>
    <w:rsid w:val="00AD0BA3"/>
    <w:rsid w:val="00AD1349"/>
    <w:rsid w:val="00AD20E6"/>
    <w:rsid w:val="00AD3BBF"/>
    <w:rsid w:val="00AD4950"/>
    <w:rsid w:val="00AD5154"/>
    <w:rsid w:val="00AD51D2"/>
    <w:rsid w:val="00AD5280"/>
    <w:rsid w:val="00AD5D46"/>
    <w:rsid w:val="00AD6024"/>
    <w:rsid w:val="00AD6B2F"/>
    <w:rsid w:val="00AE007A"/>
    <w:rsid w:val="00AE0897"/>
    <w:rsid w:val="00AE0A16"/>
    <w:rsid w:val="00AE125D"/>
    <w:rsid w:val="00AE337E"/>
    <w:rsid w:val="00AE474E"/>
    <w:rsid w:val="00AE4AED"/>
    <w:rsid w:val="00AE5EEB"/>
    <w:rsid w:val="00AE6471"/>
    <w:rsid w:val="00AE7197"/>
    <w:rsid w:val="00AE7517"/>
    <w:rsid w:val="00AE7755"/>
    <w:rsid w:val="00AE7867"/>
    <w:rsid w:val="00AF1086"/>
    <w:rsid w:val="00AF1CF4"/>
    <w:rsid w:val="00AF3E0B"/>
    <w:rsid w:val="00AF5F16"/>
    <w:rsid w:val="00AF65B2"/>
    <w:rsid w:val="00AF6764"/>
    <w:rsid w:val="00AF78C9"/>
    <w:rsid w:val="00AF7CF3"/>
    <w:rsid w:val="00B05046"/>
    <w:rsid w:val="00B07019"/>
    <w:rsid w:val="00B07253"/>
    <w:rsid w:val="00B0744E"/>
    <w:rsid w:val="00B075E6"/>
    <w:rsid w:val="00B07E5C"/>
    <w:rsid w:val="00B10396"/>
    <w:rsid w:val="00B1058B"/>
    <w:rsid w:val="00B109B4"/>
    <w:rsid w:val="00B11A5E"/>
    <w:rsid w:val="00B125D4"/>
    <w:rsid w:val="00B1409B"/>
    <w:rsid w:val="00B15520"/>
    <w:rsid w:val="00B159C1"/>
    <w:rsid w:val="00B167F9"/>
    <w:rsid w:val="00B2270C"/>
    <w:rsid w:val="00B2467F"/>
    <w:rsid w:val="00B24CCB"/>
    <w:rsid w:val="00B25759"/>
    <w:rsid w:val="00B2640A"/>
    <w:rsid w:val="00B26460"/>
    <w:rsid w:val="00B26910"/>
    <w:rsid w:val="00B26962"/>
    <w:rsid w:val="00B270EE"/>
    <w:rsid w:val="00B2737E"/>
    <w:rsid w:val="00B302A3"/>
    <w:rsid w:val="00B31DB2"/>
    <w:rsid w:val="00B32265"/>
    <w:rsid w:val="00B3564B"/>
    <w:rsid w:val="00B3583D"/>
    <w:rsid w:val="00B361BE"/>
    <w:rsid w:val="00B37101"/>
    <w:rsid w:val="00B37189"/>
    <w:rsid w:val="00B40415"/>
    <w:rsid w:val="00B40E6F"/>
    <w:rsid w:val="00B42542"/>
    <w:rsid w:val="00B42E67"/>
    <w:rsid w:val="00B43933"/>
    <w:rsid w:val="00B43FEE"/>
    <w:rsid w:val="00B44647"/>
    <w:rsid w:val="00B44E08"/>
    <w:rsid w:val="00B45BE0"/>
    <w:rsid w:val="00B46C2E"/>
    <w:rsid w:val="00B47A13"/>
    <w:rsid w:val="00B50014"/>
    <w:rsid w:val="00B50285"/>
    <w:rsid w:val="00B5033D"/>
    <w:rsid w:val="00B52555"/>
    <w:rsid w:val="00B53182"/>
    <w:rsid w:val="00B532B2"/>
    <w:rsid w:val="00B558CB"/>
    <w:rsid w:val="00B5598B"/>
    <w:rsid w:val="00B57110"/>
    <w:rsid w:val="00B57333"/>
    <w:rsid w:val="00B5773B"/>
    <w:rsid w:val="00B60DD9"/>
    <w:rsid w:val="00B61698"/>
    <w:rsid w:val="00B61B3B"/>
    <w:rsid w:val="00B63818"/>
    <w:rsid w:val="00B63AE7"/>
    <w:rsid w:val="00B64316"/>
    <w:rsid w:val="00B6501F"/>
    <w:rsid w:val="00B70379"/>
    <w:rsid w:val="00B713D2"/>
    <w:rsid w:val="00B733B0"/>
    <w:rsid w:val="00B755EB"/>
    <w:rsid w:val="00B77144"/>
    <w:rsid w:val="00B7734F"/>
    <w:rsid w:val="00B77C72"/>
    <w:rsid w:val="00B802F0"/>
    <w:rsid w:val="00B808A4"/>
    <w:rsid w:val="00B811F7"/>
    <w:rsid w:val="00B8222D"/>
    <w:rsid w:val="00B823C4"/>
    <w:rsid w:val="00B82AD7"/>
    <w:rsid w:val="00B8483B"/>
    <w:rsid w:val="00B84989"/>
    <w:rsid w:val="00B86147"/>
    <w:rsid w:val="00B9041F"/>
    <w:rsid w:val="00B9072D"/>
    <w:rsid w:val="00B90B2C"/>
    <w:rsid w:val="00B91CA7"/>
    <w:rsid w:val="00B92A4F"/>
    <w:rsid w:val="00B92ECB"/>
    <w:rsid w:val="00B93ADD"/>
    <w:rsid w:val="00B9539B"/>
    <w:rsid w:val="00B95749"/>
    <w:rsid w:val="00B973B0"/>
    <w:rsid w:val="00BA06A7"/>
    <w:rsid w:val="00BA1437"/>
    <w:rsid w:val="00BA18F2"/>
    <w:rsid w:val="00BA288A"/>
    <w:rsid w:val="00BA346C"/>
    <w:rsid w:val="00BA3B67"/>
    <w:rsid w:val="00BA3E41"/>
    <w:rsid w:val="00BA48F3"/>
    <w:rsid w:val="00BA4E13"/>
    <w:rsid w:val="00BA508C"/>
    <w:rsid w:val="00BA5391"/>
    <w:rsid w:val="00BA5DC6"/>
    <w:rsid w:val="00BA6196"/>
    <w:rsid w:val="00BA67A8"/>
    <w:rsid w:val="00BA6893"/>
    <w:rsid w:val="00BA75EC"/>
    <w:rsid w:val="00BB05E8"/>
    <w:rsid w:val="00BB098D"/>
    <w:rsid w:val="00BB09A1"/>
    <w:rsid w:val="00BB1D59"/>
    <w:rsid w:val="00BB1EA1"/>
    <w:rsid w:val="00BB4266"/>
    <w:rsid w:val="00BB4616"/>
    <w:rsid w:val="00BB544E"/>
    <w:rsid w:val="00BC1504"/>
    <w:rsid w:val="00BC1E54"/>
    <w:rsid w:val="00BC2077"/>
    <w:rsid w:val="00BC34F0"/>
    <w:rsid w:val="00BC3C32"/>
    <w:rsid w:val="00BC40FA"/>
    <w:rsid w:val="00BC51C0"/>
    <w:rsid w:val="00BC6799"/>
    <w:rsid w:val="00BC6D8C"/>
    <w:rsid w:val="00BC7535"/>
    <w:rsid w:val="00BD0E92"/>
    <w:rsid w:val="00BD12E7"/>
    <w:rsid w:val="00BD140E"/>
    <w:rsid w:val="00BD1695"/>
    <w:rsid w:val="00BD1DD6"/>
    <w:rsid w:val="00BD3C46"/>
    <w:rsid w:val="00BD3F48"/>
    <w:rsid w:val="00BD4044"/>
    <w:rsid w:val="00BD66F7"/>
    <w:rsid w:val="00BD6A78"/>
    <w:rsid w:val="00BE05DE"/>
    <w:rsid w:val="00BE0C96"/>
    <w:rsid w:val="00BE0CEB"/>
    <w:rsid w:val="00BE2E2A"/>
    <w:rsid w:val="00BE4A95"/>
    <w:rsid w:val="00BE4B04"/>
    <w:rsid w:val="00BE4B68"/>
    <w:rsid w:val="00BE4E73"/>
    <w:rsid w:val="00BE5219"/>
    <w:rsid w:val="00BE7C9E"/>
    <w:rsid w:val="00BF07E2"/>
    <w:rsid w:val="00BF07F7"/>
    <w:rsid w:val="00BF29F7"/>
    <w:rsid w:val="00BF5B8F"/>
    <w:rsid w:val="00BF6802"/>
    <w:rsid w:val="00BF6C3A"/>
    <w:rsid w:val="00C00565"/>
    <w:rsid w:val="00C022D3"/>
    <w:rsid w:val="00C0238E"/>
    <w:rsid w:val="00C02601"/>
    <w:rsid w:val="00C05F4E"/>
    <w:rsid w:val="00C06831"/>
    <w:rsid w:val="00C07074"/>
    <w:rsid w:val="00C11DFC"/>
    <w:rsid w:val="00C12043"/>
    <w:rsid w:val="00C126B4"/>
    <w:rsid w:val="00C129A9"/>
    <w:rsid w:val="00C130F7"/>
    <w:rsid w:val="00C13A34"/>
    <w:rsid w:val="00C13B17"/>
    <w:rsid w:val="00C14804"/>
    <w:rsid w:val="00C14BC9"/>
    <w:rsid w:val="00C151D8"/>
    <w:rsid w:val="00C15A11"/>
    <w:rsid w:val="00C17047"/>
    <w:rsid w:val="00C20193"/>
    <w:rsid w:val="00C20BE9"/>
    <w:rsid w:val="00C21B8D"/>
    <w:rsid w:val="00C2212C"/>
    <w:rsid w:val="00C236C5"/>
    <w:rsid w:val="00C24FC2"/>
    <w:rsid w:val="00C25454"/>
    <w:rsid w:val="00C263E0"/>
    <w:rsid w:val="00C26B03"/>
    <w:rsid w:val="00C26D41"/>
    <w:rsid w:val="00C2781B"/>
    <w:rsid w:val="00C33E77"/>
    <w:rsid w:val="00C34006"/>
    <w:rsid w:val="00C34839"/>
    <w:rsid w:val="00C34937"/>
    <w:rsid w:val="00C36B4C"/>
    <w:rsid w:val="00C36C02"/>
    <w:rsid w:val="00C37141"/>
    <w:rsid w:val="00C379F4"/>
    <w:rsid w:val="00C4158E"/>
    <w:rsid w:val="00C416E4"/>
    <w:rsid w:val="00C418A9"/>
    <w:rsid w:val="00C41B34"/>
    <w:rsid w:val="00C426B1"/>
    <w:rsid w:val="00C43BDF"/>
    <w:rsid w:val="00C47927"/>
    <w:rsid w:val="00C518AB"/>
    <w:rsid w:val="00C5192D"/>
    <w:rsid w:val="00C52339"/>
    <w:rsid w:val="00C52867"/>
    <w:rsid w:val="00C52E9C"/>
    <w:rsid w:val="00C53118"/>
    <w:rsid w:val="00C53328"/>
    <w:rsid w:val="00C53D16"/>
    <w:rsid w:val="00C5710F"/>
    <w:rsid w:val="00C577E3"/>
    <w:rsid w:val="00C607F9"/>
    <w:rsid w:val="00C6086A"/>
    <w:rsid w:val="00C60A5C"/>
    <w:rsid w:val="00C61834"/>
    <w:rsid w:val="00C61C82"/>
    <w:rsid w:val="00C61D09"/>
    <w:rsid w:val="00C61FB6"/>
    <w:rsid w:val="00C63183"/>
    <w:rsid w:val="00C63627"/>
    <w:rsid w:val="00C63CF8"/>
    <w:rsid w:val="00C655DA"/>
    <w:rsid w:val="00C65A80"/>
    <w:rsid w:val="00C65E1B"/>
    <w:rsid w:val="00C66160"/>
    <w:rsid w:val="00C677C9"/>
    <w:rsid w:val="00C678BC"/>
    <w:rsid w:val="00C67CC3"/>
    <w:rsid w:val="00C67EE9"/>
    <w:rsid w:val="00C7059B"/>
    <w:rsid w:val="00C70991"/>
    <w:rsid w:val="00C71236"/>
    <w:rsid w:val="00C71525"/>
    <w:rsid w:val="00C71F55"/>
    <w:rsid w:val="00C721AC"/>
    <w:rsid w:val="00C75912"/>
    <w:rsid w:val="00C759CE"/>
    <w:rsid w:val="00C75C5A"/>
    <w:rsid w:val="00C77365"/>
    <w:rsid w:val="00C77A7D"/>
    <w:rsid w:val="00C8067B"/>
    <w:rsid w:val="00C807F1"/>
    <w:rsid w:val="00C8086A"/>
    <w:rsid w:val="00C822DB"/>
    <w:rsid w:val="00C82D0B"/>
    <w:rsid w:val="00C82E6B"/>
    <w:rsid w:val="00C83384"/>
    <w:rsid w:val="00C83474"/>
    <w:rsid w:val="00C90D6A"/>
    <w:rsid w:val="00C933F8"/>
    <w:rsid w:val="00C95361"/>
    <w:rsid w:val="00C96015"/>
    <w:rsid w:val="00CA09DD"/>
    <w:rsid w:val="00CA1553"/>
    <w:rsid w:val="00CA23F3"/>
    <w:rsid w:val="00CA247E"/>
    <w:rsid w:val="00CA371E"/>
    <w:rsid w:val="00CA5963"/>
    <w:rsid w:val="00CA5F17"/>
    <w:rsid w:val="00CA63C5"/>
    <w:rsid w:val="00CA6D21"/>
    <w:rsid w:val="00CA7127"/>
    <w:rsid w:val="00CB0F5F"/>
    <w:rsid w:val="00CB2258"/>
    <w:rsid w:val="00CB3173"/>
    <w:rsid w:val="00CB6DD6"/>
    <w:rsid w:val="00CC0721"/>
    <w:rsid w:val="00CC084F"/>
    <w:rsid w:val="00CC1366"/>
    <w:rsid w:val="00CC218B"/>
    <w:rsid w:val="00CC3220"/>
    <w:rsid w:val="00CC4803"/>
    <w:rsid w:val="00CC4E2E"/>
    <w:rsid w:val="00CC56BA"/>
    <w:rsid w:val="00CC72B6"/>
    <w:rsid w:val="00CD0979"/>
    <w:rsid w:val="00CD121E"/>
    <w:rsid w:val="00CD128C"/>
    <w:rsid w:val="00CD170B"/>
    <w:rsid w:val="00CD19D7"/>
    <w:rsid w:val="00CD2E9B"/>
    <w:rsid w:val="00CD3BC0"/>
    <w:rsid w:val="00CD408B"/>
    <w:rsid w:val="00CD58B2"/>
    <w:rsid w:val="00CE01BC"/>
    <w:rsid w:val="00CE2A8A"/>
    <w:rsid w:val="00CE3533"/>
    <w:rsid w:val="00CE3FD6"/>
    <w:rsid w:val="00CE5710"/>
    <w:rsid w:val="00CE58B4"/>
    <w:rsid w:val="00CE6962"/>
    <w:rsid w:val="00CE6AE6"/>
    <w:rsid w:val="00CE6C15"/>
    <w:rsid w:val="00CE7AE2"/>
    <w:rsid w:val="00CF2094"/>
    <w:rsid w:val="00CF28B2"/>
    <w:rsid w:val="00CF2B16"/>
    <w:rsid w:val="00CF3290"/>
    <w:rsid w:val="00CF3EDC"/>
    <w:rsid w:val="00CF4043"/>
    <w:rsid w:val="00CF4496"/>
    <w:rsid w:val="00CF485D"/>
    <w:rsid w:val="00CF4D5E"/>
    <w:rsid w:val="00CF57A2"/>
    <w:rsid w:val="00CF66A1"/>
    <w:rsid w:val="00CF6835"/>
    <w:rsid w:val="00CF6943"/>
    <w:rsid w:val="00CF6EBB"/>
    <w:rsid w:val="00D002DB"/>
    <w:rsid w:val="00D008B9"/>
    <w:rsid w:val="00D00D20"/>
    <w:rsid w:val="00D0218D"/>
    <w:rsid w:val="00D02CA9"/>
    <w:rsid w:val="00D02D88"/>
    <w:rsid w:val="00D033DB"/>
    <w:rsid w:val="00D03972"/>
    <w:rsid w:val="00D04580"/>
    <w:rsid w:val="00D051FF"/>
    <w:rsid w:val="00D05791"/>
    <w:rsid w:val="00D06FD0"/>
    <w:rsid w:val="00D11A20"/>
    <w:rsid w:val="00D12148"/>
    <w:rsid w:val="00D1400B"/>
    <w:rsid w:val="00D171F1"/>
    <w:rsid w:val="00D17653"/>
    <w:rsid w:val="00D17953"/>
    <w:rsid w:val="00D17A38"/>
    <w:rsid w:val="00D201BD"/>
    <w:rsid w:val="00D21832"/>
    <w:rsid w:val="00D22271"/>
    <w:rsid w:val="00D22BA3"/>
    <w:rsid w:val="00D22C29"/>
    <w:rsid w:val="00D22D93"/>
    <w:rsid w:val="00D239CC"/>
    <w:rsid w:val="00D23A4C"/>
    <w:rsid w:val="00D23F8B"/>
    <w:rsid w:val="00D241FB"/>
    <w:rsid w:val="00D25FB5"/>
    <w:rsid w:val="00D260CF"/>
    <w:rsid w:val="00D262A2"/>
    <w:rsid w:val="00D26383"/>
    <w:rsid w:val="00D27F13"/>
    <w:rsid w:val="00D31F37"/>
    <w:rsid w:val="00D33E86"/>
    <w:rsid w:val="00D35DFC"/>
    <w:rsid w:val="00D371A2"/>
    <w:rsid w:val="00D41099"/>
    <w:rsid w:val="00D416E5"/>
    <w:rsid w:val="00D42152"/>
    <w:rsid w:val="00D427B2"/>
    <w:rsid w:val="00D42C2F"/>
    <w:rsid w:val="00D43F78"/>
    <w:rsid w:val="00D44223"/>
    <w:rsid w:val="00D46398"/>
    <w:rsid w:val="00D47E95"/>
    <w:rsid w:val="00D50F5A"/>
    <w:rsid w:val="00D5163C"/>
    <w:rsid w:val="00D52A31"/>
    <w:rsid w:val="00D52B69"/>
    <w:rsid w:val="00D5310B"/>
    <w:rsid w:val="00D545C1"/>
    <w:rsid w:val="00D54E74"/>
    <w:rsid w:val="00D5573E"/>
    <w:rsid w:val="00D5578B"/>
    <w:rsid w:val="00D562FE"/>
    <w:rsid w:val="00D572C2"/>
    <w:rsid w:val="00D577AC"/>
    <w:rsid w:val="00D57DAF"/>
    <w:rsid w:val="00D60673"/>
    <w:rsid w:val="00D6067B"/>
    <w:rsid w:val="00D6108B"/>
    <w:rsid w:val="00D62175"/>
    <w:rsid w:val="00D62734"/>
    <w:rsid w:val="00D62812"/>
    <w:rsid w:val="00D649C3"/>
    <w:rsid w:val="00D64A2D"/>
    <w:rsid w:val="00D65E9E"/>
    <w:rsid w:val="00D662C2"/>
    <w:rsid w:val="00D6760F"/>
    <w:rsid w:val="00D67F90"/>
    <w:rsid w:val="00D701B9"/>
    <w:rsid w:val="00D716DB"/>
    <w:rsid w:val="00D71AE9"/>
    <w:rsid w:val="00D72127"/>
    <w:rsid w:val="00D72453"/>
    <w:rsid w:val="00D72593"/>
    <w:rsid w:val="00D745AB"/>
    <w:rsid w:val="00D753BE"/>
    <w:rsid w:val="00D76886"/>
    <w:rsid w:val="00D7735F"/>
    <w:rsid w:val="00D773FA"/>
    <w:rsid w:val="00D77A88"/>
    <w:rsid w:val="00D77AC6"/>
    <w:rsid w:val="00D810A7"/>
    <w:rsid w:val="00D81E67"/>
    <w:rsid w:val="00D82662"/>
    <w:rsid w:val="00D90BF9"/>
    <w:rsid w:val="00D914FE"/>
    <w:rsid w:val="00D93F86"/>
    <w:rsid w:val="00D94BED"/>
    <w:rsid w:val="00D97252"/>
    <w:rsid w:val="00D97985"/>
    <w:rsid w:val="00D97D70"/>
    <w:rsid w:val="00DA0C54"/>
    <w:rsid w:val="00DA0C70"/>
    <w:rsid w:val="00DA2529"/>
    <w:rsid w:val="00DA283B"/>
    <w:rsid w:val="00DA3031"/>
    <w:rsid w:val="00DA3037"/>
    <w:rsid w:val="00DA4229"/>
    <w:rsid w:val="00DA464E"/>
    <w:rsid w:val="00DA48EE"/>
    <w:rsid w:val="00DA4FDE"/>
    <w:rsid w:val="00DA780B"/>
    <w:rsid w:val="00DA790B"/>
    <w:rsid w:val="00DA7B93"/>
    <w:rsid w:val="00DB0238"/>
    <w:rsid w:val="00DB06D9"/>
    <w:rsid w:val="00DB130A"/>
    <w:rsid w:val="00DB132E"/>
    <w:rsid w:val="00DB205E"/>
    <w:rsid w:val="00DB2EBB"/>
    <w:rsid w:val="00DB4C94"/>
    <w:rsid w:val="00DB4CD9"/>
    <w:rsid w:val="00DB4E2E"/>
    <w:rsid w:val="00DB5B6D"/>
    <w:rsid w:val="00DB7AE8"/>
    <w:rsid w:val="00DC0D24"/>
    <w:rsid w:val="00DC0E8A"/>
    <w:rsid w:val="00DC0FBE"/>
    <w:rsid w:val="00DC10A1"/>
    <w:rsid w:val="00DC221F"/>
    <w:rsid w:val="00DC2712"/>
    <w:rsid w:val="00DC62FA"/>
    <w:rsid w:val="00DC655F"/>
    <w:rsid w:val="00DC798F"/>
    <w:rsid w:val="00DD044D"/>
    <w:rsid w:val="00DD0B59"/>
    <w:rsid w:val="00DD2CCA"/>
    <w:rsid w:val="00DD3358"/>
    <w:rsid w:val="00DD3880"/>
    <w:rsid w:val="00DD3B50"/>
    <w:rsid w:val="00DD3E33"/>
    <w:rsid w:val="00DD47E0"/>
    <w:rsid w:val="00DD7DA4"/>
    <w:rsid w:val="00DD7EBD"/>
    <w:rsid w:val="00DE06C7"/>
    <w:rsid w:val="00DE0928"/>
    <w:rsid w:val="00DE0F69"/>
    <w:rsid w:val="00DE1A87"/>
    <w:rsid w:val="00DE2A24"/>
    <w:rsid w:val="00DE4016"/>
    <w:rsid w:val="00DE5D17"/>
    <w:rsid w:val="00DE729F"/>
    <w:rsid w:val="00DE72D9"/>
    <w:rsid w:val="00DE7DEE"/>
    <w:rsid w:val="00DF0A73"/>
    <w:rsid w:val="00DF0B1B"/>
    <w:rsid w:val="00DF15A5"/>
    <w:rsid w:val="00DF2348"/>
    <w:rsid w:val="00DF25BA"/>
    <w:rsid w:val="00DF3843"/>
    <w:rsid w:val="00DF38F4"/>
    <w:rsid w:val="00DF3968"/>
    <w:rsid w:val="00DF43AD"/>
    <w:rsid w:val="00DF4FFF"/>
    <w:rsid w:val="00DF5B26"/>
    <w:rsid w:val="00DF62B6"/>
    <w:rsid w:val="00DF72F6"/>
    <w:rsid w:val="00E00BD9"/>
    <w:rsid w:val="00E01514"/>
    <w:rsid w:val="00E01827"/>
    <w:rsid w:val="00E01A1B"/>
    <w:rsid w:val="00E0278B"/>
    <w:rsid w:val="00E05D40"/>
    <w:rsid w:val="00E06F96"/>
    <w:rsid w:val="00E07225"/>
    <w:rsid w:val="00E07626"/>
    <w:rsid w:val="00E07B3F"/>
    <w:rsid w:val="00E07CB9"/>
    <w:rsid w:val="00E07DA4"/>
    <w:rsid w:val="00E111E9"/>
    <w:rsid w:val="00E11771"/>
    <w:rsid w:val="00E12574"/>
    <w:rsid w:val="00E13263"/>
    <w:rsid w:val="00E14569"/>
    <w:rsid w:val="00E149BF"/>
    <w:rsid w:val="00E14BEC"/>
    <w:rsid w:val="00E16EF5"/>
    <w:rsid w:val="00E16F89"/>
    <w:rsid w:val="00E212F7"/>
    <w:rsid w:val="00E22050"/>
    <w:rsid w:val="00E221EA"/>
    <w:rsid w:val="00E236B3"/>
    <w:rsid w:val="00E2431D"/>
    <w:rsid w:val="00E248DE"/>
    <w:rsid w:val="00E24E8E"/>
    <w:rsid w:val="00E25E8A"/>
    <w:rsid w:val="00E26EEB"/>
    <w:rsid w:val="00E3118A"/>
    <w:rsid w:val="00E32DB1"/>
    <w:rsid w:val="00E33349"/>
    <w:rsid w:val="00E366D5"/>
    <w:rsid w:val="00E36A91"/>
    <w:rsid w:val="00E3708D"/>
    <w:rsid w:val="00E3751D"/>
    <w:rsid w:val="00E37658"/>
    <w:rsid w:val="00E37D04"/>
    <w:rsid w:val="00E400C4"/>
    <w:rsid w:val="00E40FDA"/>
    <w:rsid w:val="00E41D12"/>
    <w:rsid w:val="00E41F31"/>
    <w:rsid w:val="00E42051"/>
    <w:rsid w:val="00E42361"/>
    <w:rsid w:val="00E42F08"/>
    <w:rsid w:val="00E4328A"/>
    <w:rsid w:val="00E44C93"/>
    <w:rsid w:val="00E455B7"/>
    <w:rsid w:val="00E4639C"/>
    <w:rsid w:val="00E50398"/>
    <w:rsid w:val="00E52F60"/>
    <w:rsid w:val="00E5409F"/>
    <w:rsid w:val="00E55BFA"/>
    <w:rsid w:val="00E57247"/>
    <w:rsid w:val="00E57949"/>
    <w:rsid w:val="00E57D01"/>
    <w:rsid w:val="00E60365"/>
    <w:rsid w:val="00E6092C"/>
    <w:rsid w:val="00E622EE"/>
    <w:rsid w:val="00E6471A"/>
    <w:rsid w:val="00E65367"/>
    <w:rsid w:val="00E65CD8"/>
    <w:rsid w:val="00E6600C"/>
    <w:rsid w:val="00E666DF"/>
    <w:rsid w:val="00E66D15"/>
    <w:rsid w:val="00E66EF6"/>
    <w:rsid w:val="00E6770F"/>
    <w:rsid w:val="00E7019A"/>
    <w:rsid w:val="00E704AF"/>
    <w:rsid w:val="00E70DF8"/>
    <w:rsid w:val="00E71274"/>
    <w:rsid w:val="00E7152A"/>
    <w:rsid w:val="00E71575"/>
    <w:rsid w:val="00E71A92"/>
    <w:rsid w:val="00E7246F"/>
    <w:rsid w:val="00E731C8"/>
    <w:rsid w:val="00E73DAB"/>
    <w:rsid w:val="00E740CB"/>
    <w:rsid w:val="00E7753C"/>
    <w:rsid w:val="00E7782C"/>
    <w:rsid w:val="00E77C5B"/>
    <w:rsid w:val="00E81E65"/>
    <w:rsid w:val="00E820B0"/>
    <w:rsid w:val="00E827EE"/>
    <w:rsid w:val="00E82E32"/>
    <w:rsid w:val="00E82EF1"/>
    <w:rsid w:val="00E83948"/>
    <w:rsid w:val="00E84A7B"/>
    <w:rsid w:val="00E8615A"/>
    <w:rsid w:val="00E861AD"/>
    <w:rsid w:val="00E86378"/>
    <w:rsid w:val="00E873EC"/>
    <w:rsid w:val="00E90B13"/>
    <w:rsid w:val="00E90BF3"/>
    <w:rsid w:val="00E90DB6"/>
    <w:rsid w:val="00E911BD"/>
    <w:rsid w:val="00E92F7B"/>
    <w:rsid w:val="00E939E1"/>
    <w:rsid w:val="00E93FDB"/>
    <w:rsid w:val="00E9601D"/>
    <w:rsid w:val="00E96338"/>
    <w:rsid w:val="00E9676B"/>
    <w:rsid w:val="00E96C9D"/>
    <w:rsid w:val="00E971E0"/>
    <w:rsid w:val="00E97FB0"/>
    <w:rsid w:val="00EA0E8A"/>
    <w:rsid w:val="00EA0E8C"/>
    <w:rsid w:val="00EA2179"/>
    <w:rsid w:val="00EA2235"/>
    <w:rsid w:val="00EA2926"/>
    <w:rsid w:val="00EA2FFB"/>
    <w:rsid w:val="00EA54DB"/>
    <w:rsid w:val="00EA79A6"/>
    <w:rsid w:val="00EB000B"/>
    <w:rsid w:val="00EB0050"/>
    <w:rsid w:val="00EB01A8"/>
    <w:rsid w:val="00EB0386"/>
    <w:rsid w:val="00EB1203"/>
    <w:rsid w:val="00EB1420"/>
    <w:rsid w:val="00EB1A05"/>
    <w:rsid w:val="00EB1D27"/>
    <w:rsid w:val="00EB2812"/>
    <w:rsid w:val="00EB2965"/>
    <w:rsid w:val="00EB3D43"/>
    <w:rsid w:val="00EB4247"/>
    <w:rsid w:val="00EB54C5"/>
    <w:rsid w:val="00EC020B"/>
    <w:rsid w:val="00EC1B3A"/>
    <w:rsid w:val="00EC2B19"/>
    <w:rsid w:val="00EC2B96"/>
    <w:rsid w:val="00EC3156"/>
    <w:rsid w:val="00EC77ED"/>
    <w:rsid w:val="00ED1381"/>
    <w:rsid w:val="00ED139E"/>
    <w:rsid w:val="00ED18B1"/>
    <w:rsid w:val="00ED1AFC"/>
    <w:rsid w:val="00ED2AFD"/>
    <w:rsid w:val="00ED36A8"/>
    <w:rsid w:val="00ED3F08"/>
    <w:rsid w:val="00ED40A1"/>
    <w:rsid w:val="00ED5B8C"/>
    <w:rsid w:val="00ED5E88"/>
    <w:rsid w:val="00ED6F0F"/>
    <w:rsid w:val="00ED7393"/>
    <w:rsid w:val="00ED7B71"/>
    <w:rsid w:val="00EE0664"/>
    <w:rsid w:val="00EE0824"/>
    <w:rsid w:val="00EE2183"/>
    <w:rsid w:val="00EE23C7"/>
    <w:rsid w:val="00EE2FDD"/>
    <w:rsid w:val="00EE33C9"/>
    <w:rsid w:val="00EE35B4"/>
    <w:rsid w:val="00EE3A5D"/>
    <w:rsid w:val="00EE3C3C"/>
    <w:rsid w:val="00EE4360"/>
    <w:rsid w:val="00EE4B57"/>
    <w:rsid w:val="00EE5A4E"/>
    <w:rsid w:val="00EE6457"/>
    <w:rsid w:val="00EE6488"/>
    <w:rsid w:val="00EE6658"/>
    <w:rsid w:val="00EE7B65"/>
    <w:rsid w:val="00EF0124"/>
    <w:rsid w:val="00EF07FF"/>
    <w:rsid w:val="00EF4B66"/>
    <w:rsid w:val="00EF4D17"/>
    <w:rsid w:val="00EF736C"/>
    <w:rsid w:val="00F0010C"/>
    <w:rsid w:val="00F0159E"/>
    <w:rsid w:val="00F021FA"/>
    <w:rsid w:val="00F0267E"/>
    <w:rsid w:val="00F03561"/>
    <w:rsid w:val="00F03F90"/>
    <w:rsid w:val="00F048B4"/>
    <w:rsid w:val="00F04FD0"/>
    <w:rsid w:val="00F059DA"/>
    <w:rsid w:val="00F06ACB"/>
    <w:rsid w:val="00F06E78"/>
    <w:rsid w:val="00F075CE"/>
    <w:rsid w:val="00F10090"/>
    <w:rsid w:val="00F104D8"/>
    <w:rsid w:val="00F10E5D"/>
    <w:rsid w:val="00F1110B"/>
    <w:rsid w:val="00F140FC"/>
    <w:rsid w:val="00F145D0"/>
    <w:rsid w:val="00F146BC"/>
    <w:rsid w:val="00F147A5"/>
    <w:rsid w:val="00F15990"/>
    <w:rsid w:val="00F17843"/>
    <w:rsid w:val="00F17CB1"/>
    <w:rsid w:val="00F21CFD"/>
    <w:rsid w:val="00F21D39"/>
    <w:rsid w:val="00F22A87"/>
    <w:rsid w:val="00F2371D"/>
    <w:rsid w:val="00F247DC"/>
    <w:rsid w:val="00F247E1"/>
    <w:rsid w:val="00F30419"/>
    <w:rsid w:val="00F307CD"/>
    <w:rsid w:val="00F30CC5"/>
    <w:rsid w:val="00F333B6"/>
    <w:rsid w:val="00F33BE6"/>
    <w:rsid w:val="00F34087"/>
    <w:rsid w:val="00F37A19"/>
    <w:rsid w:val="00F37F48"/>
    <w:rsid w:val="00F4027D"/>
    <w:rsid w:val="00F40675"/>
    <w:rsid w:val="00F42830"/>
    <w:rsid w:val="00F43C3C"/>
    <w:rsid w:val="00F43E18"/>
    <w:rsid w:val="00F44421"/>
    <w:rsid w:val="00F447EB"/>
    <w:rsid w:val="00F451D0"/>
    <w:rsid w:val="00F454B0"/>
    <w:rsid w:val="00F460B2"/>
    <w:rsid w:val="00F46FF9"/>
    <w:rsid w:val="00F473F6"/>
    <w:rsid w:val="00F47652"/>
    <w:rsid w:val="00F47D84"/>
    <w:rsid w:val="00F510FC"/>
    <w:rsid w:val="00F51E84"/>
    <w:rsid w:val="00F527C9"/>
    <w:rsid w:val="00F52C64"/>
    <w:rsid w:val="00F53B40"/>
    <w:rsid w:val="00F550EF"/>
    <w:rsid w:val="00F56C6B"/>
    <w:rsid w:val="00F5723D"/>
    <w:rsid w:val="00F6198F"/>
    <w:rsid w:val="00F62279"/>
    <w:rsid w:val="00F62A49"/>
    <w:rsid w:val="00F62E97"/>
    <w:rsid w:val="00F633DF"/>
    <w:rsid w:val="00F63613"/>
    <w:rsid w:val="00F63A5C"/>
    <w:rsid w:val="00F63D00"/>
    <w:rsid w:val="00F64209"/>
    <w:rsid w:val="00F642E4"/>
    <w:rsid w:val="00F65B95"/>
    <w:rsid w:val="00F669AD"/>
    <w:rsid w:val="00F66ED3"/>
    <w:rsid w:val="00F6731B"/>
    <w:rsid w:val="00F67767"/>
    <w:rsid w:val="00F70C3C"/>
    <w:rsid w:val="00F75A17"/>
    <w:rsid w:val="00F84527"/>
    <w:rsid w:val="00F84833"/>
    <w:rsid w:val="00F853AA"/>
    <w:rsid w:val="00F862A1"/>
    <w:rsid w:val="00F87B32"/>
    <w:rsid w:val="00F87F6F"/>
    <w:rsid w:val="00F908B2"/>
    <w:rsid w:val="00F90DDF"/>
    <w:rsid w:val="00F91AD1"/>
    <w:rsid w:val="00F927B5"/>
    <w:rsid w:val="00F92921"/>
    <w:rsid w:val="00F92F72"/>
    <w:rsid w:val="00F9362E"/>
    <w:rsid w:val="00F93643"/>
    <w:rsid w:val="00F9375A"/>
    <w:rsid w:val="00F9378F"/>
    <w:rsid w:val="00F93BF5"/>
    <w:rsid w:val="00F940E9"/>
    <w:rsid w:val="00F950F2"/>
    <w:rsid w:val="00F95162"/>
    <w:rsid w:val="00F96013"/>
    <w:rsid w:val="00F9693D"/>
    <w:rsid w:val="00F96AB9"/>
    <w:rsid w:val="00F979D6"/>
    <w:rsid w:val="00F97CA5"/>
    <w:rsid w:val="00FA1152"/>
    <w:rsid w:val="00FA157F"/>
    <w:rsid w:val="00FA5710"/>
    <w:rsid w:val="00FA6099"/>
    <w:rsid w:val="00FA6579"/>
    <w:rsid w:val="00FA7A2D"/>
    <w:rsid w:val="00FA7FAA"/>
    <w:rsid w:val="00FB0650"/>
    <w:rsid w:val="00FB0985"/>
    <w:rsid w:val="00FB0D79"/>
    <w:rsid w:val="00FB2853"/>
    <w:rsid w:val="00FB33BD"/>
    <w:rsid w:val="00FB3943"/>
    <w:rsid w:val="00FB441F"/>
    <w:rsid w:val="00FB4590"/>
    <w:rsid w:val="00FB5875"/>
    <w:rsid w:val="00FB618F"/>
    <w:rsid w:val="00FB681B"/>
    <w:rsid w:val="00FB6822"/>
    <w:rsid w:val="00FB6F63"/>
    <w:rsid w:val="00FB7B41"/>
    <w:rsid w:val="00FC01EF"/>
    <w:rsid w:val="00FC08FC"/>
    <w:rsid w:val="00FC224B"/>
    <w:rsid w:val="00FC33EA"/>
    <w:rsid w:val="00FC4D31"/>
    <w:rsid w:val="00FC5693"/>
    <w:rsid w:val="00FC5B55"/>
    <w:rsid w:val="00FC5C84"/>
    <w:rsid w:val="00FC60FE"/>
    <w:rsid w:val="00FC61C2"/>
    <w:rsid w:val="00FC62EB"/>
    <w:rsid w:val="00FC641A"/>
    <w:rsid w:val="00FD14A0"/>
    <w:rsid w:val="00FD1BEA"/>
    <w:rsid w:val="00FD1F93"/>
    <w:rsid w:val="00FD328E"/>
    <w:rsid w:val="00FD39C8"/>
    <w:rsid w:val="00FD3C48"/>
    <w:rsid w:val="00FD4060"/>
    <w:rsid w:val="00FD52E9"/>
    <w:rsid w:val="00FD56D5"/>
    <w:rsid w:val="00FD5919"/>
    <w:rsid w:val="00FD724C"/>
    <w:rsid w:val="00FD75C5"/>
    <w:rsid w:val="00FD7DE1"/>
    <w:rsid w:val="00FE0294"/>
    <w:rsid w:val="00FE077A"/>
    <w:rsid w:val="00FE1326"/>
    <w:rsid w:val="00FE2408"/>
    <w:rsid w:val="00FE327A"/>
    <w:rsid w:val="00FE3ADC"/>
    <w:rsid w:val="00FE5B89"/>
    <w:rsid w:val="00FE648E"/>
    <w:rsid w:val="00FE7607"/>
    <w:rsid w:val="00FF12D2"/>
    <w:rsid w:val="00FF19CA"/>
    <w:rsid w:val="00FF256D"/>
    <w:rsid w:val="00FF3857"/>
    <w:rsid w:val="00FF51C2"/>
    <w:rsid w:val="00FF5C8D"/>
    <w:rsid w:val="00FF7430"/>
    <w:rsid w:val="00FF746E"/>
    <w:rsid w:val="00FF7536"/>
    <w:rsid w:val="00FF7865"/>
    <w:rsid w:val="00FF7FF5"/>
    <w:rsid w:val="0EE48F21"/>
    <w:rsid w:val="0FF2A538"/>
    <w:rsid w:val="1CABBCB9"/>
    <w:rsid w:val="22554D6A"/>
    <w:rsid w:val="3C3647D5"/>
    <w:rsid w:val="41AE07F2"/>
    <w:rsid w:val="4F98F39F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0749C9C7"/>
  <w15:chartTrackingRefBased/>
  <w15:docId w15:val="{E31E9A16-F74B-4678-A748-AAC908229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25FB5"/>
    <w:pPr>
      <w:widowControl w:val="0"/>
    </w:pPr>
    <w:rPr>
      <w:snapToGrid w:val="0"/>
      <w:kern w:val="28"/>
      <w:sz w:val="22"/>
    </w:rPr>
  </w:style>
  <w:style w:type="paragraph" w:styleId="Heading1">
    <w:name w:val="heading 1"/>
    <w:basedOn w:val="Normal"/>
    <w:next w:val="ParaNum"/>
    <w:link w:val="Heading1Char"/>
    <w:qFormat/>
    <w:rsid w:val="00626EB6"/>
    <w:pPr>
      <w:keepNext/>
      <w:numPr>
        <w:numId w:val="3"/>
      </w:numPr>
      <w:tabs>
        <w:tab w:val="left" w:pos="720"/>
      </w:tabs>
      <w:suppressAutoHyphens/>
      <w:spacing w:after="120"/>
      <w:outlineLvl w:val="0"/>
    </w:pPr>
    <w:rPr>
      <w:rFonts w:ascii="Times New Roman Bold" w:hAnsi="Times New Roman Bold"/>
      <w:b/>
      <w:caps/>
    </w:rPr>
  </w:style>
  <w:style w:type="paragraph" w:styleId="Heading2">
    <w:name w:val="heading 2"/>
    <w:basedOn w:val="Normal"/>
    <w:next w:val="ParaNum"/>
    <w:autoRedefine/>
    <w:qFormat/>
    <w:rsid w:val="007A1E6D"/>
    <w:pPr>
      <w:keepNext/>
      <w:numPr>
        <w:ilvl w:val="1"/>
        <w:numId w:val="3"/>
      </w:numPr>
      <w:spacing w:after="120"/>
      <w:outlineLvl w:val="1"/>
    </w:pPr>
    <w:rPr>
      <w:b/>
    </w:rPr>
  </w:style>
  <w:style w:type="paragraph" w:styleId="Heading3">
    <w:name w:val="heading 3"/>
    <w:basedOn w:val="Normal"/>
    <w:next w:val="ParaNum"/>
    <w:qFormat/>
    <w:rsid w:val="00BA6196"/>
    <w:pPr>
      <w:keepNext/>
      <w:numPr>
        <w:ilvl w:val="2"/>
        <w:numId w:val="3"/>
      </w:numPr>
      <w:tabs>
        <w:tab w:val="left" w:pos="2160"/>
      </w:tabs>
      <w:spacing w:after="120"/>
      <w:outlineLvl w:val="2"/>
    </w:pPr>
    <w:rPr>
      <w:b/>
    </w:rPr>
  </w:style>
  <w:style w:type="paragraph" w:styleId="Heading4">
    <w:name w:val="heading 4"/>
    <w:basedOn w:val="Normal"/>
    <w:next w:val="ParaNum"/>
    <w:qFormat/>
    <w:rsid w:val="00C426B1"/>
    <w:pPr>
      <w:keepNext/>
      <w:numPr>
        <w:ilvl w:val="3"/>
        <w:numId w:val="3"/>
      </w:numPr>
      <w:tabs>
        <w:tab w:val="left" w:pos="2880"/>
      </w:tabs>
      <w:spacing w:after="120"/>
      <w:outlineLvl w:val="3"/>
    </w:pPr>
    <w:rPr>
      <w:b/>
    </w:rPr>
  </w:style>
  <w:style w:type="paragraph" w:styleId="Heading5">
    <w:name w:val="heading 5"/>
    <w:basedOn w:val="Normal"/>
    <w:next w:val="ParaNum"/>
    <w:qFormat/>
    <w:rsid w:val="00511968"/>
    <w:pPr>
      <w:keepNext/>
      <w:numPr>
        <w:ilvl w:val="4"/>
        <w:numId w:val="3"/>
      </w:numPr>
      <w:tabs>
        <w:tab w:val="left" w:pos="3600"/>
      </w:tabs>
      <w:suppressAutoHyphens/>
      <w:spacing w:after="120"/>
      <w:outlineLvl w:val="4"/>
    </w:pPr>
    <w:rPr>
      <w:b/>
    </w:rPr>
  </w:style>
  <w:style w:type="paragraph" w:styleId="Heading6">
    <w:name w:val="heading 6"/>
    <w:basedOn w:val="Normal"/>
    <w:next w:val="ParaNum"/>
    <w:qFormat/>
    <w:rsid w:val="00036039"/>
    <w:pPr>
      <w:numPr>
        <w:ilvl w:val="5"/>
        <w:numId w:val="3"/>
      </w:numPr>
      <w:tabs>
        <w:tab w:val="left" w:pos="4320"/>
      </w:tabs>
      <w:spacing w:after="120"/>
      <w:outlineLvl w:val="5"/>
    </w:pPr>
    <w:rPr>
      <w:b/>
    </w:rPr>
  </w:style>
  <w:style w:type="paragraph" w:styleId="Heading7">
    <w:name w:val="heading 7"/>
    <w:basedOn w:val="Normal"/>
    <w:next w:val="ParaNum"/>
    <w:qFormat/>
    <w:rsid w:val="00036039"/>
    <w:pPr>
      <w:numPr>
        <w:ilvl w:val="6"/>
        <w:numId w:val="3"/>
      </w:numPr>
      <w:tabs>
        <w:tab w:val="left" w:pos="5040"/>
      </w:tabs>
      <w:spacing w:after="120"/>
      <w:ind w:left="5040" w:hanging="720"/>
      <w:outlineLvl w:val="6"/>
    </w:pPr>
    <w:rPr>
      <w:b/>
    </w:rPr>
  </w:style>
  <w:style w:type="paragraph" w:styleId="Heading8">
    <w:name w:val="heading 8"/>
    <w:basedOn w:val="Normal"/>
    <w:next w:val="ParaNum"/>
    <w:qFormat/>
    <w:rsid w:val="001E01CA"/>
    <w:pPr>
      <w:numPr>
        <w:ilvl w:val="7"/>
        <w:numId w:val="3"/>
      </w:numPr>
      <w:tabs>
        <w:tab w:val="clear" w:pos="5400"/>
        <w:tab w:val="left" w:pos="5760"/>
      </w:tabs>
      <w:spacing w:after="120"/>
      <w:ind w:left="5760" w:hanging="720"/>
      <w:outlineLvl w:val="7"/>
    </w:pPr>
    <w:rPr>
      <w:b/>
    </w:rPr>
  </w:style>
  <w:style w:type="paragraph" w:styleId="Heading9">
    <w:name w:val="heading 9"/>
    <w:basedOn w:val="Normal"/>
    <w:next w:val="ParaNum"/>
    <w:qFormat/>
    <w:rsid w:val="001E01CA"/>
    <w:pPr>
      <w:numPr>
        <w:ilvl w:val="8"/>
        <w:numId w:val="3"/>
      </w:numPr>
      <w:tabs>
        <w:tab w:val="clear" w:pos="6120"/>
        <w:tab w:val="left" w:pos="6480"/>
      </w:tabs>
      <w:spacing w:after="120"/>
      <w:ind w:left="6480" w:hanging="720"/>
      <w:outlineLvl w:val="8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Num">
    <w:name w:val="ParaNum"/>
    <w:basedOn w:val="Normal"/>
    <w:rsid w:val="00E07225"/>
    <w:pPr>
      <w:numPr>
        <w:numId w:val="2"/>
      </w:numPr>
      <w:tabs>
        <w:tab w:val="clear" w:pos="1080"/>
        <w:tab w:val="num" w:pos="1440"/>
      </w:tabs>
      <w:spacing w:after="120"/>
    </w:pPr>
  </w:style>
  <w:style w:type="paragraph" w:styleId="EndnoteText">
    <w:name w:val="endnote text"/>
    <w:basedOn w:val="Normal"/>
    <w:semiHidden/>
    <w:rPr>
      <w:sz w:val="20"/>
    </w:rPr>
  </w:style>
  <w:style w:type="character" w:styleId="EndnoteReference">
    <w:name w:val="endnote reference"/>
    <w:semiHidden/>
    <w:rPr>
      <w:vertAlign w:val="superscript"/>
    </w:rPr>
  </w:style>
  <w:style w:type="paragraph" w:styleId="FootnoteText">
    <w:name w:val="footnote text"/>
    <w:link w:val="FootnoteTextChar"/>
    <w:rsid w:val="000E3D42"/>
    <w:pPr>
      <w:spacing w:after="120"/>
    </w:pPr>
  </w:style>
  <w:style w:type="character" w:styleId="FootnoteReference">
    <w:name w:val="footnote reference"/>
    <w:rsid w:val="00A32C3B"/>
    <w:rPr>
      <w:rFonts w:ascii="Times New Roman" w:hAnsi="Times New Roman"/>
      <w:dstrike w:val="0"/>
      <w:color w:val="auto"/>
      <w:sz w:val="20"/>
      <w:vertAlign w:val="superscript"/>
    </w:rPr>
  </w:style>
  <w:style w:type="paragraph" w:styleId="TOC1">
    <w:name w:val="toc 1"/>
    <w:basedOn w:val="Normal"/>
    <w:next w:val="Normal"/>
    <w:semiHidden/>
    <w:pPr>
      <w:tabs>
        <w:tab w:val="left" w:pos="360"/>
        <w:tab w:val="right" w:leader="dot" w:pos="9360"/>
      </w:tabs>
      <w:suppressAutoHyphens/>
      <w:ind w:left="360" w:right="720" w:hanging="360"/>
    </w:pPr>
    <w:rPr>
      <w:caps/>
      <w:noProof/>
    </w:rPr>
  </w:style>
  <w:style w:type="paragraph" w:styleId="TOC2">
    <w:name w:val="toc 2"/>
    <w:basedOn w:val="Normal"/>
    <w:next w:val="Normal"/>
    <w:semiHidden/>
    <w:pPr>
      <w:tabs>
        <w:tab w:val="left" w:pos="720"/>
        <w:tab w:val="right" w:leader="dot" w:pos="9360"/>
      </w:tabs>
      <w:suppressAutoHyphens/>
      <w:ind w:left="720" w:right="720" w:hanging="360"/>
    </w:pPr>
    <w:rPr>
      <w:noProof/>
    </w:rPr>
  </w:style>
  <w:style w:type="paragraph" w:styleId="TOC3">
    <w:name w:val="toc 3"/>
    <w:basedOn w:val="Normal"/>
    <w:next w:val="Normal"/>
    <w:semiHidden/>
    <w:pPr>
      <w:tabs>
        <w:tab w:val="left" w:pos="1080"/>
        <w:tab w:val="right" w:leader="dot" w:pos="9360"/>
      </w:tabs>
      <w:suppressAutoHyphens/>
      <w:ind w:left="1080" w:right="720" w:hanging="360"/>
    </w:pPr>
    <w:rPr>
      <w:noProof/>
    </w:rPr>
  </w:style>
  <w:style w:type="paragraph" w:styleId="TOC4">
    <w:name w:val="toc 4"/>
    <w:basedOn w:val="Normal"/>
    <w:next w:val="Normal"/>
    <w:autoRedefine/>
    <w:semiHidden/>
    <w:pPr>
      <w:tabs>
        <w:tab w:val="left" w:pos="1440"/>
        <w:tab w:val="right" w:leader="dot" w:pos="9360"/>
      </w:tabs>
      <w:suppressAutoHyphens/>
      <w:ind w:left="1440" w:right="720" w:hanging="360"/>
    </w:pPr>
    <w:rPr>
      <w:noProof/>
    </w:rPr>
  </w:style>
  <w:style w:type="paragraph" w:styleId="TOC5">
    <w:name w:val="toc 5"/>
    <w:basedOn w:val="Normal"/>
    <w:next w:val="Normal"/>
    <w:autoRedefine/>
    <w:semiHidden/>
    <w:pPr>
      <w:tabs>
        <w:tab w:val="left" w:pos="1800"/>
        <w:tab w:val="right" w:leader="dot" w:pos="9360"/>
      </w:tabs>
      <w:suppressAutoHyphens/>
      <w:ind w:left="1800" w:right="720" w:hanging="360"/>
    </w:pPr>
    <w:rPr>
      <w:noProof/>
    </w:rPr>
  </w:style>
  <w:style w:type="paragraph" w:styleId="TOC6">
    <w:name w:val="toc 6"/>
    <w:basedOn w:val="Normal"/>
    <w:next w:val="Normal"/>
    <w:autoRedefine/>
    <w:semiHidden/>
    <w:pPr>
      <w:tabs>
        <w:tab w:val="left" w:pos="2160"/>
        <w:tab w:val="right" w:leader="dot" w:pos="9360"/>
      </w:tabs>
      <w:suppressAutoHyphens/>
      <w:ind w:left="2160" w:hanging="360"/>
    </w:pPr>
    <w:rPr>
      <w:noProof/>
    </w:rPr>
  </w:style>
  <w:style w:type="paragraph" w:styleId="TOC7">
    <w:name w:val="toc 7"/>
    <w:basedOn w:val="Normal"/>
    <w:next w:val="Normal"/>
    <w:autoRedefine/>
    <w:semiHidden/>
    <w:pPr>
      <w:tabs>
        <w:tab w:val="left" w:pos="2520"/>
        <w:tab w:val="right" w:leader="dot" w:pos="9360"/>
      </w:tabs>
      <w:suppressAutoHyphens/>
      <w:ind w:left="2520" w:hanging="360"/>
    </w:pPr>
    <w:rPr>
      <w:noProof/>
    </w:rPr>
  </w:style>
  <w:style w:type="paragraph" w:styleId="TOC8">
    <w:name w:val="toc 8"/>
    <w:basedOn w:val="Normal"/>
    <w:next w:val="Normal"/>
    <w:autoRedefine/>
    <w:semiHidden/>
    <w:pPr>
      <w:tabs>
        <w:tab w:val="left" w:pos="2880"/>
        <w:tab w:val="right" w:leader="dot" w:pos="9360"/>
      </w:tabs>
      <w:suppressAutoHyphens/>
      <w:ind w:left="2880" w:hanging="360"/>
    </w:pPr>
    <w:rPr>
      <w:noProof/>
    </w:rPr>
  </w:style>
  <w:style w:type="paragraph" w:styleId="TOC9">
    <w:name w:val="toc 9"/>
    <w:basedOn w:val="Normal"/>
    <w:next w:val="Normal"/>
    <w:autoRedefine/>
    <w:semiHidden/>
    <w:pPr>
      <w:tabs>
        <w:tab w:val="left" w:pos="3240"/>
        <w:tab w:val="right" w:leader="dot" w:pos="9360"/>
      </w:tabs>
      <w:suppressAutoHyphens/>
      <w:ind w:left="3240" w:hanging="360"/>
    </w:pPr>
    <w:rPr>
      <w:noProof/>
    </w:rPr>
  </w:style>
  <w:style w:type="paragraph" w:styleId="TOAHeading">
    <w:name w:val="toa heading"/>
    <w:basedOn w:val="Normal"/>
    <w:next w:val="Normal"/>
    <w:semiHidden/>
    <w:pPr>
      <w:tabs>
        <w:tab w:val="right" w:pos="9360"/>
      </w:tabs>
      <w:suppressAutoHyphens/>
    </w:pPr>
  </w:style>
  <w:style w:type="character" w:customStyle="1" w:styleId="EquationCaption">
    <w:name w:val="_Equation Caption"/>
  </w:style>
  <w:style w:type="paragraph" w:styleId="Header">
    <w:name w:val="header"/>
    <w:basedOn w:val="Normal"/>
    <w:autoRedefine/>
    <w:pPr>
      <w:tabs>
        <w:tab w:val="center" w:pos="4680"/>
        <w:tab w:val="right" w:pos="9360"/>
      </w:tabs>
    </w:pPr>
    <w:rPr>
      <w:b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lockText">
    <w:name w:val="Block Text"/>
    <w:basedOn w:val="Normal"/>
    <w:pPr>
      <w:spacing w:after="240"/>
      <w:ind w:left="1440" w:right="1440"/>
    </w:pPr>
  </w:style>
  <w:style w:type="paragraph" w:customStyle="1" w:styleId="Paratitle">
    <w:name w:val="Para title"/>
    <w:basedOn w:val="Normal"/>
    <w:pPr>
      <w:tabs>
        <w:tab w:val="center" w:pos="9270"/>
      </w:tabs>
      <w:spacing w:after="240"/>
    </w:pPr>
    <w:rPr>
      <w:spacing w:val="-2"/>
    </w:rPr>
  </w:style>
  <w:style w:type="paragraph" w:customStyle="1" w:styleId="Bullet">
    <w:name w:val="Bullet"/>
    <w:basedOn w:val="Normal"/>
    <w:pPr>
      <w:tabs>
        <w:tab w:val="left" w:pos="2160"/>
      </w:tabs>
      <w:spacing w:after="220"/>
      <w:ind w:left="2160" w:hanging="720"/>
    </w:pPr>
  </w:style>
  <w:style w:type="paragraph" w:customStyle="1" w:styleId="TableFormat">
    <w:name w:val="TableFormat"/>
    <w:basedOn w:val="Bullet"/>
    <w:pPr>
      <w:tabs>
        <w:tab w:val="clear" w:pos="2160"/>
        <w:tab w:val="left" w:pos="5040"/>
      </w:tabs>
      <w:ind w:left="5040" w:hanging="3600"/>
    </w:pPr>
  </w:style>
  <w:style w:type="paragraph" w:customStyle="1" w:styleId="TOCTitle">
    <w:name w:val="TOC Title"/>
    <w:basedOn w:val="Normal"/>
    <w:pPr>
      <w:spacing w:before="240" w:after="240"/>
      <w:jc w:val="center"/>
    </w:pPr>
    <w:rPr>
      <w:rFonts w:ascii="Times New Roman Bold" w:hAnsi="Times New Roman Bold"/>
      <w:b/>
      <w:caps/>
      <w:spacing w:val="-2"/>
    </w:rPr>
  </w:style>
  <w:style w:type="paragraph" w:customStyle="1" w:styleId="StyleBoldCentered">
    <w:name w:val="Style Bold Centered"/>
    <w:basedOn w:val="Normal"/>
    <w:rsid w:val="00096D8C"/>
    <w:pPr>
      <w:jc w:val="center"/>
    </w:pPr>
    <w:rPr>
      <w:rFonts w:ascii="Times New Roman Bold" w:hAnsi="Times New Roman Bold"/>
      <w:b/>
      <w:bCs/>
      <w:caps/>
      <w:szCs w:val="22"/>
    </w:rPr>
  </w:style>
  <w:style w:type="character" w:styleId="Hyperlink">
    <w:name w:val="Hyperlink"/>
    <w:rsid w:val="002A2D2E"/>
    <w:rPr>
      <w:color w:val="0000FF"/>
      <w:u w:val="single"/>
    </w:rPr>
  </w:style>
  <w:style w:type="character" w:customStyle="1" w:styleId="FooterChar">
    <w:name w:val="Footer Char"/>
    <w:link w:val="Footer"/>
    <w:uiPriority w:val="99"/>
    <w:rsid w:val="009D7308"/>
    <w:rPr>
      <w:snapToGrid w:val="0"/>
      <w:kern w:val="28"/>
      <w:sz w:val="22"/>
    </w:rPr>
  </w:style>
  <w:style w:type="character" w:customStyle="1" w:styleId="Heading1Char">
    <w:name w:val="Heading 1 Char"/>
    <w:basedOn w:val="DefaultParagraphFont"/>
    <w:link w:val="Heading1"/>
    <w:rsid w:val="00D35DFC"/>
    <w:rPr>
      <w:rFonts w:ascii="Times New Roman Bold" w:hAnsi="Times New Roman Bold"/>
      <w:b/>
      <w:caps/>
      <w:snapToGrid w:val="0"/>
      <w:kern w:val="28"/>
      <w:sz w:val="22"/>
    </w:rPr>
  </w:style>
  <w:style w:type="character" w:styleId="CommentReference">
    <w:name w:val="annotation reference"/>
    <w:basedOn w:val="DefaultParagraphFont"/>
    <w:rsid w:val="00136913"/>
    <w:rPr>
      <w:sz w:val="16"/>
      <w:szCs w:val="16"/>
    </w:rPr>
  </w:style>
  <w:style w:type="paragraph" w:styleId="CommentText">
    <w:name w:val="annotation text"/>
    <w:basedOn w:val="Normal"/>
    <w:link w:val="CommentTextChar"/>
    <w:rsid w:val="00136913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136913"/>
    <w:rPr>
      <w:snapToGrid w:val="0"/>
      <w:kern w:val="28"/>
    </w:rPr>
  </w:style>
  <w:style w:type="paragraph" w:styleId="CommentSubject">
    <w:name w:val="annotation subject"/>
    <w:basedOn w:val="CommentText"/>
    <w:next w:val="CommentText"/>
    <w:link w:val="CommentSubjectChar"/>
    <w:rsid w:val="001369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36913"/>
    <w:rPr>
      <w:b/>
      <w:bCs/>
      <w:snapToGrid w:val="0"/>
      <w:kern w:val="28"/>
    </w:rPr>
  </w:style>
  <w:style w:type="character" w:customStyle="1" w:styleId="FootnoteTextChar">
    <w:name w:val="Footnote Text Char"/>
    <w:basedOn w:val="DefaultParagraphFont"/>
    <w:link w:val="FootnoteText"/>
    <w:rsid w:val="00CF66A1"/>
  </w:style>
  <w:style w:type="character" w:styleId="Mention">
    <w:name w:val="Mention"/>
    <w:basedOn w:val="DefaultParagraphFont"/>
    <w:uiPriority w:val="99"/>
    <w:unhideWhenUsed/>
    <w:rsid w:val="00A36E35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D27F13"/>
    <w:rPr>
      <w:snapToGrid w:val="0"/>
      <w:kern w:val="28"/>
      <w:sz w:val="22"/>
    </w:rPr>
  </w:style>
  <w:style w:type="character" w:styleId="UnresolvedMention">
    <w:name w:val="Unresolved Mention"/>
    <w:basedOn w:val="DefaultParagraphFont"/>
    <w:uiPriority w:val="99"/>
    <w:unhideWhenUsed/>
    <w:rsid w:val="00552D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endnotes" Target="endnotes.xml" /><Relationship Id="rId3" Type="http://schemas.openxmlformats.org/officeDocument/2006/relationships/settings" Target="settings.xml" /><Relationship Id="rId4" Type="http://schemas.openxmlformats.org/officeDocument/2006/relationships/webSettings" Target="webSettings.xml" /><Relationship Id="rId5" Type="http://schemas.openxmlformats.org/officeDocument/2006/relationships/fontTable" Target="fontTable.xm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2.xm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Sarah.Citrin\OneDrive%20-%20FCC\Downloads\Orders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Orders</Template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