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2A5B4A" w14:paraId="2065A72C" w14:textId="77777777">
      <w:pPr>
        <w:jc w:val="right"/>
        <w:rPr>
          <w:b/>
          <w:sz w:val="24"/>
        </w:rPr>
      </w:pPr>
    </w:p>
    <w:p w:rsidR="00BA3BA8" w14:paraId="36E72730" w14:textId="4CAD514D">
      <w:pPr>
        <w:jc w:val="right"/>
        <w:rPr>
          <w:b/>
          <w:sz w:val="24"/>
        </w:rPr>
      </w:pPr>
      <w:r>
        <w:rPr>
          <w:b/>
          <w:sz w:val="24"/>
        </w:rPr>
        <w:t>DA 26-</w:t>
      </w:r>
      <w:r w:rsidR="001F7598">
        <w:rPr>
          <w:b/>
          <w:sz w:val="24"/>
        </w:rPr>
        <w:t>853</w:t>
      </w:r>
    </w:p>
    <w:p w:rsidR="00BA3BA8" w14:paraId="5CD73DFE" w14:textId="77777777">
      <w:pPr>
        <w:spacing w:before="60"/>
        <w:jc w:val="right"/>
        <w:rPr>
          <w:b/>
          <w:sz w:val="24"/>
        </w:rPr>
      </w:pPr>
      <w:r>
        <w:rPr>
          <w:b/>
          <w:sz w:val="24"/>
        </w:rPr>
        <w:t xml:space="preserve">Released:  </w:t>
      </w:r>
      <w:r w:rsidR="00843680">
        <w:rPr>
          <w:b/>
          <w:sz w:val="24"/>
        </w:rPr>
        <w:t>August 14, 2026</w:t>
      </w:r>
    </w:p>
    <w:p w:rsidR="00BA3BA8" w14:paraId="48722625" w14:textId="77777777">
      <w:pPr>
        <w:jc w:val="right"/>
        <w:rPr>
          <w:sz w:val="24"/>
        </w:rPr>
      </w:pPr>
    </w:p>
    <w:p w:rsidR="00BA3BA8" w14:paraId="5E2E305B" w14:textId="70E73D98">
      <w:pPr>
        <w:spacing w:after="240"/>
        <w:jc w:val="center"/>
        <w:rPr>
          <w:rFonts w:ascii="Times New Roman Bold" w:hAnsi="Times New Roman Bold"/>
          <w:b/>
          <w:caps/>
          <w:sz w:val="24"/>
        </w:rPr>
      </w:pPr>
      <w:r>
        <w:rPr>
          <w:rFonts w:ascii="Times New Roman Bold" w:hAnsi="Times New Roman Bold"/>
          <w:b/>
          <w:caps/>
          <w:sz w:val="24"/>
        </w:rPr>
        <w:t xml:space="preserve">WIRELESS TELECOMMUNICATIONS bUREAU </w:t>
      </w:r>
      <w:r w:rsidR="00F64229">
        <w:rPr>
          <w:rFonts w:ascii="Times New Roman Bold" w:hAnsi="Times New Roman Bold"/>
          <w:b/>
          <w:caps/>
          <w:sz w:val="24"/>
        </w:rPr>
        <w:t>and O</w:t>
      </w:r>
      <w:r>
        <w:rPr>
          <w:rFonts w:ascii="Times New Roman Bold" w:hAnsi="Times New Roman Bold"/>
          <w:b/>
          <w:caps/>
          <w:sz w:val="24"/>
        </w:rPr>
        <w:t xml:space="preserve">FFICE OF </w:t>
      </w:r>
      <w:r w:rsidR="00F64229">
        <w:rPr>
          <w:rFonts w:ascii="Times New Roman Bold" w:hAnsi="Times New Roman Bold"/>
          <w:b/>
          <w:caps/>
          <w:sz w:val="24"/>
        </w:rPr>
        <w:t>E</w:t>
      </w:r>
      <w:r>
        <w:rPr>
          <w:rFonts w:ascii="Times New Roman Bold" w:hAnsi="Times New Roman Bold"/>
          <w:b/>
          <w:caps/>
          <w:sz w:val="24"/>
        </w:rPr>
        <w:t xml:space="preserve">NGINEERING AND </w:t>
      </w:r>
      <w:r w:rsidR="00F64229">
        <w:rPr>
          <w:rFonts w:ascii="Times New Roman Bold" w:hAnsi="Times New Roman Bold"/>
          <w:b/>
          <w:caps/>
          <w:sz w:val="24"/>
        </w:rPr>
        <w:t>T</w:t>
      </w:r>
      <w:r>
        <w:rPr>
          <w:rFonts w:ascii="Times New Roman Bold" w:hAnsi="Times New Roman Bold"/>
          <w:b/>
          <w:caps/>
          <w:sz w:val="24"/>
        </w:rPr>
        <w:t>ECHNOLOGY</w:t>
      </w:r>
      <w:r w:rsidR="00F64229">
        <w:rPr>
          <w:rFonts w:ascii="Times New Roman Bold" w:hAnsi="Times New Roman Bold"/>
          <w:b/>
          <w:caps/>
          <w:sz w:val="24"/>
        </w:rPr>
        <w:t xml:space="preserve"> </w:t>
      </w:r>
      <w:r w:rsidR="00843680">
        <w:rPr>
          <w:rFonts w:ascii="Times New Roman Bold" w:hAnsi="Times New Roman Bold"/>
          <w:b/>
          <w:caps/>
          <w:sz w:val="24"/>
        </w:rPr>
        <w:t xml:space="preserve">SEEK Comment on Petitions for Reconsideration or clarification </w:t>
      </w:r>
      <w:r w:rsidR="00322561">
        <w:rPr>
          <w:rFonts w:ascii="Times New Roman Bold" w:hAnsi="Times New Roman Bold"/>
          <w:b/>
          <w:caps/>
          <w:sz w:val="24"/>
        </w:rPr>
        <w:t>of Counter</w:t>
      </w:r>
      <w:r w:rsidR="00035FCE">
        <w:rPr>
          <w:rFonts w:ascii="Times New Roman Bold" w:hAnsi="Times New Roman Bold"/>
          <w:b/>
          <w:caps/>
          <w:sz w:val="24"/>
        </w:rPr>
        <w:t>-DRONE</w:t>
      </w:r>
      <w:r w:rsidR="00322561">
        <w:rPr>
          <w:rFonts w:ascii="Times New Roman Bold" w:hAnsi="Times New Roman Bold"/>
          <w:b/>
          <w:caps/>
          <w:sz w:val="24"/>
        </w:rPr>
        <w:t xml:space="preserve"> Actions</w:t>
      </w:r>
    </w:p>
    <w:p w:rsidR="00BA3BA8" w14:paraId="2D0207E0" w14:textId="77777777">
      <w:pPr>
        <w:jc w:val="center"/>
        <w:rPr>
          <w:b/>
          <w:sz w:val="24"/>
        </w:rPr>
      </w:pPr>
      <w:r>
        <w:rPr>
          <w:b/>
          <w:sz w:val="24"/>
        </w:rPr>
        <w:t>GN Docket No. 26-74</w:t>
      </w:r>
    </w:p>
    <w:p w:rsidR="004D6AA5" w:rsidP="004D6AA5" w14:paraId="31012099" w14:textId="77777777">
      <w:pPr>
        <w:rPr>
          <w:b/>
          <w:sz w:val="24"/>
        </w:rPr>
      </w:pPr>
    </w:p>
    <w:p w:rsidR="004D6AA5" w:rsidP="004D6AA5" w14:paraId="7439D6A3" w14:textId="33B1B9B5">
      <w:pPr>
        <w:rPr>
          <w:b/>
          <w:sz w:val="24"/>
        </w:rPr>
      </w:pPr>
      <w:r>
        <w:rPr>
          <w:b/>
          <w:sz w:val="24"/>
        </w:rPr>
        <w:t>Oppositions Due:</w:t>
      </w:r>
      <w:r w:rsidR="002D533D">
        <w:rPr>
          <w:b/>
          <w:sz w:val="24"/>
        </w:rPr>
        <w:t xml:space="preserve">  </w:t>
      </w:r>
      <w:r w:rsidR="00DD72F8">
        <w:rPr>
          <w:b/>
          <w:sz w:val="24"/>
        </w:rPr>
        <w:t>September 14, 2026</w:t>
      </w:r>
    </w:p>
    <w:p w:rsidR="00FF7D21" w:rsidP="004D6AA5" w14:paraId="51948ABB" w14:textId="55FD83D3">
      <w:pPr>
        <w:rPr>
          <w:b/>
          <w:sz w:val="24"/>
        </w:rPr>
      </w:pPr>
      <w:r>
        <w:rPr>
          <w:b/>
          <w:sz w:val="24"/>
        </w:rPr>
        <w:t xml:space="preserve">Replies to Oppositions Due:  </w:t>
      </w:r>
      <w:r w:rsidR="00670E43">
        <w:rPr>
          <w:b/>
          <w:sz w:val="24"/>
        </w:rPr>
        <w:t>September 29, 2026</w:t>
      </w:r>
    </w:p>
    <w:p w:rsidR="00BA3BA8" w14:paraId="41F4D6AB" w14:textId="77777777">
      <w:bookmarkStart w:id="0" w:name="TOChere"/>
    </w:p>
    <w:p w:rsidR="00F86E66" w:rsidP="00B97AA9" w14:paraId="35801572" w14:textId="06044A9A">
      <w:pPr>
        <w:spacing w:after="240"/>
        <w:ind w:firstLine="720"/>
      </w:pPr>
      <w:r>
        <w:t xml:space="preserve">By this Public Notice, the Wireless Telecommunications Bureau </w:t>
      </w:r>
      <w:r w:rsidR="006B65BE">
        <w:t xml:space="preserve">(WTB) </w:t>
      </w:r>
      <w:r>
        <w:t>and Office of Engineering and Technology</w:t>
      </w:r>
      <w:r w:rsidR="006B65BE">
        <w:t xml:space="preserve"> (OET)</w:t>
      </w:r>
      <w:r>
        <w:t xml:space="preserve"> </w:t>
      </w:r>
      <w:r w:rsidR="007E3000">
        <w:t xml:space="preserve">seek comment on </w:t>
      </w:r>
      <w:r w:rsidRPr="00D27C76" w:rsidR="00D27C76">
        <w:t xml:space="preserve">Petitions for </w:t>
      </w:r>
      <w:r w:rsidR="007E3000">
        <w:t>R</w:t>
      </w:r>
      <w:r w:rsidRPr="00D27C76" w:rsidR="00D27C76">
        <w:t xml:space="preserve">econsideration or </w:t>
      </w:r>
      <w:r w:rsidR="007E3000">
        <w:t>C</w:t>
      </w:r>
      <w:r w:rsidRPr="00D27C76" w:rsidR="00D27C76">
        <w:t xml:space="preserve">larification </w:t>
      </w:r>
      <w:r w:rsidR="007E3000">
        <w:t>(</w:t>
      </w:r>
      <w:r w:rsidR="00100B6A">
        <w:t>petitions or PFRs</w:t>
      </w:r>
      <w:r w:rsidR="007E3000">
        <w:t>)</w:t>
      </w:r>
      <w:r>
        <w:rPr>
          <w:rStyle w:val="FootnoteReference"/>
        </w:rPr>
        <w:footnoteReference w:id="3"/>
      </w:r>
      <w:r w:rsidR="007E3000">
        <w:t xml:space="preserve"> </w:t>
      </w:r>
      <w:r w:rsidR="006B65BE">
        <w:t xml:space="preserve">filed by CTIA in the above docket. </w:t>
      </w:r>
      <w:r w:rsidR="006B7F66">
        <w:t xml:space="preserve"> WTB and OET also clarify related filing and service requirements.</w:t>
      </w:r>
    </w:p>
    <w:p w:rsidR="00F524A6" w:rsidP="00B97AA9" w14:paraId="04BF919D" w14:textId="5EDE7ABA">
      <w:pPr>
        <w:spacing w:after="240"/>
        <w:ind w:firstLine="720"/>
      </w:pPr>
      <w:r>
        <w:rPr>
          <w:i/>
          <w:iCs/>
        </w:rPr>
        <w:t xml:space="preserve">Background. </w:t>
      </w:r>
      <w:r>
        <w:rPr>
          <w:i/>
          <w:iCs/>
        </w:rPr>
        <w:t xml:space="preserve"> </w:t>
      </w:r>
      <w:r w:rsidR="00A35D0D">
        <w:t xml:space="preserve">On </w:t>
      </w:r>
      <w:r w:rsidR="00230438">
        <w:t xml:space="preserve">August 3, 2026, </w:t>
      </w:r>
      <w:r w:rsidR="005540BF">
        <w:t xml:space="preserve">CTIA filed </w:t>
      </w:r>
      <w:r w:rsidR="00160744">
        <w:t xml:space="preserve">the </w:t>
      </w:r>
      <w:r w:rsidR="005540BF">
        <w:t>four Petitions</w:t>
      </w:r>
      <w:r w:rsidRPr="00F03276" w:rsidR="00F03276">
        <w:t xml:space="preserve"> </w:t>
      </w:r>
      <w:r w:rsidR="00F03276">
        <w:t>in GN Docket No. 26-74,</w:t>
      </w:r>
      <w:r w:rsidR="005540BF">
        <w:t xml:space="preserve"> </w:t>
      </w:r>
      <w:r w:rsidRPr="00D27C76" w:rsidR="00F03276">
        <w:t>pursuant to Section 1.106 of the Commission’s rules</w:t>
      </w:r>
      <w:r w:rsidR="00F03276">
        <w:t>,</w:t>
      </w:r>
      <w:r>
        <w:rPr>
          <w:rStyle w:val="FootnoteReference"/>
        </w:rPr>
        <w:footnoteReference w:id="4"/>
      </w:r>
      <w:r w:rsidR="00F03276">
        <w:t xml:space="preserve"> </w:t>
      </w:r>
      <w:r w:rsidR="00877929">
        <w:t xml:space="preserve">seeking reconsideration and/or clarification of </w:t>
      </w:r>
      <w:r w:rsidR="00E43B2B">
        <w:t xml:space="preserve">four related </w:t>
      </w:r>
      <w:r w:rsidR="0009363F">
        <w:t xml:space="preserve">actions </w:t>
      </w:r>
      <w:r w:rsidR="00F03276">
        <w:t>taken on delegated authority t</w:t>
      </w:r>
      <w:r w:rsidR="00057123">
        <w:t xml:space="preserve">hat together </w:t>
      </w:r>
      <w:r w:rsidR="001D6764">
        <w:t>help enable development and use</w:t>
      </w:r>
      <w:r w:rsidR="00035FCE">
        <w:t xml:space="preserve"> </w:t>
      </w:r>
      <w:r w:rsidR="004C210D">
        <w:t xml:space="preserve">of </w:t>
      </w:r>
      <w:r w:rsidR="001D6764">
        <w:t>counter-</w:t>
      </w:r>
      <w:r w:rsidR="00035FCE">
        <w:t xml:space="preserve">drone </w:t>
      </w:r>
      <w:r w:rsidR="001D6764">
        <w:t>measures, including under the SAFER SKIES Act</w:t>
      </w:r>
      <w:r w:rsidR="00FB39C7">
        <w:t>.</w:t>
      </w:r>
      <w:r>
        <w:rPr>
          <w:rStyle w:val="FootnoteReference"/>
        </w:rPr>
        <w:footnoteReference w:id="5"/>
      </w:r>
      <w:r w:rsidR="00FB39C7">
        <w:t xml:space="preserve">  </w:t>
      </w:r>
      <w:r w:rsidRPr="00D27C76" w:rsidR="00D27C76">
        <w:t xml:space="preserve">The full text of these documents is available for viewing on the </w:t>
      </w:r>
      <w:r w:rsidRPr="003C5520" w:rsidR="003B5313">
        <w:t>Electronic Comment Filing System (ECFS)</w:t>
      </w:r>
      <w:r w:rsidRPr="00D27C76" w:rsidR="00D27C76">
        <w:t xml:space="preserve"> database, </w:t>
      </w:r>
      <w:hyperlink r:id="rId6" w:history="1">
        <w:r w:rsidRPr="00D151D9" w:rsidR="00D27C76">
          <w:rPr>
            <w:rStyle w:val="Hyperlink"/>
          </w:rPr>
          <w:t>https://www.fcc.gov/ecfs</w:t>
        </w:r>
      </w:hyperlink>
      <w:r w:rsidRPr="00D27C76" w:rsidR="00D27C76">
        <w:t xml:space="preserve">.  </w:t>
      </w:r>
    </w:p>
    <w:p w:rsidR="004D420A" w:rsidP="00B97AA9" w14:paraId="2CFCD262" w14:textId="47EC8381">
      <w:pPr>
        <w:spacing w:after="240"/>
        <w:ind w:firstLine="720"/>
      </w:pPr>
      <w:r>
        <w:rPr>
          <w:i/>
          <w:iCs/>
        </w:rPr>
        <w:t xml:space="preserve">Filing Deadlines.  </w:t>
      </w:r>
      <w:r w:rsidR="00FC3471">
        <w:t xml:space="preserve">In order to provide </w:t>
      </w:r>
      <w:r w:rsidR="008404B7">
        <w:t>clarity</w:t>
      </w:r>
      <w:r w:rsidR="00FC3471">
        <w:t xml:space="preserve"> to parties wishing to</w:t>
      </w:r>
      <w:r w:rsidR="00D83FAA">
        <w:t xml:space="preserve"> develop a record on these issues, we</w:t>
      </w:r>
      <w:r>
        <w:t xml:space="preserve"> find good cause to waive </w:t>
      </w:r>
      <w:r>
        <w:rPr>
          <w:i/>
          <w:iCs/>
        </w:rPr>
        <w:t>sua</w:t>
      </w:r>
      <w:r>
        <w:rPr>
          <w:i/>
          <w:iCs/>
        </w:rPr>
        <w:t xml:space="preserve"> sponte </w:t>
      </w:r>
      <w:r>
        <w:t xml:space="preserve">the filing deadlines in </w:t>
      </w:r>
      <w:r w:rsidR="00E370E2">
        <w:t>s</w:t>
      </w:r>
      <w:r w:rsidRPr="00D27C76">
        <w:t>ection 1.106(g)–(h) of the Commission’s rules</w:t>
      </w:r>
      <w:r w:rsidR="00B12E60">
        <w:t xml:space="preserve"> and to establish a </w:t>
      </w:r>
      <w:r w:rsidR="005E6740">
        <w:t xml:space="preserve">different </w:t>
      </w:r>
      <w:r w:rsidR="00CA2517">
        <w:t xml:space="preserve">time </w:t>
      </w:r>
      <w:r w:rsidR="005E6740">
        <w:t>period</w:t>
      </w:r>
      <w:r w:rsidR="00100B6A">
        <w:t xml:space="preserve"> for </w:t>
      </w:r>
      <w:r w:rsidR="00CA2517">
        <w:t>filing</w:t>
      </w:r>
      <w:r w:rsidR="00100B6A">
        <w:t xml:space="preserve"> oppositions and replies</w:t>
      </w:r>
      <w:r>
        <w:t>.</w:t>
      </w:r>
      <w:r>
        <w:rPr>
          <w:rStyle w:val="FootnoteReference"/>
        </w:rPr>
        <w:footnoteReference w:id="6"/>
      </w:r>
      <w:r>
        <w:t xml:space="preserve">  </w:t>
      </w:r>
      <w:r w:rsidR="00A35D0D">
        <w:t>Accordingly, o</w:t>
      </w:r>
      <w:r w:rsidRPr="00D27C76" w:rsidR="00D27C76">
        <w:t xml:space="preserve">ppositions to these petitions must be filed </w:t>
      </w:r>
      <w:r w:rsidR="00100B6A">
        <w:t xml:space="preserve">by </w:t>
      </w:r>
      <w:r w:rsidRPr="00101C9B" w:rsidR="00100B6A">
        <w:rPr>
          <w:b/>
          <w:bCs/>
        </w:rPr>
        <w:t>September 14, 2026</w:t>
      </w:r>
      <w:r w:rsidRPr="00D27C76" w:rsidR="00D27C76">
        <w:t xml:space="preserve">, and replies to oppositions must be filed </w:t>
      </w:r>
      <w:r w:rsidR="00101C9B">
        <w:t xml:space="preserve">by </w:t>
      </w:r>
      <w:r w:rsidRPr="00101C9B" w:rsidR="00101C9B">
        <w:rPr>
          <w:b/>
          <w:bCs/>
        </w:rPr>
        <w:t>September 29, 2026</w:t>
      </w:r>
      <w:r w:rsidRPr="00D27C76" w:rsidR="00D27C76">
        <w:t xml:space="preserve">.  </w:t>
      </w:r>
    </w:p>
    <w:p w:rsidR="003B5313" w:rsidP="00B374AA" w14:paraId="0F90D748" w14:textId="577DCF71">
      <w:pPr>
        <w:widowControl/>
        <w:spacing w:after="240"/>
        <w:ind w:firstLine="720"/>
      </w:pPr>
      <w:r>
        <w:rPr>
          <w:i/>
          <w:iCs/>
        </w:rPr>
        <w:t xml:space="preserve">Service Requirements. </w:t>
      </w:r>
      <w:r w:rsidR="003C5520">
        <w:rPr>
          <w:i/>
          <w:iCs/>
        </w:rPr>
        <w:t xml:space="preserve"> </w:t>
      </w:r>
      <w:r w:rsidRPr="003C5520">
        <w:t xml:space="preserve">We also find good cause to waive </w:t>
      </w:r>
      <w:r w:rsidRPr="003C5520">
        <w:rPr>
          <w:i/>
          <w:iCs/>
        </w:rPr>
        <w:t>sua</w:t>
      </w:r>
      <w:r w:rsidRPr="003C5520">
        <w:rPr>
          <w:i/>
          <w:iCs/>
        </w:rPr>
        <w:t xml:space="preserve"> sponte</w:t>
      </w:r>
      <w:r w:rsidRPr="003C5520">
        <w:t xml:space="preserve"> the service requirements in sections 1.106(g)-(h) of the Commission’s rules</w:t>
      </w:r>
      <w:r>
        <w:rPr>
          <w:rStyle w:val="FootnoteReference"/>
        </w:rPr>
        <w:footnoteReference w:id="7"/>
      </w:r>
      <w:r w:rsidRPr="003C5520">
        <w:t xml:space="preserve"> associated with the filing of oppositions and replies to the PFR</w:t>
      </w:r>
      <w:r w:rsidR="003C5520">
        <w:t>s</w:t>
      </w:r>
      <w:r w:rsidRPr="003C5520">
        <w:t xml:space="preserve"> and instead allow parties to file such documents electronically in </w:t>
      </w:r>
      <w:r>
        <w:t xml:space="preserve">ECFS </w:t>
      </w:r>
      <w:r w:rsidRPr="003C5520">
        <w:t xml:space="preserve">without the need to individually serve all </w:t>
      </w:r>
      <w:r w:rsidR="00CA2517">
        <w:t>other parties</w:t>
      </w:r>
      <w:r w:rsidRPr="003C5520">
        <w:t xml:space="preserve"> to the proceeding. </w:t>
      </w:r>
      <w:r w:rsidR="003C5520">
        <w:t xml:space="preserve"> </w:t>
      </w:r>
      <w:r w:rsidR="005B0F41">
        <w:t>We find that s</w:t>
      </w:r>
      <w:r w:rsidRPr="003C5520">
        <w:t>erving filings related to the PFR</w:t>
      </w:r>
      <w:r w:rsidR="005B0F41">
        <w:t>s</w:t>
      </w:r>
      <w:r w:rsidRPr="003C5520">
        <w:t xml:space="preserve"> </w:t>
      </w:r>
      <w:r w:rsidR="005B0F41">
        <w:t xml:space="preserve">in this proceeding </w:t>
      </w:r>
      <w:r w:rsidRPr="003C5520">
        <w:t>present special circumstances that warrant a deviation from the general service rules because the rules would unduly burden filers.</w:t>
      </w:r>
      <w:r w:rsidR="005B0F41">
        <w:t xml:space="preserve"> </w:t>
      </w:r>
      <w:r w:rsidRPr="003C5520">
        <w:t xml:space="preserve"> In this limited circumstance, we find that the filing of oppositions and replies in ECFS will provide a suitable alternative to individualized service. </w:t>
      </w:r>
      <w:r w:rsidR="005B0F41">
        <w:t xml:space="preserve"> </w:t>
      </w:r>
      <w:r w:rsidRPr="003C5520">
        <w:t>Consistent with section 1.47(a)</w:t>
      </w:r>
      <w:r w:rsidR="00455522">
        <w:t xml:space="preserve"> of the Commission’s rules</w:t>
      </w:r>
      <w:r w:rsidRPr="003C5520">
        <w:t xml:space="preserve">, </w:t>
      </w:r>
      <w:r w:rsidR="005B0F41">
        <w:t>WTB and OET</w:t>
      </w:r>
      <w:r w:rsidRPr="003C5520">
        <w:t xml:space="preserve"> will consider this Public Notice to function as notice of service of the PFR</w:t>
      </w:r>
      <w:r w:rsidR="005B0F41">
        <w:t>s</w:t>
      </w:r>
      <w:r w:rsidRPr="003C5520">
        <w:t>, oppositions, and replies upon all of the commenters and interested parties participating in these proceeding</w:t>
      </w:r>
      <w:r w:rsidR="005B0F41">
        <w:t>.</w:t>
      </w:r>
      <w:r>
        <w:rPr>
          <w:rStyle w:val="FootnoteReference"/>
        </w:rPr>
        <w:footnoteReference w:id="8"/>
      </w:r>
      <w:r w:rsidRPr="003C5520">
        <w:t xml:space="preserve">  </w:t>
      </w:r>
    </w:p>
    <w:p w:rsidR="00D27C76" w:rsidRPr="003C5520" w:rsidP="00B97AA9" w14:paraId="5F7A3515" w14:textId="56365DBC">
      <w:pPr>
        <w:spacing w:after="240"/>
        <w:ind w:firstLine="720"/>
      </w:pPr>
      <w:r w:rsidRPr="004C47D1">
        <w:rPr>
          <w:i/>
          <w:iCs/>
        </w:rPr>
        <w:t>Ex Parte Presentations.</w:t>
      </w:r>
      <w:r>
        <w:t xml:space="preserve">  T</w:t>
      </w:r>
      <w:r w:rsidRPr="003C5520">
        <w:t>his proceeding shall be treated as a “permit-but-disclose” proceeding in accordance with the Commission’s ex parte rules</w:t>
      </w:r>
      <w:r>
        <w:t>.</w:t>
      </w:r>
      <w:r>
        <w:rPr>
          <w:rStyle w:val="FootnoteReference"/>
        </w:rPr>
        <w:footnoteReference w:id="9"/>
      </w:r>
      <w:r w:rsidR="009C0C1E">
        <w:t xml:space="preserve">  </w:t>
      </w:r>
      <w:r w:rsidRPr="009C0C1E" w:rsidR="009C0C1E">
        <w:t>Persons making ex parte presentations must file a copy of any written presentation or a memorandum summarizing any oral presentation within two business days after the presentation (unless a different deadline applicable to the Sunshine period applies). Persons making oral ex parte presentations are reminded that memoranda summarizing the presentation must (1) list all persons attending or otherwise participating in the meeting at which the ex parte presentation was made, and (2) summarize all data presented and arguments made during the presentation. If the presentation consisted in whole or in part of the presentation of data or arguments already reflected in the presenter’s written comments, memoranda</w:t>
      </w:r>
      <w:r w:rsidR="009423DA">
        <w:t>,</w:t>
      </w:r>
      <w:r w:rsidRPr="009C0C1E" w:rsidR="009C0C1E">
        <w:t xml:space="preserve">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w:t>
      </w:r>
      <w:r w:rsidR="004C47D1">
        <w:t xml:space="preserve"> </w:t>
      </w:r>
      <w:r w:rsidRPr="009C0C1E" w:rsidR="009C0C1E">
        <w:t>Documents shown or given to Commission staff during ex parte meetings are deemed to be written ex parte presentations and must be filed consistent with rule 1.1206(b).</w:t>
      </w:r>
      <w:r>
        <w:rPr>
          <w:rStyle w:val="FootnoteReference"/>
        </w:rPr>
        <w:footnoteReference w:id="10"/>
      </w:r>
      <w:r w:rsidRPr="009C0C1E" w:rsidR="009C0C1E">
        <w:t xml:space="preserve"> </w:t>
      </w:r>
      <w:r w:rsidR="004C47D1">
        <w:t xml:space="preserve"> </w:t>
      </w:r>
      <w:r w:rsidRPr="009C0C1E" w:rsidR="009C0C1E">
        <w:t>In proceedings governed by rule 1.49(f)</w:t>
      </w:r>
      <w:r>
        <w:rPr>
          <w:rStyle w:val="FootnoteReference"/>
        </w:rPr>
        <w:footnoteReference w:id="11"/>
      </w:r>
      <w:r w:rsidRPr="009C0C1E" w:rsidR="009C0C1E">
        <w:t xml:space="preserve"> or for which the Commission has made available a method of electronic filing, written ex parte presentations and memoranda summarizing oral ex parte presentations, and all attachments thereto, must be filed through the electronic comment filing system available for that proceeding, and must be filed in their native format (e.g., .doc, .xml, .ppt, searchable .pdf). </w:t>
      </w:r>
      <w:r w:rsidR="004C47D1">
        <w:t xml:space="preserve"> </w:t>
      </w:r>
      <w:r w:rsidRPr="009C0C1E" w:rsidR="009C0C1E">
        <w:t>Participants in this proceeding should familiarize themselves with the Commission’s ex parte rules.</w:t>
      </w:r>
    </w:p>
    <w:p w:rsidR="00BA3BA8" w:rsidP="00B97AA9" w14:paraId="652D5516" w14:textId="1242267C">
      <w:pPr>
        <w:spacing w:after="240"/>
        <w:ind w:firstLine="720"/>
      </w:pPr>
      <w:r w:rsidRPr="008A238C">
        <w:rPr>
          <w:i/>
          <w:iCs/>
        </w:rPr>
        <w:t>Filing Procedures.</w:t>
      </w:r>
      <w:r w:rsidRPr="008A238C">
        <w:t xml:space="preserve"> </w:t>
      </w:r>
      <w:r>
        <w:t xml:space="preserve"> </w:t>
      </w:r>
      <w:r w:rsidRPr="008A238C">
        <w:t>Under the Commission’s current procedures for the submission of filings and other documents, a</w:t>
      </w:r>
      <w:r w:rsidR="009423DA">
        <w:t>nd</w:t>
      </w:r>
      <w:r w:rsidRPr="008A238C">
        <w:t xml:space="preserve"> consistent with the waivers granted herein, interested parties may file oppositions and replies </w:t>
      </w:r>
      <w:r w:rsidR="009423DA">
        <w:t xml:space="preserve">to CTIA’s PFRs </w:t>
      </w:r>
      <w:r w:rsidRPr="008A238C">
        <w:t xml:space="preserve">on or before the dates indicated on the first page of this document. </w:t>
      </w:r>
      <w:r>
        <w:t xml:space="preserve"> </w:t>
      </w:r>
      <w:r w:rsidRPr="008A238C">
        <w:t xml:space="preserve">Submissions may be filed electronically through the Commission’s ECFS or by filing paper copies. </w:t>
      </w:r>
      <w:r>
        <w:t xml:space="preserve"> </w:t>
      </w:r>
      <w:r w:rsidRPr="008A238C">
        <w:t xml:space="preserve">We strongly encourage interested parties to file electronically. </w:t>
      </w:r>
      <w:r>
        <w:t xml:space="preserve"> </w:t>
      </w:r>
      <w:r w:rsidRPr="008A238C">
        <w:t>All filings regarding the PFR</w:t>
      </w:r>
      <w:r>
        <w:t>s</w:t>
      </w:r>
      <w:r w:rsidRPr="008A238C">
        <w:t xml:space="preserve"> should include the </w:t>
      </w:r>
      <w:r w:rsidR="009423DA">
        <w:t>applicable</w:t>
      </w:r>
      <w:r w:rsidRPr="008A238C">
        <w:t xml:space="preserve"> docket number : </w:t>
      </w:r>
      <w:r w:rsidR="009678A3">
        <w:t xml:space="preserve"> </w:t>
      </w:r>
      <w:r w:rsidRPr="00B471E8" w:rsidR="009678A3">
        <w:t>GN Docket No. 26-74</w:t>
      </w:r>
      <w:r w:rsidRPr="00B471E8">
        <w:t>.</w:t>
      </w:r>
    </w:p>
    <w:p w:rsidR="00186A8A" w:rsidP="00B97AA9" w14:paraId="75971B8D" w14:textId="77777777">
      <w:pPr>
        <w:spacing w:after="240"/>
        <w:ind w:firstLine="720"/>
      </w:pPr>
      <w:r w:rsidRPr="00186A8A">
        <w:rPr>
          <w:i/>
          <w:iCs/>
        </w:rPr>
        <w:t>Electronic Filers</w:t>
      </w:r>
      <w:r w:rsidRPr="00186A8A">
        <w:t xml:space="preserve">: </w:t>
      </w:r>
      <w:r>
        <w:t xml:space="preserve"> </w:t>
      </w:r>
      <w:r w:rsidRPr="00186A8A">
        <w:t xml:space="preserve">Documents may be filed electronically by accessing the ECFS at </w:t>
      </w:r>
      <w:hyperlink r:id="rId6" w:history="1">
        <w:r w:rsidRPr="00186A8A">
          <w:rPr>
            <w:rStyle w:val="Hyperlink"/>
          </w:rPr>
          <w:t>https://www.fcc.gov/ecfs</w:t>
        </w:r>
      </w:hyperlink>
      <w:r w:rsidRPr="00186A8A">
        <w:t xml:space="preserve">. </w:t>
      </w:r>
      <w:r>
        <w:t xml:space="preserve"> </w:t>
      </w:r>
      <w:r w:rsidRPr="00186A8A">
        <w:t xml:space="preserve">Filers should follow the instructions provided on the website for submitting </w:t>
      </w:r>
      <w:r w:rsidRPr="00186A8A">
        <w:t xml:space="preserve">documents. </w:t>
      </w:r>
      <w:r>
        <w:t xml:space="preserve"> </w:t>
      </w:r>
      <w:r w:rsidRPr="00186A8A">
        <w:t xml:space="preserve">In completing the transmittal screen, filers should include their full name, U.S. Postal Service mailing address, and the applicable docket number, GN Docket No. 26-74. </w:t>
      </w:r>
    </w:p>
    <w:p w:rsidR="00186A8A" w:rsidP="00B97AA9" w14:paraId="2A4DD41A" w14:textId="67F7282E">
      <w:pPr>
        <w:spacing w:after="240"/>
        <w:ind w:firstLine="720"/>
      </w:pPr>
      <w:r w:rsidRPr="00186A8A">
        <w:rPr>
          <w:i/>
          <w:iCs/>
        </w:rPr>
        <w:t>Paper Filers</w:t>
      </w:r>
      <w:r w:rsidRPr="00186A8A">
        <w:t xml:space="preserve">: </w:t>
      </w:r>
      <w:r>
        <w:t xml:space="preserve"> </w:t>
      </w:r>
      <w:r w:rsidRPr="00186A8A">
        <w:t xml:space="preserve">Parties that choose to file by paper must file an original and one copy of each filing. </w:t>
      </w:r>
      <w:r w:rsidR="00077233">
        <w:t xml:space="preserve"> </w:t>
      </w:r>
      <w:r w:rsidRPr="00186A8A">
        <w:t>Filings can be sent by commercial overnight courier or by first-class or overnight U.S. Postal Service mail.</w:t>
      </w:r>
      <w:r>
        <w:t xml:space="preserve"> </w:t>
      </w:r>
      <w:r w:rsidRPr="00186A8A">
        <w:t xml:space="preserve"> All filings must be addressed to the Secretary, Federal Communications Commission. </w:t>
      </w:r>
      <w:r w:rsidR="00077233">
        <w:t xml:space="preserve"> </w:t>
      </w:r>
      <w:r w:rsidRPr="00186A8A">
        <w:t>Commercial courier deliveries (</w:t>
      </w:r>
      <w:r w:rsidR="00077233">
        <w:t xml:space="preserve">i.e., </w:t>
      </w:r>
      <w:r w:rsidRPr="00186A8A">
        <w:t>any deliveries not by the U.S. Postal Service Mail) must be sent to 9050 Junction Drive, Annapolis Junction, MD 20701.</w:t>
      </w:r>
      <w:r>
        <w:t xml:space="preserve"> </w:t>
      </w:r>
      <w:r w:rsidRPr="00186A8A">
        <w:t xml:space="preserve"> Filings sent by U.S. Postal Service First-Class, Priority Mail, and Priority Mail Express must be sent to 45 L Street NE, Washington, DC 20554.</w:t>
      </w:r>
    </w:p>
    <w:p w:rsidR="00A10BD3" w:rsidP="00B97AA9" w14:paraId="008EC99B" w14:textId="502359EC">
      <w:pPr>
        <w:spacing w:after="240"/>
        <w:ind w:firstLine="720"/>
      </w:pPr>
      <w:r w:rsidRPr="00A10BD3">
        <w:rPr>
          <w:i/>
          <w:iCs/>
        </w:rPr>
        <w:t>Persons with Disabilities:</w:t>
      </w:r>
      <w:r w:rsidRPr="00A10BD3">
        <w:t xml:space="preserve"> </w:t>
      </w:r>
      <w:r>
        <w:t xml:space="preserve"> </w:t>
      </w:r>
      <w:r w:rsidRPr="00A10BD3">
        <w:t>To request materials in accessible formats for people with disabilities (</w:t>
      </w:r>
      <w:r w:rsidR="00077233">
        <w:t xml:space="preserve">e.g., </w:t>
      </w:r>
      <w:r w:rsidRPr="00A10BD3">
        <w:t xml:space="preserve">braille, large print, electronic files, audio format), send an e-mail to </w:t>
      </w:r>
      <w:hyperlink r:id="rId7" w:history="1">
        <w:r w:rsidRPr="00C76C9C">
          <w:rPr>
            <w:rStyle w:val="Hyperlink"/>
          </w:rPr>
          <w:t>fcc504@fcc.gov</w:t>
        </w:r>
      </w:hyperlink>
      <w:r>
        <w:t xml:space="preserve"> </w:t>
      </w:r>
      <w:r w:rsidRPr="00A10BD3">
        <w:t>or call the Consumer and Government Affairs Bureau at (202) 418-0530.</w:t>
      </w:r>
    </w:p>
    <w:p w:rsidR="00186A8A" w:rsidRPr="00A10BD3" w:rsidP="00B97AA9" w14:paraId="73CCDCE7" w14:textId="4B59929B">
      <w:pPr>
        <w:spacing w:after="240"/>
        <w:jc w:val="center"/>
        <w:rPr>
          <w:b/>
          <w:bCs/>
        </w:rPr>
      </w:pPr>
      <w:r w:rsidRPr="00A10BD3">
        <w:rPr>
          <w:b/>
          <w:bCs/>
        </w:rPr>
        <w:t>– FCC –</w:t>
      </w:r>
      <w:bookmarkEnd w:id="0"/>
    </w:p>
    <w:sectPr>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720" w:left="1440" w:header="630" w:footer="720" w:gutter="0"/>
      <w:pgNumType w:start="1"/>
      <w:cols w:space="720"/>
      <w:noEndnote/>
      <w:titlePg/>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Manifest>
    <wne:toolbarData r:id="rId1"/>
  </wne:toolbars>
  <wne:acds>
    <wne:acd wne:argValue="AgBQAGEAcgBhAE4AdQBtAA==&#10;" wne:acdName="acd0" wne:fciIndexBasedOn="0065"/>
    <wne:acd wne:argValue="AQAAAAAA&#10;"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31993" w14:paraId="4CE4C052" w14:textId="77777777">
      <w:pPr>
        <w:spacing w:line="20" w:lineRule="exact"/>
      </w:pPr>
    </w:p>
  </w:endnote>
  <w:endnote w:type="continuationSeparator" w:id="1">
    <w:p w:rsidR="00B31993" w14:paraId="2DF91E80" w14:textId="77777777">
      <w:r>
        <w:t xml:space="preserve"> </w:t>
      </w:r>
    </w:p>
  </w:endnote>
  <w:endnote w:type="continuationNotice" w:id="2">
    <w:p w:rsidR="00B31993" w14:paraId="1B07A429"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1972353"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4E3308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3C5E8D3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55655628"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1993" w14:paraId="55DEBD26" w14:textId="77777777">
      <w:r>
        <w:separator/>
      </w:r>
    </w:p>
  </w:footnote>
  <w:footnote w:type="continuationSeparator" w:id="1">
    <w:p w:rsidR="00B31993" w14:paraId="132E8143" w14:textId="77777777">
      <w:pPr>
        <w:rPr>
          <w:sz w:val="20"/>
        </w:rPr>
      </w:pPr>
      <w:r>
        <w:rPr>
          <w:sz w:val="20"/>
        </w:rPr>
        <w:t xml:space="preserve">(Continued from previous page)  </w:t>
      </w:r>
      <w:r>
        <w:rPr>
          <w:sz w:val="20"/>
        </w:rPr>
        <w:separator/>
      </w:r>
    </w:p>
  </w:footnote>
  <w:footnote w:type="continuationNotice" w:id="2">
    <w:p w:rsidR="00B31993" w14:paraId="769BF154" w14:textId="77777777">
      <w:pPr>
        <w:jc w:val="right"/>
        <w:rPr>
          <w:sz w:val="20"/>
        </w:rPr>
      </w:pPr>
      <w:r>
        <w:rPr>
          <w:sz w:val="20"/>
        </w:rPr>
        <w:t>(continued….)</w:t>
      </w:r>
    </w:p>
  </w:footnote>
  <w:footnote w:id="3">
    <w:p w:rsidR="00CE74BE" w:rsidRPr="008A2CF7" w:rsidP="003B15C0" w14:paraId="0C7C20B5" w14:textId="3CEAA4C8">
      <w:pPr>
        <w:pStyle w:val="FootnoteText"/>
      </w:pPr>
      <w:r>
        <w:rPr>
          <w:rStyle w:val="FootnoteReference"/>
        </w:rPr>
        <w:footnoteRef/>
      </w:r>
      <w:r>
        <w:t xml:space="preserve"> </w:t>
      </w:r>
      <w:r w:rsidRPr="008A2CF7">
        <w:rPr>
          <w:i/>
          <w:iCs/>
        </w:rPr>
        <w:t xml:space="preserve">See </w:t>
      </w:r>
      <w:r w:rsidRPr="008A2CF7" w:rsidR="006A3B69">
        <w:t xml:space="preserve">Petition of CTIA </w:t>
      </w:r>
      <w:r w:rsidRPr="008A2CF7" w:rsidR="00F51459">
        <w:t xml:space="preserve">for Reconsideration or </w:t>
      </w:r>
      <w:r w:rsidRPr="008A2CF7" w:rsidR="00057F32">
        <w:t>Clarification</w:t>
      </w:r>
      <w:r w:rsidRPr="008A2CF7" w:rsidR="00F51459">
        <w:t xml:space="preserve"> </w:t>
      </w:r>
      <w:r w:rsidRPr="008A2CF7" w:rsidR="003121AB">
        <w:t>of Special Temporary Authority Order</w:t>
      </w:r>
      <w:r w:rsidRPr="008A2CF7" w:rsidR="00B802B6">
        <w:t xml:space="preserve">, </w:t>
      </w:r>
      <w:r w:rsidRPr="008A2CF7" w:rsidR="00DF5256">
        <w:t>GN Docket No. 26-74 (</w:t>
      </w:r>
      <w:r w:rsidRPr="008A2CF7" w:rsidR="00B802B6">
        <w:t xml:space="preserve">filed Aug. 3, 2026), </w:t>
      </w:r>
      <w:hyperlink r:id="rId1" w:history="1">
        <w:r w:rsidRPr="008A2CF7" w:rsidR="008A2CF7">
          <w:rPr>
            <w:rStyle w:val="Hyperlink"/>
          </w:rPr>
          <w:t>https://www.fcc.gov/ecfs/document/26110069383/1</w:t>
        </w:r>
      </w:hyperlink>
      <w:r w:rsidRPr="008A2CF7" w:rsidR="008A2CF7">
        <w:t xml:space="preserve">; Petition of CTIA for Reconsideration or Clarification of </w:t>
      </w:r>
      <w:r w:rsidR="003341D8">
        <w:t>Sale and Importation Equipment Waiver</w:t>
      </w:r>
      <w:r w:rsidRPr="008A2CF7" w:rsidR="008A2CF7">
        <w:t xml:space="preserve">, GN Docket No. 26-74 (filed Aug. 3, 2026), </w:t>
      </w:r>
      <w:hyperlink r:id="rId2" w:history="1">
        <w:r w:rsidRPr="00C76C9C" w:rsidR="005D3460">
          <w:rPr>
            <w:rStyle w:val="Hyperlink"/>
          </w:rPr>
          <w:t>https://www.fcc.gov/ecfs/document/26110069382/1</w:t>
        </w:r>
      </w:hyperlink>
      <w:r w:rsidR="005D3460">
        <w:t xml:space="preserve">; </w:t>
      </w:r>
      <w:r w:rsidRPr="008A2CF7" w:rsidR="008A2CF7">
        <w:t xml:space="preserve">Petition of CTIA for Reconsideration or Clarification of </w:t>
      </w:r>
      <w:r w:rsidR="005D3460">
        <w:t>Declaratory Ruling, Counter-Drone Operations by Local Authorities</w:t>
      </w:r>
      <w:r w:rsidRPr="008A2CF7" w:rsidR="008A2CF7">
        <w:t xml:space="preserve">, GN Docket No. 26-74 (filed Aug. 3, 2026), </w:t>
      </w:r>
      <w:hyperlink r:id="rId3" w:history="1">
        <w:r w:rsidRPr="00C76C9C" w:rsidR="00444498">
          <w:rPr>
            <w:rStyle w:val="Hyperlink"/>
          </w:rPr>
          <w:t>https://www.fcc.gov/ecfs/document/26110069384/1</w:t>
        </w:r>
      </w:hyperlink>
      <w:r w:rsidR="00444498">
        <w:t xml:space="preserve">; </w:t>
      </w:r>
      <w:r w:rsidRPr="008A2CF7" w:rsidR="008A2CF7">
        <w:t xml:space="preserve">Petition of CTIA for Reconsideration or Clarification of </w:t>
      </w:r>
      <w:r w:rsidR="00D357FA">
        <w:t>Declaratory Ruling</w:t>
      </w:r>
      <w:r w:rsidRPr="008A2CF7" w:rsidR="008A2CF7">
        <w:t>,</w:t>
      </w:r>
      <w:r w:rsidR="00D357FA">
        <w:t xml:space="preserve"> Facilitation Experimental Testing of C-UAS Equipment,</w:t>
      </w:r>
      <w:r w:rsidRPr="008A2CF7" w:rsidR="008A2CF7">
        <w:t xml:space="preserve"> GN Docket No. 26-74 (filed Aug. 3, 2026)</w:t>
      </w:r>
      <w:r w:rsidR="000844FC">
        <w:t xml:space="preserve">, </w:t>
      </w:r>
      <w:hyperlink r:id="rId4" w:history="1">
        <w:r w:rsidRPr="00C76C9C" w:rsidR="000844FC">
          <w:rPr>
            <w:rStyle w:val="Hyperlink"/>
          </w:rPr>
          <w:t>https://www.fcc.gov/ecfs/document/26110069385/1</w:t>
        </w:r>
      </w:hyperlink>
      <w:r w:rsidR="000844FC">
        <w:t xml:space="preserve">. </w:t>
      </w:r>
    </w:p>
  </w:footnote>
  <w:footnote w:id="4">
    <w:p w:rsidR="00F03276" w:rsidP="00F03276" w14:paraId="7650AD3C" w14:textId="77777777">
      <w:pPr>
        <w:pStyle w:val="FootnoteText"/>
      </w:pPr>
      <w:r w:rsidRPr="008A2CF7">
        <w:rPr>
          <w:rStyle w:val="FootnoteReference"/>
          <w:sz w:val="20"/>
        </w:rPr>
        <w:footnoteRef/>
      </w:r>
      <w:r w:rsidRPr="008A2CF7">
        <w:t xml:space="preserve"> 47 CFR § 1.106.</w:t>
      </w:r>
    </w:p>
  </w:footnote>
  <w:footnote w:id="5">
    <w:p w:rsidR="00146392" w14:paraId="682923E8" w14:textId="06AFF403">
      <w:pPr>
        <w:pStyle w:val="FootnoteText"/>
      </w:pPr>
      <w:r>
        <w:rPr>
          <w:rStyle w:val="FootnoteReference"/>
        </w:rPr>
        <w:footnoteRef/>
      </w:r>
      <w:r>
        <w:t xml:space="preserve"> </w:t>
      </w:r>
      <w:r w:rsidR="001F250B">
        <w:rPr>
          <w:i/>
          <w:iCs/>
        </w:rPr>
        <w:t xml:space="preserve">See </w:t>
      </w:r>
      <w:r w:rsidR="001F250B">
        <w:t>FCC Supports SLTT Drone Efforts</w:t>
      </w:r>
      <w:r w:rsidR="00DE5311">
        <w:t xml:space="preserve"> (July 2, 2026), </w:t>
      </w:r>
      <w:hyperlink r:id="rId5" w:history="1">
        <w:r w:rsidRPr="00C76C9C" w:rsidR="00DE5311">
          <w:rPr>
            <w:rStyle w:val="Hyperlink"/>
          </w:rPr>
          <w:t>https://www.fcc.gov/document/fcc-supports-sltt-drone-efforts</w:t>
        </w:r>
      </w:hyperlink>
      <w:r w:rsidR="00DE5311">
        <w:t>.</w:t>
      </w:r>
      <w:r w:rsidR="001F250B">
        <w:t xml:space="preserve"> </w:t>
      </w:r>
    </w:p>
  </w:footnote>
  <w:footnote w:id="6">
    <w:p w:rsidR="00F524A6" w14:paraId="58216A85" w14:textId="2956D2D4">
      <w:pPr>
        <w:pStyle w:val="FootnoteText"/>
      </w:pPr>
      <w:r>
        <w:rPr>
          <w:rStyle w:val="FootnoteReference"/>
        </w:rPr>
        <w:footnoteRef/>
      </w:r>
      <w:r>
        <w:t xml:space="preserve"> </w:t>
      </w:r>
      <w:r w:rsidRPr="00D27C76">
        <w:t>47 CFR § 1.106(g)–(h)</w:t>
      </w:r>
      <w:r w:rsidR="00A90F93">
        <w:t>.</w:t>
      </w:r>
    </w:p>
  </w:footnote>
  <w:footnote w:id="7">
    <w:p w:rsidR="003C5520" w14:paraId="44449FB5" w14:textId="4CB3D09C">
      <w:pPr>
        <w:pStyle w:val="FootnoteText"/>
      </w:pPr>
      <w:r>
        <w:rPr>
          <w:rStyle w:val="FootnoteReference"/>
        </w:rPr>
        <w:footnoteRef/>
      </w:r>
      <w:r>
        <w:t xml:space="preserve"> </w:t>
      </w:r>
      <w:r w:rsidRPr="00D27C76" w:rsidR="00A90F93">
        <w:t>47 CFR § 1.106(g)–(h)</w:t>
      </w:r>
      <w:r w:rsidR="00A90F93">
        <w:t>.</w:t>
      </w:r>
    </w:p>
  </w:footnote>
  <w:footnote w:id="8">
    <w:p w:rsidR="00DF0FDA" w14:paraId="2D47E173" w14:textId="79B4AC58">
      <w:pPr>
        <w:pStyle w:val="FootnoteText"/>
      </w:pPr>
      <w:r>
        <w:rPr>
          <w:rStyle w:val="FootnoteReference"/>
        </w:rPr>
        <w:footnoteRef/>
      </w:r>
      <w:r>
        <w:t xml:space="preserve"> </w:t>
      </w:r>
      <w:r w:rsidRPr="00DF0FDA" w:rsidR="00A90F93">
        <w:t xml:space="preserve">See 47 CFR § 1.47(a) (stating that “[in] proceedings involving a large number of parties, and unless otherwise provided by statute, the Commission may satisfy its service obligation by issuing a public notice that identifies the documents required to be served and that explains how parties can obtain copies of the documents”); </w:t>
      </w:r>
      <w:r w:rsidRPr="00A90F93" w:rsidR="00A90F93">
        <w:rPr>
          <w:i/>
          <w:iCs/>
        </w:rPr>
        <w:t>id</w:t>
      </w:r>
      <w:r w:rsidRPr="00DF0FDA" w:rsidR="00A90F93">
        <w:t>., note to paragraph (a) (stating that “[t]he Commission expects that service by public notice will be used only in proceedings with 20 or more parties”).</w:t>
      </w:r>
    </w:p>
  </w:footnote>
  <w:footnote w:id="9">
    <w:p w:rsidR="003B5313" w14:paraId="1242D30A" w14:textId="4AB020A7">
      <w:pPr>
        <w:pStyle w:val="FootnoteText"/>
      </w:pPr>
      <w:r>
        <w:rPr>
          <w:rStyle w:val="FootnoteReference"/>
        </w:rPr>
        <w:footnoteRef/>
      </w:r>
      <w:r>
        <w:t xml:space="preserve"> </w:t>
      </w:r>
      <w:r w:rsidRPr="003C5520">
        <w:t xml:space="preserve">47 CFR § 1.1200 </w:t>
      </w:r>
      <w:r w:rsidRPr="0081291A">
        <w:rPr>
          <w:i/>
        </w:rPr>
        <w:t>et seq.</w:t>
      </w:r>
    </w:p>
  </w:footnote>
  <w:footnote w:id="10">
    <w:p w:rsidR="009423DA" w14:paraId="7F47638C" w14:textId="7B62D3E2">
      <w:pPr>
        <w:pStyle w:val="FootnoteText"/>
      </w:pPr>
      <w:r>
        <w:rPr>
          <w:rStyle w:val="FootnoteReference"/>
        </w:rPr>
        <w:footnoteRef/>
      </w:r>
      <w:r>
        <w:t xml:space="preserve"> </w:t>
      </w:r>
      <w:r>
        <w:rPr>
          <w:i/>
          <w:iCs/>
        </w:rPr>
        <w:t xml:space="preserve">See </w:t>
      </w:r>
      <w:r>
        <w:t>47 CFR § 1.1206(b).</w:t>
      </w:r>
    </w:p>
  </w:footnote>
  <w:footnote w:id="11">
    <w:p w:rsidR="009423DA" w:rsidRPr="009423DA" w14:paraId="7EB6CDDC" w14:textId="02A94E75">
      <w:pPr>
        <w:pStyle w:val="FootnoteText"/>
      </w:pPr>
      <w:r>
        <w:rPr>
          <w:rStyle w:val="FootnoteReference"/>
        </w:rPr>
        <w:footnoteRef/>
      </w:r>
      <w:r>
        <w:t xml:space="preserve"> </w:t>
      </w:r>
      <w:r>
        <w:rPr>
          <w:i/>
          <w:iCs/>
        </w:rPr>
        <w:t xml:space="preserve">See </w:t>
      </w:r>
      <w:r>
        <w:t>47 CFR § 1.49(f).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7AC24042" w14:textId="33A66C28">
    <w:pPr>
      <w:tabs>
        <w:tab w:val="center" w:pos="4680"/>
        <w:tab w:val="right" w:pos="9360"/>
      </w:tabs>
    </w:pPr>
    <w:r>
      <w:rPr>
        <w:b/>
      </w:rPr>
      <w:tab/>
      <w:t>Federal Communications Commission</w:t>
    </w:r>
    <w:r>
      <w:rPr>
        <w:b/>
      </w:rPr>
      <w:tab/>
    </w:r>
    <w:r w:rsidR="001F7598">
      <w:rPr>
        <w:b/>
      </w:rPr>
      <w:t>DA 26-853</w:t>
    </w:r>
  </w:p>
  <w:p w:rsidR="00BA3BA8" w14:paraId="092810F7" w14:textId="77777777">
    <w:pPr>
      <w:tabs>
        <w:tab w:val="left" w:pos="-720"/>
      </w:tabs>
      <w:suppressAutoHyphens/>
      <w:spacing w:line="19" w:lineRule="exact"/>
      <w:rPr>
        <w:spacing w:val="-2"/>
      </w:rPr>
    </w:pPr>
    <w:r>
      <w:rPr>
        <w:noProof/>
      </w:rPr>
      <w:pict>
        <v:rect id="Rectangle 15" o:spid="_x0000_s2049" style="width:468pt;height:0.95pt;margin-top:0;margin-left:0;mso-position-horizontal-relative:margin;position:absolute;visibility:visible;z-index:-251658240" o:allowincell="f" fillcolor="black" stroked="f" strokeweight="0.05pt">
          <w10:wrap anchorx="margin"/>
        </v:rect>
      </w:pict>
    </w:r>
  </w:p>
  <w:p w:rsidR="00BA3BA8" w14:paraId="611F7BAA"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02EA3A01"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50" type="#_x0000_t75" style="width:468.45pt;height:112.2pt">
          <v:imagedata r:id="rId1" o:title="PN Portrait pic"/>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D180CED0"/>
    <w:lvl w:ilvl="0">
      <w:start w:val="1"/>
      <w:numFmt w:val="decimal"/>
      <w:pStyle w:val="ParaNum"/>
      <w:lvlText w:val="%1."/>
      <w:lvlJc w:val="left"/>
      <w:pPr>
        <w:tabs>
          <w:tab w:val="num" w:pos="1080"/>
        </w:tabs>
        <w:ind w:left="0" w:firstLine="720"/>
      </w:pPr>
    </w:lvl>
  </w:abstractNum>
  <w:num w:numId="1" w16cid:durableId="1235702420">
    <w:abstractNumId w:val="1"/>
  </w:num>
  <w:num w:numId="2" w16cid:durableId="1276208935">
    <w:abstractNumId w:val="5"/>
  </w:num>
  <w:num w:numId="3" w16cid:durableId="275718283">
    <w:abstractNumId w:val="3"/>
  </w:num>
  <w:num w:numId="4" w16cid:durableId="473640975">
    <w:abstractNumId w:val="4"/>
  </w:num>
  <w:num w:numId="5" w16cid:durableId="1581521863">
    <w:abstractNumId w:val="2"/>
  </w:num>
  <w:num w:numId="6" w16cid:durableId="161462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6B"/>
    <w:rsid w:val="000059BC"/>
    <w:rsid w:val="00020EF7"/>
    <w:rsid w:val="00035FCE"/>
    <w:rsid w:val="00041611"/>
    <w:rsid w:val="000448D0"/>
    <w:rsid w:val="00057123"/>
    <w:rsid w:val="0005729F"/>
    <w:rsid w:val="00057F32"/>
    <w:rsid w:val="000741CB"/>
    <w:rsid w:val="00077233"/>
    <w:rsid w:val="000844FC"/>
    <w:rsid w:val="00087E56"/>
    <w:rsid w:val="0009363F"/>
    <w:rsid w:val="000A069D"/>
    <w:rsid w:val="000F412B"/>
    <w:rsid w:val="00100B6A"/>
    <w:rsid w:val="00101C9B"/>
    <w:rsid w:val="00146392"/>
    <w:rsid w:val="00160744"/>
    <w:rsid w:val="00186A8A"/>
    <w:rsid w:val="001D22B6"/>
    <w:rsid w:val="001D4EAB"/>
    <w:rsid w:val="001D6764"/>
    <w:rsid w:val="001F250B"/>
    <w:rsid w:val="001F7598"/>
    <w:rsid w:val="00213A11"/>
    <w:rsid w:val="00221049"/>
    <w:rsid w:val="00224D52"/>
    <w:rsid w:val="00230438"/>
    <w:rsid w:val="002A5B4A"/>
    <w:rsid w:val="002A73B5"/>
    <w:rsid w:val="002B250B"/>
    <w:rsid w:val="002D533D"/>
    <w:rsid w:val="002F6745"/>
    <w:rsid w:val="00300808"/>
    <w:rsid w:val="00311096"/>
    <w:rsid w:val="003121AB"/>
    <w:rsid w:val="00322561"/>
    <w:rsid w:val="003341D8"/>
    <w:rsid w:val="00340FA0"/>
    <w:rsid w:val="0037077A"/>
    <w:rsid w:val="00397CD4"/>
    <w:rsid w:val="003A3B9C"/>
    <w:rsid w:val="003A54B9"/>
    <w:rsid w:val="003B15C0"/>
    <w:rsid w:val="003B5313"/>
    <w:rsid w:val="003C5520"/>
    <w:rsid w:val="003E4F54"/>
    <w:rsid w:val="00430183"/>
    <w:rsid w:val="00430872"/>
    <w:rsid w:val="00444498"/>
    <w:rsid w:val="0044731A"/>
    <w:rsid w:val="00455522"/>
    <w:rsid w:val="004C210D"/>
    <w:rsid w:val="004C47D1"/>
    <w:rsid w:val="004D420A"/>
    <w:rsid w:val="004D4715"/>
    <w:rsid w:val="004D6AA5"/>
    <w:rsid w:val="005025B2"/>
    <w:rsid w:val="00546124"/>
    <w:rsid w:val="005540BF"/>
    <w:rsid w:val="00593A3A"/>
    <w:rsid w:val="005B0F41"/>
    <w:rsid w:val="005D3460"/>
    <w:rsid w:val="005E6740"/>
    <w:rsid w:val="005F16FD"/>
    <w:rsid w:val="005F4FE9"/>
    <w:rsid w:val="0062209E"/>
    <w:rsid w:val="00670E43"/>
    <w:rsid w:val="006A3B69"/>
    <w:rsid w:val="006B65BE"/>
    <w:rsid w:val="006B7F66"/>
    <w:rsid w:val="006D761D"/>
    <w:rsid w:val="0071184C"/>
    <w:rsid w:val="00711DC7"/>
    <w:rsid w:val="00726C9B"/>
    <w:rsid w:val="00732955"/>
    <w:rsid w:val="007412CE"/>
    <w:rsid w:val="007B2584"/>
    <w:rsid w:val="007C0696"/>
    <w:rsid w:val="007E3000"/>
    <w:rsid w:val="007E691E"/>
    <w:rsid w:val="007E6FF2"/>
    <w:rsid w:val="007F10BF"/>
    <w:rsid w:val="007F4959"/>
    <w:rsid w:val="0081291A"/>
    <w:rsid w:val="008404B7"/>
    <w:rsid w:val="00843680"/>
    <w:rsid w:val="00853F77"/>
    <w:rsid w:val="00867DB0"/>
    <w:rsid w:val="00877929"/>
    <w:rsid w:val="00882659"/>
    <w:rsid w:val="008A238C"/>
    <w:rsid w:val="008A2CF7"/>
    <w:rsid w:val="008A706D"/>
    <w:rsid w:val="008C2968"/>
    <w:rsid w:val="008C3260"/>
    <w:rsid w:val="009423DA"/>
    <w:rsid w:val="009678A3"/>
    <w:rsid w:val="00982508"/>
    <w:rsid w:val="00987B33"/>
    <w:rsid w:val="00993970"/>
    <w:rsid w:val="0099459C"/>
    <w:rsid w:val="009970CD"/>
    <w:rsid w:val="0099799F"/>
    <w:rsid w:val="009979D0"/>
    <w:rsid w:val="009C0C1E"/>
    <w:rsid w:val="00A10BD3"/>
    <w:rsid w:val="00A20679"/>
    <w:rsid w:val="00A35D0D"/>
    <w:rsid w:val="00A90F93"/>
    <w:rsid w:val="00B12E60"/>
    <w:rsid w:val="00B24003"/>
    <w:rsid w:val="00B31993"/>
    <w:rsid w:val="00B374AA"/>
    <w:rsid w:val="00B471E8"/>
    <w:rsid w:val="00B74E8C"/>
    <w:rsid w:val="00B802B6"/>
    <w:rsid w:val="00B9708F"/>
    <w:rsid w:val="00B97AA9"/>
    <w:rsid w:val="00BA3BA8"/>
    <w:rsid w:val="00BA660E"/>
    <w:rsid w:val="00C23830"/>
    <w:rsid w:val="00C34F89"/>
    <w:rsid w:val="00C76C9C"/>
    <w:rsid w:val="00CA2517"/>
    <w:rsid w:val="00CB38BC"/>
    <w:rsid w:val="00CE74BE"/>
    <w:rsid w:val="00D151D9"/>
    <w:rsid w:val="00D16681"/>
    <w:rsid w:val="00D27C76"/>
    <w:rsid w:val="00D357FA"/>
    <w:rsid w:val="00D740AC"/>
    <w:rsid w:val="00D83FAA"/>
    <w:rsid w:val="00DA0ACD"/>
    <w:rsid w:val="00DB625B"/>
    <w:rsid w:val="00DC26D7"/>
    <w:rsid w:val="00DD2BD2"/>
    <w:rsid w:val="00DD72F8"/>
    <w:rsid w:val="00DE5311"/>
    <w:rsid w:val="00DE7E02"/>
    <w:rsid w:val="00DF0FDA"/>
    <w:rsid w:val="00DF5256"/>
    <w:rsid w:val="00E04D1F"/>
    <w:rsid w:val="00E07A27"/>
    <w:rsid w:val="00E146BC"/>
    <w:rsid w:val="00E370E2"/>
    <w:rsid w:val="00E43B2B"/>
    <w:rsid w:val="00E67F13"/>
    <w:rsid w:val="00E76E2D"/>
    <w:rsid w:val="00EC4819"/>
    <w:rsid w:val="00EC6E51"/>
    <w:rsid w:val="00EF466B"/>
    <w:rsid w:val="00F03276"/>
    <w:rsid w:val="00F03EA1"/>
    <w:rsid w:val="00F06499"/>
    <w:rsid w:val="00F51459"/>
    <w:rsid w:val="00F524A6"/>
    <w:rsid w:val="00F639E2"/>
    <w:rsid w:val="00F64229"/>
    <w:rsid w:val="00F65DDA"/>
    <w:rsid w:val="00F86E66"/>
    <w:rsid w:val="00FB2204"/>
    <w:rsid w:val="00FB39C7"/>
    <w:rsid w:val="00FC1B86"/>
    <w:rsid w:val="00FC3471"/>
    <w:rsid w:val="00FD0C8D"/>
    <w:rsid w:val="00FD22D6"/>
    <w:rsid w:val="00FF7D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D8356F"/>
  <w15:chartTrackingRefBased/>
  <w15:docId w15:val="{A39AEB94-10CF-433C-8A7C-89C7A517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semiHidden/>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styleId="CommentReference">
    <w:name w:val="annotation reference"/>
    <w:uiPriority w:val="99"/>
    <w:semiHidden/>
    <w:unhideWhenUsed/>
    <w:rsid w:val="00B471E8"/>
    <w:rPr>
      <w:sz w:val="16"/>
      <w:szCs w:val="16"/>
    </w:rPr>
  </w:style>
  <w:style w:type="paragraph" w:styleId="CommentText">
    <w:name w:val="annotation text"/>
    <w:basedOn w:val="Normal"/>
    <w:link w:val="CommentTextChar"/>
    <w:uiPriority w:val="99"/>
    <w:unhideWhenUsed/>
    <w:rsid w:val="00B471E8"/>
    <w:rPr>
      <w:sz w:val="20"/>
    </w:rPr>
  </w:style>
  <w:style w:type="character" w:customStyle="1" w:styleId="CommentTextChar">
    <w:name w:val="Comment Text Char"/>
    <w:link w:val="CommentText"/>
    <w:uiPriority w:val="99"/>
    <w:rsid w:val="00B471E8"/>
    <w:rPr>
      <w:snapToGrid w:val="0"/>
      <w:kern w:val="28"/>
    </w:rPr>
  </w:style>
  <w:style w:type="paragraph" w:styleId="CommentSubject">
    <w:name w:val="annotation subject"/>
    <w:basedOn w:val="CommentText"/>
    <w:next w:val="CommentText"/>
    <w:link w:val="CommentSubjectChar"/>
    <w:uiPriority w:val="99"/>
    <w:semiHidden/>
    <w:unhideWhenUsed/>
    <w:rsid w:val="00B471E8"/>
    <w:rPr>
      <w:b/>
      <w:bCs/>
    </w:rPr>
  </w:style>
  <w:style w:type="character" w:customStyle="1" w:styleId="CommentSubjectChar">
    <w:name w:val="Comment Subject Char"/>
    <w:link w:val="CommentSubject"/>
    <w:uiPriority w:val="99"/>
    <w:semiHidden/>
    <w:rsid w:val="00B471E8"/>
    <w:rPr>
      <w:b/>
      <w:bCs/>
      <w:snapToGrid w:val="0"/>
      <w:kern w:val="28"/>
    </w:rPr>
  </w:style>
  <w:style w:type="character" w:styleId="FollowedHyperlink">
    <w:name w:val="FollowedHyperlink"/>
    <w:uiPriority w:val="99"/>
    <w:semiHidden/>
    <w:unhideWhenUsed/>
    <w:rsid w:val="00987B33"/>
    <w:rPr>
      <w:color w:val="96607D"/>
      <w:u w:val="single"/>
    </w:rPr>
  </w:style>
  <w:style w:type="paragraph" w:styleId="Revision">
    <w:name w:val="Revision"/>
    <w:hidden/>
    <w:uiPriority w:val="99"/>
    <w:semiHidden/>
    <w:rsid w:val="003A3B9C"/>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footer" Target="footer3.xml" /><Relationship Id="rId13" Type="http://schemas.microsoft.com/office/2006/relationships/keyMapCustomizations" Target="customizations.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fcc.gov/ecfs" TargetMode="External" /><Relationship Id="rId7" Type="http://schemas.openxmlformats.org/officeDocument/2006/relationships/hyperlink" Target="mailto:fcc504@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26110069383/1" TargetMode="External" /><Relationship Id="rId2" Type="http://schemas.openxmlformats.org/officeDocument/2006/relationships/hyperlink" Target="https://www.fcc.gov/ecfs/document/26110069382/1" TargetMode="External" /><Relationship Id="rId3" Type="http://schemas.openxmlformats.org/officeDocument/2006/relationships/hyperlink" Target="https://www.fcc.gov/ecfs/document/26110069384/1" TargetMode="External" /><Relationship Id="rId4" Type="http://schemas.openxmlformats.org/officeDocument/2006/relationships/hyperlink" Target="https://www.fcc.gov/ecfs/document/26110069385/1" TargetMode="External" /><Relationship Id="rId5" Type="http://schemas.openxmlformats.org/officeDocument/2006/relationships/hyperlink" Target="https://www.fcc.gov/document/fcc-supports-sltt-drone-efforts"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