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BA3BA8" w14:paraId="3B47B303" w14:textId="77777777">
      <w:pPr>
        <w:jc w:val="right"/>
        <w:rPr>
          <w:sz w:val="24"/>
        </w:rPr>
      </w:pPr>
    </w:p>
    <w:p w:rsidR="00BA3BA8" w:rsidRPr="00DB3CBC" w14:paraId="48AB3E20" w14:textId="776076F8">
      <w:pPr>
        <w:jc w:val="right"/>
        <w:rPr>
          <w:b/>
          <w:szCs w:val="22"/>
        </w:rPr>
      </w:pPr>
      <w:r w:rsidRPr="00DB3CBC">
        <w:rPr>
          <w:b/>
          <w:szCs w:val="22"/>
        </w:rPr>
        <w:t>DA 2</w:t>
      </w:r>
      <w:r w:rsidR="00EC3D56">
        <w:rPr>
          <w:b/>
          <w:szCs w:val="22"/>
        </w:rPr>
        <w:t>6</w:t>
      </w:r>
      <w:r w:rsidRPr="00DB3CBC">
        <w:rPr>
          <w:b/>
          <w:szCs w:val="22"/>
        </w:rPr>
        <w:t>-</w:t>
      </w:r>
      <w:r w:rsidR="00362CC0">
        <w:rPr>
          <w:b/>
          <w:szCs w:val="22"/>
        </w:rPr>
        <w:t>869</w:t>
      </w:r>
    </w:p>
    <w:p w:rsidR="00BA3BA8" w:rsidRPr="00DB3CBC" w:rsidP="007B22DE" w14:paraId="6C7B28C4" w14:textId="330AC5C4">
      <w:pPr>
        <w:spacing w:before="60"/>
        <w:jc w:val="right"/>
        <w:rPr>
          <w:b/>
          <w:szCs w:val="22"/>
        </w:rPr>
      </w:pPr>
      <w:r w:rsidRPr="00DB3CBC">
        <w:rPr>
          <w:b/>
          <w:szCs w:val="22"/>
        </w:rPr>
        <w:t xml:space="preserve">Released: </w:t>
      </w:r>
      <w:r w:rsidR="00B15DC5">
        <w:rPr>
          <w:b/>
          <w:szCs w:val="22"/>
        </w:rPr>
        <w:t>August</w:t>
      </w:r>
      <w:r w:rsidR="00EC3D56">
        <w:rPr>
          <w:b/>
          <w:szCs w:val="22"/>
        </w:rPr>
        <w:t xml:space="preserve"> </w:t>
      </w:r>
      <w:r w:rsidR="00755117">
        <w:rPr>
          <w:b/>
          <w:szCs w:val="22"/>
        </w:rPr>
        <w:t>19</w:t>
      </w:r>
      <w:r w:rsidR="001743A0">
        <w:rPr>
          <w:b/>
          <w:szCs w:val="22"/>
        </w:rPr>
        <w:t>, 202</w:t>
      </w:r>
      <w:r w:rsidR="00EC3D56">
        <w:rPr>
          <w:b/>
          <w:szCs w:val="22"/>
        </w:rPr>
        <w:t>6</w:t>
      </w:r>
    </w:p>
    <w:p w:rsidR="00881759" w:rsidP="00881759" w14:paraId="4BD7CA8F" w14:textId="77777777">
      <w:pPr>
        <w:jc w:val="center"/>
        <w:rPr>
          <w:b/>
          <w:bCs/>
          <w:szCs w:val="22"/>
        </w:rPr>
      </w:pPr>
      <w:bookmarkStart w:id="0" w:name="_Hlk166229554"/>
    </w:p>
    <w:p w:rsidR="00E948E2" w:rsidP="00E948E2" w14:paraId="3AC68F39" w14:textId="6E71499B">
      <w:pPr>
        <w:jc w:val="center"/>
        <w:rPr>
          <w:b/>
          <w:bCs/>
          <w:szCs w:val="22"/>
        </w:rPr>
      </w:pPr>
      <w:r w:rsidRPr="00DB3CBC">
        <w:rPr>
          <w:b/>
          <w:bCs/>
          <w:szCs w:val="22"/>
        </w:rPr>
        <w:t xml:space="preserve">DOMESTIC </w:t>
      </w:r>
      <w:r w:rsidRPr="00DB3CBC">
        <w:rPr>
          <w:b/>
          <w:bCs/>
          <w:caps/>
          <w:szCs w:val="22"/>
        </w:rPr>
        <w:t>SECTION</w:t>
      </w:r>
      <w:r w:rsidRPr="00DB3CBC">
        <w:rPr>
          <w:b/>
          <w:bCs/>
          <w:szCs w:val="22"/>
        </w:rPr>
        <w:t xml:space="preserve"> 214 APPLICATION </w:t>
      </w:r>
      <w:r w:rsidR="00D318AF">
        <w:rPr>
          <w:b/>
          <w:bCs/>
          <w:szCs w:val="22"/>
        </w:rPr>
        <w:t>GRANTED</w:t>
      </w:r>
      <w:r w:rsidRPr="00DB3CBC">
        <w:rPr>
          <w:b/>
          <w:bCs/>
          <w:szCs w:val="22"/>
        </w:rPr>
        <w:t xml:space="preserve"> FOR THE</w:t>
      </w:r>
    </w:p>
    <w:p w:rsidR="00E948E2" w:rsidP="00E948E2" w14:paraId="488906BF" w14:textId="7EFFB622">
      <w:pPr>
        <w:jc w:val="center"/>
        <w:rPr>
          <w:b/>
          <w:bCs/>
          <w:szCs w:val="22"/>
        </w:rPr>
      </w:pPr>
      <w:r w:rsidRPr="00DB3CBC">
        <w:rPr>
          <w:b/>
          <w:bCs/>
          <w:szCs w:val="22"/>
        </w:rPr>
        <w:t xml:space="preserve">TRANSFER OF CONTROL </w:t>
      </w:r>
      <w:r w:rsidR="00FF1414">
        <w:rPr>
          <w:b/>
          <w:bCs/>
          <w:szCs w:val="22"/>
        </w:rPr>
        <w:t xml:space="preserve">OF </w:t>
      </w:r>
      <w:bookmarkEnd w:id="0"/>
      <w:r w:rsidRPr="00FA05DB">
        <w:rPr>
          <w:b/>
          <w:bCs/>
          <w:szCs w:val="22"/>
        </w:rPr>
        <w:t>VAN BUREN TELEPHONE COMPANY, INC. TO</w:t>
      </w:r>
    </w:p>
    <w:p w:rsidR="00E948E2" w:rsidRPr="00FA05DB" w:rsidP="00E948E2" w14:paraId="4D3A0AD9" w14:textId="4E08F417">
      <w:pPr>
        <w:jc w:val="center"/>
        <w:rPr>
          <w:b/>
          <w:bCs/>
          <w:szCs w:val="22"/>
        </w:rPr>
      </w:pPr>
      <w:r w:rsidRPr="00FA05DB">
        <w:rPr>
          <w:b/>
          <w:bCs/>
          <w:szCs w:val="22"/>
        </w:rPr>
        <w:t>CITIZENS MUTUAL TELEPHONE COOPERATIVE</w:t>
      </w:r>
    </w:p>
    <w:p w:rsidR="008524E2" w:rsidP="000C218C" w14:paraId="082F4EA3" w14:textId="46BF05EA">
      <w:pPr>
        <w:jc w:val="center"/>
        <w:rPr>
          <w:b/>
          <w:bCs/>
          <w:szCs w:val="22"/>
        </w:rPr>
      </w:pPr>
    </w:p>
    <w:p w:rsidR="00F723A8" w:rsidRPr="00F723A8" w:rsidP="001F2FCF" w14:paraId="5967CDF2" w14:textId="27A18F64">
      <w:pPr>
        <w:tabs>
          <w:tab w:val="left" w:pos="5826"/>
        </w:tabs>
        <w:rPr>
          <w:b/>
          <w:bCs/>
          <w:szCs w:val="22"/>
        </w:rPr>
      </w:pPr>
    </w:p>
    <w:p w:rsidR="00BA3BA8" w:rsidRPr="00DB3CBC" w:rsidP="4E29B3EC" w14:paraId="7E54A00A" w14:textId="28BFB622">
      <w:pPr>
        <w:jc w:val="center"/>
        <w:rPr>
          <w:b/>
          <w:bCs/>
        </w:rPr>
      </w:pPr>
      <w:r w:rsidRPr="4E29B3EC">
        <w:rPr>
          <w:b/>
          <w:bCs/>
        </w:rPr>
        <w:t>WC Docket No. 2</w:t>
      </w:r>
      <w:r w:rsidRPr="4E29B3EC" w:rsidR="2A157C66">
        <w:rPr>
          <w:b/>
          <w:bCs/>
        </w:rPr>
        <w:t>6-10</w:t>
      </w:r>
      <w:r w:rsidR="00E948E2">
        <w:rPr>
          <w:b/>
          <w:bCs/>
        </w:rPr>
        <w:t>8</w:t>
      </w:r>
    </w:p>
    <w:p w:rsidR="00881759" w:rsidRPr="00AD440B" w:rsidP="00881759" w14:paraId="2F202ECD" w14:textId="77777777">
      <w:pPr>
        <w:rPr>
          <w:b/>
          <w:szCs w:val="22"/>
        </w:rPr>
      </w:pPr>
      <w:bookmarkStart w:id="1" w:name="TOChere"/>
    </w:p>
    <w:p w:rsidR="00E948E2" w:rsidP="007037F7" w14:paraId="6BB9A15C" w14:textId="2CD8078A">
      <w:pPr>
        <w:autoSpaceDE w:val="0"/>
        <w:autoSpaceDN w:val="0"/>
        <w:adjustRightInd w:val="0"/>
        <w:spacing w:after="120"/>
        <w:ind w:firstLine="720"/>
      </w:pPr>
      <w:r w:rsidRPr="52D3F29C">
        <w:t xml:space="preserve">By this Public Notice, the Wireline Competition Bureau </w:t>
      </w:r>
      <w:r w:rsidR="00854013">
        <w:t xml:space="preserve">(Bureau) </w:t>
      </w:r>
      <w:r>
        <w:t xml:space="preserve">grants an </w:t>
      </w:r>
      <w:r w:rsidRPr="00FD7EE2" w:rsidR="006F2CCB">
        <w:rPr>
          <w:szCs w:val="22"/>
        </w:rPr>
        <w:t xml:space="preserve">application filed by </w:t>
      </w:r>
      <w:r w:rsidRPr="00946B90" w:rsidR="006F2CCB">
        <w:rPr>
          <w:szCs w:val="22"/>
        </w:rPr>
        <w:t>Van Buren Telephone Company, Inc. (VBT) and Citizens Mutual</w:t>
      </w:r>
      <w:r w:rsidR="006F2CCB">
        <w:rPr>
          <w:szCs w:val="22"/>
        </w:rPr>
        <w:t xml:space="preserve"> </w:t>
      </w:r>
      <w:r w:rsidRPr="00946B90" w:rsidR="006F2CCB">
        <w:rPr>
          <w:szCs w:val="22"/>
        </w:rPr>
        <w:t>Telephone Cooperative (CM Tech</w:t>
      </w:r>
      <w:r w:rsidR="006F2CCB">
        <w:rPr>
          <w:szCs w:val="22"/>
        </w:rPr>
        <w:t xml:space="preserve">) </w:t>
      </w:r>
      <w:r w:rsidRPr="008001A8" w:rsidR="006F2CCB">
        <w:rPr>
          <w:szCs w:val="22"/>
        </w:rPr>
        <w:t>(</w:t>
      </w:r>
      <w:r w:rsidR="006F2CCB">
        <w:rPr>
          <w:szCs w:val="22"/>
        </w:rPr>
        <w:t>together</w:t>
      </w:r>
      <w:r w:rsidRPr="00E60B45" w:rsidR="006F2CCB">
        <w:rPr>
          <w:szCs w:val="22"/>
        </w:rPr>
        <w:t xml:space="preserve">, Applicants), pursuant to section 214(a) of the Communications Act of 1934, as amended, and section 63.04 of the </w:t>
      </w:r>
      <w:r w:rsidR="006F2CCB">
        <w:rPr>
          <w:szCs w:val="22"/>
        </w:rPr>
        <w:t xml:space="preserve">Federal Communications </w:t>
      </w:r>
      <w:r w:rsidRPr="00E60B45" w:rsidR="006F2CCB">
        <w:rPr>
          <w:szCs w:val="22"/>
        </w:rPr>
        <w:t xml:space="preserve">Commission’s </w:t>
      </w:r>
      <w:r w:rsidR="006F2CCB">
        <w:rPr>
          <w:szCs w:val="22"/>
        </w:rPr>
        <w:t xml:space="preserve">(Commission) </w:t>
      </w:r>
      <w:r w:rsidRPr="00E60B45" w:rsidR="006F2CCB">
        <w:rPr>
          <w:szCs w:val="22"/>
        </w:rPr>
        <w:t>rules,</w:t>
      </w:r>
      <w:r>
        <w:rPr>
          <w:rStyle w:val="FootnoteReference"/>
          <w:szCs w:val="22"/>
        </w:rPr>
        <w:footnoteReference w:id="3"/>
      </w:r>
      <w:r w:rsidRPr="00E60B45" w:rsidR="006F2CCB">
        <w:rPr>
          <w:szCs w:val="22"/>
        </w:rPr>
        <w:t xml:space="preserve"> requesting </w:t>
      </w:r>
      <w:r w:rsidR="006F2CCB">
        <w:rPr>
          <w:szCs w:val="22"/>
        </w:rPr>
        <w:t>consent</w:t>
      </w:r>
      <w:r w:rsidRPr="00E60B45" w:rsidR="006F2CCB">
        <w:rPr>
          <w:szCs w:val="22"/>
        </w:rPr>
        <w:t xml:space="preserve"> to transfer </w:t>
      </w:r>
      <w:r w:rsidR="006F2CCB">
        <w:rPr>
          <w:szCs w:val="22"/>
        </w:rPr>
        <w:t xml:space="preserve">control of </w:t>
      </w:r>
      <w:r w:rsidRPr="00946B90" w:rsidR="006F2CCB">
        <w:rPr>
          <w:szCs w:val="22"/>
        </w:rPr>
        <w:t>VBT</w:t>
      </w:r>
      <w:r w:rsidR="006F2CCB">
        <w:rPr>
          <w:szCs w:val="22"/>
        </w:rPr>
        <w:t xml:space="preserve"> </w:t>
      </w:r>
      <w:r w:rsidRPr="00946B90" w:rsidR="006F2CCB">
        <w:rPr>
          <w:szCs w:val="22"/>
        </w:rPr>
        <w:t>to CM Tech</w:t>
      </w:r>
      <w:r w:rsidRPr="00E60B45" w:rsidR="006F2CCB">
        <w:rPr>
          <w:szCs w:val="22"/>
        </w:rPr>
        <w:t>.</w:t>
      </w:r>
      <w:r>
        <w:rPr>
          <w:rStyle w:val="FootnoteReference"/>
          <w:szCs w:val="22"/>
        </w:rPr>
        <w:footnoteReference w:id="4"/>
      </w:r>
    </w:p>
    <w:p w:rsidR="007037F7" w:rsidP="007037F7" w14:paraId="09896437" w14:textId="683DBD6E">
      <w:pPr>
        <w:autoSpaceDE w:val="0"/>
        <w:autoSpaceDN w:val="0"/>
        <w:adjustRightInd w:val="0"/>
        <w:spacing w:after="120"/>
        <w:ind w:firstLine="720"/>
      </w:pPr>
      <w:bookmarkStart w:id="3" w:name="_Hlk203567734"/>
      <w:r>
        <w:t xml:space="preserve">On </w:t>
      </w:r>
      <w:r w:rsidR="006F2CCB">
        <w:t>June 23</w:t>
      </w:r>
      <w:r w:rsidR="2F9C323D">
        <w:t>, 2026, the Bureau released a Public Notice</w:t>
      </w:r>
      <w:r w:rsidR="305E6BFC">
        <w:t xml:space="preserve"> seeking comment on the Application.</w:t>
      </w:r>
      <w:r>
        <w:rPr>
          <w:vertAlign w:val="superscript"/>
        </w:rPr>
        <w:footnoteReference w:id="5"/>
      </w:r>
      <w:r w:rsidRPr="009D3619">
        <w:t xml:space="preserve">  </w:t>
      </w:r>
      <w:r>
        <w:t>The Bureau did not receive any comments or petitions in opposition to the Application.</w:t>
      </w:r>
    </w:p>
    <w:p w:rsidR="00B863AC" w:rsidRPr="007508DA" w:rsidP="007037F7" w14:paraId="1D7755F4" w14:textId="78A50740">
      <w:pPr>
        <w:autoSpaceDE w:val="0"/>
        <w:autoSpaceDN w:val="0"/>
        <w:adjustRightInd w:val="0"/>
        <w:spacing w:after="120"/>
        <w:rPr>
          <w:b/>
          <w:bCs/>
          <w:u w:val="single"/>
        </w:rPr>
      </w:pPr>
      <w:r w:rsidRPr="00714251">
        <w:rPr>
          <w:b/>
          <w:bCs/>
          <w:u w:val="single"/>
        </w:rPr>
        <w:t>Applicants and Description of Transaction</w:t>
      </w:r>
    </w:p>
    <w:p w:rsidR="008D7746" w:rsidP="008D7746" w14:paraId="0AE1F1DC" w14:textId="77777777">
      <w:pPr>
        <w:autoSpaceDE w:val="0"/>
        <w:autoSpaceDN w:val="0"/>
        <w:adjustRightInd w:val="0"/>
        <w:spacing w:after="120"/>
        <w:ind w:firstLine="720"/>
        <w:rPr>
          <w:szCs w:val="22"/>
        </w:rPr>
      </w:pPr>
      <w:bookmarkStart w:id="4" w:name="_Hlk190430453"/>
      <w:bookmarkEnd w:id="3"/>
      <w:r>
        <w:rPr>
          <w:szCs w:val="22"/>
        </w:rPr>
        <w:t xml:space="preserve">VBT, </w:t>
      </w:r>
      <w:r w:rsidRPr="00EC7614">
        <w:rPr>
          <w:szCs w:val="22"/>
        </w:rPr>
        <w:t>an Iowa corporation</w:t>
      </w:r>
      <w:r>
        <w:rPr>
          <w:szCs w:val="22"/>
        </w:rPr>
        <w:t xml:space="preserve"> and member-owned cooperative, provides service as an incumbent </w:t>
      </w:r>
      <w:r w:rsidRPr="00EC7614">
        <w:rPr>
          <w:szCs w:val="22"/>
        </w:rPr>
        <w:t xml:space="preserve">local exchange </w:t>
      </w:r>
      <w:r>
        <w:rPr>
          <w:szCs w:val="22"/>
        </w:rPr>
        <w:t xml:space="preserve">carrier (LEC) </w:t>
      </w:r>
      <w:r w:rsidRPr="00EC7614">
        <w:rPr>
          <w:szCs w:val="22"/>
        </w:rPr>
        <w:t>to approximately 1,553 access lines in the Van Buren, Jefferson, and</w:t>
      </w:r>
      <w:r>
        <w:rPr>
          <w:szCs w:val="22"/>
        </w:rPr>
        <w:t xml:space="preserve"> </w:t>
      </w:r>
      <w:r w:rsidRPr="00EC7614">
        <w:rPr>
          <w:szCs w:val="22"/>
        </w:rPr>
        <w:t xml:space="preserve">Lee counties of Iowa, within the exchange areas of Birmingham, Bonaparte, </w:t>
      </w:r>
      <w:r w:rsidRPr="00EC7614">
        <w:rPr>
          <w:szCs w:val="22"/>
        </w:rPr>
        <w:t>Cantril</w:t>
      </w:r>
      <w:r w:rsidRPr="00EC7614">
        <w:rPr>
          <w:szCs w:val="22"/>
        </w:rPr>
        <w:t>, Keosauqua,</w:t>
      </w:r>
      <w:r>
        <w:rPr>
          <w:szCs w:val="22"/>
        </w:rPr>
        <w:t xml:space="preserve"> </w:t>
      </w:r>
      <w:r w:rsidRPr="00EC7614">
        <w:rPr>
          <w:szCs w:val="22"/>
        </w:rPr>
        <w:t>Mount Sterling, and Stockport.</w:t>
      </w:r>
      <w:r>
        <w:rPr>
          <w:rStyle w:val="FootnoteReference"/>
          <w:szCs w:val="22"/>
        </w:rPr>
        <w:footnoteReference w:id="6"/>
      </w:r>
    </w:p>
    <w:p w:rsidR="008D7746" w:rsidP="008D7746" w14:paraId="19082F42" w14:textId="77777777">
      <w:pPr>
        <w:autoSpaceDE w:val="0"/>
        <w:autoSpaceDN w:val="0"/>
        <w:adjustRightInd w:val="0"/>
        <w:spacing w:after="120"/>
        <w:ind w:firstLine="720"/>
        <w:rPr>
          <w:szCs w:val="22"/>
        </w:rPr>
      </w:pPr>
      <w:r w:rsidRPr="00EC7614">
        <w:rPr>
          <w:szCs w:val="22"/>
        </w:rPr>
        <w:t>CM Tech</w:t>
      </w:r>
      <w:r>
        <w:rPr>
          <w:szCs w:val="22"/>
        </w:rPr>
        <w:t>,</w:t>
      </w:r>
      <w:r w:rsidRPr="00EC7614">
        <w:rPr>
          <w:szCs w:val="22"/>
        </w:rPr>
        <w:t xml:space="preserve"> </w:t>
      </w:r>
      <w:r>
        <w:rPr>
          <w:szCs w:val="22"/>
        </w:rPr>
        <w:t xml:space="preserve">an Iowa corporation and member-owned cooperative in which no single member or entity holds a greater than 10% interest, provides service as </w:t>
      </w:r>
      <w:r w:rsidRPr="00EC7614">
        <w:rPr>
          <w:szCs w:val="22"/>
        </w:rPr>
        <w:t xml:space="preserve">an incumbent </w:t>
      </w:r>
      <w:r>
        <w:rPr>
          <w:szCs w:val="22"/>
        </w:rPr>
        <w:t>LEC</w:t>
      </w:r>
      <w:r w:rsidRPr="00EC7614">
        <w:rPr>
          <w:szCs w:val="22"/>
        </w:rPr>
        <w:t xml:space="preserve"> in Davis</w:t>
      </w:r>
      <w:r>
        <w:rPr>
          <w:szCs w:val="22"/>
        </w:rPr>
        <w:t xml:space="preserve"> County</w:t>
      </w:r>
      <w:r w:rsidRPr="00EC7614">
        <w:rPr>
          <w:szCs w:val="22"/>
        </w:rPr>
        <w:t>,</w:t>
      </w:r>
      <w:r>
        <w:rPr>
          <w:szCs w:val="22"/>
        </w:rPr>
        <w:t xml:space="preserve"> Iowa.</w:t>
      </w:r>
      <w:r>
        <w:rPr>
          <w:rStyle w:val="FootnoteReference"/>
          <w:szCs w:val="22"/>
        </w:rPr>
        <w:footnoteReference w:id="7"/>
      </w:r>
      <w:r>
        <w:rPr>
          <w:szCs w:val="22"/>
        </w:rPr>
        <w:t xml:space="preserve">  </w:t>
      </w:r>
      <w:r>
        <w:rPr>
          <w:szCs w:val="22"/>
        </w:rPr>
        <w:t xml:space="preserve">CM Tech also provides service as a competitive LEC in portions of </w:t>
      </w:r>
      <w:r>
        <w:t>Mahaska, Keokuk, Wapello, Monroe, Jefferson, Van Buren, and Lee counties, Iowa.</w:t>
      </w:r>
      <w:r>
        <w:rPr>
          <w:rStyle w:val="FootnoteReference"/>
        </w:rPr>
        <w:footnoteReference w:id="8"/>
      </w:r>
    </w:p>
    <w:p w:rsidR="008D7746" w:rsidP="008D7746" w14:paraId="6A09C281" w14:textId="77777777">
      <w:pPr>
        <w:autoSpaceDE w:val="0"/>
        <w:autoSpaceDN w:val="0"/>
        <w:adjustRightInd w:val="0"/>
        <w:spacing w:after="120"/>
        <w:ind w:firstLine="720"/>
        <w:rPr>
          <w:szCs w:val="22"/>
        </w:rPr>
      </w:pPr>
      <w:r>
        <w:rPr>
          <w:szCs w:val="22"/>
        </w:rPr>
        <w:t xml:space="preserve">Pursuant to the terms of the proposed transaction, </w:t>
      </w:r>
      <w:r w:rsidRPr="00D15C53">
        <w:rPr>
          <w:szCs w:val="22"/>
        </w:rPr>
        <w:t>CM Tech will acquire all outstanding shares of stock in VBT</w:t>
      </w:r>
      <w:r>
        <w:rPr>
          <w:szCs w:val="22"/>
        </w:rPr>
        <w:t>.</w:t>
      </w:r>
      <w:r>
        <w:rPr>
          <w:rStyle w:val="FootnoteReference"/>
          <w:szCs w:val="22"/>
        </w:rPr>
        <w:footnoteReference w:id="9"/>
      </w:r>
      <w:r>
        <w:rPr>
          <w:szCs w:val="22"/>
        </w:rPr>
        <w:t xml:space="preserve">  </w:t>
      </w:r>
      <w:r w:rsidRPr="00D15C53">
        <w:rPr>
          <w:szCs w:val="22"/>
        </w:rPr>
        <w:t>VBT will</w:t>
      </w:r>
      <w:r>
        <w:rPr>
          <w:szCs w:val="22"/>
        </w:rPr>
        <w:t xml:space="preserve"> thereafter</w:t>
      </w:r>
      <w:r w:rsidRPr="00D15C53">
        <w:rPr>
          <w:szCs w:val="22"/>
        </w:rPr>
        <w:t xml:space="preserve"> continue to</w:t>
      </w:r>
      <w:r>
        <w:rPr>
          <w:szCs w:val="22"/>
        </w:rPr>
        <w:t xml:space="preserve"> </w:t>
      </w:r>
      <w:r w:rsidRPr="00D15C53">
        <w:rPr>
          <w:szCs w:val="22"/>
        </w:rPr>
        <w:t>operate as a</w:t>
      </w:r>
      <w:r>
        <w:rPr>
          <w:szCs w:val="22"/>
        </w:rPr>
        <w:t xml:space="preserve"> </w:t>
      </w:r>
      <w:r w:rsidRPr="00D15C53">
        <w:rPr>
          <w:szCs w:val="22"/>
        </w:rPr>
        <w:t>direct, wholly owned subsidiary of CM Tech.</w:t>
      </w:r>
      <w:r>
        <w:rPr>
          <w:rStyle w:val="FootnoteReference"/>
          <w:szCs w:val="22"/>
        </w:rPr>
        <w:footnoteReference w:id="10"/>
      </w:r>
    </w:p>
    <w:p w:rsidR="00432940" w:rsidRPr="00432940" w:rsidP="00915B5D" w14:paraId="2C5EDE2E" w14:textId="67E63629">
      <w:pPr>
        <w:autoSpaceDE w:val="0"/>
        <w:autoSpaceDN w:val="0"/>
        <w:adjustRightInd w:val="0"/>
        <w:spacing w:after="120"/>
        <w:rPr>
          <w:b/>
          <w:bCs/>
          <w:u w:val="single"/>
        </w:rPr>
      </w:pPr>
      <w:r w:rsidRPr="00432940">
        <w:rPr>
          <w:b/>
          <w:bCs/>
          <w:u w:val="single"/>
        </w:rPr>
        <w:t>Discussion</w:t>
      </w:r>
    </w:p>
    <w:p w:rsidR="00C539B7" w:rsidRPr="0009632B" w:rsidP="00C539B7" w14:paraId="53D3D1D5" w14:textId="1DAD615A">
      <w:pPr>
        <w:autoSpaceDE w:val="0"/>
        <w:autoSpaceDN w:val="0"/>
        <w:adjustRightInd w:val="0"/>
        <w:spacing w:after="120"/>
        <w:ind w:firstLine="720"/>
      </w:pPr>
      <w:r w:rsidRPr="0009632B">
        <w:t>Applicants contend that the proposed transaction will serve the public interest, convenience, and necessity.</w:t>
      </w:r>
      <w:r>
        <w:rPr>
          <w:rStyle w:val="FootnoteReference"/>
        </w:rPr>
        <w:footnoteReference w:id="11"/>
      </w:r>
      <w:r w:rsidRPr="0009632B">
        <w:t xml:space="preserve">  </w:t>
      </w:r>
      <w:r w:rsidRPr="0009632B">
        <w:t>A</w:t>
      </w:r>
      <w:r w:rsidRPr="0009632B" w:rsidR="00A735B9">
        <w:t xml:space="preserve">pplicants note that </w:t>
      </w:r>
      <w:r w:rsidRPr="0009632B" w:rsidR="00241538">
        <w:t>there is no overlap of service areas</w:t>
      </w:r>
      <w:r w:rsidRPr="0009632B" w:rsidR="00894780">
        <w:t xml:space="preserve"> resulting from the proposed transaction</w:t>
      </w:r>
      <w:r w:rsidRPr="0009632B" w:rsidR="00F01413">
        <w:t>.</w:t>
      </w:r>
      <w:r>
        <w:rPr>
          <w:rStyle w:val="FootnoteReference"/>
        </w:rPr>
        <w:footnoteReference w:id="12"/>
      </w:r>
      <w:r w:rsidRPr="0009632B" w:rsidR="00F01413">
        <w:t xml:space="preserve">  Although</w:t>
      </w:r>
      <w:r w:rsidRPr="0009632B" w:rsidR="00241538">
        <w:t xml:space="preserve"> </w:t>
      </w:r>
      <w:r w:rsidRPr="0009632B">
        <w:t>CM Tech</w:t>
      </w:r>
      <w:r w:rsidR="007567EC">
        <w:t>’</w:t>
      </w:r>
      <w:r w:rsidRPr="0009632B">
        <w:t xml:space="preserve">s competitive </w:t>
      </w:r>
      <w:r w:rsidRPr="0009632B" w:rsidR="00241538">
        <w:t>LEC</w:t>
      </w:r>
      <w:r w:rsidRPr="0009632B">
        <w:t xml:space="preserve"> operations in Van Buren County are adjacent to VBT</w:t>
      </w:r>
      <w:r w:rsidR="003F6AA4">
        <w:t>’</w:t>
      </w:r>
      <w:r w:rsidRPr="0009632B">
        <w:t xml:space="preserve">s incumbent </w:t>
      </w:r>
      <w:r w:rsidRPr="0009632B" w:rsidR="00E34FF0">
        <w:t xml:space="preserve">LEC </w:t>
      </w:r>
      <w:r w:rsidRPr="0009632B">
        <w:t>service area at limited points,</w:t>
      </w:r>
      <w:r w:rsidRPr="0009632B" w:rsidR="004608FF">
        <w:t xml:space="preserve"> </w:t>
      </w:r>
      <w:r w:rsidRPr="0009632B" w:rsidR="00022C32">
        <w:t>Applicants assert that</w:t>
      </w:r>
      <w:r w:rsidRPr="0009632B">
        <w:t xml:space="preserve"> this adjacency does not give rise to any cognizable public interest harm.</w:t>
      </w:r>
      <w:r>
        <w:rPr>
          <w:rStyle w:val="FootnoteReference"/>
        </w:rPr>
        <w:footnoteReference w:id="13"/>
      </w:r>
      <w:r w:rsidRPr="0009632B">
        <w:t xml:space="preserve"> </w:t>
      </w:r>
      <w:r w:rsidRPr="0009632B" w:rsidR="003E4F93">
        <w:t xml:space="preserve"> Applicants state that VBT’s customers will not experience any interruption in service</w:t>
      </w:r>
      <w:r w:rsidRPr="0009632B" w:rsidR="00430680">
        <w:t xml:space="preserve"> and that</w:t>
      </w:r>
      <w:r w:rsidRPr="0009632B" w:rsidR="003E4F93">
        <w:t xml:space="preserve"> they will continue to receive their existing services from the same carrier at the same rates, terms, and conditions</w:t>
      </w:r>
      <w:r w:rsidRPr="0009632B" w:rsidR="00430680">
        <w:t>.</w:t>
      </w:r>
      <w:r>
        <w:rPr>
          <w:rStyle w:val="FootnoteReference"/>
        </w:rPr>
        <w:footnoteReference w:id="14"/>
      </w:r>
      <w:r w:rsidRPr="0009632B" w:rsidR="006928F8">
        <w:t xml:space="preserve"> </w:t>
      </w:r>
      <w:r w:rsidRPr="0009632B" w:rsidR="00430680">
        <w:t xml:space="preserve"> Applicants further state that </w:t>
      </w:r>
      <w:r w:rsidRPr="0009632B" w:rsidR="006928F8">
        <w:t>a</w:t>
      </w:r>
      <w:r w:rsidRPr="0009632B" w:rsidR="003E4F93">
        <w:t>ny future changes in rates, terms, or conditions will be made consistent with the Commission’s rules</w:t>
      </w:r>
      <w:r w:rsidRPr="0009632B" w:rsidR="006928F8">
        <w:t>.</w:t>
      </w:r>
      <w:r>
        <w:rPr>
          <w:rStyle w:val="FootnoteReference"/>
        </w:rPr>
        <w:footnoteReference w:id="15"/>
      </w:r>
    </w:p>
    <w:p w:rsidR="009949C4" w:rsidRPr="0009632B" w:rsidP="007302C2" w14:paraId="5C32020B" w14:textId="533C790B">
      <w:pPr>
        <w:autoSpaceDE w:val="0"/>
        <w:autoSpaceDN w:val="0"/>
        <w:adjustRightInd w:val="0"/>
        <w:spacing w:after="120"/>
        <w:ind w:firstLine="720"/>
      </w:pPr>
      <w:r w:rsidRPr="0009632B">
        <w:t>Applicants also assert that the proposed transaction will result in public benefits</w:t>
      </w:r>
      <w:r w:rsidRPr="0009632B" w:rsidR="00C539B7">
        <w:t>.</w:t>
      </w:r>
      <w:r>
        <w:rPr>
          <w:rStyle w:val="FootnoteReference"/>
        </w:rPr>
        <w:footnoteReference w:id="16"/>
      </w:r>
      <w:r w:rsidRPr="0009632B">
        <w:t xml:space="preserve"> </w:t>
      </w:r>
      <w:r w:rsidRPr="0009632B" w:rsidR="00C539B7">
        <w:t xml:space="preserve"> </w:t>
      </w:r>
      <w:r w:rsidRPr="0009632B" w:rsidR="006D78C0">
        <w:t>Applicants assert that the geographic proximity of the Applicants</w:t>
      </w:r>
      <w:r w:rsidR="00776EB8">
        <w:t>’</w:t>
      </w:r>
      <w:r w:rsidRPr="0009632B" w:rsidR="006D78C0">
        <w:t xml:space="preserve"> service areas will yield additional affirmative public interest benefits in the form of operational efficiencies.</w:t>
      </w:r>
      <w:r>
        <w:rPr>
          <w:rStyle w:val="FootnoteReference"/>
        </w:rPr>
        <w:footnoteReference w:id="17"/>
      </w:r>
      <w:r w:rsidRPr="0009632B" w:rsidR="006D78C0">
        <w:t xml:space="preserve">  </w:t>
      </w:r>
      <w:r w:rsidRPr="0009632B" w:rsidR="007302C2">
        <w:t xml:space="preserve">Applicants </w:t>
      </w:r>
      <w:r w:rsidRPr="0009632B" w:rsidR="006E044E">
        <w:t>note</w:t>
      </w:r>
      <w:r w:rsidRPr="0009632B" w:rsidR="007302C2">
        <w:t xml:space="preserve"> that, </w:t>
      </w:r>
      <w:r w:rsidRPr="0009632B" w:rsidR="006E044E">
        <w:t xml:space="preserve">following the </w:t>
      </w:r>
      <w:r w:rsidRPr="0009632B" w:rsidR="007302C2">
        <w:t>consummation of the proposed transaction,</w:t>
      </w:r>
      <w:r w:rsidRPr="0009632B" w:rsidR="00C12474">
        <w:t xml:space="preserve"> CM Tech will operate approximately 1,365 square miles of fiber</w:t>
      </w:r>
      <w:r w:rsidRPr="0009632B" w:rsidR="004D5C73">
        <w:t xml:space="preserve"> </w:t>
      </w:r>
      <w:r w:rsidRPr="0009632B" w:rsidR="00C12474">
        <w:t>network, serving nearly 6,100 total business and residential customers in southeast Iowa.</w:t>
      </w:r>
      <w:r>
        <w:rPr>
          <w:rStyle w:val="FootnoteReference"/>
        </w:rPr>
        <w:footnoteReference w:id="18"/>
      </w:r>
      <w:r w:rsidRPr="0009632B" w:rsidR="006E044E">
        <w:t xml:space="preserve"> </w:t>
      </w:r>
      <w:r w:rsidRPr="0009632B" w:rsidR="00C12474">
        <w:t xml:space="preserve"> </w:t>
      </w:r>
      <w:r w:rsidRPr="0009632B" w:rsidR="006E044E">
        <w:t>According to the Applicants, t</w:t>
      </w:r>
      <w:r w:rsidRPr="0009632B" w:rsidR="00C12474">
        <w:t>his</w:t>
      </w:r>
      <w:r w:rsidRPr="0009632B" w:rsidR="004D5C73">
        <w:t xml:space="preserve"> </w:t>
      </w:r>
      <w:r w:rsidRPr="0009632B" w:rsidR="00C12474">
        <w:t>additional scope and scale will provide greater financial stability, support continued investment</w:t>
      </w:r>
      <w:r w:rsidRPr="0009632B" w:rsidR="004D5C73">
        <w:t xml:space="preserve"> </w:t>
      </w:r>
      <w:r w:rsidRPr="0009632B" w:rsidR="00C12474">
        <w:t xml:space="preserve">in core operations, and improve and enhance service offerings for the </w:t>
      </w:r>
      <w:r w:rsidRPr="0009632B" w:rsidR="00C12474">
        <w:t>customers and</w:t>
      </w:r>
      <w:r w:rsidRPr="0009632B" w:rsidR="004D5C73">
        <w:t xml:space="preserve"> </w:t>
      </w:r>
      <w:r w:rsidRPr="0009632B" w:rsidR="00C12474">
        <w:t>communities served by the combined entity.</w:t>
      </w:r>
      <w:r>
        <w:rPr>
          <w:rStyle w:val="FootnoteReference"/>
        </w:rPr>
        <w:footnoteReference w:id="19"/>
      </w:r>
      <w:r w:rsidRPr="0009632B" w:rsidR="00C12474">
        <w:t xml:space="preserve"> </w:t>
      </w:r>
      <w:r w:rsidRPr="0009632B" w:rsidR="0009632B">
        <w:t xml:space="preserve"> Applicants state that </w:t>
      </w:r>
      <w:r w:rsidRPr="0009632B" w:rsidR="00C12474">
        <w:t>CM Tech will maintain and improve VBT’s existing</w:t>
      </w:r>
      <w:r w:rsidRPr="0009632B" w:rsidR="004D5C73">
        <w:t xml:space="preserve"> </w:t>
      </w:r>
      <w:r w:rsidRPr="0009632B" w:rsidR="00C12474">
        <w:t>fiber networ</w:t>
      </w:r>
      <w:r w:rsidRPr="0009632B" w:rsidR="0009632B">
        <w:t>k</w:t>
      </w:r>
      <w:r w:rsidR="00EA065A">
        <w:t>.</w:t>
      </w:r>
      <w:r>
        <w:rPr>
          <w:rStyle w:val="FootnoteReference"/>
        </w:rPr>
        <w:footnoteReference w:id="20"/>
      </w:r>
      <w:r w:rsidR="00EA065A">
        <w:t xml:space="preserve">  Applicants also state that</w:t>
      </w:r>
      <w:r w:rsidRPr="0009632B" w:rsidR="00C12474">
        <w:t xml:space="preserve"> CM Tech affirmatively commits to meeting VBT’s Enhanced ACAM</w:t>
      </w:r>
      <w:r w:rsidRPr="0009632B" w:rsidR="004D5C73">
        <w:t xml:space="preserve"> </w:t>
      </w:r>
      <w:r w:rsidRPr="0009632B" w:rsidR="00C12474">
        <w:t>deployment obligations.</w:t>
      </w:r>
      <w:r>
        <w:rPr>
          <w:rStyle w:val="FootnoteReference"/>
        </w:rPr>
        <w:footnoteReference w:id="21"/>
      </w:r>
    </w:p>
    <w:p w:rsidR="00B2254A" w:rsidRPr="00B2254A" w:rsidP="007812DD" w14:paraId="7B78367F" w14:textId="44F21E3F">
      <w:pPr>
        <w:spacing w:after="120"/>
        <w:ind w:firstLine="720"/>
        <w:rPr>
          <w:bCs/>
          <w:szCs w:val="22"/>
        </w:rPr>
      </w:pPr>
      <w:r>
        <w:rPr>
          <w:bCs/>
          <w:szCs w:val="22"/>
        </w:rPr>
        <w:t>CM Tech</w:t>
      </w:r>
      <w:r w:rsidRPr="0051601F">
        <w:rPr>
          <w:bCs/>
          <w:szCs w:val="22"/>
        </w:rPr>
        <w:t xml:space="preserve"> further addresses potential concerns by committing to not improperly shift business data</w:t>
      </w:r>
      <w:r>
        <w:rPr>
          <w:bCs/>
          <w:szCs w:val="22"/>
        </w:rPr>
        <w:t xml:space="preserve"> </w:t>
      </w:r>
      <w:r w:rsidRPr="0051601F">
        <w:rPr>
          <w:bCs/>
          <w:szCs w:val="22"/>
        </w:rPr>
        <w:t>services (BDS) costs between its study areas post-transaction.</w:t>
      </w:r>
      <w:r>
        <w:rPr>
          <w:rStyle w:val="FootnoteReference"/>
          <w:bCs/>
          <w:szCs w:val="22"/>
        </w:rPr>
        <w:footnoteReference w:id="22"/>
      </w:r>
      <w:r>
        <w:rPr>
          <w:bCs/>
          <w:szCs w:val="22"/>
        </w:rPr>
        <w:t xml:space="preserve">  </w:t>
      </w:r>
      <w:r w:rsidRPr="0051601F">
        <w:rPr>
          <w:bCs/>
          <w:szCs w:val="22"/>
        </w:rPr>
        <w:t>Section 61.50 of the Commission’s rules</w:t>
      </w:r>
      <w:r>
        <w:rPr>
          <w:bCs/>
          <w:szCs w:val="22"/>
        </w:rPr>
        <w:t xml:space="preserve"> </w:t>
      </w:r>
      <w:r w:rsidRPr="0051601F">
        <w:rPr>
          <w:bCs/>
          <w:szCs w:val="22"/>
        </w:rPr>
        <w:t>allows rate-of-return incumbent LECs (or carriers) receiving A-CAM or fixed high-cost universal service</w:t>
      </w:r>
      <w:r>
        <w:rPr>
          <w:bCs/>
          <w:szCs w:val="22"/>
        </w:rPr>
        <w:t xml:space="preserve"> </w:t>
      </w:r>
      <w:r w:rsidRPr="0051601F">
        <w:rPr>
          <w:bCs/>
          <w:szCs w:val="22"/>
        </w:rPr>
        <w:t>support to elect to offer BDS (</w:t>
      </w:r>
      <w:r w:rsidRPr="003944A1">
        <w:rPr>
          <w:bCs/>
          <w:i/>
          <w:iCs/>
          <w:szCs w:val="22"/>
        </w:rPr>
        <w:t>i.e</w:t>
      </w:r>
      <w:r w:rsidRPr="0051601F">
        <w:rPr>
          <w:bCs/>
          <w:szCs w:val="22"/>
        </w:rPr>
        <w:t>., special access) subject to incentive rather than rate-of-return rate</w:t>
      </w:r>
      <w:r w:rsidRPr="00760357">
        <w:rPr>
          <w:bCs/>
          <w:szCs w:val="22"/>
        </w:rPr>
        <w:t xml:space="preserve"> regulation.</w:t>
      </w:r>
      <w:r>
        <w:rPr>
          <w:rStyle w:val="FootnoteReference"/>
          <w:bCs/>
          <w:szCs w:val="22"/>
        </w:rPr>
        <w:footnoteReference w:id="23"/>
      </w:r>
      <w:r w:rsidRPr="00760357">
        <w:rPr>
          <w:bCs/>
          <w:szCs w:val="22"/>
        </w:rPr>
        <w:t xml:space="preserve"> </w:t>
      </w:r>
      <w:r>
        <w:rPr>
          <w:bCs/>
          <w:szCs w:val="22"/>
        </w:rPr>
        <w:t xml:space="preserve"> </w:t>
      </w:r>
      <w:r w:rsidRPr="00760357">
        <w:rPr>
          <w:bCs/>
          <w:szCs w:val="22"/>
        </w:rPr>
        <w:t>To prevent internal cost-shifting among study areas, the Commission required “electing</w:t>
      </w:r>
      <w:r>
        <w:rPr>
          <w:bCs/>
          <w:szCs w:val="22"/>
        </w:rPr>
        <w:t xml:space="preserve"> </w:t>
      </w:r>
      <w:r w:rsidRPr="00760357">
        <w:rPr>
          <w:bCs/>
          <w:szCs w:val="22"/>
        </w:rPr>
        <w:t>carriers to elect incentive regulation at the holding company-level for study areas in all states where that</w:t>
      </w:r>
      <w:r>
        <w:rPr>
          <w:bCs/>
          <w:szCs w:val="22"/>
        </w:rPr>
        <w:t xml:space="preserve"> </w:t>
      </w:r>
      <w:r w:rsidRPr="00760357">
        <w:rPr>
          <w:bCs/>
          <w:szCs w:val="22"/>
        </w:rPr>
        <w:t>carrier receives fixed support.”</w:t>
      </w:r>
      <w:r>
        <w:rPr>
          <w:rStyle w:val="FootnoteReference"/>
          <w:bCs/>
          <w:szCs w:val="22"/>
        </w:rPr>
        <w:footnoteReference w:id="24"/>
      </w:r>
      <w:r w:rsidRPr="00760357">
        <w:rPr>
          <w:bCs/>
          <w:szCs w:val="22"/>
        </w:rPr>
        <w:t xml:space="preserve"> </w:t>
      </w:r>
      <w:r>
        <w:rPr>
          <w:bCs/>
          <w:szCs w:val="22"/>
        </w:rPr>
        <w:t xml:space="preserve"> </w:t>
      </w:r>
      <w:r w:rsidRPr="00760357">
        <w:rPr>
          <w:bCs/>
          <w:szCs w:val="22"/>
        </w:rPr>
        <w:t>Carriers electing BDS incentive rate regulation are also required to</w:t>
      </w:r>
      <w:r>
        <w:rPr>
          <w:bCs/>
          <w:szCs w:val="22"/>
        </w:rPr>
        <w:t xml:space="preserve"> </w:t>
      </w:r>
      <w:r w:rsidRPr="00760357">
        <w:rPr>
          <w:bCs/>
          <w:szCs w:val="22"/>
        </w:rPr>
        <w:t>remove their BDS offerings from the National Exchange Carrier Association, Inc. (NECA) traffic sensitive tariff pool.</w:t>
      </w:r>
      <w:r>
        <w:rPr>
          <w:rStyle w:val="FootnoteReference"/>
          <w:bCs/>
          <w:szCs w:val="22"/>
        </w:rPr>
        <w:footnoteReference w:id="25"/>
      </w:r>
    </w:p>
    <w:p w:rsidR="00B2254A" w:rsidRPr="007812DD" w:rsidP="007812DD" w14:paraId="329D4462" w14:textId="0215921D">
      <w:pPr>
        <w:spacing w:after="120"/>
        <w:ind w:firstLine="720"/>
        <w:rPr>
          <w:bCs/>
          <w:szCs w:val="22"/>
        </w:rPr>
      </w:pPr>
      <w:r>
        <w:rPr>
          <w:bCs/>
          <w:szCs w:val="22"/>
        </w:rPr>
        <w:t>CM Tech</w:t>
      </w:r>
      <w:r w:rsidRPr="00760357">
        <w:rPr>
          <w:bCs/>
          <w:szCs w:val="22"/>
        </w:rPr>
        <w:t xml:space="preserve"> elected BDS incentive rate regulation in</w:t>
      </w:r>
      <w:r>
        <w:rPr>
          <w:bCs/>
          <w:szCs w:val="22"/>
        </w:rPr>
        <w:t xml:space="preserve"> May </w:t>
      </w:r>
      <w:r w:rsidRPr="00760357">
        <w:rPr>
          <w:bCs/>
          <w:szCs w:val="22"/>
        </w:rPr>
        <w:t>2020</w:t>
      </w:r>
      <w:r>
        <w:rPr>
          <w:bCs/>
          <w:szCs w:val="22"/>
        </w:rPr>
        <w:t>.</w:t>
      </w:r>
      <w:r>
        <w:rPr>
          <w:rStyle w:val="FootnoteReference"/>
          <w:bCs/>
          <w:szCs w:val="22"/>
        </w:rPr>
        <w:footnoteReference w:id="26"/>
      </w:r>
      <w:r w:rsidRPr="00760357">
        <w:rPr>
          <w:bCs/>
          <w:szCs w:val="22"/>
        </w:rPr>
        <w:t xml:space="preserve"> </w:t>
      </w:r>
      <w:r>
        <w:rPr>
          <w:bCs/>
          <w:szCs w:val="22"/>
        </w:rPr>
        <w:t xml:space="preserve"> Post-transaction </w:t>
      </w:r>
      <w:r>
        <w:rPr>
          <w:bCs/>
          <w:szCs w:val="22"/>
        </w:rPr>
        <w:t>CM Tech</w:t>
      </w:r>
      <w:r w:rsidRPr="00760357">
        <w:rPr>
          <w:bCs/>
          <w:szCs w:val="22"/>
        </w:rPr>
        <w:t xml:space="preserve"> </w:t>
      </w:r>
      <w:r>
        <w:rPr>
          <w:bCs/>
          <w:szCs w:val="22"/>
        </w:rPr>
        <w:t xml:space="preserve">will be affiliated with Van Buren, a carrier </w:t>
      </w:r>
      <w:r w:rsidRPr="00760357">
        <w:rPr>
          <w:bCs/>
          <w:szCs w:val="22"/>
        </w:rPr>
        <w:t>subject to rate-of-return regulation for their BDS offerings.</w:t>
      </w:r>
      <w:r>
        <w:rPr>
          <w:rStyle w:val="FootnoteReference"/>
          <w:bCs/>
          <w:szCs w:val="22"/>
        </w:rPr>
        <w:footnoteReference w:id="27"/>
      </w:r>
      <w:r>
        <w:t xml:space="preserve">  Van Buren participates in the NECA traffic sensitive tariff pool for its BDS offerings.</w:t>
      </w:r>
      <w:r>
        <w:rPr>
          <w:rStyle w:val="FootnoteReference"/>
        </w:rPr>
        <w:footnoteReference w:id="28"/>
      </w:r>
      <w:r>
        <w:t xml:space="preserve">  Commission staff raised concerns with </w:t>
      </w:r>
      <w:r>
        <w:t>CM Tech</w:t>
      </w:r>
      <w:r>
        <w:t xml:space="preserve"> regarding potential BDS cost-shifting between </w:t>
      </w:r>
      <w:r>
        <w:t>CM Tech</w:t>
      </w:r>
      <w:r>
        <w:t xml:space="preserve"> and Van Buren’s study areas post-transaction.</w:t>
      </w:r>
      <w:r>
        <w:rPr>
          <w:rStyle w:val="FootnoteReference"/>
        </w:rPr>
        <w:footnoteReference w:id="29"/>
      </w:r>
      <w:r>
        <w:t xml:space="preserve">  As </w:t>
      </w:r>
      <w:r>
        <w:t>CM Tech</w:t>
      </w:r>
      <w:r>
        <w:t xml:space="preserve"> recognizes, </w:t>
      </w:r>
      <w:r>
        <w:rPr>
          <w:bCs/>
          <w:szCs w:val="22"/>
        </w:rPr>
        <w:t>“</w:t>
      </w:r>
      <w:r w:rsidRPr="00E7272E">
        <w:rPr>
          <w:bCs/>
          <w:szCs w:val="22"/>
        </w:rPr>
        <w:t>where a carrier offering BDS under incentive regulation becomes affiliated with</w:t>
      </w:r>
      <w:r>
        <w:rPr>
          <w:bCs/>
          <w:szCs w:val="22"/>
        </w:rPr>
        <w:t xml:space="preserve"> </w:t>
      </w:r>
      <w:r w:rsidRPr="00E7272E">
        <w:rPr>
          <w:bCs/>
          <w:szCs w:val="22"/>
        </w:rPr>
        <w:t>a carrier that prices its BDS under cost-based rate-of-return regulation, the affiliated entity could</w:t>
      </w:r>
      <w:r>
        <w:rPr>
          <w:bCs/>
          <w:szCs w:val="22"/>
        </w:rPr>
        <w:t xml:space="preserve"> </w:t>
      </w:r>
      <w:r w:rsidRPr="00E7272E">
        <w:rPr>
          <w:bCs/>
          <w:szCs w:val="22"/>
        </w:rPr>
        <w:t>in theory have an incentive to shift costs to the rate-of-return study area in order to increase that</w:t>
      </w:r>
      <w:r>
        <w:rPr>
          <w:bCs/>
          <w:szCs w:val="22"/>
        </w:rPr>
        <w:t xml:space="preserve"> </w:t>
      </w:r>
      <w:r w:rsidRPr="00E7272E">
        <w:rPr>
          <w:bCs/>
          <w:szCs w:val="22"/>
        </w:rPr>
        <w:t>study area</w:t>
      </w:r>
      <w:r>
        <w:rPr>
          <w:bCs/>
          <w:szCs w:val="22"/>
        </w:rPr>
        <w:t>’</w:t>
      </w:r>
      <w:r w:rsidRPr="00E7272E">
        <w:rPr>
          <w:bCs/>
          <w:szCs w:val="22"/>
        </w:rPr>
        <w:t>s cost-based BDS rates.</w:t>
      </w:r>
      <w:r>
        <w:rPr>
          <w:bCs/>
          <w:szCs w:val="22"/>
        </w:rPr>
        <w:t>”</w:t>
      </w:r>
      <w:r>
        <w:rPr>
          <w:rStyle w:val="FootnoteReference"/>
          <w:bCs/>
          <w:szCs w:val="22"/>
        </w:rPr>
        <w:footnoteReference w:id="30"/>
      </w:r>
    </w:p>
    <w:p w:rsidR="00B2254A" w:rsidRPr="00B2254A" w:rsidP="007812DD" w14:paraId="406BE03A" w14:textId="3DB653B1">
      <w:pPr>
        <w:spacing w:after="120"/>
        <w:ind w:firstLine="720"/>
      </w:pPr>
      <w:r>
        <w:t xml:space="preserve">In response to questions from Commission staff, counsel </w:t>
      </w:r>
      <w:r w:rsidR="00CB113B">
        <w:t xml:space="preserve">for CM Tech </w:t>
      </w:r>
      <w:r>
        <w:t>explain</w:t>
      </w:r>
      <w:r w:rsidR="00C03D5D">
        <w:t>ed</w:t>
      </w:r>
      <w:r>
        <w:t xml:space="preserve"> that post-transaction “the outside plant and central office plant and equipment serving each study area will remain </w:t>
      </w:r>
      <w:r>
        <w:t>physically distinct and directly assignable to its respective study area.”</w:t>
      </w:r>
      <w:r>
        <w:rPr>
          <w:rStyle w:val="FootnoteReference"/>
        </w:rPr>
        <w:footnoteReference w:id="31"/>
      </w:r>
      <w:r>
        <w:t xml:space="preserve">  </w:t>
      </w:r>
      <w:r>
        <w:rPr>
          <w:bCs/>
          <w:szCs w:val="22"/>
        </w:rPr>
        <w:t>As support,</w:t>
      </w:r>
      <w:r w:rsidRPr="00760357">
        <w:rPr>
          <w:bCs/>
          <w:szCs w:val="22"/>
        </w:rPr>
        <w:t xml:space="preserve"> </w:t>
      </w:r>
      <w:r w:rsidR="00BA1497">
        <w:rPr>
          <w:bCs/>
          <w:szCs w:val="22"/>
        </w:rPr>
        <w:t>CM Tech</w:t>
      </w:r>
      <w:r w:rsidRPr="00760357">
        <w:rPr>
          <w:bCs/>
          <w:szCs w:val="22"/>
        </w:rPr>
        <w:t xml:space="preserve"> </w:t>
      </w:r>
      <w:r>
        <w:rPr>
          <w:bCs/>
          <w:szCs w:val="22"/>
        </w:rPr>
        <w:t>committed to allocate common costs between</w:t>
      </w:r>
      <w:r w:rsidRPr="00780475">
        <w:rPr>
          <w:bCs/>
          <w:szCs w:val="22"/>
        </w:rPr>
        <w:t xml:space="preserve"> study areas</w:t>
      </w:r>
      <w:r>
        <w:rPr>
          <w:bCs/>
          <w:szCs w:val="22"/>
        </w:rPr>
        <w:t xml:space="preserve"> “</w:t>
      </w:r>
      <w:r w:rsidRPr="00780475">
        <w:rPr>
          <w:bCs/>
          <w:szCs w:val="22"/>
        </w:rPr>
        <w:t>in accordance with the Commission</w:t>
      </w:r>
      <w:r>
        <w:rPr>
          <w:bCs/>
          <w:szCs w:val="22"/>
        </w:rPr>
        <w:t>’</w:t>
      </w:r>
      <w:r w:rsidRPr="00780475">
        <w:rPr>
          <w:bCs/>
          <w:szCs w:val="22"/>
        </w:rPr>
        <w:t>s cost-allocation and separations rules, with no cross-subsidization</w:t>
      </w:r>
      <w:r>
        <w:rPr>
          <w:bCs/>
          <w:szCs w:val="22"/>
        </w:rPr>
        <w:t xml:space="preserve"> </w:t>
      </w:r>
      <w:r w:rsidRPr="00780475">
        <w:rPr>
          <w:bCs/>
          <w:szCs w:val="22"/>
        </w:rPr>
        <w:t>or arbitrage between the study areas.</w:t>
      </w:r>
      <w:r w:rsidRPr="00760357">
        <w:rPr>
          <w:bCs/>
          <w:szCs w:val="22"/>
        </w:rPr>
        <w:t>”</w:t>
      </w:r>
      <w:r>
        <w:rPr>
          <w:rStyle w:val="FootnoteReference"/>
          <w:bCs/>
          <w:szCs w:val="22"/>
        </w:rPr>
        <w:footnoteReference w:id="32"/>
      </w:r>
      <w:r w:rsidRPr="00760357">
        <w:rPr>
          <w:bCs/>
          <w:szCs w:val="22"/>
        </w:rPr>
        <w:t xml:space="preserve"> </w:t>
      </w:r>
      <w:r>
        <w:rPr>
          <w:bCs/>
          <w:szCs w:val="22"/>
        </w:rPr>
        <w:t xml:space="preserve"> Most compelling, </w:t>
      </w:r>
      <w:r w:rsidR="00BA1497">
        <w:t>CM Tech</w:t>
      </w:r>
      <w:r>
        <w:t xml:space="preserve"> “intends, following consummation, to convert Van Buren’s BDS to incentive regulation so that both study areas are subject to a single cost-recovery methodology.”</w:t>
      </w:r>
      <w:r>
        <w:rPr>
          <w:rStyle w:val="FootnoteReference"/>
        </w:rPr>
        <w:footnoteReference w:id="33"/>
      </w:r>
      <w:r>
        <w:t xml:space="preserve">  This commitment to convert Van Buren to BDS incentive regulation would remove all BDS cost-shifting concerns because costs would no longer be used to calculate BDS rates.  Based on </w:t>
      </w:r>
      <w:r w:rsidR="00BA1497">
        <w:t>CM Tech</w:t>
      </w:r>
      <w:r>
        <w:t>’ assurance that it will not engage in improper BDS cost-shifting and its intent for Van Buren to convert to BDS incentive regulation, we are persuaded that the proposed transaction is unlikely to result in inflated cost-based tariffed BDS rates and thus, any potential harm to the public interest is negligible.</w:t>
      </w:r>
    </w:p>
    <w:p w:rsidR="00C44104" w:rsidRPr="00C44104" w:rsidP="007812DD" w14:paraId="439B7030" w14:textId="183CCA9E">
      <w:pPr>
        <w:autoSpaceDE w:val="0"/>
        <w:autoSpaceDN w:val="0"/>
        <w:adjustRightInd w:val="0"/>
        <w:spacing w:after="120"/>
        <w:rPr>
          <w:b/>
          <w:bCs/>
          <w:u w:val="single"/>
        </w:rPr>
      </w:pPr>
      <w:r w:rsidRPr="00255DCA">
        <w:rPr>
          <w:b/>
          <w:bCs/>
          <w:u w:val="single"/>
        </w:rPr>
        <w:t>Grant of Application</w:t>
      </w:r>
    </w:p>
    <w:p w:rsidR="00360F2B" w:rsidRPr="00360F2B" w:rsidP="007812DD" w14:paraId="1E018C25" w14:textId="01BED927">
      <w:pPr>
        <w:widowControl/>
        <w:autoSpaceDE w:val="0"/>
        <w:autoSpaceDN w:val="0"/>
        <w:adjustRightInd w:val="0"/>
        <w:spacing w:after="120"/>
        <w:ind w:firstLine="720"/>
      </w:pPr>
      <w:r w:rsidRPr="00360F2B">
        <w:t>We find that grant of the Application will serve the public interest, convenience, and necessity.</w:t>
      </w:r>
      <w:bookmarkStart w:id="5" w:name="_Hlk216377346"/>
      <w:r w:rsidRPr="00360F2B">
        <w:t xml:space="preserve"> </w:t>
      </w:r>
      <w:bookmarkEnd w:id="5"/>
      <w:r w:rsidRPr="00360F2B">
        <w:t>Therefore, pursuant to section 214 of the Act, 47 U.S.C. § 214, and sections 0.91, 0.291, and 63.04 of the Commission’s rules, 47 CFR §§ 0.91, 0.291, and 63.04, the Bureau hereby grants the Application discussed in this Public Notice.</w:t>
      </w:r>
      <w:r>
        <w:rPr>
          <w:vertAlign w:val="superscript"/>
        </w:rPr>
        <w:footnoteReference w:id="34"/>
      </w:r>
      <w:r w:rsidRPr="00360F2B">
        <w:t xml:space="preserve"> </w:t>
      </w:r>
    </w:p>
    <w:p w:rsidR="00360F2B" w:rsidP="00C44104" w14:paraId="6798D012" w14:textId="30DE1FAB">
      <w:pPr>
        <w:widowControl/>
        <w:autoSpaceDE w:val="0"/>
        <w:autoSpaceDN w:val="0"/>
        <w:adjustRightInd w:val="0"/>
        <w:spacing w:after="120"/>
        <w:ind w:firstLine="720"/>
      </w:pPr>
      <w:r w:rsidRPr="00360F2B">
        <w:t>Pursuant to section 1.103 of the Commission’s rules, 47 CFR § 1.103, the grant is effective upon release of this Public Notice.  Petitions for reconsideration under section 1.106 or application for review under section 1.115 of the Commission's rules, 47 CFR §§ 1.106, 1.115, may be filed within 30 days of the date of this Public Notice.</w:t>
      </w:r>
    </w:p>
    <w:bookmarkEnd w:id="4"/>
    <w:p w:rsidR="00EE40CC" w:rsidRPr="0053376D" w:rsidP="1ED64194" w14:paraId="53B432B6" w14:textId="7430D2DA">
      <w:pPr>
        <w:widowControl/>
        <w:spacing w:after="120" w:line="259" w:lineRule="auto"/>
        <w:ind w:firstLine="720"/>
      </w:pPr>
      <w:r>
        <w:t>For further information, please contact</w:t>
      </w:r>
      <w:r w:rsidR="1A29EC98">
        <w:t xml:space="preserve"> </w:t>
      </w:r>
      <w:r w:rsidR="46EA64B2">
        <w:t>Gregory Kwan</w:t>
      </w:r>
      <w:r>
        <w:t xml:space="preserve">, Competition Policy Division, Wireline Competition Bureau, at </w:t>
      </w:r>
      <w:r>
        <w:fldChar w:fldCharType="begin"/>
      </w:r>
      <w:r w:rsidRPr="1ED64194" w:rsidR="46EA64B2">
        <w:rPr>
          <w:rStyle w:val="Hyperlink"/>
        </w:rPr>
        <w:instrText xml:space="preserve"> HYPERLINK "mailto:gregory.kwan@fcc.gov"  \h </w:instrText>
      </w:r>
      <w:r>
        <w:fldChar w:fldCharType="separate"/>
      </w:r>
      <w:r w:rsidRPr="1ED64194" w:rsidR="46EA64B2">
        <w:rPr>
          <w:rStyle w:val="Hyperlink"/>
        </w:rPr>
        <w:t>gregory.kwan@fcc.gov</w:t>
      </w:r>
      <w:r>
        <w:fldChar w:fldCharType="end"/>
      </w:r>
      <w:r w:rsidR="09BEFD6A">
        <w:t xml:space="preserve">; Audra Hale-Maddox, Telecommunications Access Policy Division, Wireline Competition Bureau, at </w:t>
      </w:r>
      <w:r>
        <w:fldChar w:fldCharType="begin"/>
      </w:r>
      <w:r w:rsidRPr="1ED64194" w:rsidR="09BEFD6A">
        <w:rPr>
          <w:rStyle w:val="Hyperlink"/>
        </w:rPr>
        <w:instrText xml:space="preserve"> HYPERLINK "mailto:audra.hale-maddox@fcc.gov"  \h </w:instrText>
      </w:r>
      <w:r>
        <w:fldChar w:fldCharType="separate"/>
      </w:r>
      <w:r w:rsidRPr="1ED64194" w:rsidR="09BEFD6A">
        <w:rPr>
          <w:rStyle w:val="Hyperlink"/>
        </w:rPr>
        <w:t>audra.hale-maddox@fcc.gov</w:t>
      </w:r>
      <w:r>
        <w:fldChar w:fldCharType="end"/>
      </w:r>
      <w:r w:rsidR="007822DD">
        <w:t>; Christopher Koves, Pricing and Policy Division, Wireline Competition Bureau</w:t>
      </w:r>
      <w:r w:rsidR="00037D93">
        <w:t xml:space="preserve">, at </w:t>
      </w:r>
      <w:r>
        <w:fldChar w:fldCharType="begin"/>
      </w:r>
      <w:r w:rsidRPr="0035130A" w:rsidR="00037D93">
        <w:rPr>
          <w:rStyle w:val="Hyperlink"/>
        </w:rPr>
        <w:instrText xml:space="preserve"> HYPERLINK "mailto:christopher.koves@fcc.gov" </w:instrText>
      </w:r>
      <w:r>
        <w:fldChar w:fldCharType="separate"/>
      </w:r>
      <w:r w:rsidRPr="0035130A" w:rsidR="00037D93">
        <w:rPr>
          <w:rStyle w:val="Hyperlink"/>
        </w:rPr>
        <w:t>christopher.koves@fcc.gov</w:t>
      </w:r>
      <w:r>
        <w:fldChar w:fldCharType="end"/>
      </w:r>
      <w:r w:rsidR="00037D93">
        <w:t>.</w:t>
      </w:r>
    </w:p>
    <w:p w:rsidR="1ED64194" w:rsidP="1ED64194" w14:paraId="1A54A33A" w14:textId="7CA26327">
      <w:pPr>
        <w:widowControl/>
        <w:spacing w:after="120" w:line="259" w:lineRule="auto"/>
        <w:ind w:firstLine="720"/>
      </w:pPr>
    </w:p>
    <w:p w:rsidR="00BA3BA8" w:rsidRPr="00DF0BCD" w:rsidP="00DF0BCD" w14:paraId="2771DCF1" w14:textId="77777777">
      <w:pPr>
        <w:autoSpaceDE w:val="0"/>
        <w:autoSpaceDN w:val="0"/>
        <w:adjustRightInd w:val="0"/>
        <w:jc w:val="center"/>
        <w:rPr>
          <w:color w:val="000000"/>
          <w:szCs w:val="22"/>
        </w:rPr>
      </w:pPr>
      <w:r w:rsidRPr="007D6E06">
        <w:rPr>
          <w:b/>
          <w:szCs w:val="22"/>
        </w:rPr>
        <w:t>-FCC-</w:t>
      </w:r>
      <w:bookmarkEnd w:id="1"/>
    </w:p>
    <w:sectPr>
      <w:headerReference w:type="default" r:id="rId6"/>
      <w:footerReference w:type="even" r:id="rId7"/>
      <w:footerReference w:type="default" r:id="rId8"/>
      <w:headerReference w:type="first" r:id="rId9"/>
      <w:footerReference w:type="first" r:id="rId10"/>
      <w:endnotePr>
        <w:numFmt w:val="decimal"/>
      </w:endnotePr>
      <w:pgSz w:w="12240" w:h="15840"/>
      <w:pgMar w:top="1440" w:right="1440" w:bottom="720" w:left="1440" w:header="63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55C2F" w14:paraId="6037ED72" w14:textId="77777777">
      <w:pPr>
        <w:spacing w:line="20" w:lineRule="exact"/>
      </w:pPr>
    </w:p>
  </w:endnote>
  <w:endnote w:type="continuationSeparator" w:id="1">
    <w:p w:rsidR="00D55C2F" w14:paraId="0F4CB78C" w14:textId="77777777">
      <w:r>
        <w:t xml:space="preserve"> </w:t>
      </w:r>
    </w:p>
  </w:endnote>
  <w:endnote w:type="continuationNotice" w:id="2">
    <w:p w:rsidR="00D55C2F" w14:paraId="26AB8C7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639C2B22" w14:textId="77777777">
    <w:pPr>
      <w:pStyle w:val="Footer"/>
      <w:framePr w:wrap="around" w:vAnchor="text" w:hAnchor="margin" w:xAlign="center" w:y="1"/>
    </w:pPr>
    <w:r>
      <w:fldChar w:fldCharType="begin"/>
    </w:r>
    <w:r>
      <w:instrText xml:space="preserve">PAGE  </w:instrText>
    </w:r>
    <w:r>
      <w:fldChar w:fldCharType="separate"/>
    </w:r>
    <w:r>
      <w:fldChar w:fldCharType="end"/>
    </w:r>
  </w:p>
  <w:p w:rsidR="00BA3BA8" w14:paraId="792FA83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15EB5D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42684CF8" w14:textId="77777777">
    <w:pPr>
      <w:pStyle w:val="Footer"/>
      <w:tabs>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5C2F" w14:paraId="4A17F3C8" w14:textId="77777777">
      <w:r>
        <w:separator/>
      </w:r>
    </w:p>
  </w:footnote>
  <w:footnote w:type="continuationSeparator" w:id="1">
    <w:p w:rsidR="00D55C2F" w14:paraId="7E64FF6A" w14:textId="77777777">
      <w:pPr>
        <w:rPr>
          <w:sz w:val="20"/>
        </w:rPr>
      </w:pPr>
      <w:r>
        <w:rPr>
          <w:sz w:val="20"/>
        </w:rPr>
        <w:t xml:space="preserve">(Continued from previous page)  </w:t>
      </w:r>
      <w:r>
        <w:rPr>
          <w:sz w:val="20"/>
        </w:rPr>
        <w:separator/>
      </w:r>
    </w:p>
  </w:footnote>
  <w:footnote w:type="continuationNotice" w:id="2">
    <w:p w:rsidR="00D55C2F" w14:paraId="4DEF3B36" w14:textId="77777777">
      <w:pPr>
        <w:jc w:val="right"/>
        <w:rPr>
          <w:sz w:val="20"/>
        </w:rPr>
      </w:pPr>
      <w:r>
        <w:rPr>
          <w:sz w:val="20"/>
        </w:rPr>
        <w:t>(</w:t>
      </w:r>
      <w:r>
        <w:rPr>
          <w:sz w:val="20"/>
        </w:rPr>
        <w:t>continued</w:t>
      </w:r>
      <w:r>
        <w:rPr>
          <w:sz w:val="20"/>
        </w:rPr>
        <w:t>….)</w:t>
      </w:r>
    </w:p>
  </w:footnote>
  <w:footnote w:id="3">
    <w:p w:rsidR="006F2CCB" w:rsidRPr="009225EA" w:rsidP="006F2CCB" w14:paraId="76A5F2D3" w14:textId="77777777">
      <w:pPr>
        <w:pStyle w:val="FootnoteText"/>
      </w:pPr>
      <w:r w:rsidRPr="009225EA">
        <w:rPr>
          <w:rStyle w:val="FootnoteReference"/>
          <w:sz w:val="20"/>
        </w:rPr>
        <w:footnoteRef/>
      </w:r>
      <w:r w:rsidRPr="009225EA">
        <w:t xml:space="preserve"> </w:t>
      </w:r>
      <w:r w:rsidRPr="009225EA">
        <w:rPr>
          <w:i/>
        </w:rPr>
        <w:t>See</w:t>
      </w:r>
      <w:r w:rsidRPr="009225EA">
        <w:t xml:space="preserve"> 47 U.S.C. § 214(a); 47 CFR § 63.04.</w:t>
      </w:r>
    </w:p>
  </w:footnote>
  <w:footnote w:id="4">
    <w:p w:rsidR="006F2CCB" w:rsidRPr="009225EA" w:rsidP="006F2CCB" w14:paraId="5761839C" w14:textId="4AB8B370">
      <w:pPr>
        <w:pStyle w:val="FootnoteText"/>
      </w:pPr>
      <w:r w:rsidRPr="009225EA">
        <w:rPr>
          <w:rStyle w:val="FootnoteReference"/>
          <w:sz w:val="20"/>
        </w:rPr>
        <w:footnoteRef/>
      </w:r>
      <w:r w:rsidRPr="009225EA">
        <w:t xml:space="preserve"> Domestic Section 214 Application for the </w:t>
      </w:r>
      <w:bookmarkStart w:id="2" w:name="_Hlk193461235"/>
      <w:r w:rsidRPr="009225EA">
        <w:t xml:space="preserve">Transfer of Control of Van Buren Telephone Company, Inc. to Citizens Mutual Telephone Cooperative, </w:t>
      </w:r>
      <w:bookmarkEnd w:id="2"/>
      <w:r w:rsidRPr="009225EA">
        <w:t xml:space="preserve">WC Docket No. 26-108 (filed May 6, 2026) (Application).  On June 12, </w:t>
      </w:r>
      <w:r w:rsidRPr="009225EA">
        <w:t>2026</w:t>
      </w:r>
      <w:r w:rsidRPr="009225EA" w:rsidR="00C83230">
        <w:t xml:space="preserve"> and July 6, 2026, </w:t>
      </w:r>
      <w:r w:rsidRPr="009225EA">
        <w:t>Applicants filed</w:t>
      </w:r>
      <w:r w:rsidRPr="009225EA" w:rsidR="00213AEB">
        <w:t xml:space="preserve"> </w:t>
      </w:r>
      <w:r w:rsidRPr="009225EA">
        <w:t>supplement</w:t>
      </w:r>
      <w:r w:rsidRPr="009225EA" w:rsidR="00AA7F02">
        <w:t>s</w:t>
      </w:r>
      <w:r w:rsidRPr="009225EA">
        <w:t xml:space="preserve"> to their domestic section 214 application.  Letter from Salvatore Taillefer, Counsel to Applicants, to Marlene H. Dortch, Secretary, FCC, WC Docket No. 26-108 (filed Jun</w:t>
      </w:r>
      <w:r w:rsidR="0024311C">
        <w:t>e</w:t>
      </w:r>
      <w:r w:rsidRPr="009225EA">
        <w:t xml:space="preserve"> 12, 2026) (</w:t>
      </w:r>
      <w:r w:rsidRPr="009225EA" w:rsidR="00AA7F02">
        <w:t xml:space="preserve">First </w:t>
      </w:r>
      <w:r w:rsidRPr="009225EA">
        <w:t>Supplement)</w:t>
      </w:r>
      <w:r w:rsidRPr="009225EA" w:rsidR="00AC7C65">
        <w:t>; Letter from Salvatore Taillefer, Counsel to Applicants, to Marlene H. Dortch, Secretary, FCC, WC Docket No. 26-108 (filed Jul</w:t>
      </w:r>
      <w:r w:rsidR="0024311C">
        <w:t>y</w:t>
      </w:r>
      <w:r w:rsidRPr="009225EA" w:rsidR="00AC7C65">
        <w:t xml:space="preserve"> 6, 2026) (</w:t>
      </w:r>
      <w:r w:rsidRPr="009225EA" w:rsidR="009A6D0A">
        <w:t xml:space="preserve">Ex </w:t>
      </w:r>
      <w:r w:rsidRPr="009225EA" w:rsidR="00F82EB5">
        <w:t>Parte</w:t>
      </w:r>
      <w:r w:rsidRPr="009225EA" w:rsidR="00F82EB5">
        <w:t xml:space="preserve"> Letter and Attestation</w:t>
      </w:r>
      <w:r w:rsidRPr="009225EA" w:rsidR="00AC7C65">
        <w:t>)</w:t>
      </w:r>
      <w:r w:rsidRPr="009225EA">
        <w:t>.  Applicants also filed an application for the transfer of authorizations associated with international services.  Any action on the Application is without prejudice to Commission action on other related, pending applications.</w:t>
      </w:r>
    </w:p>
  </w:footnote>
  <w:footnote w:id="5">
    <w:p w:rsidR="007037F7" w:rsidRPr="009225EA" w:rsidP="007037F7" w14:paraId="16EE1743" w14:textId="73965E87">
      <w:pPr>
        <w:pStyle w:val="FootnoteText"/>
      </w:pPr>
      <w:r w:rsidRPr="009225EA">
        <w:rPr>
          <w:rStyle w:val="FootnoteReference"/>
          <w:sz w:val="20"/>
        </w:rPr>
        <w:footnoteRef/>
      </w:r>
      <w:r w:rsidRPr="009225EA" w:rsidR="1ED64194">
        <w:t xml:space="preserve"> </w:t>
      </w:r>
      <w:r w:rsidRPr="009225EA" w:rsidR="1ED64194">
        <w:rPr>
          <w:i/>
          <w:iCs/>
        </w:rPr>
        <w:t>See Domestic Section 214 Application Filed for the Transfer of Control of</w:t>
      </w:r>
      <w:r w:rsidRPr="009225EA" w:rsidR="00033274">
        <w:rPr>
          <w:i/>
          <w:iCs/>
        </w:rPr>
        <w:t xml:space="preserve"> Van Buren Telephone Company, Inc. to Citizens Mutual Telephone Cooperative</w:t>
      </w:r>
      <w:r w:rsidRPr="009225EA" w:rsidR="00033274">
        <w:t>, Public Notice, WC Docket No. 26-108, DA 26-619 (WCB 2026).</w:t>
      </w:r>
    </w:p>
  </w:footnote>
  <w:footnote w:id="6">
    <w:p w:rsidR="008D7746" w:rsidRPr="009225EA" w:rsidP="008D7746" w14:paraId="1377AC4D" w14:textId="77777777">
      <w:pPr>
        <w:pStyle w:val="FootnoteText"/>
      </w:pPr>
      <w:r w:rsidRPr="009225EA">
        <w:rPr>
          <w:rStyle w:val="FootnoteReference"/>
          <w:sz w:val="20"/>
        </w:rPr>
        <w:footnoteRef/>
      </w:r>
      <w:r w:rsidRPr="009225EA">
        <w:t xml:space="preserve"> Application at 4.  Applicants state that VBT delivers 100% fiber-to-the-premises service throughout its approximately 340 square-mile service area.  </w:t>
      </w:r>
      <w:r w:rsidRPr="009225EA">
        <w:rPr>
          <w:i/>
          <w:iCs/>
        </w:rPr>
        <w:t xml:space="preserve">Id.  </w:t>
      </w:r>
      <w:r w:rsidRPr="009225EA">
        <w:t xml:space="preserve">Applicants further state that VBT has been designated as an Eligible Telecommunications Carrier (ETC) in Iowa and receives Enhanced A-CAM, CAF ICC, and Lifeline support.  </w:t>
      </w:r>
      <w:r w:rsidRPr="009225EA">
        <w:rPr>
          <w:i/>
          <w:iCs/>
        </w:rPr>
        <w:t>Id.</w:t>
      </w:r>
      <w:r w:rsidRPr="009225EA">
        <w:t xml:space="preserve"> at 8-9.</w:t>
      </w:r>
    </w:p>
  </w:footnote>
  <w:footnote w:id="7">
    <w:p w:rsidR="008D7746" w:rsidRPr="009225EA" w:rsidP="008D7746" w14:paraId="7119CCDA" w14:textId="72070CED">
      <w:pPr>
        <w:pStyle w:val="FootnoteText"/>
      </w:pPr>
      <w:r w:rsidRPr="009225EA">
        <w:rPr>
          <w:rStyle w:val="FootnoteReference"/>
          <w:sz w:val="20"/>
        </w:rPr>
        <w:footnoteRef/>
      </w:r>
      <w:r w:rsidRPr="009225EA">
        <w:t xml:space="preserve"> </w:t>
      </w:r>
      <w:r w:rsidRPr="009225EA" w:rsidR="006A2938">
        <w:t xml:space="preserve">First </w:t>
      </w:r>
      <w:r w:rsidRPr="009225EA">
        <w:t xml:space="preserve">Supplement at 2.  Applicants identify the officers and directors of CM Tech, all of whom are U.S. citizens.  </w:t>
      </w:r>
      <w:r w:rsidRPr="009225EA">
        <w:rPr>
          <w:i/>
          <w:iCs/>
        </w:rPr>
        <w:t xml:space="preserve">Id. </w:t>
      </w:r>
      <w:r w:rsidRPr="009225EA">
        <w:t xml:space="preserve">at 1.  Applicants state that CM Tech has been designated as an ETC in Iowa and currently receives Enhanced A-CAM, CAF ICC, and Lifeline support.  Application </w:t>
      </w:r>
      <w:r w:rsidRPr="009225EA">
        <w:t>at</w:t>
      </w:r>
      <w:r w:rsidRPr="009225EA">
        <w:t xml:space="preserve"> 8-9.  Applicants note that CM Tech’s </w:t>
      </w:r>
      <w:r w:rsidRPr="009225EA">
        <w:t>wholly-owned</w:t>
      </w:r>
      <w:r w:rsidRPr="009225EA">
        <w:t xml:space="preserve"> subsidiary, Citizens Communications Company, an Iowa company, is currently inactive and does not offer any domestic telecommunications services.  </w:t>
      </w:r>
      <w:r w:rsidRPr="009225EA" w:rsidR="006A2938">
        <w:t xml:space="preserve">First </w:t>
      </w:r>
      <w:r w:rsidRPr="009225EA">
        <w:t xml:space="preserve">Supplement at 2; Application, </w:t>
      </w:r>
      <w:r w:rsidRPr="009225EA">
        <w:t>Exh</w:t>
      </w:r>
      <w:r w:rsidRPr="009225EA">
        <w:t>. A at 1.</w:t>
      </w:r>
    </w:p>
  </w:footnote>
  <w:footnote w:id="8">
    <w:p w:rsidR="008D7746" w:rsidRPr="009225EA" w:rsidP="008D7746" w14:paraId="05D4C0F5" w14:textId="69AEE140">
      <w:pPr>
        <w:pStyle w:val="FootnoteText"/>
      </w:pPr>
      <w:r w:rsidRPr="009225EA">
        <w:rPr>
          <w:rStyle w:val="FootnoteReference"/>
          <w:sz w:val="20"/>
        </w:rPr>
        <w:footnoteRef/>
      </w:r>
      <w:r w:rsidRPr="009225EA">
        <w:t xml:space="preserve"> </w:t>
      </w:r>
      <w:r w:rsidRPr="009225EA" w:rsidR="006A2938">
        <w:t xml:space="preserve">First </w:t>
      </w:r>
      <w:r w:rsidRPr="009225EA">
        <w:t>Supplement at 2-3.</w:t>
      </w:r>
      <w:r w:rsidRPr="009225EA">
        <w:rPr>
          <w:i/>
          <w:iCs/>
        </w:rPr>
        <w:t xml:space="preserve">  </w:t>
      </w:r>
      <w:r w:rsidRPr="009225EA">
        <w:t xml:space="preserve">Applicants provide a map depicting CM Tech’s incumbent LEC and competitive LEC service areas.  </w:t>
      </w:r>
      <w:r w:rsidRPr="009225EA">
        <w:rPr>
          <w:i/>
          <w:iCs/>
        </w:rPr>
        <w:t>Id.</w:t>
      </w:r>
      <w:r w:rsidRPr="009225EA">
        <w:t xml:space="preserve"> at Attachment A.  Applicants also provide a map of the respective service areas of VBT and CM Tech.  </w:t>
      </w:r>
      <w:r w:rsidRPr="009225EA">
        <w:rPr>
          <w:i/>
          <w:iCs/>
        </w:rPr>
        <w:t xml:space="preserve">See </w:t>
      </w:r>
      <w:r w:rsidRPr="009225EA">
        <w:t xml:space="preserve">Application, </w:t>
      </w:r>
      <w:r w:rsidRPr="009225EA">
        <w:t>Exh</w:t>
      </w:r>
      <w:r w:rsidRPr="009225EA">
        <w:t xml:space="preserve">. B at 1.  Applicants note that CM Tech also manages, pursuant to a management services agreement, the operations of Farmers Telephone Company, an unaffiliated incumbent LEC located in Batavia, Iowa.  </w:t>
      </w:r>
      <w:r w:rsidRPr="009225EA">
        <w:rPr>
          <w:i/>
          <w:iCs/>
        </w:rPr>
        <w:t>Id</w:t>
      </w:r>
      <w:r w:rsidRPr="009225EA">
        <w:t>.</w:t>
      </w:r>
    </w:p>
  </w:footnote>
  <w:footnote w:id="9">
    <w:p w:rsidR="008D7746" w:rsidRPr="009225EA" w:rsidP="008D7746" w14:paraId="4DFB30EC" w14:textId="1C78A5D4">
      <w:pPr>
        <w:pStyle w:val="FootnoteText"/>
      </w:pPr>
      <w:r w:rsidRPr="009225EA">
        <w:rPr>
          <w:rStyle w:val="FootnoteReference"/>
          <w:sz w:val="20"/>
        </w:rPr>
        <w:footnoteRef/>
      </w:r>
      <w:r w:rsidRPr="009225EA">
        <w:t xml:space="preserve"> </w:t>
      </w:r>
      <w:r w:rsidRPr="009225EA">
        <w:rPr>
          <w:i/>
          <w:iCs/>
        </w:rPr>
        <w:t>Id.</w:t>
      </w:r>
      <w:r w:rsidRPr="009225EA">
        <w:t xml:space="preserve"> at 4.</w:t>
      </w:r>
    </w:p>
  </w:footnote>
  <w:footnote w:id="10">
    <w:p w:rsidR="008D7746" w:rsidRPr="009225EA" w:rsidP="008D7746" w14:paraId="3890B73C" w14:textId="77777777">
      <w:pPr>
        <w:pStyle w:val="FootnoteText"/>
        <w:rPr>
          <w:i/>
          <w:iCs/>
        </w:rPr>
      </w:pPr>
      <w:r w:rsidRPr="009225EA">
        <w:rPr>
          <w:rStyle w:val="FootnoteReference"/>
          <w:sz w:val="20"/>
        </w:rPr>
        <w:footnoteRef/>
      </w:r>
      <w:r w:rsidRPr="009225EA">
        <w:t xml:space="preserve"> </w:t>
      </w:r>
      <w:r w:rsidRPr="009225EA">
        <w:rPr>
          <w:i/>
          <w:iCs/>
        </w:rPr>
        <w:t>Id.</w:t>
      </w:r>
    </w:p>
  </w:footnote>
  <w:footnote w:id="11">
    <w:p w:rsidR="00915B5D" w:rsidRPr="009225EA" w:rsidP="00915B5D" w14:paraId="233ADD27" w14:textId="3CBDA13F">
      <w:pPr>
        <w:pStyle w:val="FootnoteText"/>
      </w:pPr>
      <w:r w:rsidRPr="009225EA">
        <w:rPr>
          <w:rStyle w:val="FootnoteReference"/>
          <w:sz w:val="20"/>
        </w:rPr>
        <w:footnoteRef/>
      </w:r>
      <w:r w:rsidRPr="009225EA">
        <w:t xml:space="preserve"> </w:t>
      </w:r>
      <w:r w:rsidRPr="009225EA">
        <w:rPr>
          <w:i/>
          <w:iCs/>
        </w:rPr>
        <w:t>Id.</w:t>
      </w:r>
      <w:r w:rsidRPr="009225EA" w:rsidR="000638EB">
        <w:t xml:space="preserve"> at </w:t>
      </w:r>
      <w:r w:rsidRPr="009225EA" w:rsidR="00030AF6">
        <w:t>6-8</w:t>
      </w:r>
      <w:r w:rsidRPr="009225EA" w:rsidR="00A74A0A">
        <w:t>.</w:t>
      </w:r>
    </w:p>
  </w:footnote>
  <w:footnote w:id="12">
    <w:p w:rsidR="00F01413" w:rsidRPr="009225EA" w14:paraId="167DBFDD" w14:textId="58D98296">
      <w:pPr>
        <w:pStyle w:val="FootnoteText"/>
      </w:pPr>
      <w:r w:rsidRPr="009225EA">
        <w:rPr>
          <w:rStyle w:val="FootnoteReference"/>
          <w:sz w:val="20"/>
        </w:rPr>
        <w:footnoteRef/>
      </w:r>
      <w:r w:rsidRPr="009225EA">
        <w:t xml:space="preserve"> </w:t>
      </w:r>
      <w:r w:rsidRPr="009225EA">
        <w:rPr>
          <w:i/>
          <w:iCs/>
        </w:rPr>
        <w:t xml:space="preserve">Id. </w:t>
      </w:r>
      <w:r w:rsidRPr="009225EA">
        <w:t>at 7.</w:t>
      </w:r>
    </w:p>
  </w:footnote>
  <w:footnote w:id="13">
    <w:p w:rsidR="00BF17F0" w:rsidRPr="009225EA" w14:paraId="0A92E873" w14:textId="0F8207B7">
      <w:pPr>
        <w:pStyle w:val="FootnoteText"/>
      </w:pPr>
      <w:r w:rsidRPr="009225EA">
        <w:rPr>
          <w:rStyle w:val="FootnoteReference"/>
          <w:sz w:val="20"/>
        </w:rPr>
        <w:footnoteRef/>
      </w:r>
      <w:r w:rsidRPr="009225EA">
        <w:t xml:space="preserve"> </w:t>
      </w:r>
      <w:r w:rsidRPr="009225EA">
        <w:rPr>
          <w:i/>
          <w:iCs/>
        </w:rPr>
        <w:t>Id</w:t>
      </w:r>
      <w:r w:rsidRPr="009225EA">
        <w:t>.</w:t>
      </w:r>
      <w:r w:rsidRPr="009225EA" w:rsidR="00F11F49">
        <w:t xml:space="preserve">  Applicants </w:t>
      </w:r>
      <w:r w:rsidRPr="009225EA" w:rsidR="002F3155">
        <w:t xml:space="preserve">note that they </w:t>
      </w:r>
      <w:r w:rsidRPr="009225EA" w:rsidR="00F11F49">
        <w:t>have operated as neighboring rural communications providers for over a century without competing for one another</w:t>
      </w:r>
      <w:r w:rsidR="003F6AA4">
        <w:t>’</w:t>
      </w:r>
      <w:r w:rsidRPr="009225EA" w:rsidR="00F11F49">
        <w:t>s exchange customers, and neither party has any present intention to enter the other</w:t>
      </w:r>
      <w:r w:rsidR="003F6AA4">
        <w:t>’</w:t>
      </w:r>
      <w:r w:rsidRPr="009225EA" w:rsidR="00F11F49">
        <w:t>s ILEC service territory</w:t>
      </w:r>
      <w:r w:rsidRPr="009225EA" w:rsidR="002F3155">
        <w:t xml:space="preserve">.  </w:t>
      </w:r>
      <w:r w:rsidRPr="009225EA" w:rsidR="002F3155">
        <w:rPr>
          <w:i/>
          <w:iCs/>
        </w:rPr>
        <w:t>Id.</w:t>
      </w:r>
    </w:p>
  </w:footnote>
  <w:footnote w:id="14">
    <w:p w:rsidR="00430680" w:rsidRPr="009225EA" w14:paraId="7BF5618E" w14:textId="6DE77470">
      <w:pPr>
        <w:pStyle w:val="FootnoteText"/>
        <w:rPr>
          <w:i/>
        </w:rPr>
      </w:pPr>
      <w:r w:rsidRPr="009225EA">
        <w:rPr>
          <w:rStyle w:val="FootnoteReference"/>
          <w:sz w:val="20"/>
        </w:rPr>
        <w:footnoteRef/>
      </w:r>
      <w:r w:rsidRPr="009225EA">
        <w:t xml:space="preserve"> </w:t>
      </w:r>
      <w:r w:rsidRPr="009225EA">
        <w:rPr>
          <w:i/>
        </w:rPr>
        <w:t xml:space="preserve">Id. </w:t>
      </w:r>
    </w:p>
  </w:footnote>
  <w:footnote w:id="15">
    <w:p w:rsidR="00430680" w:rsidRPr="009225EA" w14:paraId="5FBED026" w14:textId="54D048E2">
      <w:pPr>
        <w:pStyle w:val="FootnoteText"/>
        <w:rPr>
          <w:i/>
        </w:rPr>
      </w:pPr>
      <w:r w:rsidRPr="009225EA">
        <w:rPr>
          <w:rStyle w:val="FootnoteReference"/>
          <w:sz w:val="20"/>
        </w:rPr>
        <w:footnoteRef/>
      </w:r>
      <w:r w:rsidRPr="009225EA">
        <w:t xml:space="preserve"> </w:t>
      </w:r>
      <w:r w:rsidRPr="009225EA">
        <w:rPr>
          <w:i/>
        </w:rPr>
        <w:t>Id.</w:t>
      </w:r>
    </w:p>
  </w:footnote>
  <w:footnote w:id="16">
    <w:p w:rsidR="001D726F" w:rsidRPr="009225EA" w14:paraId="59DBC51C" w14:textId="0169F3F7">
      <w:pPr>
        <w:pStyle w:val="FootnoteText"/>
        <w:rPr>
          <w:i/>
          <w:iCs/>
        </w:rPr>
      </w:pPr>
      <w:r w:rsidRPr="009225EA">
        <w:rPr>
          <w:rStyle w:val="FootnoteReference"/>
          <w:sz w:val="20"/>
        </w:rPr>
        <w:footnoteRef/>
      </w:r>
      <w:r w:rsidRPr="009225EA">
        <w:t xml:space="preserve"> </w:t>
      </w:r>
      <w:r w:rsidRPr="009225EA">
        <w:rPr>
          <w:i/>
          <w:iCs/>
        </w:rPr>
        <w:t>Id.</w:t>
      </w:r>
    </w:p>
  </w:footnote>
  <w:footnote w:id="17">
    <w:p w:rsidR="006D78C0" w:rsidRPr="009225EA" w14:paraId="1290FC49" w14:textId="13150F95">
      <w:pPr>
        <w:pStyle w:val="FootnoteText"/>
        <w:rPr>
          <w:i/>
          <w:iCs/>
        </w:rPr>
      </w:pPr>
      <w:r w:rsidRPr="009225EA">
        <w:rPr>
          <w:rStyle w:val="FootnoteReference"/>
          <w:sz w:val="20"/>
        </w:rPr>
        <w:footnoteRef/>
      </w:r>
      <w:r w:rsidRPr="009225EA">
        <w:t xml:space="preserve"> </w:t>
      </w:r>
      <w:r w:rsidRPr="009225EA">
        <w:rPr>
          <w:i/>
          <w:iCs/>
        </w:rPr>
        <w:t>Id.</w:t>
      </w:r>
      <w:r w:rsidRPr="009225EA" w:rsidR="008F4A6D">
        <w:t xml:space="preserve">  </w:t>
      </w:r>
      <w:r w:rsidRPr="009225EA" w:rsidR="008F4A6D">
        <w:rPr>
          <w:color w:val="000000" w:themeColor="text1"/>
        </w:rPr>
        <w:t>Applicants state that the combined entity will be able to consolidate executive management duties, consolidate network operations, share fiber backbone and middle-mile facilities, integrate engineering and outage response, and unify back-office systems — across the contiguous southeast Iowa footprint.</w:t>
      </w:r>
      <w:r w:rsidRPr="009225EA" w:rsidR="008F4A6D">
        <w:rPr>
          <w:i/>
          <w:color w:val="000000" w:themeColor="text1"/>
        </w:rPr>
        <w:t xml:space="preserve">  Id</w:t>
      </w:r>
      <w:r w:rsidRPr="009225EA" w:rsidR="008F4A6D">
        <w:rPr>
          <w:iCs/>
          <w:color w:val="000000" w:themeColor="text1"/>
        </w:rPr>
        <w:t>.</w:t>
      </w:r>
      <w:r w:rsidRPr="009225EA" w:rsidR="008F4A6D">
        <w:rPr>
          <w:color w:val="000000" w:themeColor="text1"/>
        </w:rPr>
        <w:t xml:space="preserve">  </w:t>
      </w:r>
      <w:r w:rsidRPr="009225EA" w:rsidR="00172605">
        <w:rPr>
          <w:color w:val="000000" w:themeColor="text1"/>
        </w:rPr>
        <w:t>Applicants assert that t</w:t>
      </w:r>
      <w:r w:rsidRPr="009225EA" w:rsidR="008F4A6D">
        <w:rPr>
          <w:color w:val="000000" w:themeColor="text1"/>
        </w:rPr>
        <w:t>hese efficiencies will support the combined entity</w:t>
      </w:r>
      <w:r w:rsidR="00776EB8">
        <w:rPr>
          <w:color w:val="000000" w:themeColor="text1"/>
        </w:rPr>
        <w:t>’</w:t>
      </w:r>
      <w:r w:rsidRPr="009225EA" w:rsidR="008F4A6D">
        <w:rPr>
          <w:color w:val="000000" w:themeColor="text1"/>
        </w:rPr>
        <w:t>s ability to maintain and improve service to customers in both legacy service areas and to continue investment in rural broadband infrastructure</w:t>
      </w:r>
      <w:r w:rsidRPr="009225EA" w:rsidR="00172605">
        <w:rPr>
          <w:color w:val="000000" w:themeColor="text1"/>
        </w:rPr>
        <w:t xml:space="preserve">.  </w:t>
      </w:r>
      <w:r w:rsidRPr="009225EA" w:rsidR="00172605">
        <w:rPr>
          <w:i/>
          <w:iCs/>
          <w:color w:val="000000" w:themeColor="text1"/>
        </w:rPr>
        <w:t>Id.</w:t>
      </w:r>
    </w:p>
  </w:footnote>
  <w:footnote w:id="18">
    <w:p w:rsidR="006E044E" w:rsidRPr="009225EA" w14:paraId="07EC14DE" w14:textId="0C065FA7">
      <w:pPr>
        <w:pStyle w:val="FootnoteText"/>
        <w:rPr>
          <w:i/>
        </w:rPr>
      </w:pPr>
      <w:r w:rsidRPr="009225EA">
        <w:rPr>
          <w:rStyle w:val="FootnoteReference"/>
          <w:sz w:val="20"/>
        </w:rPr>
        <w:footnoteRef/>
      </w:r>
      <w:r w:rsidRPr="009225EA">
        <w:t xml:space="preserve"> </w:t>
      </w:r>
      <w:r w:rsidRPr="009225EA">
        <w:rPr>
          <w:i/>
        </w:rPr>
        <w:t>Id.</w:t>
      </w:r>
    </w:p>
  </w:footnote>
  <w:footnote w:id="19">
    <w:p w:rsidR="0009632B" w:rsidRPr="009225EA" w14:paraId="7CD97EF1" w14:textId="7D2A3E06">
      <w:pPr>
        <w:pStyle w:val="FootnoteText"/>
        <w:rPr>
          <w:i/>
          <w:iCs/>
        </w:rPr>
      </w:pPr>
      <w:r w:rsidRPr="009225EA">
        <w:rPr>
          <w:rStyle w:val="FootnoteReference"/>
          <w:sz w:val="20"/>
        </w:rPr>
        <w:footnoteRef/>
      </w:r>
      <w:r w:rsidRPr="009225EA">
        <w:t xml:space="preserve"> </w:t>
      </w:r>
      <w:r w:rsidRPr="009225EA">
        <w:rPr>
          <w:i/>
          <w:iCs/>
        </w:rPr>
        <w:t>Id.</w:t>
      </w:r>
    </w:p>
  </w:footnote>
  <w:footnote w:id="20">
    <w:p w:rsidR="00EA065A" w:rsidRPr="009225EA" w14:paraId="7D243149" w14:textId="115D25C0">
      <w:pPr>
        <w:pStyle w:val="FootnoteText"/>
        <w:rPr>
          <w:i/>
          <w:iCs/>
        </w:rPr>
      </w:pPr>
      <w:r w:rsidRPr="009225EA">
        <w:rPr>
          <w:rStyle w:val="FootnoteReference"/>
          <w:sz w:val="20"/>
        </w:rPr>
        <w:footnoteRef/>
      </w:r>
      <w:r w:rsidRPr="009225EA">
        <w:t xml:space="preserve"> </w:t>
      </w:r>
      <w:r w:rsidRPr="009225EA">
        <w:rPr>
          <w:i/>
          <w:iCs/>
        </w:rPr>
        <w:t>Id.</w:t>
      </w:r>
    </w:p>
  </w:footnote>
  <w:footnote w:id="21">
    <w:p w:rsidR="0009632B" w:rsidRPr="009225EA" w14:paraId="0282EB21" w14:textId="153C38BD">
      <w:pPr>
        <w:pStyle w:val="FootnoteText"/>
      </w:pPr>
      <w:r w:rsidRPr="009225EA">
        <w:rPr>
          <w:rStyle w:val="FootnoteReference"/>
          <w:sz w:val="20"/>
        </w:rPr>
        <w:footnoteRef/>
      </w:r>
      <w:r w:rsidRPr="009225EA">
        <w:t xml:space="preserve"> </w:t>
      </w:r>
      <w:r w:rsidRPr="009225EA">
        <w:rPr>
          <w:i/>
          <w:iCs/>
        </w:rPr>
        <w:t>Id</w:t>
      </w:r>
      <w:r w:rsidRPr="009225EA" w:rsidR="005D53BF">
        <w:rPr>
          <w:i/>
          <w:iCs/>
        </w:rPr>
        <w:t xml:space="preserve"> </w:t>
      </w:r>
      <w:r w:rsidRPr="009225EA" w:rsidR="005D53BF">
        <w:t>at 8</w:t>
      </w:r>
      <w:r w:rsidRPr="009225EA">
        <w:rPr>
          <w:i/>
          <w:iCs/>
        </w:rPr>
        <w:t>.</w:t>
      </w:r>
      <w:r w:rsidRPr="009225EA" w:rsidR="00111DDB">
        <w:rPr>
          <w:i/>
          <w:iCs/>
        </w:rPr>
        <w:t xml:space="preserve">  See also id. </w:t>
      </w:r>
      <w:r w:rsidRPr="009225EA" w:rsidR="00111DDB">
        <w:t>at 9 (</w:t>
      </w:r>
      <w:r w:rsidRPr="009225EA" w:rsidR="00C670E6">
        <w:t xml:space="preserve">“The Proposed </w:t>
      </w:r>
      <w:r w:rsidRPr="009225EA" w:rsidR="00C670E6">
        <w:t>Transaction</w:t>
      </w:r>
      <w:r w:rsidRPr="009225EA" w:rsidR="00C670E6">
        <w:t xml:space="preserve"> will not result in changes to management, technology, or debt that would compromise either Applicant’s ability to meet its E-ACAM service obligations. </w:t>
      </w:r>
      <w:r w:rsidR="00021356">
        <w:t xml:space="preserve"> </w:t>
      </w:r>
      <w:r w:rsidRPr="009225EA" w:rsidR="00C670E6">
        <w:t>CM Tech is an experienced E-ACAM recipient with policies and procedures in place to comply with applicable recordkeeping and reporting requirements for high-cost universal service support.</w:t>
      </w:r>
      <w:r w:rsidRPr="009225EA" w:rsidR="007C5B5E">
        <w:t>”).</w:t>
      </w:r>
    </w:p>
  </w:footnote>
  <w:footnote w:id="22">
    <w:p w:rsidR="00B2254A" w:rsidRPr="009225EA" w:rsidP="00B2254A" w14:paraId="20117EFE" w14:textId="35DA3038">
      <w:pPr>
        <w:pStyle w:val="FootnoteText"/>
      </w:pPr>
      <w:r w:rsidRPr="009225EA">
        <w:rPr>
          <w:rStyle w:val="FootnoteReference"/>
          <w:sz w:val="20"/>
        </w:rPr>
        <w:footnoteRef/>
      </w:r>
      <w:r w:rsidRPr="009225EA">
        <w:t xml:space="preserve"> </w:t>
      </w:r>
      <w:r w:rsidRPr="009225EA" w:rsidR="00F82EB5">
        <w:rPr>
          <w:i/>
          <w:iCs/>
        </w:rPr>
        <w:t xml:space="preserve">See </w:t>
      </w:r>
      <w:r w:rsidRPr="009225EA" w:rsidR="00F82EB5">
        <w:rPr>
          <w:i/>
          <w:iCs/>
        </w:rPr>
        <w:t>generally</w:t>
      </w:r>
      <w:r w:rsidRPr="009225EA" w:rsidR="00F82EB5">
        <w:rPr>
          <w:i/>
          <w:iCs/>
        </w:rPr>
        <w:t xml:space="preserve"> </w:t>
      </w:r>
      <w:r w:rsidRPr="009225EA" w:rsidR="00F82EB5">
        <w:t>Ex Parte Letter and Attestation.</w:t>
      </w:r>
    </w:p>
  </w:footnote>
  <w:footnote w:id="23">
    <w:p w:rsidR="00B2254A" w:rsidRPr="009225EA" w:rsidP="00B2254A" w14:paraId="5A418C85" w14:textId="77777777">
      <w:pPr>
        <w:pStyle w:val="FootnoteText"/>
      </w:pPr>
      <w:r w:rsidRPr="009225EA">
        <w:rPr>
          <w:rStyle w:val="FootnoteReference"/>
          <w:sz w:val="20"/>
        </w:rPr>
        <w:footnoteRef/>
      </w:r>
      <w:r w:rsidRPr="009225EA">
        <w:t xml:space="preserve"> 47 CFR § 61.50(a); </w:t>
      </w:r>
      <w:r w:rsidRPr="009225EA">
        <w:rPr>
          <w:i/>
          <w:iCs/>
        </w:rPr>
        <w:t>see</w:t>
      </w:r>
      <w:r w:rsidRPr="009225EA">
        <w:t xml:space="preserve"> 47 CFR § 69.801(a) (defining business data services).</w:t>
      </w:r>
    </w:p>
  </w:footnote>
  <w:footnote w:id="24">
    <w:p w:rsidR="00B2254A" w:rsidRPr="009225EA" w:rsidP="00B2254A" w14:paraId="1FB8B7A4" w14:textId="1E004285">
      <w:pPr>
        <w:pStyle w:val="FootnoteText"/>
      </w:pPr>
      <w:r w:rsidRPr="009225EA">
        <w:rPr>
          <w:rStyle w:val="FootnoteReference"/>
          <w:sz w:val="20"/>
        </w:rPr>
        <w:footnoteRef/>
      </w:r>
      <w:r w:rsidRPr="009225EA">
        <w:t xml:space="preserve"> </w:t>
      </w:r>
      <w:r w:rsidRPr="009225EA">
        <w:rPr>
          <w:i/>
          <w:iCs/>
        </w:rPr>
        <w:t>See</w:t>
      </w:r>
      <w:r w:rsidRPr="009225EA">
        <w:t xml:space="preserve"> </w:t>
      </w:r>
      <w:r w:rsidRPr="009225EA">
        <w:rPr>
          <w:i/>
          <w:iCs/>
        </w:rPr>
        <w:t>Regulation of Business Data Services for Rate-of-Return Local Exchange Carriers et al</w:t>
      </w:r>
      <w:r w:rsidRPr="009225EA">
        <w:t>., WC Docket No. 17-144 et al., Report and Order, Further Notice of Proposed Rulemaking, and Second Further Notice of Proposed Rulemaking, 33 FCC Rcd 10403, 10413, para. 22 (2018) (</w:t>
      </w:r>
      <w:r w:rsidRPr="009225EA">
        <w:rPr>
          <w:i/>
          <w:iCs/>
        </w:rPr>
        <w:t>Rate-of-Return BDS Order</w:t>
      </w:r>
      <w:r w:rsidRPr="009225EA">
        <w:t>); 47 CFR § 61.50(a) (“A rate-of-return carrier may elect to offer business data services subject to incentive regulation pursuant to this section [section 61.50] only if all affiliated rate-of-return carriers meeting the requirements of</w:t>
      </w:r>
      <w:r w:rsidR="00021356">
        <w:t xml:space="preserve"> </w:t>
      </w:r>
      <w:r w:rsidRPr="009225EA">
        <w:t>… [section 61.50(b)] …</w:t>
      </w:r>
      <w:r w:rsidR="00021356">
        <w:t xml:space="preserve"> </w:t>
      </w:r>
      <w:r w:rsidRPr="009225EA">
        <w:t>make the election.”).</w:t>
      </w:r>
    </w:p>
  </w:footnote>
  <w:footnote w:id="25">
    <w:p w:rsidR="00B2254A" w:rsidRPr="009225EA" w:rsidP="00B2254A" w14:paraId="0C69C295" w14:textId="77777777">
      <w:pPr>
        <w:pStyle w:val="FootnoteText"/>
      </w:pPr>
      <w:r w:rsidRPr="009225EA">
        <w:rPr>
          <w:rStyle w:val="FootnoteReference"/>
          <w:sz w:val="20"/>
        </w:rPr>
        <w:footnoteRef/>
      </w:r>
      <w:r w:rsidRPr="009225EA">
        <w:t xml:space="preserve">  47 CFR § 61.50(d); </w:t>
      </w:r>
      <w:r w:rsidRPr="009225EA">
        <w:rPr>
          <w:i/>
          <w:iCs/>
        </w:rPr>
        <w:t>Rate-of-Return BDS Order</w:t>
      </w:r>
      <w:r w:rsidRPr="009225EA">
        <w:t>, 33 FCC Rcd 10414-15, para. 29.</w:t>
      </w:r>
    </w:p>
  </w:footnote>
  <w:footnote w:id="26">
    <w:p w:rsidR="00B2254A" w:rsidRPr="009225EA" w:rsidP="00B2254A" w14:paraId="505A83DA" w14:textId="06A97F43">
      <w:pPr>
        <w:pStyle w:val="FootnoteText"/>
      </w:pPr>
      <w:r w:rsidRPr="009225EA">
        <w:rPr>
          <w:rStyle w:val="FootnoteReference"/>
          <w:sz w:val="20"/>
        </w:rPr>
        <w:footnoteRef/>
      </w:r>
      <w:r w:rsidRPr="009225EA">
        <w:t xml:space="preserve"> </w:t>
      </w:r>
      <w:r w:rsidRPr="009225EA" w:rsidR="00911D65">
        <w:t>Ex Parte Letter at 1</w:t>
      </w:r>
      <w:r w:rsidRPr="009225EA">
        <w:t xml:space="preserve">; </w:t>
      </w:r>
      <w:r w:rsidRPr="009225EA">
        <w:rPr>
          <w:i/>
          <w:iCs/>
        </w:rPr>
        <w:t>Wireline Competition Bureau Announces Rate-of-Return Carriers Electing Incentive Regulation for Their Business Data Services</w:t>
      </w:r>
      <w:r w:rsidRPr="009225EA">
        <w:t>, WC Docket No. 17-144, Public Notice, 35 FCC Rcd 7037, 7039 (2020).</w:t>
      </w:r>
    </w:p>
  </w:footnote>
  <w:footnote w:id="27">
    <w:p w:rsidR="00B2254A" w:rsidRPr="009225EA" w:rsidP="00B2254A" w14:paraId="3B81251A" w14:textId="71047DC1">
      <w:pPr>
        <w:pStyle w:val="FootnoteText"/>
      </w:pPr>
      <w:r w:rsidRPr="009225EA">
        <w:rPr>
          <w:rStyle w:val="FootnoteReference"/>
          <w:sz w:val="20"/>
        </w:rPr>
        <w:footnoteRef/>
      </w:r>
      <w:r w:rsidRPr="009225EA">
        <w:t xml:space="preserve"> </w:t>
      </w:r>
      <w:r w:rsidRPr="009225EA" w:rsidR="00911D65">
        <w:t xml:space="preserve">Ex Parte </w:t>
      </w:r>
      <w:r w:rsidRPr="009225EA">
        <w:t xml:space="preserve">Letter </w:t>
      </w:r>
      <w:r w:rsidRPr="009225EA" w:rsidR="00911D65">
        <w:t xml:space="preserve">and Attestation </w:t>
      </w:r>
      <w:r w:rsidRPr="009225EA">
        <w:t>at 1.</w:t>
      </w:r>
    </w:p>
  </w:footnote>
  <w:footnote w:id="28">
    <w:p w:rsidR="00B2254A" w:rsidRPr="009225EA" w:rsidP="00B2254A" w14:paraId="6479274B" w14:textId="77777777">
      <w:pPr>
        <w:pStyle w:val="FootnoteText"/>
      </w:pPr>
      <w:r w:rsidRPr="009225EA">
        <w:rPr>
          <w:rStyle w:val="FootnoteReference"/>
          <w:sz w:val="20"/>
        </w:rPr>
        <w:footnoteRef/>
      </w:r>
      <w:r w:rsidRPr="009225EA">
        <w:t xml:space="preserve"> </w:t>
      </w:r>
      <w:r w:rsidRPr="009225EA">
        <w:rPr>
          <w:i/>
          <w:iCs/>
        </w:rPr>
        <w:t>See</w:t>
      </w:r>
      <w:r w:rsidRPr="009225EA">
        <w:t xml:space="preserve"> National Exchange Carrier Association, Inc. F.C.C. Tariff No. 5, § 17.5.1, pp. 17-76 (issued June 16, 2025).</w:t>
      </w:r>
    </w:p>
  </w:footnote>
  <w:footnote w:id="29">
    <w:p w:rsidR="00B2254A" w:rsidRPr="009225EA" w:rsidP="00B2254A" w14:paraId="16E541B7" w14:textId="4798DB2C">
      <w:pPr>
        <w:pStyle w:val="FootnoteText"/>
      </w:pPr>
      <w:r w:rsidRPr="009225EA">
        <w:rPr>
          <w:rStyle w:val="FootnoteReference"/>
          <w:sz w:val="20"/>
        </w:rPr>
        <w:footnoteRef/>
      </w:r>
      <w:r w:rsidRPr="009225EA">
        <w:t xml:space="preserve"> </w:t>
      </w:r>
      <w:r w:rsidRPr="009225EA" w:rsidR="00911D65">
        <w:t>Ex Parte Letter and Attestation at 1</w:t>
      </w:r>
      <w:r w:rsidRPr="009225EA">
        <w:t>.</w:t>
      </w:r>
    </w:p>
  </w:footnote>
  <w:footnote w:id="30">
    <w:p w:rsidR="00B2254A" w:rsidRPr="009225EA" w:rsidP="00B2254A" w14:paraId="7416B84F" w14:textId="46AF79B9">
      <w:pPr>
        <w:pStyle w:val="FootnoteText"/>
      </w:pPr>
      <w:r w:rsidRPr="009225EA">
        <w:rPr>
          <w:rStyle w:val="FootnoteReference"/>
          <w:sz w:val="20"/>
        </w:rPr>
        <w:footnoteRef/>
      </w:r>
      <w:r w:rsidRPr="009225EA">
        <w:t xml:space="preserve"> </w:t>
      </w:r>
      <w:r w:rsidRPr="009225EA">
        <w:rPr>
          <w:i/>
          <w:iCs/>
        </w:rPr>
        <w:t>Id</w:t>
      </w:r>
      <w:r w:rsidRPr="009225EA">
        <w:t xml:space="preserve">; </w:t>
      </w:r>
      <w:r w:rsidRPr="009225EA">
        <w:rPr>
          <w:i/>
          <w:iCs/>
        </w:rPr>
        <w:t>see also</w:t>
      </w:r>
      <w:r w:rsidRPr="009225EA">
        <w:t xml:space="preserve"> </w:t>
      </w:r>
      <w:r w:rsidRPr="009225EA">
        <w:rPr>
          <w:i/>
          <w:iCs/>
        </w:rPr>
        <w:t>Rate-of-Return BDS Order,</w:t>
      </w:r>
      <w:r w:rsidRPr="009225EA">
        <w:t xml:space="preserve"> 33 FCC Rcd 10403, 10412, para. 22 (2018) (detailing the Commission’s decision to require holding company-level election of incentive regulation in response to commenters</w:t>
      </w:r>
      <w:r w:rsidR="002C67D9">
        <w:t>’</w:t>
      </w:r>
      <w:r w:rsidRPr="009225EA">
        <w:t xml:space="preserve"> concerns with internal cost shifting).</w:t>
      </w:r>
    </w:p>
  </w:footnote>
  <w:footnote w:id="31">
    <w:p w:rsidR="00B2254A" w:rsidRPr="009225EA" w:rsidP="00B2254A" w14:paraId="26A99CB2" w14:textId="1D8C97C4">
      <w:pPr>
        <w:pStyle w:val="FootnoteText"/>
      </w:pPr>
      <w:r w:rsidRPr="009225EA">
        <w:rPr>
          <w:rStyle w:val="FootnoteReference"/>
          <w:sz w:val="20"/>
        </w:rPr>
        <w:footnoteRef/>
      </w:r>
      <w:r w:rsidR="00A049BA">
        <w:t xml:space="preserve"> </w:t>
      </w:r>
      <w:r w:rsidRPr="009225EA" w:rsidR="00911D65">
        <w:t>Ex Parte Letter and Attestation at 1-2</w:t>
      </w:r>
      <w:r w:rsidRPr="009225EA">
        <w:t>; Decl. of Vince Tyson, General Manager and Assistant Secretary of Citizens Mutual Telephone Cooperative (dated June 26, 2026).</w:t>
      </w:r>
    </w:p>
  </w:footnote>
  <w:footnote w:id="32">
    <w:p w:rsidR="00B2254A" w:rsidRPr="009225EA" w:rsidP="00B2254A" w14:paraId="53ED2504" w14:textId="5E0A829D">
      <w:pPr>
        <w:pStyle w:val="FootnoteText"/>
      </w:pPr>
      <w:r w:rsidRPr="009225EA">
        <w:rPr>
          <w:rStyle w:val="FootnoteReference"/>
          <w:sz w:val="20"/>
        </w:rPr>
        <w:footnoteRef/>
      </w:r>
      <w:r w:rsidRPr="009225EA">
        <w:rPr>
          <w:i/>
          <w:iCs/>
        </w:rPr>
        <w:t xml:space="preserve"> </w:t>
      </w:r>
      <w:r w:rsidRPr="009225EA" w:rsidR="006E02F6">
        <w:t>Ex Parte Letter and Attestation at 1</w:t>
      </w:r>
      <w:r w:rsidRPr="009225EA">
        <w:t>.</w:t>
      </w:r>
    </w:p>
  </w:footnote>
  <w:footnote w:id="33">
    <w:p w:rsidR="00B2254A" w:rsidRPr="009225EA" w:rsidP="00B2254A" w14:paraId="4BB1E7D0" w14:textId="77777777">
      <w:pPr>
        <w:pStyle w:val="FootnoteText"/>
      </w:pPr>
      <w:r w:rsidRPr="009225EA">
        <w:rPr>
          <w:rStyle w:val="FootnoteReference"/>
          <w:sz w:val="20"/>
        </w:rPr>
        <w:footnoteRef/>
      </w:r>
      <w:r w:rsidRPr="009225EA">
        <w:t xml:space="preserve"> </w:t>
      </w:r>
      <w:r w:rsidRPr="009225EA">
        <w:rPr>
          <w:i/>
          <w:iCs/>
        </w:rPr>
        <w:t>Id</w:t>
      </w:r>
      <w:r w:rsidRPr="009225EA">
        <w:t>. at 2.</w:t>
      </w:r>
    </w:p>
  </w:footnote>
  <w:footnote w:id="34">
    <w:p w:rsidR="00360F2B" w:rsidRPr="009225EA" w:rsidP="00360F2B" w14:paraId="50DAA2B4" w14:textId="42596F5F">
      <w:pPr>
        <w:pStyle w:val="FootnoteText"/>
      </w:pPr>
      <w:r w:rsidRPr="009225EA">
        <w:rPr>
          <w:rStyle w:val="FootnoteReference"/>
          <w:sz w:val="20"/>
        </w:rPr>
        <w:footnoteRef/>
      </w:r>
      <w:r w:rsidRPr="009225EA">
        <w:t xml:space="preserve"> We further direct Applicants to submit in the domestic section 214 docket a notice that the proposed transaction has closed with the consummation date </w:t>
      </w:r>
      <w:r w:rsidRPr="009225EA">
        <w:t>and also</w:t>
      </w:r>
      <w:r w:rsidRPr="009225EA">
        <w:t xml:space="preserve"> provide a courtesy copy of the notice to </w:t>
      </w:r>
      <w:hyperlink r:id="rId1" w:history="1">
        <w:r w:rsidRPr="009225EA">
          <w:rPr>
            <w:rStyle w:val="Hyperlink"/>
          </w:rPr>
          <w:t>hcinfo@usac.org</w:t>
        </w:r>
      </w:hyperlink>
      <w:r w:rsidRPr="009225EA">
        <w:t>.</w:t>
      </w:r>
      <w:r w:rsidRPr="009225EA" w:rsidR="006B3B80">
        <w:t xml:space="preserve"> Applicants must submit a copy of the consummation notice via email to </w:t>
      </w:r>
      <w:hyperlink r:id="rId2" w:history="1">
        <w:r w:rsidRPr="009225EA" w:rsidR="00BC67A0">
          <w:rPr>
            <w:rStyle w:val="Hyperlink"/>
          </w:rPr>
          <w:t>gregory.kwan@fcc.gov</w:t>
        </w:r>
      </w:hyperlink>
      <w:r w:rsidRPr="009225EA" w:rsidR="006B3B80">
        <w:t xml:space="preserve"> and </w:t>
      </w:r>
      <w:hyperlink r:id="rId3" w:history="1">
        <w:r w:rsidRPr="009225EA" w:rsidR="00BC67A0">
          <w:rPr>
            <w:rStyle w:val="Hyperlink"/>
          </w:rPr>
          <w:t>audra.hale-maddox@fcc.gov</w:t>
        </w:r>
      </w:hyperlink>
      <w:r w:rsidRPr="009225EA" w:rsidR="006B3B80">
        <w:t>.</w:t>
      </w:r>
    </w:p>
    <w:p w:rsidR="006B3B80" w:rsidRPr="00A412FF" w:rsidP="00360F2B" w14:paraId="66810486"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14:paraId="28C68044" w14:textId="4B23AB33">
    <w:pPr>
      <w:tabs>
        <w:tab w:val="center" w:pos="4680"/>
        <w:tab w:val="right" w:pos="9360"/>
      </w:tabs>
    </w:pPr>
    <w:r>
      <w:rPr>
        <w:b/>
      </w:rPr>
      <w:tab/>
    </w:r>
    <w:r w:rsidR="00513878">
      <w:rPr>
        <w:b/>
      </w:rPr>
      <w:t xml:space="preserve">                                               </w:t>
    </w:r>
    <w:r w:rsidRPr="1ED64194">
      <w:rPr>
        <w:b/>
        <w:bCs/>
      </w:rPr>
      <w:t>Federal Communications Commission</w:t>
    </w:r>
    <w:r w:rsidRPr="1ED64194" w:rsidR="1ED64194">
      <w:rPr>
        <w:b/>
        <w:bCs/>
      </w:rPr>
      <w:t xml:space="preserve"> </w:t>
    </w:r>
    <w:r w:rsidR="00362CC0">
      <w:rPr>
        <w:b/>
        <w:bCs/>
      </w:rPr>
      <w:t xml:space="preserve">                                      </w:t>
    </w:r>
    <w:r w:rsidR="00362CC0">
      <w:rPr>
        <w:b/>
        <w:bCs/>
      </w:rPr>
      <w:t>DA 26-869</w:t>
    </w:r>
  </w:p>
  <w:p w:rsidR="00BA3BA8" w14:paraId="623385AC"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A3BA8" w14:paraId="6D9BF092"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BA8" w:rsidRPr="00F03EA1" w:rsidP="00F03EA1" w14:paraId="6B5D3EDF" w14:textId="77777777">
    <w:pPr>
      <w:pStyle w:val="Header"/>
    </w:pPr>
    <w:r>
      <w:rPr>
        <w:noProof/>
      </w:rPr>
      <w:drawing>
        <wp:inline distT="0" distB="0" distL="0" distR="0">
          <wp:extent cx="595630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56300" cy="1428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4B453C"/>
    <w:multiLevelType w:val="singleLevel"/>
    <w:tmpl w:val="40A8E97A"/>
    <w:lvl w:ilvl="0">
      <w:start w:val="1"/>
      <w:numFmt w:val="decimal"/>
      <w:lvlText w:val="%1."/>
      <w:lvlJc w:val="left"/>
      <w:pPr>
        <w:tabs>
          <w:tab w:val="num" w:pos="1080"/>
        </w:tabs>
        <w:ind w:left="0" w:firstLine="720"/>
      </w:pPr>
    </w:lvl>
  </w:abstractNum>
  <w:abstractNum w:abstractNumId="1">
    <w:nsid w:val="2059305A"/>
    <w:multiLevelType w:val="multilevel"/>
    <w:tmpl w:val="57A4B5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F40A0F"/>
    <w:multiLevelType w:val="singleLevel"/>
    <w:tmpl w:val="3244DD0A"/>
    <w:lvl w:ilvl="0">
      <w:start w:val="1"/>
      <w:numFmt w:val="bullet"/>
      <w:pStyle w:val="Bullet"/>
      <w:lvlText w:val=""/>
      <w:lvlJc w:val="left"/>
      <w:pPr>
        <w:tabs>
          <w:tab w:val="num" w:pos="360"/>
        </w:tabs>
        <w:ind w:left="360" w:hanging="360"/>
      </w:pPr>
      <w:rPr>
        <w:rFonts w:ascii="Symbol" w:hAnsi="Symbol" w:hint="default"/>
      </w:rPr>
    </w:lvl>
  </w:abstractNum>
  <w:abstractNum w:abstractNumId="3">
    <w:nsid w:val="248246F3"/>
    <w:multiLevelType w:val="singleLevel"/>
    <w:tmpl w:val="B1F45678"/>
    <w:lvl w:ilvl="0">
      <w:start w:val="1"/>
      <w:numFmt w:val="decimal"/>
      <w:lvlText w:val="%1."/>
      <w:lvlJc w:val="left"/>
      <w:pPr>
        <w:tabs>
          <w:tab w:val="num" w:pos="1080"/>
        </w:tabs>
        <w:ind w:left="0" w:firstLine="720"/>
      </w:pPr>
    </w:lvl>
  </w:abstractNum>
  <w:abstractNum w:abstractNumId="4">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7">
    <w:nsid w:val="6A614CCE"/>
    <w:multiLevelType w:val="hybridMultilevel"/>
    <w:tmpl w:val="0F98B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BE20A48"/>
    <w:multiLevelType w:val="multilevel"/>
    <w:tmpl w:val="584238C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C70967"/>
    <w:multiLevelType w:val="hybridMultilevel"/>
    <w:tmpl w:val="468E02EC"/>
    <w:lvl w:ilvl="0">
      <w:start w:val="1"/>
      <w:numFmt w:val="upp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889223528">
    <w:abstractNumId w:val="2"/>
  </w:num>
  <w:num w:numId="2" w16cid:durableId="890339313">
    <w:abstractNumId w:val="6"/>
  </w:num>
  <w:num w:numId="3" w16cid:durableId="528419151">
    <w:abstractNumId w:val="4"/>
  </w:num>
  <w:num w:numId="4" w16cid:durableId="1245721454">
    <w:abstractNumId w:val="5"/>
  </w:num>
  <w:num w:numId="5" w16cid:durableId="1255556118">
    <w:abstractNumId w:val="3"/>
  </w:num>
  <w:num w:numId="6" w16cid:durableId="1286346123">
    <w:abstractNumId w:val="0"/>
  </w:num>
  <w:num w:numId="7" w16cid:durableId="2096245613">
    <w:abstractNumId w:val="7"/>
  </w:num>
  <w:num w:numId="8" w16cid:durableId="823476080">
    <w:abstractNumId w:val="1"/>
  </w:num>
  <w:num w:numId="9" w16cid:durableId="1831603079">
    <w:abstractNumId w:val="8"/>
  </w:num>
  <w:num w:numId="10" w16cid:durableId="20073155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15"/>
    <w:rsid w:val="000004D9"/>
    <w:rsid w:val="00000D10"/>
    <w:rsid w:val="000011F9"/>
    <w:rsid w:val="00001ED4"/>
    <w:rsid w:val="00002E10"/>
    <w:rsid w:val="00004B54"/>
    <w:rsid w:val="000057D9"/>
    <w:rsid w:val="00005D14"/>
    <w:rsid w:val="00006096"/>
    <w:rsid w:val="00007737"/>
    <w:rsid w:val="000113D2"/>
    <w:rsid w:val="00011507"/>
    <w:rsid w:val="00011B28"/>
    <w:rsid w:val="0001243A"/>
    <w:rsid w:val="00014786"/>
    <w:rsid w:val="00015F7F"/>
    <w:rsid w:val="00017E58"/>
    <w:rsid w:val="00020CED"/>
    <w:rsid w:val="00021356"/>
    <w:rsid w:val="00022C32"/>
    <w:rsid w:val="00023506"/>
    <w:rsid w:val="00024C3A"/>
    <w:rsid w:val="00024D2B"/>
    <w:rsid w:val="00024DE5"/>
    <w:rsid w:val="0002659F"/>
    <w:rsid w:val="00026A4F"/>
    <w:rsid w:val="000278AD"/>
    <w:rsid w:val="00027C50"/>
    <w:rsid w:val="000305EB"/>
    <w:rsid w:val="00030AF6"/>
    <w:rsid w:val="00030F27"/>
    <w:rsid w:val="000312B6"/>
    <w:rsid w:val="00031931"/>
    <w:rsid w:val="00031CEB"/>
    <w:rsid w:val="00031D25"/>
    <w:rsid w:val="0003236E"/>
    <w:rsid w:val="000330AA"/>
    <w:rsid w:val="00033274"/>
    <w:rsid w:val="00033E47"/>
    <w:rsid w:val="00034155"/>
    <w:rsid w:val="0003448D"/>
    <w:rsid w:val="00034E67"/>
    <w:rsid w:val="00035214"/>
    <w:rsid w:val="00036452"/>
    <w:rsid w:val="000372F9"/>
    <w:rsid w:val="00037C98"/>
    <w:rsid w:val="00037D93"/>
    <w:rsid w:val="00037FF4"/>
    <w:rsid w:val="00040678"/>
    <w:rsid w:val="00040C75"/>
    <w:rsid w:val="000418CB"/>
    <w:rsid w:val="00041C2F"/>
    <w:rsid w:val="00042E63"/>
    <w:rsid w:val="00043169"/>
    <w:rsid w:val="00044458"/>
    <w:rsid w:val="00046B0D"/>
    <w:rsid w:val="0004701B"/>
    <w:rsid w:val="0004707E"/>
    <w:rsid w:val="00047271"/>
    <w:rsid w:val="000513D7"/>
    <w:rsid w:val="000514C7"/>
    <w:rsid w:val="000539B1"/>
    <w:rsid w:val="00053A8A"/>
    <w:rsid w:val="0005433C"/>
    <w:rsid w:val="00054EBC"/>
    <w:rsid w:val="0005517E"/>
    <w:rsid w:val="00060B78"/>
    <w:rsid w:val="00062D6A"/>
    <w:rsid w:val="00062D6F"/>
    <w:rsid w:val="000638EB"/>
    <w:rsid w:val="000639C2"/>
    <w:rsid w:val="00066ED5"/>
    <w:rsid w:val="00067275"/>
    <w:rsid w:val="00070716"/>
    <w:rsid w:val="00070D51"/>
    <w:rsid w:val="00071F42"/>
    <w:rsid w:val="000728E7"/>
    <w:rsid w:val="00073730"/>
    <w:rsid w:val="00073CB3"/>
    <w:rsid w:val="00074FEC"/>
    <w:rsid w:val="00075045"/>
    <w:rsid w:val="000754F1"/>
    <w:rsid w:val="00076FB9"/>
    <w:rsid w:val="00077571"/>
    <w:rsid w:val="00077AD5"/>
    <w:rsid w:val="00077C93"/>
    <w:rsid w:val="00080C43"/>
    <w:rsid w:val="00081E54"/>
    <w:rsid w:val="00081FD5"/>
    <w:rsid w:val="00084153"/>
    <w:rsid w:val="0008462E"/>
    <w:rsid w:val="00084AAA"/>
    <w:rsid w:val="00085D6F"/>
    <w:rsid w:val="00090276"/>
    <w:rsid w:val="000913DB"/>
    <w:rsid w:val="0009196E"/>
    <w:rsid w:val="00092794"/>
    <w:rsid w:val="00093909"/>
    <w:rsid w:val="00094C60"/>
    <w:rsid w:val="000960FB"/>
    <w:rsid w:val="0009632B"/>
    <w:rsid w:val="0009747B"/>
    <w:rsid w:val="00097B86"/>
    <w:rsid w:val="000A0C2A"/>
    <w:rsid w:val="000A0D26"/>
    <w:rsid w:val="000A0F72"/>
    <w:rsid w:val="000A1A7D"/>
    <w:rsid w:val="000A1ADE"/>
    <w:rsid w:val="000A1BBD"/>
    <w:rsid w:val="000A2981"/>
    <w:rsid w:val="000A2FF6"/>
    <w:rsid w:val="000A4884"/>
    <w:rsid w:val="000A48D7"/>
    <w:rsid w:val="000A4A68"/>
    <w:rsid w:val="000A55F0"/>
    <w:rsid w:val="000B0166"/>
    <w:rsid w:val="000B2096"/>
    <w:rsid w:val="000B284D"/>
    <w:rsid w:val="000B2A6D"/>
    <w:rsid w:val="000B3B42"/>
    <w:rsid w:val="000B3C96"/>
    <w:rsid w:val="000B5716"/>
    <w:rsid w:val="000B6369"/>
    <w:rsid w:val="000B644F"/>
    <w:rsid w:val="000B7C7A"/>
    <w:rsid w:val="000C0FF5"/>
    <w:rsid w:val="000C1543"/>
    <w:rsid w:val="000C1A37"/>
    <w:rsid w:val="000C218C"/>
    <w:rsid w:val="000C24F8"/>
    <w:rsid w:val="000C27B4"/>
    <w:rsid w:val="000C2FB0"/>
    <w:rsid w:val="000C6267"/>
    <w:rsid w:val="000C734E"/>
    <w:rsid w:val="000C75FE"/>
    <w:rsid w:val="000C7623"/>
    <w:rsid w:val="000D09AC"/>
    <w:rsid w:val="000D1DA9"/>
    <w:rsid w:val="000D2703"/>
    <w:rsid w:val="000D2FDD"/>
    <w:rsid w:val="000D453C"/>
    <w:rsid w:val="000D4CE0"/>
    <w:rsid w:val="000D57A4"/>
    <w:rsid w:val="000D583C"/>
    <w:rsid w:val="000D5998"/>
    <w:rsid w:val="000D5D34"/>
    <w:rsid w:val="000D6533"/>
    <w:rsid w:val="000D6D9D"/>
    <w:rsid w:val="000D6E29"/>
    <w:rsid w:val="000E0455"/>
    <w:rsid w:val="000E082F"/>
    <w:rsid w:val="000E0AEB"/>
    <w:rsid w:val="000E1CD3"/>
    <w:rsid w:val="000E45AE"/>
    <w:rsid w:val="000E5B0D"/>
    <w:rsid w:val="000E6837"/>
    <w:rsid w:val="000E71B3"/>
    <w:rsid w:val="000E7447"/>
    <w:rsid w:val="000E7AA4"/>
    <w:rsid w:val="000F0A71"/>
    <w:rsid w:val="000F0BBF"/>
    <w:rsid w:val="000F1489"/>
    <w:rsid w:val="000F4C33"/>
    <w:rsid w:val="000F6254"/>
    <w:rsid w:val="00100576"/>
    <w:rsid w:val="00103CAF"/>
    <w:rsid w:val="001062CD"/>
    <w:rsid w:val="001076AE"/>
    <w:rsid w:val="00107791"/>
    <w:rsid w:val="0011043D"/>
    <w:rsid w:val="00111DDB"/>
    <w:rsid w:val="00112BD6"/>
    <w:rsid w:val="00112F11"/>
    <w:rsid w:val="00113566"/>
    <w:rsid w:val="0011383D"/>
    <w:rsid w:val="00115F58"/>
    <w:rsid w:val="00115F81"/>
    <w:rsid w:val="00116E4B"/>
    <w:rsid w:val="00116EDE"/>
    <w:rsid w:val="00116FC7"/>
    <w:rsid w:val="00122469"/>
    <w:rsid w:val="001226F1"/>
    <w:rsid w:val="0012392E"/>
    <w:rsid w:val="00123A90"/>
    <w:rsid w:val="00124029"/>
    <w:rsid w:val="001246FB"/>
    <w:rsid w:val="001249E5"/>
    <w:rsid w:val="00124DFE"/>
    <w:rsid w:val="00124E37"/>
    <w:rsid w:val="00125755"/>
    <w:rsid w:val="00125BC7"/>
    <w:rsid w:val="00125CBF"/>
    <w:rsid w:val="00125FE4"/>
    <w:rsid w:val="001260F2"/>
    <w:rsid w:val="00131070"/>
    <w:rsid w:val="00131D92"/>
    <w:rsid w:val="00133346"/>
    <w:rsid w:val="0013444B"/>
    <w:rsid w:val="00135A14"/>
    <w:rsid w:val="001363E4"/>
    <w:rsid w:val="00136C5A"/>
    <w:rsid w:val="0014027F"/>
    <w:rsid w:val="00140921"/>
    <w:rsid w:val="001426B6"/>
    <w:rsid w:val="00143CBF"/>
    <w:rsid w:val="00145079"/>
    <w:rsid w:val="00145E7A"/>
    <w:rsid w:val="00146BE2"/>
    <w:rsid w:val="00146E6C"/>
    <w:rsid w:val="00150180"/>
    <w:rsid w:val="001515D6"/>
    <w:rsid w:val="00151C5A"/>
    <w:rsid w:val="00153541"/>
    <w:rsid w:val="0015367E"/>
    <w:rsid w:val="0015397C"/>
    <w:rsid w:val="001563A7"/>
    <w:rsid w:val="001568B6"/>
    <w:rsid w:val="00157551"/>
    <w:rsid w:val="0016275E"/>
    <w:rsid w:val="00163C3E"/>
    <w:rsid w:val="00166E2C"/>
    <w:rsid w:val="0016715D"/>
    <w:rsid w:val="00167AF7"/>
    <w:rsid w:val="00167B93"/>
    <w:rsid w:val="00170FF4"/>
    <w:rsid w:val="001711D2"/>
    <w:rsid w:val="00172605"/>
    <w:rsid w:val="001737F6"/>
    <w:rsid w:val="00173B1A"/>
    <w:rsid w:val="001743A0"/>
    <w:rsid w:val="00175788"/>
    <w:rsid w:val="00175A1D"/>
    <w:rsid w:val="001774E8"/>
    <w:rsid w:val="00177B23"/>
    <w:rsid w:val="00177F71"/>
    <w:rsid w:val="001805BD"/>
    <w:rsid w:val="00180846"/>
    <w:rsid w:val="00181AB5"/>
    <w:rsid w:val="001830F6"/>
    <w:rsid w:val="00183779"/>
    <w:rsid w:val="0018541B"/>
    <w:rsid w:val="001870BE"/>
    <w:rsid w:val="0019018D"/>
    <w:rsid w:val="0019038F"/>
    <w:rsid w:val="00190BBC"/>
    <w:rsid w:val="00192423"/>
    <w:rsid w:val="001933B6"/>
    <w:rsid w:val="00193BBD"/>
    <w:rsid w:val="00193DA9"/>
    <w:rsid w:val="001976F8"/>
    <w:rsid w:val="001A035D"/>
    <w:rsid w:val="001A0E5C"/>
    <w:rsid w:val="001A119B"/>
    <w:rsid w:val="001A3315"/>
    <w:rsid w:val="001A3F83"/>
    <w:rsid w:val="001A5115"/>
    <w:rsid w:val="001A5614"/>
    <w:rsid w:val="001A6557"/>
    <w:rsid w:val="001A6AE5"/>
    <w:rsid w:val="001A7110"/>
    <w:rsid w:val="001B16DE"/>
    <w:rsid w:val="001B212C"/>
    <w:rsid w:val="001B32E4"/>
    <w:rsid w:val="001B3BAD"/>
    <w:rsid w:val="001B3DF5"/>
    <w:rsid w:val="001C02DF"/>
    <w:rsid w:val="001C13FC"/>
    <w:rsid w:val="001C1B81"/>
    <w:rsid w:val="001C1CD9"/>
    <w:rsid w:val="001C7A5D"/>
    <w:rsid w:val="001D000F"/>
    <w:rsid w:val="001D1189"/>
    <w:rsid w:val="001D12FA"/>
    <w:rsid w:val="001D1BC6"/>
    <w:rsid w:val="001D2BBF"/>
    <w:rsid w:val="001D584E"/>
    <w:rsid w:val="001D726F"/>
    <w:rsid w:val="001D785D"/>
    <w:rsid w:val="001E089E"/>
    <w:rsid w:val="001E0B61"/>
    <w:rsid w:val="001E2214"/>
    <w:rsid w:val="001E270E"/>
    <w:rsid w:val="001E2FA5"/>
    <w:rsid w:val="001E3430"/>
    <w:rsid w:val="001E35D3"/>
    <w:rsid w:val="001E418F"/>
    <w:rsid w:val="001E4A1D"/>
    <w:rsid w:val="001E5DD8"/>
    <w:rsid w:val="001E6336"/>
    <w:rsid w:val="001E7187"/>
    <w:rsid w:val="001E781C"/>
    <w:rsid w:val="001F157A"/>
    <w:rsid w:val="001F2B03"/>
    <w:rsid w:val="001F2FCF"/>
    <w:rsid w:val="001F3C75"/>
    <w:rsid w:val="001F3DD6"/>
    <w:rsid w:val="001F4673"/>
    <w:rsid w:val="001F5752"/>
    <w:rsid w:val="001F649E"/>
    <w:rsid w:val="001F65EF"/>
    <w:rsid w:val="001F6C3D"/>
    <w:rsid w:val="001F6C6C"/>
    <w:rsid w:val="00200C56"/>
    <w:rsid w:val="00202D2A"/>
    <w:rsid w:val="00204109"/>
    <w:rsid w:val="00204237"/>
    <w:rsid w:val="00204C75"/>
    <w:rsid w:val="00205B50"/>
    <w:rsid w:val="002068E2"/>
    <w:rsid w:val="00206903"/>
    <w:rsid w:val="00207052"/>
    <w:rsid w:val="00207141"/>
    <w:rsid w:val="00210314"/>
    <w:rsid w:val="0021147D"/>
    <w:rsid w:val="00212B6F"/>
    <w:rsid w:val="002139F3"/>
    <w:rsid w:val="00213AEB"/>
    <w:rsid w:val="002177D5"/>
    <w:rsid w:val="00217A10"/>
    <w:rsid w:val="0022128E"/>
    <w:rsid w:val="002218EC"/>
    <w:rsid w:val="002220B9"/>
    <w:rsid w:val="0022349D"/>
    <w:rsid w:val="002235B0"/>
    <w:rsid w:val="00227B6E"/>
    <w:rsid w:val="00227BA1"/>
    <w:rsid w:val="002301A0"/>
    <w:rsid w:val="00231F18"/>
    <w:rsid w:val="00231F4D"/>
    <w:rsid w:val="002328D8"/>
    <w:rsid w:val="00232B3C"/>
    <w:rsid w:val="00233524"/>
    <w:rsid w:val="002350DE"/>
    <w:rsid w:val="0023570D"/>
    <w:rsid w:val="00235DA8"/>
    <w:rsid w:val="0023603C"/>
    <w:rsid w:val="00236B96"/>
    <w:rsid w:val="00237F00"/>
    <w:rsid w:val="002404D5"/>
    <w:rsid w:val="00240B73"/>
    <w:rsid w:val="00241101"/>
    <w:rsid w:val="00241538"/>
    <w:rsid w:val="00241EC3"/>
    <w:rsid w:val="002421A3"/>
    <w:rsid w:val="0024311C"/>
    <w:rsid w:val="00243CBD"/>
    <w:rsid w:val="00244F94"/>
    <w:rsid w:val="002458FE"/>
    <w:rsid w:val="00246395"/>
    <w:rsid w:val="0024686D"/>
    <w:rsid w:val="00250A94"/>
    <w:rsid w:val="002519BF"/>
    <w:rsid w:val="00252258"/>
    <w:rsid w:val="00254284"/>
    <w:rsid w:val="002549EB"/>
    <w:rsid w:val="0025521D"/>
    <w:rsid w:val="002559E6"/>
    <w:rsid w:val="00255DCA"/>
    <w:rsid w:val="00256028"/>
    <w:rsid w:val="00256C39"/>
    <w:rsid w:val="002610F6"/>
    <w:rsid w:val="00261106"/>
    <w:rsid w:val="00261CFB"/>
    <w:rsid w:val="00262156"/>
    <w:rsid w:val="002622F8"/>
    <w:rsid w:val="0026428E"/>
    <w:rsid w:val="00264999"/>
    <w:rsid w:val="00266968"/>
    <w:rsid w:val="00272AF4"/>
    <w:rsid w:val="00274EEE"/>
    <w:rsid w:val="00275AFD"/>
    <w:rsid w:val="00276B01"/>
    <w:rsid w:val="0027780C"/>
    <w:rsid w:val="00277DD7"/>
    <w:rsid w:val="0028130A"/>
    <w:rsid w:val="00281EF8"/>
    <w:rsid w:val="00282C93"/>
    <w:rsid w:val="002831C0"/>
    <w:rsid w:val="00283285"/>
    <w:rsid w:val="00283618"/>
    <w:rsid w:val="00283C7B"/>
    <w:rsid w:val="002848BC"/>
    <w:rsid w:val="00287E13"/>
    <w:rsid w:val="0029201A"/>
    <w:rsid w:val="002953ED"/>
    <w:rsid w:val="002957F8"/>
    <w:rsid w:val="00295A64"/>
    <w:rsid w:val="0029637A"/>
    <w:rsid w:val="00296F52"/>
    <w:rsid w:val="002A2A80"/>
    <w:rsid w:val="002A3856"/>
    <w:rsid w:val="002A3CF3"/>
    <w:rsid w:val="002A491A"/>
    <w:rsid w:val="002A67DA"/>
    <w:rsid w:val="002B0AFA"/>
    <w:rsid w:val="002B19E9"/>
    <w:rsid w:val="002B1B89"/>
    <w:rsid w:val="002B26C2"/>
    <w:rsid w:val="002B2C4E"/>
    <w:rsid w:val="002B2D55"/>
    <w:rsid w:val="002B31BE"/>
    <w:rsid w:val="002B5949"/>
    <w:rsid w:val="002B5A87"/>
    <w:rsid w:val="002B7F50"/>
    <w:rsid w:val="002C0AB9"/>
    <w:rsid w:val="002C12B5"/>
    <w:rsid w:val="002C1422"/>
    <w:rsid w:val="002C1DD7"/>
    <w:rsid w:val="002C1FAD"/>
    <w:rsid w:val="002C35A3"/>
    <w:rsid w:val="002C4ABC"/>
    <w:rsid w:val="002C5784"/>
    <w:rsid w:val="002C60B6"/>
    <w:rsid w:val="002C67D9"/>
    <w:rsid w:val="002C7BB3"/>
    <w:rsid w:val="002D0C7A"/>
    <w:rsid w:val="002D28E6"/>
    <w:rsid w:val="002D2F49"/>
    <w:rsid w:val="002D31D5"/>
    <w:rsid w:val="002D3B91"/>
    <w:rsid w:val="002D6026"/>
    <w:rsid w:val="002D6456"/>
    <w:rsid w:val="002D6885"/>
    <w:rsid w:val="002E3C05"/>
    <w:rsid w:val="002E4E1D"/>
    <w:rsid w:val="002E52B5"/>
    <w:rsid w:val="002E5EBC"/>
    <w:rsid w:val="002E7B86"/>
    <w:rsid w:val="002F02FB"/>
    <w:rsid w:val="002F05C4"/>
    <w:rsid w:val="002F13F6"/>
    <w:rsid w:val="002F21F0"/>
    <w:rsid w:val="002F3155"/>
    <w:rsid w:val="002F3C85"/>
    <w:rsid w:val="002F4728"/>
    <w:rsid w:val="002F4DEB"/>
    <w:rsid w:val="002F58F1"/>
    <w:rsid w:val="00300901"/>
    <w:rsid w:val="00300973"/>
    <w:rsid w:val="00300AA0"/>
    <w:rsid w:val="00301A55"/>
    <w:rsid w:val="00301C67"/>
    <w:rsid w:val="003023CA"/>
    <w:rsid w:val="00304B5D"/>
    <w:rsid w:val="00305FF9"/>
    <w:rsid w:val="00306AAA"/>
    <w:rsid w:val="00306AE5"/>
    <w:rsid w:val="00307DF1"/>
    <w:rsid w:val="00307E97"/>
    <w:rsid w:val="00310CF3"/>
    <w:rsid w:val="0031169F"/>
    <w:rsid w:val="00311735"/>
    <w:rsid w:val="0031199B"/>
    <w:rsid w:val="003122D5"/>
    <w:rsid w:val="003138D2"/>
    <w:rsid w:val="003153DE"/>
    <w:rsid w:val="00320761"/>
    <w:rsid w:val="00320B0B"/>
    <w:rsid w:val="00321FAF"/>
    <w:rsid w:val="00322897"/>
    <w:rsid w:val="00325ED5"/>
    <w:rsid w:val="00326A26"/>
    <w:rsid w:val="00326DF2"/>
    <w:rsid w:val="00327D35"/>
    <w:rsid w:val="00330500"/>
    <w:rsid w:val="0033190F"/>
    <w:rsid w:val="003323E7"/>
    <w:rsid w:val="003333E1"/>
    <w:rsid w:val="00333766"/>
    <w:rsid w:val="00333CB2"/>
    <w:rsid w:val="0033419B"/>
    <w:rsid w:val="00334FF6"/>
    <w:rsid w:val="003353F7"/>
    <w:rsid w:val="0033674D"/>
    <w:rsid w:val="00336D04"/>
    <w:rsid w:val="00337D29"/>
    <w:rsid w:val="00340122"/>
    <w:rsid w:val="00341E1B"/>
    <w:rsid w:val="00342346"/>
    <w:rsid w:val="00342C15"/>
    <w:rsid w:val="0034453E"/>
    <w:rsid w:val="003447CE"/>
    <w:rsid w:val="00346C0E"/>
    <w:rsid w:val="0034704D"/>
    <w:rsid w:val="00347E7F"/>
    <w:rsid w:val="0035130A"/>
    <w:rsid w:val="00351D10"/>
    <w:rsid w:val="00352701"/>
    <w:rsid w:val="00355230"/>
    <w:rsid w:val="00356B06"/>
    <w:rsid w:val="00357BA9"/>
    <w:rsid w:val="00360F2B"/>
    <w:rsid w:val="0036190B"/>
    <w:rsid w:val="00361EA0"/>
    <w:rsid w:val="003620EA"/>
    <w:rsid w:val="0036263E"/>
    <w:rsid w:val="00362CC0"/>
    <w:rsid w:val="00366A4E"/>
    <w:rsid w:val="00366F1E"/>
    <w:rsid w:val="00367BEF"/>
    <w:rsid w:val="00372497"/>
    <w:rsid w:val="003729DF"/>
    <w:rsid w:val="00374031"/>
    <w:rsid w:val="00374AA3"/>
    <w:rsid w:val="00375539"/>
    <w:rsid w:val="00376AA4"/>
    <w:rsid w:val="0037741A"/>
    <w:rsid w:val="00377DCD"/>
    <w:rsid w:val="00380B38"/>
    <w:rsid w:val="00382095"/>
    <w:rsid w:val="003837AD"/>
    <w:rsid w:val="00383E33"/>
    <w:rsid w:val="00384580"/>
    <w:rsid w:val="0038537E"/>
    <w:rsid w:val="00386085"/>
    <w:rsid w:val="003871D1"/>
    <w:rsid w:val="00387C1B"/>
    <w:rsid w:val="00390C4A"/>
    <w:rsid w:val="00391CDC"/>
    <w:rsid w:val="00392369"/>
    <w:rsid w:val="003927C4"/>
    <w:rsid w:val="003936CD"/>
    <w:rsid w:val="003941F6"/>
    <w:rsid w:val="003944A1"/>
    <w:rsid w:val="00396F32"/>
    <w:rsid w:val="00397795"/>
    <w:rsid w:val="003A11E6"/>
    <w:rsid w:val="003A1AFC"/>
    <w:rsid w:val="003A1EC2"/>
    <w:rsid w:val="003A46CE"/>
    <w:rsid w:val="003B07B8"/>
    <w:rsid w:val="003B099D"/>
    <w:rsid w:val="003B0F73"/>
    <w:rsid w:val="003B1018"/>
    <w:rsid w:val="003B1C20"/>
    <w:rsid w:val="003B3AFF"/>
    <w:rsid w:val="003B4366"/>
    <w:rsid w:val="003B4968"/>
    <w:rsid w:val="003B4C13"/>
    <w:rsid w:val="003B5C0C"/>
    <w:rsid w:val="003B5EDF"/>
    <w:rsid w:val="003C2C09"/>
    <w:rsid w:val="003C3C7D"/>
    <w:rsid w:val="003C413D"/>
    <w:rsid w:val="003C53F9"/>
    <w:rsid w:val="003D1982"/>
    <w:rsid w:val="003D1B4E"/>
    <w:rsid w:val="003D1CEF"/>
    <w:rsid w:val="003D1EA4"/>
    <w:rsid w:val="003D27A2"/>
    <w:rsid w:val="003D27CA"/>
    <w:rsid w:val="003D3B39"/>
    <w:rsid w:val="003D4394"/>
    <w:rsid w:val="003D5029"/>
    <w:rsid w:val="003E1404"/>
    <w:rsid w:val="003E31BF"/>
    <w:rsid w:val="003E3E5A"/>
    <w:rsid w:val="003E4067"/>
    <w:rsid w:val="003E4F93"/>
    <w:rsid w:val="003E6BA3"/>
    <w:rsid w:val="003E6CEA"/>
    <w:rsid w:val="003E7AA0"/>
    <w:rsid w:val="003F11BC"/>
    <w:rsid w:val="003F1321"/>
    <w:rsid w:val="003F2184"/>
    <w:rsid w:val="003F241A"/>
    <w:rsid w:val="003F3E95"/>
    <w:rsid w:val="003F3EAC"/>
    <w:rsid w:val="003F4C39"/>
    <w:rsid w:val="003F5C75"/>
    <w:rsid w:val="003F627E"/>
    <w:rsid w:val="003F6AA4"/>
    <w:rsid w:val="003F7BF7"/>
    <w:rsid w:val="00401EE9"/>
    <w:rsid w:val="00403A97"/>
    <w:rsid w:val="00405D56"/>
    <w:rsid w:val="00406650"/>
    <w:rsid w:val="0040691F"/>
    <w:rsid w:val="00406F2E"/>
    <w:rsid w:val="00407786"/>
    <w:rsid w:val="004104D9"/>
    <w:rsid w:val="00410E89"/>
    <w:rsid w:val="004120E5"/>
    <w:rsid w:val="00414D11"/>
    <w:rsid w:val="004155A3"/>
    <w:rsid w:val="00415FC8"/>
    <w:rsid w:val="00416030"/>
    <w:rsid w:val="004204F3"/>
    <w:rsid w:val="00420AB9"/>
    <w:rsid w:val="004211AC"/>
    <w:rsid w:val="004212F5"/>
    <w:rsid w:val="00421982"/>
    <w:rsid w:val="00421992"/>
    <w:rsid w:val="00421B77"/>
    <w:rsid w:val="004225DA"/>
    <w:rsid w:val="004232D9"/>
    <w:rsid w:val="0042413F"/>
    <w:rsid w:val="00425767"/>
    <w:rsid w:val="004257A2"/>
    <w:rsid w:val="00426430"/>
    <w:rsid w:val="00426D0B"/>
    <w:rsid w:val="00426FA2"/>
    <w:rsid w:val="00427490"/>
    <w:rsid w:val="00430183"/>
    <w:rsid w:val="00430680"/>
    <w:rsid w:val="00430D54"/>
    <w:rsid w:val="00430ECB"/>
    <w:rsid w:val="00431994"/>
    <w:rsid w:val="00431FF4"/>
    <w:rsid w:val="00432940"/>
    <w:rsid w:val="00432F3C"/>
    <w:rsid w:val="00434329"/>
    <w:rsid w:val="00435D40"/>
    <w:rsid w:val="004425DA"/>
    <w:rsid w:val="00442C28"/>
    <w:rsid w:val="00442F48"/>
    <w:rsid w:val="00443BC2"/>
    <w:rsid w:val="00443DE7"/>
    <w:rsid w:val="004442D9"/>
    <w:rsid w:val="00446222"/>
    <w:rsid w:val="00451DBB"/>
    <w:rsid w:val="0045223C"/>
    <w:rsid w:val="004528C9"/>
    <w:rsid w:val="00453245"/>
    <w:rsid w:val="00453303"/>
    <w:rsid w:val="0045429D"/>
    <w:rsid w:val="004554A5"/>
    <w:rsid w:val="00455720"/>
    <w:rsid w:val="004560DC"/>
    <w:rsid w:val="00457269"/>
    <w:rsid w:val="004608FF"/>
    <w:rsid w:val="004621A2"/>
    <w:rsid w:val="004628B6"/>
    <w:rsid w:val="004631A5"/>
    <w:rsid w:val="004661E9"/>
    <w:rsid w:val="004668C5"/>
    <w:rsid w:val="00467202"/>
    <w:rsid w:val="00470F31"/>
    <w:rsid w:val="0047274C"/>
    <w:rsid w:val="00472F36"/>
    <w:rsid w:val="00473FC7"/>
    <w:rsid w:val="00477C21"/>
    <w:rsid w:val="004802AA"/>
    <w:rsid w:val="00481E79"/>
    <w:rsid w:val="004822D1"/>
    <w:rsid w:val="0048239B"/>
    <w:rsid w:val="004823AD"/>
    <w:rsid w:val="00490818"/>
    <w:rsid w:val="0049086D"/>
    <w:rsid w:val="00491364"/>
    <w:rsid w:val="0049230F"/>
    <w:rsid w:val="00494473"/>
    <w:rsid w:val="00495174"/>
    <w:rsid w:val="0049567C"/>
    <w:rsid w:val="004A0457"/>
    <w:rsid w:val="004A066F"/>
    <w:rsid w:val="004A272F"/>
    <w:rsid w:val="004A297F"/>
    <w:rsid w:val="004A3981"/>
    <w:rsid w:val="004A4B42"/>
    <w:rsid w:val="004A6B04"/>
    <w:rsid w:val="004B0596"/>
    <w:rsid w:val="004B1291"/>
    <w:rsid w:val="004B12B3"/>
    <w:rsid w:val="004B169C"/>
    <w:rsid w:val="004B20FE"/>
    <w:rsid w:val="004B28A1"/>
    <w:rsid w:val="004B5C54"/>
    <w:rsid w:val="004B6A8A"/>
    <w:rsid w:val="004B7730"/>
    <w:rsid w:val="004C0908"/>
    <w:rsid w:val="004C0B11"/>
    <w:rsid w:val="004C1161"/>
    <w:rsid w:val="004C1DD9"/>
    <w:rsid w:val="004C3277"/>
    <w:rsid w:val="004C3770"/>
    <w:rsid w:val="004C3A02"/>
    <w:rsid w:val="004C3BCE"/>
    <w:rsid w:val="004C3C2C"/>
    <w:rsid w:val="004C43C2"/>
    <w:rsid w:val="004C4B6C"/>
    <w:rsid w:val="004C4C33"/>
    <w:rsid w:val="004C4FB3"/>
    <w:rsid w:val="004D0479"/>
    <w:rsid w:val="004D11E5"/>
    <w:rsid w:val="004D1728"/>
    <w:rsid w:val="004D25D8"/>
    <w:rsid w:val="004D2634"/>
    <w:rsid w:val="004D5C73"/>
    <w:rsid w:val="004D60A3"/>
    <w:rsid w:val="004D6ED3"/>
    <w:rsid w:val="004D6F2E"/>
    <w:rsid w:val="004E01B6"/>
    <w:rsid w:val="004E06BC"/>
    <w:rsid w:val="004E2D93"/>
    <w:rsid w:val="004E51C1"/>
    <w:rsid w:val="004E5451"/>
    <w:rsid w:val="004E5BD7"/>
    <w:rsid w:val="004E6F24"/>
    <w:rsid w:val="004EC375"/>
    <w:rsid w:val="004F0A67"/>
    <w:rsid w:val="004F0DBF"/>
    <w:rsid w:val="004F0F24"/>
    <w:rsid w:val="004F15E5"/>
    <w:rsid w:val="004F2276"/>
    <w:rsid w:val="004F2CC3"/>
    <w:rsid w:val="004F3017"/>
    <w:rsid w:val="004F3596"/>
    <w:rsid w:val="004F3EBD"/>
    <w:rsid w:val="004F5ACA"/>
    <w:rsid w:val="00500079"/>
    <w:rsid w:val="005013A2"/>
    <w:rsid w:val="00503779"/>
    <w:rsid w:val="00504A6F"/>
    <w:rsid w:val="00504ACE"/>
    <w:rsid w:val="0050672C"/>
    <w:rsid w:val="00506E5E"/>
    <w:rsid w:val="005071EE"/>
    <w:rsid w:val="005075C0"/>
    <w:rsid w:val="00507B9E"/>
    <w:rsid w:val="00510400"/>
    <w:rsid w:val="00510CB5"/>
    <w:rsid w:val="00511247"/>
    <w:rsid w:val="00511B23"/>
    <w:rsid w:val="005125D3"/>
    <w:rsid w:val="005132C5"/>
    <w:rsid w:val="00513878"/>
    <w:rsid w:val="00514011"/>
    <w:rsid w:val="00514AF4"/>
    <w:rsid w:val="00514D30"/>
    <w:rsid w:val="0051601F"/>
    <w:rsid w:val="005168AC"/>
    <w:rsid w:val="0052006D"/>
    <w:rsid w:val="00521470"/>
    <w:rsid w:val="005225E2"/>
    <w:rsid w:val="00522BF0"/>
    <w:rsid w:val="00523487"/>
    <w:rsid w:val="00523F87"/>
    <w:rsid w:val="00524377"/>
    <w:rsid w:val="00524467"/>
    <w:rsid w:val="0053007F"/>
    <w:rsid w:val="00531AED"/>
    <w:rsid w:val="00531B26"/>
    <w:rsid w:val="00531DA3"/>
    <w:rsid w:val="0053376D"/>
    <w:rsid w:val="005347B2"/>
    <w:rsid w:val="005354F8"/>
    <w:rsid w:val="00535A56"/>
    <w:rsid w:val="00535D3C"/>
    <w:rsid w:val="00536775"/>
    <w:rsid w:val="00537FA6"/>
    <w:rsid w:val="00540C82"/>
    <w:rsid w:val="005423E3"/>
    <w:rsid w:val="005426F3"/>
    <w:rsid w:val="00543998"/>
    <w:rsid w:val="00543B99"/>
    <w:rsid w:val="0054428C"/>
    <w:rsid w:val="0054466D"/>
    <w:rsid w:val="00545CCB"/>
    <w:rsid w:val="00545E14"/>
    <w:rsid w:val="00546697"/>
    <w:rsid w:val="005519AF"/>
    <w:rsid w:val="0055301C"/>
    <w:rsid w:val="00553203"/>
    <w:rsid w:val="00554BE8"/>
    <w:rsid w:val="00554CFA"/>
    <w:rsid w:val="00554F1F"/>
    <w:rsid w:val="00555AA0"/>
    <w:rsid w:val="00555E1A"/>
    <w:rsid w:val="00563518"/>
    <w:rsid w:val="0056418B"/>
    <w:rsid w:val="0056472C"/>
    <w:rsid w:val="00565000"/>
    <w:rsid w:val="0056560A"/>
    <w:rsid w:val="00565D18"/>
    <w:rsid w:val="00565DE4"/>
    <w:rsid w:val="005669FA"/>
    <w:rsid w:val="00566F97"/>
    <w:rsid w:val="00567D2E"/>
    <w:rsid w:val="005704A8"/>
    <w:rsid w:val="00570FC6"/>
    <w:rsid w:val="005736A9"/>
    <w:rsid w:val="00573BA8"/>
    <w:rsid w:val="0057432E"/>
    <w:rsid w:val="00574547"/>
    <w:rsid w:val="00577863"/>
    <w:rsid w:val="00577C83"/>
    <w:rsid w:val="00580D6D"/>
    <w:rsid w:val="00582221"/>
    <w:rsid w:val="00582F4E"/>
    <w:rsid w:val="005833B2"/>
    <w:rsid w:val="00585106"/>
    <w:rsid w:val="00585642"/>
    <w:rsid w:val="005863A8"/>
    <w:rsid w:val="00586A1A"/>
    <w:rsid w:val="0059087D"/>
    <w:rsid w:val="00590FEC"/>
    <w:rsid w:val="0059303F"/>
    <w:rsid w:val="005943D1"/>
    <w:rsid w:val="00595A78"/>
    <w:rsid w:val="00595C33"/>
    <w:rsid w:val="005969DE"/>
    <w:rsid w:val="00596BE7"/>
    <w:rsid w:val="00596D7C"/>
    <w:rsid w:val="005977C4"/>
    <w:rsid w:val="005A129D"/>
    <w:rsid w:val="005A1E32"/>
    <w:rsid w:val="005A21AA"/>
    <w:rsid w:val="005A3E51"/>
    <w:rsid w:val="005A474D"/>
    <w:rsid w:val="005A4CFF"/>
    <w:rsid w:val="005A587D"/>
    <w:rsid w:val="005A5F6D"/>
    <w:rsid w:val="005A67FE"/>
    <w:rsid w:val="005A6AD3"/>
    <w:rsid w:val="005A6CD3"/>
    <w:rsid w:val="005A6DD0"/>
    <w:rsid w:val="005A77BB"/>
    <w:rsid w:val="005B28CD"/>
    <w:rsid w:val="005B3354"/>
    <w:rsid w:val="005B3707"/>
    <w:rsid w:val="005B3D52"/>
    <w:rsid w:val="005B40F9"/>
    <w:rsid w:val="005B5237"/>
    <w:rsid w:val="005B55A0"/>
    <w:rsid w:val="005B5999"/>
    <w:rsid w:val="005B5F13"/>
    <w:rsid w:val="005C2A13"/>
    <w:rsid w:val="005C2C0A"/>
    <w:rsid w:val="005C36E2"/>
    <w:rsid w:val="005C3D92"/>
    <w:rsid w:val="005C3E80"/>
    <w:rsid w:val="005C4078"/>
    <w:rsid w:val="005C4521"/>
    <w:rsid w:val="005C55FC"/>
    <w:rsid w:val="005C5600"/>
    <w:rsid w:val="005C5709"/>
    <w:rsid w:val="005C5BE5"/>
    <w:rsid w:val="005C5CE2"/>
    <w:rsid w:val="005C65F5"/>
    <w:rsid w:val="005C7204"/>
    <w:rsid w:val="005D0439"/>
    <w:rsid w:val="005D257A"/>
    <w:rsid w:val="005D3479"/>
    <w:rsid w:val="005D34F0"/>
    <w:rsid w:val="005D47C5"/>
    <w:rsid w:val="005D5366"/>
    <w:rsid w:val="005D53BF"/>
    <w:rsid w:val="005D6116"/>
    <w:rsid w:val="005D6F34"/>
    <w:rsid w:val="005D7169"/>
    <w:rsid w:val="005D75B9"/>
    <w:rsid w:val="005D7CFA"/>
    <w:rsid w:val="005D7D90"/>
    <w:rsid w:val="005E28BC"/>
    <w:rsid w:val="005E5442"/>
    <w:rsid w:val="005E5A78"/>
    <w:rsid w:val="005E64E1"/>
    <w:rsid w:val="005E739F"/>
    <w:rsid w:val="005F1A4F"/>
    <w:rsid w:val="005F1ABD"/>
    <w:rsid w:val="005F3013"/>
    <w:rsid w:val="005F45B1"/>
    <w:rsid w:val="005F5BAA"/>
    <w:rsid w:val="005F6A94"/>
    <w:rsid w:val="005F6F9A"/>
    <w:rsid w:val="005F6FFE"/>
    <w:rsid w:val="005F74DB"/>
    <w:rsid w:val="006003CB"/>
    <w:rsid w:val="006015E2"/>
    <w:rsid w:val="00603284"/>
    <w:rsid w:val="00603A25"/>
    <w:rsid w:val="0060422C"/>
    <w:rsid w:val="00605749"/>
    <w:rsid w:val="00606082"/>
    <w:rsid w:val="00606F9A"/>
    <w:rsid w:val="00607551"/>
    <w:rsid w:val="00610073"/>
    <w:rsid w:val="00610280"/>
    <w:rsid w:val="006103EA"/>
    <w:rsid w:val="00610496"/>
    <w:rsid w:val="006110E9"/>
    <w:rsid w:val="00612255"/>
    <w:rsid w:val="006127C6"/>
    <w:rsid w:val="0061329A"/>
    <w:rsid w:val="00614449"/>
    <w:rsid w:val="006213EB"/>
    <w:rsid w:val="00624037"/>
    <w:rsid w:val="006247C1"/>
    <w:rsid w:val="00625FE5"/>
    <w:rsid w:val="006264D9"/>
    <w:rsid w:val="00626C85"/>
    <w:rsid w:val="00626E4F"/>
    <w:rsid w:val="0063001D"/>
    <w:rsid w:val="006302E6"/>
    <w:rsid w:val="00630549"/>
    <w:rsid w:val="0063167E"/>
    <w:rsid w:val="0063179F"/>
    <w:rsid w:val="00633605"/>
    <w:rsid w:val="00633EB0"/>
    <w:rsid w:val="00634DBA"/>
    <w:rsid w:val="00636BBB"/>
    <w:rsid w:val="00636D8B"/>
    <w:rsid w:val="00640C97"/>
    <w:rsid w:val="006427A2"/>
    <w:rsid w:val="00642BB6"/>
    <w:rsid w:val="0064379C"/>
    <w:rsid w:val="00644339"/>
    <w:rsid w:val="00644983"/>
    <w:rsid w:val="006463EC"/>
    <w:rsid w:val="006477E2"/>
    <w:rsid w:val="006478DB"/>
    <w:rsid w:val="00647C47"/>
    <w:rsid w:val="00651CBB"/>
    <w:rsid w:val="00651E5D"/>
    <w:rsid w:val="00654C35"/>
    <w:rsid w:val="006553AC"/>
    <w:rsid w:val="00655907"/>
    <w:rsid w:val="00657C02"/>
    <w:rsid w:val="00657E8F"/>
    <w:rsid w:val="00657F37"/>
    <w:rsid w:val="0066064F"/>
    <w:rsid w:val="006628BA"/>
    <w:rsid w:val="006630F9"/>
    <w:rsid w:val="00663195"/>
    <w:rsid w:val="006636BE"/>
    <w:rsid w:val="006645B2"/>
    <w:rsid w:val="00664D64"/>
    <w:rsid w:val="0066592E"/>
    <w:rsid w:val="00670C95"/>
    <w:rsid w:val="0067276D"/>
    <w:rsid w:val="00673ADF"/>
    <w:rsid w:val="0067455E"/>
    <w:rsid w:val="00674EF0"/>
    <w:rsid w:val="00675C6C"/>
    <w:rsid w:val="006764D0"/>
    <w:rsid w:val="00676F6C"/>
    <w:rsid w:val="00680155"/>
    <w:rsid w:val="006812A1"/>
    <w:rsid w:val="006814A8"/>
    <w:rsid w:val="00682147"/>
    <w:rsid w:val="0068409E"/>
    <w:rsid w:val="00685060"/>
    <w:rsid w:val="00685E1A"/>
    <w:rsid w:val="00685F17"/>
    <w:rsid w:val="0068627C"/>
    <w:rsid w:val="00687004"/>
    <w:rsid w:val="00687964"/>
    <w:rsid w:val="00687E5B"/>
    <w:rsid w:val="00691FA2"/>
    <w:rsid w:val="0069270A"/>
    <w:rsid w:val="006928F8"/>
    <w:rsid w:val="00692B7F"/>
    <w:rsid w:val="00692C38"/>
    <w:rsid w:val="00693D49"/>
    <w:rsid w:val="00693F5F"/>
    <w:rsid w:val="006969E8"/>
    <w:rsid w:val="00697009"/>
    <w:rsid w:val="006979E6"/>
    <w:rsid w:val="00697D52"/>
    <w:rsid w:val="00697EA4"/>
    <w:rsid w:val="006A18A4"/>
    <w:rsid w:val="006A2938"/>
    <w:rsid w:val="006A2C33"/>
    <w:rsid w:val="006A40E3"/>
    <w:rsid w:val="006A5216"/>
    <w:rsid w:val="006A542E"/>
    <w:rsid w:val="006A5EB2"/>
    <w:rsid w:val="006A6311"/>
    <w:rsid w:val="006A6C76"/>
    <w:rsid w:val="006A6CA0"/>
    <w:rsid w:val="006B054F"/>
    <w:rsid w:val="006B3142"/>
    <w:rsid w:val="006B32FD"/>
    <w:rsid w:val="006B37BD"/>
    <w:rsid w:val="006B39CB"/>
    <w:rsid w:val="006B3B80"/>
    <w:rsid w:val="006B4E5C"/>
    <w:rsid w:val="006B78F5"/>
    <w:rsid w:val="006C143D"/>
    <w:rsid w:val="006C25D4"/>
    <w:rsid w:val="006C2A2A"/>
    <w:rsid w:val="006C34F9"/>
    <w:rsid w:val="006C4E92"/>
    <w:rsid w:val="006C5198"/>
    <w:rsid w:val="006C52ED"/>
    <w:rsid w:val="006C55AE"/>
    <w:rsid w:val="006C68D4"/>
    <w:rsid w:val="006C6B99"/>
    <w:rsid w:val="006C70B0"/>
    <w:rsid w:val="006C7C6F"/>
    <w:rsid w:val="006D385F"/>
    <w:rsid w:val="006D4ED4"/>
    <w:rsid w:val="006D53B4"/>
    <w:rsid w:val="006D71E4"/>
    <w:rsid w:val="006D73DE"/>
    <w:rsid w:val="006D78C0"/>
    <w:rsid w:val="006E02F6"/>
    <w:rsid w:val="006E044E"/>
    <w:rsid w:val="006E157B"/>
    <w:rsid w:val="006E1B1E"/>
    <w:rsid w:val="006E26E9"/>
    <w:rsid w:val="006E2840"/>
    <w:rsid w:val="006E39E6"/>
    <w:rsid w:val="006E6340"/>
    <w:rsid w:val="006F0CED"/>
    <w:rsid w:val="006F2CCB"/>
    <w:rsid w:val="006F3B01"/>
    <w:rsid w:val="006F443B"/>
    <w:rsid w:val="007001A9"/>
    <w:rsid w:val="00700AA4"/>
    <w:rsid w:val="00701BBF"/>
    <w:rsid w:val="00702267"/>
    <w:rsid w:val="007037F7"/>
    <w:rsid w:val="007038E5"/>
    <w:rsid w:val="00703B8D"/>
    <w:rsid w:val="00704A7A"/>
    <w:rsid w:val="00704D94"/>
    <w:rsid w:val="00705CC1"/>
    <w:rsid w:val="00706E1E"/>
    <w:rsid w:val="00706FA0"/>
    <w:rsid w:val="007075C2"/>
    <w:rsid w:val="00710A86"/>
    <w:rsid w:val="00710D05"/>
    <w:rsid w:val="00711B25"/>
    <w:rsid w:val="00711D71"/>
    <w:rsid w:val="00714176"/>
    <w:rsid w:val="007141EF"/>
    <w:rsid w:val="00714251"/>
    <w:rsid w:val="00714AF6"/>
    <w:rsid w:val="00715EB3"/>
    <w:rsid w:val="0072060F"/>
    <w:rsid w:val="007219E1"/>
    <w:rsid w:val="00722167"/>
    <w:rsid w:val="00722822"/>
    <w:rsid w:val="0072321E"/>
    <w:rsid w:val="007252CC"/>
    <w:rsid w:val="007257A5"/>
    <w:rsid w:val="00725CE7"/>
    <w:rsid w:val="00725CF1"/>
    <w:rsid w:val="00727E09"/>
    <w:rsid w:val="00727E3D"/>
    <w:rsid w:val="007302C2"/>
    <w:rsid w:val="00730A79"/>
    <w:rsid w:val="00730EFC"/>
    <w:rsid w:val="00730F4A"/>
    <w:rsid w:val="00731098"/>
    <w:rsid w:val="00732BAD"/>
    <w:rsid w:val="00733651"/>
    <w:rsid w:val="00734A89"/>
    <w:rsid w:val="00736245"/>
    <w:rsid w:val="00740AD6"/>
    <w:rsid w:val="00740D70"/>
    <w:rsid w:val="00741690"/>
    <w:rsid w:val="0074288F"/>
    <w:rsid w:val="00743740"/>
    <w:rsid w:val="00744640"/>
    <w:rsid w:val="007449BC"/>
    <w:rsid w:val="00744FE6"/>
    <w:rsid w:val="007451C6"/>
    <w:rsid w:val="007467D9"/>
    <w:rsid w:val="00747B7A"/>
    <w:rsid w:val="007502AF"/>
    <w:rsid w:val="0075083E"/>
    <w:rsid w:val="007508DA"/>
    <w:rsid w:val="00750BB7"/>
    <w:rsid w:val="00752D70"/>
    <w:rsid w:val="0075374D"/>
    <w:rsid w:val="00753914"/>
    <w:rsid w:val="00753C35"/>
    <w:rsid w:val="00754F19"/>
    <w:rsid w:val="00755117"/>
    <w:rsid w:val="0075528A"/>
    <w:rsid w:val="007561E9"/>
    <w:rsid w:val="007567EC"/>
    <w:rsid w:val="00756E57"/>
    <w:rsid w:val="00757BA1"/>
    <w:rsid w:val="00760357"/>
    <w:rsid w:val="00761E94"/>
    <w:rsid w:val="00761F27"/>
    <w:rsid w:val="007642C3"/>
    <w:rsid w:val="007643F0"/>
    <w:rsid w:val="00764D7B"/>
    <w:rsid w:val="0076575B"/>
    <w:rsid w:val="00765EF4"/>
    <w:rsid w:val="00766949"/>
    <w:rsid w:val="00767080"/>
    <w:rsid w:val="00767D49"/>
    <w:rsid w:val="0077012A"/>
    <w:rsid w:val="00772746"/>
    <w:rsid w:val="00772958"/>
    <w:rsid w:val="00772D15"/>
    <w:rsid w:val="00772EAD"/>
    <w:rsid w:val="007732C3"/>
    <w:rsid w:val="00773939"/>
    <w:rsid w:val="00773A3F"/>
    <w:rsid w:val="007749E8"/>
    <w:rsid w:val="00774F20"/>
    <w:rsid w:val="00774F96"/>
    <w:rsid w:val="007751AE"/>
    <w:rsid w:val="00775704"/>
    <w:rsid w:val="0077572D"/>
    <w:rsid w:val="00776CF3"/>
    <w:rsid w:val="00776EB8"/>
    <w:rsid w:val="00777F5A"/>
    <w:rsid w:val="007801D9"/>
    <w:rsid w:val="00780475"/>
    <w:rsid w:val="00780944"/>
    <w:rsid w:val="007812DD"/>
    <w:rsid w:val="007818AD"/>
    <w:rsid w:val="007822DD"/>
    <w:rsid w:val="007824F5"/>
    <w:rsid w:val="00784C89"/>
    <w:rsid w:val="007850B5"/>
    <w:rsid w:val="00785A23"/>
    <w:rsid w:val="00786CFA"/>
    <w:rsid w:val="007901B0"/>
    <w:rsid w:val="00790E7F"/>
    <w:rsid w:val="00791181"/>
    <w:rsid w:val="00791BFD"/>
    <w:rsid w:val="00792A57"/>
    <w:rsid w:val="00793443"/>
    <w:rsid w:val="00794C05"/>
    <w:rsid w:val="00795128"/>
    <w:rsid w:val="00797A79"/>
    <w:rsid w:val="00797BB7"/>
    <w:rsid w:val="007A179C"/>
    <w:rsid w:val="007A272C"/>
    <w:rsid w:val="007A38F7"/>
    <w:rsid w:val="007A472C"/>
    <w:rsid w:val="007A554F"/>
    <w:rsid w:val="007A56BA"/>
    <w:rsid w:val="007A5BEB"/>
    <w:rsid w:val="007A6701"/>
    <w:rsid w:val="007A7062"/>
    <w:rsid w:val="007B0148"/>
    <w:rsid w:val="007B1374"/>
    <w:rsid w:val="007B22DE"/>
    <w:rsid w:val="007B31F1"/>
    <w:rsid w:val="007B4B45"/>
    <w:rsid w:val="007B4D14"/>
    <w:rsid w:val="007B6439"/>
    <w:rsid w:val="007B661B"/>
    <w:rsid w:val="007B6950"/>
    <w:rsid w:val="007B6D48"/>
    <w:rsid w:val="007B7104"/>
    <w:rsid w:val="007B7CFE"/>
    <w:rsid w:val="007B7F68"/>
    <w:rsid w:val="007C0112"/>
    <w:rsid w:val="007C108C"/>
    <w:rsid w:val="007C46E7"/>
    <w:rsid w:val="007C4F39"/>
    <w:rsid w:val="007C5A67"/>
    <w:rsid w:val="007C5B5E"/>
    <w:rsid w:val="007C5CA8"/>
    <w:rsid w:val="007C674D"/>
    <w:rsid w:val="007C76C9"/>
    <w:rsid w:val="007D02B5"/>
    <w:rsid w:val="007D47A7"/>
    <w:rsid w:val="007D6B45"/>
    <w:rsid w:val="007D6E06"/>
    <w:rsid w:val="007D7104"/>
    <w:rsid w:val="007D7CEE"/>
    <w:rsid w:val="007E0001"/>
    <w:rsid w:val="007E051A"/>
    <w:rsid w:val="007E1585"/>
    <w:rsid w:val="007E1CA6"/>
    <w:rsid w:val="007E203D"/>
    <w:rsid w:val="007E394D"/>
    <w:rsid w:val="007E5C47"/>
    <w:rsid w:val="007E6960"/>
    <w:rsid w:val="007E78EB"/>
    <w:rsid w:val="007E7986"/>
    <w:rsid w:val="007F099B"/>
    <w:rsid w:val="007F1F30"/>
    <w:rsid w:val="007F2C63"/>
    <w:rsid w:val="007F3A44"/>
    <w:rsid w:val="007F43EA"/>
    <w:rsid w:val="007F5B0C"/>
    <w:rsid w:val="007F5C73"/>
    <w:rsid w:val="007F6617"/>
    <w:rsid w:val="008001A8"/>
    <w:rsid w:val="00800209"/>
    <w:rsid w:val="0080122B"/>
    <w:rsid w:val="00801B97"/>
    <w:rsid w:val="00803A36"/>
    <w:rsid w:val="00803C4F"/>
    <w:rsid w:val="0080452B"/>
    <w:rsid w:val="0080582E"/>
    <w:rsid w:val="0081266B"/>
    <w:rsid w:val="0081404E"/>
    <w:rsid w:val="0081788B"/>
    <w:rsid w:val="00817AEE"/>
    <w:rsid w:val="00821958"/>
    <w:rsid w:val="00822B65"/>
    <w:rsid w:val="00822D52"/>
    <w:rsid w:val="00824895"/>
    <w:rsid w:val="00825552"/>
    <w:rsid w:val="0082703B"/>
    <w:rsid w:val="00830B4A"/>
    <w:rsid w:val="0083163C"/>
    <w:rsid w:val="00832CA9"/>
    <w:rsid w:val="00833937"/>
    <w:rsid w:val="0083505E"/>
    <w:rsid w:val="008350C4"/>
    <w:rsid w:val="00835986"/>
    <w:rsid w:val="008366A1"/>
    <w:rsid w:val="00836A9F"/>
    <w:rsid w:val="008375E5"/>
    <w:rsid w:val="00837AA3"/>
    <w:rsid w:val="008405A0"/>
    <w:rsid w:val="008427CA"/>
    <w:rsid w:val="0084284C"/>
    <w:rsid w:val="00846EFA"/>
    <w:rsid w:val="008478BF"/>
    <w:rsid w:val="00847C75"/>
    <w:rsid w:val="00850B32"/>
    <w:rsid w:val="00850CA2"/>
    <w:rsid w:val="00850F82"/>
    <w:rsid w:val="00851542"/>
    <w:rsid w:val="00851D43"/>
    <w:rsid w:val="008524E2"/>
    <w:rsid w:val="00854013"/>
    <w:rsid w:val="00855064"/>
    <w:rsid w:val="008559C9"/>
    <w:rsid w:val="00855E2C"/>
    <w:rsid w:val="00855ED2"/>
    <w:rsid w:val="0085636C"/>
    <w:rsid w:val="008568ED"/>
    <w:rsid w:val="00857452"/>
    <w:rsid w:val="008602B7"/>
    <w:rsid w:val="00862022"/>
    <w:rsid w:val="00863BC8"/>
    <w:rsid w:val="0086478B"/>
    <w:rsid w:val="00865202"/>
    <w:rsid w:val="00865461"/>
    <w:rsid w:val="00865554"/>
    <w:rsid w:val="00865B2E"/>
    <w:rsid w:val="008661E6"/>
    <w:rsid w:val="00866872"/>
    <w:rsid w:val="00867133"/>
    <w:rsid w:val="00867507"/>
    <w:rsid w:val="00867E86"/>
    <w:rsid w:val="00867E9A"/>
    <w:rsid w:val="00873923"/>
    <w:rsid w:val="00874366"/>
    <w:rsid w:val="00874A26"/>
    <w:rsid w:val="00875C54"/>
    <w:rsid w:val="0087612E"/>
    <w:rsid w:val="008770B4"/>
    <w:rsid w:val="00881144"/>
    <w:rsid w:val="008816D3"/>
    <w:rsid w:val="00881759"/>
    <w:rsid w:val="00884659"/>
    <w:rsid w:val="00884FB3"/>
    <w:rsid w:val="008859D0"/>
    <w:rsid w:val="00886555"/>
    <w:rsid w:val="0089025B"/>
    <w:rsid w:val="0089274A"/>
    <w:rsid w:val="00893B66"/>
    <w:rsid w:val="00894780"/>
    <w:rsid w:val="0089535D"/>
    <w:rsid w:val="00895408"/>
    <w:rsid w:val="008A045F"/>
    <w:rsid w:val="008A0944"/>
    <w:rsid w:val="008A0D4A"/>
    <w:rsid w:val="008A22BA"/>
    <w:rsid w:val="008A2935"/>
    <w:rsid w:val="008A343F"/>
    <w:rsid w:val="008A491B"/>
    <w:rsid w:val="008A4EBE"/>
    <w:rsid w:val="008A605C"/>
    <w:rsid w:val="008A68C7"/>
    <w:rsid w:val="008A70D7"/>
    <w:rsid w:val="008A7D03"/>
    <w:rsid w:val="008B1A0B"/>
    <w:rsid w:val="008B1B61"/>
    <w:rsid w:val="008B29FA"/>
    <w:rsid w:val="008B2DBE"/>
    <w:rsid w:val="008B407B"/>
    <w:rsid w:val="008B4F28"/>
    <w:rsid w:val="008B7A4E"/>
    <w:rsid w:val="008B7AF6"/>
    <w:rsid w:val="008C1B36"/>
    <w:rsid w:val="008C1BF3"/>
    <w:rsid w:val="008C2824"/>
    <w:rsid w:val="008C2966"/>
    <w:rsid w:val="008C5214"/>
    <w:rsid w:val="008C580F"/>
    <w:rsid w:val="008C5820"/>
    <w:rsid w:val="008C669F"/>
    <w:rsid w:val="008C77D0"/>
    <w:rsid w:val="008C783C"/>
    <w:rsid w:val="008D0642"/>
    <w:rsid w:val="008D08DC"/>
    <w:rsid w:val="008D12C5"/>
    <w:rsid w:val="008D14D8"/>
    <w:rsid w:val="008D1CC5"/>
    <w:rsid w:val="008D3855"/>
    <w:rsid w:val="008D4A17"/>
    <w:rsid w:val="008D4CE6"/>
    <w:rsid w:val="008D5EEB"/>
    <w:rsid w:val="008D6B4C"/>
    <w:rsid w:val="008D717B"/>
    <w:rsid w:val="008D7746"/>
    <w:rsid w:val="008E01BE"/>
    <w:rsid w:val="008E1D2C"/>
    <w:rsid w:val="008E217D"/>
    <w:rsid w:val="008E23F4"/>
    <w:rsid w:val="008E269A"/>
    <w:rsid w:val="008E29AF"/>
    <w:rsid w:val="008E33C6"/>
    <w:rsid w:val="008E372B"/>
    <w:rsid w:val="008E3CC5"/>
    <w:rsid w:val="008E44E1"/>
    <w:rsid w:val="008E57B2"/>
    <w:rsid w:val="008E5B8A"/>
    <w:rsid w:val="008E5BE4"/>
    <w:rsid w:val="008E5D2E"/>
    <w:rsid w:val="008E64ED"/>
    <w:rsid w:val="008E6988"/>
    <w:rsid w:val="008F0DE2"/>
    <w:rsid w:val="008F1374"/>
    <w:rsid w:val="008F1BDB"/>
    <w:rsid w:val="008F2FFB"/>
    <w:rsid w:val="008F327C"/>
    <w:rsid w:val="008F344B"/>
    <w:rsid w:val="008F40E4"/>
    <w:rsid w:val="008F4769"/>
    <w:rsid w:val="008F4A6D"/>
    <w:rsid w:val="008F5194"/>
    <w:rsid w:val="008F656C"/>
    <w:rsid w:val="0090011A"/>
    <w:rsid w:val="0090170F"/>
    <w:rsid w:val="009019BB"/>
    <w:rsid w:val="00901C7D"/>
    <w:rsid w:val="00903495"/>
    <w:rsid w:val="00905149"/>
    <w:rsid w:val="009068D1"/>
    <w:rsid w:val="00907999"/>
    <w:rsid w:val="0091067F"/>
    <w:rsid w:val="00911120"/>
    <w:rsid w:val="009113FC"/>
    <w:rsid w:val="00911D46"/>
    <w:rsid w:val="00911D65"/>
    <w:rsid w:val="0091293B"/>
    <w:rsid w:val="00913FFD"/>
    <w:rsid w:val="00914412"/>
    <w:rsid w:val="0091451C"/>
    <w:rsid w:val="00915B5D"/>
    <w:rsid w:val="00915D89"/>
    <w:rsid w:val="00917DAB"/>
    <w:rsid w:val="009208C3"/>
    <w:rsid w:val="00920BA0"/>
    <w:rsid w:val="00920EF3"/>
    <w:rsid w:val="00922171"/>
    <w:rsid w:val="009225EA"/>
    <w:rsid w:val="00922C25"/>
    <w:rsid w:val="009237AE"/>
    <w:rsid w:val="00924140"/>
    <w:rsid w:val="009262E3"/>
    <w:rsid w:val="009266D4"/>
    <w:rsid w:val="009270F6"/>
    <w:rsid w:val="00932163"/>
    <w:rsid w:val="00932D23"/>
    <w:rsid w:val="00934589"/>
    <w:rsid w:val="009349AB"/>
    <w:rsid w:val="009365AD"/>
    <w:rsid w:val="009374C2"/>
    <w:rsid w:val="00937A83"/>
    <w:rsid w:val="00937CA3"/>
    <w:rsid w:val="00937D35"/>
    <w:rsid w:val="00940200"/>
    <w:rsid w:val="00941401"/>
    <w:rsid w:val="00941834"/>
    <w:rsid w:val="00943052"/>
    <w:rsid w:val="009438DF"/>
    <w:rsid w:val="00944AC6"/>
    <w:rsid w:val="00946B90"/>
    <w:rsid w:val="00947DD8"/>
    <w:rsid w:val="00950046"/>
    <w:rsid w:val="009511CC"/>
    <w:rsid w:val="009526FB"/>
    <w:rsid w:val="009529C7"/>
    <w:rsid w:val="00952CE2"/>
    <w:rsid w:val="0095498E"/>
    <w:rsid w:val="0095533D"/>
    <w:rsid w:val="009555B4"/>
    <w:rsid w:val="00956312"/>
    <w:rsid w:val="009563A5"/>
    <w:rsid w:val="0095748C"/>
    <w:rsid w:val="0096063A"/>
    <w:rsid w:val="00960A71"/>
    <w:rsid w:val="00960C5B"/>
    <w:rsid w:val="009617E3"/>
    <w:rsid w:val="00961BD9"/>
    <w:rsid w:val="0096279A"/>
    <w:rsid w:val="00962C07"/>
    <w:rsid w:val="009641A2"/>
    <w:rsid w:val="00964577"/>
    <w:rsid w:val="00965216"/>
    <w:rsid w:val="0096546E"/>
    <w:rsid w:val="009675C9"/>
    <w:rsid w:val="00970EA5"/>
    <w:rsid w:val="009711C5"/>
    <w:rsid w:val="009719C6"/>
    <w:rsid w:val="00972026"/>
    <w:rsid w:val="00972040"/>
    <w:rsid w:val="009724C2"/>
    <w:rsid w:val="009728A0"/>
    <w:rsid w:val="00972904"/>
    <w:rsid w:val="0097388C"/>
    <w:rsid w:val="00973A15"/>
    <w:rsid w:val="00973CD8"/>
    <w:rsid w:val="00974190"/>
    <w:rsid w:val="0097419E"/>
    <w:rsid w:val="009777D3"/>
    <w:rsid w:val="00977867"/>
    <w:rsid w:val="00977A6E"/>
    <w:rsid w:val="0098028B"/>
    <w:rsid w:val="00980F43"/>
    <w:rsid w:val="009812E8"/>
    <w:rsid w:val="009839BE"/>
    <w:rsid w:val="00985D6C"/>
    <w:rsid w:val="00986166"/>
    <w:rsid w:val="0098621F"/>
    <w:rsid w:val="00986AEE"/>
    <w:rsid w:val="00986BD9"/>
    <w:rsid w:val="009871D0"/>
    <w:rsid w:val="00991022"/>
    <w:rsid w:val="0099127A"/>
    <w:rsid w:val="00991B7D"/>
    <w:rsid w:val="009921A4"/>
    <w:rsid w:val="009925F0"/>
    <w:rsid w:val="009929AC"/>
    <w:rsid w:val="00992C7F"/>
    <w:rsid w:val="009938CA"/>
    <w:rsid w:val="009939D8"/>
    <w:rsid w:val="009939E8"/>
    <w:rsid w:val="00993D13"/>
    <w:rsid w:val="009940A6"/>
    <w:rsid w:val="009942D5"/>
    <w:rsid w:val="009949C4"/>
    <w:rsid w:val="009968FF"/>
    <w:rsid w:val="009A221D"/>
    <w:rsid w:val="009A3155"/>
    <w:rsid w:val="009A319E"/>
    <w:rsid w:val="009A443B"/>
    <w:rsid w:val="009A4F6A"/>
    <w:rsid w:val="009A57A6"/>
    <w:rsid w:val="009A6D0A"/>
    <w:rsid w:val="009B35F5"/>
    <w:rsid w:val="009B3E21"/>
    <w:rsid w:val="009B45D8"/>
    <w:rsid w:val="009B4AC1"/>
    <w:rsid w:val="009B6ABA"/>
    <w:rsid w:val="009C07BE"/>
    <w:rsid w:val="009C0836"/>
    <w:rsid w:val="009C0BB6"/>
    <w:rsid w:val="009C12C2"/>
    <w:rsid w:val="009C13B3"/>
    <w:rsid w:val="009C1CED"/>
    <w:rsid w:val="009C242E"/>
    <w:rsid w:val="009C3358"/>
    <w:rsid w:val="009C41D6"/>
    <w:rsid w:val="009C4E30"/>
    <w:rsid w:val="009C6240"/>
    <w:rsid w:val="009C71F1"/>
    <w:rsid w:val="009C7D19"/>
    <w:rsid w:val="009D2374"/>
    <w:rsid w:val="009D3619"/>
    <w:rsid w:val="009D7DBD"/>
    <w:rsid w:val="009E0297"/>
    <w:rsid w:val="009E0A42"/>
    <w:rsid w:val="009E12C7"/>
    <w:rsid w:val="009E3D74"/>
    <w:rsid w:val="009E46E3"/>
    <w:rsid w:val="009E4C48"/>
    <w:rsid w:val="009E5056"/>
    <w:rsid w:val="009E5FA3"/>
    <w:rsid w:val="009E6C19"/>
    <w:rsid w:val="009E7E2E"/>
    <w:rsid w:val="009F01C7"/>
    <w:rsid w:val="009F0242"/>
    <w:rsid w:val="009F306C"/>
    <w:rsid w:val="009F32F9"/>
    <w:rsid w:val="009F38D2"/>
    <w:rsid w:val="009F46A5"/>
    <w:rsid w:val="009F5315"/>
    <w:rsid w:val="009F5705"/>
    <w:rsid w:val="009F613E"/>
    <w:rsid w:val="009F6175"/>
    <w:rsid w:val="009F68A1"/>
    <w:rsid w:val="009F6FA3"/>
    <w:rsid w:val="00A003DB"/>
    <w:rsid w:val="00A02E17"/>
    <w:rsid w:val="00A049BA"/>
    <w:rsid w:val="00A06956"/>
    <w:rsid w:val="00A079FD"/>
    <w:rsid w:val="00A1104E"/>
    <w:rsid w:val="00A12854"/>
    <w:rsid w:val="00A12D33"/>
    <w:rsid w:val="00A14341"/>
    <w:rsid w:val="00A14CA5"/>
    <w:rsid w:val="00A15E0D"/>
    <w:rsid w:val="00A16104"/>
    <w:rsid w:val="00A16235"/>
    <w:rsid w:val="00A17AB4"/>
    <w:rsid w:val="00A20679"/>
    <w:rsid w:val="00A20DF2"/>
    <w:rsid w:val="00A21642"/>
    <w:rsid w:val="00A22705"/>
    <w:rsid w:val="00A22D1D"/>
    <w:rsid w:val="00A231DC"/>
    <w:rsid w:val="00A242D9"/>
    <w:rsid w:val="00A25F8A"/>
    <w:rsid w:val="00A261EB"/>
    <w:rsid w:val="00A266CF"/>
    <w:rsid w:val="00A26B0D"/>
    <w:rsid w:val="00A2727C"/>
    <w:rsid w:val="00A27A5E"/>
    <w:rsid w:val="00A27EAD"/>
    <w:rsid w:val="00A314BA"/>
    <w:rsid w:val="00A32790"/>
    <w:rsid w:val="00A32A05"/>
    <w:rsid w:val="00A3439D"/>
    <w:rsid w:val="00A353C7"/>
    <w:rsid w:val="00A3576C"/>
    <w:rsid w:val="00A35BE3"/>
    <w:rsid w:val="00A37461"/>
    <w:rsid w:val="00A37B86"/>
    <w:rsid w:val="00A37F78"/>
    <w:rsid w:val="00A412FF"/>
    <w:rsid w:val="00A437C9"/>
    <w:rsid w:val="00A44357"/>
    <w:rsid w:val="00A44FFE"/>
    <w:rsid w:val="00A45A43"/>
    <w:rsid w:val="00A468B6"/>
    <w:rsid w:val="00A46E6E"/>
    <w:rsid w:val="00A501CC"/>
    <w:rsid w:val="00A502D6"/>
    <w:rsid w:val="00A5218F"/>
    <w:rsid w:val="00A5245B"/>
    <w:rsid w:val="00A543B1"/>
    <w:rsid w:val="00A54D5E"/>
    <w:rsid w:val="00A57D60"/>
    <w:rsid w:val="00A640F2"/>
    <w:rsid w:val="00A648B7"/>
    <w:rsid w:val="00A67255"/>
    <w:rsid w:val="00A674E7"/>
    <w:rsid w:val="00A676FA"/>
    <w:rsid w:val="00A7014E"/>
    <w:rsid w:val="00A702BE"/>
    <w:rsid w:val="00A70986"/>
    <w:rsid w:val="00A71893"/>
    <w:rsid w:val="00A722EC"/>
    <w:rsid w:val="00A72399"/>
    <w:rsid w:val="00A731D6"/>
    <w:rsid w:val="00A7335D"/>
    <w:rsid w:val="00A735B9"/>
    <w:rsid w:val="00A74A0A"/>
    <w:rsid w:val="00A751BD"/>
    <w:rsid w:val="00A75774"/>
    <w:rsid w:val="00A757F4"/>
    <w:rsid w:val="00A77AF9"/>
    <w:rsid w:val="00A81306"/>
    <w:rsid w:val="00A813B8"/>
    <w:rsid w:val="00A8147D"/>
    <w:rsid w:val="00A81C50"/>
    <w:rsid w:val="00A8204F"/>
    <w:rsid w:val="00A82219"/>
    <w:rsid w:val="00A8261C"/>
    <w:rsid w:val="00A8272B"/>
    <w:rsid w:val="00A82D47"/>
    <w:rsid w:val="00A84010"/>
    <w:rsid w:val="00A85F73"/>
    <w:rsid w:val="00A862F3"/>
    <w:rsid w:val="00A87576"/>
    <w:rsid w:val="00A87BBB"/>
    <w:rsid w:val="00A93F25"/>
    <w:rsid w:val="00A94284"/>
    <w:rsid w:val="00A94EC0"/>
    <w:rsid w:val="00A971FE"/>
    <w:rsid w:val="00A974EA"/>
    <w:rsid w:val="00AA050A"/>
    <w:rsid w:val="00AA0909"/>
    <w:rsid w:val="00AA1433"/>
    <w:rsid w:val="00AA15BE"/>
    <w:rsid w:val="00AA3BE7"/>
    <w:rsid w:val="00AA4392"/>
    <w:rsid w:val="00AA4812"/>
    <w:rsid w:val="00AA4C33"/>
    <w:rsid w:val="00AA506A"/>
    <w:rsid w:val="00AA6186"/>
    <w:rsid w:val="00AA66FF"/>
    <w:rsid w:val="00AA6B53"/>
    <w:rsid w:val="00AA73D3"/>
    <w:rsid w:val="00AA7E14"/>
    <w:rsid w:val="00AA7F02"/>
    <w:rsid w:val="00AA7F1B"/>
    <w:rsid w:val="00AB132A"/>
    <w:rsid w:val="00AB1E8D"/>
    <w:rsid w:val="00AB3D4D"/>
    <w:rsid w:val="00AB51AA"/>
    <w:rsid w:val="00AB5788"/>
    <w:rsid w:val="00AB73A6"/>
    <w:rsid w:val="00AB7957"/>
    <w:rsid w:val="00AB7CAC"/>
    <w:rsid w:val="00AC0E51"/>
    <w:rsid w:val="00AC25D8"/>
    <w:rsid w:val="00AC3CAD"/>
    <w:rsid w:val="00AC519A"/>
    <w:rsid w:val="00AC5799"/>
    <w:rsid w:val="00AC68B2"/>
    <w:rsid w:val="00AC6AA5"/>
    <w:rsid w:val="00AC7383"/>
    <w:rsid w:val="00AC7C65"/>
    <w:rsid w:val="00AD0BC0"/>
    <w:rsid w:val="00AD0FAA"/>
    <w:rsid w:val="00AD157F"/>
    <w:rsid w:val="00AD233E"/>
    <w:rsid w:val="00AD2606"/>
    <w:rsid w:val="00AD2907"/>
    <w:rsid w:val="00AD3D61"/>
    <w:rsid w:val="00AD3F93"/>
    <w:rsid w:val="00AD440B"/>
    <w:rsid w:val="00AD5ECC"/>
    <w:rsid w:val="00AE23F0"/>
    <w:rsid w:val="00AE24A7"/>
    <w:rsid w:val="00AE2FD4"/>
    <w:rsid w:val="00AE3842"/>
    <w:rsid w:val="00AE401B"/>
    <w:rsid w:val="00AE4C18"/>
    <w:rsid w:val="00AE5A5A"/>
    <w:rsid w:val="00AE5B96"/>
    <w:rsid w:val="00AE634D"/>
    <w:rsid w:val="00AE6B6D"/>
    <w:rsid w:val="00AF1DD4"/>
    <w:rsid w:val="00AF292D"/>
    <w:rsid w:val="00AF332B"/>
    <w:rsid w:val="00AF4824"/>
    <w:rsid w:val="00AF4DE6"/>
    <w:rsid w:val="00AF59AE"/>
    <w:rsid w:val="00AF6576"/>
    <w:rsid w:val="00AF6967"/>
    <w:rsid w:val="00AF6F95"/>
    <w:rsid w:val="00AF746C"/>
    <w:rsid w:val="00B00067"/>
    <w:rsid w:val="00B00126"/>
    <w:rsid w:val="00B04060"/>
    <w:rsid w:val="00B042B3"/>
    <w:rsid w:val="00B042C4"/>
    <w:rsid w:val="00B04FCE"/>
    <w:rsid w:val="00B0785C"/>
    <w:rsid w:val="00B1096B"/>
    <w:rsid w:val="00B1578F"/>
    <w:rsid w:val="00B15B52"/>
    <w:rsid w:val="00B15DC5"/>
    <w:rsid w:val="00B160E2"/>
    <w:rsid w:val="00B16BC1"/>
    <w:rsid w:val="00B17998"/>
    <w:rsid w:val="00B20689"/>
    <w:rsid w:val="00B2097F"/>
    <w:rsid w:val="00B210F9"/>
    <w:rsid w:val="00B2216A"/>
    <w:rsid w:val="00B2254A"/>
    <w:rsid w:val="00B225F7"/>
    <w:rsid w:val="00B22E91"/>
    <w:rsid w:val="00B23B14"/>
    <w:rsid w:val="00B25369"/>
    <w:rsid w:val="00B264D7"/>
    <w:rsid w:val="00B31269"/>
    <w:rsid w:val="00B314F1"/>
    <w:rsid w:val="00B31B20"/>
    <w:rsid w:val="00B330DE"/>
    <w:rsid w:val="00B340C4"/>
    <w:rsid w:val="00B34431"/>
    <w:rsid w:val="00B355E6"/>
    <w:rsid w:val="00B360DF"/>
    <w:rsid w:val="00B3613C"/>
    <w:rsid w:val="00B37360"/>
    <w:rsid w:val="00B377D1"/>
    <w:rsid w:val="00B40118"/>
    <w:rsid w:val="00B4032D"/>
    <w:rsid w:val="00B4071A"/>
    <w:rsid w:val="00B4158F"/>
    <w:rsid w:val="00B417EB"/>
    <w:rsid w:val="00B41CE4"/>
    <w:rsid w:val="00B42A14"/>
    <w:rsid w:val="00B42A84"/>
    <w:rsid w:val="00B42D98"/>
    <w:rsid w:val="00B42E77"/>
    <w:rsid w:val="00B447F1"/>
    <w:rsid w:val="00B44BC5"/>
    <w:rsid w:val="00B45E46"/>
    <w:rsid w:val="00B460D1"/>
    <w:rsid w:val="00B468AA"/>
    <w:rsid w:val="00B479DE"/>
    <w:rsid w:val="00B47E91"/>
    <w:rsid w:val="00B47FA0"/>
    <w:rsid w:val="00B502CD"/>
    <w:rsid w:val="00B50D5E"/>
    <w:rsid w:val="00B51338"/>
    <w:rsid w:val="00B521B4"/>
    <w:rsid w:val="00B5221C"/>
    <w:rsid w:val="00B537B0"/>
    <w:rsid w:val="00B5486D"/>
    <w:rsid w:val="00B548A7"/>
    <w:rsid w:val="00B55568"/>
    <w:rsid w:val="00B568E2"/>
    <w:rsid w:val="00B6018F"/>
    <w:rsid w:val="00B60685"/>
    <w:rsid w:val="00B60CFB"/>
    <w:rsid w:val="00B61DA7"/>
    <w:rsid w:val="00B61F47"/>
    <w:rsid w:val="00B62D37"/>
    <w:rsid w:val="00B63501"/>
    <w:rsid w:val="00B63D0E"/>
    <w:rsid w:val="00B63D47"/>
    <w:rsid w:val="00B659DD"/>
    <w:rsid w:val="00B65B62"/>
    <w:rsid w:val="00B65F6A"/>
    <w:rsid w:val="00B70023"/>
    <w:rsid w:val="00B70F37"/>
    <w:rsid w:val="00B730C1"/>
    <w:rsid w:val="00B7334A"/>
    <w:rsid w:val="00B73730"/>
    <w:rsid w:val="00B73D3A"/>
    <w:rsid w:val="00B805C1"/>
    <w:rsid w:val="00B80BBD"/>
    <w:rsid w:val="00B81576"/>
    <w:rsid w:val="00B83100"/>
    <w:rsid w:val="00B84A9A"/>
    <w:rsid w:val="00B84BE9"/>
    <w:rsid w:val="00B8505F"/>
    <w:rsid w:val="00B8556B"/>
    <w:rsid w:val="00B863AC"/>
    <w:rsid w:val="00B86B2B"/>
    <w:rsid w:val="00B87EE5"/>
    <w:rsid w:val="00B91295"/>
    <w:rsid w:val="00B91392"/>
    <w:rsid w:val="00B914A2"/>
    <w:rsid w:val="00B914CC"/>
    <w:rsid w:val="00B92260"/>
    <w:rsid w:val="00B924FF"/>
    <w:rsid w:val="00B930BA"/>
    <w:rsid w:val="00B945B4"/>
    <w:rsid w:val="00B96603"/>
    <w:rsid w:val="00B968F1"/>
    <w:rsid w:val="00B97A75"/>
    <w:rsid w:val="00BA027A"/>
    <w:rsid w:val="00BA068C"/>
    <w:rsid w:val="00BA1497"/>
    <w:rsid w:val="00BA221B"/>
    <w:rsid w:val="00BA22C5"/>
    <w:rsid w:val="00BA32C0"/>
    <w:rsid w:val="00BA3A3D"/>
    <w:rsid w:val="00BA3BA8"/>
    <w:rsid w:val="00BA523D"/>
    <w:rsid w:val="00BA5BFC"/>
    <w:rsid w:val="00BA5E7F"/>
    <w:rsid w:val="00BA625E"/>
    <w:rsid w:val="00BA6759"/>
    <w:rsid w:val="00BA689A"/>
    <w:rsid w:val="00BA6C03"/>
    <w:rsid w:val="00BA784F"/>
    <w:rsid w:val="00BB05A6"/>
    <w:rsid w:val="00BB0C03"/>
    <w:rsid w:val="00BB14EC"/>
    <w:rsid w:val="00BB1B6E"/>
    <w:rsid w:val="00BB2790"/>
    <w:rsid w:val="00BB2C4F"/>
    <w:rsid w:val="00BB3240"/>
    <w:rsid w:val="00BC0F7E"/>
    <w:rsid w:val="00BC1D37"/>
    <w:rsid w:val="00BC1F98"/>
    <w:rsid w:val="00BC21D8"/>
    <w:rsid w:val="00BC2494"/>
    <w:rsid w:val="00BC3204"/>
    <w:rsid w:val="00BC436C"/>
    <w:rsid w:val="00BC4BDF"/>
    <w:rsid w:val="00BC67A0"/>
    <w:rsid w:val="00BC6FD5"/>
    <w:rsid w:val="00BD07D9"/>
    <w:rsid w:val="00BD1011"/>
    <w:rsid w:val="00BD1961"/>
    <w:rsid w:val="00BD1EAD"/>
    <w:rsid w:val="00BD3ABA"/>
    <w:rsid w:val="00BD3F0D"/>
    <w:rsid w:val="00BD47CC"/>
    <w:rsid w:val="00BD6C26"/>
    <w:rsid w:val="00BD71EB"/>
    <w:rsid w:val="00BD7960"/>
    <w:rsid w:val="00BE4BFB"/>
    <w:rsid w:val="00BE5684"/>
    <w:rsid w:val="00BE5950"/>
    <w:rsid w:val="00BE5EA6"/>
    <w:rsid w:val="00BE68CB"/>
    <w:rsid w:val="00BE739F"/>
    <w:rsid w:val="00BF045F"/>
    <w:rsid w:val="00BF076F"/>
    <w:rsid w:val="00BF0A95"/>
    <w:rsid w:val="00BF17F0"/>
    <w:rsid w:val="00BF196E"/>
    <w:rsid w:val="00BF3786"/>
    <w:rsid w:val="00BF418D"/>
    <w:rsid w:val="00BF462D"/>
    <w:rsid w:val="00BF479F"/>
    <w:rsid w:val="00BF65EA"/>
    <w:rsid w:val="00BF67C3"/>
    <w:rsid w:val="00BF6AF2"/>
    <w:rsid w:val="00BF6FDC"/>
    <w:rsid w:val="00BF723B"/>
    <w:rsid w:val="00BF7DD9"/>
    <w:rsid w:val="00C0072C"/>
    <w:rsid w:val="00C00DB6"/>
    <w:rsid w:val="00C0163B"/>
    <w:rsid w:val="00C03D5D"/>
    <w:rsid w:val="00C067AF"/>
    <w:rsid w:val="00C07541"/>
    <w:rsid w:val="00C10F55"/>
    <w:rsid w:val="00C12474"/>
    <w:rsid w:val="00C14789"/>
    <w:rsid w:val="00C14E06"/>
    <w:rsid w:val="00C15094"/>
    <w:rsid w:val="00C16FAE"/>
    <w:rsid w:val="00C1777B"/>
    <w:rsid w:val="00C17C82"/>
    <w:rsid w:val="00C2008B"/>
    <w:rsid w:val="00C201FF"/>
    <w:rsid w:val="00C203BF"/>
    <w:rsid w:val="00C21E02"/>
    <w:rsid w:val="00C23974"/>
    <w:rsid w:val="00C23FF2"/>
    <w:rsid w:val="00C251E1"/>
    <w:rsid w:val="00C25593"/>
    <w:rsid w:val="00C25B4E"/>
    <w:rsid w:val="00C3023C"/>
    <w:rsid w:val="00C32D86"/>
    <w:rsid w:val="00C3373E"/>
    <w:rsid w:val="00C33FB4"/>
    <w:rsid w:val="00C352A1"/>
    <w:rsid w:val="00C36A32"/>
    <w:rsid w:val="00C36E43"/>
    <w:rsid w:val="00C37F91"/>
    <w:rsid w:val="00C42137"/>
    <w:rsid w:val="00C42A4B"/>
    <w:rsid w:val="00C43745"/>
    <w:rsid w:val="00C438EF"/>
    <w:rsid w:val="00C4406C"/>
    <w:rsid w:val="00C440E8"/>
    <w:rsid w:val="00C44104"/>
    <w:rsid w:val="00C459BC"/>
    <w:rsid w:val="00C470EC"/>
    <w:rsid w:val="00C47A4F"/>
    <w:rsid w:val="00C47BBC"/>
    <w:rsid w:val="00C47FAF"/>
    <w:rsid w:val="00C50522"/>
    <w:rsid w:val="00C506B0"/>
    <w:rsid w:val="00C51AC2"/>
    <w:rsid w:val="00C51FD2"/>
    <w:rsid w:val="00C51FF2"/>
    <w:rsid w:val="00C5240E"/>
    <w:rsid w:val="00C539B7"/>
    <w:rsid w:val="00C54A46"/>
    <w:rsid w:val="00C5582E"/>
    <w:rsid w:val="00C565E1"/>
    <w:rsid w:val="00C57CE6"/>
    <w:rsid w:val="00C6021E"/>
    <w:rsid w:val="00C60A75"/>
    <w:rsid w:val="00C6212F"/>
    <w:rsid w:val="00C62765"/>
    <w:rsid w:val="00C62A2C"/>
    <w:rsid w:val="00C63FD8"/>
    <w:rsid w:val="00C64A20"/>
    <w:rsid w:val="00C64C9F"/>
    <w:rsid w:val="00C64DC9"/>
    <w:rsid w:val="00C653F0"/>
    <w:rsid w:val="00C65512"/>
    <w:rsid w:val="00C65657"/>
    <w:rsid w:val="00C65BE4"/>
    <w:rsid w:val="00C65F5F"/>
    <w:rsid w:val="00C66616"/>
    <w:rsid w:val="00C666E0"/>
    <w:rsid w:val="00C670E6"/>
    <w:rsid w:val="00C67F60"/>
    <w:rsid w:val="00C70BF0"/>
    <w:rsid w:val="00C71DC3"/>
    <w:rsid w:val="00C733D9"/>
    <w:rsid w:val="00C76A10"/>
    <w:rsid w:val="00C81363"/>
    <w:rsid w:val="00C83230"/>
    <w:rsid w:val="00C835E0"/>
    <w:rsid w:val="00C8484F"/>
    <w:rsid w:val="00C84F3D"/>
    <w:rsid w:val="00C85326"/>
    <w:rsid w:val="00C85712"/>
    <w:rsid w:val="00C922FA"/>
    <w:rsid w:val="00C949A7"/>
    <w:rsid w:val="00C9590A"/>
    <w:rsid w:val="00C95F27"/>
    <w:rsid w:val="00C97D11"/>
    <w:rsid w:val="00C97FCC"/>
    <w:rsid w:val="00CA074D"/>
    <w:rsid w:val="00CA1F8D"/>
    <w:rsid w:val="00CA2523"/>
    <w:rsid w:val="00CA2D75"/>
    <w:rsid w:val="00CA348D"/>
    <w:rsid w:val="00CA4543"/>
    <w:rsid w:val="00CA6300"/>
    <w:rsid w:val="00CA6FB9"/>
    <w:rsid w:val="00CB113B"/>
    <w:rsid w:val="00CB1B66"/>
    <w:rsid w:val="00CB1BF9"/>
    <w:rsid w:val="00CB213A"/>
    <w:rsid w:val="00CB22BE"/>
    <w:rsid w:val="00CB2798"/>
    <w:rsid w:val="00CB34C1"/>
    <w:rsid w:val="00CB3A90"/>
    <w:rsid w:val="00CB4941"/>
    <w:rsid w:val="00CB4EE0"/>
    <w:rsid w:val="00CB54C4"/>
    <w:rsid w:val="00CB607F"/>
    <w:rsid w:val="00CB745A"/>
    <w:rsid w:val="00CB7E31"/>
    <w:rsid w:val="00CC1581"/>
    <w:rsid w:val="00CC2CA8"/>
    <w:rsid w:val="00CC4AF1"/>
    <w:rsid w:val="00CC5AA7"/>
    <w:rsid w:val="00CC7B67"/>
    <w:rsid w:val="00CD02C4"/>
    <w:rsid w:val="00CD1AA6"/>
    <w:rsid w:val="00CD1C51"/>
    <w:rsid w:val="00CD1C7F"/>
    <w:rsid w:val="00CD255F"/>
    <w:rsid w:val="00CD2645"/>
    <w:rsid w:val="00CD2D8E"/>
    <w:rsid w:val="00CD3952"/>
    <w:rsid w:val="00CD4597"/>
    <w:rsid w:val="00CD7569"/>
    <w:rsid w:val="00CE01A7"/>
    <w:rsid w:val="00CE2C22"/>
    <w:rsid w:val="00CE3139"/>
    <w:rsid w:val="00CE31A5"/>
    <w:rsid w:val="00CE37FE"/>
    <w:rsid w:val="00CE3E88"/>
    <w:rsid w:val="00CE3F02"/>
    <w:rsid w:val="00CE404F"/>
    <w:rsid w:val="00CE6922"/>
    <w:rsid w:val="00CF12F1"/>
    <w:rsid w:val="00CF1484"/>
    <w:rsid w:val="00CF171D"/>
    <w:rsid w:val="00CF20B6"/>
    <w:rsid w:val="00CF31A5"/>
    <w:rsid w:val="00CF34E1"/>
    <w:rsid w:val="00CF57AE"/>
    <w:rsid w:val="00CF5816"/>
    <w:rsid w:val="00CF64E1"/>
    <w:rsid w:val="00CF7191"/>
    <w:rsid w:val="00CF755B"/>
    <w:rsid w:val="00CF75E3"/>
    <w:rsid w:val="00D00653"/>
    <w:rsid w:val="00D01AA0"/>
    <w:rsid w:val="00D02376"/>
    <w:rsid w:val="00D039A0"/>
    <w:rsid w:val="00D03A45"/>
    <w:rsid w:val="00D04A1F"/>
    <w:rsid w:val="00D057A9"/>
    <w:rsid w:val="00D05A2E"/>
    <w:rsid w:val="00D06745"/>
    <w:rsid w:val="00D067FA"/>
    <w:rsid w:val="00D11E4B"/>
    <w:rsid w:val="00D120A5"/>
    <w:rsid w:val="00D1301D"/>
    <w:rsid w:val="00D1374C"/>
    <w:rsid w:val="00D1442C"/>
    <w:rsid w:val="00D14F78"/>
    <w:rsid w:val="00D151F5"/>
    <w:rsid w:val="00D15C53"/>
    <w:rsid w:val="00D16EA6"/>
    <w:rsid w:val="00D17039"/>
    <w:rsid w:val="00D17878"/>
    <w:rsid w:val="00D178E1"/>
    <w:rsid w:val="00D17B1C"/>
    <w:rsid w:val="00D2145C"/>
    <w:rsid w:val="00D23D32"/>
    <w:rsid w:val="00D25139"/>
    <w:rsid w:val="00D262AA"/>
    <w:rsid w:val="00D26765"/>
    <w:rsid w:val="00D26A89"/>
    <w:rsid w:val="00D27383"/>
    <w:rsid w:val="00D27A7F"/>
    <w:rsid w:val="00D30332"/>
    <w:rsid w:val="00D3124A"/>
    <w:rsid w:val="00D318AF"/>
    <w:rsid w:val="00D32D90"/>
    <w:rsid w:val="00D33631"/>
    <w:rsid w:val="00D3457C"/>
    <w:rsid w:val="00D35850"/>
    <w:rsid w:val="00D409D5"/>
    <w:rsid w:val="00D41D49"/>
    <w:rsid w:val="00D43D02"/>
    <w:rsid w:val="00D4544A"/>
    <w:rsid w:val="00D45CCD"/>
    <w:rsid w:val="00D47258"/>
    <w:rsid w:val="00D4775F"/>
    <w:rsid w:val="00D50007"/>
    <w:rsid w:val="00D5216B"/>
    <w:rsid w:val="00D52187"/>
    <w:rsid w:val="00D550DD"/>
    <w:rsid w:val="00D55C2F"/>
    <w:rsid w:val="00D56C41"/>
    <w:rsid w:val="00D5767C"/>
    <w:rsid w:val="00D607C9"/>
    <w:rsid w:val="00D61C6F"/>
    <w:rsid w:val="00D62156"/>
    <w:rsid w:val="00D62317"/>
    <w:rsid w:val="00D63041"/>
    <w:rsid w:val="00D63790"/>
    <w:rsid w:val="00D65B99"/>
    <w:rsid w:val="00D65C1D"/>
    <w:rsid w:val="00D66432"/>
    <w:rsid w:val="00D66507"/>
    <w:rsid w:val="00D66697"/>
    <w:rsid w:val="00D66747"/>
    <w:rsid w:val="00D66980"/>
    <w:rsid w:val="00D673B3"/>
    <w:rsid w:val="00D677E6"/>
    <w:rsid w:val="00D67C8B"/>
    <w:rsid w:val="00D67E75"/>
    <w:rsid w:val="00D70204"/>
    <w:rsid w:val="00D70402"/>
    <w:rsid w:val="00D72090"/>
    <w:rsid w:val="00D74246"/>
    <w:rsid w:val="00D7528A"/>
    <w:rsid w:val="00D76E34"/>
    <w:rsid w:val="00D8012B"/>
    <w:rsid w:val="00D819AA"/>
    <w:rsid w:val="00D82B09"/>
    <w:rsid w:val="00D82E23"/>
    <w:rsid w:val="00D84D6D"/>
    <w:rsid w:val="00D85CA0"/>
    <w:rsid w:val="00D86333"/>
    <w:rsid w:val="00D8685C"/>
    <w:rsid w:val="00D90E7A"/>
    <w:rsid w:val="00D91B10"/>
    <w:rsid w:val="00D92749"/>
    <w:rsid w:val="00D93B67"/>
    <w:rsid w:val="00D95493"/>
    <w:rsid w:val="00D956A3"/>
    <w:rsid w:val="00D958B0"/>
    <w:rsid w:val="00DA218D"/>
    <w:rsid w:val="00DA2470"/>
    <w:rsid w:val="00DA2D47"/>
    <w:rsid w:val="00DA3AFC"/>
    <w:rsid w:val="00DA3B68"/>
    <w:rsid w:val="00DA3DB6"/>
    <w:rsid w:val="00DA43E1"/>
    <w:rsid w:val="00DA4817"/>
    <w:rsid w:val="00DA4AE8"/>
    <w:rsid w:val="00DA4C0B"/>
    <w:rsid w:val="00DA5151"/>
    <w:rsid w:val="00DA51CB"/>
    <w:rsid w:val="00DA5602"/>
    <w:rsid w:val="00DA584A"/>
    <w:rsid w:val="00DA5ED5"/>
    <w:rsid w:val="00DA6548"/>
    <w:rsid w:val="00DA66EB"/>
    <w:rsid w:val="00DB0CF7"/>
    <w:rsid w:val="00DB275A"/>
    <w:rsid w:val="00DB3655"/>
    <w:rsid w:val="00DB3CBC"/>
    <w:rsid w:val="00DB3EF7"/>
    <w:rsid w:val="00DB5363"/>
    <w:rsid w:val="00DB6320"/>
    <w:rsid w:val="00DC02D7"/>
    <w:rsid w:val="00DC0431"/>
    <w:rsid w:val="00DC1B28"/>
    <w:rsid w:val="00DC2AC9"/>
    <w:rsid w:val="00DC383F"/>
    <w:rsid w:val="00DC48A4"/>
    <w:rsid w:val="00DC4E8A"/>
    <w:rsid w:val="00DC6677"/>
    <w:rsid w:val="00DC74C3"/>
    <w:rsid w:val="00DC76E2"/>
    <w:rsid w:val="00DC7F87"/>
    <w:rsid w:val="00DD0A06"/>
    <w:rsid w:val="00DD0A83"/>
    <w:rsid w:val="00DD0BA4"/>
    <w:rsid w:val="00DD2461"/>
    <w:rsid w:val="00DD27B0"/>
    <w:rsid w:val="00DD3035"/>
    <w:rsid w:val="00DD32E3"/>
    <w:rsid w:val="00DD36C5"/>
    <w:rsid w:val="00DD39EA"/>
    <w:rsid w:val="00DD5FC4"/>
    <w:rsid w:val="00DD6223"/>
    <w:rsid w:val="00DD7282"/>
    <w:rsid w:val="00DD73EC"/>
    <w:rsid w:val="00DD7418"/>
    <w:rsid w:val="00DE3FC1"/>
    <w:rsid w:val="00DE4224"/>
    <w:rsid w:val="00DE47BD"/>
    <w:rsid w:val="00DE484C"/>
    <w:rsid w:val="00DE4C48"/>
    <w:rsid w:val="00DF00EB"/>
    <w:rsid w:val="00DF06E2"/>
    <w:rsid w:val="00DF08AA"/>
    <w:rsid w:val="00DF0B85"/>
    <w:rsid w:val="00DF0BCD"/>
    <w:rsid w:val="00DF0C35"/>
    <w:rsid w:val="00DF0CFA"/>
    <w:rsid w:val="00DF10A7"/>
    <w:rsid w:val="00DF118E"/>
    <w:rsid w:val="00DF168E"/>
    <w:rsid w:val="00DF1A22"/>
    <w:rsid w:val="00DF270E"/>
    <w:rsid w:val="00DF2D0F"/>
    <w:rsid w:val="00DF3191"/>
    <w:rsid w:val="00DF37A5"/>
    <w:rsid w:val="00DF4599"/>
    <w:rsid w:val="00DF4A87"/>
    <w:rsid w:val="00DF5135"/>
    <w:rsid w:val="00DF55CF"/>
    <w:rsid w:val="00DF596F"/>
    <w:rsid w:val="00DF5F7B"/>
    <w:rsid w:val="00DF6A30"/>
    <w:rsid w:val="00DF6E46"/>
    <w:rsid w:val="00DF7486"/>
    <w:rsid w:val="00E00E85"/>
    <w:rsid w:val="00E01DCF"/>
    <w:rsid w:val="00E021B8"/>
    <w:rsid w:val="00E030B7"/>
    <w:rsid w:val="00E03523"/>
    <w:rsid w:val="00E055A3"/>
    <w:rsid w:val="00E068EF"/>
    <w:rsid w:val="00E11585"/>
    <w:rsid w:val="00E123C2"/>
    <w:rsid w:val="00E13377"/>
    <w:rsid w:val="00E13DBA"/>
    <w:rsid w:val="00E15901"/>
    <w:rsid w:val="00E21481"/>
    <w:rsid w:val="00E217E2"/>
    <w:rsid w:val="00E2333F"/>
    <w:rsid w:val="00E23E8E"/>
    <w:rsid w:val="00E24FCA"/>
    <w:rsid w:val="00E26390"/>
    <w:rsid w:val="00E2690C"/>
    <w:rsid w:val="00E30328"/>
    <w:rsid w:val="00E306AF"/>
    <w:rsid w:val="00E32240"/>
    <w:rsid w:val="00E335D4"/>
    <w:rsid w:val="00E3380B"/>
    <w:rsid w:val="00E34FF0"/>
    <w:rsid w:val="00E350B5"/>
    <w:rsid w:val="00E35D0D"/>
    <w:rsid w:val="00E36961"/>
    <w:rsid w:val="00E37BFA"/>
    <w:rsid w:val="00E42829"/>
    <w:rsid w:val="00E429C9"/>
    <w:rsid w:val="00E43562"/>
    <w:rsid w:val="00E45308"/>
    <w:rsid w:val="00E46968"/>
    <w:rsid w:val="00E46BAF"/>
    <w:rsid w:val="00E4783B"/>
    <w:rsid w:val="00E51022"/>
    <w:rsid w:val="00E5134E"/>
    <w:rsid w:val="00E51A58"/>
    <w:rsid w:val="00E52525"/>
    <w:rsid w:val="00E542A7"/>
    <w:rsid w:val="00E54715"/>
    <w:rsid w:val="00E54F52"/>
    <w:rsid w:val="00E557E5"/>
    <w:rsid w:val="00E55DD9"/>
    <w:rsid w:val="00E56666"/>
    <w:rsid w:val="00E56C55"/>
    <w:rsid w:val="00E5731D"/>
    <w:rsid w:val="00E574B5"/>
    <w:rsid w:val="00E57B24"/>
    <w:rsid w:val="00E600E3"/>
    <w:rsid w:val="00E60340"/>
    <w:rsid w:val="00E60869"/>
    <w:rsid w:val="00E60B45"/>
    <w:rsid w:val="00E61325"/>
    <w:rsid w:val="00E61CD8"/>
    <w:rsid w:val="00E64E14"/>
    <w:rsid w:val="00E6590A"/>
    <w:rsid w:val="00E71561"/>
    <w:rsid w:val="00E7272E"/>
    <w:rsid w:val="00E755DA"/>
    <w:rsid w:val="00E75CED"/>
    <w:rsid w:val="00E76B5F"/>
    <w:rsid w:val="00E77112"/>
    <w:rsid w:val="00E84CD5"/>
    <w:rsid w:val="00E857B8"/>
    <w:rsid w:val="00E85871"/>
    <w:rsid w:val="00E85FD6"/>
    <w:rsid w:val="00E86F9F"/>
    <w:rsid w:val="00E876D4"/>
    <w:rsid w:val="00E92330"/>
    <w:rsid w:val="00E930EB"/>
    <w:rsid w:val="00E93C08"/>
    <w:rsid w:val="00E948E2"/>
    <w:rsid w:val="00E96214"/>
    <w:rsid w:val="00E96374"/>
    <w:rsid w:val="00E969A8"/>
    <w:rsid w:val="00E96F40"/>
    <w:rsid w:val="00E97542"/>
    <w:rsid w:val="00EA065A"/>
    <w:rsid w:val="00EA1E91"/>
    <w:rsid w:val="00EA2C28"/>
    <w:rsid w:val="00EA358B"/>
    <w:rsid w:val="00EA5272"/>
    <w:rsid w:val="00EA55C4"/>
    <w:rsid w:val="00EA56AE"/>
    <w:rsid w:val="00EA5766"/>
    <w:rsid w:val="00EA57C2"/>
    <w:rsid w:val="00EA62CF"/>
    <w:rsid w:val="00EA6350"/>
    <w:rsid w:val="00EA735D"/>
    <w:rsid w:val="00EA7F20"/>
    <w:rsid w:val="00EB0686"/>
    <w:rsid w:val="00EB09C6"/>
    <w:rsid w:val="00EB0B7B"/>
    <w:rsid w:val="00EB2AD0"/>
    <w:rsid w:val="00EB4228"/>
    <w:rsid w:val="00EB42C0"/>
    <w:rsid w:val="00EB4D94"/>
    <w:rsid w:val="00EB50B3"/>
    <w:rsid w:val="00EB5B78"/>
    <w:rsid w:val="00EB6772"/>
    <w:rsid w:val="00EB79A0"/>
    <w:rsid w:val="00EB7FCD"/>
    <w:rsid w:val="00EC019F"/>
    <w:rsid w:val="00EC033E"/>
    <w:rsid w:val="00EC106F"/>
    <w:rsid w:val="00EC38B5"/>
    <w:rsid w:val="00EC3D56"/>
    <w:rsid w:val="00EC3E72"/>
    <w:rsid w:val="00EC3FC1"/>
    <w:rsid w:val="00EC4E42"/>
    <w:rsid w:val="00EC55B6"/>
    <w:rsid w:val="00EC58F9"/>
    <w:rsid w:val="00EC6A5F"/>
    <w:rsid w:val="00EC6F74"/>
    <w:rsid w:val="00EC7614"/>
    <w:rsid w:val="00ED0ACC"/>
    <w:rsid w:val="00ED2D47"/>
    <w:rsid w:val="00ED39B6"/>
    <w:rsid w:val="00ED44A7"/>
    <w:rsid w:val="00ED5F37"/>
    <w:rsid w:val="00EE01EC"/>
    <w:rsid w:val="00EE0642"/>
    <w:rsid w:val="00EE2BAA"/>
    <w:rsid w:val="00EE2FF0"/>
    <w:rsid w:val="00EE3023"/>
    <w:rsid w:val="00EE307D"/>
    <w:rsid w:val="00EE3197"/>
    <w:rsid w:val="00EE40CC"/>
    <w:rsid w:val="00EE4F12"/>
    <w:rsid w:val="00EE531D"/>
    <w:rsid w:val="00EE5E8A"/>
    <w:rsid w:val="00EF0087"/>
    <w:rsid w:val="00EF36A1"/>
    <w:rsid w:val="00EF3B89"/>
    <w:rsid w:val="00EF42FF"/>
    <w:rsid w:val="00EF466B"/>
    <w:rsid w:val="00EF5DDB"/>
    <w:rsid w:val="00EF74B9"/>
    <w:rsid w:val="00F00215"/>
    <w:rsid w:val="00F004C1"/>
    <w:rsid w:val="00F00C55"/>
    <w:rsid w:val="00F01413"/>
    <w:rsid w:val="00F03D70"/>
    <w:rsid w:val="00F03EA1"/>
    <w:rsid w:val="00F04762"/>
    <w:rsid w:val="00F0546D"/>
    <w:rsid w:val="00F056F5"/>
    <w:rsid w:val="00F06097"/>
    <w:rsid w:val="00F0694C"/>
    <w:rsid w:val="00F10913"/>
    <w:rsid w:val="00F11975"/>
    <w:rsid w:val="00F11F49"/>
    <w:rsid w:val="00F14002"/>
    <w:rsid w:val="00F14360"/>
    <w:rsid w:val="00F14418"/>
    <w:rsid w:val="00F16C1E"/>
    <w:rsid w:val="00F171BD"/>
    <w:rsid w:val="00F17B57"/>
    <w:rsid w:val="00F2039A"/>
    <w:rsid w:val="00F21BF0"/>
    <w:rsid w:val="00F22622"/>
    <w:rsid w:val="00F23283"/>
    <w:rsid w:val="00F245C1"/>
    <w:rsid w:val="00F26217"/>
    <w:rsid w:val="00F27691"/>
    <w:rsid w:val="00F31903"/>
    <w:rsid w:val="00F3483B"/>
    <w:rsid w:val="00F34BF3"/>
    <w:rsid w:val="00F34F75"/>
    <w:rsid w:val="00F35FA1"/>
    <w:rsid w:val="00F36615"/>
    <w:rsid w:val="00F36935"/>
    <w:rsid w:val="00F37840"/>
    <w:rsid w:val="00F37E0C"/>
    <w:rsid w:val="00F407EE"/>
    <w:rsid w:val="00F40CB5"/>
    <w:rsid w:val="00F40DB8"/>
    <w:rsid w:val="00F41062"/>
    <w:rsid w:val="00F411D7"/>
    <w:rsid w:val="00F41237"/>
    <w:rsid w:val="00F412AD"/>
    <w:rsid w:val="00F4347D"/>
    <w:rsid w:val="00F4350A"/>
    <w:rsid w:val="00F43CDF"/>
    <w:rsid w:val="00F43DB2"/>
    <w:rsid w:val="00F45B4C"/>
    <w:rsid w:val="00F45F73"/>
    <w:rsid w:val="00F45F98"/>
    <w:rsid w:val="00F46375"/>
    <w:rsid w:val="00F46B24"/>
    <w:rsid w:val="00F46DC6"/>
    <w:rsid w:val="00F477BA"/>
    <w:rsid w:val="00F47C69"/>
    <w:rsid w:val="00F5152F"/>
    <w:rsid w:val="00F51D87"/>
    <w:rsid w:val="00F52EB2"/>
    <w:rsid w:val="00F54216"/>
    <w:rsid w:val="00F5437E"/>
    <w:rsid w:val="00F558B8"/>
    <w:rsid w:val="00F61056"/>
    <w:rsid w:val="00F61CD2"/>
    <w:rsid w:val="00F62BD4"/>
    <w:rsid w:val="00F6359F"/>
    <w:rsid w:val="00F63987"/>
    <w:rsid w:val="00F64EA3"/>
    <w:rsid w:val="00F65446"/>
    <w:rsid w:val="00F65508"/>
    <w:rsid w:val="00F657B0"/>
    <w:rsid w:val="00F6609B"/>
    <w:rsid w:val="00F669A3"/>
    <w:rsid w:val="00F66BE4"/>
    <w:rsid w:val="00F723A8"/>
    <w:rsid w:val="00F72E51"/>
    <w:rsid w:val="00F73FE6"/>
    <w:rsid w:val="00F74981"/>
    <w:rsid w:val="00F75344"/>
    <w:rsid w:val="00F758F7"/>
    <w:rsid w:val="00F76EDE"/>
    <w:rsid w:val="00F81211"/>
    <w:rsid w:val="00F82EB5"/>
    <w:rsid w:val="00F832A8"/>
    <w:rsid w:val="00F833AF"/>
    <w:rsid w:val="00F84CE5"/>
    <w:rsid w:val="00F876B6"/>
    <w:rsid w:val="00F91203"/>
    <w:rsid w:val="00F915F9"/>
    <w:rsid w:val="00F92572"/>
    <w:rsid w:val="00F92EAA"/>
    <w:rsid w:val="00F93E92"/>
    <w:rsid w:val="00F96B9F"/>
    <w:rsid w:val="00FA05DB"/>
    <w:rsid w:val="00FA0843"/>
    <w:rsid w:val="00FA2977"/>
    <w:rsid w:val="00FA3AF2"/>
    <w:rsid w:val="00FA466F"/>
    <w:rsid w:val="00FA4786"/>
    <w:rsid w:val="00FA49E9"/>
    <w:rsid w:val="00FA4F3E"/>
    <w:rsid w:val="00FA55F5"/>
    <w:rsid w:val="00FB04EF"/>
    <w:rsid w:val="00FB10C9"/>
    <w:rsid w:val="00FB1992"/>
    <w:rsid w:val="00FB2BA9"/>
    <w:rsid w:val="00FB320C"/>
    <w:rsid w:val="00FB51CC"/>
    <w:rsid w:val="00FB56C7"/>
    <w:rsid w:val="00FB63C8"/>
    <w:rsid w:val="00FB7F45"/>
    <w:rsid w:val="00FC05DD"/>
    <w:rsid w:val="00FC1793"/>
    <w:rsid w:val="00FC180D"/>
    <w:rsid w:val="00FC1BE8"/>
    <w:rsid w:val="00FC29F9"/>
    <w:rsid w:val="00FC2FCB"/>
    <w:rsid w:val="00FC403C"/>
    <w:rsid w:val="00FC45DA"/>
    <w:rsid w:val="00FC47B5"/>
    <w:rsid w:val="00FC5FD1"/>
    <w:rsid w:val="00FC61EE"/>
    <w:rsid w:val="00FC63D5"/>
    <w:rsid w:val="00FD17EC"/>
    <w:rsid w:val="00FD3B22"/>
    <w:rsid w:val="00FD6A0D"/>
    <w:rsid w:val="00FD7EE2"/>
    <w:rsid w:val="00FE03BB"/>
    <w:rsid w:val="00FE15BE"/>
    <w:rsid w:val="00FE2EBE"/>
    <w:rsid w:val="00FE4970"/>
    <w:rsid w:val="00FE4B50"/>
    <w:rsid w:val="00FE51BD"/>
    <w:rsid w:val="00FE52AD"/>
    <w:rsid w:val="00FE6B43"/>
    <w:rsid w:val="00FE72C9"/>
    <w:rsid w:val="00FF0794"/>
    <w:rsid w:val="00FF0AD4"/>
    <w:rsid w:val="00FF1414"/>
    <w:rsid w:val="00FF3CB6"/>
    <w:rsid w:val="00FF4ED1"/>
    <w:rsid w:val="00FF6441"/>
    <w:rsid w:val="00FF6A92"/>
    <w:rsid w:val="00FF6F7A"/>
    <w:rsid w:val="033F3C4F"/>
    <w:rsid w:val="04799785"/>
    <w:rsid w:val="09212E19"/>
    <w:rsid w:val="09BEFD6A"/>
    <w:rsid w:val="0BCD8F0C"/>
    <w:rsid w:val="0CBCC9BB"/>
    <w:rsid w:val="0E4B621B"/>
    <w:rsid w:val="104D2173"/>
    <w:rsid w:val="106A801B"/>
    <w:rsid w:val="1368A66F"/>
    <w:rsid w:val="14D3A602"/>
    <w:rsid w:val="16DB4BFB"/>
    <w:rsid w:val="1A29EC98"/>
    <w:rsid w:val="1D554452"/>
    <w:rsid w:val="1ED64194"/>
    <w:rsid w:val="2328831B"/>
    <w:rsid w:val="248600EE"/>
    <w:rsid w:val="24D2D25D"/>
    <w:rsid w:val="26CA1AEA"/>
    <w:rsid w:val="291F76A9"/>
    <w:rsid w:val="2A157C66"/>
    <w:rsid w:val="2C125CA0"/>
    <w:rsid w:val="2F9C323D"/>
    <w:rsid w:val="305E6BFC"/>
    <w:rsid w:val="307517A8"/>
    <w:rsid w:val="34761711"/>
    <w:rsid w:val="3612D59F"/>
    <w:rsid w:val="38188E16"/>
    <w:rsid w:val="3A1D434A"/>
    <w:rsid w:val="3C58BE50"/>
    <w:rsid w:val="40DAD940"/>
    <w:rsid w:val="433F65D0"/>
    <w:rsid w:val="46EA64B2"/>
    <w:rsid w:val="481C58DC"/>
    <w:rsid w:val="4AD4130D"/>
    <w:rsid w:val="4B4B4C1F"/>
    <w:rsid w:val="4BCF3497"/>
    <w:rsid w:val="4C0C914C"/>
    <w:rsid w:val="4C81C16B"/>
    <w:rsid w:val="4E29B3EC"/>
    <w:rsid w:val="5290311A"/>
    <w:rsid w:val="52D3F29C"/>
    <w:rsid w:val="58B43C51"/>
    <w:rsid w:val="59C93816"/>
    <w:rsid w:val="5AA70A35"/>
    <w:rsid w:val="5C93C42F"/>
    <w:rsid w:val="5D22613C"/>
    <w:rsid w:val="62187B7E"/>
    <w:rsid w:val="6378C372"/>
    <w:rsid w:val="64C0F825"/>
    <w:rsid w:val="685CE2EC"/>
    <w:rsid w:val="68F4D35F"/>
    <w:rsid w:val="6A2778A3"/>
    <w:rsid w:val="6A292642"/>
    <w:rsid w:val="6AF1558B"/>
    <w:rsid w:val="6B61215A"/>
    <w:rsid w:val="6DCA65B5"/>
    <w:rsid w:val="703B669A"/>
    <w:rsid w:val="703F873E"/>
    <w:rsid w:val="71DEB563"/>
    <w:rsid w:val="729DDEDB"/>
    <w:rsid w:val="73D285DC"/>
    <w:rsid w:val="7524BDCB"/>
    <w:rsid w:val="75C5056B"/>
    <w:rsid w:val="764E51FE"/>
    <w:rsid w:val="7A703318"/>
    <w:rsid w:val="7B3BA7A2"/>
    <w:rsid w:val="7B60A122"/>
    <w:rsid w:val="7BECDDC4"/>
    <w:rsid w:val="7C92BAA7"/>
    <w:rsid w:val="7F3A444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221F467"/>
  <w15:chartTrackingRefBased/>
  <w15:docId w15:val="{20991AEA-B6CB-4099-A917-0A3F94BB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napToGrid w:val="0"/>
      <w:kern w:val="28"/>
      <w:sz w:val="22"/>
    </w:rPr>
  </w:style>
  <w:style w:type="paragraph" w:styleId="Heading1">
    <w:name w:val="heading 1"/>
    <w:basedOn w:val="Normal"/>
    <w:next w:val="ParaNum"/>
    <w:qFormat/>
    <w:pPr>
      <w:keepNext/>
      <w:numPr>
        <w:numId w:val="3"/>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autoRedefine/>
    <w:qFormat/>
    <w:pPr>
      <w:keepNext/>
      <w:numPr>
        <w:ilvl w:val="1"/>
        <w:numId w:val="3"/>
      </w:numPr>
      <w:spacing w:after="120"/>
      <w:outlineLvl w:val="1"/>
    </w:pPr>
    <w:rPr>
      <w:b/>
    </w:rPr>
  </w:style>
  <w:style w:type="paragraph" w:styleId="Heading3">
    <w:name w:val="heading 3"/>
    <w:basedOn w:val="Normal"/>
    <w:next w:val="ParaNum"/>
    <w:qFormat/>
    <w:pPr>
      <w:keepNext/>
      <w:numPr>
        <w:ilvl w:val="2"/>
        <w:numId w:val="3"/>
      </w:numPr>
      <w:tabs>
        <w:tab w:val="left" w:pos="2160"/>
      </w:tabs>
      <w:spacing w:after="120"/>
      <w:outlineLvl w:val="2"/>
    </w:pPr>
    <w:rPr>
      <w:b/>
    </w:rPr>
  </w:style>
  <w:style w:type="paragraph" w:styleId="Heading4">
    <w:name w:val="heading 4"/>
    <w:basedOn w:val="Normal"/>
    <w:next w:val="ParaNum"/>
    <w:qFormat/>
    <w:pPr>
      <w:keepNext/>
      <w:numPr>
        <w:ilvl w:val="3"/>
        <w:numId w:val="3"/>
      </w:numPr>
      <w:tabs>
        <w:tab w:val="left" w:pos="2880"/>
      </w:tabs>
      <w:spacing w:after="120"/>
      <w:outlineLvl w:val="3"/>
    </w:pPr>
    <w:rPr>
      <w:b/>
    </w:rPr>
  </w:style>
  <w:style w:type="paragraph" w:styleId="Heading5">
    <w:name w:val="heading 5"/>
    <w:basedOn w:val="Normal"/>
    <w:next w:val="ParaNum"/>
    <w:qFormat/>
    <w:pPr>
      <w:keepNext/>
      <w:numPr>
        <w:ilvl w:val="4"/>
        <w:numId w:val="3"/>
      </w:numPr>
      <w:tabs>
        <w:tab w:val="left" w:pos="3600"/>
      </w:tabs>
      <w:suppressAutoHyphens/>
      <w:spacing w:after="120"/>
      <w:outlineLvl w:val="4"/>
    </w:pPr>
    <w:rPr>
      <w:b/>
    </w:rPr>
  </w:style>
  <w:style w:type="paragraph" w:styleId="Heading6">
    <w:name w:val="heading 6"/>
    <w:basedOn w:val="Normal"/>
    <w:next w:val="ParaNum"/>
    <w:qFormat/>
    <w:pPr>
      <w:numPr>
        <w:ilvl w:val="5"/>
        <w:numId w:val="3"/>
      </w:numPr>
      <w:tabs>
        <w:tab w:val="left" w:pos="4320"/>
      </w:tabs>
      <w:spacing w:after="120"/>
      <w:outlineLvl w:val="5"/>
    </w:pPr>
    <w:rPr>
      <w:b/>
    </w:rPr>
  </w:style>
  <w:style w:type="paragraph" w:styleId="Heading7">
    <w:name w:val="heading 7"/>
    <w:basedOn w:val="Normal"/>
    <w:next w:val="ParaNum"/>
    <w:qFormat/>
    <w:pPr>
      <w:numPr>
        <w:ilvl w:val="6"/>
        <w:numId w:val="3"/>
      </w:numPr>
      <w:tabs>
        <w:tab w:val="left" w:pos="5040"/>
      </w:tabs>
      <w:spacing w:after="120"/>
      <w:ind w:left="5040" w:hanging="720"/>
      <w:outlineLvl w:val="6"/>
    </w:pPr>
    <w:rPr>
      <w:b/>
    </w:rPr>
  </w:style>
  <w:style w:type="paragraph" w:styleId="Heading8">
    <w:name w:val="heading 8"/>
    <w:basedOn w:val="Normal"/>
    <w:next w:val="ParaNum"/>
    <w:qFormat/>
    <w:pPr>
      <w:numPr>
        <w:ilvl w:val="7"/>
        <w:numId w:val="3"/>
      </w:numPr>
      <w:tabs>
        <w:tab w:val="clear" w:pos="5400"/>
        <w:tab w:val="left" w:pos="5760"/>
      </w:tabs>
      <w:spacing w:after="120"/>
      <w:ind w:left="5760" w:hanging="720"/>
      <w:outlineLvl w:val="7"/>
    </w:pPr>
    <w:rPr>
      <w:b/>
    </w:rPr>
  </w:style>
  <w:style w:type="paragraph" w:styleId="Heading9">
    <w:name w:val="heading 9"/>
    <w:basedOn w:val="Normal"/>
    <w:next w:val="ParaNum"/>
    <w:qFormat/>
    <w:pPr>
      <w:numPr>
        <w:ilvl w:val="8"/>
        <w:numId w:val="3"/>
      </w:numPr>
      <w:tabs>
        <w:tab w:val="clear" w:pos="6120"/>
        <w:tab w:val="left" w:pos="6480"/>
      </w:tabs>
      <w:spacing w:after="120"/>
      <w:ind w:left="648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Num">
    <w:name w:val="ParaNum"/>
    <w:basedOn w:val="Normal"/>
    <w:pPr>
      <w:numPr>
        <w:numId w:val="2"/>
      </w:numPr>
      <w:tabs>
        <w:tab w:val="clear" w:pos="1080"/>
        <w:tab w:val="num" w:pos="1440"/>
      </w:tabs>
      <w:spacing w:after="120"/>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styleId="FootnoteText">
    <w:name w:val="footnote text"/>
    <w:aliases w:val="Footnote Text Char,Footnote Text Char Char Char1 Char Char Char,Footnote Text Char Char Char2 Char Char,Footnote Text Char1 Char1 Char Char Char,Footnote Text Char2 Char,Footnote Text Char2 Char Char Char,Footnote Text Char3 Char Char,f,fn"/>
    <w:link w:val="FootnoteTextChar1"/>
    <w:qFormat/>
    <w:pPr>
      <w:spacing w:after="120"/>
    </w:pPr>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
    <w:qFormat/>
    <w:rPr>
      <w:rFonts w:ascii="Times New Roman" w:hAnsi="Times New Roman"/>
      <w:dstrike w:val="0"/>
      <w:color w:val="auto"/>
      <w:sz w:val="22"/>
      <w:vertAlign w:val="superscript"/>
    </w:rPr>
  </w:style>
  <w:style w:type="paragraph" w:styleId="TOC1">
    <w:name w:val="toc 1"/>
    <w:basedOn w:val="Normal"/>
    <w:next w:val="Normal"/>
    <w:uiPriority w:val="39"/>
    <w:pPr>
      <w:tabs>
        <w:tab w:val="left" w:pos="360"/>
        <w:tab w:val="right" w:leader="dot" w:pos="9360"/>
      </w:tabs>
      <w:suppressAutoHyphens/>
      <w:ind w:left="360" w:right="720" w:hanging="360"/>
    </w:pPr>
    <w:rPr>
      <w:caps/>
      <w:noProof/>
    </w:rPr>
  </w:style>
  <w:style w:type="paragraph" w:styleId="TOC2">
    <w:name w:val="toc 2"/>
    <w:basedOn w:val="Normal"/>
    <w:next w:val="Normal"/>
    <w:semiHidden/>
    <w:pPr>
      <w:tabs>
        <w:tab w:val="left" w:pos="720"/>
        <w:tab w:val="right" w:leader="dot" w:pos="9360"/>
      </w:tabs>
      <w:suppressAutoHyphens/>
      <w:ind w:left="720" w:right="720" w:hanging="360"/>
    </w:pPr>
    <w:rPr>
      <w:noProof/>
    </w:rPr>
  </w:style>
  <w:style w:type="paragraph" w:styleId="TOC3">
    <w:name w:val="toc 3"/>
    <w:basedOn w:val="Normal"/>
    <w:next w:val="Normal"/>
    <w:semiHidden/>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pPr>
      <w:tabs>
        <w:tab w:val="left" w:pos="2160"/>
        <w:tab w:val="right" w:leader="dot" w:pos="9360"/>
      </w:tabs>
      <w:suppressAutoHyphens/>
      <w:ind w:left="2160" w:hanging="360"/>
    </w:pPr>
    <w:rPr>
      <w:noProof/>
    </w:rPr>
  </w:style>
  <w:style w:type="paragraph" w:styleId="TOC7">
    <w:name w:val="toc 7"/>
    <w:basedOn w:val="Normal"/>
    <w:next w:val="Normal"/>
    <w:autoRedefine/>
    <w:semiHidden/>
    <w:pPr>
      <w:tabs>
        <w:tab w:val="left" w:pos="2520"/>
        <w:tab w:val="right" w:leader="dot" w:pos="9360"/>
      </w:tabs>
      <w:suppressAutoHyphens/>
      <w:ind w:left="2520" w:hanging="360"/>
    </w:pPr>
    <w:rPr>
      <w:noProof/>
    </w:rPr>
  </w:style>
  <w:style w:type="paragraph" w:styleId="TOC8">
    <w:name w:val="toc 8"/>
    <w:basedOn w:val="Normal"/>
    <w:next w:val="Normal"/>
    <w:autoRedefine/>
    <w:semiHidden/>
    <w:pPr>
      <w:tabs>
        <w:tab w:val="left" w:pos="2880"/>
        <w:tab w:val="right" w:leader="dot" w:pos="9360"/>
      </w:tabs>
      <w:suppressAutoHyphens/>
      <w:ind w:left="2880" w:hanging="360"/>
    </w:pPr>
    <w:rPr>
      <w:noProof/>
    </w:rPr>
  </w:style>
  <w:style w:type="paragraph" w:styleId="TOC9">
    <w:name w:val="toc 9"/>
    <w:basedOn w:val="Normal"/>
    <w:next w:val="Normal"/>
    <w:autoRedefine/>
    <w:semiHidden/>
    <w:pPr>
      <w:tabs>
        <w:tab w:val="left" w:pos="3240"/>
        <w:tab w:val="right" w:leader="dot" w:pos="9360"/>
      </w:tabs>
      <w:suppressAutoHyphens/>
      <w:ind w:left="3240" w:hanging="360"/>
    </w:pPr>
    <w:rPr>
      <w:noProof/>
    </w:rPr>
  </w:style>
  <w:style w:type="paragraph" w:styleId="TOAHeading">
    <w:name w:val="toa heading"/>
    <w:basedOn w:val="Normal"/>
    <w:next w:val="Normal"/>
    <w:semiHidden/>
    <w:pPr>
      <w:tabs>
        <w:tab w:val="right" w:pos="9360"/>
      </w:tabs>
      <w:suppressAutoHyphens/>
    </w:pPr>
  </w:style>
  <w:style w:type="character" w:customStyle="1" w:styleId="EquationCaption">
    <w:name w:val="_Equation Caption"/>
  </w:style>
  <w:style w:type="paragraph" w:styleId="Header">
    <w:name w:val="header"/>
    <w:basedOn w:val="Normal"/>
    <w:autoRedefine/>
    <w:pPr>
      <w:tabs>
        <w:tab w:val="center" w:pos="4680"/>
        <w:tab w:val="right" w:pos="9360"/>
      </w:tabs>
    </w:pPr>
    <w:rPr>
      <w:rFonts w:ascii="Arial" w:hAnsi="Arial" w:cs="Arial"/>
      <w:b/>
      <w:sz w:val="96"/>
      <w:szCs w:val="9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240"/>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numPr>
        <w:numId w:val="1"/>
      </w:numPr>
      <w:tabs>
        <w:tab w:val="clear" w:pos="360"/>
        <w:tab w:val="left" w:pos="2160"/>
      </w:tabs>
      <w:spacing w:after="220"/>
      <w:ind w:left="2160" w:hanging="720"/>
    </w:pPr>
  </w:style>
  <w:style w:type="paragraph" w:customStyle="1" w:styleId="TableFormat">
    <w:name w:val="TableFormat"/>
    <w:basedOn w:val="Bullet"/>
    <w:pPr>
      <w:numPr>
        <w:numId w:val="0"/>
      </w:numPr>
      <w:tabs>
        <w:tab w:val="clear" w:pos="2160"/>
        <w:tab w:val="left" w:pos="5040"/>
      </w:tabs>
      <w:ind w:left="5040" w:hanging="3600"/>
    </w:pPr>
  </w:style>
  <w:style w:type="paragraph" w:customStyle="1" w:styleId="TOCTitle">
    <w:name w:val="TOC Title"/>
    <w:basedOn w:val="Normal"/>
    <w:pPr>
      <w:spacing w:before="240" w:after="240"/>
      <w:jc w:val="center"/>
    </w:pPr>
    <w:rPr>
      <w:rFonts w:ascii="Times New Roman Bold" w:hAnsi="Times New Roman Bold"/>
      <w:b/>
      <w:caps/>
      <w:spacing w:val="-2"/>
    </w:rPr>
  </w:style>
  <w:style w:type="paragraph" w:customStyle="1" w:styleId="StyleBoldCentered">
    <w:name w:val="Style Bold Centered"/>
    <w:basedOn w:val="Normal"/>
    <w:pPr>
      <w:jc w:val="center"/>
    </w:pPr>
    <w:rPr>
      <w:rFonts w:ascii="Times New Roman Bold" w:hAnsi="Times New Roman Bold"/>
      <w:b/>
      <w:bCs/>
      <w:caps/>
      <w:szCs w:val="22"/>
    </w:rPr>
  </w:style>
  <w:style w:type="character" w:styleId="Hyperlink">
    <w:name w:val="Hyperlink"/>
    <w:uiPriority w:val="99"/>
    <w:rPr>
      <w:color w:val="0000FF"/>
      <w:u w:val="single"/>
    </w:rPr>
  </w:style>
  <w:style w:type="character" w:customStyle="1" w:styleId="FooterChar">
    <w:name w:val="Footer Char"/>
    <w:link w:val="Footer"/>
    <w:uiPriority w:val="99"/>
    <w:rPr>
      <w:snapToGrid w:val="0"/>
      <w:kern w:val="28"/>
      <w:sz w:val="22"/>
    </w:rPr>
  </w:style>
  <w:style w:type="character" w:styleId="UnresolvedMention">
    <w:name w:val="Unresolved Mention"/>
    <w:uiPriority w:val="99"/>
    <w:semiHidden/>
    <w:unhideWhenUsed/>
    <w:rPr>
      <w:color w:val="605E5C"/>
      <w:shd w:val="clear" w:color="auto" w:fill="E1DFDD"/>
    </w:rPr>
  </w:style>
  <w:style w:type="character" w:customStyle="1" w:styleId="FootnoteTextChar1">
    <w:name w:val="Footnote Text Char1"/>
    <w:aliases w:val="Footnote Text Char Char,Footnote Text Char Char Char1 Char Char Char Char,Footnote Text Char Char Char2 Char Char Char,Footnote Text Char1 Char1 Char Char Char Char,Footnote Text Char2 Char Char,Footnote Text Char3 Char Char Char"/>
    <w:link w:val="FootnoteText"/>
    <w:rsid w:val="00881759"/>
  </w:style>
  <w:style w:type="character" w:customStyle="1" w:styleId="xcontentpasted0">
    <w:name w:val="x_contentpasted0"/>
    <w:basedOn w:val="DefaultParagraphFont"/>
    <w:rsid w:val="00693D49"/>
  </w:style>
  <w:style w:type="paragraph" w:styleId="Revision">
    <w:name w:val="Revision"/>
    <w:hidden/>
    <w:uiPriority w:val="99"/>
    <w:semiHidden/>
    <w:rsid w:val="00D45CCD"/>
    <w:rPr>
      <w:snapToGrid w:val="0"/>
      <w:kern w:val="28"/>
      <w:sz w:val="22"/>
    </w:rPr>
  </w:style>
  <w:style w:type="paragraph" w:styleId="ListParagraph">
    <w:name w:val="List Paragraph"/>
    <w:basedOn w:val="Normal"/>
    <w:uiPriority w:val="34"/>
    <w:qFormat/>
    <w:rsid w:val="00DF0BCD"/>
    <w:pPr>
      <w:ind w:left="720"/>
      <w:contextualSpacing/>
    </w:pPr>
  </w:style>
  <w:style w:type="character" w:styleId="CommentReference">
    <w:name w:val="annotation reference"/>
    <w:basedOn w:val="DefaultParagraphFont"/>
    <w:uiPriority w:val="99"/>
    <w:semiHidden/>
    <w:unhideWhenUsed/>
    <w:rsid w:val="00792A57"/>
    <w:rPr>
      <w:sz w:val="16"/>
      <w:szCs w:val="16"/>
    </w:rPr>
  </w:style>
  <w:style w:type="paragraph" w:styleId="CommentText">
    <w:name w:val="annotation text"/>
    <w:basedOn w:val="Normal"/>
    <w:link w:val="CommentTextChar"/>
    <w:uiPriority w:val="99"/>
    <w:unhideWhenUsed/>
    <w:rsid w:val="00792A57"/>
    <w:rPr>
      <w:sz w:val="20"/>
    </w:rPr>
  </w:style>
  <w:style w:type="character" w:customStyle="1" w:styleId="CommentTextChar">
    <w:name w:val="Comment Text Char"/>
    <w:basedOn w:val="DefaultParagraphFont"/>
    <w:link w:val="CommentText"/>
    <w:uiPriority w:val="99"/>
    <w:rsid w:val="00792A57"/>
    <w:rPr>
      <w:snapToGrid w:val="0"/>
      <w:kern w:val="28"/>
    </w:rPr>
  </w:style>
  <w:style w:type="paragraph" w:styleId="CommentSubject">
    <w:name w:val="annotation subject"/>
    <w:basedOn w:val="CommentText"/>
    <w:next w:val="CommentText"/>
    <w:link w:val="CommentSubjectChar"/>
    <w:uiPriority w:val="99"/>
    <w:semiHidden/>
    <w:unhideWhenUsed/>
    <w:rsid w:val="00792A57"/>
    <w:rPr>
      <w:b/>
      <w:bCs/>
    </w:rPr>
  </w:style>
  <w:style w:type="character" w:customStyle="1" w:styleId="CommentSubjectChar">
    <w:name w:val="Comment Subject Char"/>
    <w:basedOn w:val="CommentTextChar"/>
    <w:link w:val="CommentSubject"/>
    <w:uiPriority w:val="99"/>
    <w:semiHidden/>
    <w:rsid w:val="00792A57"/>
    <w:rPr>
      <w:b/>
      <w:bCs/>
      <w:snapToGrid w:val="0"/>
      <w:kern w:val="28"/>
    </w:rPr>
  </w:style>
  <w:style w:type="character" w:customStyle="1" w:styleId="cosearchterm">
    <w:name w:val="co_searchterm"/>
    <w:rsid w:val="00261CFB"/>
  </w:style>
  <w:style w:type="character" w:styleId="Emphasis">
    <w:name w:val="Emphasis"/>
    <w:uiPriority w:val="20"/>
    <w:qFormat/>
    <w:rsid w:val="00261CFB"/>
    <w:rPr>
      <w:i/>
      <w:iCs/>
    </w:rPr>
  </w:style>
  <w:style w:type="character" w:styleId="FollowedHyperlink">
    <w:name w:val="FollowedHyperlink"/>
    <w:basedOn w:val="DefaultParagraphFont"/>
    <w:uiPriority w:val="99"/>
    <w:semiHidden/>
    <w:unhideWhenUsed/>
    <w:rsid w:val="009A3155"/>
    <w:rPr>
      <w:color w:val="96607D" w:themeColor="followedHyperlink"/>
      <w:u w:val="single"/>
    </w:rPr>
  </w:style>
  <w:style w:type="character" w:styleId="Mention">
    <w:name w:val="Mention"/>
    <w:basedOn w:val="DefaultParagraphFont"/>
    <w:uiPriority w:val="99"/>
    <w:unhideWhenUsed/>
    <w:rsid w:val="009C07B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mailto:hcinfo@usac.org" TargetMode="External" /><Relationship Id="rId2" Type="http://schemas.openxmlformats.org/officeDocument/2006/relationships/hyperlink" Target="mailto:gregory.kwan@fcc.gov" TargetMode="External" /><Relationship Id="rId3" Type="http://schemas.openxmlformats.org/officeDocument/2006/relationships/hyperlink" Target="mailto:audra.hale-maddox@fcc.gov"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