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381E2A" w:rsidP="00F67564" w14:paraId="6F8BF4A8" w14:textId="768BB56F">
      <w:pPr>
        <w:pStyle w:val="PN-DANumber"/>
        <w:rPr>
          <w:b/>
          <w:bCs/>
        </w:rPr>
      </w:pPr>
      <w:r>
        <w:br/>
      </w:r>
      <w:r w:rsidRPr="00DE311A" w:rsidR="001B69B7">
        <w:rPr>
          <w:b/>
          <w:bCs/>
        </w:rPr>
        <w:t>DA 26-</w:t>
      </w:r>
      <w:r w:rsidRPr="00DE311A" w:rsidR="00DE311A">
        <w:rPr>
          <w:b/>
          <w:bCs/>
        </w:rPr>
        <w:t>881</w:t>
      </w:r>
    </w:p>
    <w:p w:rsidR="000F3DAF" w:rsidRPr="00381E2A" w:rsidP="00F67564" w14:paraId="6735CDC9" w14:textId="7269EDE0">
      <w:pPr>
        <w:pStyle w:val="PNDA-Release"/>
        <w:rPr>
          <w:b/>
          <w:bCs/>
        </w:rPr>
      </w:pPr>
      <w:r w:rsidRPr="00381E2A">
        <w:rPr>
          <w:b/>
          <w:bCs/>
        </w:rPr>
        <w:t xml:space="preserve">Released:  </w:t>
      </w:r>
      <w:r w:rsidR="00DE311A">
        <w:rPr>
          <w:b/>
          <w:bCs/>
        </w:rPr>
        <w:t>August 24, 2026</w:t>
      </w:r>
    </w:p>
    <w:p w:rsidR="000F3DAF" w:rsidRPr="00381E2A" w:rsidP="00F67564" w14:paraId="1624827F" w14:textId="2C6AFB4F">
      <w:pPr>
        <w:pStyle w:val="PN-Title"/>
        <w:rPr>
          <w:b/>
          <w:bCs/>
        </w:rPr>
      </w:pPr>
      <w:r w:rsidRPr="00381E2A">
        <w:rPr>
          <w:b/>
          <w:bCs/>
        </w:rPr>
        <w:t xml:space="preserve">wireline competition bureau seeks comment on supplemental filing of </w:t>
      </w:r>
      <w:r w:rsidRPr="00381E2A" w:rsidR="007A3EC6">
        <w:rPr>
          <w:b/>
          <w:bCs/>
        </w:rPr>
        <w:t>Tin Can Untechnologies, Inc.</w:t>
      </w:r>
    </w:p>
    <w:p w:rsidR="002D2820" w:rsidRPr="00381E2A" w:rsidP="00942F3F" w14:paraId="00B53257" w14:textId="77D3F93A">
      <w:pPr>
        <w:pStyle w:val="PN-DocketRM"/>
        <w:rPr>
          <w:b/>
          <w:bCs/>
        </w:rPr>
      </w:pPr>
      <w:r w:rsidRPr="00381E2A">
        <w:rPr>
          <w:b/>
          <w:bCs/>
        </w:rPr>
        <w:t>WC Docket No. 25-</w:t>
      </w:r>
      <w:r w:rsidRPr="00381E2A" w:rsidR="008A3F9D">
        <w:rPr>
          <w:b/>
          <w:bCs/>
        </w:rPr>
        <w:t>288</w:t>
      </w:r>
    </w:p>
    <w:p w:rsidR="001542B2" w:rsidRPr="00381E2A" w:rsidP="00F67564" w14:paraId="4258E1E9" w14:textId="48B2553D">
      <w:pPr>
        <w:pStyle w:val="CommentReplyCommentDate"/>
        <w:rPr>
          <w:b/>
          <w:bCs/>
        </w:rPr>
      </w:pPr>
      <w:r w:rsidRPr="00381E2A">
        <w:rPr>
          <w:b/>
          <w:bCs/>
        </w:rPr>
        <w:t xml:space="preserve">Comment Date: </w:t>
      </w:r>
      <w:r w:rsidRPr="00E72F7F" w:rsidR="00A5133A">
        <w:rPr>
          <w:b/>
          <w:bCs/>
        </w:rPr>
        <w:t>August 31, 2026</w:t>
      </w:r>
    </w:p>
    <w:p w:rsidR="008F523F" w:rsidP="00F67564" w14:paraId="66DF8B39" w14:textId="5D757551">
      <w:pPr>
        <w:pStyle w:val="CommentReplyCommentDate"/>
      </w:pPr>
      <w:r w:rsidRPr="00381E2A">
        <w:rPr>
          <w:b/>
          <w:bCs/>
        </w:rPr>
        <w:t xml:space="preserve">Reply Comment Date: </w:t>
      </w:r>
      <w:r w:rsidRPr="00E72F7F" w:rsidR="007C1AC0">
        <w:rPr>
          <w:b/>
          <w:bCs/>
        </w:rPr>
        <w:t>September 8, 2026</w:t>
      </w:r>
      <w:r w:rsidR="00227FB4">
        <w:tab/>
      </w:r>
      <w:r w:rsidR="00227FB4">
        <w:tab/>
      </w:r>
      <w:r w:rsidR="00227FB4">
        <w:tab/>
      </w:r>
      <w:r w:rsidR="00227FB4">
        <w:tab/>
      </w:r>
      <w:r w:rsidR="00227FB4">
        <w:tab/>
      </w:r>
      <w:r w:rsidR="00227FB4">
        <w:tab/>
      </w:r>
    </w:p>
    <w:p w:rsidR="00BD7EC6" w:rsidP="00456F32" w14:paraId="28ECFE5F" w14:textId="77777777"/>
    <w:p w:rsidR="00C73AE0" w:rsidRPr="00381E2A" w:rsidP="00565DA2" w14:paraId="2EC847AB" w14:textId="614E0F89">
      <w:pPr>
        <w:spacing w:after="120"/>
        <w:ind w:firstLine="720"/>
        <w:rPr>
          <w:b w:val="0"/>
        </w:rPr>
      </w:pPr>
      <w:r w:rsidRPr="00381E2A">
        <w:rPr>
          <w:b w:val="0"/>
        </w:rPr>
        <w:t xml:space="preserve">The Wireline Competition Bureau </w:t>
      </w:r>
      <w:r w:rsidRPr="00381E2A" w:rsidR="0093661E">
        <w:rPr>
          <w:b w:val="0"/>
        </w:rPr>
        <w:t xml:space="preserve">(Bureau) </w:t>
      </w:r>
      <w:r w:rsidRPr="00381E2A">
        <w:rPr>
          <w:b w:val="0"/>
        </w:rPr>
        <w:t xml:space="preserve">seeks comment on </w:t>
      </w:r>
      <w:r w:rsidRPr="00381E2A" w:rsidR="007C1AC0">
        <w:rPr>
          <w:b w:val="0"/>
        </w:rPr>
        <w:t>the Update to Petition for Declaratory Ruling</w:t>
      </w:r>
      <w:r w:rsidRPr="00381E2A">
        <w:rPr>
          <w:b w:val="0"/>
        </w:rPr>
        <w:t xml:space="preserve"> filed </w:t>
      </w:r>
      <w:r w:rsidRPr="00381E2A" w:rsidR="003630A7">
        <w:rPr>
          <w:b w:val="0"/>
        </w:rPr>
        <w:t>on</w:t>
      </w:r>
      <w:r w:rsidRPr="00381E2A" w:rsidR="007C1AC0">
        <w:rPr>
          <w:b w:val="0"/>
        </w:rPr>
        <w:t xml:space="preserve"> August 21, 2026</w:t>
      </w:r>
      <w:r w:rsidRPr="00381E2A" w:rsidR="003630A7">
        <w:rPr>
          <w:b w:val="0"/>
        </w:rPr>
        <w:t xml:space="preserve"> </w:t>
      </w:r>
      <w:r w:rsidRPr="00381E2A">
        <w:rPr>
          <w:b w:val="0"/>
        </w:rPr>
        <w:t>by Tin Can</w:t>
      </w:r>
      <w:r w:rsidRPr="00381E2A" w:rsidR="00B236FD">
        <w:rPr>
          <w:b w:val="0"/>
        </w:rPr>
        <w:t xml:space="preserve"> </w:t>
      </w:r>
      <w:r w:rsidRPr="00381E2A" w:rsidR="00B236FD">
        <w:rPr>
          <w:b w:val="0"/>
        </w:rPr>
        <w:t>Untechnologies</w:t>
      </w:r>
      <w:r w:rsidRPr="00381E2A" w:rsidR="00B236FD">
        <w:rPr>
          <w:b w:val="0"/>
        </w:rPr>
        <w:t>, Inc.</w:t>
      </w:r>
      <w:r w:rsidRPr="00381E2A">
        <w:rPr>
          <w:b w:val="0"/>
        </w:rPr>
        <w:t xml:space="preserve"> (Tin Can).</w:t>
      </w:r>
      <w:r>
        <w:rPr>
          <w:rStyle w:val="FootnoteReference"/>
          <w:b w:val="0"/>
        </w:rPr>
        <w:footnoteReference w:id="2"/>
      </w:r>
      <w:r w:rsidRPr="00381E2A" w:rsidR="00382E67">
        <w:rPr>
          <w:b w:val="0"/>
        </w:rPr>
        <w:t xml:space="preserve"> </w:t>
      </w:r>
    </w:p>
    <w:p w:rsidR="00473E78" w:rsidRPr="00381E2A" w:rsidP="007F3742" w14:paraId="0848EDF5" w14:textId="3DA0C096">
      <w:pPr>
        <w:spacing w:after="120"/>
        <w:ind w:firstLine="720"/>
        <w:rPr>
          <w:b w:val="0"/>
        </w:rPr>
      </w:pPr>
      <w:r w:rsidRPr="00381E2A">
        <w:rPr>
          <w:b w:val="0"/>
        </w:rPr>
        <w:t xml:space="preserve">On </w:t>
      </w:r>
      <w:r w:rsidRPr="00381E2A" w:rsidR="00722199">
        <w:rPr>
          <w:b w:val="0"/>
        </w:rPr>
        <w:t xml:space="preserve">May 20, 2025, </w:t>
      </w:r>
      <w:r w:rsidRPr="00381E2A" w:rsidR="001E384B">
        <w:rPr>
          <w:b w:val="0"/>
        </w:rPr>
        <w:t>Tin Can filed a Petition for Declaratory Ruling</w:t>
      </w:r>
      <w:r>
        <w:rPr>
          <w:rStyle w:val="FootnoteReference"/>
          <w:b w:val="0"/>
        </w:rPr>
        <w:footnoteReference w:id="3"/>
      </w:r>
      <w:r w:rsidRPr="00381E2A" w:rsidR="001E384B">
        <w:rPr>
          <w:b w:val="0"/>
        </w:rPr>
        <w:t xml:space="preserve"> </w:t>
      </w:r>
      <w:r w:rsidRPr="00381E2A" w:rsidR="00E40C0C">
        <w:rPr>
          <w:b w:val="0"/>
        </w:rPr>
        <w:t>requesting</w:t>
      </w:r>
      <w:r w:rsidRPr="00381E2A" w:rsidR="001E384B">
        <w:rPr>
          <w:b w:val="0"/>
        </w:rPr>
        <w:t xml:space="preserve"> declaration that, for purposes of the Commission’s rules, Tin Can’s service does not constitute an interconnected Voice over Internet Protocol (VoIP) service or, alternatively, that the Commission waive regulatory requirements applicable to interconnected VoIP services for Tin Can’s service.</w:t>
      </w:r>
      <w:r>
        <w:rPr>
          <w:rStyle w:val="FootnoteReference"/>
          <w:b w:val="0"/>
        </w:rPr>
        <w:footnoteReference w:id="4"/>
      </w:r>
      <w:r w:rsidRPr="00381E2A" w:rsidR="00043342">
        <w:rPr>
          <w:b w:val="0"/>
        </w:rPr>
        <w:t xml:space="preserve"> </w:t>
      </w:r>
      <w:r w:rsidR="002920FB">
        <w:rPr>
          <w:b w:val="0"/>
        </w:rPr>
        <w:t xml:space="preserve"> </w:t>
      </w:r>
      <w:r w:rsidRPr="00381E2A" w:rsidR="00043342">
        <w:rPr>
          <w:b w:val="0"/>
        </w:rPr>
        <w:t xml:space="preserve">On </w:t>
      </w:r>
      <w:r w:rsidRPr="00381E2A">
        <w:rPr>
          <w:b w:val="0"/>
        </w:rPr>
        <w:t>April 17, 2026, the</w:t>
      </w:r>
      <w:r w:rsidRPr="00381E2A" w:rsidR="003C4342">
        <w:rPr>
          <w:b w:val="0"/>
        </w:rPr>
        <w:t xml:space="preserve"> </w:t>
      </w:r>
      <w:r w:rsidRPr="00381E2A" w:rsidR="0022666E">
        <w:rPr>
          <w:b w:val="0"/>
        </w:rPr>
        <w:t>Bureau</w:t>
      </w:r>
      <w:r w:rsidR="00DB1755">
        <w:rPr>
          <w:b w:val="0"/>
        </w:rPr>
        <w:t xml:space="preserve"> </w:t>
      </w:r>
      <w:r w:rsidR="00FE1723">
        <w:rPr>
          <w:b w:val="0"/>
        </w:rPr>
        <w:t>concluded that it did not have a sufficient record</w:t>
      </w:r>
      <w:r w:rsidR="00DB1755">
        <w:rPr>
          <w:b w:val="0"/>
        </w:rPr>
        <w:t xml:space="preserve"> to make a determination as to </w:t>
      </w:r>
      <w:r w:rsidR="007F3742">
        <w:rPr>
          <w:b w:val="0"/>
        </w:rPr>
        <w:t>whether Tin Can’s service functions as an interconnected VoIP service but</w:t>
      </w:r>
      <w:r w:rsidR="00930ABA">
        <w:rPr>
          <w:b w:val="0"/>
        </w:rPr>
        <w:t xml:space="preserve"> </w:t>
      </w:r>
      <w:r w:rsidRPr="00381E2A" w:rsidR="003C4342">
        <w:rPr>
          <w:b w:val="0"/>
        </w:rPr>
        <w:t>grant</w:t>
      </w:r>
      <w:r w:rsidRPr="00381E2A">
        <w:rPr>
          <w:b w:val="0"/>
        </w:rPr>
        <w:t xml:space="preserve">ed </w:t>
      </w:r>
      <w:r w:rsidRPr="00381E2A" w:rsidR="00654F65">
        <w:rPr>
          <w:b w:val="0"/>
        </w:rPr>
        <w:t>a</w:t>
      </w:r>
      <w:r w:rsidRPr="00381E2A" w:rsidR="003C4342">
        <w:rPr>
          <w:b w:val="0"/>
        </w:rPr>
        <w:t xml:space="preserve"> </w:t>
      </w:r>
      <w:r w:rsidRPr="00381E2A" w:rsidR="00C3556F">
        <w:rPr>
          <w:b w:val="0"/>
        </w:rPr>
        <w:t xml:space="preserve">limited waiver of certain </w:t>
      </w:r>
      <w:r w:rsidRPr="00381E2A" w:rsidR="00D11511">
        <w:rPr>
          <w:b w:val="0"/>
        </w:rPr>
        <w:t xml:space="preserve">of the Commission’s </w:t>
      </w:r>
      <w:r w:rsidRPr="00381E2A" w:rsidR="00C3556F">
        <w:rPr>
          <w:b w:val="0"/>
        </w:rPr>
        <w:t>rules for Tin Can’s service</w:t>
      </w:r>
      <w:r w:rsidRPr="00381E2A">
        <w:rPr>
          <w:b w:val="0"/>
        </w:rPr>
        <w:t>.</w:t>
      </w:r>
      <w:r>
        <w:rPr>
          <w:rStyle w:val="FootnoteReference"/>
          <w:b w:val="0"/>
        </w:rPr>
        <w:footnoteReference w:id="5"/>
      </w:r>
      <w:r w:rsidR="00930ABA">
        <w:rPr>
          <w:b w:val="0"/>
        </w:rPr>
        <w:t xml:space="preserve">  On August 21, 2026, Tin Can filed an Update to Petition for Declaratory Ruling, </w:t>
      </w:r>
      <w:r w:rsidR="009A7E2C">
        <w:rPr>
          <w:b w:val="0"/>
        </w:rPr>
        <w:t xml:space="preserve">providing additional information and explanation arguing that </w:t>
      </w:r>
      <w:r w:rsidR="00C971D7">
        <w:rPr>
          <w:b w:val="0"/>
        </w:rPr>
        <w:t>Tin Can’s whitelist service is not an interconnected VoIP service</w:t>
      </w:r>
      <w:r w:rsidR="0092321E">
        <w:rPr>
          <w:b w:val="0"/>
        </w:rPr>
        <w:t>, and renewing its request that the Commission act on the Petition for Declaratory Ruling</w:t>
      </w:r>
      <w:r w:rsidR="00C971D7">
        <w:rPr>
          <w:b w:val="0"/>
        </w:rPr>
        <w:t>.</w:t>
      </w:r>
      <w:r>
        <w:rPr>
          <w:rStyle w:val="FootnoteReference"/>
          <w:b w:val="0"/>
        </w:rPr>
        <w:footnoteReference w:id="6"/>
      </w:r>
    </w:p>
    <w:p w:rsidR="00764B0B" w:rsidRPr="00381E2A" w:rsidP="00764B0B" w14:paraId="27B98E26" w14:textId="77777777">
      <w:pPr>
        <w:pStyle w:val="ParaNum"/>
        <w:numPr>
          <w:ilvl w:val="0"/>
          <w:numId w:val="0"/>
        </w:numPr>
        <w:ind w:firstLine="720"/>
        <w:rPr>
          <w:rFonts w:eastAsia="Calibri"/>
          <w:b w:val="0"/>
        </w:rPr>
      </w:pPr>
      <w:r w:rsidRPr="00381E2A">
        <w:rPr>
          <w:rFonts w:eastAsia="Calibri"/>
          <w:b w:val="0"/>
          <w:i/>
          <w:iCs/>
        </w:rPr>
        <w:t>Filing Requirements.</w:t>
      </w:r>
      <w:r w:rsidRPr="00381E2A">
        <w:rPr>
          <w:rFonts w:eastAsia="Calibri"/>
          <w:b w:val="0"/>
        </w:rPr>
        <w:t xml:space="preserve">  Interested parties may file comments on or before the dates shown on the first page of this document.</w:t>
      </w:r>
      <w:r>
        <w:rPr>
          <w:rStyle w:val="FootnoteReference"/>
          <w:rFonts w:eastAsia="Calibri"/>
          <w:b w:val="0"/>
        </w:rPr>
        <w:footnoteReference w:id="7"/>
      </w:r>
      <w:r w:rsidRPr="00381E2A">
        <w:rPr>
          <w:rFonts w:eastAsia="Calibri"/>
          <w:b w:val="0"/>
        </w:rPr>
        <w:t xml:space="preserve">  All comments must reference WC Docket No. 25-288.  Comments may be filed using the Commission’s Electronic Comment Filing System (ECFS).</w:t>
      </w:r>
      <w:r>
        <w:rPr>
          <w:rStyle w:val="FootnoteReference"/>
          <w:rFonts w:eastAsia="Calibri"/>
          <w:b w:val="0"/>
        </w:rPr>
        <w:footnoteReference w:id="8"/>
      </w:r>
      <w:r w:rsidRPr="00381E2A">
        <w:rPr>
          <w:rFonts w:eastAsia="Calibri"/>
          <w:b w:val="0"/>
        </w:rPr>
        <w:t xml:space="preserve">    </w:t>
      </w:r>
    </w:p>
    <w:p w:rsidR="00764B0B" w:rsidRPr="00381E2A" w:rsidP="00764B0B" w14:paraId="148F1FD9" w14:textId="77777777">
      <w:pPr>
        <w:numPr>
          <w:ilvl w:val="0"/>
          <w:numId w:val="45"/>
        </w:numPr>
        <w:spacing w:after="120"/>
        <w:ind w:left="1080"/>
        <w:rPr>
          <w:b w:val="0"/>
        </w:rPr>
      </w:pPr>
      <w:r w:rsidRPr="00381E2A">
        <w:rPr>
          <w:b w:val="0"/>
        </w:rPr>
        <w:t xml:space="preserve">Electronic Filers:  Comments may be filed electronically using the Internet by accessing the ECFS:  </w:t>
      </w:r>
      <w:hyperlink r:id="rId5" w:history="1">
        <w:r w:rsidRPr="00381E2A">
          <w:rPr>
            <w:b w:val="0"/>
            <w:color w:val="0000FF"/>
            <w:u w:val="single"/>
          </w:rPr>
          <w:t>https://www.fcc.gov/ecfs/filings</w:t>
        </w:r>
      </w:hyperlink>
      <w:r w:rsidRPr="00381E2A">
        <w:rPr>
          <w:b w:val="0"/>
        </w:rPr>
        <w:t xml:space="preserve">.  </w:t>
      </w:r>
    </w:p>
    <w:p w:rsidR="00764B0B" w:rsidRPr="00381E2A" w:rsidP="00764B0B" w14:paraId="51C58BB7" w14:textId="77777777">
      <w:pPr>
        <w:numPr>
          <w:ilvl w:val="0"/>
          <w:numId w:val="45"/>
        </w:numPr>
        <w:spacing w:after="120"/>
        <w:ind w:left="1080"/>
        <w:rPr>
          <w:b w:val="0"/>
        </w:rPr>
      </w:pPr>
      <w:r w:rsidRPr="00381E2A">
        <w:rPr>
          <w:b w:val="0"/>
        </w:rPr>
        <w:t xml:space="preserve">Paper Filers:  Parties who choose to file by paper must file an original and one copy of each filing.    </w:t>
      </w:r>
    </w:p>
    <w:p w:rsidR="00764B0B" w:rsidRPr="00381E2A" w:rsidP="00764B0B" w14:paraId="228DDB0D" w14:textId="77777777">
      <w:pPr>
        <w:numPr>
          <w:ilvl w:val="1"/>
          <w:numId w:val="47"/>
        </w:numPr>
        <w:spacing w:after="120"/>
        <w:rPr>
          <w:b w:val="0"/>
        </w:rPr>
      </w:pPr>
      <w:r w:rsidRPr="00381E2A">
        <w:rPr>
          <w:b w:val="0"/>
        </w:rPr>
        <w:t>Filings can be sent by hand or messenger delivery, by commercial overnight courier, or by U.S. Postal Service.  All filings must be addressed to the Commission’s Secretary, Office of the Secretary, Federal Communications Commission.</w:t>
      </w:r>
    </w:p>
    <w:p w:rsidR="00764B0B" w:rsidRPr="00381E2A" w:rsidP="00764B0B" w14:paraId="371946F5" w14:textId="77777777">
      <w:pPr>
        <w:numPr>
          <w:ilvl w:val="1"/>
          <w:numId w:val="48"/>
        </w:numPr>
        <w:spacing w:after="120"/>
        <w:rPr>
          <w:b w:val="0"/>
        </w:rPr>
      </w:pPr>
      <w:r w:rsidRPr="00381E2A">
        <w:rPr>
          <w:b w:val="0"/>
        </w:rPr>
        <w:t xml:space="preserve">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w:t>
      </w:r>
    </w:p>
    <w:p w:rsidR="00764B0B" w:rsidRPr="00381E2A" w:rsidP="00764B0B" w14:paraId="5FC3F88C" w14:textId="77777777">
      <w:pPr>
        <w:numPr>
          <w:ilvl w:val="1"/>
          <w:numId w:val="48"/>
        </w:numPr>
        <w:spacing w:after="120"/>
        <w:rPr>
          <w:b w:val="0"/>
        </w:rPr>
      </w:pPr>
      <w:r w:rsidRPr="00381E2A">
        <w:rPr>
          <w:b w:val="0"/>
        </w:rPr>
        <w:t xml:space="preserve">Commercial courier deliveries (any deliveries not by the U.S. Postal Service) must be sent to 9050 Junction Drive, Annapolis Junction, MD 20701.  </w:t>
      </w:r>
    </w:p>
    <w:p w:rsidR="00764B0B" w:rsidRPr="00381E2A" w:rsidP="00764B0B" w14:paraId="7C230100" w14:textId="77777777">
      <w:pPr>
        <w:numPr>
          <w:ilvl w:val="1"/>
          <w:numId w:val="48"/>
        </w:numPr>
        <w:spacing w:after="120"/>
        <w:rPr>
          <w:b w:val="0"/>
        </w:rPr>
      </w:pPr>
      <w:r w:rsidRPr="00381E2A">
        <w:rPr>
          <w:b w:val="0"/>
        </w:rPr>
        <w:t>Filings sent by U.S. Postal Service First-Class Mail, Priority Mail, and Priority Mail Express may be addressed to 45 L Street, NE, Washington, DC 20554.</w:t>
      </w:r>
    </w:p>
    <w:p w:rsidR="00764B0B" w:rsidRPr="00381E2A" w:rsidP="00764B0B" w14:paraId="65EA5DA6" w14:textId="77777777">
      <w:pPr>
        <w:pStyle w:val="ParaNum"/>
        <w:numPr>
          <w:ilvl w:val="0"/>
          <w:numId w:val="0"/>
        </w:numPr>
        <w:ind w:firstLine="720"/>
        <w:rPr>
          <w:rFonts w:eastAsia="Calibri"/>
          <w:b w:val="0"/>
        </w:rPr>
      </w:pPr>
      <w:r w:rsidRPr="00381E2A">
        <w:rPr>
          <w:rFonts w:eastAsia="Calibri"/>
          <w:b w:val="0"/>
          <w:i/>
          <w:iCs/>
        </w:rPr>
        <w:t xml:space="preserve">Ex </w:t>
      </w:r>
      <w:r w:rsidRPr="00381E2A">
        <w:rPr>
          <w:rFonts w:eastAsia="Calibri"/>
          <w:b w:val="0"/>
          <w:i/>
          <w:iCs/>
        </w:rPr>
        <w:t>Parte</w:t>
      </w:r>
      <w:r w:rsidRPr="00381E2A">
        <w:rPr>
          <w:rFonts w:eastAsia="Calibri"/>
          <w:b w:val="0"/>
          <w:i/>
          <w:iCs/>
        </w:rPr>
        <w:t xml:space="preserve"> Rules.</w:t>
      </w:r>
      <w:r w:rsidRPr="00381E2A">
        <w:rPr>
          <w:rFonts w:eastAsia="Calibri"/>
          <w:b w:val="0"/>
        </w:rPr>
        <w:t xml:space="preserve">  The proceeding this Public Notice initiates shall be treated as a “permit-but-disclose” proceeding in accordance with the Commission’s </w:t>
      </w:r>
      <w:r w:rsidRPr="00381E2A">
        <w:rPr>
          <w:rFonts w:eastAsia="Calibri"/>
          <w:b w:val="0"/>
          <w:i/>
          <w:iCs/>
        </w:rPr>
        <w:t xml:space="preserve">ex </w:t>
      </w:r>
      <w:r w:rsidRPr="00381E2A">
        <w:rPr>
          <w:rFonts w:eastAsia="Calibri"/>
          <w:b w:val="0"/>
          <w:i/>
          <w:iCs/>
        </w:rPr>
        <w:t>parte</w:t>
      </w:r>
      <w:r w:rsidRPr="00381E2A">
        <w:rPr>
          <w:rFonts w:eastAsia="Calibri"/>
          <w:b w:val="0"/>
        </w:rPr>
        <w:t xml:space="preserve"> rules.</w:t>
      </w:r>
      <w:r>
        <w:rPr>
          <w:rStyle w:val="FootnoteReference"/>
          <w:rFonts w:eastAsia="Calibri"/>
          <w:b w:val="0"/>
        </w:rPr>
        <w:footnoteReference w:id="9"/>
      </w:r>
      <w:r w:rsidRPr="00381E2A">
        <w:rPr>
          <w:rFonts w:eastAsia="Calibri"/>
          <w:b w:val="0"/>
        </w:rPr>
        <w:t xml:space="preserve">  Persons making </w:t>
      </w:r>
      <w:r w:rsidRPr="00381E2A">
        <w:rPr>
          <w:rFonts w:eastAsia="Calibri"/>
          <w:b w:val="0"/>
          <w:i/>
          <w:iCs/>
        </w:rPr>
        <w:t xml:space="preserve">ex </w:t>
      </w:r>
      <w:r w:rsidRPr="00381E2A">
        <w:rPr>
          <w:rFonts w:eastAsia="Calibri"/>
          <w:b w:val="0"/>
          <w:i/>
          <w:iCs/>
        </w:rPr>
        <w:t>parte</w:t>
      </w:r>
      <w:r w:rsidRPr="00381E2A">
        <w:rPr>
          <w:rFonts w:eastAsia="Calibri"/>
          <w:b w:val="0"/>
        </w:rPr>
        <w:t xml:space="preserve"> presentations must file a copy of any written presentation or a memorandum summarizing any oral presentation within two business days after the presentation (unless a different deadline applicable to the Sunshine period applies).  Persons making oral </w:t>
      </w:r>
      <w:r w:rsidRPr="00381E2A">
        <w:rPr>
          <w:rFonts w:eastAsia="Calibri"/>
          <w:b w:val="0"/>
          <w:i/>
          <w:iCs/>
        </w:rPr>
        <w:t xml:space="preserve">ex </w:t>
      </w:r>
      <w:r w:rsidRPr="00381E2A">
        <w:rPr>
          <w:rFonts w:eastAsia="Calibri"/>
          <w:b w:val="0"/>
          <w:i/>
          <w:iCs/>
        </w:rPr>
        <w:t>parte</w:t>
      </w:r>
      <w:r w:rsidRPr="00381E2A">
        <w:rPr>
          <w:rFonts w:eastAsia="Calibri"/>
          <w:b w:val="0"/>
        </w:rPr>
        <w:t xml:space="preserve"> presentations are reminded that memoranda summarizing the presentation must (1) list all persons attending or otherwise participating in the meeting at which the </w:t>
      </w:r>
      <w:r w:rsidRPr="00381E2A">
        <w:rPr>
          <w:rFonts w:eastAsia="Calibri"/>
          <w:b w:val="0"/>
          <w:i/>
          <w:iCs/>
        </w:rPr>
        <w:t xml:space="preserve">ex </w:t>
      </w:r>
      <w:r w:rsidRPr="00381E2A">
        <w:rPr>
          <w:rFonts w:eastAsia="Calibri"/>
          <w:b w:val="0"/>
          <w:i/>
          <w:iCs/>
        </w:rPr>
        <w:t>parte</w:t>
      </w:r>
      <w:r w:rsidRPr="00381E2A">
        <w:rPr>
          <w:rFonts w:eastAsia="Calibri"/>
          <w:b w:val="0"/>
        </w:rPr>
        <w:t xml:space="preserve"> 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381E2A">
        <w:rPr>
          <w:rFonts w:eastAsia="Calibri"/>
          <w:b w:val="0"/>
          <w:i/>
          <w:iCs/>
        </w:rPr>
        <w:t xml:space="preserve">ex </w:t>
      </w:r>
      <w:r w:rsidRPr="00381E2A">
        <w:rPr>
          <w:rFonts w:eastAsia="Calibri"/>
          <w:b w:val="0"/>
          <w:i/>
          <w:iCs/>
        </w:rPr>
        <w:t>parte</w:t>
      </w:r>
      <w:r w:rsidRPr="00381E2A">
        <w:rPr>
          <w:rFonts w:eastAsia="Calibri"/>
          <w:b w:val="0"/>
        </w:rPr>
        <w:t xml:space="preserve"> meetings are deemed to be written </w:t>
      </w:r>
      <w:r w:rsidRPr="00381E2A">
        <w:rPr>
          <w:rFonts w:eastAsia="Calibri"/>
          <w:b w:val="0"/>
          <w:i/>
          <w:iCs/>
        </w:rPr>
        <w:t xml:space="preserve">ex </w:t>
      </w:r>
      <w:r w:rsidRPr="00381E2A">
        <w:rPr>
          <w:rFonts w:eastAsia="Calibri"/>
          <w:b w:val="0"/>
          <w:i/>
          <w:iCs/>
        </w:rPr>
        <w:t>parte</w:t>
      </w:r>
      <w:r w:rsidRPr="00381E2A">
        <w:rPr>
          <w:rFonts w:eastAsia="Calibri"/>
          <w:b w:val="0"/>
        </w:rPr>
        <w:t xml:space="preserve"> presentations and must be filed consistent with section 1.1206(b).  In proceedings governed by section 1.49(f) or for which the Commission has made available a method of electronic filing, written </w:t>
      </w:r>
      <w:r w:rsidRPr="00381E2A">
        <w:rPr>
          <w:rFonts w:eastAsia="Calibri"/>
          <w:b w:val="0"/>
          <w:i/>
          <w:iCs/>
        </w:rPr>
        <w:t xml:space="preserve">ex </w:t>
      </w:r>
      <w:r w:rsidRPr="00381E2A">
        <w:rPr>
          <w:rFonts w:eastAsia="Calibri"/>
          <w:b w:val="0"/>
          <w:i/>
          <w:iCs/>
        </w:rPr>
        <w:t>parte</w:t>
      </w:r>
      <w:r w:rsidRPr="00381E2A">
        <w:rPr>
          <w:rFonts w:eastAsia="Calibri"/>
          <w:b w:val="0"/>
        </w:rPr>
        <w:t xml:space="preserve"> presentations and memoranda summarizing oral </w:t>
      </w:r>
      <w:r w:rsidRPr="00381E2A">
        <w:rPr>
          <w:rFonts w:eastAsia="Calibri"/>
          <w:b w:val="0"/>
          <w:i/>
          <w:iCs/>
        </w:rPr>
        <w:t xml:space="preserve">ex </w:t>
      </w:r>
      <w:r w:rsidRPr="00381E2A">
        <w:rPr>
          <w:rFonts w:eastAsia="Calibri"/>
          <w:b w:val="0"/>
          <w:i/>
          <w:iCs/>
        </w:rPr>
        <w:t>parte</w:t>
      </w:r>
      <w:r w:rsidRPr="00381E2A">
        <w:rPr>
          <w:rFonts w:eastAsia="Calibri"/>
          <w:b w:val="0"/>
        </w:rPr>
        <w:t xml:space="preserve"> presentations, and all attachments thereto, must be filed through the electronic comment filing system available for that proceeding, and must be filed in their native format (e.g., .doc, .xml, .ppt, searchable .pdf).  Participants in this proceeding should familiarize themselves with the Commission’s </w:t>
      </w:r>
      <w:r w:rsidRPr="00381E2A">
        <w:rPr>
          <w:rFonts w:eastAsia="Calibri"/>
          <w:b w:val="0"/>
          <w:i/>
          <w:iCs/>
        </w:rPr>
        <w:t xml:space="preserve">ex </w:t>
      </w:r>
      <w:r w:rsidRPr="00381E2A">
        <w:rPr>
          <w:rFonts w:eastAsia="Calibri"/>
          <w:b w:val="0"/>
          <w:i/>
          <w:iCs/>
        </w:rPr>
        <w:t>parte</w:t>
      </w:r>
      <w:r w:rsidRPr="00381E2A">
        <w:rPr>
          <w:rFonts w:eastAsia="Calibri"/>
          <w:b w:val="0"/>
        </w:rPr>
        <w:t xml:space="preserve"> rules.</w:t>
      </w:r>
    </w:p>
    <w:p w:rsidR="00764B0B" w:rsidRPr="00381E2A" w:rsidP="00764B0B" w14:paraId="6B17A4DC" w14:textId="77777777">
      <w:pPr>
        <w:pStyle w:val="ParaNum"/>
        <w:numPr>
          <w:ilvl w:val="0"/>
          <w:numId w:val="0"/>
        </w:numPr>
        <w:ind w:firstLine="720"/>
        <w:rPr>
          <w:rFonts w:eastAsia="Calibri"/>
          <w:b w:val="0"/>
        </w:rPr>
      </w:pPr>
      <w:r w:rsidRPr="00381E2A">
        <w:rPr>
          <w:rFonts w:eastAsia="Calibri"/>
          <w:b w:val="0"/>
          <w:i/>
          <w:iCs/>
        </w:rPr>
        <w:t>People with Disabilities.</w:t>
      </w:r>
      <w:r w:rsidRPr="00381E2A">
        <w:rPr>
          <w:rFonts w:eastAsia="Calibri"/>
          <w:b w:val="0"/>
        </w:rPr>
        <w:t xml:space="preserve">  To request materials in accessible formats for people with disabilities (Braille, large print, electronic files, audio format), send an e-mail to </w:t>
      </w:r>
      <w:hyperlink r:id="rId6">
        <w:r w:rsidRPr="00381E2A">
          <w:rPr>
            <w:rStyle w:val="Hyperlink"/>
            <w:rFonts w:eastAsia="Calibri"/>
            <w:b w:val="0"/>
          </w:rPr>
          <w:t>fcc504@fcc.gov</w:t>
        </w:r>
      </w:hyperlink>
      <w:r w:rsidRPr="00381E2A">
        <w:rPr>
          <w:rFonts w:eastAsia="Calibri"/>
          <w:b w:val="0"/>
        </w:rPr>
        <w:t xml:space="preserve"> or call the Consumer and Governmental Affairs Bureau at 202-418-0530.</w:t>
      </w:r>
    </w:p>
    <w:p w:rsidR="00764B0B" w:rsidRPr="00381E2A" w:rsidP="00764B0B" w14:paraId="051C79EC" w14:textId="77777777">
      <w:pPr>
        <w:pStyle w:val="ParaNum"/>
        <w:numPr>
          <w:ilvl w:val="0"/>
          <w:numId w:val="0"/>
        </w:numPr>
        <w:ind w:firstLine="720"/>
        <w:rPr>
          <w:b w:val="0"/>
        </w:rPr>
      </w:pPr>
      <w:r w:rsidRPr="00381E2A">
        <w:rPr>
          <w:b w:val="0"/>
          <w:i/>
          <w:iCs/>
        </w:rPr>
        <w:t>Additional Information.</w:t>
      </w:r>
      <w:r w:rsidRPr="00381E2A">
        <w:rPr>
          <w:b w:val="0"/>
        </w:rPr>
        <w:t xml:space="preserve">  For additional information on this proceeding, contact Melissa Kirkel, Competition Policy Division, Wireline Competition Bureau, at 202-418-7958, or </w:t>
      </w:r>
      <w:hyperlink r:id="rId7" w:history="1">
        <w:r w:rsidRPr="00381E2A">
          <w:rPr>
            <w:rStyle w:val="Hyperlink"/>
            <w:b w:val="0"/>
          </w:rPr>
          <w:t>Melissa.Kirkel@fcc.gov</w:t>
        </w:r>
      </w:hyperlink>
      <w:r w:rsidRPr="00381E2A">
        <w:rPr>
          <w:b w:val="0"/>
        </w:rPr>
        <w:t xml:space="preserve">. </w:t>
      </w:r>
    </w:p>
    <w:p w:rsidR="00922848" w:rsidRPr="00381E2A" w:rsidP="00764B0B" w14:paraId="61469A72" w14:textId="77777777">
      <w:pPr>
        <w:pStyle w:val="ParaNum"/>
        <w:numPr>
          <w:ilvl w:val="0"/>
          <w:numId w:val="0"/>
        </w:numPr>
        <w:ind w:firstLine="720"/>
        <w:rPr>
          <w:b w:val="0"/>
        </w:rPr>
      </w:pPr>
    </w:p>
    <w:p w:rsidR="00E41AC2" w:rsidRPr="00784D51" w:rsidP="00922848" w14:paraId="0FFBEDC5" w14:textId="2CA57BC8">
      <w:pPr>
        <w:pStyle w:val="FCCTagLine"/>
        <w:rPr>
          <w:b/>
          <w:bCs/>
        </w:rPr>
      </w:pPr>
      <w:r w:rsidRPr="00784D51">
        <w:rPr>
          <w:b/>
          <w:bCs/>
        </w:rPr>
        <w:t>– FCC –</w:t>
      </w:r>
    </w:p>
    <w:p w:rsidR="00922848" w:rsidRPr="00381E2A" w:rsidP="00922848" w14:paraId="4FF92073" w14:textId="77777777">
      <w:pPr>
        <w:rPr>
          <w:b w:val="0"/>
        </w:rPr>
      </w:pPr>
    </w:p>
    <w:p w:rsidR="00922848" w:rsidRPr="00381E2A" w:rsidP="00922848" w14:paraId="117C6A5C" w14:textId="77777777">
      <w:pPr>
        <w:rPr>
          <w:b w:val="0"/>
        </w:rPr>
      </w:pPr>
    </w:p>
    <w:p w:rsidR="00922848" w:rsidRPr="00381E2A" w:rsidP="00922848" w14:paraId="56D9EDA6" w14:textId="563C4994">
      <w:pPr>
        <w:tabs>
          <w:tab w:val="left" w:pos="5527"/>
        </w:tabs>
        <w:rPr>
          <w:b w:val="0"/>
        </w:rPr>
      </w:pPr>
    </w:p>
    <w:sectPr w:rsidSect="008D455A">
      <w:headerReference w:type="default" r:id="rId8"/>
      <w:footerReference w:type="default" r:id="rId9"/>
      <w:headerReference w:type="first" r:id="rId10"/>
      <w:footerReference w:type="first" r:id="rId11"/>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CC65EA" w:rsidP="00F67564" w14:paraId="29EC110E" w14:textId="77777777">
    <w:pPr>
      <w:pStyle w:val="Footer"/>
      <w:rPr>
        <w:b w:val="0"/>
        <w:bCs/>
      </w:rPr>
    </w:pPr>
    <w:r w:rsidRPr="00CC65EA">
      <w:rPr>
        <w:b w:val="0"/>
        <w:bCs/>
      </w:rPr>
      <w:fldChar w:fldCharType="begin"/>
    </w:r>
    <w:r w:rsidRPr="00CC65EA">
      <w:rPr>
        <w:b w:val="0"/>
        <w:bCs/>
      </w:rPr>
      <w:instrText xml:space="preserve"> PAGE   \* MERGEFORMAT </w:instrText>
    </w:r>
    <w:r w:rsidRPr="00CC65EA">
      <w:rPr>
        <w:b w:val="0"/>
        <w:bCs/>
      </w:rPr>
      <w:fldChar w:fldCharType="separate"/>
    </w:r>
    <w:r w:rsidRPr="00CC65EA">
      <w:rPr>
        <w:b w:val="0"/>
        <w:bCs/>
        <w:noProof/>
      </w:rPr>
      <w:t>2</w:t>
    </w:r>
    <w:r w:rsidRPr="00CC65EA">
      <w:rPr>
        <w:b w:val="0"/>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1580" w:rsidP="008D455A" w14:paraId="58D781E0" w14:textId="271C336D">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248F4" w:rsidP="00F67564" w14:paraId="7BAA4B1A" w14:textId="77777777">
      <w:r>
        <w:separator/>
      </w:r>
    </w:p>
  </w:footnote>
  <w:footnote w:type="continuationSeparator" w:id="1">
    <w:p w:rsidR="00E248F4" w:rsidP="00F67564" w14:paraId="38860F9F" w14:textId="77777777">
      <w:r>
        <w:continuationSeparator/>
      </w:r>
    </w:p>
  </w:footnote>
  <w:footnote w:id="2">
    <w:p w:rsidR="00565DA2" w:rsidRPr="00A11B29" w14:paraId="3214F373" w14:textId="00B1A6B1">
      <w:pPr>
        <w:pStyle w:val="FootnoteText"/>
        <w:rPr>
          <w:b w:val="0"/>
          <w:bCs/>
        </w:rPr>
      </w:pPr>
      <w:r w:rsidRPr="00A11B29">
        <w:rPr>
          <w:rStyle w:val="FootnoteReference"/>
          <w:b w:val="0"/>
          <w:bCs/>
        </w:rPr>
        <w:footnoteRef/>
      </w:r>
      <w:r w:rsidRPr="00A11B29">
        <w:rPr>
          <w:b w:val="0"/>
          <w:bCs/>
        </w:rPr>
        <w:t xml:space="preserve"> </w:t>
      </w:r>
      <w:r w:rsidRPr="00A11B29" w:rsidR="003073D1">
        <w:rPr>
          <w:b w:val="0"/>
          <w:bCs/>
          <w:color w:val="000000" w:themeColor="text1"/>
        </w:rPr>
        <w:t xml:space="preserve">Tin Can </w:t>
      </w:r>
      <w:r w:rsidRPr="00A11B29" w:rsidR="003073D1">
        <w:rPr>
          <w:b w:val="0"/>
          <w:bCs/>
          <w:color w:val="000000" w:themeColor="text1"/>
        </w:rPr>
        <w:t>Untechnologies</w:t>
      </w:r>
      <w:r w:rsidRPr="00A11B29" w:rsidR="003073D1">
        <w:rPr>
          <w:b w:val="0"/>
          <w:bCs/>
          <w:color w:val="000000" w:themeColor="text1"/>
        </w:rPr>
        <w:t xml:space="preserve">, Inc., </w:t>
      </w:r>
      <w:r w:rsidRPr="00A11B29" w:rsidR="00616008">
        <w:rPr>
          <w:b w:val="0"/>
          <w:bCs/>
          <w:color w:val="000000" w:themeColor="text1"/>
        </w:rPr>
        <w:t xml:space="preserve">Update to Petition for Declaratory Ruling, WC Docket No. 25-288 (filed Aug. 21, 2026), </w:t>
      </w:r>
      <w:hyperlink r:id="rId1" w:history="1">
        <w:r w:rsidRPr="004B31F6" w:rsidR="00DE311A">
          <w:rPr>
            <w:rStyle w:val="Hyperlink"/>
            <w:b w:val="0"/>
            <w:bCs/>
          </w:rPr>
          <w:t>https://www.fcc.gov/ecfs/document/26110072650/1</w:t>
        </w:r>
      </w:hyperlink>
      <w:r w:rsidR="00DE311A">
        <w:rPr>
          <w:b w:val="0"/>
          <w:bCs/>
          <w:color w:val="000000" w:themeColor="text1"/>
        </w:rPr>
        <w:t xml:space="preserve"> </w:t>
      </w:r>
      <w:r w:rsidR="002D6098">
        <w:rPr>
          <w:b w:val="0"/>
          <w:bCs/>
        </w:rPr>
        <w:t>(Tin Can Update)</w:t>
      </w:r>
      <w:r w:rsidR="00754874">
        <w:rPr>
          <w:b w:val="0"/>
          <w:bCs/>
        </w:rPr>
        <w:t>.</w:t>
      </w:r>
    </w:p>
  </w:footnote>
  <w:footnote w:id="3">
    <w:p w:rsidR="001E384B" w:rsidRPr="00A11B29" w:rsidP="001E384B" w14:paraId="0E0CE777" w14:textId="77777777">
      <w:pPr>
        <w:pStyle w:val="FootnoteText"/>
        <w:rPr>
          <w:b w:val="0"/>
          <w:bCs/>
        </w:rPr>
      </w:pPr>
      <w:r w:rsidRPr="00A11B29">
        <w:rPr>
          <w:rStyle w:val="FootnoteReference"/>
          <w:b w:val="0"/>
          <w:bCs/>
        </w:rPr>
        <w:footnoteRef/>
      </w:r>
      <w:r w:rsidRPr="00A11B29">
        <w:rPr>
          <w:b w:val="0"/>
          <w:bCs/>
        </w:rPr>
        <w:t xml:space="preserve"> Far Homes, Inc. d/b/a Tin Can, Petition for Declaratory Ruling, WC Docket No. 25-288 (filed May 20, 2025), </w:t>
      </w:r>
      <w:hyperlink r:id="rId2" w:history="1">
        <w:r w:rsidRPr="00A11B29">
          <w:rPr>
            <w:rStyle w:val="Hyperlink"/>
            <w:b w:val="0"/>
            <w:bCs/>
          </w:rPr>
          <w:t>https://www.fcc.gov/ecfs/search/search-filings/filing/105212663826316</w:t>
        </w:r>
      </w:hyperlink>
      <w:r w:rsidRPr="00A11B29">
        <w:rPr>
          <w:b w:val="0"/>
          <w:bCs/>
        </w:rPr>
        <w:t xml:space="preserve"> (Tin Can Petition).</w:t>
      </w:r>
    </w:p>
  </w:footnote>
  <w:footnote w:id="4">
    <w:p w:rsidR="001E384B" w:rsidRPr="00A11B29" w:rsidP="001E384B" w14:paraId="20187954" w14:textId="77777777">
      <w:pPr>
        <w:pStyle w:val="FootnoteText"/>
        <w:rPr>
          <w:b w:val="0"/>
          <w:bCs/>
          <w:i/>
          <w:iCs/>
        </w:rPr>
      </w:pPr>
      <w:r w:rsidRPr="00A11B29">
        <w:rPr>
          <w:rStyle w:val="FootnoteReference"/>
          <w:b w:val="0"/>
          <w:bCs/>
        </w:rPr>
        <w:footnoteRef/>
      </w:r>
      <w:r w:rsidRPr="00A11B29">
        <w:rPr>
          <w:b w:val="0"/>
          <w:bCs/>
        </w:rPr>
        <w:t xml:space="preserve"> Tin Can Petition at 1, 4-5; </w:t>
      </w:r>
      <w:r w:rsidRPr="00A11B29">
        <w:rPr>
          <w:b w:val="0"/>
          <w:bCs/>
          <w:i/>
          <w:iCs/>
        </w:rPr>
        <w:t xml:space="preserve">see </w:t>
      </w:r>
      <w:r w:rsidRPr="00A11B29">
        <w:rPr>
          <w:rFonts w:eastAsia="Calibri"/>
          <w:b w:val="0"/>
          <w:bCs/>
        </w:rPr>
        <w:t>47 CFR §§ 1.3, 1.925.</w:t>
      </w:r>
    </w:p>
  </w:footnote>
  <w:footnote w:id="5">
    <w:p w:rsidR="00C3556F" w:rsidRPr="00A11B29" w:rsidP="00C3556F" w14:paraId="11063BFC" w14:textId="4D5EA865">
      <w:pPr>
        <w:pStyle w:val="FootnoteText"/>
        <w:rPr>
          <w:b w:val="0"/>
          <w:bCs/>
        </w:rPr>
      </w:pPr>
      <w:r w:rsidRPr="00A11B29">
        <w:rPr>
          <w:rStyle w:val="FootnoteReference"/>
          <w:b w:val="0"/>
          <w:bCs/>
        </w:rPr>
        <w:footnoteRef/>
      </w:r>
      <w:r w:rsidRPr="00A11B29">
        <w:rPr>
          <w:b w:val="0"/>
          <w:bCs/>
        </w:rPr>
        <w:t xml:space="preserve"> </w:t>
      </w:r>
      <w:r w:rsidRPr="00A11B29" w:rsidR="0065115A">
        <w:rPr>
          <w:b w:val="0"/>
          <w:bCs/>
          <w:i/>
          <w:iCs/>
        </w:rPr>
        <w:t>In the Matter of Far Homes, Inc. d/b/a Tin Can, Petition for Declaratory Ruling</w:t>
      </w:r>
      <w:r w:rsidRPr="00A11B29">
        <w:rPr>
          <w:b w:val="0"/>
          <w:bCs/>
        </w:rPr>
        <w:t>,</w:t>
      </w:r>
      <w:r w:rsidRPr="00A11B29">
        <w:rPr>
          <w:b w:val="0"/>
          <w:bCs/>
          <w:i/>
          <w:iCs/>
        </w:rPr>
        <w:t xml:space="preserve"> </w:t>
      </w:r>
      <w:r w:rsidRPr="00A11B29" w:rsidR="00D54438">
        <w:rPr>
          <w:b w:val="0"/>
          <w:bCs/>
        </w:rPr>
        <w:t>WC Docket No. 25-288</w:t>
      </w:r>
      <w:r w:rsidRPr="00A11B29" w:rsidR="002F393C">
        <w:rPr>
          <w:b w:val="0"/>
          <w:bCs/>
        </w:rPr>
        <w:t xml:space="preserve">, </w:t>
      </w:r>
      <w:r w:rsidRPr="00A11B29" w:rsidR="006E222F">
        <w:rPr>
          <w:b w:val="0"/>
          <w:bCs/>
        </w:rPr>
        <w:t xml:space="preserve">Order, </w:t>
      </w:r>
      <w:r w:rsidRPr="00A11B29" w:rsidR="00CD0FD6">
        <w:rPr>
          <w:b w:val="0"/>
          <w:bCs/>
        </w:rPr>
        <w:t>DA 26-381</w:t>
      </w:r>
      <w:r w:rsidRPr="00A11B29" w:rsidR="00A24EC7">
        <w:rPr>
          <w:b w:val="0"/>
          <w:bCs/>
        </w:rPr>
        <w:t xml:space="preserve"> (released </w:t>
      </w:r>
      <w:r w:rsidRPr="00A11B29" w:rsidR="00FD2777">
        <w:rPr>
          <w:b w:val="0"/>
          <w:bCs/>
        </w:rPr>
        <w:t>April 17, 2026)</w:t>
      </w:r>
      <w:r w:rsidRPr="00A11B29" w:rsidR="00AE3E91">
        <w:rPr>
          <w:b w:val="0"/>
          <w:bCs/>
        </w:rPr>
        <w:t>.</w:t>
      </w:r>
    </w:p>
  </w:footnote>
  <w:footnote w:id="6">
    <w:p w:rsidR="00E71774" w:rsidRPr="00A11B29" w14:paraId="3388252C" w14:textId="0B2436CD">
      <w:pPr>
        <w:pStyle w:val="FootnoteText"/>
        <w:rPr>
          <w:b w:val="0"/>
          <w:bCs/>
        </w:rPr>
      </w:pPr>
      <w:r w:rsidRPr="00A11B29">
        <w:rPr>
          <w:rStyle w:val="FootnoteReference"/>
          <w:b w:val="0"/>
          <w:bCs/>
        </w:rPr>
        <w:footnoteRef/>
      </w:r>
      <w:r w:rsidRPr="00A11B29">
        <w:rPr>
          <w:b w:val="0"/>
          <w:bCs/>
        </w:rPr>
        <w:t xml:space="preserve"> </w:t>
      </w:r>
      <w:r w:rsidRPr="00A11B29" w:rsidR="00F951F6">
        <w:rPr>
          <w:b w:val="0"/>
          <w:bCs/>
          <w:i/>
          <w:iCs/>
        </w:rPr>
        <w:t>See</w:t>
      </w:r>
      <w:r w:rsidR="003B6229">
        <w:rPr>
          <w:b w:val="0"/>
          <w:bCs/>
          <w:i/>
          <w:iCs/>
        </w:rPr>
        <w:t xml:space="preserve"> generally</w:t>
      </w:r>
      <w:r w:rsidRPr="00A11B29" w:rsidR="00F951F6">
        <w:rPr>
          <w:b w:val="0"/>
          <w:bCs/>
        </w:rPr>
        <w:t xml:space="preserve"> Tin Can Update.</w:t>
      </w:r>
    </w:p>
  </w:footnote>
  <w:footnote w:id="7">
    <w:p w:rsidR="00764B0B" w:rsidRPr="00A11B29" w:rsidP="00764B0B" w14:paraId="307DF8B9" w14:textId="77777777">
      <w:pPr>
        <w:pStyle w:val="FootnoteText"/>
        <w:rPr>
          <w:b w:val="0"/>
          <w:bCs/>
        </w:rPr>
      </w:pPr>
      <w:r w:rsidRPr="00A11B29">
        <w:rPr>
          <w:rStyle w:val="FootnoteReference"/>
          <w:b w:val="0"/>
          <w:bCs/>
        </w:rPr>
        <w:footnoteRef/>
      </w:r>
      <w:r w:rsidRPr="00A11B29">
        <w:rPr>
          <w:b w:val="0"/>
          <w:bCs/>
        </w:rPr>
        <w:t xml:space="preserve"> </w:t>
      </w:r>
      <w:r w:rsidRPr="00A11B29">
        <w:rPr>
          <w:b w:val="0"/>
          <w:bCs/>
          <w:i/>
          <w:iCs/>
        </w:rPr>
        <w:t xml:space="preserve">See </w:t>
      </w:r>
      <w:r w:rsidRPr="00A11B29">
        <w:rPr>
          <w:rFonts w:eastAsia="Calibri"/>
          <w:b w:val="0"/>
          <w:bCs/>
        </w:rPr>
        <w:t>47 CFR §§ 1.1, 1.3, 1.45.</w:t>
      </w:r>
    </w:p>
  </w:footnote>
  <w:footnote w:id="8">
    <w:p w:rsidR="00764B0B" w:rsidRPr="00A11B29" w:rsidP="00764B0B" w14:paraId="6BBBAE91" w14:textId="77777777">
      <w:pPr>
        <w:pStyle w:val="FootnoteText"/>
        <w:rPr>
          <w:b w:val="0"/>
          <w:bCs/>
        </w:rPr>
      </w:pPr>
      <w:r w:rsidRPr="00A11B29">
        <w:rPr>
          <w:rStyle w:val="FootnoteReference"/>
          <w:b w:val="0"/>
          <w:bCs/>
        </w:rPr>
        <w:footnoteRef/>
      </w:r>
      <w:r w:rsidRPr="00A11B29">
        <w:rPr>
          <w:b w:val="0"/>
          <w:bCs/>
        </w:rPr>
        <w:t xml:space="preserve"> </w:t>
      </w:r>
      <w:r w:rsidRPr="00A11B29">
        <w:rPr>
          <w:rFonts w:eastAsia="Calibri"/>
          <w:b w:val="0"/>
          <w:bCs/>
          <w:i/>
          <w:iCs/>
        </w:rPr>
        <w:t>See</w:t>
      </w:r>
      <w:r w:rsidRPr="00A11B29">
        <w:rPr>
          <w:rFonts w:eastAsia="Calibri"/>
          <w:b w:val="0"/>
          <w:bCs/>
        </w:rPr>
        <w:t xml:space="preserve"> </w:t>
      </w:r>
      <w:r w:rsidRPr="00A11B29">
        <w:rPr>
          <w:b w:val="0"/>
          <w:bCs/>
          <w:i/>
          <w:iCs/>
        </w:rPr>
        <w:t>Electronic Filing of Documents in Rulemaking Proceedings</w:t>
      </w:r>
      <w:r w:rsidRPr="00A11B29">
        <w:rPr>
          <w:b w:val="0"/>
          <w:bCs/>
        </w:rPr>
        <w:t xml:space="preserve">, GC Docket No. 97-113, Report and Order, 13 FCC </w:t>
      </w:r>
      <w:r w:rsidRPr="00A11B29">
        <w:rPr>
          <w:b w:val="0"/>
          <w:bCs/>
        </w:rPr>
        <w:t>Rcd</w:t>
      </w:r>
      <w:r w:rsidRPr="00A11B29">
        <w:rPr>
          <w:b w:val="0"/>
          <w:bCs/>
        </w:rPr>
        <w:t xml:space="preserve"> 11322 (1998).</w:t>
      </w:r>
    </w:p>
  </w:footnote>
  <w:footnote w:id="9">
    <w:p w:rsidR="00764B0B" w:rsidRPr="00A11B29" w:rsidP="00764B0B" w14:paraId="1A24D6F5" w14:textId="77777777">
      <w:pPr>
        <w:pStyle w:val="FootnoteText"/>
        <w:rPr>
          <w:b w:val="0"/>
          <w:bCs/>
          <w:i/>
          <w:iCs/>
        </w:rPr>
      </w:pPr>
      <w:r w:rsidRPr="00A11B29">
        <w:rPr>
          <w:rStyle w:val="FootnoteReference"/>
          <w:b w:val="0"/>
          <w:bCs/>
        </w:rPr>
        <w:footnoteRef/>
      </w:r>
      <w:r w:rsidRPr="00A11B29">
        <w:rPr>
          <w:b w:val="0"/>
          <w:bCs/>
        </w:rPr>
        <w:t xml:space="preserve"> 47 CFR § 1.1200 </w:t>
      </w:r>
      <w:r w:rsidRPr="00A11B29">
        <w:rPr>
          <w:b w:val="0"/>
          <w:bCs/>
          <w:i/>
          <w:iCs/>
        </w:rPr>
        <w:t>et seq.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634F19D5" w14:textId="5B3AF0A9">
    <w:pPr>
      <w:pStyle w:val="HeadingNon-Numbered"/>
      <w:rPr>
        <w:b/>
      </w:rPr>
    </w:pPr>
    <w:r>
      <w:ptab w:relativeTo="margin" w:alignment="center" w:leader="none"/>
    </w:r>
    <w:r w:rsidRPr="002D2820">
      <w:t>Federal Communications Commission</w:t>
    </w:r>
    <w:r>
      <w:ptab w:relativeTo="margin" w:alignment="right" w:leader="none"/>
    </w:r>
    <w:r w:rsidR="00D65103">
      <w:t>DA</w:t>
    </w:r>
    <w:r w:rsidRPr="002D5337">
      <w:t xml:space="preserve"> </w:t>
    </w:r>
    <w:r w:rsidR="00D65103">
      <w:t>26</w:t>
    </w:r>
    <w:r w:rsidRPr="002D5337">
      <w:t>-</w:t>
    </w:r>
    <w:r w:rsidR="00DE311A">
      <w:t>881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4FCD" w:rsidP="00B84FCD" w14:paraId="5244164C" w14:textId="77777777">
    <w:pPr>
      <w:pStyle w:val="Title"/>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61427257" w14:textId="77777777" w:rsidTr="00EE476D">
      <w:tblPrEx>
        <w:tblW w:w="0" w:type="auto"/>
        <w:tblLook w:val="04A0"/>
      </w:tblPrEx>
      <w:trPr>
        <w:trHeight w:val="836"/>
      </w:trPr>
      <w:tc>
        <w:tcPr>
          <w:tcW w:w="4675" w:type="dxa"/>
          <w:vAlign w:val="center"/>
        </w:tcPr>
        <w:p w:rsidR="00B84FCD" w:rsidRPr="009412F2" w:rsidP="00B84FCD" w14:paraId="191850BB" w14:textId="77777777">
          <w:pPr>
            <w:pStyle w:val="FCCAddress"/>
          </w:pPr>
          <w:r>
            <w:ptab w:relativeTo="margin" w:alignment="left" w:leader="none"/>
          </w:r>
          <w:r>
            <w:ptab w:relativeTo="margin" w:alignment="left" w:leader="none"/>
          </w:r>
          <w:r w:rsidRPr="009412F2">
            <w:t>Federal Communications Commission</w:t>
          </w:r>
        </w:p>
        <w:p w:rsidR="00B84FCD" w:rsidRPr="009412F2" w:rsidP="00B84FCD" w14:paraId="54DDD7B8" w14:textId="77777777">
          <w:pPr>
            <w:pStyle w:val="FCCAddress"/>
          </w:pPr>
          <w:r w:rsidRPr="009412F2">
            <w:t>45 L Street NE</w:t>
          </w:r>
        </w:p>
        <w:p w:rsidR="00B84FCD" w:rsidP="00B84FCD" w14:paraId="5DA99A1D" w14:textId="77777777">
          <w:pPr>
            <w:pStyle w:val="FCCAddress"/>
          </w:pPr>
          <w:r w:rsidRPr="009412F2">
            <w:t>Washington, DC 20554</w:t>
          </w:r>
        </w:p>
        <w:p w:rsidR="00B84FCD" w:rsidRPr="009412F2" w:rsidP="00B84FCD" w14:paraId="4E8A366E" w14:textId="77777777">
          <w:pPr>
            <w:pStyle w:val="FCCAddress"/>
          </w:pPr>
        </w:p>
      </w:tc>
      <w:tc>
        <w:tcPr>
          <w:tcW w:w="4675" w:type="dxa"/>
          <w:vAlign w:val="center"/>
        </w:tcPr>
        <w:p w:rsidR="00B84FCD" w:rsidRPr="009412F2" w:rsidP="00B84FCD" w14:paraId="27570962" w14:textId="77777777">
          <w:pPr>
            <w:pStyle w:val="FCCMedia"/>
          </w:pPr>
          <w:r w:rsidRPr="00AC23B3">
            <w:t>News Media Information</w:t>
          </w:r>
          <w:r w:rsidRPr="009412F2">
            <w:t xml:space="preserve"> 202-418-0500</w:t>
          </w:r>
        </w:p>
        <w:p w:rsidR="00B84FCD" w:rsidP="00B84FCD" w14:paraId="510FABE6" w14:textId="77777777">
          <w:pPr>
            <w:pStyle w:val="FCCMedia"/>
            <w:spacing w:before="0"/>
          </w:pPr>
          <w:r w:rsidRPr="009412F2">
            <w:t xml:space="preserve">Internet: </w:t>
          </w:r>
          <w:hyperlink r:id="rId2" w:history="1">
            <w:r w:rsidRPr="00E058C9">
              <w:rPr>
                <w:rStyle w:val="Hyperlink"/>
              </w:rPr>
              <w:t>www.fcc.gov</w:t>
            </w:r>
          </w:hyperlink>
        </w:p>
      </w:tc>
    </w:tr>
  </w:tbl>
  <w:p w:rsidR="00B84FCD" w:rsidP="00B84FCD" w14:paraId="4D2961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5pt;height:38.5pt" o:bullet="t">
        <v:imagedata r:id="rId1" o:title="FCC Logo"/>
      </v:shape>
    </w:pict>
  </w:numPicBullet>
  <w:abstractNum w:abstractNumId="0">
    <w:nsid w:val="01D7524E"/>
    <w:multiLevelType w:val="hybridMultilevel"/>
    <w:tmpl w:val="8666856C"/>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Times New Roman Bold"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Times New Roman Bold"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Times New Roman Bold" w:hint="default"/>
      </w:rPr>
    </w:lvl>
    <w:lvl w:ilvl="8" w:tentative="1">
      <w:start w:val="1"/>
      <w:numFmt w:val="bullet"/>
      <w:lvlText w:val=""/>
      <w:lvlJc w:val="left"/>
      <w:pPr>
        <w:ind w:left="6540" w:hanging="360"/>
      </w:pPr>
      <w:rPr>
        <w:rFonts w:ascii="Wingdings" w:hAnsi="Wingdings" w:hint="default"/>
      </w:rPr>
    </w:lvl>
  </w:abstractNum>
  <w:abstractNum w:abstractNumId="1">
    <w:nsid w:val="07BC5696"/>
    <w:multiLevelType w:val="multilevel"/>
    <w:tmpl w:val="5274BDF0"/>
    <w:styleLink w:val="StyleBulletedLatinCourierNewLeft075Hanging0252"/>
    <w:lvl w:ilvl="0">
      <w:start w:val="1"/>
      <w:numFmt w:val="bullet"/>
      <w:lvlText w:val="o"/>
      <w:lvlJc w:val="left"/>
      <w:pPr>
        <w:ind w:left="720" w:hanging="360"/>
      </w:pPr>
      <w:rPr>
        <w:rFonts w:ascii="Times New Roman" w:hAnsi="Times New Roman" w:cs="Times New Roman Bold" w:hint="default"/>
      </w:rPr>
    </w:lvl>
    <w:lvl w:ilvl="1">
      <w:start w:val="1"/>
      <w:numFmt w:val="bullet"/>
      <w:lvlText w:val="o"/>
      <w:lvlJc w:val="left"/>
      <w:pPr>
        <w:ind w:left="1440" w:hanging="360"/>
      </w:pPr>
      <w:rPr>
        <w:rFonts w:ascii="Courier New" w:hAnsi="Courier New"/>
        <w:kern w:val="28"/>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Bold"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Bold" w:hint="default"/>
      </w:rPr>
    </w:lvl>
    <w:lvl w:ilvl="8">
      <w:start w:val="1"/>
      <w:numFmt w:val="bullet"/>
      <w:lvlText w:val=""/>
      <w:lvlJc w:val="left"/>
      <w:pPr>
        <w:ind w:left="6480" w:hanging="360"/>
      </w:pPr>
      <w:rPr>
        <w:rFonts w:ascii="Wingdings" w:hAnsi="Wingdings" w:hint="default"/>
      </w:rPr>
    </w:lvl>
  </w:abstractNum>
  <w:abstractNum w:abstractNumId="2">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6F1456"/>
    <w:multiLevelType w:val="multilevel"/>
    <w:tmpl w:val="5274BDF0"/>
    <w:numStyleLink w:val="StyleBulletedLatinCourierNewLeft075Hanging0252"/>
  </w:abstractNum>
  <w:abstractNum w:abstractNumId="4">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5">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6">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9">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10">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2">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5">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53D3FE9"/>
    <w:multiLevelType w:val="multilevel"/>
    <w:tmpl w:val="8A903D64"/>
    <w:numStyleLink w:val="Appendices"/>
  </w:abstractNum>
  <w:abstractNum w:abstractNumId="18">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CD7627A"/>
    <w:multiLevelType w:val="multilevel"/>
    <w:tmpl w:val="5274BDF0"/>
    <w:numStyleLink w:val="StyleBulletedLatinCourierNewLeft075Hanging0252"/>
  </w:abstractNum>
  <w:abstractNum w:abstractNumId="22">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B281033"/>
    <w:multiLevelType w:val="multilevel"/>
    <w:tmpl w:val="C212A1AC"/>
    <w:styleLink w:val="Style10"/>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10"/>
  </w:num>
  <w:num w:numId="2" w16cid:durableId="1683236073">
    <w:abstractNumId w:val="11"/>
  </w:num>
  <w:num w:numId="3" w16cid:durableId="1086076196">
    <w:abstractNumId w:val="7"/>
  </w:num>
  <w:num w:numId="4" w16cid:durableId="107823356">
    <w:abstractNumId w:val="13"/>
  </w:num>
  <w:num w:numId="5" w16cid:durableId="917177599">
    <w:abstractNumId w:val="23"/>
  </w:num>
  <w:num w:numId="6" w16cid:durableId="1893420988">
    <w:abstractNumId w:val="9"/>
  </w:num>
  <w:num w:numId="7" w16cid:durableId="743646516">
    <w:abstractNumId w:val="14"/>
    <w:lvlOverride w:ilvl="0">
      <w:lvl w:ilvl="0">
        <w:start w:val="1"/>
        <w:numFmt w:val="decimal"/>
        <w:pStyle w:val="ParaNum"/>
        <w:lvlText w:val="%1."/>
        <w:lvlJc w:val="left"/>
        <w:pPr>
          <w:ind w:left="0" w:firstLine="720"/>
        </w:pPr>
        <w:rPr>
          <w:rFonts w:hint="default"/>
          <w:b w:val="0"/>
        </w:rPr>
      </w:lvl>
    </w:lvlOverride>
  </w:num>
  <w:num w:numId="8" w16cid:durableId="9327392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7"/>
  </w:num>
  <w:num w:numId="10" w16cid:durableId="445080180">
    <w:abstractNumId w:val="18"/>
  </w:num>
  <w:num w:numId="11" w16cid:durableId="1127431021">
    <w:abstractNumId w:val="19"/>
  </w:num>
  <w:num w:numId="12" w16cid:durableId="605385848">
    <w:abstractNumId w:val="6"/>
  </w:num>
  <w:num w:numId="13" w16cid:durableId="1865559383">
    <w:abstractNumId w:val="20"/>
  </w:num>
  <w:num w:numId="14" w16cid:durableId="303005581">
    <w:abstractNumId w:val="15"/>
  </w:num>
  <w:num w:numId="15" w16cid:durableId="2014919109">
    <w:abstractNumId w:val="12"/>
  </w:num>
  <w:num w:numId="16" w16cid:durableId="1967808534">
    <w:abstractNumId w:val="14"/>
  </w:num>
  <w:num w:numId="17" w16cid:durableId="1226334503">
    <w:abstractNumId w:val="8"/>
  </w:num>
  <w:num w:numId="18" w16cid:durableId="361824895">
    <w:abstractNumId w:val="4"/>
  </w:num>
  <w:num w:numId="19" w16cid:durableId="483208673">
    <w:abstractNumId w:val="16"/>
  </w:num>
  <w:num w:numId="20" w16cid:durableId="476651353">
    <w:abstractNumId w:val="14"/>
  </w:num>
  <w:num w:numId="21" w16cid:durableId="1845048516">
    <w:abstractNumId w:val="9"/>
  </w:num>
  <w:num w:numId="22" w16cid:durableId="1886483049">
    <w:abstractNumId w:val="9"/>
  </w:num>
  <w:num w:numId="23" w16cid:durableId="1618870612">
    <w:abstractNumId w:val="9"/>
  </w:num>
  <w:num w:numId="24" w16cid:durableId="889922859">
    <w:abstractNumId w:val="9"/>
  </w:num>
  <w:num w:numId="25" w16cid:durableId="736981391">
    <w:abstractNumId w:val="9"/>
  </w:num>
  <w:num w:numId="26" w16cid:durableId="837693225">
    <w:abstractNumId w:val="9"/>
  </w:num>
  <w:num w:numId="27" w16cid:durableId="1510752855">
    <w:abstractNumId w:val="9"/>
  </w:num>
  <w:num w:numId="28" w16cid:durableId="2055158355">
    <w:abstractNumId w:val="9"/>
  </w:num>
  <w:num w:numId="29" w16cid:durableId="1402874740">
    <w:abstractNumId w:val="9"/>
  </w:num>
  <w:num w:numId="30" w16cid:durableId="167643875">
    <w:abstractNumId w:val="14"/>
  </w:num>
  <w:num w:numId="31" w16cid:durableId="103428766">
    <w:abstractNumId w:val="14"/>
  </w:num>
  <w:num w:numId="32" w16cid:durableId="1779131391">
    <w:abstractNumId w:val="14"/>
  </w:num>
  <w:num w:numId="33" w16cid:durableId="863445666">
    <w:abstractNumId w:val="14"/>
  </w:num>
  <w:num w:numId="34" w16cid:durableId="1912226260">
    <w:abstractNumId w:val="14"/>
  </w:num>
  <w:num w:numId="35" w16cid:durableId="1189218877">
    <w:abstractNumId w:val="14"/>
  </w:num>
  <w:num w:numId="36" w16cid:durableId="945817382">
    <w:abstractNumId w:val="14"/>
  </w:num>
  <w:num w:numId="37" w16cid:durableId="1673683069">
    <w:abstractNumId w:val="14"/>
  </w:num>
  <w:num w:numId="38" w16cid:durableId="571962892">
    <w:abstractNumId w:val="14"/>
  </w:num>
  <w:num w:numId="39" w16cid:durableId="1522085497">
    <w:abstractNumId w:val="7"/>
  </w:num>
  <w:num w:numId="40" w16cid:durableId="17653457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2"/>
  </w:num>
  <w:num w:numId="42" w16cid:durableId="844056052">
    <w:abstractNumId w:val="22"/>
  </w:num>
  <w:num w:numId="43" w16cid:durableId="348483973">
    <w:abstractNumId w:val="7"/>
  </w:num>
  <w:num w:numId="44" w16cid:durableId="2109621477">
    <w:abstractNumId w:val="5"/>
  </w:num>
  <w:num w:numId="45" w16cid:durableId="665325919">
    <w:abstractNumId w:val="0"/>
  </w:num>
  <w:num w:numId="46" w16cid:durableId="671295278">
    <w:abstractNumId w:val="1"/>
  </w:num>
  <w:num w:numId="47" w16cid:durableId="1927227812">
    <w:abstractNumId w:val="21"/>
  </w:num>
  <w:num w:numId="48" w16cid:durableId="439029373">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9B7"/>
    <w:rsid w:val="000054AD"/>
    <w:rsid w:val="00025892"/>
    <w:rsid w:val="000304AE"/>
    <w:rsid w:val="000422AF"/>
    <w:rsid w:val="00043342"/>
    <w:rsid w:val="00053421"/>
    <w:rsid w:val="000539B2"/>
    <w:rsid w:val="0005576E"/>
    <w:rsid w:val="000638E5"/>
    <w:rsid w:val="00066CF4"/>
    <w:rsid w:val="00067098"/>
    <w:rsid w:val="00080D1A"/>
    <w:rsid w:val="00091436"/>
    <w:rsid w:val="000952FE"/>
    <w:rsid w:val="00096761"/>
    <w:rsid w:val="000A7041"/>
    <w:rsid w:val="000C2BEA"/>
    <w:rsid w:val="000D5457"/>
    <w:rsid w:val="000E6423"/>
    <w:rsid w:val="000F3799"/>
    <w:rsid w:val="000F3DAF"/>
    <w:rsid w:val="000F78E8"/>
    <w:rsid w:val="00106EAF"/>
    <w:rsid w:val="00124EAD"/>
    <w:rsid w:val="00132421"/>
    <w:rsid w:val="0013636A"/>
    <w:rsid w:val="001421E0"/>
    <w:rsid w:val="0014233E"/>
    <w:rsid w:val="001450F9"/>
    <w:rsid w:val="001542B2"/>
    <w:rsid w:val="001550C3"/>
    <w:rsid w:val="00155CCA"/>
    <w:rsid w:val="00163DE9"/>
    <w:rsid w:val="00164C9A"/>
    <w:rsid w:val="0017010A"/>
    <w:rsid w:val="00174E51"/>
    <w:rsid w:val="00176840"/>
    <w:rsid w:val="00197F3B"/>
    <w:rsid w:val="001B4277"/>
    <w:rsid w:val="001B69B7"/>
    <w:rsid w:val="001C22D5"/>
    <w:rsid w:val="001D0DFB"/>
    <w:rsid w:val="001D3F51"/>
    <w:rsid w:val="001D7167"/>
    <w:rsid w:val="001E384B"/>
    <w:rsid w:val="001F2459"/>
    <w:rsid w:val="001F7DF1"/>
    <w:rsid w:val="00214C2D"/>
    <w:rsid w:val="00220D23"/>
    <w:rsid w:val="00223F85"/>
    <w:rsid w:val="0022666E"/>
    <w:rsid w:val="00227FB4"/>
    <w:rsid w:val="00233D90"/>
    <w:rsid w:val="00240C84"/>
    <w:rsid w:val="002479B3"/>
    <w:rsid w:val="00251523"/>
    <w:rsid w:val="0025428E"/>
    <w:rsid w:val="002614EA"/>
    <w:rsid w:val="00261B77"/>
    <w:rsid w:val="00273C82"/>
    <w:rsid w:val="002920FB"/>
    <w:rsid w:val="002A04DF"/>
    <w:rsid w:val="002A67D1"/>
    <w:rsid w:val="002B0306"/>
    <w:rsid w:val="002C2996"/>
    <w:rsid w:val="002D1391"/>
    <w:rsid w:val="002D1950"/>
    <w:rsid w:val="002D2820"/>
    <w:rsid w:val="002D5337"/>
    <w:rsid w:val="002D6098"/>
    <w:rsid w:val="002E3B1E"/>
    <w:rsid w:val="002E5E44"/>
    <w:rsid w:val="002F393C"/>
    <w:rsid w:val="003030F1"/>
    <w:rsid w:val="003064A1"/>
    <w:rsid w:val="003073D1"/>
    <w:rsid w:val="003076A5"/>
    <w:rsid w:val="00307A1B"/>
    <w:rsid w:val="0031660B"/>
    <w:rsid w:val="0034007E"/>
    <w:rsid w:val="003406EE"/>
    <w:rsid w:val="00345F22"/>
    <w:rsid w:val="00352190"/>
    <w:rsid w:val="00357B2D"/>
    <w:rsid w:val="003630A7"/>
    <w:rsid w:val="003725BE"/>
    <w:rsid w:val="0037295F"/>
    <w:rsid w:val="00381E2A"/>
    <w:rsid w:val="00382E67"/>
    <w:rsid w:val="00384373"/>
    <w:rsid w:val="00384E35"/>
    <w:rsid w:val="0039134A"/>
    <w:rsid w:val="003929F4"/>
    <w:rsid w:val="00394BE6"/>
    <w:rsid w:val="003A40F5"/>
    <w:rsid w:val="003A7663"/>
    <w:rsid w:val="003B1B15"/>
    <w:rsid w:val="003B3115"/>
    <w:rsid w:val="003B6229"/>
    <w:rsid w:val="003B644B"/>
    <w:rsid w:val="003C1117"/>
    <w:rsid w:val="003C4342"/>
    <w:rsid w:val="003C60F4"/>
    <w:rsid w:val="003F2E95"/>
    <w:rsid w:val="003F6E48"/>
    <w:rsid w:val="004079CD"/>
    <w:rsid w:val="004236C5"/>
    <w:rsid w:val="0042444D"/>
    <w:rsid w:val="00431180"/>
    <w:rsid w:val="004377F3"/>
    <w:rsid w:val="0044359B"/>
    <w:rsid w:val="00455E95"/>
    <w:rsid w:val="00456F32"/>
    <w:rsid w:val="00462548"/>
    <w:rsid w:val="00473285"/>
    <w:rsid w:val="00473E78"/>
    <w:rsid w:val="004762B3"/>
    <w:rsid w:val="004A2BDD"/>
    <w:rsid w:val="004B198E"/>
    <w:rsid w:val="004B31F6"/>
    <w:rsid w:val="004B77EF"/>
    <w:rsid w:val="004D2E6A"/>
    <w:rsid w:val="004D601B"/>
    <w:rsid w:val="004E11BB"/>
    <w:rsid w:val="004E32C1"/>
    <w:rsid w:val="004E4FEC"/>
    <w:rsid w:val="004E6852"/>
    <w:rsid w:val="004F208F"/>
    <w:rsid w:val="004F57B9"/>
    <w:rsid w:val="005031F0"/>
    <w:rsid w:val="00504F49"/>
    <w:rsid w:val="005076EF"/>
    <w:rsid w:val="00516A2B"/>
    <w:rsid w:val="00516CBD"/>
    <w:rsid w:val="00522E8B"/>
    <w:rsid w:val="00536560"/>
    <w:rsid w:val="005367F6"/>
    <w:rsid w:val="00543D94"/>
    <w:rsid w:val="005635E6"/>
    <w:rsid w:val="00565CD3"/>
    <w:rsid w:val="00565DA2"/>
    <w:rsid w:val="00572096"/>
    <w:rsid w:val="00572777"/>
    <w:rsid w:val="00577929"/>
    <w:rsid w:val="00580433"/>
    <w:rsid w:val="00594A11"/>
    <w:rsid w:val="005A294C"/>
    <w:rsid w:val="005B0430"/>
    <w:rsid w:val="005C6843"/>
    <w:rsid w:val="005D6944"/>
    <w:rsid w:val="005E248D"/>
    <w:rsid w:val="005E3CC6"/>
    <w:rsid w:val="005F48C8"/>
    <w:rsid w:val="005F7F09"/>
    <w:rsid w:val="00616008"/>
    <w:rsid w:val="006239ED"/>
    <w:rsid w:val="0062436A"/>
    <w:rsid w:val="00630C24"/>
    <w:rsid w:val="0065115A"/>
    <w:rsid w:val="006543F7"/>
    <w:rsid w:val="00654F65"/>
    <w:rsid w:val="00656B94"/>
    <w:rsid w:val="006649C3"/>
    <w:rsid w:val="00681D2E"/>
    <w:rsid w:val="006826DF"/>
    <w:rsid w:val="006941B8"/>
    <w:rsid w:val="0069437B"/>
    <w:rsid w:val="006C141E"/>
    <w:rsid w:val="006D7895"/>
    <w:rsid w:val="006E222F"/>
    <w:rsid w:val="006E5F18"/>
    <w:rsid w:val="006E7AB8"/>
    <w:rsid w:val="006F40E2"/>
    <w:rsid w:val="00706174"/>
    <w:rsid w:val="00706842"/>
    <w:rsid w:val="00715080"/>
    <w:rsid w:val="00722199"/>
    <w:rsid w:val="00737153"/>
    <w:rsid w:val="00737747"/>
    <w:rsid w:val="00741B5C"/>
    <w:rsid w:val="00750A3C"/>
    <w:rsid w:val="00754874"/>
    <w:rsid w:val="0075557F"/>
    <w:rsid w:val="00756FBA"/>
    <w:rsid w:val="00764B0B"/>
    <w:rsid w:val="0076556C"/>
    <w:rsid w:val="00773827"/>
    <w:rsid w:val="00777CC7"/>
    <w:rsid w:val="00784D51"/>
    <w:rsid w:val="007A3EC6"/>
    <w:rsid w:val="007A7A7E"/>
    <w:rsid w:val="007A7ED3"/>
    <w:rsid w:val="007B2620"/>
    <w:rsid w:val="007C1AC0"/>
    <w:rsid w:val="007C6389"/>
    <w:rsid w:val="007D0375"/>
    <w:rsid w:val="007E5C61"/>
    <w:rsid w:val="007E7A50"/>
    <w:rsid w:val="007F3742"/>
    <w:rsid w:val="007F5711"/>
    <w:rsid w:val="00815F7E"/>
    <w:rsid w:val="00830533"/>
    <w:rsid w:val="00846117"/>
    <w:rsid w:val="00855B0D"/>
    <w:rsid w:val="008630F1"/>
    <w:rsid w:val="00870235"/>
    <w:rsid w:val="008706B4"/>
    <w:rsid w:val="008706CC"/>
    <w:rsid w:val="008750F2"/>
    <w:rsid w:val="0089341F"/>
    <w:rsid w:val="008A3F9D"/>
    <w:rsid w:val="008A6142"/>
    <w:rsid w:val="008B17AE"/>
    <w:rsid w:val="008B27B2"/>
    <w:rsid w:val="008B7E01"/>
    <w:rsid w:val="008C567C"/>
    <w:rsid w:val="008D0685"/>
    <w:rsid w:val="008D455A"/>
    <w:rsid w:val="008E0155"/>
    <w:rsid w:val="008E0ECD"/>
    <w:rsid w:val="008F08C2"/>
    <w:rsid w:val="008F523F"/>
    <w:rsid w:val="00912AE7"/>
    <w:rsid w:val="00916982"/>
    <w:rsid w:val="00922848"/>
    <w:rsid w:val="0092321E"/>
    <w:rsid w:val="00923F88"/>
    <w:rsid w:val="00924F65"/>
    <w:rsid w:val="00925458"/>
    <w:rsid w:val="00930ABA"/>
    <w:rsid w:val="009314D2"/>
    <w:rsid w:val="0093661E"/>
    <w:rsid w:val="00940D1E"/>
    <w:rsid w:val="009412F2"/>
    <w:rsid w:val="00942F3F"/>
    <w:rsid w:val="00957713"/>
    <w:rsid w:val="00965A0B"/>
    <w:rsid w:val="0097269C"/>
    <w:rsid w:val="00975138"/>
    <w:rsid w:val="00975745"/>
    <w:rsid w:val="009827C2"/>
    <w:rsid w:val="00982F9A"/>
    <w:rsid w:val="00990450"/>
    <w:rsid w:val="009969CA"/>
    <w:rsid w:val="009A6E59"/>
    <w:rsid w:val="009A7E2C"/>
    <w:rsid w:val="009D3B21"/>
    <w:rsid w:val="009D525C"/>
    <w:rsid w:val="009E2FEC"/>
    <w:rsid w:val="009E4814"/>
    <w:rsid w:val="009F7E3C"/>
    <w:rsid w:val="00A0659E"/>
    <w:rsid w:val="00A116B0"/>
    <w:rsid w:val="00A11B29"/>
    <w:rsid w:val="00A2003B"/>
    <w:rsid w:val="00A23AFB"/>
    <w:rsid w:val="00A24EC7"/>
    <w:rsid w:val="00A24F55"/>
    <w:rsid w:val="00A374FD"/>
    <w:rsid w:val="00A5133A"/>
    <w:rsid w:val="00A51E73"/>
    <w:rsid w:val="00A542A2"/>
    <w:rsid w:val="00A616B4"/>
    <w:rsid w:val="00A6360B"/>
    <w:rsid w:val="00A81240"/>
    <w:rsid w:val="00A817C4"/>
    <w:rsid w:val="00A917BB"/>
    <w:rsid w:val="00A9415E"/>
    <w:rsid w:val="00A94C55"/>
    <w:rsid w:val="00A96119"/>
    <w:rsid w:val="00AC23B3"/>
    <w:rsid w:val="00AC5267"/>
    <w:rsid w:val="00AE0C8B"/>
    <w:rsid w:val="00AE28A2"/>
    <w:rsid w:val="00AE3E91"/>
    <w:rsid w:val="00AE6A85"/>
    <w:rsid w:val="00AF1C28"/>
    <w:rsid w:val="00AF44B6"/>
    <w:rsid w:val="00B016AF"/>
    <w:rsid w:val="00B10CEE"/>
    <w:rsid w:val="00B126DC"/>
    <w:rsid w:val="00B14807"/>
    <w:rsid w:val="00B236FD"/>
    <w:rsid w:val="00B27058"/>
    <w:rsid w:val="00B324CC"/>
    <w:rsid w:val="00B43808"/>
    <w:rsid w:val="00B646A9"/>
    <w:rsid w:val="00B746D4"/>
    <w:rsid w:val="00B81782"/>
    <w:rsid w:val="00B8213A"/>
    <w:rsid w:val="00B84FCD"/>
    <w:rsid w:val="00B9311D"/>
    <w:rsid w:val="00BA1FAA"/>
    <w:rsid w:val="00BA795D"/>
    <w:rsid w:val="00BB3DEB"/>
    <w:rsid w:val="00BB4646"/>
    <w:rsid w:val="00BC4725"/>
    <w:rsid w:val="00BD7EC6"/>
    <w:rsid w:val="00BE2F53"/>
    <w:rsid w:val="00BE4A99"/>
    <w:rsid w:val="00BF20A1"/>
    <w:rsid w:val="00BF4A42"/>
    <w:rsid w:val="00C12032"/>
    <w:rsid w:val="00C15137"/>
    <w:rsid w:val="00C16543"/>
    <w:rsid w:val="00C21E9B"/>
    <w:rsid w:val="00C330A1"/>
    <w:rsid w:val="00C34D21"/>
    <w:rsid w:val="00C3556F"/>
    <w:rsid w:val="00C4439D"/>
    <w:rsid w:val="00C449B7"/>
    <w:rsid w:val="00C50E0B"/>
    <w:rsid w:val="00C60790"/>
    <w:rsid w:val="00C61C21"/>
    <w:rsid w:val="00C73AE0"/>
    <w:rsid w:val="00C74B38"/>
    <w:rsid w:val="00C75426"/>
    <w:rsid w:val="00C77047"/>
    <w:rsid w:val="00C801CD"/>
    <w:rsid w:val="00C862BF"/>
    <w:rsid w:val="00C971D7"/>
    <w:rsid w:val="00CA2658"/>
    <w:rsid w:val="00CA6A88"/>
    <w:rsid w:val="00CA73D3"/>
    <w:rsid w:val="00CB3C4C"/>
    <w:rsid w:val="00CC65EA"/>
    <w:rsid w:val="00CD046F"/>
    <w:rsid w:val="00CD0FD6"/>
    <w:rsid w:val="00CD5523"/>
    <w:rsid w:val="00CE19DA"/>
    <w:rsid w:val="00CE236D"/>
    <w:rsid w:val="00CF2522"/>
    <w:rsid w:val="00D03A69"/>
    <w:rsid w:val="00D11511"/>
    <w:rsid w:val="00D12C7D"/>
    <w:rsid w:val="00D13C04"/>
    <w:rsid w:val="00D2079D"/>
    <w:rsid w:val="00D21E25"/>
    <w:rsid w:val="00D25DD7"/>
    <w:rsid w:val="00D27F77"/>
    <w:rsid w:val="00D31A4F"/>
    <w:rsid w:val="00D327B4"/>
    <w:rsid w:val="00D445BB"/>
    <w:rsid w:val="00D51C7C"/>
    <w:rsid w:val="00D54438"/>
    <w:rsid w:val="00D552D6"/>
    <w:rsid w:val="00D65103"/>
    <w:rsid w:val="00D67632"/>
    <w:rsid w:val="00D839DB"/>
    <w:rsid w:val="00D95DBF"/>
    <w:rsid w:val="00D97474"/>
    <w:rsid w:val="00DA0606"/>
    <w:rsid w:val="00DA1029"/>
    <w:rsid w:val="00DA696B"/>
    <w:rsid w:val="00DB1755"/>
    <w:rsid w:val="00DC052C"/>
    <w:rsid w:val="00DC0B77"/>
    <w:rsid w:val="00DC0D1C"/>
    <w:rsid w:val="00DC2A43"/>
    <w:rsid w:val="00DD1EC2"/>
    <w:rsid w:val="00DD4105"/>
    <w:rsid w:val="00DE311A"/>
    <w:rsid w:val="00DE4F82"/>
    <w:rsid w:val="00DF1580"/>
    <w:rsid w:val="00DF236A"/>
    <w:rsid w:val="00DF43FF"/>
    <w:rsid w:val="00E058C9"/>
    <w:rsid w:val="00E10183"/>
    <w:rsid w:val="00E1089C"/>
    <w:rsid w:val="00E1366A"/>
    <w:rsid w:val="00E13E68"/>
    <w:rsid w:val="00E1452B"/>
    <w:rsid w:val="00E16AC6"/>
    <w:rsid w:val="00E16FBB"/>
    <w:rsid w:val="00E23122"/>
    <w:rsid w:val="00E23F83"/>
    <w:rsid w:val="00E248F4"/>
    <w:rsid w:val="00E27CF4"/>
    <w:rsid w:val="00E40C0C"/>
    <w:rsid w:val="00E41AC2"/>
    <w:rsid w:val="00E41FA1"/>
    <w:rsid w:val="00E45139"/>
    <w:rsid w:val="00E52C27"/>
    <w:rsid w:val="00E554A6"/>
    <w:rsid w:val="00E57A69"/>
    <w:rsid w:val="00E62041"/>
    <w:rsid w:val="00E63ACB"/>
    <w:rsid w:val="00E67047"/>
    <w:rsid w:val="00E71774"/>
    <w:rsid w:val="00E71EA5"/>
    <w:rsid w:val="00E72F7F"/>
    <w:rsid w:val="00E768E6"/>
    <w:rsid w:val="00E873F8"/>
    <w:rsid w:val="00E91DEC"/>
    <w:rsid w:val="00E96E61"/>
    <w:rsid w:val="00EA030C"/>
    <w:rsid w:val="00EA3719"/>
    <w:rsid w:val="00EC05E9"/>
    <w:rsid w:val="00EE0ACA"/>
    <w:rsid w:val="00EE25C8"/>
    <w:rsid w:val="00EE4619"/>
    <w:rsid w:val="00EE476D"/>
    <w:rsid w:val="00EF5B77"/>
    <w:rsid w:val="00F30861"/>
    <w:rsid w:val="00F36801"/>
    <w:rsid w:val="00F5021E"/>
    <w:rsid w:val="00F50446"/>
    <w:rsid w:val="00F67564"/>
    <w:rsid w:val="00F73C38"/>
    <w:rsid w:val="00F775F4"/>
    <w:rsid w:val="00F816A8"/>
    <w:rsid w:val="00F86F3F"/>
    <w:rsid w:val="00F951F6"/>
    <w:rsid w:val="00F967D3"/>
    <w:rsid w:val="00FA73A4"/>
    <w:rsid w:val="00FC1944"/>
    <w:rsid w:val="00FD2777"/>
    <w:rsid w:val="00FE1723"/>
    <w:rsid w:val="00FE4E35"/>
    <w:rsid w:val="00FF2FBA"/>
    <w:rsid w:val="00FF3F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92D204"/>
  <w15:chartTrackingRefBased/>
  <w15:docId w15:val="{D6E3FCD4-1F30-4B15-B57C-8A710F82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val="0"/>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val="0"/>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val="0"/>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val="0"/>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val="0"/>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val="0"/>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val="0"/>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val="0"/>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val="0"/>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val="0"/>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val="0"/>
      <w:bCs/>
    </w:rPr>
  </w:style>
  <w:style w:type="character" w:customStyle="1" w:styleId="CommentSubjectChar">
    <w:name w:val="Comment Subject Char"/>
    <w:link w:val="CommentSubject"/>
    <w:uiPriority w:val="99"/>
    <w:semiHidden/>
    <w:rsid w:val="00AF44B6"/>
    <w:rPr>
      <w:rFonts w:ascii="Calibri" w:eastAsia="Times New Roman" w:hAnsi="Calibri"/>
      <w:b/>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uiPriority w:val="99"/>
    <w:qFormat/>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basedOn w:val="Normal"/>
    <w:link w:val="FootnoteTextChar"/>
    <w:uiPriority w:val="99"/>
    <w:qFormat/>
    <w:rsid w:val="00BD7EC6"/>
    <w:pPr>
      <w:spacing w:after="120"/>
    </w:pPr>
    <w:rPr>
      <w:sz w:val="20"/>
    </w:rPr>
  </w:style>
  <w:style w:type="character" w:customStyle="1" w:styleId="FootnoteTextChar">
    <w:name w:val="Footnote Text Char"/>
    <w:link w:val="FootnoteText"/>
    <w:uiPriority w:val="99"/>
    <w:rsid w:val="00BD7EC6"/>
    <w:rPr>
      <w:rFonts w:ascii="Times New Roman" w:hAnsi="Times New Roman"/>
      <w:b/>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uiPriority w:val="99"/>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val="0"/>
    </w:rPr>
  </w:style>
  <w:style w:type="paragraph" w:customStyle="1" w:styleId="NormalCenteredBold">
    <w:name w:val="Normal Centered Bold"/>
    <w:basedOn w:val="Normal"/>
    <w:next w:val="Normal"/>
    <w:uiPriority w:val="1"/>
    <w:semiHidden/>
    <w:qFormat/>
    <w:rsid w:val="00AF44B6"/>
    <w:pPr>
      <w:jc w:val="center"/>
    </w:pPr>
    <w:rPr>
      <w:rFonts w:eastAsia="Calibri"/>
      <w:b w:val="0"/>
    </w:rPr>
  </w:style>
  <w:style w:type="character" w:styleId="PageNumber">
    <w:name w:val="page number"/>
    <w:uiPriority w:val="1"/>
    <w:semiHidden/>
    <w:rsid w:val="006649C3"/>
    <w:rPr>
      <w:rFonts w:ascii="Times New Roman" w:hAnsi="Times New Roman"/>
      <w:b w:val="0"/>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0">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val="0"/>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val="0"/>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val="0"/>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val="0"/>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val="0"/>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val="0"/>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val="0"/>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val="0"/>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semiHidden/>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val="0"/>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val="0"/>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rPr>
  </w:style>
  <w:style w:type="paragraph" w:customStyle="1" w:styleId="Bullet">
    <w:name w:val="Bullet"/>
    <w:basedOn w:val="Normal"/>
    <w:rsid w:val="00565DA2"/>
    <w:pPr>
      <w:widowControl w:val="0"/>
      <w:numPr>
        <w:numId w:val="44"/>
      </w:numPr>
      <w:tabs>
        <w:tab w:val="clear" w:pos="360"/>
        <w:tab w:val="left" w:pos="2160"/>
      </w:tabs>
      <w:spacing w:after="220"/>
      <w:ind w:left="2160" w:hanging="720"/>
    </w:pPr>
    <w:rPr>
      <w:rFonts w:eastAsia="Times New Roman"/>
      <w:kern w:val="28"/>
      <w:szCs w:val="20"/>
    </w:rPr>
  </w:style>
  <w:style w:type="numbering" w:customStyle="1" w:styleId="StyleBulletedLatinCourierNewLeft075Hanging0252">
    <w:name w:val="Style Bulleted (Latin) Courier New Left:  0.75&quot; Hanging:  0.25&quot;...2"/>
    <w:basedOn w:val="NoList"/>
    <w:rsid w:val="00764B0B"/>
    <w:pPr>
      <w:numPr>
        <w:numId w:val="46"/>
      </w:numPr>
    </w:pPr>
  </w:style>
  <w:style w:type="paragraph" w:styleId="Revision">
    <w:name w:val="Revision"/>
    <w:hidden/>
    <w:uiPriority w:val="99"/>
    <w:semiHidden/>
    <w:rsid w:val="0005576E"/>
    <w:rPr>
      <w:rFonts w:ascii="Times New Roman" w:hAnsi="Times New Roman"/>
      <w:b/>
    </w:rPr>
  </w:style>
  <w:style w:type="character" w:styleId="FollowedHyperlink">
    <w:name w:val="FollowedHyperlink"/>
    <w:basedOn w:val="DefaultParagraphFont"/>
    <w:uiPriority w:val="99"/>
    <w:semiHidden/>
    <w:unhideWhenUsed/>
    <w:rsid w:val="00D03A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filings" TargetMode="External" /><Relationship Id="rId6" Type="http://schemas.openxmlformats.org/officeDocument/2006/relationships/hyperlink" Target="mailto:fcc504@fcc.gov" TargetMode="External" /><Relationship Id="rId7" Type="http://schemas.openxmlformats.org/officeDocument/2006/relationships/hyperlink" Target="mailto:Melissa.Kirkel@fcc.gov"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ecfs/document/26110072650/1" TargetMode="External" /><Relationship Id="rId2" Type="http://schemas.openxmlformats.org/officeDocument/2006/relationships/hyperlink" Target="https://gcc02.safelinks.protection.outlook.com/?url=https%3A%2F%2Fwww.fcc.gov%2Fecfs%2Fsearch%2Fsearch-filings%2Ffiling%2F105212663826316&amp;data=05%7C02%7CMelissa.Kirkel%40fcc.gov%7Cf7aaa81f14fc4c45770408ddefcc7629%7C72970aed36694ca8b960dd016bc72973%7C0%7C0%7C638930383612619227%7CUnknown%7CTWFpbGZsb3d8eyJFbXB0eU1hcGkiOnRydWUsIlYiOiIwLjAuMDAwMCIsIlAiOiJXaW4zMiIsIkFOIjoiTWFpbCIsIldUIjoyfQ%3D%3D%7C0%7C%7C%7C&amp;sdata=ZCDLZLr%2BxmVoUYh3SO%2BnKWuScSBn7FoSPdIuTdriPrE%3D&amp;reserved=0"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