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3A60F4" w:rsidRPr="008B004B" w:rsidP="009B1282" w14:paraId="2687BC60" w14:textId="77777777">
      <w:pPr>
        <w:pStyle w:val="Agency"/>
      </w:pPr>
      <w:bookmarkStart w:id="0" w:name="MainBodyTOC"/>
      <w:r w:rsidRPr="008B004B">
        <w:t>Before the</w:t>
      </w:r>
      <w:r w:rsidRPr="008B004B">
        <w:br/>
        <w:t>Federal Communications Commission</w:t>
      </w:r>
      <w:r w:rsidRPr="008B004B">
        <w:br/>
        <w:t>Washington, D.C. 20554</w:t>
      </w:r>
    </w:p>
    <w:tbl>
      <w:tblPr>
        <w:tblW w:w="5000" w:type="pct"/>
        <w:tblLook w:val="04A0"/>
      </w:tblPr>
      <w:tblGrid>
        <w:gridCol w:w="4680"/>
        <w:gridCol w:w="4680"/>
      </w:tblGrid>
      <w:tr w14:paraId="0ADE33BB" w14:textId="77777777">
        <w:tblPrEx>
          <w:tblW w:w="5000" w:type="pct"/>
          <w:tblLook w:val="04A0"/>
        </w:tblPrEx>
        <w:trPr>
          <w:cantSplit/>
        </w:trPr>
        <w:tc>
          <w:tcPr>
            <w:tcW w:w="2500" w:type="pct"/>
            <w:tcBorders>
              <w:right w:val="single" w:sz="4" w:space="0" w:color="auto"/>
            </w:tcBorders>
          </w:tcPr>
          <w:p w:rsidR="00040955" w14:paraId="40527874" w14:textId="43F8FA70">
            <w:pPr>
              <w:pStyle w:val="SubjectMatterIntro-Left"/>
            </w:pPr>
            <w:r>
              <w:t>In the Matter of</w:t>
            </w:r>
          </w:p>
          <w:p w:rsidR="00040955" w14:paraId="36E3E238" w14:textId="4CC4EAC6">
            <w:pPr>
              <w:pStyle w:val="SubjectMatterIntro-Left"/>
            </w:pPr>
            <w:r w:rsidRPr="000A31E4">
              <w:t>Prohibiting the Importation and Marketing of Certain Foreign-Produced Military-Grade UAS and UAS Critical Components</w:t>
            </w:r>
          </w:p>
        </w:tc>
        <w:tc>
          <w:tcPr>
            <w:tcW w:w="2500" w:type="pct"/>
          </w:tcPr>
          <w:p w:rsidR="00040955" w14:paraId="5F6A3D48" w14:textId="77777777">
            <w:pPr>
              <w:pStyle w:val="SubjectMatterIntro-Right"/>
            </w:pPr>
          </w:p>
          <w:p w:rsidR="003A60F4" w14:paraId="09BDE32D" w14:textId="2D437E61">
            <w:pPr>
              <w:pStyle w:val="SubjectMatterIntro-Right"/>
            </w:pPr>
            <w:r>
              <w:t>PS Docket No. 26-189</w:t>
            </w:r>
          </w:p>
          <w:p w:rsidR="003A60F4" w:rsidRPr="009E4814" w14:paraId="54C0FE07" w14:textId="23492DE3">
            <w:pPr>
              <w:pStyle w:val="SubjectMatterIntro-Right"/>
            </w:pPr>
          </w:p>
        </w:tc>
      </w:tr>
    </w:tbl>
    <w:p w:rsidR="00CE28E7" w:rsidP="0024211E" w14:paraId="0973309A" w14:textId="77777777"/>
    <w:p w:rsidR="003A60F4" w:rsidRPr="007012DE" w:rsidP="00C7298F" w14:paraId="231C491B" w14:textId="59733FDB">
      <w:pPr>
        <w:pStyle w:val="DocType"/>
        <w:spacing w:after="160"/>
      </w:pPr>
      <w:r>
        <w:t>order</w:t>
      </w:r>
    </w:p>
    <w:p w:rsidR="003A60F4" w:rsidP="00C7298F" w14:paraId="0F2D5D63" w14:textId="5697568F">
      <w:pPr>
        <w:pStyle w:val="Adopted"/>
        <w:spacing w:after="160"/>
      </w:pPr>
      <w:r>
        <w:t>Adopted: August 28, 2026</w:t>
      </w:r>
      <w:r w:rsidRPr="004A5179">
        <w:tab/>
        <w:t xml:space="preserve">Released: </w:t>
      </w:r>
      <w:r w:rsidR="004A5179">
        <w:t xml:space="preserve">August </w:t>
      </w:r>
      <w:r w:rsidR="008550E7">
        <w:t>28</w:t>
      </w:r>
      <w:r w:rsidR="004A5179">
        <w:t>, 2026</w:t>
      </w:r>
    </w:p>
    <w:p w:rsidR="007012DE" w:rsidP="00C7298F" w14:paraId="6CDC41E8" w14:textId="7EA2DC5C">
      <w:pPr>
        <w:spacing w:after="160"/>
      </w:pPr>
      <w:r w:rsidRPr="007C6389">
        <w:t>By the</w:t>
      </w:r>
      <w:r w:rsidR="0065387D">
        <w:t xml:space="preserve"> Chief,</w:t>
      </w:r>
      <w:r w:rsidRPr="007C6389">
        <w:t xml:space="preserve"> </w:t>
      </w:r>
      <w:r w:rsidR="00AC67BE">
        <w:t xml:space="preserve">Public Safety and Homeland Security Bureau and the </w:t>
      </w:r>
      <w:r w:rsidR="0065387D">
        <w:t xml:space="preserve">Chief, </w:t>
      </w:r>
      <w:r w:rsidR="00AC67BE">
        <w:t xml:space="preserve">Office of Engineering </w:t>
      </w:r>
      <w:r w:rsidR="0065387D">
        <w:t xml:space="preserve">&amp; </w:t>
      </w:r>
      <w:r w:rsidR="00AC67BE">
        <w:t>Technology</w:t>
      </w:r>
      <w:r w:rsidR="004D1723">
        <w:t>:</w:t>
      </w:r>
    </w:p>
    <w:p w:rsidR="0065387D" w:rsidP="00BD0756" w14:paraId="06A0D3E7" w14:textId="0AE22610">
      <w:pPr>
        <w:spacing w:after="160"/>
        <w:ind w:firstLine="720"/>
        <w:contextualSpacing/>
        <w:rPr>
          <w:rFonts w:eastAsia="Times New Roman"/>
          <w:snapToGrid w:val="0"/>
          <w:kern w:val="28"/>
          <w:szCs w:val="22"/>
        </w:rPr>
      </w:pPr>
      <w:r>
        <w:t>1.</w:t>
      </w:r>
      <w:r>
        <w:tab/>
      </w:r>
      <w:r>
        <w:t xml:space="preserve">In this Order, </w:t>
      </w:r>
      <w:r w:rsidRPr="0065387D">
        <w:rPr>
          <w:rFonts w:eastAsia="Times New Roman"/>
          <w:snapToGrid w:val="0"/>
          <w:kern w:val="28"/>
          <w:szCs w:val="22"/>
        </w:rPr>
        <w:t xml:space="preserve">the Federal Communications Commission’s (Commission) Public Safety and Homeland Security Bureau (PSHSB) and Office of Engineering and Technology (OET) deny </w:t>
      </w:r>
      <w:r w:rsidR="00E56609">
        <w:rPr>
          <w:rFonts w:eastAsia="Times New Roman"/>
          <w:snapToGrid w:val="0"/>
          <w:kern w:val="28"/>
          <w:szCs w:val="22"/>
        </w:rPr>
        <w:t>three</w:t>
      </w:r>
      <w:r w:rsidRPr="0065387D" w:rsidR="00E56609">
        <w:rPr>
          <w:rFonts w:eastAsia="Times New Roman"/>
          <w:snapToGrid w:val="0"/>
          <w:kern w:val="28"/>
          <w:szCs w:val="22"/>
        </w:rPr>
        <w:t xml:space="preserve"> </w:t>
      </w:r>
      <w:r w:rsidRPr="0065387D">
        <w:rPr>
          <w:rFonts w:eastAsia="Times New Roman"/>
          <w:snapToGrid w:val="0"/>
          <w:kern w:val="28"/>
          <w:szCs w:val="22"/>
        </w:rPr>
        <w:t>request</w:t>
      </w:r>
      <w:r w:rsidR="009C24AB">
        <w:rPr>
          <w:rFonts w:eastAsia="Times New Roman"/>
          <w:snapToGrid w:val="0"/>
          <w:kern w:val="28"/>
          <w:szCs w:val="22"/>
        </w:rPr>
        <w:t>s</w:t>
      </w:r>
      <w:r w:rsidRPr="0065387D">
        <w:rPr>
          <w:rFonts w:eastAsia="Times New Roman"/>
          <w:snapToGrid w:val="0"/>
          <w:kern w:val="28"/>
          <w:szCs w:val="22"/>
        </w:rPr>
        <w:t xml:space="preserve"> filed by American Fuel &amp; Petrochemical Manufacturers </w:t>
      </w:r>
      <w:r w:rsidR="009C24AB">
        <w:rPr>
          <w:rFonts w:eastAsia="Times New Roman"/>
          <w:snapToGrid w:val="0"/>
          <w:kern w:val="28"/>
          <w:szCs w:val="22"/>
        </w:rPr>
        <w:t>(AFPM)</w:t>
      </w:r>
      <w:r w:rsidR="00585441">
        <w:rPr>
          <w:rFonts w:eastAsia="Times New Roman"/>
          <w:snapToGrid w:val="0"/>
          <w:kern w:val="28"/>
          <w:szCs w:val="22"/>
        </w:rPr>
        <w:t>,</w:t>
      </w:r>
      <w:r>
        <w:rPr>
          <w:rFonts w:eastAsia="Times New Roman"/>
          <w:snapToGrid w:val="0"/>
          <w:kern w:val="28"/>
          <w:szCs w:val="22"/>
          <w:vertAlign w:val="superscript"/>
        </w:rPr>
        <w:footnoteReference w:id="2"/>
      </w:r>
      <w:r w:rsidR="009C24AB">
        <w:rPr>
          <w:rFonts w:eastAsia="Times New Roman"/>
          <w:snapToGrid w:val="0"/>
          <w:kern w:val="28"/>
          <w:szCs w:val="22"/>
        </w:rPr>
        <w:t xml:space="preserve"> </w:t>
      </w:r>
      <w:r w:rsidR="003567D6">
        <w:rPr>
          <w:rFonts w:eastAsia="Times New Roman"/>
          <w:snapToGrid w:val="0"/>
          <w:kern w:val="28"/>
          <w:szCs w:val="22"/>
        </w:rPr>
        <w:t>DRONERESPONDERS</w:t>
      </w:r>
      <w:r w:rsidR="000D3CF8">
        <w:rPr>
          <w:rFonts w:eastAsia="Times New Roman"/>
          <w:snapToGrid w:val="0"/>
          <w:kern w:val="28"/>
          <w:szCs w:val="22"/>
        </w:rPr>
        <w:t xml:space="preserve"> (DR)</w:t>
      </w:r>
      <w:r w:rsidR="00BB39F1">
        <w:rPr>
          <w:rFonts w:eastAsia="Times New Roman"/>
          <w:snapToGrid w:val="0"/>
          <w:kern w:val="28"/>
          <w:szCs w:val="22"/>
        </w:rPr>
        <w:t>,</w:t>
      </w:r>
      <w:r>
        <w:rPr>
          <w:rStyle w:val="FootnoteReference"/>
          <w:rFonts w:eastAsia="Times New Roman"/>
          <w:snapToGrid w:val="0"/>
          <w:kern w:val="28"/>
          <w:szCs w:val="22"/>
        </w:rPr>
        <w:footnoteReference w:id="3"/>
      </w:r>
      <w:r w:rsidR="003567D6">
        <w:rPr>
          <w:rFonts w:eastAsia="Times New Roman"/>
          <w:snapToGrid w:val="0"/>
          <w:kern w:val="28"/>
          <w:szCs w:val="22"/>
        </w:rPr>
        <w:t xml:space="preserve"> </w:t>
      </w:r>
      <w:r w:rsidR="00BB39F1">
        <w:rPr>
          <w:rFonts w:eastAsia="Times New Roman"/>
          <w:snapToGrid w:val="0"/>
          <w:kern w:val="28"/>
          <w:szCs w:val="22"/>
        </w:rPr>
        <w:t xml:space="preserve">and Commercial Drone Alliance </w:t>
      </w:r>
      <w:r w:rsidR="00845886">
        <w:rPr>
          <w:rFonts w:eastAsia="Times New Roman"/>
          <w:snapToGrid w:val="0"/>
          <w:kern w:val="28"/>
          <w:szCs w:val="22"/>
        </w:rPr>
        <w:t xml:space="preserve">(CDA) </w:t>
      </w:r>
      <w:r w:rsidR="003567D6">
        <w:rPr>
          <w:rFonts w:eastAsia="Times New Roman"/>
          <w:snapToGrid w:val="0"/>
          <w:kern w:val="28"/>
          <w:szCs w:val="22"/>
        </w:rPr>
        <w:t>(Petitioners)</w:t>
      </w:r>
      <w:r>
        <w:rPr>
          <w:rStyle w:val="FootnoteReference"/>
          <w:rFonts w:eastAsia="Times New Roman"/>
          <w:snapToGrid w:val="0"/>
          <w:kern w:val="28"/>
          <w:szCs w:val="22"/>
        </w:rPr>
        <w:footnoteReference w:id="4"/>
      </w:r>
      <w:r w:rsidRPr="0065387D">
        <w:rPr>
          <w:rFonts w:eastAsia="Times New Roman"/>
          <w:snapToGrid w:val="0"/>
          <w:kern w:val="28"/>
          <w:szCs w:val="22"/>
        </w:rPr>
        <w:t xml:space="preserve"> </w:t>
      </w:r>
      <w:r w:rsidR="00F56F6B">
        <w:rPr>
          <w:rFonts w:eastAsia="Times New Roman"/>
          <w:snapToGrid w:val="0"/>
          <w:kern w:val="28"/>
          <w:szCs w:val="22"/>
        </w:rPr>
        <w:t xml:space="preserve">for an extension of time </w:t>
      </w:r>
      <w:r w:rsidRPr="0065387D">
        <w:rPr>
          <w:rFonts w:eastAsia="Times New Roman"/>
          <w:snapToGrid w:val="0"/>
          <w:kern w:val="28"/>
          <w:szCs w:val="22"/>
        </w:rPr>
        <w:t>to submit public comment in response to a Public Notice that was recently released in the above-captioned docket.</w:t>
      </w:r>
    </w:p>
    <w:p w:rsidR="00C7298F" w:rsidRPr="0065387D" w:rsidP="00C7298F" w14:paraId="39EF9147" w14:textId="77777777">
      <w:pPr>
        <w:spacing w:after="160"/>
        <w:contextualSpacing/>
        <w:rPr>
          <w:rFonts w:eastAsia="Times New Roman"/>
          <w:snapToGrid w:val="0"/>
          <w:kern w:val="28"/>
          <w:szCs w:val="22"/>
        </w:rPr>
      </w:pPr>
    </w:p>
    <w:p w:rsidR="00C7298F" w:rsidP="00BD0756" w14:paraId="72553447" w14:textId="77777777">
      <w:pPr>
        <w:widowControl w:val="0"/>
        <w:spacing w:after="160"/>
        <w:ind w:firstLine="720"/>
        <w:contextualSpacing/>
        <w:rPr>
          <w:rFonts w:eastAsia="Times New Roman"/>
          <w:snapToGrid w:val="0"/>
          <w:kern w:val="28"/>
          <w:szCs w:val="22"/>
        </w:rPr>
      </w:pPr>
      <w:r>
        <w:rPr>
          <w:rFonts w:eastAsia="Times New Roman"/>
          <w:snapToGrid w:val="0"/>
          <w:kern w:val="28"/>
          <w:szCs w:val="22"/>
        </w:rPr>
        <w:t>2.</w:t>
      </w:r>
      <w:r>
        <w:rPr>
          <w:rFonts w:eastAsia="Times New Roman"/>
          <w:snapToGrid w:val="0"/>
          <w:kern w:val="28"/>
          <w:szCs w:val="22"/>
        </w:rPr>
        <w:tab/>
      </w:r>
      <w:r w:rsidRPr="0065387D" w:rsidR="0065387D">
        <w:rPr>
          <w:rFonts w:eastAsia="Times New Roman"/>
          <w:snapToGrid w:val="0"/>
          <w:kern w:val="28"/>
          <w:szCs w:val="22"/>
        </w:rPr>
        <w:t>On July 21, 2026, PSHSB and OET jointly released a Public Notice seeking comment on a proposal to prohibit the continued importation and marketing of certain previously authorized foreign-produced uncrewed aircraft systems (UAS) and UAS components that are both on the Covered List and meet any of the listed definitions of “military-grade UAS and UAS critical components” as defined in the Public Notice.</w:t>
      </w:r>
      <w:r w:rsidRPr="0065387D" w:rsidR="0065387D">
        <w:rPr>
          <w:rFonts w:eastAsia="Times New Roman"/>
          <w:snapToGrid w:val="0"/>
          <w:kern w:val="28"/>
          <w:szCs w:val="22"/>
          <w:vertAlign w:val="superscript"/>
        </w:rPr>
        <w:t xml:space="preserve"> </w:t>
      </w:r>
      <w:r>
        <w:rPr>
          <w:rFonts w:eastAsia="Times New Roman"/>
          <w:snapToGrid w:val="0"/>
          <w:kern w:val="28"/>
          <w:szCs w:val="22"/>
          <w:vertAlign w:val="superscript"/>
        </w:rPr>
        <w:footnoteReference w:id="5"/>
      </w:r>
      <w:r w:rsidRPr="0065387D" w:rsidR="0065387D">
        <w:rPr>
          <w:rFonts w:eastAsia="Times New Roman"/>
          <w:snapToGrid w:val="0"/>
          <w:kern w:val="28"/>
          <w:szCs w:val="22"/>
        </w:rPr>
        <w:t xml:space="preserve">  The Public Notice was published in the Federal Register on August 3, 2026</w:t>
      </w:r>
      <w:r w:rsidR="00267635">
        <w:rPr>
          <w:rFonts w:eastAsia="Times New Roman"/>
          <w:snapToGrid w:val="0"/>
          <w:kern w:val="28"/>
          <w:szCs w:val="22"/>
        </w:rPr>
        <w:t>,</w:t>
      </w:r>
      <w:r w:rsidRPr="0065387D" w:rsidR="0065387D">
        <w:rPr>
          <w:rFonts w:eastAsia="Times New Roman"/>
          <w:snapToGrid w:val="0"/>
          <w:kern w:val="28"/>
          <w:szCs w:val="22"/>
        </w:rPr>
        <w:t xml:space="preserve"> and comments are due on or before September 2, 2026.</w:t>
      </w:r>
      <w:r>
        <w:rPr>
          <w:rFonts w:eastAsia="Times New Roman"/>
          <w:snapToGrid w:val="0"/>
          <w:kern w:val="28"/>
          <w:szCs w:val="22"/>
          <w:vertAlign w:val="superscript"/>
        </w:rPr>
        <w:footnoteReference w:id="6"/>
      </w:r>
    </w:p>
    <w:p w:rsidR="00C7298F" w:rsidP="00C7298F" w14:paraId="6A70B3F9" w14:textId="306F9B26">
      <w:pPr>
        <w:widowControl w:val="0"/>
        <w:spacing w:after="160"/>
        <w:contextualSpacing/>
        <w:rPr>
          <w:rFonts w:eastAsia="Times New Roman"/>
          <w:snapToGrid w:val="0"/>
          <w:kern w:val="28"/>
          <w:szCs w:val="22"/>
        </w:rPr>
      </w:pPr>
    </w:p>
    <w:p w:rsidR="0065387D" w:rsidP="00BD0756" w14:paraId="5C1A667C" w14:textId="0DC2E992">
      <w:pPr>
        <w:widowControl w:val="0"/>
        <w:spacing w:after="160"/>
        <w:ind w:firstLine="720"/>
        <w:contextualSpacing/>
        <w:rPr>
          <w:rFonts w:eastAsia="Times New Roman"/>
          <w:snapToGrid w:val="0"/>
          <w:kern w:val="28"/>
          <w:szCs w:val="22"/>
        </w:rPr>
      </w:pPr>
      <w:r>
        <w:rPr>
          <w:rFonts w:eastAsia="Times New Roman"/>
          <w:snapToGrid w:val="0"/>
          <w:kern w:val="28"/>
          <w:szCs w:val="22"/>
        </w:rPr>
        <w:t>3.</w:t>
      </w:r>
      <w:r>
        <w:rPr>
          <w:rFonts w:eastAsia="Times New Roman"/>
          <w:snapToGrid w:val="0"/>
          <w:kern w:val="28"/>
          <w:szCs w:val="22"/>
        </w:rPr>
        <w:tab/>
      </w:r>
      <w:r w:rsidRPr="0065387D">
        <w:rPr>
          <w:rFonts w:eastAsia="Times New Roman"/>
          <w:snapToGrid w:val="0"/>
          <w:kern w:val="28"/>
          <w:szCs w:val="22"/>
        </w:rPr>
        <w:t xml:space="preserve">On August 4, 2026, </w:t>
      </w:r>
      <w:r w:rsidR="004C2C9C">
        <w:rPr>
          <w:rFonts w:eastAsia="Times New Roman"/>
          <w:snapToGrid w:val="0"/>
          <w:kern w:val="28"/>
          <w:szCs w:val="22"/>
        </w:rPr>
        <w:t>AFPM</w:t>
      </w:r>
      <w:r w:rsidRPr="0065387D">
        <w:rPr>
          <w:rFonts w:eastAsia="Times New Roman"/>
          <w:snapToGrid w:val="0"/>
          <w:kern w:val="28"/>
          <w:szCs w:val="22"/>
        </w:rPr>
        <w:t xml:space="preserve"> filed a request seeking an extension of the comment deadline “by at least thirty days,” because “[t]he current comment period creates practical challenges for meaningful stakeholder comment.”</w:t>
      </w:r>
      <w:r>
        <w:rPr>
          <w:rFonts w:eastAsia="Times New Roman"/>
          <w:snapToGrid w:val="0"/>
          <w:kern w:val="28"/>
          <w:szCs w:val="22"/>
          <w:vertAlign w:val="superscript"/>
        </w:rPr>
        <w:footnoteReference w:id="7"/>
      </w:r>
      <w:r w:rsidRPr="0065387D">
        <w:rPr>
          <w:rFonts w:eastAsia="Times New Roman"/>
          <w:snapToGrid w:val="0"/>
          <w:kern w:val="28"/>
          <w:szCs w:val="22"/>
        </w:rPr>
        <w:t xml:space="preserve">  </w:t>
      </w:r>
      <w:r w:rsidR="00041642">
        <w:rPr>
          <w:rFonts w:eastAsia="Times New Roman"/>
          <w:snapToGrid w:val="0"/>
          <w:kern w:val="28"/>
          <w:szCs w:val="22"/>
        </w:rPr>
        <w:t>AFPM</w:t>
      </w:r>
      <w:r w:rsidRPr="0065387D">
        <w:rPr>
          <w:rFonts w:eastAsia="Times New Roman"/>
          <w:snapToGrid w:val="0"/>
          <w:kern w:val="28"/>
          <w:szCs w:val="22"/>
        </w:rPr>
        <w:t xml:space="preserve"> “need[s] time to survey our members and assess the extent to which they rely on equipment that could be impact</w:t>
      </w:r>
      <w:r w:rsidR="0019056C">
        <w:rPr>
          <w:rFonts w:eastAsia="Times New Roman"/>
          <w:snapToGrid w:val="0"/>
          <w:kern w:val="28"/>
          <w:szCs w:val="22"/>
        </w:rPr>
        <w:t>ed</w:t>
      </w:r>
      <w:r w:rsidRPr="0065387D">
        <w:rPr>
          <w:rFonts w:eastAsia="Times New Roman"/>
          <w:snapToGrid w:val="0"/>
          <w:kern w:val="28"/>
          <w:szCs w:val="22"/>
        </w:rPr>
        <w:t xml:space="preserve"> by the proposal.”</w:t>
      </w:r>
      <w:r>
        <w:rPr>
          <w:rFonts w:eastAsia="Times New Roman"/>
          <w:snapToGrid w:val="0"/>
          <w:kern w:val="28"/>
          <w:szCs w:val="22"/>
          <w:vertAlign w:val="superscript"/>
        </w:rPr>
        <w:footnoteReference w:id="8"/>
      </w:r>
      <w:r w:rsidRPr="0065387D">
        <w:rPr>
          <w:rFonts w:eastAsia="Times New Roman"/>
          <w:snapToGrid w:val="0"/>
          <w:kern w:val="28"/>
          <w:szCs w:val="22"/>
        </w:rPr>
        <w:t xml:space="preserve">  In addition, the </w:t>
      </w:r>
      <w:r w:rsidR="00041642">
        <w:rPr>
          <w:rFonts w:eastAsia="Times New Roman"/>
          <w:snapToGrid w:val="0"/>
          <w:kern w:val="28"/>
          <w:szCs w:val="22"/>
        </w:rPr>
        <w:t>AFPM</w:t>
      </w:r>
      <w:r w:rsidRPr="0065387D">
        <w:rPr>
          <w:rFonts w:eastAsia="Times New Roman"/>
          <w:snapToGrid w:val="0"/>
          <w:kern w:val="28"/>
          <w:szCs w:val="22"/>
        </w:rPr>
        <w:t xml:space="preserve"> contends, </w:t>
      </w:r>
      <w:r w:rsidRPr="0065387D">
        <w:rPr>
          <w:rFonts w:eastAsia="Times New Roman"/>
          <w:snapToGrid w:val="0"/>
          <w:kern w:val="28"/>
          <w:szCs w:val="22"/>
        </w:rPr>
        <w:t>“[t]he proposal raises complex technical questions that require careful analysis.”</w:t>
      </w:r>
      <w:r>
        <w:rPr>
          <w:rFonts w:eastAsia="Times New Roman"/>
          <w:snapToGrid w:val="0"/>
          <w:kern w:val="28"/>
          <w:szCs w:val="22"/>
          <w:vertAlign w:val="superscript"/>
        </w:rPr>
        <w:footnoteReference w:id="9"/>
      </w:r>
      <w:r w:rsidRPr="0065387D">
        <w:rPr>
          <w:rFonts w:eastAsia="Times New Roman"/>
          <w:snapToGrid w:val="0"/>
          <w:kern w:val="28"/>
          <w:szCs w:val="22"/>
        </w:rPr>
        <w:t xml:space="preserve">  Finally, </w:t>
      </w:r>
      <w:r w:rsidR="004707C6">
        <w:rPr>
          <w:rFonts w:eastAsia="Times New Roman"/>
          <w:snapToGrid w:val="0"/>
          <w:kern w:val="28"/>
          <w:szCs w:val="22"/>
        </w:rPr>
        <w:t>AFPM</w:t>
      </w:r>
      <w:r w:rsidRPr="0065387D">
        <w:rPr>
          <w:rFonts w:eastAsia="Times New Roman"/>
          <w:snapToGrid w:val="0"/>
          <w:kern w:val="28"/>
          <w:szCs w:val="22"/>
        </w:rPr>
        <w:t xml:space="preserve"> argue</w:t>
      </w:r>
      <w:r w:rsidR="004806D7">
        <w:rPr>
          <w:rFonts w:eastAsia="Times New Roman"/>
          <w:snapToGrid w:val="0"/>
          <w:kern w:val="28"/>
          <w:szCs w:val="22"/>
        </w:rPr>
        <w:t>s</w:t>
      </w:r>
      <w:r w:rsidRPr="0065387D">
        <w:rPr>
          <w:rFonts w:eastAsia="Times New Roman"/>
          <w:snapToGrid w:val="0"/>
          <w:kern w:val="28"/>
          <w:szCs w:val="22"/>
        </w:rPr>
        <w:t xml:space="preserve"> that “meaningful assessment of these impacts requires consultation across operating facilities, technical personnel, procurement teams, and UAS managers.”</w:t>
      </w:r>
      <w:r>
        <w:rPr>
          <w:rFonts w:eastAsia="Times New Roman"/>
          <w:snapToGrid w:val="0"/>
          <w:kern w:val="28"/>
          <w:szCs w:val="22"/>
          <w:vertAlign w:val="superscript"/>
        </w:rPr>
        <w:footnoteReference w:id="10"/>
      </w:r>
    </w:p>
    <w:p w:rsidR="001728C6" w:rsidP="001A4F9F" w14:paraId="48DD311C" w14:textId="77777777">
      <w:pPr>
        <w:widowControl w:val="0"/>
        <w:spacing w:after="160"/>
        <w:contextualSpacing/>
        <w:rPr>
          <w:rFonts w:eastAsia="Times New Roman"/>
          <w:snapToGrid w:val="0"/>
          <w:kern w:val="28"/>
          <w:szCs w:val="22"/>
        </w:rPr>
      </w:pPr>
    </w:p>
    <w:p w:rsidR="00216C2A" w:rsidRPr="003C5DB6" w:rsidP="00216C2A" w14:paraId="703895A7" w14:textId="2A9F27B9">
      <w:pPr>
        <w:widowControl w:val="0"/>
        <w:spacing w:after="160"/>
        <w:contextualSpacing/>
        <w:rPr>
          <w:rFonts w:eastAsia="Times New Roman"/>
          <w:i/>
          <w:iCs/>
          <w:snapToGrid w:val="0"/>
          <w:kern w:val="28"/>
          <w:szCs w:val="22"/>
        </w:rPr>
      </w:pPr>
      <w:r>
        <w:rPr>
          <w:rFonts w:eastAsia="Times New Roman"/>
          <w:snapToGrid w:val="0"/>
          <w:kern w:val="28"/>
          <w:szCs w:val="22"/>
        </w:rPr>
        <w:tab/>
      </w:r>
      <w:r>
        <w:rPr>
          <w:rFonts w:eastAsia="Times New Roman"/>
          <w:snapToGrid w:val="0"/>
          <w:kern w:val="28"/>
          <w:szCs w:val="22"/>
        </w:rPr>
        <w:t>4.</w:t>
      </w:r>
      <w:r>
        <w:rPr>
          <w:rFonts w:eastAsia="Times New Roman"/>
          <w:snapToGrid w:val="0"/>
          <w:kern w:val="28"/>
          <w:szCs w:val="22"/>
        </w:rPr>
        <w:tab/>
      </w:r>
      <w:r w:rsidRPr="00F42776" w:rsidR="00F42776">
        <w:rPr>
          <w:rFonts w:eastAsia="Times New Roman"/>
          <w:snapToGrid w:val="0"/>
          <w:kern w:val="28"/>
          <w:szCs w:val="22"/>
        </w:rPr>
        <w:t xml:space="preserve">On August </w:t>
      </w:r>
      <w:r w:rsidR="00F42776">
        <w:rPr>
          <w:rFonts w:eastAsia="Times New Roman"/>
          <w:snapToGrid w:val="0"/>
          <w:kern w:val="28"/>
          <w:szCs w:val="22"/>
        </w:rPr>
        <w:t>2</w:t>
      </w:r>
      <w:r w:rsidRPr="00F42776" w:rsidR="00F42776">
        <w:rPr>
          <w:rFonts w:eastAsia="Times New Roman"/>
          <w:snapToGrid w:val="0"/>
          <w:kern w:val="28"/>
          <w:szCs w:val="22"/>
        </w:rPr>
        <w:t xml:space="preserve">4, 2026, </w:t>
      </w:r>
      <w:r w:rsidR="00F42776">
        <w:rPr>
          <w:rFonts w:eastAsia="Times New Roman"/>
          <w:snapToGrid w:val="0"/>
          <w:kern w:val="28"/>
          <w:szCs w:val="22"/>
        </w:rPr>
        <w:t>DR f</w:t>
      </w:r>
      <w:r w:rsidRPr="00F42776" w:rsidR="00F42776">
        <w:rPr>
          <w:rFonts w:eastAsia="Times New Roman"/>
          <w:snapToGrid w:val="0"/>
          <w:kern w:val="28"/>
          <w:szCs w:val="22"/>
        </w:rPr>
        <w:t xml:space="preserve">iled a </w:t>
      </w:r>
      <w:r w:rsidR="00F42776">
        <w:rPr>
          <w:rFonts w:eastAsia="Times New Roman"/>
          <w:snapToGrid w:val="0"/>
          <w:kern w:val="28"/>
          <w:szCs w:val="22"/>
        </w:rPr>
        <w:t xml:space="preserve">motion for </w:t>
      </w:r>
      <w:r w:rsidRPr="00F42776" w:rsidR="00F42776">
        <w:rPr>
          <w:rFonts w:eastAsia="Times New Roman"/>
          <w:snapToGrid w:val="0"/>
          <w:kern w:val="28"/>
          <w:szCs w:val="22"/>
        </w:rPr>
        <w:t xml:space="preserve">extension of </w:t>
      </w:r>
      <w:r w:rsidR="00973E3C">
        <w:rPr>
          <w:rFonts w:eastAsia="Times New Roman"/>
          <w:snapToGrid w:val="0"/>
          <w:kern w:val="28"/>
          <w:szCs w:val="22"/>
        </w:rPr>
        <w:t xml:space="preserve">time to file comments </w:t>
      </w:r>
      <w:r w:rsidRPr="00F42776" w:rsidR="00F42776">
        <w:rPr>
          <w:rFonts w:eastAsia="Times New Roman"/>
          <w:snapToGrid w:val="0"/>
          <w:kern w:val="28"/>
          <w:szCs w:val="22"/>
        </w:rPr>
        <w:t>“</w:t>
      </w:r>
      <w:r w:rsidR="000A5C0F">
        <w:rPr>
          <w:rFonts w:eastAsia="Times New Roman"/>
          <w:snapToGrid w:val="0"/>
          <w:kern w:val="28"/>
          <w:szCs w:val="22"/>
        </w:rPr>
        <w:t>from September 2 to September 30, 2026”</w:t>
      </w:r>
      <w:r>
        <w:rPr>
          <w:rStyle w:val="FootnoteReference"/>
          <w:rFonts w:eastAsia="Times New Roman"/>
          <w:snapToGrid w:val="0"/>
          <w:kern w:val="28"/>
          <w:szCs w:val="22"/>
        </w:rPr>
        <w:footnoteReference w:id="11"/>
      </w:r>
      <w:r w:rsidR="000A5C0F">
        <w:rPr>
          <w:rFonts w:eastAsia="Times New Roman"/>
          <w:snapToGrid w:val="0"/>
          <w:kern w:val="28"/>
          <w:szCs w:val="22"/>
        </w:rPr>
        <w:t xml:space="preserve"> </w:t>
      </w:r>
      <w:r w:rsidR="007223EE">
        <w:rPr>
          <w:rFonts w:eastAsia="Times New Roman"/>
          <w:snapToGrid w:val="0"/>
          <w:kern w:val="28"/>
          <w:szCs w:val="22"/>
        </w:rPr>
        <w:t>to “allow stakeholders, including in the public safety community</w:t>
      </w:r>
      <w:r w:rsidR="00D21152">
        <w:rPr>
          <w:rFonts w:eastAsia="Times New Roman"/>
          <w:snapToGrid w:val="0"/>
          <w:kern w:val="28"/>
          <w:szCs w:val="22"/>
        </w:rPr>
        <w:t>, to coordinate operational and technical input and develop a more complete factual record, while causing no material delay to the proceeding.”</w:t>
      </w:r>
      <w:r>
        <w:rPr>
          <w:rStyle w:val="FootnoteReference"/>
          <w:rFonts w:eastAsia="Times New Roman"/>
          <w:snapToGrid w:val="0"/>
          <w:kern w:val="28"/>
          <w:szCs w:val="22"/>
        </w:rPr>
        <w:footnoteReference w:id="12"/>
      </w:r>
      <w:r w:rsidR="00C70B29">
        <w:rPr>
          <w:rFonts w:eastAsia="Times New Roman"/>
          <w:snapToGrid w:val="0"/>
          <w:kern w:val="28"/>
          <w:szCs w:val="22"/>
        </w:rPr>
        <w:t xml:space="preserve">  </w:t>
      </w:r>
      <w:r w:rsidR="002276A9">
        <w:rPr>
          <w:rFonts w:eastAsia="Times New Roman"/>
          <w:snapToGrid w:val="0"/>
          <w:kern w:val="28"/>
          <w:szCs w:val="22"/>
        </w:rPr>
        <w:t xml:space="preserve">DR </w:t>
      </w:r>
      <w:r w:rsidR="007B5084">
        <w:rPr>
          <w:rFonts w:eastAsia="Times New Roman"/>
          <w:snapToGrid w:val="0"/>
          <w:kern w:val="28"/>
          <w:szCs w:val="22"/>
        </w:rPr>
        <w:t xml:space="preserve">contends that </w:t>
      </w:r>
      <w:r w:rsidR="002276A9">
        <w:rPr>
          <w:rFonts w:eastAsia="Times New Roman"/>
          <w:snapToGrid w:val="0"/>
          <w:kern w:val="28"/>
          <w:szCs w:val="22"/>
        </w:rPr>
        <w:t>“</w:t>
      </w:r>
      <w:r w:rsidR="007B5084">
        <w:rPr>
          <w:rFonts w:eastAsia="Times New Roman"/>
          <w:snapToGrid w:val="0"/>
          <w:kern w:val="28"/>
          <w:szCs w:val="22"/>
        </w:rPr>
        <w:t>[a]</w:t>
      </w:r>
      <w:r w:rsidR="002276A9">
        <w:rPr>
          <w:rFonts w:eastAsia="Times New Roman"/>
          <w:snapToGrid w:val="0"/>
          <w:kern w:val="28"/>
          <w:szCs w:val="22"/>
        </w:rPr>
        <w:t xml:space="preserve">dditional time is </w:t>
      </w:r>
      <w:r w:rsidR="00F65F9D">
        <w:rPr>
          <w:rFonts w:eastAsia="Times New Roman"/>
          <w:snapToGrid w:val="0"/>
          <w:kern w:val="28"/>
          <w:szCs w:val="22"/>
        </w:rPr>
        <w:t>needed for DR to consult affected org</w:t>
      </w:r>
      <w:r w:rsidR="00535E62">
        <w:rPr>
          <w:rFonts w:eastAsia="Times New Roman"/>
          <w:snapToGrid w:val="0"/>
          <w:kern w:val="28"/>
          <w:szCs w:val="22"/>
        </w:rPr>
        <w:t>an</w:t>
      </w:r>
      <w:r w:rsidR="00F65F9D">
        <w:rPr>
          <w:rFonts w:eastAsia="Times New Roman"/>
          <w:snapToGrid w:val="0"/>
          <w:kern w:val="28"/>
          <w:szCs w:val="22"/>
        </w:rPr>
        <w:t>i</w:t>
      </w:r>
      <w:r w:rsidR="00535E62">
        <w:rPr>
          <w:rFonts w:eastAsia="Times New Roman"/>
          <w:snapToGrid w:val="0"/>
          <w:kern w:val="28"/>
          <w:szCs w:val="22"/>
        </w:rPr>
        <w:t>za</w:t>
      </w:r>
      <w:r w:rsidR="00F65F9D">
        <w:rPr>
          <w:rFonts w:eastAsia="Times New Roman"/>
          <w:snapToGrid w:val="0"/>
          <w:kern w:val="28"/>
          <w:szCs w:val="22"/>
        </w:rPr>
        <w:t>tions, gather information, and present the Commission with a well-founded and complete comment.”</w:t>
      </w:r>
      <w:r>
        <w:rPr>
          <w:rStyle w:val="FootnoteReference"/>
          <w:rFonts w:eastAsia="Times New Roman"/>
          <w:snapToGrid w:val="0"/>
          <w:kern w:val="28"/>
          <w:szCs w:val="22"/>
        </w:rPr>
        <w:footnoteReference w:id="13"/>
      </w:r>
      <w:r w:rsidR="00200520">
        <w:rPr>
          <w:rFonts w:eastAsia="Times New Roman"/>
          <w:snapToGrid w:val="0"/>
          <w:kern w:val="28"/>
          <w:szCs w:val="22"/>
        </w:rPr>
        <w:t xml:space="preserve">  DR also</w:t>
      </w:r>
      <w:r w:rsidR="006407DF">
        <w:rPr>
          <w:rFonts w:eastAsia="Times New Roman"/>
          <w:snapToGrid w:val="0"/>
          <w:kern w:val="28"/>
          <w:szCs w:val="22"/>
        </w:rPr>
        <w:t xml:space="preserve"> </w:t>
      </w:r>
      <w:r w:rsidR="004830D2">
        <w:rPr>
          <w:rFonts w:eastAsia="Times New Roman"/>
          <w:snapToGrid w:val="0"/>
          <w:kern w:val="28"/>
          <w:szCs w:val="22"/>
        </w:rPr>
        <w:t>argue</w:t>
      </w:r>
      <w:r w:rsidR="00E326A4">
        <w:rPr>
          <w:rFonts w:eastAsia="Times New Roman"/>
          <w:snapToGrid w:val="0"/>
          <w:kern w:val="28"/>
          <w:szCs w:val="22"/>
        </w:rPr>
        <w:t>s</w:t>
      </w:r>
      <w:r w:rsidR="004830D2">
        <w:rPr>
          <w:rFonts w:eastAsia="Times New Roman"/>
          <w:snapToGrid w:val="0"/>
          <w:kern w:val="28"/>
          <w:szCs w:val="22"/>
        </w:rPr>
        <w:t xml:space="preserve"> that</w:t>
      </w:r>
      <w:r w:rsidR="006407DF">
        <w:rPr>
          <w:rFonts w:eastAsia="Times New Roman"/>
          <w:snapToGrid w:val="0"/>
          <w:kern w:val="28"/>
          <w:szCs w:val="22"/>
        </w:rPr>
        <w:t xml:space="preserve"> “</w:t>
      </w:r>
      <w:r w:rsidR="00D17D6F">
        <w:rPr>
          <w:rFonts w:eastAsia="Times New Roman"/>
          <w:snapToGrid w:val="0"/>
          <w:kern w:val="28"/>
          <w:szCs w:val="22"/>
        </w:rPr>
        <w:t>[a]</w:t>
      </w:r>
      <w:r w:rsidR="00535E62">
        <w:rPr>
          <w:rFonts w:eastAsia="Times New Roman"/>
          <w:snapToGrid w:val="0"/>
          <w:kern w:val="28"/>
          <w:szCs w:val="22"/>
        </w:rPr>
        <w:t xml:space="preserve"> meaningful response will require thinking through </w:t>
      </w:r>
      <w:r w:rsidR="00BC45A1">
        <w:rPr>
          <w:rFonts w:eastAsia="Times New Roman"/>
          <w:snapToGrid w:val="0"/>
          <w:kern w:val="28"/>
          <w:szCs w:val="22"/>
        </w:rPr>
        <w:t xml:space="preserve">equipment supply chains, cybersecurity mitigations, public safety needs, and national security </w:t>
      </w:r>
      <w:r w:rsidR="000B207A">
        <w:rPr>
          <w:rFonts w:eastAsia="Times New Roman"/>
          <w:snapToGrid w:val="0"/>
          <w:kern w:val="28"/>
          <w:szCs w:val="22"/>
        </w:rPr>
        <w:t>considerations.”</w:t>
      </w:r>
      <w:r>
        <w:rPr>
          <w:rStyle w:val="FootnoteReference"/>
          <w:rFonts w:eastAsia="Times New Roman"/>
          <w:snapToGrid w:val="0"/>
          <w:kern w:val="28"/>
          <w:szCs w:val="22"/>
        </w:rPr>
        <w:footnoteReference w:id="14"/>
      </w:r>
      <w:r w:rsidR="000B207A">
        <w:rPr>
          <w:rFonts w:eastAsia="Times New Roman"/>
          <w:snapToGrid w:val="0"/>
          <w:kern w:val="28"/>
          <w:szCs w:val="22"/>
        </w:rPr>
        <w:t xml:space="preserve">  </w:t>
      </w:r>
      <w:r w:rsidR="00464CE1">
        <w:rPr>
          <w:rFonts w:eastAsia="Times New Roman"/>
          <w:snapToGrid w:val="0"/>
          <w:kern w:val="28"/>
          <w:szCs w:val="22"/>
        </w:rPr>
        <w:t>Finally</w:t>
      </w:r>
      <w:r w:rsidR="00F9707B">
        <w:rPr>
          <w:rFonts w:eastAsia="Times New Roman"/>
          <w:snapToGrid w:val="0"/>
          <w:kern w:val="28"/>
          <w:szCs w:val="22"/>
        </w:rPr>
        <w:t xml:space="preserve">, </w:t>
      </w:r>
      <w:r w:rsidR="009954B8">
        <w:rPr>
          <w:rFonts w:eastAsia="Times New Roman"/>
          <w:snapToGrid w:val="0"/>
          <w:kern w:val="28"/>
          <w:szCs w:val="22"/>
        </w:rPr>
        <w:t xml:space="preserve">according to </w:t>
      </w:r>
      <w:r w:rsidR="00F9707B">
        <w:rPr>
          <w:rFonts w:eastAsia="Times New Roman"/>
          <w:snapToGrid w:val="0"/>
          <w:kern w:val="28"/>
          <w:szCs w:val="22"/>
        </w:rPr>
        <w:t xml:space="preserve">DR </w:t>
      </w:r>
      <w:r w:rsidR="009954B8">
        <w:rPr>
          <w:rFonts w:eastAsia="Times New Roman"/>
          <w:snapToGrid w:val="0"/>
          <w:kern w:val="28"/>
          <w:szCs w:val="22"/>
        </w:rPr>
        <w:t>the</w:t>
      </w:r>
      <w:r w:rsidR="001F6E6D">
        <w:rPr>
          <w:rFonts w:eastAsia="Times New Roman"/>
          <w:snapToGrid w:val="0"/>
          <w:kern w:val="28"/>
          <w:szCs w:val="22"/>
        </w:rPr>
        <w:t xml:space="preserve"> comment period </w:t>
      </w:r>
      <w:r w:rsidR="000B7612">
        <w:rPr>
          <w:rFonts w:eastAsia="Times New Roman"/>
          <w:snapToGrid w:val="0"/>
          <w:kern w:val="28"/>
          <w:szCs w:val="22"/>
        </w:rPr>
        <w:t>occurs during a time that “</w:t>
      </w:r>
      <w:r w:rsidR="001B3ED3">
        <w:rPr>
          <w:rFonts w:eastAsia="Times New Roman"/>
          <w:snapToGrid w:val="0"/>
          <w:kern w:val="28"/>
          <w:szCs w:val="22"/>
        </w:rPr>
        <w:t xml:space="preserve">may make it challenging </w:t>
      </w:r>
      <w:r w:rsidR="00B20DE0">
        <w:rPr>
          <w:rFonts w:eastAsia="Times New Roman"/>
          <w:snapToGrid w:val="0"/>
          <w:kern w:val="28"/>
          <w:szCs w:val="22"/>
        </w:rPr>
        <w:t>for public safety agencies and emergency response personnel to coordinate and contribute, particularly during a period when personnel may be unavailable.”</w:t>
      </w:r>
      <w:r>
        <w:rPr>
          <w:rStyle w:val="FootnoteReference"/>
          <w:rFonts w:eastAsia="Times New Roman"/>
          <w:snapToGrid w:val="0"/>
          <w:kern w:val="28"/>
          <w:szCs w:val="22"/>
        </w:rPr>
        <w:footnoteReference w:id="15"/>
      </w:r>
      <w:r w:rsidR="008D7B0C">
        <w:rPr>
          <w:rFonts w:eastAsia="Times New Roman"/>
          <w:snapToGrid w:val="0"/>
          <w:kern w:val="28"/>
          <w:szCs w:val="22"/>
        </w:rPr>
        <w:t xml:space="preserve">  On August 26</w:t>
      </w:r>
      <w:r w:rsidR="002553B5">
        <w:rPr>
          <w:rFonts w:eastAsia="Times New Roman"/>
          <w:snapToGrid w:val="0"/>
          <w:kern w:val="28"/>
          <w:szCs w:val="22"/>
        </w:rPr>
        <w:t>, 2026</w:t>
      </w:r>
      <w:r w:rsidR="00741AAE">
        <w:rPr>
          <w:rFonts w:eastAsia="Times New Roman"/>
          <w:snapToGrid w:val="0"/>
          <w:kern w:val="28"/>
          <w:szCs w:val="22"/>
        </w:rPr>
        <w:t>, CDA</w:t>
      </w:r>
      <w:r w:rsidR="00FE5F79">
        <w:rPr>
          <w:rFonts w:eastAsia="Times New Roman"/>
          <w:snapToGrid w:val="0"/>
          <w:kern w:val="28"/>
          <w:szCs w:val="22"/>
        </w:rPr>
        <w:t xml:space="preserve"> filed a motion for extension </w:t>
      </w:r>
      <w:r w:rsidR="00E720DC">
        <w:rPr>
          <w:rFonts w:eastAsia="Times New Roman"/>
          <w:snapToGrid w:val="0"/>
          <w:kern w:val="28"/>
          <w:szCs w:val="22"/>
        </w:rPr>
        <w:t>of time, support</w:t>
      </w:r>
      <w:r w:rsidR="00E40611">
        <w:rPr>
          <w:rFonts w:eastAsia="Times New Roman"/>
          <w:snapToGrid w:val="0"/>
          <w:kern w:val="28"/>
          <w:szCs w:val="22"/>
        </w:rPr>
        <w:t>ing</w:t>
      </w:r>
      <w:r w:rsidR="00E720DC">
        <w:rPr>
          <w:rFonts w:eastAsia="Times New Roman"/>
          <w:snapToGrid w:val="0"/>
          <w:kern w:val="28"/>
          <w:szCs w:val="22"/>
        </w:rPr>
        <w:t xml:space="preserve"> th</w:t>
      </w:r>
      <w:r w:rsidR="00DA519B">
        <w:rPr>
          <w:rFonts w:eastAsia="Times New Roman"/>
          <w:snapToGrid w:val="0"/>
          <w:kern w:val="28"/>
          <w:szCs w:val="22"/>
        </w:rPr>
        <w:t>e</w:t>
      </w:r>
      <w:r w:rsidR="003F2136">
        <w:rPr>
          <w:rFonts w:eastAsia="Times New Roman"/>
          <w:snapToGrid w:val="0"/>
          <w:kern w:val="28"/>
          <w:szCs w:val="22"/>
        </w:rPr>
        <w:t xml:space="preserve"> DR motion</w:t>
      </w:r>
      <w:r w:rsidR="00E40611">
        <w:rPr>
          <w:rFonts w:eastAsia="Times New Roman"/>
          <w:snapToGrid w:val="0"/>
          <w:kern w:val="28"/>
          <w:szCs w:val="22"/>
        </w:rPr>
        <w:t xml:space="preserve"> for a 2</w:t>
      </w:r>
      <w:r w:rsidR="009A7AEE">
        <w:rPr>
          <w:rFonts w:eastAsia="Times New Roman"/>
          <w:snapToGrid w:val="0"/>
          <w:kern w:val="28"/>
          <w:szCs w:val="22"/>
        </w:rPr>
        <w:t>8</w:t>
      </w:r>
      <w:r w:rsidR="00E40611">
        <w:rPr>
          <w:rFonts w:eastAsia="Times New Roman"/>
          <w:snapToGrid w:val="0"/>
          <w:kern w:val="28"/>
          <w:szCs w:val="22"/>
        </w:rPr>
        <w:t xml:space="preserve">-day extension of the </w:t>
      </w:r>
      <w:r w:rsidR="00CE1436">
        <w:rPr>
          <w:rFonts w:eastAsia="Times New Roman"/>
          <w:snapToGrid w:val="0"/>
          <w:kern w:val="28"/>
          <w:szCs w:val="22"/>
        </w:rPr>
        <w:t>time to file comments.</w:t>
      </w:r>
      <w:r>
        <w:rPr>
          <w:rStyle w:val="FootnoteReference"/>
          <w:rFonts w:eastAsia="Times New Roman"/>
          <w:snapToGrid w:val="0"/>
          <w:kern w:val="28"/>
          <w:szCs w:val="22"/>
        </w:rPr>
        <w:footnoteReference w:id="16"/>
      </w:r>
    </w:p>
    <w:p w:rsidR="007223EE" w:rsidRPr="0065387D" w:rsidP="00216C2A" w14:paraId="7C211DF4" w14:textId="77777777">
      <w:pPr>
        <w:widowControl w:val="0"/>
        <w:spacing w:after="160"/>
        <w:contextualSpacing/>
        <w:rPr>
          <w:rFonts w:eastAsia="Times New Roman"/>
          <w:snapToGrid w:val="0"/>
          <w:kern w:val="28"/>
          <w:szCs w:val="22"/>
        </w:rPr>
      </w:pPr>
    </w:p>
    <w:p w:rsidR="0065387D" w:rsidP="00C7298F" w14:paraId="7BDA9742" w14:textId="3528D187">
      <w:pPr>
        <w:widowControl w:val="0"/>
        <w:spacing w:after="160"/>
        <w:ind w:firstLine="720"/>
        <w:contextualSpacing/>
        <w:rPr>
          <w:rFonts w:eastAsia="Times New Roman"/>
          <w:snapToGrid w:val="0"/>
          <w:kern w:val="28"/>
          <w:szCs w:val="22"/>
        </w:rPr>
      </w:pPr>
      <w:r>
        <w:rPr>
          <w:rFonts w:eastAsia="Times New Roman"/>
          <w:snapToGrid w:val="0"/>
          <w:kern w:val="28"/>
          <w:szCs w:val="22"/>
        </w:rPr>
        <w:t>5</w:t>
      </w:r>
      <w:r w:rsidR="00BD0756">
        <w:rPr>
          <w:rFonts w:eastAsia="Times New Roman"/>
          <w:snapToGrid w:val="0"/>
          <w:kern w:val="28"/>
          <w:szCs w:val="22"/>
        </w:rPr>
        <w:t>.</w:t>
      </w:r>
      <w:r w:rsidR="00BD0756">
        <w:rPr>
          <w:rFonts w:eastAsia="Times New Roman"/>
          <w:snapToGrid w:val="0"/>
          <w:kern w:val="28"/>
          <w:szCs w:val="22"/>
        </w:rPr>
        <w:tab/>
      </w:r>
      <w:r w:rsidRPr="0065387D">
        <w:rPr>
          <w:rFonts w:eastAsia="Times New Roman"/>
          <w:snapToGrid w:val="0"/>
          <w:kern w:val="28"/>
          <w:szCs w:val="22"/>
        </w:rPr>
        <w:t>National security concerns require us to act as expeditiously as possible when deciding on such an important public interest matter and it is the Commission’s policy that “extensions of time shall not be routinely granted.”</w:t>
      </w:r>
      <w:r>
        <w:rPr>
          <w:rFonts w:eastAsia="Times New Roman"/>
          <w:snapToGrid w:val="0"/>
          <w:kern w:val="28"/>
          <w:szCs w:val="22"/>
          <w:vertAlign w:val="superscript"/>
        </w:rPr>
        <w:footnoteReference w:id="17"/>
      </w:r>
      <w:r w:rsidRPr="0065387D">
        <w:rPr>
          <w:rFonts w:eastAsia="Times New Roman"/>
          <w:snapToGrid w:val="0"/>
          <w:kern w:val="28"/>
          <w:szCs w:val="22"/>
        </w:rPr>
        <w:t xml:space="preserve">  </w:t>
      </w:r>
      <w:r w:rsidRPr="001421F2" w:rsidR="001421F2">
        <w:rPr>
          <w:rFonts w:eastAsia="Times New Roman"/>
          <w:snapToGrid w:val="0"/>
          <w:kern w:val="28"/>
          <w:szCs w:val="22"/>
        </w:rPr>
        <w:t xml:space="preserve">We have considered the arguments raised in the Petitioners’ requests </w:t>
      </w:r>
      <w:r w:rsidR="00E3745B">
        <w:rPr>
          <w:rFonts w:eastAsia="Times New Roman"/>
          <w:snapToGrid w:val="0"/>
          <w:kern w:val="28"/>
          <w:szCs w:val="22"/>
        </w:rPr>
        <w:t xml:space="preserve">under these standards </w:t>
      </w:r>
      <w:r w:rsidRPr="001421F2" w:rsidR="001421F2">
        <w:rPr>
          <w:rFonts w:eastAsia="Times New Roman"/>
          <w:snapToGrid w:val="0"/>
          <w:kern w:val="28"/>
          <w:szCs w:val="22"/>
        </w:rPr>
        <w:t xml:space="preserve">and </w:t>
      </w:r>
      <w:r w:rsidR="008F54BC">
        <w:rPr>
          <w:rFonts w:eastAsia="Times New Roman"/>
          <w:snapToGrid w:val="0"/>
          <w:kern w:val="28"/>
          <w:szCs w:val="22"/>
        </w:rPr>
        <w:t xml:space="preserve">we </w:t>
      </w:r>
      <w:r w:rsidR="005A4D25">
        <w:rPr>
          <w:rFonts w:eastAsia="Times New Roman"/>
          <w:snapToGrid w:val="0"/>
          <w:kern w:val="28"/>
          <w:szCs w:val="22"/>
        </w:rPr>
        <w:t xml:space="preserve">do not find </w:t>
      </w:r>
      <w:r w:rsidRPr="001421F2" w:rsidR="001421F2">
        <w:rPr>
          <w:rFonts w:eastAsia="Times New Roman"/>
          <w:snapToGrid w:val="0"/>
          <w:kern w:val="28"/>
          <w:szCs w:val="22"/>
        </w:rPr>
        <w:t xml:space="preserve">that </w:t>
      </w:r>
      <w:r w:rsidR="005A4D25">
        <w:rPr>
          <w:rFonts w:eastAsia="Times New Roman"/>
          <w:snapToGrid w:val="0"/>
          <w:kern w:val="28"/>
          <w:szCs w:val="22"/>
        </w:rPr>
        <w:t xml:space="preserve">they </w:t>
      </w:r>
      <w:r w:rsidRPr="001421F2" w:rsidR="001421F2">
        <w:rPr>
          <w:rFonts w:eastAsia="Times New Roman"/>
          <w:snapToGrid w:val="0"/>
          <w:kern w:val="28"/>
          <w:szCs w:val="22"/>
        </w:rPr>
        <w:t>warrant an extension in this case</w:t>
      </w:r>
      <w:r w:rsidR="001421F2">
        <w:rPr>
          <w:rFonts w:eastAsia="Times New Roman"/>
          <w:snapToGrid w:val="0"/>
          <w:kern w:val="28"/>
          <w:szCs w:val="22"/>
        </w:rPr>
        <w:t xml:space="preserve">.  </w:t>
      </w:r>
      <w:r w:rsidR="005A4D25">
        <w:rPr>
          <w:rFonts w:eastAsia="Times New Roman"/>
          <w:snapToGrid w:val="0"/>
          <w:kern w:val="28"/>
          <w:szCs w:val="22"/>
        </w:rPr>
        <w:t>Rather, w</w:t>
      </w:r>
      <w:r w:rsidR="00027013">
        <w:rPr>
          <w:rFonts w:eastAsia="Times New Roman"/>
          <w:snapToGrid w:val="0"/>
          <w:kern w:val="28"/>
          <w:szCs w:val="22"/>
        </w:rPr>
        <w:t xml:space="preserve">e believe that </w:t>
      </w:r>
      <w:r w:rsidR="007A2F3F">
        <w:rPr>
          <w:rFonts w:eastAsia="Times New Roman"/>
          <w:snapToGrid w:val="0"/>
          <w:kern w:val="28"/>
          <w:szCs w:val="22"/>
        </w:rPr>
        <w:t xml:space="preserve">the </w:t>
      </w:r>
      <w:r w:rsidR="00027013">
        <w:rPr>
          <w:rFonts w:eastAsia="Times New Roman"/>
          <w:snapToGrid w:val="0"/>
          <w:kern w:val="28"/>
          <w:szCs w:val="22"/>
        </w:rPr>
        <w:t>public interest lies in maintaining the present schedule</w:t>
      </w:r>
      <w:r w:rsidR="00E10E18">
        <w:rPr>
          <w:rFonts w:eastAsia="Times New Roman"/>
          <w:snapToGrid w:val="0"/>
          <w:kern w:val="28"/>
          <w:szCs w:val="22"/>
        </w:rPr>
        <w:t xml:space="preserve"> because the current deadline ensures timely consideration of the merits </w:t>
      </w:r>
      <w:r w:rsidR="00E72427">
        <w:rPr>
          <w:rFonts w:eastAsia="Times New Roman"/>
          <w:snapToGrid w:val="0"/>
          <w:kern w:val="28"/>
          <w:szCs w:val="22"/>
        </w:rPr>
        <w:t xml:space="preserve">of the </w:t>
      </w:r>
      <w:r w:rsidR="00ED35D0">
        <w:rPr>
          <w:rFonts w:eastAsia="Times New Roman"/>
          <w:snapToGrid w:val="0"/>
          <w:kern w:val="28"/>
          <w:szCs w:val="22"/>
        </w:rPr>
        <w:t xml:space="preserve">proposal found in the underlying </w:t>
      </w:r>
      <w:r w:rsidRPr="007A5E28" w:rsidR="00ED35D0">
        <w:rPr>
          <w:rFonts w:eastAsia="Times New Roman"/>
          <w:i/>
          <w:iCs/>
          <w:snapToGrid w:val="0"/>
          <w:kern w:val="28"/>
          <w:szCs w:val="22"/>
        </w:rPr>
        <w:t>Public Notice</w:t>
      </w:r>
      <w:r w:rsidR="00027013">
        <w:rPr>
          <w:rFonts w:eastAsia="Times New Roman"/>
          <w:snapToGrid w:val="0"/>
          <w:kern w:val="28"/>
          <w:szCs w:val="22"/>
        </w:rPr>
        <w:t xml:space="preserve">.  </w:t>
      </w:r>
      <w:r w:rsidRPr="00ED35D0" w:rsidR="00ED35D0">
        <w:rPr>
          <w:rFonts w:eastAsia="Times New Roman"/>
          <w:snapToGrid w:val="0"/>
          <w:kern w:val="28"/>
          <w:szCs w:val="22"/>
        </w:rPr>
        <w:t xml:space="preserve">In the </w:t>
      </w:r>
      <w:r w:rsidRPr="005D4387" w:rsidR="00ED35D0">
        <w:rPr>
          <w:rFonts w:eastAsia="Times New Roman"/>
          <w:i/>
          <w:iCs/>
          <w:snapToGrid w:val="0"/>
          <w:kern w:val="28"/>
          <w:szCs w:val="22"/>
        </w:rPr>
        <w:t>EA Security 2nd R&amp;O and FNPRM</w:t>
      </w:r>
      <w:r w:rsidRPr="0065387D">
        <w:rPr>
          <w:rFonts w:eastAsia="Times New Roman"/>
          <w:snapToGrid w:val="0"/>
          <w:kern w:val="28"/>
          <w:szCs w:val="22"/>
        </w:rPr>
        <w:t>, the Commission noted that, “so as to promote regulatory certainty and the continued confidence of the public in our efforts to secure the communications equipment supply chain, OET and PSHSB should take reasonable steps to conclude these proceedings expeditiously after the end of the relevant comment period.”</w:t>
      </w:r>
      <w:r>
        <w:rPr>
          <w:rFonts w:eastAsia="Times New Roman"/>
          <w:snapToGrid w:val="0"/>
          <w:kern w:val="28"/>
          <w:szCs w:val="22"/>
          <w:vertAlign w:val="superscript"/>
        </w:rPr>
        <w:footnoteReference w:id="18"/>
      </w:r>
    </w:p>
    <w:p w:rsidR="00BD0756" w:rsidRPr="0065387D" w:rsidP="00B76691" w14:paraId="11C89E9B" w14:textId="77777777">
      <w:pPr>
        <w:widowControl w:val="0"/>
        <w:spacing w:after="160"/>
        <w:contextualSpacing/>
        <w:rPr>
          <w:rFonts w:eastAsia="Times New Roman"/>
          <w:snapToGrid w:val="0"/>
          <w:kern w:val="28"/>
          <w:szCs w:val="22"/>
        </w:rPr>
      </w:pPr>
    </w:p>
    <w:p w:rsidR="0065387D" w:rsidP="00C7298F" w14:paraId="0BE9B49E" w14:textId="49FF315E">
      <w:pPr>
        <w:widowControl w:val="0"/>
        <w:spacing w:after="160"/>
        <w:ind w:firstLine="720"/>
        <w:contextualSpacing/>
        <w:rPr>
          <w:rFonts w:eastAsia="Times New Roman"/>
          <w:snapToGrid w:val="0"/>
          <w:kern w:val="28"/>
          <w:szCs w:val="22"/>
        </w:rPr>
      </w:pPr>
      <w:r>
        <w:rPr>
          <w:rFonts w:eastAsia="Times New Roman"/>
          <w:snapToGrid w:val="0"/>
          <w:kern w:val="28"/>
          <w:szCs w:val="22"/>
        </w:rPr>
        <w:t>6</w:t>
      </w:r>
      <w:r w:rsidR="00BD0756">
        <w:rPr>
          <w:rFonts w:eastAsia="Times New Roman"/>
          <w:snapToGrid w:val="0"/>
          <w:kern w:val="28"/>
          <w:szCs w:val="22"/>
        </w:rPr>
        <w:t>.</w:t>
      </w:r>
      <w:r w:rsidR="00BD0756">
        <w:rPr>
          <w:rFonts w:eastAsia="Times New Roman"/>
          <w:snapToGrid w:val="0"/>
          <w:kern w:val="28"/>
          <w:szCs w:val="22"/>
        </w:rPr>
        <w:tab/>
      </w:r>
      <w:r w:rsidR="00DD18FB">
        <w:rPr>
          <w:rFonts w:eastAsia="Times New Roman"/>
          <w:snapToGrid w:val="0"/>
          <w:kern w:val="28"/>
          <w:szCs w:val="22"/>
        </w:rPr>
        <w:t>Based on these considerations, w</w:t>
      </w:r>
      <w:r w:rsidRPr="0065387D">
        <w:rPr>
          <w:rFonts w:eastAsia="Times New Roman"/>
          <w:snapToGrid w:val="0"/>
          <w:kern w:val="28"/>
          <w:szCs w:val="22"/>
        </w:rPr>
        <w:t xml:space="preserve">e find that it is in the public interest to deny </w:t>
      </w:r>
      <w:r w:rsidR="00DC3D19">
        <w:rPr>
          <w:rFonts w:eastAsia="Times New Roman"/>
          <w:snapToGrid w:val="0"/>
          <w:kern w:val="28"/>
          <w:szCs w:val="22"/>
        </w:rPr>
        <w:t xml:space="preserve">all </w:t>
      </w:r>
      <w:r w:rsidR="000A0E85">
        <w:rPr>
          <w:rFonts w:eastAsia="Times New Roman"/>
          <w:snapToGrid w:val="0"/>
          <w:kern w:val="28"/>
          <w:szCs w:val="22"/>
        </w:rPr>
        <w:t xml:space="preserve">three </w:t>
      </w:r>
      <w:r w:rsidR="003A746A">
        <w:rPr>
          <w:rFonts w:eastAsia="Times New Roman"/>
          <w:snapToGrid w:val="0"/>
          <w:kern w:val="28"/>
          <w:szCs w:val="22"/>
        </w:rPr>
        <w:t xml:space="preserve">requests </w:t>
      </w:r>
      <w:r w:rsidR="00685021">
        <w:rPr>
          <w:rFonts w:eastAsia="Times New Roman"/>
          <w:snapToGrid w:val="0"/>
          <w:kern w:val="28"/>
          <w:szCs w:val="22"/>
        </w:rPr>
        <w:t xml:space="preserve">for an extension of time to </w:t>
      </w:r>
      <w:r w:rsidR="006444C3">
        <w:rPr>
          <w:rFonts w:eastAsia="Times New Roman"/>
          <w:snapToGrid w:val="0"/>
          <w:kern w:val="28"/>
          <w:szCs w:val="22"/>
        </w:rPr>
        <w:t xml:space="preserve">submit </w:t>
      </w:r>
      <w:r w:rsidR="00685021">
        <w:rPr>
          <w:rFonts w:eastAsia="Times New Roman"/>
          <w:snapToGrid w:val="0"/>
          <w:kern w:val="28"/>
          <w:szCs w:val="22"/>
        </w:rPr>
        <w:t>public comments</w:t>
      </w:r>
      <w:r w:rsidRPr="0065387D">
        <w:rPr>
          <w:rFonts w:eastAsia="Times New Roman"/>
          <w:snapToGrid w:val="0"/>
          <w:kern w:val="28"/>
          <w:szCs w:val="22"/>
        </w:rPr>
        <w:t xml:space="preserve">.  </w:t>
      </w:r>
      <w:r w:rsidR="0030710D">
        <w:rPr>
          <w:rFonts w:eastAsia="Times New Roman"/>
          <w:snapToGrid w:val="0"/>
          <w:kern w:val="28"/>
          <w:szCs w:val="22"/>
        </w:rPr>
        <w:t>W</w:t>
      </w:r>
      <w:r w:rsidRPr="0065387D">
        <w:rPr>
          <w:rFonts w:eastAsia="Times New Roman"/>
          <w:snapToGrid w:val="0"/>
          <w:kern w:val="28"/>
          <w:szCs w:val="22"/>
        </w:rPr>
        <w:t xml:space="preserve">e </w:t>
      </w:r>
      <w:r w:rsidR="00555930">
        <w:rPr>
          <w:rFonts w:eastAsia="Times New Roman"/>
          <w:snapToGrid w:val="0"/>
          <w:kern w:val="28"/>
          <w:szCs w:val="22"/>
        </w:rPr>
        <w:t xml:space="preserve">conclude </w:t>
      </w:r>
      <w:r w:rsidRPr="0065387D">
        <w:rPr>
          <w:rFonts w:eastAsia="Times New Roman"/>
          <w:snapToGrid w:val="0"/>
          <w:kern w:val="28"/>
          <w:szCs w:val="22"/>
        </w:rPr>
        <w:t xml:space="preserve">that the </w:t>
      </w:r>
      <w:r w:rsidR="001C4FCB">
        <w:rPr>
          <w:rFonts w:eastAsia="Times New Roman"/>
          <w:snapToGrid w:val="0"/>
          <w:kern w:val="28"/>
          <w:szCs w:val="22"/>
        </w:rPr>
        <w:t xml:space="preserve">national security considerations </w:t>
      </w:r>
      <w:r w:rsidR="00FD707B">
        <w:rPr>
          <w:rFonts w:eastAsia="Times New Roman"/>
          <w:snapToGrid w:val="0"/>
          <w:kern w:val="28"/>
          <w:szCs w:val="22"/>
        </w:rPr>
        <w:t xml:space="preserve">undergirding </w:t>
      </w:r>
      <w:r w:rsidRPr="0065387D">
        <w:rPr>
          <w:rFonts w:eastAsia="Times New Roman"/>
          <w:snapToGrid w:val="0"/>
          <w:kern w:val="28"/>
          <w:szCs w:val="22"/>
        </w:rPr>
        <w:t xml:space="preserve">the proposal </w:t>
      </w:r>
      <w:r w:rsidR="00B04BB9">
        <w:rPr>
          <w:rFonts w:eastAsia="Times New Roman"/>
          <w:snapToGrid w:val="0"/>
          <w:kern w:val="28"/>
          <w:szCs w:val="22"/>
        </w:rPr>
        <w:t>require</w:t>
      </w:r>
      <w:r w:rsidRPr="0065387D" w:rsidR="00B04BB9">
        <w:rPr>
          <w:rFonts w:eastAsia="Times New Roman"/>
          <w:snapToGrid w:val="0"/>
          <w:kern w:val="28"/>
          <w:szCs w:val="22"/>
        </w:rPr>
        <w:t xml:space="preserve"> </w:t>
      </w:r>
      <w:r w:rsidRPr="0065387D">
        <w:rPr>
          <w:rFonts w:eastAsia="Times New Roman"/>
          <w:snapToGrid w:val="0"/>
          <w:kern w:val="28"/>
          <w:szCs w:val="22"/>
        </w:rPr>
        <w:t xml:space="preserve">that public comment be provided to the Commission as </w:t>
      </w:r>
      <w:r w:rsidRPr="0065387D">
        <w:rPr>
          <w:rFonts w:eastAsia="Times New Roman"/>
          <w:snapToGrid w:val="0"/>
          <w:kern w:val="28"/>
          <w:szCs w:val="22"/>
        </w:rPr>
        <w:t xml:space="preserve">soon as possible.  </w:t>
      </w:r>
      <w:r w:rsidRPr="0065387D" w:rsidR="007A3012">
        <w:rPr>
          <w:rFonts w:eastAsia="Times New Roman"/>
          <w:snapToGrid w:val="0"/>
          <w:kern w:val="28"/>
          <w:szCs w:val="22"/>
        </w:rPr>
        <w:t>Therefore</w:t>
      </w:r>
      <w:r w:rsidRPr="0065387D">
        <w:rPr>
          <w:rFonts w:eastAsia="Times New Roman"/>
          <w:snapToGrid w:val="0"/>
          <w:kern w:val="28"/>
          <w:szCs w:val="22"/>
        </w:rPr>
        <w:t>, we find it is in the public interest to deny the Petitioners</w:t>
      </w:r>
      <w:r w:rsidR="00F30262">
        <w:rPr>
          <w:rFonts w:eastAsia="Times New Roman"/>
          <w:snapToGrid w:val="0"/>
          <w:kern w:val="28"/>
          <w:szCs w:val="22"/>
        </w:rPr>
        <w:t>’</w:t>
      </w:r>
      <w:r w:rsidRPr="0065387D">
        <w:rPr>
          <w:rFonts w:eastAsia="Times New Roman"/>
          <w:snapToGrid w:val="0"/>
          <w:kern w:val="28"/>
          <w:szCs w:val="22"/>
        </w:rPr>
        <w:t xml:space="preserve"> </w:t>
      </w:r>
      <w:r w:rsidR="004714C1">
        <w:rPr>
          <w:rFonts w:eastAsia="Times New Roman"/>
          <w:snapToGrid w:val="0"/>
          <w:kern w:val="28"/>
          <w:szCs w:val="22"/>
        </w:rPr>
        <w:t>requests</w:t>
      </w:r>
      <w:r w:rsidR="00E70D28">
        <w:rPr>
          <w:rFonts w:eastAsia="Times New Roman"/>
          <w:i/>
          <w:iCs/>
          <w:snapToGrid w:val="0"/>
          <w:kern w:val="28"/>
          <w:szCs w:val="22"/>
        </w:rPr>
        <w:t xml:space="preserve">.  </w:t>
      </w:r>
      <w:r w:rsidR="004D1254">
        <w:rPr>
          <w:rFonts w:eastAsia="Times New Roman"/>
          <w:snapToGrid w:val="0"/>
          <w:kern w:val="28"/>
          <w:szCs w:val="22"/>
        </w:rPr>
        <w:t>Public comment</w:t>
      </w:r>
      <w:r w:rsidR="00C0118B">
        <w:rPr>
          <w:rFonts w:eastAsia="Times New Roman"/>
          <w:snapToGrid w:val="0"/>
          <w:kern w:val="28"/>
          <w:szCs w:val="22"/>
        </w:rPr>
        <w:t xml:space="preserve"> remains due </w:t>
      </w:r>
      <w:r w:rsidRPr="0065387D">
        <w:rPr>
          <w:rFonts w:eastAsia="Times New Roman"/>
          <w:snapToGrid w:val="0"/>
          <w:kern w:val="28"/>
          <w:szCs w:val="22"/>
        </w:rPr>
        <w:t>by the current deadline on or before September 2, 2026.</w:t>
      </w:r>
    </w:p>
    <w:p w:rsidR="00BD0756" w:rsidRPr="0065387D" w:rsidP="00B76691" w14:paraId="384D4031" w14:textId="77777777">
      <w:pPr>
        <w:widowControl w:val="0"/>
        <w:spacing w:after="160"/>
        <w:contextualSpacing/>
        <w:rPr>
          <w:rFonts w:eastAsia="Times New Roman"/>
          <w:snapToGrid w:val="0"/>
          <w:kern w:val="28"/>
          <w:szCs w:val="22"/>
        </w:rPr>
      </w:pPr>
    </w:p>
    <w:p w:rsidR="0065387D" w:rsidRPr="0065387D" w:rsidP="00C7298F" w14:paraId="1FC2CBC5" w14:textId="24318ACA">
      <w:pPr>
        <w:widowControl w:val="0"/>
        <w:spacing w:after="160"/>
        <w:ind w:firstLine="720"/>
        <w:contextualSpacing/>
        <w:rPr>
          <w:rFonts w:eastAsia="Times New Roman"/>
          <w:snapToGrid w:val="0"/>
          <w:kern w:val="28"/>
          <w:szCs w:val="22"/>
        </w:rPr>
      </w:pPr>
      <w:r>
        <w:rPr>
          <w:rFonts w:eastAsia="Times New Roman"/>
          <w:snapToGrid w:val="0"/>
          <w:kern w:val="28"/>
          <w:szCs w:val="22"/>
        </w:rPr>
        <w:t>7</w:t>
      </w:r>
      <w:r w:rsidR="00BD0756">
        <w:rPr>
          <w:rFonts w:eastAsia="Times New Roman"/>
          <w:snapToGrid w:val="0"/>
          <w:kern w:val="28"/>
          <w:szCs w:val="22"/>
        </w:rPr>
        <w:t>.</w:t>
      </w:r>
      <w:r w:rsidR="00BD0756">
        <w:rPr>
          <w:rFonts w:eastAsia="Times New Roman"/>
          <w:snapToGrid w:val="0"/>
          <w:kern w:val="28"/>
          <w:szCs w:val="22"/>
        </w:rPr>
        <w:tab/>
      </w:r>
      <w:r w:rsidRPr="0065387D">
        <w:rPr>
          <w:rFonts w:eastAsia="Times New Roman"/>
          <w:snapToGrid w:val="0"/>
          <w:kern w:val="28"/>
          <w:szCs w:val="22"/>
        </w:rPr>
        <w:t xml:space="preserve">For further information, please contact Greg Haledjian, Legal Advisor, Operations and Emergency Management Division, Public Safety and Homeland Security Bureau, at 202-418-7440 or </w:t>
      </w:r>
      <w:hyperlink r:id="rId5" w:history="1">
        <w:r w:rsidRPr="0065387D">
          <w:rPr>
            <w:rFonts w:eastAsia="Times New Roman"/>
            <w:snapToGrid w:val="0"/>
            <w:color w:val="0000FF"/>
            <w:kern w:val="28"/>
            <w:szCs w:val="22"/>
            <w:u w:val="single"/>
          </w:rPr>
          <w:t>Gregory.Haledjian@fcc.gov</w:t>
        </w:r>
      </w:hyperlink>
      <w:r w:rsidRPr="0065387D">
        <w:rPr>
          <w:rFonts w:eastAsia="Times New Roman"/>
          <w:snapToGrid w:val="0"/>
          <w:kern w:val="28"/>
          <w:szCs w:val="22"/>
        </w:rPr>
        <w:t>.</w:t>
      </w:r>
    </w:p>
    <w:p w:rsidR="0065387D" w:rsidP="00C7298F" w14:paraId="754D0EE3" w14:textId="77777777">
      <w:pPr>
        <w:spacing w:after="160"/>
        <w:contextualSpacing/>
      </w:pPr>
    </w:p>
    <w:p w:rsidR="0065387D" w:rsidP="00C7298F" w14:paraId="4BC2A7DB" w14:textId="5B15F013">
      <w:pPr>
        <w:spacing w:after="160"/>
        <w:ind w:firstLine="720"/>
        <w:contextualSpacing/>
      </w:pPr>
      <w:r>
        <w:t>8</w:t>
      </w:r>
      <w:r w:rsidRPr="00341458" w:rsidR="00C31776">
        <w:t>.</w:t>
      </w:r>
      <w:r w:rsidRPr="00341458" w:rsidR="00C31776">
        <w:tab/>
      </w:r>
      <w:r w:rsidRPr="00341458">
        <w:t>Accordingly, IT IS ORDERED that, pursuant to sections 4(i), 4(j), 5(c) and 303(r) of the Communications Act of 1934, as amended, 47 U.S.C. §§ 154(i), 154(j), 155(c) and 303(r), and sections 0.</w:t>
      </w:r>
      <w:r w:rsidRPr="00341458" w:rsidR="00534675">
        <w:t>1</w:t>
      </w:r>
      <w:r w:rsidRPr="00341458">
        <w:t>91</w:t>
      </w:r>
      <w:r w:rsidR="008D6BAB">
        <w:t>,</w:t>
      </w:r>
      <w:r w:rsidRPr="00341458">
        <w:t xml:space="preserve"> 1.46</w:t>
      </w:r>
      <w:r w:rsidR="007C2D25">
        <w:t>, and 2.939</w:t>
      </w:r>
      <w:r w:rsidRPr="00341458">
        <w:t xml:space="preserve"> of the Commission’s rules, 47 C.F.R. §§ 0.</w:t>
      </w:r>
      <w:r w:rsidRPr="00341458" w:rsidR="00704AA9">
        <w:t>1</w:t>
      </w:r>
      <w:r w:rsidRPr="00341458">
        <w:t>91</w:t>
      </w:r>
      <w:r w:rsidR="0062508F">
        <w:t>,</w:t>
      </w:r>
      <w:r w:rsidRPr="00341458">
        <w:t xml:space="preserve"> 1.46,</w:t>
      </w:r>
      <w:r w:rsidR="00610114">
        <w:t xml:space="preserve"> </w:t>
      </w:r>
      <w:r w:rsidR="00A4008A">
        <w:t xml:space="preserve">and </w:t>
      </w:r>
      <w:r w:rsidR="00610114">
        <w:t>2.939</w:t>
      </w:r>
      <w:r w:rsidR="00A4008A">
        <w:t>,</w:t>
      </w:r>
      <w:r w:rsidRPr="00341458" w:rsidR="00610114">
        <w:t xml:space="preserve"> </w:t>
      </w:r>
      <w:r w:rsidRPr="00341458">
        <w:t>the</w:t>
      </w:r>
      <w:r w:rsidR="007C7477">
        <w:t xml:space="preserve"> requests</w:t>
      </w:r>
      <w:r w:rsidRPr="00341458">
        <w:t xml:space="preserve"> </w:t>
      </w:r>
      <w:r w:rsidRPr="00387933" w:rsidR="00387933">
        <w:t xml:space="preserve">for an extension of time to submit public comment </w:t>
      </w:r>
      <w:r w:rsidRPr="00341458">
        <w:t xml:space="preserve">filed by </w:t>
      </w:r>
      <w:r w:rsidRPr="00341458" w:rsidR="009548F8">
        <w:t>American Fuel &amp; Petrochemical Manufacturers</w:t>
      </w:r>
      <w:r w:rsidR="00CC6FE9">
        <w:t xml:space="preserve">, </w:t>
      </w:r>
      <w:r w:rsidR="00956216">
        <w:t>by DRONEREPONDERS</w:t>
      </w:r>
      <w:r w:rsidR="00CC6FE9">
        <w:t>, and by Commercial Drone Alliance ARE</w:t>
      </w:r>
      <w:r w:rsidRPr="00341458" w:rsidR="009548F8">
        <w:t xml:space="preserve"> </w:t>
      </w:r>
      <w:r w:rsidRPr="00341458">
        <w:t>DENIED.</w:t>
      </w:r>
    </w:p>
    <w:p w:rsidR="0065387D" w:rsidP="00C7298F" w14:paraId="0F0DF46F" w14:textId="77777777">
      <w:pPr>
        <w:spacing w:after="160"/>
        <w:contextualSpacing/>
      </w:pPr>
    </w:p>
    <w:p w:rsidR="0065387D" w:rsidP="00C7298F" w14:paraId="05AE5C3F" w14:textId="4EDFB5E7">
      <w:pPr>
        <w:spacing w:after="160"/>
        <w:ind w:firstLine="720"/>
        <w:contextualSpacing/>
      </w:pPr>
      <w:r>
        <w:t>9</w:t>
      </w:r>
      <w:r w:rsidR="00C31776">
        <w:t>.</w:t>
      </w:r>
      <w:r w:rsidR="00C31776">
        <w:tab/>
      </w:r>
      <w:r>
        <w:t>IT IS FURTHER ORDERED that, pursuant to section 1.102(b)(1) of the Commission’s rules, 47 C.F.R. § 1.102(b)(1), this Order SHALL BE EFFECTIVE upon release.</w:t>
      </w:r>
    </w:p>
    <w:p w:rsidR="00D90F2F" w:rsidP="00C7298F" w14:paraId="07BBEFFF" w14:textId="77777777">
      <w:pPr>
        <w:keepNext/>
        <w:spacing w:after="160"/>
        <w:rPr>
          <w:szCs w:val="22"/>
        </w:rPr>
      </w:pPr>
    </w:p>
    <w:p w:rsidR="0065387D" w:rsidP="00C7298F" w14:paraId="30A38A1C" w14:textId="77777777">
      <w:pPr>
        <w:pStyle w:val="Signature-AgencyName"/>
        <w:spacing w:after="160"/>
      </w:pPr>
      <w:r>
        <w:t>PUBLICS SAFETY AND HOMELEAND SECURITY BUREAU</w:t>
      </w:r>
    </w:p>
    <w:p w:rsidR="0065387D" w:rsidP="00C7298F" w14:paraId="5BDFB44B" w14:textId="77777777">
      <w:pPr>
        <w:pStyle w:val="Signature-AgencyName"/>
        <w:spacing w:after="160"/>
        <w:contextualSpacing/>
      </w:pPr>
    </w:p>
    <w:p w:rsidR="0065387D" w:rsidP="00C7298F" w14:paraId="204F23CD" w14:textId="77777777">
      <w:pPr>
        <w:pStyle w:val="Signature-AgencyName"/>
        <w:spacing w:after="160"/>
        <w:contextualSpacing/>
      </w:pPr>
    </w:p>
    <w:p w:rsidR="0065387D" w:rsidP="00C7298F" w14:paraId="5411D31A" w14:textId="77777777">
      <w:pPr>
        <w:pStyle w:val="Signature-AgencyName"/>
        <w:spacing w:after="160"/>
        <w:contextualSpacing/>
      </w:pPr>
    </w:p>
    <w:p w:rsidR="0065387D" w:rsidP="00C7298F" w14:paraId="07E4A6D0" w14:textId="77777777">
      <w:pPr>
        <w:pStyle w:val="Signature-AgencyName"/>
        <w:spacing w:after="160"/>
        <w:contextualSpacing/>
      </w:pPr>
    </w:p>
    <w:p w:rsidR="00130DA7" w:rsidP="00C7298F" w14:paraId="01979B38" w14:textId="385186F4">
      <w:pPr>
        <w:pStyle w:val="Signature-AgencyName"/>
        <w:spacing w:after="160"/>
      </w:pPr>
      <w:r w:rsidRPr="00AC67BE">
        <w:t>Zenji Nakazawa</w:t>
      </w:r>
      <w:r w:rsidR="004A6B17">
        <w:br/>
      </w:r>
      <w:r>
        <w:t>Chief</w:t>
      </w:r>
      <w:bookmarkEnd w:id="0"/>
    </w:p>
    <w:p w:rsidR="009548F8" w:rsidP="00C7298F" w14:paraId="4EF152D0" w14:textId="77777777">
      <w:pPr>
        <w:pStyle w:val="Signature-AgencyName"/>
        <w:spacing w:after="160"/>
      </w:pPr>
    </w:p>
    <w:p w:rsidR="0065387D" w:rsidP="00C7298F" w14:paraId="16702094" w14:textId="1B02C64D">
      <w:pPr>
        <w:pStyle w:val="Signature-AgencyName"/>
        <w:spacing w:after="160"/>
      </w:pPr>
      <w:r>
        <w:t>OFFICE OF ENGINEERING &amp; TECHNOLOGY</w:t>
      </w:r>
    </w:p>
    <w:p w:rsidR="0065387D" w:rsidP="00C7298F" w14:paraId="120EB1FC" w14:textId="77777777">
      <w:pPr>
        <w:pStyle w:val="Signature-AgencyName"/>
        <w:spacing w:after="160"/>
        <w:contextualSpacing/>
      </w:pPr>
    </w:p>
    <w:p w:rsidR="0065387D" w:rsidP="00C7298F" w14:paraId="0F1D8D89" w14:textId="77777777">
      <w:pPr>
        <w:pStyle w:val="Signature-AgencyName"/>
        <w:spacing w:after="160"/>
        <w:contextualSpacing/>
      </w:pPr>
    </w:p>
    <w:p w:rsidR="009548F8" w:rsidP="00C7298F" w14:paraId="00C87F05" w14:textId="77777777">
      <w:pPr>
        <w:pStyle w:val="Signature-AgencyName"/>
        <w:spacing w:after="160"/>
        <w:contextualSpacing/>
      </w:pPr>
    </w:p>
    <w:p w:rsidR="0065387D" w:rsidP="00C7298F" w14:paraId="496DAD15" w14:textId="77777777">
      <w:pPr>
        <w:pStyle w:val="Signature-AgencyName"/>
        <w:spacing w:after="160"/>
        <w:contextualSpacing/>
      </w:pPr>
    </w:p>
    <w:p w:rsidR="0065387D" w:rsidP="00C7298F" w14:paraId="01A150A7" w14:textId="7E2E7560">
      <w:pPr>
        <w:pStyle w:val="Signature-AgencyName"/>
        <w:spacing w:after="160"/>
        <w:contextualSpacing/>
      </w:pPr>
      <w:r>
        <w:t>Andrew</w:t>
      </w:r>
      <w:r w:rsidR="00623FC0">
        <w:t xml:space="preserve"> C.</w:t>
      </w:r>
      <w:r>
        <w:t xml:space="preserve"> Hendrickson</w:t>
      </w:r>
    </w:p>
    <w:p w:rsidR="00730CC9" w:rsidRPr="002F4560" w:rsidP="00C7298F" w14:paraId="5A94B97D" w14:textId="677B1A53">
      <w:pPr>
        <w:pStyle w:val="Signature-AgencyName"/>
        <w:spacing w:after="160"/>
        <w:contextualSpacing/>
      </w:pPr>
      <w:r>
        <w:t>Chief</w:t>
      </w:r>
    </w:p>
    <w:sectPr w:rsidSect="00391B82">
      <w:headerReference w:type="even" r:id="rId6"/>
      <w:headerReference w:type="default" r:id="rId7"/>
      <w:footerReference w:type="even" r:id="rId8"/>
      <w:footerReference w:type="default" r:id="rId9"/>
      <w:headerReference w:type="first" r:id="rId10"/>
      <w:footerReference w:type="first" r:id="rId11"/>
      <w:footnotePr>
        <w:numRestart w:val="eachSect"/>
      </w:footnotePr>
      <w:endnotePr>
        <w:numFmt w:val="decimal"/>
      </w:endnotePr>
      <w:pgSz w:w="12240" w:h="15840" w:code="1"/>
      <w:pgMar w:top="1440" w:right="1440" w:bottom="72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5519" w14:paraId="5A61B28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2C8E" w:rsidP="00595616" w14:paraId="66A8B8E3" w14:textId="77777777">
    <w:pPr>
      <w:pStyle w:val="Foo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5519" w14:paraId="3779876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05D19" w14:paraId="64CE784F" w14:textId="77777777">
      <w:r>
        <w:separator/>
      </w:r>
    </w:p>
  </w:footnote>
  <w:footnote w:type="continuationSeparator" w:id="1">
    <w:p w:rsidR="00E05D19" w14:paraId="3D32222C" w14:textId="77777777">
      <w:r>
        <w:continuationSeparator/>
      </w:r>
    </w:p>
  </w:footnote>
  <w:footnote w:id="2">
    <w:p w:rsidR="0065387D" w:rsidP="0065387D" w14:paraId="75888EB0" w14:textId="29D96AD2">
      <w:pPr>
        <w:pStyle w:val="FootnoteText"/>
      </w:pPr>
      <w:r>
        <w:rPr>
          <w:rStyle w:val="FootnoteReference"/>
        </w:rPr>
        <w:footnoteRef/>
      </w:r>
      <w:r>
        <w:t xml:space="preserve"> </w:t>
      </w:r>
      <w:r w:rsidRPr="0032190E">
        <w:t>American Fuel &amp; Petrochemical Manufacturers</w:t>
      </w:r>
      <w:r>
        <w:t xml:space="preserve">, Request for an Extension the Comment Filing Period, PS Docket No. 26-189, (filed Aug. 4, 2026), </w:t>
      </w:r>
      <w:hyperlink r:id="rId1" w:history="1">
        <w:r w:rsidRPr="00C565FA">
          <w:rPr>
            <w:rStyle w:val="Hyperlink"/>
          </w:rPr>
          <w:t>https://www.fcc.gov/ecfs/search/search-filings/filing/26110069475</w:t>
        </w:r>
      </w:hyperlink>
      <w:r>
        <w:t xml:space="preserve"> (</w:t>
      </w:r>
      <w:r w:rsidRPr="0064028C" w:rsidR="0064028C">
        <w:rPr>
          <w:i/>
          <w:iCs/>
        </w:rPr>
        <w:t xml:space="preserve">AFPM </w:t>
      </w:r>
      <w:r w:rsidRPr="000A0567">
        <w:rPr>
          <w:i/>
          <w:iCs/>
        </w:rPr>
        <w:t>Request</w:t>
      </w:r>
      <w:r>
        <w:t>).</w:t>
      </w:r>
    </w:p>
  </w:footnote>
  <w:footnote w:id="3">
    <w:p w:rsidR="003567D6" w14:paraId="707DFA2F" w14:textId="4B0CA29B">
      <w:pPr>
        <w:pStyle w:val="FootnoteText"/>
      </w:pPr>
      <w:r>
        <w:rPr>
          <w:rStyle w:val="FootnoteReference"/>
        </w:rPr>
        <w:footnoteRef/>
      </w:r>
      <w:r>
        <w:t xml:space="preserve"> DRONERESPONDERS, </w:t>
      </w:r>
      <w:r w:rsidR="0003377A">
        <w:t xml:space="preserve">Motion for Extension of Time to File Comments, PS Docket No. 26-189, (filed Aug. 24, 2026), </w:t>
      </w:r>
      <w:hyperlink r:id="rId2" w:history="1">
        <w:r w:rsidRPr="00C53968" w:rsidR="00C53968">
          <w:rPr>
            <w:rStyle w:val="Hyperlink"/>
          </w:rPr>
          <w:t>https://www.fcc.gov/ecfs/document/26110072920/1</w:t>
        </w:r>
      </w:hyperlink>
      <w:r w:rsidRPr="00C53968" w:rsidR="00C53968">
        <w:t xml:space="preserve"> </w:t>
      </w:r>
      <w:r w:rsidR="001728C6">
        <w:t>(</w:t>
      </w:r>
      <w:r w:rsidRPr="001728C6" w:rsidR="001728C6">
        <w:rPr>
          <w:i/>
          <w:iCs/>
        </w:rPr>
        <w:t>DR Motion</w:t>
      </w:r>
      <w:r w:rsidR="001728C6">
        <w:t>).</w:t>
      </w:r>
    </w:p>
  </w:footnote>
  <w:footnote w:id="4">
    <w:p w:rsidR="00BB39F1" w14:paraId="5128D946" w14:textId="22938449">
      <w:pPr>
        <w:pStyle w:val="FootnoteText"/>
      </w:pPr>
      <w:r>
        <w:rPr>
          <w:rStyle w:val="FootnoteReference"/>
        </w:rPr>
        <w:footnoteRef/>
      </w:r>
      <w:r>
        <w:t xml:space="preserve"> Commercial Drone Alliance, Motion for Extension of Time to File Comments, PS Docket No. 26-189, (filed, Aug. 26, 2026), </w:t>
      </w:r>
      <w:hyperlink r:id="rId3" w:history="1">
        <w:r w:rsidRPr="00EB31E7">
          <w:rPr>
            <w:rStyle w:val="Hyperlink"/>
          </w:rPr>
          <w:t>https://www.fcc.gov/ecfs/document/26110073332/1</w:t>
        </w:r>
      </w:hyperlink>
      <w:r>
        <w:t xml:space="preserve"> (</w:t>
      </w:r>
      <w:r w:rsidRPr="003B1937">
        <w:rPr>
          <w:i/>
          <w:iCs/>
        </w:rPr>
        <w:t>CDA Motion</w:t>
      </w:r>
      <w:r>
        <w:t>).</w:t>
      </w:r>
    </w:p>
  </w:footnote>
  <w:footnote w:id="5">
    <w:p w:rsidR="0065387D" w:rsidP="0065387D" w14:paraId="12D6E6A2" w14:textId="77777777">
      <w:pPr>
        <w:pStyle w:val="FootnoteText"/>
      </w:pPr>
      <w:r>
        <w:rPr>
          <w:rStyle w:val="FootnoteReference"/>
        </w:rPr>
        <w:footnoteRef/>
      </w:r>
      <w:r>
        <w:t xml:space="preserve"> </w:t>
      </w:r>
      <w:r>
        <w:rPr>
          <w:i/>
          <w:iCs/>
        </w:rPr>
        <w:t>FCC Seeks Comment on Prohibiting the Importation and Marketing of Certain Foreign-Produced Military Uncrewed Aircraft Systems (UAS) and UAS Critical Components for Non-U.S. Government, Including Those with Swarming Capabilities</w:t>
      </w:r>
      <w:r>
        <w:t>, Public Notice, DA 26-758, PS Docket No. 26-189, 5-6 (PSHSB/OET July 21, 2026), 91 Fed. Reg. 48870 (Aug. 3, 2026).</w:t>
      </w:r>
    </w:p>
  </w:footnote>
  <w:footnote w:id="6">
    <w:p w:rsidR="0065387D" w:rsidRPr="00F55B6D" w:rsidP="0065387D" w14:paraId="595A8F85" w14:textId="724852C7">
      <w:pPr>
        <w:pStyle w:val="FootnoteText"/>
      </w:pPr>
      <w:r>
        <w:rPr>
          <w:rStyle w:val="FootnoteReference"/>
        </w:rPr>
        <w:footnoteRef/>
      </w:r>
      <w:r>
        <w:t xml:space="preserve"> </w:t>
      </w:r>
      <w:r>
        <w:rPr>
          <w:i/>
          <w:iCs/>
        </w:rPr>
        <w:t>Id</w:t>
      </w:r>
      <w:r w:rsidRPr="00004186" w:rsidR="00C33650">
        <w:t>.</w:t>
      </w:r>
      <w:r w:rsidR="00465FB0">
        <w:t>;</w:t>
      </w:r>
      <w:r w:rsidR="00F55B6D">
        <w:t xml:space="preserve"> </w:t>
      </w:r>
      <w:r w:rsidRPr="00D82B6B" w:rsidR="00F55B6D">
        <w:rPr>
          <w:i/>
          <w:iCs/>
        </w:rPr>
        <w:t>see also</w:t>
      </w:r>
      <w:r w:rsidR="00F55B6D">
        <w:t xml:space="preserve"> 47 CFR</w:t>
      </w:r>
      <w:r w:rsidR="00885B3D">
        <w:t xml:space="preserve"> </w:t>
      </w:r>
      <w:r w:rsidR="006E781D">
        <w:t xml:space="preserve">§ </w:t>
      </w:r>
      <w:r w:rsidR="002031F3">
        <w:t>2.939(e)(</w:t>
      </w:r>
      <w:r w:rsidR="00617D36">
        <w:t>3)</w:t>
      </w:r>
      <w:r w:rsidR="0072553B">
        <w:t>.</w:t>
      </w:r>
    </w:p>
  </w:footnote>
  <w:footnote w:id="7">
    <w:p w:rsidR="0065387D" w:rsidP="0065387D" w14:paraId="0240C3C7" w14:textId="718BFE11">
      <w:pPr>
        <w:pStyle w:val="FootnoteText"/>
      </w:pPr>
      <w:r>
        <w:rPr>
          <w:rStyle w:val="FootnoteReference"/>
        </w:rPr>
        <w:footnoteRef/>
      </w:r>
      <w:r>
        <w:t xml:space="preserve"> </w:t>
      </w:r>
      <w:r w:rsidRPr="00CD733C" w:rsidR="00CD733C">
        <w:rPr>
          <w:i/>
          <w:iCs/>
        </w:rPr>
        <w:t xml:space="preserve">AFPM </w:t>
      </w:r>
      <w:r w:rsidRPr="00CD733C">
        <w:rPr>
          <w:i/>
          <w:iCs/>
        </w:rPr>
        <w:t>Request</w:t>
      </w:r>
      <w:r>
        <w:t xml:space="preserve"> at 2.</w:t>
      </w:r>
    </w:p>
  </w:footnote>
  <w:footnote w:id="8">
    <w:p w:rsidR="0065387D" w:rsidP="0065387D" w14:paraId="09A35056" w14:textId="77777777">
      <w:pPr>
        <w:pStyle w:val="FootnoteText"/>
      </w:pPr>
      <w:r>
        <w:rPr>
          <w:rStyle w:val="FootnoteReference"/>
        </w:rPr>
        <w:footnoteRef/>
      </w:r>
      <w:r>
        <w:t xml:space="preserve"> </w:t>
      </w:r>
      <w:r w:rsidRPr="00F600CA">
        <w:rPr>
          <w:i/>
          <w:iCs/>
        </w:rPr>
        <w:t>Id</w:t>
      </w:r>
      <w:r>
        <w:t>.</w:t>
      </w:r>
    </w:p>
  </w:footnote>
  <w:footnote w:id="9">
    <w:p w:rsidR="0065387D" w:rsidP="0065387D" w14:paraId="594D98B5" w14:textId="77777777">
      <w:pPr>
        <w:pStyle w:val="FootnoteText"/>
      </w:pPr>
      <w:r>
        <w:rPr>
          <w:rStyle w:val="FootnoteReference"/>
        </w:rPr>
        <w:footnoteRef/>
      </w:r>
      <w:r>
        <w:t xml:space="preserve"> </w:t>
      </w:r>
      <w:r w:rsidRPr="00F600CA">
        <w:rPr>
          <w:i/>
          <w:iCs/>
        </w:rPr>
        <w:t>Id</w:t>
      </w:r>
      <w:r>
        <w:t>.</w:t>
      </w:r>
    </w:p>
  </w:footnote>
  <w:footnote w:id="10">
    <w:p w:rsidR="0065387D" w:rsidP="0065387D" w14:paraId="10E841B2" w14:textId="77777777">
      <w:pPr>
        <w:pStyle w:val="FootnoteText"/>
      </w:pPr>
      <w:r>
        <w:rPr>
          <w:rStyle w:val="FootnoteReference"/>
        </w:rPr>
        <w:footnoteRef/>
      </w:r>
      <w:r>
        <w:t xml:space="preserve"> </w:t>
      </w:r>
      <w:r w:rsidRPr="00F600CA">
        <w:rPr>
          <w:i/>
          <w:iCs/>
        </w:rPr>
        <w:t>Id</w:t>
      </w:r>
      <w:r>
        <w:t>.</w:t>
      </w:r>
    </w:p>
  </w:footnote>
  <w:footnote w:id="11">
    <w:p w:rsidR="00D21152" w14:paraId="3600576E" w14:textId="088DBAF7">
      <w:pPr>
        <w:pStyle w:val="FootnoteText"/>
      </w:pPr>
      <w:r>
        <w:rPr>
          <w:rStyle w:val="FootnoteReference"/>
        </w:rPr>
        <w:footnoteRef/>
      </w:r>
      <w:r>
        <w:t xml:space="preserve"> </w:t>
      </w:r>
      <w:r w:rsidRPr="005E274D">
        <w:rPr>
          <w:i/>
          <w:iCs/>
        </w:rPr>
        <w:t xml:space="preserve">DR </w:t>
      </w:r>
      <w:r w:rsidRPr="005E274D" w:rsidR="004124D9">
        <w:rPr>
          <w:i/>
          <w:iCs/>
        </w:rPr>
        <w:t>Motion</w:t>
      </w:r>
      <w:r w:rsidR="004124D9">
        <w:t xml:space="preserve"> at 1.</w:t>
      </w:r>
    </w:p>
  </w:footnote>
  <w:footnote w:id="12">
    <w:p w:rsidR="005E274D" w14:paraId="3B6090DC" w14:textId="104F3FFB">
      <w:pPr>
        <w:pStyle w:val="FootnoteText"/>
      </w:pPr>
      <w:r>
        <w:rPr>
          <w:rStyle w:val="FootnoteReference"/>
        </w:rPr>
        <w:footnoteRef/>
      </w:r>
      <w:r>
        <w:t xml:space="preserve"> </w:t>
      </w:r>
      <w:r w:rsidRPr="005E274D">
        <w:rPr>
          <w:i/>
          <w:iCs/>
        </w:rPr>
        <w:t>Id</w:t>
      </w:r>
      <w:r>
        <w:t>.</w:t>
      </w:r>
    </w:p>
  </w:footnote>
  <w:footnote w:id="13">
    <w:p w:rsidR="00E77C66" w14:paraId="270E36F6" w14:textId="79CCC746">
      <w:pPr>
        <w:pStyle w:val="FootnoteText"/>
      </w:pPr>
      <w:r>
        <w:rPr>
          <w:rStyle w:val="FootnoteReference"/>
        </w:rPr>
        <w:footnoteRef/>
      </w:r>
      <w:r>
        <w:t xml:space="preserve"> </w:t>
      </w:r>
      <w:r w:rsidRPr="00E77C66">
        <w:rPr>
          <w:i/>
          <w:iCs/>
        </w:rPr>
        <w:t xml:space="preserve">Id </w:t>
      </w:r>
      <w:r>
        <w:t>at 2.</w:t>
      </w:r>
    </w:p>
  </w:footnote>
  <w:footnote w:id="14">
    <w:p w:rsidR="000B207A" w14:paraId="3DF0BADD" w14:textId="37110F0A">
      <w:pPr>
        <w:pStyle w:val="FootnoteText"/>
      </w:pPr>
      <w:r>
        <w:rPr>
          <w:rStyle w:val="FootnoteReference"/>
        </w:rPr>
        <w:footnoteRef/>
      </w:r>
      <w:r>
        <w:t xml:space="preserve"> </w:t>
      </w:r>
      <w:r w:rsidRPr="000B207A">
        <w:rPr>
          <w:i/>
          <w:iCs/>
        </w:rPr>
        <w:t>Id</w:t>
      </w:r>
      <w:r>
        <w:t xml:space="preserve"> at 2-3.</w:t>
      </w:r>
    </w:p>
  </w:footnote>
  <w:footnote w:id="15">
    <w:p w:rsidR="00B20DE0" w:rsidRPr="003C5DB6" w14:paraId="6E694777" w14:textId="55DC64E8">
      <w:pPr>
        <w:pStyle w:val="FootnoteText"/>
        <w:rPr>
          <w:i/>
          <w:iCs/>
        </w:rPr>
      </w:pPr>
      <w:r>
        <w:rPr>
          <w:rStyle w:val="FootnoteReference"/>
        </w:rPr>
        <w:footnoteRef/>
      </w:r>
      <w:r>
        <w:t xml:space="preserve"> </w:t>
      </w:r>
      <w:r w:rsidRPr="00B20DE0">
        <w:rPr>
          <w:i/>
          <w:iCs/>
        </w:rPr>
        <w:t>Id</w:t>
      </w:r>
      <w:r>
        <w:t xml:space="preserve"> at 3</w:t>
      </w:r>
      <w:r w:rsidR="00A81FCC">
        <w:t>.</w:t>
      </w:r>
    </w:p>
  </w:footnote>
  <w:footnote w:id="16">
    <w:p w:rsidR="00FC7594" w:rsidRPr="001D6B73" w14:paraId="7546CB63" w14:textId="4887B89F">
      <w:pPr>
        <w:pStyle w:val="FootnoteText"/>
      </w:pPr>
      <w:r>
        <w:rPr>
          <w:rStyle w:val="FootnoteReference"/>
        </w:rPr>
        <w:footnoteRef/>
      </w:r>
      <w:r>
        <w:t xml:space="preserve"> </w:t>
      </w:r>
      <w:r w:rsidR="00E957A3">
        <w:t>CDA raised four arguments in their filing</w:t>
      </w:r>
      <w:r w:rsidR="008E1AB0">
        <w:t xml:space="preserve">, which largely echo arguments raised by </w:t>
      </w:r>
      <w:r w:rsidR="007235F7">
        <w:t>AFPM and DR</w:t>
      </w:r>
      <w:r w:rsidR="00E957A3">
        <w:t xml:space="preserve">: </w:t>
      </w:r>
      <w:r w:rsidR="00A954B6">
        <w:t xml:space="preserve">1) </w:t>
      </w:r>
      <w:r w:rsidR="00A34B5C">
        <w:t>t</w:t>
      </w:r>
      <w:r w:rsidR="00B427C1">
        <w:t xml:space="preserve">he proposed extension would allow affected parties to address the Commission’s proposals with specificity; 2) </w:t>
      </w:r>
      <w:r w:rsidR="008E1AB0">
        <w:t>m</w:t>
      </w:r>
      <w:r w:rsidR="00674480">
        <w:t>ore time w</w:t>
      </w:r>
      <w:r w:rsidR="008629CD">
        <w:t>ould</w:t>
      </w:r>
      <w:r w:rsidR="00674480">
        <w:t xml:space="preserve"> hel</w:t>
      </w:r>
      <w:r w:rsidR="002822F0">
        <w:t>p to ensure that the Commission receives practical input from all affected parties</w:t>
      </w:r>
      <w:r w:rsidR="00407CB4">
        <w:t xml:space="preserve">; </w:t>
      </w:r>
      <w:r w:rsidR="000A05C3">
        <w:t xml:space="preserve">3) </w:t>
      </w:r>
      <w:r w:rsidR="008E1AB0">
        <w:t>a</w:t>
      </w:r>
      <w:r w:rsidR="000A05C3">
        <w:t xml:space="preserve">dditional </w:t>
      </w:r>
      <w:r w:rsidR="008629CD">
        <w:t>time would allow stakeholders to collect up-to-date information and develop more precise, evidence-based recommendations</w:t>
      </w:r>
      <w:r w:rsidR="006956D0">
        <w:t xml:space="preserve">; and 4) </w:t>
      </w:r>
      <w:r w:rsidR="008E1AB0">
        <w:t>m</w:t>
      </w:r>
      <w:r w:rsidR="006956D0">
        <w:t xml:space="preserve">ore time would </w:t>
      </w:r>
      <w:r w:rsidR="00E54E4D">
        <w:t xml:space="preserve">materially </w:t>
      </w:r>
      <w:r w:rsidR="006956D0">
        <w:t xml:space="preserve">improve the Commission’s ability to evaluate </w:t>
      </w:r>
      <w:r w:rsidR="00E54E4D">
        <w:t>the proposals in light of operational, technical, and commercial realities of the UAS marketplace</w:t>
      </w:r>
      <w:r w:rsidR="001D6B73">
        <w:t>.</w:t>
      </w:r>
      <w:r w:rsidR="00D030CB">
        <w:t xml:space="preserve">  </w:t>
      </w:r>
      <w:r w:rsidRPr="00D030CB" w:rsidR="00D030CB">
        <w:rPr>
          <w:i/>
          <w:iCs/>
        </w:rPr>
        <w:t xml:space="preserve">CDA Motion </w:t>
      </w:r>
      <w:r w:rsidRPr="00D030CB" w:rsidR="00D030CB">
        <w:t>at 1-3.</w:t>
      </w:r>
    </w:p>
  </w:footnote>
  <w:footnote w:id="17">
    <w:p w:rsidR="0065387D" w:rsidP="0065387D" w14:paraId="392D0E13" w14:textId="77777777">
      <w:pPr>
        <w:pStyle w:val="FootnoteText"/>
      </w:pPr>
      <w:r>
        <w:rPr>
          <w:rStyle w:val="FootnoteReference"/>
        </w:rPr>
        <w:footnoteRef/>
      </w:r>
      <w:r>
        <w:t xml:space="preserve"> </w:t>
      </w:r>
      <w:r>
        <w:rPr>
          <w:i/>
          <w:iCs/>
        </w:rPr>
        <w:t xml:space="preserve">See </w:t>
      </w:r>
      <w:r>
        <w:t xml:space="preserve">47 CFR </w:t>
      </w:r>
      <w:r w:rsidRPr="00033494">
        <w:t xml:space="preserve">§ </w:t>
      </w:r>
      <w:r>
        <w:t>1.46(a).</w:t>
      </w:r>
    </w:p>
  </w:footnote>
  <w:footnote w:id="18">
    <w:p w:rsidR="0065387D" w:rsidP="0065387D" w14:paraId="5D105D6E" w14:textId="407C6F52">
      <w:pPr>
        <w:pStyle w:val="FootnoteText"/>
      </w:pPr>
      <w:r>
        <w:rPr>
          <w:rStyle w:val="FootnoteReference"/>
        </w:rPr>
        <w:footnoteRef/>
      </w:r>
      <w:r>
        <w:t xml:space="preserve"> </w:t>
      </w:r>
      <w:r w:rsidRPr="00AE3131" w:rsidR="00AE3131">
        <w:t xml:space="preserve">  </w:t>
      </w:r>
      <w:r w:rsidRPr="00AE3131" w:rsidR="00AE3131">
        <w:rPr>
          <w:i/>
          <w:iCs/>
        </w:rPr>
        <w:t>Protecting Against National Security Threats to the Communications Supply Chain through the Equipment Authorization Program</w:t>
      </w:r>
      <w:r w:rsidRPr="00AE3131" w:rsidR="00AE3131">
        <w:t>, Second Report and Order and Second Further Notice of Proposed Rulemaking, ET Docket No. 21-232, 40 FCC Rcd 8430, 8455, para. 4</w:t>
      </w:r>
      <w:r w:rsidR="00AE3131">
        <w:t>7</w:t>
      </w:r>
      <w:r w:rsidRPr="00AE3131" w:rsidR="00AE3131">
        <w:t xml:space="preserve"> (2025) (</w:t>
      </w:r>
      <w:r w:rsidRPr="006F6554" w:rsidR="00AE3131">
        <w:rPr>
          <w:i/>
          <w:iCs/>
        </w:rPr>
        <w:t>EA Security 2nd R&amp;O and FNPRM</w:t>
      </w:r>
      <w:r w:rsidRPr="00AE3131" w:rsidR="00AE3131">
        <w:t>)</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5519" w14:paraId="12ACA96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573D2" w:rsidP="00247FF0" w14:paraId="7C1B4C90" w14:textId="7175E1BF">
    <w:pPr>
      <w:pStyle w:val="OrderHead"/>
    </w:pPr>
    <w:r w:rsidRPr="00AA24C6">
      <w:tab/>
      <w:t>Federal Communications Commission</w:t>
    </w:r>
    <w:r w:rsidRPr="00AA24C6">
      <w:tab/>
    </w:r>
    <w:r w:rsidRPr="004A5179" w:rsidR="002C55D1">
      <w:t>DA</w:t>
    </w:r>
    <w:r w:rsidRPr="004A5179">
      <w:t xml:space="preserve"> </w:t>
    </w:r>
    <w:r w:rsidR="004A5179">
      <w:t>26</w:t>
    </w:r>
    <w:r w:rsidRPr="004A5179">
      <w:t>-</w:t>
    </w:r>
    <w:r w:rsidR="00615519">
      <w:t>892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5519" w14:paraId="37F583C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3F40A0F"/>
    <w:multiLevelType w:val="singleLevel"/>
    <w:tmpl w:val="3244DD0A"/>
    <w:lvl w:ilvl="0">
      <w:start w:val="1"/>
      <w:numFmt w:val="bullet"/>
      <w:pStyle w:val="Bullet"/>
      <w:lvlText w:val=""/>
      <w:lvlJc w:val="left"/>
      <w:pPr>
        <w:tabs>
          <w:tab w:val="num" w:pos="360"/>
        </w:tabs>
        <w:ind w:left="360" w:hanging="360"/>
      </w:pPr>
      <w:rPr>
        <w:rFonts w:ascii="Symbol" w:hAnsi="Symbol" w:hint="default"/>
      </w:rPr>
    </w:lvl>
  </w:abstractNum>
  <w:abstractNum w:abstractNumId="1">
    <w:nsid w:val="27E06CBB"/>
    <w:multiLevelType w:val="multilevel"/>
    <w:tmpl w:val="D226B3A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
    <w:nsid w:val="2A0E2263"/>
    <w:multiLevelType w:val="hybridMultilevel"/>
    <w:tmpl w:val="94C60366"/>
    <w:lvl w:ilvl="0">
      <w:start w:val="0"/>
      <w:numFmt w:val="bullet"/>
      <w:pStyle w:val="NIBullet"/>
      <w:lvlText w:val="•"/>
      <w:lvlJc w:val="left"/>
      <w:pPr>
        <w:ind w:left="1440" w:hanging="720"/>
      </w:pPr>
      <w:rPr>
        <w:rFonts w:ascii="Calibri" w:eastAsia="Times New Roman" w:hAnsi="Calibri" w:cs="Calibri" w:hint="default"/>
      </w:rPr>
    </w:lvl>
    <w:lvl w:ilvl="1">
      <w:start w:val="1"/>
      <w:numFmt w:val="bullet"/>
      <w:pStyle w:val="NIBullet2"/>
      <w:lvlText w:val="o"/>
      <w:lvlJc w:val="left"/>
      <w:pPr>
        <w:ind w:left="1800" w:hanging="360"/>
      </w:pPr>
      <w:rPr>
        <w:rFonts w:ascii="Courier New" w:hAnsi="Courier New" w:cs="Courier New" w:hint="default"/>
      </w:rPr>
    </w:lvl>
    <w:lvl w:ilvl="2">
      <w:start w:val="1"/>
      <w:numFmt w:val="bullet"/>
      <w:pStyle w:val="NIBullet3"/>
      <w:lvlText w:val=""/>
      <w:lvlJc w:val="left"/>
      <w:pPr>
        <w:ind w:left="2520" w:hanging="360"/>
      </w:pPr>
      <w:rPr>
        <w:rFonts w:ascii="Wingdings" w:hAnsi="Wingdings" w:hint="default"/>
      </w:rPr>
    </w:lvl>
    <w:lvl w:ilvl="3">
      <w:start w:val="1"/>
      <w:numFmt w:val="bullet"/>
      <w:pStyle w:val="NIBullet4"/>
      <w:lvlText w:val=""/>
      <w:lvlJc w:val="left"/>
      <w:pPr>
        <w:ind w:left="3240" w:hanging="360"/>
      </w:pPr>
      <w:rPr>
        <w:rFonts w:ascii="Symbol" w:hAnsi="Symbol" w:hint="default"/>
      </w:rPr>
    </w:lvl>
    <w:lvl w:ilvl="4">
      <w:start w:val="1"/>
      <w:numFmt w:val="bullet"/>
      <w:pStyle w:val="NIBullet5"/>
      <w:lvlText w:val="o"/>
      <w:lvlJc w:val="left"/>
      <w:pPr>
        <w:ind w:left="3960" w:hanging="360"/>
      </w:pPr>
      <w:rPr>
        <w:rFonts w:ascii="Courier New" w:hAnsi="Courier New" w:cs="Courier New" w:hint="default"/>
      </w:rPr>
    </w:lvl>
    <w:lvl w:ilvl="5">
      <w:start w:val="1"/>
      <w:numFmt w:val="bullet"/>
      <w:pStyle w:val="NIBullet6"/>
      <w:lvlText w:val=""/>
      <w:lvlJc w:val="left"/>
      <w:pPr>
        <w:ind w:left="4680" w:hanging="360"/>
      </w:pPr>
      <w:rPr>
        <w:rFonts w:ascii="Wingdings" w:hAnsi="Wingdings" w:hint="default"/>
      </w:rPr>
    </w:lvl>
    <w:lvl w:ilvl="6">
      <w:start w:val="1"/>
      <w:numFmt w:val="bullet"/>
      <w:pStyle w:val="NIBullet7"/>
      <w:lvlText w:val=""/>
      <w:lvlJc w:val="left"/>
      <w:pPr>
        <w:ind w:left="5400" w:hanging="360"/>
      </w:pPr>
      <w:rPr>
        <w:rFonts w:ascii="Symbol" w:hAnsi="Symbol" w:hint="default"/>
      </w:rPr>
    </w:lvl>
    <w:lvl w:ilvl="7">
      <w:start w:val="1"/>
      <w:numFmt w:val="bullet"/>
      <w:pStyle w:val="NIBullet8"/>
      <w:lvlText w:val="o"/>
      <w:lvlJc w:val="left"/>
      <w:pPr>
        <w:ind w:left="6120" w:hanging="360"/>
      </w:pPr>
      <w:rPr>
        <w:rFonts w:ascii="Courier New" w:hAnsi="Courier New" w:cs="Courier New" w:hint="default"/>
      </w:rPr>
    </w:lvl>
    <w:lvl w:ilvl="8">
      <w:start w:val="1"/>
      <w:numFmt w:val="bullet"/>
      <w:pStyle w:val="NIBullet9"/>
      <w:lvlText w:val=""/>
      <w:lvlJc w:val="left"/>
      <w:pPr>
        <w:ind w:left="6840" w:hanging="360"/>
      </w:pPr>
      <w:rPr>
        <w:rFonts w:ascii="Wingdings" w:hAnsi="Wingdings" w:hint="default"/>
      </w:rPr>
    </w:lvl>
  </w:abstractNum>
  <w:abstractNum w:abstractNumId="3">
    <w:nsid w:val="2E024E21"/>
    <w:multiLevelType w:val="hybridMultilevel"/>
    <w:tmpl w:val="0E82173E"/>
    <w:lvl w:ilvl="0">
      <w:start w:val="1"/>
      <w:numFmt w:val="bullet"/>
      <w:pStyle w:val="ParaNumBullet"/>
      <w:lvlText w:val=""/>
      <w:lvlJc w:val="left"/>
      <w:pPr>
        <w:ind w:left="720" w:hanging="360"/>
      </w:pPr>
      <w:rPr>
        <w:rFonts w:ascii="Symbol" w:hAnsi="Symbol" w:hint="default"/>
      </w:rPr>
    </w:lvl>
    <w:lvl w:ilvl="1">
      <w:start w:val="1"/>
      <w:numFmt w:val="bullet"/>
      <w:pStyle w:val="ParaNumBullet2"/>
      <w:lvlText w:val="o"/>
      <w:lvlJc w:val="left"/>
      <w:pPr>
        <w:ind w:left="1440" w:hanging="360"/>
      </w:pPr>
      <w:rPr>
        <w:rFonts w:ascii="Courier New" w:hAnsi="Courier New" w:cs="Courier New" w:hint="default"/>
      </w:rPr>
    </w:lvl>
    <w:lvl w:ilvl="2">
      <w:start w:val="1"/>
      <w:numFmt w:val="bullet"/>
      <w:pStyle w:val="ParaNumBullet3"/>
      <w:lvlText w:val=""/>
      <w:lvlJc w:val="left"/>
      <w:pPr>
        <w:ind w:left="2160" w:hanging="360"/>
      </w:pPr>
      <w:rPr>
        <w:rFonts w:ascii="Wingdings" w:hAnsi="Wingdings" w:hint="default"/>
      </w:rPr>
    </w:lvl>
    <w:lvl w:ilvl="3">
      <w:start w:val="1"/>
      <w:numFmt w:val="bullet"/>
      <w:pStyle w:val="ParaNumBullet4"/>
      <w:lvlText w:val=""/>
      <w:lvlJc w:val="left"/>
      <w:pPr>
        <w:ind w:left="2880" w:hanging="360"/>
      </w:pPr>
      <w:rPr>
        <w:rFonts w:ascii="Symbol" w:hAnsi="Symbol" w:hint="default"/>
      </w:rPr>
    </w:lvl>
    <w:lvl w:ilvl="4">
      <w:start w:val="1"/>
      <w:numFmt w:val="bullet"/>
      <w:pStyle w:val="ParaNumBullet5"/>
      <w:lvlText w:val="o"/>
      <w:lvlJc w:val="left"/>
      <w:pPr>
        <w:ind w:left="3600" w:hanging="360"/>
      </w:pPr>
      <w:rPr>
        <w:rFonts w:ascii="Courier New" w:hAnsi="Courier New" w:cs="Courier New" w:hint="default"/>
      </w:rPr>
    </w:lvl>
    <w:lvl w:ilvl="5">
      <w:start w:val="1"/>
      <w:numFmt w:val="bullet"/>
      <w:pStyle w:val="ParaNumBullet6"/>
      <w:lvlText w:val=""/>
      <w:lvlJc w:val="left"/>
      <w:pPr>
        <w:ind w:left="4320" w:hanging="360"/>
      </w:pPr>
      <w:rPr>
        <w:rFonts w:ascii="Wingdings" w:hAnsi="Wingdings" w:hint="default"/>
      </w:rPr>
    </w:lvl>
    <w:lvl w:ilvl="6">
      <w:start w:val="1"/>
      <w:numFmt w:val="bullet"/>
      <w:pStyle w:val="ParaNumBullet7"/>
      <w:lvlText w:val=""/>
      <w:lvlJc w:val="left"/>
      <w:pPr>
        <w:ind w:left="5040" w:hanging="360"/>
      </w:pPr>
      <w:rPr>
        <w:rFonts w:ascii="Symbol" w:hAnsi="Symbol" w:hint="default"/>
      </w:rPr>
    </w:lvl>
    <w:lvl w:ilvl="7">
      <w:start w:val="1"/>
      <w:numFmt w:val="bullet"/>
      <w:pStyle w:val="ParaNumBullet8"/>
      <w:lvlText w:val="o"/>
      <w:lvlJc w:val="left"/>
      <w:pPr>
        <w:ind w:left="5760" w:hanging="360"/>
      </w:pPr>
      <w:rPr>
        <w:rFonts w:ascii="Courier New" w:hAnsi="Courier New" w:cs="Courier New" w:hint="default"/>
      </w:rPr>
    </w:lvl>
    <w:lvl w:ilvl="8">
      <w:start w:val="1"/>
      <w:numFmt w:val="bullet"/>
      <w:pStyle w:val="ParaNumBullet9"/>
      <w:lvlText w:val=""/>
      <w:lvlJc w:val="left"/>
      <w:pPr>
        <w:ind w:left="6480" w:hanging="360"/>
      </w:pPr>
      <w:rPr>
        <w:rFonts w:ascii="Wingdings" w:hAnsi="Wingdings" w:hint="default"/>
      </w:rPr>
    </w:lvl>
  </w:abstractNum>
  <w:abstractNum w:abstractNumId="4">
    <w:nsid w:val="38FF409B"/>
    <w:multiLevelType w:val="multilevel"/>
    <w:tmpl w:val="8A903D64"/>
    <w:styleLink w:val="Appendices"/>
    <w:lvl w:ilvl="0">
      <w:start w:val="1"/>
      <w:numFmt w:val="upperLetter"/>
      <w:suff w:val="space"/>
      <w:lvlText w:val="Appendix %1: "/>
      <w:lvlJc w:val="center"/>
      <w:pPr>
        <w:ind w:left="0" w:firstLine="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452F57BE"/>
    <w:multiLevelType w:val="multilevel"/>
    <w:tmpl w:val="EEB2E604"/>
    <w:lvl w:ilvl="0">
      <w:start w:val="1"/>
      <w:numFmt w:val="upperLetter"/>
      <w:suff w:val="space"/>
      <w:lvlText w:val="Appendix %1: "/>
      <w:lvlJc w:val="center"/>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pStyle w:val="AppendixParaNum"/>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48EF4214"/>
    <w:multiLevelType w:val="multilevel"/>
    <w:tmpl w:val="70669302"/>
    <w:styleLink w:val="Style2"/>
    <w:lvl w:ilvl="0">
      <w:start w:val="1"/>
      <w:numFmt w:val="decimal"/>
      <w:pStyle w:val="NIList"/>
      <w:lvlText w:val="(%1.)"/>
      <w:lvlJc w:val="left"/>
      <w:pPr>
        <w:ind w:left="360" w:hanging="360"/>
      </w:pPr>
      <w:rPr>
        <w:rFonts w:hint="default"/>
      </w:rPr>
    </w:lvl>
    <w:lvl w:ilvl="1">
      <w:start w:val="1"/>
      <w:numFmt w:val="upperLetter"/>
      <w:pStyle w:val="NIList2"/>
      <w:lvlText w:val="(%2.)"/>
      <w:lvlJc w:val="left"/>
      <w:pPr>
        <w:ind w:left="720" w:hanging="360"/>
      </w:pPr>
      <w:rPr>
        <w:rFonts w:hint="default"/>
      </w:rPr>
    </w:lvl>
    <w:lvl w:ilvl="2">
      <w:start w:val="1"/>
      <w:numFmt w:val="lowerRoman"/>
      <w:pStyle w:val="NIList3"/>
      <w:lvlText w:val="(%3.)"/>
      <w:lvlJc w:val="left"/>
      <w:pPr>
        <w:ind w:left="1080" w:hanging="360"/>
      </w:pPr>
      <w:rPr>
        <w:rFonts w:hint="default"/>
      </w:rPr>
    </w:lvl>
    <w:lvl w:ilvl="3">
      <w:start w:val="1"/>
      <w:numFmt w:val="lowerLetter"/>
      <w:pStyle w:val="NIList4"/>
      <w:lvlText w:val="(%4.)"/>
      <w:lvlJc w:val="left"/>
      <w:pPr>
        <w:ind w:left="1440" w:hanging="360"/>
      </w:pPr>
      <w:rPr>
        <w:rFonts w:hint="default"/>
      </w:rPr>
    </w:lvl>
    <w:lvl w:ilvl="4">
      <w:start w:val="1"/>
      <w:numFmt w:val="decimal"/>
      <w:pStyle w:val="NIList5"/>
      <w:lvlText w:val="(%5)"/>
      <w:lvlJc w:val="left"/>
      <w:pPr>
        <w:ind w:left="1800" w:hanging="360"/>
      </w:pPr>
      <w:rPr>
        <w:rFonts w:hint="default"/>
      </w:rPr>
    </w:lvl>
    <w:lvl w:ilvl="5">
      <w:start w:val="1"/>
      <w:numFmt w:val="lowerLetter"/>
      <w:pStyle w:val="NIList6"/>
      <w:lvlText w:val="(%6)"/>
      <w:lvlJc w:val="left"/>
      <w:pPr>
        <w:ind w:left="2160" w:hanging="360"/>
      </w:pPr>
      <w:rPr>
        <w:rFonts w:hint="default"/>
      </w:rPr>
    </w:lvl>
    <w:lvl w:ilvl="6">
      <w:start w:val="1"/>
      <w:numFmt w:val="lowerRoman"/>
      <w:pStyle w:val="NIList7"/>
      <w:lvlText w:val="(%7)"/>
      <w:lvlJc w:val="left"/>
      <w:pPr>
        <w:ind w:left="2520" w:hanging="360"/>
      </w:pPr>
      <w:rPr>
        <w:rFonts w:hint="default"/>
      </w:rPr>
    </w:lvl>
    <w:lvl w:ilvl="7">
      <w:start w:val="1"/>
      <w:numFmt w:val="lowerLetter"/>
      <w:pStyle w:val="NIList8"/>
      <w:lvlText w:val="%8."/>
      <w:lvlJc w:val="left"/>
      <w:pPr>
        <w:ind w:left="2880" w:hanging="360"/>
      </w:pPr>
      <w:rPr>
        <w:rFonts w:hint="default"/>
      </w:rPr>
    </w:lvl>
    <w:lvl w:ilvl="8">
      <w:start w:val="1"/>
      <w:numFmt w:val="lowerRoman"/>
      <w:pStyle w:val="NIList9"/>
      <w:lvlText w:val="%9."/>
      <w:lvlJc w:val="left"/>
      <w:pPr>
        <w:ind w:left="3240" w:hanging="360"/>
      </w:pPr>
      <w:rPr>
        <w:rFonts w:hint="default"/>
      </w:rPr>
    </w:lvl>
  </w:abstractNum>
  <w:abstractNum w:abstractNumId="7">
    <w:nsid w:val="494941A1"/>
    <w:multiLevelType w:val="multilevel"/>
    <w:tmpl w:val="70E8D366"/>
    <w:styleLink w:val="PNOrderedList"/>
    <w:lvl w:ilvl="0">
      <w:start w:val="1"/>
      <w:numFmt w:val="decimal"/>
      <w:pStyle w:val="ParaNum"/>
      <w:lvlText w:val="%1."/>
      <w:lvlJc w:val="left"/>
      <w:pPr>
        <w:ind w:left="0" w:firstLine="720"/>
      </w:pPr>
      <w:rPr>
        <w:rFonts w:hint="default"/>
      </w:rPr>
    </w:lvl>
    <w:lvl w:ilvl="1">
      <w:start w:val="1"/>
      <w:numFmt w:val="lowerLetter"/>
      <w:pStyle w:val="ParaNumLevel2"/>
      <w:lvlText w:val="%2."/>
      <w:lvlJc w:val="left"/>
      <w:pPr>
        <w:ind w:left="1800" w:hanging="360"/>
      </w:pPr>
      <w:rPr>
        <w:rFonts w:hint="default"/>
      </w:rPr>
    </w:lvl>
    <w:lvl w:ilvl="2">
      <w:start w:val="1"/>
      <w:numFmt w:val="lowerRoman"/>
      <w:pStyle w:val="ParaNumLevel3"/>
      <w:lvlText w:val="%3."/>
      <w:lvlJc w:val="left"/>
      <w:pPr>
        <w:ind w:left="2160" w:hanging="360"/>
      </w:pPr>
      <w:rPr>
        <w:rFonts w:hint="default"/>
      </w:rPr>
    </w:lvl>
    <w:lvl w:ilvl="3">
      <w:start w:val="1"/>
      <w:numFmt w:val="decimal"/>
      <w:pStyle w:val="ParaNumLevel4"/>
      <w:lvlText w:val="(%4)"/>
      <w:lvlJc w:val="left"/>
      <w:pPr>
        <w:ind w:left="2520" w:hanging="360"/>
      </w:pPr>
      <w:rPr>
        <w:rFonts w:hint="default"/>
      </w:rPr>
    </w:lvl>
    <w:lvl w:ilvl="4">
      <w:start w:val="1"/>
      <w:numFmt w:val="lowerLetter"/>
      <w:pStyle w:val="ParaNumLevel5"/>
      <w:lvlText w:val="%5."/>
      <w:lvlJc w:val="left"/>
      <w:pPr>
        <w:ind w:left="2880" w:hanging="360"/>
      </w:pPr>
      <w:rPr>
        <w:rFonts w:hint="default"/>
      </w:rPr>
    </w:lvl>
    <w:lvl w:ilvl="5">
      <w:start w:val="1"/>
      <w:numFmt w:val="lowerRoman"/>
      <w:pStyle w:val="ParaNumLevel6"/>
      <w:lvlText w:val="%6."/>
      <w:lvlJc w:val="left"/>
      <w:pPr>
        <w:ind w:left="3240" w:hanging="360"/>
      </w:pPr>
      <w:rPr>
        <w:rFonts w:hint="default"/>
      </w:rPr>
    </w:lvl>
    <w:lvl w:ilvl="6">
      <w:start w:val="1"/>
      <w:numFmt w:val="decimal"/>
      <w:pStyle w:val="ParaNumLevel7"/>
      <w:lvlText w:val="%7."/>
      <w:lvlJc w:val="left"/>
      <w:pPr>
        <w:ind w:left="3600" w:hanging="360"/>
      </w:pPr>
      <w:rPr>
        <w:rFonts w:hint="default"/>
      </w:rPr>
    </w:lvl>
    <w:lvl w:ilvl="7">
      <w:start w:val="1"/>
      <w:numFmt w:val="lowerLetter"/>
      <w:pStyle w:val="ParaNumLevel8"/>
      <w:lvlText w:val="%8."/>
      <w:lvlJc w:val="left"/>
      <w:pPr>
        <w:tabs>
          <w:tab w:val="num" w:pos="7200"/>
        </w:tabs>
        <w:ind w:left="3960" w:hanging="360"/>
      </w:pPr>
      <w:rPr>
        <w:rFonts w:hint="default"/>
      </w:rPr>
    </w:lvl>
    <w:lvl w:ilvl="8">
      <w:start w:val="1"/>
      <w:numFmt w:val="lowerRoman"/>
      <w:pStyle w:val="ParaNumLevel9"/>
      <w:lvlText w:val="%9."/>
      <w:lvlJc w:val="left"/>
      <w:pPr>
        <w:ind w:left="4320" w:hanging="360"/>
      </w:pPr>
      <w:rPr>
        <w:rFonts w:hint="default"/>
      </w:rPr>
    </w:lvl>
  </w:abstractNum>
  <w:abstractNum w:abstractNumId="8">
    <w:nsid w:val="7B281033"/>
    <w:multiLevelType w:val="multilevel"/>
    <w:tmpl w:val="C212A1AC"/>
    <w:styleLink w:val="Style1"/>
    <w:lvl w:ilvl="0">
      <w:start w:val="1"/>
      <w:numFmt w:val="bullet"/>
      <w:lvlText w:val=""/>
      <w:lvlJc w:val="left"/>
      <w:pPr>
        <w:tabs>
          <w:tab w:val="num" w:pos="1800"/>
        </w:tabs>
        <w:ind w:left="1800" w:hanging="360"/>
      </w:pPr>
      <w:rPr>
        <w:rFonts w:ascii="Symbol" w:hAnsi="Symbol" w:hint="default"/>
      </w:rPr>
    </w:lvl>
    <w:lvl w:ilvl="1">
      <w:start w:val="1"/>
      <w:numFmt w:val="bullet"/>
      <w:lvlText w:val="o"/>
      <w:lvlJc w:val="left"/>
      <w:pPr>
        <w:tabs>
          <w:tab w:val="num" w:pos="1872"/>
        </w:tabs>
        <w:ind w:left="216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728727070">
    <w:abstractNumId w:val="4"/>
  </w:num>
  <w:num w:numId="2" w16cid:durableId="813639905">
    <w:abstractNumId w:val="5"/>
  </w:num>
  <w:num w:numId="3" w16cid:durableId="1018888743">
    <w:abstractNumId w:val="2"/>
  </w:num>
  <w:num w:numId="4" w16cid:durableId="1928228103">
    <w:abstractNumId w:val="6"/>
  </w:num>
  <w:num w:numId="5" w16cid:durableId="1595481505">
    <w:abstractNumId w:val="8"/>
  </w:num>
  <w:num w:numId="6" w16cid:durableId="1037663322">
    <w:abstractNumId w:val="6"/>
  </w:num>
  <w:num w:numId="7" w16cid:durableId="1716808991">
    <w:abstractNumId w:val="3"/>
  </w:num>
  <w:num w:numId="8" w16cid:durableId="434133336">
    <w:abstractNumId w:val="7"/>
  </w:num>
  <w:num w:numId="9" w16cid:durableId="6981601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29227204">
    <w:abstractNumId w:val="1"/>
  </w:num>
  <w:num w:numId="11" w16cid:durableId="9110468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62179162">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attachedTemplate r:id="rId1"/>
  <w:stylePaneFormatFilter w:val="3804" w:allStyles="0" w:alternateStyleNames="0" w:clearFormatting="1" w:customStyles="0" w:directFormattingOnNumbering="0" w:directFormattingOnParagraphs="0" w:directFormattingOnRuns="0" w:directFormattingOnTables="1" w:headingStyles="0" w:latentStyles="1" w:numberingStyles="0" w:stylesInUse="0" w:tableStyles="0" w:top3HeadingStyles="1" w:visibleStyles="0"/>
  <w:stylePaneSortMethod w:val="name"/>
  <w:defaultTabStop w:val="720"/>
  <w:characterSpacingControl w:val="doNotCompress"/>
  <w:footnotePr>
    <w:numRestart w:val="eachSect"/>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7BE"/>
    <w:rsid w:val="00004186"/>
    <w:rsid w:val="000042BD"/>
    <w:rsid w:val="000058EA"/>
    <w:rsid w:val="000100FA"/>
    <w:rsid w:val="0001098C"/>
    <w:rsid w:val="00010D0E"/>
    <w:rsid w:val="00014581"/>
    <w:rsid w:val="0001659A"/>
    <w:rsid w:val="00017308"/>
    <w:rsid w:val="00020067"/>
    <w:rsid w:val="00024DE2"/>
    <w:rsid w:val="00027013"/>
    <w:rsid w:val="00027A8D"/>
    <w:rsid w:val="00032807"/>
    <w:rsid w:val="00033494"/>
    <w:rsid w:val="0003377A"/>
    <w:rsid w:val="00034B20"/>
    <w:rsid w:val="00037715"/>
    <w:rsid w:val="00040955"/>
    <w:rsid w:val="00041642"/>
    <w:rsid w:val="00041C15"/>
    <w:rsid w:val="00044E63"/>
    <w:rsid w:val="00045276"/>
    <w:rsid w:val="000515BB"/>
    <w:rsid w:val="00056C2B"/>
    <w:rsid w:val="000573D2"/>
    <w:rsid w:val="00060EE9"/>
    <w:rsid w:val="00063B4D"/>
    <w:rsid w:val="00066395"/>
    <w:rsid w:val="00074C4D"/>
    <w:rsid w:val="00076215"/>
    <w:rsid w:val="00076817"/>
    <w:rsid w:val="00086A31"/>
    <w:rsid w:val="00087CB9"/>
    <w:rsid w:val="000921EB"/>
    <w:rsid w:val="0009302E"/>
    <w:rsid w:val="00095302"/>
    <w:rsid w:val="000A0567"/>
    <w:rsid w:val="000A05C3"/>
    <w:rsid w:val="000A0E85"/>
    <w:rsid w:val="000A13D2"/>
    <w:rsid w:val="000A31E4"/>
    <w:rsid w:val="000A36E5"/>
    <w:rsid w:val="000A5C0F"/>
    <w:rsid w:val="000A6D00"/>
    <w:rsid w:val="000B041A"/>
    <w:rsid w:val="000B2044"/>
    <w:rsid w:val="000B207A"/>
    <w:rsid w:val="000B4ED3"/>
    <w:rsid w:val="000B6F54"/>
    <w:rsid w:val="000B7612"/>
    <w:rsid w:val="000C20EB"/>
    <w:rsid w:val="000C66E1"/>
    <w:rsid w:val="000D15E2"/>
    <w:rsid w:val="000D1D6B"/>
    <w:rsid w:val="000D3ACE"/>
    <w:rsid w:val="000D3CF8"/>
    <w:rsid w:val="000D4448"/>
    <w:rsid w:val="000E505D"/>
    <w:rsid w:val="00100614"/>
    <w:rsid w:val="00105D96"/>
    <w:rsid w:val="0010632E"/>
    <w:rsid w:val="00110B3C"/>
    <w:rsid w:val="0011159A"/>
    <w:rsid w:val="00111A83"/>
    <w:rsid w:val="001146E2"/>
    <w:rsid w:val="00116264"/>
    <w:rsid w:val="00122365"/>
    <w:rsid w:val="00130DA7"/>
    <w:rsid w:val="00131F52"/>
    <w:rsid w:val="00132421"/>
    <w:rsid w:val="0013356E"/>
    <w:rsid w:val="001342AF"/>
    <w:rsid w:val="0013667A"/>
    <w:rsid w:val="00137DCF"/>
    <w:rsid w:val="001421E0"/>
    <w:rsid w:val="001421F2"/>
    <w:rsid w:val="0014233E"/>
    <w:rsid w:val="00144200"/>
    <w:rsid w:val="00155CCA"/>
    <w:rsid w:val="001571A2"/>
    <w:rsid w:val="001623AD"/>
    <w:rsid w:val="00162DB9"/>
    <w:rsid w:val="00164C9A"/>
    <w:rsid w:val="00166096"/>
    <w:rsid w:val="0016795F"/>
    <w:rsid w:val="00170021"/>
    <w:rsid w:val="001728C6"/>
    <w:rsid w:val="00173553"/>
    <w:rsid w:val="00173A10"/>
    <w:rsid w:val="00173BF9"/>
    <w:rsid w:val="00182B98"/>
    <w:rsid w:val="001857D5"/>
    <w:rsid w:val="0018766F"/>
    <w:rsid w:val="001901A9"/>
    <w:rsid w:val="0019056C"/>
    <w:rsid w:val="00190D80"/>
    <w:rsid w:val="00195AB6"/>
    <w:rsid w:val="00196E7E"/>
    <w:rsid w:val="0019776C"/>
    <w:rsid w:val="001A013E"/>
    <w:rsid w:val="001A20E0"/>
    <w:rsid w:val="001A468D"/>
    <w:rsid w:val="001A4F9F"/>
    <w:rsid w:val="001A644E"/>
    <w:rsid w:val="001A690C"/>
    <w:rsid w:val="001B0CC4"/>
    <w:rsid w:val="001B3DAE"/>
    <w:rsid w:val="001B3ED3"/>
    <w:rsid w:val="001B4F7B"/>
    <w:rsid w:val="001C2316"/>
    <w:rsid w:val="001C2EA4"/>
    <w:rsid w:val="001C4FCB"/>
    <w:rsid w:val="001C73C8"/>
    <w:rsid w:val="001D06AA"/>
    <w:rsid w:val="001D2E62"/>
    <w:rsid w:val="001D3A20"/>
    <w:rsid w:val="001D58AE"/>
    <w:rsid w:val="001D633E"/>
    <w:rsid w:val="001D6B73"/>
    <w:rsid w:val="001D7167"/>
    <w:rsid w:val="001E156C"/>
    <w:rsid w:val="001E2744"/>
    <w:rsid w:val="001E2F9C"/>
    <w:rsid w:val="001E3A09"/>
    <w:rsid w:val="001E5CA3"/>
    <w:rsid w:val="001F345F"/>
    <w:rsid w:val="001F6E6D"/>
    <w:rsid w:val="001F7F82"/>
    <w:rsid w:val="00200520"/>
    <w:rsid w:val="0020139B"/>
    <w:rsid w:val="002031F3"/>
    <w:rsid w:val="00203828"/>
    <w:rsid w:val="00210CBB"/>
    <w:rsid w:val="00212A61"/>
    <w:rsid w:val="00212BF4"/>
    <w:rsid w:val="00212D99"/>
    <w:rsid w:val="00214539"/>
    <w:rsid w:val="00215171"/>
    <w:rsid w:val="00216326"/>
    <w:rsid w:val="00216C2A"/>
    <w:rsid w:val="00223F85"/>
    <w:rsid w:val="00225DC6"/>
    <w:rsid w:val="002276A9"/>
    <w:rsid w:val="00237319"/>
    <w:rsid w:val="00240C84"/>
    <w:rsid w:val="0024211E"/>
    <w:rsid w:val="0024793E"/>
    <w:rsid w:val="00247FF0"/>
    <w:rsid w:val="002510DB"/>
    <w:rsid w:val="002553B5"/>
    <w:rsid w:val="00261CA8"/>
    <w:rsid w:val="00264156"/>
    <w:rsid w:val="00267635"/>
    <w:rsid w:val="002709B7"/>
    <w:rsid w:val="00270CA2"/>
    <w:rsid w:val="00271446"/>
    <w:rsid w:val="00272AF2"/>
    <w:rsid w:val="00275BB4"/>
    <w:rsid w:val="00277AC8"/>
    <w:rsid w:val="002822F0"/>
    <w:rsid w:val="00285E52"/>
    <w:rsid w:val="002A1B9A"/>
    <w:rsid w:val="002A5BBB"/>
    <w:rsid w:val="002A5C1F"/>
    <w:rsid w:val="002A67D1"/>
    <w:rsid w:val="002A743D"/>
    <w:rsid w:val="002B0C7A"/>
    <w:rsid w:val="002B1117"/>
    <w:rsid w:val="002B3833"/>
    <w:rsid w:val="002C2996"/>
    <w:rsid w:val="002C55D1"/>
    <w:rsid w:val="002C7B39"/>
    <w:rsid w:val="002D6AC1"/>
    <w:rsid w:val="002D6FF7"/>
    <w:rsid w:val="002D7BA6"/>
    <w:rsid w:val="002E14AC"/>
    <w:rsid w:val="002F02E1"/>
    <w:rsid w:val="002F4560"/>
    <w:rsid w:val="00302134"/>
    <w:rsid w:val="0030710D"/>
    <w:rsid w:val="0032190E"/>
    <w:rsid w:val="00324AC2"/>
    <w:rsid w:val="00330725"/>
    <w:rsid w:val="00337A5B"/>
    <w:rsid w:val="00337CE0"/>
    <w:rsid w:val="00341458"/>
    <w:rsid w:val="00344702"/>
    <w:rsid w:val="003511AC"/>
    <w:rsid w:val="003511D2"/>
    <w:rsid w:val="003566AD"/>
    <w:rsid w:val="003567D6"/>
    <w:rsid w:val="003617C9"/>
    <w:rsid w:val="00362B3A"/>
    <w:rsid w:val="003636E1"/>
    <w:rsid w:val="003653FD"/>
    <w:rsid w:val="00366970"/>
    <w:rsid w:val="003723B2"/>
    <w:rsid w:val="003759FE"/>
    <w:rsid w:val="00381F4F"/>
    <w:rsid w:val="00384D98"/>
    <w:rsid w:val="00384E35"/>
    <w:rsid w:val="0038769A"/>
    <w:rsid w:val="00387933"/>
    <w:rsid w:val="00391B82"/>
    <w:rsid w:val="003966F5"/>
    <w:rsid w:val="003A0BF8"/>
    <w:rsid w:val="003A60F4"/>
    <w:rsid w:val="003A65CF"/>
    <w:rsid w:val="003A746A"/>
    <w:rsid w:val="003A7EDC"/>
    <w:rsid w:val="003B0C10"/>
    <w:rsid w:val="003B1937"/>
    <w:rsid w:val="003B19B4"/>
    <w:rsid w:val="003B509A"/>
    <w:rsid w:val="003C188A"/>
    <w:rsid w:val="003C49A2"/>
    <w:rsid w:val="003C4A64"/>
    <w:rsid w:val="003C5DB6"/>
    <w:rsid w:val="003C775A"/>
    <w:rsid w:val="003D1246"/>
    <w:rsid w:val="003D2CC3"/>
    <w:rsid w:val="003D32BF"/>
    <w:rsid w:val="003D496F"/>
    <w:rsid w:val="003D65FD"/>
    <w:rsid w:val="003E49D8"/>
    <w:rsid w:val="003E7695"/>
    <w:rsid w:val="003F2136"/>
    <w:rsid w:val="00400D89"/>
    <w:rsid w:val="00401469"/>
    <w:rsid w:val="00401CB8"/>
    <w:rsid w:val="00405F7C"/>
    <w:rsid w:val="00406753"/>
    <w:rsid w:val="00407CB4"/>
    <w:rsid w:val="004124D9"/>
    <w:rsid w:val="0041575B"/>
    <w:rsid w:val="00424079"/>
    <w:rsid w:val="0042409B"/>
    <w:rsid w:val="00434E9D"/>
    <w:rsid w:val="00435D10"/>
    <w:rsid w:val="00435EC7"/>
    <w:rsid w:val="004403D8"/>
    <w:rsid w:val="0044490C"/>
    <w:rsid w:val="00447D4C"/>
    <w:rsid w:val="00451870"/>
    <w:rsid w:val="00454BD7"/>
    <w:rsid w:val="004555A1"/>
    <w:rsid w:val="00461864"/>
    <w:rsid w:val="00464CE1"/>
    <w:rsid w:val="004653E7"/>
    <w:rsid w:val="00465FB0"/>
    <w:rsid w:val="004707C6"/>
    <w:rsid w:val="004714C1"/>
    <w:rsid w:val="00471CD0"/>
    <w:rsid w:val="00472657"/>
    <w:rsid w:val="0047363E"/>
    <w:rsid w:val="004806D7"/>
    <w:rsid w:val="004814A5"/>
    <w:rsid w:val="00483057"/>
    <w:rsid w:val="004830D2"/>
    <w:rsid w:val="00486412"/>
    <w:rsid w:val="00487F33"/>
    <w:rsid w:val="004939E2"/>
    <w:rsid w:val="004A206E"/>
    <w:rsid w:val="004A3785"/>
    <w:rsid w:val="004A5179"/>
    <w:rsid w:val="004A61FB"/>
    <w:rsid w:val="004A6B17"/>
    <w:rsid w:val="004A78AC"/>
    <w:rsid w:val="004B5302"/>
    <w:rsid w:val="004B585C"/>
    <w:rsid w:val="004C2C9C"/>
    <w:rsid w:val="004C356F"/>
    <w:rsid w:val="004D1254"/>
    <w:rsid w:val="004D1723"/>
    <w:rsid w:val="004D60C2"/>
    <w:rsid w:val="004E68CB"/>
    <w:rsid w:val="004F0861"/>
    <w:rsid w:val="004F2857"/>
    <w:rsid w:val="004F5B0A"/>
    <w:rsid w:val="004F77F2"/>
    <w:rsid w:val="00500F0A"/>
    <w:rsid w:val="00501EBF"/>
    <w:rsid w:val="005078F3"/>
    <w:rsid w:val="00510F1E"/>
    <w:rsid w:val="00512036"/>
    <w:rsid w:val="00515840"/>
    <w:rsid w:val="005179F7"/>
    <w:rsid w:val="0052285D"/>
    <w:rsid w:val="00527BF9"/>
    <w:rsid w:val="00533608"/>
    <w:rsid w:val="00534675"/>
    <w:rsid w:val="00535E62"/>
    <w:rsid w:val="00536560"/>
    <w:rsid w:val="00545267"/>
    <w:rsid w:val="005457A8"/>
    <w:rsid w:val="00546D4F"/>
    <w:rsid w:val="00555930"/>
    <w:rsid w:val="005635E6"/>
    <w:rsid w:val="00564D9E"/>
    <w:rsid w:val="005667F1"/>
    <w:rsid w:val="005703EF"/>
    <w:rsid w:val="00572096"/>
    <w:rsid w:val="0057590D"/>
    <w:rsid w:val="00580A23"/>
    <w:rsid w:val="00581054"/>
    <w:rsid w:val="00585441"/>
    <w:rsid w:val="00593E65"/>
    <w:rsid w:val="00594D2F"/>
    <w:rsid w:val="00594F30"/>
    <w:rsid w:val="00595616"/>
    <w:rsid w:val="00595D4B"/>
    <w:rsid w:val="005A0B6F"/>
    <w:rsid w:val="005A4D25"/>
    <w:rsid w:val="005A66CA"/>
    <w:rsid w:val="005A7A8C"/>
    <w:rsid w:val="005B38FC"/>
    <w:rsid w:val="005C053D"/>
    <w:rsid w:val="005C1532"/>
    <w:rsid w:val="005C260C"/>
    <w:rsid w:val="005C39D1"/>
    <w:rsid w:val="005C4F7F"/>
    <w:rsid w:val="005C68E5"/>
    <w:rsid w:val="005D06D3"/>
    <w:rsid w:val="005D38D5"/>
    <w:rsid w:val="005D4387"/>
    <w:rsid w:val="005D51B0"/>
    <w:rsid w:val="005D5BA4"/>
    <w:rsid w:val="005D7210"/>
    <w:rsid w:val="005E12A0"/>
    <w:rsid w:val="005E26A2"/>
    <w:rsid w:val="005E2732"/>
    <w:rsid w:val="005E274D"/>
    <w:rsid w:val="005E2DEA"/>
    <w:rsid w:val="005E537D"/>
    <w:rsid w:val="005F1095"/>
    <w:rsid w:val="005F3B5C"/>
    <w:rsid w:val="005F7208"/>
    <w:rsid w:val="006004C3"/>
    <w:rsid w:val="006035D2"/>
    <w:rsid w:val="006038D3"/>
    <w:rsid w:val="0060402D"/>
    <w:rsid w:val="00604076"/>
    <w:rsid w:val="00605F09"/>
    <w:rsid w:val="00610114"/>
    <w:rsid w:val="00615519"/>
    <w:rsid w:val="00617D36"/>
    <w:rsid w:val="00621226"/>
    <w:rsid w:val="00623FC0"/>
    <w:rsid w:val="0062508F"/>
    <w:rsid w:val="00631442"/>
    <w:rsid w:val="006365AA"/>
    <w:rsid w:val="0064028C"/>
    <w:rsid w:val="006407DF"/>
    <w:rsid w:val="00640B0C"/>
    <w:rsid w:val="006444C3"/>
    <w:rsid w:val="00650131"/>
    <w:rsid w:val="0065259E"/>
    <w:rsid w:val="0065387D"/>
    <w:rsid w:val="00660367"/>
    <w:rsid w:val="0066092B"/>
    <w:rsid w:val="00661848"/>
    <w:rsid w:val="0066692F"/>
    <w:rsid w:val="0067119F"/>
    <w:rsid w:val="00674480"/>
    <w:rsid w:val="00677D58"/>
    <w:rsid w:val="00681FB8"/>
    <w:rsid w:val="0068388A"/>
    <w:rsid w:val="00685021"/>
    <w:rsid w:val="00687863"/>
    <w:rsid w:val="006948CF"/>
    <w:rsid w:val="006948E2"/>
    <w:rsid w:val="00694F5D"/>
    <w:rsid w:val="006956D0"/>
    <w:rsid w:val="00696325"/>
    <w:rsid w:val="006A1A87"/>
    <w:rsid w:val="006A3FEE"/>
    <w:rsid w:val="006A512F"/>
    <w:rsid w:val="006A7EBA"/>
    <w:rsid w:val="006B0268"/>
    <w:rsid w:val="006B04E0"/>
    <w:rsid w:val="006B138E"/>
    <w:rsid w:val="006B4A78"/>
    <w:rsid w:val="006B4D6D"/>
    <w:rsid w:val="006B6265"/>
    <w:rsid w:val="006B7957"/>
    <w:rsid w:val="006C00C3"/>
    <w:rsid w:val="006C2196"/>
    <w:rsid w:val="006C49E9"/>
    <w:rsid w:val="006D0159"/>
    <w:rsid w:val="006D05A6"/>
    <w:rsid w:val="006D0CB4"/>
    <w:rsid w:val="006D2794"/>
    <w:rsid w:val="006E07FE"/>
    <w:rsid w:val="006E29D4"/>
    <w:rsid w:val="006E781D"/>
    <w:rsid w:val="006F3A4B"/>
    <w:rsid w:val="006F40E2"/>
    <w:rsid w:val="006F6554"/>
    <w:rsid w:val="007010E2"/>
    <w:rsid w:val="007012DE"/>
    <w:rsid w:val="00704089"/>
    <w:rsid w:val="00704AA9"/>
    <w:rsid w:val="00706424"/>
    <w:rsid w:val="0071192A"/>
    <w:rsid w:val="0071478B"/>
    <w:rsid w:val="00716CF7"/>
    <w:rsid w:val="007223EE"/>
    <w:rsid w:val="00723007"/>
    <w:rsid w:val="00723296"/>
    <w:rsid w:val="007235F7"/>
    <w:rsid w:val="0072414C"/>
    <w:rsid w:val="0072553B"/>
    <w:rsid w:val="00725B63"/>
    <w:rsid w:val="0073023B"/>
    <w:rsid w:val="00730CC9"/>
    <w:rsid w:val="007315B0"/>
    <w:rsid w:val="007351F8"/>
    <w:rsid w:val="00741AAE"/>
    <w:rsid w:val="00741B5C"/>
    <w:rsid w:val="00742B09"/>
    <w:rsid w:val="007463B7"/>
    <w:rsid w:val="00751589"/>
    <w:rsid w:val="00753837"/>
    <w:rsid w:val="00756A1A"/>
    <w:rsid w:val="007601FB"/>
    <w:rsid w:val="00763B23"/>
    <w:rsid w:val="00764CC4"/>
    <w:rsid w:val="0076556C"/>
    <w:rsid w:val="00770F97"/>
    <w:rsid w:val="00771273"/>
    <w:rsid w:val="00773DD4"/>
    <w:rsid w:val="00775A54"/>
    <w:rsid w:val="00776D6E"/>
    <w:rsid w:val="00783421"/>
    <w:rsid w:val="0078563A"/>
    <w:rsid w:val="00791629"/>
    <w:rsid w:val="00792644"/>
    <w:rsid w:val="00793A49"/>
    <w:rsid w:val="007A1262"/>
    <w:rsid w:val="007A1917"/>
    <w:rsid w:val="007A21D3"/>
    <w:rsid w:val="007A2F3F"/>
    <w:rsid w:val="007A3012"/>
    <w:rsid w:val="007A492A"/>
    <w:rsid w:val="007A5224"/>
    <w:rsid w:val="007A5E28"/>
    <w:rsid w:val="007A7ED3"/>
    <w:rsid w:val="007A7EF4"/>
    <w:rsid w:val="007B2F5C"/>
    <w:rsid w:val="007B5084"/>
    <w:rsid w:val="007B5380"/>
    <w:rsid w:val="007B673B"/>
    <w:rsid w:val="007C2AA7"/>
    <w:rsid w:val="007C2D25"/>
    <w:rsid w:val="007C3C24"/>
    <w:rsid w:val="007C4EDF"/>
    <w:rsid w:val="007C6389"/>
    <w:rsid w:val="007C6523"/>
    <w:rsid w:val="007C7477"/>
    <w:rsid w:val="007D213B"/>
    <w:rsid w:val="007E01DD"/>
    <w:rsid w:val="007E3C50"/>
    <w:rsid w:val="007E3CF0"/>
    <w:rsid w:val="007F16C9"/>
    <w:rsid w:val="007F3630"/>
    <w:rsid w:val="00800682"/>
    <w:rsid w:val="008063D5"/>
    <w:rsid w:val="008072EB"/>
    <w:rsid w:val="0081114D"/>
    <w:rsid w:val="00812CD8"/>
    <w:rsid w:val="0081386A"/>
    <w:rsid w:val="00813CF9"/>
    <w:rsid w:val="00821438"/>
    <w:rsid w:val="0082153E"/>
    <w:rsid w:val="00822672"/>
    <w:rsid w:val="008270AA"/>
    <w:rsid w:val="00827C7D"/>
    <w:rsid w:val="00827ED1"/>
    <w:rsid w:val="0083087F"/>
    <w:rsid w:val="00831648"/>
    <w:rsid w:val="008324AA"/>
    <w:rsid w:val="00835816"/>
    <w:rsid w:val="00842186"/>
    <w:rsid w:val="008421EB"/>
    <w:rsid w:val="00844E84"/>
    <w:rsid w:val="00845886"/>
    <w:rsid w:val="00846CAA"/>
    <w:rsid w:val="00854057"/>
    <w:rsid w:val="008550E7"/>
    <w:rsid w:val="008552F1"/>
    <w:rsid w:val="00857191"/>
    <w:rsid w:val="00862801"/>
    <w:rsid w:val="008629CD"/>
    <w:rsid w:val="00876033"/>
    <w:rsid w:val="00881740"/>
    <w:rsid w:val="00881A02"/>
    <w:rsid w:val="008844D4"/>
    <w:rsid w:val="00885B3D"/>
    <w:rsid w:val="00891932"/>
    <w:rsid w:val="00894D6A"/>
    <w:rsid w:val="008977D9"/>
    <w:rsid w:val="008A1449"/>
    <w:rsid w:val="008A1AC9"/>
    <w:rsid w:val="008A6B81"/>
    <w:rsid w:val="008B004B"/>
    <w:rsid w:val="008B08EC"/>
    <w:rsid w:val="008B0FB1"/>
    <w:rsid w:val="008C17AE"/>
    <w:rsid w:val="008C4C55"/>
    <w:rsid w:val="008C5FC1"/>
    <w:rsid w:val="008C7AC6"/>
    <w:rsid w:val="008C7CCB"/>
    <w:rsid w:val="008D0711"/>
    <w:rsid w:val="008D2C29"/>
    <w:rsid w:val="008D33AA"/>
    <w:rsid w:val="008D427E"/>
    <w:rsid w:val="008D6BAB"/>
    <w:rsid w:val="008D74F9"/>
    <w:rsid w:val="008D7B0C"/>
    <w:rsid w:val="008E1AB0"/>
    <w:rsid w:val="008E1B24"/>
    <w:rsid w:val="008E4F84"/>
    <w:rsid w:val="008E5B2E"/>
    <w:rsid w:val="008F2653"/>
    <w:rsid w:val="008F54BC"/>
    <w:rsid w:val="008F7ED6"/>
    <w:rsid w:val="00900DF2"/>
    <w:rsid w:val="00914789"/>
    <w:rsid w:val="00915B4A"/>
    <w:rsid w:val="00916BF7"/>
    <w:rsid w:val="00917E36"/>
    <w:rsid w:val="00925458"/>
    <w:rsid w:val="00930964"/>
    <w:rsid w:val="009314D2"/>
    <w:rsid w:val="00936EE6"/>
    <w:rsid w:val="009406E7"/>
    <w:rsid w:val="00941BA3"/>
    <w:rsid w:val="00943616"/>
    <w:rsid w:val="009447FB"/>
    <w:rsid w:val="00947A5C"/>
    <w:rsid w:val="00950DBE"/>
    <w:rsid w:val="00951300"/>
    <w:rsid w:val="00952C01"/>
    <w:rsid w:val="0095473A"/>
    <w:rsid w:val="009548F8"/>
    <w:rsid w:val="00956216"/>
    <w:rsid w:val="00957713"/>
    <w:rsid w:val="009654F7"/>
    <w:rsid w:val="0096673E"/>
    <w:rsid w:val="009703BF"/>
    <w:rsid w:val="009709F0"/>
    <w:rsid w:val="00972EEA"/>
    <w:rsid w:val="00973E3C"/>
    <w:rsid w:val="00976031"/>
    <w:rsid w:val="00976FA6"/>
    <w:rsid w:val="00977806"/>
    <w:rsid w:val="009802C8"/>
    <w:rsid w:val="009834BB"/>
    <w:rsid w:val="00985D54"/>
    <w:rsid w:val="009900FF"/>
    <w:rsid w:val="009952EE"/>
    <w:rsid w:val="009954B8"/>
    <w:rsid w:val="0099755E"/>
    <w:rsid w:val="009A3BAC"/>
    <w:rsid w:val="009A609F"/>
    <w:rsid w:val="009A649A"/>
    <w:rsid w:val="009A7AEE"/>
    <w:rsid w:val="009B1282"/>
    <w:rsid w:val="009B18AA"/>
    <w:rsid w:val="009B20A1"/>
    <w:rsid w:val="009B214D"/>
    <w:rsid w:val="009B4ED2"/>
    <w:rsid w:val="009B5F32"/>
    <w:rsid w:val="009C24AB"/>
    <w:rsid w:val="009C2BD6"/>
    <w:rsid w:val="009D068D"/>
    <w:rsid w:val="009D1C13"/>
    <w:rsid w:val="009D6DE4"/>
    <w:rsid w:val="009E0E9B"/>
    <w:rsid w:val="009E421E"/>
    <w:rsid w:val="009E4814"/>
    <w:rsid w:val="009E53C8"/>
    <w:rsid w:val="009E5BF3"/>
    <w:rsid w:val="009E62DE"/>
    <w:rsid w:val="009E64E2"/>
    <w:rsid w:val="009E79D1"/>
    <w:rsid w:val="009F2D4E"/>
    <w:rsid w:val="009F5502"/>
    <w:rsid w:val="00A0233B"/>
    <w:rsid w:val="00A03A59"/>
    <w:rsid w:val="00A05D65"/>
    <w:rsid w:val="00A06358"/>
    <w:rsid w:val="00A07E2E"/>
    <w:rsid w:val="00A116B0"/>
    <w:rsid w:val="00A15979"/>
    <w:rsid w:val="00A16C2C"/>
    <w:rsid w:val="00A16EE6"/>
    <w:rsid w:val="00A23EC3"/>
    <w:rsid w:val="00A30607"/>
    <w:rsid w:val="00A32C8E"/>
    <w:rsid w:val="00A34B5C"/>
    <w:rsid w:val="00A4008A"/>
    <w:rsid w:val="00A4353F"/>
    <w:rsid w:val="00A4628F"/>
    <w:rsid w:val="00A46831"/>
    <w:rsid w:val="00A47F16"/>
    <w:rsid w:val="00A528B1"/>
    <w:rsid w:val="00A56E75"/>
    <w:rsid w:val="00A57348"/>
    <w:rsid w:val="00A61AA6"/>
    <w:rsid w:val="00A64783"/>
    <w:rsid w:val="00A6585A"/>
    <w:rsid w:val="00A805A9"/>
    <w:rsid w:val="00A817C4"/>
    <w:rsid w:val="00A81FCC"/>
    <w:rsid w:val="00A93737"/>
    <w:rsid w:val="00A9415E"/>
    <w:rsid w:val="00A94DA4"/>
    <w:rsid w:val="00A954B6"/>
    <w:rsid w:val="00A977CC"/>
    <w:rsid w:val="00AA24C6"/>
    <w:rsid w:val="00AA27E5"/>
    <w:rsid w:val="00AA5AA5"/>
    <w:rsid w:val="00AC1E9B"/>
    <w:rsid w:val="00AC424E"/>
    <w:rsid w:val="00AC5267"/>
    <w:rsid w:val="00AC5729"/>
    <w:rsid w:val="00AC67BE"/>
    <w:rsid w:val="00AD5EC1"/>
    <w:rsid w:val="00AE3131"/>
    <w:rsid w:val="00AF1F7B"/>
    <w:rsid w:val="00AF44B6"/>
    <w:rsid w:val="00AF54B8"/>
    <w:rsid w:val="00AF7451"/>
    <w:rsid w:val="00AF762D"/>
    <w:rsid w:val="00B0062B"/>
    <w:rsid w:val="00B04BB9"/>
    <w:rsid w:val="00B10CD9"/>
    <w:rsid w:val="00B1158C"/>
    <w:rsid w:val="00B11666"/>
    <w:rsid w:val="00B12EDF"/>
    <w:rsid w:val="00B1567F"/>
    <w:rsid w:val="00B170AB"/>
    <w:rsid w:val="00B20DE0"/>
    <w:rsid w:val="00B250C5"/>
    <w:rsid w:val="00B25247"/>
    <w:rsid w:val="00B355C6"/>
    <w:rsid w:val="00B36523"/>
    <w:rsid w:val="00B4167E"/>
    <w:rsid w:val="00B427C1"/>
    <w:rsid w:val="00B4704D"/>
    <w:rsid w:val="00B475AE"/>
    <w:rsid w:val="00B54EFD"/>
    <w:rsid w:val="00B66076"/>
    <w:rsid w:val="00B66691"/>
    <w:rsid w:val="00B70706"/>
    <w:rsid w:val="00B70C26"/>
    <w:rsid w:val="00B71EE1"/>
    <w:rsid w:val="00B7345C"/>
    <w:rsid w:val="00B73E0F"/>
    <w:rsid w:val="00B75DDE"/>
    <w:rsid w:val="00B76691"/>
    <w:rsid w:val="00B76F01"/>
    <w:rsid w:val="00B77565"/>
    <w:rsid w:val="00B83B68"/>
    <w:rsid w:val="00B84A0F"/>
    <w:rsid w:val="00B84FA1"/>
    <w:rsid w:val="00B8500D"/>
    <w:rsid w:val="00B85851"/>
    <w:rsid w:val="00B87736"/>
    <w:rsid w:val="00B9180E"/>
    <w:rsid w:val="00B91849"/>
    <w:rsid w:val="00B94802"/>
    <w:rsid w:val="00B94EB1"/>
    <w:rsid w:val="00BA4F09"/>
    <w:rsid w:val="00BA5B5E"/>
    <w:rsid w:val="00BB39F1"/>
    <w:rsid w:val="00BB4646"/>
    <w:rsid w:val="00BB556E"/>
    <w:rsid w:val="00BB64A6"/>
    <w:rsid w:val="00BB6899"/>
    <w:rsid w:val="00BC110E"/>
    <w:rsid w:val="00BC1A6C"/>
    <w:rsid w:val="00BC1B6D"/>
    <w:rsid w:val="00BC45A1"/>
    <w:rsid w:val="00BD0756"/>
    <w:rsid w:val="00BE2F53"/>
    <w:rsid w:val="00BF4D45"/>
    <w:rsid w:val="00C0118B"/>
    <w:rsid w:val="00C1104A"/>
    <w:rsid w:val="00C11AE6"/>
    <w:rsid w:val="00C1532D"/>
    <w:rsid w:val="00C21059"/>
    <w:rsid w:val="00C22933"/>
    <w:rsid w:val="00C22F5A"/>
    <w:rsid w:val="00C231FA"/>
    <w:rsid w:val="00C2429D"/>
    <w:rsid w:val="00C25B00"/>
    <w:rsid w:val="00C26689"/>
    <w:rsid w:val="00C268E0"/>
    <w:rsid w:val="00C27AEF"/>
    <w:rsid w:val="00C31346"/>
    <w:rsid w:val="00C31776"/>
    <w:rsid w:val="00C31D80"/>
    <w:rsid w:val="00C32A23"/>
    <w:rsid w:val="00C32D2D"/>
    <w:rsid w:val="00C33650"/>
    <w:rsid w:val="00C34BB4"/>
    <w:rsid w:val="00C34C3E"/>
    <w:rsid w:val="00C34C56"/>
    <w:rsid w:val="00C36667"/>
    <w:rsid w:val="00C42B82"/>
    <w:rsid w:val="00C46119"/>
    <w:rsid w:val="00C4660E"/>
    <w:rsid w:val="00C53968"/>
    <w:rsid w:val="00C5403C"/>
    <w:rsid w:val="00C565FA"/>
    <w:rsid w:val="00C609B8"/>
    <w:rsid w:val="00C641F9"/>
    <w:rsid w:val="00C70B29"/>
    <w:rsid w:val="00C725EC"/>
    <w:rsid w:val="00C728EF"/>
    <w:rsid w:val="00C7298F"/>
    <w:rsid w:val="00C73A9D"/>
    <w:rsid w:val="00C756CE"/>
    <w:rsid w:val="00C77047"/>
    <w:rsid w:val="00C77126"/>
    <w:rsid w:val="00C83ABC"/>
    <w:rsid w:val="00C83DF4"/>
    <w:rsid w:val="00C84789"/>
    <w:rsid w:val="00C91298"/>
    <w:rsid w:val="00C91976"/>
    <w:rsid w:val="00C95483"/>
    <w:rsid w:val="00C9709C"/>
    <w:rsid w:val="00C9711D"/>
    <w:rsid w:val="00CA75D4"/>
    <w:rsid w:val="00CB0C19"/>
    <w:rsid w:val="00CB3C4C"/>
    <w:rsid w:val="00CC1113"/>
    <w:rsid w:val="00CC3CD3"/>
    <w:rsid w:val="00CC6C51"/>
    <w:rsid w:val="00CC6CC1"/>
    <w:rsid w:val="00CC6FE9"/>
    <w:rsid w:val="00CD5948"/>
    <w:rsid w:val="00CD733C"/>
    <w:rsid w:val="00CE1436"/>
    <w:rsid w:val="00CE265C"/>
    <w:rsid w:val="00CE26B4"/>
    <w:rsid w:val="00CE28E7"/>
    <w:rsid w:val="00CE414B"/>
    <w:rsid w:val="00CE7304"/>
    <w:rsid w:val="00CF2522"/>
    <w:rsid w:val="00D030CB"/>
    <w:rsid w:val="00D06E0E"/>
    <w:rsid w:val="00D10F97"/>
    <w:rsid w:val="00D11E12"/>
    <w:rsid w:val="00D12B07"/>
    <w:rsid w:val="00D12C7D"/>
    <w:rsid w:val="00D13C04"/>
    <w:rsid w:val="00D17D6F"/>
    <w:rsid w:val="00D17E3B"/>
    <w:rsid w:val="00D2079D"/>
    <w:rsid w:val="00D20C1B"/>
    <w:rsid w:val="00D21152"/>
    <w:rsid w:val="00D21E25"/>
    <w:rsid w:val="00D2419F"/>
    <w:rsid w:val="00D27F77"/>
    <w:rsid w:val="00D424D0"/>
    <w:rsid w:val="00D46022"/>
    <w:rsid w:val="00D466CA"/>
    <w:rsid w:val="00D47E4B"/>
    <w:rsid w:val="00D50432"/>
    <w:rsid w:val="00D5146B"/>
    <w:rsid w:val="00D5193E"/>
    <w:rsid w:val="00D55F8C"/>
    <w:rsid w:val="00D56AE2"/>
    <w:rsid w:val="00D60C72"/>
    <w:rsid w:val="00D628D8"/>
    <w:rsid w:val="00D653FF"/>
    <w:rsid w:val="00D6779A"/>
    <w:rsid w:val="00D71FDF"/>
    <w:rsid w:val="00D73803"/>
    <w:rsid w:val="00D739AE"/>
    <w:rsid w:val="00D73C32"/>
    <w:rsid w:val="00D763B4"/>
    <w:rsid w:val="00D77B94"/>
    <w:rsid w:val="00D82B6B"/>
    <w:rsid w:val="00D84F7A"/>
    <w:rsid w:val="00D87350"/>
    <w:rsid w:val="00D90F2F"/>
    <w:rsid w:val="00DA0405"/>
    <w:rsid w:val="00DA519B"/>
    <w:rsid w:val="00DA696B"/>
    <w:rsid w:val="00DB073C"/>
    <w:rsid w:val="00DB302F"/>
    <w:rsid w:val="00DB6C6C"/>
    <w:rsid w:val="00DC04C4"/>
    <w:rsid w:val="00DC0B77"/>
    <w:rsid w:val="00DC2A43"/>
    <w:rsid w:val="00DC2EC0"/>
    <w:rsid w:val="00DC3A37"/>
    <w:rsid w:val="00DC3D19"/>
    <w:rsid w:val="00DD18FB"/>
    <w:rsid w:val="00DD31CC"/>
    <w:rsid w:val="00DE3961"/>
    <w:rsid w:val="00DE72E1"/>
    <w:rsid w:val="00E001D7"/>
    <w:rsid w:val="00E00856"/>
    <w:rsid w:val="00E05D19"/>
    <w:rsid w:val="00E062B0"/>
    <w:rsid w:val="00E10E18"/>
    <w:rsid w:val="00E1366A"/>
    <w:rsid w:val="00E15007"/>
    <w:rsid w:val="00E169E1"/>
    <w:rsid w:val="00E16EEB"/>
    <w:rsid w:val="00E16FBB"/>
    <w:rsid w:val="00E225F0"/>
    <w:rsid w:val="00E260B4"/>
    <w:rsid w:val="00E326A4"/>
    <w:rsid w:val="00E35CA1"/>
    <w:rsid w:val="00E3745B"/>
    <w:rsid w:val="00E40611"/>
    <w:rsid w:val="00E460C7"/>
    <w:rsid w:val="00E52C27"/>
    <w:rsid w:val="00E54E4D"/>
    <w:rsid w:val="00E55907"/>
    <w:rsid w:val="00E56609"/>
    <w:rsid w:val="00E61079"/>
    <w:rsid w:val="00E647E1"/>
    <w:rsid w:val="00E67047"/>
    <w:rsid w:val="00E70444"/>
    <w:rsid w:val="00E70D28"/>
    <w:rsid w:val="00E720DC"/>
    <w:rsid w:val="00E72427"/>
    <w:rsid w:val="00E77C66"/>
    <w:rsid w:val="00E80C7F"/>
    <w:rsid w:val="00E81E68"/>
    <w:rsid w:val="00E858C6"/>
    <w:rsid w:val="00E86FA3"/>
    <w:rsid w:val="00E876F5"/>
    <w:rsid w:val="00E87950"/>
    <w:rsid w:val="00E90F91"/>
    <w:rsid w:val="00E957A3"/>
    <w:rsid w:val="00E96E61"/>
    <w:rsid w:val="00EA428E"/>
    <w:rsid w:val="00EA6789"/>
    <w:rsid w:val="00EB31E7"/>
    <w:rsid w:val="00EC0865"/>
    <w:rsid w:val="00EC6173"/>
    <w:rsid w:val="00EC6C02"/>
    <w:rsid w:val="00ED20F7"/>
    <w:rsid w:val="00ED312F"/>
    <w:rsid w:val="00ED35D0"/>
    <w:rsid w:val="00ED5D54"/>
    <w:rsid w:val="00EE2AB5"/>
    <w:rsid w:val="00EF2983"/>
    <w:rsid w:val="00EF4CDB"/>
    <w:rsid w:val="00EF51D9"/>
    <w:rsid w:val="00EF72AA"/>
    <w:rsid w:val="00F03118"/>
    <w:rsid w:val="00F05E15"/>
    <w:rsid w:val="00F12A14"/>
    <w:rsid w:val="00F1596A"/>
    <w:rsid w:val="00F167B6"/>
    <w:rsid w:val="00F237BC"/>
    <w:rsid w:val="00F30262"/>
    <w:rsid w:val="00F33143"/>
    <w:rsid w:val="00F40AD2"/>
    <w:rsid w:val="00F42776"/>
    <w:rsid w:val="00F42917"/>
    <w:rsid w:val="00F42CAB"/>
    <w:rsid w:val="00F518C9"/>
    <w:rsid w:val="00F55B6D"/>
    <w:rsid w:val="00F56F6B"/>
    <w:rsid w:val="00F600CA"/>
    <w:rsid w:val="00F643B7"/>
    <w:rsid w:val="00F65F9D"/>
    <w:rsid w:val="00F67168"/>
    <w:rsid w:val="00F67A35"/>
    <w:rsid w:val="00F704F7"/>
    <w:rsid w:val="00F70500"/>
    <w:rsid w:val="00F70831"/>
    <w:rsid w:val="00F723FB"/>
    <w:rsid w:val="00F73C38"/>
    <w:rsid w:val="00F75262"/>
    <w:rsid w:val="00F77BE0"/>
    <w:rsid w:val="00F8247C"/>
    <w:rsid w:val="00F82DC4"/>
    <w:rsid w:val="00F839DD"/>
    <w:rsid w:val="00F84BBB"/>
    <w:rsid w:val="00F84EEC"/>
    <w:rsid w:val="00F8646E"/>
    <w:rsid w:val="00F96712"/>
    <w:rsid w:val="00F967D3"/>
    <w:rsid w:val="00F9707B"/>
    <w:rsid w:val="00FA00CF"/>
    <w:rsid w:val="00FA052C"/>
    <w:rsid w:val="00FA0F9B"/>
    <w:rsid w:val="00FA1274"/>
    <w:rsid w:val="00FA148B"/>
    <w:rsid w:val="00FA1A44"/>
    <w:rsid w:val="00FA3C71"/>
    <w:rsid w:val="00FA560D"/>
    <w:rsid w:val="00FA5719"/>
    <w:rsid w:val="00FA6816"/>
    <w:rsid w:val="00FA73A4"/>
    <w:rsid w:val="00FA7CAF"/>
    <w:rsid w:val="00FA7FB9"/>
    <w:rsid w:val="00FB3797"/>
    <w:rsid w:val="00FB517B"/>
    <w:rsid w:val="00FC2CA5"/>
    <w:rsid w:val="00FC6920"/>
    <w:rsid w:val="00FC7466"/>
    <w:rsid w:val="00FC7594"/>
    <w:rsid w:val="00FD3380"/>
    <w:rsid w:val="00FD6F77"/>
    <w:rsid w:val="00FD707B"/>
    <w:rsid w:val="00FD71DB"/>
    <w:rsid w:val="00FD7BDF"/>
    <w:rsid w:val="00FE10EC"/>
    <w:rsid w:val="00FE1E52"/>
    <w:rsid w:val="00FE2DF0"/>
    <w:rsid w:val="00FE3A75"/>
    <w:rsid w:val="00FE41C5"/>
    <w:rsid w:val="00FE4700"/>
    <w:rsid w:val="00FE5F79"/>
    <w:rsid w:val="00FE6AC0"/>
    <w:rsid w:val="00FE7680"/>
    <w:rsid w:val="00FF1492"/>
    <w:rsid w:val="00FF7535"/>
    <w:rsid w:val="00FF7D56"/>
    <w:rsid w:val="1BD3DB0C"/>
    <w:rsid w:val="4F906AA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D278246"/>
  <w15:chartTrackingRefBased/>
  <w15:docId w15:val="{AB7CD3E6-D408-4FA8-B217-8200229FF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lang w:val="en-US" w:eastAsia="en-US" w:bidi="ar-SA"/>
      </w:rPr>
    </w:rPrDefault>
    <w:pPrDefault/>
  </w:docDefaults>
  <w:latentStyles w:defLockedState="0" w:defUIPriority="99" w:defSemiHidden="0" w:defUnhideWhenUsed="0" w:defQFormat="0" w:count="376">
    <w:lsdException w:name="Normal" w:uiPriority="3"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5" w:unhideWhenUsed="1" w:qFormat="1"/>
    <w:lsdException w:name="heading 7" w:semiHidden="1" w:uiPriority="95" w:unhideWhenUsed="1" w:qFormat="1"/>
    <w:lsdException w:name="heading 8" w:semiHidden="1" w:uiPriority="95" w:unhideWhenUsed="1" w:qFormat="1"/>
    <w:lsdException w:name="heading 9" w:semiHidden="1" w:uiPriority="95"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qFormat="1"/>
    <w:lsdException w:name="footnote text" w:semiHidden="1" w:unhideWhenUsed="1" w:qFormat="1"/>
    <w:lsdException w:name="annotation text" w:semiHidden="1" w:unhideWhenUsed="1"/>
    <w:lsdException w:name="header" w:semiHidden="1" w:uiPriority="2"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0"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C9711D"/>
    <w:rPr>
      <w:kern w:val="2"/>
      <w:sz w:val="22"/>
    </w:rPr>
  </w:style>
  <w:style w:type="paragraph" w:styleId="Heading1">
    <w:name w:val="heading 1"/>
    <w:basedOn w:val="Normal"/>
    <w:next w:val="ParaNum"/>
    <w:link w:val="Heading1Char"/>
    <w:qFormat/>
    <w:rsid w:val="004A61FB"/>
    <w:pPr>
      <w:keepNext/>
      <w:numPr>
        <w:numId w:val="10"/>
      </w:numPr>
      <w:suppressAutoHyphens/>
      <w:spacing w:after="120"/>
      <w:outlineLvl w:val="0"/>
    </w:pPr>
    <w:rPr>
      <w:rFonts w:ascii="Times New Roman Bold" w:eastAsia="Times New Roman" w:hAnsi="Times New Roman Bold"/>
      <w:b/>
      <w:caps/>
      <w:snapToGrid w:val="0"/>
      <w:kern w:val="28"/>
    </w:rPr>
  </w:style>
  <w:style w:type="paragraph" w:styleId="Heading2">
    <w:name w:val="heading 2"/>
    <w:basedOn w:val="Normal"/>
    <w:next w:val="ParaNum"/>
    <w:link w:val="Heading2Char"/>
    <w:qFormat/>
    <w:rsid w:val="004A61FB"/>
    <w:pPr>
      <w:keepNext/>
      <w:numPr>
        <w:ilvl w:val="1"/>
        <w:numId w:val="10"/>
      </w:numPr>
      <w:spacing w:after="120"/>
      <w:outlineLvl w:val="1"/>
    </w:pPr>
    <w:rPr>
      <w:rFonts w:eastAsia="Times New Roman"/>
      <w:b/>
      <w:snapToGrid w:val="0"/>
      <w:kern w:val="28"/>
    </w:rPr>
  </w:style>
  <w:style w:type="paragraph" w:styleId="Heading3">
    <w:name w:val="heading 3"/>
    <w:basedOn w:val="Normal"/>
    <w:next w:val="ParaNum"/>
    <w:link w:val="Heading3Char"/>
    <w:qFormat/>
    <w:rsid w:val="004A61FB"/>
    <w:pPr>
      <w:keepNext/>
      <w:numPr>
        <w:ilvl w:val="2"/>
        <w:numId w:val="10"/>
      </w:numPr>
      <w:tabs>
        <w:tab w:val="left" w:pos="2160"/>
      </w:tabs>
      <w:spacing w:after="120"/>
      <w:outlineLvl w:val="2"/>
    </w:pPr>
    <w:rPr>
      <w:rFonts w:ascii="Times New Roman Bold" w:eastAsia="Times New Roman" w:hAnsi="Times New Roman Bold"/>
      <w:b/>
      <w:snapToGrid w:val="0"/>
      <w:kern w:val="28"/>
    </w:rPr>
  </w:style>
  <w:style w:type="paragraph" w:styleId="Heading4">
    <w:name w:val="heading 4"/>
    <w:basedOn w:val="Normal"/>
    <w:next w:val="ParaNum"/>
    <w:link w:val="Heading4Char"/>
    <w:qFormat/>
    <w:rsid w:val="004A61FB"/>
    <w:pPr>
      <w:keepNext/>
      <w:numPr>
        <w:ilvl w:val="3"/>
        <w:numId w:val="10"/>
      </w:numPr>
      <w:tabs>
        <w:tab w:val="left" w:pos="2880"/>
      </w:tabs>
      <w:spacing w:after="120"/>
      <w:outlineLvl w:val="3"/>
    </w:pPr>
    <w:rPr>
      <w:rFonts w:ascii="Times New Roman Bold" w:eastAsia="Times New Roman" w:hAnsi="Times New Roman Bold"/>
      <w:b/>
      <w:snapToGrid w:val="0"/>
      <w:kern w:val="28"/>
    </w:rPr>
  </w:style>
  <w:style w:type="paragraph" w:styleId="Heading5">
    <w:name w:val="heading 5"/>
    <w:basedOn w:val="Normal"/>
    <w:next w:val="ParaNum"/>
    <w:link w:val="Heading5Char"/>
    <w:qFormat/>
    <w:rsid w:val="004A61FB"/>
    <w:pPr>
      <w:keepNext/>
      <w:numPr>
        <w:ilvl w:val="4"/>
        <w:numId w:val="10"/>
      </w:numPr>
      <w:tabs>
        <w:tab w:val="left" w:pos="3600"/>
      </w:tabs>
      <w:suppressAutoHyphens/>
      <w:spacing w:after="120"/>
      <w:outlineLvl w:val="4"/>
    </w:pPr>
    <w:rPr>
      <w:rFonts w:ascii="Times New Roman Bold" w:eastAsia="Times New Roman" w:hAnsi="Times New Roman Bold"/>
      <w:b/>
      <w:snapToGrid w:val="0"/>
      <w:kern w:val="28"/>
    </w:rPr>
  </w:style>
  <w:style w:type="paragraph" w:styleId="Heading6">
    <w:name w:val="heading 6"/>
    <w:basedOn w:val="Normal"/>
    <w:next w:val="ParaNum"/>
    <w:link w:val="Heading6Char"/>
    <w:qFormat/>
    <w:rsid w:val="004A61FB"/>
    <w:pPr>
      <w:keepNext/>
      <w:numPr>
        <w:ilvl w:val="5"/>
        <w:numId w:val="10"/>
      </w:numPr>
      <w:tabs>
        <w:tab w:val="left" w:pos="4320"/>
      </w:tabs>
      <w:spacing w:after="120"/>
      <w:outlineLvl w:val="5"/>
    </w:pPr>
    <w:rPr>
      <w:rFonts w:ascii="Times New Roman Bold" w:eastAsia="Times New Roman" w:hAnsi="Times New Roman Bold"/>
      <w:b/>
      <w:snapToGrid w:val="0"/>
      <w:kern w:val="28"/>
    </w:rPr>
  </w:style>
  <w:style w:type="paragraph" w:styleId="Heading7">
    <w:name w:val="heading 7"/>
    <w:basedOn w:val="Normal"/>
    <w:next w:val="ParaNum"/>
    <w:link w:val="Heading7Char"/>
    <w:qFormat/>
    <w:rsid w:val="004A61FB"/>
    <w:pPr>
      <w:keepNext/>
      <w:numPr>
        <w:ilvl w:val="6"/>
        <w:numId w:val="10"/>
      </w:numPr>
      <w:tabs>
        <w:tab w:val="left" w:pos="5040"/>
      </w:tabs>
      <w:spacing w:after="120"/>
      <w:outlineLvl w:val="6"/>
    </w:pPr>
    <w:rPr>
      <w:rFonts w:ascii="Times New Roman Bold" w:eastAsia="Times New Roman" w:hAnsi="Times New Roman Bold"/>
      <w:b/>
      <w:snapToGrid w:val="0"/>
      <w:kern w:val="28"/>
    </w:rPr>
  </w:style>
  <w:style w:type="paragraph" w:styleId="Heading8">
    <w:name w:val="heading 8"/>
    <w:basedOn w:val="Normal"/>
    <w:next w:val="ParaNum"/>
    <w:link w:val="Heading8Char"/>
    <w:qFormat/>
    <w:rsid w:val="004A61FB"/>
    <w:pPr>
      <w:keepNext/>
      <w:numPr>
        <w:ilvl w:val="7"/>
        <w:numId w:val="10"/>
      </w:numPr>
      <w:tabs>
        <w:tab w:val="left" w:pos="5760"/>
      </w:tabs>
      <w:spacing w:after="120"/>
      <w:outlineLvl w:val="7"/>
    </w:pPr>
    <w:rPr>
      <w:rFonts w:ascii="Times New Roman Bold" w:eastAsia="Times New Roman" w:hAnsi="Times New Roman Bold"/>
      <w:b/>
      <w:snapToGrid w:val="0"/>
      <w:kern w:val="28"/>
    </w:rPr>
  </w:style>
  <w:style w:type="paragraph" w:styleId="Heading9">
    <w:name w:val="heading 9"/>
    <w:basedOn w:val="Normal"/>
    <w:next w:val="ParaNum"/>
    <w:link w:val="Heading9Char"/>
    <w:qFormat/>
    <w:rsid w:val="004A61FB"/>
    <w:pPr>
      <w:keepNext/>
      <w:numPr>
        <w:ilvl w:val="8"/>
        <w:numId w:val="10"/>
      </w:numPr>
      <w:tabs>
        <w:tab w:val="left" w:pos="6480"/>
      </w:tabs>
      <w:spacing w:after="120"/>
      <w:outlineLvl w:val="8"/>
    </w:pPr>
    <w:rPr>
      <w:rFonts w:ascii="Times New Roman Bold" w:eastAsia="Times New Roman" w:hAnsi="Times New Roman Bold"/>
      <w:b/>
      <w:snapToGrid w:val="0"/>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uiPriority w:val="99"/>
    <w:semiHidden/>
    <w:rsid w:val="00AF44B6"/>
    <w:rPr>
      <w:rFonts w:ascii="Calibri" w:hAnsi="Calibri"/>
    </w:rPr>
  </w:style>
  <w:style w:type="paragraph" w:customStyle="1" w:styleId="TitleCenteredBold">
    <w:name w:val="Title Centered Bold"/>
    <w:basedOn w:val="Normal"/>
    <w:next w:val="Normal"/>
    <w:link w:val="TitleCenteredBoldChar"/>
    <w:uiPriority w:val="99"/>
    <w:semiHidden/>
    <w:rsid w:val="00AF44B6"/>
    <w:pPr>
      <w:suppressAutoHyphens/>
      <w:jc w:val="center"/>
    </w:pPr>
    <w:rPr>
      <w:b/>
      <w:kern w:val="0"/>
      <w:szCs w:val="22"/>
    </w:rPr>
  </w:style>
  <w:style w:type="paragraph" w:customStyle="1" w:styleId="Agency">
    <w:name w:val="Agency"/>
    <w:basedOn w:val="TitleCenteredBold"/>
    <w:link w:val="AgencyChar"/>
    <w:unhideWhenUsed/>
    <w:rsid w:val="00B91849"/>
    <w:pPr>
      <w:spacing w:after="240"/>
    </w:pPr>
  </w:style>
  <w:style w:type="numbering" w:customStyle="1" w:styleId="Appendices">
    <w:name w:val="Appendices"/>
    <w:uiPriority w:val="99"/>
    <w:rsid w:val="00F73C38"/>
    <w:pPr>
      <w:numPr>
        <w:numId w:val="1"/>
      </w:numPr>
    </w:pPr>
  </w:style>
  <w:style w:type="paragraph" w:customStyle="1" w:styleId="TitleCAPSCenteredBold">
    <w:name w:val="Title CAPS Centered Bold"/>
    <w:basedOn w:val="TitleCenteredBold"/>
    <w:next w:val="Normal"/>
    <w:semiHidden/>
    <w:qFormat/>
    <w:rsid w:val="00173A10"/>
    <w:pPr>
      <w:spacing w:before="360" w:after="320"/>
    </w:pPr>
    <w:rPr>
      <w:rFonts w:ascii="Times New Roman Bold" w:hAnsi="Times New Roman Bold"/>
      <w:caps/>
      <w:kern w:val="2"/>
    </w:rPr>
  </w:style>
  <w:style w:type="paragraph" w:customStyle="1" w:styleId="AppendixHeading">
    <w:name w:val="Appendix Heading"/>
    <w:basedOn w:val="Agency"/>
    <w:next w:val="AppendixSubtitle"/>
    <w:link w:val="AppendixHeadingChar"/>
    <w:uiPriority w:val="1"/>
    <w:qFormat/>
    <w:rsid w:val="00B91849"/>
    <w:pPr>
      <w:spacing w:after="120"/>
    </w:pPr>
    <w:rPr>
      <w:rFonts w:ascii="Times New Roman Bold" w:hAnsi="Times New Roman Bold"/>
      <w:caps/>
      <w:kern w:val="2"/>
    </w:rPr>
  </w:style>
  <w:style w:type="paragraph" w:styleId="NormalIndent">
    <w:name w:val="Normal Indent"/>
    <w:basedOn w:val="Normal"/>
    <w:link w:val="NormalIndentChar"/>
    <w:uiPriority w:val="1"/>
    <w:semiHidden/>
    <w:qFormat/>
    <w:rsid w:val="00116264"/>
    <w:pPr>
      <w:ind w:firstLine="720"/>
    </w:pPr>
  </w:style>
  <w:style w:type="paragraph" w:customStyle="1" w:styleId="TitleCenteredCapsBoldUnderline">
    <w:name w:val="Title Centered Caps Bold Underline"/>
    <w:basedOn w:val="Normal"/>
    <w:next w:val="Normal"/>
    <w:uiPriority w:val="99"/>
    <w:semiHidden/>
    <w:qFormat/>
    <w:rsid w:val="00AF44B6"/>
    <w:pPr>
      <w:jc w:val="center"/>
    </w:pPr>
    <w:rPr>
      <w:rFonts w:eastAsia="Calibri"/>
      <w:b/>
      <w:bCs/>
      <w:caps/>
      <w:snapToGrid w:val="0"/>
      <w:u w:val="single"/>
    </w:rPr>
  </w:style>
  <w:style w:type="paragraph" w:customStyle="1" w:styleId="Attachment">
    <w:name w:val="Attachment"/>
    <w:basedOn w:val="TitleCenteredCapsBoldUnderline"/>
    <w:uiPriority w:val="99"/>
    <w:semiHidden/>
    <w:qFormat/>
    <w:rsid w:val="00AF44B6"/>
    <w:pPr>
      <w:spacing w:after="200"/>
    </w:pPr>
    <w:rPr>
      <w:caps w:val="0"/>
    </w:rPr>
  </w:style>
  <w:style w:type="character" w:styleId="CommentReference">
    <w:name w:val="annotation reference"/>
    <w:uiPriority w:val="99"/>
    <w:rsid w:val="00AF44B6"/>
    <w:rPr>
      <w:sz w:val="16"/>
      <w:szCs w:val="16"/>
    </w:rPr>
  </w:style>
  <w:style w:type="paragraph" w:styleId="CommentText">
    <w:name w:val="annotation text"/>
    <w:basedOn w:val="Normal"/>
    <w:link w:val="CommentTextChar"/>
    <w:uiPriority w:val="99"/>
    <w:rsid w:val="00AF44B6"/>
    <w:rPr>
      <w:sz w:val="20"/>
    </w:rPr>
  </w:style>
  <w:style w:type="character" w:customStyle="1" w:styleId="CommentTextChar">
    <w:name w:val="Comment Text Char"/>
    <w:link w:val="CommentText"/>
    <w:uiPriority w:val="99"/>
    <w:rsid w:val="00AF44B6"/>
    <w:rPr>
      <w:rFonts w:ascii="Calibri" w:eastAsia="Times New Roman" w:hAnsi="Calibri"/>
      <w:snapToGrid w:val="0"/>
      <w:kern w:val="28"/>
    </w:rPr>
  </w:style>
  <w:style w:type="paragraph" w:styleId="CommentSubject">
    <w:name w:val="annotation subject"/>
    <w:basedOn w:val="CommentText"/>
    <w:next w:val="CommentText"/>
    <w:link w:val="CommentSubjectChar"/>
    <w:uiPriority w:val="99"/>
    <w:semiHidden/>
    <w:rsid w:val="00AF44B6"/>
    <w:rPr>
      <w:b/>
      <w:bCs/>
    </w:rPr>
  </w:style>
  <w:style w:type="character" w:customStyle="1" w:styleId="CommentSubjectChar">
    <w:name w:val="Comment Subject Char"/>
    <w:link w:val="CommentSubject"/>
    <w:uiPriority w:val="99"/>
    <w:semiHidden/>
    <w:rsid w:val="00AF44B6"/>
    <w:rPr>
      <w:rFonts w:ascii="Calibri" w:eastAsia="Times New Roman" w:hAnsi="Calibri"/>
      <w:b/>
      <w:bCs/>
      <w:snapToGrid w:val="0"/>
      <w:kern w:val="28"/>
    </w:rPr>
  </w:style>
  <w:style w:type="paragraph" w:customStyle="1" w:styleId="Dates">
    <w:name w:val="Dates"/>
    <w:basedOn w:val="Normal"/>
    <w:unhideWhenUsed/>
    <w:rsid w:val="00C9711D"/>
    <w:pPr>
      <w:suppressAutoHyphens/>
      <w:spacing w:after="120"/>
      <w:jc w:val="center"/>
    </w:pPr>
    <w:rPr>
      <w:rFonts w:ascii="Times New Roman Bold" w:hAnsi="Times New Roman Bold"/>
      <w:b/>
      <w:caps/>
      <w:szCs w:val="22"/>
    </w:rPr>
  </w:style>
  <w:style w:type="character" w:styleId="EndnoteReference">
    <w:name w:val="endnote reference"/>
    <w:semiHidden/>
    <w:rsid w:val="00AF44B6"/>
    <w:rPr>
      <w:vertAlign w:val="superscript"/>
    </w:rPr>
  </w:style>
  <w:style w:type="paragraph" w:styleId="EndnoteText">
    <w:name w:val="endnote text"/>
    <w:basedOn w:val="Normal"/>
    <w:link w:val="EndnoteTextChar"/>
    <w:semiHidden/>
    <w:rsid w:val="00AF44B6"/>
    <w:rPr>
      <w:sz w:val="20"/>
    </w:rPr>
  </w:style>
  <w:style w:type="character" w:customStyle="1" w:styleId="EndnoteTextChar">
    <w:name w:val="Endnote Text Char"/>
    <w:basedOn w:val="DefaultParagraphFont"/>
    <w:link w:val="EndnoteText"/>
    <w:semiHidden/>
    <w:rsid w:val="00AF44B6"/>
    <w:rPr>
      <w:rFonts w:ascii="Calibri" w:eastAsia="Times New Roman" w:hAnsi="Calibri"/>
      <w:snapToGrid w:val="0"/>
      <w:kern w:val="28"/>
    </w:rPr>
  </w:style>
  <w:style w:type="paragraph" w:styleId="Footer">
    <w:name w:val="footer"/>
    <w:basedOn w:val="Normal"/>
    <w:link w:val="FooterChar"/>
    <w:uiPriority w:val="99"/>
    <w:semiHidden/>
    <w:qFormat/>
    <w:rsid w:val="009D6DE4"/>
    <w:pPr>
      <w:jc w:val="center"/>
    </w:pPr>
  </w:style>
  <w:style w:type="character" w:customStyle="1" w:styleId="FooterChar">
    <w:name w:val="Footer Char"/>
    <w:link w:val="Footer"/>
    <w:uiPriority w:val="99"/>
    <w:semiHidden/>
    <w:rsid w:val="00842186"/>
    <w:rPr>
      <w:kern w:val="2"/>
      <w:sz w:val="22"/>
    </w:rPr>
  </w:style>
  <w:style w:type="character" w:styleId="FootnoteReference">
    <w:name w:val="footnote reference"/>
    <w:uiPriority w:val="3"/>
    <w:unhideWhenUsed/>
    <w:rsid w:val="000D3ACE"/>
    <w:rPr>
      <w:rFonts w:ascii="Times New Roman" w:hAnsi="Times New Roman"/>
      <w:dstrike w:val="0"/>
      <w:color w:val="auto"/>
      <w:sz w:val="20"/>
      <w:vertAlign w:val="superscript"/>
    </w:rPr>
  </w:style>
  <w:style w:type="character" w:customStyle="1" w:styleId="FootnoteReferenceNECG">
    <w:name w:val="Footnote Reference(NECG)"/>
    <w:uiPriority w:val="99"/>
    <w:semiHidden/>
    <w:qFormat/>
    <w:rsid w:val="00AF44B6"/>
    <w:rPr>
      <w:rFonts w:ascii="Calibri" w:hAnsi="Calibri"/>
      <w:dstrike w:val="0"/>
      <w:color w:val="auto"/>
      <w:sz w:val="20"/>
      <w:vertAlign w:val="superscript"/>
    </w:rPr>
  </w:style>
  <w:style w:type="paragraph" w:styleId="FootnoteText">
    <w:name w:val="footnote text"/>
    <w:basedOn w:val="Normal"/>
    <w:link w:val="FootnoteTextChar"/>
    <w:uiPriority w:val="99"/>
    <w:semiHidden/>
    <w:qFormat/>
    <w:rsid w:val="00A4628F"/>
    <w:pPr>
      <w:spacing w:after="120"/>
    </w:pPr>
    <w:rPr>
      <w:sz w:val="20"/>
    </w:rPr>
  </w:style>
  <w:style w:type="character" w:customStyle="1" w:styleId="FootnoteTextChar">
    <w:name w:val="Footnote Text Char"/>
    <w:link w:val="FootnoteText"/>
    <w:uiPriority w:val="99"/>
    <w:semiHidden/>
    <w:rsid w:val="00A4628F"/>
    <w:rPr>
      <w:kern w:val="2"/>
    </w:rPr>
  </w:style>
  <w:style w:type="paragraph" w:customStyle="1" w:styleId="FootnoteTextFCC">
    <w:name w:val="Footnote Text FCC"/>
    <w:basedOn w:val="Normal"/>
    <w:autoRedefine/>
    <w:uiPriority w:val="99"/>
    <w:unhideWhenUsed/>
    <w:rsid w:val="000D3ACE"/>
    <w:rPr>
      <w:sz w:val="20"/>
    </w:rPr>
  </w:style>
  <w:style w:type="paragraph" w:styleId="Header">
    <w:name w:val="header"/>
    <w:basedOn w:val="Normal"/>
    <w:link w:val="HeaderChar"/>
    <w:uiPriority w:val="99"/>
    <w:semiHidden/>
    <w:rsid w:val="00F84EEC"/>
    <w:rPr>
      <w:b/>
    </w:rPr>
  </w:style>
  <w:style w:type="character" w:customStyle="1" w:styleId="HeaderChar">
    <w:name w:val="Header Char"/>
    <w:basedOn w:val="DefaultParagraphFont"/>
    <w:link w:val="Header"/>
    <w:uiPriority w:val="99"/>
    <w:semiHidden/>
    <w:rsid w:val="00164C9A"/>
    <w:rPr>
      <w:rFonts w:ascii="Calibri" w:eastAsia="Times New Roman" w:hAnsi="Calibri"/>
      <w:b/>
      <w:snapToGrid w:val="0"/>
      <w:kern w:val="28"/>
      <w:sz w:val="22"/>
    </w:rPr>
  </w:style>
  <w:style w:type="character" w:customStyle="1" w:styleId="Heading1Char">
    <w:name w:val="Heading 1 Char"/>
    <w:basedOn w:val="DefaultParagraphFont"/>
    <w:link w:val="Heading1"/>
    <w:rsid w:val="007C4EDF"/>
    <w:rPr>
      <w:rFonts w:ascii="Times New Roman Bold" w:eastAsia="Times New Roman" w:hAnsi="Times New Roman Bold"/>
      <w:b/>
      <w:caps/>
      <w:snapToGrid w:val="0"/>
      <w:kern w:val="28"/>
      <w:sz w:val="22"/>
    </w:rPr>
  </w:style>
  <w:style w:type="character" w:customStyle="1" w:styleId="Heading2Char">
    <w:name w:val="Heading 2 Char"/>
    <w:basedOn w:val="DefaultParagraphFont"/>
    <w:link w:val="Heading2"/>
    <w:rsid w:val="007C4EDF"/>
    <w:rPr>
      <w:rFonts w:eastAsia="Times New Roman"/>
      <w:b/>
      <w:snapToGrid w:val="0"/>
      <w:kern w:val="28"/>
      <w:sz w:val="22"/>
    </w:rPr>
  </w:style>
  <w:style w:type="character" w:customStyle="1" w:styleId="Heading3Char">
    <w:name w:val="Heading 3 Char"/>
    <w:basedOn w:val="DefaultParagraphFont"/>
    <w:link w:val="Heading3"/>
    <w:rsid w:val="004A61FB"/>
    <w:rPr>
      <w:rFonts w:ascii="Times New Roman Bold" w:eastAsia="Times New Roman" w:hAnsi="Times New Roman Bold"/>
      <w:b/>
      <w:snapToGrid w:val="0"/>
      <w:kern w:val="28"/>
      <w:sz w:val="22"/>
    </w:rPr>
  </w:style>
  <w:style w:type="character" w:customStyle="1" w:styleId="Heading4Char">
    <w:name w:val="Heading 4 Char"/>
    <w:basedOn w:val="DefaultParagraphFont"/>
    <w:link w:val="Heading4"/>
    <w:rsid w:val="004A61FB"/>
    <w:rPr>
      <w:rFonts w:ascii="Times New Roman Bold" w:eastAsia="Times New Roman" w:hAnsi="Times New Roman Bold"/>
      <w:b/>
      <w:snapToGrid w:val="0"/>
      <w:kern w:val="28"/>
      <w:sz w:val="22"/>
    </w:rPr>
  </w:style>
  <w:style w:type="character" w:customStyle="1" w:styleId="Heading5Char">
    <w:name w:val="Heading 5 Char"/>
    <w:basedOn w:val="DefaultParagraphFont"/>
    <w:link w:val="Heading5"/>
    <w:rsid w:val="004A61FB"/>
    <w:rPr>
      <w:rFonts w:ascii="Times New Roman Bold" w:eastAsia="Times New Roman" w:hAnsi="Times New Roman Bold"/>
      <w:b/>
      <w:snapToGrid w:val="0"/>
      <w:kern w:val="28"/>
      <w:sz w:val="22"/>
    </w:rPr>
  </w:style>
  <w:style w:type="character" w:customStyle="1" w:styleId="Heading6Char">
    <w:name w:val="Heading 6 Char"/>
    <w:basedOn w:val="DefaultParagraphFont"/>
    <w:link w:val="Heading6"/>
    <w:rsid w:val="004A61FB"/>
    <w:rPr>
      <w:rFonts w:ascii="Times New Roman Bold" w:eastAsia="Times New Roman" w:hAnsi="Times New Roman Bold"/>
      <w:b/>
      <w:snapToGrid w:val="0"/>
      <w:kern w:val="28"/>
      <w:sz w:val="22"/>
    </w:rPr>
  </w:style>
  <w:style w:type="character" w:customStyle="1" w:styleId="Heading7Char">
    <w:name w:val="Heading 7 Char"/>
    <w:basedOn w:val="DefaultParagraphFont"/>
    <w:link w:val="Heading7"/>
    <w:rsid w:val="004A61FB"/>
    <w:rPr>
      <w:rFonts w:ascii="Times New Roman Bold" w:eastAsia="Times New Roman" w:hAnsi="Times New Roman Bold"/>
      <w:b/>
      <w:snapToGrid w:val="0"/>
      <w:kern w:val="28"/>
      <w:sz w:val="22"/>
    </w:rPr>
  </w:style>
  <w:style w:type="character" w:customStyle="1" w:styleId="Heading8Char">
    <w:name w:val="Heading 8 Char"/>
    <w:basedOn w:val="DefaultParagraphFont"/>
    <w:link w:val="Heading8"/>
    <w:rsid w:val="004A61FB"/>
    <w:rPr>
      <w:rFonts w:ascii="Times New Roman Bold" w:eastAsia="Times New Roman" w:hAnsi="Times New Roman Bold"/>
      <w:b/>
      <w:snapToGrid w:val="0"/>
      <w:kern w:val="28"/>
      <w:sz w:val="22"/>
    </w:rPr>
  </w:style>
  <w:style w:type="character" w:customStyle="1" w:styleId="Heading9Char">
    <w:name w:val="Heading 9 Char"/>
    <w:basedOn w:val="DefaultParagraphFont"/>
    <w:link w:val="Heading9"/>
    <w:rsid w:val="004A61FB"/>
    <w:rPr>
      <w:rFonts w:ascii="Times New Roman Bold" w:eastAsia="Times New Roman" w:hAnsi="Times New Roman Bold"/>
      <w:b/>
      <w:snapToGrid w:val="0"/>
      <w:kern w:val="28"/>
      <w:sz w:val="22"/>
    </w:rPr>
  </w:style>
  <w:style w:type="character" w:styleId="Hyperlink">
    <w:name w:val="Hyperlink"/>
    <w:rsid w:val="00AF44B6"/>
    <w:rPr>
      <w:color w:val="0000FF"/>
      <w:u w:val="single"/>
    </w:rPr>
  </w:style>
  <w:style w:type="paragraph" w:customStyle="1" w:styleId="NormalTextIndent">
    <w:name w:val="Normal Text Indent"/>
    <w:basedOn w:val="Normal"/>
    <w:uiPriority w:val="3"/>
    <w:semiHidden/>
    <w:rsid w:val="00AF44B6"/>
    <w:pPr>
      <w:spacing w:after="220"/>
      <w:ind w:firstLine="720"/>
    </w:pPr>
    <w:rPr>
      <w:szCs w:val="22"/>
    </w:rPr>
  </w:style>
  <w:style w:type="paragraph" w:customStyle="1" w:styleId="NIBullet">
    <w:name w:val="NI Bullet"/>
    <w:basedOn w:val="NormalTextIndent"/>
    <w:uiPriority w:val="2"/>
    <w:semiHidden/>
    <w:qFormat/>
    <w:rsid w:val="00116264"/>
    <w:pPr>
      <w:numPr>
        <w:numId w:val="3"/>
      </w:numPr>
    </w:pPr>
  </w:style>
  <w:style w:type="paragraph" w:customStyle="1" w:styleId="NIBullet2">
    <w:name w:val="NI Bullet 2"/>
    <w:basedOn w:val="NIBullet"/>
    <w:uiPriority w:val="98"/>
    <w:rsid w:val="00AF44B6"/>
    <w:pPr>
      <w:numPr>
        <w:ilvl w:val="1"/>
      </w:numPr>
    </w:pPr>
  </w:style>
  <w:style w:type="paragraph" w:customStyle="1" w:styleId="NIBullet3">
    <w:name w:val="NI Bullet 3"/>
    <w:basedOn w:val="NIBullet"/>
    <w:uiPriority w:val="98"/>
    <w:rsid w:val="00AF44B6"/>
    <w:pPr>
      <w:numPr>
        <w:ilvl w:val="2"/>
      </w:numPr>
    </w:pPr>
  </w:style>
  <w:style w:type="paragraph" w:customStyle="1" w:styleId="NIBullet4">
    <w:name w:val="NI Bullet 4"/>
    <w:basedOn w:val="NIBullet"/>
    <w:uiPriority w:val="98"/>
    <w:unhideWhenUsed/>
    <w:rsid w:val="00AF44B6"/>
    <w:pPr>
      <w:numPr>
        <w:ilvl w:val="3"/>
      </w:numPr>
    </w:pPr>
  </w:style>
  <w:style w:type="paragraph" w:customStyle="1" w:styleId="NIBullet5">
    <w:name w:val="NI Bullet 5"/>
    <w:basedOn w:val="NIBullet4"/>
    <w:uiPriority w:val="98"/>
    <w:unhideWhenUsed/>
    <w:rsid w:val="00AF44B6"/>
    <w:pPr>
      <w:numPr>
        <w:ilvl w:val="4"/>
      </w:numPr>
    </w:pPr>
  </w:style>
  <w:style w:type="paragraph" w:customStyle="1" w:styleId="NIBullet6">
    <w:name w:val="NI Bullet 6"/>
    <w:basedOn w:val="NIBullet5"/>
    <w:uiPriority w:val="98"/>
    <w:unhideWhenUsed/>
    <w:rsid w:val="00AF44B6"/>
    <w:pPr>
      <w:numPr>
        <w:ilvl w:val="5"/>
      </w:numPr>
    </w:pPr>
  </w:style>
  <w:style w:type="paragraph" w:customStyle="1" w:styleId="NIBullet7">
    <w:name w:val="NI Bullet 7"/>
    <w:basedOn w:val="NIBullet6"/>
    <w:uiPriority w:val="98"/>
    <w:unhideWhenUsed/>
    <w:rsid w:val="00AF44B6"/>
    <w:pPr>
      <w:numPr>
        <w:ilvl w:val="6"/>
      </w:numPr>
    </w:pPr>
  </w:style>
  <w:style w:type="paragraph" w:customStyle="1" w:styleId="NIBullet8">
    <w:name w:val="NI Bullet 8"/>
    <w:basedOn w:val="NIBullet7"/>
    <w:uiPriority w:val="98"/>
    <w:unhideWhenUsed/>
    <w:rsid w:val="00AF44B6"/>
    <w:pPr>
      <w:numPr>
        <w:ilvl w:val="7"/>
      </w:numPr>
    </w:pPr>
  </w:style>
  <w:style w:type="paragraph" w:customStyle="1" w:styleId="NIBullet9">
    <w:name w:val="NI Bullet 9"/>
    <w:basedOn w:val="NIBullet8"/>
    <w:uiPriority w:val="98"/>
    <w:unhideWhenUsed/>
    <w:rsid w:val="00AF44B6"/>
    <w:pPr>
      <w:numPr>
        <w:ilvl w:val="8"/>
      </w:numPr>
    </w:pPr>
  </w:style>
  <w:style w:type="paragraph" w:customStyle="1" w:styleId="NIList">
    <w:name w:val="NI List"/>
    <w:basedOn w:val="NormalIndent"/>
    <w:uiPriority w:val="2"/>
    <w:unhideWhenUsed/>
    <w:rsid w:val="00AC5267"/>
    <w:pPr>
      <w:numPr>
        <w:numId w:val="6"/>
      </w:numPr>
      <w:ind w:left="1800"/>
    </w:pPr>
  </w:style>
  <w:style w:type="paragraph" w:customStyle="1" w:styleId="NIList2">
    <w:name w:val="NI List 2"/>
    <w:basedOn w:val="NIList"/>
    <w:uiPriority w:val="98"/>
    <w:rsid w:val="00AC5267"/>
    <w:pPr>
      <w:numPr>
        <w:ilvl w:val="1"/>
      </w:numPr>
      <w:ind w:left="2160"/>
    </w:pPr>
  </w:style>
  <w:style w:type="paragraph" w:customStyle="1" w:styleId="NIList3">
    <w:name w:val="NI List 3"/>
    <w:basedOn w:val="NIList"/>
    <w:uiPriority w:val="98"/>
    <w:rsid w:val="00AC5267"/>
    <w:pPr>
      <w:numPr>
        <w:ilvl w:val="2"/>
      </w:numPr>
      <w:ind w:left="2520"/>
    </w:pPr>
  </w:style>
  <w:style w:type="paragraph" w:customStyle="1" w:styleId="NIList4">
    <w:name w:val="NI List 4"/>
    <w:basedOn w:val="NIList3"/>
    <w:uiPriority w:val="98"/>
    <w:unhideWhenUsed/>
    <w:rsid w:val="00AC5267"/>
    <w:pPr>
      <w:numPr>
        <w:ilvl w:val="3"/>
      </w:numPr>
      <w:ind w:left="2880"/>
    </w:pPr>
  </w:style>
  <w:style w:type="paragraph" w:customStyle="1" w:styleId="NIList5">
    <w:name w:val="NI List 5"/>
    <w:basedOn w:val="NIList4"/>
    <w:uiPriority w:val="98"/>
    <w:unhideWhenUsed/>
    <w:rsid w:val="00AC5267"/>
    <w:pPr>
      <w:numPr>
        <w:ilvl w:val="4"/>
      </w:numPr>
      <w:ind w:left="3240"/>
    </w:pPr>
  </w:style>
  <w:style w:type="paragraph" w:customStyle="1" w:styleId="NIList6">
    <w:name w:val="NI List 6"/>
    <w:basedOn w:val="NIList5"/>
    <w:uiPriority w:val="98"/>
    <w:unhideWhenUsed/>
    <w:rsid w:val="00AC5267"/>
    <w:pPr>
      <w:numPr>
        <w:ilvl w:val="5"/>
      </w:numPr>
      <w:ind w:left="3600"/>
    </w:pPr>
  </w:style>
  <w:style w:type="paragraph" w:customStyle="1" w:styleId="NIList7">
    <w:name w:val="NI List 7"/>
    <w:basedOn w:val="NIList6"/>
    <w:uiPriority w:val="98"/>
    <w:unhideWhenUsed/>
    <w:rsid w:val="00AC5267"/>
    <w:pPr>
      <w:numPr>
        <w:ilvl w:val="6"/>
      </w:numPr>
      <w:ind w:left="3960"/>
    </w:pPr>
  </w:style>
  <w:style w:type="paragraph" w:customStyle="1" w:styleId="NIList8">
    <w:name w:val="NI List 8"/>
    <w:basedOn w:val="NIList7"/>
    <w:uiPriority w:val="98"/>
    <w:unhideWhenUsed/>
    <w:rsid w:val="00AC5267"/>
    <w:pPr>
      <w:numPr>
        <w:ilvl w:val="7"/>
      </w:numPr>
      <w:ind w:left="4320"/>
    </w:pPr>
  </w:style>
  <w:style w:type="paragraph" w:customStyle="1" w:styleId="NIList9">
    <w:name w:val="NI List 9"/>
    <w:basedOn w:val="NIList8"/>
    <w:uiPriority w:val="98"/>
    <w:unhideWhenUsed/>
    <w:rsid w:val="00AC5267"/>
    <w:pPr>
      <w:numPr>
        <w:ilvl w:val="8"/>
      </w:numPr>
      <w:ind w:left="4680"/>
    </w:pPr>
  </w:style>
  <w:style w:type="paragraph" w:customStyle="1" w:styleId="NormalBold">
    <w:name w:val="Normal Bold"/>
    <w:basedOn w:val="Normal"/>
    <w:next w:val="Normal"/>
    <w:uiPriority w:val="1"/>
    <w:semiHidden/>
    <w:qFormat/>
    <w:rsid w:val="00AF44B6"/>
    <w:rPr>
      <w:b/>
    </w:rPr>
  </w:style>
  <w:style w:type="paragraph" w:customStyle="1" w:styleId="NormalCenteredBold">
    <w:name w:val="Normal Centered Bold"/>
    <w:basedOn w:val="Normal"/>
    <w:next w:val="Normal"/>
    <w:uiPriority w:val="1"/>
    <w:semiHidden/>
    <w:qFormat/>
    <w:rsid w:val="00AF44B6"/>
    <w:pPr>
      <w:jc w:val="center"/>
    </w:pPr>
    <w:rPr>
      <w:rFonts w:eastAsia="Calibri"/>
      <w:b/>
      <w:kern w:val="0"/>
      <w:szCs w:val="22"/>
    </w:rPr>
  </w:style>
  <w:style w:type="character" w:styleId="PageNumber">
    <w:name w:val="page number"/>
    <w:uiPriority w:val="1"/>
    <w:semiHidden/>
    <w:rsid w:val="00AF44B6"/>
    <w:rPr>
      <w:rFonts w:ascii="Calibri" w:hAnsi="Calibri"/>
      <w:b w:val="0"/>
      <w:i w:val="0"/>
      <w:sz w:val="22"/>
    </w:rPr>
  </w:style>
  <w:style w:type="paragraph" w:customStyle="1" w:styleId="ParaText">
    <w:name w:val="Para Text"/>
    <w:basedOn w:val="Normal"/>
    <w:next w:val="Normal"/>
    <w:uiPriority w:val="99"/>
    <w:semiHidden/>
    <w:qFormat/>
    <w:rsid w:val="00AF44B6"/>
    <w:pPr>
      <w:ind w:left="720" w:right="720"/>
    </w:pPr>
  </w:style>
  <w:style w:type="paragraph" w:customStyle="1" w:styleId="ParaNum">
    <w:name w:val="ParaNum"/>
    <w:basedOn w:val="Normal"/>
    <w:link w:val="ParaNumChar"/>
    <w:qFormat/>
    <w:rsid w:val="00A4628F"/>
    <w:pPr>
      <w:numPr>
        <w:numId w:val="8"/>
      </w:numPr>
      <w:spacing w:after="120"/>
    </w:pPr>
  </w:style>
  <w:style w:type="character" w:customStyle="1" w:styleId="ParaNumChar">
    <w:name w:val="ParaNum Char"/>
    <w:link w:val="ParaNum"/>
    <w:rsid w:val="00A4628F"/>
    <w:rPr>
      <w:kern w:val="2"/>
      <w:sz w:val="22"/>
    </w:rPr>
  </w:style>
  <w:style w:type="paragraph" w:customStyle="1" w:styleId="ParaNumBullet">
    <w:name w:val="ParaNum Bullet"/>
    <w:basedOn w:val="ParaNum"/>
    <w:uiPriority w:val="2"/>
    <w:semiHidden/>
    <w:qFormat/>
    <w:rsid w:val="00116264"/>
    <w:pPr>
      <w:numPr>
        <w:numId w:val="7"/>
      </w:numPr>
      <w:ind w:left="1800"/>
    </w:pPr>
  </w:style>
  <w:style w:type="paragraph" w:customStyle="1" w:styleId="ReferenceLine">
    <w:name w:val="Reference Line"/>
    <w:basedOn w:val="FootnoteText"/>
    <w:next w:val="NormalIndent"/>
    <w:uiPriority w:val="96"/>
    <w:rsid w:val="00131F52"/>
  </w:style>
  <w:style w:type="paragraph" w:customStyle="1" w:styleId="SeparateStatementHeading">
    <w:name w:val="Separate Statement Heading"/>
    <w:basedOn w:val="TitleCAPSCenteredBold"/>
    <w:next w:val="Normal"/>
    <w:uiPriority w:val="96"/>
    <w:rsid w:val="00116264"/>
  </w:style>
  <w:style w:type="paragraph" w:customStyle="1" w:styleId="SeparateStatementPosition">
    <w:name w:val="Separate Statement Position"/>
    <w:basedOn w:val="TitleCAPSCenteredBold"/>
    <w:next w:val="ReferenceLine"/>
    <w:uiPriority w:val="96"/>
    <w:rsid w:val="00116264"/>
    <w:pPr>
      <w:spacing w:after="120"/>
    </w:pPr>
  </w:style>
  <w:style w:type="paragraph" w:customStyle="1" w:styleId="Signature-Lines">
    <w:name w:val="Signature - Lines"/>
    <w:basedOn w:val="Normal"/>
    <w:uiPriority w:val="95"/>
    <w:rsid w:val="00BB4646"/>
    <w:rPr>
      <w:rFonts w:eastAsia="Calibri"/>
      <w:caps/>
      <w:szCs w:val="22"/>
    </w:rPr>
  </w:style>
  <w:style w:type="paragraph" w:customStyle="1" w:styleId="SignatureFCC">
    <w:name w:val="Signature FCC"/>
    <w:basedOn w:val="Normal"/>
    <w:next w:val="Normal"/>
    <w:uiPriority w:val="99"/>
    <w:semiHidden/>
    <w:rsid w:val="00AF44B6"/>
    <w:pPr>
      <w:widowControl w:val="0"/>
      <w:ind w:left="4320"/>
    </w:pPr>
    <w:rPr>
      <w:caps/>
      <w:szCs w:val="22"/>
    </w:rPr>
  </w:style>
  <w:style w:type="paragraph" w:customStyle="1" w:styleId="Signature-AgencyName">
    <w:name w:val="Signature - Agency Name"/>
    <w:basedOn w:val="Normal"/>
    <w:uiPriority w:val="95"/>
    <w:qFormat/>
    <w:rsid w:val="002A5C1F"/>
    <w:pPr>
      <w:keepNext/>
      <w:ind w:left="4320"/>
    </w:pPr>
    <w:rPr>
      <w:rFonts w:eastAsia="Calibri"/>
      <w:szCs w:val="22"/>
    </w:rPr>
  </w:style>
  <w:style w:type="paragraph" w:customStyle="1" w:styleId="Space6">
    <w:name w:val="Space 6"/>
    <w:basedOn w:val="Header"/>
    <w:uiPriority w:val="1"/>
    <w:semiHidden/>
    <w:rsid w:val="00AF44B6"/>
    <w:rPr>
      <w:sz w:val="12"/>
    </w:rPr>
  </w:style>
  <w:style w:type="numbering" w:customStyle="1" w:styleId="Style1">
    <w:name w:val="Style1"/>
    <w:uiPriority w:val="99"/>
    <w:rsid w:val="00AF44B6"/>
    <w:pPr>
      <w:numPr>
        <w:numId w:val="5"/>
      </w:numPr>
    </w:pPr>
  </w:style>
  <w:style w:type="numbering" w:customStyle="1" w:styleId="Style2">
    <w:name w:val="Style2"/>
    <w:uiPriority w:val="99"/>
    <w:rsid w:val="00AF44B6"/>
    <w:pPr>
      <w:numPr>
        <w:numId w:val="4"/>
      </w:numPr>
    </w:pPr>
  </w:style>
  <w:style w:type="table" w:styleId="TableGrid">
    <w:name w:val="Table Grid"/>
    <w:basedOn w:val="TableNormal"/>
    <w:uiPriority w:val="39"/>
    <w:rsid w:val="00AF44B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rmat">
    <w:name w:val="TableFormat"/>
    <w:basedOn w:val="Normal"/>
    <w:uiPriority w:val="99"/>
    <w:semiHidden/>
    <w:rsid w:val="00AF44B6"/>
    <w:pPr>
      <w:tabs>
        <w:tab w:val="left" w:pos="5040"/>
      </w:tabs>
      <w:spacing w:after="220"/>
      <w:ind w:left="5040" w:hanging="3600"/>
    </w:pPr>
  </w:style>
  <w:style w:type="paragraph" w:customStyle="1" w:styleId="TitleBold">
    <w:name w:val="Title Bold"/>
    <w:basedOn w:val="Normal"/>
    <w:next w:val="Normal"/>
    <w:uiPriority w:val="99"/>
    <w:semiHidden/>
    <w:qFormat/>
    <w:rsid w:val="00AF44B6"/>
    <w:pPr>
      <w:tabs>
        <w:tab w:val="left" w:pos="720"/>
        <w:tab w:val="right" w:pos="9360"/>
      </w:tabs>
      <w:suppressAutoHyphens/>
    </w:pPr>
    <w:rPr>
      <w:b/>
      <w:spacing w:val="-2"/>
    </w:rPr>
  </w:style>
  <w:style w:type="paragraph" w:customStyle="1" w:styleId="TitleBoldRight">
    <w:name w:val="Title Bold Right"/>
    <w:basedOn w:val="Normal"/>
    <w:next w:val="Normal"/>
    <w:uiPriority w:val="99"/>
    <w:semiHidden/>
    <w:rsid w:val="00AF44B6"/>
    <w:pPr>
      <w:tabs>
        <w:tab w:val="left" w:pos="720"/>
        <w:tab w:val="right" w:pos="9360"/>
      </w:tabs>
      <w:suppressAutoHyphens/>
      <w:jc w:val="center"/>
    </w:pPr>
    <w:rPr>
      <w:b/>
      <w:spacing w:val="-2"/>
    </w:rPr>
  </w:style>
  <w:style w:type="paragraph" w:styleId="TOAHeading">
    <w:name w:val="toa heading"/>
    <w:basedOn w:val="Normal"/>
    <w:next w:val="Normal"/>
    <w:semiHidden/>
    <w:rsid w:val="00AF44B6"/>
    <w:pPr>
      <w:tabs>
        <w:tab w:val="right" w:pos="9360"/>
      </w:tabs>
      <w:suppressAutoHyphens/>
    </w:pPr>
  </w:style>
  <w:style w:type="paragraph" w:styleId="TOC1">
    <w:name w:val="toc 1"/>
    <w:basedOn w:val="Normal"/>
    <w:next w:val="Normal"/>
    <w:rsid w:val="00C1532D"/>
    <w:pPr>
      <w:widowControl w:val="0"/>
      <w:tabs>
        <w:tab w:val="left" w:pos="360"/>
        <w:tab w:val="right" w:leader="dot" w:pos="9360"/>
      </w:tabs>
      <w:suppressAutoHyphens/>
      <w:ind w:left="360" w:right="720" w:hanging="360"/>
    </w:pPr>
    <w:rPr>
      <w:rFonts w:eastAsia="Times New Roman"/>
      <w:caps/>
      <w:noProof/>
      <w:snapToGrid w:val="0"/>
      <w:kern w:val="28"/>
    </w:rPr>
  </w:style>
  <w:style w:type="paragraph" w:styleId="TOC2">
    <w:name w:val="toc 2"/>
    <w:basedOn w:val="Normal"/>
    <w:next w:val="Normal"/>
    <w:rsid w:val="00C1532D"/>
    <w:pPr>
      <w:widowControl w:val="0"/>
      <w:tabs>
        <w:tab w:val="left" w:pos="720"/>
        <w:tab w:val="right" w:leader="dot" w:pos="9360"/>
      </w:tabs>
      <w:suppressAutoHyphens/>
      <w:ind w:left="720" w:right="720" w:hanging="360"/>
    </w:pPr>
    <w:rPr>
      <w:rFonts w:eastAsia="Times New Roman"/>
      <w:noProof/>
      <w:snapToGrid w:val="0"/>
      <w:kern w:val="28"/>
    </w:rPr>
  </w:style>
  <w:style w:type="paragraph" w:styleId="TOC3">
    <w:name w:val="toc 3"/>
    <w:basedOn w:val="Normal"/>
    <w:next w:val="Normal"/>
    <w:rsid w:val="00C1532D"/>
    <w:pPr>
      <w:widowControl w:val="0"/>
      <w:tabs>
        <w:tab w:val="left" w:pos="1080"/>
        <w:tab w:val="right" w:leader="dot" w:pos="9360"/>
      </w:tabs>
      <w:suppressAutoHyphens/>
      <w:ind w:left="1080" w:right="720" w:hanging="360"/>
    </w:pPr>
    <w:rPr>
      <w:rFonts w:eastAsia="Times New Roman"/>
      <w:noProof/>
      <w:snapToGrid w:val="0"/>
      <w:kern w:val="28"/>
    </w:rPr>
  </w:style>
  <w:style w:type="paragraph" w:styleId="TOC4">
    <w:name w:val="toc 4"/>
    <w:basedOn w:val="Normal"/>
    <w:next w:val="Normal"/>
    <w:autoRedefine/>
    <w:rsid w:val="00C1532D"/>
    <w:pPr>
      <w:widowControl w:val="0"/>
      <w:tabs>
        <w:tab w:val="left" w:pos="1440"/>
        <w:tab w:val="right" w:leader="dot" w:pos="9360"/>
      </w:tabs>
      <w:suppressAutoHyphens/>
      <w:ind w:left="1440" w:right="720" w:hanging="360"/>
    </w:pPr>
    <w:rPr>
      <w:rFonts w:eastAsia="Times New Roman"/>
      <w:noProof/>
      <w:snapToGrid w:val="0"/>
      <w:kern w:val="28"/>
    </w:rPr>
  </w:style>
  <w:style w:type="paragraph" w:styleId="TOC5">
    <w:name w:val="toc 5"/>
    <w:basedOn w:val="Normal"/>
    <w:next w:val="Normal"/>
    <w:autoRedefine/>
    <w:rsid w:val="00C1532D"/>
    <w:pPr>
      <w:widowControl w:val="0"/>
      <w:tabs>
        <w:tab w:val="left" w:pos="1800"/>
        <w:tab w:val="right" w:leader="dot" w:pos="9360"/>
      </w:tabs>
      <w:suppressAutoHyphens/>
      <w:ind w:left="1800" w:right="720" w:hanging="360"/>
    </w:pPr>
    <w:rPr>
      <w:rFonts w:eastAsia="Times New Roman"/>
      <w:noProof/>
      <w:snapToGrid w:val="0"/>
      <w:kern w:val="28"/>
    </w:rPr>
  </w:style>
  <w:style w:type="paragraph" w:styleId="TOC6">
    <w:name w:val="toc 6"/>
    <w:basedOn w:val="Normal"/>
    <w:next w:val="Normal"/>
    <w:autoRedefine/>
    <w:semiHidden/>
    <w:rsid w:val="00C1532D"/>
    <w:pPr>
      <w:widowControl w:val="0"/>
      <w:tabs>
        <w:tab w:val="left" w:pos="2160"/>
        <w:tab w:val="right" w:leader="dot" w:pos="9360"/>
      </w:tabs>
      <w:suppressAutoHyphens/>
      <w:ind w:left="2160" w:hanging="360"/>
    </w:pPr>
    <w:rPr>
      <w:rFonts w:eastAsia="Times New Roman"/>
      <w:noProof/>
      <w:snapToGrid w:val="0"/>
      <w:kern w:val="28"/>
    </w:rPr>
  </w:style>
  <w:style w:type="paragraph" w:styleId="TOC7">
    <w:name w:val="toc 7"/>
    <w:basedOn w:val="Normal"/>
    <w:next w:val="Normal"/>
    <w:autoRedefine/>
    <w:semiHidden/>
    <w:rsid w:val="00C1532D"/>
    <w:pPr>
      <w:widowControl w:val="0"/>
      <w:tabs>
        <w:tab w:val="left" w:pos="2520"/>
        <w:tab w:val="right" w:leader="dot" w:pos="9360"/>
      </w:tabs>
      <w:suppressAutoHyphens/>
      <w:ind w:left="2520" w:hanging="360"/>
    </w:pPr>
    <w:rPr>
      <w:rFonts w:eastAsia="Times New Roman"/>
      <w:noProof/>
      <w:snapToGrid w:val="0"/>
      <w:kern w:val="28"/>
    </w:rPr>
  </w:style>
  <w:style w:type="paragraph" w:styleId="TOC8">
    <w:name w:val="toc 8"/>
    <w:basedOn w:val="Normal"/>
    <w:next w:val="Normal"/>
    <w:autoRedefine/>
    <w:semiHidden/>
    <w:rsid w:val="00C1532D"/>
    <w:pPr>
      <w:widowControl w:val="0"/>
      <w:tabs>
        <w:tab w:val="left" w:pos="2880"/>
        <w:tab w:val="right" w:leader="dot" w:pos="9360"/>
      </w:tabs>
      <w:suppressAutoHyphens/>
      <w:ind w:left="2880" w:hanging="360"/>
    </w:pPr>
    <w:rPr>
      <w:rFonts w:eastAsia="Times New Roman"/>
      <w:noProof/>
      <w:snapToGrid w:val="0"/>
      <w:kern w:val="28"/>
    </w:rPr>
  </w:style>
  <w:style w:type="paragraph" w:styleId="TOC9">
    <w:name w:val="toc 9"/>
    <w:basedOn w:val="Normal"/>
    <w:next w:val="Normal"/>
    <w:autoRedefine/>
    <w:semiHidden/>
    <w:rsid w:val="00C1532D"/>
    <w:pPr>
      <w:widowControl w:val="0"/>
      <w:tabs>
        <w:tab w:val="left" w:pos="3240"/>
        <w:tab w:val="right" w:leader="dot" w:pos="9360"/>
      </w:tabs>
      <w:suppressAutoHyphens/>
      <w:ind w:left="3240" w:hanging="360"/>
    </w:pPr>
    <w:rPr>
      <w:rFonts w:eastAsia="Times New Roman"/>
      <w:noProof/>
      <w:snapToGrid w:val="0"/>
      <w:kern w:val="28"/>
    </w:rPr>
  </w:style>
  <w:style w:type="paragraph" w:customStyle="1" w:styleId="TOCAppendix">
    <w:name w:val="TOC Appendix"/>
    <w:basedOn w:val="Normal"/>
    <w:uiPriority w:val="99"/>
    <w:semiHidden/>
    <w:rsid w:val="00AF44B6"/>
    <w:pPr>
      <w:widowControl w:val="0"/>
      <w:tabs>
        <w:tab w:val="center" w:pos="9270"/>
      </w:tabs>
    </w:pPr>
    <w:rPr>
      <w:rFonts w:ascii="Calibri Light" w:hAnsi="Calibri Light"/>
      <w:spacing w:val="-2"/>
    </w:rPr>
  </w:style>
  <w:style w:type="paragraph" w:styleId="TOCHeading">
    <w:name w:val="TOC Heading"/>
    <w:basedOn w:val="Heading1"/>
    <w:next w:val="Normal"/>
    <w:uiPriority w:val="39"/>
    <w:semiHidden/>
    <w:qFormat/>
    <w:rsid w:val="00AF44B6"/>
    <w:pPr>
      <w:suppressAutoHyphens w:val="0"/>
      <w:spacing w:before="240" w:line="259" w:lineRule="auto"/>
      <w:outlineLvl w:val="9"/>
    </w:pPr>
    <w:rPr>
      <w:rFonts w:asciiTheme="majorHAnsi" w:eastAsiaTheme="majorEastAsia" w:hAnsiTheme="majorHAnsi" w:cstheme="majorBidi"/>
      <w:b w:val="0"/>
      <w:caps w:val="0"/>
      <w:snapToGrid/>
      <w:color w:val="2E74B5" w:themeColor="accent1" w:themeShade="BF"/>
      <w:kern w:val="0"/>
      <w:sz w:val="32"/>
      <w:szCs w:val="32"/>
    </w:rPr>
  </w:style>
  <w:style w:type="paragraph" w:customStyle="1" w:styleId="TOCParaTitle">
    <w:name w:val="TOC Para Title"/>
    <w:basedOn w:val="Normal"/>
    <w:next w:val="Normal"/>
    <w:uiPriority w:val="99"/>
    <w:semiHidden/>
    <w:rsid w:val="00917E36"/>
    <w:pPr>
      <w:widowControl w:val="0"/>
      <w:tabs>
        <w:tab w:val="center" w:pos="9270"/>
      </w:tabs>
      <w:spacing w:after="240"/>
    </w:pPr>
  </w:style>
  <w:style w:type="paragraph" w:customStyle="1" w:styleId="TOCSubtitlePlain">
    <w:name w:val="TOC Subtitle Plain"/>
    <w:basedOn w:val="Normal"/>
    <w:next w:val="Normal"/>
    <w:uiPriority w:val="99"/>
    <w:semiHidden/>
    <w:rsid w:val="00AF44B6"/>
    <w:pPr>
      <w:tabs>
        <w:tab w:val="center" w:pos="9270"/>
      </w:tabs>
    </w:pPr>
    <w:rPr>
      <w:spacing w:val="-2"/>
    </w:rPr>
  </w:style>
  <w:style w:type="paragraph" w:customStyle="1" w:styleId="TOCTitle">
    <w:name w:val="TOC Title"/>
    <w:basedOn w:val="Normal"/>
    <w:rsid w:val="00C1532D"/>
    <w:pPr>
      <w:widowControl w:val="0"/>
      <w:spacing w:before="240" w:after="240"/>
      <w:jc w:val="center"/>
    </w:pPr>
    <w:rPr>
      <w:rFonts w:ascii="Times New Roman Bold" w:eastAsia="Times New Roman" w:hAnsi="Times New Roman Bold"/>
      <w:b/>
      <w:caps/>
      <w:snapToGrid w:val="0"/>
      <w:spacing w:val="-2"/>
      <w:kern w:val="28"/>
    </w:rPr>
  </w:style>
  <w:style w:type="paragraph" w:customStyle="1" w:styleId="AppendixParaNum">
    <w:name w:val="Appendix ParaNum"/>
    <w:basedOn w:val="ParaNum"/>
    <w:uiPriority w:val="3"/>
    <w:semiHidden/>
    <w:rsid w:val="00A64783"/>
    <w:pPr>
      <w:widowControl w:val="0"/>
      <w:numPr>
        <w:ilvl w:val="6"/>
        <w:numId w:val="2"/>
      </w:numPr>
      <w:ind w:left="0" w:firstLine="720"/>
    </w:pPr>
  </w:style>
  <w:style w:type="paragraph" w:customStyle="1" w:styleId="ParaNumBullet2">
    <w:name w:val="ParaNum Bullet 2"/>
    <w:basedOn w:val="ParaNumBullet"/>
    <w:uiPriority w:val="97"/>
    <w:rsid w:val="00FA73A4"/>
    <w:pPr>
      <w:numPr>
        <w:ilvl w:val="1"/>
      </w:numPr>
      <w:ind w:left="2160"/>
    </w:pPr>
  </w:style>
  <w:style w:type="paragraph" w:customStyle="1" w:styleId="ParaNumBullet3">
    <w:name w:val="ParaNum Bullet 3"/>
    <w:basedOn w:val="ParaNumBullet"/>
    <w:uiPriority w:val="97"/>
    <w:rsid w:val="00FA73A4"/>
    <w:pPr>
      <w:numPr>
        <w:ilvl w:val="2"/>
      </w:numPr>
      <w:ind w:left="2520"/>
    </w:pPr>
  </w:style>
  <w:style w:type="paragraph" w:customStyle="1" w:styleId="ParaNumBullet4">
    <w:name w:val="ParaNum Bullet 4"/>
    <w:basedOn w:val="ParaNumBullet"/>
    <w:uiPriority w:val="97"/>
    <w:rsid w:val="002C2996"/>
    <w:pPr>
      <w:numPr>
        <w:ilvl w:val="3"/>
      </w:numPr>
    </w:pPr>
  </w:style>
  <w:style w:type="paragraph" w:customStyle="1" w:styleId="ParaNumBullet5">
    <w:name w:val="ParaNum Bullet 5"/>
    <w:basedOn w:val="ParaNumBullet4"/>
    <w:uiPriority w:val="97"/>
    <w:rsid w:val="00FA73A4"/>
    <w:pPr>
      <w:numPr>
        <w:ilvl w:val="4"/>
      </w:numPr>
      <w:ind w:left="3240"/>
    </w:pPr>
  </w:style>
  <w:style w:type="paragraph" w:customStyle="1" w:styleId="ParaNumBullet6">
    <w:name w:val="ParaNum Bullet 6"/>
    <w:basedOn w:val="ParaNumBullet5"/>
    <w:uiPriority w:val="97"/>
    <w:rsid w:val="00FA73A4"/>
    <w:pPr>
      <w:numPr>
        <w:ilvl w:val="5"/>
      </w:numPr>
      <w:ind w:left="3600"/>
    </w:pPr>
  </w:style>
  <w:style w:type="paragraph" w:customStyle="1" w:styleId="ParaNumBullet7">
    <w:name w:val="ParaNum Bullet 7"/>
    <w:basedOn w:val="ParaNumBullet6"/>
    <w:uiPriority w:val="97"/>
    <w:rsid w:val="00FA73A4"/>
    <w:pPr>
      <w:numPr>
        <w:ilvl w:val="6"/>
      </w:numPr>
      <w:ind w:left="3960"/>
    </w:pPr>
  </w:style>
  <w:style w:type="paragraph" w:customStyle="1" w:styleId="ParaNumBullet8">
    <w:name w:val="ParaNum Bullet 8"/>
    <w:basedOn w:val="ParaNumBullet7"/>
    <w:uiPriority w:val="97"/>
    <w:rsid w:val="00FA73A4"/>
    <w:pPr>
      <w:numPr>
        <w:ilvl w:val="7"/>
      </w:numPr>
      <w:ind w:left="4320"/>
    </w:pPr>
  </w:style>
  <w:style w:type="paragraph" w:customStyle="1" w:styleId="ParaNumBullet9">
    <w:name w:val="ParaNum Bullet 9"/>
    <w:basedOn w:val="ParaNumBullet"/>
    <w:uiPriority w:val="97"/>
    <w:rsid w:val="00FA73A4"/>
    <w:pPr>
      <w:numPr>
        <w:ilvl w:val="8"/>
      </w:numPr>
      <w:ind w:left="4680"/>
    </w:pPr>
  </w:style>
  <w:style w:type="paragraph" w:customStyle="1" w:styleId="ParaNumLevel2">
    <w:name w:val="ParaNum Level 2"/>
    <w:basedOn w:val="ParaNum"/>
    <w:uiPriority w:val="2"/>
    <w:semiHidden/>
    <w:qFormat/>
    <w:rsid w:val="002C2996"/>
    <w:pPr>
      <w:numPr>
        <w:ilvl w:val="1"/>
      </w:numPr>
    </w:pPr>
  </w:style>
  <w:style w:type="paragraph" w:customStyle="1" w:styleId="ParaNumLevel3">
    <w:name w:val="ParaNum Level 3"/>
    <w:basedOn w:val="ParaNum"/>
    <w:uiPriority w:val="97"/>
    <w:rsid w:val="002C2996"/>
    <w:pPr>
      <w:numPr>
        <w:ilvl w:val="2"/>
      </w:numPr>
    </w:pPr>
  </w:style>
  <w:style w:type="paragraph" w:customStyle="1" w:styleId="ParaNumLevel4">
    <w:name w:val="ParaNum Level 4"/>
    <w:basedOn w:val="ParaNum"/>
    <w:uiPriority w:val="97"/>
    <w:rsid w:val="00D27F77"/>
    <w:pPr>
      <w:numPr>
        <w:ilvl w:val="3"/>
      </w:numPr>
    </w:pPr>
  </w:style>
  <w:style w:type="paragraph" w:customStyle="1" w:styleId="ParaNumLevel5">
    <w:name w:val="ParaNum Level 5"/>
    <w:basedOn w:val="ParaNum"/>
    <w:uiPriority w:val="97"/>
    <w:rsid w:val="00D27F77"/>
    <w:pPr>
      <w:numPr>
        <w:ilvl w:val="4"/>
      </w:numPr>
    </w:pPr>
  </w:style>
  <w:style w:type="paragraph" w:customStyle="1" w:styleId="ParaNumLevel6">
    <w:name w:val="ParaNum Level 6"/>
    <w:basedOn w:val="ParaNum"/>
    <w:uiPriority w:val="97"/>
    <w:rsid w:val="00D27F77"/>
    <w:pPr>
      <w:numPr>
        <w:ilvl w:val="5"/>
      </w:numPr>
    </w:pPr>
  </w:style>
  <w:style w:type="paragraph" w:customStyle="1" w:styleId="ParaNumLevel7">
    <w:name w:val="ParaNum Level 7"/>
    <w:basedOn w:val="ParaNum"/>
    <w:uiPriority w:val="97"/>
    <w:rsid w:val="00D27F77"/>
    <w:pPr>
      <w:numPr>
        <w:ilvl w:val="6"/>
      </w:numPr>
    </w:pPr>
  </w:style>
  <w:style w:type="paragraph" w:customStyle="1" w:styleId="ParaNumLevel8">
    <w:name w:val="ParaNum Level 8"/>
    <w:basedOn w:val="ParaNum"/>
    <w:uiPriority w:val="97"/>
    <w:rsid w:val="00D27F77"/>
    <w:pPr>
      <w:numPr>
        <w:ilvl w:val="7"/>
      </w:numPr>
    </w:pPr>
  </w:style>
  <w:style w:type="paragraph" w:customStyle="1" w:styleId="ParaNumLevel9">
    <w:name w:val="ParaNum Level 9"/>
    <w:basedOn w:val="ParaNum"/>
    <w:uiPriority w:val="97"/>
    <w:rsid w:val="00D27F77"/>
    <w:pPr>
      <w:numPr>
        <w:ilvl w:val="8"/>
      </w:numPr>
    </w:pPr>
  </w:style>
  <w:style w:type="numbering" w:customStyle="1" w:styleId="PNOrderedList">
    <w:name w:val="PN Ordered List"/>
    <w:uiPriority w:val="99"/>
    <w:rsid w:val="00D27F77"/>
    <w:pPr>
      <w:numPr>
        <w:numId w:val="8"/>
      </w:numPr>
    </w:pPr>
  </w:style>
  <w:style w:type="paragraph" w:customStyle="1" w:styleId="Header2">
    <w:name w:val="Header2"/>
    <w:basedOn w:val="Header"/>
    <w:next w:val="ParaNum"/>
    <w:autoRedefine/>
    <w:uiPriority w:val="2"/>
    <w:rsid w:val="00116264"/>
    <w:pPr>
      <w:keepLines/>
      <w:jc w:val="right"/>
    </w:pPr>
    <w:rPr>
      <w:rFonts w:ascii="Times New Roman Bold" w:hAnsi="Times New Roman Bold"/>
    </w:rPr>
  </w:style>
  <w:style w:type="paragraph" w:customStyle="1" w:styleId="SubjectMatterIntro-Left">
    <w:name w:val="Subject Matter Intro-Left"/>
    <w:basedOn w:val="Normal"/>
    <w:autoRedefine/>
    <w:uiPriority w:val="2"/>
    <w:rsid w:val="00985D54"/>
    <w:pPr>
      <w:spacing w:after="240"/>
      <w:ind w:right="432"/>
    </w:pPr>
  </w:style>
  <w:style w:type="paragraph" w:customStyle="1" w:styleId="SubjectMatterIntro-Right">
    <w:name w:val="Subject Matter Intro-Right"/>
    <w:basedOn w:val="Normal"/>
    <w:autoRedefine/>
    <w:uiPriority w:val="2"/>
    <w:rsid w:val="00985D54"/>
    <w:pPr>
      <w:spacing w:after="240"/>
      <w:ind w:left="432"/>
    </w:pPr>
  </w:style>
  <w:style w:type="paragraph" w:customStyle="1" w:styleId="OrderHead">
    <w:name w:val="Order Head"/>
    <w:basedOn w:val="Normal"/>
    <w:semiHidden/>
    <w:qFormat/>
    <w:rsid w:val="008B004B"/>
    <w:pPr>
      <w:tabs>
        <w:tab w:val="center" w:pos="4680"/>
        <w:tab w:val="right" w:pos="9360"/>
      </w:tabs>
      <w:spacing w:before="240" w:after="320"/>
    </w:pPr>
    <w:rPr>
      <w:rFonts w:ascii="Times New Roman Bold" w:hAnsi="Times New Roman Bold"/>
      <w:b/>
      <w:bCs/>
      <w:u w:val="single"/>
    </w:rPr>
  </w:style>
  <w:style w:type="character" w:styleId="UnresolvedMention">
    <w:name w:val="Unresolved Mention"/>
    <w:basedOn w:val="DefaultParagraphFont"/>
    <w:uiPriority w:val="99"/>
    <w:semiHidden/>
    <w:unhideWhenUsed/>
    <w:rsid w:val="006C2196"/>
    <w:rPr>
      <w:color w:val="605E5C"/>
      <w:shd w:val="clear" w:color="auto" w:fill="E1DFDD"/>
    </w:rPr>
  </w:style>
  <w:style w:type="character" w:styleId="FollowedHyperlink">
    <w:name w:val="FollowedHyperlink"/>
    <w:basedOn w:val="DefaultParagraphFont"/>
    <w:uiPriority w:val="99"/>
    <w:semiHidden/>
    <w:unhideWhenUsed/>
    <w:rsid w:val="006C2196"/>
    <w:rPr>
      <w:color w:val="0000FF"/>
      <w:u w:val="single"/>
    </w:rPr>
  </w:style>
  <w:style w:type="paragraph" w:styleId="BlockText">
    <w:name w:val="Block Text"/>
    <w:basedOn w:val="Normal"/>
    <w:uiPriority w:val="99"/>
    <w:semiHidden/>
    <w:qFormat/>
    <w:rsid w:val="001A20E0"/>
    <w:pPr>
      <w:ind w:left="1440" w:right="1440"/>
    </w:pPr>
  </w:style>
  <w:style w:type="paragraph" w:customStyle="1" w:styleId="Adopted">
    <w:name w:val="Adopted:"/>
    <w:basedOn w:val="Normal"/>
    <w:next w:val="Normal"/>
    <w:unhideWhenUsed/>
    <w:rsid w:val="004A6B17"/>
    <w:pPr>
      <w:tabs>
        <w:tab w:val="left" w:pos="720"/>
        <w:tab w:val="right" w:pos="9360"/>
      </w:tabs>
      <w:suppressAutoHyphens/>
      <w:spacing w:after="240"/>
    </w:pPr>
    <w:rPr>
      <w:b/>
      <w:spacing w:val="-2"/>
    </w:rPr>
  </w:style>
  <w:style w:type="paragraph" w:customStyle="1" w:styleId="Released">
    <w:name w:val="Released:"/>
    <w:basedOn w:val="Adopted"/>
    <w:next w:val="Normal"/>
    <w:autoRedefine/>
    <w:uiPriority w:val="2"/>
    <w:unhideWhenUsed/>
    <w:rsid w:val="005E2DEA"/>
    <w:pPr>
      <w:spacing w:after="0"/>
      <w:jc w:val="right"/>
    </w:pPr>
  </w:style>
  <w:style w:type="paragraph" w:customStyle="1" w:styleId="CommentReplyCommentDate">
    <w:name w:val="Comment/Reply Comment Date"/>
    <w:basedOn w:val="Normal"/>
    <w:next w:val="Normal"/>
    <w:autoRedefine/>
    <w:unhideWhenUsed/>
    <w:rsid w:val="00AF7451"/>
    <w:pPr>
      <w:tabs>
        <w:tab w:val="left" w:pos="720"/>
        <w:tab w:val="right" w:pos="9360"/>
      </w:tabs>
      <w:suppressAutoHyphens/>
    </w:pPr>
    <w:rPr>
      <w:b/>
      <w:bCs/>
      <w:spacing w:val="-2"/>
    </w:rPr>
  </w:style>
  <w:style w:type="paragraph" w:customStyle="1" w:styleId="AppendixSubtitle">
    <w:name w:val="Appendix Subtitle"/>
    <w:basedOn w:val="AppendixHeading"/>
    <w:next w:val="Normal"/>
    <w:link w:val="AppendixSubtitleChar"/>
    <w:uiPriority w:val="1"/>
    <w:qFormat/>
    <w:rsid w:val="00B91849"/>
    <w:pPr>
      <w:spacing w:after="240"/>
    </w:pPr>
    <w:rPr>
      <w:caps w:val="0"/>
    </w:rPr>
  </w:style>
  <w:style w:type="character" w:customStyle="1" w:styleId="NormalIndentChar">
    <w:name w:val="Normal Indent Char"/>
    <w:basedOn w:val="DefaultParagraphFont"/>
    <w:link w:val="NormalIndent"/>
    <w:uiPriority w:val="1"/>
    <w:semiHidden/>
    <w:rsid w:val="007A5224"/>
    <w:rPr>
      <w:kern w:val="2"/>
      <w:sz w:val="22"/>
    </w:rPr>
  </w:style>
  <w:style w:type="character" w:customStyle="1" w:styleId="AppendixSubtitleChar">
    <w:name w:val="Appendix Subtitle Char"/>
    <w:basedOn w:val="NormalIndentChar"/>
    <w:link w:val="AppendixSubtitle"/>
    <w:uiPriority w:val="1"/>
    <w:rsid w:val="00B91849"/>
    <w:rPr>
      <w:rFonts w:ascii="Times New Roman Bold" w:hAnsi="Times New Roman Bold"/>
      <w:b/>
      <w:kern w:val="2"/>
      <w:sz w:val="22"/>
      <w:szCs w:val="22"/>
    </w:rPr>
  </w:style>
  <w:style w:type="paragraph" w:customStyle="1" w:styleId="RulesAppendixItem">
    <w:name w:val="Rules Appendix Item"/>
    <w:basedOn w:val="Normal"/>
    <w:next w:val="Normal"/>
    <w:link w:val="RulesAppendixItemChar"/>
    <w:uiPriority w:val="2"/>
    <w:semiHidden/>
    <w:qFormat/>
    <w:rsid w:val="003B509A"/>
    <w:pPr>
      <w:spacing w:after="240"/>
    </w:pPr>
    <w:rPr>
      <w:rFonts w:ascii="Times New Roman Bold" w:hAnsi="Times New Roman Bold"/>
      <w:b/>
      <w:bCs/>
      <w:caps/>
      <w:szCs w:val="22"/>
    </w:rPr>
  </w:style>
  <w:style w:type="character" w:customStyle="1" w:styleId="RulesAppendixItemChar">
    <w:name w:val="Rules Appendix Item Char"/>
    <w:basedOn w:val="DefaultParagraphFont"/>
    <w:link w:val="RulesAppendixItem"/>
    <w:uiPriority w:val="2"/>
    <w:semiHidden/>
    <w:rsid w:val="005C053D"/>
    <w:rPr>
      <w:rFonts w:ascii="Times New Roman Bold" w:hAnsi="Times New Roman Bold"/>
      <w:b/>
      <w:bCs/>
      <w:caps/>
      <w:kern w:val="2"/>
      <w:sz w:val="22"/>
      <w:szCs w:val="22"/>
    </w:rPr>
  </w:style>
  <w:style w:type="paragraph" w:customStyle="1" w:styleId="IRFAFRFAAppendixSubtitle">
    <w:name w:val="IRFA/FRFA Appendix Subtitle"/>
    <w:basedOn w:val="AppendixHeading"/>
    <w:link w:val="IRFAFRFAAppendixSubtitleChar"/>
    <w:uiPriority w:val="3"/>
    <w:semiHidden/>
    <w:qFormat/>
    <w:rsid w:val="0096673E"/>
  </w:style>
  <w:style w:type="character" w:customStyle="1" w:styleId="TitleCenteredBoldChar">
    <w:name w:val="Title Centered Bold Char"/>
    <w:basedOn w:val="DefaultParagraphFont"/>
    <w:link w:val="TitleCenteredBold"/>
    <w:uiPriority w:val="99"/>
    <w:semiHidden/>
    <w:rsid w:val="0096673E"/>
    <w:rPr>
      <w:b/>
      <w:sz w:val="22"/>
      <w:szCs w:val="22"/>
    </w:rPr>
  </w:style>
  <w:style w:type="character" w:customStyle="1" w:styleId="AgencyChar">
    <w:name w:val="Agency Char"/>
    <w:basedOn w:val="TitleCenteredBoldChar"/>
    <w:link w:val="Agency"/>
    <w:rsid w:val="00B91849"/>
    <w:rPr>
      <w:b/>
      <w:sz w:val="22"/>
      <w:szCs w:val="22"/>
    </w:rPr>
  </w:style>
  <w:style w:type="character" w:customStyle="1" w:styleId="AppendixHeadingChar">
    <w:name w:val="Appendix Heading Char"/>
    <w:basedOn w:val="AgencyChar"/>
    <w:link w:val="AppendixHeading"/>
    <w:uiPriority w:val="1"/>
    <w:rsid w:val="00B91849"/>
    <w:rPr>
      <w:rFonts w:ascii="Times New Roman Bold" w:hAnsi="Times New Roman Bold"/>
      <w:b/>
      <w:caps/>
      <w:kern w:val="2"/>
      <w:sz w:val="22"/>
      <w:szCs w:val="22"/>
    </w:rPr>
  </w:style>
  <w:style w:type="character" w:customStyle="1" w:styleId="IRFAFRFAAppendixSubtitleChar">
    <w:name w:val="IRFA/FRFA Appendix Subtitle Char"/>
    <w:basedOn w:val="AppendixHeadingChar"/>
    <w:link w:val="IRFAFRFAAppendixSubtitle"/>
    <w:uiPriority w:val="3"/>
    <w:semiHidden/>
    <w:rsid w:val="005C053D"/>
    <w:rPr>
      <w:rFonts w:ascii="Times New Roman Bold" w:hAnsi="Times New Roman Bold"/>
      <w:b/>
      <w:caps/>
      <w:kern w:val="2"/>
      <w:sz w:val="22"/>
      <w:szCs w:val="22"/>
    </w:rPr>
  </w:style>
  <w:style w:type="paragraph" w:customStyle="1" w:styleId="H2ParaNum">
    <w:name w:val="H2 ParaNum"/>
    <w:basedOn w:val="ParaNum"/>
    <w:link w:val="H2ParaNumChar"/>
    <w:autoRedefine/>
    <w:uiPriority w:val="2"/>
    <w:unhideWhenUsed/>
    <w:rsid w:val="00ED20F7"/>
    <w:pPr>
      <w:ind w:left="1440" w:hanging="720"/>
    </w:pPr>
  </w:style>
  <w:style w:type="character" w:customStyle="1" w:styleId="H2ParaNumChar">
    <w:name w:val="H2 ParaNum Char"/>
    <w:basedOn w:val="ParaNumChar"/>
    <w:link w:val="H2ParaNum"/>
    <w:uiPriority w:val="2"/>
    <w:rsid w:val="007A5224"/>
    <w:rPr>
      <w:kern w:val="2"/>
      <w:sz w:val="22"/>
    </w:rPr>
  </w:style>
  <w:style w:type="paragraph" w:styleId="Revision">
    <w:name w:val="Revision"/>
    <w:hidden/>
    <w:uiPriority w:val="99"/>
    <w:semiHidden/>
    <w:rsid w:val="000A13D2"/>
    <w:rPr>
      <w:kern w:val="2"/>
      <w:sz w:val="22"/>
    </w:rPr>
  </w:style>
  <w:style w:type="paragraph" w:customStyle="1" w:styleId="Footnote">
    <w:name w:val="Footnote"/>
    <w:basedOn w:val="FootnoteText"/>
    <w:next w:val="FootnoteText"/>
    <w:uiPriority w:val="3"/>
    <w:semiHidden/>
    <w:rsid w:val="00100614"/>
  </w:style>
  <w:style w:type="paragraph" w:styleId="Title">
    <w:name w:val="Title"/>
    <w:basedOn w:val="OrderHead"/>
    <w:next w:val="Normal"/>
    <w:link w:val="TitleChar"/>
    <w:qFormat/>
    <w:rsid w:val="008B004B"/>
    <w:pPr>
      <w:jc w:val="center"/>
    </w:pPr>
    <w:rPr>
      <w:u w:val="none"/>
    </w:rPr>
  </w:style>
  <w:style w:type="character" w:customStyle="1" w:styleId="TitleChar">
    <w:name w:val="Title Char"/>
    <w:basedOn w:val="DefaultParagraphFont"/>
    <w:link w:val="Title"/>
    <w:rsid w:val="004939E2"/>
    <w:rPr>
      <w:rFonts w:ascii="Times New Roman Bold" w:hAnsi="Times New Roman Bold"/>
      <w:b/>
      <w:bCs/>
      <w:kern w:val="2"/>
      <w:sz w:val="22"/>
    </w:rPr>
  </w:style>
  <w:style w:type="paragraph" w:customStyle="1" w:styleId="BlockQuote">
    <w:name w:val="Block Quote"/>
    <w:basedOn w:val="ParaNum"/>
    <w:next w:val="ParaNum"/>
    <w:uiPriority w:val="1"/>
    <w:qFormat/>
    <w:rsid w:val="002A5C1F"/>
    <w:pPr>
      <w:numPr>
        <w:numId w:val="0"/>
      </w:numPr>
      <w:ind w:left="720" w:right="720"/>
    </w:pPr>
  </w:style>
  <w:style w:type="paragraph" w:customStyle="1" w:styleId="Heading">
    <w:name w:val="Heading"/>
    <w:basedOn w:val="Normal"/>
    <w:next w:val="Normal"/>
    <w:uiPriority w:val="1"/>
    <w:qFormat/>
    <w:rsid w:val="00F84BBB"/>
    <w:pPr>
      <w:keepNext/>
      <w:jc w:val="center"/>
    </w:pPr>
    <w:rPr>
      <w:rFonts w:ascii="Times New Roman Bold" w:hAnsi="Times New Roman Bold"/>
      <w:b/>
      <w:bCs/>
      <w:caps/>
      <w:szCs w:val="22"/>
    </w:rPr>
  </w:style>
  <w:style w:type="paragraph" w:customStyle="1" w:styleId="DocType">
    <w:name w:val="Doc Type"/>
    <w:basedOn w:val="Normal"/>
    <w:uiPriority w:val="1"/>
    <w:qFormat/>
    <w:rsid w:val="00900DF2"/>
    <w:pPr>
      <w:spacing w:after="240"/>
      <w:jc w:val="center"/>
    </w:pPr>
    <w:rPr>
      <w:rFonts w:ascii="Times New Roman Bold" w:hAnsi="Times New Roman Bold"/>
      <w:b/>
      <w:caps/>
    </w:rPr>
  </w:style>
  <w:style w:type="paragraph" w:customStyle="1" w:styleId="Bullet">
    <w:name w:val="Bullet"/>
    <w:basedOn w:val="Normal"/>
    <w:rsid w:val="0065387D"/>
    <w:pPr>
      <w:widowControl w:val="0"/>
      <w:numPr>
        <w:numId w:val="12"/>
      </w:numPr>
      <w:tabs>
        <w:tab w:val="clear" w:pos="360"/>
        <w:tab w:val="left" w:pos="2160"/>
      </w:tabs>
      <w:spacing w:after="220"/>
      <w:ind w:left="2160" w:hanging="720"/>
    </w:pPr>
    <w:rPr>
      <w:rFonts w:eastAsia="Times New Roman"/>
      <w:snapToGrid w:val="0"/>
      <w:kern w:val="28"/>
    </w:rPr>
  </w:style>
  <w:style w:type="paragraph" w:styleId="ListParagraph">
    <w:name w:val="List Paragraph"/>
    <w:basedOn w:val="Normal"/>
    <w:uiPriority w:val="99"/>
    <w:semiHidden/>
    <w:qFormat/>
    <w:rsid w:val="009E53C8"/>
    <w:pPr>
      <w:ind w:left="720"/>
      <w:contextualSpacing/>
    </w:pPr>
  </w:style>
  <w:style w:type="character" w:styleId="Mention">
    <w:name w:val="Mention"/>
    <w:basedOn w:val="DefaultParagraphFont"/>
    <w:uiPriority w:val="99"/>
    <w:unhideWhenUsed/>
    <w:rsid w:val="009F550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mailto:Gregory.Haledjian@fcc.gov"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footnotes.xml.rels><?xml version="1.0" encoding="utf-8" standalone="yes"?><Relationships xmlns="http://schemas.openxmlformats.org/package/2006/relationships"><Relationship Id="rId1" Type="http://schemas.openxmlformats.org/officeDocument/2006/relationships/hyperlink" Target="https://www.fcc.gov/ecfs/search/search-filings/filing/26110069475" TargetMode="External" /><Relationship Id="rId2" Type="http://schemas.openxmlformats.org/officeDocument/2006/relationships/hyperlink" Target="https://gcc02.safelinks.protection.outlook.com/?url=https%3A%2F%2Fwww.fcc.gov%2Fecfs%2Fdocument%2F26110072920%2F1&amp;data=05%7C02%7CGregory.Haledjian%40fcc.gov%7C5509c7606834444b9fa108df02d8163f%7C72970aed36694ca8b960dd016bc72973%7C0%7C0%7C639232799292017544%7CUnknown%7CTWFpbGZsb3d8eyJFbXB0eU1hcGkiOnRydWUsIlYiOiIwLjAuMDAwMCIsIlAiOiJXaW4zMiIsIkFOIjoiTWFpbCIsIldUIjoyfQ%3D%3D%7C0%7C%7C%7C&amp;sdata=E2HevJKHoEttolumBtPs1gqCdjkLhn8xFoG0A1D1Zw8%3D&amp;reserved=0" TargetMode="External" /><Relationship Id="rId3" Type="http://schemas.openxmlformats.org/officeDocument/2006/relationships/hyperlink" Target="https://www.fcc.gov/ecfs/document/26110073332/1"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gory.haledjian\OneDrive%20-%20FCC\!Covered%20List\FCC%20Documents\Prohibitions%20-%20Carve%20Outs\Military-Grade%20Drones\Denial%20of%20Request%20to%20Extend%20the%20Comment%20Deadline\PSHSB%20Denial%20R&amp;O%20-%20CL%20Comment%20Extensio"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 Theme">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PSHSB Denial R&amp;O - CL Comment Extensio</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