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4BBF72A9" w14:textId="450F1B17">
      <w:pPr>
        <w:jc w:val="right"/>
        <w:rPr>
          <w:b/>
          <w:sz w:val="24"/>
        </w:rPr>
      </w:pPr>
      <w:r>
        <w:rPr>
          <w:b/>
          <w:sz w:val="24"/>
        </w:rPr>
        <w:t>DA 26-</w:t>
      </w:r>
      <w:r w:rsidR="00751915">
        <w:rPr>
          <w:b/>
          <w:sz w:val="24"/>
        </w:rPr>
        <w:t>90</w:t>
      </w:r>
    </w:p>
    <w:p w:rsidR="00BA3BA8" w14:paraId="0A9E9045" w14:textId="525A06E7">
      <w:pPr>
        <w:spacing w:before="60"/>
        <w:jc w:val="right"/>
        <w:rPr>
          <w:b/>
          <w:sz w:val="24"/>
        </w:rPr>
      </w:pPr>
      <w:r>
        <w:rPr>
          <w:b/>
          <w:sz w:val="24"/>
        </w:rPr>
        <w:t xml:space="preserve">Released:  </w:t>
      </w:r>
      <w:r w:rsidR="00C8326A">
        <w:rPr>
          <w:b/>
          <w:sz w:val="24"/>
        </w:rPr>
        <w:t>January 2</w:t>
      </w:r>
      <w:r w:rsidR="00751915">
        <w:rPr>
          <w:b/>
          <w:sz w:val="24"/>
        </w:rPr>
        <w:t>7</w:t>
      </w:r>
      <w:r w:rsidR="00C8326A">
        <w:rPr>
          <w:b/>
          <w:sz w:val="24"/>
        </w:rPr>
        <w:t>, 2026</w:t>
      </w:r>
    </w:p>
    <w:p w:rsidR="00BA3BA8" w14:paraId="00115680" w14:textId="77777777">
      <w:pPr>
        <w:jc w:val="right"/>
        <w:rPr>
          <w:sz w:val="24"/>
        </w:rPr>
      </w:pPr>
    </w:p>
    <w:p w:rsidR="00BA3BA8" w:rsidP="00C8326A" w14:paraId="34301F27" w14:textId="5B98C747">
      <w:pPr>
        <w:spacing w:after="240"/>
        <w:jc w:val="center"/>
        <w:rPr>
          <w:rFonts w:ascii="Times New Roman Bold" w:hAnsi="Times New Roman Bold"/>
          <w:b/>
          <w:caps/>
          <w:sz w:val="24"/>
        </w:rPr>
      </w:pPr>
      <w:r w:rsidRPr="00C8326A">
        <w:rPr>
          <w:rFonts w:ascii="Times New Roman Bold" w:hAnsi="Times New Roman Bold"/>
          <w:b/>
          <w:caps/>
          <w:sz w:val="24"/>
        </w:rPr>
        <w:t xml:space="preserve">MEDIA BUREAU ANNOUNCES </w:t>
      </w:r>
      <w:r w:rsidR="00C72A29">
        <w:rPr>
          <w:rFonts w:ascii="Times New Roman Bold" w:hAnsi="Times New Roman Bold"/>
          <w:b/>
          <w:caps/>
          <w:sz w:val="24"/>
        </w:rPr>
        <w:t>effective date</w:t>
      </w:r>
      <w:r w:rsidR="004F1200">
        <w:rPr>
          <w:rFonts w:ascii="Times New Roman Bold" w:hAnsi="Times New Roman Bold"/>
          <w:b/>
          <w:caps/>
          <w:sz w:val="24"/>
        </w:rPr>
        <w:t xml:space="preserve"> </w:t>
      </w:r>
      <w:r w:rsidR="00EB67AE">
        <w:rPr>
          <w:rFonts w:ascii="Times New Roman Bold" w:hAnsi="Times New Roman Bold"/>
          <w:b/>
          <w:caps/>
          <w:sz w:val="24"/>
        </w:rPr>
        <w:t>for</w:t>
      </w:r>
      <w:r w:rsidR="004F1200">
        <w:rPr>
          <w:rFonts w:ascii="Times New Roman Bold" w:hAnsi="Times New Roman Bold"/>
          <w:b/>
          <w:caps/>
          <w:sz w:val="24"/>
        </w:rPr>
        <w:t xml:space="preserve"> </w:t>
      </w:r>
      <w:r>
        <w:rPr>
          <w:rFonts w:ascii="Times New Roman Bold" w:hAnsi="Times New Roman Bold"/>
          <w:b/>
          <w:caps/>
          <w:sz w:val="24"/>
        </w:rPr>
        <w:t>LPTV advancement report and order</w:t>
      </w:r>
    </w:p>
    <w:p w:rsidR="00BA3BA8" w14:paraId="57B8BB00" w14:textId="69E65B56">
      <w:pPr>
        <w:jc w:val="center"/>
        <w:rPr>
          <w:b/>
          <w:sz w:val="24"/>
        </w:rPr>
      </w:pPr>
      <w:r>
        <w:rPr>
          <w:b/>
          <w:sz w:val="24"/>
        </w:rPr>
        <w:t>MB Docket No. 24-148</w:t>
      </w:r>
    </w:p>
    <w:p w:rsidR="00BA3BA8" w14:paraId="64EAE1B7" w14:textId="77777777">
      <w:bookmarkStart w:id="0" w:name="TOChere"/>
    </w:p>
    <w:bookmarkEnd w:id="0"/>
    <w:p w:rsidR="00C8326A" w:rsidRPr="007A7E71" w:rsidP="00C8326A" w14:paraId="381FE85D" w14:textId="45C108CA">
      <w:pPr>
        <w:ind w:firstLine="720"/>
      </w:pPr>
      <w:r w:rsidRPr="007A7E71">
        <w:t xml:space="preserve">On </w:t>
      </w:r>
      <w:r>
        <w:t>December 1</w:t>
      </w:r>
      <w:r w:rsidR="00C72A29">
        <w:t>9</w:t>
      </w:r>
      <w:r>
        <w:t>, 2025</w:t>
      </w:r>
      <w:r w:rsidRPr="007A7E71">
        <w:t xml:space="preserve">, the Commission </w:t>
      </w:r>
      <w:r w:rsidR="00C72A29">
        <w:t>released</w:t>
      </w:r>
      <w:r w:rsidRPr="007A7E71">
        <w:t xml:space="preserve"> a </w:t>
      </w:r>
      <w:r w:rsidRPr="00C8326A">
        <w:rPr>
          <w:i/>
          <w:iCs/>
        </w:rPr>
        <w:t>Report and Order</w:t>
      </w:r>
      <w:r w:rsidRPr="007A7E71">
        <w:t xml:space="preserve"> in </w:t>
      </w:r>
      <w:r>
        <w:t xml:space="preserve">its rulemaking proceeding amending its rules to </w:t>
      </w:r>
      <w:r>
        <w:rPr>
          <w:i/>
          <w:iCs/>
        </w:rPr>
        <w:t>Advance the Low Power Television, TV Translator and Class A Television Service</w:t>
      </w:r>
      <w:r w:rsidRPr="007A7E71">
        <w:t>.</w:t>
      </w:r>
      <w:r>
        <w:rPr>
          <w:rStyle w:val="FootnoteReference"/>
        </w:rPr>
        <w:footnoteReference w:id="3"/>
      </w:r>
      <w:r w:rsidRPr="007A7E71">
        <w:t xml:space="preserve">  </w:t>
      </w:r>
      <w:r w:rsidRPr="007A7E71" w:rsidR="00C72A29">
        <w:rPr>
          <w:szCs w:val="22"/>
        </w:rPr>
        <w:t xml:space="preserve">The </w:t>
      </w:r>
      <w:r w:rsidRPr="007A7E71" w:rsidR="00C72A29">
        <w:rPr>
          <w:i/>
          <w:szCs w:val="22"/>
        </w:rPr>
        <w:t>Report and Order</w:t>
      </w:r>
      <w:r w:rsidRPr="007A7E71" w:rsidR="00C72A29">
        <w:rPr>
          <w:szCs w:val="22"/>
        </w:rPr>
        <w:t xml:space="preserve"> adopted </w:t>
      </w:r>
      <w:r w:rsidR="00C72A29">
        <w:rPr>
          <w:szCs w:val="22"/>
        </w:rPr>
        <w:t xml:space="preserve">changes to the Commission’s </w:t>
      </w:r>
      <w:r w:rsidRPr="007A7E71" w:rsidR="00C72A29">
        <w:rPr>
          <w:szCs w:val="22"/>
        </w:rPr>
        <w:t>rules</w:t>
      </w:r>
      <w:r w:rsidR="00C72A29">
        <w:rPr>
          <w:szCs w:val="22"/>
        </w:rPr>
        <w:t xml:space="preserve"> </w:t>
      </w:r>
      <w:r w:rsidRPr="0040410D" w:rsidR="00C72A29">
        <w:rPr>
          <w:szCs w:val="22"/>
        </w:rPr>
        <w:t>to</w:t>
      </w:r>
      <w:r w:rsidR="00C72A29">
        <w:rPr>
          <w:szCs w:val="22"/>
        </w:rPr>
        <w:t xml:space="preserve"> </w:t>
      </w:r>
      <w:r w:rsidRPr="0040410D" w:rsidR="00C72A29">
        <w:rPr>
          <w:szCs w:val="22"/>
        </w:rPr>
        <w:t>ensure that</w:t>
      </w:r>
      <w:r w:rsidR="00C72A29">
        <w:rPr>
          <w:szCs w:val="22"/>
        </w:rPr>
        <w:t xml:space="preserve"> low power television, TV translator, and Class A television stations (collectively</w:t>
      </w:r>
      <w:r w:rsidRPr="0040410D" w:rsidR="00C72A29">
        <w:rPr>
          <w:szCs w:val="22"/>
        </w:rPr>
        <w:t xml:space="preserve"> </w:t>
      </w:r>
      <w:r w:rsidR="00C72A29">
        <w:rPr>
          <w:szCs w:val="22"/>
        </w:rPr>
        <w:t>“</w:t>
      </w:r>
      <w:r w:rsidRPr="0040410D" w:rsidR="00C72A29">
        <w:rPr>
          <w:szCs w:val="22"/>
        </w:rPr>
        <w:t>LPTV Service</w:t>
      </w:r>
      <w:r w:rsidR="00C72A29">
        <w:rPr>
          <w:szCs w:val="22"/>
        </w:rPr>
        <w:t>”)</w:t>
      </w:r>
      <w:r w:rsidRPr="0040410D" w:rsidR="00C72A29">
        <w:rPr>
          <w:szCs w:val="22"/>
        </w:rPr>
        <w:t xml:space="preserve"> continue to flourish and serve the public interest long into the future.</w:t>
      </w:r>
      <w:r w:rsidR="00C72A29">
        <w:rPr>
          <w:szCs w:val="22"/>
        </w:rPr>
        <w:t xml:space="preserve">  </w:t>
      </w:r>
      <w:r w:rsidRPr="007A7E71">
        <w:rPr>
          <w:szCs w:val="22"/>
        </w:rPr>
        <w:t>By this Public Notice, we announce that</w:t>
      </w:r>
      <w:r w:rsidR="00B14464">
        <w:rPr>
          <w:szCs w:val="22"/>
        </w:rPr>
        <w:t>,</w:t>
      </w:r>
      <w:r w:rsidRPr="007A7E71">
        <w:rPr>
          <w:szCs w:val="22"/>
        </w:rPr>
        <w:t xml:space="preserve"> </w:t>
      </w:r>
      <w:r w:rsidR="00B14464">
        <w:rPr>
          <w:szCs w:val="22"/>
        </w:rPr>
        <w:t xml:space="preserve">on January 23, 2026, </w:t>
      </w:r>
      <w:r w:rsidRPr="007A7E71">
        <w:rPr>
          <w:szCs w:val="22"/>
        </w:rPr>
        <w:t xml:space="preserve">the Federal Register published a summary of the </w:t>
      </w:r>
      <w:r>
        <w:rPr>
          <w:i/>
          <w:iCs/>
          <w:szCs w:val="22"/>
        </w:rPr>
        <w:t>Report and Order</w:t>
      </w:r>
      <w:r w:rsidRPr="007A7E71">
        <w:rPr>
          <w:szCs w:val="22"/>
        </w:rPr>
        <w:t>.</w:t>
      </w:r>
      <w:r>
        <w:rPr>
          <w:rStyle w:val="FootnoteReference"/>
          <w:szCs w:val="22"/>
        </w:rPr>
        <w:footnoteReference w:id="4"/>
      </w:r>
      <w:r w:rsidRPr="007A7E71">
        <w:rPr>
          <w:szCs w:val="22"/>
        </w:rPr>
        <w:t xml:space="preserve">  </w:t>
      </w:r>
    </w:p>
    <w:p w:rsidR="00C8326A" w:rsidRPr="007A7E71" w:rsidP="00C8326A" w14:paraId="3B21FDD8" w14:textId="77777777">
      <w:pPr>
        <w:ind w:firstLine="720"/>
      </w:pPr>
    </w:p>
    <w:p w:rsidR="00C8326A" w:rsidRPr="00844F43" w:rsidP="00C8326A" w14:paraId="22141AF1" w14:textId="2796BF69">
      <w:pPr>
        <w:ind w:firstLine="720"/>
        <w:rPr>
          <w:szCs w:val="22"/>
        </w:rPr>
      </w:pPr>
      <w:r w:rsidRPr="007A7E71">
        <w:rPr>
          <w:szCs w:val="22"/>
        </w:rPr>
        <w:t xml:space="preserve">The Commission stated </w:t>
      </w:r>
      <w:r w:rsidR="00C72A29">
        <w:rPr>
          <w:szCs w:val="22"/>
        </w:rPr>
        <w:t>in</w:t>
      </w:r>
      <w:r w:rsidRPr="007A7E71">
        <w:rPr>
          <w:szCs w:val="22"/>
        </w:rPr>
        <w:t xml:space="preserve"> the </w:t>
      </w:r>
      <w:r w:rsidRPr="007A7E71">
        <w:rPr>
          <w:i/>
          <w:szCs w:val="22"/>
        </w:rPr>
        <w:t>Report and Order</w:t>
      </w:r>
      <w:r w:rsidRPr="007A7E71">
        <w:rPr>
          <w:szCs w:val="22"/>
        </w:rPr>
        <w:t xml:space="preserve"> </w:t>
      </w:r>
      <w:r w:rsidR="00C72A29">
        <w:rPr>
          <w:szCs w:val="22"/>
        </w:rPr>
        <w:t>that the new or modified</w:t>
      </w:r>
      <w:r w:rsidRPr="007A7E71">
        <w:rPr>
          <w:szCs w:val="22"/>
        </w:rPr>
        <w:t xml:space="preserve"> rules would become effective 30 days after publication in the Federal Register</w:t>
      </w:r>
      <w:r w:rsidR="00C72A29">
        <w:rPr>
          <w:szCs w:val="22"/>
        </w:rPr>
        <w:t>,</w:t>
      </w:r>
      <w:r>
        <w:rPr>
          <w:szCs w:val="22"/>
        </w:rPr>
        <w:t xml:space="preserve"> with the exception of </w:t>
      </w:r>
      <w:r w:rsidRPr="007C50E8">
        <w:rPr>
          <w:szCs w:val="22"/>
        </w:rPr>
        <w:t xml:space="preserve">amendments to </w:t>
      </w:r>
      <w:r>
        <w:rPr>
          <w:szCs w:val="22"/>
        </w:rPr>
        <w:t>47 CFR §§</w:t>
      </w:r>
      <w:r w:rsidRPr="007C50E8">
        <w:rPr>
          <w:szCs w:val="22"/>
        </w:rPr>
        <w:t xml:space="preserve"> 73.3700</w:t>
      </w:r>
      <w:r w:rsidR="00C72A29">
        <w:rPr>
          <w:szCs w:val="22"/>
        </w:rPr>
        <w:t>(g)</w:t>
      </w:r>
      <w:r w:rsidRPr="007C50E8">
        <w:rPr>
          <w:szCs w:val="22"/>
        </w:rPr>
        <w:t>, 73.6001</w:t>
      </w:r>
      <w:r w:rsidR="002404FB">
        <w:rPr>
          <w:szCs w:val="22"/>
        </w:rPr>
        <w:t>(b)</w:t>
      </w:r>
      <w:r w:rsidRPr="007C50E8">
        <w:rPr>
          <w:szCs w:val="22"/>
        </w:rPr>
        <w:t>, 73.6002</w:t>
      </w:r>
      <w:r w:rsidR="002404FB">
        <w:rPr>
          <w:szCs w:val="22"/>
        </w:rPr>
        <w:t>(b)</w:t>
      </w:r>
      <w:r w:rsidRPr="007C50E8">
        <w:rPr>
          <w:szCs w:val="22"/>
        </w:rPr>
        <w:t>, 74.787</w:t>
      </w:r>
      <w:r w:rsidR="002404FB">
        <w:rPr>
          <w:szCs w:val="22"/>
        </w:rPr>
        <w:t>(a)</w:t>
      </w:r>
      <w:r w:rsidRPr="007C50E8">
        <w:rPr>
          <w:szCs w:val="22"/>
        </w:rPr>
        <w:t>, 74.791</w:t>
      </w:r>
      <w:r w:rsidR="002404FB">
        <w:rPr>
          <w:szCs w:val="22"/>
        </w:rPr>
        <w:t>(a) through (c)</w:t>
      </w:r>
      <w:r w:rsidRPr="007C50E8">
        <w:rPr>
          <w:szCs w:val="22"/>
        </w:rPr>
        <w:t>, 74.793</w:t>
      </w:r>
      <w:r w:rsidR="002404FB">
        <w:rPr>
          <w:szCs w:val="22"/>
        </w:rPr>
        <w:t>(a) through (c)</w:t>
      </w:r>
      <w:r w:rsidRPr="007C50E8">
        <w:rPr>
          <w:szCs w:val="22"/>
        </w:rPr>
        <w:t>, and 74.799</w:t>
      </w:r>
      <w:r w:rsidR="002404FB">
        <w:rPr>
          <w:szCs w:val="22"/>
        </w:rPr>
        <w:t>(</w:t>
      </w:r>
      <w:r w:rsidR="002404FB">
        <w:rPr>
          <w:szCs w:val="22"/>
        </w:rPr>
        <w:t>i</w:t>
      </w:r>
      <w:r w:rsidR="002404FB">
        <w:rPr>
          <w:szCs w:val="22"/>
        </w:rPr>
        <w:t>)</w:t>
      </w:r>
      <w:r w:rsidRPr="007C50E8">
        <w:rPr>
          <w:szCs w:val="22"/>
        </w:rPr>
        <w:t xml:space="preserve"> </w:t>
      </w:r>
      <w:r w:rsidRPr="007A7E71">
        <w:rPr>
          <w:szCs w:val="22"/>
        </w:rPr>
        <w:t xml:space="preserve">which contain new or modified information collection requirements that require approval by the Office of Management and Budget (OMB) under the </w:t>
      </w:r>
      <w:r w:rsidRPr="007A7E71">
        <w:t>Paperwork Reduction Act of 1995</w:t>
      </w:r>
      <w:r w:rsidRPr="007A7E71">
        <w:rPr>
          <w:szCs w:val="22"/>
        </w:rPr>
        <w:t>.</w:t>
      </w:r>
      <w:r>
        <w:rPr>
          <w:rStyle w:val="FootnoteReference"/>
          <w:szCs w:val="22"/>
        </w:rPr>
        <w:footnoteReference w:id="5"/>
      </w:r>
      <w:r w:rsidRPr="007A7E71">
        <w:rPr>
          <w:szCs w:val="22"/>
        </w:rPr>
        <w:t xml:space="preserve">  Accordingly, the rules adopted in the </w:t>
      </w:r>
      <w:r w:rsidRPr="007A7E71">
        <w:rPr>
          <w:i/>
          <w:szCs w:val="22"/>
        </w:rPr>
        <w:t>Report and Order</w:t>
      </w:r>
      <w:r w:rsidRPr="007A7E71">
        <w:rPr>
          <w:szCs w:val="22"/>
        </w:rPr>
        <w:t xml:space="preserve"> will take effect o</w:t>
      </w:r>
      <w:r w:rsidRPr="00C72A29">
        <w:rPr>
          <w:szCs w:val="22"/>
        </w:rPr>
        <w:t xml:space="preserve">n </w:t>
      </w:r>
      <w:r w:rsidRPr="00C72A29">
        <w:rPr>
          <w:b/>
          <w:bCs/>
          <w:szCs w:val="22"/>
        </w:rPr>
        <w:t>February 23, 2026</w:t>
      </w:r>
      <w:r w:rsidRPr="00C72A29" w:rsidR="004F1200">
        <w:rPr>
          <w:szCs w:val="22"/>
        </w:rPr>
        <w:t>,</w:t>
      </w:r>
      <w:r>
        <w:rPr>
          <w:rStyle w:val="FootnoteReference"/>
          <w:szCs w:val="22"/>
        </w:rPr>
        <w:footnoteReference w:id="6"/>
      </w:r>
      <w:r w:rsidRPr="00C72A29">
        <w:rPr>
          <w:szCs w:val="22"/>
        </w:rPr>
        <w:t xml:space="preserve"> except</w:t>
      </w:r>
      <w:r w:rsidRPr="007A7E71">
        <w:rPr>
          <w:szCs w:val="22"/>
        </w:rPr>
        <w:t xml:space="preserve"> for </w:t>
      </w:r>
      <w:r>
        <w:rPr>
          <w:szCs w:val="22"/>
        </w:rPr>
        <w:t xml:space="preserve">the aforementioned </w:t>
      </w:r>
      <w:r w:rsidRPr="007A7E71">
        <w:rPr>
          <w:szCs w:val="22"/>
        </w:rPr>
        <w:t>rule sections which require OMB approval.</w:t>
      </w:r>
      <w:r w:rsidRPr="007A7E71">
        <w:t xml:space="preserve"> </w:t>
      </w:r>
      <w:r w:rsidRPr="007A7E71">
        <w:rPr>
          <w:szCs w:val="22"/>
        </w:rPr>
        <w:t>The Media Bureau will issue a</w:t>
      </w:r>
      <w:r w:rsidR="004F1200">
        <w:rPr>
          <w:szCs w:val="22"/>
        </w:rPr>
        <w:t>nother</w:t>
      </w:r>
      <w:r w:rsidRPr="00AE709D">
        <w:rPr>
          <w:szCs w:val="22"/>
        </w:rPr>
        <w:t xml:space="preserve"> </w:t>
      </w:r>
      <w:r>
        <w:rPr>
          <w:szCs w:val="22"/>
        </w:rPr>
        <w:t>Public Notice</w:t>
      </w:r>
      <w:r w:rsidRPr="00AE709D">
        <w:rPr>
          <w:szCs w:val="22"/>
        </w:rPr>
        <w:t xml:space="preserve"> announcing </w:t>
      </w:r>
      <w:r>
        <w:rPr>
          <w:szCs w:val="22"/>
        </w:rPr>
        <w:t>when</w:t>
      </w:r>
      <w:r w:rsidR="002404FB">
        <w:rPr>
          <w:szCs w:val="22"/>
        </w:rPr>
        <w:t xml:space="preserve"> those</w:t>
      </w:r>
      <w:r>
        <w:rPr>
          <w:szCs w:val="22"/>
        </w:rPr>
        <w:t xml:space="preserve"> </w:t>
      </w:r>
      <w:r w:rsidR="004F1200">
        <w:rPr>
          <w:szCs w:val="22"/>
        </w:rPr>
        <w:t>amendments to</w:t>
      </w:r>
      <w:r w:rsidR="002404FB">
        <w:rPr>
          <w:szCs w:val="22"/>
        </w:rPr>
        <w:t xml:space="preserve"> the Commission’s rules</w:t>
      </w:r>
      <w:r w:rsidR="004F1200">
        <w:t xml:space="preserve"> take</w:t>
      </w:r>
      <w:r>
        <w:t xml:space="preserve"> effect</w:t>
      </w:r>
      <w:r w:rsidRPr="00B95436">
        <w:t xml:space="preserve">. </w:t>
      </w:r>
    </w:p>
    <w:p w:rsidR="00C8326A" w:rsidP="00C8326A" w14:paraId="785A505C" w14:textId="77777777"/>
    <w:p w:rsidR="00C8326A" w:rsidP="00C8326A" w14:paraId="3BC9DE32" w14:textId="77777777">
      <w:pPr>
        <w:spacing w:after="240"/>
        <w:ind w:firstLine="720"/>
        <w:rPr>
          <w:szCs w:val="22"/>
        </w:rPr>
      </w:pPr>
      <w:r w:rsidRPr="00F837D9">
        <w:rPr>
          <w:szCs w:val="22"/>
        </w:rPr>
        <w:t xml:space="preserve">For additional information, contact Shaun Maher, Video Division, Media Bureau at </w:t>
      </w:r>
      <w:hyperlink r:id="rId6" w:history="1">
        <w:r w:rsidRPr="00D423C5">
          <w:rPr>
            <w:rStyle w:val="Hyperlink"/>
          </w:rPr>
          <w:t>Shaun.Maher@fcc.gov</w:t>
        </w:r>
      </w:hyperlink>
      <w:r>
        <w:t xml:space="preserve"> </w:t>
      </w:r>
      <w:r w:rsidRPr="00F837D9">
        <w:rPr>
          <w:szCs w:val="22"/>
        </w:rPr>
        <w:t>or (202) 418-2324</w:t>
      </w:r>
      <w:r>
        <w:rPr>
          <w:szCs w:val="22"/>
        </w:rPr>
        <w:t xml:space="preserve"> (legal);</w:t>
      </w:r>
      <w:r w:rsidRPr="00FB547D">
        <w:rPr>
          <w:szCs w:val="22"/>
        </w:rPr>
        <w:t xml:space="preserve"> </w:t>
      </w:r>
      <w:r>
        <w:rPr>
          <w:szCs w:val="22"/>
        </w:rPr>
        <w:t xml:space="preserve">or Mark Colombo, Video Division, Media Bureau at </w:t>
      </w:r>
      <w:hyperlink r:id="rId7" w:history="1">
        <w:r w:rsidRPr="00A55BCC">
          <w:rPr>
            <w:rStyle w:val="Hyperlink"/>
            <w:szCs w:val="22"/>
          </w:rPr>
          <w:t>Mark.Colombo@fcc.gov</w:t>
        </w:r>
      </w:hyperlink>
      <w:r>
        <w:rPr>
          <w:szCs w:val="22"/>
        </w:rPr>
        <w:t xml:space="preserve"> or (202) 418-7611 (technical)</w:t>
      </w:r>
      <w:r w:rsidRPr="00F837D9">
        <w:rPr>
          <w:szCs w:val="22"/>
        </w:rPr>
        <w:t>.</w:t>
      </w:r>
    </w:p>
    <w:p w:rsidR="00BA3BA8" w:rsidRPr="002404FB" w:rsidP="002404FB" w14:paraId="1FD8231F" w14:textId="657A7EE2">
      <w:pPr>
        <w:jc w:val="center"/>
        <w:rPr>
          <w:b/>
          <w:bCs/>
        </w:rPr>
      </w:pPr>
      <w:r w:rsidRPr="002404FB">
        <w:rPr>
          <w:b/>
          <w:bCs/>
        </w:rPr>
        <w:t xml:space="preserve">-- </w:t>
      </w:r>
      <w:r w:rsidRPr="002404FB" w:rsidR="00C8326A">
        <w:rPr>
          <w:b/>
          <w:bCs/>
        </w:rPr>
        <w:t>FCC</w:t>
      </w:r>
      <w:r w:rsidRPr="002404FB">
        <w:rPr>
          <w:b/>
          <w:bCs/>
        </w:rPr>
        <w:t xml:space="preserve"> --</w:t>
      </w:r>
    </w:p>
    <w:sectPr>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8326A" w14:paraId="14A09494" w14:textId="77777777">
      <w:pPr>
        <w:spacing w:line="20" w:lineRule="exact"/>
      </w:pPr>
    </w:p>
  </w:endnote>
  <w:endnote w:type="continuationSeparator" w:id="1">
    <w:p w:rsidR="00C8326A" w14:paraId="4F942C4A" w14:textId="77777777">
      <w:r>
        <w:t xml:space="preserve"> </w:t>
      </w:r>
    </w:p>
  </w:endnote>
  <w:endnote w:type="continuationNotice" w:id="2">
    <w:p w:rsidR="00C8326A" w14:paraId="35ABF71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95A5E7C"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6AE77C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6FFC7E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27A4725"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326A" w14:paraId="33F68CFD" w14:textId="77777777">
      <w:r>
        <w:separator/>
      </w:r>
    </w:p>
  </w:footnote>
  <w:footnote w:type="continuationSeparator" w:id="1">
    <w:p w:rsidR="00C8326A" w14:paraId="48014283" w14:textId="77777777">
      <w:pPr>
        <w:rPr>
          <w:sz w:val="20"/>
        </w:rPr>
      </w:pPr>
      <w:r>
        <w:rPr>
          <w:sz w:val="20"/>
        </w:rPr>
        <w:t xml:space="preserve">(Continued from previous page)  </w:t>
      </w:r>
      <w:r>
        <w:rPr>
          <w:sz w:val="20"/>
        </w:rPr>
        <w:separator/>
      </w:r>
    </w:p>
  </w:footnote>
  <w:footnote w:type="continuationNotice" w:id="2">
    <w:p w:rsidR="00C8326A" w14:paraId="7E8C3B7D" w14:textId="77777777">
      <w:pPr>
        <w:jc w:val="right"/>
        <w:rPr>
          <w:sz w:val="20"/>
        </w:rPr>
      </w:pPr>
      <w:r>
        <w:rPr>
          <w:sz w:val="20"/>
        </w:rPr>
        <w:t>(continued….)</w:t>
      </w:r>
    </w:p>
  </w:footnote>
  <w:footnote w:id="3">
    <w:p w:rsidR="00C8326A" w:rsidRPr="002B0FCF" w:rsidP="00C8326A" w14:paraId="1222C6D5" w14:textId="77777777">
      <w:pPr>
        <w:pStyle w:val="FootnoteText"/>
      </w:pPr>
      <w:r w:rsidRPr="00D13CF2">
        <w:rPr>
          <w:rStyle w:val="FootnoteReference"/>
        </w:rPr>
        <w:footnoteRef/>
      </w:r>
      <w:r w:rsidRPr="00D13CF2">
        <w:t xml:space="preserve"> </w:t>
      </w:r>
      <w:r w:rsidRPr="00F81D30">
        <w:rPr>
          <w:i/>
          <w:iCs/>
        </w:rPr>
        <w:t>Amendment of the Commission’s Rules to Advance the Low Power Television, TV Translator and Class A Television Service</w:t>
      </w:r>
      <w:r w:rsidRPr="00D13CF2">
        <w:t xml:space="preserve">, </w:t>
      </w:r>
      <w:r>
        <w:t>MB Docket No. 24-148</w:t>
      </w:r>
      <w:r w:rsidRPr="00D13CF2">
        <w:t>, Report and Order, FCC 2</w:t>
      </w:r>
      <w:r>
        <w:t>5</w:t>
      </w:r>
      <w:r w:rsidRPr="00D13CF2">
        <w:t>-</w:t>
      </w:r>
      <w:r>
        <w:t>84</w:t>
      </w:r>
      <w:r w:rsidRPr="00D13CF2">
        <w:t xml:space="preserve"> (rel. </w:t>
      </w:r>
      <w:r>
        <w:t>Dec. 19, 2025</w:t>
      </w:r>
      <w:r w:rsidRPr="00D13CF2">
        <w:t>) (</w:t>
      </w:r>
      <w:r w:rsidRPr="00D13CF2">
        <w:rPr>
          <w:i/>
          <w:iCs/>
        </w:rPr>
        <w:t>Report and Order</w:t>
      </w:r>
      <w:r w:rsidRPr="00D13CF2">
        <w:t>).  The document is available on the Commission’s website at</w:t>
      </w:r>
      <w:r>
        <w:t xml:space="preserve"> </w:t>
      </w:r>
      <w:hyperlink r:id="rId1" w:history="1">
        <w:r w:rsidRPr="00C42AC9">
          <w:rPr>
            <w:rStyle w:val="Hyperlink"/>
          </w:rPr>
          <w:t>https://docs.fcc.gov/public/attachments/FCC-25-84A1.pdf</w:t>
        </w:r>
      </w:hyperlink>
      <w:r>
        <w:t xml:space="preserve">. </w:t>
      </w:r>
    </w:p>
  </w:footnote>
  <w:footnote w:id="4">
    <w:p w:rsidR="00C8326A" w:rsidRPr="004A75E8" w:rsidP="00C8326A" w14:paraId="5B329818" w14:textId="07158571">
      <w:pPr>
        <w:pStyle w:val="FootnoteText"/>
      </w:pPr>
      <w:r w:rsidRPr="00573D39">
        <w:rPr>
          <w:rStyle w:val="FootnoteReference"/>
        </w:rPr>
        <w:footnoteRef/>
      </w:r>
      <w:r w:rsidRPr="00573D39">
        <w:t xml:space="preserve"> </w:t>
      </w:r>
      <w:r w:rsidRPr="00573D39">
        <w:rPr>
          <w:i/>
        </w:rPr>
        <w:t>Report and Order</w:t>
      </w:r>
      <w:r w:rsidRPr="00573D39">
        <w:t xml:space="preserve">, Final Rule, </w:t>
      </w:r>
      <w:r w:rsidRPr="00B14464" w:rsidR="00B14464">
        <w:t>91 FR 2861</w:t>
      </w:r>
      <w:r w:rsidRPr="00573D39">
        <w:t xml:space="preserve"> (J</w:t>
      </w:r>
      <w:r>
        <w:t>an. 23, 2026</w:t>
      </w:r>
      <w:r w:rsidRPr="00573D39">
        <w:t>)</w:t>
      </w:r>
      <w:r>
        <w:t>.</w:t>
      </w:r>
    </w:p>
  </w:footnote>
  <w:footnote w:id="5">
    <w:p w:rsidR="00C8326A" w:rsidRPr="004D712D" w:rsidP="00C8326A" w14:paraId="3F01ABD5" w14:textId="27F2968F">
      <w:pPr>
        <w:pStyle w:val="FootnoteText"/>
      </w:pPr>
      <w:r w:rsidRPr="004A75E8">
        <w:rPr>
          <w:rStyle w:val="FootnoteReference"/>
        </w:rPr>
        <w:footnoteRef/>
      </w:r>
      <w:r w:rsidRPr="004A75E8">
        <w:t xml:space="preserve"> </w:t>
      </w:r>
      <w:r w:rsidRPr="00066D18">
        <w:rPr>
          <w:i/>
          <w:iCs/>
        </w:rPr>
        <w:t>Report and Order</w:t>
      </w:r>
      <w:r>
        <w:rPr>
          <w:i/>
          <w:iCs/>
        </w:rPr>
        <w:t xml:space="preserve"> </w:t>
      </w:r>
      <w:r>
        <w:t>at para. 81</w:t>
      </w:r>
      <w:r w:rsidR="00EB67AE">
        <w:t>.</w:t>
      </w:r>
    </w:p>
  </w:footnote>
  <w:footnote w:id="6">
    <w:p w:rsidR="004F1200" w:rsidRPr="00645D5F" w:rsidP="004F1200" w14:paraId="405806C4" w14:textId="151FB0D4">
      <w:pPr>
        <w:pStyle w:val="FootnoteText"/>
      </w:pPr>
      <w:r>
        <w:rPr>
          <w:rStyle w:val="FootnoteReference"/>
        </w:rPr>
        <w:footnoteRef/>
      </w:r>
      <w:r>
        <w:t xml:space="preserve"> Because the effective date would </w:t>
      </w:r>
      <w:r w:rsidR="00C72A29">
        <w:t>fall</w:t>
      </w:r>
      <w:r>
        <w:t xml:space="preserve"> on Sunday</w:t>
      </w:r>
      <w:r w:rsidR="00C72A29">
        <w:t>,</w:t>
      </w:r>
      <w:r>
        <w:t xml:space="preserve"> February 22, 2026, </w:t>
      </w:r>
      <w:r w:rsidR="00C72A29">
        <w:t>which is a</w:t>
      </w:r>
      <w:r>
        <w:t xml:space="preserve"> weekend, the effective date </w:t>
      </w:r>
      <w:r w:rsidR="00C72A29">
        <w:t>is set for</w:t>
      </w:r>
      <w:r>
        <w:t xml:space="preserve"> the next business day, Monday February 23, 2026.  </w:t>
      </w:r>
      <w:r>
        <w:rPr>
          <w:i/>
          <w:iCs/>
        </w:rPr>
        <w:t xml:space="preserve">See </w:t>
      </w:r>
      <w:r>
        <w:t>47 CFR §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E3AB2F4" w14:textId="77777777">
    <w:pPr>
      <w:tabs>
        <w:tab w:val="center" w:pos="4680"/>
        <w:tab w:val="right" w:pos="9360"/>
      </w:tabs>
    </w:pPr>
    <w:r>
      <w:rPr>
        <w:b/>
      </w:rPr>
      <w:tab/>
      <w:t>Federal Communications Commission</w:t>
    </w:r>
    <w:r>
      <w:rPr>
        <w:b/>
      </w:rPr>
      <w:tab/>
    </w:r>
    <w:r>
      <w:rPr>
        <w:b/>
      </w:rPr>
      <w:fldChar w:fldCharType="begin"/>
    </w:r>
    <w:r>
      <w:rPr>
        <w:b/>
      </w:rPr>
      <w:instrText xml:space="preserve"> MACROBUTTON  AcceptAllChangesShown "FCC/DA  XX-XXX" </w:instrText>
    </w:r>
    <w:r>
      <w:rPr>
        <w:b/>
      </w:rPr>
      <w:fldChar w:fldCharType="end"/>
    </w:r>
  </w:p>
  <w:p w:rsidR="00BA3BA8" w14:paraId="3CF01C0C" w14:textId="14397258">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6270D74B"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60FF8140" w14:textId="7182FAD9">
    <w:pPr>
      <w:pStyle w:val="Header"/>
    </w:pPr>
    <w:r>
      <w:rPr>
        <w:noProof/>
      </w:rPr>
      <w:drawing>
        <wp:inline distT="0" distB="0" distL="0" distR="0">
          <wp:extent cx="5950585" cy="1433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0585" cy="1433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5AA0ABB"/>
    <w:multiLevelType w:val="hybridMultilevel"/>
    <w:tmpl w:val="90F20A7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482D42"/>
    <w:multiLevelType w:val="hybridMultilevel"/>
    <w:tmpl w:val="8C2CE626"/>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75968040">
    <w:abstractNumId w:val="1"/>
  </w:num>
  <w:num w:numId="2" w16cid:durableId="526911069">
    <w:abstractNumId w:val="7"/>
  </w:num>
  <w:num w:numId="3" w16cid:durableId="1328512749">
    <w:abstractNumId w:val="3"/>
  </w:num>
  <w:num w:numId="4" w16cid:durableId="590699227">
    <w:abstractNumId w:val="6"/>
  </w:num>
  <w:num w:numId="5" w16cid:durableId="1504972045">
    <w:abstractNumId w:val="2"/>
  </w:num>
  <w:num w:numId="6" w16cid:durableId="1688435894">
    <w:abstractNumId w:val="0"/>
  </w:num>
  <w:num w:numId="7" w16cid:durableId="1241259392">
    <w:abstractNumId w:val="4"/>
  </w:num>
  <w:num w:numId="8" w16cid:durableId="80492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6A"/>
    <w:rsid w:val="00066D18"/>
    <w:rsid w:val="001A2D5D"/>
    <w:rsid w:val="002404FB"/>
    <w:rsid w:val="002B0FCF"/>
    <w:rsid w:val="0040410D"/>
    <w:rsid w:val="00430183"/>
    <w:rsid w:val="004A75E8"/>
    <w:rsid w:val="004D712D"/>
    <w:rsid w:val="004F1200"/>
    <w:rsid w:val="00573D39"/>
    <w:rsid w:val="00645D5F"/>
    <w:rsid w:val="00722EF8"/>
    <w:rsid w:val="00751915"/>
    <w:rsid w:val="007A7E71"/>
    <w:rsid w:val="007C50E8"/>
    <w:rsid w:val="00844F43"/>
    <w:rsid w:val="00A20679"/>
    <w:rsid w:val="00A55BCC"/>
    <w:rsid w:val="00AE709D"/>
    <w:rsid w:val="00B14464"/>
    <w:rsid w:val="00B95436"/>
    <w:rsid w:val="00BA3BA8"/>
    <w:rsid w:val="00C26D20"/>
    <w:rsid w:val="00C42AC9"/>
    <w:rsid w:val="00C72A29"/>
    <w:rsid w:val="00C8326A"/>
    <w:rsid w:val="00D13CF2"/>
    <w:rsid w:val="00D423C5"/>
    <w:rsid w:val="00EB67AE"/>
    <w:rsid w:val="00EF466B"/>
    <w:rsid w:val="00F03EA1"/>
    <w:rsid w:val="00F81D30"/>
    <w:rsid w:val="00F837D9"/>
    <w:rsid w:val="00FB54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A65890"/>
  <w15:chartTrackingRefBased/>
  <w15:docId w15:val="{35C5EF23-9261-447D-BDBE-0C98A15E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1 Char,Footnote Text Char Char1 Char Char Char1,Footnote Text Char1,Footnote Text Char1 Char,Footnote Text Char1 Char Char Char1 Char Char,Footnote Text Char2 Char1 Char Char,f,fn Char,fn Char Char"/>
    <w:link w:val="FootnoteTextChar2"/>
    <w:pPr>
      <w:spacing w:after="120"/>
    </w:pPr>
  </w:style>
  <w:style w:type="character" w:styleId="FootnoteReference">
    <w:name w:val="footnote reference"/>
    <w:aliases w:val="(NECG) Footnote Reference,Appel note de bas de p,Style 12,Style 124"/>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2">
    <w:name w:val="Footnote Text Char2"/>
    <w:aliases w:val="Footnote Text Char Char,Footnote Text Char Char1 Char Char,Footnote Text Char Char1 Char Char Char1 Char,Footnote Text Char1 Char1,Footnote Text Char1 Char Char,Footnote Text Char1 Char Char Char1 Char Char Char,f Char,fn Char Char1"/>
    <w:link w:val="FootnoteText"/>
    <w:locked/>
    <w:rsid w:val="00C8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Shaun.Maher@fcc.gov" TargetMode="External" /><Relationship Id="rId7" Type="http://schemas.openxmlformats.org/officeDocument/2006/relationships/hyperlink" Target="mailto:Mark.Colombo@fcc.gov"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FCC-25-84A1.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