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EF11ED" w14:paraId="7870F66A" w14:textId="77777777">
      <w:pPr>
        <w:jc w:val="center"/>
        <w:rPr>
          <w:b/>
        </w:rPr>
      </w:pPr>
      <w:r w:rsidRPr="0070224F">
        <w:rPr>
          <w:rFonts w:ascii="Times New Roman Bold" w:hAnsi="Times New Roman Bold"/>
          <w:b/>
          <w:kern w:val="0"/>
          <w:szCs w:val="22"/>
        </w:rPr>
        <w:t>Before</w:t>
      </w:r>
      <w:r>
        <w:rPr>
          <w:b/>
        </w:rPr>
        <w:t xml:space="preserve"> the</w:t>
      </w:r>
    </w:p>
    <w:p w:rsidR="00EF11ED" w:rsidP="00921803" w14:paraId="20AA297C" w14:textId="77777777">
      <w:pPr>
        <w:pStyle w:val="StyleBoldCentered"/>
      </w:pPr>
      <w:r>
        <w:t>F</w:t>
      </w:r>
      <w:r>
        <w:rPr>
          <w:caps w:val="0"/>
        </w:rPr>
        <w:t>ederal Communications Commission</w:t>
      </w:r>
    </w:p>
    <w:p w:rsidR="00EF11ED" w:rsidP="00096D8C" w14:paraId="3B063FF5" w14:textId="77777777">
      <w:pPr>
        <w:pStyle w:val="StyleBoldCentered"/>
      </w:pPr>
      <w:r>
        <w:rPr>
          <w:caps w:val="0"/>
        </w:rPr>
        <w:t>Washington, D.C. 20554</w:t>
      </w:r>
    </w:p>
    <w:p w:rsidR="00EF11ED" w:rsidP="0070224F" w14:paraId="79D05F89" w14:textId="77777777"/>
    <w:tbl>
      <w:tblPr>
        <w:tblW w:w="0" w:type="auto"/>
        <w:tblLayout w:type="fixed"/>
        <w:tblLook w:val="0000"/>
      </w:tblPr>
      <w:tblGrid>
        <w:gridCol w:w="4698"/>
        <w:gridCol w:w="630"/>
        <w:gridCol w:w="4248"/>
      </w:tblGrid>
      <w:tr w14:paraId="58A79D9E" w14:textId="77777777">
        <w:tblPrEx>
          <w:tblW w:w="0" w:type="auto"/>
          <w:tblLayout w:type="fixed"/>
          <w:tblLook w:val="0000"/>
        </w:tblPrEx>
        <w:tc>
          <w:tcPr>
            <w:tcW w:w="4698" w:type="dxa"/>
          </w:tcPr>
          <w:p w:rsidR="00EF11ED" w14:paraId="49A3E12C" w14:textId="77777777">
            <w:pPr>
              <w:tabs>
                <w:tab w:val="center" w:pos="4680"/>
              </w:tabs>
              <w:suppressAutoHyphens/>
              <w:rPr>
                <w:spacing w:val="-2"/>
              </w:rPr>
            </w:pPr>
            <w:r>
              <w:rPr>
                <w:spacing w:val="-2"/>
              </w:rPr>
              <w:t>In the Matter of</w:t>
            </w:r>
          </w:p>
          <w:p w:rsidR="00EF11ED" w14:paraId="2F0237BE" w14:textId="77777777">
            <w:pPr>
              <w:tabs>
                <w:tab w:val="center" w:pos="4680"/>
              </w:tabs>
              <w:suppressAutoHyphens/>
              <w:rPr>
                <w:spacing w:val="-2"/>
              </w:rPr>
            </w:pPr>
          </w:p>
          <w:p w:rsidR="00EF11ED" w:rsidRPr="007115F7" w:rsidP="007115F7" w14:paraId="032136F0" w14:textId="77777777">
            <w:pPr>
              <w:tabs>
                <w:tab w:val="center" w:pos="4680"/>
              </w:tabs>
              <w:suppressAutoHyphens/>
              <w:rPr>
                <w:spacing w:val="-2"/>
              </w:rPr>
            </w:pPr>
            <w:r w:rsidRPr="0045313A">
              <w:rPr>
                <w:noProof/>
                <w:spacing w:val="-2"/>
              </w:rPr>
              <w:t>Spatial Hover Inc</w:t>
            </w:r>
          </w:p>
        </w:tc>
        <w:tc>
          <w:tcPr>
            <w:tcW w:w="630" w:type="dxa"/>
          </w:tcPr>
          <w:p w:rsidR="00EF11ED" w14:paraId="2C455088" w14:textId="77777777">
            <w:pPr>
              <w:tabs>
                <w:tab w:val="center" w:pos="4680"/>
              </w:tabs>
              <w:suppressAutoHyphens/>
              <w:rPr>
                <w:b/>
                <w:spacing w:val="-2"/>
              </w:rPr>
            </w:pPr>
            <w:r>
              <w:rPr>
                <w:b/>
                <w:spacing w:val="-2"/>
              </w:rPr>
              <w:t>)</w:t>
            </w:r>
          </w:p>
          <w:p w:rsidR="00EF11ED" w14:paraId="7A2F45D9" w14:textId="77777777">
            <w:pPr>
              <w:tabs>
                <w:tab w:val="center" w:pos="4680"/>
              </w:tabs>
              <w:suppressAutoHyphens/>
              <w:rPr>
                <w:b/>
                <w:spacing w:val="-2"/>
              </w:rPr>
            </w:pPr>
            <w:r>
              <w:rPr>
                <w:b/>
                <w:spacing w:val="-2"/>
              </w:rPr>
              <w:t>)</w:t>
            </w:r>
          </w:p>
          <w:p w:rsidR="00EF11ED" w14:paraId="0297A1E1" w14:textId="77777777">
            <w:pPr>
              <w:tabs>
                <w:tab w:val="center" w:pos="4680"/>
              </w:tabs>
              <w:suppressAutoHyphens/>
              <w:rPr>
                <w:b/>
                <w:spacing w:val="-2"/>
              </w:rPr>
            </w:pPr>
            <w:r>
              <w:rPr>
                <w:b/>
                <w:spacing w:val="-2"/>
              </w:rPr>
              <w:t>)</w:t>
            </w:r>
          </w:p>
          <w:p w:rsidR="00EF11ED" w14:paraId="0E29D496" w14:textId="77777777">
            <w:pPr>
              <w:tabs>
                <w:tab w:val="center" w:pos="4680"/>
              </w:tabs>
              <w:suppressAutoHyphens/>
              <w:rPr>
                <w:b/>
                <w:spacing w:val="-2"/>
              </w:rPr>
            </w:pPr>
            <w:r>
              <w:rPr>
                <w:b/>
                <w:spacing w:val="-2"/>
              </w:rPr>
              <w:t>)</w:t>
            </w:r>
          </w:p>
          <w:p w:rsidR="00EF11ED" w14:paraId="75CD3989" w14:textId="77777777">
            <w:pPr>
              <w:tabs>
                <w:tab w:val="center" w:pos="4680"/>
              </w:tabs>
              <w:suppressAutoHyphens/>
              <w:rPr>
                <w:b/>
                <w:spacing w:val="-2"/>
              </w:rPr>
            </w:pPr>
            <w:r>
              <w:rPr>
                <w:b/>
                <w:spacing w:val="-2"/>
              </w:rPr>
              <w:t>)</w:t>
            </w:r>
          </w:p>
          <w:p w:rsidR="00EF11ED" w:rsidRPr="00E10530" w14:paraId="5D2532B5" w14:textId="77777777">
            <w:pPr>
              <w:tabs>
                <w:tab w:val="center" w:pos="4680"/>
              </w:tabs>
              <w:suppressAutoHyphens/>
              <w:rPr>
                <w:b/>
                <w:spacing w:val="-2"/>
              </w:rPr>
            </w:pPr>
            <w:r>
              <w:rPr>
                <w:b/>
                <w:spacing w:val="-2"/>
              </w:rPr>
              <w:t>)</w:t>
            </w:r>
          </w:p>
        </w:tc>
        <w:tc>
          <w:tcPr>
            <w:tcW w:w="4248" w:type="dxa"/>
          </w:tcPr>
          <w:p w:rsidR="00EF11ED" w14:paraId="77171FFE" w14:textId="77777777">
            <w:pPr>
              <w:tabs>
                <w:tab w:val="center" w:pos="4680"/>
              </w:tabs>
              <w:suppressAutoHyphens/>
              <w:rPr>
                <w:spacing w:val="-2"/>
              </w:rPr>
            </w:pPr>
          </w:p>
          <w:p w:rsidR="00EF11ED" w14:paraId="4D335619" w14:textId="77777777">
            <w:pPr>
              <w:pStyle w:val="TOAHeading"/>
              <w:tabs>
                <w:tab w:val="center" w:pos="4680"/>
                <w:tab w:val="clear" w:pos="9360"/>
              </w:tabs>
              <w:rPr>
                <w:spacing w:val="-2"/>
              </w:rPr>
            </w:pPr>
          </w:p>
          <w:p w:rsidR="00EF11ED" w14:paraId="457ADC9E" w14:textId="77777777">
            <w:pPr>
              <w:tabs>
                <w:tab w:val="center" w:pos="4680"/>
              </w:tabs>
              <w:suppressAutoHyphens/>
              <w:rPr>
                <w:spacing w:val="-2"/>
              </w:rPr>
            </w:pPr>
            <w:r>
              <w:rPr>
                <w:spacing w:val="-2"/>
              </w:rPr>
              <w:t xml:space="preserve">File No.: </w:t>
            </w:r>
            <w:r w:rsidRPr="0045313A">
              <w:rPr>
                <w:noProof/>
                <w:spacing w:val="-2"/>
              </w:rPr>
              <w:t>EB-SED-26-00040749</w:t>
            </w:r>
          </w:p>
          <w:p w:rsidR="00EF11ED" w14:paraId="156E6395" w14:textId="77777777">
            <w:pPr>
              <w:tabs>
                <w:tab w:val="center" w:pos="4680"/>
              </w:tabs>
              <w:suppressAutoHyphens/>
              <w:rPr>
                <w:spacing w:val="-2"/>
              </w:rPr>
            </w:pPr>
            <w:r>
              <w:rPr>
                <w:spacing w:val="-2"/>
              </w:rPr>
              <w:t xml:space="preserve">NAL/Acct No.: </w:t>
            </w:r>
            <w:r w:rsidRPr="0045313A">
              <w:rPr>
                <w:noProof/>
                <w:spacing w:val="-2"/>
              </w:rPr>
              <w:t>202632100008</w:t>
            </w:r>
          </w:p>
          <w:p w:rsidR="00EF11ED" w14:paraId="46EEF7DC" w14:textId="77777777">
            <w:pPr>
              <w:tabs>
                <w:tab w:val="center" w:pos="4680"/>
              </w:tabs>
              <w:suppressAutoHyphens/>
              <w:rPr>
                <w:spacing w:val="-2"/>
              </w:rPr>
            </w:pPr>
            <w:r>
              <w:rPr>
                <w:spacing w:val="-2"/>
              </w:rPr>
              <w:t xml:space="preserve">FRN: </w:t>
            </w:r>
            <w:r w:rsidRPr="0045313A">
              <w:rPr>
                <w:noProof/>
                <w:spacing w:val="-2"/>
              </w:rPr>
              <w:t>0037167046</w:t>
            </w:r>
          </w:p>
        </w:tc>
      </w:tr>
    </w:tbl>
    <w:p w:rsidR="00EF11ED" w:rsidP="0070224F" w14:paraId="3156A96A" w14:textId="77777777"/>
    <w:p w:rsidR="00EF11ED" w:rsidP="00F021FA" w14:paraId="64AE1A60" w14:textId="77777777">
      <w:pPr>
        <w:pStyle w:val="StyleBoldCentered"/>
      </w:pPr>
      <w:r>
        <w:t>forfeiture order</w:t>
      </w:r>
    </w:p>
    <w:p w:rsidR="00EF11ED" w14:paraId="0636D109" w14:textId="77777777">
      <w:pPr>
        <w:tabs>
          <w:tab w:val="left" w:pos="-720"/>
        </w:tabs>
        <w:suppressAutoHyphens/>
        <w:spacing w:line="227" w:lineRule="auto"/>
        <w:rPr>
          <w:spacing w:val="-2"/>
        </w:rPr>
      </w:pPr>
    </w:p>
    <w:p w:rsidR="00EF11ED" w:rsidP="00133F79" w14:paraId="7FFDF8EB" w14:textId="2993C885">
      <w:pPr>
        <w:tabs>
          <w:tab w:val="left" w:pos="720"/>
          <w:tab w:val="right" w:pos="9360"/>
        </w:tabs>
        <w:suppressAutoHyphens/>
        <w:spacing w:line="227" w:lineRule="auto"/>
        <w:rPr>
          <w:spacing w:val="-2"/>
        </w:rPr>
      </w:pPr>
      <w:r>
        <w:rPr>
          <w:b/>
          <w:spacing w:val="-2"/>
        </w:rPr>
        <w:t>Adopted</w:t>
      </w:r>
      <w:r>
        <w:rPr>
          <w:b/>
          <w:spacing w:val="-2"/>
        </w:rPr>
        <w:t xml:space="preserve">:  </w:t>
      </w:r>
      <w:r w:rsidR="008C1923">
        <w:rPr>
          <w:b/>
          <w:spacing w:val="-2"/>
        </w:rPr>
        <w:t>August</w:t>
      </w:r>
      <w:r w:rsidR="008C1923">
        <w:rPr>
          <w:b/>
          <w:spacing w:val="-2"/>
        </w:rPr>
        <w:t xml:space="preserve"> 31, </w:t>
      </w:r>
      <w:r w:rsidR="008C1923">
        <w:rPr>
          <w:b/>
          <w:spacing w:val="-2"/>
        </w:rPr>
        <w:t>2026</w:t>
      </w:r>
      <w:r>
        <w:rPr>
          <w:b/>
          <w:spacing w:val="-2"/>
        </w:rPr>
        <w:tab/>
        <w:t>Released</w:t>
      </w:r>
      <w:r>
        <w:rPr>
          <w:b/>
          <w:spacing w:val="-2"/>
        </w:rPr>
        <w:t xml:space="preserve">:  </w:t>
      </w:r>
      <w:r w:rsidR="008C1923">
        <w:rPr>
          <w:b/>
          <w:spacing w:val="-2"/>
        </w:rPr>
        <w:t>August</w:t>
      </w:r>
      <w:r w:rsidR="008C1923">
        <w:rPr>
          <w:b/>
          <w:spacing w:val="-2"/>
        </w:rPr>
        <w:t xml:space="preserve"> 31, 2026</w:t>
      </w:r>
    </w:p>
    <w:p w:rsidR="00EF11ED" w14:paraId="4D43477B" w14:textId="77777777"/>
    <w:p w:rsidR="00EF11ED" w14:paraId="291A1A1E" w14:textId="77777777">
      <w:pPr>
        <w:rPr>
          <w:spacing w:val="-2"/>
        </w:rPr>
      </w:pPr>
      <w:r>
        <w:t>By the Chief, Enforcement Bureau</w:t>
      </w:r>
      <w:r>
        <w:rPr>
          <w:spacing w:val="-2"/>
        </w:rPr>
        <w:t>:</w:t>
      </w:r>
    </w:p>
    <w:p w:rsidR="00EF11ED" w14:paraId="6968C1F8" w14:textId="77777777">
      <w:pPr>
        <w:rPr>
          <w:spacing w:val="-2"/>
        </w:rPr>
      </w:pPr>
    </w:p>
    <w:p w:rsidR="00EF11ED" w:rsidP="00B77AF3" w14:paraId="72E63576" w14:textId="6C1754A9">
      <w:pPr>
        <w:pStyle w:val="ParaNum"/>
      </w:pPr>
      <w:r>
        <w:t xml:space="preserve">We impose a penalty of $25,000 against </w:t>
      </w:r>
      <w:r>
        <w:rPr>
          <w:noProof/>
        </w:rPr>
        <w:t>Spatial Hover Inc</w:t>
      </w:r>
      <w:r>
        <w:t xml:space="preserve"> (</w:t>
      </w:r>
      <w:r>
        <w:rPr>
          <w:noProof/>
        </w:rPr>
        <w:t>Spatial Hover</w:t>
      </w:r>
      <w:r>
        <w:t xml:space="preserve">), for willfully or repeatedly failing to respond to the Enforcement Bureau’s (Bureau) Letter of Inquiry (LOI) as directed.  Specifically, </w:t>
      </w:r>
      <w:r>
        <w:rPr>
          <w:noProof/>
        </w:rPr>
        <w:t>Spatial Hover</w:t>
      </w:r>
      <w:r>
        <w:t xml:space="preserve"> failed to respond to an LOI requesting information about whether it has indirectly or directly marketed within the United States any radiofrequency (RF) equipment that was added to the Covered List on December 22, 2025, as posing an “unacceptable risk to the national security of the United States or the safety and security of United States persons.”</w:t>
      </w:r>
      <w:r>
        <w:rPr>
          <w:rStyle w:val="FootnoteReference"/>
        </w:rPr>
        <w:footnoteReference w:id="3"/>
      </w:r>
      <w:r>
        <w:t xml:space="preserve">  </w:t>
      </w:r>
      <w:r>
        <w:rPr>
          <w:noProof/>
        </w:rPr>
        <w:t>Spatial Hover</w:t>
      </w:r>
      <w:r>
        <w:t>’s failure to respond to the LOI undermines the Commission’s ability to protect consumers in the United States and mitigate national security risks that may arise from certain entities that market RF equipment.</w:t>
      </w:r>
    </w:p>
    <w:p w:rsidR="00EF11ED" w:rsidP="00B77AF3" w14:paraId="049DDF11" w14:textId="77777777">
      <w:pPr>
        <w:pStyle w:val="ParaNum"/>
      </w:pPr>
      <w:r>
        <w:t xml:space="preserve">On July 10, 2026, the Bureau issued a Notice of Apparent Liability for Forfeiture and Order proposing a $25,000 forfeiture against </w:t>
      </w:r>
      <w:r>
        <w:rPr>
          <w:noProof/>
        </w:rPr>
        <w:t>Spatial Hover</w:t>
      </w:r>
      <w:r>
        <w:t xml:space="preserve"> for apparent willful or repeated violations of a Commission order after it failed to respond to the LOI.</w:t>
      </w:r>
      <w:r>
        <w:rPr>
          <w:rStyle w:val="FootnoteReference"/>
        </w:rPr>
        <w:footnoteReference w:id="4"/>
      </w:r>
      <w:r>
        <w:t xml:space="preserve">  </w:t>
      </w:r>
      <w:r>
        <w:rPr>
          <w:noProof/>
        </w:rPr>
        <w:t>Spatial Hover</w:t>
      </w:r>
      <w:r>
        <w:t xml:space="preserve"> has not filed a response to the </w:t>
      </w:r>
      <w:r>
        <w:rPr>
          <w:i/>
          <w:iCs/>
        </w:rPr>
        <w:t>NAL</w:t>
      </w:r>
      <w:r>
        <w:t>.</w:t>
      </w:r>
      <w:r>
        <w:rPr>
          <w:rStyle w:val="FootnoteReference"/>
        </w:rPr>
        <w:footnoteReference w:id="5"/>
      </w:r>
      <w:r>
        <w:t xml:space="preserve">  We incorporate by reference herein, affirm, and adopt as final all of our tentative findings of fact and conclusions of law set forth in the </w:t>
      </w:r>
      <w:r w:rsidRPr="005A182F">
        <w:rPr>
          <w:i/>
          <w:iCs/>
        </w:rPr>
        <w:t>NAL</w:t>
      </w:r>
      <w:r>
        <w:t xml:space="preserve"> and affirm the forfeiture proposed in the </w:t>
      </w:r>
      <w:r w:rsidRPr="005A182F">
        <w:rPr>
          <w:i/>
          <w:iCs/>
        </w:rPr>
        <w:t>NAL</w:t>
      </w:r>
      <w:r>
        <w:t>.</w:t>
      </w:r>
      <w:r>
        <w:rPr>
          <w:rStyle w:val="FootnoteReference"/>
        </w:rPr>
        <w:footnoteReference w:id="6"/>
      </w:r>
    </w:p>
    <w:p w:rsidR="00EF11ED" w:rsidP="00FB630F" w14:paraId="37833192" w14:textId="5617C9BC">
      <w:pPr>
        <w:pStyle w:val="ParaNum"/>
      </w:pPr>
      <w:r>
        <w:t xml:space="preserve">Accordingly, </w:t>
      </w:r>
      <w:r w:rsidRPr="00FB630F">
        <w:rPr>
          <w:b/>
          <w:bCs/>
        </w:rPr>
        <w:t>IT IS ORDERED</w:t>
      </w:r>
      <w:r>
        <w:t xml:space="preserve"> that, pursuant to section 503(b) of the Communications Act of 1934, as amended (Act), 47 U.S.C. § 503(b), and sections 0.111, 0.311, and 1.80 of the Commission’s rules, 47 CFR §§ 0.111, 0.311, 1.80, </w:t>
      </w:r>
      <w:r>
        <w:rPr>
          <w:noProof/>
        </w:rPr>
        <w:t>Spatial Hover Inc</w:t>
      </w:r>
      <w:r>
        <w:t xml:space="preserve"> is </w:t>
      </w:r>
      <w:r>
        <w:rPr>
          <w:b/>
          <w:bCs/>
        </w:rPr>
        <w:t>LIABLE FOR A MONETARY FORFEITURE</w:t>
      </w:r>
      <w:r>
        <w:t xml:space="preserve"> in the amount of twenty-five thousand dollars ($25,000) for willful or repeated violations of a Commission order. </w:t>
      </w:r>
    </w:p>
    <w:p w:rsidR="00EF11ED" w:rsidP="007D013C" w14:paraId="3F116FD4" w14:textId="77777777">
      <w:pPr>
        <w:pStyle w:val="ParaNum"/>
      </w:pPr>
      <w:r>
        <w:t xml:space="preserve">Payment of the forfeiture shall be made in the manner provided for in section 1.80 of the Commission’s rules, 47 CFR § 1.80, within thirty (30) calendar days after the release of this Forfeiture Order.  </w:t>
      </w:r>
      <w:r>
        <w:rPr>
          <w:noProof/>
        </w:rPr>
        <w:t>Spatial Hover</w:t>
      </w:r>
      <w:r>
        <w:t xml:space="preserve"> shall send electronic notification of payment to the Spectrum Enforcement Division, Enforcement Bureau, Federal Communications Commission, at </w:t>
      </w:r>
      <w:hyperlink r:id="rId6" w:history="1">
        <w:r w:rsidRPr="004773FA">
          <w:rPr>
            <w:rStyle w:val="Hyperlink"/>
          </w:rPr>
          <w:t>EB-SED-Response@fcc.gov</w:t>
        </w:r>
      </w:hyperlink>
      <w:r>
        <w:t xml:space="preserve"> on the date said payment is made.  If the forfeiture is not paid within the period specified, the case may be referred to the U.S. Department of Justice for enforcement of the forfeiture pursuant to section 504(a) of the Act, 47 U.S.C. § 504(a).</w:t>
      </w:r>
    </w:p>
    <w:p w:rsidR="00EF11ED" w:rsidRPr="009716F7" w:rsidP="007D013C" w14:paraId="1AFBDDED" w14:textId="77777777">
      <w:pPr>
        <w:pStyle w:val="ParaNum"/>
      </w:pPr>
      <w:r>
        <w:t>In order for</w:t>
      </w:r>
      <w:r>
        <w:t xml:space="preserve"> </w:t>
      </w:r>
      <w:r>
        <w:rPr>
          <w:noProof/>
        </w:rPr>
        <w:t>Spatial Hover</w:t>
      </w:r>
      <w:r>
        <w:t xml:space="preserve"> to pay the proposed forfeiture, </w:t>
      </w:r>
      <w:r>
        <w:rPr>
          <w:noProof/>
        </w:rPr>
        <w:t>Spatial Hover</w:t>
      </w:r>
      <w:r>
        <w:t xml:space="preserve"> shall notify the Spectrum Enforcement Division, Enforcement Bureau, Federal Communications Commission at </w:t>
      </w:r>
      <w:hyperlink r:id="rId6" w:history="1">
        <w:r w:rsidRPr="004773FA">
          <w:rPr>
            <w:rStyle w:val="Hyperlink"/>
          </w:rPr>
          <w:t>EB-SED-Response@fcc.gov</w:t>
        </w:r>
      </w:hyperlink>
      <w:r>
        <w:t xml:space="preserve"> of its intent to pay, whereupon an invoice will be posted in the Commission’s Registration System (CORES) at </w:t>
      </w:r>
      <w:hyperlink r:id="rId7" w:history="1">
        <w:r w:rsidRPr="00BA069F">
          <w:rPr>
            <w:rStyle w:val="Hyperlink"/>
          </w:rPr>
          <w:t>https://apps.fcc.gov/cores/userLogin.do</w:t>
        </w:r>
      </w:hyperlink>
      <w:r>
        <w:rPr>
          <w:rStyle w:val="Hyperlink"/>
        </w:rPr>
        <w:t>.</w:t>
      </w:r>
      <w:r w:rsidRPr="00EF52A6">
        <w:t xml:space="preserve">  Upon payment, </w:t>
      </w:r>
      <w:r>
        <w:rPr>
          <w:noProof/>
        </w:rPr>
        <w:t>Spatial Hover</w:t>
      </w:r>
      <w:r>
        <w:t xml:space="preserve"> shall send electronic notification of payment to the Spectrum Enforcement Division at </w:t>
      </w:r>
      <w:hyperlink r:id="rId6" w:history="1">
        <w:r w:rsidRPr="004773FA">
          <w:rPr>
            <w:rStyle w:val="Hyperlink"/>
          </w:rPr>
          <w:t>EB-SED-Response@fcc.gov</w:t>
        </w:r>
      </w:hyperlink>
      <w:r>
        <w:t xml:space="preserve"> on the date said payment is made.  </w:t>
      </w:r>
      <w:r w:rsidRPr="00AD0726">
        <w:t xml:space="preserve">Payment of the </w:t>
      </w:r>
      <w:r>
        <w:t>forfeiture</w:t>
      </w:r>
      <w:r w:rsidRPr="00AD0726">
        <w:t xml:space="preserve"> must be made by credit card</w:t>
      </w:r>
      <w:r w:rsidRPr="004C5D2B">
        <w:t xml:space="preserve"> </w:t>
      </w:r>
      <w:r>
        <w:t xml:space="preserve">using CORES at </w:t>
      </w:r>
      <w:hyperlink r:id="rId7" w:history="1">
        <w:r w:rsidRPr="00BA069F">
          <w:rPr>
            <w:rStyle w:val="Hyperlink"/>
          </w:rPr>
          <w:t>https://apps.fcc.gov/cores/userLogin.do</w:t>
        </w:r>
      </w:hyperlink>
      <w:r w:rsidRPr="00AD0726">
        <w:t>, ACH (Automated Clearing House) debit from a bank account</w:t>
      </w:r>
      <w:r w:rsidRPr="009716F7">
        <w:t xml:space="preserve">, or by wire transfer </w:t>
      </w:r>
      <w:r>
        <w:t>from a bank account.</w:t>
      </w:r>
      <w:r w:rsidRPr="009716F7">
        <w:t xml:space="preserve">  The Commission no longer accepts </w:t>
      </w:r>
      <w:r>
        <w:t>forfeiture</w:t>
      </w:r>
      <w:r w:rsidRPr="009716F7">
        <w:t xml:space="preserve"> payments by check or money order.  Below are instructions that payors should follow based on the form of payment selected:</w:t>
      </w:r>
      <w:r>
        <w:rPr>
          <w:rStyle w:val="FootnoteReference"/>
        </w:rPr>
        <w:footnoteReference w:id="7"/>
      </w:r>
    </w:p>
    <w:p w:rsidR="00EF11ED" w:rsidP="007D013C" w14:paraId="4B7D92A1" w14:textId="77777777">
      <w:pPr>
        <w:numPr>
          <w:ilvl w:val="0"/>
          <w:numId w:val="8"/>
        </w:numPr>
      </w:pPr>
      <w:r w:rsidRPr="009716F7">
        <w:t>Payment by wire transfer must be made to ABA Number 021030004, receiving bank TREAS/NYC, and Account Number 27000001.</w:t>
      </w:r>
      <w:r>
        <w:t xml:space="preserve">  In the OBI field, enter the FRN(s) captioned above and the </w:t>
      </w:r>
      <w:r w:rsidRPr="009716F7">
        <w:t>letters “FORF”</w:t>
      </w:r>
      <w:r>
        <w:t>.</w:t>
      </w:r>
      <w:r w:rsidRPr="009716F7">
        <w:t xml:space="preserve">  </w:t>
      </w:r>
      <w:r>
        <w:t>In addition, a</w:t>
      </w:r>
      <w:r w:rsidRPr="009716F7">
        <w:t xml:space="preserve"> completed Form 159</w:t>
      </w:r>
      <w:r>
        <w:rPr>
          <w:rStyle w:val="FootnoteReference"/>
        </w:rPr>
        <w:footnoteReference w:id="8"/>
      </w:r>
      <w:r>
        <w:t xml:space="preserve"> or printed CORES form</w:t>
      </w:r>
      <w:r>
        <w:rPr>
          <w:rStyle w:val="FootnoteReference"/>
        </w:rPr>
        <w:footnoteReference w:id="9"/>
      </w:r>
      <w:r w:rsidRPr="009716F7">
        <w:t xml:space="preserve"> must be faxed to the Federal Communications Commission at 202-418-2843 or e-mailed to </w:t>
      </w:r>
      <w:hyperlink r:id="rId8" w:history="1">
        <w:r w:rsidRPr="009716F7">
          <w:rPr>
            <w:rStyle w:val="Hyperlink"/>
          </w:rPr>
          <w:t>RROGWireFaxes@fcc.gov</w:t>
        </w:r>
      </w:hyperlink>
      <w:r w:rsidRPr="009716F7">
        <w:t xml:space="preserve"> on the same business day the wire transfer is initiated.  Failure to provide all required information in Form 159</w:t>
      </w:r>
      <w:r>
        <w:t xml:space="preserve"> or CORES</w:t>
      </w:r>
      <w:r w:rsidRPr="009716F7">
        <w:t xml:space="preserve"> may result in payment not being recognized as having been received.  When completing FCC Form 159</w:t>
      </w:r>
      <w:r>
        <w:t xml:space="preserve"> or CORES</w:t>
      </w:r>
      <w:r w:rsidRPr="009716F7">
        <w:t>, enter the Account Number in block number 23A (call sign/other ID), enter the letters “FORF” in block number 24A (payment type code), and enter in block number 11 the FRN(s) captioned above (Payor FRN).</w:t>
      </w:r>
      <w:r>
        <w:rPr>
          <w:rStyle w:val="FootnoteReference"/>
        </w:rPr>
        <w:footnoteReference w:id="10"/>
      </w:r>
      <w:r w:rsidRPr="009716F7">
        <w:t xml:space="preserve">  For additional detail and wire transfer instructions, go to </w:t>
      </w:r>
      <w:hyperlink r:id="rId9" w:history="1">
        <w:r w:rsidRPr="009716F7">
          <w:rPr>
            <w:rStyle w:val="Hyperlink"/>
          </w:rPr>
          <w:t>https://www.fcc.gov/licensing-databases/fees/wire-transfer</w:t>
        </w:r>
      </w:hyperlink>
      <w:r w:rsidRPr="009716F7">
        <w:t xml:space="preserve">.  </w:t>
      </w:r>
    </w:p>
    <w:p w:rsidR="00EF11ED" w:rsidRPr="009716F7" w:rsidP="00E2389D" w14:paraId="2B6F19E9" w14:textId="77777777">
      <w:pPr>
        <w:ind w:left="1440"/>
      </w:pPr>
    </w:p>
    <w:p w:rsidR="00EF11ED" w:rsidP="007D013C" w14:paraId="6041B6F1" w14:textId="77777777">
      <w:pPr>
        <w:numPr>
          <w:ilvl w:val="0"/>
          <w:numId w:val="8"/>
        </w:numPr>
      </w:pPr>
      <w:r w:rsidRPr="009716F7">
        <w:t xml:space="preserve">Payment by credit card must be made by using </w:t>
      </w:r>
      <w:r w:rsidRPr="004B6755">
        <w:t xml:space="preserve">CORES at </w:t>
      </w:r>
      <w:hyperlink r:id="rId7" w:history="1">
        <w:r w:rsidRPr="00105508">
          <w:rPr>
            <w:rStyle w:val="Hyperlink"/>
          </w:rPr>
          <w:t>h</w:t>
        </w:r>
        <w:r w:rsidRPr="00DF5B5C">
          <w:rPr>
            <w:rStyle w:val="Hyperlink"/>
          </w:rPr>
          <w:t>ttps://apps.fcc.gov/cores/userLogin.do</w:t>
        </w:r>
      </w:hyperlink>
      <w:r w:rsidRPr="004B6755">
        <w:t xml:space="preserve">.  To pay by credit card, log-in using the FCC Username associated </w:t>
      </w:r>
      <w:r w:rsidRPr="004B6755">
        <w:t>to</w:t>
      </w:r>
      <w:r w:rsidRPr="004B6755">
        <w:t xml:space="preserve"> the FRN captioned above.  If payment must be split across FRNs, complete this process for each FRN.  Next, select “Manage Existing FRNs | FRN Financial | Bills &amp; Fees” from the CORES Menu, then select FRN Financial and the view/make payments option next to the FRN. </w:t>
      </w:r>
      <w:r>
        <w:t xml:space="preserve"> </w:t>
      </w:r>
      <w:r w:rsidRPr="004B6755">
        <w:t xml:space="preserve">Select the “Open Bills” tab and find the bill number associated with the </w:t>
      </w:r>
      <w:r>
        <w:t>NAL</w:t>
      </w:r>
      <w:r w:rsidRPr="004B6755">
        <w:t xml:space="preserve"> Acct. No.  The bill number is the </w:t>
      </w:r>
      <w:r>
        <w:t>NAL</w:t>
      </w:r>
      <w:r w:rsidRPr="004B6755">
        <w:t xml:space="preserve"> Acct. No. with the first two digits excluded (e.g., </w:t>
      </w:r>
      <w:r>
        <w:t>NAL</w:t>
      </w:r>
      <w:r w:rsidRPr="004B6755">
        <w:t xml:space="preserve"> 1912345678 would be associated with FCC Bill Number 12345678).  After selecting the bill for payment, choose the “Pay by Credit Card” option.  Please note that there is a $24,999.99 limit on credit</w:t>
      </w:r>
      <w:r w:rsidRPr="009716F7">
        <w:t xml:space="preserve"> card transactions.</w:t>
      </w:r>
    </w:p>
    <w:p w:rsidR="00EF11ED" w:rsidRPr="009716F7" w:rsidP="00E2389D" w14:paraId="54141756" w14:textId="77777777"/>
    <w:p w:rsidR="00EF11ED" w:rsidP="007D013C" w14:paraId="21D02BA4" w14:textId="77777777">
      <w:pPr>
        <w:numPr>
          <w:ilvl w:val="0"/>
          <w:numId w:val="8"/>
        </w:numPr>
      </w:pPr>
      <w:r w:rsidRPr="009716F7">
        <w:t xml:space="preserve">Payment by ACH must be made by using CORES at </w:t>
      </w:r>
      <w:hyperlink r:id="rId7" w:history="1">
        <w:r w:rsidRPr="00177012">
          <w:rPr>
            <w:rStyle w:val="Hyperlink"/>
          </w:rPr>
          <w:t>https://apps.fcc.gov/cores/userLogin.do</w:t>
        </w:r>
      </w:hyperlink>
      <w:r>
        <w:t xml:space="preserve">.  </w:t>
      </w:r>
      <w:r w:rsidRPr="009716F7">
        <w:t xml:space="preserve">To pay by ACH, log in using the FCC Username associated </w:t>
      </w:r>
      <w:r w:rsidRPr="009716F7">
        <w:t>to</w:t>
      </w:r>
      <w:r w:rsidRPr="009716F7">
        <w:t xml:space="preserve"> the FRN captioned above.  If payment must be split across FRNs, complete this process for each FRN.  Next, select “Manage Existing FRNs | FRN Financial | Bills &amp; Fees” on the CORES Menu, then select FRN Financial and the view/make payments option next to the FRN. Select the “Open Bills” tab and find the bill</w:t>
      </w:r>
      <w:r w:rsidRPr="009716F7">
        <w:t xml:space="preserve"> </w:t>
      </w:r>
      <w:r w:rsidRPr="009716F7">
        <w:t xml:space="preserve">number associated with </w:t>
      </w:r>
      <w:r w:rsidRPr="009716F7">
        <w:t xml:space="preserve">the  </w:t>
      </w:r>
      <w:r>
        <w:t>NAL</w:t>
      </w:r>
      <w:r w:rsidRPr="009716F7">
        <w:t xml:space="preserve"> Acct. No.  The bill number is the </w:t>
      </w:r>
      <w:r>
        <w:t>NAL</w:t>
      </w:r>
      <w:r w:rsidRPr="009716F7">
        <w:t xml:space="preserve"> Acct. No. with the first two digits excluded (e.g., </w:t>
      </w:r>
      <w:r>
        <w:t>NAL</w:t>
      </w:r>
      <w:r w:rsidRPr="009716F7">
        <w:t xml:space="preserve"> 1912345678 would be associated with FCC Bill Number 12345678).  </w:t>
      </w:r>
      <w:r>
        <w:t>Finally, c</w:t>
      </w:r>
      <w:r w:rsidRPr="009716F7">
        <w:t>hoose the “Pay from Bank Account” option.  Please contact the appropriate financial institution to confirm the correct Routing Number and the correct account number from which payment will be made and verify with that financial institution that the designated account has authorization to accept ACH transactions.</w:t>
      </w:r>
    </w:p>
    <w:p w:rsidR="00EF11ED" w:rsidRPr="004864CE" w:rsidP="00E2389D" w14:paraId="4A26ED8C" w14:textId="77777777"/>
    <w:p w:rsidR="00EF11ED" w:rsidP="00FB630F" w14:paraId="5273EBD3" w14:textId="77777777">
      <w:pPr>
        <w:pStyle w:val="ParaNum"/>
      </w:pPr>
      <w:r>
        <w:t xml:space="preserve">Any request for making full payment over time under an installment plan should be sent to: Chief Financial Officer – Financial Operations, Federal Communications Commission, 45 L Street NE, Washington, D.C. 20554.  Questions regarding payment procedures should be directed to the Financial Operations Group Help Desk by telephone, 1-877-480-3201, or by e-mail, </w:t>
      </w:r>
      <w:hyperlink r:id="rId10" w:history="1">
        <w:r w:rsidRPr="004773FA">
          <w:rPr>
            <w:rStyle w:val="Hyperlink"/>
          </w:rPr>
          <w:t>ARINQUIRES@fcc.gov</w:t>
        </w:r>
      </w:hyperlink>
      <w:r>
        <w:t xml:space="preserve">. </w:t>
      </w:r>
    </w:p>
    <w:p w:rsidR="00EF11ED" w:rsidP="00FB630F" w14:paraId="442AE0EF" w14:textId="6EB6828D">
      <w:pPr>
        <w:pStyle w:val="ParaNum"/>
      </w:pPr>
      <w:r>
        <w:rPr>
          <w:b/>
          <w:bCs/>
        </w:rPr>
        <w:t>IT IS FURTHER ORDERED</w:t>
      </w:r>
      <w:r>
        <w:t xml:space="preserve"> that a copy of this Forfeiture Order shall be sent by first class mail and certified mail, return receipt requested, to </w:t>
      </w:r>
      <w:r>
        <w:rPr>
          <w:noProof/>
        </w:rPr>
        <w:t>Spatial Hover Inc, 10415A Westpark Dr., Houston, TX 77042, Attn:  Ricky Yu, U.S. Agent for Service of Process</w:t>
      </w:r>
      <w:r>
        <w:t xml:space="preserve">, and by e-mail to </w:t>
      </w:r>
      <w:hyperlink r:id="rId11" w:history="1">
        <w:r w:rsidRPr="00DE0BED" w:rsidR="001B3683">
          <w:rPr>
            <w:rStyle w:val="Hyperlink"/>
            <w:noProof/>
          </w:rPr>
          <w:t>ricky@spatialhover.com</w:t>
        </w:r>
      </w:hyperlink>
      <w:r>
        <w:t>.</w:t>
      </w:r>
    </w:p>
    <w:p w:rsidR="00EF11ED" w:rsidP="003C73C1" w14:paraId="3C03FE27" w14:textId="77777777"/>
    <w:p w:rsidR="00EF11ED" w:rsidP="0017296B" w14:paraId="0039E308" w14:textId="77777777">
      <w:r>
        <w:tab/>
      </w:r>
      <w:r>
        <w:tab/>
      </w:r>
      <w:r>
        <w:tab/>
      </w:r>
      <w:r>
        <w:tab/>
      </w:r>
      <w:r>
        <w:tab/>
      </w:r>
      <w:r>
        <w:tab/>
        <w:t>FEDERAL COMMUNICATIONS COMMISSION</w:t>
      </w:r>
    </w:p>
    <w:p w:rsidR="00EF11ED" w:rsidP="0017296B" w14:paraId="47C75A9C" w14:textId="77777777"/>
    <w:p w:rsidR="00EF11ED" w:rsidP="0017296B" w14:paraId="45EBEF0F" w14:textId="77777777"/>
    <w:p w:rsidR="00EF11ED" w:rsidP="0017296B" w14:paraId="073EF941" w14:textId="77777777"/>
    <w:p w:rsidR="00EF11ED" w:rsidP="0017296B" w14:paraId="15ECEE2F" w14:textId="77777777"/>
    <w:p w:rsidR="00EF11ED" w:rsidP="0017296B" w14:paraId="3D7A4410" w14:textId="77777777">
      <w:r>
        <w:tab/>
      </w:r>
      <w:r>
        <w:tab/>
      </w:r>
      <w:r>
        <w:tab/>
      </w:r>
      <w:r>
        <w:tab/>
      </w:r>
      <w:r>
        <w:tab/>
      </w:r>
      <w:r>
        <w:tab/>
        <w:t>Patrick Webre</w:t>
      </w:r>
    </w:p>
    <w:p w:rsidR="00EF11ED" w:rsidP="003C73C1" w14:paraId="1691DC20" w14:textId="77777777">
      <w:r>
        <w:tab/>
      </w:r>
      <w:r>
        <w:tab/>
      </w:r>
      <w:r>
        <w:tab/>
      </w:r>
      <w:r>
        <w:tab/>
      </w:r>
      <w:r>
        <w:tab/>
      </w:r>
      <w:r>
        <w:tab/>
        <w:t>Chief</w:t>
      </w:r>
    </w:p>
    <w:p w:rsidR="00EF11ED" w:rsidP="003C73C1" w14:paraId="198A4454" w14:textId="76737E93">
      <w:r>
        <w:tab/>
      </w:r>
      <w:r>
        <w:tab/>
      </w:r>
      <w:r>
        <w:tab/>
      </w:r>
      <w:r>
        <w:tab/>
      </w:r>
      <w:r>
        <w:tab/>
      </w:r>
      <w:r>
        <w:tab/>
        <w:t>Enforcement Bureau</w:t>
      </w:r>
    </w:p>
    <w:sectPr w:rsidSect="00EF11ED">
      <w:headerReference w:type="default" r:id="rId12"/>
      <w:footerReference w:type="even" r:id="rId13"/>
      <w:footerReference w:type="default" r:id="rId14"/>
      <w:headerReference w:type="first" r:id="rId15"/>
      <w:endnotePr>
        <w:numFmt w:val="decimal"/>
      </w:endnotePr>
      <w:type w:val="continuous"/>
      <w:pgSz w:w="12240" w:h="15840"/>
      <w:pgMar w:top="144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24C04" w14:paraId="00C3A635" w14:textId="77777777">
      <w:pPr>
        <w:spacing w:line="20" w:lineRule="exact"/>
      </w:pPr>
    </w:p>
  </w:endnote>
  <w:endnote w:type="continuationSeparator" w:id="1">
    <w:p w:rsidR="00524C04" w14:paraId="6842950F" w14:textId="77777777">
      <w:r>
        <w:t xml:space="preserve"> </w:t>
      </w:r>
    </w:p>
  </w:endnote>
  <w:endnote w:type="continuationNotice" w:id="2">
    <w:p w:rsidR="00524C04" w14:paraId="619400E0"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ld">
    <w:panose1 w:val="020208030705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11ED" w:rsidP="0055614C" w14:paraId="52050F06" w14:textId="77777777">
    <w:pPr>
      <w:pStyle w:val="Footer"/>
      <w:framePr w:wrap="around" w:vAnchor="text" w:hAnchor="margin" w:xAlign="center" w:y="1"/>
    </w:pPr>
    <w:r>
      <w:fldChar w:fldCharType="begin"/>
    </w:r>
    <w:r>
      <w:instrText xml:space="preserve">PAGE  </w:instrText>
    </w:r>
    <w:r>
      <w:fldChar w:fldCharType="separate"/>
    </w:r>
    <w:r>
      <w:rPr>
        <w:noProof/>
      </w:rPr>
      <w:t>1</w:t>
    </w:r>
    <w:r>
      <w:fldChar w:fldCharType="end"/>
    </w:r>
  </w:p>
  <w:p w:rsidR="00EF11ED" w14:paraId="271E2A4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11ED" w14:paraId="1BC1E798" w14:textId="77777777">
    <w:pPr>
      <w:pStyle w:val="Footer"/>
    </w:pPr>
    <w:r>
      <w:fldChar w:fldCharType="begin"/>
    </w:r>
    <w:r>
      <w:instrText xml:space="preserve"> PAGE   \* MERGEFORMAT </w:instrText>
    </w:r>
    <w:r>
      <w:fldChar w:fldCharType="separate"/>
    </w:r>
    <w:r>
      <w:rPr>
        <w:noProof/>
      </w:rPr>
      <w:t>2</w:t>
    </w:r>
    <w:r>
      <w:rPr>
        <w:noProof/>
      </w:rPr>
      <w:fldChar w:fldCharType="end"/>
    </w:r>
  </w:p>
  <w:p w:rsidR="00EF11ED" w14:paraId="78DE7AF9" w14:textId="77777777">
    <w:pPr>
      <w:suppressAutoHyphens/>
      <w:spacing w:line="227"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24C04" w14:paraId="75E61386" w14:textId="77777777">
      <w:r>
        <w:separator/>
      </w:r>
    </w:p>
  </w:footnote>
  <w:footnote w:type="continuationSeparator" w:id="1">
    <w:p w:rsidR="00524C04" w:rsidP="00C721AC" w14:paraId="76BD828A" w14:textId="77777777">
      <w:pPr>
        <w:spacing w:before="120"/>
        <w:rPr>
          <w:sz w:val="20"/>
        </w:rPr>
      </w:pPr>
      <w:r>
        <w:rPr>
          <w:sz w:val="20"/>
        </w:rPr>
        <w:t xml:space="preserve">(Continued from previous page)  </w:t>
      </w:r>
      <w:r>
        <w:rPr>
          <w:sz w:val="20"/>
        </w:rPr>
        <w:separator/>
      </w:r>
    </w:p>
  </w:footnote>
  <w:footnote w:type="continuationNotice" w:id="2">
    <w:p w:rsidR="00524C04" w:rsidP="00C721AC" w14:paraId="16E3A918" w14:textId="77777777">
      <w:pPr>
        <w:jc w:val="right"/>
        <w:rPr>
          <w:sz w:val="20"/>
        </w:rPr>
      </w:pPr>
      <w:r>
        <w:rPr>
          <w:sz w:val="20"/>
        </w:rPr>
        <w:t>(</w:t>
      </w:r>
      <w:r>
        <w:rPr>
          <w:sz w:val="20"/>
        </w:rPr>
        <w:t>continued</w:t>
      </w:r>
      <w:r>
        <w:rPr>
          <w:sz w:val="20"/>
        </w:rPr>
        <w:t>….)</w:t>
      </w:r>
    </w:p>
  </w:footnote>
  <w:footnote w:id="3">
    <w:p w:rsidR="00EF11ED" w14:paraId="63399D31" w14:textId="77777777">
      <w:pPr>
        <w:pStyle w:val="FootnoteText"/>
      </w:pPr>
      <w:r>
        <w:rPr>
          <w:rStyle w:val="FootnoteReference"/>
        </w:rPr>
        <w:footnoteRef/>
      </w:r>
      <w:r>
        <w:t xml:space="preserve"> </w:t>
      </w:r>
      <w:r w:rsidRPr="005E6EF3">
        <w:t>47 U.S.C. § 1601(b)</w:t>
      </w:r>
      <w:r>
        <w:t>.</w:t>
      </w:r>
    </w:p>
  </w:footnote>
  <w:footnote w:id="4">
    <w:p w:rsidR="00EF11ED" w:rsidRPr="006131E0" w14:paraId="3450541E" w14:textId="77777777">
      <w:pPr>
        <w:pStyle w:val="FootnoteText"/>
      </w:pPr>
      <w:r>
        <w:rPr>
          <w:rStyle w:val="FootnoteReference"/>
        </w:rPr>
        <w:footnoteRef/>
      </w:r>
      <w:r>
        <w:t xml:space="preserve"> </w:t>
      </w:r>
      <w:r>
        <w:rPr>
          <w:i/>
          <w:iCs/>
        </w:rPr>
        <w:t xml:space="preserve">See </w:t>
      </w:r>
      <w:r w:rsidRPr="0045313A">
        <w:rPr>
          <w:i/>
          <w:iCs/>
          <w:noProof/>
        </w:rPr>
        <w:t>Spatial Hover Inc</w:t>
      </w:r>
      <w:r>
        <w:t xml:space="preserve">, Notice of Apparent Liability for Forfeiture and Order, </w:t>
      </w:r>
      <w:r w:rsidRPr="0045313A">
        <w:rPr>
          <w:noProof/>
        </w:rPr>
        <w:t>DA 26-698</w:t>
      </w:r>
      <w:r>
        <w:t xml:space="preserve">, </w:t>
      </w:r>
      <w:r w:rsidRPr="0045313A">
        <w:rPr>
          <w:noProof/>
        </w:rPr>
        <w:t>2026 WL 2018749</w:t>
      </w:r>
      <w:r>
        <w:t xml:space="preserve"> (EB 2026) (</w:t>
      </w:r>
      <w:r>
        <w:rPr>
          <w:i/>
          <w:iCs/>
        </w:rPr>
        <w:t>NAL</w:t>
      </w:r>
      <w:r>
        <w:t xml:space="preserve">).  The </w:t>
      </w:r>
      <w:r>
        <w:rPr>
          <w:i/>
          <w:iCs/>
        </w:rPr>
        <w:t>NAL</w:t>
      </w:r>
      <w:r>
        <w:t xml:space="preserve"> includes a more complete discussion of the facts and history of this case and is incorporated herein by reference. </w:t>
      </w:r>
    </w:p>
  </w:footnote>
  <w:footnote w:id="5">
    <w:p w:rsidR="00EF11ED" w:rsidRPr="00646963" w14:paraId="08B7CB48" w14:textId="273F2BE0">
      <w:pPr>
        <w:pStyle w:val="FootnoteText"/>
      </w:pPr>
      <w:r>
        <w:rPr>
          <w:rStyle w:val="FootnoteReference"/>
        </w:rPr>
        <w:footnoteRef/>
      </w:r>
      <w:r>
        <w:t xml:space="preserve"> On July 10, 2026, a copy of the </w:t>
      </w:r>
      <w:r>
        <w:rPr>
          <w:i/>
          <w:iCs/>
        </w:rPr>
        <w:t>NAL</w:t>
      </w:r>
      <w:r>
        <w:t xml:space="preserve"> was sent to </w:t>
      </w:r>
      <w:r w:rsidRPr="0045313A">
        <w:rPr>
          <w:noProof/>
        </w:rPr>
        <w:t>Spatial Hover</w:t>
      </w:r>
      <w:r>
        <w:t xml:space="preserve"> by first class mail and certified mail, return receipt requested and was sent by e-mail to </w:t>
      </w:r>
      <w:r w:rsidRPr="0045313A">
        <w:rPr>
          <w:noProof/>
        </w:rPr>
        <w:t>Spatial Hover</w:t>
      </w:r>
      <w:r>
        <w:t xml:space="preserve">’s agent for service of process. </w:t>
      </w:r>
      <w:r>
        <w:rPr>
          <w:i/>
          <w:iCs/>
        </w:rPr>
        <w:t>See</w:t>
      </w:r>
      <w:r>
        <w:t xml:space="preserve"> 47 CFR § 2.911(d)(7)(</w:t>
      </w:r>
      <w:r>
        <w:t>i</w:t>
      </w:r>
      <w:r>
        <w:t>)(B) (requiring applicants for device certifications to acknowledge “</w:t>
      </w:r>
      <w:r w:rsidRPr="000B30CC">
        <w:t>the applicant's consent and the designated agent's obligation to accept service of process in the United States for matters related to the applicable equipment, and at the physical U.S. address and email address of its designated agent</w:t>
      </w:r>
      <w:r>
        <w:t xml:space="preserve">”).  </w:t>
      </w:r>
      <w:r w:rsidRPr="0045313A">
        <w:rPr>
          <w:noProof/>
        </w:rPr>
        <w:t>On July 10, 2026, the Commission received confirmation that the emailed NAL was delivered to the email address specified in Spatial Hover's applications for its designated U.S. agent.  The copy mailed to Spatial Hover to the address for its U.S. Agent for Service of Process by certified mail, return receipt requested, was delivered on July 14, 2026.</w:t>
      </w:r>
    </w:p>
  </w:footnote>
  <w:footnote w:id="6">
    <w:p w:rsidR="00EF11ED" w:rsidP="00F5659B" w14:paraId="0DFE4E78" w14:textId="77777777">
      <w:pPr>
        <w:pStyle w:val="FootnoteText"/>
      </w:pPr>
      <w:r>
        <w:rPr>
          <w:rStyle w:val="FootnoteReference"/>
        </w:rPr>
        <w:footnoteRef/>
      </w:r>
      <w:r>
        <w:t xml:space="preserve"> </w:t>
      </w:r>
      <w:r w:rsidRPr="00F5659B">
        <w:t>Any entity that is a “Small Business Concern” as defined in the Small Business Act (Pub. L. 85-536, as amended)</w:t>
      </w:r>
      <w:r>
        <w:t xml:space="preserve"> </w:t>
      </w:r>
      <w:r w:rsidRPr="00F5659B">
        <w:t>may avail itself of rights set forth in that Act, including rights set forth in 15 U.S.C. § 657, “Oversight of Regulatory</w:t>
      </w:r>
      <w:r>
        <w:t xml:space="preserve"> </w:t>
      </w:r>
      <w:r w:rsidRPr="00F5659B">
        <w:t>Enforcement,” in addition to other rights set forth herein.</w:t>
      </w:r>
    </w:p>
  </w:footnote>
  <w:footnote w:id="7">
    <w:p w:rsidR="00EF11ED" w:rsidRPr="003433FA" w:rsidP="006E2D99" w14:paraId="701505BE" w14:textId="77777777">
      <w:pPr>
        <w:pStyle w:val="FootnoteText"/>
      </w:pPr>
      <w:r w:rsidRPr="009716F7">
        <w:rPr>
          <w:rStyle w:val="FootnoteReference"/>
        </w:rPr>
        <w:footnoteRef/>
      </w:r>
      <w:r w:rsidRPr="009716F7">
        <w:t xml:space="preserve"> For questions </w:t>
      </w:r>
      <w:r w:rsidRPr="003433FA">
        <w:t>regarding payment procedures, please contact the Financial Operations Group Help Desk by phone at 1-877-480-3201 (option #</w:t>
      </w:r>
      <w:r>
        <w:t>6</w:t>
      </w:r>
      <w:r w:rsidRPr="003433FA">
        <w:t>)</w:t>
      </w:r>
      <w:r>
        <w:t>.</w:t>
      </w:r>
    </w:p>
  </w:footnote>
  <w:footnote w:id="8">
    <w:p w:rsidR="00EF11ED" w:rsidRPr="003433FA" w:rsidP="006E2D99" w14:paraId="718A340B" w14:textId="77777777">
      <w:pPr>
        <w:pStyle w:val="FootnoteText"/>
      </w:pPr>
      <w:r w:rsidRPr="003433FA">
        <w:rPr>
          <w:rStyle w:val="FootnoteReference"/>
        </w:rPr>
        <w:footnoteRef/>
      </w:r>
      <w:r w:rsidRPr="003433FA">
        <w:t xml:space="preserve"> FCC Form 159 is accessible at </w:t>
      </w:r>
      <w:hyperlink r:id="rId1" w:history="1">
        <w:r w:rsidRPr="003433FA">
          <w:rPr>
            <w:rStyle w:val="Hyperlink"/>
          </w:rPr>
          <w:t>https://www.fcc.gov/licensing-databases/fees/fcc-remittance-advice-form-159</w:t>
        </w:r>
      </w:hyperlink>
      <w:r w:rsidRPr="003433FA">
        <w:rPr>
          <w:rStyle w:val="Hyperlink"/>
        </w:rPr>
        <w:t>.</w:t>
      </w:r>
    </w:p>
  </w:footnote>
  <w:footnote w:id="9">
    <w:p w:rsidR="00EF11ED" w:rsidRPr="009716F7" w:rsidP="006E2D99" w14:paraId="5DFB8B19" w14:textId="77777777">
      <w:pPr>
        <w:pStyle w:val="FootnoteText"/>
      </w:pPr>
      <w:r w:rsidRPr="009716F7">
        <w:rPr>
          <w:rStyle w:val="FootnoteReference"/>
        </w:rPr>
        <w:footnoteRef/>
      </w:r>
      <w:r w:rsidRPr="009716F7">
        <w:t xml:space="preserve"> </w:t>
      </w:r>
      <w:r>
        <w:t>Information completed</w:t>
      </w:r>
      <w:r w:rsidRPr="009716F7">
        <w:t xml:space="preserve"> using </w:t>
      </w:r>
      <w:r>
        <w:t>t</w:t>
      </w:r>
      <w:r w:rsidRPr="009716F7">
        <w:t xml:space="preserve">he Commission’s </w:t>
      </w:r>
      <w:r w:rsidRPr="004B6755">
        <w:t>Registration System (CORES)</w:t>
      </w:r>
      <w:r w:rsidRPr="009716F7">
        <w:t xml:space="preserve"> do</w:t>
      </w:r>
      <w:r>
        <w:t>es</w:t>
      </w:r>
      <w:r w:rsidRPr="009716F7">
        <w:t xml:space="preserve"> not require the submission of an FCC Form 159.</w:t>
      </w:r>
      <w:r>
        <w:t xml:space="preserve">  </w:t>
      </w:r>
      <w:r w:rsidRPr="009716F7">
        <w:t xml:space="preserve">CORES </w:t>
      </w:r>
      <w:r>
        <w:t>is accessible</w:t>
      </w:r>
      <w:r w:rsidRPr="004B6755">
        <w:t xml:space="preserve"> at </w:t>
      </w:r>
      <w:hyperlink r:id="rId2" w:history="1">
        <w:r w:rsidRPr="00D76723">
          <w:rPr>
            <w:rStyle w:val="Hyperlink"/>
          </w:rPr>
          <w:t>h</w:t>
        </w:r>
        <w:r w:rsidRPr="00DF5B5C">
          <w:rPr>
            <w:rStyle w:val="Hyperlink"/>
          </w:rPr>
          <w:t>ttps://apps.fcc.gov/cores/userLogin.do</w:t>
        </w:r>
      </w:hyperlink>
      <w:r w:rsidRPr="004B6755">
        <w:t>.</w:t>
      </w:r>
    </w:p>
  </w:footnote>
  <w:footnote w:id="10">
    <w:p w:rsidR="00EF11ED" w:rsidP="006E2D99" w14:paraId="161416BA" w14:textId="77777777">
      <w:pPr>
        <w:pStyle w:val="FootnoteText"/>
      </w:pPr>
      <w:r w:rsidRPr="009716F7">
        <w:rPr>
          <w:rStyle w:val="FootnoteReference"/>
        </w:rPr>
        <w:footnoteRef/>
      </w:r>
      <w:r w:rsidRPr="009716F7">
        <w:t xml:space="preserve"> Instructions for completing the form may be obtained at </w:t>
      </w:r>
      <w:hyperlink r:id="rId3" w:history="1">
        <w:r w:rsidRPr="00F8195D">
          <w:rPr>
            <w:rStyle w:val="Hyperlink"/>
          </w:rPr>
          <w:t>http://www.fcc.gov/Forms/Form159/159.pdf</w:t>
        </w:r>
      </w:hyperlink>
      <w:r w:rsidRPr="009716F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11ED" w:rsidP="00EA6D75" w14:paraId="55CA83AB" w14:textId="29AB8793">
    <w:pPr>
      <w:pStyle w:val="Header"/>
      <w:tabs>
        <w:tab w:val="center" w:pos="4320"/>
        <w:tab w:val="right" w:pos="9360"/>
      </w:tabs>
      <w:rPr>
        <w:b w:val="0"/>
      </w:rPr>
    </w:pPr>
    <w:r>
      <w:tab/>
    </w:r>
    <w:r w:rsidR="0018542B">
      <w:t xml:space="preserve">         </w:t>
    </w:r>
    <w:r>
      <w:t>Federal Communications Commission</w:t>
    </w:r>
    <w:r>
      <w:tab/>
      <w:t xml:space="preserve">DA </w:t>
    </w:r>
    <w:r w:rsidRPr="008970E1" w:rsidR="008970E1">
      <w:t>26-918</w:t>
    </w:r>
  </w:p>
  <w:p w:rsidR="00EF11ED" w14:paraId="552A1C46" w14:textId="717D8EFE">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EF11ED" w14:paraId="4B8B8B83" w14:textId="77777777">
    <w:pPr>
      <w:spacing w:after="389"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11ED" w:rsidP="0018542B" w14:paraId="1D7248BB" w14:textId="77A65981">
    <w:pPr>
      <w:pStyle w:val="Header"/>
      <w:tabs>
        <w:tab w:val="center" w:pos="5040"/>
        <w:tab w:val="right" w:pos="9360"/>
      </w:tabs>
      <w:ind w:firstLine="2160"/>
      <w:rPr>
        <w:b w:val="0"/>
      </w:rPr>
    </w:pPr>
    <w:r>
      <w:rPr>
        <w:noProof/>
      </w:rPr>
      <mc:AlternateContent>
        <mc:Choice Requires="wps">
          <w:drawing>
            <wp:anchor distT="0" distB="0" distL="114300" distR="114300" simplePos="0" relativeHeight="251660288"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mc:Fallback>
      </mc:AlternateContent>
    </w:r>
    <w:r w:rsidR="0018542B">
      <w:t xml:space="preserve">             </w:t>
    </w:r>
    <w:r>
      <w:t>Federal Communications Commission</w:t>
    </w:r>
    <w:r>
      <w:tab/>
      <w:t xml:space="preserve">DA </w:t>
    </w:r>
    <w:r w:rsidRPr="008970E1" w:rsidR="008970E1">
      <w:t>26-918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084B453C"/>
    <w:multiLevelType w:val="singleLevel"/>
    <w:tmpl w:val="40A8E97A"/>
    <w:lvl w:ilvl="0">
      <w:start w:val="1"/>
      <w:numFmt w:val="decimal"/>
      <w:lvlText w:val="%1."/>
      <w:lvlJc w:val="left"/>
      <w:pPr>
        <w:tabs>
          <w:tab w:val="num" w:pos="1080"/>
        </w:tabs>
        <w:ind w:left="0" w:firstLine="720"/>
      </w:pPr>
    </w:lvl>
  </w:abstractNum>
  <w:abstractNum w:abstractNumId="1" w15:restartNumberingAfterBreak="1">
    <w:nsid w:val="17990123"/>
    <w:multiLevelType w:val="hybridMultilevel"/>
    <w:tmpl w:val="DCF41EFC"/>
    <w:lvl w:ilvl="0">
      <w:start w:val="1"/>
      <w:numFmt w:val="bullet"/>
      <w:lvlText w:val=""/>
      <w:lvlJc w:val="left"/>
      <w:pPr>
        <w:ind w:left="1080" w:hanging="360"/>
      </w:pPr>
      <w:rPr>
        <w:rFonts w:ascii="Symbol" w:hAnsi="Symbol" w:hint="default"/>
        <w:color w:val="auto"/>
        <w:sz w:val="1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15:restartNumberingAfterBreak="1">
    <w:nsid w:val="1D8D6821"/>
    <w:multiLevelType w:val="hybridMultilevel"/>
    <w:tmpl w:val="173CA03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1">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4" w15:restartNumberingAfterBreak="1">
    <w:nsid w:val="248246F3"/>
    <w:multiLevelType w:val="singleLevel"/>
    <w:tmpl w:val="B1F45678"/>
    <w:lvl w:ilvl="0">
      <w:start w:val="1"/>
      <w:numFmt w:val="decimal"/>
      <w:lvlText w:val="%1."/>
      <w:lvlJc w:val="left"/>
      <w:pPr>
        <w:tabs>
          <w:tab w:val="num" w:pos="1080"/>
        </w:tabs>
        <w:ind w:left="0" w:firstLine="720"/>
      </w:pPr>
    </w:lvl>
  </w:abstractNum>
  <w:abstractNum w:abstractNumId="5">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
    <w:nsid w:val="2A0E2263"/>
    <w:multiLevelType w:val="hybridMultilevel"/>
    <w:tmpl w:val="94C60366"/>
    <w:lvl w:ilvl="0">
      <w:start w:val="0"/>
      <w:numFmt w:val="bullet"/>
      <w:pStyle w:val="NIBullet"/>
      <w:lvlText w:val="•"/>
      <w:lvlJc w:val="left"/>
      <w:pPr>
        <w:ind w:left="1440" w:hanging="720"/>
      </w:pPr>
      <w:rPr>
        <w:rFonts w:ascii="Calibri" w:eastAsia="Times New Roman" w:hAnsi="Calibri" w:cs="Calibri" w:hint="default"/>
      </w:rPr>
    </w:lvl>
    <w:lvl w:ilvl="1">
      <w:start w:val="1"/>
      <w:numFmt w:val="bullet"/>
      <w:pStyle w:val="NIBullet2"/>
      <w:lvlText w:val="o"/>
      <w:lvlJc w:val="left"/>
      <w:pPr>
        <w:ind w:left="1800" w:hanging="360"/>
      </w:pPr>
      <w:rPr>
        <w:rFonts w:ascii="Courier New" w:hAnsi="Courier New" w:cs="Courier New" w:hint="default"/>
      </w:rPr>
    </w:lvl>
    <w:lvl w:ilvl="2">
      <w:start w:val="1"/>
      <w:numFmt w:val="bullet"/>
      <w:pStyle w:val="NIBullet3"/>
      <w:lvlText w:val=""/>
      <w:lvlJc w:val="left"/>
      <w:pPr>
        <w:ind w:left="2520" w:hanging="360"/>
      </w:pPr>
      <w:rPr>
        <w:rFonts w:ascii="Wingdings" w:hAnsi="Wingdings" w:hint="default"/>
      </w:rPr>
    </w:lvl>
    <w:lvl w:ilvl="3">
      <w:start w:val="1"/>
      <w:numFmt w:val="bullet"/>
      <w:pStyle w:val="NIBullet4"/>
      <w:lvlText w:val=""/>
      <w:lvlJc w:val="left"/>
      <w:pPr>
        <w:ind w:left="3240" w:hanging="360"/>
      </w:pPr>
      <w:rPr>
        <w:rFonts w:ascii="Symbol" w:hAnsi="Symbol" w:hint="default"/>
      </w:rPr>
    </w:lvl>
    <w:lvl w:ilvl="4">
      <w:start w:val="1"/>
      <w:numFmt w:val="bullet"/>
      <w:pStyle w:val="NIBullet5"/>
      <w:lvlText w:val="o"/>
      <w:lvlJc w:val="left"/>
      <w:pPr>
        <w:ind w:left="3960" w:hanging="360"/>
      </w:pPr>
      <w:rPr>
        <w:rFonts w:ascii="Courier New" w:hAnsi="Courier New" w:cs="Courier New" w:hint="default"/>
      </w:rPr>
    </w:lvl>
    <w:lvl w:ilvl="5">
      <w:start w:val="1"/>
      <w:numFmt w:val="bullet"/>
      <w:pStyle w:val="NIBullet6"/>
      <w:lvlText w:val=""/>
      <w:lvlJc w:val="left"/>
      <w:pPr>
        <w:ind w:left="4680" w:hanging="360"/>
      </w:pPr>
      <w:rPr>
        <w:rFonts w:ascii="Wingdings" w:hAnsi="Wingdings" w:hint="default"/>
      </w:rPr>
    </w:lvl>
    <w:lvl w:ilvl="6">
      <w:start w:val="1"/>
      <w:numFmt w:val="bullet"/>
      <w:pStyle w:val="NIBullet7"/>
      <w:lvlText w:val=""/>
      <w:lvlJc w:val="left"/>
      <w:pPr>
        <w:ind w:left="5400" w:hanging="360"/>
      </w:pPr>
      <w:rPr>
        <w:rFonts w:ascii="Symbol" w:hAnsi="Symbol" w:hint="default"/>
      </w:rPr>
    </w:lvl>
    <w:lvl w:ilvl="7">
      <w:start w:val="1"/>
      <w:numFmt w:val="bullet"/>
      <w:pStyle w:val="NIBullet8"/>
      <w:lvlText w:val="o"/>
      <w:lvlJc w:val="left"/>
      <w:pPr>
        <w:ind w:left="6120" w:hanging="360"/>
      </w:pPr>
      <w:rPr>
        <w:rFonts w:ascii="Courier New" w:hAnsi="Courier New" w:cs="Courier New" w:hint="default"/>
      </w:rPr>
    </w:lvl>
    <w:lvl w:ilvl="8">
      <w:start w:val="1"/>
      <w:numFmt w:val="bullet"/>
      <w:pStyle w:val="NIBullet9"/>
      <w:lvlText w:val=""/>
      <w:lvlJc w:val="left"/>
      <w:pPr>
        <w:ind w:left="6840" w:hanging="360"/>
      </w:pPr>
      <w:rPr>
        <w:rFonts w:ascii="Wingdings" w:hAnsi="Wingdings" w:hint="default"/>
      </w:rPr>
    </w:lvl>
  </w:abstractNum>
  <w:abstractNum w:abstractNumId="7">
    <w:nsid w:val="2E024E21"/>
    <w:multiLevelType w:val="hybridMultilevel"/>
    <w:tmpl w:val="0E82173E"/>
    <w:lvl w:ilvl="0">
      <w:start w:val="1"/>
      <w:numFmt w:val="bullet"/>
      <w:pStyle w:val="ParaNumBullet"/>
      <w:lvlText w:val=""/>
      <w:lvlJc w:val="left"/>
      <w:pPr>
        <w:ind w:left="720" w:hanging="360"/>
      </w:pPr>
      <w:rPr>
        <w:rFonts w:ascii="Symbol" w:hAnsi="Symbol" w:hint="default"/>
      </w:rPr>
    </w:lvl>
    <w:lvl w:ilvl="1">
      <w:start w:val="1"/>
      <w:numFmt w:val="bullet"/>
      <w:pStyle w:val="ParaNumBullet2"/>
      <w:lvlText w:val="o"/>
      <w:lvlJc w:val="left"/>
      <w:pPr>
        <w:ind w:left="1440" w:hanging="360"/>
      </w:pPr>
      <w:rPr>
        <w:rFonts w:ascii="Courier New" w:hAnsi="Courier New" w:cs="Courier New" w:hint="default"/>
      </w:rPr>
    </w:lvl>
    <w:lvl w:ilvl="2">
      <w:start w:val="1"/>
      <w:numFmt w:val="bullet"/>
      <w:pStyle w:val="ParaNumBullet3"/>
      <w:lvlText w:val=""/>
      <w:lvlJc w:val="left"/>
      <w:pPr>
        <w:ind w:left="2160" w:hanging="360"/>
      </w:pPr>
      <w:rPr>
        <w:rFonts w:ascii="Wingdings" w:hAnsi="Wingdings" w:hint="default"/>
      </w:rPr>
    </w:lvl>
    <w:lvl w:ilvl="3">
      <w:start w:val="1"/>
      <w:numFmt w:val="bullet"/>
      <w:pStyle w:val="ParaNumBullet4"/>
      <w:lvlText w:val=""/>
      <w:lvlJc w:val="left"/>
      <w:pPr>
        <w:ind w:left="2880" w:hanging="360"/>
      </w:pPr>
      <w:rPr>
        <w:rFonts w:ascii="Symbol" w:hAnsi="Symbol" w:hint="default"/>
      </w:rPr>
    </w:lvl>
    <w:lvl w:ilvl="4">
      <w:start w:val="1"/>
      <w:numFmt w:val="bullet"/>
      <w:pStyle w:val="ParaNumBullet5"/>
      <w:lvlText w:val="o"/>
      <w:lvlJc w:val="left"/>
      <w:pPr>
        <w:ind w:left="3600" w:hanging="360"/>
      </w:pPr>
      <w:rPr>
        <w:rFonts w:ascii="Courier New" w:hAnsi="Courier New" w:cs="Courier New" w:hint="default"/>
      </w:rPr>
    </w:lvl>
    <w:lvl w:ilvl="5">
      <w:start w:val="1"/>
      <w:numFmt w:val="bullet"/>
      <w:pStyle w:val="ParaNumBullet6"/>
      <w:lvlText w:val=""/>
      <w:lvlJc w:val="left"/>
      <w:pPr>
        <w:ind w:left="4320" w:hanging="360"/>
      </w:pPr>
      <w:rPr>
        <w:rFonts w:ascii="Wingdings" w:hAnsi="Wingdings" w:hint="default"/>
      </w:rPr>
    </w:lvl>
    <w:lvl w:ilvl="6">
      <w:start w:val="1"/>
      <w:numFmt w:val="bullet"/>
      <w:pStyle w:val="ParaNumBullet7"/>
      <w:lvlText w:val=""/>
      <w:lvlJc w:val="left"/>
      <w:pPr>
        <w:ind w:left="5040" w:hanging="360"/>
      </w:pPr>
      <w:rPr>
        <w:rFonts w:ascii="Symbol" w:hAnsi="Symbol" w:hint="default"/>
      </w:rPr>
    </w:lvl>
    <w:lvl w:ilvl="7">
      <w:start w:val="1"/>
      <w:numFmt w:val="bullet"/>
      <w:pStyle w:val="ParaNumBullet8"/>
      <w:lvlText w:val="o"/>
      <w:lvlJc w:val="left"/>
      <w:pPr>
        <w:ind w:left="5760" w:hanging="360"/>
      </w:pPr>
      <w:rPr>
        <w:rFonts w:ascii="Courier New" w:hAnsi="Courier New" w:cs="Courier New" w:hint="default"/>
      </w:rPr>
    </w:lvl>
    <w:lvl w:ilvl="8">
      <w:start w:val="1"/>
      <w:numFmt w:val="bullet"/>
      <w:pStyle w:val="ParaNumBullet9"/>
      <w:lvlText w:val=""/>
      <w:lvlJc w:val="left"/>
      <w:pPr>
        <w:ind w:left="6480" w:hanging="360"/>
      </w:pPr>
      <w:rPr>
        <w:rFonts w:ascii="Wingdings" w:hAnsi="Wingdings" w:hint="default"/>
      </w:rPr>
    </w:lvl>
  </w:abstractNum>
  <w:abstractNum w:abstractNumId="8">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452F57BE"/>
    <w:multiLevelType w:val="multilevel"/>
    <w:tmpl w:val="EEB2E604"/>
    <w:lvl w:ilvl="0">
      <w:start w:val="1"/>
      <w:numFmt w:val="upperLetter"/>
      <w:suff w:val="space"/>
      <w:lvlText w:val="Appendix %1: "/>
      <w:lvlJc w:val="center"/>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pStyle w:val="AppendixParaNum"/>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48EF4214"/>
    <w:multiLevelType w:val="multilevel"/>
    <w:tmpl w:val="70669302"/>
    <w:styleLink w:val="Style2"/>
    <w:lvl w:ilvl="0">
      <w:start w:val="1"/>
      <w:numFmt w:val="decimal"/>
      <w:pStyle w:val="NIList"/>
      <w:lvlText w:val="(%1.)"/>
      <w:lvlJc w:val="left"/>
      <w:pPr>
        <w:ind w:left="360" w:hanging="360"/>
      </w:pPr>
      <w:rPr>
        <w:rFonts w:hint="default"/>
      </w:rPr>
    </w:lvl>
    <w:lvl w:ilvl="1">
      <w:start w:val="1"/>
      <w:numFmt w:val="upperLetter"/>
      <w:pStyle w:val="NIList2"/>
      <w:lvlText w:val="(%2.)"/>
      <w:lvlJc w:val="left"/>
      <w:pPr>
        <w:ind w:left="720" w:hanging="360"/>
      </w:pPr>
      <w:rPr>
        <w:rFonts w:hint="default"/>
      </w:rPr>
    </w:lvl>
    <w:lvl w:ilvl="2">
      <w:start w:val="1"/>
      <w:numFmt w:val="lowerRoman"/>
      <w:pStyle w:val="NIList3"/>
      <w:lvlText w:val="(%3.)"/>
      <w:lvlJc w:val="left"/>
      <w:pPr>
        <w:ind w:left="1080" w:hanging="360"/>
      </w:pPr>
      <w:rPr>
        <w:rFonts w:hint="default"/>
      </w:rPr>
    </w:lvl>
    <w:lvl w:ilvl="3">
      <w:start w:val="1"/>
      <w:numFmt w:val="lowerLetter"/>
      <w:pStyle w:val="NIList4"/>
      <w:lvlText w:val="(%4.)"/>
      <w:lvlJc w:val="left"/>
      <w:pPr>
        <w:ind w:left="1440" w:hanging="360"/>
      </w:pPr>
      <w:rPr>
        <w:rFonts w:hint="default"/>
      </w:rPr>
    </w:lvl>
    <w:lvl w:ilvl="4">
      <w:start w:val="1"/>
      <w:numFmt w:val="decimal"/>
      <w:pStyle w:val="NIList5"/>
      <w:lvlText w:val="(%5)"/>
      <w:lvlJc w:val="left"/>
      <w:pPr>
        <w:ind w:left="1800" w:hanging="360"/>
      </w:pPr>
      <w:rPr>
        <w:rFonts w:hint="default"/>
      </w:rPr>
    </w:lvl>
    <w:lvl w:ilvl="5">
      <w:start w:val="1"/>
      <w:numFmt w:val="lowerLetter"/>
      <w:pStyle w:val="NIList6"/>
      <w:lvlText w:val="(%6)"/>
      <w:lvlJc w:val="left"/>
      <w:pPr>
        <w:ind w:left="2160" w:hanging="360"/>
      </w:pPr>
      <w:rPr>
        <w:rFonts w:hint="default"/>
      </w:rPr>
    </w:lvl>
    <w:lvl w:ilvl="6">
      <w:start w:val="1"/>
      <w:numFmt w:val="lowerRoman"/>
      <w:pStyle w:val="NIList7"/>
      <w:lvlText w:val="(%7)"/>
      <w:lvlJc w:val="left"/>
      <w:pPr>
        <w:ind w:left="2520" w:hanging="360"/>
      </w:pPr>
      <w:rPr>
        <w:rFonts w:hint="default"/>
      </w:rPr>
    </w:lvl>
    <w:lvl w:ilvl="7">
      <w:start w:val="1"/>
      <w:numFmt w:val="lowerLetter"/>
      <w:pStyle w:val="NIList8"/>
      <w:lvlText w:val="%8."/>
      <w:lvlJc w:val="left"/>
      <w:pPr>
        <w:ind w:left="2880" w:hanging="360"/>
      </w:pPr>
      <w:rPr>
        <w:rFonts w:hint="default"/>
      </w:rPr>
    </w:lvl>
    <w:lvl w:ilvl="8">
      <w:start w:val="1"/>
      <w:numFmt w:val="lowerRoman"/>
      <w:pStyle w:val="NIList9"/>
      <w:lvlText w:val="%9."/>
      <w:lvlJc w:val="left"/>
      <w:pPr>
        <w:ind w:left="3240" w:hanging="360"/>
      </w:pPr>
      <w:rPr>
        <w:rFonts w:hint="default"/>
      </w:rPr>
    </w:lvl>
  </w:abstractNum>
  <w:abstractNum w:abstractNumId="11">
    <w:nsid w:val="494941A1"/>
    <w:multiLevelType w:val="multilevel"/>
    <w:tmpl w:val="70E8D366"/>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2" w15:restartNumberingAfterBreak="1">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1">
    <w:nsid w:val="61182925"/>
    <w:multiLevelType w:val="singleLevel"/>
    <w:tmpl w:val="A9EE9842"/>
    <w:lvl w:ilvl="0">
      <w:start w:val="1"/>
      <w:numFmt w:val="decimal"/>
      <w:lvlText w:val="%1."/>
      <w:lvlJc w:val="left"/>
      <w:pPr>
        <w:tabs>
          <w:tab w:val="num" w:pos="1080"/>
        </w:tabs>
        <w:ind w:left="0" w:firstLine="720"/>
      </w:pPr>
    </w:lvl>
  </w:abstractNum>
  <w:abstractNum w:abstractNumId="14">
    <w:nsid w:val="7B281033"/>
    <w:multiLevelType w:val="multilevel"/>
    <w:tmpl w:val="C212A1AC"/>
    <w:styleLink w:val="Style1"/>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95698010">
    <w:abstractNumId w:val="3"/>
  </w:num>
  <w:num w:numId="2" w16cid:durableId="2050374732">
    <w:abstractNumId w:val="13"/>
  </w:num>
  <w:num w:numId="3" w16cid:durableId="1748570024">
    <w:abstractNumId w:val="5"/>
  </w:num>
  <w:num w:numId="4" w16cid:durableId="1477213202">
    <w:abstractNumId w:val="12"/>
  </w:num>
  <w:num w:numId="5" w16cid:durableId="525565210">
    <w:abstractNumId w:val="4"/>
  </w:num>
  <w:num w:numId="6" w16cid:durableId="610089043">
    <w:abstractNumId w:val="0"/>
  </w:num>
  <w:num w:numId="7" w16cid:durableId="2083486572">
    <w:abstractNumId w:val="1"/>
  </w:num>
  <w:num w:numId="8" w16cid:durableId="628362818">
    <w:abstractNumId w:val="2"/>
  </w:num>
  <w:num w:numId="9" w16cid:durableId="728727070">
    <w:abstractNumId w:val="8"/>
  </w:num>
  <w:num w:numId="10" w16cid:durableId="813639905">
    <w:abstractNumId w:val="9"/>
  </w:num>
  <w:num w:numId="11" w16cid:durableId="1018888743">
    <w:abstractNumId w:val="6"/>
  </w:num>
  <w:num w:numId="12" w16cid:durableId="1928228103">
    <w:abstractNumId w:val="10"/>
  </w:num>
  <w:num w:numId="13" w16cid:durableId="1595481505">
    <w:abstractNumId w:val="14"/>
  </w:num>
  <w:num w:numId="14" w16cid:durableId="1716808991">
    <w:abstractNumId w:val="7"/>
  </w:num>
  <w:num w:numId="15" w16cid:durableId="434133336">
    <w:abstractNumId w:val="11"/>
  </w:num>
  <w:num w:numId="16" w16cid:durableId="6981601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10468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attachedTemplate r:id="rId1"/>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F07"/>
    <w:rsid w:val="00000C01"/>
    <w:rsid w:val="00020F05"/>
    <w:rsid w:val="00035004"/>
    <w:rsid w:val="00036039"/>
    <w:rsid w:val="00037F90"/>
    <w:rsid w:val="000705EF"/>
    <w:rsid w:val="00084768"/>
    <w:rsid w:val="000875BF"/>
    <w:rsid w:val="00091FEB"/>
    <w:rsid w:val="00096D8C"/>
    <w:rsid w:val="000B30CC"/>
    <w:rsid w:val="000C0B65"/>
    <w:rsid w:val="000E05FE"/>
    <w:rsid w:val="000E3D39"/>
    <w:rsid w:val="000E3D42"/>
    <w:rsid w:val="00105508"/>
    <w:rsid w:val="00122BD5"/>
    <w:rsid w:val="00133F79"/>
    <w:rsid w:val="00165952"/>
    <w:rsid w:val="0017296B"/>
    <w:rsid w:val="00177012"/>
    <w:rsid w:val="0018542B"/>
    <w:rsid w:val="00194A66"/>
    <w:rsid w:val="00197558"/>
    <w:rsid w:val="001B3683"/>
    <w:rsid w:val="001C18B0"/>
    <w:rsid w:val="001D6BCF"/>
    <w:rsid w:val="001E01CA"/>
    <w:rsid w:val="001F5BBF"/>
    <w:rsid w:val="0022360E"/>
    <w:rsid w:val="002248C2"/>
    <w:rsid w:val="00252A0E"/>
    <w:rsid w:val="0026083B"/>
    <w:rsid w:val="00264BBE"/>
    <w:rsid w:val="00275CF5"/>
    <w:rsid w:val="0028301F"/>
    <w:rsid w:val="00285017"/>
    <w:rsid w:val="002A2D2E"/>
    <w:rsid w:val="002C00E8"/>
    <w:rsid w:val="003433FA"/>
    <w:rsid w:val="00343749"/>
    <w:rsid w:val="003660ED"/>
    <w:rsid w:val="003B0550"/>
    <w:rsid w:val="003B556A"/>
    <w:rsid w:val="003B694F"/>
    <w:rsid w:val="003C3FC3"/>
    <w:rsid w:val="003C73C1"/>
    <w:rsid w:val="003F171C"/>
    <w:rsid w:val="003F1A6E"/>
    <w:rsid w:val="004123F5"/>
    <w:rsid w:val="00412FC5"/>
    <w:rsid w:val="00422276"/>
    <w:rsid w:val="004242F1"/>
    <w:rsid w:val="004342B2"/>
    <w:rsid w:val="00445A00"/>
    <w:rsid w:val="00451B0F"/>
    <w:rsid w:val="0045313A"/>
    <w:rsid w:val="004773FA"/>
    <w:rsid w:val="00484675"/>
    <w:rsid w:val="004864CE"/>
    <w:rsid w:val="004B6755"/>
    <w:rsid w:val="004C2EE3"/>
    <w:rsid w:val="004C5D2B"/>
    <w:rsid w:val="004D5DD1"/>
    <w:rsid w:val="004E24CF"/>
    <w:rsid w:val="004E4A22"/>
    <w:rsid w:val="004F79DB"/>
    <w:rsid w:val="00510B91"/>
    <w:rsid w:val="00511968"/>
    <w:rsid w:val="00524C04"/>
    <w:rsid w:val="005356A3"/>
    <w:rsid w:val="00537D05"/>
    <w:rsid w:val="005445C0"/>
    <w:rsid w:val="00553616"/>
    <w:rsid w:val="0055614C"/>
    <w:rsid w:val="00563DDA"/>
    <w:rsid w:val="00566D06"/>
    <w:rsid w:val="005813B8"/>
    <w:rsid w:val="005A182F"/>
    <w:rsid w:val="005A1A7D"/>
    <w:rsid w:val="005A70BB"/>
    <w:rsid w:val="005E14C2"/>
    <w:rsid w:val="005E6EF3"/>
    <w:rsid w:val="00607BA5"/>
    <w:rsid w:val="0061180A"/>
    <w:rsid w:val="006131E0"/>
    <w:rsid w:val="00613A3C"/>
    <w:rsid w:val="00626EB6"/>
    <w:rsid w:val="00646963"/>
    <w:rsid w:val="006534BD"/>
    <w:rsid w:val="00655D03"/>
    <w:rsid w:val="00675D85"/>
    <w:rsid w:val="00683388"/>
    <w:rsid w:val="00683F84"/>
    <w:rsid w:val="006A6A81"/>
    <w:rsid w:val="006E2D99"/>
    <w:rsid w:val="006F70C5"/>
    <w:rsid w:val="006F7393"/>
    <w:rsid w:val="0070224F"/>
    <w:rsid w:val="007115F7"/>
    <w:rsid w:val="00740D09"/>
    <w:rsid w:val="00751ADE"/>
    <w:rsid w:val="00780970"/>
    <w:rsid w:val="00785689"/>
    <w:rsid w:val="0079754B"/>
    <w:rsid w:val="00797E9F"/>
    <w:rsid w:val="007A12BE"/>
    <w:rsid w:val="007A1E6D"/>
    <w:rsid w:val="007A290A"/>
    <w:rsid w:val="007A2FA3"/>
    <w:rsid w:val="007B0EB2"/>
    <w:rsid w:val="007D013C"/>
    <w:rsid w:val="007D5D74"/>
    <w:rsid w:val="00810B6F"/>
    <w:rsid w:val="00822CE0"/>
    <w:rsid w:val="008377A9"/>
    <w:rsid w:val="00841AB1"/>
    <w:rsid w:val="00864EDA"/>
    <w:rsid w:val="008970E1"/>
    <w:rsid w:val="008C1923"/>
    <w:rsid w:val="008C68F1"/>
    <w:rsid w:val="00921803"/>
    <w:rsid w:val="00921DD6"/>
    <w:rsid w:val="00926503"/>
    <w:rsid w:val="009505CC"/>
    <w:rsid w:val="009716F7"/>
    <w:rsid w:val="009726D8"/>
    <w:rsid w:val="009D6681"/>
    <w:rsid w:val="009D7308"/>
    <w:rsid w:val="009F4346"/>
    <w:rsid w:val="009F76DB"/>
    <w:rsid w:val="00A32C3B"/>
    <w:rsid w:val="00A404CF"/>
    <w:rsid w:val="00A45F4F"/>
    <w:rsid w:val="00A4613F"/>
    <w:rsid w:val="00A600A9"/>
    <w:rsid w:val="00AA55B7"/>
    <w:rsid w:val="00AA5B9E"/>
    <w:rsid w:val="00AB2407"/>
    <w:rsid w:val="00AB53DF"/>
    <w:rsid w:val="00AC7B9B"/>
    <w:rsid w:val="00AD0726"/>
    <w:rsid w:val="00B07E5C"/>
    <w:rsid w:val="00B44933"/>
    <w:rsid w:val="00B77AF3"/>
    <w:rsid w:val="00B811F7"/>
    <w:rsid w:val="00B9533D"/>
    <w:rsid w:val="00BA069F"/>
    <w:rsid w:val="00BA5DC6"/>
    <w:rsid w:val="00BA5EBB"/>
    <w:rsid w:val="00BA6196"/>
    <w:rsid w:val="00BC6D8C"/>
    <w:rsid w:val="00C07BA8"/>
    <w:rsid w:val="00C34006"/>
    <w:rsid w:val="00C35D3A"/>
    <w:rsid w:val="00C36B4C"/>
    <w:rsid w:val="00C40089"/>
    <w:rsid w:val="00C426B1"/>
    <w:rsid w:val="00C66160"/>
    <w:rsid w:val="00C721AC"/>
    <w:rsid w:val="00C90D6A"/>
    <w:rsid w:val="00CA247E"/>
    <w:rsid w:val="00CA6D21"/>
    <w:rsid w:val="00CC72B6"/>
    <w:rsid w:val="00CD2F85"/>
    <w:rsid w:val="00CF7F79"/>
    <w:rsid w:val="00D0218D"/>
    <w:rsid w:val="00D25FB5"/>
    <w:rsid w:val="00D336C7"/>
    <w:rsid w:val="00D3698C"/>
    <w:rsid w:val="00D44223"/>
    <w:rsid w:val="00D76723"/>
    <w:rsid w:val="00DA2529"/>
    <w:rsid w:val="00DB130A"/>
    <w:rsid w:val="00DB2EBB"/>
    <w:rsid w:val="00DC10A1"/>
    <w:rsid w:val="00DC655F"/>
    <w:rsid w:val="00DD0B59"/>
    <w:rsid w:val="00DD7EBD"/>
    <w:rsid w:val="00DE0BED"/>
    <w:rsid w:val="00DF5B5C"/>
    <w:rsid w:val="00DF62B6"/>
    <w:rsid w:val="00E03D2C"/>
    <w:rsid w:val="00E054AA"/>
    <w:rsid w:val="00E07225"/>
    <w:rsid w:val="00E10530"/>
    <w:rsid w:val="00E2389D"/>
    <w:rsid w:val="00E35347"/>
    <w:rsid w:val="00E5409F"/>
    <w:rsid w:val="00EA6D75"/>
    <w:rsid w:val="00EB4162"/>
    <w:rsid w:val="00EB7F07"/>
    <w:rsid w:val="00EE393A"/>
    <w:rsid w:val="00EE6488"/>
    <w:rsid w:val="00EF11ED"/>
    <w:rsid w:val="00EF52A6"/>
    <w:rsid w:val="00F021FA"/>
    <w:rsid w:val="00F03FC3"/>
    <w:rsid w:val="00F05A7E"/>
    <w:rsid w:val="00F14214"/>
    <w:rsid w:val="00F440C2"/>
    <w:rsid w:val="00F4658A"/>
    <w:rsid w:val="00F5659B"/>
    <w:rsid w:val="00F62E97"/>
    <w:rsid w:val="00F64209"/>
    <w:rsid w:val="00F76937"/>
    <w:rsid w:val="00F8195D"/>
    <w:rsid w:val="00F93BF5"/>
    <w:rsid w:val="00FB2F7D"/>
    <w:rsid w:val="00FB4442"/>
    <w:rsid w:val="00FB63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5CE5477"/>
  <w15:chartTrackingRefBased/>
  <w15:docId w15:val="{DE8592BC-716C-42EB-BA4A-566D4297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1" w:qFormat="1"/>
    <w:lsdException w:name="footnote text" w:uiPriority="99" w:qFormat="1"/>
    <w:lsdException w:name="annotation text" w:uiPriority="99"/>
    <w:lsdException w:name="header" w:uiPriority="99"/>
    <w:lsdException w:name="footer" w:uiPriority="99" w:qFormat="1"/>
    <w:lsdException w:name="caption" w:semiHidden="1" w:unhideWhenUsed="1" w:qFormat="1"/>
    <w:lsdException w:name="footnote reference" w:uiPriority="3"/>
    <w:lsdException w:name="annotation reference" w:uiPriority="99"/>
    <w:lsdException w:name="page number" w:uiPriority="1"/>
    <w:lsdException w:name="Title" w:qFormat="1"/>
    <w:lsdException w:name="Subtitle" w:qFormat="1"/>
    <w:lsdException w:name="Block Text" w:uiPriority="99" w:qFormat="1"/>
    <w:lsdException w:name="Hyperlink" w:uiPriority="2"/>
    <w:lsdException w:name="Followed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uiPriority w:val="1"/>
    <w:qFormat/>
    <w:rsid w:val="0018542B"/>
    <w:rPr>
      <w:rFonts w:eastAsiaTheme="minorHAnsi"/>
      <w:kern w:val="2"/>
      <w:sz w:val="22"/>
    </w:rPr>
  </w:style>
  <w:style w:type="paragraph" w:styleId="Heading1">
    <w:name w:val="heading 1"/>
    <w:basedOn w:val="Normal"/>
    <w:next w:val="ParaNum"/>
    <w:link w:val="Heading1Char"/>
    <w:qFormat/>
    <w:rsid w:val="0018542B"/>
    <w:pPr>
      <w:keepNext/>
      <w:numPr>
        <w:numId w:val="17"/>
      </w:numPr>
      <w:suppressAutoHyphens/>
      <w:spacing w:after="120"/>
      <w:outlineLvl w:val="0"/>
    </w:pPr>
    <w:rPr>
      <w:rFonts w:ascii="Times New Roman Bold" w:eastAsia="Times New Roman" w:hAnsi="Times New Roman Bold"/>
      <w:b/>
      <w:caps/>
      <w:snapToGrid w:val="0"/>
      <w:kern w:val="28"/>
    </w:rPr>
  </w:style>
  <w:style w:type="paragraph" w:styleId="Heading2">
    <w:name w:val="heading 2"/>
    <w:basedOn w:val="Normal"/>
    <w:next w:val="ParaNum"/>
    <w:link w:val="Heading2Char"/>
    <w:qFormat/>
    <w:rsid w:val="0018542B"/>
    <w:pPr>
      <w:keepNext/>
      <w:numPr>
        <w:ilvl w:val="1"/>
        <w:numId w:val="17"/>
      </w:numPr>
      <w:spacing w:after="120"/>
      <w:outlineLvl w:val="1"/>
    </w:pPr>
    <w:rPr>
      <w:rFonts w:eastAsia="Times New Roman"/>
      <w:b/>
      <w:snapToGrid w:val="0"/>
      <w:kern w:val="28"/>
    </w:rPr>
  </w:style>
  <w:style w:type="paragraph" w:styleId="Heading3">
    <w:name w:val="heading 3"/>
    <w:basedOn w:val="Normal"/>
    <w:next w:val="ParaNum"/>
    <w:link w:val="Heading3Char"/>
    <w:qFormat/>
    <w:rsid w:val="0018542B"/>
    <w:pPr>
      <w:keepNext/>
      <w:numPr>
        <w:ilvl w:val="2"/>
        <w:numId w:val="17"/>
      </w:numPr>
      <w:tabs>
        <w:tab w:val="left" w:pos="2160"/>
      </w:tabs>
      <w:spacing w:after="120"/>
      <w:outlineLvl w:val="2"/>
    </w:pPr>
    <w:rPr>
      <w:rFonts w:ascii="Times New Roman Bold" w:eastAsia="Times New Roman" w:hAnsi="Times New Roman Bold"/>
      <w:b/>
      <w:snapToGrid w:val="0"/>
      <w:kern w:val="28"/>
    </w:rPr>
  </w:style>
  <w:style w:type="paragraph" w:styleId="Heading4">
    <w:name w:val="heading 4"/>
    <w:basedOn w:val="Normal"/>
    <w:next w:val="ParaNum"/>
    <w:link w:val="Heading4Char"/>
    <w:qFormat/>
    <w:rsid w:val="0018542B"/>
    <w:pPr>
      <w:keepNext/>
      <w:numPr>
        <w:ilvl w:val="3"/>
        <w:numId w:val="17"/>
      </w:numPr>
      <w:tabs>
        <w:tab w:val="left" w:pos="2880"/>
      </w:tabs>
      <w:spacing w:after="120"/>
      <w:outlineLvl w:val="3"/>
    </w:pPr>
    <w:rPr>
      <w:rFonts w:ascii="Times New Roman Bold" w:eastAsia="Times New Roman" w:hAnsi="Times New Roman Bold"/>
      <w:b/>
      <w:snapToGrid w:val="0"/>
      <w:kern w:val="28"/>
    </w:rPr>
  </w:style>
  <w:style w:type="paragraph" w:styleId="Heading5">
    <w:name w:val="heading 5"/>
    <w:basedOn w:val="Normal"/>
    <w:next w:val="ParaNum"/>
    <w:link w:val="Heading5Char"/>
    <w:qFormat/>
    <w:rsid w:val="0018542B"/>
    <w:pPr>
      <w:keepNext/>
      <w:numPr>
        <w:ilvl w:val="4"/>
        <w:numId w:val="17"/>
      </w:numPr>
      <w:tabs>
        <w:tab w:val="left" w:pos="3600"/>
      </w:tabs>
      <w:suppressAutoHyphens/>
      <w:spacing w:after="120"/>
      <w:outlineLvl w:val="4"/>
    </w:pPr>
    <w:rPr>
      <w:rFonts w:ascii="Times New Roman Bold" w:eastAsia="Times New Roman" w:hAnsi="Times New Roman Bold"/>
      <w:b/>
      <w:snapToGrid w:val="0"/>
      <w:kern w:val="28"/>
    </w:rPr>
  </w:style>
  <w:style w:type="paragraph" w:styleId="Heading6">
    <w:name w:val="heading 6"/>
    <w:basedOn w:val="Normal"/>
    <w:next w:val="ParaNum"/>
    <w:link w:val="Heading6Char"/>
    <w:qFormat/>
    <w:rsid w:val="0018542B"/>
    <w:pPr>
      <w:keepNext/>
      <w:numPr>
        <w:ilvl w:val="5"/>
        <w:numId w:val="17"/>
      </w:numPr>
      <w:tabs>
        <w:tab w:val="left" w:pos="4320"/>
      </w:tabs>
      <w:spacing w:after="120"/>
      <w:outlineLvl w:val="5"/>
    </w:pPr>
    <w:rPr>
      <w:rFonts w:ascii="Times New Roman Bold" w:eastAsia="Times New Roman" w:hAnsi="Times New Roman Bold"/>
      <w:b/>
      <w:snapToGrid w:val="0"/>
      <w:kern w:val="28"/>
    </w:rPr>
  </w:style>
  <w:style w:type="paragraph" w:styleId="Heading7">
    <w:name w:val="heading 7"/>
    <w:basedOn w:val="Normal"/>
    <w:next w:val="ParaNum"/>
    <w:link w:val="Heading7Char"/>
    <w:qFormat/>
    <w:rsid w:val="0018542B"/>
    <w:pPr>
      <w:keepNext/>
      <w:numPr>
        <w:ilvl w:val="6"/>
        <w:numId w:val="17"/>
      </w:numPr>
      <w:tabs>
        <w:tab w:val="left" w:pos="5040"/>
      </w:tabs>
      <w:spacing w:after="120"/>
      <w:outlineLvl w:val="6"/>
    </w:pPr>
    <w:rPr>
      <w:rFonts w:ascii="Times New Roman Bold" w:eastAsia="Times New Roman" w:hAnsi="Times New Roman Bold"/>
      <w:b/>
      <w:snapToGrid w:val="0"/>
      <w:kern w:val="28"/>
    </w:rPr>
  </w:style>
  <w:style w:type="paragraph" w:styleId="Heading8">
    <w:name w:val="heading 8"/>
    <w:basedOn w:val="Normal"/>
    <w:next w:val="ParaNum"/>
    <w:link w:val="Heading8Char"/>
    <w:qFormat/>
    <w:rsid w:val="0018542B"/>
    <w:pPr>
      <w:keepNext/>
      <w:numPr>
        <w:ilvl w:val="7"/>
        <w:numId w:val="17"/>
      </w:numPr>
      <w:tabs>
        <w:tab w:val="left" w:pos="5760"/>
      </w:tabs>
      <w:spacing w:after="120"/>
      <w:outlineLvl w:val="7"/>
    </w:pPr>
    <w:rPr>
      <w:rFonts w:ascii="Times New Roman Bold" w:eastAsia="Times New Roman" w:hAnsi="Times New Roman Bold"/>
      <w:b/>
      <w:snapToGrid w:val="0"/>
      <w:kern w:val="28"/>
    </w:rPr>
  </w:style>
  <w:style w:type="paragraph" w:styleId="Heading9">
    <w:name w:val="heading 9"/>
    <w:basedOn w:val="Normal"/>
    <w:next w:val="ParaNum"/>
    <w:link w:val="Heading9Char"/>
    <w:qFormat/>
    <w:rsid w:val="0018542B"/>
    <w:pPr>
      <w:keepNext/>
      <w:numPr>
        <w:ilvl w:val="8"/>
        <w:numId w:val="17"/>
      </w:numPr>
      <w:tabs>
        <w:tab w:val="left" w:pos="6480"/>
      </w:tabs>
      <w:spacing w:after="120"/>
      <w:outlineLvl w:val="8"/>
    </w:pPr>
    <w:rPr>
      <w:rFonts w:ascii="Times New Roman Bold" w:eastAsia="Times New Roman" w:hAnsi="Times New Roman Bold"/>
      <w:b/>
      <w:snapToGrid w:val="0"/>
      <w:kern w:val="28"/>
    </w:rPr>
  </w:style>
  <w:style w:type="character" w:default="1" w:styleId="DefaultParagraphFont">
    <w:name w:val="Default Paragraph Font"/>
    <w:uiPriority w:val="1"/>
    <w:semiHidden/>
    <w:unhideWhenUsed/>
    <w:rsid w:val="0018542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8542B"/>
  </w:style>
  <w:style w:type="paragraph" w:customStyle="1" w:styleId="ParaNum">
    <w:name w:val="ParaNum"/>
    <w:basedOn w:val="Normal"/>
    <w:link w:val="ParaNumChar"/>
    <w:qFormat/>
    <w:rsid w:val="0018542B"/>
    <w:pPr>
      <w:numPr>
        <w:numId w:val="16"/>
      </w:numPr>
      <w:spacing w:after="120"/>
    </w:pPr>
  </w:style>
  <w:style w:type="paragraph" w:styleId="EndnoteText">
    <w:name w:val="endnote text"/>
    <w:basedOn w:val="Normal"/>
    <w:link w:val="EndnoteTextChar"/>
    <w:semiHidden/>
    <w:rsid w:val="0018542B"/>
    <w:rPr>
      <w:sz w:val="20"/>
    </w:rPr>
  </w:style>
  <w:style w:type="character" w:styleId="EndnoteReference">
    <w:name w:val="endnote reference"/>
    <w:semiHidden/>
    <w:rsid w:val="0018542B"/>
    <w:rPr>
      <w:vertAlign w:val="superscript"/>
    </w:rPr>
  </w:style>
  <w:style w:type="paragraph" w:styleId="FootnoteText">
    <w:name w:val="footnote text"/>
    <w:aliases w:val="Footnote Text Char,Footnote Text Char1 Char,rrfootnote Char Char,Style 5 Char Char,Footnote Text Char Char Char,Footnote Text Char1 Char Char Char,Footnote Text Char Char Char Char Char,Footnote Text Char1 Char Char Char Char Char,fn,Styl"/>
    <w:basedOn w:val="Normal"/>
    <w:link w:val="FootnoteTextChar1"/>
    <w:uiPriority w:val="99"/>
    <w:qFormat/>
    <w:rsid w:val="0018542B"/>
    <w:pPr>
      <w:spacing w:after="120"/>
    </w:pPr>
    <w:rPr>
      <w:sz w:val="20"/>
    </w:rPr>
  </w:style>
  <w:style w:type="character" w:styleId="FootnoteReference">
    <w:name w:val="footnote reference"/>
    <w:aliases w:val="Style 4,Appel note de bas de p,Style 12,(NECG) Footnote Reference,Style 124,Style 13,o,fr,Style 3,Footnote Reference1,FR,Style 17,Style 6,Footnote Reference/,-E Funotenzeichen,A,Style 20,Style 34,Style 7,Style 9,callout"/>
    <w:uiPriority w:val="3"/>
    <w:unhideWhenUsed/>
    <w:rsid w:val="0018542B"/>
    <w:rPr>
      <w:rFonts w:ascii="Times New Roman" w:hAnsi="Times New Roman"/>
      <w:dstrike w:val="0"/>
      <w:color w:val="auto"/>
      <w:sz w:val="20"/>
      <w:vertAlign w:val="superscript"/>
    </w:rPr>
  </w:style>
  <w:style w:type="paragraph" w:styleId="TOC1">
    <w:name w:val="toc 1"/>
    <w:basedOn w:val="Normal"/>
    <w:next w:val="Normal"/>
    <w:rsid w:val="0018542B"/>
    <w:pPr>
      <w:widowControl w:val="0"/>
      <w:tabs>
        <w:tab w:val="left" w:pos="360"/>
        <w:tab w:val="right" w:leader="dot" w:pos="9360"/>
      </w:tabs>
      <w:suppressAutoHyphens/>
      <w:ind w:left="360" w:right="720" w:hanging="360"/>
    </w:pPr>
    <w:rPr>
      <w:rFonts w:eastAsia="Times New Roman"/>
      <w:caps/>
      <w:noProof/>
      <w:snapToGrid w:val="0"/>
      <w:kern w:val="28"/>
    </w:rPr>
  </w:style>
  <w:style w:type="paragraph" w:styleId="TOC2">
    <w:name w:val="toc 2"/>
    <w:basedOn w:val="Normal"/>
    <w:next w:val="Normal"/>
    <w:rsid w:val="0018542B"/>
    <w:pPr>
      <w:widowControl w:val="0"/>
      <w:tabs>
        <w:tab w:val="left" w:pos="720"/>
        <w:tab w:val="right" w:leader="dot" w:pos="9360"/>
      </w:tabs>
      <w:suppressAutoHyphens/>
      <w:ind w:left="720" w:right="720" w:hanging="360"/>
    </w:pPr>
    <w:rPr>
      <w:rFonts w:eastAsia="Times New Roman"/>
      <w:noProof/>
      <w:snapToGrid w:val="0"/>
      <w:kern w:val="28"/>
    </w:rPr>
  </w:style>
  <w:style w:type="paragraph" w:styleId="TOC3">
    <w:name w:val="toc 3"/>
    <w:basedOn w:val="Normal"/>
    <w:next w:val="Normal"/>
    <w:rsid w:val="0018542B"/>
    <w:pPr>
      <w:widowControl w:val="0"/>
      <w:tabs>
        <w:tab w:val="left" w:pos="1080"/>
        <w:tab w:val="right" w:leader="dot" w:pos="9360"/>
      </w:tabs>
      <w:suppressAutoHyphens/>
      <w:ind w:left="1080" w:right="720" w:hanging="360"/>
    </w:pPr>
    <w:rPr>
      <w:rFonts w:eastAsia="Times New Roman"/>
      <w:noProof/>
      <w:snapToGrid w:val="0"/>
      <w:kern w:val="28"/>
    </w:rPr>
  </w:style>
  <w:style w:type="paragraph" w:styleId="TOC4">
    <w:name w:val="toc 4"/>
    <w:basedOn w:val="Normal"/>
    <w:next w:val="Normal"/>
    <w:autoRedefine/>
    <w:rsid w:val="0018542B"/>
    <w:pPr>
      <w:widowControl w:val="0"/>
      <w:tabs>
        <w:tab w:val="left" w:pos="1440"/>
        <w:tab w:val="right" w:leader="dot" w:pos="9360"/>
      </w:tabs>
      <w:suppressAutoHyphens/>
      <w:ind w:left="1440" w:right="720" w:hanging="360"/>
    </w:pPr>
    <w:rPr>
      <w:rFonts w:eastAsia="Times New Roman"/>
      <w:noProof/>
      <w:snapToGrid w:val="0"/>
      <w:kern w:val="28"/>
    </w:rPr>
  </w:style>
  <w:style w:type="paragraph" w:styleId="TOC5">
    <w:name w:val="toc 5"/>
    <w:basedOn w:val="Normal"/>
    <w:next w:val="Normal"/>
    <w:autoRedefine/>
    <w:rsid w:val="0018542B"/>
    <w:pPr>
      <w:widowControl w:val="0"/>
      <w:tabs>
        <w:tab w:val="left" w:pos="1800"/>
        <w:tab w:val="right" w:leader="dot" w:pos="9360"/>
      </w:tabs>
      <w:suppressAutoHyphens/>
      <w:ind w:left="1800" w:right="720" w:hanging="360"/>
    </w:pPr>
    <w:rPr>
      <w:rFonts w:eastAsia="Times New Roman"/>
      <w:noProof/>
      <w:snapToGrid w:val="0"/>
      <w:kern w:val="28"/>
    </w:rPr>
  </w:style>
  <w:style w:type="paragraph" w:styleId="TOC6">
    <w:name w:val="toc 6"/>
    <w:basedOn w:val="Normal"/>
    <w:next w:val="Normal"/>
    <w:autoRedefine/>
    <w:semiHidden/>
    <w:rsid w:val="0018542B"/>
    <w:pPr>
      <w:widowControl w:val="0"/>
      <w:tabs>
        <w:tab w:val="left" w:pos="2160"/>
        <w:tab w:val="right" w:leader="dot" w:pos="9360"/>
      </w:tabs>
      <w:suppressAutoHyphens/>
      <w:ind w:left="2160" w:hanging="360"/>
    </w:pPr>
    <w:rPr>
      <w:rFonts w:eastAsia="Times New Roman"/>
      <w:noProof/>
      <w:snapToGrid w:val="0"/>
      <w:kern w:val="28"/>
    </w:rPr>
  </w:style>
  <w:style w:type="paragraph" w:styleId="TOC7">
    <w:name w:val="toc 7"/>
    <w:basedOn w:val="Normal"/>
    <w:next w:val="Normal"/>
    <w:autoRedefine/>
    <w:semiHidden/>
    <w:rsid w:val="0018542B"/>
    <w:pPr>
      <w:widowControl w:val="0"/>
      <w:tabs>
        <w:tab w:val="left" w:pos="2520"/>
        <w:tab w:val="right" w:leader="dot" w:pos="9360"/>
      </w:tabs>
      <w:suppressAutoHyphens/>
      <w:ind w:left="2520" w:hanging="360"/>
    </w:pPr>
    <w:rPr>
      <w:rFonts w:eastAsia="Times New Roman"/>
      <w:noProof/>
      <w:snapToGrid w:val="0"/>
      <w:kern w:val="28"/>
    </w:rPr>
  </w:style>
  <w:style w:type="paragraph" w:styleId="TOC8">
    <w:name w:val="toc 8"/>
    <w:basedOn w:val="Normal"/>
    <w:next w:val="Normal"/>
    <w:autoRedefine/>
    <w:semiHidden/>
    <w:rsid w:val="0018542B"/>
    <w:pPr>
      <w:widowControl w:val="0"/>
      <w:tabs>
        <w:tab w:val="left" w:pos="2880"/>
        <w:tab w:val="right" w:leader="dot" w:pos="9360"/>
      </w:tabs>
      <w:suppressAutoHyphens/>
      <w:ind w:left="2880" w:hanging="360"/>
    </w:pPr>
    <w:rPr>
      <w:rFonts w:eastAsia="Times New Roman"/>
      <w:noProof/>
      <w:snapToGrid w:val="0"/>
      <w:kern w:val="28"/>
    </w:rPr>
  </w:style>
  <w:style w:type="paragraph" w:styleId="TOC9">
    <w:name w:val="toc 9"/>
    <w:basedOn w:val="Normal"/>
    <w:next w:val="Normal"/>
    <w:autoRedefine/>
    <w:semiHidden/>
    <w:rsid w:val="0018542B"/>
    <w:pPr>
      <w:widowControl w:val="0"/>
      <w:tabs>
        <w:tab w:val="left" w:pos="3240"/>
        <w:tab w:val="right" w:leader="dot" w:pos="9360"/>
      </w:tabs>
      <w:suppressAutoHyphens/>
      <w:ind w:left="3240" w:hanging="360"/>
    </w:pPr>
    <w:rPr>
      <w:rFonts w:eastAsia="Times New Roman"/>
      <w:noProof/>
      <w:snapToGrid w:val="0"/>
      <w:kern w:val="28"/>
    </w:rPr>
  </w:style>
  <w:style w:type="paragraph" w:styleId="TOAHeading">
    <w:name w:val="toa heading"/>
    <w:basedOn w:val="Normal"/>
    <w:next w:val="Normal"/>
    <w:semiHidden/>
    <w:rsid w:val="0018542B"/>
    <w:pPr>
      <w:tabs>
        <w:tab w:val="right" w:pos="9360"/>
      </w:tabs>
      <w:suppressAutoHyphens/>
    </w:pPr>
  </w:style>
  <w:style w:type="character" w:customStyle="1" w:styleId="EquationCaption">
    <w:name w:val="_Equation Caption"/>
    <w:uiPriority w:val="99"/>
    <w:rsid w:val="0018542B"/>
    <w:rPr>
      <w:rFonts w:ascii="Calibri" w:hAnsi="Calibri"/>
    </w:rPr>
  </w:style>
  <w:style w:type="paragraph" w:styleId="Header">
    <w:name w:val="header"/>
    <w:basedOn w:val="Normal"/>
    <w:link w:val="HeaderChar"/>
    <w:uiPriority w:val="99"/>
    <w:rsid w:val="0018542B"/>
    <w:rPr>
      <w:b/>
    </w:rPr>
  </w:style>
  <w:style w:type="paragraph" w:styleId="Footer">
    <w:name w:val="footer"/>
    <w:basedOn w:val="Normal"/>
    <w:link w:val="FooterChar"/>
    <w:uiPriority w:val="99"/>
    <w:qFormat/>
    <w:rsid w:val="0018542B"/>
    <w:pPr>
      <w:jc w:val="center"/>
    </w:pPr>
  </w:style>
  <w:style w:type="character" w:styleId="PageNumber">
    <w:name w:val="page number"/>
    <w:uiPriority w:val="1"/>
    <w:rsid w:val="0018542B"/>
    <w:rPr>
      <w:rFonts w:ascii="Calibri" w:hAnsi="Calibri"/>
      <w:b w:val="0"/>
      <w:i w:val="0"/>
      <w:sz w:val="22"/>
    </w:rPr>
  </w:style>
  <w:style w:type="paragraph" w:styleId="BlockText">
    <w:name w:val="Block Text"/>
    <w:basedOn w:val="Normal"/>
    <w:uiPriority w:val="99"/>
    <w:qFormat/>
    <w:rsid w:val="0018542B"/>
    <w:pPr>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tabs>
        <w:tab w:val="left" w:pos="2160"/>
      </w:tabs>
      <w:spacing w:after="220"/>
      <w:ind w:left="2160" w:hanging="720"/>
    </w:pPr>
  </w:style>
  <w:style w:type="paragraph" w:customStyle="1" w:styleId="TableFormat">
    <w:name w:val="TableFormat"/>
    <w:basedOn w:val="Normal"/>
    <w:uiPriority w:val="99"/>
    <w:rsid w:val="0018542B"/>
    <w:pPr>
      <w:tabs>
        <w:tab w:val="left" w:pos="5040"/>
      </w:tabs>
      <w:spacing w:after="220"/>
      <w:ind w:left="5040" w:hanging="3600"/>
    </w:pPr>
  </w:style>
  <w:style w:type="paragraph" w:customStyle="1" w:styleId="TOCTitle">
    <w:name w:val="TOC Title"/>
    <w:basedOn w:val="Normal"/>
    <w:rsid w:val="0018542B"/>
    <w:pPr>
      <w:widowControl w:val="0"/>
      <w:spacing w:before="240" w:after="240"/>
      <w:jc w:val="center"/>
    </w:pPr>
    <w:rPr>
      <w:rFonts w:ascii="Times New Roman Bold" w:eastAsia="Times New Roman" w:hAnsi="Times New Roman Bold"/>
      <w:b/>
      <w:caps/>
      <w:snapToGrid w:val="0"/>
      <w:spacing w:val="-2"/>
      <w:kern w:val="28"/>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uiPriority w:val="2"/>
    <w:rsid w:val="0018542B"/>
    <w:rPr>
      <w:color w:val="0000FF"/>
      <w:u w:val="single"/>
    </w:rPr>
  </w:style>
  <w:style w:type="character" w:customStyle="1" w:styleId="FooterChar">
    <w:name w:val="Footer Char"/>
    <w:link w:val="Footer"/>
    <w:uiPriority w:val="99"/>
    <w:rsid w:val="0018542B"/>
    <w:rPr>
      <w:rFonts w:eastAsiaTheme="minorHAnsi"/>
      <w:kern w:val="2"/>
      <w:sz w:val="22"/>
    </w:rPr>
  </w:style>
  <w:style w:type="character" w:styleId="UnresolvedMention">
    <w:name w:val="Unresolved Mention"/>
    <w:basedOn w:val="DefaultParagraphFont"/>
    <w:uiPriority w:val="99"/>
    <w:semiHidden/>
    <w:unhideWhenUsed/>
    <w:rsid w:val="0018542B"/>
    <w:rPr>
      <w:color w:val="605E5C"/>
      <w:shd w:val="clear" w:color="auto" w:fill="E1DFDD"/>
    </w:rPr>
  </w:style>
  <w:style w:type="character" w:customStyle="1" w:styleId="FootnoteTextChar1">
    <w:name w:val="Footnote Text Char1"/>
    <w:aliases w:val="Footnote Text Char Char,Footnote Text Char1 Char Char,rrfootnote Char Char Char,Style 5 Char Char Char,Footnote Text Char Char Char Char,Footnote Text Char1 Char Char Char Char,Footnote Text Char Char Char Char Char Char,fn Char"/>
    <w:link w:val="FootnoteText"/>
    <w:uiPriority w:val="99"/>
    <w:locked/>
    <w:rsid w:val="006E2D99"/>
    <w:rPr>
      <w:rFonts w:eastAsiaTheme="minorHAnsi"/>
      <w:kern w:val="2"/>
    </w:rPr>
  </w:style>
  <w:style w:type="character" w:customStyle="1" w:styleId="ParaNumChar">
    <w:name w:val="ParaNum Char"/>
    <w:link w:val="ParaNum"/>
    <w:locked/>
    <w:rsid w:val="0018542B"/>
    <w:rPr>
      <w:rFonts w:eastAsiaTheme="minorHAnsi"/>
      <w:kern w:val="2"/>
      <w:sz w:val="22"/>
    </w:rPr>
  </w:style>
  <w:style w:type="paragraph" w:styleId="ListParagraph">
    <w:name w:val="List Paragraph"/>
    <w:basedOn w:val="Normal"/>
    <w:uiPriority w:val="34"/>
    <w:qFormat/>
    <w:rsid w:val="00E2389D"/>
    <w:pPr>
      <w:ind w:left="720"/>
    </w:pPr>
  </w:style>
  <w:style w:type="paragraph" w:customStyle="1" w:styleId="TitleCenteredBold">
    <w:name w:val="Title Centered Bold"/>
    <w:basedOn w:val="Normal"/>
    <w:next w:val="Normal"/>
    <w:link w:val="TitleCenteredBoldChar"/>
    <w:uiPriority w:val="99"/>
    <w:semiHidden/>
    <w:rsid w:val="0018542B"/>
    <w:pPr>
      <w:suppressAutoHyphens/>
      <w:jc w:val="center"/>
    </w:pPr>
    <w:rPr>
      <w:b/>
      <w:kern w:val="0"/>
      <w:szCs w:val="22"/>
    </w:rPr>
  </w:style>
  <w:style w:type="paragraph" w:customStyle="1" w:styleId="Agency">
    <w:name w:val="Agency"/>
    <w:basedOn w:val="TitleCenteredBold"/>
    <w:link w:val="AgencyChar"/>
    <w:unhideWhenUsed/>
    <w:rsid w:val="0018542B"/>
    <w:pPr>
      <w:spacing w:after="240"/>
    </w:pPr>
  </w:style>
  <w:style w:type="numbering" w:customStyle="1" w:styleId="Appendices">
    <w:name w:val="Appendices"/>
    <w:uiPriority w:val="99"/>
    <w:rsid w:val="0018542B"/>
    <w:pPr>
      <w:numPr>
        <w:numId w:val="9"/>
      </w:numPr>
    </w:pPr>
  </w:style>
  <w:style w:type="paragraph" w:customStyle="1" w:styleId="TitleCAPSCenteredBold">
    <w:name w:val="Title CAPS Centered Bold"/>
    <w:basedOn w:val="TitleCenteredBold"/>
    <w:next w:val="Normal"/>
    <w:semiHidden/>
    <w:qFormat/>
    <w:rsid w:val="0018542B"/>
    <w:pPr>
      <w:spacing w:before="360" w:after="320"/>
    </w:pPr>
    <w:rPr>
      <w:rFonts w:ascii="Times New Roman Bold" w:hAnsi="Times New Roman Bold"/>
      <w:caps/>
      <w:kern w:val="2"/>
    </w:rPr>
  </w:style>
  <w:style w:type="paragraph" w:customStyle="1" w:styleId="AppendixHeading">
    <w:name w:val="Appendix Heading"/>
    <w:basedOn w:val="Agency"/>
    <w:next w:val="AppendixSubtitle"/>
    <w:link w:val="AppendixHeadingChar"/>
    <w:uiPriority w:val="1"/>
    <w:qFormat/>
    <w:rsid w:val="0018542B"/>
    <w:pPr>
      <w:spacing w:after="120"/>
    </w:pPr>
    <w:rPr>
      <w:rFonts w:ascii="Times New Roman Bold" w:hAnsi="Times New Roman Bold"/>
      <w:caps/>
      <w:kern w:val="2"/>
    </w:rPr>
  </w:style>
  <w:style w:type="paragraph" w:styleId="NormalIndent">
    <w:name w:val="Normal Indent"/>
    <w:basedOn w:val="Normal"/>
    <w:link w:val="NormalIndentChar"/>
    <w:uiPriority w:val="1"/>
    <w:qFormat/>
    <w:rsid w:val="0018542B"/>
    <w:pPr>
      <w:ind w:firstLine="720"/>
    </w:pPr>
  </w:style>
  <w:style w:type="paragraph" w:customStyle="1" w:styleId="TitleCenteredCapsBoldUnderline">
    <w:name w:val="Title Centered Caps Bold Underline"/>
    <w:basedOn w:val="Normal"/>
    <w:next w:val="Normal"/>
    <w:uiPriority w:val="99"/>
    <w:semiHidden/>
    <w:qFormat/>
    <w:rsid w:val="0018542B"/>
    <w:pPr>
      <w:jc w:val="center"/>
    </w:pPr>
    <w:rPr>
      <w:rFonts w:eastAsia="Calibri"/>
      <w:b/>
      <w:bCs/>
      <w:caps/>
      <w:snapToGrid w:val="0"/>
      <w:u w:val="single"/>
    </w:rPr>
  </w:style>
  <w:style w:type="paragraph" w:customStyle="1" w:styleId="Attachment">
    <w:name w:val="Attachment"/>
    <w:basedOn w:val="TitleCenteredCapsBoldUnderline"/>
    <w:uiPriority w:val="99"/>
    <w:semiHidden/>
    <w:qFormat/>
    <w:rsid w:val="0018542B"/>
    <w:pPr>
      <w:spacing w:after="200"/>
    </w:pPr>
    <w:rPr>
      <w:caps w:val="0"/>
    </w:rPr>
  </w:style>
  <w:style w:type="character" w:styleId="CommentReference">
    <w:name w:val="annotation reference"/>
    <w:uiPriority w:val="99"/>
    <w:rsid w:val="0018542B"/>
    <w:rPr>
      <w:sz w:val="16"/>
      <w:szCs w:val="16"/>
    </w:rPr>
  </w:style>
  <w:style w:type="paragraph" w:styleId="CommentText">
    <w:name w:val="annotation text"/>
    <w:basedOn w:val="Normal"/>
    <w:link w:val="CommentTextChar"/>
    <w:uiPriority w:val="99"/>
    <w:rsid w:val="0018542B"/>
    <w:rPr>
      <w:sz w:val="20"/>
    </w:rPr>
  </w:style>
  <w:style w:type="character" w:customStyle="1" w:styleId="CommentTextChar">
    <w:name w:val="Comment Text Char"/>
    <w:link w:val="CommentText"/>
    <w:uiPriority w:val="99"/>
    <w:rsid w:val="0018542B"/>
    <w:rPr>
      <w:rFonts w:eastAsiaTheme="minorHAnsi"/>
      <w:kern w:val="2"/>
    </w:rPr>
  </w:style>
  <w:style w:type="paragraph" w:styleId="CommentSubject">
    <w:name w:val="annotation subject"/>
    <w:basedOn w:val="CommentText"/>
    <w:next w:val="CommentText"/>
    <w:link w:val="CommentSubjectChar"/>
    <w:uiPriority w:val="99"/>
    <w:rsid w:val="0018542B"/>
    <w:rPr>
      <w:b/>
      <w:bCs/>
    </w:rPr>
  </w:style>
  <w:style w:type="character" w:customStyle="1" w:styleId="CommentSubjectChar">
    <w:name w:val="Comment Subject Char"/>
    <w:link w:val="CommentSubject"/>
    <w:uiPriority w:val="99"/>
    <w:rsid w:val="0018542B"/>
    <w:rPr>
      <w:rFonts w:eastAsiaTheme="minorHAnsi"/>
      <w:b/>
      <w:bCs/>
      <w:kern w:val="2"/>
    </w:rPr>
  </w:style>
  <w:style w:type="paragraph" w:customStyle="1" w:styleId="Dates">
    <w:name w:val="Dates"/>
    <w:basedOn w:val="Normal"/>
    <w:unhideWhenUsed/>
    <w:rsid w:val="0018542B"/>
    <w:pPr>
      <w:suppressAutoHyphens/>
      <w:spacing w:after="120"/>
      <w:jc w:val="center"/>
    </w:pPr>
    <w:rPr>
      <w:rFonts w:ascii="Times New Roman Bold" w:hAnsi="Times New Roman Bold"/>
      <w:b/>
      <w:caps/>
      <w:szCs w:val="22"/>
    </w:rPr>
  </w:style>
  <w:style w:type="character" w:customStyle="1" w:styleId="EndnoteTextChar">
    <w:name w:val="Endnote Text Char"/>
    <w:basedOn w:val="DefaultParagraphFont"/>
    <w:link w:val="EndnoteText"/>
    <w:semiHidden/>
    <w:rsid w:val="0018542B"/>
    <w:rPr>
      <w:rFonts w:eastAsiaTheme="minorHAnsi"/>
      <w:kern w:val="2"/>
    </w:rPr>
  </w:style>
  <w:style w:type="character" w:customStyle="1" w:styleId="FootnoteReferenceNECG">
    <w:name w:val="Footnote Reference(NECG)"/>
    <w:uiPriority w:val="99"/>
    <w:semiHidden/>
    <w:qFormat/>
    <w:rsid w:val="0018542B"/>
    <w:rPr>
      <w:rFonts w:ascii="Calibri" w:hAnsi="Calibri"/>
      <w:dstrike w:val="0"/>
      <w:color w:val="auto"/>
      <w:sz w:val="20"/>
      <w:vertAlign w:val="superscript"/>
    </w:rPr>
  </w:style>
  <w:style w:type="paragraph" w:customStyle="1" w:styleId="FootnoteTextFCC">
    <w:name w:val="Footnote Text FCC"/>
    <w:basedOn w:val="Normal"/>
    <w:autoRedefine/>
    <w:uiPriority w:val="99"/>
    <w:unhideWhenUsed/>
    <w:rsid w:val="0018542B"/>
    <w:rPr>
      <w:sz w:val="20"/>
    </w:rPr>
  </w:style>
  <w:style w:type="character" w:customStyle="1" w:styleId="HeaderChar">
    <w:name w:val="Header Char"/>
    <w:basedOn w:val="DefaultParagraphFont"/>
    <w:link w:val="Header"/>
    <w:uiPriority w:val="99"/>
    <w:rsid w:val="0018542B"/>
    <w:rPr>
      <w:rFonts w:eastAsiaTheme="minorHAnsi"/>
      <w:b/>
      <w:kern w:val="2"/>
      <w:sz w:val="22"/>
    </w:rPr>
  </w:style>
  <w:style w:type="character" w:customStyle="1" w:styleId="Heading1Char">
    <w:name w:val="Heading 1 Char"/>
    <w:basedOn w:val="DefaultParagraphFont"/>
    <w:link w:val="Heading1"/>
    <w:rsid w:val="0018542B"/>
    <w:rPr>
      <w:rFonts w:ascii="Times New Roman Bold" w:hAnsi="Times New Roman Bold"/>
      <w:b/>
      <w:caps/>
      <w:snapToGrid w:val="0"/>
      <w:kern w:val="28"/>
      <w:sz w:val="22"/>
    </w:rPr>
  </w:style>
  <w:style w:type="character" w:customStyle="1" w:styleId="Heading2Char">
    <w:name w:val="Heading 2 Char"/>
    <w:basedOn w:val="DefaultParagraphFont"/>
    <w:link w:val="Heading2"/>
    <w:rsid w:val="0018542B"/>
    <w:rPr>
      <w:b/>
      <w:snapToGrid w:val="0"/>
      <w:kern w:val="28"/>
      <w:sz w:val="22"/>
    </w:rPr>
  </w:style>
  <w:style w:type="character" w:customStyle="1" w:styleId="Heading3Char">
    <w:name w:val="Heading 3 Char"/>
    <w:basedOn w:val="DefaultParagraphFont"/>
    <w:link w:val="Heading3"/>
    <w:rsid w:val="0018542B"/>
    <w:rPr>
      <w:rFonts w:ascii="Times New Roman Bold" w:hAnsi="Times New Roman Bold"/>
      <w:b/>
      <w:snapToGrid w:val="0"/>
      <w:kern w:val="28"/>
      <w:sz w:val="22"/>
    </w:rPr>
  </w:style>
  <w:style w:type="character" w:customStyle="1" w:styleId="Heading4Char">
    <w:name w:val="Heading 4 Char"/>
    <w:basedOn w:val="DefaultParagraphFont"/>
    <w:link w:val="Heading4"/>
    <w:rsid w:val="0018542B"/>
    <w:rPr>
      <w:rFonts w:ascii="Times New Roman Bold" w:hAnsi="Times New Roman Bold"/>
      <w:b/>
      <w:snapToGrid w:val="0"/>
      <w:kern w:val="28"/>
      <w:sz w:val="22"/>
    </w:rPr>
  </w:style>
  <w:style w:type="character" w:customStyle="1" w:styleId="Heading5Char">
    <w:name w:val="Heading 5 Char"/>
    <w:basedOn w:val="DefaultParagraphFont"/>
    <w:link w:val="Heading5"/>
    <w:rsid w:val="0018542B"/>
    <w:rPr>
      <w:rFonts w:ascii="Times New Roman Bold" w:hAnsi="Times New Roman Bold"/>
      <w:b/>
      <w:snapToGrid w:val="0"/>
      <w:kern w:val="28"/>
      <w:sz w:val="22"/>
    </w:rPr>
  </w:style>
  <w:style w:type="character" w:customStyle="1" w:styleId="Heading6Char">
    <w:name w:val="Heading 6 Char"/>
    <w:basedOn w:val="DefaultParagraphFont"/>
    <w:link w:val="Heading6"/>
    <w:rsid w:val="0018542B"/>
    <w:rPr>
      <w:rFonts w:ascii="Times New Roman Bold" w:hAnsi="Times New Roman Bold"/>
      <w:b/>
      <w:snapToGrid w:val="0"/>
      <w:kern w:val="28"/>
      <w:sz w:val="22"/>
    </w:rPr>
  </w:style>
  <w:style w:type="character" w:customStyle="1" w:styleId="Heading7Char">
    <w:name w:val="Heading 7 Char"/>
    <w:basedOn w:val="DefaultParagraphFont"/>
    <w:link w:val="Heading7"/>
    <w:rsid w:val="0018542B"/>
    <w:rPr>
      <w:rFonts w:ascii="Times New Roman Bold" w:hAnsi="Times New Roman Bold"/>
      <w:b/>
      <w:snapToGrid w:val="0"/>
      <w:kern w:val="28"/>
      <w:sz w:val="22"/>
    </w:rPr>
  </w:style>
  <w:style w:type="character" w:customStyle="1" w:styleId="Heading8Char">
    <w:name w:val="Heading 8 Char"/>
    <w:basedOn w:val="DefaultParagraphFont"/>
    <w:link w:val="Heading8"/>
    <w:rsid w:val="0018542B"/>
    <w:rPr>
      <w:rFonts w:ascii="Times New Roman Bold" w:hAnsi="Times New Roman Bold"/>
      <w:b/>
      <w:snapToGrid w:val="0"/>
      <w:kern w:val="28"/>
      <w:sz w:val="22"/>
    </w:rPr>
  </w:style>
  <w:style w:type="character" w:customStyle="1" w:styleId="Heading9Char">
    <w:name w:val="Heading 9 Char"/>
    <w:basedOn w:val="DefaultParagraphFont"/>
    <w:link w:val="Heading9"/>
    <w:rsid w:val="0018542B"/>
    <w:rPr>
      <w:rFonts w:ascii="Times New Roman Bold" w:hAnsi="Times New Roman Bold"/>
      <w:b/>
      <w:snapToGrid w:val="0"/>
      <w:kern w:val="28"/>
      <w:sz w:val="22"/>
    </w:rPr>
  </w:style>
  <w:style w:type="paragraph" w:customStyle="1" w:styleId="NormalTextIndent">
    <w:name w:val="Normal Text Indent"/>
    <w:basedOn w:val="Normal"/>
    <w:uiPriority w:val="3"/>
    <w:semiHidden/>
    <w:rsid w:val="0018542B"/>
    <w:pPr>
      <w:spacing w:after="220"/>
      <w:ind w:firstLine="720"/>
    </w:pPr>
    <w:rPr>
      <w:szCs w:val="22"/>
    </w:rPr>
  </w:style>
  <w:style w:type="paragraph" w:customStyle="1" w:styleId="NIBullet">
    <w:name w:val="NI Bullet"/>
    <w:basedOn w:val="NormalTextIndent"/>
    <w:uiPriority w:val="2"/>
    <w:semiHidden/>
    <w:qFormat/>
    <w:rsid w:val="0018542B"/>
    <w:pPr>
      <w:numPr>
        <w:numId w:val="11"/>
      </w:numPr>
    </w:pPr>
  </w:style>
  <w:style w:type="paragraph" w:customStyle="1" w:styleId="NIBullet2">
    <w:name w:val="NI Bullet 2"/>
    <w:basedOn w:val="NIBullet"/>
    <w:uiPriority w:val="98"/>
    <w:rsid w:val="0018542B"/>
    <w:pPr>
      <w:numPr>
        <w:ilvl w:val="1"/>
      </w:numPr>
    </w:pPr>
  </w:style>
  <w:style w:type="paragraph" w:customStyle="1" w:styleId="NIBullet3">
    <w:name w:val="NI Bullet 3"/>
    <w:basedOn w:val="NIBullet"/>
    <w:uiPriority w:val="98"/>
    <w:rsid w:val="0018542B"/>
    <w:pPr>
      <w:numPr>
        <w:ilvl w:val="2"/>
      </w:numPr>
    </w:pPr>
  </w:style>
  <w:style w:type="paragraph" w:customStyle="1" w:styleId="NIBullet4">
    <w:name w:val="NI Bullet 4"/>
    <w:basedOn w:val="NIBullet"/>
    <w:uiPriority w:val="98"/>
    <w:unhideWhenUsed/>
    <w:rsid w:val="0018542B"/>
    <w:pPr>
      <w:numPr>
        <w:ilvl w:val="3"/>
      </w:numPr>
    </w:pPr>
  </w:style>
  <w:style w:type="paragraph" w:customStyle="1" w:styleId="NIBullet5">
    <w:name w:val="NI Bullet 5"/>
    <w:basedOn w:val="NIBullet4"/>
    <w:uiPriority w:val="98"/>
    <w:unhideWhenUsed/>
    <w:rsid w:val="0018542B"/>
    <w:pPr>
      <w:numPr>
        <w:ilvl w:val="4"/>
      </w:numPr>
    </w:pPr>
  </w:style>
  <w:style w:type="paragraph" w:customStyle="1" w:styleId="NIBullet6">
    <w:name w:val="NI Bullet 6"/>
    <w:basedOn w:val="NIBullet5"/>
    <w:uiPriority w:val="98"/>
    <w:unhideWhenUsed/>
    <w:rsid w:val="0018542B"/>
    <w:pPr>
      <w:numPr>
        <w:ilvl w:val="5"/>
      </w:numPr>
    </w:pPr>
  </w:style>
  <w:style w:type="paragraph" w:customStyle="1" w:styleId="NIBullet7">
    <w:name w:val="NI Bullet 7"/>
    <w:basedOn w:val="NIBullet6"/>
    <w:uiPriority w:val="98"/>
    <w:unhideWhenUsed/>
    <w:rsid w:val="0018542B"/>
    <w:pPr>
      <w:numPr>
        <w:ilvl w:val="6"/>
      </w:numPr>
    </w:pPr>
  </w:style>
  <w:style w:type="paragraph" w:customStyle="1" w:styleId="NIBullet8">
    <w:name w:val="NI Bullet 8"/>
    <w:basedOn w:val="NIBullet7"/>
    <w:uiPriority w:val="98"/>
    <w:unhideWhenUsed/>
    <w:rsid w:val="0018542B"/>
    <w:pPr>
      <w:numPr>
        <w:ilvl w:val="7"/>
      </w:numPr>
    </w:pPr>
  </w:style>
  <w:style w:type="paragraph" w:customStyle="1" w:styleId="NIBullet9">
    <w:name w:val="NI Bullet 9"/>
    <w:basedOn w:val="NIBullet8"/>
    <w:uiPriority w:val="98"/>
    <w:unhideWhenUsed/>
    <w:rsid w:val="0018542B"/>
    <w:pPr>
      <w:numPr>
        <w:ilvl w:val="8"/>
      </w:numPr>
    </w:pPr>
  </w:style>
  <w:style w:type="paragraph" w:customStyle="1" w:styleId="NIList">
    <w:name w:val="NI List"/>
    <w:basedOn w:val="NormalIndent"/>
    <w:uiPriority w:val="2"/>
    <w:unhideWhenUsed/>
    <w:rsid w:val="0018542B"/>
    <w:pPr>
      <w:numPr>
        <w:numId w:val="12"/>
      </w:numPr>
      <w:ind w:left="1800"/>
    </w:pPr>
  </w:style>
  <w:style w:type="paragraph" w:customStyle="1" w:styleId="NIList2">
    <w:name w:val="NI List 2"/>
    <w:basedOn w:val="NIList"/>
    <w:uiPriority w:val="98"/>
    <w:rsid w:val="0018542B"/>
    <w:pPr>
      <w:numPr>
        <w:ilvl w:val="1"/>
      </w:numPr>
      <w:ind w:left="2160"/>
    </w:pPr>
  </w:style>
  <w:style w:type="paragraph" w:customStyle="1" w:styleId="NIList3">
    <w:name w:val="NI List 3"/>
    <w:basedOn w:val="NIList"/>
    <w:uiPriority w:val="98"/>
    <w:rsid w:val="0018542B"/>
    <w:pPr>
      <w:numPr>
        <w:ilvl w:val="2"/>
      </w:numPr>
      <w:ind w:left="2520"/>
    </w:pPr>
  </w:style>
  <w:style w:type="paragraph" w:customStyle="1" w:styleId="NIList4">
    <w:name w:val="NI List 4"/>
    <w:basedOn w:val="NIList3"/>
    <w:uiPriority w:val="98"/>
    <w:unhideWhenUsed/>
    <w:rsid w:val="0018542B"/>
    <w:pPr>
      <w:numPr>
        <w:ilvl w:val="3"/>
      </w:numPr>
      <w:ind w:left="2880"/>
    </w:pPr>
  </w:style>
  <w:style w:type="paragraph" w:customStyle="1" w:styleId="NIList5">
    <w:name w:val="NI List 5"/>
    <w:basedOn w:val="NIList4"/>
    <w:uiPriority w:val="98"/>
    <w:unhideWhenUsed/>
    <w:rsid w:val="0018542B"/>
    <w:pPr>
      <w:numPr>
        <w:ilvl w:val="4"/>
      </w:numPr>
      <w:ind w:left="3240"/>
    </w:pPr>
  </w:style>
  <w:style w:type="paragraph" w:customStyle="1" w:styleId="NIList6">
    <w:name w:val="NI List 6"/>
    <w:basedOn w:val="NIList5"/>
    <w:uiPriority w:val="98"/>
    <w:unhideWhenUsed/>
    <w:rsid w:val="0018542B"/>
    <w:pPr>
      <w:numPr>
        <w:ilvl w:val="5"/>
      </w:numPr>
      <w:ind w:left="3600"/>
    </w:pPr>
  </w:style>
  <w:style w:type="paragraph" w:customStyle="1" w:styleId="NIList7">
    <w:name w:val="NI List 7"/>
    <w:basedOn w:val="NIList6"/>
    <w:uiPriority w:val="98"/>
    <w:unhideWhenUsed/>
    <w:rsid w:val="0018542B"/>
    <w:pPr>
      <w:numPr>
        <w:ilvl w:val="6"/>
      </w:numPr>
      <w:ind w:left="3960"/>
    </w:pPr>
  </w:style>
  <w:style w:type="paragraph" w:customStyle="1" w:styleId="NIList8">
    <w:name w:val="NI List 8"/>
    <w:basedOn w:val="NIList7"/>
    <w:uiPriority w:val="98"/>
    <w:unhideWhenUsed/>
    <w:rsid w:val="0018542B"/>
    <w:pPr>
      <w:numPr>
        <w:ilvl w:val="7"/>
      </w:numPr>
      <w:ind w:left="4320"/>
    </w:pPr>
  </w:style>
  <w:style w:type="paragraph" w:customStyle="1" w:styleId="NIList9">
    <w:name w:val="NI List 9"/>
    <w:basedOn w:val="NIList8"/>
    <w:uiPriority w:val="98"/>
    <w:unhideWhenUsed/>
    <w:rsid w:val="0018542B"/>
    <w:pPr>
      <w:numPr>
        <w:ilvl w:val="8"/>
      </w:numPr>
      <w:ind w:left="4680"/>
    </w:pPr>
  </w:style>
  <w:style w:type="paragraph" w:customStyle="1" w:styleId="NormalBold">
    <w:name w:val="Normal Bold"/>
    <w:basedOn w:val="Normal"/>
    <w:next w:val="Normal"/>
    <w:uiPriority w:val="1"/>
    <w:semiHidden/>
    <w:qFormat/>
    <w:rsid w:val="0018542B"/>
    <w:rPr>
      <w:b/>
    </w:rPr>
  </w:style>
  <w:style w:type="paragraph" w:customStyle="1" w:styleId="NormalCenteredBold">
    <w:name w:val="Normal Centered Bold"/>
    <w:basedOn w:val="Normal"/>
    <w:next w:val="Normal"/>
    <w:uiPriority w:val="1"/>
    <w:semiHidden/>
    <w:qFormat/>
    <w:rsid w:val="0018542B"/>
    <w:pPr>
      <w:jc w:val="center"/>
    </w:pPr>
    <w:rPr>
      <w:rFonts w:eastAsia="Calibri"/>
      <w:b/>
      <w:kern w:val="0"/>
      <w:szCs w:val="22"/>
    </w:rPr>
  </w:style>
  <w:style w:type="paragraph" w:customStyle="1" w:styleId="ParaText">
    <w:name w:val="Para Text"/>
    <w:basedOn w:val="Normal"/>
    <w:next w:val="Normal"/>
    <w:uiPriority w:val="99"/>
    <w:semiHidden/>
    <w:qFormat/>
    <w:rsid w:val="0018542B"/>
    <w:pPr>
      <w:ind w:left="720" w:right="720"/>
    </w:pPr>
  </w:style>
  <w:style w:type="paragraph" w:customStyle="1" w:styleId="ParaNumBullet">
    <w:name w:val="ParaNum Bullet"/>
    <w:basedOn w:val="ParaNum"/>
    <w:uiPriority w:val="2"/>
    <w:semiHidden/>
    <w:qFormat/>
    <w:rsid w:val="0018542B"/>
    <w:pPr>
      <w:numPr>
        <w:numId w:val="14"/>
      </w:numPr>
      <w:ind w:left="1800"/>
    </w:pPr>
  </w:style>
  <w:style w:type="paragraph" w:customStyle="1" w:styleId="ReferenceLine">
    <w:name w:val="Reference Line"/>
    <w:basedOn w:val="FootnoteText"/>
    <w:next w:val="NormalIndent"/>
    <w:uiPriority w:val="96"/>
    <w:rsid w:val="0018542B"/>
  </w:style>
  <w:style w:type="paragraph" w:customStyle="1" w:styleId="SeparateStatementHeading">
    <w:name w:val="Separate Statement Heading"/>
    <w:basedOn w:val="TitleCAPSCenteredBold"/>
    <w:next w:val="Normal"/>
    <w:uiPriority w:val="96"/>
    <w:rsid w:val="0018542B"/>
  </w:style>
  <w:style w:type="paragraph" w:customStyle="1" w:styleId="SeparateStatementPosition">
    <w:name w:val="Separate Statement Position"/>
    <w:basedOn w:val="TitleCAPSCenteredBold"/>
    <w:next w:val="ReferenceLine"/>
    <w:uiPriority w:val="96"/>
    <w:rsid w:val="0018542B"/>
    <w:pPr>
      <w:spacing w:after="120"/>
    </w:pPr>
  </w:style>
  <w:style w:type="paragraph" w:customStyle="1" w:styleId="Signature-Lines">
    <w:name w:val="Signature - Lines"/>
    <w:basedOn w:val="Normal"/>
    <w:uiPriority w:val="95"/>
    <w:rsid w:val="0018542B"/>
    <w:rPr>
      <w:rFonts w:eastAsia="Calibri"/>
      <w:caps/>
      <w:szCs w:val="22"/>
    </w:rPr>
  </w:style>
  <w:style w:type="paragraph" w:customStyle="1" w:styleId="SignatureFCC">
    <w:name w:val="Signature FCC"/>
    <w:basedOn w:val="Normal"/>
    <w:next w:val="Normal"/>
    <w:uiPriority w:val="99"/>
    <w:semiHidden/>
    <w:rsid w:val="0018542B"/>
    <w:pPr>
      <w:widowControl w:val="0"/>
      <w:ind w:left="4320"/>
    </w:pPr>
    <w:rPr>
      <w:caps/>
      <w:szCs w:val="22"/>
    </w:rPr>
  </w:style>
  <w:style w:type="paragraph" w:customStyle="1" w:styleId="Signature-AgencyName">
    <w:name w:val="Signature - Agency Name"/>
    <w:basedOn w:val="Normal"/>
    <w:uiPriority w:val="95"/>
    <w:qFormat/>
    <w:rsid w:val="0018542B"/>
    <w:pPr>
      <w:keepNext/>
      <w:ind w:left="4320"/>
    </w:pPr>
    <w:rPr>
      <w:rFonts w:eastAsia="Calibri"/>
      <w:szCs w:val="22"/>
    </w:rPr>
  </w:style>
  <w:style w:type="paragraph" w:customStyle="1" w:styleId="Space6">
    <w:name w:val="Space 6"/>
    <w:basedOn w:val="Header"/>
    <w:uiPriority w:val="1"/>
    <w:semiHidden/>
    <w:rsid w:val="0018542B"/>
    <w:rPr>
      <w:sz w:val="12"/>
    </w:rPr>
  </w:style>
  <w:style w:type="numbering" w:customStyle="1" w:styleId="Style1">
    <w:name w:val="Style1"/>
    <w:uiPriority w:val="99"/>
    <w:rsid w:val="0018542B"/>
    <w:pPr>
      <w:numPr>
        <w:numId w:val="13"/>
      </w:numPr>
    </w:pPr>
  </w:style>
  <w:style w:type="numbering" w:customStyle="1" w:styleId="Style2">
    <w:name w:val="Style2"/>
    <w:uiPriority w:val="99"/>
    <w:rsid w:val="0018542B"/>
    <w:pPr>
      <w:numPr>
        <w:numId w:val="12"/>
      </w:numPr>
    </w:pPr>
  </w:style>
  <w:style w:type="table" w:styleId="TableGrid">
    <w:name w:val="Table Grid"/>
    <w:basedOn w:val="TableNormal"/>
    <w:uiPriority w:val="39"/>
    <w:rsid w:val="0018542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old">
    <w:name w:val="Title Bold"/>
    <w:basedOn w:val="Normal"/>
    <w:next w:val="Normal"/>
    <w:uiPriority w:val="99"/>
    <w:semiHidden/>
    <w:qFormat/>
    <w:rsid w:val="0018542B"/>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18542B"/>
    <w:pPr>
      <w:tabs>
        <w:tab w:val="left" w:pos="720"/>
        <w:tab w:val="right" w:pos="9360"/>
      </w:tabs>
      <w:suppressAutoHyphens/>
      <w:jc w:val="center"/>
    </w:pPr>
    <w:rPr>
      <w:b/>
      <w:spacing w:val="-2"/>
    </w:rPr>
  </w:style>
  <w:style w:type="paragraph" w:customStyle="1" w:styleId="TOCAppendix">
    <w:name w:val="TOC Appendix"/>
    <w:basedOn w:val="Normal"/>
    <w:uiPriority w:val="99"/>
    <w:semiHidden/>
    <w:rsid w:val="0018542B"/>
    <w:pPr>
      <w:widowControl w:val="0"/>
      <w:tabs>
        <w:tab w:val="center" w:pos="9270"/>
      </w:tabs>
    </w:pPr>
    <w:rPr>
      <w:rFonts w:ascii="Calibri Light" w:hAnsi="Calibri Light"/>
      <w:spacing w:val="-2"/>
    </w:rPr>
  </w:style>
  <w:style w:type="paragraph" w:styleId="TOCHeading">
    <w:name w:val="TOC Heading"/>
    <w:basedOn w:val="Heading1"/>
    <w:next w:val="Normal"/>
    <w:uiPriority w:val="39"/>
    <w:semiHidden/>
    <w:qFormat/>
    <w:rsid w:val="0018542B"/>
    <w:pPr>
      <w:suppressAutoHyphens w:val="0"/>
      <w:spacing w:before="240" w:line="259" w:lineRule="auto"/>
      <w:outlineLvl w:val="9"/>
    </w:pPr>
    <w:rPr>
      <w:rFonts w:asciiTheme="majorHAnsi" w:eastAsiaTheme="majorEastAsia" w:hAnsiTheme="majorHAnsi" w:cstheme="majorBidi"/>
      <w:b w:val="0"/>
      <w:caps w:val="0"/>
      <w:snapToGrid/>
      <w:color w:val="0F4761" w:themeColor="accent1" w:themeShade="BF"/>
      <w:kern w:val="0"/>
      <w:sz w:val="32"/>
      <w:szCs w:val="32"/>
    </w:rPr>
  </w:style>
  <w:style w:type="paragraph" w:customStyle="1" w:styleId="TOCParaTitle">
    <w:name w:val="TOC Para Title"/>
    <w:basedOn w:val="Normal"/>
    <w:next w:val="Normal"/>
    <w:autoRedefine/>
    <w:uiPriority w:val="99"/>
    <w:semiHidden/>
    <w:rsid w:val="0018542B"/>
    <w:pPr>
      <w:widowControl w:val="0"/>
      <w:tabs>
        <w:tab w:val="center" w:pos="9270"/>
      </w:tabs>
      <w:spacing w:after="240"/>
    </w:pPr>
  </w:style>
  <w:style w:type="paragraph" w:customStyle="1" w:styleId="TOCSubtitlePlain">
    <w:name w:val="TOC Subtitle Plain"/>
    <w:basedOn w:val="Normal"/>
    <w:next w:val="Normal"/>
    <w:uiPriority w:val="99"/>
    <w:semiHidden/>
    <w:rsid w:val="0018542B"/>
    <w:pPr>
      <w:tabs>
        <w:tab w:val="center" w:pos="9270"/>
      </w:tabs>
    </w:pPr>
    <w:rPr>
      <w:spacing w:val="-2"/>
    </w:rPr>
  </w:style>
  <w:style w:type="paragraph" w:customStyle="1" w:styleId="AppendixParaNum">
    <w:name w:val="Appendix ParaNum"/>
    <w:basedOn w:val="ParaNum"/>
    <w:uiPriority w:val="3"/>
    <w:semiHidden/>
    <w:rsid w:val="0018542B"/>
    <w:pPr>
      <w:widowControl w:val="0"/>
      <w:numPr>
        <w:ilvl w:val="6"/>
        <w:numId w:val="10"/>
      </w:numPr>
      <w:ind w:left="0" w:firstLine="720"/>
    </w:pPr>
  </w:style>
  <w:style w:type="paragraph" w:customStyle="1" w:styleId="ParaNumBullet2">
    <w:name w:val="ParaNum Bullet 2"/>
    <w:basedOn w:val="ParaNumBullet"/>
    <w:uiPriority w:val="97"/>
    <w:rsid w:val="0018542B"/>
    <w:pPr>
      <w:numPr>
        <w:ilvl w:val="1"/>
      </w:numPr>
      <w:ind w:left="2160"/>
    </w:pPr>
  </w:style>
  <w:style w:type="paragraph" w:customStyle="1" w:styleId="ParaNumBullet3">
    <w:name w:val="ParaNum Bullet 3"/>
    <w:basedOn w:val="ParaNumBullet"/>
    <w:uiPriority w:val="97"/>
    <w:rsid w:val="0018542B"/>
    <w:pPr>
      <w:numPr>
        <w:ilvl w:val="2"/>
      </w:numPr>
      <w:ind w:left="2520"/>
    </w:pPr>
  </w:style>
  <w:style w:type="paragraph" w:customStyle="1" w:styleId="ParaNumBullet4">
    <w:name w:val="ParaNum Bullet 4"/>
    <w:basedOn w:val="ParaNumBullet"/>
    <w:uiPriority w:val="97"/>
    <w:rsid w:val="0018542B"/>
    <w:pPr>
      <w:numPr>
        <w:ilvl w:val="3"/>
      </w:numPr>
    </w:pPr>
  </w:style>
  <w:style w:type="paragraph" w:customStyle="1" w:styleId="ParaNumBullet5">
    <w:name w:val="ParaNum Bullet 5"/>
    <w:basedOn w:val="ParaNumBullet4"/>
    <w:uiPriority w:val="97"/>
    <w:rsid w:val="0018542B"/>
    <w:pPr>
      <w:numPr>
        <w:ilvl w:val="4"/>
      </w:numPr>
      <w:ind w:left="3240"/>
    </w:pPr>
  </w:style>
  <w:style w:type="paragraph" w:customStyle="1" w:styleId="ParaNumBullet6">
    <w:name w:val="ParaNum Bullet 6"/>
    <w:basedOn w:val="ParaNumBullet5"/>
    <w:uiPriority w:val="97"/>
    <w:rsid w:val="0018542B"/>
    <w:pPr>
      <w:numPr>
        <w:ilvl w:val="5"/>
      </w:numPr>
      <w:ind w:left="3600"/>
    </w:pPr>
  </w:style>
  <w:style w:type="paragraph" w:customStyle="1" w:styleId="ParaNumBullet7">
    <w:name w:val="ParaNum Bullet 7"/>
    <w:basedOn w:val="ParaNumBullet6"/>
    <w:uiPriority w:val="97"/>
    <w:rsid w:val="0018542B"/>
    <w:pPr>
      <w:numPr>
        <w:ilvl w:val="6"/>
      </w:numPr>
      <w:ind w:left="3960"/>
    </w:pPr>
  </w:style>
  <w:style w:type="paragraph" w:customStyle="1" w:styleId="ParaNumBullet8">
    <w:name w:val="ParaNum Bullet 8"/>
    <w:basedOn w:val="ParaNumBullet7"/>
    <w:uiPriority w:val="97"/>
    <w:rsid w:val="0018542B"/>
    <w:pPr>
      <w:numPr>
        <w:ilvl w:val="7"/>
      </w:numPr>
      <w:ind w:left="4320"/>
    </w:pPr>
  </w:style>
  <w:style w:type="paragraph" w:customStyle="1" w:styleId="ParaNumBullet9">
    <w:name w:val="ParaNum Bullet 9"/>
    <w:basedOn w:val="ParaNumBullet"/>
    <w:uiPriority w:val="97"/>
    <w:rsid w:val="0018542B"/>
    <w:pPr>
      <w:numPr>
        <w:ilvl w:val="8"/>
      </w:numPr>
      <w:ind w:left="4680"/>
    </w:pPr>
  </w:style>
  <w:style w:type="paragraph" w:customStyle="1" w:styleId="ParaNumLevel2">
    <w:name w:val="ParaNum Level 2"/>
    <w:basedOn w:val="ParaNum"/>
    <w:uiPriority w:val="2"/>
    <w:semiHidden/>
    <w:qFormat/>
    <w:rsid w:val="0018542B"/>
    <w:pPr>
      <w:numPr>
        <w:ilvl w:val="1"/>
      </w:numPr>
    </w:pPr>
  </w:style>
  <w:style w:type="paragraph" w:customStyle="1" w:styleId="ParaNumLevel3">
    <w:name w:val="ParaNum Level 3"/>
    <w:basedOn w:val="ParaNum"/>
    <w:uiPriority w:val="97"/>
    <w:rsid w:val="0018542B"/>
    <w:pPr>
      <w:numPr>
        <w:ilvl w:val="2"/>
      </w:numPr>
    </w:pPr>
  </w:style>
  <w:style w:type="paragraph" w:customStyle="1" w:styleId="ParaNumLevel4">
    <w:name w:val="ParaNum Level 4"/>
    <w:basedOn w:val="ParaNum"/>
    <w:uiPriority w:val="97"/>
    <w:rsid w:val="0018542B"/>
    <w:pPr>
      <w:numPr>
        <w:ilvl w:val="3"/>
      </w:numPr>
    </w:pPr>
  </w:style>
  <w:style w:type="paragraph" w:customStyle="1" w:styleId="ParaNumLevel5">
    <w:name w:val="ParaNum Level 5"/>
    <w:basedOn w:val="ParaNum"/>
    <w:uiPriority w:val="97"/>
    <w:rsid w:val="0018542B"/>
    <w:pPr>
      <w:numPr>
        <w:ilvl w:val="4"/>
      </w:numPr>
    </w:pPr>
  </w:style>
  <w:style w:type="paragraph" w:customStyle="1" w:styleId="ParaNumLevel6">
    <w:name w:val="ParaNum Level 6"/>
    <w:basedOn w:val="ParaNum"/>
    <w:uiPriority w:val="97"/>
    <w:rsid w:val="0018542B"/>
    <w:pPr>
      <w:numPr>
        <w:ilvl w:val="5"/>
      </w:numPr>
    </w:pPr>
  </w:style>
  <w:style w:type="paragraph" w:customStyle="1" w:styleId="ParaNumLevel7">
    <w:name w:val="ParaNum Level 7"/>
    <w:basedOn w:val="ParaNum"/>
    <w:uiPriority w:val="97"/>
    <w:rsid w:val="0018542B"/>
    <w:pPr>
      <w:numPr>
        <w:ilvl w:val="6"/>
      </w:numPr>
    </w:pPr>
  </w:style>
  <w:style w:type="paragraph" w:customStyle="1" w:styleId="ParaNumLevel8">
    <w:name w:val="ParaNum Level 8"/>
    <w:basedOn w:val="ParaNum"/>
    <w:uiPriority w:val="97"/>
    <w:rsid w:val="0018542B"/>
    <w:pPr>
      <w:numPr>
        <w:ilvl w:val="7"/>
      </w:numPr>
    </w:pPr>
  </w:style>
  <w:style w:type="paragraph" w:customStyle="1" w:styleId="ParaNumLevel9">
    <w:name w:val="ParaNum Level 9"/>
    <w:basedOn w:val="ParaNum"/>
    <w:uiPriority w:val="97"/>
    <w:rsid w:val="0018542B"/>
    <w:pPr>
      <w:numPr>
        <w:ilvl w:val="8"/>
      </w:numPr>
    </w:pPr>
  </w:style>
  <w:style w:type="numbering" w:customStyle="1" w:styleId="PNOrderedList">
    <w:name w:val="PN Ordered List"/>
    <w:uiPriority w:val="99"/>
    <w:rsid w:val="0018542B"/>
    <w:pPr>
      <w:numPr>
        <w:numId w:val="16"/>
      </w:numPr>
    </w:pPr>
  </w:style>
  <w:style w:type="paragraph" w:customStyle="1" w:styleId="Header2">
    <w:name w:val="Header2"/>
    <w:basedOn w:val="Header"/>
    <w:next w:val="ParaNum"/>
    <w:autoRedefine/>
    <w:uiPriority w:val="2"/>
    <w:rsid w:val="0018542B"/>
    <w:pPr>
      <w:keepLines/>
      <w:jc w:val="right"/>
    </w:pPr>
    <w:rPr>
      <w:rFonts w:ascii="Times New Roman Bold" w:hAnsi="Times New Roman Bold"/>
    </w:rPr>
  </w:style>
  <w:style w:type="paragraph" w:customStyle="1" w:styleId="SubjectMatterIntro-Left">
    <w:name w:val="Subject Matter Intro-Left"/>
    <w:basedOn w:val="Normal"/>
    <w:autoRedefine/>
    <w:uiPriority w:val="2"/>
    <w:rsid w:val="0018542B"/>
    <w:pPr>
      <w:spacing w:after="240"/>
      <w:ind w:right="432"/>
    </w:pPr>
  </w:style>
  <w:style w:type="paragraph" w:customStyle="1" w:styleId="SubjectMatterIntro-Right">
    <w:name w:val="Subject Matter Intro-Right"/>
    <w:basedOn w:val="Normal"/>
    <w:autoRedefine/>
    <w:uiPriority w:val="2"/>
    <w:rsid w:val="0018542B"/>
    <w:pPr>
      <w:spacing w:after="240"/>
      <w:ind w:left="432"/>
    </w:pPr>
  </w:style>
  <w:style w:type="paragraph" w:customStyle="1" w:styleId="OrderHead">
    <w:name w:val="Order Head"/>
    <w:basedOn w:val="Normal"/>
    <w:semiHidden/>
    <w:qFormat/>
    <w:rsid w:val="0018542B"/>
    <w:pPr>
      <w:tabs>
        <w:tab w:val="center" w:pos="4680"/>
        <w:tab w:val="right" w:pos="9360"/>
      </w:tabs>
      <w:spacing w:before="240" w:after="320"/>
    </w:pPr>
    <w:rPr>
      <w:rFonts w:ascii="Times New Roman Bold" w:hAnsi="Times New Roman Bold"/>
      <w:b/>
      <w:bCs/>
      <w:u w:val="single"/>
    </w:rPr>
  </w:style>
  <w:style w:type="character" w:styleId="FollowedHyperlink">
    <w:name w:val="FollowedHyperlink"/>
    <w:basedOn w:val="DefaultParagraphFont"/>
    <w:uiPriority w:val="99"/>
    <w:unhideWhenUsed/>
    <w:rsid w:val="0018542B"/>
    <w:rPr>
      <w:color w:val="0000FF"/>
      <w:u w:val="single"/>
    </w:rPr>
  </w:style>
  <w:style w:type="paragraph" w:customStyle="1" w:styleId="Adopted">
    <w:name w:val="Adopted:"/>
    <w:basedOn w:val="Normal"/>
    <w:next w:val="Normal"/>
    <w:unhideWhenUsed/>
    <w:rsid w:val="0018542B"/>
    <w:pPr>
      <w:tabs>
        <w:tab w:val="left" w:pos="720"/>
        <w:tab w:val="right" w:pos="9360"/>
      </w:tabs>
      <w:suppressAutoHyphens/>
      <w:spacing w:after="240"/>
    </w:pPr>
    <w:rPr>
      <w:b/>
      <w:spacing w:val="-2"/>
    </w:rPr>
  </w:style>
  <w:style w:type="paragraph" w:customStyle="1" w:styleId="Released">
    <w:name w:val="Released:"/>
    <w:basedOn w:val="Adopted"/>
    <w:next w:val="Normal"/>
    <w:autoRedefine/>
    <w:uiPriority w:val="2"/>
    <w:unhideWhenUsed/>
    <w:rsid w:val="0018542B"/>
    <w:pPr>
      <w:spacing w:after="0"/>
      <w:jc w:val="right"/>
    </w:pPr>
  </w:style>
  <w:style w:type="paragraph" w:customStyle="1" w:styleId="CommentReplyCommentDate">
    <w:name w:val="Comment/Reply Comment Date"/>
    <w:basedOn w:val="Normal"/>
    <w:next w:val="Normal"/>
    <w:autoRedefine/>
    <w:unhideWhenUsed/>
    <w:rsid w:val="0018542B"/>
    <w:pPr>
      <w:tabs>
        <w:tab w:val="left" w:pos="720"/>
        <w:tab w:val="right" w:pos="9360"/>
      </w:tabs>
      <w:suppressAutoHyphens/>
    </w:pPr>
    <w:rPr>
      <w:b/>
      <w:bCs/>
      <w:spacing w:val="-2"/>
    </w:rPr>
  </w:style>
  <w:style w:type="paragraph" w:customStyle="1" w:styleId="AppendixSubtitle">
    <w:name w:val="Appendix Subtitle"/>
    <w:basedOn w:val="AppendixHeading"/>
    <w:next w:val="Normal"/>
    <w:link w:val="AppendixSubtitleChar"/>
    <w:uiPriority w:val="1"/>
    <w:qFormat/>
    <w:rsid w:val="0018542B"/>
    <w:pPr>
      <w:spacing w:after="240"/>
    </w:pPr>
    <w:rPr>
      <w:caps w:val="0"/>
    </w:rPr>
  </w:style>
  <w:style w:type="character" w:customStyle="1" w:styleId="NormalIndentChar">
    <w:name w:val="Normal Indent Char"/>
    <w:basedOn w:val="DefaultParagraphFont"/>
    <w:link w:val="NormalIndent"/>
    <w:uiPriority w:val="1"/>
    <w:rsid w:val="0018542B"/>
    <w:rPr>
      <w:rFonts w:eastAsiaTheme="minorHAnsi"/>
      <w:kern w:val="2"/>
      <w:sz w:val="22"/>
    </w:rPr>
  </w:style>
  <w:style w:type="character" w:customStyle="1" w:styleId="AppendixSubtitleChar">
    <w:name w:val="Appendix Subtitle Char"/>
    <w:basedOn w:val="NormalIndentChar"/>
    <w:link w:val="AppendixSubtitle"/>
    <w:uiPriority w:val="1"/>
    <w:rsid w:val="0018542B"/>
    <w:rPr>
      <w:rFonts w:ascii="Times New Roman Bold" w:hAnsi="Times New Roman Bold" w:eastAsiaTheme="minorHAnsi"/>
      <w:b/>
      <w:kern w:val="2"/>
      <w:sz w:val="22"/>
      <w:szCs w:val="22"/>
    </w:rPr>
  </w:style>
  <w:style w:type="paragraph" w:customStyle="1" w:styleId="RulesAppendixItem">
    <w:name w:val="Rules Appendix Item"/>
    <w:basedOn w:val="Normal"/>
    <w:next w:val="Normal"/>
    <w:link w:val="RulesAppendixItemChar"/>
    <w:uiPriority w:val="2"/>
    <w:semiHidden/>
    <w:qFormat/>
    <w:rsid w:val="0018542B"/>
    <w:pPr>
      <w:spacing w:after="240"/>
    </w:pPr>
    <w:rPr>
      <w:rFonts w:ascii="Times New Roman Bold" w:hAnsi="Times New Roman Bold"/>
      <w:b/>
      <w:bCs/>
      <w:caps/>
      <w:szCs w:val="22"/>
    </w:rPr>
  </w:style>
  <w:style w:type="character" w:customStyle="1" w:styleId="RulesAppendixItemChar">
    <w:name w:val="Rules Appendix Item Char"/>
    <w:basedOn w:val="DefaultParagraphFont"/>
    <w:link w:val="RulesAppendixItem"/>
    <w:uiPriority w:val="2"/>
    <w:semiHidden/>
    <w:rsid w:val="0018542B"/>
    <w:rPr>
      <w:rFonts w:ascii="Times New Roman Bold" w:hAnsi="Times New Roman Bold" w:eastAsiaTheme="minorHAnsi"/>
      <w:b/>
      <w:bCs/>
      <w:caps/>
      <w:kern w:val="2"/>
      <w:sz w:val="22"/>
      <w:szCs w:val="22"/>
    </w:rPr>
  </w:style>
  <w:style w:type="paragraph" w:customStyle="1" w:styleId="IRFAFRFAAppendixSubtitle">
    <w:name w:val="IRFA/FRFA Appendix Subtitle"/>
    <w:basedOn w:val="AppendixHeading"/>
    <w:link w:val="IRFAFRFAAppendixSubtitleChar"/>
    <w:uiPriority w:val="3"/>
    <w:semiHidden/>
    <w:qFormat/>
    <w:rsid w:val="0018542B"/>
  </w:style>
  <w:style w:type="character" w:customStyle="1" w:styleId="TitleCenteredBoldChar">
    <w:name w:val="Title Centered Bold Char"/>
    <w:basedOn w:val="DefaultParagraphFont"/>
    <w:link w:val="TitleCenteredBold"/>
    <w:uiPriority w:val="99"/>
    <w:semiHidden/>
    <w:rsid w:val="0018542B"/>
    <w:rPr>
      <w:rFonts w:eastAsiaTheme="minorHAnsi"/>
      <w:b/>
      <w:sz w:val="22"/>
      <w:szCs w:val="22"/>
    </w:rPr>
  </w:style>
  <w:style w:type="character" w:customStyle="1" w:styleId="AgencyChar">
    <w:name w:val="Agency Char"/>
    <w:basedOn w:val="TitleCenteredBoldChar"/>
    <w:link w:val="Agency"/>
    <w:rsid w:val="0018542B"/>
    <w:rPr>
      <w:rFonts w:eastAsiaTheme="minorHAnsi"/>
      <w:b/>
      <w:sz w:val="22"/>
      <w:szCs w:val="22"/>
    </w:rPr>
  </w:style>
  <w:style w:type="character" w:customStyle="1" w:styleId="AppendixHeadingChar">
    <w:name w:val="Appendix Heading Char"/>
    <w:basedOn w:val="AgencyChar"/>
    <w:link w:val="AppendixHeading"/>
    <w:uiPriority w:val="1"/>
    <w:rsid w:val="0018542B"/>
    <w:rPr>
      <w:rFonts w:ascii="Times New Roman Bold" w:hAnsi="Times New Roman Bold" w:eastAsiaTheme="minorHAnsi"/>
      <w:b/>
      <w:caps/>
      <w:kern w:val="2"/>
      <w:sz w:val="22"/>
      <w:szCs w:val="22"/>
    </w:rPr>
  </w:style>
  <w:style w:type="character" w:customStyle="1" w:styleId="IRFAFRFAAppendixSubtitleChar">
    <w:name w:val="IRFA/FRFA Appendix Subtitle Char"/>
    <w:basedOn w:val="AppendixHeadingChar"/>
    <w:link w:val="IRFAFRFAAppendixSubtitle"/>
    <w:uiPriority w:val="3"/>
    <w:semiHidden/>
    <w:rsid w:val="0018542B"/>
    <w:rPr>
      <w:rFonts w:ascii="Times New Roman Bold" w:hAnsi="Times New Roman Bold" w:eastAsiaTheme="minorHAnsi"/>
      <w:b/>
      <w:caps/>
      <w:kern w:val="2"/>
      <w:sz w:val="22"/>
      <w:szCs w:val="22"/>
    </w:rPr>
  </w:style>
  <w:style w:type="paragraph" w:customStyle="1" w:styleId="H2ParaNum">
    <w:name w:val="H2 ParaNum"/>
    <w:basedOn w:val="ParaNum"/>
    <w:link w:val="H2ParaNumChar"/>
    <w:autoRedefine/>
    <w:uiPriority w:val="2"/>
    <w:unhideWhenUsed/>
    <w:rsid w:val="0018542B"/>
    <w:pPr>
      <w:ind w:left="1440" w:hanging="720"/>
    </w:pPr>
  </w:style>
  <w:style w:type="character" w:customStyle="1" w:styleId="H2ParaNumChar">
    <w:name w:val="H2 ParaNum Char"/>
    <w:basedOn w:val="ParaNumChar"/>
    <w:link w:val="H2ParaNum"/>
    <w:uiPriority w:val="2"/>
    <w:rsid w:val="0018542B"/>
    <w:rPr>
      <w:rFonts w:eastAsiaTheme="minorHAnsi"/>
      <w:kern w:val="2"/>
      <w:sz w:val="22"/>
    </w:rPr>
  </w:style>
  <w:style w:type="paragraph" w:styleId="Revision">
    <w:name w:val="Revision"/>
    <w:hidden/>
    <w:uiPriority w:val="99"/>
    <w:semiHidden/>
    <w:rsid w:val="0018542B"/>
    <w:rPr>
      <w:rFonts w:eastAsiaTheme="minorHAnsi"/>
      <w:kern w:val="2"/>
      <w:sz w:val="22"/>
    </w:rPr>
  </w:style>
  <w:style w:type="paragraph" w:customStyle="1" w:styleId="Footnote">
    <w:name w:val="Footnote"/>
    <w:basedOn w:val="FootnoteText"/>
    <w:next w:val="FootnoteText"/>
    <w:uiPriority w:val="3"/>
    <w:semiHidden/>
    <w:rsid w:val="0018542B"/>
  </w:style>
  <w:style w:type="paragraph" w:styleId="Title">
    <w:name w:val="Title"/>
    <w:basedOn w:val="OrderHead"/>
    <w:next w:val="Normal"/>
    <w:link w:val="TitleChar"/>
    <w:qFormat/>
    <w:rsid w:val="0018542B"/>
    <w:pPr>
      <w:jc w:val="center"/>
    </w:pPr>
    <w:rPr>
      <w:u w:val="none"/>
    </w:rPr>
  </w:style>
  <w:style w:type="character" w:customStyle="1" w:styleId="TitleChar">
    <w:name w:val="Title Char"/>
    <w:basedOn w:val="DefaultParagraphFont"/>
    <w:link w:val="Title"/>
    <w:rsid w:val="0018542B"/>
    <w:rPr>
      <w:rFonts w:ascii="Times New Roman Bold" w:hAnsi="Times New Roman Bold" w:eastAsiaTheme="minorHAnsi"/>
      <w:b/>
      <w:bCs/>
      <w:kern w:val="2"/>
      <w:sz w:val="22"/>
    </w:rPr>
  </w:style>
  <w:style w:type="paragraph" w:customStyle="1" w:styleId="BlockQuote">
    <w:name w:val="Block Quote"/>
    <w:basedOn w:val="ParaNum"/>
    <w:next w:val="ParaNum"/>
    <w:uiPriority w:val="1"/>
    <w:qFormat/>
    <w:rsid w:val="0018542B"/>
    <w:pPr>
      <w:numPr>
        <w:numId w:val="0"/>
      </w:numPr>
      <w:ind w:left="720" w:right="720"/>
    </w:pPr>
  </w:style>
  <w:style w:type="paragraph" w:customStyle="1" w:styleId="Heading">
    <w:name w:val="Heading"/>
    <w:basedOn w:val="Normal"/>
    <w:next w:val="Normal"/>
    <w:uiPriority w:val="1"/>
    <w:qFormat/>
    <w:rsid w:val="0018542B"/>
    <w:pPr>
      <w:keepNext/>
      <w:jc w:val="center"/>
    </w:pPr>
    <w:rPr>
      <w:rFonts w:ascii="Times New Roman Bold" w:hAnsi="Times New Roman Bold"/>
      <w:b/>
      <w:bCs/>
      <w:caps/>
      <w:szCs w:val="22"/>
    </w:rPr>
  </w:style>
  <w:style w:type="paragraph" w:customStyle="1" w:styleId="DocType">
    <w:name w:val="Doc Type"/>
    <w:basedOn w:val="Normal"/>
    <w:uiPriority w:val="1"/>
    <w:qFormat/>
    <w:rsid w:val="0018542B"/>
    <w:pPr>
      <w:spacing w:after="240"/>
      <w:jc w:val="center"/>
    </w:pPr>
    <w:rPr>
      <w:rFonts w:ascii="Times New Roman Bold" w:hAnsi="Times New Roman Bold"/>
      <w:b/>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ARINQUIRES@fcc.gov" TargetMode="External" /><Relationship Id="rId11" Type="http://schemas.openxmlformats.org/officeDocument/2006/relationships/hyperlink" Target="mailto:ricky@spatialhover.com"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EB-SED-Response@fcc.gov" TargetMode="External" /><Relationship Id="rId7" Type="http://schemas.openxmlformats.org/officeDocument/2006/relationships/hyperlink" Target="https://apps.fcc.gov/cores/userLogin.do" TargetMode="External" /><Relationship Id="rId8" Type="http://schemas.openxmlformats.org/officeDocument/2006/relationships/hyperlink" Target="mailto:RROGWireFaxes@fcc.gov" TargetMode="External" /><Relationship Id="rId9" Type="http://schemas.openxmlformats.org/officeDocument/2006/relationships/hyperlink" Target="https://www.fcc.gov/licensing-databases/fees/wire-transfer"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fcc.gov/licensing-databases/fees/fcc-remittance-advice-form-159" TargetMode="External" /><Relationship Id="rId2" Type="http://schemas.openxmlformats.org/officeDocument/2006/relationships/hyperlink" Target="https://apps.fcc.gov/cores/userLogin.do" TargetMode="External" /><Relationship Id="rId3" Type="http://schemas.openxmlformats.org/officeDocument/2006/relationships/hyperlink" Target="http://www.fcc.gov/Forms/Form159/159.pdf"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20TOC%20by%20Paragraph.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