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18AD66C4" w14:textId="77777777">
      <w:pPr>
        <w:jc w:val="right"/>
        <w:rPr>
          <w:sz w:val="24"/>
        </w:rPr>
      </w:pPr>
    </w:p>
    <w:p w:rsidR="00BA3BA8" w14:paraId="37E4957E" w14:textId="3BF1CA0C">
      <w:pPr>
        <w:jc w:val="right"/>
        <w:rPr>
          <w:b/>
          <w:sz w:val="24"/>
        </w:rPr>
      </w:pPr>
      <w:r>
        <w:rPr>
          <w:b/>
          <w:sz w:val="24"/>
        </w:rPr>
        <w:t>DA 26-</w:t>
      </w:r>
      <w:r w:rsidR="00277920">
        <w:rPr>
          <w:b/>
          <w:sz w:val="24"/>
        </w:rPr>
        <w:t>91</w:t>
      </w:r>
    </w:p>
    <w:p w:rsidR="00BA3BA8" w14:paraId="5747E47B" w14:textId="107565BC">
      <w:pPr>
        <w:spacing w:before="60"/>
        <w:jc w:val="right"/>
        <w:rPr>
          <w:b/>
          <w:sz w:val="24"/>
        </w:rPr>
      </w:pPr>
      <w:r>
        <w:rPr>
          <w:b/>
          <w:sz w:val="24"/>
        </w:rPr>
        <w:t xml:space="preserve">Released:  </w:t>
      </w:r>
      <w:r w:rsidR="00FC5F52">
        <w:rPr>
          <w:b/>
          <w:sz w:val="24"/>
        </w:rPr>
        <w:t>January 27, 2026</w:t>
      </w:r>
    </w:p>
    <w:p w:rsidR="00BA3BA8" w14:paraId="7C151720" w14:textId="77777777">
      <w:pPr>
        <w:jc w:val="right"/>
        <w:rPr>
          <w:sz w:val="24"/>
        </w:rPr>
      </w:pPr>
    </w:p>
    <w:p w:rsidR="00FC5F52" w:rsidP="00FC5F52" w14:paraId="1686DB4D" w14:textId="5D1F499A">
      <w:pPr>
        <w:tabs>
          <w:tab w:val="center" w:pos="5184"/>
        </w:tabs>
        <w:jc w:val="center"/>
        <w:rPr>
          <w:rFonts w:ascii="Times New Roman Bold" w:hAnsi="Times New Roman Bold"/>
          <w:b/>
          <w:bCs/>
          <w:caps/>
        </w:rPr>
      </w:pPr>
      <w:bookmarkStart w:id="0" w:name="OLE_LINK1"/>
      <w:bookmarkStart w:id="1" w:name="OLE_LINK2"/>
      <w:r>
        <w:rPr>
          <w:rFonts w:ascii="Times New Roman Bold" w:hAnsi="Times New Roman Bold"/>
          <w:b/>
          <w:caps/>
          <w:szCs w:val="22"/>
        </w:rPr>
        <w:t>FCC</w:t>
      </w:r>
      <w:r>
        <w:rPr>
          <w:rFonts w:ascii="Times New Roman Bold" w:hAnsi="Times New Roman Bold"/>
          <w:b/>
          <w:bCs/>
          <w:caps/>
        </w:rPr>
        <w:t xml:space="preserve"> </w:t>
      </w:r>
      <w:r>
        <w:rPr>
          <w:rFonts w:ascii="Times New Roman Bold" w:hAnsi="Times New Roman Bold"/>
          <w:b/>
          <w:caps/>
          <w:szCs w:val="22"/>
        </w:rPr>
        <w:t>DEACTIVATES</w:t>
      </w:r>
      <w:r w:rsidRPr="00AB0AFA">
        <w:rPr>
          <w:rFonts w:ascii="Times New Roman Bold" w:hAnsi="Times New Roman Bold"/>
          <w:b/>
          <w:caps/>
          <w:szCs w:val="22"/>
        </w:rPr>
        <w:t xml:space="preserve"> the Disaster Information </w:t>
      </w:r>
      <w:r w:rsidRPr="00CB6761">
        <w:rPr>
          <w:rFonts w:ascii="Times New Roman Bold" w:hAnsi="Times New Roman Bold"/>
          <w:b/>
          <w:caps/>
          <w:szCs w:val="22"/>
        </w:rPr>
        <w:t xml:space="preserve">Reporting System </w:t>
      </w:r>
      <w:r w:rsidRPr="008C32D3">
        <w:rPr>
          <w:rFonts w:ascii="Times New Roman Bold" w:hAnsi="Times New Roman Bold"/>
          <w:b/>
          <w:caps/>
          <w:szCs w:val="22"/>
        </w:rPr>
        <w:t xml:space="preserve">and </w:t>
      </w:r>
      <w:r w:rsidR="00410992">
        <w:rPr>
          <w:rFonts w:ascii="Times New Roman Bold" w:hAnsi="Times New Roman Bold"/>
          <w:b/>
          <w:caps/>
          <w:szCs w:val="22"/>
        </w:rPr>
        <w:t xml:space="preserve">the </w:t>
      </w:r>
      <w:r w:rsidRPr="008C32D3">
        <w:rPr>
          <w:rFonts w:ascii="Times New Roman Bold" w:hAnsi="Times New Roman Bold"/>
          <w:b/>
          <w:caps/>
          <w:szCs w:val="22"/>
        </w:rPr>
        <w:t>Mandatory Disaster Response Intiative</w:t>
      </w:r>
      <w:r w:rsidRPr="00CB6761">
        <w:rPr>
          <w:rFonts w:ascii="Times New Roman Bold" w:hAnsi="Times New Roman Bold"/>
          <w:b/>
          <w:bCs/>
          <w:caps/>
        </w:rPr>
        <w:t xml:space="preserve"> </w:t>
      </w:r>
      <w:bookmarkEnd w:id="0"/>
      <w:bookmarkEnd w:id="1"/>
      <w:r>
        <w:rPr>
          <w:rFonts w:ascii="Times New Roman Bold" w:hAnsi="Times New Roman Bold"/>
          <w:b/>
          <w:bCs/>
          <w:caps/>
        </w:rPr>
        <w:t xml:space="preserve">IN </w:t>
      </w:r>
      <w:r w:rsidR="002259AA">
        <w:rPr>
          <w:rFonts w:ascii="Times New Roman Bold" w:hAnsi="Times New Roman Bold"/>
          <w:b/>
          <w:bCs/>
          <w:caps/>
        </w:rPr>
        <w:t>Cer</w:t>
      </w:r>
      <w:r w:rsidR="0054393B">
        <w:rPr>
          <w:rFonts w:ascii="Times New Roman Bold" w:hAnsi="Times New Roman Bold"/>
          <w:b/>
          <w:bCs/>
          <w:caps/>
        </w:rPr>
        <w:t>tain States</w:t>
      </w:r>
      <w:r w:rsidR="007368AC">
        <w:rPr>
          <w:rFonts w:ascii="Times New Roman Bold" w:hAnsi="Times New Roman Bold"/>
          <w:b/>
          <w:bCs/>
          <w:caps/>
        </w:rPr>
        <w:t xml:space="preserve"> </w:t>
      </w:r>
      <w:r>
        <w:rPr>
          <w:rFonts w:ascii="Times New Roman Bold" w:hAnsi="Times New Roman Bold"/>
          <w:b/>
          <w:bCs/>
          <w:caps/>
        </w:rPr>
        <w:t xml:space="preserve">for communications impacted by winter storm fern </w:t>
      </w:r>
    </w:p>
    <w:p w:rsidR="00FC5F52" w:rsidP="00FC5F52" w14:paraId="183A6353" w14:textId="77777777">
      <w:pPr>
        <w:tabs>
          <w:tab w:val="center" w:pos="5184"/>
        </w:tabs>
        <w:jc w:val="center"/>
        <w:rPr>
          <w:rFonts w:ascii="Times New Roman Bold" w:hAnsi="Times New Roman Bold"/>
          <w:b/>
          <w:bCs/>
          <w:caps/>
        </w:rPr>
      </w:pPr>
    </w:p>
    <w:p w:rsidR="00FC5F52" w:rsidRPr="00320AA5" w:rsidP="00320AA5" w14:paraId="2D199C25" w14:textId="390349DC">
      <w:pPr>
        <w:spacing w:after="120"/>
        <w:ind w:firstLine="720"/>
        <w:rPr>
          <w:szCs w:val="22"/>
        </w:rPr>
      </w:pPr>
      <w:r w:rsidRPr="009C4FC4">
        <w:rPr>
          <w:szCs w:val="22"/>
        </w:rPr>
        <w:t xml:space="preserve">On </w:t>
      </w:r>
      <w:r w:rsidRPr="00CE1DB3">
        <w:rPr>
          <w:szCs w:val="22"/>
        </w:rPr>
        <w:t>January 23, 2026</w:t>
      </w:r>
      <w:r w:rsidRPr="00A74268">
        <w:rPr>
          <w:szCs w:val="22"/>
        </w:rPr>
        <w:t>,</w:t>
      </w:r>
      <w:r w:rsidRPr="009C4FC4">
        <w:rPr>
          <w:szCs w:val="22"/>
        </w:rPr>
        <w:t xml:space="preserve"> the </w:t>
      </w:r>
      <w:r>
        <w:rPr>
          <w:szCs w:val="22"/>
        </w:rPr>
        <w:t>Public Safety and Homeland Security Bureau (PSHSB), in coordination with the Federal Emergency Management Agency (FEMA), announced the activation</w:t>
      </w:r>
      <w:r w:rsidRPr="001F3D47">
        <w:rPr>
          <w:szCs w:val="22"/>
        </w:rPr>
        <w:t xml:space="preserve"> </w:t>
      </w:r>
      <w:r>
        <w:rPr>
          <w:szCs w:val="22"/>
        </w:rPr>
        <w:t>of the Disaster Information Reporting System (</w:t>
      </w:r>
      <w:r w:rsidRPr="001F3D47">
        <w:rPr>
          <w:szCs w:val="22"/>
        </w:rPr>
        <w:t>DIRS</w:t>
      </w:r>
      <w:r>
        <w:rPr>
          <w:szCs w:val="22"/>
        </w:rPr>
        <w:t>)</w:t>
      </w:r>
      <w:r w:rsidRPr="001F3D47">
        <w:rPr>
          <w:szCs w:val="22"/>
        </w:rPr>
        <w:t xml:space="preserve"> </w:t>
      </w:r>
      <w:r>
        <w:rPr>
          <w:szCs w:val="22"/>
        </w:rPr>
        <w:t xml:space="preserve">and the </w:t>
      </w:r>
      <w:r w:rsidRPr="009E614C">
        <w:rPr>
          <w:szCs w:val="24"/>
        </w:rPr>
        <w:t>Mandatory Disaster Response Initiative (MDRI</w:t>
      </w:r>
      <w:r>
        <w:rPr>
          <w:szCs w:val="24"/>
        </w:rPr>
        <w:t>)</w:t>
      </w:r>
      <w:r>
        <w:rPr>
          <w:szCs w:val="22"/>
        </w:rPr>
        <w:t xml:space="preserve"> in certain counties in states impacted by</w:t>
      </w:r>
      <w:r w:rsidRPr="001F3D47">
        <w:rPr>
          <w:szCs w:val="22"/>
        </w:rPr>
        <w:t xml:space="preserve"> </w:t>
      </w:r>
      <w:r>
        <w:rPr>
          <w:szCs w:val="22"/>
        </w:rPr>
        <w:t>Winter Storm Fern</w:t>
      </w:r>
      <w:r w:rsidRPr="00335F71">
        <w:rPr>
          <w:szCs w:val="22"/>
        </w:rPr>
        <w:t>.</w:t>
      </w:r>
      <w:r>
        <w:rPr>
          <w:rStyle w:val="FootnoteReference"/>
          <w:szCs w:val="22"/>
        </w:rPr>
        <w:footnoteReference w:id="3"/>
      </w:r>
      <w:r w:rsidRPr="001F3D47">
        <w:rPr>
          <w:b/>
          <w:bCs/>
          <w:szCs w:val="22"/>
        </w:rPr>
        <w:t xml:space="preserve">  </w:t>
      </w:r>
      <w:r w:rsidRPr="009513C5">
        <w:rPr>
          <w:szCs w:val="22"/>
        </w:rPr>
        <w:t>On January 24, 2026, the F</w:t>
      </w:r>
      <w:r>
        <w:rPr>
          <w:szCs w:val="22"/>
        </w:rPr>
        <w:t>ederal Communications Commission (FCC or Commission)</w:t>
      </w:r>
      <w:r w:rsidRPr="009513C5">
        <w:rPr>
          <w:szCs w:val="22"/>
        </w:rPr>
        <w:t xml:space="preserve"> announced the expansion of this activation to include </w:t>
      </w:r>
      <w:r>
        <w:rPr>
          <w:szCs w:val="22"/>
        </w:rPr>
        <w:t xml:space="preserve">additional </w:t>
      </w:r>
      <w:r w:rsidRPr="009513C5">
        <w:rPr>
          <w:szCs w:val="22"/>
        </w:rPr>
        <w:t>counties in Georgia, Maryland, Mississippi, New Jersey, New York, Virginia, and West Virginia.</w:t>
      </w:r>
      <w:r>
        <w:rPr>
          <w:rStyle w:val="FootnoteReference"/>
          <w:szCs w:val="22"/>
        </w:rPr>
        <w:footnoteReference w:id="4"/>
      </w:r>
      <w:r>
        <w:rPr>
          <w:b/>
          <w:bCs/>
          <w:szCs w:val="22"/>
        </w:rPr>
        <w:t xml:space="preserve"> </w:t>
      </w:r>
      <w:r w:rsidRPr="000054F8">
        <w:rPr>
          <w:szCs w:val="22"/>
        </w:rPr>
        <w:t xml:space="preserve"> On January 25, 2026, the </w:t>
      </w:r>
      <w:r>
        <w:rPr>
          <w:szCs w:val="22"/>
        </w:rPr>
        <w:t>Commission</w:t>
      </w:r>
      <w:r w:rsidRPr="000054F8">
        <w:rPr>
          <w:szCs w:val="22"/>
        </w:rPr>
        <w:t xml:space="preserve"> announced the expansion </w:t>
      </w:r>
      <w:r>
        <w:rPr>
          <w:szCs w:val="22"/>
        </w:rPr>
        <w:t>of</w:t>
      </w:r>
      <w:r w:rsidRPr="000054F8">
        <w:rPr>
          <w:szCs w:val="22"/>
        </w:rPr>
        <w:t xml:space="preserve"> this activation to include additional counties in Kentucky</w:t>
      </w:r>
      <w:r>
        <w:rPr>
          <w:szCs w:val="22"/>
        </w:rPr>
        <w:t>, as well as to deactivate DIRS in certain counties in South Carolina.</w:t>
      </w:r>
      <w:r>
        <w:rPr>
          <w:rStyle w:val="FootnoteReference"/>
          <w:szCs w:val="22"/>
        </w:rPr>
        <w:footnoteReference w:id="5"/>
      </w:r>
      <w:r>
        <w:rPr>
          <w:szCs w:val="22"/>
        </w:rPr>
        <w:t xml:space="preserve">  On January 26, 2026, the Commission </w:t>
      </w:r>
      <w:r w:rsidR="00410992">
        <w:rPr>
          <w:szCs w:val="22"/>
        </w:rPr>
        <w:t xml:space="preserve">partially </w:t>
      </w:r>
      <w:r>
        <w:rPr>
          <w:szCs w:val="22"/>
        </w:rPr>
        <w:t>deactivated</w:t>
      </w:r>
      <w:r w:rsidR="007368AC">
        <w:rPr>
          <w:szCs w:val="22"/>
        </w:rPr>
        <w:t xml:space="preserve"> the</w:t>
      </w:r>
      <w:r>
        <w:rPr>
          <w:szCs w:val="22"/>
        </w:rPr>
        <w:t xml:space="preserve"> DIRS and the MDRI in counties in several states.</w:t>
      </w:r>
      <w:r>
        <w:rPr>
          <w:rStyle w:val="FootnoteReference"/>
          <w:szCs w:val="22"/>
        </w:rPr>
        <w:footnoteReference w:id="6"/>
      </w:r>
    </w:p>
    <w:p w:rsidR="002B0872" w:rsidP="00320AA5" w14:paraId="390BFE98" w14:textId="34ED9ABD">
      <w:pPr>
        <w:spacing w:after="120"/>
        <w:ind w:firstLine="720"/>
      </w:pPr>
      <w:bookmarkStart w:id="2" w:name="TOChere"/>
      <w:r>
        <w:rPr>
          <w:szCs w:val="22"/>
        </w:rPr>
        <w:t>By</w:t>
      </w:r>
      <w:r w:rsidRPr="001F3D47">
        <w:rPr>
          <w:szCs w:val="22"/>
        </w:rPr>
        <w:t xml:space="preserve"> this </w:t>
      </w:r>
      <w:r>
        <w:rPr>
          <w:szCs w:val="22"/>
        </w:rPr>
        <w:t>Publi</w:t>
      </w:r>
      <w:r w:rsidRPr="001F3D47">
        <w:rPr>
          <w:szCs w:val="22"/>
        </w:rPr>
        <w:t xml:space="preserve">c </w:t>
      </w:r>
      <w:r>
        <w:rPr>
          <w:szCs w:val="22"/>
        </w:rPr>
        <w:t>N</w:t>
      </w:r>
      <w:r w:rsidRPr="001F3D47">
        <w:rPr>
          <w:szCs w:val="22"/>
        </w:rPr>
        <w:t xml:space="preserve">otice, </w:t>
      </w:r>
      <w:r>
        <w:t>the Commission, at the</w:t>
      </w:r>
      <w:r w:rsidR="00D15117">
        <w:t xml:space="preserve"> request of</w:t>
      </w:r>
      <w:r>
        <w:t xml:space="preserve"> Kentucky</w:t>
      </w:r>
      <w:r w:rsidR="00F24DD5">
        <w:t xml:space="preserve">, </w:t>
      </w:r>
      <w:r w:rsidR="007368AC">
        <w:t>South Carolina</w:t>
      </w:r>
      <w:r w:rsidR="00F24DD5">
        <w:t>, and Tennessee</w:t>
      </w:r>
      <w:r w:rsidR="007368AC">
        <w:t xml:space="preserve"> </w:t>
      </w:r>
      <w:r>
        <w:t xml:space="preserve">and in coordination with FEMA, is announcing the deactivation of the DIRS and the MDRI </w:t>
      </w:r>
      <w:r w:rsidR="00D15117">
        <w:t xml:space="preserve">in </w:t>
      </w:r>
      <w:r>
        <w:t>the following counties impacted by Winter Storm Fern:</w:t>
      </w:r>
    </w:p>
    <w:p w:rsidR="00532AE8" w:rsidP="001164E3" w14:paraId="2DD00CE2" w14:textId="77777777">
      <w:pPr>
        <w:spacing w:after="120"/>
        <w:ind w:firstLine="720"/>
        <w:contextualSpacing/>
      </w:pPr>
    </w:p>
    <w:p w:rsidR="00532AE8" w:rsidRPr="000B1610" w:rsidP="001164E3" w14:paraId="15297416" w14:textId="77777777">
      <w:pPr>
        <w:tabs>
          <w:tab w:val="center" w:pos="5184"/>
        </w:tabs>
        <w:spacing w:after="120"/>
        <w:contextualSpacing/>
        <w:rPr>
          <w:szCs w:val="22"/>
        </w:rPr>
      </w:pPr>
      <w:r w:rsidRPr="000B1610">
        <w:rPr>
          <w:b/>
          <w:bCs/>
          <w:szCs w:val="22"/>
        </w:rPr>
        <w:t>Kentucky:</w:t>
      </w:r>
      <w:r>
        <w:rPr>
          <w:b/>
          <w:bCs/>
          <w:szCs w:val="22"/>
        </w:rPr>
        <w:t xml:space="preserve"> </w:t>
      </w:r>
      <w:r w:rsidRPr="000B1610">
        <w:rPr>
          <w:b/>
          <w:bCs/>
          <w:szCs w:val="22"/>
        </w:rPr>
        <w:t xml:space="preserve"> </w:t>
      </w:r>
      <w:r w:rsidRPr="00A00CF8">
        <w:rPr>
          <w:szCs w:val="22"/>
        </w:rPr>
        <w:t>Allen</w:t>
      </w:r>
      <w:r>
        <w:rPr>
          <w:szCs w:val="22"/>
        </w:rPr>
        <w:t xml:space="preserve">, </w:t>
      </w:r>
      <w:r w:rsidRPr="00A00CF8">
        <w:rPr>
          <w:szCs w:val="22"/>
        </w:rPr>
        <w:t>Barren</w:t>
      </w:r>
      <w:r>
        <w:rPr>
          <w:szCs w:val="22"/>
        </w:rPr>
        <w:t xml:space="preserve">, </w:t>
      </w:r>
      <w:r w:rsidRPr="00A00CF8">
        <w:rPr>
          <w:szCs w:val="22"/>
        </w:rPr>
        <w:t>Bell</w:t>
      </w:r>
      <w:r>
        <w:rPr>
          <w:szCs w:val="22"/>
        </w:rPr>
        <w:t xml:space="preserve">, </w:t>
      </w:r>
      <w:r w:rsidRPr="00A00CF8">
        <w:rPr>
          <w:szCs w:val="22"/>
        </w:rPr>
        <w:t>Breathitt</w:t>
      </w:r>
      <w:r>
        <w:rPr>
          <w:szCs w:val="22"/>
        </w:rPr>
        <w:t xml:space="preserve">, </w:t>
      </w:r>
      <w:r w:rsidRPr="00A00CF8">
        <w:rPr>
          <w:szCs w:val="22"/>
        </w:rPr>
        <w:t>Butler</w:t>
      </w:r>
      <w:r>
        <w:rPr>
          <w:szCs w:val="22"/>
        </w:rPr>
        <w:t xml:space="preserve">, </w:t>
      </w:r>
      <w:r w:rsidRPr="00A00CF8">
        <w:rPr>
          <w:szCs w:val="22"/>
        </w:rPr>
        <w:t>Calloway</w:t>
      </w:r>
      <w:r>
        <w:rPr>
          <w:szCs w:val="22"/>
        </w:rPr>
        <w:t xml:space="preserve">, </w:t>
      </w:r>
      <w:r w:rsidRPr="00A00CF8">
        <w:rPr>
          <w:szCs w:val="22"/>
        </w:rPr>
        <w:t>Casey</w:t>
      </w:r>
      <w:r>
        <w:rPr>
          <w:szCs w:val="22"/>
        </w:rPr>
        <w:t xml:space="preserve">, </w:t>
      </w:r>
      <w:r w:rsidRPr="00A00CF8">
        <w:rPr>
          <w:szCs w:val="22"/>
        </w:rPr>
        <w:t>Christian</w:t>
      </w:r>
      <w:r>
        <w:rPr>
          <w:szCs w:val="22"/>
        </w:rPr>
        <w:t xml:space="preserve">, </w:t>
      </w:r>
      <w:r w:rsidRPr="00A00CF8">
        <w:rPr>
          <w:szCs w:val="22"/>
        </w:rPr>
        <w:t>Clay</w:t>
      </w:r>
      <w:r>
        <w:rPr>
          <w:szCs w:val="22"/>
        </w:rPr>
        <w:t xml:space="preserve">, </w:t>
      </w:r>
      <w:r w:rsidRPr="00A00CF8">
        <w:rPr>
          <w:szCs w:val="22"/>
        </w:rPr>
        <w:t>Clinton</w:t>
      </w:r>
      <w:r>
        <w:rPr>
          <w:szCs w:val="22"/>
        </w:rPr>
        <w:t xml:space="preserve">, </w:t>
      </w:r>
      <w:r w:rsidRPr="00A00CF8">
        <w:rPr>
          <w:szCs w:val="22"/>
        </w:rPr>
        <w:t>Cumberland</w:t>
      </w:r>
      <w:r>
        <w:rPr>
          <w:szCs w:val="22"/>
        </w:rPr>
        <w:t xml:space="preserve">, </w:t>
      </w:r>
      <w:r w:rsidRPr="00A00CF8">
        <w:rPr>
          <w:szCs w:val="22"/>
        </w:rPr>
        <w:t>Floyd</w:t>
      </w:r>
      <w:r>
        <w:rPr>
          <w:szCs w:val="22"/>
        </w:rPr>
        <w:t xml:space="preserve">, </w:t>
      </w:r>
      <w:r w:rsidRPr="00A00CF8">
        <w:rPr>
          <w:szCs w:val="22"/>
        </w:rPr>
        <w:t>Green</w:t>
      </w:r>
      <w:r>
        <w:rPr>
          <w:szCs w:val="22"/>
        </w:rPr>
        <w:t xml:space="preserve">, </w:t>
      </w:r>
      <w:r w:rsidRPr="00A00CF8">
        <w:rPr>
          <w:szCs w:val="22"/>
        </w:rPr>
        <w:t>Harlan</w:t>
      </w:r>
      <w:r>
        <w:rPr>
          <w:szCs w:val="22"/>
        </w:rPr>
        <w:t xml:space="preserve">, </w:t>
      </w:r>
      <w:r w:rsidRPr="00A00CF8">
        <w:rPr>
          <w:szCs w:val="22"/>
        </w:rPr>
        <w:t>Hart</w:t>
      </w:r>
      <w:r>
        <w:rPr>
          <w:szCs w:val="22"/>
        </w:rPr>
        <w:t xml:space="preserve">, </w:t>
      </w:r>
      <w:r w:rsidRPr="00A00CF8">
        <w:rPr>
          <w:szCs w:val="22"/>
        </w:rPr>
        <w:t>Jackson</w:t>
      </w:r>
      <w:r>
        <w:rPr>
          <w:szCs w:val="22"/>
        </w:rPr>
        <w:t xml:space="preserve">, </w:t>
      </w:r>
      <w:r w:rsidRPr="00A00CF8">
        <w:rPr>
          <w:szCs w:val="22"/>
        </w:rPr>
        <w:t>Knott</w:t>
      </w:r>
      <w:r>
        <w:rPr>
          <w:szCs w:val="22"/>
        </w:rPr>
        <w:t xml:space="preserve">, </w:t>
      </w:r>
      <w:r w:rsidRPr="00A00CF8">
        <w:rPr>
          <w:szCs w:val="22"/>
        </w:rPr>
        <w:t>Knox</w:t>
      </w:r>
      <w:r>
        <w:rPr>
          <w:szCs w:val="22"/>
        </w:rPr>
        <w:t xml:space="preserve">, </w:t>
      </w:r>
      <w:r w:rsidRPr="00A00CF8">
        <w:rPr>
          <w:szCs w:val="22"/>
        </w:rPr>
        <w:t>Laurel</w:t>
      </w:r>
      <w:r>
        <w:rPr>
          <w:szCs w:val="22"/>
        </w:rPr>
        <w:t xml:space="preserve">, </w:t>
      </w:r>
      <w:r w:rsidRPr="00A00CF8">
        <w:rPr>
          <w:szCs w:val="22"/>
        </w:rPr>
        <w:t>Lee</w:t>
      </w:r>
      <w:r>
        <w:rPr>
          <w:szCs w:val="22"/>
        </w:rPr>
        <w:t xml:space="preserve">, </w:t>
      </w:r>
      <w:r w:rsidRPr="00A00CF8">
        <w:rPr>
          <w:szCs w:val="22"/>
        </w:rPr>
        <w:t>Leslie</w:t>
      </w:r>
      <w:r>
        <w:rPr>
          <w:szCs w:val="22"/>
        </w:rPr>
        <w:t xml:space="preserve">, </w:t>
      </w:r>
      <w:r w:rsidRPr="00A00CF8">
        <w:rPr>
          <w:szCs w:val="22"/>
        </w:rPr>
        <w:t>Letcher</w:t>
      </w:r>
      <w:r>
        <w:rPr>
          <w:szCs w:val="22"/>
        </w:rPr>
        <w:t xml:space="preserve">, </w:t>
      </w:r>
      <w:r w:rsidRPr="00A00CF8">
        <w:rPr>
          <w:szCs w:val="22"/>
        </w:rPr>
        <w:t>Lincoln</w:t>
      </w:r>
      <w:r>
        <w:rPr>
          <w:szCs w:val="22"/>
        </w:rPr>
        <w:t xml:space="preserve">, </w:t>
      </w:r>
      <w:r w:rsidRPr="00A00CF8">
        <w:rPr>
          <w:szCs w:val="22"/>
        </w:rPr>
        <w:t>Logan</w:t>
      </w:r>
      <w:r>
        <w:rPr>
          <w:szCs w:val="22"/>
        </w:rPr>
        <w:t xml:space="preserve">, </w:t>
      </w:r>
      <w:r w:rsidRPr="00A00CF8">
        <w:rPr>
          <w:szCs w:val="22"/>
        </w:rPr>
        <w:t>Metcalfe</w:t>
      </w:r>
      <w:r>
        <w:rPr>
          <w:szCs w:val="22"/>
        </w:rPr>
        <w:t xml:space="preserve">, </w:t>
      </w:r>
      <w:r w:rsidRPr="00A00CF8">
        <w:rPr>
          <w:szCs w:val="22"/>
        </w:rPr>
        <w:t>Monroe</w:t>
      </w:r>
      <w:r>
        <w:rPr>
          <w:szCs w:val="22"/>
        </w:rPr>
        <w:t xml:space="preserve">, </w:t>
      </w:r>
      <w:r w:rsidRPr="00A00CF8">
        <w:rPr>
          <w:szCs w:val="22"/>
        </w:rPr>
        <w:t>Owsley</w:t>
      </w:r>
      <w:r>
        <w:rPr>
          <w:szCs w:val="22"/>
        </w:rPr>
        <w:t xml:space="preserve">, </w:t>
      </w:r>
      <w:r w:rsidRPr="00A00CF8">
        <w:rPr>
          <w:szCs w:val="22"/>
        </w:rPr>
        <w:t>Perry</w:t>
      </w:r>
      <w:r>
        <w:rPr>
          <w:szCs w:val="22"/>
        </w:rPr>
        <w:t xml:space="preserve">, </w:t>
      </w:r>
      <w:r w:rsidRPr="00A00CF8">
        <w:rPr>
          <w:szCs w:val="22"/>
        </w:rPr>
        <w:t>Pike</w:t>
      </w:r>
      <w:r>
        <w:rPr>
          <w:szCs w:val="22"/>
        </w:rPr>
        <w:t xml:space="preserve">, </w:t>
      </w:r>
      <w:r w:rsidRPr="00A00CF8">
        <w:rPr>
          <w:szCs w:val="22"/>
        </w:rPr>
        <w:t>Pulaski</w:t>
      </w:r>
      <w:r>
        <w:rPr>
          <w:szCs w:val="22"/>
        </w:rPr>
        <w:t xml:space="preserve">, </w:t>
      </w:r>
      <w:r w:rsidRPr="00A00CF8">
        <w:rPr>
          <w:szCs w:val="22"/>
        </w:rPr>
        <w:t>Rockcastle</w:t>
      </w:r>
      <w:r>
        <w:rPr>
          <w:szCs w:val="22"/>
        </w:rPr>
        <w:t xml:space="preserve">, </w:t>
      </w:r>
      <w:r w:rsidRPr="00A00CF8">
        <w:rPr>
          <w:szCs w:val="22"/>
        </w:rPr>
        <w:t>Russell</w:t>
      </w:r>
      <w:r>
        <w:rPr>
          <w:szCs w:val="22"/>
        </w:rPr>
        <w:t xml:space="preserve">, </w:t>
      </w:r>
      <w:r w:rsidRPr="00A00CF8">
        <w:rPr>
          <w:szCs w:val="22"/>
        </w:rPr>
        <w:t>Simpson</w:t>
      </w:r>
      <w:r>
        <w:rPr>
          <w:szCs w:val="22"/>
        </w:rPr>
        <w:t xml:space="preserve">, </w:t>
      </w:r>
      <w:r w:rsidRPr="00A00CF8">
        <w:rPr>
          <w:szCs w:val="22"/>
        </w:rPr>
        <w:t>Taylor</w:t>
      </w:r>
      <w:r>
        <w:rPr>
          <w:szCs w:val="22"/>
        </w:rPr>
        <w:t xml:space="preserve">, </w:t>
      </w:r>
      <w:r w:rsidRPr="00A00CF8">
        <w:rPr>
          <w:szCs w:val="22"/>
        </w:rPr>
        <w:t>Todd</w:t>
      </w:r>
      <w:r>
        <w:rPr>
          <w:szCs w:val="22"/>
        </w:rPr>
        <w:t xml:space="preserve">, </w:t>
      </w:r>
      <w:r w:rsidRPr="00A00CF8">
        <w:rPr>
          <w:szCs w:val="22"/>
        </w:rPr>
        <w:t>Trigg</w:t>
      </w:r>
      <w:r>
        <w:rPr>
          <w:szCs w:val="22"/>
        </w:rPr>
        <w:t xml:space="preserve">, </w:t>
      </w:r>
      <w:r w:rsidRPr="00A00CF8">
        <w:rPr>
          <w:szCs w:val="22"/>
        </w:rPr>
        <w:t>Warren</w:t>
      </w:r>
      <w:r>
        <w:rPr>
          <w:szCs w:val="22"/>
        </w:rPr>
        <w:t xml:space="preserve">, </w:t>
      </w:r>
      <w:r w:rsidRPr="00A00CF8">
        <w:rPr>
          <w:szCs w:val="22"/>
        </w:rPr>
        <w:t>Wayne</w:t>
      </w:r>
      <w:r>
        <w:rPr>
          <w:szCs w:val="22"/>
        </w:rPr>
        <w:t xml:space="preserve">, and </w:t>
      </w:r>
      <w:r w:rsidRPr="00A00CF8">
        <w:rPr>
          <w:szCs w:val="22"/>
        </w:rPr>
        <w:t>Whitley</w:t>
      </w:r>
    </w:p>
    <w:p w:rsidR="00532AE8" w:rsidRPr="000B1610" w:rsidP="001164E3" w14:paraId="72572A35" w14:textId="77777777">
      <w:pPr>
        <w:tabs>
          <w:tab w:val="center" w:pos="5184"/>
        </w:tabs>
        <w:spacing w:after="120"/>
        <w:contextualSpacing/>
        <w:rPr>
          <w:szCs w:val="22"/>
        </w:rPr>
      </w:pPr>
    </w:p>
    <w:p w:rsidR="007368AC" w:rsidP="00F14CDA" w14:paraId="59C99BA4" w14:textId="10B6A550">
      <w:pPr>
        <w:tabs>
          <w:tab w:val="left" w:pos="5184"/>
        </w:tabs>
        <w:rPr>
          <w:szCs w:val="22"/>
        </w:rPr>
      </w:pPr>
      <w:r w:rsidRPr="000B1610">
        <w:rPr>
          <w:b/>
          <w:bCs/>
          <w:szCs w:val="22"/>
        </w:rPr>
        <w:t xml:space="preserve">South Carolina: </w:t>
      </w:r>
      <w:r>
        <w:rPr>
          <w:b/>
          <w:bCs/>
          <w:szCs w:val="22"/>
        </w:rPr>
        <w:t xml:space="preserve"> </w:t>
      </w:r>
      <w:r w:rsidRPr="000B1610">
        <w:rPr>
          <w:szCs w:val="22"/>
        </w:rPr>
        <w:t xml:space="preserve">Greenville, Oconee, </w:t>
      </w:r>
      <w:r>
        <w:rPr>
          <w:szCs w:val="22"/>
        </w:rPr>
        <w:t xml:space="preserve">and </w:t>
      </w:r>
      <w:r w:rsidRPr="000B1610">
        <w:rPr>
          <w:szCs w:val="22"/>
        </w:rPr>
        <w:t>Pickens</w:t>
      </w:r>
      <w:r w:rsidR="00F14CDA">
        <w:rPr>
          <w:szCs w:val="22"/>
        </w:rPr>
        <w:tab/>
      </w:r>
    </w:p>
    <w:p w:rsidR="00955211" w:rsidP="00F14CDA" w14:paraId="554AE3EC" w14:textId="77777777">
      <w:pPr>
        <w:tabs>
          <w:tab w:val="left" w:pos="5184"/>
        </w:tabs>
        <w:rPr>
          <w:b/>
          <w:bCs/>
          <w:szCs w:val="22"/>
        </w:rPr>
      </w:pPr>
    </w:p>
    <w:p w:rsidR="00F14CDA" w:rsidRPr="000B1610" w:rsidP="00F14CDA" w14:paraId="32B9628B" w14:textId="7742B5F1">
      <w:pPr>
        <w:tabs>
          <w:tab w:val="left" w:pos="5184"/>
        </w:tabs>
        <w:rPr>
          <w:szCs w:val="22"/>
        </w:rPr>
      </w:pPr>
      <w:r w:rsidRPr="00955211">
        <w:rPr>
          <w:b/>
          <w:bCs/>
          <w:szCs w:val="22"/>
        </w:rPr>
        <w:t xml:space="preserve">Tennessee: </w:t>
      </w:r>
      <w:r w:rsidRPr="00955211">
        <w:rPr>
          <w:szCs w:val="22"/>
        </w:rPr>
        <w:t xml:space="preserve">Bedford, Cannon, Carroll, Coffee, Crockett, Dekalb, Dyer, Fayette, Franklin, Gibson, Grundy, Haywood, Henry, Houston, Humphreys, Jackson, Lake, Lauderdale, Lewis, Lincoln, Madison, </w:t>
      </w:r>
      <w:r w:rsidRPr="00955211">
        <w:rPr>
          <w:szCs w:val="22"/>
        </w:rPr>
        <w:t>Marion, Moore, Obion, Pickett, Putnam, Sequatchie, Stewart, Tipton, Van Buren, Warren, Weakley, and White</w:t>
      </w:r>
    </w:p>
    <w:p w:rsidR="00532AE8" w:rsidP="007368AC" w14:paraId="6B757C2B" w14:textId="77777777">
      <w:pPr>
        <w:spacing w:after="120"/>
        <w:contextualSpacing/>
      </w:pPr>
    </w:p>
    <w:p w:rsidR="00A36DF2" w:rsidP="00320AA5" w14:paraId="1041AA95" w14:textId="4116478B">
      <w:pPr>
        <w:spacing w:after="120"/>
        <w:ind w:firstLine="720"/>
      </w:pPr>
      <w:r w:rsidRPr="00456B06">
        <w:t xml:space="preserve">Cable communications providers, wireless service providers, wireline communications providers, and </w:t>
      </w:r>
      <w:r>
        <w:t>i</w:t>
      </w:r>
      <w:r w:rsidRPr="001F3D47">
        <w:rPr>
          <w:szCs w:val="22"/>
        </w:rPr>
        <w:t>nterconnected V</w:t>
      </w:r>
      <w:r>
        <w:rPr>
          <w:szCs w:val="22"/>
        </w:rPr>
        <w:t xml:space="preserve">oice over </w:t>
      </w:r>
      <w:r w:rsidRPr="001F3D47">
        <w:rPr>
          <w:szCs w:val="22"/>
        </w:rPr>
        <w:t>I</w:t>
      </w:r>
      <w:r>
        <w:rPr>
          <w:szCs w:val="22"/>
        </w:rPr>
        <w:t xml:space="preserve">nternet </w:t>
      </w:r>
      <w:r w:rsidRPr="001F3D47">
        <w:rPr>
          <w:szCs w:val="22"/>
        </w:rPr>
        <w:t>P</w:t>
      </w:r>
      <w:r>
        <w:rPr>
          <w:szCs w:val="22"/>
        </w:rPr>
        <w:t>rotocol</w:t>
      </w:r>
      <w:r w:rsidRPr="001F3D47">
        <w:rPr>
          <w:szCs w:val="22"/>
        </w:rPr>
        <w:t xml:space="preserve"> </w:t>
      </w:r>
      <w:r>
        <w:rPr>
          <w:szCs w:val="22"/>
        </w:rPr>
        <w:t xml:space="preserve">(VoIP) </w:t>
      </w:r>
      <w:r w:rsidRPr="00456B06">
        <w:t xml:space="preserve">providers </w:t>
      </w:r>
      <w:r w:rsidRPr="00456B06">
        <w:rPr>
          <w:bCs/>
        </w:rPr>
        <w:t>that provide service in</w:t>
      </w:r>
      <w:r>
        <w:rPr>
          <w:bCs/>
        </w:rPr>
        <w:t xml:space="preserve"> the above-referenced areas </w:t>
      </w:r>
      <w:r w:rsidRPr="00456B06">
        <w:t xml:space="preserve">are </w:t>
      </w:r>
      <w:r w:rsidRPr="00456B06">
        <w:rPr>
          <w:bCs/>
        </w:rPr>
        <w:t xml:space="preserve">no </w:t>
      </w:r>
      <w:r>
        <w:rPr>
          <w:bCs/>
        </w:rPr>
        <w:t>l</w:t>
      </w:r>
      <w:r w:rsidRPr="00456B06">
        <w:rPr>
          <w:bCs/>
        </w:rPr>
        <w:t xml:space="preserve">onger </w:t>
      </w:r>
      <w:r w:rsidRPr="00456B06">
        <w:t xml:space="preserve">required to report their infrastructure status </w:t>
      </w:r>
      <w:r>
        <w:t>daily</w:t>
      </w:r>
      <w:r w:rsidRPr="00456B06">
        <w:t xml:space="preserve"> in DIRS</w:t>
      </w:r>
      <w:r>
        <w:t xml:space="preserve"> for this event</w:t>
      </w:r>
      <w:r w:rsidRPr="00456B06">
        <w:t>.</w:t>
      </w:r>
      <w:r>
        <w:rPr>
          <w:vertAlign w:val="superscript"/>
        </w:rPr>
        <w:footnoteReference w:id="7"/>
      </w:r>
      <w:r w:rsidRPr="00456B06">
        <w:t xml:space="preserve">  </w:t>
      </w:r>
      <w:r w:rsidRPr="001D1264">
        <w:t>These providers</w:t>
      </w:r>
      <w:r w:rsidRPr="001D1264">
        <w:rPr>
          <w:b/>
        </w:rPr>
        <w:t xml:space="preserve"> </w:t>
      </w:r>
      <w:r w:rsidRPr="001D1264">
        <w:t xml:space="preserve">must provide a single, final report to the Commission within 24 hours of release of this </w:t>
      </w:r>
      <w:r>
        <w:t>P</w:t>
      </w:r>
      <w:r w:rsidRPr="001D1264">
        <w:t xml:space="preserve">ublic </w:t>
      </w:r>
      <w:r>
        <w:t>N</w:t>
      </w:r>
      <w:r w:rsidRPr="001D1264">
        <w:t>otice detailing the state of their infrastructure at the time of DIRS deactivation and an estimated date of resolution of any remaining outages.</w:t>
      </w:r>
      <w:r>
        <w:rPr>
          <w:vertAlign w:val="superscript"/>
        </w:rPr>
        <w:footnoteReference w:id="8"/>
      </w:r>
      <w:r w:rsidRPr="001D1264">
        <w:t xml:space="preserve">  </w:t>
      </w:r>
      <w:r>
        <w:t>PSHSB</w:t>
      </w:r>
      <w:r w:rsidRPr="001D1264">
        <w:t xml:space="preserve"> encourage</w:t>
      </w:r>
      <w:r>
        <w:t>s</w:t>
      </w:r>
      <w:r w:rsidRPr="001D1264">
        <w:t xml:space="preserve"> </w:t>
      </w:r>
      <w:r>
        <w:t xml:space="preserve">other communications providers </w:t>
      </w:r>
      <w:r w:rsidRPr="001D1264">
        <w:t xml:space="preserve">that voluntarily reported in DIRS </w:t>
      </w:r>
      <w:r>
        <w:t>to also</w:t>
      </w:r>
      <w:r w:rsidRPr="001D1264">
        <w:t xml:space="preserve"> submit a final DIRS report.</w:t>
      </w:r>
      <w:r>
        <w:t xml:space="preserve">  </w:t>
      </w:r>
    </w:p>
    <w:p w:rsidR="00342A9B" w:rsidP="00320AA5" w14:paraId="4B6494A5" w14:textId="77777777">
      <w:pPr>
        <w:spacing w:after="120"/>
        <w:ind w:right="318" w:firstLine="623"/>
        <w:rPr>
          <w:color w:val="1A1919"/>
          <w:szCs w:val="22"/>
        </w:rPr>
      </w:pPr>
      <w:r>
        <w:rPr>
          <w:bCs/>
        </w:rPr>
        <w:t>As of the release of this Public Notice</w:t>
      </w:r>
      <w:r>
        <w:rPr>
          <w:color w:val="1A1919"/>
          <w:szCs w:val="22"/>
        </w:rPr>
        <w:t>, cable communications providers, wireless</w:t>
      </w:r>
      <w:r w:rsidR="006D7ADC">
        <w:rPr>
          <w:color w:val="1A1919"/>
          <w:szCs w:val="22"/>
        </w:rPr>
        <w:t xml:space="preserve"> service, </w:t>
      </w:r>
      <w:r>
        <w:rPr>
          <w:color w:val="1A1919"/>
          <w:szCs w:val="22"/>
        </w:rPr>
        <w:t xml:space="preserve">wireline communications providers, and interconnected VoIP providers </w:t>
      </w:r>
      <w:r w:rsidR="006D7ADC">
        <w:rPr>
          <w:color w:val="1A1919"/>
          <w:szCs w:val="22"/>
        </w:rPr>
        <w:t xml:space="preserve">that provide service in the above-referenced areas </w:t>
      </w:r>
      <w:r>
        <w:rPr>
          <w:color w:val="1A1919"/>
          <w:szCs w:val="22"/>
        </w:rPr>
        <w:t>must resume making submissions in the Network Outage Reporting System (NORS) concerning any incidents that are reportable under those rules.</w:t>
      </w:r>
      <w:r>
        <w:rPr>
          <w:rStyle w:val="FootnoteReference"/>
          <w:color w:val="1A1919"/>
          <w:szCs w:val="22"/>
        </w:rPr>
        <w:footnoteReference w:id="9"/>
      </w:r>
      <w:r>
        <w:rPr>
          <w:color w:val="1A1919"/>
          <w:szCs w:val="22"/>
        </w:rPr>
        <w:t xml:space="preserve">  </w:t>
      </w:r>
    </w:p>
    <w:p w:rsidR="00342A9B" w:rsidP="001164E3" w14:paraId="68F0FB92" w14:textId="77777777">
      <w:pPr>
        <w:spacing w:after="120"/>
        <w:ind w:right="318" w:firstLine="623"/>
        <w:contextualSpacing/>
        <w:rPr>
          <w:color w:val="1A1919"/>
          <w:szCs w:val="22"/>
        </w:rPr>
      </w:pPr>
    </w:p>
    <w:p w:rsidR="004F736E" w:rsidRPr="00863EB4" w:rsidP="004F736E" w14:paraId="055EDE08" w14:textId="77777777">
      <w:pPr>
        <w:rPr>
          <w:b/>
        </w:rPr>
      </w:pPr>
      <w:r w:rsidRPr="00863EB4">
        <w:rPr>
          <w:b/>
        </w:rPr>
        <w:t xml:space="preserve">DIRS </w:t>
      </w:r>
      <w:r>
        <w:rPr>
          <w:b/>
        </w:rPr>
        <w:t xml:space="preserve">AND MDRI </w:t>
      </w:r>
      <w:r w:rsidRPr="00863EB4">
        <w:rPr>
          <w:b/>
        </w:rPr>
        <w:t>REMAIN ACTIVATED IN:</w:t>
      </w:r>
    </w:p>
    <w:p w:rsidR="00A47014" w:rsidP="00A47014" w14:paraId="2EE38FCE" w14:textId="77777777">
      <w:pPr>
        <w:spacing w:after="120"/>
        <w:ind w:right="318"/>
        <w:contextualSpacing/>
        <w:rPr>
          <w:color w:val="1A1919"/>
          <w:szCs w:val="22"/>
        </w:rPr>
      </w:pPr>
    </w:p>
    <w:p w:rsidR="00A47014" w:rsidP="00A47014" w14:paraId="77329910" w14:textId="6EE1B069">
      <w:pPr>
        <w:tabs>
          <w:tab w:val="center" w:pos="5184"/>
        </w:tabs>
        <w:rPr>
          <w:szCs w:val="22"/>
        </w:rPr>
      </w:pPr>
      <w:r w:rsidRPr="000B1610">
        <w:rPr>
          <w:b/>
          <w:bCs/>
          <w:szCs w:val="22"/>
        </w:rPr>
        <w:t>Mississippi:</w:t>
      </w:r>
      <w:r>
        <w:rPr>
          <w:b/>
          <w:bCs/>
          <w:szCs w:val="22"/>
        </w:rPr>
        <w:t xml:space="preserve"> </w:t>
      </w:r>
      <w:r w:rsidRPr="000B1610">
        <w:rPr>
          <w:b/>
          <w:bCs/>
          <w:szCs w:val="22"/>
        </w:rPr>
        <w:t xml:space="preserve"> </w:t>
      </w:r>
      <w:r w:rsidRPr="000B1610">
        <w:rPr>
          <w:szCs w:val="22"/>
        </w:rPr>
        <w:t xml:space="preserve">Adams, Alcorn, </w:t>
      </w:r>
      <w:r>
        <w:rPr>
          <w:szCs w:val="22"/>
        </w:rPr>
        <w:t xml:space="preserve">Amite, </w:t>
      </w:r>
      <w:r w:rsidRPr="000B1610">
        <w:rPr>
          <w:szCs w:val="22"/>
        </w:rPr>
        <w:t>Attala, Benton, Bolivar, Calhoun, Carroll, Chickasaw, Choctaw, Claiborne, Clarke, Clay, Coahoma, Copiah, Covington, DeSoto, Franklin, Grenada, Hinds, Holmes, Humphreys, Itawamba, Issaquena, Jasper, Jefferson, Jefferson Davis, Jones, Kemper, Lafayette, Lauderdale, Lawrence, Leake, Lee, Leflore, Lincoln, Lowndes, Madison, Marion, Marshall, Monroe, Montgomery, Neshoba, Newton, Noxubee, Oktibbeha, Panola, Pike, Pontotoc, Prentiss, Quitman, Rankin, Scott, Sharkey, Simpson, Smith, Sunflower, Tallahatchie, Tate, Tishomingo, Tippah, Tunica, Union, Warren, Washington, Wayne, Webster, Winston, Yalobusha, and Yazoo</w:t>
      </w:r>
    </w:p>
    <w:p w:rsidR="00E01BEC" w:rsidRPr="000B1610" w:rsidP="00A47014" w14:paraId="0FAD2C7E" w14:textId="77777777">
      <w:pPr>
        <w:tabs>
          <w:tab w:val="center" w:pos="5184"/>
        </w:tabs>
        <w:rPr>
          <w:b/>
          <w:bCs/>
          <w:szCs w:val="22"/>
        </w:rPr>
      </w:pPr>
    </w:p>
    <w:p w:rsidR="00955211" w:rsidRPr="00955211" w:rsidP="00955211" w14:paraId="0E9FB7DE" w14:textId="77777777">
      <w:pPr>
        <w:tabs>
          <w:tab w:val="center" w:pos="5184"/>
        </w:tabs>
        <w:rPr>
          <w:b/>
          <w:bCs/>
          <w:szCs w:val="22"/>
        </w:rPr>
      </w:pPr>
      <w:r w:rsidRPr="00955211">
        <w:rPr>
          <w:b/>
          <w:bCs/>
          <w:szCs w:val="22"/>
        </w:rPr>
        <w:t xml:space="preserve">Tennessee:  </w:t>
      </w:r>
      <w:r w:rsidRPr="00955211">
        <w:rPr>
          <w:szCs w:val="22"/>
        </w:rPr>
        <w:t>Benton, Cheatham, Chester, Clay, Davidson, Decatur, Dickson, Giles, Hardeman, Hardin, Henderson, Hickman, Lawrence, Macon, Marshall, Maury, McNairy, Montgomery, Overton, Perry, Robertson, Rutherford, Shelby, Smith, Sumner, Trousdale, Wayne, Williamson, and Wilson</w:t>
      </w:r>
    </w:p>
    <w:p w:rsidR="00A47014" w:rsidP="00A47014" w14:paraId="50BAE2BC" w14:textId="77777777"/>
    <w:p w:rsidR="00A47014" w:rsidP="00320AA5" w14:paraId="0AF3DF10" w14:textId="566BDAF8">
      <w:pPr>
        <w:spacing w:after="120"/>
        <w:ind w:firstLine="720"/>
      </w:pPr>
      <w:r>
        <w:t xml:space="preserve">Providers should continue to provide information for the counties in which DIRS and the MDRI remain activated.  </w:t>
      </w:r>
    </w:p>
    <w:p w:rsidR="00A47014" w:rsidRPr="00320AA5" w:rsidP="00320AA5" w14:paraId="31112F75" w14:textId="4D41FB5A">
      <w:pPr>
        <w:spacing w:after="120"/>
        <w:ind w:firstLine="720"/>
      </w:pPr>
      <w:r>
        <w:rPr>
          <w:szCs w:val="22"/>
        </w:rPr>
        <w:t>The FCC</w:t>
      </w:r>
      <w:r w:rsidRPr="0094185D">
        <w:rPr>
          <w:szCs w:val="22"/>
        </w:rPr>
        <w:t xml:space="preserve"> continues to monitor this event and may amend the DIRS or </w:t>
      </w:r>
      <w:r>
        <w:rPr>
          <w:szCs w:val="22"/>
        </w:rPr>
        <w:t xml:space="preserve">the </w:t>
      </w:r>
      <w:r w:rsidRPr="0094185D">
        <w:rPr>
          <w:szCs w:val="22"/>
        </w:rPr>
        <w:t>MDRI activation area in the coming days.</w:t>
      </w:r>
      <w:r w:rsidRPr="00A24DA3">
        <w:t xml:space="preserve">  </w:t>
      </w:r>
    </w:p>
    <w:p w:rsidR="00A47014" w:rsidRPr="00A24DA3" w:rsidP="00320AA5" w14:paraId="7B565BB7" w14:textId="77777777">
      <w:pPr>
        <w:spacing w:after="120"/>
        <w:rPr>
          <w:szCs w:val="22"/>
        </w:rPr>
      </w:pPr>
      <w:r w:rsidRPr="00A24DA3">
        <w:rPr>
          <w:szCs w:val="22"/>
        </w:rPr>
        <w:t xml:space="preserve">For </w:t>
      </w:r>
      <w:r>
        <w:rPr>
          <w:szCs w:val="22"/>
        </w:rPr>
        <w:t>f</w:t>
      </w:r>
      <w:r w:rsidRPr="00A24DA3">
        <w:rPr>
          <w:szCs w:val="22"/>
        </w:rPr>
        <w:t>urther information on</w:t>
      </w:r>
      <w:r>
        <w:rPr>
          <w:szCs w:val="22"/>
        </w:rPr>
        <w:t xml:space="preserve"> this </w:t>
      </w:r>
      <w:r w:rsidRPr="00A24DA3">
        <w:rPr>
          <w:szCs w:val="22"/>
        </w:rPr>
        <w:t>DIRS</w:t>
      </w:r>
      <w:r>
        <w:rPr>
          <w:szCs w:val="22"/>
        </w:rPr>
        <w:t xml:space="preserve"> activation</w:t>
      </w:r>
      <w:r w:rsidRPr="00A24DA3">
        <w:rPr>
          <w:szCs w:val="22"/>
        </w:rPr>
        <w:t>, please contact:</w:t>
      </w:r>
    </w:p>
    <w:p w:rsidR="00A47014" w:rsidP="00A47014" w14:paraId="3B096EDF" w14:textId="77777777">
      <w:pPr>
        <w:tabs>
          <w:tab w:val="center" w:pos="5184"/>
        </w:tabs>
        <w:spacing w:after="120"/>
        <w:contextualSpacing/>
        <w:rPr>
          <w:szCs w:val="22"/>
        </w:rPr>
      </w:pPr>
    </w:p>
    <w:p w:rsidR="00A47014" w:rsidRPr="00C46062" w:rsidP="00A47014" w14:paraId="73EF305C" w14:textId="77777777">
      <w:pPr>
        <w:tabs>
          <w:tab w:val="center" w:pos="5184"/>
        </w:tabs>
        <w:spacing w:after="120"/>
        <w:contextualSpacing/>
        <w:rPr>
          <w:color w:val="0000FF"/>
          <w:szCs w:val="22"/>
          <w:u w:val="single"/>
        </w:rPr>
      </w:pPr>
      <w:r w:rsidRPr="00A24DA3">
        <w:rPr>
          <w:szCs w:val="22"/>
        </w:rPr>
        <w:t xml:space="preserve">Michael Caiafa (202) 418-1311, </w:t>
      </w:r>
      <w:hyperlink r:id="rId6" w:history="1">
        <w:r w:rsidRPr="00C46062">
          <w:rPr>
            <w:color w:val="0000FF"/>
            <w:szCs w:val="22"/>
            <w:u w:val="single"/>
          </w:rPr>
          <w:t>michael.caiafa@fcc.gov</w:t>
        </w:r>
      </w:hyperlink>
    </w:p>
    <w:p w:rsidR="00A47014" w:rsidRPr="00C46062" w:rsidP="00A47014" w14:paraId="3A1F20F9" w14:textId="77777777">
      <w:pPr>
        <w:spacing w:after="120"/>
        <w:contextualSpacing/>
        <w:rPr>
          <w:color w:val="0000FF"/>
          <w:szCs w:val="22"/>
          <w:u w:val="single"/>
        </w:rPr>
      </w:pPr>
      <w:r w:rsidRPr="00A24DA3">
        <w:rPr>
          <w:szCs w:val="22"/>
        </w:rPr>
        <w:t xml:space="preserve">John Healy (215) 847-8094, </w:t>
      </w:r>
      <w:hyperlink r:id="rId7" w:history="1">
        <w:r w:rsidRPr="00C46062">
          <w:rPr>
            <w:color w:val="0000FF"/>
            <w:szCs w:val="22"/>
            <w:u w:val="single"/>
          </w:rPr>
          <w:t>john.healy@fcc.gov</w:t>
        </w:r>
      </w:hyperlink>
    </w:p>
    <w:p w:rsidR="00A47014" w:rsidRPr="00C46062" w:rsidP="00A47014" w14:paraId="5740CB7E" w14:textId="77777777">
      <w:pPr>
        <w:spacing w:after="120"/>
        <w:contextualSpacing/>
        <w:rPr>
          <w:color w:val="0000FF"/>
          <w:szCs w:val="22"/>
          <w:u w:val="single"/>
        </w:rPr>
      </w:pPr>
      <w:r w:rsidRPr="00C46062">
        <w:rPr>
          <w:szCs w:val="22"/>
        </w:rPr>
        <w:t xml:space="preserve">Juan Chapa, (202) 418-0431, </w:t>
      </w:r>
      <w:hyperlink r:id="rId8" w:history="1">
        <w:r w:rsidRPr="00C46062">
          <w:rPr>
            <w:color w:val="0000FF"/>
            <w:szCs w:val="22"/>
            <w:u w:val="single"/>
          </w:rPr>
          <w:t>juan.chapa@fcc.gov</w:t>
        </w:r>
      </w:hyperlink>
      <w:r w:rsidRPr="00C46062">
        <w:rPr>
          <w:color w:val="0000FF"/>
          <w:szCs w:val="22"/>
          <w:u w:val="single"/>
        </w:rPr>
        <w:t xml:space="preserve"> </w:t>
      </w:r>
    </w:p>
    <w:p w:rsidR="00A47014" w:rsidRPr="00C46062" w:rsidP="00A47014" w14:paraId="6BCB9536" w14:textId="77777777">
      <w:pPr>
        <w:spacing w:after="120"/>
        <w:contextualSpacing/>
        <w:rPr>
          <w:color w:val="0000FF"/>
          <w:szCs w:val="22"/>
          <w:u w:val="single"/>
        </w:rPr>
      </w:pPr>
      <w:r w:rsidRPr="00A24DA3">
        <w:rPr>
          <w:szCs w:val="22"/>
        </w:rPr>
        <w:t xml:space="preserve">FCC 24/7 Operations Center (202) 418-1122, </w:t>
      </w:r>
      <w:hyperlink r:id="rId9" w:history="1">
        <w:r w:rsidRPr="00C46062">
          <w:rPr>
            <w:color w:val="0000FF"/>
            <w:szCs w:val="22"/>
            <w:u w:val="single"/>
          </w:rPr>
          <w:t>fccoperationcenter@fcc.gov</w:t>
        </w:r>
      </w:hyperlink>
      <w:r w:rsidRPr="00C46062">
        <w:rPr>
          <w:color w:val="0000FF"/>
          <w:szCs w:val="22"/>
          <w:u w:val="single"/>
        </w:rPr>
        <w:t xml:space="preserve"> </w:t>
      </w:r>
    </w:p>
    <w:p w:rsidR="00A47014" w:rsidRPr="00C46062" w:rsidP="00A47014" w14:paraId="7C281CCB" w14:textId="77777777">
      <w:pPr>
        <w:spacing w:after="120"/>
        <w:contextualSpacing/>
        <w:rPr>
          <w:color w:val="0000FF"/>
          <w:szCs w:val="22"/>
          <w:u w:val="single"/>
        </w:rPr>
      </w:pPr>
    </w:p>
    <w:p w:rsidR="00A47014" w:rsidRPr="00A24DA3" w:rsidP="00A47014" w14:paraId="29E59268" w14:textId="77777777">
      <w:pPr>
        <w:tabs>
          <w:tab w:val="center" w:pos="5184"/>
        </w:tabs>
        <w:spacing w:after="120"/>
        <w:contextualSpacing/>
        <w:rPr>
          <w:szCs w:val="22"/>
        </w:rPr>
      </w:pPr>
      <w:r w:rsidRPr="00A24DA3">
        <w:t xml:space="preserve">For </w:t>
      </w:r>
      <w:r w:rsidRPr="00A24DA3">
        <w:rPr>
          <w:szCs w:val="22"/>
        </w:rPr>
        <w:t>further information concerning this MDRI activation, please contact:</w:t>
      </w:r>
    </w:p>
    <w:p w:rsidR="00A47014" w:rsidRPr="00A24DA3" w:rsidP="00A47014" w14:paraId="672E6098" w14:textId="77777777">
      <w:pPr>
        <w:tabs>
          <w:tab w:val="center" w:pos="5184"/>
        </w:tabs>
        <w:spacing w:after="120"/>
        <w:contextualSpacing/>
        <w:rPr>
          <w:szCs w:val="22"/>
        </w:rPr>
      </w:pPr>
      <w:r w:rsidRPr="00A24DA3">
        <w:rPr>
          <w:szCs w:val="22"/>
        </w:rPr>
        <w:t xml:space="preserve"> </w:t>
      </w:r>
    </w:p>
    <w:p w:rsidR="00A47014" w:rsidRPr="00A24DA3" w:rsidP="00A47014" w14:paraId="793C85A0" w14:textId="77777777">
      <w:pPr>
        <w:tabs>
          <w:tab w:val="center" w:pos="5184"/>
        </w:tabs>
        <w:spacing w:after="120"/>
        <w:contextualSpacing/>
        <w:rPr>
          <w:szCs w:val="22"/>
        </w:rPr>
      </w:pPr>
      <w:r w:rsidRPr="00A24DA3">
        <w:rPr>
          <w:szCs w:val="22"/>
        </w:rPr>
        <w:t xml:space="preserve">Justin Cain, (202) 853-7365, (202) 418-2924, </w:t>
      </w:r>
      <w:hyperlink r:id="rId10" w:history="1">
        <w:r w:rsidRPr="00C46062">
          <w:rPr>
            <w:color w:val="0000FF"/>
            <w:szCs w:val="22"/>
            <w:u w:val="single"/>
          </w:rPr>
          <w:t>justin.cain@fcc.gov</w:t>
        </w:r>
      </w:hyperlink>
      <w:r w:rsidRPr="00A24DA3">
        <w:rPr>
          <w:szCs w:val="22"/>
        </w:rPr>
        <w:t xml:space="preserve">  </w:t>
      </w:r>
    </w:p>
    <w:p w:rsidR="00A47014" w:rsidRPr="00A24DA3" w:rsidP="00A47014" w14:paraId="21DF463C" w14:textId="77777777">
      <w:pPr>
        <w:tabs>
          <w:tab w:val="center" w:pos="5184"/>
        </w:tabs>
        <w:spacing w:after="120"/>
        <w:contextualSpacing/>
        <w:rPr>
          <w:szCs w:val="22"/>
        </w:rPr>
      </w:pPr>
      <w:r w:rsidRPr="00A24DA3">
        <w:rPr>
          <w:szCs w:val="22"/>
        </w:rPr>
        <w:t xml:space="preserve">Logan Bennett, (202) 418-7790, </w:t>
      </w:r>
      <w:hyperlink r:id="rId11" w:history="1">
        <w:r w:rsidRPr="00C46062">
          <w:rPr>
            <w:color w:val="0000FF"/>
            <w:szCs w:val="22"/>
            <w:u w:val="single"/>
          </w:rPr>
          <w:t>logan.bennett@fcc.gov</w:t>
        </w:r>
      </w:hyperlink>
      <w:r w:rsidRPr="00A24DA3">
        <w:rPr>
          <w:szCs w:val="22"/>
        </w:rPr>
        <w:t xml:space="preserve"> </w:t>
      </w:r>
    </w:p>
    <w:p w:rsidR="00A47014" w:rsidP="00A47014" w14:paraId="0D96300F" w14:textId="77777777">
      <w:pPr>
        <w:spacing w:after="120"/>
        <w:contextualSpacing/>
      </w:pPr>
      <w:r w:rsidRPr="00A24DA3">
        <w:rPr>
          <w:szCs w:val="22"/>
        </w:rPr>
        <w:t xml:space="preserve">FCC 24/7 Operations Center, (202) 418-1122, </w:t>
      </w:r>
      <w:hyperlink r:id="rId12" w:history="1">
        <w:r w:rsidRPr="00C46062">
          <w:rPr>
            <w:color w:val="0000FF"/>
            <w:szCs w:val="22"/>
            <w:u w:val="single"/>
          </w:rPr>
          <w:t>fccops@fcc.gov</w:t>
        </w:r>
      </w:hyperlink>
    </w:p>
    <w:p w:rsidR="00A47014" w:rsidP="00A47014" w14:paraId="55BE7522" w14:textId="77777777">
      <w:pPr>
        <w:spacing w:after="120"/>
        <w:contextualSpacing/>
      </w:pPr>
    </w:p>
    <w:p w:rsidR="00A47014" w:rsidP="00A47014" w14:paraId="06A07059" w14:textId="77777777">
      <w:pPr>
        <w:spacing w:after="120"/>
        <w:contextualSpacing/>
      </w:pPr>
      <w:r w:rsidRPr="00A24DA3">
        <w:t>For more information on the FCC’s response to</w:t>
      </w:r>
      <w:r>
        <w:t xml:space="preserve"> Winter Storm Fern</w:t>
      </w:r>
      <w:r w:rsidRPr="00A24DA3">
        <w:t>,</w:t>
      </w:r>
      <w:r w:rsidRPr="00A24DA3">
        <w:rPr>
          <w:color w:val="FF0000"/>
        </w:rPr>
        <w:t xml:space="preserve"> </w:t>
      </w:r>
      <w:r w:rsidRPr="002D7F53">
        <w:t xml:space="preserve">please </w:t>
      </w:r>
      <w:r w:rsidRPr="00A24DA3">
        <w:t>visit</w:t>
      </w:r>
      <w:r>
        <w:t xml:space="preserve"> </w:t>
      </w:r>
      <w:hyperlink r:id="rId13" w:history="1">
        <w:r w:rsidRPr="00C46062">
          <w:rPr>
            <w:rStyle w:val="Hyperlink"/>
          </w:rPr>
          <w:t>https://www.fcc.gov/fern</w:t>
        </w:r>
      </w:hyperlink>
      <w:r w:rsidRPr="00A24DA3">
        <w:t>.</w:t>
      </w:r>
    </w:p>
    <w:p w:rsidR="00A47014" w:rsidP="00A47014" w14:paraId="5402B563" w14:textId="77777777">
      <w:pPr>
        <w:jc w:val="center"/>
        <w:rPr>
          <w:szCs w:val="22"/>
        </w:rPr>
      </w:pPr>
    </w:p>
    <w:p w:rsidR="00A47014" w:rsidP="00A47014" w14:paraId="06F57381" w14:textId="77777777">
      <w:pPr>
        <w:jc w:val="center"/>
        <w:rPr>
          <w:szCs w:val="22"/>
        </w:rPr>
      </w:pPr>
    </w:p>
    <w:p w:rsidR="00A47014" w:rsidRPr="006053BD" w:rsidP="00A47014" w14:paraId="115CDBDB" w14:textId="77777777">
      <w:pPr>
        <w:jc w:val="center"/>
        <w:rPr>
          <w:szCs w:val="22"/>
        </w:rPr>
      </w:pPr>
      <w:r w:rsidRPr="002A551D">
        <w:rPr>
          <w:szCs w:val="22"/>
        </w:rPr>
        <w:t>- FCC -</w:t>
      </w:r>
    </w:p>
    <w:p w:rsidR="00A36DF2" w:rsidRPr="00F443AD" w:rsidP="00A47014" w14:paraId="721AB635" w14:textId="119F7F4E">
      <w:pPr>
        <w:spacing w:after="120"/>
        <w:ind w:right="318"/>
        <w:contextualSpacing/>
        <w:rPr>
          <w:color w:val="1A1919"/>
          <w:szCs w:val="22"/>
          <w:vertAlign w:val="superscript"/>
        </w:rPr>
      </w:pPr>
      <w:r>
        <w:rPr>
          <w:color w:val="1A1919"/>
          <w:szCs w:val="22"/>
        </w:rPr>
        <w:t xml:space="preserve"> </w:t>
      </w:r>
    </w:p>
    <w:p w:rsidR="00A36DF2" w:rsidP="00343FB1" w14:paraId="414AEAB3" w14:textId="77777777">
      <w:pPr>
        <w:spacing w:after="120"/>
        <w:ind w:firstLine="720"/>
        <w:contextualSpacing/>
      </w:pPr>
    </w:p>
    <w:p w:rsidR="00BA3BA8" w14:paraId="4F1AC34F" w14:textId="77777777"/>
    <w:p w:rsidR="00FC5F52" w:rsidP="00FC5F52" w14:paraId="6DF134E0" w14:textId="750A633A">
      <w:pPr>
        <w:spacing w:after="120"/>
        <w:contextualSpacing/>
      </w:pPr>
      <w:r>
        <w:tab/>
      </w:r>
    </w:p>
    <w:p w:rsidR="00BA3BA8" w14:paraId="50C39433" w14:textId="77777777"/>
    <w:p w:rsidR="00BA3BA8" w14:paraId="7A1954F2" w14:textId="77777777"/>
    <w:bookmarkEnd w:id="2"/>
    <w:p w:rsidR="00BA3BA8" w14:paraId="38DCC1C0" w14:textId="77777777"/>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4A82" w14:paraId="3C331099" w14:textId="77777777">
      <w:pPr>
        <w:spacing w:line="20" w:lineRule="exact"/>
      </w:pPr>
    </w:p>
  </w:endnote>
  <w:endnote w:type="continuationSeparator" w:id="1">
    <w:p w:rsidR="000B4A82" w14:paraId="2F9344A1" w14:textId="77777777">
      <w:r>
        <w:t xml:space="preserve"> </w:t>
      </w:r>
    </w:p>
  </w:endnote>
  <w:endnote w:type="continuationNotice" w:id="2">
    <w:p w:rsidR="000B4A82" w14:paraId="4278F53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5F1F61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4E7AC4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D5DDDD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A6EFD3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4A82" w14:paraId="4ABACBAA" w14:textId="77777777">
      <w:r>
        <w:separator/>
      </w:r>
    </w:p>
  </w:footnote>
  <w:footnote w:type="continuationSeparator" w:id="1">
    <w:p w:rsidR="000B4A82" w14:paraId="2FE7C068" w14:textId="77777777">
      <w:pPr>
        <w:rPr>
          <w:sz w:val="20"/>
        </w:rPr>
      </w:pPr>
      <w:r>
        <w:rPr>
          <w:sz w:val="20"/>
        </w:rPr>
        <w:t xml:space="preserve">(Continued from previous page)  </w:t>
      </w:r>
      <w:r>
        <w:rPr>
          <w:sz w:val="20"/>
        </w:rPr>
        <w:separator/>
      </w:r>
    </w:p>
  </w:footnote>
  <w:footnote w:type="continuationNotice" w:id="2">
    <w:p w:rsidR="000B4A82" w14:paraId="1E2AEC2B" w14:textId="77777777">
      <w:pPr>
        <w:jc w:val="right"/>
        <w:rPr>
          <w:sz w:val="20"/>
        </w:rPr>
      </w:pPr>
      <w:r>
        <w:rPr>
          <w:sz w:val="20"/>
        </w:rPr>
        <w:t>(continued….)</w:t>
      </w:r>
    </w:p>
  </w:footnote>
  <w:footnote w:id="3">
    <w:p w:rsidR="00FC5F52" w:rsidRPr="009C4FC4" w:rsidP="00FC5F52" w14:paraId="19659841" w14:textId="77777777">
      <w:pPr>
        <w:pStyle w:val="FootnoteText"/>
        <w:spacing w:before="120"/>
      </w:pPr>
      <w:r w:rsidRPr="00C46062">
        <w:rPr>
          <w:rStyle w:val="FootnoteReference"/>
          <w:sz w:val="20"/>
        </w:rPr>
        <w:footnoteRef/>
      </w:r>
      <w:r>
        <w:t xml:space="preserve"> </w:t>
      </w:r>
      <w:r w:rsidRPr="00EF019B">
        <w:rPr>
          <w:i/>
          <w:iCs/>
        </w:rPr>
        <w:t>The Federal Communications Commission Activates the Disaster Information Reporting System (DIRS) and the Mandatory Disaster Response Initiative (MDRI) In Response To Winter Storm Fern</w:t>
      </w:r>
      <w:r>
        <w:t>, Public Notice, DA 26-77 (PSHSB Jan. 23, 2026).</w:t>
      </w:r>
    </w:p>
  </w:footnote>
  <w:footnote w:id="4">
    <w:p w:rsidR="00FC5F52" w:rsidP="00FC5F52" w14:paraId="698EC14A" w14:textId="77777777">
      <w:pPr>
        <w:pStyle w:val="FootnoteText"/>
        <w:spacing w:before="120"/>
      </w:pPr>
      <w:r>
        <w:rPr>
          <w:rStyle w:val="FootnoteReference"/>
        </w:rPr>
        <w:footnoteRef/>
      </w:r>
      <w:r>
        <w:t xml:space="preserve"> </w:t>
      </w:r>
      <w:r w:rsidRPr="00EF019B">
        <w:rPr>
          <w:i/>
          <w:iCs/>
        </w:rPr>
        <w:t xml:space="preserve">The Federal Communications Commission </w:t>
      </w:r>
      <w:r>
        <w:rPr>
          <w:i/>
          <w:iCs/>
        </w:rPr>
        <w:t>Announces</w:t>
      </w:r>
      <w:r w:rsidRPr="00EF019B">
        <w:rPr>
          <w:i/>
          <w:iCs/>
        </w:rPr>
        <w:t xml:space="preserve"> the </w:t>
      </w:r>
      <w:r>
        <w:rPr>
          <w:i/>
          <w:iCs/>
        </w:rPr>
        <w:t>Expansion of the</w:t>
      </w:r>
      <w:r w:rsidRPr="00EF019B">
        <w:rPr>
          <w:i/>
          <w:iCs/>
        </w:rPr>
        <w:t xml:space="preserve"> </w:t>
      </w:r>
      <w:r>
        <w:rPr>
          <w:i/>
          <w:iCs/>
        </w:rPr>
        <w:t xml:space="preserve">Disaster </w:t>
      </w:r>
      <w:r w:rsidRPr="00EF019B">
        <w:rPr>
          <w:i/>
          <w:iCs/>
        </w:rPr>
        <w:t xml:space="preserve">Information Reporting System and the Mandatory Disaster Response Initiative </w:t>
      </w:r>
      <w:r>
        <w:rPr>
          <w:i/>
          <w:iCs/>
        </w:rPr>
        <w:t>For Communications Impacted By W</w:t>
      </w:r>
      <w:r w:rsidRPr="00EF019B">
        <w:rPr>
          <w:i/>
          <w:iCs/>
        </w:rPr>
        <w:t>inter Storm Fern</w:t>
      </w:r>
      <w:r>
        <w:t>, Public Notice, DA 26-83 (PSHSB Jan. 24, 2026).</w:t>
      </w:r>
    </w:p>
  </w:footnote>
  <w:footnote w:id="5">
    <w:p w:rsidR="00FC5F52" w:rsidRPr="001C07E2" w:rsidP="00FC5F52" w14:paraId="249A1F42" w14:textId="77777777">
      <w:pPr>
        <w:pStyle w:val="FootnoteText"/>
      </w:pPr>
      <w:r>
        <w:rPr>
          <w:rStyle w:val="FootnoteReference"/>
        </w:rPr>
        <w:footnoteRef/>
      </w:r>
      <w:r>
        <w:t xml:space="preserve"> </w:t>
      </w:r>
      <w:r>
        <w:rPr>
          <w:i/>
          <w:iCs/>
        </w:rPr>
        <w:t>The Federal Communications Commission Modifies the Activation of the Disaster Information Reporting System and the Mandatory Disaster Response Initiative For Communications Impacted by Winter Storm Fern</w:t>
      </w:r>
      <w:r w:rsidRPr="001C07E2">
        <w:t>,</w:t>
      </w:r>
      <w:r>
        <w:t xml:space="preserve"> Public Notice, DA 26-84 (PSHSB Jan. 25, 2026).</w:t>
      </w:r>
    </w:p>
  </w:footnote>
  <w:footnote w:id="6">
    <w:p w:rsidR="00FC5F52" w14:paraId="5515923D" w14:textId="5184DFD2">
      <w:pPr>
        <w:pStyle w:val="FootnoteText"/>
      </w:pPr>
      <w:r>
        <w:rPr>
          <w:rStyle w:val="FootnoteReference"/>
        </w:rPr>
        <w:footnoteRef/>
      </w:r>
      <w:r>
        <w:t xml:space="preserve"> </w:t>
      </w:r>
      <w:r w:rsidRPr="00FC5F52">
        <w:rPr>
          <w:i/>
          <w:iCs/>
        </w:rPr>
        <w:t xml:space="preserve">The Federal Communications Commission Deactivates the Disaster Information Reporting System and the Mandatory Disaster Response Initiative in Several States </w:t>
      </w:r>
      <w:r>
        <w:rPr>
          <w:i/>
          <w:iCs/>
        </w:rPr>
        <w:t>f</w:t>
      </w:r>
      <w:r w:rsidRPr="00FC5F52">
        <w:rPr>
          <w:i/>
          <w:iCs/>
        </w:rPr>
        <w:t>or Communications Impacted by Winter Storm Fern</w:t>
      </w:r>
      <w:r>
        <w:t>, Public Notice, DA 26-87 (PSHSB Jan. 26, 2026).</w:t>
      </w:r>
    </w:p>
  </w:footnote>
  <w:footnote w:id="7">
    <w:p w:rsidR="00343FB1" w:rsidP="00343FB1" w14:paraId="0706E6C8" w14:textId="77777777">
      <w:pPr>
        <w:pStyle w:val="FootnoteText"/>
        <w:spacing w:before="120"/>
      </w:pPr>
      <w:r w:rsidRPr="00C46062">
        <w:rPr>
          <w:rStyle w:val="FootnoteReference"/>
          <w:sz w:val="20"/>
        </w:rPr>
        <w:footnoteRef/>
      </w:r>
      <w:r>
        <w:t xml:space="preserve"> </w:t>
      </w:r>
      <w:r>
        <w:rPr>
          <w:i/>
          <w:iCs/>
        </w:rPr>
        <w:t xml:space="preserve">See </w:t>
      </w:r>
      <w:r>
        <w:t xml:space="preserve">47 CFR § 4.18(a)(1). </w:t>
      </w:r>
    </w:p>
  </w:footnote>
  <w:footnote w:id="8">
    <w:p w:rsidR="00343FB1" w:rsidP="00343FB1" w14:paraId="2ED02ED2" w14:textId="77777777">
      <w:pPr>
        <w:pStyle w:val="FootnoteText"/>
        <w:spacing w:before="120"/>
      </w:pPr>
      <w:r w:rsidRPr="00C46062">
        <w:rPr>
          <w:rStyle w:val="FootnoteReference"/>
          <w:sz w:val="20"/>
        </w:rPr>
        <w:footnoteRef/>
      </w:r>
      <w:r>
        <w:t xml:space="preserve"> 47 CFR § 4.18(a)(2).  </w:t>
      </w:r>
    </w:p>
  </w:footnote>
  <w:footnote w:id="9">
    <w:p w:rsidR="00A36DF2" w:rsidRPr="00EE261D" w:rsidP="00A36DF2" w14:paraId="05CCFFA6" w14:textId="77777777">
      <w:pPr>
        <w:pStyle w:val="FootnoteText"/>
        <w:spacing w:before="120"/>
      </w:pPr>
      <w:r w:rsidRPr="00A36DF2">
        <w:rPr>
          <w:rStyle w:val="FootnoteReference"/>
          <w:sz w:val="20"/>
        </w:rPr>
        <w:footnoteRef/>
      </w:r>
      <w:r w:rsidRPr="00EE261D">
        <w:t xml:space="preserve"> </w:t>
      </w:r>
      <w:r>
        <w:rPr>
          <w:i/>
          <w:iCs/>
        </w:rPr>
        <w:t xml:space="preserve">See </w:t>
      </w:r>
      <w:r w:rsidRPr="00EE261D">
        <w:t xml:space="preserve">47 CFR </w:t>
      </w:r>
      <w:r>
        <w:t xml:space="preserve">§ </w:t>
      </w:r>
      <w:r w:rsidRPr="00EE261D">
        <w:t>4</w:t>
      </w:r>
      <w:r>
        <w:t>.18(b)</w:t>
      </w:r>
      <w:r w:rsidRPr="00EE26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920" w14:paraId="66DEA8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FDEA57B" w14:textId="5EE930D0">
    <w:pPr>
      <w:tabs>
        <w:tab w:val="center" w:pos="4680"/>
        <w:tab w:val="right" w:pos="9360"/>
      </w:tabs>
    </w:pPr>
    <w:r>
      <w:rPr>
        <w:b/>
      </w:rPr>
      <w:tab/>
      <w:t>Federal Communications Commission</w:t>
    </w:r>
    <w:r>
      <w:rPr>
        <w:b/>
      </w:rPr>
      <w:tab/>
    </w:r>
    <w:r w:rsidR="0054451D">
      <w:rPr>
        <w:b/>
      </w:rPr>
      <w:t xml:space="preserve">DA </w:t>
    </w:r>
    <w:r w:rsidR="0054451D">
      <w:rPr>
        <w:b/>
      </w:rPr>
      <w:t>26-</w:t>
    </w:r>
    <w:r w:rsidR="00277920">
      <w:rPr>
        <w:b/>
      </w:rPr>
      <w:t>91</w:t>
    </w:r>
  </w:p>
  <w:p w:rsidR="00BA3BA8" w14:paraId="6B7F25E4"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07DD7D3D"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C19D2AB"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5pt;height:112.5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45071547">
    <w:abstractNumId w:val="1"/>
  </w:num>
  <w:num w:numId="2" w16cid:durableId="523247056">
    <w:abstractNumId w:val="5"/>
  </w:num>
  <w:num w:numId="3" w16cid:durableId="1640264581">
    <w:abstractNumId w:val="3"/>
  </w:num>
  <w:num w:numId="4" w16cid:durableId="376049887">
    <w:abstractNumId w:val="4"/>
  </w:num>
  <w:num w:numId="5" w16cid:durableId="1753353810">
    <w:abstractNumId w:val="2"/>
  </w:num>
  <w:num w:numId="6" w16cid:durableId="18790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52"/>
    <w:rsid w:val="000054F8"/>
    <w:rsid w:val="00065654"/>
    <w:rsid w:val="000A11A1"/>
    <w:rsid w:val="000A5EC2"/>
    <w:rsid w:val="000B1610"/>
    <w:rsid w:val="000B4A82"/>
    <w:rsid w:val="0011334A"/>
    <w:rsid w:val="001164E3"/>
    <w:rsid w:val="00173E1D"/>
    <w:rsid w:val="001C07E2"/>
    <w:rsid w:val="001D1264"/>
    <w:rsid w:val="001E29DD"/>
    <w:rsid w:val="001F3D47"/>
    <w:rsid w:val="002016DE"/>
    <w:rsid w:val="002259AA"/>
    <w:rsid w:val="00225D0A"/>
    <w:rsid w:val="00277920"/>
    <w:rsid w:val="002A551D"/>
    <w:rsid w:val="002B0872"/>
    <w:rsid w:val="002D7F53"/>
    <w:rsid w:val="00320AA5"/>
    <w:rsid w:val="00335F71"/>
    <w:rsid w:val="00342A9B"/>
    <w:rsid w:val="00343FB1"/>
    <w:rsid w:val="003F6DA1"/>
    <w:rsid w:val="00410992"/>
    <w:rsid w:val="00430183"/>
    <w:rsid w:val="00456B06"/>
    <w:rsid w:val="00461535"/>
    <w:rsid w:val="004F736E"/>
    <w:rsid w:val="00532AE8"/>
    <w:rsid w:val="0054393B"/>
    <w:rsid w:val="0054451D"/>
    <w:rsid w:val="005F3984"/>
    <w:rsid w:val="006053BD"/>
    <w:rsid w:val="00615BDB"/>
    <w:rsid w:val="00635C3B"/>
    <w:rsid w:val="006B2FD4"/>
    <w:rsid w:val="006D7ADC"/>
    <w:rsid w:val="007368AC"/>
    <w:rsid w:val="00782ED8"/>
    <w:rsid w:val="00863EB4"/>
    <w:rsid w:val="008C32D3"/>
    <w:rsid w:val="0094185D"/>
    <w:rsid w:val="00951371"/>
    <w:rsid w:val="009513C5"/>
    <w:rsid w:val="00955211"/>
    <w:rsid w:val="009C4FC4"/>
    <w:rsid w:val="009E614C"/>
    <w:rsid w:val="00A00CF8"/>
    <w:rsid w:val="00A20679"/>
    <w:rsid w:val="00A24DA3"/>
    <w:rsid w:val="00A36DF2"/>
    <w:rsid w:val="00A47014"/>
    <w:rsid w:val="00A74268"/>
    <w:rsid w:val="00A750D8"/>
    <w:rsid w:val="00AB0AFA"/>
    <w:rsid w:val="00B261BF"/>
    <w:rsid w:val="00B90DD1"/>
    <w:rsid w:val="00B92136"/>
    <w:rsid w:val="00BA3BA8"/>
    <w:rsid w:val="00C46062"/>
    <w:rsid w:val="00C72BB2"/>
    <w:rsid w:val="00CB6761"/>
    <w:rsid w:val="00CE1DB3"/>
    <w:rsid w:val="00D15117"/>
    <w:rsid w:val="00DE6598"/>
    <w:rsid w:val="00E01BEC"/>
    <w:rsid w:val="00E11979"/>
    <w:rsid w:val="00EE261D"/>
    <w:rsid w:val="00EF019B"/>
    <w:rsid w:val="00EF466B"/>
    <w:rsid w:val="00F03EA1"/>
    <w:rsid w:val="00F14CDA"/>
    <w:rsid w:val="00F24DD5"/>
    <w:rsid w:val="00F440BA"/>
    <w:rsid w:val="00F443AD"/>
    <w:rsid w:val="00FA01EA"/>
    <w:rsid w:val="00FC5F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988442"/>
  <w15:chartTrackingRefBased/>
  <w15:docId w15:val="{C4E9E3F8-9BC4-4D29-945A-8698C6AA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1 Char,Footnote Text Char1 Char Char,Footnote Text Char1 Char1 Char Char Char Char,Footnote Text Char2,Footnote Text Char2 Char,Footnote Text Char2 Char Char Char Char,fn"/>
    <w:link w:val="FootnoteTextChar"/>
    <w:uiPriority w:val="99"/>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ootnote Text Char Char Char Char Char,Footnote Text Char1 Char Char1,Footnote Text Char1 Char Char Char,Footnote Text Char1 Char1 Char Char Char Char Char,Footnote Text Char2 Char1,Footnote Text Char2 Char Char"/>
    <w:link w:val="FootnoteText"/>
    <w:uiPriority w:val="99"/>
    <w:rsid w:val="00FC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ustin.cain@fcc.gov" TargetMode="External" /><Relationship Id="rId11" Type="http://schemas.openxmlformats.org/officeDocument/2006/relationships/hyperlink" Target="mailto:logan.bennett@fcc.gov" TargetMode="External" /><Relationship Id="rId12" Type="http://schemas.openxmlformats.org/officeDocument/2006/relationships/hyperlink" Target="mailto:fccops@fcc.gov" TargetMode="External" /><Relationship Id="rId13" Type="http://schemas.openxmlformats.org/officeDocument/2006/relationships/hyperlink" Target="https://www.fcc.gov/fern"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ichael.caiafa@fcc.gov" TargetMode="External" /><Relationship Id="rId7" Type="http://schemas.openxmlformats.org/officeDocument/2006/relationships/hyperlink" Target="mailto:john.healy@fcc.gov" TargetMode="External" /><Relationship Id="rId8" Type="http://schemas.openxmlformats.org/officeDocument/2006/relationships/hyperlink" Target="mailto:juan.chapa@fcc.gov" TargetMode="External" /><Relationship Id="rId9" Type="http://schemas.openxmlformats.org/officeDocument/2006/relationships/hyperlink" Target="mailto:fccoperationcenter@fcc.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ebecca.Clinton\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