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0F3DAF" w:rsidRPr="000F3DAF" w:rsidP="00F67564" w14:paraId="3BE3BB90" w14:textId="73ABE45A">
      <w:pPr>
        <w:pStyle w:val="PN-DANumber"/>
      </w:pPr>
      <w:r>
        <w:t>DA 26-</w:t>
      </w:r>
      <w:r w:rsidR="008D1B5E">
        <w:t>924</w:t>
      </w:r>
    </w:p>
    <w:p w:rsidR="000F3DAF" w:rsidRPr="000F3DAF" w:rsidP="00F67564" w14:paraId="2A9F4819" w14:textId="32C3524F">
      <w:pPr>
        <w:pStyle w:val="PNDA-Release"/>
      </w:pPr>
      <w:r>
        <w:t xml:space="preserve">Released:  </w:t>
      </w:r>
      <w:r w:rsidR="00752259">
        <w:t>September 1</w:t>
      </w:r>
      <w:r w:rsidR="002C3F43">
        <w:t>, 2026</w:t>
      </w:r>
    </w:p>
    <w:p w:rsidR="00253E84" w:rsidRPr="000F3DAF" w:rsidP="00253E84" w14:paraId="4A178F27" w14:textId="77777777">
      <w:pPr>
        <w:pStyle w:val="PN-Title"/>
      </w:pPr>
      <w:r w:rsidRPr="00063129">
        <w:t>P</w:t>
      </w:r>
      <w:r>
        <w:t>AYMENT METHODS AND PROCEDURES FOR FISCAL YEAR 2026 REGULATORY FEES</w:t>
      </w:r>
    </w:p>
    <w:p w:rsidR="00253E84" w:rsidRPr="000F4D05" w:rsidP="00AD2EAE" w14:paraId="7C894A8A" w14:textId="7E48ACC5">
      <w:pPr>
        <w:pStyle w:val="NormalIndent"/>
        <w:spacing w:after="240"/>
        <w:ind w:firstLine="0"/>
      </w:pPr>
      <w:r w:rsidRPr="00277D91">
        <w:t xml:space="preserve">On </w:t>
      </w:r>
      <w:r>
        <w:t xml:space="preserve">August </w:t>
      </w:r>
      <w:r w:rsidR="002C3F43">
        <w:t>27</w:t>
      </w:r>
      <w:r>
        <w:t>, 2026</w:t>
      </w:r>
      <w:r w:rsidRPr="00277D91">
        <w:t>, the Commission released</w:t>
      </w:r>
      <w:r>
        <w:t xml:space="preserve"> the</w:t>
      </w:r>
      <w:r w:rsidRPr="00277D91">
        <w:t xml:space="preserve"> </w:t>
      </w:r>
      <w:r w:rsidRPr="00277D91">
        <w:rPr>
          <w:i/>
        </w:rPr>
        <w:t>FY 202</w:t>
      </w:r>
      <w:r>
        <w:rPr>
          <w:i/>
        </w:rPr>
        <w:t>6</w:t>
      </w:r>
      <w:r w:rsidRPr="00277D91">
        <w:rPr>
          <w:i/>
        </w:rPr>
        <w:t xml:space="preserve"> Regulatory Fees Report and Order</w:t>
      </w:r>
      <w:r w:rsidRPr="00277D91">
        <w:t>.</w:t>
      </w:r>
      <w:r>
        <w:rPr>
          <w:rStyle w:val="FootnoteReference"/>
        </w:rPr>
        <w:footnoteReference w:id="2"/>
      </w:r>
      <w:r w:rsidRPr="00277D91">
        <w:t xml:space="preserve">  This document is available for viewing at </w:t>
      </w:r>
      <w:hyperlink r:id="rId5" w:history="1">
        <w:r w:rsidRPr="00277D91">
          <w:rPr>
            <w:rStyle w:val="Hyperlink"/>
          </w:rPr>
          <w:t>http://www.fcc.gov/regfees</w:t>
        </w:r>
      </w:hyperlink>
      <w:r w:rsidRPr="00277D91">
        <w:t xml:space="preserve">.  Regulatory fee payments </w:t>
      </w:r>
      <w:r w:rsidRPr="00CB1B0E">
        <w:rPr>
          <w:u w:val="single"/>
        </w:rPr>
        <w:t>must be received</w:t>
      </w:r>
      <w:r w:rsidRPr="00277D91">
        <w:t xml:space="preserve"> by the Commission no later than 11:59 PM, Eastern Daylight Time, on </w:t>
      </w:r>
      <w:r w:rsidRPr="006836D1">
        <w:rPr>
          <w:bCs/>
        </w:rPr>
        <w:t>September 2</w:t>
      </w:r>
      <w:r>
        <w:rPr>
          <w:bCs/>
        </w:rPr>
        <w:t>4</w:t>
      </w:r>
      <w:r w:rsidRPr="006836D1">
        <w:rPr>
          <w:bCs/>
        </w:rPr>
        <w:t>, 202</w:t>
      </w:r>
      <w:r>
        <w:rPr>
          <w:bCs/>
        </w:rPr>
        <w:t>6</w:t>
      </w:r>
      <w:r w:rsidRPr="00277D91">
        <w:t>.</w:t>
      </w:r>
      <w:r>
        <w:rPr>
          <w:rStyle w:val="FootnoteReference"/>
          <w:bCs/>
        </w:rPr>
        <w:footnoteReference w:id="3"/>
      </w:r>
      <w:r w:rsidRPr="00277D91">
        <w:t xml:space="preserve">  While FY 202</w:t>
      </w:r>
      <w:r>
        <w:t>6</w:t>
      </w:r>
      <w:r w:rsidRPr="00277D91">
        <w:t xml:space="preserve"> regulatory fees will not become effective until the </w:t>
      </w:r>
      <w:r>
        <w:t xml:space="preserve">Order </w:t>
      </w:r>
      <w:r w:rsidRPr="00277D91">
        <w:t xml:space="preserve">is published in the Federal Register, </w:t>
      </w:r>
      <w:r w:rsidRPr="00277D91">
        <w:t>regulatees</w:t>
      </w:r>
      <w:r w:rsidRPr="00277D91">
        <w:t>, at their own discretion, may submit payments at any time before the FY 202</w:t>
      </w:r>
      <w:r>
        <w:t>6</w:t>
      </w:r>
      <w:r w:rsidRPr="00277D91">
        <w:t xml:space="preserve"> regulatory fees due date.  </w:t>
      </w:r>
    </w:p>
    <w:p w:rsidR="00253E84" w:rsidP="00253E84" w14:paraId="39FD7849" w14:textId="77777777">
      <w:pPr>
        <w:shd w:val="clear" w:color="auto" w:fill="FFFFFF"/>
        <w:jc w:val="center"/>
      </w:pPr>
      <w:r>
        <w:rPr>
          <w:b/>
          <w:bCs/>
        </w:rPr>
        <w:t>YOU MUST BE REGISTERED WITH A USERNAME AND PASSWORD TO USE CORES</w:t>
      </w:r>
    </w:p>
    <w:p w:rsidR="00253E84" w:rsidP="00253E84" w14:paraId="4BFC4E94" w14:textId="77777777">
      <w:pPr>
        <w:shd w:val="clear" w:color="auto" w:fill="FFFFFF"/>
      </w:pPr>
    </w:p>
    <w:p w:rsidR="00253E84" w:rsidRPr="00367D90" w:rsidP="00253E84" w14:paraId="295F573D" w14:textId="10535698">
      <w:pPr>
        <w:pStyle w:val="NormalWeb"/>
        <w:shd w:val="clear" w:color="auto" w:fill="FFFFFF"/>
        <w:spacing w:before="0" w:beforeAutospacing="0" w:after="0" w:afterAutospacing="0" w:line="236" w:lineRule="atLeast"/>
        <w:rPr>
          <w:sz w:val="22"/>
          <w:szCs w:val="22"/>
        </w:rPr>
      </w:pPr>
      <w:r w:rsidRPr="00367D90">
        <w:rPr>
          <w:sz w:val="22"/>
          <w:szCs w:val="22"/>
        </w:rPr>
        <w:t xml:space="preserve">The Commission has discontinued the use of the Fee Filer system and incorporated this payment system into the Commission Registration System (CORES).  </w:t>
      </w:r>
      <w:r w:rsidRPr="00367D90">
        <w:rPr>
          <w:color w:val="1D2B3E"/>
          <w:sz w:val="22"/>
          <w:szCs w:val="22"/>
        </w:rPr>
        <w:t>To use CORES, you need to be registered with the FCC at </w:t>
      </w:r>
      <w:hyperlink r:id="rId6" w:history="1">
        <w:r w:rsidRPr="00367D90">
          <w:rPr>
            <w:rStyle w:val="Hyperlink"/>
            <w:sz w:val="22"/>
            <w:szCs w:val="22"/>
          </w:rPr>
          <w:t>https://apps2.fcc.gov/fccUserReg/pages/login.htm</w:t>
        </w:r>
      </w:hyperlink>
      <w:r w:rsidRPr="00367D90">
        <w:rPr>
          <w:color w:val="1D2B3E"/>
          <w:sz w:val="22"/>
          <w:szCs w:val="22"/>
        </w:rPr>
        <w:t xml:space="preserve">.  Once your FCC username is registered and verified, you can access CORES and select the option to associate your existing FRN to that username, if you have not already done so.  </w:t>
      </w:r>
      <w:r w:rsidRPr="00367D90">
        <w:rPr>
          <w:sz w:val="22"/>
          <w:szCs w:val="22"/>
        </w:rPr>
        <w:t>To make a FY 202</w:t>
      </w:r>
      <w:r>
        <w:rPr>
          <w:sz w:val="22"/>
          <w:szCs w:val="22"/>
        </w:rPr>
        <w:t>6</w:t>
      </w:r>
      <w:r w:rsidRPr="00367D90">
        <w:rPr>
          <w:sz w:val="22"/>
          <w:szCs w:val="22"/>
        </w:rPr>
        <w:t xml:space="preserve"> regulatory fee payment, log</w:t>
      </w:r>
      <w:r w:rsidR="006729F8">
        <w:rPr>
          <w:sz w:val="22"/>
          <w:szCs w:val="22"/>
        </w:rPr>
        <w:t xml:space="preserve"> </w:t>
      </w:r>
      <w:r w:rsidRPr="00367D90">
        <w:rPr>
          <w:sz w:val="22"/>
          <w:szCs w:val="22"/>
        </w:rPr>
        <w:t xml:space="preserve">in to the following website using your username and password: </w:t>
      </w:r>
      <w:r w:rsidR="00930618">
        <w:rPr>
          <w:sz w:val="22"/>
          <w:szCs w:val="22"/>
        </w:rPr>
        <w:t xml:space="preserve"> </w:t>
      </w:r>
      <w:hyperlink r:id="rId7" w:history="1">
        <w:r w:rsidRPr="00D348CD" w:rsidR="00930618">
          <w:rPr>
            <w:rStyle w:val="Hyperlink"/>
            <w:sz w:val="22"/>
            <w:szCs w:val="22"/>
          </w:rPr>
          <w:t>https://apps.fcc.gov/cores/userLogin.do</w:t>
        </w:r>
      </w:hyperlink>
      <w:r w:rsidRPr="00367D90">
        <w:rPr>
          <w:sz w:val="22"/>
          <w:szCs w:val="22"/>
        </w:rPr>
        <w:t xml:space="preserve">.   </w:t>
      </w:r>
    </w:p>
    <w:p w:rsidR="00253E84" w:rsidRPr="00771831" w:rsidP="00253E84" w14:paraId="49A27FF9" w14:textId="77777777">
      <w:pPr>
        <w:pStyle w:val="NormalWeb"/>
        <w:shd w:val="clear" w:color="auto" w:fill="FFFFFF"/>
        <w:spacing w:before="0" w:beforeAutospacing="0" w:after="0" w:afterAutospacing="0" w:line="236" w:lineRule="atLeast"/>
        <w:rPr>
          <w:sz w:val="22"/>
          <w:szCs w:val="22"/>
        </w:rPr>
      </w:pPr>
    </w:p>
    <w:p w:rsidR="00253E84" w:rsidRPr="00771831" w:rsidP="00253E84" w14:paraId="7A1451DD" w14:textId="77777777">
      <w:pPr>
        <w:pStyle w:val="ParaNum"/>
        <w:numPr>
          <w:ilvl w:val="0"/>
          <w:numId w:val="0"/>
        </w:numPr>
        <w:jc w:val="center"/>
        <w:rPr>
          <w:b/>
        </w:rPr>
      </w:pPr>
      <w:r w:rsidRPr="00771831">
        <w:rPr>
          <w:b/>
        </w:rPr>
        <w:t xml:space="preserve">MANDATORY USE OF </w:t>
      </w:r>
      <w:r>
        <w:rPr>
          <w:b/>
        </w:rPr>
        <w:t>THE COMMISSION REGISTRATION SYSTEM (CORES)</w:t>
      </w:r>
    </w:p>
    <w:p w:rsidR="00253E84" w:rsidRPr="00771831" w:rsidP="00253E84" w14:paraId="78958664" w14:textId="77777777">
      <w:pPr>
        <w:rPr>
          <w:b/>
          <w:bCs/>
        </w:rPr>
      </w:pPr>
      <w:bookmarkStart w:id="0" w:name="_Hlk113565754"/>
      <w:r w:rsidRPr="004B2387">
        <w:t>All regulatory fee payors are required to use CORES for fee filing and payment via A</w:t>
      </w:r>
      <w:r>
        <w:t>utomated Clearing House (A</w:t>
      </w:r>
      <w:r w:rsidRPr="004B2387">
        <w:t>CH</w:t>
      </w:r>
      <w:r>
        <w:t>), Visa or MasterCard debit card,</w:t>
      </w:r>
      <w:r w:rsidRPr="004B2387">
        <w:t xml:space="preserve"> </w:t>
      </w:r>
      <w:r>
        <w:t>or</w:t>
      </w:r>
      <w:r w:rsidRPr="004B2387">
        <w:t xml:space="preserve"> credit card.  Licensees and </w:t>
      </w:r>
      <w:r w:rsidRPr="004B2387">
        <w:t>regulatees</w:t>
      </w:r>
      <w:r w:rsidRPr="004B2387">
        <w:t xml:space="preserve"> must first enter CORES with a valid </w:t>
      </w:r>
      <w:r>
        <w:t>u</w:t>
      </w:r>
      <w:r w:rsidRPr="004B2387">
        <w:t xml:space="preserve">sername and </w:t>
      </w:r>
      <w:r>
        <w:t>p</w:t>
      </w:r>
      <w:r w:rsidRPr="004B2387">
        <w:t xml:space="preserve">assword at: </w:t>
      </w:r>
      <w:hyperlink r:id="rId6" w:history="1">
        <w:r w:rsidRPr="005636A2">
          <w:rPr>
            <w:rStyle w:val="Hyperlink"/>
          </w:rPr>
          <w:t>https://apps2.fcc.gov/fccUserReg/pages/login.htm</w:t>
        </w:r>
      </w:hyperlink>
      <w:r w:rsidRPr="004B2387">
        <w:t xml:space="preserve">, and follow the online prompts to review their data and submit an electronic fee payment.  </w:t>
      </w:r>
      <w:r w:rsidRPr="006D72E2">
        <w:rPr>
          <w:b/>
          <w:bCs/>
          <w:u w:val="single"/>
        </w:rPr>
        <w:t>The use of CORES to pay regulatory fees is mandatory, and payments in the form of checks, money orders, and cashier’s checks will not be accepted</w:t>
      </w:r>
      <w:r w:rsidRPr="004B2387">
        <w:t>.</w:t>
      </w:r>
      <w:r>
        <w:rPr>
          <w:rStyle w:val="FootnoteReference"/>
        </w:rPr>
        <w:footnoteReference w:id="4"/>
      </w:r>
      <w:r w:rsidRPr="004B2387">
        <w:t xml:space="preserve">  To make a wire transfer payment, please enter CORES and submit your fee information, and then complete and fax your financial institution’s wire cover memo </w:t>
      </w:r>
      <w:r w:rsidRPr="005636A2">
        <w:t xml:space="preserve">and an electronic FCC Form 159 (or equivalent) to the Commission at (202) 418-2843, or send an e-mail to </w:t>
      </w:r>
      <w:hyperlink r:id="rId8" w:history="1">
        <w:r w:rsidRPr="005636A2">
          <w:rPr>
            <w:rStyle w:val="Hyperlink"/>
          </w:rPr>
          <w:t>RROGWIREFAXES@fcc.gov</w:t>
        </w:r>
      </w:hyperlink>
      <w:r w:rsidRPr="005636A2">
        <w:t xml:space="preserve"> at least one hour before initiating the wire transfer</w:t>
      </w:r>
      <w:r w:rsidRPr="005636A2">
        <w:rPr>
          <w:b/>
          <w:bCs/>
        </w:rPr>
        <w:t xml:space="preserve"> </w:t>
      </w:r>
      <w:r w:rsidRPr="005636A2">
        <w:t xml:space="preserve">(but on the same business day) so as not to delay crediting the account.  Please include your </w:t>
      </w:r>
      <w:r w:rsidRPr="005636A2">
        <w:rPr>
          <w:b/>
          <w:bCs/>
        </w:rPr>
        <w:t>FRN, Voucher Number, Payer Name, and the Amount of the Wire</w:t>
      </w:r>
      <w:r w:rsidRPr="005636A2">
        <w:t xml:space="preserve"> in the wire cover memo to assist us in posting your payment quickly, and to avoid costly delays that could result in penalties and interest for missing the payment due date. </w:t>
      </w:r>
      <w:r>
        <w:t xml:space="preserve"> </w:t>
      </w:r>
      <w:r w:rsidRPr="005636A2">
        <w:t xml:space="preserve">Please see the following link, </w:t>
      </w:r>
      <w:hyperlink r:id="rId9" w:history="1">
        <w:r w:rsidRPr="005636A2">
          <w:rPr>
            <w:rStyle w:val="Hyperlink"/>
          </w:rPr>
          <w:t>https://www.fcc.gov/licensing-databases/fees/wire-transfer</w:t>
        </w:r>
      </w:hyperlink>
      <w:r w:rsidRPr="005636A2">
        <w:rPr>
          <w:u w:val="single"/>
        </w:rPr>
        <w:t>,</w:t>
      </w:r>
      <w:r w:rsidRPr="005636A2">
        <w:t xml:space="preserve"> for information on initiating a wire transfer.  Please note that most wire transfers initiated after 6:00 p.m. </w:t>
      </w:r>
      <w:r w:rsidRPr="005636A2">
        <w:t>(EDT) will be credited the next business day.  Please also note that an ACH</w:t>
      </w:r>
      <w:r>
        <w:t>, credit card, or MasterCard or Visa debit card</w:t>
      </w:r>
      <w:r w:rsidRPr="005636A2">
        <w:t xml:space="preserve"> transaction could take several days for the payment to be transferred from a financial institution to the Commission.  </w:t>
      </w:r>
      <w:r w:rsidRPr="00635D38">
        <w:rPr>
          <w:b/>
          <w:bCs/>
        </w:rPr>
        <w:t xml:space="preserve">Therefore, any automated notification you receive from the Commission or Pay.gov following submission of your payment is an acknowledgement of submission, and </w:t>
      </w:r>
      <w:r w:rsidRPr="00635D38">
        <w:rPr>
          <w:b/>
          <w:bCs/>
          <w:u w:val="single"/>
        </w:rPr>
        <w:t>not</w:t>
      </w:r>
      <w:r w:rsidRPr="00635D38">
        <w:rPr>
          <w:b/>
          <w:bCs/>
        </w:rPr>
        <w:t xml:space="preserve"> an acknowledgement that the funds have been received by the Commission.  As a precaution, fee payors should </w:t>
      </w:r>
      <w:r w:rsidRPr="00635D38">
        <w:rPr>
          <w:b/>
          <w:bCs/>
          <w:u w:val="single"/>
        </w:rPr>
        <w:t>always</w:t>
      </w:r>
      <w:r w:rsidRPr="00635D38">
        <w:rPr>
          <w:b/>
          <w:bCs/>
        </w:rPr>
        <w:t xml:space="preserve"> check their bank </w:t>
      </w:r>
      <w:r>
        <w:rPr>
          <w:b/>
          <w:bCs/>
        </w:rPr>
        <w:t xml:space="preserve">and credit card </w:t>
      </w:r>
      <w:r w:rsidRPr="00635D38">
        <w:rPr>
          <w:b/>
          <w:bCs/>
        </w:rPr>
        <w:t>statements to ensure that the funds have actually been transferred to the Commission by the regulatory fee payment due date.</w:t>
      </w:r>
      <w:bookmarkEnd w:id="0"/>
      <w:r>
        <w:t xml:space="preserve"> </w:t>
      </w:r>
    </w:p>
    <w:p w:rsidR="00253E84" w:rsidRPr="00771831" w:rsidP="00253E84" w14:paraId="1B5194F4" w14:textId="77777777"/>
    <w:p w:rsidR="00253E84" w:rsidRPr="00771831" w:rsidP="00253E84" w14:paraId="23CC1A67" w14:textId="47C09F22">
      <w:pPr>
        <w:keepNext/>
        <w:keepLines/>
        <w:rPr>
          <w:b/>
          <w:u w:val="single"/>
        </w:rPr>
      </w:pPr>
      <w:r w:rsidRPr="00771831">
        <w:rPr>
          <w:b/>
          <w:u w:val="single"/>
        </w:rPr>
        <w:t>Interstate Telecommunications Service Providers (ITSPs)</w:t>
      </w:r>
      <w:r w:rsidR="00967C12">
        <w:rPr>
          <w:b/>
          <w:u w:val="single"/>
        </w:rPr>
        <w:t xml:space="preserve"> &amp; Toll Free Number Providers</w:t>
      </w:r>
    </w:p>
    <w:p w:rsidR="00253E84" w:rsidP="00D92E03" w14:paraId="5283FFC0" w14:textId="6A73395D">
      <w:pPr>
        <w:pStyle w:val="NormalWeb"/>
        <w:keepNext/>
        <w:keepLines/>
        <w:shd w:val="clear" w:color="auto" w:fill="FFFFFF"/>
        <w:spacing w:before="0" w:beforeAutospacing="0" w:after="0" w:afterAutospacing="0" w:line="236" w:lineRule="atLeast"/>
        <w:rPr>
          <w:bCs/>
          <w:i/>
          <w:sz w:val="22"/>
          <w:szCs w:val="22"/>
        </w:rPr>
      </w:pPr>
      <w:r w:rsidRPr="00771831">
        <w:rPr>
          <w:bCs/>
          <w:sz w:val="22"/>
          <w:szCs w:val="22"/>
        </w:rPr>
        <w:t xml:space="preserve">Please follow the guidance provided in the </w:t>
      </w:r>
      <w:r w:rsidRPr="007E667C">
        <w:rPr>
          <w:bCs/>
          <w:iCs/>
          <w:sz w:val="22"/>
          <w:szCs w:val="22"/>
        </w:rPr>
        <w:t>Fact Sheet:</w:t>
      </w:r>
      <w:r w:rsidRPr="00771831">
        <w:rPr>
          <w:bCs/>
          <w:i/>
          <w:sz w:val="22"/>
          <w:szCs w:val="22"/>
        </w:rPr>
        <w:t xml:space="preserve"> </w:t>
      </w:r>
      <w:r w:rsidR="004B1742">
        <w:rPr>
          <w:bCs/>
          <w:i/>
          <w:sz w:val="22"/>
          <w:szCs w:val="22"/>
        </w:rPr>
        <w:t xml:space="preserve"> </w:t>
      </w:r>
      <w:r w:rsidRPr="00D92E03" w:rsidR="00D92E03">
        <w:rPr>
          <w:bCs/>
          <w:i/>
          <w:sz w:val="22"/>
          <w:szCs w:val="22"/>
        </w:rPr>
        <w:t xml:space="preserve">FY 2026 </w:t>
      </w:r>
      <w:r w:rsidRPr="00D92E03" w:rsidR="008621D6">
        <w:rPr>
          <w:bCs/>
          <w:i/>
          <w:sz w:val="22"/>
          <w:szCs w:val="22"/>
        </w:rPr>
        <w:t xml:space="preserve">Regulatory Fees </w:t>
      </w:r>
      <w:r w:rsidR="008621D6">
        <w:rPr>
          <w:bCs/>
          <w:i/>
          <w:sz w:val="22"/>
          <w:szCs w:val="22"/>
        </w:rPr>
        <w:t xml:space="preserve">– </w:t>
      </w:r>
      <w:r w:rsidRPr="00D92E03" w:rsidR="00D92E03">
        <w:rPr>
          <w:bCs/>
          <w:i/>
          <w:sz w:val="22"/>
          <w:szCs w:val="22"/>
        </w:rPr>
        <w:t xml:space="preserve">Wireline </w:t>
      </w:r>
      <w:r w:rsidR="008621D6">
        <w:rPr>
          <w:bCs/>
          <w:i/>
          <w:sz w:val="22"/>
          <w:szCs w:val="22"/>
        </w:rPr>
        <w:t xml:space="preserve">Competition </w:t>
      </w:r>
      <w:r w:rsidRPr="00D92E03" w:rsidR="00D92E03">
        <w:rPr>
          <w:bCs/>
          <w:i/>
          <w:sz w:val="22"/>
          <w:szCs w:val="22"/>
        </w:rPr>
        <w:t>Bureau</w:t>
      </w:r>
      <w:r w:rsidR="00462BC2">
        <w:rPr>
          <w:bCs/>
          <w:i/>
          <w:sz w:val="22"/>
          <w:szCs w:val="22"/>
        </w:rPr>
        <w:t>.</w:t>
      </w:r>
    </w:p>
    <w:p w:rsidR="00D92E03" w:rsidP="00D92E03" w14:paraId="43DC8637" w14:textId="77777777">
      <w:pPr>
        <w:pStyle w:val="NormalWeb"/>
        <w:keepNext/>
        <w:keepLines/>
        <w:shd w:val="clear" w:color="auto" w:fill="FFFFFF"/>
        <w:spacing w:before="0" w:beforeAutospacing="0" w:after="0" w:afterAutospacing="0" w:line="236" w:lineRule="atLeast"/>
        <w:rPr>
          <w:b/>
          <w:sz w:val="22"/>
          <w:szCs w:val="22"/>
          <w:u w:val="single"/>
        </w:rPr>
      </w:pPr>
    </w:p>
    <w:p w:rsidR="00253E84" w:rsidRPr="00771831" w:rsidP="00253E84" w14:paraId="2CF745AA" w14:textId="28B1CADF">
      <w:pPr>
        <w:pStyle w:val="NormalWeb"/>
        <w:shd w:val="clear" w:color="auto" w:fill="FFFFFF"/>
        <w:spacing w:before="0" w:beforeAutospacing="0" w:after="0" w:afterAutospacing="0"/>
        <w:rPr>
          <w:b/>
          <w:sz w:val="22"/>
          <w:szCs w:val="22"/>
          <w:u w:val="single"/>
        </w:rPr>
      </w:pPr>
      <w:r w:rsidRPr="00771831">
        <w:rPr>
          <w:b/>
          <w:sz w:val="22"/>
          <w:szCs w:val="22"/>
          <w:u w:val="single"/>
        </w:rPr>
        <w:t xml:space="preserve">Satellite Space Station </w:t>
      </w:r>
      <w:r w:rsidR="00D92E03">
        <w:rPr>
          <w:b/>
          <w:sz w:val="22"/>
          <w:szCs w:val="22"/>
          <w:u w:val="single"/>
        </w:rPr>
        <w:t xml:space="preserve">&amp; Earth Station </w:t>
      </w:r>
      <w:r w:rsidRPr="00771831">
        <w:rPr>
          <w:b/>
          <w:sz w:val="22"/>
          <w:szCs w:val="22"/>
          <w:u w:val="single"/>
        </w:rPr>
        <w:t>Licensees</w:t>
      </w:r>
    </w:p>
    <w:p w:rsidR="00253E84" w:rsidRPr="00771831" w:rsidP="00253E84" w14:paraId="2538473A" w14:textId="1B8E92E6">
      <w:pPr>
        <w:pStyle w:val="NormalWeb"/>
        <w:shd w:val="clear" w:color="auto" w:fill="FFFFFF"/>
        <w:spacing w:before="0" w:beforeAutospacing="0" w:after="0" w:afterAutospacing="0"/>
        <w:rPr>
          <w:bCs/>
          <w:color w:val="auto"/>
          <w:sz w:val="22"/>
          <w:szCs w:val="22"/>
        </w:rPr>
      </w:pPr>
      <w:r w:rsidRPr="00771831">
        <w:rPr>
          <w:color w:val="auto"/>
          <w:sz w:val="22"/>
          <w:szCs w:val="22"/>
        </w:rPr>
        <w:t xml:space="preserve">Please </w:t>
      </w:r>
      <w:r w:rsidRPr="00771831">
        <w:rPr>
          <w:bCs/>
          <w:color w:val="auto"/>
          <w:sz w:val="22"/>
          <w:szCs w:val="22"/>
        </w:rPr>
        <w:t xml:space="preserve">follow the guidance provided in the </w:t>
      </w:r>
      <w:r w:rsidRPr="007E667C">
        <w:rPr>
          <w:bCs/>
          <w:iCs/>
          <w:color w:val="auto"/>
          <w:sz w:val="22"/>
          <w:szCs w:val="22"/>
        </w:rPr>
        <w:t>Fact Sheet:</w:t>
      </w:r>
      <w:r w:rsidRPr="00771831">
        <w:rPr>
          <w:bCs/>
          <w:i/>
          <w:color w:val="auto"/>
          <w:sz w:val="22"/>
          <w:szCs w:val="22"/>
        </w:rPr>
        <w:t xml:space="preserve"> </w:t>
      </w:r>
      <w:r w:rsidR="004B1742">
        <w:rPr>
          <w:bCs/>
          <w:i/>
          <w:color w:val="auto"/>
          <w:sz w:val="22"/>
          <w:szCs w:val="22"/>
        </w:rPr>
        <w:t xml:space="preserve"> </w:t>
      </w:r>
      <w:r w:rsidRPr="00D92E03" w:rsidR="00D92E03">
        <w:rPr>
          <w:bCs/>
          <w:i/>
          <w:color w:val="auto"/>
          <w:sz w:val="22"/>
          <w:szCs w:val="22"/>
        </w:rPr>
        <w:t xml:space="preserve">FY 2026 </w:t>
      </w:r>
      <w:r w:rsidRPr="00D92E03" w:rsidR="008621D6">
        <w:rPr>
          <w:bCs/>
          <w:i/>
          <w:color w:val="auto"/>
          <w:sz w:val="22"/>
          <w:szCs w:val="22"/>
        </w:rPr>
        <w:t xml:space="preserve">Regulatory Fees </w:t>
      </w:r>
      <w:r w:rsidR="008621D6">
        <w:rPr>
          <w:bCs/>
          <w:i/>
          <w:color w:val="auto"/>
          <w:sz w:val="22"/>
          <w:szCs w:val="22"/>
        </w:rPr>
        <w:t xml:space="preserve">– </w:t>
      </w:r>
      <w:r w:rsidRPr="00D92E03" w:rsidR="00D92E03">
        <w:rPr>
          <w:bCs/>
          <w:i/>
          <w:color w:val="auto"/>
          <w:sz w:val="22"/>
          <w:szCs w:val="22"/>
        </w:rPr>
        <w:t>Space Bureau</w:t>
      </w:r>
      <w:r w:rsidR="00462BC2">
        <w:rPr>
          <w:bCs/>
          <w:i/>
          <w:color w:val="auto"/>
          <w:sz w:val="22"/>
          <w:szCs w:val="22"/>
        </w:rPr>
        <w:t>.</w:t>
      </w:r>
    </w:p>
    <w:p w:rsidR="00253E84" w:rsidRPr="00771831" w:rsidP="00253E84" w14:paraId="32BBB278" w14:textId="77777777">
      <w:pPr>
        <w:pStyle w:val="NormalWeb"/>
        <w:shd w:val="clear" w:color="auto" w:fill="FFFFFF"/>
        <w:spacing w:before="0" w:beforeAutospacing="0" w:after="0" w:afterAutospacing="0"/>
        <w:rPr>
          <w:bCs/>
          <w:color w:val="auto"/>
          <w:sz w:val="22"/>
          <w:szCs w:val="22"/>
        </w:rPr>
      </w:pPr>
    </w:p>
    <w:p w:rsidR="00253E84" w:rsidRPr="00771831" w:rsidP="00253E84" w14:paraId="65BA82CD" w14:textId="77777777">
      <w:pPr>
        <w:rPr>
          <w:b/>
          <w:u w:val="single"/>
        </w:rPr>
      </w:pPr>
      <w:r w:rsidRPr="00771831">
        <w:rPr>
          <w:b/>
          <w:u w:val="single"/>
        </w:rPr>
        <w:t>Media Service Licensees</w:t>
      </w:r>
    </w:p>
    <w:p w:rsidR="00253E84" w:rsidRPr="00771831" w:rsidP="00253E84" w14:paraId="3F38F12D" w14:textId="522A1917">
      <w:pPr>
        <w:pStyle w:val="NormalWeb"/>
        <w:shd w:val="clear" w:color="auto" w:fill="FFFFFF"/>
        <w:spacing w:before="0" w:beforeAutospacing="0" w:after="0" w:afterAutospacing="0"/>
        <w:rPr>
          <w:bCs/>
          <w:sz w:val="22"/>
          <w:szCs w:val="22"/>
        </w:rPr>
      </w:pPr>
      <w:r w:rsidRPr="001C3031">
        <w:rPr>
          <w:bCs/>
          <w:iCs/>
          <w:color w:val="auto"/>
          <w:sz w:val="22"/>
          <w:szCs w:val="22"/>
        </w:rPr>
        <w:t xml:space="preserve">Please follow the guidance provided in the </w:t>
      </w:r>
      <w:r w:rsidRPr="007E667C">
        <w:rPr>
          <w:bCs/>
          <w:iCs/>
          <w:color w:val="auto"/>
          <w:sz w:val="22"/>
          <w:szCs w:val="22"/>
        </w:rPr>
        <w:t>Fact Sheet:</w:t>
      </w:r>
      <w:r w:rsidRPr="00771831">
        <w:rPr>
          <w:bCs/>
          <w:i/>
          <w:color w:val="auto"/>
          <w:sz w:val="22"/>
          <w:szCs w:val="22"/>
        </w:rPr>
        <w:t xml:space="preserve"> </w:t>
      </w:r>
      <w:r w:rsidR="004B1742">
        <w:rPr>
          <w:bCs/>
          <w:i/>
          <w:color w:val="auto"/>
          <w:sz w:val="22"/>
          <w:szCs w:val="22"/>
        </w:rPr>
        <w:t xml:space="preserve"> </w:t>
      </w:r>
      <w:r w:rsidRPr="007958BD" w:rsidR="007958BD">
        <w:rPr>
          <w:bCs/>
          <w:i/>
          <w:color w:val="auto"/>
          <w:sz w:val="22"/>
          <w:szCs w:val="22"/>
        </w:rPr>
        <w:t xml:space="preserve">FY 2026 </w:t>
      </w:r>
      <w:r w:rsidRPr="007958BD" w:rsidR="008621D6">
        <w:rPr>
          <w:bCs/>
          <w:i/>
          <w:color w:val="auto"/>
          <w:sz w:val="22"/>
          <w:szCs w:val="22"/>
        </w:rPr>
        <w:t xml:space="preserve">Regulatory Fees </w:t>
      </w:r>
      <w:r w:rsidR="008621D6">
        <w:rPr>
          <w:bCs/>
          <w:i/>
          <w:color w:val="auto"/>
          <w:sz w:val="22"/>
          <w:szCs w:val="22"/>
        </w:rPr>
        <w:t xml:space="preserve">– </w:t>
      </w:r>
      <w:r w:rsidRPr="007958BD" w:rsidR="007958BD">
        <w:rPr>
          <w:bCs/>
          <w:i/>
          <w:color w:val="auto"/>
          <w:sz w:val="22"/>
          <w:szCs w:val="22"/>
        </w:rPr>
        <w:t>Media Bureau</w:t>
      </w:r>
      <w:r w:rsidRPr="00771831">
        <w:rPr>
          <w:bCs/>
          <w:i/>
          <w:color w:val="auto"/>
          <w:sz w:val="22"/>
          <w:szCs w:val="22"/>
        </w:rPr>
        <w:t>.</w:t>
      </w:r>
      <w:r w:rsidRPr="00771831">
        <w:rPr>
          <w:bCs/>
          <w:sz w:val="22"/>
          <w:szCs w:val="22"/>
        </w:rPr>
        <w:t xml:space="preserve"> </w:t>
      </w:r>
    </w:p>
    <w:p w:rsidR="00253E84" w:rsidRPr="00771831" w:rsidP="00253E84" w14:paraId="06892B1C" w14:textId="77777777">
      <w:pPr>
        <w:pStyle w:val="NormalWeb"/>
        <w:shd w:val="clear" w:color="auto" w:fill="FFFFFF"/>
        <w:spacing w:before="0" w:beforeAutospacing="0" w:after="0" w:afterAutospacing="0"/>
        <w:rPr>
          <w:bCs/>
          <w:sz w:val="22"/>
          <w:szCs w:val="22"/>
        </w:rPr>
      </w:pPr>
    </w:p>
    <w:p w:rsidR="00253E84" w:rsidRPr="00771831" w:rsidP="00253E84" w14:paraId="574789E4" w14:textId="77777777">
      <w:pPr>
        <w:rPr>
          <w:b/>
          <w:u w:val="single"/>
        </w:rPr>
      </w:pPr>
      <w:r w:rsidRPr="00771831">
        <w:rPr>
          <w:b/>
          <w:u w:val="single"/>
        </w:rPr>
        <w:t>Commercial Wireless Services</w:t>
      </w:r>
    </w:p>
    <w:p w:rsidR="00253E84" w:rsidP="00253E84" w14:paraId="6E81DCEC" w14:textId="7734D3A6">
      <w:pPr>
        <w:pStyle w:val="NormalWeb"/>
        <w:shd w:val="clear" w:color="auto" w:fill="FFFFFF"/>
        <w:spacing w:before="0" w:beforeAutospacing="0" w:after="0" w:afterAutospacing="0"/>
        <w:rPr>
          <w:bCs/>
          <w:i/>
          <w:color w:val="auto"/>
          <w:sz w:val="22"/>
          <w:szCs w:val="22"/>
        </w:rPr>
      </w:pPr>
      <w:r w:rsidRPr="001C3031">
        <w:rPr>
          <w:bCs/>
          <w:iCs/>
          <w:color w:val="auto"/>
          <w:sz w:val="22"/>
          <w:szCs w:val="22"/>
        </w:rPr>
        <w:t xml:space="preserve">Please follow the guidance provided in the </w:t>
      </w:r>
      <w:r w:rsidRPr="007E667C">
        <w:rPr>
          <w:bCs/>
          <w:iCs/>
          <w:color w:val="auto"/>
          <w:sz w:val="22"/>
          <w:szCs w:val="22"/>
        </w:rPr>
        <w:t>Fact Sheet:</w:t>
      </w:r>
      <w:r w:rsidRPr="00771831">
        <w:rPr>
          <w:bCs/>
          <w:i/>
          <w:color w:val="auto"/>
          <w:sz w:val="22"/>
          <w:szCs w:val="22"/>
        </w:rPr>
        <w:t xml:space="preserve"> </w:t>
      </w:r>
      <w:r w:rsidR="004B1742">
        <w:rPr>
          <w:bCs/>
          <w:i/>
          <w:color w:val="auto"/>
          <w:sz w:val="22"/>
          <w:szCs w:val="22"/>
        </w:rPr>
        <w:t xml:space="preserve"> </w:t>
      </w:r>
      <w:r w:rsidRPr="007958BD" w:rsidR="007958BD">
        <w:rPr>
          <w:bCs/>
          <w:i/>
          <w:color w:val="auto"/>
          <w:sz w:val="22"/>
          <w:szCs w:val="22"/>
        </w:rPr>
        <w:t xml:space="preserve">FY 2026 </w:t>
      </w:r>
      <w:r w:rsidRPr="007958BD" w:rsidR="008621D6">
        <w:rPr>
          <w:bCs/>
          <w:i/>
          <w:color w:val="auto"/>
          <w:sz w:val="22"/>
          <w:szCs w:val="22"/>
        </w:rPr>
        <w:t xml:space="preserve">Regulatory Fees </w:t>
      </w:r>
      <w:r w:rsidR="008621D6">
        <w:rPr>
          <w:bCs/>
          <w:i/>
          <w:color w:val="auto"/>
          <w:sz w:val="22"/>
          <w:szCs w:val="22"/>
        </w:rPr>
        <w:t xml:space="preserve">– </w:t>
      </w:r>
      <w:r w:rsidRPr="007958BD" w:rsidR="007958BD">
        <w:rPr>
          <w:bCs/>
          <w:i/>
          <w:color w:val="auto"/>
          <w:sz w:val="22"/>
          <w:szCs w:val="22"/>
        </w:rPr>
        <w:t xml:space="preserve">Wireless </w:t>
      </w:r>
      <w:r w:rsidR="008621D6">
        <w:rPr>
          <w:bCs/>
          <w:i/>
          <w:color w:val="auto"/>
          <w:sz w:val="22"/>
          <w:szCs w:val="22"/>
        </w:rPr>
        <w:t xml:space="preserve">Telecommunications </w:t>
      </w:r>
      <w:r w:rsidRPr="007958BD" w:rsidR="007958BD">
        <w:rPr>
          <w:bCs/>
          <w:i/>
          <w:color w:val="auto"/>
          <w:sz w:val="22"/>
          <w:szCs w:val="22"/>
        </w:rPr>
        <w:t>Bureau</w:t>
      </w:r>
      <w:r w:rsidR="00462BC2">
        <w:rPr>
          <w:bCs/>
          <w:i/>
          <w:color w:val="auto"/>
          <w:sz w:val="22"/>
          <w:szCs w:val="22"/>
        </w:rPr>
        <w:t>.</w:t>
      </w:r>
    </w:p>
    <w:p w:rsidR="00F53E4C" w:rsidP="00253E84" w14:paraId="5F07F725" w14:textId="77777777">
      <w:pPr>
        <w:pStyle w:val="NormalWeb"/>
        <w:shd w:val="clear" w:color="auto" w:fill="FFFFFF"/>
        <w:spacing w:before="0" w:beforeAutospacing="0" w:after="0" w:afterAutospacing="0"/>
        <w:rPr>
          <w:bCs/>
          <w:i/>
          <w:color w:val="auto"/>
          <w:sz w:val="22"/>
          <w:szCs w:val="22"/>
        </w:rPr>
      </w:pPr>
    </w:p>
    <w:p w:rsidR="00F53E4C" w:rsidRPr="00771831" w:rsidP="00F53E4C" w14:paraId="68A3A367" w14:textId="362A6D1D">
      <w:pPr>
        <w:rPr>
          <w:b/>
          <w:u w:val="single"/>
        </w:rPr>
      </w:pPr>
      <w:r>
        <w:rPr>
          <w:b/>
          <w:u w:val="single"/>
        </w:rPr>
        <w:t>Submarine Cable &amp; International Bearer Circuit</w:t>
      </w:r>
      <w:r w:rsidR="008A7170">
        <w:rPr>
          <w:b/>
          <w:u w:val="single"/>
        </w:rPr>
        <w:t xml:space="preserve"> Licensees</w:t>
      </w:r>
    </w:p>
    <w:p w:rsidR="00F53E4C" w:rsidP="00253E84" w14:paraId="784E230D" w14:textId="18BD2215">
      <w:pPr>
        <w:pStyle w:val="NormalWeb"/>
        <w:shd w:val="clear" w:color="auto" w:fill="FFFFFF"/>
        <w:spacing w:before="0" w:beforeAutospacing="0" w:after="0" w:afterAutospacing="0"/>
        <w:rPr>
          <w:bCs/>
          <w:sz w:val="22"/>
          <w:szCs w:val="22"/>
        </w:rPr>
      </w:pPr>
      <w:r w:rsidRPr="001C3031">
        <w:rPr>
          <w:bCs/>
          <w:iCs/>
          <w:color w:val="auto"/>
          <w:sz w:val="22"/>
          <w:szCs w:val="22"/>
        </w:rPr>
        <w:t xml:space="preserve">Please follow the guidance provided in the </w:t>
      </w:r>
      <w:r w:rsidRPr="007E667C">
        <w:rPr>
          <w:bCs/>
          <w:iCs/>
          <w:color w:val="auto"/>
          <w:sz w:val="22"/>
          <w:szCs w:val="22"/>
        </w:rPr>
        <w:t>Fact Sheet:</w:t>
      </w:r>
      <w:r w:rsidRPr="00771831">
        <w:rPr>
          <w:bCs/>
          <w:i/>
          <w:color w:val="auto"/>
          <w:sz w:val="22"/>
          <w:szCs w:val="22"/>
        </w:rPr>
        <w:t xml:space="preserve"> </w:t>
      </w:r>
      <w:r w:rsidR="004B1742">
        <w:rPr>
          <w:bCs/>
          <w:i/>
          <w:color w:val="auto"/>
          <w:sz w:val="22"/>
          <w:szCs w:val="22"/>
        </w:rPr>
        <w:t xml:space="preserve"> </w:t>
      </w:r>
      <w:r w:rsidRPr="008A7170" w:rsidR="008A7170">
        <w:rPr>
          <w:bCs/>
          <w:i/>
          <w:color w:val="auto"/>
          <w:sz w:val="22"/>
          <w:szCs w:val="22"/>
        </w:rPr>
        <w:t xml:space="preserve">FY 2026 </w:t>
      </w:r>
      <w:r w:rsidRPr="008A7170" w:rsidR="008621D6">
        <w:rPr>
          <w:bCs/>
          <w:i/>
          <w:color w:val="auto"/>
          <w:sz w:val="22"/>
          <w:szCs w:val="22"/>
        </w:rPr>
        <w:t xml:space="preserve">Regulatory Fees </w:t>
      </w:r>
      <w:r w:rsidR="008621D6">
        <w:rPr>
          <w:bCs/>
          <w:i/>
          <w:color w:val="auto"/>
          <w:sz w:val="22"/>
          <w:szCs w:val="22"/>
        </w:rPr>
        <w:t xml:space="preserve">– </w:t>
      </w:r>
      <w:r w:rsidRPr="008A7170" w:rsidR="008A7170">
        <w:rPr>
          <w:bCs/>
          <w:i/>
          <w:color w:val="auto"/>
          <w:sz w:val="22"/>
          <w:szCs w:val="22"/>
        </w:rPr>
        <w:t>Office of International Affairs</w:t>
      </w:r>
      <w:r w:rsidR="00462BC2">
        <w:rPr>
          <w:bCs/>
          <w:i/>
          <w:color w:val="auto"/>
          <w:sz w:val="22"/>
          <w:szCs w:val="22"/>
        </w:rPr>
        <w:t>.</w:t>
      </w:r>
    </w:p>
    <w:p w:rsidR="00253E84" w:rsidP="00253E84" w14:paraId="0705358F" w14:textId="77777777">
      <w:pPr>
        <w:pStyle w:val="NormalWeb"/>
        <w:shd w:val="clear" w:color="auto" w:fill="FFFFFF"/>
        <w:spacing w:before="0" w:beforeAutospacing="0" w:after="0" w:afterAutospacing="0"/>
        <w:rPr>
          <w:bCs/>
          <w:sz w:val="22"/>
          <w:szCs w:val="22"/>
        </w:rPr>
      </w:pPr>
    </w:p>
    <w:p w:rsidR="00253E84" w:rsidRPr="00771831" w:rsidP="00253E84" w14:paraId="6DE4711C" w14:textId="6B299AF4">
      <w:pPr>
        <w:rPr>
          <w:b/>
          <w:u w:val="single"/>
        </w:rPr>
      </w:pPr>
      <w:r>
        <w:rPr>
          <w:b/>
          <w:u w:val="single"/>
        </w:rPr>
        <w:t>Exemptions</w:t>
      </w:r>
    </w:p>
    <w:p w:rsidR="00253E84" w:rsidRPr="00771831" w:rsidP="00253E84" w14:paraId="6FD427EB" w14:textId="79CFE29B">
      <w:pPr>
        <w:pStyle w:val="NormalWeb"/>
        <w:shd w:val="clear" w:color="auto" w:fill="FFFFFF"/>
        <w:spacing w:before="0" w:beforeAutospacing="0" w:after="0" w:afterAutospacing="0"/>
        <w:rPr>
          <w:bCs/>
          <w:color w:val="auto"/>
          <w:sz w:val="22"/>
          <w:szCs w:val="22"/>
        </w:rPr>
      </w:pPr>
      <w:r w:rsidRPr="001C3031">
        <w:rPr>
          <w:bCs/>
          <w:iCs/>
          <w:color w:val="auto"/>
          <w:sz w:val="22"/>
          <w:szCs w:val="22"/>
        </w:rPr>
        <w:t xml:space="preserve">Please </w:t>
      </w:r>
      <w:r>
        <w:rPr>
          <w:bCs/>
          <w:iCs/>
          <w:color w:val="auto"/>
          <w:sz w:val="22"/>
          <w:szCs w:val="22"/>
        </w:rPr>
        <w:t xml:space="preserve">see </w:t>
      </w:r>
      <w:r w:rsidRPr="001C3031">
        <w:rPr>
          <w:bCs/>
          <w:iCs/>
          <w:color w:val="auto"/>
          <w:sz w:val="22"/>
          <w:szCs w:val="22"/>
        </w:rPr>
        <w:t xml:space="preserve">the guidance in the </w:t>
      </w:r>
      <w:r w:rsidRPr="007E667C">
        <w:rPr>
          <w:bCs/>
          <w:iCs/>
          <w:color w:val="auto"/>
          <w:sz w:val="22"/>
          <w:szCs w:val="22"/>
        </w:rPr>
        <w:t>Fact Sheet:</w:t>
      </w:r>
      <w:r w:rsidRPr="00771831">
        <w:rPr>
          <w:bCs/>
          <w:i/>
          <w:color w:val="auto"/>
          <w:sz w:val="22"/>
          <w:szCs w:val="22"/>
        </w:rPr>
        <w:t xml:space="preserve"> </w:t>
      </w:r>
      <w:r w:rsidR="004B1742">
        <w:rPr>
          <w:bCs/>
          <w:i/>
          <w:color w:val="auto"/>
          <w:sz w:val="22"/>
          <w:szCs w:val="22"/>
        </w:rPr>
        <w:t xml:space="preserve"> </w:t>
      </w:r>
      <w:r w:rsidRPr="007958BD" w:rsidR="007958BD">
        <w:rPr>
          <w:bCs/>
          <w:i/>
          <w:color w:val="auto"/>
          <w:sz w:val="22"/>
          <w:szCs w:val="22"/>
        </w:rPr>
        <w:t>Regulatory Fee Exemptions</w:t>
      </w:r>
      <w:r w:rsidRPr="008621D6" w:rsidR="008621D6">
        <w:rPr>
          <w:bCs/>
          <w:i/>
          <w:color w:val="auto"/>
          <w:sz w:val="22"/>
          <w:szCs w:val="22"/>
        </w:rPr>
        <w:t xml:space="preserve"> </w:t>
      </w:r>
      <w:r w:rsidR="008621D6">
        <w:rPr>
          <w:bCs/>
          <w:i/>
          <w:color w:val="auto"/>
          <w:sz w:val="22"/>
          <w:szCs w:val="22"/>
        </w:rPr>
        <w:t xml:space="preserve">for </w:t>
      </w:r>
      <w:r w:rsidRPr="007958BD" w:rsidR="008621D6">
        <w:rPr>
          <w:bCs/>
          <w:i/>
          <w:color w:val="auto"/>
          <w:sz w:val="22"/>
          <w:szCs w:val="22"/>
        </w:rPr>
        <w:t>FY 2026</w:t>
      </w:r>
      <w:r>
        <w:rPr>
          <w:bCs/>
          <w:i/>
          <w:color w:val="auto"/>
          <w:sz w:val="22"/>
          <w:szCs w:val="22"/>
        </w:rPr>
        <w:t>.</w:t>
      </w:r>
    </w:p>
    <w:p w:rsidR="00253E84" w:rsidP="00253E84" w14:paraId="390C602D" w14:textId="77777777">
      <w:pPr>
        <w:pStyle w:val="NormalWeb"/>
        <w:shd w:val="clear" w:color="auto" w:fill="FFFFFF"/>
        <w:spacing w:before="0" w:beforeAutospacing="0" w:after="0" w:afterAutospacing="0" w:line="236" w:lineRule="atLeast"/>
        <w:rPr>
          <w:sz w:val="22"/>
          <w:szCs w:val="22"/>
        </w:rPr>
      </w:pPr>
    </w:p>
    <w:p w:rsidR="00253E84" w:rsidRPr="00771831" w:rsidP="00253E84" w14:paraId="2AD2774A" w14:textId="77777777">
      <w:pPr>
        <w:pStyle w:val="NormalWeb"/>
        <w:shd w:val="clear" w:color="auto" w:fill="FFFFFF"/>
        <w:spacing w:before="0" w:beforeAutospacing="0" w:after="0" w:afterAutospacing="0" w:line="236" w:lineRule="atLeast"/>
        <w:rPr>
          <w:sz w:val="22"/>
          <w:szCs w:val="22"/>
        </w:rPr>
      </w:pPr>
      <w:r w:rsidRPr="00771831">
        <w:rPr>
          <w:sz w:val="22"/>
          <w:szCs w:val="22"/>
        </w:rPr>
        <w:t xml:space="preserve">For additional information, filers in these and any other fee category may contact the Financial Operations </w:t>
      </w:r>
      <w:r>
        <w:rPr>
          <w:sz w:val="22"/>
          <w:szCs w:val="22"/>
        </w:rPr>
        <w:t>h</w:t>
      </w:r>
      <w:r w:rsidRPr="00771831">
        <w:rPr>
          <w:sz w:val="22"/>
          <w:szCs w:val="22"/>
        </w:rPr>
        <w:t>el</w:t>
      </w:r>
      <w:r>
        <w:rPr>
          <w:sz w:val="22"/>
          <w:szCs w:val="22"/>
        </w:rPr>
        <w:t>p desk at 877-480-3201, Option 6</w:t>
      </w:r>
      <w:r w:rsidRPr="00771831">
        <w:rPr>
          <w:sz w:val="22"/>
          <w:szCs w:val="22"/>
        </w:rPr>
        <w:t>.</w:t>
      </w:r>
      <w:r>
        <w:rPr>
          <w:sz w:val="22"/>
          <w:szCs w:val="22"/>
        </w:rPr>
        <w:t xml:space="preserve">  An additional number to call is (202) 418-1995.</w:t>
      </w:r>
      <w:r w:rsidRPr="00771831">
        <w:rPr>
          <w:sz w:val="22"/>
          <w:szCs w:val="22"/>
        </w:rPr>
        <w:t xml:space="preserve"> </w:t>
      </w:r>
    </w:p>
    <w:p w:rsidR="00253E84" w:rsidP="00253E84" w14:paraId="67371CA9" w14:textId="77777777"/>
    <w:p w:rsidR="00253E84" w:rsidRPr="001C43B8" w:rsidP="00253E84" w14:paraId="485363E0" w14:textId="77777777">
      <w:pPr>
        <w:jc w:val="center"/>
        <w:rPr>
          <w:b/>
          <w:bCs/>
        </w:rPr>
      </w:pPr>
      <w:r w:rsidRPr="001C43B8">
        <w:rPr>
          <w:b/>
          <w:bCs/>
        </w:rPr>
        <w:t>LIMITATIONS ON CREDIT CARD TRANSACTIONS</w:t>
      </w:r>
    </w:p>
    <w:p w:rsidR="00253E84" w:rsidRPr="00771831" w:rsidP="00253E84" w14:paraId="422B521B" w14:textId="77777777"/>
    <w:p w:rsidR="00253E84" w:rsidRPr="00215BD9" w:rsidP="00253E84" w14:paraId="12F9A576" w14:textId="20A9CCA5">
      <w:pPr>
        <w:tabs>
          <w:tab w:val="left" w:pos="-720"/>
        </w:tabs>
        <w:suppressAutoHyphens/>
      </w:pPr>
      <w:r w:rsidRPr="003D572A">
        <w:t>In accordance with</w:t>
      </w:r>
      <w:r>
        <w:t xml:space="preserve"> </w:t>
      </w:r>
      <w:r w:rsidRPr="00147255">
        <w:rPr>
          <w:i/>
          <w:iCs/>
        </w:rPr>
        <w:t>Treasury Financial Manual</w:t>
      </w:r>
      <w:r>
        <w:t xml:space="preserve">, Volume I, Part 5, Chapter 7000, Section 7055.20, </w:t>
      </w:r>
      <w:r w:rsidRPr="00147255">
        <w:rPr>
          <w:i/>
          <w:iCs/>
        </w:rPr>
        <w:t>Transaction Maximums</w:t>
      </w:r>
      <w:r w:rsidRPr="003D572A">
        <w:t xml:space="preserve">, the </w:t>
      </w:r>
      <w:r>
        <w:t xml:space="preserve">highest </w:t>
      </w:r>
      <w:r w:rsidRPr="003D572A">
        <w:t xml:space="preserve">amount that can be charged on a credit card for transactions with federal agencies </w:t>
      </w:r>
      <w:r>
        <w:t xml:space="preserve">is </w:t>
      </w:r>
      <w:r w:rsidRPr="003D572A">
        <w:t>$24,999.99.</w:t>
      </w:r>
      <w:r>
        <w:rPr>
          <w:rStyle w:val="FootnoteReference"/>
        </w:rPr>
        <w:footnoteReference w:id="5"/>
      </w:r>
      <w:r w:rsidRPr="003D572A">
        <w:t xml:space="preserve">  Transactions greater than $24,999.99 will be rejected.  This limit applies to single payments or bundled payments of more than one bill.  Multiple transactions to a single agency in one day may be aggregated and treated as a single transaction subject to the $24,999.99 limit.  Customers who wish to pay an amount greater than $24,999.99 should consider available electronic alternatives such as Visa or MasterCard debit cards, ACH debits from a bank account, and </w:t>
      </w:r>
      <w:r w:rsidRPr="00FF0FE5">
        <w:t xml:space="preserve">wire transfers.  Each of these payment options is available after </w:t>
      </w:r>
      <w:r>
        <w:t xml:space="preserve">submitting </w:t>
      </w:r>
      <w:r w:rsidRPr="00FF0FE5">
        <w:t xml:space="preserve">regulatory fee information </w:t>
      </w:r>
      <w:r>
        <w:t>through</w:t>
      </w:r>
      <w:r w:rsidRPr="00FF0FE5">
        <w:t xml:space="preserve"> CORES</w:t>
      </w:r>
      <w:r w:rsidRPr="003D572A">
        <w:t xml:space="preserve">. </w:t>
      </w:r>
      <w:r w:rsidR="004B1742">
        <w:t xml:space="preserve"> </w:t>
      </w:r>
      <w:r w:rsidRPr="003D572A">
        <w:t>Further details will be provided regarding payment methods and procedures at the time of FY 20</w:t>
      </w:r>
      <w:r>
        <w:t>26</w:t>
      </w:r>
      <w:r w:rsidRPr="003D572A">
        <w:t xml:space="preserve"> regulatory fee collection</w:t>
      </w:r>
      <w:r w:rsidRPr="003D572A">
        <w:rPr>
          <w:color w:val="1F497D"/>
        </w:rPr>
        <w:t xml:space="preserve"> </w:t>
      </w:r>
      <w:r w:rsidRPr="002015BF">
        <w:t>in Fact Sheets, available at</w:t>
      </w:r>
      <w:r w:rsidRPr="003D572A">
        <w:rPr>
          <w:color w:val="1F497D"/>
        </w:rPr>
        <w:t xml:space="preserve"> </w:t>
      </w:r>
      <w:hyperlink r:id="rId10" w:history="1">
        <w:r w:rsidRPr="003D572A">
          <w:rPr>
            <w:rStyle w:val="Hyperlink"/>
          </w:rPr>
          <w:t>https://www.fcc.gov/regfees</w:t>
        </w:r>
      </w:hyperlink>
      <w:r w:rsidR="00840241">
        <w:rPr>
          <w:color w:val="1F497D"/>
        </w:rPr>
        <w:t>.</w:t>
      </w:r>
    </w:p>
    <w:p w:rsidR="00253E84" w:rsidRPr="003D572A" w:rsidP="00253E84" w14:paraId="0E4D5691" w14:textId="77777777">
      <w:pPr>
        <w:ind w:right="758"/>
      </w:pPr>
    </w:p>
    <w:p w:rsidR="00253E84" w:rsidRPr="00771831" w:rsidP="00253E84" w14:paraId="47FEC314" w14:textId="77777777">
      <w:pPr>
        <w:tabs>
          <w:tab w:val="left" w:pos="-720"/>
        </w:tabs>
        <w:suppressAutoHyphens/>
      </w:pPr>
      <w:r w:rsidRPr="003D572A">
        <w:t>Regulatory fee payments that exceed the U.S. Treasury limit and are rejected by Treasury, causing a payment not to meet the required payment deadline, will be subject to interest, fees, and a 25% late payment penalty.</w:t>
      </w:r>
    </w:p>
    <w:p w:rsidR="00253E84" w:rsidRPr="00771831" w:rsidP="00253E84" w14:paraId="138EBE45" w14:textId="77777777">
      <w:r w:rsidRPr="00771831">
        <w:t xml:space="preserve"> </w:t>
      </w:r>
    </w:p>
    <w:p w:rsidR="00253E84" w:rsidRPr="00771831" w:rsidP="00253E84" w14:paraId="66261509" w14:textId="77777777">
      <w:pPr>
        <w:jc w:val="center"/>
        <w:rPr>
          <w:b/>
        </w:rPr>
      </w:pPr>
      <w:bookmarkStart w:id="1" w:name="_Hlk81495509"/>
      <w:r w:rsidRPr="00771831">
        <w:rPr>
          <w:b/>
        </w:rPr>
        <w:t>ELECTRONIC FILING AND PAYMENT PROCEDURES FOR ALL ENTITIES</w:t>
      </w:r>
    </w:p>
    <w:p w:rsidR="00253E84" w:rsidRPr="00771831" w:rsidP="00253E84" w14:paraId="5E01EE68" w14:textId="77777777">
      <w:pPr>
        <w:jc w:val="center"/>
        <w:rPr>
          <w:b/>
        </w:rPr>
      </w:pPr>
    </w:p>
    <w:p w:rsidR="00253E84" w:rsidRPr="00771831" w:rsidP="00253E84" w14:paraId="0B23FA74" w14:textId="77777777">
      <w:pPr>
        <w:tabs>
          <w:tab w:val="left" w:pos="-720"/>
        </w:tabs>
        <w:suppressAutoHyphens/>
      </w:pPr>
      <w:r w:rsidRPr="00771831">
        <w:rPr>
          <w:spacing w:val="-3"/>
        </w:rPr>
        <w:t xml:space="preserve">All fee payors must enter </w:t>
      </w:r>
      <w:r>
        <w:rPr>
          <w:spacing w:val="-3"/>
        </w:rPr>
        <w:t>CORES</w:t>
      </w:r>
      <w:r w:rsidRPr="00771831">
        <w:rPr>
          <w:spacing w:val="-3"/>
        </w:rPr>
        <w:t xml:space="preserve"> to begin the process of filing </w:t>
      </w:r>
      <w:r>
        <w:rPr>
          <w:spacing w:val="-3"/>
        </w:rPr>
        <w:t xml:space="preserve">and paying </w:t>
      </w:r>
      <w:r w:rsidRPr="00771831">
        <w:rPr>
          <w:spacing w:val="-3"/>
        </w:rPr>
        <w:t>FY 20</w:t>
      </w:r>
      <w:r>
        <w:rPr>
          <w:spacing w:val="-3"/>
        </w:rPr>
        <w:t>26</w:t>
      </w:r>
      <w:r w:rsidRPr="00771831">
        <w:rPr>
          <w:spacing w:val="-3"/>
        </w:rPr>
        <w:t xml:space="preserve"> regulatory fees.  The </w:t>
      </w:r>
      <w:r>
        <w:rPr>
          <w:spacing w:val="-3"/>
        </w:rPr>
        <w:t>CORES login</w:t>
      </w:r>
      <w:r w:rsidRPr="00771831">
        <w:rPr>
          <w:spacing w:val="-3"/>
        </w:rPr>
        <w:t xml:space="preserve"> is located at:  </w:t>
      </w:r>
      <w:hyperlink r:id="rId7" w:history="1">
        <w:r w:rsidRPr="001F56AD">
          <w:rPr>
            <w:rStyle w:val="Hyperlink"/>
          </w:rPr>
          <w:t>https://apps.fcc.gov/cores/userLogin.do</w:t>
        </w:r>
      </w:hyperlink>
      <w:r>
        <w:t xml:space="preserve">. </w:t>
      </w:r>
      <w:r w:rsidRPr="00771831">
        <w:rPr>
          <w:spacing w:val="-3"/>
        </w:rPr>
        <w:t xml:space="preserve"> After logging in with </w:t>
      </w:r>
      <w:r>
        <w:rPr>
          <w:spacing w:val="-3"/>
        </w:rPr>
        <w:t>your username and password,</w:t>
      </w:r>
      <w:r w:rsidRPr="00771831">
        <w:rPr>
          <w:spacing w:val="-3"/>
        </w:rPr>
        <w:t xml:space="preserve"> </w:t>
      </w:r>
      <w:r>
        <w:t>select the “Manage Existing FRNs | FRN Financial | Bills and Fees” option, then select “Regulatory Fee Manager” to start the process of paying FY 2026 regulatory fees.</w:t>
      </w:r>
      <w:r w:rsidRPr="00771831">
        <w:rPr>
          <w:spacing w:val="-3"/>
        </w:rPr>
        <w:t xml:space="preserve">  </w:t>
      </w:r>
      <w:r w:rsidRPr="00771831">
        <w:t>It is the responsibility of each fee payor to determine its regulatory fee obligation.</w:t>
      </w:r>
      <w:bookmarkEnd w:id="1"/>
      <w:r w:rsidRPr="00771831">
        <w:t xml:space="preserve"> </w:t>
      </w:r>
      <w:r>
        <w:t xml:space="preserve"> </w:t>
      </w:r>
      <w:r w:rsidRPr="00771831">
        <w:rPr>
          <w:spacing w:val="-3"/>
        </w:rPr>
        <w:t xml:space="preserve">Although the Commission makes every effort to assure the accuracy of the information contained in </w:t>
      </w:r>
      <w:r>
        <w:rPr>
          <w:spacing w:val="-3"/>
        </w:rPr>
        <w:t>CORES</w:t>
      </w:r>
      <w:r w:rsidRPr="00771831">
        <w:rPr>
          <w:spacing w:val="-3"/>
        </w:rPr>
        <w:t xml:space="preserve">, the Commission cautions fee payors that any errors in the information contained in </w:t>
      </w:r>
      <w:r>
        <w:rPr>
          <w:spacing w:val="-3"/>
        </w:rPr>
        <w:t>CORES</w:t>
      </w:r>
      <w:r w:rsidRPr="00771831">
        <w:rPr>
          <w:spacing w:val="-3"/>
        </w:rPr>
        <w:t xml:space="preserve"> do not relieve fee payors of the</w:t>
      </w:r>
      <w:r>
        <w:rPr>
          <w:spacing w:val="-3"/>
        </w:rPr>
        <w:t>ir</w:t>
      </w:r>
      <w:r w:rsidRPr="00771831">
        <w:rPr>
          <w:spacing w:val="-3"/>
        </w:rPr>
        <w:t xml:space="preserve"> responsibility to pay </w:t>
      </w:r>
      <w:r>
        <w:rPr>
          <w:spacing w:val="-3"/>
        </w:rPr>
        <w:t xml:space="preserve">their </w:t>
      </w:r>
      <w:r w:rsidRPr="00771831">
        <w:rPr>
          <w:spacing w:val="-3"/>
        </w:rPr>
        <w:t>fees</w:t>
      </w:r>
      <w:r>
        <w:rPr>
          <w:spacing w:val="-3"/>
        </w:rPr>
        <w:t xml:space="preserve"> correctly. </w:t>
      </w:r>
      <w:r w:rsidRPr="00771831">
        <w:rPr>
          <w:spacing w:val="-3"/>
        </w:rPr>
        <w:t xml:space="preserve"> </w:t>
      </w:r>
      <w:r>
        <w:rPr>
          <w:spacing w:val="-3"/>
        </w:rPr>
        <w:t>If necessary, f</w:t>
      </w:r>
      <w:r w:rsidRPr="00771831">
        <w:rPr>
          <w:spacing w:val="-3"/>
        </w:rPr>
        <w:t xml:space="preserve">ee payors </w:t>
      </w:r>
      <w:r>
        <w:rPr>
          <w:spacing w:val="-3"/>
        </w:rPr>
        <w:t xml:space="preserve">must </w:t>
      </w:r>
      <w:r w:rsidRPr="00771831">
        <w:rPr>
          <w:spacing w:val="-3"/>
        </w:rPr>
        <w:t xml:space="preserve">make adjustments, corrections, additions, or deletions to the information contained in </w:t>
      </w:r>
      <w:r>
        <w:rPr>
          <w:spacing w:val="-3"/>
        </w:rPr>
        <w:t>CORES to pay all of their fee obligations</w:t>
      </w:r>
      <w:r w:rsidRPr="00771831">
        <w:rPr>
          <w:spacing w:val="-3"/>
        </w:rPr>
        <w:t>.</w:t>
      </w:r>
    </w:p>
    <w:p w:rsidR="00253E84" w:rsidRPr="00771831" w:rsidP="00253E84" w14:paraId="7E4BF27A" w14:textId="77777777">
      <w:pPr>
        <w:pStyle w:val="NormalWeb"/>
        <w:shd w:val="clear" w:color="auto" w:fill="FFFFFF"/>
        <w:spacing w:before="0" w:beforeAutospacing="0" w:after="0" w:afterAutospacing="0"/>
        <w:rPr>
          <w:color w:val="auto"/>
          <w:spacing w:val="-3"/>
          <w:sz w:val="22"/>
          <w:szCs w:val="22"/>
        </w:rPr>
      </w:pPr>
    </w:p>
    <w:p w:rsidR="00253E84" w:rsidRPr="00771831" w:rsidP="00253E84" w14:paraId="42A23751" w14:textId="77777777">
      <w:pPr>
        <w:pStyle w:val="NormalWeb"/>
        <w:shd w:val="clear" w:color="auto" w:fill="FFFFFF"/>
        <w:spacing w:before="0" w:beforeAutospacing="0" w:after="0" w:afterAutospacing="0"/>
        <w:rPr>
          <w:spacing w:val="-3"/>
          <w:sz w:val="22"/>
          <w:szCs w:val="22"/>
        </w:rPr>
      </w:pPr>
      <w:r w:rsidRPr="00E535E5">
        <w:rPr>
          <w:spacing w:val="-3"/>
          <w:sz w:val="22"/>
          <w:szCs w:val="22"/>
        </w:rPr>
        <w:t xml:space="preserve">For assistance with regulatory fee rates/calculations, exemption status and de minimis questions, please contact the </w:t>
      </w:r>
      <w:r>
        <w:rPr>
          <w:spacing w:val="-3"/>
          <w:sz w:val="22"/>
          <w:szCs w:val="22"/>
        </w:rPr>
        <w:t>Financial Operations help desk</w:t>
      </w:r>
      <w:r w:rsidRPr="00E535E5">
        <w:rPr>
          <w:spacing w:val="-3"/>
          <w:sz w:val="22"/>
          <w:szCs w:val="22"/>
        </w:rPr>
        <w:t xml:space="preserve"> at (877) 480-3201, Option #6.  For technical assistance with making payments through CORES, please contact the </w:t>
      </w:r>
      <w:r w:rsidRPr="00E535E5">
        <w:rPr>
          <w:color w:val="auto"/>
          <w:spacing w:val="-3"/>
          <w:sz w:val="22"/>
          <w:szCs w:val="22"/>
        </w:rPr>
        <w:t xml:space="preserve">CORES </w:t>
      </w:r>
      <w:r>
        <w:rPr>
          <w:color w:val="auto"/>
          <w:spacing w:val="-3"/>
          <w:sz w:val="22"/>
          <w:szCs w:val="22"/>
        </w:rPr>
        <w:t>h</w:t>
      </w:r>
      <w:r w:rsidRPr="00E535E5">
        <w:rPr>
          <w:color w:val="auto"/>
          <w:spacing w:val="-3"/>
          <w:sz w:val="22"/>
          <w:szCs w:val="22"/>
        </w:rPr>
        <w:t xml:space="preserve">elp </w:t>
      </w:r>
      <w:r>
        <w:rPr>
          <w:color w:val="auto"/>
          <w:spacing w:val="-3"/>
          <w:sz w:val="22"/>
          <w:szCs w:val="22"/>
        </w:rPr>
        <w:t>d</w:t>
      </w:r>
      <w:r w:rsidRPr="00E535E5">
        <w:rPr>
          <w:color w:val="auto"/>
          <w:spacing w:val="-3"/>
          <w:sz w:val="22"/>
          <w:szCs w:val="22"/>
        </w:rPr>
        <w:t xml:space="preserve">esk at </w:t>
      </w:r>
      <w:r w:rsidRPr="00E535E5">
        <w:rPr>
          <w:sz w:val="22"/>
          <w:szCs w:val="22"/>
        </w:rPr>
        <w:t>(877) 480-3201, Option  #1.</w:t>
      </w:r>
    </w:p>
    <w:p w:rsidR="00253E84" w:rsidRPr="00771831" w:rsidP="00253E84" w14:paraId="64310826" w14:textId="77777777">
      <w:pPr>
        <w:tabs>
          <w:tab w:val="left" w:pos="-720"/>
        </w:tabs>
        <w:suppressAutoHyphens/>
        <w:rPr>
          <w:spacing w:val="-3"/>
        </w:rPr>
      </w:pPr>
    </w:p>
    <w:p w:rsidR="00253E84" w:rsidRPr="00771831" w:rsidP="00253E84" w14:paraId="48127EF5" w14:textId="77777777">
      <w:pPr>
        <w:pStyle w:val="NormalWeb"/>
        <w:shd w:val="clear" w:color="auto" w:fill="FFFFFF"/>
        <w:spacing w:before="0" w:beforeAutospacing="0" w:after="0" w:afterAutospacing="0"/>
        <w:jc w:val="center"/>
        <w:rPr>
          <w:b/>
          <w:bCs/>
          <w:sz w:val="22"/>
          <w:szCs w:val="22"/>
        </w:rPr>
      </w:pPr>
      <w:r w:rsidRPr="00771831">
        <w:rPr>
          <w:b/>
          <w:bCs/>
          <w:sz w:val="22"/>
          <w:szCs w:val="22"/>
        </w:rPr>
        <w:t>PAYMENT METHODS</w:t>
      </w:r>
    </w:p>
    <w:p w:rsidR="00253E84" w:rsidRPr="00771831" w:rsidP="00253E84" w14:paraId="089D5F17" w14:textId="77777777">
      <w:pPr>
        <w:pStyle w:val="NormalWeb"/>
        <w:shd w:val="clear" w:color="auto" w:fill="FFFFFF"/>
        <w:spacing w:before="0" w:beforeAutospacing="0" w:after="0" w:afterAutospacing="0"/>
        <w:jc w:val="center"/>
        <w:rPr>
          <w:b/>
          <w:bCs/>
          <w:sz w:val="22"/>
          <w:szCs w:val="22"/>
        </w:rPr>
      </w:pPr>
    </w:p>
    <w:p w:rsidR="00253E84" w:rsidRPr="00771831" w:rsidP="00253E84" w14:paraId="18559FEB" w14:textId="77777777">
      <w:pPr>
        <w:pStyle w:val="NormalWeb"/>
        <w:shd w:val="clear" w:color="auto" w:fill="FFFFFF"/>
        <w:spacing w:before="0" w:beforeAutospacing="0" w:after="0" w:afterAutospacing="0"/>
        <w:rPr>
          <w:sz w:val="22"/>
          <w:szCs w:val="22"/>
        </w:rPr>
      </w:pPr>
      <w:r w:rsidRPr="00771831">
        <w:rPr>
          <w:sz w:val="22"/>
          <w:szCs w:val="22"/>
        </w:rPr>
        <w:t xml:space="preserve">Licensees and </w:t>
      </w:r>
      <w:r w:rsidRPr="00771831">
        <w:rPr>
          <w:sz w:val="22"/>
          <w:szCs w:val="22"/>
        </w:rPr>
        <w:t>regulatees</w:t>
      </w:r>
      <w:r w:rsidRPr="00771831">
        <w:rPr>
          <w:sz w:val="22"/>
          <w:szCs w:val="22"/>
        </w:rPr>
        <w:t xml:space="preserve"> may pay their regulatory fees by any of the following methods</w:t>
      </w:r>
      <w:r>
        <w:rPr>
          <w:sz w:val="22"/>
          <w:szCs w:val="22"/>
        </w:rPr>
        <w:t>:</w:t>
      </w:r>
      <w:r w:rsidRPr="00771831">
        <w:rPr>
          <w:sz w:val="22"/>
          <w:szCs w:val="22"/>
        </w:rPr>
        <w:t xml:space="preserve"> </w:t>
      </w:r>
    </w:p>
    <w:p w:rsidR="00253E84" w:rsidRPr="00771831" w:rsidP="00253E84" w14:paraId="27E4B471" w14:textId="77777777">
      <w:pPr>
        <w:pStyle w:val="NormalWeb"/>
        <w:shd w:val="clear" w:color="auto" w:fill="FFFFFF"/>
        <w:spacing w:before="0" w:beforeAutospacing="0" w:after="0" w:afterAutospacing="0"/>
        <w:ind w:left="720"/>
        <w:rPr>
          <w:sz w:val="22"/>
          <w:szCs w:val="22"/>
        </w:rPr>
      </w:pPr>
    </w:p>
    <w:p w:rsidR="00253E84" w:rsidRPr="00771831" w:rsidP="00253E84" w14:paraId="0BEB2420" w14:textId="77777777">
      <w:pPr>
        <w:pStyle w:val="NormalWeb"/>
        <w:numPr>
          <w:ilvl w:val="0"/>
          <w:numId w:val="45"/>
        </w:numPr>
        <w:shd w:val="clear" w:color="auto" w:fill="FFFFFF"/>
        <w:spacing w:before="0" w:beforeAutospacing="0" w:after="0" w:afterAutospacing="0"/>
        <w:rPr>
          <w:sz w:val="22"/>
          <w:szCs w:val="22"/>
        </w:rPr>
      </w:pPr>
      <w:r>
        <w:rPr>
          <w:sz w:val="22"/>
          <w:szCs w:val="22"/>
        </w:rPr>
        <w:t xml:space="preserve">Credit card (online) via </w:t>
      </w:r>
      <w:r w:rsidRPr="00E535E5">
        <w:rPr>
          <w:sz w:val="22"/>
          <w:szCs w:val="22"/>
        </w:rPr>
        <w:t>CORES</w:t>
      </w:r>
    </w:p>
    <w:p w:rsidR="00253E84" w:rsidRPr="00771831" w:rsidP="00253E84" w14:paraId="56D5A7A1" w14:textId="77777777">
      <w:pPr>
        <w:pStyle w:val="NormalWeb"/>
        <w:numPr>
          <w:ilvl w:val="0"/>
          <w:numId w:val="45"/>
        </w:numPr>
        <w:shd w:val="clear" w:color="auto" w:fill="FFFFFF"/>
        <w:spacing w:before="0" w:beforeAutospacing="0" w:after="0" w:afterAutospacing="0"/>
        <w:rPr>
          <w:sz w:val="22"/>
          <w:szCs w:val="22"/>
        </w:rPr>
      </w:pPr>
      <w:r w:rsidRPr="00771831">
        <w:rPr>
          <w:sz w:val="22"/>
          <w:szCs w:val="22"/>
        </w:rPr>
        <w:t>Wire transfer</w:t>
      </w:r>
      <w:r>
        <w:rPr>
          <w:sz w:val="22"/>
          <w:szCs w:val="22"/>
        </w:rPr>
        <w:t xml:space="preserve"> (submit via CORES)</w:t>
      </w:r>
    </w:p>
    <w:p w:rsidR="00253E84" w:rsidRPr="00771831" w:rsidP="00253E84" w14:paraId="5D8CBAAE" w14:textId="77777777">
      <w:pPr>
        <w:pStyle w:val="NormalWeb"/>
        <w:numPr>
          <w:ilvl w:val="0"/>
          <w:numId w:val="45"/>
        </w:numPr>
        <w:shd w:val="clear" w:color="auto" w:fill="FFFFFF"/>
        <w:spacing w:before="0" w:beforeAutospacing="0" w:after="0" w:afterAutospacing="0"/>
        <w:rPr>
          <w:sz w:val="22"/>
          <w:szCs w:val="22"/>
        </w:rPr>
      </w:pPr>
      <w:r w:rsidRPr="00771831">
        <w:rPr>
          <w:sz w:val="22"/>
          <w:szCs w:val="22"/>
        </w:rPr>
        <w:t xml:space="preserve">ACH/debit from bank account (online) via </w:t>
      </w:r>
      <w:r w:rsidRPr="00E535E5">
        <w:rPr>
          <w:sz w:val="22"/>
          <w:szCs w:val="22"/>
        </w:rPr>
        <w:t>CORES</w:t>
      </w:r>
      <w:r w:rsidRPr="00771831">
        <w:rPr>
          <w:sz w:val="22"/>
          <w:szCs w:val="22"/>
        </w:rPr>
        <w:t xml:space="preserve"> </w:t>
      </w:r>
    </w:p>
    <w:p w:rsidR="00253E84" w:rsidRPr="00771831" w:rsidP="00253E84" w14:paraId="7AE29454" w14:textId="77777777">
      <w:pPr>
        <w:pStyle w:val="NormalWeb"/>
        <w:numPr>
          <w:ilvl w:val="0"/>
          <w:numId w:val="45"/>
        </w:numPr>
        <w:shd w:val="clear" w:color="auto" w:fill="FFFFFF"/>
        <w:spacing w:before="0" w:beforeAutospacing="0" w:after="0" w:afterAutospacing="0"/>
        <w:rPr>
          <w:sz w:val="22"/>
          <w:szCs w:val="22"/>
        </w:rPr>
      </w:pPr>
      <w:r w:rsidRPr="00771831">
        <w:rPr>
          <w:sz w:val="22"/>
        </w:rPr>
        <w:t>Visa or MasterCard debit cards</w:t>
      </w:r>
      <w:r>
        <w:rPr>
          <w:sz w:val="22"/>
        </w:rPr>
        <w:t xml:space="preserve"> (online) via </w:t>
      </w:r>
      <w:r w:rsidRPr="00E535E5">
        <w:rPr>
          <w:sz w:val="22"/>
          <w:szCs w:val="22"/>
        </w:rPr>
        <w:t>CORES</w:t>
      </w:r>
    </w:p>
    <w:p w:rsidR="00253E84" w:rsidRPr="00771831" w:rsidP="00253E84" w14:paraId="616142AA" w14:textId="77777777"/>
    <w:p w:rsidR="00253E84" w:rsidRPr="00771831" w:rsidP="00253E84" w14:paraId="6B47602D" w14:textId="77777777">
      <w:pPr>
        <w:tabs>
          <w:tab w:val="left" w:pos="-720"/>
        </w:tabs>
        <w:suppressAutoHyphens/>
        <w:rPr>
          <w:b/>
        </w:rPr>
      </w:pPr>
      <w:r w:rsidRPr="00771831">
        <w:rPr>
          <w:b/>
        </w:rPr>
        <w:t xml:space="preserve">Checks, Money Orders, and Cashier’s Checks are </w:t>
      </w:r>
      <w:r w:rsidRPr="00771831">
        <w:rPr>
          <w:b/>
          <w:u w:val="single"/>
        </w:rPr>
        <w:t>No Longer Accepted</w:t>
      </w:r>
      <w:r w:rsidRPr="00771831">
        <w:rPr>
          <w:b/>
        </w:rPr>
        <w:t xml:space="preserve"> for Payment of Regulatory Fees</w:t>
      </w:r>
      <w:r>
        <w:rPr>
          <w:b/>
        </w:rPr>
        <w:t>.</w:t>
      </w:r>
      <w:r>
        <w:rPr>
          <w:rStyle w:val="FootnoteReference"/>
          <w:bCs/>
        </w:rPr>
        <w:footnoteReference w:id="6"/>
      </w:r>
    </w:p>
    <w:p w:rsidR="00253E84" w:rsidRPr="00771831" w:rsidP="00253E84" w14:paraId="2C41982F" w14:textId="77777777">
      <w:pPr>
        <w:tabs>
          <w:tab w:val="left" w:pos="-720"/>
        </w:tabs>
        <w:suppressAutoHyphens/>
        <w:ind w:left="360"/>
      </w:pPr>
    </w:p>
    <w:p w:rsidR="00253E84" w:rsidP="00253E84" w14:paraId="6B780409" w14:textId="77777777"/>
    <w:p w:rsidR="00253E84" w:rsidRPr="001C43B8" w:rsidP="00253E84" w14:paraId="763FB99D" w14:textId="2D1C878C">
      <w:pPr>
        <w:rPr>
          <w:b/>
          <w:bCs/>
          <w:u w:val="single"/>
        </w:rPr>
      </w:pPr>
      <w:r w:rsidRPr="001C43B8">
        <w:rPr>
          <w:b/>
          <w:bCs/>
          <w:u w:val="single"/>
        </w:rPr>
        <w:t>Credit Card (online)</w:t>
      </w:r>
    </w:p>
    <w:p w:rsidR="00253E84" w:rsidRPr="00771831" w:rsidP="00253E84" w14:paraId="05C0AF0E" w14:textId="77777777">
      <w:pPr>
        <w:pStyle w:val="ParaNum"/>
        <w:widowControl w:val="0"/>
        <w:numPr>
          <w:ilvl w:val="0"/>
          <w:numId w:val="44"/>
        </w:numPr>
        <w:tabs>
          <w:tab w:val="left" w:pos="1440"/>
        </w:tabs>
        <w:spacing w:after="0"/>
      </w:pPr>
      <w:r w:rsidRPr="00771831">
        <w:t>The FCC accepts Visa, MasterCard, Discover, and American Express.</w:t>
      </w:r>
    </w:p>
    <w:p w:rsidR="00253E84" w:rsidRPr="00771831" w:rsidP="00253E84" w14:paraId="4C0858AB" w14:textId="77777777">
      <w:pPr>
        <w:pStyle w:val="ParaNum"/>
        <w:widowControl w:val="0"/>
        <w:numPr>
          <w:ilvl w:val="0"/>
          <w:numId w:val="44"/>
        </w:numPr>
        <w:tabs>
          <w:tab w:val="left" w:pos="1440"/>
        </w:tabs>
        <w:spacing w:after="0"/>
      </w:pPr>
      <w:r w:rsidRPr="00771831">
        <w:t>To pay online by credit card, fee payors must first submit electronic filing information through</w:t>
      </w:r>
      <w:r>
        <w:t xml:space="preserve"> </w:t>
      </w:r>
      <w:r w:rsidRPr="00E535E5">
        <w:t>CORES</w:t>
      </w:r>
      <w:r w:rsidRPr="00771831">
        <w:t>, and will then have the option to pay online by choosing the “Pay by Credit Card” option.</w:t>
      </w:r>
    </w:p>
    <w:p w:rsidR="00253E84" w:rsidP="00253E84" w14:paraId="773E74E1" w14:textId="65091E3D">
      <w:pPr>
        <w:pStyle w:val="ParaNum"/>
        <w:widowControl w:val="0"/>
        <w:numPr>
          <w:ilvl w:val="0"/>
          <w:numId w:val="44"/>
        </w:numPr>
        <w:tabs>
          <w:tab w:val="left" w:pos="1440"/>
        </w:tabs>
        <w:spacing w:after="0"/>
      </w:pPr>
      <w:r w:rsidRPr="00771831">
        <w:t xml:space="preserve">Limitations on credit card transactions: </w:t>
      </w:r>
      <w:r w:rsidR="00E75025">
        <w:t xml:space="preserve"> </w:t>
      </w:r>
      <w:r w:rsidRPr="00771831">
        <w:t>As noted previously, the U.S. Treasury will reject credit card transactions greater than $2</w:t>
      </w:r>
      <w:r>
        <w:t>4</w:t>
      </w:r>
      <w:r w:rsidRPr="00771831">
        <w:t xml:space="preserve">,999.99 from a single credit card in a single day. </w:t>
      </w:r>
    </w:p>
    <w:p w:rsidR="00253E84" w:rsidP="00253E84" w14:paraId="3216D6FF" w14:textId="77777777"/>
    <w:p w:rsidR="00253E84" w:rsidRPr="003E5E8E" w:rsidP="00253E84" w14:paraId="3142C6D6" w14:textId="77777777">
      <w:r w:rsidRPr="00E535E5">
        <w:t xml:space="preserve">Any </w:t>
      </w:r>
      <w:r>
        <w:t xml:space="preserve">automated </w:t>
      </w:r>
      <w:r w:rsidRPr="00E535E5">
        <w:t xml:space="preserve">notification </w:t>
      </w:r>
      <w:r>
        <w:t xml:space="preserve">you receive </w:t>
      </w:r>
      <w:r w:rsidRPr="00E535E5">
        <w:t xml:space="preserve">from the Commission </w:t>
      </w:r>
      <w:r>
        <w:t xml:space="preserve">or Pay.gov following submission of your credit card payment is an acknowledgement of submission, and not an acknowledgement that the funds have been received by the Commission.  </w:t>
      </w:r>
      <w:r w:rsidRPr="00E535E5">
        <w:t xml:space="preserve">As a precaution, </w:t>
      </w:r>
      <w:r>
        <w:t xml:space="preserve">fee payors </w:t>
      </w:r>
      <w:r w:rsidRPr="00E535E5">
        <w:t xml:space="preserve">should </w:t>
      </w:r>
      <w:r w:rsidRPr="00E535E5">
        <w:rPr>
          <w:u w:val="single"/>
        </w:rPr>
        <w:t>always</w:t>
      </w:r>
      <w:r w:rsidRPr="00E535E5">
        <w:t xml:space="preserve"> check their </w:t>
      </w:r>
      <w:r>
        <w:t xml:space="preserve">bank </w:t>
      </w:r>
      <w:r w:rsidRPr="00E535E5">
        <w:t xml:space="preserve">statements to </w:t>
      </w:r>
      <w:r>
        <w:t xml:space="preserve">ensure that the funds have actually been transferred to the Commission by the regulatory fee payment due date.  </w:t>
      </w:r>
    </w:p>
    <w:p w:rsidR="00253E84" w:rsidRPr="00771831" w:rsidP="00253E84" w14:paraId="69D2BD2E" w14:textId="77777777"/>
    <w:p w:rsidR="00930618" w:rsidP="00253E84" w14:paraId="62AB60AE" w14:textId="77777777">
      <w:pPr>
        <w:pStyle w:val="header2"/>
        <w:tabs>
          <w:tab w:val="clear" w:pos="1440"/>
          <w:tab w:val="clear" w:pos="4320"/>
          <w:tab w:val="center" w:pos="4680"/>
          <w:tab w:val="clear" w:pos="8640"/>
        </w:tabs>
        <w:jc w:val="left"/>
        <w:rPr>
          <w:sz w:val="22"/>
          <w:szCs w:val="22"/>
          <w:u w:val="single"/>
        </w:rPr>
      </w:pPr>
    </w:p>
    <w:p w:rsidR="00930618" w:rsidP="00253E84" w14:paraId="604D60AF" w14:textId="77777777">
      <w:pPr>
        <w:pStyle w:val="header2"/>
        <w:tabs>
          <w:tab w:val="clear" w:pos="1440"/>
          <w:tab w:val="clear" w:pos="4320"/>
          <w:tab w:val="center" w:pos="4680"/>
          <w:tab w:val="clear" w:pos="8640"/>
        </w:tabs>
        <w:jc w:val="left"/>
        <w:rPr>
          <w:sz w:val="22"/>
          <w:szCs w:val="22"/>
          <w:u w:val="single"/>
        </w:rPr>
      </w:pPr>
    </w:p>
    <w:p w:rsidR="00253E84" w:rsidRPr="007D25DC" w:rsidP="00253E84" w14:paraId="54B08BD0" w14:textId="63A8DDAF">
      <w:pPr>
        <w:pStyle w:val="header2"/>
        <w:tabs>
          <w:tab w:val="clear" w:pos="1440"/>
          <w:tab w:val="clear" w:pos="4320"/>
          <w:tab w:val="center" w:pos="4680"/>
          <w:tab w:val="clear" w:pos="8640"/>
        </w:tabs>
        <w:jc w:val="left"/>
        <w:rPr>
          <w:sz w:val="22"/>
          <w:szCs w:val="22"/>
          <w:u w:val="single"/>
        </w:rPr>
      </w:pPr>
      <w:r w:rsidRPr="007D25DC">
        <w:rPr>
          <w:sz w:val="22"/>
          <w:szCs w:val="22"/>
          <w:u w:val="single"/>
        </w:rPr>
        <w:t xml:space="preserve">Wire Transfer  </w:t>
      </w:r>
    </w:p>
    <w:p w:rsidR="00253E84" w:rsidRPr="00E535E5" w:rsidP="00930618" w14:paraId="13F09F4E" w14:textId="77777777">
      <w:pPr>
        <w:pStyle w:val="header2"/>
        <w:widowControl/>
        <w:tabs>
          <w:tab w:val="clear" w:pos="1440"/>
          <w:tab w:val="clear" w:pos="4320"/>
          <w:tab w:val="center" w:pos="4680"/>
          <w:tab w:val="clear" w:pos="8640"/>
        </w:tabs>
        <w:jc w:val="left"/>
        <w:rPr>
          <w:b w:val="0"/>
          <w:sz w:val="22"/>
          <w:szCs w:val="22"/>
        </w:rPr>
      </w:pPr>
      <w:r w:rsidRPr="00771831">
        <w:rPr>
          <w:b w:val="0"/>
          <w:sz w:val="22"/>
          <w:szCs w:val="22"/>
        </w:rPr>
        <w:t xml:space="preserve">A wire transfer is a transaction that is initiated through a bank, authorizing the bank to wire funds from an account to the </w:t>
      </w:r>
      <w:r>
        <w:rPr>
          <w:b w:val="0"/>
          <w:sz w:val="22"/>
          <w:szCs w:val="22"/>
        </w:rPr>
        <w:t>U.S. Treasury, New York, New York</w:t>
      </w:r>
      <w:r w:rsidRPr="00771831">
        <w:rPr>
          <w:b w:val="0"/>
          <w:sz w:val="22"/>
          <w:szCs w:val="22"/>
        </w:rPr>
        <w:t xml:space="preserve">.  All payments made by wire transfer payable to the Commission must be supported by </w:t>
      </w:r>
      <w:r w:rsidRPr="007E667C">
        <w:rPr>
          <w:b w:val="0"/>
          <w:bCs/>
          <w:sz w:val="22"/>
          <w:szCs w:val="22"/>
        </w:rPr>
        <w:t>faxing the “Wire Transfer Instructions” from</w:t>
      </w:r>
      <w:r>
        <w:rPr>
          <w:b w:val="0"/>
          <w:bCs/>
          <w:sz w:val="22"/>
          <w:szCs w:val="22"/>
        </w:rPr>
        <w:t xml:space="preserve"> </w:t>
      </w:r>
      <w:r w:rsidRPr="00E535E5">
        <w:rPr>
          <w:b w:val="0"/>
          <w:bCs/>
          <w:sz w:val="22"/>
          <w:szCs w:val="22"/>
        </w:rPr>
        <w:t>CORES</w:t>
      </w:r>
      <w:r>
        <w:rPr>
          <w:b w:val="0"/>
          <w:bCs/>
          <w:sz w:val="22"/>
          <w:szCs w:val="22"/>
        </w:rPr>
        <w:t xml:space="preserve"> </w:t>
      </w:r>
      <w:r w:rsidRPr="007E667C">
        <w:rPr>
          <w:b w:val="0"/>
          <w:bCs/>
          <w:sz w:val="22"/>
          <w:szCs w:val="22"/>
        </w:rPr>
        <w:t>to the Commission at (202) 418-2843 at least one hour before initiating the wire transfer</w:t>
      </w:r>
      <w:r w:rsidRPr="00771831">
        <w:rPr>
          <w:b w:val="0"/>
          <w:sz w:val="22"/>
          <w:szCs w:val="22"/>
        </w:rPr>
        <w:t xml:space="preserve"> (but on the same business day) so as not to delay crediting their account.</w:t>
      </w:r>
      <w:r>
        <w:rPr>
          <w:b w:val="0"/>
          <w:sz w:val="22"/>
          <w:szCs w:val="22"/>
        </w:rPr>
        <w:t xml:space="preserve">  The Wire Transfer Instructions can also be e-mailed to </w:t>
      </w:r>
      <w:hyperlink r:id="rId8" w:history="1">
        <w:r w:rsidRPr="00416B3C">
          <w:rPr>
            <w:rStyle w:val="Hyperlink"/>
            <w:b w:val="0"/>
            <w:sz w:val="22"/>
            <w:szCs w:val="22"/>
          </w:rPr>
          <w:t>RROGWIREFAXES@fcc.gov</w:t>
        </w:r>
      </w:hyperlink>
      <w:r>
        <w:rPr>
          <w:b w:val="0"/>
          <w:sz w:val="22"/>
          <w:szCs w:val="22"/>
        </w:rPr>
        <w:t xml:space="preserve">.  These instructions contain valuable information (e.g. FRN, Voucher Number, Payer Name, and the Amount of the Wire) that will help to post the payment more quickly, and avoid costly delays that could result in penalties and interest for missing the payment due date.  </w:t>
      </w:r>
      <w:r w:rsidRPr="007E667C">
        <w:rPr>
          <w:b w:val="0"/>
          <w:bCs/>
          <w:sz w:val="22"/>
          <w:szCs w:val="22"/>
        </w:rPr>
        <w:t>Please note that most wire transfers initiated after 6:00 p.m. (EDT) will be credited the next business day, and wires initiated outside of the United States may take additional time.</w:t>
      </w:r>
      <w:r w:rsidRPr="00771831">
        <w:rPr>
          <w:b w:val="0"/>
          <w:sz w:val="22"/>
          <w:szCs w:val="22"/>
        </w:rPr>
        <w:t xml:space="preserve">  Fee payors should discuss arrangements (</w:t>
      </w:r>
      <w:r w:rsidRPr="00635D38">
        <w:rPr>
          <w:b w:val="0"/>
          <w:sz w:val="22"/>
          <w:szCs w:val="22"/>
        </w:rPr>
        <w:t>including</w:t>
      </w:r>
      <w:r w:rsidRPr="00771831">
        <w:rPr>
          <w:b w:val="0"/>
          <w:sz w:val="22"/>
          <w:szCs w:val="22"/>
        </w:rPr>
        <w:t xml:space="preserve"> bank closing schedules, and </w:t>
      </w:r>
      <w:r w:rsidRPr="007E667C">
        <w:rPr>
          <w:b w:val="0"/>
          <w:sz w:val="22"/>
          <w:szCs w:val="22"/>
        </w:rPr>
        <w:t>bank wire transaction fees for which the Commission is not responsible</w:t>
      </w:r>
      <w:r w:rsidRPr="00771831">
        <w:rPr>
          <w:b w:val="0"/>
          <w:sz w:val="22"/>
          <w:szCs w:val="22"/>
        </w:rPr>
        <w:t xml:space="preserve">) with their bankers several days before they plan to make the wire transfer to allow sufficient time for the transfer to be initiated and completed before the deadline, especially if the wire transfer is an international one.  Complete instructions for making wire payments are posted at </w:t>
      </w:r>
      <w:hyperlink r:id="rId9" w:history="1">
        <w:r w:rsidRPr="00367D90">
          <w:rPr>
            <w:rStyle w:val="Hyperlink"/>
            <w:b w:val="0"/>
            <w:bCs/>
            <w:sz w:val="22"/>
            <w:szCs w:val="22"/>
          </w:rPr>
          <w:t>https://www.fcc.gov/licensing-databases/fees/wire-transfer</w:t>
        </w:r>
      </w:hyperlink>
      <w:r w:rsidRPr="00367D90">
        <w:rPr>
          <w:b w:val="0"/>
          <w:bCs/>
          <w:sz w:val="22"/>
          <w:szCs w:val="22"/>
        </w:rPr>
        <w:t xml:space="preserve">.  </w:t>
      </w:r>
      <w:r w:rsidRPr="00E535E5">
        <w:rPr>
          <w:bCs/>
          <w:sz w:val="22"/>
          <w:szCs w:val="22"/>
        </w:rPr>
        <w:t>Fee payors are responsible for obtaining confirmation from their financial institution that payment was successfully debited from the designated account(s) prior to the deadline to avoid additional fees</w:t>
      </w:r>
      <w:r w:rsidRPr="00E535E5">
        <w:rPr>
          <w:b w:val="0"/>
          <w:sz w:val="22"/>
          <w:szCs w:val="22"/>
        </w:rPr>
        <w:t>.</w:t>
      </w:r>
    </w:p>
    <w:p w:rsidR="00253E84" w:rsidP="00253E84" w14:paraId="111C26AA" w14:textId="77777777">
      <w:pPr>
        <w:pStyle w:val="header2"/>
        <w:tabs>
          <w:tab w:val="clear" w:pos="1440"/>
          <w:tab w:val="clear" w:pos="4320"/>
          <w:tab w:val="center" w:pos="4680"/>
          <w:tab w:val="clear" w:pos="8640"/>
        </w:tabs>
        <w:jc w:val="left"/>
        <w:rPr>
          <w:b w:val="0"/>
          <w:sz w:val="22"/>
          <w:szCs w:val="22"/>
        </w:rPr>
      </w:pPr>
    </w:p>
    <w:p w:rsidR="00253E84" w:rsidP="00253E84" w14:paraId="00040B7F" w14:textId="77777777">
      <w:pPr>
        <w:pStyle w:val="header2"/>
        <w:tabs>
          <w:tab w:val="clear" w:pos="1440"/>
          <w:tab w:val="clear" w:pos="4320"/>
          <w:tab w:val="center" w:pos="4680"/>
          <w:tab w:val="clear" w:pos="8640"/>
        </w:tabs>
        <w:jc w:val="left"/>
        <w:rPr>
          <w:b w:val="0"/>
          <w:sz w:val="22"/>
          <w:szCs w:val="22"/>
        </w:rPr>
      </w:pPr>
      <w:r w:rsidRPr="00241AE6">
        <w:rPr>
          <w:b w:val="0"/>
          <w:sz w:val="22"/>
          <w:szCs w:val="22"/>
        </w:rPr>
        <w:t xml:space="preserve">As a reminder, all </w:t>
      </w:r>
      <w:r>
        <w:rPr>
          <w:b w:val="0"/>
          <w:sz w:val="22"/>
          <w:szCs w:val="22"/>
        </w:rPr>
        <w:t>r</w:t>
      </w:r>
      <w:r w:rsidRPr="00241AE6">
        <w:rPr>
          <w:b w:val="0"/>
          <w:sz w:val="22"/>
          <w:szCs w:val="22"/>
        </w:rPr>
        <w:t xml:space="preserve">egulatory </w:t>
      </w:r>
      <w:r>
        <w:rPr>
          <w:b w:val="0"/>
          <w:sz w:val="22"/>
          <w:szCs w:val="22"/>
        </w:rPr>
        <w:t>f</w:t>
      </w:r>
      <w:r w:rsidRPr="00241AE6">
        <w:rPr>
          <w:b w:val="0"/>
          <w:sz w:val="22"/>
          <w:szCs w:val="22"/>
        </w:rPr>
        <w:t xml:space="preserve">ees </w:t>
      </w:r>
      <w:r w:rsidRPr="00241AE6">
        <w:rPr>
          <w:b w:val="0"/>
          <w:bCs/>
          <w:sz w:val="22"/>
          <w:szCs w:val="22"/>
        </w:rPr>
        <w:t>MUST be filed</w:t>
      </w:r>
      <w:r w:rsidRPr="00241AE6">
        <w:rPr>
          <w:b w:val="0"/>
          <w:sz w:val="22"/>
          <w:szCs w:val="22"/>
        </w:rPr>
        <w:t xml:space="preserve">, submitted and paid </w:t>
      </w:r>
      <w:r w:rsidRPr="007E667C">
        <w:rPr>
          <w:b w:val="0"/>
          <w:sz w:val="22"/>
          <w:szCs w:val="22"/>
        </w:rPr>
        <w:t>through</w:t>
      </w:r>
      <w:r>
        <w:rPr>
          <w:b w:val="0"/>
          <w:sz w:val="22"/>
          <w:szCs w:val="22"/>
        </w:rPr>
        <w:t xml:space="preserve"> CORES</w:t>
      </w:r>
      <w:r w:rsidRPr="00040CB1">
        <w:rPr>
          <w:b w:val="0"/>
          <w:sz w:val="22"/>
          <w:szCs w:val="22"/>
        </w:rPr>
        <w:t xml:space="preserve"> </w:t>
      </w:r>
      <w:r w:rsidRPr="007E667C">
        <w:rPr>
          <w:b w:val="0"/>
          <w:sz w:val="22"/>
          <w:szCs w:val="22"/>
        </w:rPr>
        <w:t>with the exception of wire transfers, which are initiated from the payor</w:t>
      </w:r>
      <w:r>
        <w:rPr>
          <w:b w:val="0"/>
          <w:sz w:val="22"/>
          <w:szCs w:val="22"/>
        </w:rPr>
        <w:t>’</w:t>
      </w:r>
      <w:r w:rsidRPr="007E667C">
        <w:rPr>
          <w:b w:val="0"/>
          <w:sz w:val="22"/>
          <w:szCs w:val="22"/>
        </w:rPr>
        <w:t>s financial institution</w:t>
      </w:r>
      <w:r>
        <w:rPr>
          <w:b w:val="0"/>
          <w:sz w:val="22"/>
          <w:szCs w:val="22"/>
        </w:rPr>
        <w:t>.</w:t>
      </w:r>
      <w:r w:rsidRPr="00241AE6">
        <w:rPr>
          <w:b w:val="0"/>
          <w:sz w:val="22"/>
          <w:szCs w:val="22"/>
        </w:rPr>
        <w:t xml:space="preserve"> </w:t>
      </w:r>
      <w:r>
        <w:rPr>
          <w:b w:val="0"/>
          <w:sz w:val="22"/>
          <w:szCs w:val="22"/>
        </w:rPr>
        <w:t xml:space="preserve"> </w:t>
      </w:r>
      <w:r w:rsidRPr="00241AE6">
        <w:rPr>
          <w:b w:val="0"/>
          <w:sz w:val="22"/>
          <w:szCs w:val="22"/>
        </w:rPr>
        <w:t>If yo</w:t>
      </w:r>
      <w:r>
        <w:rPr>
          <w:b w:val="0"/>
          <w:sz w:val="22"/>
          <w:szCs w:val="22"/>
        </w:rPr>
        <w:t>u have any questions</w:t>
      </w:r>
      <w:r w:rsidRPr="00241AE6">
        <w:rPr>
          <w:b w:val="0"/>
          <w:sz w:val="22"/>
          <w:szCs w:val="22"/>
        </w:rPr>
        <w:t>, pleas</w:t>
      </w:r>
      <w:r>
        <w:rPr>
          <w:b w:val="0"/>
          <w:sz w:val="22"/>
          <w:szCs w:val="22"/>
        </w:rPr>
        <w:t>e contact the Financial Operations help desk at 877-480-3201, Option 6</w:t>
      </w:r>
      <w:r w:rsidRPr="00241AE6">
        <w:rPr>
          <w:b w:val="0"/>
          <w:sz w:val="22"/>
          <w:szCs w:val="22"/>
        </w:rPr>
        <w:t>. </w:t>
      </w:r>
      <w:r>
        <w:rPr>
          <w:b w:val="0"/>
          <w:sz w:val="22"/>
          <w:szCs w:val="22"/>
        </w:rPr>
        <w:t xml:space="preserve">  In addition, we </w:t>
      </w:r>
      <w:r w:rsidRPr="00241AE6">
        <w:rPr>
          <w:b w:val="0"/>
          <w:sz w:val="22"/>
          <w:szCs w:val="22"/>
        </w:rPr>
        <w:t>urg</w:t>
      </w:r>
      <w:r>
        <w:rPr>
          <w:b w:val="0"/>
          <w:sz w:val="22"/>
          <w:szCs w:val="22"/>
        </w:rPr>
        <w:t>e</w:t>
      </w:r>
      <w:r w:rsidRPr="00241AE6">
        <w:rPr>
          <w:b w:val="0"/>
          <w:sz w:val="22"/>
          <w:szCs w:val="22"/>
        </w:rPr>
        <w:t xml:space="preserve"> all entities who send </w:t>
      </w:r>
      <w:r>
        <w:rPr>
          <w:b w:val="0"/>
          <w:sz w:val="22"/>
          <w:szCs w:val="22"/>
        </w:rPr>
        <w:t xml:space="preserve">wire transfer </w:t>
      </w:r>
      <w:r w:rsidRPr="00241AE6">
        <w:rPr>
          <w:b w:val="0"/>
          <w:sz w:val="22"/>
          <w:szCs w:val="22"/>
        </w:rPr>
        <w:t xml:space="preserve">payments to include the </w:t>
      </w:r>
      <w:r w:rsidRPr="00280200">
        <w:rPr>
          <w:bCs/>
          <w:sz w:val="22"/>
          <w:szCs w:val="22"/>
        </w:rPr>
        <w:t>Voucher Number, Payor Name, and Payor FRN in the wire description area.</w:t>
      </w:r>
    </w:p>
    <w:p w:rsidR="00253E84" w:rsidRPr="00771831" w:rsidP="00253E84" w14:paraId="3639C268" w14:textId="77777777">
      <w:pPr>
        <w:pStyle w:val="header2"/>
        <w:tabs>
          <w:tab w:val="clear" w:pos="1440"/>
          <w:tab w:val="clear" w:pos="4320"/>
          <w:tab w:val="center" w:pos="4680"/>
          <w:tab w:val="clear" w:pos="8640"/>
        </w:tabs>
        <w:jc w:val="left"/>
        <w:rPr>
          <w:b w:val="0"/>
          <w:sz w:val="22"/>
          <w:szCs w:val="22"/>
        </w:rPr>
      </w:pPr>
    </w:p>
    <w:p w:rsidR="00253E84" w:rsidRPr="00771831" w:rsidP="00253E84" w14:paraId="60E3DD42" w14:textId="77777777">
      <w:pPr>
        <w:pStyle w:val="header2"/>
        <w:tabs>
          <w:tab w:val="clear" w:pos="1440"/>
          <w:tab w:val="clear" w:pos="4320"/>
          <w:tab w:val="center" w:pos="4680"/>
          <w:tab w:val="clear" w:pos="8640"/>
        </w:tabs>
        <w:jc w:val="left"/>
        <w:rPr>
          <w:b w:val="0"/>
          <w:sz w:val="22"/>
          <w:szCs w:val="22"/>
        </w:rPr>
      </w:pPr>
      <w:r w:rsidRPr="00771831">
        <w:rPr>
          <w:b w:val="0"/>
          <w:sz w:val="22"/>
          <w:szCs w:val="22"/>
        </w:rPr>
        <w:t>When initiating the wire transfer, please provide the bank with the following information to complete the transfer:</w:t>
      </w:r>
    </w:p>
    <w:p w:rsidR="00253E84" w:rsidRPr="00771831" w:rsidP="00253E84" w14:paraId="20AC0DA3" w14:textId="52C25B1A">
      <w:pPr>
        <w:ind w:left="1440"/>
      </w:pPr>
      <w:r w:rsidRPr="00771831">
        <w:t>ABA Routing Number: 021030004</w:t>
      </w:r>
      <w:r w:rsidRPr="00771831">
        <w:br/>
        <w:t xml:space="preserve">Receiving Bank: </w:t>
      </w:r>
      <w:r w:rsidR="002D0C98">
        <w:t xml:space="preserve"> </w:t>
      </w:r>
      <w:r w:rsidRPr="00771831">
        <w:t>TREAS NYC</w:t>
      </w:r>
    </w:p>
    <w:p w:rsidR="00253E84" w:rsidRPr="00771831" w:rsidP="00253E84" w14:paraId="0393E5D5" w14:textId="77777777">
      <w:pPr>
        <w:ind w:left="1440"/>
      </w:pPr>
      <w:r w:rsidRPr="00771831">
        <w:t xml:space="preserve">                             33 Liberty St.</w:t>
      </w:r>
    </w:p>
    <w:p w:rsidR="00253E84" w:rsidRPr="00771831" w:rsidP="00253E84" w14:paraId="5BE4D805" w14:textId="77777777">
      <w:pPr>
        <w:ind w:left="1440"/>
        <w:rPr>
          <w:highlight w:val="yellow"/>
        </w:rPr>
      </w:pPr>
      <w:r w:rsidRPr="00771831">
        <w:t xml:space="preserve">                             New York, NY  10045</w:t>
      </w:r>
    </w:p>
    <w:p w:rsidR="00253E84" w:rsidRPr="00771831" w:rsidP="00253E84" w14:paraId="75402822" w14:textId="77777777">
      <w:pPr>
        <w:ind w:left="1440"/>
        <w:rPr>
          <w:highlight w:val="yellow"/>
        </w:rPr>
      </w:pPr>
    </w:p>
    <w:p w:rsidR="00253E84" w:rsidRPr="00771831" w:rsidP="00253E84" w14:paraId="395084E8" w14:textId="0F0A9236">
      <w:pPr>
        <w:ind w:left="1440"/>
      </w:pPr>
      <w:r w:rsidRPr="007E667C">
        <w:rPr>
          <w:rStyle w:val="Strong"/>
        </w:rPr>
        <w:t xml:space="preserve">BNF: </w:t>
      </w:r>
      <w:r w:rsidR="00713F28">
        <w:rPr>
          <w:rStyle w:val="Strong"/>
        </w:rPr>
        <w:t xml:space="preserve"> </w:t>
      </w:r>
      <w:r w:rsidRPr="007E667C">
        <w:rPr>
          <w:rStyle w:val="Strong"/>
        </w:rPr>
        <w:t>FCC/ACCT--27000001</w:t>
      </w:r>
      <w:r w:rsidRPr="00771831">
        <w:br/>
        <w:t xml:space="preserve">OBI Field: </w:t>
      </w:r>
      <w:r w:rsidR="00713F28">
        <w:t xml:space="preserve"> </w:t>
      </w:r>
      <w:r w:rsidRPr="00771831">
        <w:t>(Skip one space between each information item</w:t>
      </w:r>
      <w:r w:rsidRPr="007E667C">
        <w:rPr>
          <w:b/>
          <w:bCs/>
        </w:rPr>
        <w:t>)</w:t>
      </w:r>
      <w:r w:rsidRPr="007E667C">
        <w:rPr>
          <w:rStyle w:val="Strong"/>
        </w:rPr>
        <w:t>\“REGULATORY PAY”</w:t>
      </w:r>
    </w:p>
    <w:p w:rsidR="00253E84" w:rsidRPr="00771831" w:rsidP="00253E84" w14:paraId="61078921" w14:textId="4583574F">
      <w:pPr>
        <w:ind w:left="1440"/>
      </w:pPr>
      <w:r w:rsidRPr="00771831">
        <w:t>P</w:t>
      </w:r>
      <w:r>
        <w:t xml:space="preserve">ayor </w:t>
      </w:r>
      <w:r w:rsidRPr="00771831">
        <w:t>FRN</w:t>
      </w:r>
      <w:r>
        <w:t>:</w:t>
      </w:r>
      <w:r w:rsidRPr="00771831">
        <w:t xml:space="preserve"> </w:t>
      </w:r>
      <w:r w:rsidR="00713F28">
        <w:t xml:space="preserve"> </w:t>
      </w:r>
      <w:r w:rsidRPr="00771831">
        <w:t>(Exactly as on remittance instrument)</w:t>
      </w:r>
    </w:p>
    <w:p w:rsidR="00253E84" w:rsidRPr="00771831" w:rsidP="00253E84" w14:paraId="79249073" w14:textId="6A09C5FB">
      <w:pPr>
        <w:ind w:left="1440"/>
      </w:pPr>
      <w:r w:rsidRPr="00771831">
        <w:t>P</w:t>
      </w:r>
      <w:r>
        <w:t xml:space="preserve">ayor </w:t>
      </w:r>
      <w:r w:rsidRPr="00771831">
        <w:t>N</w:t>
      </w:r>
      <w:r>
        <w:t>ame:</w:t>
      </w:r>
      <w:r w:rsidRPr="00771831">
        <w:t xml:space="preserve"> </w:t>
      </w:r>
      <w:r w:rsidR="00713F28">
        <w:t xml:space="preserve"> </w:t>
      </w:r>
      <w:r w:rsidRPr="00771831">
        <w:t>(Exactly as on remittance instrument)</w:t>
      </w:r>
    </w:p>
    <w:p w:rsidR="00253E84" w:rsidRPr="00771831" w:rsidP="00253E84" w14:paraId="0AC68756" w14:textId="6E183700">
      <w:pPr>
        <w:ind w:left="1440"/>
      </w:pPr>
      <w:r w:rsidRPr="00771831">
        <w:t xml:space="preserve">Phone: </w:t>
      </w:r>
      <w:r w:rsidR="00713F28">
        <w:t xml:space="preserve"> </w:t>
      </w:r>
      <w:r w:rsidRPr="00771831">
        <w:t>(Daytime Phone #, exactly as on remittance instrument)</w:t>
      </w:r>
    </w:p>
    <w:p w:rsidR="00253E84" w:rsidP="00253E84" w14:paraId="7D42B5F2" w14:textId="15D7A1E1">
      <w:pPr>
        <w:ind w:left="1440"/>
        <w:rPr>
          <w:rStyle w:val="Strong"/>
          <w:b w:val="0"/>
        </w:rPr>
      </w:pPr>
      <w:r w:rsidRPr="007E667C">
        <w:rPr>
          <w:rStyle w:val="Strong"/>
        </w:rPr>
        <w:t>Voucher Number</w:t>
      </w:r>
      <w:r w:rsidRPr="00040CB1">
        <w:rPr>
          <w:rStyle w:val="Strong"/>
        </w:rPr>
        <w:t>:</w:t>
      </w:r>
      <w:r w:rsidR="00713F28">
        <w:rPr>
          <w:rStyle w:val="Strong"/>
        </w:rPr>
        <w:t xml:space="preserve"> </w:t>
      </w:r>
      <w:r>
        <w:rPr>
          <w:rStyle w:val="Strong"/>
        </w:rPr>
        <w:t xml:space="preserve"> </w:t>
      </w:r>
      <w:r w:rsidRPr="00771831">
        <w:rPr>
          <w:rStyle w:val="Strong"/>
        </w:rPr>
        <w:t>Exactly as on remittance (Form 159-E) instrument)</w:t>
      </w:r>
    </w:p>
    <w:p w:rsidR="00253E84" w:rsidRPr="00771831" w:rsidP="00253E84" w14:paraId="034AFE9A" w14:textId="77777777">
      <w:pPr>
        <w:pStyle w:val="header2"/>
        <w:tabs>
          <w:tab w:val="clear" w:pos="1440"/>
          <w:tab w:val="clear" w:pos="4320"/>
          <w:tab w:val="center" w:pos="4680"/>
          <w:tab w:val="clear" w:pos="8640"/>
        </w:tabs>
        <w:jc w:val="left"/>
        <w:rPr>
          <w:b w:val="0"/>
          <w:sz w:val="22"/>
          <w:szCs w:val="22"/>
        </w:rPr>
      </w:pPr>
    </w:p>
    <w:p w:rsidR="00253E84" w:rsidP="00253E84" w14:paraId="6F160CD2" w14:textId="77777777">
      <w:pPr>
        <w:rPr>
          <w:b/>
          <w:bCs/>
          <w:u w:val="single"/>
        </w:rPr>
      </w:pPr>
      <w:r>
        <w:rPr>
          <w:b/>
          <w:bCs/>
          <w:u w:val="single"/>
        </w:rPr>
        <w:br w:type="page"/>
      </w:r>
    </w:p>
    <w:p w:rsidR="00253E84" w:rsidRPr="001C43B8" w:rsidP="00253E84" w14:paraId="3BF6BAF2" w14:textId="2BA5199F">
      <w:pPr>
        <w:rPr>
          <w:b/>
          <w:bCs/>
          <w:spacing w:val="-3"/>
          <w:u w:val="single"/>
        </w:rPr>
      </w:pPr>
      <w:r w:rsidRPr="001C43B8">
        <w:rPr>
          <w:b/>
          <w:bCs/>
          <w:u w:val="single"/>
        </w:rPr>
        <w:t>ACH Payments, Visa Debit Cards and MasterCard Debit Cards (Debit from Bank Account)</w:t>
      </w:r>
      <w:r w:rsidRPr="001C43B8">
        <w:rPr>
          <w:b/>
          <w:bCs/>
          <w:spacing w:val="-3"/>
          <w:u w:val="single"/>
        </w:rPr>
        <w:t xml:space="preserve"> </w:t>
      </w:r>
    </w:p>
    <w:p w:rsidR="00253E84" w:rsidRPr="007E667C" w:rsidP="00253E84" w14:paraId="036E9AA1" w14:textId="77777777"/>
    <w:p w:rsidR="00253E84" w:rsidRPr="00557A9E" w:rsidP="00253E84" w14:paraId="452EB541" w14:textId="5C36F953">
      <w:pPr>
        <w:pStyle w:val="ParaNum"/>
        <w:widowControl w:val="0"/>
        <w:numPr>
          <w:ilvl w:val="0"/>
          <w:numId w:val="44"/>
        </w:numPr>
        <w:tabs>
          <w:tab w:val="left" w:pos="1440"/>
        </w:tabs>
        <w:spacing w:after="0"/>
        <w:rPr>
          <w:b/>
        </w:rPr>
      </w:pPr>
      <w:r w:rsidRPr="00771831">
        <w:t xml:space="preserve">To pay online from a bank account, fee payors must first submit their electronic filing information via </w:t>
      </w:r>
      <w:r>
        <w:t>CORES</w:t>
      </w:r>
      <w:r w:rsidRPr="00771831">
        <w:t xml:space="preserve">; </w:t>
      </w:r>
      <w:r>
        <w:t xml:space="preserve">licensees </w:t>
      </w:r>
      <w:r w:rsidRPr="00771831">
        <w:t xml:space="preserve">will then have the option to pay online by choosing the “Pay from Bank Account” option. </w:t>
      </w:r>
      <w:r>
        <w:t xml:space="preserve"> </w:t>
      </w:r>
      <w:r w:rsidRPr="007E667C">
        <w:rPr>
          <w:b/>
          <w:u w:val="single"/>
        </w:rPr>
        <w:t>Note</w:t>
      </w:r>
      <w:r w:rsidRPr="00771831">
        <w:rPr>
          <w:b/>
        </w:rPr>
        <w:t xml:space="preserve">: </w:t>
      </w:r>
      <w:r w:rsidRPr="007E667C">
        <w:rPr>
          <w:bCs/>
        </w:rPr>
        <w:t xml:space="preserve"> Fee payors are strongly encouraged to contact their financial institutions to confirm that the correct </w:t>
      </w:r>
      <w:r>
        <w:rPr>
          <w:bCs/>
        </w:rPr>
        <w:t>r</w:t>
      </w:r>
      <w:r w:rsidRPr="007E667C">
        <w:rPr>
          <w:bCs/>
        </w:rPr>
        <w:t xml:space="preserve">outing </w:t>
      </w:r>
      <w:r>
        <w:rPr>
          <w:bCs/>
        </w:rPr>
        <w:t>n</w:t>
      </w:r>
      <w:r w:rsidRPr="007E667C">
        <w:rPr>
          <w:bCs/>
        </w:rPr>
        <w:t>umber for this method of payment is being used.  Fee payors should also verify with their bank that their account has authorization to accept ACH</w:t>
      </w:r>
      <w:r>
        <w:rPr>
          <w:bCs/>
        </w:rPr>
        <w:t xml:space="preserve"> or debit card</w:t>
      </w:r>
      <w:r w:rsidRPr="007E667C">
        <w:rPr>
          <w:bCs/>
        </w:rPr>
        <w:t xml:space="preserve"> transactions</w:t>
      </w:r>
      <w:r>
        <w:rPr>
          <w:bCs/>
        </w:rPr>
        <w:t>, as applicable to the payment method fee payors choose</w:t>
      </w:r>
      <w:r w:rsidRPr="007E667C">
        <w:rPr>
          <w:bCs/>
        </w:rPr>
        <w:t xml:space="preserve">. </w:t>
      </w:r>
      <w:r w:rsidR="00713F28">
        <w:rPr>
          <w:bCs/>
        </w:rPr>
        <w:t xml:space="preserve"> </w:t>
      </w:r>
      <w:r w:rsidRPr="007E667C">
        <w:rPr>
          <w:bCs/>
        </w:rPr>
        <w:t>The payor</w:t>
      </w:r>
      <w:r>
        <w:rPr>
          <w:bCs/>
        </w:rPr>
        <w:t>’</w:t>
      </w:r>
      <w:r w:rsidRPr="007E667C">
        <w:rPr>
          <w:bCs/>
        </w:rPr>
        <w:t>s bank may req</w:t>
      </w:r>
      <w:r>
        <w:rPr>
          <w:bCs/>
        </w:rPr>
        <w:t>uest</w:t>
      </w:r>
      <w:r w:rsidRPr="007E667C">
        <w:rPr>
          <w:bCs/>
        </w:rPr>
        <w:t xml:space="preserve"> the </w:t>
      </w:r>
      <w:r>
        <w:rPr>
          <w:bCs/>
        </w:rPr>
        <w:t>FC</w:t>
      </w:r>
      <w:r w:rsidRPr="00063129">
        <w:rPr>
          <w:bCs/>
        </w:rPr>
        <w:t>C’s Company ID # 2700000103.</w:t>
      </w:r>
      <w:r>
        <w:rPr>
          <w:bCs/>
        </w:rPr>
        <w:t xml:space="preserve">  </w:t>
      </w:r>
      <w:r w:rsidRPr="007D4AAA">
        <w:rPr>
          <w:b/>
          <w:bCs/>
        </w:rPr>
        <w:t xml:space="preserve">Please also note that </w:t>
      </w:r>
      <w:r>
        <w:rPr>
          <w:b/>
          <w:bCs/>
        </w:rPr>
        <w:t>a</w:t>
      </w:r>
      <w:r w:rsidRPr="00E535E5">
        <w:rPr>
          <w:b/>
          <w:bCs/>
        </w:rPr>
        <w:t xml:space="preserve">ny </w:t>
      </w:r>
      <w:r>
        <w:rPr>
          <w:b/>
          <w:bCs/>
        </w:rPr>
        <w:t xml:space="preserve">automated </w:t>
      </w:r>
      <w:r w:rsidRPr="00E535E5">
        <w:rPr>
          <w:b/>
          <w:bCs/>
        </w:rPr>
        <w:t xml:space="preserve">notification </w:t>
      </w:r>
      <w:r>
        <w:rPr>
          <w:b/>
          <w:bCs/>
        </w:rPr>
        <w:t xml:space="preserve">you receive </w:t>
      </w:r>
      <w:r w:rsidRPr="00E535E5">
        <w:rPr>
          <w:b/>
          <w:bCs/>
        </w:rPr>
        <w:t xml:space="preserve">from the Commission </w:t>
      </w:r>
      <w:r>
        <w:rPr>
          <w:b/>
          <w:bCs/>
        </w:rPr>
        <w:t xml:space="preserve">or Pay.gov following submission of your payment is an acknowledgement of submission, and not an acknowledgement that the funds have been received by the Commission. </w:t>
      </w:r>
      <w:r w:rsidRPr="00E535E5">
        <w:rPr>
          <w:b/>
          <w:bCs/>
        </w:rPr>
        <w:t xml:space="preserve">As a precaution, </w:t>
      </w:r>
      <w:r>
        <w:rPr>
          <w:b/>
          <w:bCs/>
        </w:rPr>
        <w:t xml:space="preserve">fee payors </w:t>
      </w:r>
      <w:r w:rsidRPr="00E535E5">
        <w:rPr>
          <w:b/>
          <w:bCs/>
        </w:rPr>
        <w:t xml:space="preserve">should </w:t>
      </w:r>
      <w:r w:rsidRPr="00E535E5">
        <w:rPr>
          <w:b/>
          <w:bCs/>
          <w:u w:val="single"/>
        </w:rPr>
        <w:t>always</w:t>
      </w:r>
      <w:r w:rsidRPr="00E535E5">
        <w:rPr>
          <w:b/>
          <w:bCs/>
        </w:rPr>
        <w:t xml:space="preserve"> check their </w:t>
      </w:r>
      <w:r>
        <w:rPr>
          <w:b/>
          <w:bCs/>
        </w:rPr>
        <w:t xml:space="preserve">bank </w:t>
      </w:r>
      <w:r w:rsidRPr="00E535E5">
        <w:rPr>
          <w:b/>
          <w:bCs/>
        </w:rPr>
        <w:t xml:space="preserve">statements to </w:t>
      </w:r>
      <w:r>
        <w:rPr>
          <w:b/>
          <w:bCs/>
        </w:rPr>
        <w:t xml:space="preserve">ensure that the funds have actually been transferred to the Commission by the regulatory fee payment due date.  </w:t>
      </w:r>
    </w:p>
    <w:p w:rsidR="00253E84" w:rsidRPr="00771831" w:rsidP="00253E84" w14:paraId="2BEC633E" w14:textId="77777777">
      <w:pPr>
        <w:pStyle w:val="ParaNum"/>
        <w:widowControl w:val="0"/>
        <w:numPr>
          <w:ilvl w:val="0"/>
          <w:numId w:val="44"/>
        </w:numPr>
        <w:tabs>
          <w:tab w:val="left" w:pos="1440"/>
        </w:tabs>
        <w:spacing w:after="0"/>
      </w:pPr>
      <w:r w:rsidRPr="00771831">
        <w:t>Fee payors may choose to pay by ACH using personal checking, personal savings, business checking, and business savings.</w:t>
      </w:r>
    </w:p>
    <w:p w:rsidR="00253E84" w:rsidRPr="00F50133" w:rsidP="00253E84" w14:paraId="26A81931" w14:textId="77777777">
      <w:pPr>
        <w:pStyle w:val="ParaNum"/>
        <w:widowControl w:val="0"/>
        <w:numPr>
          <w:ilvl w:val="0"/>
          <w:numId w:val="44"/>
        </w:numPr>
        <w:tabs>
          <w:tab w:val="left" w:pos="1440"/>
        </w:tabs>
        <w:spacing w:after="0"/>
        <w:rPr>
          <w:b/>
        </w:rPr>
      </w:pPr>
      <w:r w:rsidRPr="00771831">
        <w:t xml:space="preserve">For purposes of meeting the filing deadline, the </w:t>
      </w:r>
      <w:r>
        <w:t xml:space="preserve">Commission </w:t>
      </w:r>
      <w:r w:rsidRPr="00771831">
        <w:t xml:space="preserve">will consider payment to be received when account information is successfully accepted.  Funds may not clear for up to </w:t>
      </w:r>
      <w:r w:rsidRPr="00E535E5">
        <w:rPr>
          <w:b/>
          <w:bCs/>
        </w:rPr>
        <w:t>2</w:t>
      </w:r>
      <w:r w:rsidRPr="00771831">
        <w:t xml:space="preserve"> business days.  </w:t>
      </w:r>
      <w:r w:rsidRPr="00635D38">
        <w:rPr>
          <w:b/>
        </w:rPr>
        <w:t>Fee payors are responsible for obtaining confirmation from their financial institution that payment was successfully debited from the designated account(s) prior to the deadline to avoid additional fees.</w:t>
      </w:r>
      <w:r w:rsidRPr="00F50133">
        <w:rPr>
          <w:b/>
        </w:rPr>
        <w:t xml:space="preserve">   </w:t>
      </w:r>
    </w:p>
    <w:p w:rsidR="00253E84" w:rsidRPr="00481552" w:rsidP="00253E84" w14:paraId="19DB3436" w14:textId="77777777">
      <w:r w:rsidRPr="00771831">
        <w:t xml:space="preserve"> </w:t>
      </w:r>
      <w:bookmarkStart w:id="2" w:name="_Toc93285552"/>
      <w:bookmarkStart w:id="3" w:name="_Toc93286209"/>
      <w:bookmarkStart w:id="4" w:name="_Toc93825468"/>
      <w:bookmarkStart w:id="5" w:name="_Toc94686855"/>
      <w:bookmarkStart w:id="6" w:name="_Toc122493181"/>
      <w:bookmarkStart w:id="7" w:name="_Toc125529733"/>
      <w:bookmarkStart w:id="8" w:name="_Toc125529874"/>
      <w:bookmarkStart w:id="9" w:name="_Toc126138014"/>
      <w:bookmarkStart w:id="10" w:name="_Toc126141617"/>
      <w:bookmarkStart w:id="11" w:name="_Toc133392985"/>
      <w:bookmarkStart w:id="12" w:name="_Toc133649963"/>
      <w:bookmarkStart w:id="13" w:name="_Toc134420468"/>
      <w:bookmarkStart w:id="14" w:name="_Toc134863566"/>
      <w:bookmarkStart w:id="15" w:name="_Toc136402536"/>
      <w:bookmarkStart w:id="16" w:name="_Toc140457050"/>
    </w:p>
    <w:p w:rsidR="00253E84" w:rsidP="00253E84" w14:paraId="096EB311" w14:textId="77777777">
      <w:pPr>
        <w:jc w:val="center"/>
        <w:rPr>
          <w:b/>
          <w:bCs/>
        </w:rPr>
      </w:pPr>
      <w:bookmarkStart w:id="17" w:name="_Toc285458173"/>
      <w:bookmarkStart w:id="18" w:name="_Toc289263536"/>
      <w:bookmarkStart w:id="19" w:name="_Toc292177324"/>
      <w:bookmarkStart w:id="20" w:name="_Toc296691764"/>
      <w:bookmarkStart w:id="21" w:name="_Toc297116984"/>
      <w:bookmarkStart w:id="22" w:name="_Toc298752212"/>
      <w:bookmarkStart w:id="23" w:name="_Toc299091577"/>
      <w:bookmarkStart w:id="24" w:name="_Toc319681889"/>
      <w:bookmarkStart w:id="25" w:name="_Toc320103196"/>
      <w:bookmarkStart w:id="26" w:name="_Toc320615946"/>
      <w:bookmarkStart w:id="27" w:name="_Toc320616364"/>
      <w:bookmarkStart w:id="28" w:name="_Toc320616503"/>
      <w:bookmarkStart w:id="29" w:name="_Toc320632324"/>
      <w:bookmarkStart w:id="30" w:name="_Toc320632357"/>
      <w:bookmarkStart w:id="31" w:name="_Toc320639464"/>
      <w:bookmarkStart w:id="32" w:name="_Toc321130263"/>
      <w:bookmarkStart w:id="33" w:name="_Toc321301165"/>
      <w:bookmarkStart w:id="34" w:name="_Toc327344921"/>
      <w:bookmarkStart w:id="35" w:name="_Toc327454761"/>
      <w:bookmarkStart w:id="36" w:name="_Toc328052404"/>
      <w:bookmarkStart w:id="37" w:name="_Toc330473855"/>
      <w:bookmarkStart w:id="38" w:name="_Toc390878809"/>
      <w:bookmarkStart w:id="39" w:name="_Toc391364439"/>
      <w:bookmarkStart w:id="40" w:name="_Toc394672319"/>
      <w:bookmarkStart w:id="41" w:name="_Toc397078335"/>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Pr="001C43B8">
        <w:rPr>
          <w:b/>
          <w:bCs/>
        </w:rPr>
        <w:t>DE MINIMIS R</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r w:rsidRPr="001C43B8">
        <w:rPr>
          <w:b/>
          <w:bCs/>
        </w:rPr>
        <w:t>EGULATORY FEE LEVEL</w:t>
      </w:r>
    </w:p>
    <w:p w:rsidR="00253E84" w:rsidRPr="001C43B8" w:rsidP="00253E84" w14:paraId="76D85689" w14:textId="77777777">
      <w:pPr>
        <w:jc w:val="center"/>
        <w:rPr>
          <w:b/>
          <w:bCs/>
        </w:rPr>
      </w:pPr>
    </w:p>
    <w:p w:rsidR="00253E84" w:rsidRPr="006729F8" w:rsidP="00253E84" w14:paraId="647CAAEC" w14:textId="0BBB5B46">
      <w:pPr>
        <w:pStyle w:val="NormalWeb"/>
        <w:shd w:val="clear" w:color="auto" w:fill="FFFFFF"/>
        <w:spacing w:before="0" w:beforeAutospacing="0" w:after="0" w:afterAutospacing="0"/>
        <w:rPr>
          <w:spacing w:val="-3"/>
          <w:sz w:val="22"/>
          <w:szCs w:val="22"/>
        </w:rPr>
      </w:pPr>
      <w:bookmarkStart w:id="42" w:name="_Hlk113565903"/>
      <w:r w:rsidRPr="006729F8">
        <w:rPr>
          <w:sz w:val="22"/>
        </w:rPr>
        <w:t>Regulatees</w:t>
      </w:r>
      <w:r w:rsidRPr="006729F8">
        <w:rPr>
          <w:sz w:val="22"/>
        </w:rPr>
        <w:t xml:space="preserve"> whose total FY 2026 annual regulatory fee liability, including all categories of regulatory fees for which payment is due, is $1,000 or less are exempt from payment of FY 2026 regulatory fees.  Thus, if the sum total of all annual FY 2026 regulatory fees is $1,000 or less, your fees are considered </w:t>
      </w:r>
      <w:r w:rsidRPr="005C3F87">
        <w:rPr>
          <w:sz w:val="22"/>
        </w:rPr>
        <w:t>de minimis,</w:t>
      </w:r>
      <w:r w:rsidRPr="006729F8">
        <w:rPr>
          <w:sz w:val="22"/>
        </w:rPr>
        <w:t xml:space="preserve"> and you do not have to pay FY 2026 regulatory fees.  If your fees are </w:t>
      </w:r>
      <w:r w:rsidRPr="005C3F87">
        <w:rPr>
          <w:sz w:val="22"/>
        </w:rPr>
        <w:t>de minimis</w:t>
      </w:r>
      <w:r w:rsidRPr="006729F8">
        <w:rPr>
          <w:sz w:val="22"/>
        </w:rPr>
        <w:t xml:space="preserve">, you will not need to report this exemption to the Commission.  The </w:t>
      </w:r>
      <w:r w:rsidRPr="005C3F87">
        <w:rPr>
          <w:sz w:val="22"/>
        </w:rPr>
        <w:t>de minimis</w:t>
      </w:r>
      <w:r w:rsidRPr="006729F8">
        <w:rPr>
          <w:sz w:val="22"/>
        </w:rPr>
        <w:t xml:space="preserve"> threshold applies only to filers of </w:t>
      </w:r>
      <w:r w:rsidRPr="006729F8">
        <w:rPr>
          <w:sz w:val="22"/>
          <w:u w:val="single"/>
        </w:rPr>
        <w:t>annual</w:t>
      </w:r>
      <w:r w:rsidRPr="006729F8">
        <w:rPr>
          <w:sz w:val="22"/>
        </w:rPr>
        <w:t xml:space="preserve"> regulatory fees (not regulatory </w:t>
      </w:r>
      <w:r w:rsidRPr="006729F8">
        <w:rPr>
          <w:sz w:val="22"/>
          <w:szCs w:val="22"/>
        </w:rPr>
        <w:t xml:space="preserve">fees paid through multi-year wireless filings), and it is not a permanent exemption.  Rather, each </w:t>
      </w:r>
      <w:r w:rsidRPr="006729F8">
        <w:rPr>
          <w:sz w:val="22"/>
          <w:szCs w:val="22"/>
        </w:rPr>
        <w:t>regulatee</w:t>
      </w:r>
      <w:r w:rsidRPr="006729F8">
        <w:rPr>
          <w:sz w:val="22"/>
          <w:szCs w:val="22"/>
        </w:rPr>
        <w:t xml:space="preserve"> will need to re-evaluate and re-calculate its regulatory fee liability each year in order to determine whether </w:t>
      </w:r>
      <w:r w:rsidR="00930618">
        <w:rPr>
          <w:sz w:val="22"/>
          <w:szCs w:val="22"/>
        </w:rPr>
        <w:t>it</w:t>
      </w:r>
      <w:r w:rsidRPr="006729F8">
        <w:rPr>
          <w:sz w:val="22"/>
          <w:szCs w:val="22"/>
        </w:rPr>
        <w:t xml:space="preserve"> meet</w:t>
      </w:r>
      <w:r w:rsidR="00930618">
        <w:rPr>
          <w:sz w:val="22"/>
          <w:szCs w:val="22"/>
        </w:rPr>
        <w:t>s</w:t>
      </w:r>
      <w:r w:rsidRPr="006729F8">
        <w:rPr>
          <w:sz w:val="22"/>
          <w:szCs w:val="22"/>
        </w:rPr>
        <w:t xml:space="preserve"> the </w:t>
      </w:r>
      <w:r w:rsidRPr="005C3F87">
        <w:rPr>
          <w:sz w:val="22"/>
          <w:szCs w:val="22"/>
        </w:rPr>
        <w:t xml:space="preserve">de </w:t>
      </w:r>
      <w:r w:rsidRPr="005C3F87">
        <w:rPr>
          <w:sz w:val="22"/>
          <w:szCs w:val="22"/>
        </w:rPr>
        <w:t>miminis</w:t>
      </w:r>
      <w:r w:rsidRPr="005C3F87">
        <w:rPr>
          <w:sz w:val="22"/>
          <w:szCs w:val="22"/>
        </w:rPr>
        <w:t xml:space="preserve"> </w:t>
      </w:r>
      <w:r w:rsidRPr="006729F8">
        <w:rPr>
          <w:sz w:val="22"/>
          <w:szCs w:val="22"/>
        </w:rPr>
        <w:t xml:space="preserve">exemption established by the Commission’s annual regulatory fee order.  </w:t>
      </w:r>
      <w:r w:rsidRPr="006729F8">
        <w:rPr>
          <w:sz w:val="22"/>
          <w:szCs w:val="22"/>
        </w:rPr>
        <w:t>R</w:t>
      </w:r>
      <w:r w:rsidRPr="006729F8">
        <w:rPr>
          <w:spacing w:val="-3"/>
          <w:sz w:val="22"/>
          <w:szCs w:val="22"/>
        </w:rPr>
        <w:t>egulatees</w:t>
      </w:r>
      <w:r w:rsidRPr="006729F8">
        <w:rPr>
          <w:spacing w:val="-3"/>
          <w:sz w:val="22"/>
          <w:szCs w:val="22"/>
        </w:rPr>
        <w:t xml:space="preserve"> are responsible for calculating their total fee obligation to determine whether they qualify for this </w:t>
      </w:r>
      <w:r w:rsidRPr="005C3F87">
        <w:rPr>
          <w:spacing w:val="-3"/>
          <w:sz w:val="22"/>
          <w:szCs w:val="22"/>
        </w:rPr>
        <w:t>de minimis</w:t>
      </w:r>
      <w:r w:rsidRPr="006729F8">
        <w:rPr>
          <w:spacing w:val="-3"/>
          <w:sz w:val="22"/>
          <w:szCs w:val="22"/>
        </w:rPr>
        <w:t xml:space="preserve"> exemption.  The Commission reserves the right to request documentation that supports a </w:t>
      </w:r>
      <w:r w:rsidRPr="005C3F87">
        <w:rPr>
          <w:spacing w:val="-3"/>
          <w:sz w:val="22"/>
          <w:szCs w:val="22"/>
        </w:rPr>
        <w:t>de minimis</w:t>
      </w:r>
      <w:r w:rsidRPr="006729F8">
        <w:rPr>
          <w:spacing w:val="-3"/>
          <w:sz w:val="22"/>
          <w:szCs w:val="22"/>
        </w:rPr>
        <w:t xml:space="preserve"> exemption claim.</w:t>
      </w:r>
      <w:bookmarkEnd w:id="42"/>
    </w:p>
    <w:p w:rsidR="00253E84" w:rsidP="00253E84" w14:paraId="1DB601F8" w14:textId="77777777">
      <w:pPr>
        <w:pStyle w:val="NormalWeb"/>
        <w:shd w:val="clear" w:color="auto" w:fill="FFFFFF"/>
        <w:spacing w:before="0" w:beforeAutospacing="0" w:after="0" w:afterAutospacing="0"/>
        <w:rPr>
          <w:b/>
          <w:bCs/>
          <w:sz w:val="22"/>
          <w:szCs w:val="22"/>
        </w:rPr>
      </w:pPr>
    </w:p>
    <w:p w:rsidR="00253E84" w:rsidRPr="00040CB1" w:rsidP="00253E84" w14:paraId="6A763F96" w14:textId="77777777">
      <w:pPr>
        <w:pStyle w:val="NormalWeb"/>
        <w:shd w:val="clear" w:color="auto" w:fill="FFFFFF"/>
        <w:spacing w:before="0" w:beforeAutospacing="0" w:after="0" w:afterAutospacing="0"/>
        <w:jc w:val="center"/>
        <w:rPr>
          <w:b/>
          <w:bCs/>
          <w:sz w:val="22"/>
          <w:szCs w:val="22"/>
        </w:rPr>
      </w:pPr>
      <w:r w:rsidRPr="00040CB1">
        <w:rPr>
          <w:b/>
          <w:bCs/>
          <w:sz w:val="22"/>
          <w:szCs w:val="22"/>
        </w:rPr>
        <w:t>OTHER QUESTIONS REGARDING REGULATORY FEES</w:t>
      </w:r>
    </w:p>
    <w:p w:rsidR="00253E84" w:rsidRPr="00E81679" w:rsidP="00E81679" w14:paraId="438D6E0A" w14:textId="4637B8B4">
      <w:pPr>
        <w:pStyle w:val="NormalWeb"/>
        <w:shd w:val="clear" w:color="auto" w:fill="FFFFFF"/>
        <w:rPr>
          <w:sz w:val="22"/>
          <w:szCs w:val="22"/>
        </w:rPr>
      </w:pPr>
      <w:r w:rsidRPr="00040CB1">
        <w:rPr>
          <w:sz w:val="22"/>
          <w:szCs w:val="22"/>
        </w:rPr>
        <w:t xml:space="preserve">The following </w:t>
      </w:r>
      <w:r w:rsidR="00626070">
        <w:rPr>
          <w:sz w:val="22"/>
          <w:szCs w:val="22"/>
        </w:rPr>
        <w:t>notices</w:t>
      </w:r>
      <w:r w:rsidRPr="00040CB1">
        <w:rPr>
          <w:sz w:val="22"/>
          <w:szCs w:val="22"/>
        </w:rPr>
        <w:t xml:space="preserve"> are available at </w:t>
      </w:r>
      <w:hyperlink r:id="rId5" w:history="1">
        <w:r w:rsidRPr="00040CB1">
          <w:rPr>
            <w:rStyle w:val="Hyperlink"/>
            <w:sz w:val="22"/>
            <w:szCs w:val="22"/>
          </w:rPr>
          <w:t>http://www.fcc.gov/regfees</w:t>
        </w:r>
      </w:hyperlink>
      <w:r w:rsidRPr="00040CB1">
        <w:rPr>
          <w:sz w:val="22"/>
          <w:szCs w:val="22"/>
        </w:rPr>
        <w:t xml:space="preserve"> to help licensees in the event they are </w:t>
      </w:r>
      <w:r>
        <w:rPr>
          <w:sz w:val="22"/>
          <w:szCs w:val="22"/>
        </w:rPr>
        <w:t>un</w:t>
      </w:r>
      <w:r w:rsidRPr="00040CB1">
        <w:rPr>
          <w:sz w:val="22"/>
          <w:szCs w:val="22"/>
        </w:rPr>
        <w:t xml:space="preserve">able to pay their </w:t>
      </w:r>
      <w:r>
        <w:rPr>
          <w:sz w:val="22"/>
          <w:szCs w:val="22"/>
        </w:rPr>
        <w:t xml:space="preserve">FY 2026 regulatory fees by </w:t>
      </w:r>
      <w:r w:rsidRPr="00AD4961">
        <w:rPr>
          <w:sz w:val="22"/>
          <w:szCs w:val="20"/>
        </w:rPr>
        <w:t>September 2</w:t>
      </w:r>
      <w:r>
        <w:rPr>
          <w:sz w:val="22"/>
          <w:szCs w:val="20"/>
        </w:rPr>
        <w:t>4</w:t>
      </w:r>
      <w:r w:rsidRPr="00AD4961">
        <w:rPr>
          <w:sz w:val="22"/>
          <w:szCs w:val="20"/>
        </w:rPr>
        <w:t>, 202</w:t>
      </w:r>
      <w:r>
        <w:rPr>
          <w:sz w:val="22"/>
          <w:szCs w:val="20"/>
        </w:rPr>
        <w:t>6</w:t>
      </w:r>
      <w:r w:rsidRPr="00040CB1">
        <w:rPr>
          <w:sz w:val="22"/>
          <w:szCs w:val="22"/>
        </w:rPr>
        <w:t>:</w:t>
      </w:r>
    </w:p>
    <w:p w:rsidR="00253E84" w:rsidP="00253E84" w14:paraId="23C33B9E" w14:textId="6F337FA2">
      <w:pPr>
        <w:pStyle w:val="NormalWeb"/>
        <w:shd w:val="clear" w:color="auto" w:fill="FFFFFF"/>
        <w:spacing w:before="0" w:beforeAutospacing="0" w:after="0" w:afterAutospacing="0"/>
        <w:rPr>
          <w:i/>
          <w:sz w:val="22"/>
          <w:szCs w:val="22"/>
        </w:rPr>
      </w:pPr>
      <w:r w:rsidRPr="0092179A">
        <w:rPr>
          <w:iCs/>
          <w:sz w:val="22"/>
          <w:szCs w:val="22"/>
        </w:rPr>
        <w:t>Procedures for Filing Requests for Waiver, Reduction, Deferral and/or Installment Payment Relief</w:t>
      </w:r>
      <w:r w:rsidRPr="007E667C">
        <w:rPr>
          <w:iCs/>
          <w:sz w:val="22"/>
          <w:szCs w:val="22"/>
        </w:rPr>
        <w:t xml:space="preserve">: </w:t>
      </w:r>
      <w:r>
        <w:rPr>
          <w:iCs/>
          <w:sz w:val="22"/>
          <w:szCs w:val="22"/>
        </w:rPr>
        <w:br/>
      </w:r>
      <w:r w:rsidRPr="009E68BE" w:rsidR="009E68BE">
        <w:rPr>
          <w:i/>
          <w:sz w:val="22"/>
          <w:szCs w:val="22"/>
        </w:rPr>
        <w:t>FY 202</w:t>
      </w:r>
      <w:r w:rsidR="009E68BE">
        <w:rPr>
          <w:i/>
          <w:sz w:val="22"/>
          <w:szCs w:val="22"/>
        </w:rPr>
        <w:t>6</w:t>
      </w:r>
      <w:r w:rsidRPr="009E68BE" w:rsidR="009E68BE">
        <w:rPr>
          <w:i/>
          <w:sz w:val="22"/>
          <w:szCs w:val="22"/>
        </w:rPr>
        <w:t xml:space="preserve"> Regulatory Fee Waiver Public Notice</w:t>
      </w:r>
    </w:p>
    <w:p w:rsidR="00E81679" w:rsidP="00253E84" w14:paraId="6E17EC5F" w14:textId="77777777">
      <w:pPr>
        <w:pStyle w:val="NormalWeb"/>
        <w:shd w:val="clear" w:color="auto" w:fill="FFFFFF"/>
        <w:spacing w:before="0" w:beforeAutospacing="0" w:after="0" w:afterAutospacing="0"/>
        <w:rPr>
          <w:i/>
          <w:sz w:val="22"/>
          <w:szCs w:val="22"/>
        </w:rPr>
      </w:pPr>
    </w:p>
    <w:p w:rsidR="00E81679" w:rsidP="00253E84" w14:paraId="2A4A5510" w14:textId="1D337440">
      <w:pPr>
        <w:pStyle w:val="NormalWeb"/>
        <w:shd w:val="clear" w:color="auto" w:fill="FFFFFF"/>
        <w:spacing w:before="0" w:beforeAutospacing="0" w:after="0" w:afterAutospacing="0"/>
        <w:rPr>
          <w:bCs/>
          <w:iCs/>
          <w:sz w:val="22"/>
          <w:szCs w:val="22"/>
        </w:rPr>
      </w:pPr>
      <w:r w:rsidRPr="00E81679">
        <w:rPr>
          <w:bCs/>
          <w:iCs/>
          <w:sz w:val="22"/>
          <w:szCs w:val="22"/>
        </w:rPr>
        <w:t>Regulatory Fee Exemptions for FY 202</w:t>
      </w:r>
      <w:r w:rsidR="00AC6902">
        <w:rPr>
          <w:bCs/>
          <w:iCs/>
          <w:sz w:val="22"/>
          <w:szCs w:val="22"/>
        </w:rPr>
        <w:t>6</w:t>
      </w:r>
      <w:r w:rsidRPr="00E81679">
        <w:rPr>
          <w:bCs/>
          <w:iCs/>
          <w:sz w:val="22"/>
          <w:szCs w:val="22"/>
        </w:rPr>
        <w:t>, General Exemptions</w:t>
      </w:r>
      <w:r w:rsidR="00AC6902">
        <w:rPr>
          <w:bCs/>
          <w:iCs/>
          <w:sz w:val="22"/>
          <w:szCs w:val="22"/>
        </w:rPr>
        <w:t>:</w:t>
      </w:r>
    </w:p>
    <w:p w:rsidR="00AC6902" w:rsidRPr="00AC6902" w:rsidP="00253E84" w14:paraId="71D9FB6C" w14:textId="2CDA288D">
      <w:pPr>
        <w:pStyle w:val="NormalWeb"/>
        <w:shd w:val="clear" w:color="auto" w:fill="FFFFFF"/>
        <w:spacing w:before="0" w:beforeAutospacing="0" w:after="0" w:afterAutospacing="0"/>
        <w:rPr>
          <w:bCs/>
          <w:i/>
          <w:sz w:val="22"/>
          <w:szCs w:val="22"/>
        </w:rPr>
      </w:pPr>
      <w:r w:rsidRPr="00AC6902">
        <w:rPr>
          <w:bCs/>
          <w:i/>
          <w:sz w:val="22"/>
          <w:szCs w:val="22"/>
        </w:rPr>
        <w:t>FY 202</w:t>
      </w:r>
      <w:r>
        <w:rPr>
          <w:bCs/>
          <w:i/>
          <w:sz w:val="22"/>
          <w:szCs w:val="22"/>
        </w:rPr>
        <w:t>6</w:t>
      </w:r>
      <w:r w:rsidRPr="00AC6902">
        <w:rPr>
          <w:bCs/>
          <w:i/>
          <w:sz w:val="22"/>
          <w:szCs w:val="22"/>
        </w:rPr>
        <w:t xml:space="preserve"> Regulatory Fee Exemptions</w:t>
      </w:r>
    </w:p>
    <w:p w:rsidR="00253E84" w:rsidP="00253E84" w14:paraId="13D2E8E7" w14:textId="77777777">
      <w:pPr>
        <w:pStyle w:val="NormalWeb"/>
        <w:shd w:val="clear" w:color="auto" w:fill="FFFFFF"/>
        <w:spacing w:before="0" w:beforeAutospacing="0" w:after="0" w:afterAutospacing="0"/>
        <w:jc w:val="center"/>
        <w:rPr>
          <w:b/>
          <w:bCs/>
          <w:sz w:val="22"/>
          <w:szCs w:val="22"/>
        </w:rPr>
      </w:pPr>
    </w:p>
    <w:p w:rsidR="00253E84" w:rsidP="00253E84" w14:paraId="1D3DAADB" w14:textId="77777777">
      <w:pPr>
        <w:rPr>
          <w:b/>
          <w:bCs/>
          <w:snapToGrid/>
          <w:color w:val="000000"/>
        </w:rPr>
      </w:pPr>
      <w:r>
        <w:rPr>
          <w:b/>
          <w:bCs/>
        </w:rPr>
        <w:br w:type="page"/>
      </w:r>
    </w:p>
    <w:p w:rsidR="00253E84" w:rsidRPr="00040CB1" w:rsidP="00253E84" w14:paraId="61D04B3B" w14:textId="77777777">
      <w:pPr>
        <w:pStyle w:val="NormalWeb"/>
        <w:shd w:val="clear" w:color="auto" w:fill="FFFFFF"/>
        <w:spacing w:before="0" w:beforeAutospacing="0" w:after="0" w:afterAutospacing="0"/>
        <w:jc w:val="center"/>
        <w:rPr>
          <w:sz w:val="22"/>
          <w:szCs w:val="22"/>
        </w:rPr>
      </w:pPr>
      <w:r w:rsidRPr="00040CB1">
        <w:rPr>
          <w:b/>
          <w:bCs/>
          <w:sz w:val="22"/>
          <w:szCs w:val="22"/>
        </w:rPr>
        <w:t>ADDITIONAL INFORMATION</w:t>
      </w:r>
      <w:r w:rsidRPr="00040CB1">
        <w:rPr>
          <w:sz w:val="22"/>
          <w:szCs w:val="22"/>
        </w:rPr>
        <w:t xml:space="preserve"> </w:t>
      </w:r>
    </w:p>
    <w:p w:rsidR="00253E84" w:rsidRPr="00040CB1" w:rsidP="00253E84" w14:paraId="0EE2EEB4" w14:textId="77777777">
      <w:pPr>
        <w:pStyle w:val="NormalWeb"/>
        <w:shd w:val="clear" w:color="auto" w:fill="FFFFFF"/>
        <w:spacing w:before="0" w:beforeAutospacing="0" w:after="0" w:afterAutospacing="0"/>
        <w:rPr>
          <w:sz w:val="22"/>
          <w:szCs w:val="22"/>
        </w:rPr>
      </w:pPr>
    </w:p>
    <w:p w:rsidR="00253E84" w:rsidRPr="00BD7EC6" w:rsidP="00253E84" w14:paraId="32EC21D2" w14:textId="503A0C62">
      <w:pPr>
        <w:pStyle w:val="NormalIndent"/>
      </w:pPr>
      <w:r w:rsidRPr="00040CB1">
        <w:rPr>
          <w:bCs/>
        </w:rPr>
        <w:t xml:space="preserve">Licensees and </w:t>
      </w:r>
      <w:r w:rsidRPr="00040CB1">
        <w:rPr>
          <w:bCs/>
        </w:rPr>
        <w:t>regulatees</w:t>
      </w:r>
      <w:r w:rsidRPr="00040CB1">
        <w:rPr>
          <w:bCs/>
        </w:rPr>
        <w:t xml:space="preserve"> should contact the Commission’s Financial Operations Help Desk with inquiries regarding regulatory fee</w:t>
      </w:r>
      <w:r>
        <w:rPr>
          <w:bCs/>
        </w:rPr>
        <w:t>s</w:t>
      </w:r>
      <w:r w:rsidRPr="00040CB1">
        <w:rPr>
          <w:bCs/>
        </w:rPr>
        <w:t xml:space="preserve"> at (877) 480-3201 Option </w:t>
      </w:r>
      <w:r>
        <w:rPr>
          <w:bCs/>
        </w:rPr>
        <w:t>#</w:t>
      </w:r>
      <w:r w:rsidRPr="00040CB1">
        <w:rPr>
          <w:bCs/>
        </w:rPr>
        <w:t xml:space="preserve">6, (202) 418-1995, or e-mail inquiries to </w:t>
      </w:r>
      <w:hyperlink r:id="rId11">
        <w:r w:rsidRPr="26FB846D">
          <w:rPr>
            <w:rStyle w:val="Hyperlink"/>
          </w:rPr>
          <w:t>ARINQUIRIES@fcc.gov</w:t>
        </w:r>
      </w:hyperlink>
      <w:r w:rsidRPr="00040CB1">
        <w:rPr>
          <w:bCs/>
        </w:rPr>
        <w:t xml:space="preserve">. </w:t>
      </w:r>
      <w:r>
        <w:rPr>
          <w:bCs/>
        </w:rPr>
        <w:t xml:space="preserve"> </w:t>
      </w:r>
      <w:r w:rsidRPr="00E535E5">
        <w:rPr>
          <w:bCs/>
        </w:rPr>
        <w:t xml:space="preserve">If a licensee </w:t>
      </w:r>
      <w:r w:rsidR="6375C54E">
        <w:t xml:space="preserve">is having trouble processing a payment or </w:t>
      </w:r>
      <w:r w:rsidRPr="00E535E5">
        <w:rPr>
          <w:bCs/>
        </w:rPr>
        <w:t xml:space="preserve">needs assistance with </w:t>
      </w:r>
      <w:r w:rsidR="7D7EA464">
        <w:t>entering</w:t>
      </w:r>
      <w:r w:rsidRPr="00E535E5">
        <w:rPr>
          <w:bCs/>
        </w:rPr>
        <w:t xml:space="preserve"> a payment through</w:t>
      </w:r>
      <w:r>
        <w:rPr>
          <w:bCs/>
        </w:rPr>
        <w:t xml:space="preserve"> </w:t>
      </w:r>
      <w:r w:rsidRPr="00E535E5">
        <w:rPr>
          <w:bCs/>
        </w:rPr>
        <w:t>CORES</w:t>
      </w:r>
      <w:r w:rsidR="0071594E">
        <w:rPr>
          <w:bCs/>
        </w:rPr>
        <w:t>,</w:t>
      </w:r>
      <w:r>
        <w:rPr>
          <w:bCs/>
        </w:rPr>
        <w:t xml:space="preserve"> </w:t>
      </w:r>
      <w:r w:rsidRPr="00E535E5">
        <w:rPr>
          <w:bCs/>
        </w:rPr>
        <w:t>they should call (877) 480-3201 Option #1.</w:t>
      </w:r>
    </w:p>
    <w:p w:rsidR="008B27B2" w14:paraId="107404C4" w14:textId="77777777"/>
    <w:p w:rsidR="008B27B2" w:rsidP="008B27B2" w14:paraId="4DE78747" w14:textId="77777777">
      <w:pPr>
        <w:sectPr w:rsidSect="008B27B2">
          <w:headerReference w:type="default" r:id="rId12"/>
          <w:footerReference w:type="default" r:id="rId13"/>
          <w:headerReference w:type="first" r:id="rId14"/>
          <w:footnotePr>
            <w:numRestart w:val="eachSect"/>
          </w:footnotePr>
          <w:endnotePr>
            <w:numFmt w:val="decimal"/>
          </w:endnotePr>
          <w:pgSz w:w="12240" w:h="15840" w:code="1"/>
          <w:pgMar w:top="1440" w:right="1440" w:bottom="720" w:left="1440" w:header="720" w:footer="720" w:gutter="0"/>
          <w:pgBorders w:offsetFrom="page">
            <w:top w:val="single" w:sz="4" w:space="24" w:color="FFFFFF" w:themeColor="background1"/>
            <w:left w:val="single" w:sz="4" w:space="24" w:color="FFFFFF" w:themeColor="background1"/>
            <w:right w:val="single" w:sz="4" w:space="24" w:color="FFFFFF" w:themeColor="background1"/>
          </w:pgBorders>
          <w:cols w:space="720"/>
          <w:noEndnote/>
          <w:titlePg/>
          <w:docGrid w:linePitch="326"/>
        </w:sectPr>
      </w:pPr>
    </w:p>
    <w:p w:rsidR="00990450" w:rsidRPr="00990450" w:rsidP="00F67564" w14:paraId="4311109E" w14:textId="77777777"/>
    <w:p w:rsidR="00E41AC2" w:rsidRPr="00990450" w:rsidP="00253E84" w14:paraId="75514E13" w14:textId="1A163BCD">
      <w:pPr>
        <w:pStyle w:val="FCCTagLine"/>
      </w:pPr>
      <w:r w:rsidRPr="002B723A">
        <w:t>– FCC –</w:t>
      </w:r>
    </w:p>
    <w:sectPr w:rsidSect="00253E84">
      <w:headerReference w:type="default" r:id="rId15"/>
      <w:footerReference w:type="default" r:id="rId16"/>
      <w:headerReference w:type="first" r:id="rId17"/>
      <w:footnotePr>
        <w:numRestart w:val="eachSect"/>
      </w:footnotePr>
      <w:endnotePr>
        <w:numFmt w:val="decimal"/>
      </w:endnotePr>
      <w:type w:val="continuous"/>
      <w:pgSz w:w="12240" w:h="15840" w:code="1"/>
      <w:pgMar w:top="1440" w:right="1440" w:bottom="720" w:left="1440" w:header="720" w:footer="720" w:gutter="0"/>
      <w:pgBorders w:offsetFrom="page">
        <w:top w:val="single" w:sz="4" w:space="24" w:color="FFFFFF" w:themeColor="background1"/>
        <w:left w:val="single" w:sz="4" w:space="24" w:color="FFFFFF" w:themeColor="background1"/>
        <w:right w:val="single" w:sz="4" w:space="24" w:color="FFFFFF" w:themeColor="background1"/>
      </w:pgBorders>
      <w:pgNumType w:start="1"/>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27B2" w:rsidP="00F67564" w14:paraId="0F5FC19D" w14:textId="77777777">
    <w:pPr>
      <w:pStyle w:val="Footer"/>
    </w:pPr>
    <w:r>
      <w:fldChar w:fldCharType="begin"/>
    </w:r>
    <w:r>
      <w:instrText xml:space="preserve"> PAGE   \* MERGEFORMAT </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1AC2" w:rsidP="00F67564" w14:paraId="652B8232" w14:textId="77777777">
    <w:pPr>
      <w:pStyle w:val="Footer"/>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13B68" w:rsidP="00F67564" w14:paraId="33B6DF8D" w14:textId="77777777">
      <w:r>
        <w:separator/>
      </w:r>
    </w:p>
  </w:footnote>
  <w:footnote w:type="continuationSeparator" w:id="1">
    <w:p w:rsidR="00C13B68" w:rsidP="00F67564" w14:paraId="00C49346" w14:textId="77777777">
      <w:r>
        <w:continuationSeparator/>
      </w:r>
    </w:p>
  </w:footnote>
  <w:footnote w:id="2">
    <w:p w:rsidR="00253E84" w:rsidRPr="00EF542F" w:rsidP="00253E84" w14:paraId="27DA3222" w14:textId="41A8A82D">
      <w:pPr>
        <w:pStyle w:val="FootnoteText"/>
      </w:pPr>
      <w:r w:rsidRPr="005C3F87">
        <w:rPr>
          <w:rStyle w:val="FootnoteReference"/>
        </w:rPr>
        <w:footnoteRef/>
      </w:r>
      <w:r w:rsidRPr="005C3F87">
        <w:t xml:space="preserve"> </w:t>
      </w:r>
      <w:r w:rsidRPr="00407F59" w:rsidR="00407F59">
        <w:rPr>
          <w:i/>
          <w:iCs/>
          <w:szCs w:val="18"/>
        </w:rPr>
        <w:t>Review</w:t>
      </w:r>
      <w:r w:rsidRPr="00425EC6" w:rsidR="00407F59">
        <w:rPr>
          <w:i/>
          <w:iCs/>
          <w:szCs w:val="18"/>
        </w:rPr>
        <w:t xml:space="preserve"> of the Commission’s Assessment and Collection of Regulatory Fees for Fiscal Year 2026</w:t>
      </w:r>
      <w:r w:rsidRPr="00425EC6" w:rsidR="00407F59">
        <w:rPr>
          <w:szCs w:val="18"/>
        </w:rPr>
        <w:t>, MD Docket No. 26-94, Report</w:t>
      </w:r>
      <w:r w:rsidRPr="00FB6EBF" w:rsidR="00407F59">
        <w:rPr>
          <w:szCs w:val="18"/>
        </w:rPr>
        <w:t xml:space="preserve"> and Order, FCC 26-59 (rel. Aug. 27, 2026) (</w:t>
      </w:r>
      <w:r w:rsidRPr="00FB6EBF" w:rsidR="00407F59">
        <w:rPr>
          <w:i/>
          <w:iCs/>
          <w:szCs w:val="18"/>
        </w:rPr>
        <w:t>FY 2026 Regulatory Fees Report and Order</w:t>
      </w:r>
      <w:r w:rsidRPr="00FB6EBF" w:rsidR="00407F59">
        <w:rPr>
          <w:szCs w:val="18"/>
        </w:rPr>
        <w:t>)</w:t>
      </w:r>
      <w:r w:rsidRPr="00FB6EBF" w:rsidR="00407F59">
        <w:rPr>
          <w:i/>
          <w:iCs/>
          <w:szCs w:val="18"/>
        </w:rPr>
        <w:t>.</w:t>
      </w:r>
    </w:p>
  </w:footnote>
  <w:footnote w:id="3">
    <w:p w:rsidR="00253E84" w:rsidRPr="00635D38" w:rsidP="00253E84" w14:paraId="78C208B5" w14:textId="77777777">
      <w:pPr>
        <w:pStyle w:val="FootnoteText"/>
      </w:pPr>
      <w:r w:rsidRPr="00635D38">
        <w:rPr>
          <w:rStyle w:val="FootnoteReference"/>
        </w:rPr>
        <w:footnoteRef/>
      </w:r>
      <w:r w:rsidRPr="00635D38">
        <w:t xml:space="preserve"> The Commission has instituted a mandatory electronic payment policy, which means that licensees will not be able to make regulatory fee payments by check, money order, or cashier’s check.  Only credit card, ACH, and wire transfer payments will be accepted.  Please make sure that your electronic fee payment is made and the transaction is complete by the due date for FY 202</w:t>
      </w:r>
      <w:r>
        <w:t>6</w:t>
      </w:r>
      <w:r w:rsidRPr="00635D38">
        <w:t xml:space="preserve"> regulatory fees.  </w:t>
      </w:r>
    </w:p>
  </w:footnote>
  <w:footnote w:id="4">
    <w:p w:rsidR="00253E84" w:rsidP="00253E84" w14:paraId="46D4F719" w14:textId="77777777">
      <w:pPr>
        <w:pStyle w:val="FootnoteText"/>
      </w:pPr>
      <w:r w:rsidRPr="00635D38">
        <w:rPr>
          <w:rStyle w:val="FootnoteReference"/>
        </w:rPr>
        <w:footnoteRef/>
      </w:r>
      <w:r w:rsidRPr="00635D38">
        <w:t xml:space="preserve"> Payors should note that this change will mean that entities that have previously paid both regulatory fees and application fees at the same time by paper check will no longer be able to do so because regulatory fees payments by paper check will no longer be accepted.</w:t>
      </w:r>
    </w:p>
  </w:footnote>
  <w:footnote w:id="5">
    <w:p w:rsidR="00253E84" w:rsidRPr="00635D38" w:rsidP="00253E84" w14:paraId="731850EC" w14:textId="73CFC72F">
      <w:pPr>
        <w:pStyle w:val="FootnoteText"/>
      </w:pPr>
      <w:r>
        <w:rPr>
          <w:rStyle w:val="FootnoteReference"/>
        </w:rPr>
        <w:footnoteRef/>
      </w:r>
      <w:r>
        <w:t xml:space="preserve"> </w:t>
      </w:r>
      <w:r w:rsidRPr="00635D38">
        <w:t xml:space="preserve">Customers who owe an amount on a bill, debt, or other obligation due to the federal government are prohibited from splitting the total amount due into multiple payments.  Splitting an amount owed into several payment transactions violates the credit card network and the Bureau of Fiscal Service rules.  An amount owed that exceeds the $24,999.99 maximum, may not be split into two or more payment transactions in the same day by using one or multiple cards.  Also, an amount owed that exceeds the $24,999.99 maximum may not be split into two or more transactions over multiple days by using one or more cards. </w:t>
      </w:r>
      <w:r w:rsidR="004B1742">
        <w:t xml:space="preserve"> </w:t>
      </w:r>
      <w:r w:rsidRPr="00635D38">
        <w:rPr>
          <w:i/>
          <w:iCs/>
        </w:rPr>
        <w:t>Treasury Financial Manual</w:t>
      </w:r>
      <w:r w:rsidRPr="00635D38">
        <w:t xml:space="preserve">, Volume I, part 5, Chapter 7000, Section 7055.30, </w:t>
      </w:r>
      <w:r w:rsidRPr="00635D38">
        <w:rPr>
          <w:i/>
          <w:iCs/>
        </w:rPr>
        <w:t>Prohibition on Splitting Transactions</w:t>
      </w:r>
      <w:r w:rsidRPr="00635D38">
        <w:t xml:space="preserve">. </w:t>
      </w:r>
    </w:p>
  </w:footnote>
  <w:footnote w:id="6">
    <w:p w:rsidR="00253E84" w:rsidRPr="00635D38" w:rsidP="00253E84" w14:paraId="06E55B95" w14:textId="77777777">
      <w:pPr>
        <w:pStyle w:val="FootnoteText"/>
        <w:spacing w:before="120" w:after="0"/>
      </w:pPr>
      <w:r w:rsidRPr="00635D38">
        <w:rPr>
          <w:rStyle w:val="FootnoteReference"/>
        </w:rPr>
        <w:footnoteRef/>
      </w:r>
      <w:r w:rsidRPr="006B4B14">
        <w:t xml:space="preserve"> Payors should note that this change will mean that entities that have previously paid both regulatory fees and application fees at the same time by paper check will no longer be able to do so because regulatory fees payments by paper check will no longer be accepted.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27B2" w:rsidRPr="002D2820" w:rsidP="00F67564" w14:paraId="62013603" w14:textId="4DFAE7F2">
    <w:pPr>
      <w:pStyle w:val="HeadingNon-Numbered"/>
      <w:rPr>
        <w:b w:val="0"/>
      </w:rPr>
    </w:pPr>
    <w:r>
      <w:ptab w:relativeTo="margin" w:alignment="center" w:leader="none"/>
    </w:r>
    <w:r w:rsidRPr="002D2820">
      <w:t>Federal Communications Commission</w:t>
    </w:r>
    <w:r>
      <w:ptab w:relativeTo="margin" w:alignment="right" w:leader="none"/>
    </w:r>
    <w:r w:rsidR="00407F59">
      <w:t>DA 26-</w:t>
    </w:r>
    <w:r w:rsidR="008D1B5E">
      <w:t>924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27B2" w:rsidP="00773827" w14:paraId="18ED6125" w14:textId="77777777">
    <w:pPr>
      <w:pStyle w:val="Title"/>
    </w:pPr>
    <w:r>
      <w:rPr>
        <w:noProof/>
      </w:rPr>
      <w:drawing>
        <wp:inline distT="0" distB="0" distL="0" distR="0">
          <wp:extent cx="484632" cy="484632"/>
          <wp:effectExtent l="0" t="0" r="0" b="0"/>
          <wp:docPr id="1" name="Picture 1" descr="F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FCC Logo"/>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484632" cy="484632"/>
                  </a:xfrm>
                  <a:prstGeom prst="rect">
                    <a:avLst/>
                  </a:prstGeom>
                </pic:spPr>
              </pic:pic>
            </a:graphicData>
          </a:graphic>
        </wp:inline>
      </w:drawing>
    </w:r>
    <w:r>
      <w:t xml:space="preserve"> </w:t>
    </w:r>
    <w:r>
      <w:rPr>
        <w:rStyle w:val="TitleChar"/>
      </w:rPr>
      <w:t xml:space="preserve"> </w:t>
    </w:r>
    <w:r w:rsidRPr="004377F3">
      <w:rPr>
        <w:rStyle w:val="Heading1Char"/>
        <w:rFonts w:eastAsiaTheme="majorEastAsia"/>
      </w:rPr>
      <w:t>PUBLIC NOTICE</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4675"/>
      <w:gridCol w:w="4675"/>
    </w:tblGrid>
    <w:tr w14:paraId="481B4754" w14:textId="77777777" w:rsidTr="00E91865">
      <w:tblPrEx>
        <w:tblW w:w="0" w:type="auto"/>
        <w:tblLook w:val="04A0"/>
      </w:tblPrEx>
      <w:trPr>
        <w:trHeight w:val="836"/>
      </w:trPr>
      <w:tc>
        <w:tcPr>
          <w:tcW w:w="4675" w:type="dxa"/>
          <w:vAlign w:val="center"/>
        </w:tcPr>
        <w:p w:rsidR="008B27B2" w:rsidRPr="009412F2" w:rsidP="00773827" w14:paraId="65B495B1" w14:textId="77777777">
          <w:pPr>
            <w:pStyle w:val="FCCAddress"/>
          </w:pPr>
          <w:r>
            <w:ptab w:relativeTo="margin" w:alignment="left" w:leader="none"/>
          </w:r>
          <w:r>
            <w:ptab w:relativeTo="margin" w:alignment="left" w:leader="none"/>
          </w:r>
          <w:r w:rsidRPr="009412F2">
            <w:t>Federal Communications Commission</w:t>
          </w:r>
        </w:p>
        <w:p w:rsidR="008B27B2" w:rsidRPr="009412F2" w:rsidP="00773827" w14:paraId="5BDF8B8E" w14:textId="77777777">
          <w:pPr>
            <w:pStyle w:val="FCCAddress"/>
          </w:pPr>
          <w:r w:rsidRPr="009412F2">
            <w:t>45 L Street NE</w:t>
          </w:r>
        </w:p>
        <w:p w:rsidR="008B27B2" w:rsidP="00773827" w14:paraId="29F9A1C6" w14:textId="77777777">
          <w:pPr>
            <w:pStyle w:val="FCCAddress"/>
          </w:pPr>
          <w:r w:rsidRPr="009412F2">
            <w:t>Washington, DC 20554</w:t>
          </w:r>
        </w:p>
        <w:p w:rsidR="008B27B2" w:rsidRPr="009412F2" w:rsidP="00773827" w14:paraId="68C004F1" w14:textId="77777777">
          <w:pPr>
            <w:pStyle w:val="FCCAddress"/>
          </w:pPr>
        </w:p>
      </w:tc>
      <w:tc>
        <w:tcPr>
          <w:tcW w:w="4675" w:type="dxa"/>
          <w:vAlign w:val="center"/>
        </w:tcPr>
        <w:p w:rsidR="008B27B2" w:rsidRPr="009412F2" w:rsidP="00773827" w14:paraId="298A6D7D" w14:textId="77777777">
          <w:pPr>
            <w:pStyle w:val="FCCMedia"/>
          </w:pPr>
          <w:r w:rsidRPr="00AC23B3">
            <w:t>News Media Information</w:t>
          </w:r>
          <w:r w:rsidRPr="009412F2">
            <w:t xml:space="preserve"> 202-418-0500</w:t>
          </w:r>
        </w:p>
        <w:p w:rsidR="008B27B2" w:rsidP="006C141E" w14:paraId="3E972961" w14:textId="77777777">
          <w:pPr>
            <w:pStyle w:val="FCCMedia"/>
            <w:spacing w:before="0"/>
          </w:pPr>
          <w:r w:rsidRPr="009412F2">
            <w:t xml:space="preserve">Internet: </w:t>
          </w:r>
          <w:hyperlink r:id="rId2" w:history="1">
            <w:r w:rsidRPr="00E058C9">
              <w:rPr>
                <w:rStyle w:val="Hyperlink"/>
              </w:rPr>
              <w:t>www.fcc.gov</w:t>
            </w:r>
          </w:hyperlink>
        </w:p>
      </w:tc>
    </w:tr>
  </w:tbl>
  <w:p w:rsidR="008B27B2" w:rsidP="00773827" w14:paraId="598C3A3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1AC2" w:rsidRPr="002D2820" w:rsidP="00E41AC2" w14:paraId="468621F7" w14:textId="77777777">
    <w:pPr>
      <w:pStyle w:val="HeadingNon-Numbered"/>
      <w:rPr>
        <w:b w:val="0"/>
      </w:rPr>
    </w:pPr>
    <w:r>
      <w:ptab w:relativeTo="margin" w:alignment="center" w:leader="none"/>
    </w:r>
    <w:r w:rsidRPr="002D2820">
      <w:t>Federal Communications Commission</w:t>
    </w:r>
    <w:r>
      <w:ptab w:relativeTo="margin" w:alignment="right" w:leader="none"/>
    </w:r>
    <w:r w:rsidRPr="002D5337">
      <w:t>[FCC XX-XXX]</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3827" w:rsidRPr="002D2820" w:rsidP="00773827" w14:paraId="0567223A" w14:textId="77777777">
    <w:pPr>
      <w:pStyle w:val="HeadingNon-Numbered"/>
      <w:rPr>
        <w:b w:val="0"/>
      </w:rPr>
    </w:pPr>
    <w:r>
      <w:ptab w:relativeTo="margin" w:alignment="center" w:leader="none"/>
    </w:r>
    <w:r w:rsidRPr="002D2820">
      <w:t>Federal Communications Commission</w:t>
    </w:r>
    <w:r>
      <w:ptab w:relativeTo="margin" w:alignment="right" w:leader="none"/>
    </w:r>
    <w:r w:rsidRPr="002D5337">
      <w:t>[FCC XX-XXX]</w:t>
    </w:r>
  </w:p>
  <w:p w:rsidR="00773827" w:rsidRPr="00773827" w14:paraId="6098ADC3" w14:textId="77777777">
    <w:pPr>
      <w:pStyle w:val="Head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CC Logo" style="width:38.45pt;height:38.45pt" o:bullet="t">
        <v:imagedata r:id="rId1" o:title="FCC Logo"/>
      </v:shape>
    </w:pict>
  </w:numPicBullet>
  <w:abstractNum w:abstractNumId="0">
    <w:nsid w:val="087F2B0A"/>
    <w:multiLevelType w:val="hybridMultilevel"/>
    <w:tmpl w:val="C8DAD99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
    <w:nsid w:val="095E0400"/>
    <w:multiLevelType w:val="hybridMultilevel"/>
    <w:tmpl w:val="FBE05E9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News Gothic MT"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News Gothic MT"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News Gothic MT"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1C077958"/>
    <w:multiLevelType w:val="hybridMultilevel"/>
    <w:tmpl w:val="005ADF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E3F0CDD"/>
    <w:multiLevelType w:val="multilevel"/>
    <w:tmpl w:val="FD2C1B58"/>
    <w:lvl w:ilvl="0">
      <w:start w:val="1"/>
      <w:numFmt w:val="decimal"/>
      <w:pStyle w:val="NIList"/>
      <w:lvlText w:val="(%1)"/>
      <w:lvlJc w:val="left"/>
      <w:pPr>
        <w:tabs>
          <w:tab w:val="num" w:pos="1440"/>
        </w:tabs>
        <w:ind w:left="1080" w:hanging="360"/>
      </w:pPr>
      <w:rPr>
        <w:rFonts w:hint="default"/>
      </w:rPr>
    </w:lvl>
    <w:lvl w:ilvl="1">
      <w:start w:val="1"/>
      <w:numFmt w:val="lowerLetter"/>
      <w:pStyle w:val="NIList2"/>
      <w:lvlText w:val="(%2)"/>
      <w:lvlJc w:val="left"/>
      <w:pPr>
        <w:tabs>
          <w:tab w:val="num" w:pos="1800"/>
        </w:tabs>
        <w:ind w:left="1440" w:hanging="360"/>
      </w:pPr>
      <w:rPr>
        <w:rFonts w:hint="default"/>
      </w:rPr>
    </w:lvl>
    <w:lvl w:ilvl="2">
      <w:start w:val="1"/>
      <w:numFmt w:val="lowerRoman"/>
      <w:pStyle w:val="NIList3"/>
      <w:lvlText w:val="%3."/>
      <w:lvlJc w:val="left"/>
      <w:pPr>
        <w:tabs>
          <w:tab w:val="num" w:pos="2160"/>
        </w:tabs>
        <w:ind w:left="1800" w:hanging="360"/>
      </w:pPr>
      <w:rPr>
        <w:rFonts w:hint="default"/>
      </w:rPr>
    </w:lvl>
    <w:lvl w:ilvl="3">
      <w:start w:val="1"/>
      <w:numFmt w:val="lowerLetter"/>
      <w:pStyle w:val="NIList4"/>
      <w:lvlText w:val="%4."/>
      <w:lvlJc w:val="left"/>
      <w:pPr>
        <w:tabs>
          <w:tab w:val="num" w:pos="2520"/>
        </w:tabs>
        <w:ind w:left="2160" w:hanging="360"/>
      </w:pPr>
      <w:rPr>
        <w:rFonts w:hint="default"/>
      </w:rPr>
    </w:lvl>
    <w:lvl w:ilvl="4">
      <w:start w:val="1"/>
      <w:numFmt w:val="decimal"/>
      <w:pStyle w:val="NIList5"/>
      <w:lvlText w:val="(%5)"/>
      <w:lvlJc w:val="left"/>
      <w:pPr>
        <w:tabs>
          <w:tab w:val="num" w:pos="2880"/>
        </w:tabs>
        <w:ind w:left="2520" w:hanging="360"/>
      </w:pPr>
      <w:rPr>
        <w:rFonts w:hint="default"/>
      </w:rPr>
    </w:lvl>
    <w:lvl w:ilvl="5">
      <w:start w:val="1"/>
      <w:numFmt w:val="lowerLetter"/>
      <w:pStyle w:val="NIList6"/>
      <w:lvlText w:val="(%6)"/>
      <w:lvlJc w:val="left"/>
      <w:pPr>
        <w:tabs>
          <w:tab w:val="num" w:pos="3240"/>
        </w:tabs>
        <w:ind w:left="2880" w:hanging="360"/>
      </w:pPr>
      <w:rPr>
        <w:rFonts w:hint="default"/>
      </w:rPr>
    </w:lvl>
    <w:lvl w:ilvl="6">
      <w:start w:val="1"/>
      <w:numFmt w:val="lowerRoman"/>
      <w:pStyle w:val="NIList7"/>
      <w:lvlText w:val="(%7)"/>
      <w:lvlJc w:val="left"/>
      <w:pPr>
        <w:tabs>
          <w:tab w:val="num" w:pos="3600"/>
        </w:tabs>
        <w:ind w:left="3240" w:hanging="360"/>
      </w:pPr>
      <w:rPr>
        <w:rFonts w:hint="default"/>
      </w:rPr>
    </w:lvl>
    <w:lvl w:ilvl="7">
      <w:start w:val="1"/>
      <w:numFmt w:val="lowerLetter"/>
      <w:pStyle w:val="NIList8"/>
      <w:lvlText w:val="%8."/>
      <w:lvlJc w:val="left"/>
      <w:pPr>
        <w:tabs>
          <w:tab w:val="num" w:pos="3960"/>
        </w:tabs>
        <w:ind w:left="3600" w:hanging="360"/>
      </w:pPr>
      <w:rPr>
        <w:rFonts w:hint="default"/>
      </w:rPr>
    </w:lvl>
    <w:lvl w:ilvl="8">
      <w:start w:val="1"/>
      <w:numFmt w:val="decimal"/>
      <w:pStyle w:val="NIList9"/>
      <w:lvlText w:val="%9."/>
      <w:lvlJc w:val="left"/>
      <w:pPr>
        <w:tabs>
          <w:tab w:val="num" w:pos="4320"/>
        </w:tabs>
        <w:ind w:left="3960" w:hanging="360"/>
      </w:pPr>
      <w:rPr>
        <w:rFonts w:hint="default"/>
      </w:rPr>
    </w:lvl>
  </w:abstractNum>
  <w:abstractNum w:abstractNumId="4">
    <w:nsid w:val="24E105C4"/>
    <w:multiLevelType w:val="hybridMultilevel"/>
    <w:tmpl w:val="D32613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7E06CBB"/>
    <w:multiLevelType w:val="multilevel"/>
    <w:tmpl w:val="D226B3A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6">
    <w:nsid w:val="2A0E2263"/>
    <w:multiLevelType w:val="multilevel"/>
    <w:tmpl w:val="815C31AA"/>
    <w:lvl w:ilvl="0">
      <w:start w:val="0"/>
      <w:numFmt w:val="bullet"/>
      <w:pStyle w:val="NIBullet"/>
      <w:lvlText w:val="•"/>
      <w:lvlJc w:val="left"/>
      <w:pPr>
        <w:ind w:left="1080" w:hanging="360"/>
      </w:pPr>
      <w:rPr>
        <w:rFonts w:ascii="Calibri" w:hAnsi="Calibri" w:hint="default"/>
      </w:rPr>
    </w:lvl>
    <w:lvl w:ilvl="1">
      <w:start w:val="1"/>
      <w:numFmt w:val="bullet"/>
      <w:pStyle w:val="NIBullet2"/>
      <w:lvlText w:val="o"/>
      <w:lvlJc w:val="left"/>
      <w:pPr>
        <w:ind w:left="1440" w:hanging="360"/>
      </w:pPr>
      <w:rPr>
        <w:rFonts w:ascii="Courier New" w:hAnsi="Courier New" w:hint="default"/>
      </w:rPr>
    </w:lvl>
    <w:lvl w:ilvl="2">
      <w:start w:val="1"/>
      <w:numFmt w:val="bullet"/>
      <w:pStyle w:val="NIBullet3"/>
      <w:lvlText w:val=""/>
      <w:lvlJc w:val="left"/>
      <w:pPr>
        <w:ind w:left="1800" w:hanging="360"/>
      </w:pPr>
      <w:rPr>
        <w:rFonts w:ascii="Wingdings" w:hAnsi="Wingdings" w:hint="default"/>
      </w:rPr>
    </w:lvl>
    <w:lvl w:ilvl="3">
      <w:start w:val="1"/>
      <w:numFmt w:val="bullet"/>
      <w:pStyle w:val="NIBullet4"/>
      <w:lvlText w:val=""/>
      <w:lvlJc w:val="left"/>
      <w:pPr>
        <w:ind w:left="2160" w:hanging="360"/>
      </w:pPr>
      <w:rPr>
        <w:rFonts w:ascii="Symbol" w:hAnsi="Symbol" w:hint="default"/>
      </w:rPr>
    </w:lvl>
    <w:lvl w:ilvl="4">
      <w:start w:val="1"/>
      <w:numFmt w:val="bullet"/>
      <w:pStyle w:val="NIBullet5"/>
      <w:lvlText w:val="o"/>
      <w:lvlJc w:val="left"/>
      <w:pPr>
        <w:ind w:left="2520" w:hanging="360"/>
      </w:pPr>
      <w:rPr>
        <w:rFonts w:ascii="Courier New" w:hAnsi="Courier New" w:hint="default"/>
      </w:rPr>
    </w:lvl>
    <w:lvl w:ilvl="5">
      <w:start w:val="1"/>
      <w:numFmt w:val="bullet"/>
      <w:pStyle w:val="NIBullet6"/>
      <w:lvlText w:val=""/>
      <w:lvlJc w:val="left"/>
      <w:pPr>
        <w:ind w:left="2880" w:hanging="360"/>
      </w:pPr>
      <w:rPr>
        <w:rFonts w:ascii="Wingdings" w:hAnsi="Wingdings" w:hint="default"/>
      </w:rPr>
    </w:lvl>
    <w:lvl w:ilvl="6">
      <w:start w:val="1"/>
      <w:numFmt w:val="bullet"/>
      <w:pStyle w:val="NIBullet7"/>
      <w:lvlText w:val=""/>
      <w:lvlJc w:val="left"/>
      <w:pPr>
        <w:ind w:left="3240" w:hanging="360"/>
      </w:pPr>
      <w:rPr>
        <w:rFonts w:ascii="Symbol" w:hAnsi="Symbol" w:hint="default"/>
      </w:rPr>
    </w:lvl>
    <w:lvl w:ilvl="7">
      <w:start w:val="1"/>
      <w:numFmt w:val="bullet"/>
      <w:pStyle w:val="NIBullet8"/>
      <w:lvlText w:val="o"/>
      <w:lvlJc w:val="left"/>
      <w:pPr>
        <w:ind w:left="3600" w:hanging="360"/>
      </w:pPr>
      <w:rPr>
        <w:rFonts w:ascii="Courier New" w:hAnsi="Courier New" w:hint="default"/>
      </w:rPr>
    </w:lvl>
    <w:lvl w:ilvl="8">
      <w:start w:val="1"/>
      <w:numFmt w:val="bullet"/>
      <w:pStyle w:val="NIBullet9"/>
      <w:lvlText w:val=""/>
      <w:lvlJc w:val="left"/>
      <w:pPr>
        <w:ind w:left="3960" w:hanging="360"/>
      </w:pPr>
      <w:rPr>
        <w:rFonts w:ascii="Wingdings" w:hAnsi="Wingdings" w:hint="default"/>
      </w:rPr>
    </w:lvl>
  </w:abstractNum>
  <w:abstractNum w:abstractNumId="7">
    <w:nsid w:val="2E024E21"/>
    <w:multiLevelType w:val="multilevel"/>
    <w:tmpl w:val="36F6FD14"/>
    <w:lvl w:ilvl="0">
      <w:start w:val="1"/>
      <w:numFmt w:val="bullet"/>
      <w:pStyle w:val="ParaNumBullet"/>
      <w:lvlText w:val=""/>
      <w:lvlJc w:val="left"/>
      <w:pPr>
        <w:tabs>
          <w:tab w:val="num" w:pos="1080"/>
        </w:tabs>
        <w:ind w:left="1080" w:hanging="360"/>
      </w:pPr>
      <w:rPr>
        <w:rFonts w:ascii="Symbol" w:hAnsi="Symbol" w:hint="default"/>
      </w:rPr>
    </w:lvl>
    <w:lvl w:ilvl="1">
      <w:start w:val="1"/>
      <w:numFmt w:val="bullet"/>
      <w:pStyle w:val="ParaNumBullet2"/>
      <w:lvlText w:val="o"/>
      <w:lvlJc w:val="left"/>
      <w:pPr>
        <w:tabs>
          <w:tab w:val="num" w:pos="1152"/>
        </w:tabs>
        <w:ind w:left="1440" w:hanging="360"/>
      </w:pPr>
      <w:rPr>
        <w:rFonts w:ascii="Courier New" w:hAnsi="Courier New" w:hint="default"/>
      </w:rPr>
    </w:lvl>
    <w:lvl w:ilvl="2">
      <w:start w:val="1"/>
      <w:numFmt w:val="bullet"/>
      <w:pStyle w:val="ParaNumBullet3"/>
      <w:lvlText w:val=""/>
      <w:lvlJc w:val="left"/>
      <w:pPr>
        <w:ind w:left="1800" w:hanging="360"/>
      </w:pPr>
      <w:rPr>
        <w:rFonts w:ascii="Wingdings" w:hAnsi="Wingdings" w:hint="default"/>
      </w:rPr>
    </w:lvl>
    <w:lvl w:ilvl="3">
      <w:start w:val="1"/>
      <w:numFmt w:val="bullet"/>
      <w:pStyle w:val="ParaNumBullet4"/>
      <w:lvlText w:val=""/>
      <w:lvlJc w:val="left"/>
      <w:pPr>
        <w:ind w:left="2520" w:hanging="360"/>
      </w:pPr>
      <w:rPr>
        <w:rFonts w:ascii="Symbol" w:hAnsi="Symbol" w:hint="default"/>
      </w:rPr>
    </w:lvl>
    <w:lvl w:ilvl="4">
      <w:start w:val="1"/>
      <w:numFmt w:val="bullet"/>
      <w:pStyle w:val="ParaNumBullet5"/>
      <w:lvlText w:val="o"/>
      <w:lvlJc w:val="left"/>
      <w:pPr>
        <w:ind w:left="3240" w:hanging="360"/>
      </w:pPr>
      <w:rPr>
        <w:rFonts w:ascii="Courier New" w:hAnsi="Courier New" w:hint="default"/>
      </w:rPr>
    </w:lvl>
    <w:lvl w:ilvl="5">
      <w:start w:val="1"/>
      <w:numFmt w:val="bullet"/>
      <w:pStyle w:val="ParaNumBullet6"/>
      <w:lvlText w:val=""/>
      <w:lvlJc w:val="left"/>
      <w:pPr>
        <w:ind w:left="3600" w:hanging="360"/>
      </w:pPr>
      <w:rPr>
        <w:rFonts w:ascii="Wingdings" w:hAnsi="Wingdings" w:hint="default"/>
      </w:rPr>
    </w:lvl>
    <w:lvl w:ilvl="6">
      <w:start w:val="1"/>
      <w:numFmt w:val="bullet"/>
      <w:pStyle w:val="ParaNumBullet7"/>
      <w:lvlText w:val=""/>
      <w:lvlJc w:val="left"/>
      <w:pPr>
        <w:ind w:left="4320" w:hanging="360"/>
      </w:pPr>
      <w:rPr>
        <w:rFonts w:ascii="Symbol" w:hAnsi="Symbol" w:hint="default"/>
      </w:rPr>
    </w:lvl>
    <w:lvl w:ilvl="7">
      <w:start w:val="1"/>
      <w:numFmt w:val="bullet"/>
      <w:pStyle w:val="ParaNumBullet8"/>
      <w:lvlText w:val="o"/>
      <w:lvlJc w:val="left"/>
      <w:pPr>
        <w:ind w:left="5040" w:hanging="360"/>
      </w:pPr>
      <w:rPr>
        <w:rFonts w:ascii="Courier New" w:hAnsi="Courier New" w:hint="default"/>
      </w:rPr>
    </w:lvl>
    <w:lvl w:ilvl="8">
      <w:start w:val="1"/>
      <w:numFmt w:val="bullet"/>
      <w:pStyle w:val="ParaNumBullet9"/>
      <w:lvlText w:val=""/>
      <w:lvlJc w:val="left"/>
      <w:pPr>
        <w:ind w:left="5760" w:hanging="360"/>
      </w:pPr>
      <w:rPr>
        <w:rFonts w:ascii="Wingdings" w:hAnsi="Wingdings" w:hint="default"/>
      </w:rPr>
    </w:lvl>
  </w:abstractNum>
  <w:abstractNum w:abstractNumId="8">
    <w:nsid w:val="38FF409B"/>
    <w:multiLevelType w:val="multilevel"/>
    <w:tmpl w:val="8A903D64"/>
    <w:styleLink w:val="Appendices"/>
    <w:lvl w:ilvl="0">
      <w:start w:val="1"/>
      <w:numFmt w:val="upperLetter"/>
      <w:suff w:val="space"/>
      <w:lvlText w:val="Appendix %1: "/>
      <w:lvlJc w:val="center"/>
      <w:pPr>
        <w:ind w:left="0" w:firstLine="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452F57BE"/>
    <w:multiLevelType w:val="multilevel"/>
    <w:tmpl w:val="F312A238"/>
    <w:lvl w:ilvl="0">
      <w:start w:val="1"/>
      <w:numFmt w:val="decimal"/>
      <w:pStyle w:val="AttachmentParaNum"/>
      <w:lvlText w:val="%1."/>
      <w:lvlJc w:val="center"/>
      <w:pPr>
        <w:tabs>
          <w:tab w:val="num" w:pos="1440"/>
        </w:tabs>
        <w:ind w:left="0" w:firstLine="720"/>
      </w:pPr>
      <w:rPr>
        <w:rFonts w:hint="default"/>
      </w:rPr>
    </w:lvl>
    <w:lvl w:ilvl="1">
      <w:start w:val="1"/>
      <w:numFmt w:val="lowerLetter"/>
      <w:lvlText w:val="%2."/>
      <w:lvlJc w:val="left"/>
      <w:pPr>
        <w:ind w:left="0" w:firstLine="1440"/>
      </w:pPr>
      <w:rPr>
        <w:rFonts w:hint="default"/>
        <w:b w:val="0"/>
      </w:rPr>
    </w:lvl>
    <w:lvl w:ilvl="2">
      <w:start w:val="1"/>
      <w:numFmt w:val="lowerRoman"/>
      <w:lvlText w:val="%3)"/>
      <w:lvlJc w:val="left"/>
      <w:pPr>
        <w:ind w:left="1440" w:firstLine="0"/>
      </w:pPr>
      <w:rPr>
        <w:rFonts w:hint="default"/>
      </w:rPr>
    </w:lvl>
    <w:lvl w:ilvl="3">
      <w:start w:val="1"/>
      <w:numFmt w:val="decimal"/>
      <w:lvlText w:val="(%4)"/>
      <w:lvlJc w:val="left"/>
      <w:pPr>
        <w:ind w:left="2160" w:firstLine="0"/>
      </w:pPr>
      <w:rPr>
        <w:rFonts w:hint="default"/>
      </w:rPr>
    </w:lvl>
    <w:lvl w:ilvl="4">
      <w:start w:val="1"/>
      <w:numFmt w:val="lowerLetter"/>
      <w:lvlText w:val="(%5)"/>
      <w:lvlJc w:val="left"/>
      <w:pPr>
        <w:ind w:left="2880" w:firstLine="0"/>
      </w:pPr>
      <w:rPr>
        <w:rFonts w:hint="default"/>
      </w:rPr>
    </w:lvl>
    <w:lvl w:ilvl="5">
      <w:start w:val="1"/>
      <w:numFmt w:val="lowerRoman"/>
      <w:lvlText w:val="(%6)"/>
      <w:lvlJc w:val="left"/>
      <w:pPr>
        <w:ind w:left="3600" w:firstLine="0"/>
      </w:pPr>
      <w:rPr>
        <w:rFonts w:hint="default"/>
      </w:rPr>
    </w:lvl>
    <w:lvl w:ilvl="6">
      <w:start w:val="1"/>
      <w:numFmt w:val="decimal"/>
      <w:lvlRestart w:val="1"/>
      <w:lvlText w:val="%7."/>
      <w:lvlJc w:val="left"/>
      <w:pPr>
        <w:ind w:left="4320" w:firstLine="0"/>
      </w:pPr>
      <w:rPr>
        <w:rFonts w:hint="default"/>
        <w:b w:val="0"/>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0">
    <w:nsid w:val="464C1501"/>
    <w:multiLevelType w:val="multilevel"/>
    <w:tmpl w:val="0C78C348"/>
    <w:styleLink w:val="AttachmentList"/>
    <w:lvl w:ilvl="0">
      <w:start w:val="1"/>
      <w:numFmt w:val="upperLetter"/>
      <w:lvlText w:val="ATTACHMENT %1"/>
      <w:lvlJc w:val="center"/>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48EF4214"/>
    <w:multiLevelType w:val="multilevel"/>
    <w:tmpl w:val="70669302"/>
    <w:styleLink w:val="Style2"/>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494941A1"/>
    <w:multiLevelType w:val="multilevel"/>
    <w:tmpl w:val="5CC4427E"/>
    <w:styleLink w:val="PNOrderedList"/>
    <w:lvl w:ilvl="0">
      <w:start w:val="1"/>
      <w:numFmt w:val="decimal"/>
      <w:pStyle w:val="ParaNum"/>
      <w:lvlText w:val="%1."/>
      <w:lvlJc w:val="left"/>
      <w:pPr>
        <w:ind w:left="0" w:firstLine="720"/>
      </w:pPr>
      <w:rPr>
        <w:rFonts w:hint="default"/>
      </w:rPr>
    </w:lvl>
    <w:lvl w:ilvl="1">
      <w:start w:val="1"/>
      <w:numFmt w:val="lowerLetter"/>
      <w:pStyle w:val="ParaNumLevel2"/>
      <w:lvlText w:val="%2."/>
      <w:lvlJc w:val="left"/>
      <w:pPr>
        <w:ind w:left="1800" w:hanging="360"/>
      </w:pPr>
      <w:rPr>
        <w:rFonts w:hint="default"/>
      </w:rPr>
    </w:lvl>
    <w:lvl w:ilvl="2">
      <w:start w:val="1"/>
      <w:numFmt w:val="lowerRoman"/>
      <w:pStyle w:val="ParaNumLevel3"/>
      <w:lvlText w:val="%3."/>
      <w:lvlJc w:val="left"/>
      <w:pPr>
        <w:ind w:left="2160" w:hanging="360"/>
      </w:pPr>
      <w:rPr>
        <w:rFonts w:hint="default"/>
      </w:rPr>
    </w:lvl>
    <w:lvl w:ilvl="3">
      <w:start w:val="1"/>
      <w:numFmt w:val="decimal"/>
      <w:pStyle w:val="ParaNumLevel4"/>
      <w:lvlText w:val="(%4)"/>
      <w:lvlJc w:val="left"/>
      <w:pPr>
        <w:ind w:left="2520" w:hanging="360"/>
      </w:pPr>
      <w:rPr>
        <w:rFonts w:hint="default"/>
      </w:rPr>
    </w:lvl>
    <w:lvl w:ilvl="4">
      <w:start w:val="1"/>
      <w:numFmt w:val="lowerLetter"/>
      <w:pStyle w:val="ParaNumLevel5"/>
      <w:lvlText w:val="%5."/>
      <w:lvlJc w:val="left"/>
      <w:pPr>
        <w:ind w:left="2880" w:hanging="360"/>
      </w:pPr>
      <w:rPr>
        <w:rFonts w:hint="default"/>
      </w:rPr>
    </w:lvl>
    <w:lvl w:ilvl="5">
      <w:start w:val="1"/>
      <w:numFmt w:val="lowerRoman"/>
      <w:pStyle w:val="ParaNumLevel6"/>
      <w:lvlText w:val="%6."/>
      <w:lvlJc w:val="left"/>
      <w:pPr>
        <w:ind w:left="3240" w:hanging="360"/>
      </w:pPr>
      <w:rPr>
        <w:rFonts w:hint="default"/>
      </w:rPr>
    </w:lvl>
    <w:lvl w:ilvl="6">
      <w:start w:val="1"/>
      <w:numFmt w:val="decimal"/>
      <w:pStyle w:val="ParaNumLevel7"/>
      <w:lvlText w:val="%7."/>
      <w:lvlJc w:val="left"/>
      <w:pPr>
        <w:ind w:left="3600" w:hanging="360"/>
      </w:pPr>
      <w:rPr>
        <w:rFonts w:hint="default"/>
      </w:rPr>
    </w:lvl>
    <w:lvl w:ilvl="7">
      <w:start w:val="1"/>
      <w:numFmt w:val="lowerLetter"/>
      <w:pStyle w:val="ParaNumLevel8"/>
      <w:lvlText w:val="%8."/>
      <w:lvlJc w:val="left"/>
      <w:pPr>
        <w:tabs>
          <w:tab w:val="num" w:pos="7200"/>
        </w:tabs>
        <w:ind w:left="3960" w:hanging="360"/>
      </w:pPr>
      <w:rPr>
        <w:rFonts w:hint="default"/>
      </w:rPr>
    </w:lvl>
    <w:lvl w:ilvl="8">
      <w:start w:val="1"/>
      <w:numFmt w:val="lowerRoman"/>
      <w:pStyle w:val="ParaNumLevel9"/>
      <w:lvlText w:val="%9."/>
      <w:lvlJc w:val="left"/>
      <w:pPr>
        <w:ind w:left="4320" w:hanging="360"/>
      </w:pPr>
      <w:rPr>
        <w:rFonts w:hint="default"/>
      </w:rPr>
    </w:lvl>
  </w:abstractNum>
  <w:abstractNum w:abstractNumId="13">
    <w:nsid w:val="49C42BB6"/>
    <w:multiLevelType w:val="hybridMultilevel"/>
    <w:tmpl w:val="0204983C"/>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4E4757F"/>
    <w:multiLevelType w:val="hybridMultilevel"/>
    <w:tmpl w:val="D79AB5C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53D3FE9"/>
    <w:multiLevelType w:val="multilevel"/>
    <w:tmpl w:val="8A903D64"/>
    <w:numStyleLink w:val="Appendices"/>
  </w:abstractNum>
  <w:abstractNum w:abstractNumId="16">
    <w:nsid w:val="58CF3656"/>
    <w:multiLevelType w:val="hybridMultilevel"/>
    <w:tmpl w:val="88745008"/>
    <w:lvl w:ilvl="0">
      <w:start w:val="1"/>
      <w:numFmt w:val="upperLetter"/>
      <w:pStyle w:val="Attachment"/>
      <w:lvlText w:val="Attachment %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9667483"/>
    <w:multiLevelType w:val="hybridMultilevel"/>
    <w:tmpl w:val="F67236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9EE43DF"/>
    <w:multiLevelType w:val="hybridMultilevel"/>
    <w:tmpl w:val="F81A8A40"/>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A00452B"/>
    <w:multiLevelType w:val="hybridMultilevel"/>
    <w:tmpl w:val="9A5428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7B281033"/>
    <w:multiLevelType w:val="multilevel"/>
    <w:tmpl w:val="C212A1AC"/>
    <w:styleLink w:val="Style10"/>
    <w:lvl w:ilvl="0">
      <w:start w:val="1"/>
      <w:numFmt w:val="bullet"/>
      <w:lvlText w:val=""/>
      <w:lvlJc w:val="left"/>
      <w:pPr>
        <w:tabs>
          <w:tab w:val="num" w:pos="1800"/>
        </w:tabs>
        <w:ind w:left="1800" w:hanging="360"/>
      </w:pPr>
      <w:rPr>
        <w:rFonts w:ascii="Symbol" w:hAnsi="Symbol" w:hint="default"/>
      </w:rPr>
    </w:lvl>
    <w:lvl w:ilvl="1">
      <w:start w:val="1"/>
      <w:numFmt w:val="bullet"/>
      <w:lvlText w:val="o"/>
      <w:lvlJc w:val="left"/>
      <w:pPr>
        <w:tabs>
          <w:tab w:val="num" w:pos="1872"/>
        </w:tabs>
        <w:ind w:left="216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6099204">
    <w:abstractNumId w:val="8"/>
  </w:num>
  <w:num w:numId="2" w16cid:durableId="1683236073">
    <w:abstractNumId w:val="9"/>
  </w:num>
  <w:num w:numId="3" w16cid:durableId="1086076196">
    <w:abstractNumId w:val="5"/>
  </w:num>
  <w:num w:numId="4" w16cid:durableId="107823356">
    <w:abstractNumId w:val="11"/>
  </w:num>
  <w:num w:numId="5" w16cid:durableId="917177599">
    <w:abstractNumId w:val="20"/>
  </w:num>
  <w:num w:numId="6" w16cid:durableId="1893420988">
    <w:abstractNumId w:val="7"/>
  </w:num>
  <w:num w:numId="7" w16cid:durableId="743646516">
    <w:abstractNumId w:val="12"/>
    <w:lvlOverride w:ilvl="0">
      <w:lvl w:ilvl="0">
        <w:start w:val="1"/>
        <w:numFmt w:val="decimal"/>
        <w:pStyle w:val="ParaNum"/>
        <w:lvlText w:val="%1."/>
        <w:lvlJc w:val="left"/>
        <w:pPr>
          <w:ind w:left="0" w:firstLine="720"/>
        </w:pPr>
        <w:rPr>
          <w:rFonts w:hint="default"/>
          <w:b w:val="0"/>
        </w:rPr>
      </w:lvl>
    </w:lvlOverride>
  </w:num>
  <w:num w:numId="8" w16cid:durableId="9327392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98115492">
    <w:abstractNumId w:val="15"/>
  </w:num>
  <w:num w:numId="10" w16cid:durableId="445080180">
    <w:abstractNumId w:val="16"/>
  </w:num>
  <w:num w:numId="11" w16cid:durableId="1127431021">
    <w:abstractNumId w:val="17"/>
  </w:num>
  <w:num w:numId="12" w16cid:durableId="605385848">
    <w:abstractNumId w:val="4"/>
  </w:num>
  <w:num w:numId="13" w16cid:durableId="1865559383">
    <w:abstractNumId w:val="18"/>
  </w:num>
  <w:num w:numId="14" w16cid:durableId="303005581">
    <w:abstractNumId w:val="13"/>
  </w:num>
  <w:num w:numId="15" w16cid:durableId="2014919109">
    <w:abstractNumId w:val="10"/>
  </w:num>
  <w:num w:numId="16" w16cid:durableId="1967808534">
    <w:abstractNumId w:val="12"/>
  </w:num>
  <w:num w:numId="17" w16cid:durableId="1226334503">
    <w:abstractNumId w:val="6"/>
  </w:num>
  <w:num w:numId="18" w16cid:durableId="361824895">
    <w:abstractNumId w:val="3"/>
  </w:num>
  <w:num w:numId="19" w16cid:durableId="483208673">
    <w:abstractNumId w:val="14"/>
  </w:num>
  <w:num w:numId="20" w16cid:durableId="476651353">
    <w:abstractNumId w:val="12"/>
  </w:num>
  <w:num w:numId="21" w16cid:durableId="1845048516">
    <w:abstractNumId w:val="7"/>
  </w:num>
  <w:num w:numId="22" w16cid:durableId="1886483049">
    <w:abstractNumId w:val="7"/>
  </w:num>
  <w:num w:numId="23" w16cid:durableId="1618870612">
    <w:abstractNumId w:val="7"/>
  </w:num>
  <w:num w:numId="24" w16cid:durableId="889922859">
    <w:abstractNumId w:val="7"/>
  </w:num>
  <w:num w:numId="25" w16cid:durableId="736981391">
    <w:abstractNumId w:val="7"/>
  </w:num>
  <w:num w:numId="26" w16cid:durableId="837693225">
    <w:abstractNumId w:val="7"/>
  </w:num>
  <w:num w:numId="27" w16cid:durableId="1510752855">
    <w:abstractNumId w:val="7"/>
  </w:num>
  <w:num w:numId="28" w16cid:durableId="2055158355">
    <w:abstractNumId w:val="7"/>
  </w:num>
  <w:num w:numId="29" w16cid:durableId="1402874740">
    <w:abstractNumId w:val="7"/>
  </w:num>
  <w:num w:numId="30" w16cid:durableId="167643875">
    <w:abstractNumId w:val="12"/>
  </w:num>
  <w:num w:numId="31" w16cid:durableId="103428766">
    <w:abstractNumId w:val="12"/>
  </w:num>
  <w:num w:numId="32" w16cid:durableId="1779131391">
    <w:abstractNumId w:val="12"/>
  </w:num>
  <w:num w:numId="33" w16cid:durableId="863445666">
    <w:abstractNumId w:val="12"/>
  </w:num>
  <w:num w:numId="34" w16cid:durableId="1912226260">
    <w:abstractNumId w:val="12"/>
  </w:num>
  <w:num w:numId="35" w16cid:durableId="1189218877">
    <w:abstractNumId w:val="12"/>
  </w:num>
  <w:num w:numId="36" w16cid:durableId="945817382">
    <w:abstractNumId w:val="12"/>
  </w:num>
  <w:num w:numId="37" w16cid:durableId="1673683069">
    <w:abstractNumId w:val="12"/>
  </w:num>
  <w:num w:numId="38" w16cid:durableId="571962892">
    <w:abstractNumId w:val="12"/>
  </w:num>
  <w:num w:numId="39" w16cid:durableId="1522085497">
    <w:abstractNumId w:val="5"/>
  </w:num>
  <w:num w:numId="40" w16cid:durableId="17653457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75782894">
    <w:abstractNumId w:val="2"/>
  </w:num>
  <w:num w:numId="42" w16cid:durableId="844056052">
    <w:abstractNumId w:val="19"/>
  </w:num>
  <w:num w:numId="43" w16cid:durableId="348483973">
    <w:abstractNumId w:val="5"/>
  </w:num>
  <w:num w:numId="44" w16cid:durableId="1136264640">
    <w:abstractNumId w:val="0"/>
  </w:num>
  <w:num w:numId="45" w16cid:durableId="136533507">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attachedTemplate r:id="rId1"/>
  <w:stylePaneFormatFilter w:val="3808" w:allStyles="0" w:alternateStyleNames="0" w:clearFormatting="1" w:customStyles="0" w:directFormattingOnNumbering="0" w:directFormattingOnParagraphs="0" w:directFormattingOnRuns="0" w:directFormattingOnTables="1" w:headingStyles="0" w:latentStyles="0" w:numberingStyles="0" w:stylesInUse="1" w:tableStyles="0" w:top3HeadingStyles="1" w:visibleStyles="0"/>
  <w:stylePaneSortMethod w:val="name"/>
  <w:defaultTabStop w:val="720"/>
  <w:characterSpacingControl w:val="doNotCompress"/>
  <w:footnotePr>
    <w:numRestart w:val="eachSect"/>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123"/>
    <w:rsid w:val="00040CB1"/>
    <w:rsid w:val="00051D09"/>
    <w:rsid w:val="000539B2"/>
    <w:rsid w:val="00063129"/>
    <w:rsid w:val="000638E5"/>
    <w:rsid w:val="00067098"/>
    <w:rsid w:val="00091436"/>
    <w:rsid w:val="000952FE"/>
    <w:rsid w:val="000A7041"/>
    <w:rsid w:val="000C2BEA"/>
    <w:rsid w:val="000E6423"/>
    <w:rsid w:val="000F3799"/>
    <w:rsid w:val="000F3DAF"/>
    <w:rsid w:val="000F4D05"/>
    <w:rsid w:val="000F78E8"/>
    <w:rsid w:val="00106EAF"/>
    <w:rsid w:val="00124EAD"/>
    <w:rsid w:val="00132421"/>
    <w:rsid w:val="0013636A"/>
    <w:rsid w:val="001421E0"/>
    <w:rsid w:val="0014233E"/>
    <w:rsid w:val="00147255"/>
    <w:rsid w:val="001542B2"/>
    <w:rsid w:val="001550C3"/>
    <w:rsid w:val="00155CCA"/>
    <w:rsid w:val="00164C9A"/>
    <w:rsid w:val="001846BA"/>
    <w:rsid w:val="00197F3B"/>
    <w:rsid w:val="001B4277"/>
    <w:rsid w:val="001C22D5"/>
    <w:rsid w:val="001C3031"/>
    <w:rsid w:val="001C43B8"/>
    <w:rsid w:val="001D3F51"/>
    <w:rsid w:val="001D7167"/>
    <w:rsid w:val="001F56AD"/>
    <w:rsid w:val="001F7DF1"/>
    <w:rsid w:val="002015BF"/>
    <w:rsid w:val="00214C2D"/>
    <w:rsid w:val="00215BD9"/>
    <w:rsid w:val="00223F85"/>
    <w:rsid w:val="00240C84"/>
    <w:rsid w:val="00241AE6"/>
    <w:rsid w:val="00251523"/>
    <w:rsid w:val="00253E84"/>
    <w:rsid w:val="002614EA"/>
    <w:rsid w:val="00261B77"/>
    <w:rsid w:val="00273C82"/>
    <w:rsid w:val="00277D91"/>
    <w:rsid w:val="00280200"/>
    <w:rsid w:val="002A04DF"/>
    <w:rsid w:val="002A67D1"/>
    <w:rsid w:val="002B0306"/>
    <w:rsid w:val="002B723A"/>
    <w:rsid w:val="002C2996"/>
    <w:rsid w:val="002C3F43"/>
    <w:rsid w:val="002D0C98"/>
    <w:rsid w:val="002D2820"/>
    <w:rsid w:val="002D5337"/>
    <w:rsid w:val="002E3B1E"/>
    <w:rsid w:val="002E5E44"/>
    <w:rsid w:val="002F186A"/>
    <w:rsid w:val="003030F1"/>
    <w:rsid w:val="003064A1"/>
    <w:rsid w:val="003076A5"/>
    <w:rsid w:val="0031660B"/>
    <w:rsid w:val="0034007E"/>
    <w:rsid w:val="003406EE"/>
    <w:rsid w:val="00345F22"/>
    <w:rsid w:val="00352190"/>
    <w:rsid w:val="00357B2D"/>
    <w:rsid w:val="00367D90"/>
    <w:rsid w:val="003725BE"/>
    <w:rsid w:val="0037295F"/>
    <w:rsid w:val="00384E35"/>
    <w:rsid w:val="00386FB3"/>
    <w:rsid w:val="0039134A"/>
    <w:rsid w:val="003929F4"/>
    <w:rsid w:val="00394BE6"/>
    <w:rsid w:val="003A21A2"/>
    <w:rsid w:val="003B644B"/>
    <w:rsid w:val="003C60F4"/>
    <w:rsid w:val="003D572A"/>
    <w:rsid w:val="003E5E8E"/>
    <w:rsid w:val="00407F59"/>
    <w:rsid w:val="00416B3C"/>
    <w:rsid w:val="0042444D"/>
    <w:rsid w:val="00425EC6"/>
    <w:rsid w:val="00431180"/>
    <w:rsid w:val="004377F3"/>
    <w:rsid w:val="0044359B"/>
    <w:rsid w:val="00455E95"/>
    <w:rsid w:val="00456F32"/>
    <w:rsid w:val="00462BC2"/>
    <w:rsid w:val="004762B3"/>
    <w:rsid w:val="00481552"/>
    <w:rsid w:val="004A2BDD"/>
    <w:rsid w:val="004B1742"/>
    <w:rsid w:val="004B2387"/>
    <w:rsid w:val="004B77EF"/>
    <w:rsid w:val="004D2E6A"/>
    <w:rsid w:val="004D601B"/>
    <w:rsid w:val="004E11BB"/>
    <w:rsid w:val="004E32C1"/>
    <w:rsid w:val="004E4FEC"/>
    <w:rsid w:val="004F208F"/>
    <w:rsid w:val="004F57B9"/>
    <w:rsid w:val="00500101"/>
    <w:rsid w:val="00504F49"/>
    <w:rsid w:val="005076EF"/>
    <w:rsid w:val="00516A2B"/>
    <w:rsid w:val="00516CBD"/>
    <w:rsid w:val="00536560"/>
    <w:rsid w:val="00543D94"/>
    <w:rsid w:val="00557A9E"/>
    <w:rsid w:val="005635E6"/>
    <w:rsid w:val="005636A2"/>
    <w:rsid w:val="00572096"/>
    <w:rsid w:val="00577929"/>
    <w:rsid w:val="00580433"/>
    <w:rsid w:val="00593411"/>
    <w:rsid w:val="00594A11"/>
    <w:rsid w:val="005A294C"/>
    <w:rsid w:val="005B0430"/>
    <w:rsid w:val="005C3F87"/>
    <w:rsid w:val="005E3CC6"/>
    <w:rsid w:val="006239ED"/>
    <w:rsid w:val="00626070"/>
    <w:rsid w:val="00630C24"/>
    <w:rsid w:val="00635D38"/>
    <w:rsid w:val="00656B94"/>
    <w:rsid w:val="006649C3"/>
    <w:rsid w:val="006729F8"/>
    <w:rsid w:val="00681D2E"/>
    <w:rsid w:val="006826DF"/>
    <w:rsid w:val="006836D1"/>
    <w:rsid w:val="0069437B"/>
    <w:rsid w:val="006B4B14"/>
    <w:rsid w:val="006C141E"/>
    <w:rsid w:val="006D72E2"/>
    <w:rsid w:val="006D7895"/>
    <w:rsid w:val="006E5F18"/>
    <w:rsid w:val="006E7AB8"/>
    <w:rsid w:val="006F40E2"/>
    <w:rsid w:val="00706842"/>
    <w:rsid w:val="00713F28"/>
    <w:rsid w:val="00715080"/>
    <w:rsid w:val="0071594E"/>
    <w:rsid w:val="00737153"/>
    <w:rsid w:val="00741B5C"/>
    <w:rsid w:val="00750A3C"/>
    <w:rsid w:val="00752259"/>
    <w:rsid w:val="00756FBA"/>
    <w:rsid w:val="0076556C"/>
    <w:rsid w:val="00771831"/>
    <w:rsid w:val="00773827"/>
    <w:rsid w:val="00777CC7"/>
    <w:rsid w:val="007958BD"/>
    <w:rsid w:val="007A7ED3"/>
    <w:rsid w:val="007B2620"/>
    <w:rsid w:val="007C6389"/>
    <w:rsid w:val="007D25DC"/>
    <w:rsid w:val="007D4AAA"/>
    <w:rsid w:val="007D7778"/>
    <w:rsid w:val="007E667C"/>
    <w:rsid w:val="007E68AF"/>
    <w:rsid w:val="007E7A50"/>
    <w:rsid w:val="007F5711"/>
    <w:rsid w:val="00815F7E"/>
    <w:rsid w:val="00840241"/>
    <w:rsid w:val="00846117"/>
    <w:rsid w:val="00855B0D"/>
    <w:rsid w:val="008621D6"/>
    <w:rsid w:val="008630F1"/>
    <w:rsid w:val="0086487E"/>
    <w:rsid w:val="008706B4"/>
    <w:rsid w:val="008706CC"/>
    <w:rsid w:val="008750F2"/>
    <w:rsid w:val="008A6142"/>
    <w:rsid w:val="008A7170"/>
    <w:rsid w:val="008B17AE"/>
    <w:rsid w:val="008B27B2"/>
    <w:rsid w:val="008B7E01"/>
    <w:rsid w:val="008D0685"/>
    <w:rsid w:val="008D1B5E"/>
    <w:rsid w:val="008D4ACB"/>
    <w:rsid w:val="008E0155"/>
    <w:rsid w:val="008E0ECD"/>
    <w:rsid w:val="008F08C2"/>
    <w:rsid w:val="008F523F"/>
    <w:rsid w:val="0092179A"/>
    <w:rsid w:val="00923CC0"/>
    <w:rsid w:val="00923F88"/>
    <w:rsid w:val="00924F65"/>
    <w:rsid w:val="00925458"/>
    <w:rsid w:val="00930618"/>
    <w:rsid w:val="009314D2"/>
    <w:rsid w:val="00940D1E"/>
    <w:rsid w:val="009412F2"/>
    <w:rsid w:val="00942F3F"/>
    <w:rsid w:val="00957713"/>
    <w:rsid w:val="00965A0B"/>
    <w:rsid w:val="00967C12"/>
    <w:rsid w:val="0097269C"/>
    <w:rsid w:val="00982F9A"/>
    <w:rsid w:val="00990450"/>
    <w:rsid w:val="009969CA"/>
    <w:rsid w:val="009A6E59"/>
    <w:rsid w:val="009D3B21"/>
    <w:rsid w:val="009D7C24"/>
    <w:rsid w:val="009E2FEC"/>
    <w:rsid w:val="009E4814"/>
    <w:rsid w:val="009E68BE"/>
    <w:rsid w:val="009F7E3C"/>
    <w:rsid w:val="00A0659E"/>
    <w:rsid w:val="00A116B0"/>
    <w:rsid w:val="00A2003B"/>
    <w:rsid w:val="00A23AFB"/>
    <w:rsid w:val="00A374FD"/>
    <w:rsid w:val="00A542A2"/>
    <w:rsid w:val="00A616B4"/>
    <w:rsid w:val="00A817C4"/>
    <w:rsid w:val="00A917BB"/>
    <w:rsid w:val="00A9415E"/>
    <w:rsid w:val="00AC23B3"/>
    <w:rsid w:val="00AC5267"/>
    <w:rsid w:val="00AC6902"/>
    <w:rsid w:val="00AD2EAE"/>
    <w:rsid w:val="00AD4961"/>
    <w:rsid w:val="00AE0C8B"/>
    <w:rsid w:val="00AE6A85"/>
    <w:rsid w:val="00AF44B6"/>
    <w:rsid w:val="00B016AF"/>
    <w:rsid w:val="00B10CEE"/>
    <w:rsid w:val="00B126DC"/>
    <w:rsid w:val="00B27058"/>
    <w:rsid w:val="00B43808"/>
    <w:rsid w:val="00B51123"/>
    <w:rsid w:val="00B746D4"/>
    <w:rsid w:val="00B81782"/>
    <w:rsid w:val="00B8213A"/>
    <w:rsid w:val="00B92A37"/>
    <w:rsid w:val="00B9311D"/>
    <w:rsid w:val="00BA1FAA"/>
    <w:rsid w:val="00BA795D"/>
    <w:rsid w:val="00BB3DEB"/>
    <w:rsid w:val="00BB4646"/>
    <w:rsid w:val="00BC4725"/>
    <w:rsid w:val="00BD3A9A"/>
    <w:rsid w:val="00BD7EC6"/>
    <w:rsid w:val="00BE2F53"/>
    <w:rsid w:val="00BE4A99"/>
    <w:rsid w:val="00BF20A1"/>
    <w:rsid w:val="00BF4A42"/>
    <w:rsid w:val="00BF5EA4"/>
    <w:rsid w:val="00C12032"/>
    <w:rsid w:val="00C13B68"/>
    <w:rsid w:val="00C15137"/>
    <w:rsid w:val="00C16543"/>
    <w:rsid w:val="00C21E9B"/>
    <w:rsid w:val="00C22C9A"/>
    <w:rsid w:val="00C250B6"/>
    <w:rsid w:val="00C330A1"/>
    <w:rsid w:val="00C34D21"/>
    <w:rsid w:val="00C4439D"/>
    <w:rsid w:val="00C50E0B"/>
    <w:rsid w:val="00C61C21"/>
    <w:rsid w:val="00C75426"/>
    <w:rsid w:val="00C77047"/>
    <w:rsid w:val="00C862BF"/>
    <w:rsid w:val="00CA6A88"/>
    <w:rsid w:val="00CB1B0E"/>
    <w:rsid w:val="00CB3C4C"/>
    <w:rsid w:val="00CE19DA"/>
    <w:rsid w:val="00CE236D"/>
    <w:rsid w:val="00CF2522"/>
    <w:rsid w:val="00D12C7D"/>
    <w:rsid w:val="00D13C04"/>
    <w:rsid w:val="00D166D9"/>
    <w:rsid w:val="00D2079D"/>
    <w:rsid w:val="00D21E25"/>
    <w:rsid w:val="00D27F77"/>
    <w:rsid w:val="00D31A4F"/>
    <w:rsid w:val="00D327B4"/>
    <w:rsid w:val="00D348CD"/>
    <w:rsid w:val="00D51C7C"/>
    <w:rsid w:val="00D67632"/>
    <w:rsid w:val="00D92E03"/>
    <w:rsid w:val="00D95DBF"/>
    <w:rsid w:val="00DA0606"/>
    <w:rsid w:val="00DA1029"/>
    <w:rsid w:val="00DA696B"/>
    <w:rsid w:val="00DC052C"/>
    <w:rsid w:val="00DC0B77"/>
    <w:rsid w:val="00DC2A43"/>
    <w:rsid w:val="00DD4105"/>
    <w:rsid w:val="00DF1580"/>
    <w:rsid w:val="00DF236A"/>
    <w:rsid w:val="00E058C9"/>
    <w:rsid w:val="00E10183"/>
    <w:rsid w:val="00E1366A"/>
    <w:rsid w:val="00E13E68"/>
    <w:rsid w:val="00E16AC6"/>
    <w:rsid w:val="00E16FBB"/>
    <w:rsid w:val="00E27CF4"/>
    <w:rsid w:val="00E41AC2"/>
    <w:rsid w:val="00E52C27"/>
    <w:rsid w:val="00E535E5"/>
    <w:rsid w:val="00E62041"/>
    <w:rsid w:val="00E63ACB"/>
    <w:rsid w:val="00E67047"/>
    <w:rsid w:val="00E75025"/>
    <w:rsid w:val="00E768E6"/>
    <w:rsid w:val="00E81679"/>
    <w:rsid w:val="00E873F8"/>
    <w:rsid w:val="00E91DEC"/>
    <w:rsid w:val="00E96E61"/>
    <w:rsid w:val="00EA030C"/>
    <w:rsid w:val="00EA3719"/>
    <w:rsid w:val="00EE0ACA"/>
    <w:rsid w:val="00EE4619"/>
    <w:rsid w:val="00EF542F"/>
    <w:rsid w:val="00F50133"/>
    <w:rsid w:val="00F5021E"/>
    <w:rsid w:val="00F50446"/>
    <w:rsid w:val="00F53E4C"/>
    <w:rsid w:val="00F67564"/>
    <w:rsid w:val="00F73C38"/>
    <w:rsid w:val="00F775F4"/>
    <w:rsid w:val="00F816A8"/>
    <w:rsid w:val="00F84098"/>
    <w:rsid w:val="00F86F3F"/>
    <w:rsid w:val="00F967D3"/>
    <w:rsid w:val="00FA73A4"/>
    <w:rsid w:val="00FB6EBF"/>
    <w:rsid w:val="00FE4E35"/>
    <w:rsid w:val="00FF0FE5"/>
    <w:rsid w:val="00FF2FBA"/>
    <w:rsid w:val="00FF62D0"/>
    <w:rsid w:val="1887252D"/>
    <w:rsid w:val="26FB846D"/>
    <w:rsid w:val="2B2896C9"/>
    <w:rsid w:val="32A407DA"/>
    <w:rsid w:val="6375C54E"/>
    <w:rsid w:val="7D7EA46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25D54D4"/>
  <w15:chartTrackingRefBased/>
  <w15:docId w15:val="{DE236E6D-05C7-4F79-835F-CFD2E67E1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Bold" w:hAnsi="Times New Roman Bold" w:eastAsiaTheme="minorHAnsi" w:cs="Times New Roman"/>
        <w:b/>
        <w:snapToGrid w:val="0"/>
        <w:sz w:val="22"/>
        <w:szCs w:val="22"/>
        <w:lang w:val="en-US" w:eastAsia="en-US" w:bidi="ar-SA"/>
      </w:rPr>
    </w:rPrDefault>
    <w:pPrDefault/>
  </w:docDefaults>
  <w:latentStyles w:defLockedState="0" w:defUIPriority="99" w:defSemiHidden="0" w:defUnhideWhenUsed="0" w:defQFormat="0" w:count="376">
    <w:lsdException w:name="Normal" w:uiPriority="3"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8" w:unhideWhenUsed="1" w:qFormat="1"/>
    <w:lsdException w:name="heading 7" w:semiHidden="1" w:uiPriority="98" w:unhideWhenUsed="1" w:qFormat="1"/>
    <w:lsdException w:name="heading 8" w:semiHidden="1" w:uiPriority="98" w:unhideWhenUsed="1" w:qFormat="1"/>
    <w:lsdException w:name="heading 9" w:semiHidden="1" w:uiPriority="98"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qFormat="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0"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7E3C"/>
    <w:rPr>
      <w:rFonts w:ascii="Times New Roman" w:hAnsi="Times New Roman"/>
      <w:b w:val="0"/>
    </w:rPr>
  </w:style>
  <w:style w:type="paragraph" w:styleId="Heading1">
    <w:name w:val="heading 1"/>
    <w:basedOn w:val="Normal"/>
    <w:next w:val="ParaNum"/>
    <w:link w:val="Heading1Char"/>
    <w:qFormat/>
    <w:rsid w:val="00594A11"/>
    <w:pPr>
      <w:keepNext/>
      <w:numPr>
        <w:numId w:val="43"/>
      </w:numPr>
      <w:suppressAutoHyphens/>
      <w:spacing w:after="120"/>
      <w:outlineLvl w:val="0"/>
    </w:pPr>
    <w:rPr>
      <w:rFonts w:ascii="Times New Roman Bold" w:eastAsia="Times New Roman" w:hAnsi="Times New Roman Bold"/>
      <w:b/>
      <w:caps/>
      <w:kern w:val="28"/>
      <w:szCs w:val="20"/>
    </w:rPr>
  </w:style>
  <w:style w:type="paragraph" w:styleId="Heading2">
    <w:name w:val="heading 2"/>
    <w:basedOn w:val="Normal"/>
    <w:next w:val="ParaNum"/>
    <w:link w:val="Heading2Char"/>
    <w:qFormat/>
    <w:rsid w:val="00594A11"/>
    <w:pPr>
      <w:keepNext/>
      <w:numPr>
        <w:ilvl w:val="1"/>
        <w:numId w:val="43"/>
      </w:numPr>
      <w:spacing w:after="120"/>
      <w:outlineLvl w:val="1"/>
    </w:pPr>
    <w:rPr>
      <w:b/>
    </w:rPr>
  </w:style>
  <w:style w:type="paragraph" w:styleId="Heading3">
    <w:name w:val="heading 3"/>
    <w:basedOn w:val="Normal"/>
    <w:next w:val="ParaNum"/>
    <w:link w:val="Heading3Char"/>
    <w:qFormat/>
    <w:rsid w:val="00594A11"/>
    <w:pPr>
      <w:numPr>
        <w:ilvl w:val="2"/>
        <w:numId w:val="43"/>
      </w:numPr>
      <w:tabs>
        <w:tab w:val="left" w:pos="2160"/>
      </w:tabs>
      <w:spacing w:after="120"/>
      <w:outlineLvl w:val="2"/>
    </w:pPr>
    <w:rPr>
      <w:b/>
    </w:rPr>
  </w:style>
  <w:style w:type="paragraph" w:styleId="Heading4">
    <w:name w:val="heading 4"/>
    <w:basedOn w:val="Normal"/>
    <w:next w:val="ParaNum"/>
    <w:link w:val="Heading4Char"/>
    <w:autoRedefine/>
    <w:qFormat/>
    <w:rsid w:val="00594A11"/>
    <w:pPr>
      <w:numPr>
        <w:ilvl w:val="3"/>
        <w:numId w:val="43"/>
      </w:numPr>
      <w:tabs>
        <w:tab w:val="left" w:pos="2880"/>
      </w:tabs>
      <w:spacing w:after="120"/>
      <w:outlineLvl w:val="3"/>
    </w:pPr>
    <w:rPr>
      <w:b/>
    </w:rPr>
  </w:style>
  <w:style w:type="paragraph" w:styleId="Heading5">
    <w:name w:val="heading 5"/>
    <w:basedOn w:val="Normal"/>
    <w:next w:val="ParaNum"/>
    <w:link w:val="Heading5Char"/>
    <w:autoRedefine/>
    <w:qFormat/>
    <w:rsid w:val="00594A11"/>
    <w:pPr>
      <w:numPr>
        <w:ilvl w:val="4"/>
        <w:numId w:val="43"/>
      </w:numPr>
      <w:tabs>
        <w:tab w:val="left" w:pos="3600"/>
      </w:tabs>
      <w:suppressAutoHyphens/>
      <w:spacing w:after="120"/>
      <w:outlineLvl w:val="4"/>
    </w:pPr>
    <w:rPr>
      <w:b/>
    </w:rPr>
  </w:style>
  <w:style w:type="paragraph" w:styleId="Heading6">
    <w:name w:val="heading 6"/>
    <w:basedOn w:val="Normal"/>
    <w:next w:val="ParaNum"/>
    <w:link w:val="Heading6Char"/>
    <w:autoRedefine/>
    <w:uiPriority w:val="95"/>
    <w:qFormat/>
    <w:rsid w:val="00594A11"/>
    <w:pPr>
      <w:numPr>
        <w:ilvl w:val="5"/>
        <w:numId w:val="43"/>
      </w:numPr>
      <w:tabs>
        <w:tab w:val="left" w:pos="4320"/>
      </w:tabs>
      <w:spacing w:after="120"/>
      <w:outlineLvl w:val="5"/>
    </w:pPr>
    <w:rPr>
      <w:b/>
    </w:rPr>
  </w:style>
  <w:style w:type="paragraph" w:styleId="Heading7">
    <w:name w:val="heading 7"/>
    <w:basedOn w:val="Normal"/>
    <w:next w:val="ParaNum"/>
    <w:link w:val="Heading7Char"/>
    <w:autoRedefine/>
    <w:uiPriority w:val="95"/>
    <w:qFormat/>
    <w:rsid w:val="00594A11"/>
    <w:pPr>
      <w:numPr>
        <w:ilvl w:val="6"/>
        <w:numId w:val="43"/>
      </w:numPr>
      <w:tabs>
        <w:tab w:val="left" w:pos="5040"/>
      </w:tabs>
      <w:spacing w:after="120"/>
      <w:outlineLvl w:val="6"/>
    </w:pPr>
    <w:rPr>
      <w:b/>
    </w:rPr>
  </w:style>
  <w:style w:type="paragraph" w:styleId="Heading8">
    <w:name w:val="heading 8"/>
    <w:basedOn w:val="Normal"/>
    <w:next w:val="ParaNum"/>
    <w:link w:val="Heading8Char"/>
    <w:autoRedefine/>
    <w:uiPriority w:val="95"/>
    <w:qFormat/>
    <w:rsid w:val="00594A11"/>
    <w:pPr>
      <w:numPr>
        <w:ilvl w:val="7"/>
        <w:numId w:val="43"/>
      </w:numPr>
      <w:tabs>
        <w:tab w:val="left" w:pos="5760"/>
      </w:tabs>
      <w:spacing w:after="120"/>
      <w:outlineLvl w:val="7"/>
    </w:pPr>
    <w:rPr>
      <w:b/>
    </w:rPr>
  </w:style>
  <w:style w:type="paragraph" w:styleId="Heading9">
    <w:name w:val="heading 9"/>
    <w:basedOn w:val="Normal"/>
    <w:next w:val="Normal"/>
    <w:link w:val="Heading9Char"/>
    <w:uiPriority w:val="95"/>
    <w:qFormat/>
    <w:rsid w:val="00594A11"/>
    <w:pPr>
      <w:numPr>
        <w:ilvl w:val="8"/>
        <w:numId w:val="43"/>
      </w:numPr>
      <w:tabs>
        <w:tab w:val="left" w:pos="6480"/>
      </w:tabs>
      <w:spacing w:after="1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uiPriority w:val="99"/>
    <w:semiHidden/>
    <w:rsid w:val="00AF44B6"/>
    <w:rPr>
      <w:rFonts w:ascii="Calibri" w:hAnsi="Calibri"/>
    </w:rPr>
  </w:style>
  <w:style w:type="paragraph" w:customStyle="1" w:styleId="TitleCenteredBold">
    <w:name w:val="Title Centered Bold"/>
    <w:basedOn w:val="Normal"/>
    <w:next w:val="Normal"/>
    <w:uiPriority w:val="99"/>
    <w:semiHidden/>
    <w:rsid w:val="00AF44B6"/>
    <w:pPr>
      <w:suppressAutoHyphens/>
      <w:jc w:val="center"/>
    </w:pPr>
    <w:rPr>
      <w:b/>
    </w:rPr>
  </w:style>
  <w:style w:type="paragraph" w:styleId="Header">
    <w:name w:val="header"/>
    <w:basedOn w:val="Normal"/>
    <w:link w:val="HeaderChar"/>
    <w:uiPriority w:val="99"/>
    <w:unhideWhenUsed/>
    <w:rsid w:val="003064A1"/>
    <w:pPr>
      <w:tabs>
        <w:tab w:val="center" w:pos="4680"/>
        <w:tab w:val="right" w:pos="9360"/>
      </w:tabs>
    </w:pPr>
  </w:style>
  <w:style w:type="numbering" w:customStyle="1" w:styleId="Appendices">
    <w:name w:val="Appendices"/>
    <w:uiPriority w:val="99"/>
    <w:rsid w:val="00F73C38"/>
    <w:pPr>
      <w:numPr>
        <w:numId w:val="1"/>
      </w:numPr>
    </w:pPr>
  </w:style>
  <w:style w:type="paragraph" w:customStyle="1" w:styleId="TitleCAPSCenteredBold">
    <w:name w:val="Title CAPS Centered Bold"/>
    <w:basedOn w:val="TitleCenteredBold"/>
    <w:next w:val="Normal"/>
    <w:uiPriority w:val="96"/>
    <w:qFormat/>
    <w:rsid w:val="00AF44B6"/>
    <w:rPr>
      <w:caps/>
    </w:rPr>
  </w:style>
  <w:style w:type="paragraph" w:customStyle="1" w:styleId="Appendix">
    <w:name w:val="Appendix"/>
    <w:basedOn w:val="TitleCAPSCenteredBold"/>
    <w:next w:val="NormalIndent"/>
    <w:qFormat/>
    <w:rsid w:val="00CF2522"/>
    <w:pPr>
      <w:spacing w:after="120"/>
    </w:pPr>
  </w:style>
  <w:style w:type="paragraph" w:styleId="NormalIndent">
    <w:name w:val="Normal Indent"/>
    <w:basedOn w:val="Normal"/>
    <w:qFormat/>
    <w:rsid w:val="00431180"/>
    <w:pPr>
      <w:spacing w:after="120"/>
      <w:ind w:firstLine="720"/>
    </w:pPr>
  </w:style>
  <w:style w:type="paragraph" w:customStyle="1" w:styleId="TitleCenteredCapsBoldUnderline">
    <w:name w:val="Title Centered Caps Bold Underline"/>
    <w:basedOn w:val="Normal"/>
    <w:next w:val="Normal"/>
    <w:uiPriority w:val="99"/>
    <w:semiHidden/>
    <w:qFormat/>
    <w:rsid w:val="00AF44B6"/>
    <w:pPr>
      <w:jc w:val="center"/>
    </w:pPr>
    <w:rPr>
      <w:rFonts w:eastAsia="Calibri"/>
      <w:b/>
      <w:bCs/>
      <w:caps/>
      <w:snapToGrid/>
      <w:u w:val="single"/>
    </w:rPr>
  </w:style>
  <w:style w:type="paragraph" w:customStyle="1" w:styleId="Attachment">
    <w:name w:val="Attachment"/>
    <w:basedOn w:val="TitleCenteredCapsBoldUnderline"/>
    <w:next w:val="Normal"/>
    <w:uiPriority w:val="99"/>
    <w:semiHidden/>
    <w:qFormat/>
    <w:rsid w:val="00C4439D"/>
    <w:pPr>
      <w:numPr>
        <w:numId w:val="10"/>
      </w:numPr>
    </w:pPr>
    <w:rPr>
      <w:u w:val="none"/>
    </w:rPr>
  </w:style>
  <w:style w:type="character" w:styleId="CommentReference">
    <w:name w:val="annotation reference"/>
    <w:uiPriority w:val="99"/>
    <w:semiHidden/>
    <w:rsid w:val="00AF44B6"/>
    <w:rPr>
      <w:sz w:val="16"/>
      <w:szCs w:val="16"/>
    </w:rPr>
  </w:style>
  <w:style w:type="paragraph" w:styleId="CommentText">
    <w:name w:val="annotation text"/>
    <w:basedOn w:val="Normal"/>
    <w:link w:val="CommentTextChar"/>
    <w:uiPriority w:val="99"/>
    <w:semiHidden/>
    <w:rsid w:val="00AF44B6"/>
    <w:rPr>
      <w:sz w:val="20"/>
    </w:rPr>
  </w:style>
  <w:style w:type="character" w:customStyle="1" w:styleId="CommentTextChar">
    <w:name w:val="Comment Text Char"/>
    <w:link w:val="CommentText"/>
    <w:uiPriority w:val="99"/>
    <w:semiHidden/>
    <w:rsid w:val="00AF44B6"/>
    <w:rPr>
      <w:rFonts w:ascii="Calibri" w:eastAsia="Times New Roman" w:hAnsi="Calibri"/>
      <w:snapToGrid/>
      <w:kern w:val="28"/>
    </w:rPr>
  </w:style>
  <w:style w:type="paragraph" w:styleId="CommentSubject">
    <w:name w:val="annotation subject"/>
    <w:basedOn w:val="CommentText"/>
    <w:next w:val="CommentText"/>
    <w:link w:val="CommentSubjectChar"/>
    <w:uiPriority w:val="99"/>
    <w:semiHidden/>
    <w:rsid w:val="00AF44B6"/>
    <w:rPr>
      <w:b/>
      <w:bCs/>
    </w:rPr>
  </w:style>
  <w:style w:type="character" w:customStyle="1" w:styleId="CommentSubjectChar">
    <w:name w:val="Comment Subject Char"/>
    <w:link w:val="CommentSubject"/>
    <w:uiPriority w:val="99"/>
    <w:semiHidden/>
    <w:rsid w:val="00AF44B6"/>
    <w:rPr>
      <w:rFonts w:ascii="Calibri" w:eastAsia="Times New Roman" w:hAnsi="Calibri"/>
      <w:b w:val="0"/>
      <w:bCs/>
      <w:snapToGrid/>
      <w:kern w:val="28"/>
    </w:rPr>
  </w:style>
  <w:style w:type="character" w:customStyle="1" w:styleId="HeaderChar">
    <w:name w:val="Header Char"/>
    <w:basedOn w:val="DefaultParagraphFont"/>
    <w:link w:val="Header"/>
    <w:uiPriority w:val="99"/>
    <w:rsid w:val="003064A1"/>
    <w:rPr>
      <w:rFonts w:ascii="Calibri" w:eastAsia="Times New Roman" w:hAnsi="Calibri"/>
      <w:snapToGrid/>
      <w:kern w:val="28"/>
      <w:sz w:val="22"/>
    </w:rPr>
  </w:style>
  <w:style w:type="character" w:styleId="EndnoteReference">
    <w:name w:val="endnote reference"/>
    <w:semiHidden/>
    <w:rsid w:val="00AF44B6"/>
    <w:rPr>
      <w:vertAlign w:val="superscript"/>
    </w:rPr>
  </w:style>
  <w:style w:type="paragraph" w:styleId="EndnoteText">
    <w:name w:val="endnote text"/>
    <w:basedOn w:val="Normal"/>
    <w:link w:val="EndnoteTextChar"/>
    <w:semiHidden/>
    <w:rsid w:val="00AF44B6"/>
    <w:rPr>
      <w:sz w:val="20"/>
    </w:rPr>
  </w:style>
  <w:style w:type="character" w:customStyle="1" w:styleId="EndnoteTextChar">
    <w:name w:val="Endnote Text Char"/>
    <w:basedOn w:val="DefaultParagraphFont"/>
    <w:link w:val="EndnoteText"/>
    <w:semiHidden/>
    <w:rsid w:val="00AF44B6"/>
    <w:rPr>
      <w:rFonts w:ascii="Calibri" w:eastAsia="Times New Roman" w:hAnsi="Calibri"/>
      <w:snapToGrid/>
      <w:kern w:val="28"/>
    </w:rPr>
  </w:style>
  <w:style w:type="paragraph" w:styleId="Footer">
    <w:name w:val="footer"/>
    <w:basedOn w:val="Normal"/>
    <w:link w:val="FooterChar"/>
    <w:uiPriority w:val="99"/>
    <w:rsid w:val="00AF44B6"/>
    <w:pPr>
      <w:jc w:val="center"/>
    </w:pPr>
  </w:style>
  <w:style w:type="character" w:customStyle="1" w:styleId="FooterChar">
    <w:name w:val="Footer Char"/>
    <w:link w:val="Footer"/>
    <w:uiPriority w:val="99"/>
    <w:rsid w:val="00AF44B6"/>
    <w:rPr>
      <w:rFonts w:ascii="Calibri" w:eastAsia="Times New Roman" w:hAnsi="Calibri"/>
      <w:snapToGrid/>
      <w:kern w:val="28"/>
      <w:sz w:val="22"/>
    </w:rPr>
  </w:style>
  <w:style w:type="character" w:styleId="FootnoteReference">
    <w:name w:val="footnote reference"/>
    <w:aliases w:val="(NECG) Footnote Reference,-E Funotenzeichen,A,Appel note de bas de p,FR,Footnote Reference/,Footnote Reference1,Ref,Style 1,Style 12,Style 124,Style 13,Style 17,Style 20,Style 34,Style 4,Style 6,Style 7,Style 9,callout,fr,o"/>
    <w:rsid w:val="006649C3"/>
    <w:rPr>
      <w:rFonts w:ascii="Times New Roman" w:hAnsi="Times New Roman"/>
      <w:dstrike w:val="0"/>
      <w:color w:val="auto"/>
      <w:sz w:val="20"/>
      <w:vertAlign w:val="superscript"/>
    </w:rPr>
  </w:style>
  <w:style w:type="character" w:customStyle="1" w:styleId="FootnoteReferenceNECG">
    <w:name w:val="Footnote Reference(NECG)"/>
    <w:uiPriority w:val="99"/>
    <w:semiHidden/>
    <w:rsid w:val="006649C3"/>
    <w:rPr>
      <w:rFonts w:ascii="Times New Roman" w:hAnsi="Times New Roman"/>
      <w:dstrike w:val="0"/>
      <w:color w:val="auto"/>
      <w:sz w:val="20"/>
      <w:vertAlign w:val="superscript"/>
    </w:rPr>
  </w:style>
  <w:style w:type="paragraph" w:styleId="FootnoteText">
    <w:name w:val="footnote text"/>
    <w:aliases w:val="ALTS FOOTNOTE,Footnote Text Ch,Footnote Text Char Char,Footnote Text Char Char Char1 Char Char Char,Footnote Text Char Char1 Char Char,Footnote Text Char1 Char Char1,Footnote Text Char2,Footnote Text Char3 Char Char Char Char,fn,rrfootnote"/>
    <w:basedOn w:val="Normal"/>
    <w:link w:val="FootnoteTextChar"/>
    <w:rsid w:val="00BD7EC6"/>
    <w:pPr>
      <w:spacing w:after="120"/>
    </w:pPr>
    <w:rPr>
      <w:sz w:val="20"/>
    </w:rPr>
  </w:style>
  <w:style w:type="character" w:customStyle="1" w:styleId="FootnoteTextChar">
    <w:name w:val="Footnote Text Char"/>
    <w:aliases w:val="ALTS FOOTNOTE Char,Footnote Text Ch Char,Footnote Text Char Char Char,Footnote Text Char Char Char1 Char Char Char Char,Footnote Text Char Char1 Char Char Char,Footnote Text Char1 Char Char1 Char,Footnote Text Char2 Char,fn Char"/>
    <w:link w:val="FootnoteText"/>
    <w:rsid w:val="00BD7EC6"/>
    <w:rPr>
      <w:rFonts w:ascii="Times New Roman" w:hAnsi="Times New Roman"/>
      <w:b w:val="0"/>
      <w:sz w:val="20"/>
    </w:rPr>
  </w:style>
  <w:style w:type="paragraph" w:customStyle="1" w:styleId="FootnoteTextFCC">
    <w:name w:val="Footnote Text FCC"/>
    <w:basedOn w:val="Normal"/>
    <w:uiPriority w:val="99"/>
    <w:semiHidden/>
    <w:rsid w:val="006649C3"/>
    <w:rPr>
      <w:sz w:val="20"/>
    </w:rPr>
  </w:style>
  <w:style w:type="character" w:customStyle="1" w:styleId="Heading1Char">
    <w:name w:val="Heading 1 Char"/>
    <w:basedOn w:val="DefaultParagraphFont"/>
    <w:link w:val="Heading1"/>
    <w:rsid w:val="00594A11"/>
    <w:rPr>
      <w:rFonts w:eastAsia="Times New Roman"/>
      <w:caps/>
      <w:kern w:val="28"/>
      <w:szCs w:val="20"/>
    </w:rPr>
  </w:style>
  <w:style w:type="character" w:customStyle="1" w:styleId="Heading2Char">
    <w:name w:val="Heading 2 Char"/>
    <w:basedOn w:val="DefaultParagraphFont"/>
    <w:link w:val="Heading2"/>
    <w:rsid w:val="00594A11"/>
    <w:rPr>
      <w:rFonts w:ascii="Times New Roman" w:hAnsi="Times New Roman"/>
    </w:rPr>
  </w:style>
  <w:style w:type="character" w:customStyle="1" w:styleId="Heading3Char">
    <w:name w:val="Heading 3 Char"/>
    <w:basedOn w:val="DefaultParagraphFont"/>
    <w:link w:val="Heading3"/>
    <w:rsid w:val="00594A11"/>
    <w:rPr>
      <w:rFonts w:ascii="Times New Roman" w:hAnsi="Times New Roman"/>
    </w:rPr>
  </w:style>
  <w:style w:type="character" w:customStyle="1" w:styleId="Heading4Char">
    <w:name w:val="Heading 4 Char"/>
    <w:basedOn w:val="DefaultParagraphFont"/>
    <w:link w:val="Heading4"/>
    <w:rsid w:val="00594A11"/>
    <w:rPr>
      <w:rFonts w:ascii="Times New Roman" w:hAnsi="Times New Roman"/>
    </w:rPr>
  </w:style>
  <w:style w:type="character" w:customStyle="1" w:styleId="Heading5Char">
    <w:name w:val="Heading 5 Char"/>
    <w:basedOn w:val="DefaultParagraphFont"/>
    <w:link w:val="Heading5"/>
    <w:rsid w:val="00594A11"/>
    <w:rPr>
      <w:rFonts w:ascii="Times New Roman" w:hAnsi="Times New Roman"/>
    </w:rPr>
  </w:style>
  <w:style w:type="character" w:customStyle="1" w:styleId="Heading6Char">
    <w:name w:val="Heading 6 Char"/>
    <w:basedOn w:val="DefaultParagraphFont"/>
    <w:link w:val="Heading6"/>
    <w:uiPriority w:val="95"/>
    <w:rsid w:val="00594A11"/>
    <w:rPr>
      <w:rFonts w:ascii="Times New Roman" w:hAnsi="Times New Roman"/>
    </w:rPr>
  </w:style>
  <w:style w:type="character" w:customStyle="1" w:styleId="Heading7Char">
    <w:name w:val="Heading 7 Char"/>
    <w:basedOn w:val="DefaultParagraphFont"/>
    <w:link w:val="Heading7"/>
    <w:uiPriority w:val="95"/>
    <w:rsid w:val="00594A11"/>
    <w:rPr>
      <w:rFonts w:ascii="Times New Roman" w:hAnsi="Times New Roman"/>
    </w:rPr>
  </w:style>
  <w:style w:type="character" w:customStyle="1" w:styleId="Heading8Char">
    <w:name w:val="Heading 8 Char"/>
    <w:basedOn w:val="DefaultParagraphFont"/>
    <w:link w:val="Heading8"/>
    <w:uiPriority w:val="95"/>
    <w:rsid w:val="00594A11"/>
    <w:rPr>
      <w:rFonts w:ascii="Times New Roman" w:hAnsi="Times New Roman"/>
    </w:rPr>
  </w:style>
  <w:style w:type="character" w:customStyle="1" w:styleId="Heading9Char">
    <w:name w:val="Heading 9 Char"/>
    <w:basedOn w:val="DefaultParagraphFont"/>
    <w:link w:val="Heading9"/>
    <w:uiPriority w:val="95"/>
    <w:rsid w:val="00594A11"/>
    <w:rPr>
      <w:rFonts w:ascii="Times New Roman" w:hAnsi="Times New Roman"/>
    </w:rPr>
  </w:style>
  <w:style w:type="character" w:styleId="Hyperlink">
    <w:name w:val="Hyperlink"/>
    <w:rsid w:val="00AF44B6"/>
    <w:rPr>
      <w:color w:val="0000FF"/>
      <w:u w:val="single"/>
    </w:rPr>
  </w:style>
  <w:style w:type="paragraph" w:customStyle="1" w:styleId="NormalTextIndent">
    <w:name w:val="Normal Text Indent"/>
    <w:basedOn w:val="Normal"/>
    <w:uiPriority w:val="3"/>
    <w:semiHidden/>
    <w:rsid w:val="00AF44B6"/>
    <w:pPr>
      <w:spacing w:after="220"/>
      <w:ind w:firstLine="720"/>
    </w:pPr>
  </w:style>
  <w:style w:type="paragraph" w:customStyle="1" w:styleId="NIBullet">
    <w:name w:val="NI Bullet"/>
    <w:basedOn w:val="NormalTextIndent"/>
    <w:uiPriority w:val="4"/>
    <w:qFormat/>
    <w:rsid w:val="00B10CEE"/>
    <w:pPr>
      <w:numPr>
        <w:numId w:val="17"/>
      </w:numPr>
      <w:spacing w:after="120"/>
      <w:jc w:val="both"/>
    </w:pPr>
  </w:style>
  <w:style w:type="paragraph" w:customStyle="1" w:styleId="NIBullet2">
    <w:name w:val="NI Bullet 2"/>
    <w:basedOn w:val="NIBullet"/>
    <w:uiPriority w:val="98"/>
    <w:rsid w:val="00B10CEE"/>
    <w:pPr>
      <w:numPr>
        <w:ilvl w:val="1"/>
      </w:numPr>
    </w:pPr>
  </w:style>
  <w:style w:type="paragraph" w:customStyle="1" w:styleId="NIBullet3">
    <w:name w:val="NI Bullet 3"/>
    <w:basedOn w:val="NIBullet"/>
    <w:uiPriority w:val="98"/>
    <w:rsid w:val="00B10CEE"/>
    <w:pPr>
      <w:numPr>
        <w:ilvl w:val="2"/>
      </w:numPr>
    </w:pPr>
  </w:style>
  <w:style w:type="paragraph" w:customStyle="1" w:styleId="NIBullet4">
    <w:name w:val="NI Bullet 4"/>
    <w:basedOn w:val="NIBullet"/>
    <w:uiPriority w:val="98"/>
    <w:unhideWhenUsed/>
    <w:rsid w:val="00B10CEE"/>
    <w:pPr>
      <w:numPr>
        <w:ilvl w:val="3"/>
      </w:numPr>
    </w:pPr>
  </w:style>
  <w:style w:type="paragraph" w:customStyle="1" w:styleId="NIBullet5">
    <w:name w:val="NI Bullet 5"/>
    <w:basedOn w:val="NIBullet4"/>
    <w:uiPriority w:val="98"/>
    <w:unhideWhenUsed/>
    <w:rsid w:val="00B10CEE"/>
    <w:pPr>
      <w:numPr>
        <w:ilvl w:val="4"/>
      </w:numPr>
    </w:pPr>
  </w:style>
  <w:style w:type="paragraph" w:customStyle="1" w:styleId="NIBullet6">
    <w:name w:val="NI Bullet 6"/>
    <w:basedOn w:val="NIBullet5"/>
    <w:uiPriority w:val="98"/>
    <w:unhideWhenUsed/>
    <w:rsid w:val="00B10CEE"/>
    <w:pPr>
      <w:numPr>
        <w:ilvl w:val="5"/>
      </w:numPr>
    </w:pPr>
  </w:style>
  <w:style w:type="paragraph" w:customStyle="1" w:styleId="NIBullet7">
    <w:name w:val="NI Bullet 7"/>
    <w:basedOn w:val="NIBullet6"/>
    <w:uiPriority w:val="98"/>
    <w:unhideWhenUsed/>
    <w:rsid w:val="00B10CEE"/>
    <w:pPr>
      <w:numPr>
        <w:ilvl w:val="6"/>
      </w:numPr>
    </w:pPr>
  </w:style>
  <w:style w:type="paragraph" w:customStyle="1" w:styleId="NIBullet8">
    <w:name w:val="NI Bullet 8"/>
    <w:basedOn w:val="NIBullet7"/>
    <w:uiPriority w:val="98"/>
    <w:unhideWhenUsed/>
    <w:rsid w:val="00B10CEE"/>
    <w:pPr>
      <w:numPr>
        <w:ilvl w:val="7"/>
      </w:numPr>
    </w:pPr>
  </w:style>
  <w:style w:type="paragraph" w:customStyle="1" w:styleId="NIBullet9">
    <w:name w:val="NI Bullet 9"/>
    <w:basedOn w:val="NIBullet8"/>
    <w:uiPriority w:val="98"/>
    <w:unhideWhenUsed/>
    <w:rsid w:val="00B10CEE"/>
    <w:pPr>
      <w:numPr>
        <w:ilvl w:val="8"/>
      </w:numPr>
    </w:pPr>
  </w:style>
  <w:style w:type="paragraph" w:customStyle="1" w:styleId="NIList">
    <w:name w:val="NI List"/>
    <w:basedOn w:val="NormalIndent"/>
    <w:uiPriority w:val="2"/>
    <w:rsid w:val="00B10CEE"/>
    <w:pPr>
      <w:numPr>
        <w:numId w:val="18"/>
      </w:numPr>
      <w:jc w:val="both"/>
    </w:pPr>
  </w:style>
  <w:style w:type="paragraph" w:customStyle="1" w:styleId="NIList2">
    <w:name w:val="NI List 2"/>
    <w:basedOn w:val="NIList"/>
    <w:uiPriority w:val="98"/>
    <w:rsid w:val="00B10CEE"/>
    <w:pPr>
      <w:numPr>
        <w:ilvl w:val="1"/>
      </w:numPr>
      <w:tabs>
        <w:tab w:val="left" w:pos="2250"/>
      </w:tabs>
    </w:pPr>
  </w:style>
  <w:style w:type="paragraph" w:customStyle="1" w:styleId="NIList3">
    <w:name w:val="NI List 3"/>
    <w:basedOn w:val="NIList"/>
    <w:uiPriority w:val="98"/>
    <w:rsid w:val="00B10CEE"/>
    <w:pPr>
      <w:numPr>
        <w:ilvl w:val="2"/>
      </w:numPr>
    </w:pPr>
  </w:style>
  <w:style w:type="paragraph" w:customStyle="1" w:styleId="NIList4">
    <w:name w:val="NI List 4"/>
    <w:basedOn w:val="NIList3"/>
    <w:uiPriority w:val="98"/>
    <w:unhideWhenUsed/>
    <w:rsid w:val="00B10CEE"/>
    <w:pPr>
      <w:numPr>
        <w:ilvl w:val="3"/>
      </w:numPr>
    </w:pPr>
  </w:style>
  <w:style w:type="paragraph" w:customStyle="1" w:styleId="NIList5">
    <w:name w:val="NI List 5"/>
    <w:basedOn w:val="NIList4"/>
    <w:uiPriority w:val="98"/>
    <w:unhideWhenUsed/>
    <w:rsid w:val="00B10CEE"/>
    <w:pPr>
      <w:numPr>
        <w:ilvl w:val="4"/>
      </w:numPr>
    </w:pPr>
  </w:style>
  <w:style w:type="paragraph" w:customStyle="1" w:styleId="NIList6">
    <w:name w:val="NI List 6"/>
    <w:basedOn w:val="NIList5"/>
    <w:uiPriority w:val="98"/>
    <w:unhideWhenUsed/>
    <w:rsid w:val="00B10CEE"/>
    <w:pPr>
      <w:numPr>
        <w:ilvl w:val="5"/>
      </w:numPr>
    </w:pPr>
  </w:style>
  <w:style w:type="paragraph" w:customStyle="1" w:styleId="NIList7">
    <w:name w:val="NI List 7"/>
    <w:basedOn w:val="NIList6"/>
    <w:uiPriority w:val="98"/>
    <w:unhideWhenUsed/>
    <w:rsid w:val="00B10CEE"/>
    <w:pPr>
      <w:numPr>
        <w:ilvl w:val="6"/>
      </w:numPr>
    </w:pPr>
  </w:style>
  <w:style w:type="paragraph" w:customStyle="1" w:styleId="NIList8">
    <w:name w:val="NI List 8"/>
    <w:basedOn w:val="NIList7"/>
    <w:uiPriority w:val="98"/>
    <w:unhideWhenUsed/>
    <w:rsid w:val="00B10CEE"/>
    <w:pPr>
      <w:numPr>
        <w:ilvl w:val="7"/>
      </w:numPr>
    </w:pPr>
  </w:style>
  <w:style w:type="paragraph" w:customStyle="1" w:styleId="NIList9">
    <w:name w:val="NI List 9"/>
    <w:basedOn w:val="NIList8"/>
    <w:uiPriority w:val="98"/>
    <w:unhideWhenUsed/>
    <w:rsid w:val="00B10CEE"/>
    <w:pPr>
      <w:numPr>
        <w:ilvl w:val="8"/>
      </w:numPr>
    </w:pPr>
  </w:style>
  <w:style w:type="paragraph" w:customStyle="1" w:styleId="NormalBold">
    <w:name w:val="Normal Bold"/>
    <w:basedOn w:val="Normal"/>
    <w:next w:val="Normal"/>
    <w:uiPriority w:val="1"/>
    <w:semiHidden/>
    <w:qFormat/>
    <w:rsid w:val="00AF44B6"/>
    <w:rPr>
      <w:b/>
    </w:rPr>
  </w:style>
  <w:style w:type="paragraph" w:customStyle="1" w:styleId="NormalCenteredBold">
    <w:name w:val="Normal Centered Bold"/>
    <w:basedOn w:val="Normal"/>
    <w:next w:val="Normal"/>
    <w:uiPriority w:val="1"/>
    <w:semiHidden/>
    <w:qFormat/>
    <w:rsid w:val="00AF44B6"/>
    <w:pPr>
      <w:jc w:val="center"/>
    </w:pPr>
    <w:rPr>
      <w:rFonts w:eastAsia="Calibri"/>
      <w:b/>
    </w:rPr>
  </w:style>
  <w:style w:type="character" w:styleId="PageNumber">
    <w:name w:val="page number"/>
    <w:uiPriority w:val="1"/>
    <w:semiHidden/>
    <w:rsid w:val="006649C3"/>
    <w:rPr>
      <w:rFonts w:ascii="Times New Roman" w:hAnsi="Times New Roman"/>
      <w:b/>
      <w:i w:val="0"/>
      <w:sz w:val="22"/>
    </w:rPr>
  </w:style>
  <w:style w:type="paragraph" w:customStyle="1" w:styleId="ParaText">
    <w:name w:val="Para Text"/>
    <w:basedOn w:val="Normal"/>
    <w:next w:val="Normal"/>
    <w:uiPriority w:val="99"/>
    <w:semiHidden/>
    <w:qFormat/>
    <w:rsid w:val="00AF44B6"/>
    <w:pPr>
      <w:ind w:left="720" w:right="720"/>
    </w:pPr>
  </w:style>
  <w:style w:type="paragraph" w:customStyle="1" w:styleId="ParaNum">
    <w:name w:val="ParaNum"/>
    <w:basedOn w:val="Normal"/>
    <w:link w:val="ParaNumChar"/>
    <w:qFormat/>
    <w:rsid w:val="00594A11"/>
    <w:pPr>
      <w:numPr>
        <w:numId w:val="38"/>
      </w:numPr>
      <w:spacing w:after="120"/>
    </w:pPr>
  </w:style>
  <w:style w:type="character" w:customStyle="1" w:styleId="ParaNumChar">
    <w:name w:val="ParaNum Char"/>
    <w:link w:val="ParaNum"/>
    <w:rsid w:val="00594A11"/>
    <w:rPr>
      <w:rFonts w:ascii="Times New Roman" w:hAnsi="Times New Roman"/>
      <w:b w:val="0"/>
    </w:rPr>
  </w:style>
  <w:style w:type="paragraph" w:customStyle="1" w:styleId="ParaNumBullet">
    <w:name w:val="ParaNum Bullet"/>
    <w:basedOn w:val="ParaNum"/>
    <w:uiPriority w:val="1"/>
    <w:qFormat/>
    <w:rsid w:val="00BD7EC6"/>
    <w:pPr>
      <w:numPr>
        <w:numId w:val="29"/>
      </w:numPr>
    </w:pPr>
  </w:style>
  <w:style w:type="paragraph" w:customStyle="1" w:styleId="ReferenceLine">
    <w:name w:val="Reference Line"/>
    <w:basedOn w:val="Normal"/>
    <w:next w:val="NormalIndent"/>
    <w:uiPriority w:val="96"/>
    <w:rsid w:val="00AF44B6"/>
  </w:style>
  <w:style w:type="paragraph" w:customStyle="1" w:styleId="SeparateStatementHeading">
    <w:name w:val="Separate Statement Heading"/>
    <w:basedOn w:val="TitleCAPSCenteredBold"/>
    <w:next w:val="Normal"/>
    <w:uiPriority w:val="96"/>
    <w:rsid w:val="00AF44B6"/>
  </w:style>
  <w:style w:type="paragraph" w:customStyle="1" w:styleId="SeparateStatementPosition">
    <w:name w:val="Separate Statement Position"/>
    <w:basedOn w:val="TitleCAPSCenteredBold"/>
    <w:next w:val="ReferenceLine"/>
    <w:uiPriority w:val="96"/>
    <w:qFormat/>
    <w:rsid w:val="00D13C04"/>
    <w:pPr>
      <w:spacing w:after="120"/>
    </w:pPr>
  </w:style>
  <w:style w:type="paragraph" w:customStyle="1" w:styleId="Signature-AgencyName">
    <w:name w:val="Signature - Agency Name"/>
    <w:basedOn w:val="Normal"/>
    <w:uiPriority w:val="95"/>
    <w:rsid w:val="00BB4646"/>
    <w:rPr>
      <w:rFonts w:eastAsia="Calibri"/>
      <w:caps/>
    </w:rPr>
  </w:style>
  <w:style w:type="paragraph" w:customStyle="1" w:styleId="SignatureFCC">
    <w:name w:val="Signature FCC"/>
    <w:basedOn w:val="Normal"/>
    <w:next w:val="Normal"/>
    <w:uiPriority w:val="99"/>
    <w:semiHidden/>
    <w:rsid w:val="00AF44B6"/>
    <w:pPr>
      <w:widowControl w:val="0"/>
      <w:ind w:left="4320"/>
    </w:pPr>
    <w:rPr>
      <w:caps/>
    </w:rPr>
  </w:style>
  <w:style w:type="paragraph" w:customStyle="1" w:styleId="SignatureLines">
    <w:name w:val="Signature Lines"/>
    <w:basedOn w:val="Normal"/>
    <w:uiPriority w:val="95"/>
    <w:rsid w:val="00F73C38"/>
    <w:rPr>
      <w:rFonts w:eastAsia="Calibri"/>
    </w:rPr>
  </w:style>
  <w:style w:type="paragraph" w:customStyle="1" w:styleId="Space6">
    <w:name w:val="Space 6"/>
    <w:basedOn w:val="Normal"/>
    <w:uiPriority w:val="1"/>
    <w:semiHidden/>
    <w:rsid w:val="003064A1"/>
    <w:rPr>
      <w:sz w:val="12"/>
    </w:rPr>
  </w:style>
  <w:style w:type="numbering" w:customStyle="1" w:styleId="Style10">
    <w:name w:val="Style1"/>
    <w:uiPriority w:val="99"/>
    <w:rsid w:val="00AF44B6"/>
    <w:pPr>
      <w:numPr>
        <w:numId w:val="5"/>
      </w:numPr>
    </w:pPr>
  </w:style>
  <w:style w:type="numbering" w:customStyle="1" w:styleId="Style2">
    <w:name w:val="Style2"/>
    <w:uiPriority w:val="99"/>
    <w:rsid w:val="00AF44B6"/>
    <w:pPr>
      <w:numPr>
        <w:numId w:val="4"/>
      </w:numPr>
    </w:pPr>
  </w:style>
  <w:style w:type="table" w:styleId="TableGrid">
    <w:name w:val="Table Grid"/>
    <w:basedOn w:val="TableNormal"/>
    <w:uiPriority w:val="39"/>
    <w:rsid w:val="006649C3"/>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ormat">
    <w:name w:val="TableFormat"/>
    <w:basedOn w:val="Normal"/>
    <w:uiPriority w:val="99"/>
    <w:semiHidden/>
    <w:rsid w:val="00AF44B6"/>
    <w:pPr>
      <w:tabs>
        <w:tab w:val="left" w:pos="5040"/>
      </w:tabs>
      <w:spacing w:after="220"/>
      <w:ind w:left="5040" w:hanging="3600"/>
    </w:pPr>
  </w:style>
  <w:style w:type="paragraph" w:customStyle="1" w:styleId="TitleBold">
    <w:name w:val="Title Bold"/>
    <w:basedOn w:val="Normal"/>
    <w:next w:val="Normal"/>
    <w:uiPriority w:val="99"/>
    <w:semiHidden/>
    <w:qFormat/>
    <w:rsid w:val="00AF44B6"/>
    <w:pPr>
      <w:tabs>
        <w:tab w:val="left" w:pos="720"/>
        <w:tab w:val="right" w:pos="9360"/>
      </w:tabs>
      <w:suppressAutoHyphens/>
    </w:pPr>
    <w:rPr>
      <w:b/>
      <w:spacing w:val="-2"/>
    </w:rPr>
  </w:style>
  <w:style w:type="paragraph" w:customStyle="1" w:styleId="TitleBoldRight">
    <w:name w:val="Title Bold Right"/>
    <w:basedOn w:val="Normal"/>
    <w:next w:val="Normal"/>
    <w:uiPriority w:val="99"/>
    <w:semiHidden/>
    <w:rsid w:val="00AF44B6"/>
    <w:pPr>
      <w:tabs>
        <w:tab w:val="left" w:pos="720"/>
        <w:tab w:val="right" w:pos="9360"/>
      </w:tabs>
      <w:suppressAutoHyphens/>
      <w:jc w:val="center"/>
    </w:pPr>
    <w:rPr>
      <w:b/>
      <w:spacing w:val="-2"/>
    </w:rPr>
  </w:style>
  <w:style w:type="paragraph" w:styleId="TOAHeading">
    <w:name w:val="toa heading"/>
    <w:basedOn w:val="Normal"/>
    <w:next w:val="Normal"/>
    <w:semiHidden/>
    <w:rsid w:val="00AF44B6"/>
    <w:pPr>
      <w:tabs>
        <w:tab w:val="right" w:pos="9360"/>
      </w:tabs>
      <w:suppressAutoHyphens/>
    </w:pPr>
  </w:style>
  <w:style w:type="paragraph" w:styleId="TOC1">
    <w:name w:val="toc 1"/>
    <w:basedOn w:val="Normal"/>
    <w:next w:val="Normal"/>
    <w:rsid w:val="00C862BF"/>
    <w:pPr>
      <w:widowControl w:val="0"/>
      <w:tabs>
        <w:tab w:val="left" w:pos="360"/>
        <w:tab w:val="right" w:leader="dot" w:pos="9360"/>
      </w:tabs>
      <w:suppressAutoHyphens/>
      <w:ind w:left="360" w:right="720" w:hanging="360"/>
    </w:pPr>
    <w:rPr>
      <w:rFonts w:eastAsia="Times New Roman"/>
      <w:caps/>
      <w:noProof/>
      <w:kern w:val="28"/>
      <w:szCs w:val="20"/>
    </w:rPr>
  </w:style>
  <w:style w:type="paragraph" w:styleId="TOC2">
    <w:name w:val="toc 2"/>
    <w:basedOn w:val="Normal"/>
    <w:next w:val="Normal"/>
    <w:rsid w:val="00C862BF"/>
    <w:pPr>
      <w:widowControl w:val="0"/>
      <w:tabs>
        <w:tab w:val="left" w:pos="720"/>
        <w:tab w:val="right" w:leader="dot" w:pos="9360"/>
      </w:tabs>
      <w:suppressAutoHyphens/>
      <w:ind w:left="720" w:right="720" w:hanging="360"/>
    </w:pPr>
    <w:rPr>
      <w:rFonts w:eastAsia="Times New Roman"/>
      <w:noProof/>
      <w:kern w:val="28"/>
      <w:szCs w:val="20"/>
    </w:rPr>
  </w:style>
  <w:style w:type="paragraph" w:styleId="TOC3">
    <w:name w:val="toc 3"/>
    <w:basedOn w:val="Normal"/>
    <w:next w:val="Normal"/>
    <w:rsid w:val="00C862BF"/>
    <w:pPr>
      <w:widowControl w:val="0"/>
      <w:tabs>
        <w:tab w:val="left" w:pos="1080"/>
        <w:tab w:val="right" w:leader="dot" w:pos="9360"/>
      </w:tabs>
      <w:suppressAutoHyphens/>
      <w:ind w:left="1080" w:right="720" w:hanging="360"/>
    </w:pPr>
    <w:rPr>
      <w:rFonts w:eastAsia="Times New Roman"/>
      <w:noProof/>
      <w:kern w:val="28"/>
      <w:szCs w:val="20"/>
    </w:rPr>
  </w:style>
  <w:style w:type="paragraph" w:styleId="TOC4">
    <w:name w:val="toc 4"/>
    <w:basedOn w:val="Normal"/>
    <w:next w:val="Normal"/>
    <w:autoRedefine/>
    <w:rsid w:val="00C862BF"/>
    <w:pPr>
      <w:widowControl w:val="0"/>
      <w:tabs>
        <w:tab w:val="left" w:pos="1440"/>
        <w:tab w:val="right" w:leader="dot" w:pos="9360"/>
      </w:tabs>
      <w:suppressAutoHyphens/>
      <w:ind w:left="1440" w:right="720" w:hanging="360"/>
    </w:pPr>
    <w:rPr>
      <w:rFonts w:eastAsia="Times New Roman"/>
      <w:noProof/>
      <w:kern w:val="28"/>
      <w:szCs w:val="20"/>
    </w:rPr>
  </w:style>
  <w:style w:type="paragraph" w:styleId="TOC5">
    <w:name w:val="toc 5"/>
    <w:basedOn w:val="Normal"/>
    <w:next w:val="Normal"/>
    <w:autoRedefine/>
    <w:rsid w:val="00C862BF"/>
    <w:pPr>
      <w:widowControl w:val="0"/>
      <w:tabs>
        <w:tab w:val="left" w:pos="1800"/>
        <w:tab w:val="right" w:leader="dot" w:pos="9360"/>
      </w:tabs>
      <w:suppressAutoHyphens/>
      <w:ind w:left="1800" w:right="720" w:hanging="360"/>
    </w:pPr>
    <w:rPr>
      <w:rFonts w:eastAsia="Times New Roman"/>
      <w:noProof/>
      <w:kern w:val="28"/>
      <w:szCs w:val="20"/>
    </w:rPr>
  </w:style>
  <w:style w:type="paragraph" w:styleId="TOC6">
    <w:name w:val="toc 6"/>
    <w:basedOn w:val="Normal"/>
    <w:next w:val="Normal"/>
    <w:autoRedefine/>
    <w:semiHidden/>
    <w:rsid w:val="00C862BF"/>
    <w:pPr>
      <w:widowControl w:val="0"/>
      <w:tabs>
        <w:tab w:val="left" w:pos="2160"/>
        <w:tab w:val="right" w:leader="dot" w:pos="9360"/>
      </w:tabs>
      <w:suppressAutoHyphens/>
      <w:ind w:left="2160" w:hanging="360"/>
    </w:pPr>
    <w:rPr>
      <w:rFonts w:eastAsia="Times New Roman"/>
      <w:noProof/>
      <w:kern w:val="28"/>
      <w:szCs w:val="20"/>
    </w:rPr>
  </w:style>
  <w:style w:type="paragraph" w:styleId="TOC7">
    <w:name w:val="toc 7"/>
    <w:basedOn w:val="Normal"/>
    <w:next w:val="Normal"/>
    <w:autoRedefine/>
    <w:semiHidden/>
    <w:rsid w:val="00C862BF"/>
    <w:pPr>
      <w:widowControl w:val="0"/>
      <w:tabs>
        <w:tab w:val="left" w:pos="2520"/>
        <w:tab w:val="right" w:leader="dot" w:pos="9360"/>
      </w:tabs>
      <w:suppressAutoHyphens/>
      <w:ind w:left="2520" w:hanging="360"/>
    </w:pPr>
    <w:rPr>
      <w:rFonts w:eastAsia="Times New Roman"/>
      <w:noProof/>
      <w:kern w:val="28"/>
      <w:szCs w:val="20"/>
    </w:rPr>
  </w:style>
  <w:style w:type="paragraph" w:styleId="TOC8">
    <w:name w:val="toc 8"/>
    <w:basedOn w:val="Normal"/>
    <w:next w:val="Normal"/>
    <w:autoRedefine/>
    <w:semiHidden/>
    <w:rsid w:val="00C862BF"/>
    <w:pPr>
      <w:widowControl w:val="0"/>
      <w:tabs>
        <w:tab w:val="left" w:pos="2880"/>
        <w:tab w:val="right" w:leader="dot" w:pos="9360"/>
      </w:tabs>
      <w:suppressAutoHyphens/>
      <w:ind w:left="2880" w:hanging="360"/>
    </w:pPr>
    <w:rPr>
      <w:rFonts w:eastAsia="Times New Roman"/>
      <w:noProof/>
      <w:kern w:val="28"/>
      <w:szCs w:val="20"/>
    </w:rPr>
  </w:style>
  <w:style w:type="paragraph" w:styleId="TOC9">
    <w:name w:val="toc 9"/>
    <w:basedOn w:val="Normal"/>
    <w:next w:val="Normal"/>
    <w:autoRedefine/>
    <w:semiHidden/>
    <w:rsid w:val="00C862BF"/>
    <w:pPr>
      <w:widowControl w:val="0"/>
      <w:tabs>
        <w:tab w:val="left" w:pos="3240"/>
        <w:tab w:val="right" w:leader="dot" w:pos="9360"/>
      </w:tabs>
      <w:suppressAutoHyphens/>
      <w:ind w:left="3240" w:hanging="360"/>
    </w:pPr>
    <w:rPr>
      <w:rFonts w:eastAsia="Times New Roman"/>
      <w:noProof/>
      <w:kern w:val="28"/>
      <w:szCs w:val="20"/>
    </w:rPr>
  </w:style>
  <w:style w:type="paragraph" w:customStyle="1" w:styleId="TOCAppendix">
    <w:name w:val="TOC Appendix"/>
    <w:basedOn w:val="Normal"/>
    <w:uiPriority w:val="99"/>
    <w:semiHidden/>
    <w:rsid w:val="00C862BF"/>
    <w:pPr>
      <w:widowControl w:val="0"/>
      <w:tabs>
        <w:tab w:val="center" w:pos="9270"/>
      </w:tabs>
    </w:pPr>
    <w:rPr>
      <w:rFonts w:ascii="Calibri Light" w:hAnsi="Calibri Light"/>
      <w:snapToGrid/>
      <w:spacing w:val="-2"/>
      <w:kern w:val="2"/>
      <w:szCs w:val="20"/>
    </w:rPr>
  </w:style>
  <w:style w:type="paragraph" w:styleId="TOCHeading">
    <w:name w:val="TOC Heading"/>
    <w:basedOn w:val="Heading1"/>
    <w:next w:val="Normal"/>
    <w:uiPriority w:val="39"/>
    <w:semiHidden/>
    <w:qFormat/>
    <w:rsid w:val="00C862BF"/>
    <w:pPr>
      <w:suppressAutoHyphens w:val="0"/>
      <w:spacing w:before="240" w:line="259" w:lineRule="auto"/>
      <w:outlineLvl w:val="9"/>
    </w:pPr>
    <w:rPr>
      <w:rFonts w:asciiTheme="majorHAnsi" w:eastAsiaTheme="majorEastAsia" w:hAnsiTheme="majorHAnsi" w:cstheme="majorBidi"/>
      <w:b w:val="0"/>
      <w:caps w:val="0"/>
      <w:snapToGrid/>
      <w:color w:val="2E74B5" w:themeColor="accent1" w:themeShade="BF"/>
      <w:kern w:val="0"/>
      <w:sz w:val="32"/>
      <w:szCs w:val="32"/>
    </w:rPr>
  </w:style>
  <w:style w:type="paragraph" w:customStyle="1" w:styleId="TOCParaTitle">
    <w:name w:val="TOC Para Title"/>
    <w:basedOn w:val="Normal"/>
    <w:next w:val="Normal"/>
    <w:uiPriority w:val="99"/>
    <w:semiHidden/>
    <w:rsid w:val="00C862BF"/>
    <w:pPr>
      <w:widowControl w:val="0"/>
      <w:tabs>
        <w:tab w:val="center" w:pos="9270"/>
      </w:tabs>
      <w:spacing w:after="240"/>
    </w:pPr>
    <w:rPr>
      <w:snapToGrid/>
      <w:kern w:val="2"/>
      <w:szCs w:val="20"/>
    </w:rPr>
  </w:style>
  <w:style w:type="paragraph" w:customStyle="1" w:styleId="TOCSubtitlePlain">
    <w:name w:val="TOC Subtitle Plain"/>
    <w:basedOn w:val="Normal"/>
    <w:next w:val="Normal"/>
    <w:uiPriority w:val="99"/>
    <w:semiHidden/>
    <w:rsid w:val="00C862BF"/>
    <w:pPr>
      <w:tabs>
        <w:tab w:val="center" w:pos="9270"/>
      </w:tabs>
    </w:pPr>
    <w:rPr>
      <w:snapToGrid/>
      <w:spacing w:val="-2"/>
      <w:kern w:val="2"/>
      <w:szCs w:val="20"/>
    </w:rPr>
  </w:style>
  <w:style w:type="paragraph" w:customStyle="1" w:styleId="TOCTitle">
    <w:name w:val="TOC Title"/>
    <w:basedOn w:val="Normal"/>
    <w:rsid w:val="00C862BF"/>
    <w:pPr>
      <w:widowControl w:val="0"/>
      <w:spacing w:before="240" w:after="240"/>
      <w:jc w:val="center"/>
    </w:pPr>
    <w:rPr>
      <w:rFonts w:ascii="Times New Roman Bold" w:eastAsia="Times New Roman" w:hAnsi="Times New Roman Bold"/>
      <w:b/>
      <w:caps/>
      <w:spacing w:val="-2"/>
      <w:kern w:val="28"/>
      <w:szCs w:val="20"/>
    </w:rPr>
  </w:style>
  <w:style w:type="paragraph" w:customStyle="1" w:styleId="AppendixParaNum">
    <w:name w:val="Appendix ParaNum"/>
    <w:basedOn w:val="ParaNum"/>
    <w:qFormat/>
    <w:rsid w:val="0039134A"/>
    <w:pPr>
      <w:widowControl w:val="0"/>
      <w:numPr>
        <w:numId w:val="0"/>
      </w:numPr>
    </w:pPr>
  </w:style>
  <w:style w:type="paragraph" w:customStyle="1" w:styleId="ParaNumBullet2">
    <w:name w:val="ParaNum Bullet 2"/>
    <w:basedOn w:val="ParaNumBullet"/>
    <w:uiPriority w:val="97"/>
    <w:rsid w:val="00BD7EC6"/>
    <w:pPr>
      <w:numPr>
        <w:ilvl w:val="1"/>
      </w:numPr>
    </w:pPr>
  </w:style>
  <w:style w:type="paragraph" w:customStyle="1" w:styleId="ParaNumBullet3">
    <w:name w:val="ParaNum Bullet 3"/>
    <w:basedOn w:val="ParaNumBullet"/>
    <w:uiPriority w:val="97"/>
    <w:rsid w:val="00BD7EC6"/>
    <w:pPr>
      <w:numPr>
        <w:ilvl w:val="2"/>
      </w:numPr>
    </w:pPr>
  </w:style>
  <w:style w:type="paragraph" w:customStyle="1" w:styleId="ParaNumBullet4">
    <w:name w:val="ParaNum Bullet 4"/>
    <w:basedOn w:val="ParaNumBullet"/>
    <w:uiPriority w:val="97"/>
    <w:rsid w:val="00BD7EC6"/>
    <w:pPr>
      <w:numPr>
        <w:ilvl w:val="3"/>
      </w:numPr>
    </w:pPr>
  </w:style>
  <w:style w:type="paragraph" w:customStyle="1" w:styleId="ParaNumBullet5">
    <w:name w:val="ParaNum Bullet 5"/>
    <w:basedOn w:val="ParaNumBullet4"/>
    <w:uiPriority w:val="97"/>
    <w:rsid w:val="00BD7EC6"/>
    <w:pPr>
      <w:numPr>
        <w:ilvl w:val="4"/>
      </w:numPr>
    </w:pPr>
  </w:style>
  <w:style w:type="paragraph" w:customStyle="1" w:styleId="ParaNumBullet6">
    <w:name w:val="ParaNum Bullet 6"/>
    <w:basedOn w:val="ParaNumBullet5"/>
    <w:uiPriority w:val="97"/>
    <w:rsid w:val="00BD7EC6"/>
    <w:pPr>
      <w:numPr>
        <w:ilvl w:val="5"/>
      </w:numPr>
    </w:pPr>
  </w:style>
  <w:style w:type="paragraph" w:customStyle="1" w:styleId="ParaNumBullet7">
    <w:name w:val="ParaNum Bullet 7"/>
    <w:basedOn w:val="ParaNumBullet6"/>
    <w:uiPriority w:val="97"/>
    <w:rsid w:val="00BD7EC6"/>
    <w:pPr>
      <w:numPr>
        <w:ilvl w:val="6"/>
      </w:numPr>
    </w:pPr>
  </w:style>
  <w:style w:type="paragraph" w:customStyle="1" w:styleId="ParaNumBullet8">
    <w:name w:val="ParaNum Bullet 8"/>
    <w:basedOn w:val="ParaNumBullet7"/>
    <w:uiPriority w:val="97"/>
    <w:rsid w:val="00BD7EC6"/>
    <w:pPr>
      <w:numPr>
        <w:ilvl w:val="7"/>
      </w:numPr>
    </w:pPr>
  </w:style>
  <w:style w:type="paragraph" w:customStyle="1" w:styleId="ParaNumBullet9">
    <w:name w:val="ParaNum Bullet 9"/>
    <w:basedOn w:val="ParaNumBullet"/>
    <w:uiPriority w:val="97"/>
    <w:rsid w:val="00BD7EC6"/>
    <w:pPr>
      <w:numPr>
        <w:ilvl w:val="8"/>
      </w:numPr>
    </w:pPr>
  </w:style>
  <w:style w:type="paragraph" w:customStyle="1" w:styleId="ParaNumLevel2">
    <w:name w:val="ParaNum Level 2"/>
    <w:basedOn w:val="ParaNum"/>
    <w:rsid w:val="008B7E01"/>
    <w:pPr>
      <w:numPr>
        <w:ilvl w:val="1"/>
      </w:numPr>
    </w:pPr>
  </w:style>
  <w:style w:type="paragraph" w:customStyle="1" w:styleId="ParaNumLevel3">
    <w:name w:val="ParaNum Level 3"/>
    <w:basedOn w:val="ParaNum"/>
    <w:uiPriority w:val="97"/>
    <w:rsid w:val="008B7E01"/>
    <w:pPr>
      <w:numPr>
        <w:ilvl w:val="2"/>
      </w:numPr>
    </w:pPr>
  </w:style>
  <w:style w:type="paragraph" w:customStyle="1" w:styleId="ParaNumLevel4">
    <w:name w:val="ParaNum Level 4"/>
    <w:basedOn w:val="ParaNum"/>
    <w:uiPriority w:val="97"/>
    <w:rsid w:val="008B7E01"/>
    <w:pPr>
      <w:numPr>
        <w:ilvl w:val="3"/>
      </w:numPr>
    </w:pPr>
  </w:style>
  <w:style w:type="paragraph" w:customStyle="1" w:styleId="ParaNumLevel5">
    <w:name w:val="ParaNum Level 5"/>
    <w:basedOn w:val="ParaNum"/>
    <w:uiPriority w:val="97"/>
    <w:rsid w:val="008B7E01"/>
    <w:pPr>
      <w:numPr>
        <w:ilvl w:val="4"/>
      </w:numPr>
    </w:pPr>
  </w:style>
  <w:style w:type="paragraph" w:customStyle="1" w:styleId="ParaNumLevel6">
    <w:name w:val="ParaNum Level 6"/>
    <w:basedOn w:val="ParaNum"/>
    <w:uiPriority w:val="97"/>
    <w:rsid w:val="008B7E01"/>
    <w:pPr>
      <w:numPr>
        <w:ilvl w:val="5"/>
      </w:numPr>
    </w:pPr>
  </w:style>
  <w:style w:type="paragraph" w:customStyle="1" w:styleId="ParaNumLevel7">
    <w:name w:val="ParaNum Level 7"/>
    <w:basedOn w:val="ParaNum"/>
    <w:uiPriority w:val="97"/>
    <w:rsid w:val="008B7E01"/>
    <w:pPr>
      <w:numPr>
        <w:ilvl w:val="6"/>
      </w:numPr>
    </w:pPr>
  </w:style>
  <w:style w:type="paragraph" w:customStyle="1" w:styleId="ParaNumLevel8">
    <w:name w:val="ParaNum Level 8"/>
    <w:basedOn w:val="ParaNum"/>
    <w:uiPriority w:val="97"/>
    <w:rsid w:val="008B7E01"/>
    <w:pPr>
      <w:numPr>
        <w:ilvl w:val="7"/>
      </w:numPr>
    </w:pPr>
  </w:style>
  <w:style w:type="paragraph" w:customStyle="1" w:styleId="ParaNumLevel9">
    <w:name w:val="ParaNum Level 9"/>
    <w:basedOn w:val="ParaNum"/>
    <w:uiPriority w:val="97"/>
    <w:rsid w:val="008B7E01"/>
    <w:pPr>
      <w:numPr>
        <w:ilvl w:val="8"/>
      </w:numPr>
    </w:pPr>
  </w:style>
  <w:style w:type="numbering" w:customStyle="1" w:styleId="PNOrderedList">
    <w:name w:val="PN Ordered List"/>
    <w:uiPriority w:val="99"/>
    <w:rsid w:val="008B7E01"/>
    <w:pPr>
      <w:numPr>
        <w:numId w:val="16"/>
      </w:numPr>
    </w:pPr>
  </w:style>
  <w:style w:type="paragraph" w:customStyle="1" w:styleId="PN-Header">
    <w:name w:val="PN-Header"/>
    <w:basedOn w:val="PNReportNumber"/>
    <w:rsid w:val="009412F2"/>
    <w:pPr>
      <w:spacing w:before="0"/>
    </w:pPr>
    <w:rPr>
      <w:rFonts w:ascii="Arial" w:hAnsi="Arial" w:cs="Arial"/>
      <w:sz w:val="96"/>
      <w:szCs w:val="96"/>
    </w:rPr>
  </w:style>
  <w:style w:type="paragraph" w:customStyle="1" w:styleId="FCCAddress">
    <w:name w:val="FCC Address"/>
    <w:link w:val="FCCAddressChar"/>
    <w:qFormat/>
    <w:rsid w:val="00F67564"/>
    <w:pPr>
      <w:suppressAutoHyphens/>
    </w:pPr>
    <w:rPr>
      <w:rFonts w:ascii="Arial" w:eastAsia="Calibri" w:hAnsi="Arial" w:cs="Arial"/>
      <w:bCs/>
    </w:rPr>
  </w:style>
  <w:style w:type="character" w:customStyle="1" w:styleId="UnresolvedMention1">
    <w:name w:val="Unresolved Mention1"/>
    <w:basedOn w:val="DefaultParagraphFont"/>
    <w:uiPriority w:val="99"/>
    <w:semiHidden/>
    <w:unhideWhenUsed/>
    <w:rsid w:val="00965A0B"/>
    <w:rPr>
      <w:color w:val="605E5C"/>
      <w:shd w:val="clear" w:color="auto" w:fill="E1DFDD"/>
    </w:rPr>
  </w:style>
  <w:style w:type="paragraph" w:customStyle="1" w:styleId="FCCMedia">
    <w:name w:val="FCC Media"/>
    <w:basedOn w:val="FCCAddress"/>
    <w:qFormat/>
    <w:rsid w:val="00AC23B3"/>
    <w:pPr>
      <w:spacing w:before="60"/>
      <w:jc w:val="right"/>
    </w:pPr>
    <w:rPr>
      <w:sz w:val="16"/>
      <w:szCs w:val="16"/>
    </w:rPr>
  </w:style>
  <w:style w:type="paragraph" w:customStyle="1" w:styleId="PNReportNumber">
    <w:name w:val="PN Report Number"/>
    <w:basedOn w:val="Normal"/>
    <w:qFormat/>
    <w:rsid w:val="00630C24"/>
    <w:pPr>
      <w:spacing w:before="120"/>
    </w:pPr>
    <w:rPr>
      <w:b/>
    </w:rPr>
  </w:style>
  <w:style w:type="paragraph" w:customStyle="1" w:styleId="PNDA-Release">
    <w:name w:val="PN DA-Release"/>
    <w:basedOn w:val="PNReportNumber"/>
    <w:qFormat/>
    <w:rsid w:val="004A2BDD"/>
    <w:pPr>
      <w:spacing w:before="0" w:after="240"/>
      <w:jc w:val="right"/>
    </w:pPr>
  </w:style>
  <w:style w:type="paragraph" w:customStyle="1" w:styleId="PN-Title">
    <w:name w:val="PN-Title"/>
    <w:basedOn w:val="Normal"/>
    <w:qFormat/>
    <w:rsid w:val="00630C24"/>
    <w:pPr>
      <w:spacing w:after="240"/>
      <w:jc w:val="center"/>
    </w:pPr>
    <w:rPr>
      <w:b/>
      <w:caps/>
    </w:rPr>
  </w:style>
  <w:style w:type="paragraph" w:customStyle="1" w:styleId="PN-Subtitle">
    <w:name w:val="PN-Subtitle"/>
    <w:basedOn w:val="PN-Title"/>
    <w:qFormat/>
    <w:rsid w:val="00CE19DA"/>
    <w:rPr>
      <w:caps w:val="0"/>
    </w:rPr>
  </w:style>
  <w:style w:type="paragraph" w:customStyle="1" w:styleId="NormalCentered">
    <w:name w:val="Normal Centered"/>
    <w:basedOn w:val="Normal"/>
    <w:next w:val="Normal"/>
    <w:qFormat/>
    <w:rsid w:val="0044359B"/>
    <w:pPr>
      <w:jc w:val="center"/>
    </w:pPr>
  </w:style>
  <w:style w:type="paragraph" w:customStyle="1" w:styleId="AttachmentHeading">
    <w:name w:val="Attachment Heading"/>
    <w:basedOn w:val="Normal"/>
    <w:next w:val="NormalCentered"/>
    <w:qFormat/>
    <w:rsid w:val="00777CC7"/>
    <w:pPr>
      <w:spacing w:after="240"/>
      <w:jc w:val="center"/>
    </w:pPr>
    <w:rPr>
      <w:rFonts w:ascii="Times New Roman Bold" w:hAnsi="Times New Roman Bold"/>
      <w:b/>
      <w:caps/>
    </w:rPr>
  </w:style>
  <w:style w:type="paragraph" w:customStyle="1" w:styleId="AttachmentSubtitle">
    <w:name w:val="Attachment Subtitle"/>
    <w:basedOn w:val="AttachmentHeading"/>
    <w:next w:val="Heading2"/>
    <w:autoRedefine/>
    <w:qFormat/>
    <w:rsid w:val="00777CC7"/>
    <w:rPr>
      <w:caps w:val="0"/>
    </w:rPr>
  </w:style>
  <w:style w:type="paragraph" w:customStyle="1" w:styleId="PN-TOCTitle">
    <w:name w:val="PN-TOC Title"/>
    <w:basedOn w:val="NormalCentered"/>
    <w:next w:val="Normal"/>
    <w:qFormat/>
    <w:rsid w:val="00CE19DA"/>
    <w:rPr>
      <w:b/>
      <w:caps/>
    </w:rPr>
  </w:style>
  <w:style w:type="paragraph" w:styleId="BlockText">
    <w:name w:val="Block Text"/>
    <w:basedOn w:val="Normal"/>
    <w:uiPriority w:val="99"/>
    <w:semiHidden/>
    <w:unhideWhenUsed/>
    <w:rsid w:val="006649C3"/>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cstheme="minorBidi"/>
      <w:i/>
      <w:iCs/>
      <w:color w:val="5B9BD5" w:themeColor="accent1"/>
    </w:rPr>
  </w:style>
  <w:style w:type="paragraph" w:styleId="EnvelopeAddress">
    <w:name w:val="envelope address"/>
    <w:basedOn w:val="Normal"/>
    <w:uiPriority w:val="99"/>
    <w:semiHidden/>
    <w:unhideWhenUsed/>
    <w:rsid w:val="006649C3"/>
    <w:pPr>
      <w:framePr w:w="7920" w:h="1980" w:hRule="exact" w:hSpace="180" w:wrap="auto" w:hAnchor="page" w:xAlign="center" w:yAlign="bottom"/>
      <w:ind w:left="2880"/>
    </w:pPr>
    <w:rPr>
      <w:rFonts w:eastAsiaTheme="majorEastAsia" w:cstheme="majorBidi"/>
    </w:rPr>
  </w:style>
  <w:style w:type="paragraph" w:styleId="EnvelopeReturn">
    <w:name w:val="envelope return"/>
    <w:basedOn w:val="Normal"/>
    <w:uiPriority w:val="99"/>
    <w:semiHidden/>
    <w:unhideWhenUsed/>
    <w:rsid w:val="006649C3"/>
    <w:rPr>
      <w:rFonts w:eastAsiaTheme="majorEastAsia" w:cstheme="majorBidi"/>
      <w:sz w:val="20"/>
      <w:szCs w:val="20"/>
    </w:rPr>
  </w:style>
  <w:style w:type="character" w:styleId="HTMLCode">
    <w:name w:val="HTML Code"/>
    <w:basedOn w:val="DefaultParagraphFont"/>
    <w:uiPriority w:val="99"/>
    <w:semiHidden/>
    <w:unhideWhenUsed/>
    <w:rsid w:val="006649C3"/>
    <w:rPr>
      <w:rFonts w:ascii="Times New Roman" w:hAnsi="Times New Roman"/>
      <w:sz w:val="20"/>
      <w:szCs w:val="20"/>
    </w:rPr>
  </w:style>
  <w:style w:type="character" w:styleId="HTMLKeyboard">
    <w:name w:val="HTML Keyboard"/>
    <w:basedOn w:val="DefaultParagraphFont"/>
    <w:uiPriority w:val="99"/>
    <w:semiHidden/>
    <w:unhideWhenUsed/>
    <w:rsid w:val="006649C3"/>
    <w:rPr>
      <w:rFonts w:ascii="Times New Roman" w:hAnsi="Times New Roman"/>
      <w:sz w:val="20"/>
      <w:szCs w:val="20"/>
    </w:rPr>
  </w:style>
  <w:style w:type="paragraph" w:styleId="HTMLPreformatted">
    <w:name w:val="HTML Preformatted"/>
    <w:basedOn w:val="Normal"/>
    <w:link w:val="HTMLPreformattedChar"/>
    <w:uiPriority w:val="99"/>
    <w:semiHidden/>
    <w:unhideWhenUsed/>
    <w:rsid w:val="006649C3"/>
    <w:rPr>
      <w:sz w:val="20"/>
      <w:szCs w:val="20"/>
    </w:rPr>
  </w:style>
  <w:style w:type="character" w:customStyle="1" w:styleId="HTMLPreformattedChar">
    <w:name w:val="HTML Preformatted Char"/>
    <w:basedOn w:val="DefaultParagraphFont"/>
    <w:link w:val="HTMLPreformatted"/>
    <w:uiPriority w:val="99"/>
    <w:semiHidden/>
    <w:rsid w:val="006649C3"/>
    <w:rPr>
      <w:sz w:val="20"/>
      <w:szCs w:val="20"/>
    </w:rPr>
  </w:style>
  <w:style w:type="character" w:styleId="HTMLSample">
    <w:name w:val="HTML Sample"/>
    <w:basedOn w:val="DefaultParagraphFont"/>
    <w:uiPriority w:val="99"/>
    <w:semiHidden/>
    <w:unhideWhenUsed/>
    <w:rsid w:val="006649C3"/>
    <w:rPr>
      <w:rFonts w:ascii="Times New Roman" w:hAnsi="Times New Roman"/>
      <w:sz w:val="24"/>
      <w:szCs w:val="24"/>
    </w:rPr>
  </w:style>
  <w:style w:type="character" w:styleId="HTMLTypewriter">
    <w:name w:val="HTML Typewriter"/>
    <w:basedOn w:val="DefaultParagraphFont"/>
    <w:uiPriority w:val="99"/>
    <w:semiHidden/>
    <w:unhideWhenUsed/>
    <w:rsid w:val="006649C3"/>
    <w:rPr>
      <w:rFonts w:ascii="Times New Roman" w:hAnsi="Times New Roman"/>
      <w:sz w:val="20"/>
      <w:szCs w:val="20"/>
    </w:rPr>
  </w:style>
  <w:style w:type="paragraph" w:styleId="Index1">
    <w:name w:val="index 1"/>
    <w:basedOn w:val="Normal"/>
    <w:next w:val="Normal"/>
    <w:autoRedefine/>
    <w:uiPriority w:val="99"/>
    <w:semiHidden/>
    <w:unhideWhenUsed/>
    <w:rsid w:val="006649C3"/>
    <w:pPr>
      <w:ind w:left="220" w:hanging="220"/>
    </w:pPr>
  </w:style>
  <w:style w:type="paragraph" w:styleId="IndexHeading">
    <w:name w:val="index heading"/>
    <w:basedOn w:val="Normal"/>
    <w:next w:val="Index1"/>
    <w:uiPriority w:val="99"/>
    <w:semiHidden/>
    <w:unhideWhenUsed/>
    <w:rsid w:val="006649C3"/>
    <w:rPr>
      <w:rFonts w:eastAsiaTheme="majorEastAsia" w:cstheme="majorBidi"/>
      <w:b/>
      <w:bCs/>
    </w:rPr>
  </w:style>
  <w:style w:type="paragraph" w:styleId="Macro">
    <w:name w:val="macro"/>
    <w:link w:val="MacroTextChar"/>
    <w:uiPriority w:val="99"/>
    <w:semiHidden/>
    <w:unhideWhenUsed/>
    <w:rsid w:val="006649C3"/>
    <w:pPr>
      <w:tabs>
        <w:tab w:val="left" w:pos="480"/>
        <w:tab w:val="left" w:pos="960"/>
        <w:tab w:val="left" w:pos="1440"/>
        <w:tab w:val="left" w:pos="1920"/>
        <w:tab w:val="left" w:pos="2400"/>
        <w:tab w:val="left" w:pos="2880"/>
        <w:tab w:val="left" w:pos="3360"/>
        <w:tab w:val="left" w:pos="3840"/>
        <w:tab w:val="left" w:pos="4320"/>
      </w:tabs>
    </w:pPr>
    <w:rPr>
      <w:sz w:val="20"/>
      <w:szCs w:val="20"/>
    </w:rPr>
  </w:style>
  <w:style w:type="character" w:customStyle="1" w:styleId="MacroTextChar">
    <w:name w:val="Macro Text Char"/>
    <w:basedOn w:val="DefaultParagraphFont"/>
    <w:link w:val="Macro"/>
    <w:uiPriority w:val="99"/>
    <w:semiHidden/>
    <w:rsid w:val="006649C3"/>
    <w:rPr>
      <w:sz w:val="20"/>
      <w:szCs w:val="20"/>
    </w:rPr>
  </w:style>
  <w:style w:type="table" w:styleId="MediumGrid2">
    <w:name w:val="Medium Grid 2"/>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List2">
    <w:name w:val="Medium List 2"/>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MessageHeader">
    <w:name w:val="Message Header"/>
    <w:basedOn w:val="Normal"/>
    <w:link w:val="MessageHeaderChar"/>
    <w:uiPriority w:val="99"/>
    <w:semiHidden/>
    <w:unhideWhenUsed/>
    <w:rsid w:val="006649C3"/>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cstheme="majorBidi"/>
    </w:rPr>
  </w:style>
  <w:style w:type="character" w:customStyle="1" w:styleId="MessageHeaderChar">
    <w:name w:val="Message Header Char"/>
    <w:basedOn w:val="DefaultParagraphFont"/>
    <w:link w:val="MessageHeader"/>
    <w:uiPriority w:val="99"/>
    <w:semiHidden/>
    <w:rsid w:val="006649C3"/>
    <w:rPr>
      <w:rFonts w:eastAsiaTheme="majorEastAsia" w:cstheme="majorBidi"/>
      <w:sz w:val="24"/>
      <w:szCs w:val="24"/>
      <w:shd w:val="pct20" w:color="auto" w:fill="auto"/>
    </w:rPr>
  </w:style>
  <w:style w:type="paragraph" w:styleId="PlainText">
    <w:name w:val="Plain Text"/>
    <w:basedOn w:val="Normal"/>
    <w:link w:val="PlainTextChar"/>
    <w:uiPriority w:val="99"/>
    <w:semiHidden/>
    <w:unhideWhenUsed/>
    <w:rsid w:val="006649C3"/>
    <w:rPr>
      <w:sz w:val="21"/>
      <w:szCs w:val="21"/>
    </w:rPr>
  </w:style>
  <w:style w:type="character" w:customStyle="1" w:styleId="PlainTextChar">
    <w:name w:val="Plain Text Char"/>
    <w:basedOn w:val="DefaultParagraphFont"/>
    <w:link w:val="PlainText"/>
    <w:uiPriority w:val="99"/>
    <w:semiHidden/>
    <w:rsid w:val="006649C3"/>
    <w:rPr>
      <w:sz w:val="21"/>
      <w:szCs w:val="21"/>
    </w:rPr>
  </w:style>
  <w:style w:type="paragraph" w:styleId="Subtitle">
    <w:name w:val="Subtitle"/>
    <w:basedOn w:val="Normal"/>
    <w:next w:val="Normal"/>
    <w:link w:val="SubtitleChar"/>
    <w:uiPriority w:val="99"/>
    <w:semiHidden/>
    <w:qFormat/>
    <w:rsid w:val="006649C3"/>
    <w:pPr>
      <w:numPr>
        <w:ilvl w:val="1"/>
      </w:numPr>
      <w:spacing w:after="160"/>
    </w:pPr>
    <w:rPr>
      <w:rFonts w:eastAsiaTheme="minorEastAsia" w:cstheme="minorBidi"/>
      <w:spacing w:val="15"/>
    </w:rPr>
  </w:style>
  <w:style w:type="character" w:customStyle="1" w:styleId="SubtitleChar">
    <w:name w:val="Subtitle Char"/>
    <w:basedOn w:val="DefaultParagraphFont"/>
    <w:link w:val="Subtitle"/>
    <w:uiPriority w:val="99"/>
    <w:semiHidden/>
    <w:rsid w:val="006649C3"/>
    <w:rPr>
      <w:rFonts w:eastAsiaTheme="minorEastAsia" w:cstheme="minorBidi"/>
      <w:spacing w:val="15"/>
    </w:rPr>
  </w:style>
  <w:style w:type="paragraph" w:styleId="Title">
    <w:name w:val="Title"/>
    <w:basedOn w:val="FCCAddress"/>
    <w:next w:val="Normal"/>
    <w:link w:val="TitleChar"/>
    <w:rsid w:val="00AC23B3"/>
    <w:pPr>
      <w:contextualSpacing/>
    </w:pPr>
    <w:rPr>
      <w:rFonts w:eastAsiaTheme="majorEastAsia" w:cstheme="majorBidi"/>
      <w:spacing w:val="-10"/>
      <w:kern w:val="28"/>
      <w:sz w:val="96"/>
      <w:szCs w:val="56"/>
    </w:rPr>
  </w:style>
  <w:style w:type="character" w:customStyle="1" w:styleId="TitleChar">
    <w:name w:val="Title Char"/>
    <w:basedOn w:val="DefaultParagraphFont"/>
    <w:link w:val="Title"/>
    <w:rsid w:val="00AC23B3"/>
    <w:rPr>
      <w:rFonts w:ascii="Arial" w:hAnsi="Arial" w:eastAsiaTheme="majorEastAsia" w:cstheme="majorBidi"/>
      <w:bCs/>
      <w:spacing w:val="-10"/>
      <w:kern w:val="28"/>
      <w:sz w:val="96"/>
      <w:szCs w:val="56"/>
    </w:rPr>
  </w:style>
  <w:style w:type="paragraph" w:styleId="ListParagraph">
    <w:name w:val="List Paragraph"/>
    <w:basedOn w:val="Normal"/>
    <w:uiPriority w:val="99"/>
    <w:semiHidden/>
    <w:qFormat/>
    <w:rsid w:val="00E873F8"/>
    <w:pPr>
      <w:ind w:left="720"/>
      <w:contextualSpacing/>
    </w:pPr>
  </w:style>
  <w:style w:type="paragraph" w:customStyle="1" w:styleId="PN-DANumber">
    <w:name w:val="PN-DA Number"/>
    <w:basedOn w:val="PNDA-Release"/>
    <w:qFormat/>
    <w:rsid w:val="004A2BDD"/>
    <w:pPr>
      <w:spacing w:after="0"/>
    </w:pPr>
  </w:style>
  <w:style w:type="paragraph" w:customStyle="1" w:styleId="Template-About">
    <w:name w:val="Template - About"/>
    <w:basedOn w:val="PN-Title"/>
    <w:rsid w:val="00EA030C"/>
    <w:rPr>
      <w:rFonts w:ascii="Times New Roman Bold" w:hAnsi="Times New Roman Bold"/>
      <w:caps w:val="0"/>
      <w:u w:val="single"/>
    </w:rPr>
  </w:style>
  <w:style w:type="paragraph" w:customStyle="1" w:styleId="AttachmentParaNum">
    <w:name w:val="Attachment ParaNum"/>
    <w:basedOn w:val="AppendixParaNum"/>
    <w:qFormat/>
    <w:rsid w:val="006239ED"/>
    <w:pPr>
      <w:numPr>
        <w:numId w:val="2"/>
      </w:numPr>
    </w:pPr>
  </w:style>
  <w:style w:type="numbering" w:customStyle="1" w:styleId="AttachmentList">
    <w:name w:val="Attachment List"/>
    <w:uiPriority w:val="99"/>
    <w:rsid w:val="003725BE"/>
    <w:pPr>
      <w:numPr>
        <w:numId w:val="15"/>
      </w:numPr>
    </w:pPr>
  </w:style>
  <w:style w:type="paragraph" w:customStyle="1" w:styleId="HeadingNon-Numbered">
    <w:name w:val="Heading (Non-Numbered)"/>
    <w:basedOn w:val="Normal"/>
    <w:next w:val="NormalIndent"/>
    <w:qFormat/>
    <w:rsid w:val="00C16543"/>
    <w:pPr>
      <w:keepNext/>
    </w:pPr>
    <w:rPr>
      <w:rFonts w:ascii="Times New Roman Bold" w:hAnsi="Times New Roman Bold"/>
      <w:b/>
      <w:u w:val="single"/>
    </w:rPr>
  </w:style>
  <w:style w:type="paragraph" w:customStyle="1" w:styleId="SubheadingNon-Numbered">
    <w:name w:val="Subheading (Non-Numbered)"/>
    <w:basedOn w:val="HeadingNon-Numbered"/>
    <w:qFormat/>
    <w:rsid w:val="00C16543"/>
    <w:rPr>
      <w:u w:val="none"/>
    </w:rPr>
  </w:style>
  <w:style w:type="paragraph" w:customStyle="1" w:styleId="FCCTagLine">
    <w:name w:val="FCC Tag Line"/>
    <w:basedOn w:val="PN-Subtitle"/>
    <w:rsid w:val="00D51C7C"/>
  </w:style>
  <w:style w:type="numbering" w:customStyle="1" w:styleId="NIOrderedList">
    <w:name w:val="NI Ordered List"/>
    <w:uiPriority w:val="99"/>
    <w:rsid w:val="00B10CEE"/>
  </w:style>
  <w:style w:type="character" w:styleId="UnresolvedMention">
    <w:name w:val="Unresolved Mention"/>
    <w:basedOn w:val="DefaultParagraphFont"/>
    <w:uiPriority w:val="99"/>
    <w:semiHidden/>
    <w:unhideWhenUsed/>
    <w:rsid w:val="008F523F"/>
    <w:rPr>
      <w:color w:val="605E5C"/>
      <w:shd w:val="clear" w:color="auto" w:fill="E1DFDD"/>
    </w:rPr>
  </w:style>
  <w:style w:type="paragraph" w:customStyle="1" w:styleId="CommentReplyCommentDate">
    <w:name w:val="Comment/Reply Comment Date"/>
    <w:basedOn w:val="Normal"/>
    <w:next w:val="Normal"/>
    <w:autoRedefine/>
    <w:qFormat/>
    <w:rsid w:val="00630C24"/>
    <w:rPr>
      <w:b/>
    </w:rPr>
  </w:style>
  <w:style w:type="character" w:customStyle="1" w:styleId="FCCAddressChar">
    <w:name w:val="FCC Address Char"/>
    <w:basedOn w:val="DefaultParagraphFont"/>
    <w:link w:val="FCCAddress"/>
    <w:rsid w:val="00F67564"/>
    <w:rPr>
      <w:rFonts w:ascii="Arial" w:eastAsia="Calibri" w:hAnsi="Arial" w:cs="Arial"/>
      <w:bCs/>
    </w:rPr>
  </w:style>
  <w:style w:type="paragraph" w:customStyle="1" w:styleId="BlockQuote">
    <w:name w:val="Block Quote"/>
    <w:basedOn w:val="Normal"/>
    <w:next w:val="Normal"/>
    <w:uiPriority w:val="1"/>
    <w:qFormat/>
    <w:rsid w:val="009969CA"/>
    <w:pPr>
      <w:spacing w:after="120"/>
      <w:ind w:left="720" w:right="720"/>
    </w:pPr>
    <w:rPr>
      <w:snapToGrid/>
      <w:kern w:val="2"/>
      <w:szCs w:val="20"/>
    </w:rPr>
  </w:style>
  <w:style w:type="paragraph" w:customStyle="1" w:styleId="PN-DocketRM">
    <w:name w:val="PN-Docket/RM"/>
    <w:basedOn w:val="PN-Subtitle"/>
    <w:qFormat/>
    <w:rsid w:val="00942F3F"/>
  </w:style>
  <w:style w:type="paragraph" w:customStyle="1" w:styleId="PN-ParaNum">
    <w:name w:val="PN-ParaNum"/>
    <w:basedOn w:val="ParaNum"/>
    <w:link w:val="PN-ParaNumChar"/>
    <w:qFormat/>
    <w:rsid w:val="00456F32"/>
    <w:pPr>
      <w:numPr>
        <w:numId w:val="0"/>
      </w:numPr>
      <w:ind w:firstLine="720"/>
    </w:pPr>
  </w:style>
  <w:style w:type="character" w:customStyle="1" w:styleId="PN-ParaNumChar">
    <w:name w:val="PN-ParaNum Char"/>
    <w:basedOn w:val="ParaNumChar"/>
    <w:link w:val="PN-ParaNum"/>
    <w:rsid w:val="00456F32"/>
    <w:rPr>
      <w:rFonts w:ascii="Times New Roman" w:hAnsi="Times New Roman"/>
      <w:b w:val="0"/>
    </w:rPr>
  </w:style>
  <w:style w:type="paragraph" w:styleId="NormalWeb">
    <w:name w:val="Normal (Web)"/>
    <w:basedOn w:val="Normal"/>
    <w:rsid w:val="00253E84"/>
    <w:pPr>
      <w:spacing w:before="100" w:beforeAutospacing="1" w:after="100" w:afterAutospacing="1"/>
    </w:pPr>
    <w:rPr>
      <w:rFonts w:eastAsia="Times New Roman"/>
      <w:snapToGrid/>
      <w:color w:val="000000"/>
      <w:sz w:val="24"/>
      <w:szCs w:val="24"/>
    </w:rPr>
  </w:style>
  <w:style w:type="paragraph" w:customStyle="1" w:styleId="header2">
    <w:name w:val="header2"/>
    <w:rsid w:val="00253E84"/>
    <w:pPr>
      <w:widowControl w:val="0"/>
      <w:tabs>
        <w:tab w:val="left" w:pos="1440"/>
        <w:tab w:val="center" w:pos="4320"/>
        <w:tab w:val="right" w:pos="8640"/>
      </w:tabs>
      <w:suppressAutoHyphens/>
      <w:jc w:val="center"/>
    </w:pPr>
    <w:rPr>
      <w:rFonts w:ascii="Times New Roman" w:eastAsia="Times New Roman" w:hAnsi="Times New Roman"/>
      <w:snapToGrid/>
      <w:sz w:val="24"/>
      <w:szCs w:val="20"/>
    </w:rPr>
  </w:style>
  <w:style w:type="character" w:styleId="Strong">
    <w:name w:val="Strong"/>
    <w:qFormat/>
    <w:rsid w:val="00253E84"/>
    <w:rPr>
      <w:b w:val="0"/>
      <w:bCs/>
    </w:rPr>
  </w:style>
  <w:style w:type="character" w:styleId="FollowedHyperlink">
    <w:name w:val="FollowedHyperlink"/>
    <w:basedOn w:val="DefaultParagraphFont"/>
    <w:uiPriority w:val="99"/>
    <w:semiHidden/>
    <w:unhideWhenUsed/>
    <w:rsid w:val="00967C12"/>
    <w:rPr>
      <w:color w:val="954F72" w:themeColor="followedHyperlink"/>
      <w:u w:val="single"/>
    </w:rPr>
  </w:style>
  <w:style w:type="paragraph" w:styleId="Revision">
    <w:name w:val="Revision"/>
    <w:hidden/>
    <w:uiPriority w:val="99"/>
    <w:semiHidden/>
    <w:rsid w:val="002C3F43"/>
    <w:rPr>
      <w:rFonts w:ascii="Times New Roman" w:hAnsi="Times New Roman"/>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fcc.gov/regfees" TargetMode="External" /><Relationship Id="rId11" Type="http://schemas.openxmlformats.org/officeDocument/2006/relationships/hyperlink" Target="mailto:ARINQUIRIES@fcc.gov"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header" Target="header2.xml" /><Relationship Id="rId15" Type="http://schemas.openxmlformats.org/officeDocument/2006/relationships/header" Target="header3.xml" /><Relationship Id="rId16" Type="http://schemas.openxmlformats.org/officeDocument/2006/relationships/footer" Target="footer2.xml" /><Relationship Id="rId17" Type="http://schemas.openxmlformats.org/officeDocument/2006/relationships/header" Target="header4.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yperlink" Target="http://www.fcc.gov/regfees" TargetMode="External" /><Relationship Id="rId6" Type="http://schemas.openxmlformats.org/officeDocument/2006/relationships/hyperlink" Target="https://apps2.fcc.gov/fccUserReg/pages/login.htm" TargetMode="External" /><Relationship Id="rId7" Type="http://schemas.openxmlformats.org/officeDocument/2006/relationships/hyperlink" Target="https://apps.fcc.gov/cores/userLogin.do" TargetMode="External" /><Relationship Id="rId8" Type="http://schemas.openxmlformats.org/officeDocument/2006/relationships/hyperlink" Target="mailto:RROGWIREFAXES@fcc.gov" TargetMode="External" /><Relationship Id="rId9" Type="http://schemas.openxmlformats.org/officeDocument/2006/relationships/hyperlink" Target="https://www.fcc.gov/licensing-databases/fees/wire-transfer"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fcc.gov" TargetMode="External" /></Relationships>
</file>

<file path=word/_rels/numbering.xml.rels><?xml version="1.0" encoding="utf-8" standalone="yes"?><Relationships xmlns="http://schemas.openxmlformats.org/package/2006/relationships"><Relationship Id="rId1"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M:\Form\OS%20Process\Public%20Notice-Portrait.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Public Notice-Portrait.dotm</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