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C90997" w:rsidP="00C90997" w14:paraId="68C15AAA" w14:textId="7F9155C7">
      <w:pPr>
        <w:jc w:val="right"/>
        <w:rPr>
          <w:b/>
        </w:rPr>
      </w:pPr>
      <w:r>
        <w:rPr>
          <w:b/>
        </w:rPr>
        <w:t>DA 26-975</w:t>
      </w:r>
    </w:p>
    <w:p w:rsidR="00C90997" w:rsidP="00C90997" w14:paraId="5CC00885" w14:textId="4CF14C66">
      <w:pPr>
        <w:spacing w:before="60"/>
        <w:jc w:val="right"/>
        <w:rPr>
          <w:b/>
        </w:rPr>
      </w:pPr>
      <w:r>
        <w:rPr>
          <w:b/>
        </w:rPr>
        <w:t xml:space="preserve">Released: </w:t>
      </w:r>
      <w:r w:rsidR="009D2D2D">
        <w:rPr>
          <w:b/>
        </w:rPr>
        <w:t>September 14, 2026</w:t>
      </w:r>
    </w:p>
    <w:p w:rsidR="00C90997" w:rsidP="00C90997" w14:paraId="4E13AB36" w14:textId="77777777">
      <w:pPr>
        <w:jc w:val="right"/>
      </w:pPr>
    </w:p>
    <w:p w:rsidR="00C90997" w:rsidP="00DF388A" w14:paraId="7408177E" w14:textId="16F2048E">
      <w:pPr>
        <w:spacing w:after="240"/>
        <w:jc w:val="center"/>
        <w:rPr>
          <w:b/>
        </w:rPr>
      </w:pPr>
      <w:r>
        <w:rPr>
          <w:rFonts w:ascii="Times New Roman Bold" w:hAnsi="Times New Roman Bold"/>
          <w:b/>
          <w:caps/>
        </w:rPr>
        <w:t xml:space="preserve">WIRELESS telecommunications bureau seeks comment on ocean signal limited (ltd.) request for waiver to permit equipment authorization and use of a MARITIME SURVIVOR LOCATING DEVICE (msld) </w:t>
      </w:r>
    </w:p>
    <w:p w:rsidR="00C90997" w:rsidP="00C90997" w14:paraId="757A3EFF" w14:textId="3B22EE17">
      <w:pPr>
        <w:jc w:val="center"/>
        <w:rPr>
          <w:b/>
        </w:rPr>
      </w:pPr>
      <w:r>
        <w:rPr>
          <w:b/>
        </w:rPr>
        <w:t>WT Docket No. 26-251</w:t>
      </w:r>
    </w:p>
    <w:p w:rsidR="00C90997" w:rsidP="00C90997" w14:paraId="6DCFB126" w14:textId="77777777">
      <w:pPr>
        <w:jc w:val="center"/>
        <w:rPr>
          <w:b/>
        </w:rPr>
      </w:pPr>
    </w:p>
    <w:p w:rsidR="00C90997" w:rsidP="00C90997" w14:paraId="53CBEA07" w14:textId="77777777">
      <w:pPr>
        <w:jc w:val="center"/>
        <w:rPr>
          <w:b/>
        </w:rPr>
      </w:pPr>
    </w:p>
    <w:p w:rsidR="00BF7699" w:rsidRPr="00A92C8F" w:rsidP="00BF7699" w14:paraId="497009B0" w14:textId="6F29B739">
      <w:pPr>
        <w:spacing w:before="120"/>
        <w:rPr>
          <w:b/>
          <w:bCs/>
          <w:szCs w:val="22"/>
        </w:rPr>
      </w:pPr>
      <w:bookmarkStart w:id="0" w:name="TOChere"/>
      <w:r w:rsidRPr="00FD4D87">
        <w:rPr>
          <w:b/>
          <w:bCs/>
        </w:rPr>
        <w:t>Comment Date:</w:t>
      </w:r>
      <w:r w:rsidR="009D2D2D">
        <w:rPr>
          <w:b/>
          <w:bCs/>
        </w:rPr>
        <w:t xml:space="preserve"> October 5, 2026</w:t>
      </w:r>
      <w:r w:rsidR="009D2D2D">
        <w:rPr>
          <w:b/>
          <w:bCs/>
        </w:rPr>
        <w:tab/>
      </w:r>
      <w:r w:rsidR="0073110C">
        <w:rPr>
          <w:b/>
          <w:bCs/>
          <w:szCs w:val="22"/>
        </w:rPr>
        <w:t xml:space="preserve">  </w:t>
      </w:r>
      <w:r w:rsidR="00E24CCA">
        <w:rPr>
          <w:b/>
          <w:bCs/>
        </w:rPr>
        <w:tab/>
      </w:r>
      <w:r w:rsidR="009D2D2D">
        <w:rPr>
          <w:b/>
          <w:bCs/>
        </w:rPr>
        <w:tab/>
      </w:r>
      <w:r>
        <w:rPr>
          <w:b/>
          <w:bCs/>
        </w:rPr>
        <w:t xml:space="preserve">Reply </w:t>
      </w:r>
      <w:r w:rsidR="00AB651B">
        <w:rPr>
          <w:b/>
          <w:bCs/>
        </w:rPr>
        <w:t xml:space="preserve">Comment </w:t>
      </w:r>
      <w:r>
        <w:rPr>
          <w:b/>
          <w:bCs/>
        </w:rPr>
        <w:t>Date:</w:t>
      </w:r>
      <w:r w:rsidR="009D2D2D">
        <w:rPr>
          <w:b/>
          <w:bCs/>
        </w:rPr>
        <w:t xml:space="preserve"> October 15, 2026</w:t>
      </w:r>
    </w:p>
    <w:p w:rsidR="00C90997" w:rsidRPr="00FD4D87" w:rsidP="00E24CCA" w14:paraId="6BC14DED" w14:textId="77777777">
      <w:pPr>
        <w:rPr>
          <w:b/>
          <w:bCs/>
        </w:rPr>
      </w:pPr>
    </w:p>
    <w:bookmarkEnd w:id="0"/>
    <w:p w:rsidR="00C90997" w:rsidRPr="00307D40" w:rsidP="00C90997" w14:paraId="71D777C1" w14:textId="56E96A16">
      <w:pPr>
        <w:spacing w:before="120" w:after="120"/>
        <w:ind w:firstLine="720"/>
        <w:rPr>
          <w:szCs w:val="22"/>
        </w:rPr>
      </w:pPr>
      <w:r w:rsidRPr="00307D40">
        <w:rPr>
          <w:szCs w:val="22"/>
        </w:rPr>
        <w:t xml:space="preserve">By this </w:t>
      </w:r>
      <w:r w:rsidRPr="00307D40">
        <w:rPr>
          <w:i/>
          <w:szCs w:val="22"/>
        </w:rPr>
        <w:t>Public Notice</w:t>
      </w:r>
      <w:r w:rsidRPr="00307D40">
        <w:rPr>
          <w:szCs w:val="22"/>
        </w:rPr>
        <w:t xml:space="preserve">, we seek comment </w:t>
      </w:r>
      <w:r>
        <w:rPr>
          <w:szCs w:val="22"/>
        </w:rPr>
        <w:t xml:space="preserve">on </w:t>
      </w:r>
      <w:r w:rsidRPr="00307D40">
        <w:rPr>
          <w:szCs w:val="22"/>
        </w:rPr>
        <w:t>Ocean Signal L</w:t>
      </w:r>
      <w:r>
        <w:rPr>
          <w:szCs w:val="22"/>
        </w:rPr>
        <w:t>t</w:t>
      </w:r>
      <w:r w:rsidRPr="00307D40">
        <w:rPr>
          <w:szCs w:val="22"/>
        </w:rPr>
        <w:t>d</w:t>
      </w:r>
      <w:r>
        <w:rPr>
          <w:szCs w:val="22"/>
        </w:rPr>
        <w:t>.’s</w:t>
      </w:r>
      <w:r w:rsidRPr="00307D40">
        <w:rPr>
          <w:szCs w:val="22"/>
        </w:rPr>
        <w:t xml:space="preserve"> (Ocean Signal)</w:t>
      </w:r>
      <w:r w:rsidRPr="00307D40">
        <w:rPr>
          <w:spacing w:val="-2"/>
          <w:szCs w:val="22"/>
        </w:rPr>
        <w:t xml:space="preserve"> </w:t>
      </w:r>
      <w:r>
        <w:rPr>
          <w:spacing w:val="-2"/>
          <w:szCs w:val="22"/>
        </w:rPr>
        <w:t xml:space="preserve">request for waiver of Section 95.2989(b)(1)(ii) of the Commission’s rules </w:t>
      </w:r>
      <w:r w:rsidRPr="00307D40">
        <w:rPr>
          <w:szCs w:val="22"/>
        </w:rPr>
        <w:t>to permit the equipment authorization and use of its latest Man Overboard (MOB) device</w:t>
      </w:r>
      <w:r>
        <w:rPr>
          <w:rStyle w:val="FootnoteReference"/>
          <w:szCs w:val="22"/>
        </w:rPr>
        <w:footnoteReference w:id="3"/>
      </w:r>
      <w:r w:rsidRPr="00307D40">
        <w:rPr>
          <w:szCs w:val="22"/>
        </w:rPr>
        <w:t>—MOB2</w:t>
      </w:r>
      <w:r>
        <w:rPr>
          <w:szCs w:val="22"/>
        </w:rPr>
        <w:t>.</w:t>
      </w:r>
      <w:r>
        <w:rPr>
          <w:rStyle w:val="FootnoteReference"/>
          <w:szCs w:val="22"/>
        </w:rPr>
        <w:footnoteReference w:id="4"/>
      </w:r>
      <w:r>
        <w:rPr>
          <w:szCs w:val="22"/>
        </w:rPr>
        <w:t xml:space="preserve">  </w:t>
      </w:r>
      <w:r w:rsidR="00B123F6">
        <w:rPr>
          <w:szCs w:val="22"/>
        </w:rPr>
        <w:t>T</w:t>
      </w:r>
      <w:r w:rsidRPr="00307D40">
        <w:rPr>
          <w:szCs w:val="22"/>
        </w:rPr>
        <w:t xml:space="preserve">he MOB2 </w:t>
      </w:r>
      <w:r w:rsidR="00B123F6">
        <w:rPr>
          <w:szCs w:val="22"/>
        </w:rPr>
        <w:t>i</w:t>
      </w:r>
      <w:r w:rsidRPr="00307D40" w:rsidR="00B123F6">
        <w:rPr>
          <w:szCs w:val="22"/>
        </w:rPr>
        <w:t xml:space="preserve">s </w:t>
      </w:r>
      <w:r w:rsidRPr="00307D40">
        <w:rPr>
          <w:szCs w:val="22"/>
        </w:rPr>
        <w:t>a Maritime Survivor Locating Device</w:t>
      </w:r>
      <w:r>
        <w:rPr>
          <w:szCs w:val="22"/>
        </w:rPr>
        <w:t xml:space="preserve"> (MSLD)</w:t>
      </w:r>
      <w:r>
        <w:rPr>
          <w:rStyle w:val="FootnoteReference"/>
          <w:szCs w:val="22"/>
        </w:rPr>
        <w:footnoteReference w:id="5"/>
      </w:r>
      <w:r w:rsidRPr="00307D40">
        <w:rPr>
          <w:szCs w:val="22"/>
        </w:rPr>
        <w:t xml:space="preserve"> that</w:t>
      </w:r>
      <w:r>
        <w:rPr>
          <w:szCs w:val="22"/>
        </w:rPr>
        <w:t xml:space="preserve"> operates on Automatic Identification System (AIS)</w:t>
      </w:r>
      <w:r>
        <w:rPr>
          <w:rStyle w:val="FootnoteReference"/>
          <w:szCs w:val="22"/>
        </w:rPr>
        <w:footnoteReference w:id="6"/>
      </w:r>
      <w:r>
        <w:rPr>
          <w:szCs w:val="22"/>
        </w:rPr>
        <w:t xml:space="preserve"> channels and</w:t>
      </w:r>
      <w:r w:rsidRPr="00307D40">
        <w:rPr>
          <w:szCs w:val="22"/>
        </w:rPr>
        <w:t xml:space="preserve"> integrates very high frequency (VHF) </w:t>
      </w:r>
      <w:r>
        <w:rPr>
          <w:szCs w:val="22"/>
        </w:rPr>
        <w:t>digital selective calling (</w:t>
      </w:r>
      <w:r w:rsidRPr="00307D40">
        <w:rPr>
          <w:szCs w:val="22"/>
        </w:rPr>
        <w:t>DSC</w:t>
      </w:r>
      <w:r>
        <w:rPr>
          <w:szCs w:val="22"/>
        </w:rPr>
        <w:t>)</w:t>
      </w:r>
      <w:r>
        <w:rPr>
          <w:rStyle w:val="FootnoteReference"/>
          <w:szCs w:val="22"/>
        </w:rPr>
        <w:footnoteReference w:id="7"/>
      </w:r>
      <w:r w:rsidRPr="00307D40">
        <w:rPr>
          <w:szCs w:val="22"/>
        </w:rPr>
        <w:t xml:space="preserve"> in compliance with a </w:t>
      </w:r>
      <w:r>
        <w:rPr>
          <w:szCs w:val="22"/>
        </w:rPr>
        <w:t>current</w:t>
      </w:r>
      <w:r w:rsidRPr="00307D40">
        <w:rPr>
          <w:szCs w:val="22"/>
        </w:rPr>
        <w:t xml:space="preserve"> Radio Technical Commission for Maritime Services (RTCM)</w:t>
      </w:r>
      <w:r>
        <w:rPr>
          <w:rStyle w:val="FootnoteReference"/>
          <w:szCs w:val="22"/>
        </w:rPr>
        <w:footnoteReference w:id="8"/>
      </w:r>
      <w:r w:rsidRPr="00307D40">
        <w:rPr>
          <w:szCs w:val="22"/>
        </w:rPr>
        <w:t xml:space="preserve"> standard—RTCM 11901.2, Standard for Maritime Survivor Locating Devices (MSLD).</w:t>
      </w:r>
      <w:r>
        <w:rPr>
          <w:szCs w:val="22"/>
          <w:vertAlign w:val="superscript"/>
        </w:rPr>
        <w:footnoteReference w:id="9"/>
      </w:r>
    </w:p>
    <w:p w:rsidR="00C90997" w:rsidRPr="00307D40" w:rsidP="00BC5473" w14:paraId="721A0E49" w14:textId="12664BF3">
      <w:pPr>
        <w:widowControl/>
        <w:spacing w:before="120" w:after="120"/>
        <w:ind w:firstLine="720"/>
        <w:rPr>
          <w:szCs w:val="22"/>
        </w:rPr>
      </w:pPr>
      <w:r w:rsidRPr="00307D40">
        <w:rPr>
          <w:szCs w:val="22"/>
        </w:rPr>
        <w:t>MSLDs are</w:t>
      </w:r>
      <w:r>
        <w:rPr>
          <w:szCs w:val="22"/>
        </w:rPr>
        <w:t xml:space="preserve"> transmitters</w:t>
      </w:r>
      <w:r w:rsidRPr="00307D40">
        <w:rPr>
          <w:szCs w:val="22"/>
        </w:rPr>
        <w:t xml:space="preserve"> intended for</w:t>
      </w:r>
      <w:r w:rsidR="006D6A5D">
        <w:rPr>
          <w:szCs w:val="22"/>
        </w:rPr>
        <w:t xml:space="preserve"> use by</w:t>
      </w:r>
      <w:r w:rsidRPr="00307D40">
        <w:rPr>
          <w:szCs w:val="22"/>
        </w:rPr>
        <w:t xml:space="preserve"> </w:t>
      </w:r>
      <w:r>
        <w:rPr>
          <w:szCs w:val="22"/>
        </w:rPr>
        <w:t>those</w:t>
      </w:r>
      <w:r w:rsidRPr="00307D40">
        <w:rPr>
          <w:szCs w:val="22"/>
        </w:rPr>
        <w:t xml:space="preserve"> </w:t>
      </w:r>
      <w:r>
        <w:rPr>
          <w:szCs w:val="22"/>
        </w:rPr>
        <w:t xml:space="preserve">who are </w:t>
      </w:r>
      <w:r w:rsidRPr="00307D40">
        <w:rPr>
          <w:szCs w:val="22"/>
        </w:rPr>
        <w:t>at risk of falling into the water</w:t>
      </w:r>
      <w:r w:rsidR="00A94BCF">
        <w:rPr>
          <w:szCs w:val="22"/>
        </w:rPr>
        <w:t>,</w:t>
      </w:r>
      <w:r w:rsidRPr="00307D40">
        <w:rPr>
          <w:szCs w:val="22"/>
        </w:rPr>
        <w:t xml:space="preserve"> such as mariners and workers on marine installations or docks, or </w:t>
      </w:r>
      <w:r w:rsidR="00A94BCF">
        <w:rPr>
          <w:szCs w:val="22"/>
        </w:rPr>
        <w:t xml:space="preserve">by </w:t>
      </w:r>
      <w:r w:rsidRPr="00307D40">
        <w:rPr>
          <w:szCs w:val="22"/>
        </w:rPr>
        <w:t xml:space="preserve">divers </w:t>
      </w:r>
      <w:r>
        <w:rPr>
          <w:szCs w:val="22"/>
        </w:rPr>
        <w:t>who are</w:t>
      </w:r>
      <w:r w:rsidRPr="00307D40">
        <w:rPr>
          <w:szCs w:val="22"/>
        </w:rPr>
        <w:t xml:space="preserve"> out of sight of their dive </w:t>
      </w:r>
      <w:r w:rsidRPr="00307D40">
        <w:rPr>
          <w:szCs w:val="22"/>
        </w:rPr>
        <w:t>boats.</w:t>
      </w:r>
      <w:r>
        <w:rPr>
          <w:rStyle w:val="FootnoteReference"/>
          <w:szCs w:val="22"/>
        </w:rPr>
        <w:footnoteReference w:id="10"/>
      </w:r>
      <w:r>
        <w:rPr>
          <w:szCs w:val="22"/>
        </w:rPr>
        <w:t xml:space="preserve">  Overall,</w:t>
      </w:r>
      <w:r w:rsidRPr="00307D40">
        <w:rPr>
          <w:szCs w:val="22"/>
        </w:rPr>
        <w:t xml:space="preserve"> MSLD</w:t>
      </w:r>
      <w:r>
        <w:rPr>
          <w:szCs w:val="22"/>
        </w:rPr>
        <w:t>s</w:t>
      </w:r>
      <w:r w:rsidRPr="00307D40">
        <w:rPr>
          <w:szCs w:val="22"/>
        </w:rPr>
        <w:t xml:space="preserve"> </w:t>
      </w:r>
      <w:r w:rsidRPr="00043D1A">
        <w:rPr>
          <w:szCs w:val="22"/>
        </w:rPr>
        <w:t>aid</w:t>
      </w:r>
      <w:r>
        <w:rPr>
          <w:szCs w:val="22"/>
        </w:rPr>
        <w:t xml:space="preserve"> in</w:t>
      </w:r>
      <w:r w:rsidRPr="00043D1A">
        <w:rPr>
          <w:szCs w:val="22"/>
        </w:rPr>
        <w:t xml:space="preserve"> </w:t>
      </w:r>
      <w:r>
        <w:rPr>
          <w:szCs w:val="22"/>
        </w:rPr>
        <w:t>locating</w:t>
      </w:r>
      <w:r w:rsidRPr="00043D1A">
        <w:rPr>
          <w:szCs w:val="22"/>
        </w:rPr>
        <w:t xml:space="preserve"> persons in the water.</w:t>
      </w:r>
      <w:r>
        <w:rPr>
          <w:rStyle w:val="FootnoteReference"/>
          <w:szCs w:val="22"/>
        </w:rPr>
        <w:footnoteReference w:id="11"/>
      </w:r>
      <w:r w:rsidRPr="00307D40">
        <w:rPr>
          <w:szCs w:val="22"/>
        </w:rPr>
        <w:t xml:space="preserve">  </w:t>
      </w:r>
      <w:r w:rsidRPr="00CD6798">
        <w:rPr>
          <w:szCs w:val="22"/>
        </w:rPr>
        <w:t>MSLD</w:t>
      </w:r>
      <w:r>
        <w:rPr>
          <w:szCs w:val="22"/>
        </w:rPr>
        <w:t>s</w:t>
      </w:r>
      <w:r w:rsidRPr="00CD6798">
        <w:rPr>
          <w:szCs w:val="22"/>
        </w:rPr>
        <w:t xml:space="preserve"> can be worn on or as part of a garment or life jacket and </w:t>
      </w:r>
      <w:r>
        <w:rPr>
          <w:szCs w:val="22"/>
        </w:rPr>
        <w:t>are</w:t>
      </w:r>
      <w:r w:rsidRPr="00CD6798">
        <w:rPr>
          <w:szCs w:val="22"/>
        </w:rPr>
        <w:t xml:space="preserve"> intended to facilitate immediate </w:t>
      </w:r>
      <w:r>
        <w:rPr>
          <w:szCs w:val="22"/>
        </w:rPr>
        <w:t>rescue</w:t>
      </w:r>
      <w:r w:rsidRPr="00CD6798">
        <w:rPr>
          <w:szCs w:val="22"/>
        </w:rPr>
        <w:t>.</w:t>
      </w:r>
      <w:r>
        <w:rPr>
          <w:rStyle w:val="FootnoteReference"/>
          <w:szCs w:val="22"/>
        </w:rPr>
        <w:footnoteReference w:id="12"/>
      </w:r>
      <w:r w:rsidRPr="00CD6798">
        <w:rPr>
          <w:szCs w:val="22"/>
        </w:rPr>
        <w:t> </w:t>
      </w:r>
    </w:p>
    <w:p w:rsidR="00C90997" w:rsidP="00C90997" w14:paraId="6CA30B5D" w14:textId="4F40B3EC">
      <w:pPr>
        <w:spacing w:before="120" w:after="120"/>
        <w:ind w:firstLine="720"/>
        <w:rPr>
          <w:szCs w:val="22"/>
        </w:rPr>
      </w:pPr>
      <w:r>
        <w:t>Domestically, the sale and use of a</w:t>
      </w:r>
      <w:r w:rsidR="00C24068">
        <w:t>n MSLD</w:t>
      </w:r>
      <w:r>
        <w:t xml:space="preserve"> require</w:t>
      </w:r>
      <w:r w:rsidR="00C24068">
        <w:t>s</w:t>
      </w:r>
      <w:r>
        <w:t xml:space="preserve"> a company to obtain an FCC ID number, which</w:t>
      </w:r>
      <w:r w:rsidRPr="00D931D2">
        <w:t xml:space="preserve"> indicate</w:t>
      </w:r>
      <w:r>
        <w:t xml:space="preserve">s </w:t>
      </w:r>
      <w:r w:rsidRPr="00D931D2">
        <w:t>that the device has received an FCC grant of certification.</w:t>
      </w:r>
      <w:r>
        <w:rPr>
          <w:rStyle w:val="FootnoteReference"/>
          <w:sz w:val="20"/>
        </w:rPr>
        <w:footnoteReference w:id="13"/>
      </w:r>
      <w:r>
        <w:t xml:space="preserve">  </w:t>
      </w:r>
      <w:r>
        <w:rPr>
          <w:szCs w:val="22"/>
        </w:rPr>
        <w:t xml:space="preserve">Currently, to be manufactured, imported, or sold in the United States, </w:t>
      </w:r>
      <w:r w:rsidRPr="00307D40">
        <w:rPr>
          <w:szCs w:val="22"/>
        </w:rPr>
        <w:t>MSLDs must conform with RTCM Standard 11901.1</w:t>
      </w:r>
      <w:r w:rsidRPr="006D6908">
        <w:rPr>
          <w:szCs w:val="22"/>
        </w:rPr>
        <w:t xml:space="preserve"> </w:t>
      </w:r>
      <w:r>
        <w:rPr>
          <w:szCs w:val="22"/>
        </w:rPr>
        <w:t>(</w:t>
      </w:r>
      <w:r w:rsidRPr="006D6908">
        <w:rPr>
          <w:szCs w:val="22"/>
        </w:rPr>
        <w:t>Maritime Survivor Locating Devices (MSLD)</w:t>
      </w:r>
      <w:r>
        <w:rPr>
          <w:szCs w:val="22"/>
        </w:rPr>
        <w:t>)</w:t>
      </w:r>
      <w:r w:rsidR="008D06F9">
        <w:rPr>
          <w:szCs w:val="22"/>
        </w:rPr>
        <w:t>, which</w:t>
      </w:r>
      <w:r w:rsidRPr="00307D40">
        <w:rPr>
          <w:szCs w:val="22"/>
        </w:rPr>
        <w:t xml:space="preserve"> is incorporated by reference in </w:t>
      </w:r>
      <w:r>
        <w:rPr>
          <w:szCs w:val="22"/>
        </w:rPr>
        <w:t xml:space="preserve">47 CFR </w:t>
      </w:r>
      <w:r w:rsidR="001408BF">
        <w:rPr>
          <w:szCs w:val="22"/>
        </w:rPr>
        <w:t xml:space="preserve">   </w:t>
      </w:r>
      <w:r>
        <w:rPr>
          <w:szCs w:val="22"/>
        </w:rPr>
        <w:t>§ 95.2989(b)(1)(ii)</w:t>
      </w:r>
      <w:r w:rsidRPr="00307D40">
        <w:rPr>
          <w:szCs w:val="22"/>
        </w:rPr>
        <w:t>.</w:t>
      </w:r>
      <w:r>
        <w:rPr>
          <w:rStyle w:val="FootnoteReference"/>
          <w:szCs w:val="22"/>
        </w:rPr>
        <w:footnoteReference w:id="14"/>
      </w:r>
      <w:r>
        <w:rPr>
          <w:szCs w:val="22"/>
        </w:rPr>
        <w:t xml:space="preserve">  </w:t>
      </w:r>
    </w:p>
    <w:p w:rsidR="00C90997" w:rsidP="00C90997" w14:paraId="45F7F0F0" w14:textId="4A9C5619">
      <w:pPr>
        <w:spacing w:before="120" w:after="120"/>
        <w:ind w:firstLine="720"/>
        <w:rPr>
          <w:szCs w:val="22"/>
        </w:rPr>
      </w:pPr>
      <w:r>
        <w:rPr>
          <w:szCs w:val="22"/>
        </w:rPr>
        <w:t>However, in</w:t>
      </w:r>
      <w:r w:rsidRPr="00307D40">
        <w:rPr>
          <w:szCs w:val="22"/>
        </w:rPr>
        <w:t xml:space="preserve"> November 2024</w:t>
      </w:r>
      <w:r>
        <w:rPr>
          <w:szCs w:val="22"/>
        </w:rPr>
        <w:t>,</w:t>
      </w:r>
      <w:r w:rsidRPr="00307D40">
        <w:rPr>
          <w:szCs w:val="22"/>
        </w:rPr>
        <w:t xml:space="preserve"> </w:t>
      </w:r>
      <w:r>
        <w:rPr>
          <w:szCs w:val="22"/>
        </w:rPr>
        <w:t xml:space="preserve">RTCM Standard 11901.2 </w:t>
      </w:r>
      <w:r w:rsidR="008D06F9">
        <w:rPr>
          <w:szCs w:val="22"/>
        </w:rPr>
        <w:t xml:space="preserve">was </w:t>
      </w:r>
      <w:r>
        <w:rPr>
          <w:szCs w:val="22"/>
        </w:rPr>
        <w:t>published</w:t>
      </w:r>
      <w:r w:rsidR="00A22CA9">
        <w:rPr>
          <w:szCs w:val="22"/>
        </w:rPr>
        <w:t>.</w:t>
      </w:r>
      <w:r>
        <w:rPr>
          <w:rStyle w:val="FootnoteReference"/>
          <w:sz w:val="20"/>
        </w:rPr>
        <w:footnoteReference w:id="15"/>
      </w:r>
      <w:r>
        <w:rPr>
          <w:szCs w:val="22"/>
        </w:rPr>
        <w:t xml:space="preserve"> </w:t>
      </w:r>
      <w:r w:rsidR="00A22CA9">
        <w:rPr>
          <w:szCs w:val="22"/>
        </w:rPr>
        <w:t xml:space="preserve"> This </w:t>
      </w:r>
      <w:r w:rsidR="001C5482">
        <w:rPr>
          <w:szCs w:val="22"/>
        </w:rPr>
        <w:t>updated standard</w:t>
      </w:r>
      <w:r>
        <w:rPr>
          <w:szCs w:val="22"/>
        </w:rPr>
        <w:t xml:space="preserve"> recognized</w:t>
      </w:r>
      <w:r w:rsidRPr="00307D40">
        <w:rPr>
          <w:szCs w:val="22"/>
        </w:rPr>
        <w:t xml:space="preserve"> the integration of DSC and AIS</w:t>
      </w:r>
      <w:r>
        <w:rPr>
          <w:szCs w:val="22"/>
        </w:rPr>
        <w:t xml:space="preserve"> </w:t>
      </w:r>
      <w:r w:rsidRPr="00307D40">
        <w:rPr>
          <w:szCs w:val="22"/>
        </w:rPr>
        <w:t>technologies.</w:t>
      </w:r>
      <w:r>
        <w:rPr>
          <w:rStyle w:val="FootnoteReference"/>
          <w:sz w:val="20"/>
        </w:rPr>
        <w:footnoteReference w:id="16"/>
      </w:r>
      <w:r>
        <w:rPr>
          <w:szCs w:val="22"/>
        </w:rPr>
        <w:t xml:space="preserve">  </w:t>
      </w:r>
      <w:r w:rsidRPr="00307D40">
        <w:rPr>
          <w:szCs w:val="22"/>
        </w:rPr>
        <w:t xml:space="preserve">According to Ocean Signal, the MOB2 immediately activates </w:t>
      </w:r>
      <w:r>
        <w:rPr>
          <w:szCs w:val="22"/>
        </w:rPr>
        <w:t xml:space="preserve">a </w:t>
      </w:r>
      <w:r w:rsidRPr="00307D40">
        <w:rPr>
          <w:szCs w:val="22"/>
        </w:rPr>
        <w:t xml:space="preserve">DSC </w:t>
      </w:r>
      <w:r>
        <w:rPr>
          <w:szCs w:val="22"/>
        </w:rPr>
        <w:t xml:space="preserve">distress call </w:t>
      </w:r>
      <w:r w:rsidRPr="00307D40">
        <w:rPr>
          <w:szCs w:val="22"/>
        </w:rPr>
        <w:t xml:space="preserve">on a vessel’s VHF radio </w:t>
      </w:r>
      <w:r>
        <w:rPr>
          <w:szCs w:val="22"/>
        </w:rPr>
        <w:t xml:space="preserve">and </w:t>
      </w:r>
      <w:r w:rsidRPr="00307D40">
        <w:rPr>
          <w:szCs w:val="22"/>
        </w:rPr>
        <w:t>transmits a location via AIS</w:t>
      </w:r>
      <w:r>
        <w:rPr>
          <w:szCs w:val="22"/>
        </w:rPr>
        <w:t xml:space="preserve"> that rapidly alerts </w:t>
      </w:r>
      <w:r w:rsidRPr="00307D40">
        <w:rPr>
          <w:szCs w:val="22"/>
        </w:rPr>
        <w:t>the maritime community.</w:t>
      </w:r>
      <w:r>
        <w:rPr>
          <w:rStyle w:val="FootnoteReference"/>
          <w:szCs w:val="22"/>
        </w:rPr>
        <w:footnoteReference w:id="17"/>
      </w:r>
      <w:r w:rsidRPr="00307D40">
        <w:rPr>
          <w:szCs w:val="22"/>
        </w:rPr>
        <w:t xml:space="preserve">  Consequently, Ocean Signal seeks a waiver to permit equipment certification and use of the MOB2, which Ocean Signal asserts is compliant with the latest RTCM standard that is not incorporated into the Commission’s </w:t>
      </w:r>
      <w:r w:rsidRPr="00583B98">
        <w:rPr>
          <w:szCs w:val="22"/>
        </w:rPr>
        <w:t>rules.</w:t>
      </w:r>
      <w:r>
        <w:rPr>
          <w:rStyle w:val="FootnoteReference"/>
          <w:szCs w:val="22"/>
        </w:rPr>
        <w:footnoteReference w:id="18"/>
      </w:r>
    </w:p>
    <w:p w:rsidR="00C90997" w:rsidRPr="00307D40" w:rsidP="00C90997" w14:paraId="53E2EE4B" w14:textId="165763CC">
      <w:pPr>
        <w:spacing w:after="120"/>
        <w:ind w:firstLine="720"/>
        <w:rPr>
          <w:szCs w:val="22"/>
        </w:rPr>
      </w:pPr>
      <w:r w:rsidRPr="004D64DC">
        <w:rPr>
          <w:szCs w:val="22"/>
        </w:rPr>
        <w:t xml:space="preserve">Accordingly, the Bureau seeks comment on </w:t>
      </w:r>
      <w:r>
        <w:rPr>
          <w:szCs w:val="22"/>
        </w:rPr>
        <w:t>Ocean Signal’s</w:t>
      </w:r>
      <w:r w:rsidRPr="004D64DC">
        <w:rPr>
          <w:szCs w:val="22"/>
        </w:rPr>
        <w:t xml:space="preserve"> waiver request for</w:t>
      </w:r>
      <w:r>
        <w:rPr>
          <w:szCs w:val="22"/>
        </w:rPr>
        <w:t xml:space="preserve"> the</w:t>
      </w:r>
      <w:r w:rsidRPr="004D64DC">
        <w:rPr>
          <w:szCs w:val="22"/>
        </w:rPr>
        <w:t xml:space="preserve"> </w:t>
      </w:r>
      <w:r w:rsidRPr="00307D40">
        <w:rPr>
          <w:szCs w:val="22"/>
        </w:rPr>
        <w:t>MOB2</w:t>
      </w:r>
      <w:r w:rsidRPr="004D64DC">
        <w:rPr>
          <w:szCs w:val="22"/>
        </w:rPr>
        <w:t xml:space="preserve">.  </w:t>
      </w:r>
      <w:r>
        <w:rPr>
          <w:szCs w:val="22"/>
        </w:rPr>
        <w:t xml:space="preserve">Ocean Signal </w:t>
      </w:r>
      <w:r w:rsidRPr="004D64DC">
        <w:rPr>
          <w:szCs w:val="22"/>
        </w:rPr>
        <w:t>filed its request</w:t>
      </w:r>
      <w:r>
        <w:rPr>
          <w:szCs w:val="22"/>
        </w:rPr>
        <w:t xml:space="preserve"> </w:t>
      </w:r>
      <w:r w:rsidRPr="004D64DC">
        <w:rPr>
          <w:szCs w:val="22"/>
        </w:rPr>
        <w:t>electronically in the Commission’s Electronic Comment Filing System (ECFS).  We have</w:t>
      </w:r>
      <w:r>
        <w:rPr>
          <w:szCs w:val="22"/>
        </w:rPr>
        <w:t xml:space="preserve"> since</w:t>
      </w:r>
      <w:r w:rsidRPr="004D64DC">
        <w:rPr>
          <w:szCs w:val="22"/>
        </w:rPr>
        <w:t xml:space="preserve"> opened a new docket, </w:t>
      </w:r>
      <w:r w:rsidRPr="009D2D2D">
        <w:rPr>
          <w:b/>
          <w:bCs/>
          <w:szCs w:val="22"/>
        </w:rPr>
        <w:t>WT Docket No.</w:t>
      </w:r>
      <w:r w:rsidRPr="009D2D2D" w:rsidR="009D2D2D">
        <w:rPr>
          <w:b/>
          <w:bCs/>
          <w:szCs w:val="22"/>
        </w:rPr>
        <w:t xml:space="preserve"> 26-251</w:t>
      </w:r>
      <w:r w:rsidRPr="009D2D2D">
        <w:rPr>
          <w:szCs w:val="22"/>
        </w:rPr>
        <w:t>,</w:t>
      </w:r>
      <w:r w:rsidRPr="004D64DC">
        <w:rPr>
          <w:szCs w:val="22"/>
        </w:rPr>
        <w:t xml:space="preserve"> to facilitate consideration of </w:t>
      </w:r>
      <w:r w:rsidR="007012EB">
        <w:rPr>
          <w:szCs w:val="22"/>
        </w:rPr>
        <w:t>Ocean Signal</w:t>
      </w:r>
      <w:r>
        <w:rPr>
          <w:szCs w:val="22"/>
        </w:rPr>
        <w:t>’s</w:t>
      </w:r>
      <w:r w:rsidRPr="004D64DC">
        <w:rPr>
          <w:szCs w:val="22"/>
        </w:rPr>
        <w:t xml:space="preserve"> </w:t>
      </w:r>
      <w:r>
        <w:rPr>
          <w:szCs w:val="22"/>
        </w:rPr>
        <w:t>request and</w:t>
      </w:r>
      <w:r w:rsidR="00DD2C1C">
        <w:rPr>
          <w:szCs w:val="22"/>
        </w:rPr>
        <w:t xml:space="preserve"> associated</w:t>
      </w:r>
      <w:r>
        <w:rPr>
          <w:szCs w:val="22"/>
        </w:rPr>
        <w:t xml:space="preserve"> submissions</w:t>
      </w:r>
      <w:r w:rsidRPr="004D64DC">
        <w:rPr>
          <w:szCs w:val="22"/>
        </w:rPr>
        <w:t xml:space="preserve">.  Parties should file all comments and reply comments in </w:t>
      </w:r>
      <w:r w:rsidRPr="009D2D2D">
        <w:rPr>
          <w:b/>
          <w:bCs/>
          <w:szCs w:val="22"/>
        </w:rPr>
        <w:t>WT Docket No.</w:t>
      </w:r>
      <w:r w:rsidRPr="009D2D2D" w:rsidR="009D2D2D">
        <w:rPr>
          <w:b/>
          <w:bCs/>
          <w:szCs w:val="22"/>
        </w:rPr>
        <w:t xml:space="preserve"> 26-251</w:t>
      </w:r>
      <w:r w:rsidRPr="009D2D2D">
        <w:rPr>
          <w:szCs w:val="22"/>
        </w:rPr>
        <w:t>.</w:t>
      </w:r>
    </w:p>
    <w:p w:rsidR="00C90997" w:rsidRPr="00307D40" w:rsidP="000F58BF" w14:paraId="43DC9B8C" w14:textId="77777777">
      <w:pPr>
        <w:spacing w:after="120"/>
        <w:rPr>
          <w:b/>
          <w:bCs/>
          <w:szCs w:val="22"/>
        </w:rPr>
      </w:pPr>
      <w:r w:rsidRPr="00307D40">
        <w:rPr>
          <w:b/>
          <w:bCs/>
          <w:szCs w:val="22"/>
        </w:rPr>
        <w:t>Procedural Matters</w:t>
      </w:r>
    </w:p>
    <w:p w:rsidR="0026512D" w:rsidRPr="00307D40" w:rsidP="0026512D" w14:paraId="3391C665" w14:textId="77777777">
      <w:pPr>
        <w:spacing w:after="120"/>
        <w:ind w:firstLine="720"/>
        <w:rPr>
          <w:szCs w:val="22"/>
        </w:rPr>
      </w:pPr>
      <w:r w:rsidRPr="00307D40">
        <w:rPr>
          <w:szCs w:val="22"/>
        </w:rPr>
        <w:t xml:space="preserve">This proceeding has been designated as a “permit-but-disclose” proceeding in accordance with the Commission's </w:t>
      </w:r>
      <w:r w:rsidRPr="00307D40">
        <w:rPr>
          <w:i/>
          <w:szCs w:val="22"/>
        </w:rPr>
        <w:t xml:space="preserve">ex </w:t>
      </w:r>
      <w:r w:rsidRPr="00307D40">
        <w:rPr>
          <w:i/>
          <w:szCs w:val="22"/>
        </w:rPr>
        <w:t>parte</w:t>
      </w:r>
      <w:r w:rsidRPr="00307D40">
        <w:rPr>
          <w:szCs w:val="22"/>
        </w:rPr>
        <w:t xml:space="preserve"> rules.</w:t>
      </w:r>
      <w:r>
        <w:rPr>
          <w:szCs w:val="22"/>
          <w:vertAlign w:val="superscript"/>
        </w:rPr>
        <w:footnoteReference w:id="19"/>
      </w:r>
      <w:r w:rsidRPr="00307D40">
        <w:rPr>
          <w:szCs w:val="22"/>
        </w:rPr>
        <w:t xml:space="preserve">  Persons making </w:t>
      </w:r>
      <w:r w:rsidRPr="00307D40">
        <w:rPr>
          <w:i/>
          <w:szCs w:val="22"/>
        </w:rPr>
        <w:t xml:space="preserve">ex </w:t>
      </w:r>
      <w:r w:rsidRPr="00307D40">
        <w:rPr>
          <w:i/>
          <w:szCs w:val="22"/>
        </w:rPr>
        <w:t>parte</w:t>
      </w:r>
      <w:r w:rsidRPr="00307D40">
        <w:rPr>
          <w:i/>
          <w:szCs w:val="22"/>
        </w:rPr>
        <w:t xml:space="preserve"> </w:t>
      </w:r>
      <w:r w:rsidRPr="00307D40">
        <w:rPr>
          <w:szCs w:val="22"/>
        </w:rPr>
        <w:t xml:space="preserve">presentations must file a copy of any written presentation or a memorandum summarizing any oral presentation within two business days after the presentation (unless a different deadline applicable to the Sunshine period applies).  Persons making oral </w:t>
      </w:r>
      <w:r w:rsidRPr="00307D40">
        <w:rPr>
          <w:i/>
          <w:iCs/>
          <w:szCs w:val="22"/>
        </w:rPr>
        <w:t xml:space="preserve">ex </w:t>
      </w:r>
      <w:r w:rsidRPr="00307D40">
        <w:rPr>
          <w:i/>
          <w:iCs/>
          <w:szCs w:val="22"/>
        </w:rPr>
        <w:t>parte</w:t>
      </w:r>
      <w:r w:rsidRPr="00307D40">
        <w:rPr>
          <w:i/>
          <w:iCs/>
          <w:szCs w:val="22"/>
        </w:rPr>
        <w:t xml:space="preserve"> </w:t>
      </w:r>
      <w:r w:rsidRPr="00307D40">
        <w:rPr>
          <w:szCs w:val="22"/>
        </w:rPr>
        <w:t xml:space="preserve">presentations are reminded that memoranda summarizing the presentation must (1) list all persons attending or otherwise participating in the meeting at which the </w:t>
      </w:r>
      <w:r w:rsidRPr="00307D40">
        <w:rPr>
          <w:i/>
          <w:iCs/>
          <w:szCs w:val="22"/>
        </w:rPr>
        <w:t xml:space="preserve">ex </w:t>
      </w:r>
      <w:r w:rsidRPr="00307D40">
        <w:rPr>
          <w:i/>
          <w:iCs/>
          <w:szCs w:val="22"/>
        </w:rPr>
        <w:t>parte</w:t>
      </w:r>
      <w:r w:rsidRPr="00307D40">
        <w:rPr>
          <w:i/>
          <w:iCs/>
          <w:szCs w:val="22"/>
        </w:rPr>
        <w:t xml:space="preserve"> </w:t>
      </w:r>
      <w:r w:rsidRPr="00307D40">
        <w:rPr>
          <w:szCs w:val="22"/>
        </w:rPr>
        <w:t xml:space="preserve">presentation was made, and (2) summarize all data presented and arguments made during the presentation.  If the presentation consisted in whole or in part of the presentation of data or arguments already reflected in the presenter’s </w:t>
      </w:r>
      <w:r w:rsidRPr="00307D40">
        <w:rPr>
          <w:szCs w:val="22"/>
        </w:rPr>
        <w:t xml:space="preserve">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307D40">
        <w:rPr>
          <w:i/>
          <w:iCs/>
          <w:szCs w:val="22"/>
        </w:rPr>
        <w:t xml:space="preserve">ex </w:t>
      </w:r>
      <w:r w:rsidRPr="00307D40">
        <w:rPr>
          <w:i/>
          <w:iCs/>
          <w:szCs w:val="22"/>
        </w:rPr>
        <w:t>parte</w:t>
      </w:r>
      <w:r w:rsidRPr="00307D40">
        <w:rPr>
          <w:i/>
          <w:iCs/>
          <w:szCs w:val="22"/>
        </w:rPr>
        <w:t xml:space="preserve"> </w:t>
      </w:r>
      <w:r w:rsidRPr="00307D40">
        <w:rPr>
          <w:szCs w:val="22"/>
        </w:rPr>
        <w:t xml:space="preserve">meetings are deemed to be written </w:t>
      </w:r>
      <w:r w:rsidRPr="00307D40">
        <w:rPr>
          <w:i/>
          <w:iCs/>
          <w:szCs w:val="22"/>
        </w:rPr>
        <w:t xml:space="preserve">ex </w:t>
      </w:r>
      <w:r w:rsidRPr="00307D40">
        <w:rPr>
          <w:i/>
          <w:iCs/>
          <w:szCs w:val="22"/>
        </w:rPr>
        <w:t>parte</w:t>
      </w:r>
      <w:r w:rsidRPr="00307D40">
        <w:rPr>
          <w:szCs w:val="22"/>
        </w:rPr>
        <w:t xml:space="preserve"> presentations and must be filed consistent with rule 1.1206(b).  In proceedings governed by rule 1.49(f) or for which the Commission has made available a method of electronic filing, written </w:t>
      </w:r>
      <w:r w:rsidRPr="00307D40">
        <w:rPr>
          <w:i/>
          <w:iCs/>
          <w:szCs w:val="22"/>
        </w:rPr>
        <w:t xml:space="preserve">ex </w:t>
      </w:r>
      <w:r w:rsidRPr="00307D40">
        <w:rPr>
          <w:i/>
          <w:iCs/>
          <w:szCs w:val="22"/>
        </w:rPr>
        <w:t>parte</w:t>
      </w:r>
      <w:r w:rsidRPr="00307D40">
        <w:rPr>
          <w:i/>
          <w:iCs/>
          <w:szCs w:val="22"/>
        </w:rPr>
        <w:t xml:space="preserve"> </w:t>
      </w:r>
      <w:r w:rsidRPr="00307D40">
        <w:rPr>
          <w:szCs w:val="22"/>
        </w:rPr>
        <w:t xml:space="preserve">presentations and memoranda summarizing oral </w:t>
      </w:r>
      <w:r w:rsidRPr="00307D40">
        <w:rPr>
          <w:i/>
          <w:iCs/>
          <w:szCs w:val="22"/>
        </w:rPr>
        <w:t xml:space="preserve">ex </w:t>
      </w:r>
      <w:r w:rsidRPr="00307D40">
        <w:rPr>
          <w:i/>
          <w:iCs/>
          <w:szCs w:val="22"/>
        </w:rPr>
        <w:t>parte</w:t>
      </w:r>
      <w:r w:rsidRPr="00307D40">
        <w:rPr>
          <w:i/>
          <w:iCs/>
          <w:szCs w:val="22"/>
        </w:rPr>
        <w:t xml:space="preserve"> </w:t>
      </w:r>
      <w:r w:rsidRPr="00307D40">
        <w:rPr>
          <w:szCs w:val="22"/>
        </w:rPr>
        <w:t>presentations, and all attachments thereto, must be filed through the electronic comment filing system available for that proceeding, and must be filed in their native format (</w:t>
      </w:r>
      <w:r w:rsidRPr="00307D40">
        <w:rPr>
          <w:i/>
          <w:iCs/>
          <w:szCs w:val="22"/>
        </w:rPr>
        <w:t>e.g.</w:t>
      </w:r>
      <w:r w:rsidRPr="00307D40">
        <w:rPr>
          <w:szCs w:val="22"/>
        </w:rPr>
        <w:t xml:space="preserve">, .doc, .xml, .ppt, searchable .pdf).  Participants in this proceeding should familiarize themselves with the Commission’s </w:t>
      </w:r>
      <w:r w:rsidRPr="00307D40">
        <w:rPr>
          <w:i/>
          <w:iCs/>
          <w:szCs w:val="22"/>
        </w:rPr>
        <w:t xml:space="preserve">ex </w:t>
      </w:r>
      <w:r w:rsidRPr="00307D40">
        <w:rPr>
          <w:i/>
          <w:iCs/>
          <w:szCs w:val="22"/>
        </w:rPr>
        <w:t>parte</w:t>
      </w:r>
      <w:r w:rsidRPr="00307D40">
        <w:rPr>
          <w:i/>
          <w:iCs/>
          <w:szCs w:val="22"/>
        </w:rPr>
        <w:t xml:space="preserve"> </w:t>
      </w:r>
      <w:r w:rsidRPr="00307D40">
        <w:rPr>
          <w:szCs w:val="22"/>
        </w:rPr>
        <w:t>rules.</w:t>
      </w:r>
    </w:p>
    <w:p w:rsidR="00C90997" w:rsidRPr="00307D40" w:rsidP="00C90997" w14:paraId="01481DB5" w14:textId="77777777">
      <w:pPr>
        <w:spacing w:after="120"/>
        <w:ind w:firstLine="720"/>
        <w:rPr>
          <w:szCs w:val="22"/>
        </w:rPr>
      </w:pPr>
      <w:r w:rsidRPr="00307D40">
        <w:rPr>
          <w:szCs w:val="22"/>
        </w:rPr>
        <w:t xml:space="preserve">Interested parties may file comments and reply comments on or before the dates indicated on the first page of this document.  Comments may be filed using the Commission’s Electronic Comment Filing System (ECFS).  </w:t>
      </w:r>
    </w:p>
    <w:p w:rsidR="003754FC" w:rsidRPr="00307D40" w:rsidP="000F58BF" w14:paraId="788471CC" w14:textId="40B34D6A">
      <w:pPr>
        <w:numPr>
          <w:ilvl w:val="0"/>
          <w:numId w:val="8"/>
        </w:numPr>
        <w:spacing w:after="120"/>
        <w:rPr>
          <w:szCs w:val="22"/>
        </w:rPr>
      </w:pPr>
      <w:r w:rsidRPr="00307D40">
        <w:rPr>
          <w:szCs w:val="22"/>
        </w:rPr>
        <w:t xml:space="preserve">Electronic Filers:  Comments may be filed electronically using the Internet by accessing the ECFS:  https://www.fcc.gov/ecfs/.  </w:t>
      </w:r>
    </w:p>
    <w:p w:rsidR="003754FC" w:rsidRPr="003754FC" w:rsidP="000F58BF" w14:paraId="33DC70AC" w14:textId="037EA9DD">
      <w:pPr>
        <w:numPr>
          <w:ilvl w:val="0"/>
          <w:numId w:val="8"/>
        </w:numPr>
        <w:spacing w:after="120"/>
        <w:rPr>
          <w:szCs w:val="22"/>
        </w:rPr>
      </w:pPr>
      <w:r w:rsidRPr="003754FC">
        <w:rPr>
          <w:szCs w:val="22"/>
        </w:rPr>
        <w:t xml:space="preserve">Paper Filers:  Parties who choose to file by paper must file an original and one copy of each filing.  </w:t>
      </w:r>
    </w:p>
    <w:p w:rsidR="00EE4953" w:rsidRPr="003754FC" w:rsidP="000F58BF" w14:paraId="1BAFB267" w14:textId="052F3E57">
      <w:pPr>
        <w:numPr>
          <w:ilvl w:val="1"/>
          <w:numId w:val="8"/>
        </w:numPr>
        <w:spacing w:after="120"/>
        <w:rPr>
          <w:b/>
          <w:bCs/>
        </w:rPr>
      </w:pPr>
      <w:r w:rsidRPr="003754FC">
        <w:t xml:space="preserve">Filings can be sent by hand or messenger delivery, by commercial courier, or by the U.S. Postal Service.  </w:t>
      </w:r>
      <w:r w:rsidRPr="003754FC">
        <w:rPr>
          <w:b/>
          <w:bCs/>
        </w:rPr>
        <w:t>All filings must be addressed to the Secretary, Federal Communications Commission.</w:t>
      </w:r>
    </w:p>
    <w:p w:rsidR="00EE4953" w:rsidRPr="00EE4953" w:rsidP="000F58BF" w14:paraId="389A64F1" w14:textId="74780D1D">
      <w:pPr>
        <w:numPr>
          <w:ilvl w:val="1"/>
          <w:numId w:val="8"/>
        </w:numPr>
        <w:spacing w:after="120"/>
        <w:rPr>
          <w:szCs w:val="22"/>
        </w:rPr>
      </w:pPr>
      <w:r w:rsidRPr="00EE4953">
        <w:rPr>
          <w:szCs w:val="22"/>
        </w:rPr>
        <w:t xml:space="preserve">Hand-delivered or messenger-delivered paper filings for the Commission’s Secretary are accepted between 8:00 a.m. and 4:00 p.m. ET by the FCC’s mailing contractor at 9050 Junction Drive, Annapolis Junction, MD 20701.  All hand deliveries must be held together with rubber bands or fasteners.  Any envelopes and boxes must be disposed of before entering the building.  </w:t>
      </w:r>
    </w:p>
    <w:p w:rsidR="00EE4953" w:rsidRPr="00EE4953" w:rsidP="000F58BF" w14:paraId="2B0EA82B" w14:textId="3FB0BDE4">
      <w:pPr>
        <w:numPr>
          <w:ilvl w:val="1"/>
          <w:numId w:val="8"/>
        </w:numPr>
        <w:spacing w:after="120"/>
      </w:pPr>
      <w:r w:rsidRPr="00EE4953">
        <w:t>Commercial courier deliveries (any deliveries not by the U.S. Postal Service) must be sent to 9050 Junction Drive, Annapolis Junction, MD 20701.</w:t>
      </w:r>
    </w:p>
    <w:p w:rsidR="00C90997" w:rsidRPr="00EE4953" w:rsidP="000F58BF" w14:paraId="1AFEE2DC" w14:textId="77777777">
      <w:pPr>
        <w:numPr>
          <w:ilvl w:val="1"/>
          <w:numId w:val="8"/>
        </w:numPr>
        <w:spacing w:after="120"/>
      </w:pPr>
      <w:r w:rsidRPr="00EE4953">
        <w:t>Filings sent by U.S. Postal Service First-Class Mail, Priority Mail, and Priority Mail Express must be sent to 45 L Street NE, Washington, DC 20554.</w:t>
      </w:r>
    </w:p>
    <w:p w:rsidR="00C90997" w:rsidRPr="00307D40" w:rsidP="00776760" w14:paraId="20CDEBB4" w14:textId="3521864C">
      <w:pPr>
        <w:spacing w:after="120"/>
        <w:ind w:firstLine="720"/>
        <w:rPr>
          <w:szCs w:val="22"/>
        </w:rPr>
      </w:pPr>
      <w:r w:rsidRPr="000F58BF">
        <w:rPr>
          <w:i/>
          <w:iCs/>
          <w:szCs w:val="22"/>
        </w:rPr>
        <w:t>People with Disabilities</w:t>
      </w:r>
      <w:r w:rsidR="00523C4D">
        <w:rPr>
          <w:szCs w:val="22"/>
        </w:rPr>
        <w:t>.</w:t>
      </w:r>
      <w:r w:rsidRPr="00307D40" w:rsidR="00523C4D">
        <w:rPr>
          <w:szCs w:val="22"/>
        </w:rPr>
        <w:t xml:space="preserve">  </w:t>
      </w:r>
      <w:r w:rsidRPr="00307D40">
        <w:rPr>
          <w:szCs w:val="22"/>
        </w:rPr>
        <w:t xml:space="preserve">To request materials in accessible formats for people with disabilities (braille, large print, electronic files, audio format), send an e-mail to </w:t>
      </w:r>
      <w:hyperlink r:id="rId6" w:history="1">
        <w:r w:rsidRPr="00307D40">
          <w:rPr>
            <w:color w:val="0000FF"/>
            <w:szCs w:val="22"/>
            <w:u w:val="single"/>
          </w:rPr>
          <w:t>fcc504@fcc.gov</w:t>
        </w:r>
      </w:hyperlink>
      <w:r w:rsidRPr="00307D40">
        <w:rPr>
          <w:szCs w:val="22"/>
        </w:rPr>
        <w:t xml:space="preserve"> or call the Consumer &amp; Governmental Affairs Bureau at 202-418-0530 (voice).</w:t>
      </w:r>
    </w:p>
    <w:p w:rsidR="00C90997" w:rsidRPr="00307D40" w:rsidP="00442B2C" w14:paraId="7B2EFF97" w14:textId="77777777">
      <w:pPr>
        <w:keepNext/>
        <w:spacing w:after="120"/>
        <w:ind w:firstLine="720"/>
        <w:rPr>
          <w:szCs w:val="22"/>
        </w:rPr>
      </w:pPr>
      <w:r w:rsidRPr="00307D40">
        <w:rPr>
          <w:szCs w:val="22"/>
        </w:rPr>
        <w:t>For further information,</w:t>
      </w:r>
      <w:r>
        <w:rPr>
          <w:szCs w:val="22"/>
        </w:rPr>
        <w:t xml:space="preserve"> contact </w:t>
      </w:r>
      <w:hyperlink r:id="rId7" w:history="1">
        <w:r w:rsidRPr="00F100C3">
          <w:rPr>
            <w:rStyle w:val="Hyperlink"/>
            <w:szCs w:val="22"/>
          </w:rPr>
          <w:t>maritime@fcc.gov</w:t>
        </w:r>
      </w:hyperlink>
      <w:r>
        <w:rPr>
          <w:szCs w:val="22"/>
        </w:rPr>
        <w:t xml:space="preserve">; </w:t>
      </w:r>
      <w:r w:rsidRPr="00307D40">
        <w:rPr>
          <w:szCs w:val="22"/>
        </w:rPr>
        <w:t xml:space="preserve">Katie Knox at (717) 338-2652, </w:t>
      </w:r>
      <w:hyperlink r:id="rId8" w:history="1">
        <w:r w:rsidRPr="00307D40">
          <w:rPr>
            <w:rStyle w:val="Hyperlink"/>
            <w:szCs w:val="22"/>
          </w:rPr>
          <w:t>katie.knox@fcc.gov</w:t>
        </w:r>
      </w:hyperlink>
      <w:r>
        <w:rPr>
          <w:szCs w:val="22"/>
        </w:rPr>
        <w:t>;</w:t>
      </w:r>
      <w:r w:rsidRPr="00307D40">
        <w:rPr>
          <w:szCs w:val="22"/>
        </w:rPr>
        <w:t xml:space="preserve"> or Kathleen Curameng at (202) 418-2791, </w:t>
      </w:r>
      <w:hyperlink r:id="rId9" w:history="1">
        <w:r w:rsidRPr="00307D40">
          <w:rPr>
            <w:rStyle w:val="Hyperlink"/>
            <w:szCs w:val="22"/>
          </w:rPr>
          <w:t>kathleen.curameng@fcc.gov</w:t>
        </w:r>
      </w:hyperlink>
      <w:r w:rsidRPr="00307D40">
        <w:rPr>
          <w:szCs w:val="22"/>
        </w:rPr>
        <w:t xml:space="preserve"> of the Wireless Telecommunications Bureau, Mobility Division</w:t>
      </w:r>
      <w:r>
        <w:rPr>
          <w:szCs w:val="22"/>
        </w:rPr>
        <w:t>.</w:t>
      </w:r>
    </w:p>
    <w:p w:rsidR="00C90997" w:rsidRPr="00307D40" w:rsidP="006B37F5" w14:paraId="551041CF" w14:textId="64280C24">
      <w:pPr>
        <w:keepNext/>
        <w:tabs>
          <w:tab w:val="left" w:pos="6480"/>
          <w:tab w:val="left" w:pos="6660"/>
        </w:tabs>
        <w:spacing w:before="60" w:after="120"/>
        <w:jc w:val="center"/>
        <w:rPr>
          <w:szCs w:val="22"/>
        </w:rPr>
      </w:pPr>
      <w:r>
        <w:rPr>
          <w:szCs w:val="22"/>
        </w:rPr>
        <w:t>B</w:t>
      </w:r>
      <w:r w:rsidRPr="00307D40">
        <w:rPr>
          <w:szCs w:val="22"/>
        </w:rPr>
        <w:t>y the Chief, Mobility Division, Wireless Telecommunications Bureau.</w:t>
      </w:r>
    </w:p>
    <w:p w:rsidR="00C90997" w:rsidRPr="00307D40" w:rsidP="000F58BF" w14:paraId="6BB98913" w14:textId="77777777">
      <w:pPr>
        <w:keepNext/>
        <w:autoSpaceDE w:val="0"/>
        <w:autoSpaceDN w:val="0"/>
        <w:adjustRightInd w:val="0"/>
        <w:spacing w:after="120"/>
        <w:rPr>
          <w:color w:val="000000"/>
          <w:szCs w:val="22"/>
        </w:rPr>
      </w:pPr>
    </w:p>
    <w:p w:rsidR="00C90997" w:rsidRPr="001D2B3B" w:rsidP="000F58BF" w14:paraId="47CC86CD" w14:textId="77777777">
      <w:pPr>
        <w:keepNext/>
        <w:autoSpaceDE w:val="0"/>
        <w:autoSpaceDN w:val="0"/>
        <w:adjustRightInd w:val="0"/>
        <w:jc w:val="center"/>
        <w:rPr>
          <w:b/>
          <w:bCs/>
          <w:szCs w:val="22"/>
        </w:rPr>
      </w:pPr>
      <w:r w:rsidRPr="00307D40">
        <w:rPr>
          <w:szCs w:val="22"/>
        </w:rPr>
        <w:t>- FCC -</w:t>
      </w:r>
      <w:r w:rsidRPr="00307D40">
        <w:rPr>
          <w:b/>
          <w:bCs/>
          <w:szCs w:val="22"/>
        </w:rPr>
        <w:t xml:space="preserve"> </w:t>
      </w:r>
    </w:p>
    <w:p w:rsidR="00BA3BA8" w:rsidRPr="00C90997" w:rsidP="00C90997" w14:paraId="01D0BFDF" w14:textId="77777777"/>
    <w:sectPr>
      <w:headerReference w:type="default" r:id="rId10"/>
      <w:footerReference w:type="even" r:id="rId11"/>
      <w:footerReference w:type="default" r:id="rId12"/>
      <w:headerReference w:type="first" r:id="rId13"/>
      <w:footerReference w:type="first" r:id="rId14"/>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E49CA" w14:paraId="2344977F" w14:textId="77777777">
      <w:pPr>
        <w:spacing w:line="20" w:lineRule="exact"/>
      </w:pPr>
    </w:p>
  </w:endnote>
  <w:endnote w:type="continuationSeparator" w:id="1">
    <w:p w:rsidR="00FE49CA" w14:paraId="2E4C0274" w14:textId="77777777">
      <w:r>
        <w:t xml:space="preserve"> </w:t>
      </w:r>
    </w:p>
  </w:endnote>
  <w:endnote w:type="continuationNotice" w:id="2">
    <w:p w:rsidR="00FE49CA" w14:paraId="63B4C6D8"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1371A6D2"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0A1983B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0A8BDF3A"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FDB00EE"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E49CA" w14:paraId="1749069A" w14:textId="77777777">
      <w:r>
        <w:separator/>
      </w:r>
    </w:p>
  </w:footnote>
  <w:footnote w:type="continuationSeparator" w:id="1">
    <w:p w:rsidR="00FE49CA" w14:paraId="75949D6F" w14:textId="77777777">
      <w:pPr>
        <w:rPr>
          <w:sz w:val="20"/>
        </w:rPr>
      </w:pPr>
      <w:r>
        <w:rPr>
          <w:sz w:val="20"/>
        </w:rPr>
        <w:t xml:space="preserve">(Continued from previous page)  </w:t>
      </w:r>
      <w:r>
        <w:rPr>
          <w:sz w:val="20"/>
        </w:rPr>
        <w:separator/>
      </w:r>
    </w:p>
  </w:footnote>
  <w:footnote w:type="continuationNotice" w:id="2">
    <w:p w:rsidR="00FE49CA" w14:paraId="05C8BFF8" w14:textId="77777777">
      <w:pPr>
        <w:jc w:val="right"/>
        <w:rPr>
          <w:sz w:val="20"/>
        </w:rPr>
      </w:pPr>
      <w:r>
        <w:rPr>
          <w:sz w:val="20"/>
        </w:rPr>
        <w:t>(continued….)</w:t>
      </w:r>
    </w:p>
  </w:footnote>
  <w:footnote w:id="3">
    <w:p w:rsidR="00C90997" w:rsidRPr="00257D26" w:rsidP="00C90997" w14:paraId="0C5C4BB4" w14:textId="77777777">
      <w:pPr>
        <w:pStyle w:val="FootnoteText"/>
      </w:pPr>
      <w:r w:rsidRPr="00257D26">
        <w:rPr>
          <w:rStyle w:val="FootnoteReference"/>
          <w:sz w:val="20"/>
        </w:rPr>
        <w:footnoteRef/>
      </w:r>
      <w:r w:rsidRPr="00257D26">
        <w:t xml:space="preserve"> Request For Waiver, Docket No. INBOX-1.925, at 1 (filed Apr. 30, 2026), </w:t>
      </w:r>
      <w:hyperlink r:id="rId1" w:history="1">
        <w:r w:rsidRPr="00257D26">
          <w:rPr>
            <w:rStyle w:val="Hyperlink"/>
          </w:rPr>
          <w:t>https://www.fcc.gov/ecfs/search/search-filings/filing/1043006200474</w:t>
        </w:r>
      </w:hyperlink>
      <w:r w:rsidRPr="00257D26">
        <w:t>.</w:t>
      </w:r>
    </w:p>
  </w:footnote>
  <w:footnote w:id="4">
    <w:p w:rsidR="00C90997" w:rsidRPr="00257D26" w:rsidP="00C90997" w14:paraId="4BD0FB14" w14:textId="2A0429A2">
      <w:pPr>
        <w:pStyle w:val="FootnoteText"/>
      </w:pPr>
      <w:r w:rsidRPr="00257D26">
        <w:rPr>
          <w:rStyle w:val="FootnoteReference"/>
          <w:sz w:val="20"/>
        </w:rPr>
        <w:footnoteRef/>
      </w:r>
      <w:r w:rsidRPr="00257D26">
        <w:t xml:space="preserve"> Ocean Signal, </w:t>
      </w:r>
      <w:r w:rsidRPr="00257D26">
        <w:rPr>
          <w:i/>
          <w:iCs/>
        </w:rPr>
        <w:t>rescueME</w:t>
      </w:r>
      <w:r w:rsidRPr="00257D26">
        <w:rPr>
          <w:i/>
          <w:iCs/>
        </w:rPr>
        <w:t xml:space="preserve"> MOB2, </w:t>
      </w:r>
      <w:hyperlink r:id="rId2" w:history="1">
        <w:r w:rsidRPr="00257D26">
          <w:rPr>
            <w:rStyle w:val="Hyperlink"/>
          </w:rPr>
          <w:t>https://oceansignal.com/products/mob2/</w:t>
        </w:r>
      </w:hyperlink>
      <w:r w:rsidRPr="00257D26">
        <w:t xml:space="preserve"> (</w:t>
      </w:r>
      <w:r w:rsidR="00273037">
        <w:t xml:space="preserve">last visited </w:t>
      </w:r>
      <w:r w:rsidR="00854ABC">
        <w:t>Sept</w:t>
      </w:r>
      <w:r w:rsidR="00273037">
        <w:t>,</w:t>
      </w:r>
      <w:r w:rsidR="00854ABC">
        <w:t xml:space="preserve"> 4,</w:t>
      </w:r>
      <w:r w:rsidR="00273037">
        <w:t xml:space="preserve"> 2026</w:t>
      </w:r>
      <w:r w:rsidRPr="00257D26">
        <w:t>).</w:t>
      </w:r>
    </w:p>
  </w:footnote>
  <w:footnote w:id="5">
    <w:p w:rsidR="00C90997" w:rsidRPr="00257D26" w:rsidP="00C90997" w14:paraId="2B3CFB12" w14:textId="77777777">
      <w:pPr>
        <w:pStyle w:val="FootnoteText"/>
      </w:pPr>
      <w:r w:rsidRPr="00257D26">
        <w:rPr>
          <w:rStyle w:val="FootnoteReference"/>
          <w:sz w:val="20"/>
        </w:rPr>
        <w:footnoteRef/>
      </w:r>
      <w:r w:rsidRPr="00257D26">
        <w:t xml:space="preserve"> An MSLD is a device intended to aid in the location of persons in the water.  47 CFR § 95.2903. </w:t>
      </w:r>
    </w:p>
  </w:footnote>
  <w:footnote w:id="6">
    <w:p w:rsidR="00C90997" w:rsidRPr="00257D26" w:rsidP="00C90997" w14:paraId="5D789BFB" w14:textId="77777777">
      <w:pPr>
        <w:pStyle w:val="FootnoteText"/>
        <w:rPr>
          <w:snapToGrid w:val="0"/>
          <w:kern w:val="28"/>
        </w:rPr>
      </w:pPr>
      <w:r w:rsidRPr="00257D26">
        <w:rPr>
          <w:rStyle w:val="FootnoteReference"/>
          <w:sz w:val="20"/>
        </w:rPr>
        <w:footnoteRef/>
      </w:r>
      <w:r w:rsidRPr="00257D26">
        <w:t xml:space="preserve"> </w:t>
      </w:r>
      <w:r w:rsidRPr="00257D26">
        <w:rPr>
          <w:snapToGrid w:val="0"/>
          <w:kern w:val="28"/>
        </w:rPr>
        <w:t>AIS is a maritime broadcast service that</w:t>
      </w:r>
      <w:r w:rsidRPr="00257D26">
        <w:t xml:space="preserve"> automatically provides vessel information (including the vessel's identity, type, position, course, speed, navigational status, and other safety-related information) to appropriately-equipped shore stations, other ships, and aircraft; receives such information from similarly-fitted ships; monitors and tracks ships; and exchanges data with shore-based facilities.  </w:t>
      </w:r>
      <w:r w:rsidRPr="00257D26">
        <w:rPr>
          <w:i/>
          <w:iCs/>
        </w:rPr>
        <w:t>See</w:t>
      </w:r>
      <w:r w:rsidRPr="00257D26">
        <w:t xml:space="preserve"> 47 CFR §§ 80.5, 80.393. </w:t>
      </w:r>
    </w:p>
  </w:footnote>
  <w:footnote w:id="7">
    <w:p w:rsidR="00C90997" w:rsidRPr="00257D26" w:rsidP="00C90997" w14:paraId="7704E018" w14:textId="72FA012C">
      <w:pPr>
        <w:pStyle w:val="FootnoteText"/>
      </w:pPr>
      <w:r w:rsidRPr="00257D26">
        <w:rPr>
          <w:rStyle w:val="FootnoteReference"/>
          <w:sz w:val="20"/>
        </w:rPr>
        <w:footnoteRef/>
      </w:r>
      <w:r w:rsidRPr="00257D26">
        <w:t xml:space="preserve"> DSC automatically establishes contact with a station or group of stations by radio.  47 CFR § 80.5.  DSC allows mariners to send an automatically-formatted distress alert to USCG or other rescue authority.  USCG, </w:t>
      </w:r>
      <w:r w:rsidRPr="00257D26">
        <w:rPr>
          <w:i/>
          <w:iCs/>
        </w:rPr>
        <w:t>Digital Selective Calling</w:t>
      </w:r>
      <w:r w:rsidRPr="00257D26">
        <w:t xml:space="preserve">, </w:t>
      </w:r>
      <w:hyperlink r:id="rId3" w:history="1">
        <w:r w:rsidRPr="00257D26">
          <w:rPr>
            <w:rStyle w:val="Hyperlink"/>
          </w:rPr>
          <w:t>https://www.navcen.uscg.gov/digital-selective-calling</w:t>
        </w:r>
      </w:hyperlink>
      <w:r w:rsidRPr="00257D26">
        <w:t xml:space="preserve"> (</w:t>
      </w:r>
      <w:r w:rsidR="00273037">
        <w:t xml:space="preserve">last visited </w:t>
      </w:r>
      <w:r w:rsidR="00854ABC">
        <w:t>Sept. 4</w:t>
      </w:r>
      <w:r w:rsidR="00273037">
        <w:t>, 2026</w:t>
      </w:r>
      <w:r w:rsidRPr="00257D26">
        <w:t xml:space="preserve">).  DSC also allows mariners to initiate or receive distress, urgency, safety, and routine radiotelephone calls to or from any similarly-equipped vessel or shore station.  </w:t>
      </w:r>
      <w:r w:rsidRPr="00257D26">
        <w:rPr>
          <w:i/>
          <w:iCs/>
        </w:rPr>
        <w:t>Id</w:t>
      </w:r>
      <w:r w:rsidRPr="00257D26">
        <w:t>.  </w:t>
      </w:r>
    </w:p>
  </w:footnote>
  <w:footnote w:id="8">
    <w:p w:rsidR="00C90997" w:rsidRPr="00257D26" w:rsidP="00C90997" w14:paraId="1115F8D9" w14:textId="46B22DED">
      <w:pPr>
        <w:spacing w:after="120"/>
        <w:rPr>
          <w:i/>
          <w:iCs/>
          <w:kern w:val="0"/>
          <w:sz w:val="20"/>
        </w:rPr>
      </w:pPr>
      <w:r w:rsidRPr="00257D26">
        <w:rPr>
          <w:rStyle w:val="FootnoteReference"/>
          <w:sz w:val="20"/>
        </w:rPr>
        <w:footnoteRef/>
      </w:r>
      <w:r w:rsidRPr="00257D26">
        <w:rPr>
          <w:sz w:val="20"/>
        </w:rPr>
        <w:t xml:space="preserve"> </w:t>
      </w:r>
      <w:r w:rsidRPr="00257D26">
        <w:rPr>
          <w:kern w:val="0"/>
          <w:sz w:val="20"/>
        </w:rPr>
        <w:t xml:space="preserve">RTCM is an international non-profit scientific, professional, and educational organization, whose members actively engage in the development of international standards for maritime radio navigation and radio communication systems.  RTCM, </w:t>
      </w:r>
      <w:r w:rsidRPr="00257D26">
        <w:rPr>
          <w:i/>
          <w:iCs/>
          <w:kern w:val="0"/>
          <w:sz w:val="20"/>
        </w:rPr>
        <w:t xml:space="preserve">OVERVIEW OF RTCM, </w:t>
      </w:r>
      <w:hyperlink r:id="rId4" w:history="1">
        <w:r w:rsidRPr="00257D26">
          <w:rPr>
            <w:rStyle w:val="Hyperlink"/>
            <w:kern w:val="0"/>
            <w:sz w:val="20"/>
          </w:rPr>
          <w:t>https://www.rtcm.org/about-rtcm</w:t>
        </w:r>
      </w:hyperlink>
      <w:r w:rsidRPr="00257D26">
        <w:rPr>
          <w:kern w:val="0"/>
          <w:sz w:val="20"/>
        </w:rPr>
        <w:t xml:space="preserve"> (</w:t>
      </w:r>
      <w:r w:rsidR="00273037">
        <w:rPr>
          <w:kern w:val="0"/>
          <w:sz w:val="20"/>
        </w:rPr>
        <w:t xml:space="preserve">last visited </w:t>
      </w:r>
      <w:r w:rsidR="00854ABC">
        <w:rPr>
          <w:kern w:val="0"/>
          <w:sz w:val="20"/>
        </w:rPr>
        <w:t>Sept</w:t>
      </w:r>
      <w:r w:rsidR="00273037">
        <w:rPr>
          <w:kern w:val="0"/>
          <w:sz w:val="20"/>
        </w:rPr>
        <w:t>,</w:t>
      </w:r>
      <w:r w:rsidR="00854ABC">
        <w:rPr>
          <w:kern w:val="0"/>
          <w:sz w:val="20"/>
        </w:rPr>
        <w:t xml:space="preserve"> 4,</w:t>
      </w:r>
      <w:r w:rsidR="00273037">
        <w:rPr>
          <w:kern w:val="0"/>
          <w:sz w:val="20"/>
        </w:rPr>
        <w:t xml:space="preserve"> 2026</w:t>
      </w:r>
      <w:r w:rsidRPr="00257D26">
        <w:rPr>
          <w:kern w:val="0"/>
          <w:sz w:val="20"/>
        </w:rPr>
        <w:t>).</w:t>
      </w:r>
    </w:p>
  </w:footnote>
  <w:footnote w:id="9">
    <w:p w:rsidR="00C90997" w:rsidRPr="00FD6406" w:rsidP="00273037" w14:paraId="5EAE9005" w14:textId="477B8035">
      <w:pPr>
        <w:pStyle w:val="FootnoteText"/>
        <w:spacing w:after="0"/>
        <w:rPr>
          <w:i/>
          <w:iCs/>
        </w:rPr>
      </w:pPr>
      <w:r w:rsidRPr="00257D26">
        <w:rPr>
          <w:rStyle w:val="FootnoteReference"/>
          <w:sz w:val="20"/>
        </w:rPr>
        <w:footnoteRef/>
      </w:r>
      <w:r w:rsidRPr="00257D26">
        <w:t xml:space="preserve"> RTCM, </w:t>
      </w:r>
      <w:r w:rsidRPr="00257D26">
        <w:rPr>
          <w:i/>
          <w:iCs/>
        </w:rPr>
        <w:t xml:space="preserve">RTCM 11901.2, Standard for Maritime Survivor Locating Devices (MSLD) </w:t>
      </w:r>
      <w:r w:rsidRPr="00FD6406">
        <w:rPr>
          <w:i/>
          <w:iCs/>
        </w:rPr>
        <w:t>November 15, 2024</w:t>
      </w:r>
      <w:r w:rsidRPr="007E7217">
        <w:t>,</w:t>
      </w:r>
      <w:r w:rsidRPr="007E7217" w:rsidR="00C71986">
        <w:br/>
      </w:r>
      <w:hyperlink r:id="rId5" w:history="1">
        <w:r w:rsidR="005673BE">
          <w:rPr>
            <w:rStyle w:val="Hyperlink"/>
          </w:rPr>
          <w:t>https://www.rtcm.org/publications</w:t>
        </w:r>
      </w:hyperlink>
      <w:r w:rsidRPr="007E7217">
        <w:t xml:space="preserve"> (last visited </w:t>
      </w:r>
      <w:r w:rsidR="00854ABC">
        <w:t>Sept. 4</w:t>
      </w:r>
      <w:r w:rsidRPr="007E7217">
        <w:t>, 2026)</w:t>
      </w:r>
    </w:p>
  </w:footnote>
  <w:footnote w:id="10">
    <w:p w:rsidR="00C90997" w:rsidRPr="00257D26" w:rsidP="00C90997" w14:paraId="69D7FBC9" w14:textId="77777777">
      <w:pPr>
        <w:pStyle w:val="FootnoteText"/>
      </w:pPr>
      <w:r w:rsidRPr="00257D26">
        <w:rPr>
          <w:rStyle w:val="FootnoteReference"/>
          <w:sz w:val="20"/>
        </w:rPr>
        <w:footnoteRef/>
      </w:r>
      <w:r w:rsidRPr="00257D26">
        <w:t xml:space="preserve"> FCC, </w:t>
      </w:r>
      <w:r w:rsidRPr="00257D26">
        <w:rPr>
          <w:i/>
          <w:iCs/>
        </w:rPr>
        <w:t>Maritime Survivor Locating Devices (MSLDs)</w:t>
      </w:r>
      <w:r w:rsidRPr="00257D26">
        <w:t xml:space="preserve"> (Sept. 27, 2022), </w:t>
      </w:r>
      <w:hyperlink r:id="rId6" w:history="1">
        <w:r w:rsidRPr="00257D26">
          <w:rPr>
            <w:rStyle w:val="Hyperlink"/>
          </w:rPr>
          <w:t>https://www.fcc.gov/wireless/bureau-divisions/mobility-division/maritime-survivor-locating-devices-mslds#:~:text=Maritime%20Survivor%20Locating%20Devices%20%28MSLDs%29%20are%20transmitters%20are,surface%20out%20of%20sight%20of%20their%20dive%20boats</w:t>
        </w:r>
      </w:hyperlink>
      <w:r w:rsidRPr="00257D26">
        <w:t>.</w:t>
      </w:r>
    </w:p>
  </w:footnote>
  <w:footnote w:id="11">
    <w:p w:rsidR="00C90997" w:rsidRPr="00257D26" w:rsidP="00C90997" w14:paraId="1DE34469" w14:textId="77777777">
      <w:pPr>
        <w:pStyle w:val="FootnoteText"/>
      </w:pPr>
      <w:r w:rsidRPr="00257D26">
        <w:rPr>
          <w:rStyle w:val="FootnoteReference"/>
          <w:sz w:val="20"/>
        </w:rPr>
        <w:footnoteRef/>
      </w:r>
      <w:r w:rsidRPr="00257D26">
        <w:t xml:space="preserve"> 47 CFR § 95.2903.</w:t>
      </w:r>
    </w:p>
  </w:footnote>
  <w:footnote w:id="12">
    <w:p w:rsidR="00C90997" w:rsidRPr="00257D26" w:rsidP="00C90997" w14:paraId="32C42352" w14:textId="77777777">
      <w:pPr>
        <w:pStyle w:val="FootnoteText"/>
      </w:pPr>
      <w:r w:rsidRPr="00257D26">
        <w:rPr>
          <w:rStyle w:val="FootnoteReference"/>
          <w:sz w:val="20"/>
        </w:rPr>
        <w:footnoteRef/>
      </w:r>
      <w:r w:rsidRPr="00257D26">
        <w:t xml:space="preserve"> FCC,</w:t>
      </w:r>
      <w:r w:rsidRPr="00257D26">
        <w:rPr>
          <w:i/>
          <w:iCs/>
        </w:rPr>
        <w:t xml:space="preserve"> supra </w:t>
      </w:r>
      <w:r w:rsidRPr="00257D26">
        <w:t xml:space="preserve">note </w:t>
      </w:r>
      <w:r>
        <w:t>8</w:t>
      </w:r>
      <w:r w:rsidRPr="00257D26">
        <w:t>.</w:t>
      </w:r>
    </w:p>
  </w:footnote>
  <w:footnote w:id="13">
    <w:p w:rsidR="00B86E60" w:rsidP="00B86E60" w14:paraId="7CA7A43A" w14:textId="77777777">
      <w:pPr>
        <w:pStyle w:val="FootnoteText"/>
      </w:pPr>
      <w:r w:rsidRPr="0095334E">
        <w:rPr>
          <w:rStyle w:val="FootnoteReference"/>
          <w:sz w:val="20"/>
        </w:rPr>
        <w:footnoteRef/>
      </w:r>
      <w:r>
        <w:t xml:space="preserve"> </w:t>
      </w:r>
      <w:r>
        <w:rPr>
          <w:i/>
          <w:iCs/>
        </w:rPr>
        <w:t xml:space="preserve">See </w:t>
      </w:r>
      <w:r w:rsidRPr="00C91DCB">
        <w:t>47 CFR § 95.29</w:t>
      </w:r>
      <w:r>
        <w:t>87</w:t>
      </w:r>
      <w:r w:rsidRPr="00C91DCB">
        <w:t>.</w:t>
      </w:r>
    </w:p>
  </w:footnote>
  <w:footnote w:id="14">
    <w:p w:rsidR="00C90997" w:rsidRPr="00257D26" w:rsidP="00C90997" w14:paraId="298BDCF4" w14:textId="77777777">
      <w:pPr>
        <w:pStyle w:val="FootnoteText"/>
      </w:pPr>
      <w:r w:rsidRPr="00257D26">
        <w:rPr>
          <w:rStyle w:val="FootnoteReference"/>
          <w:sz w:val="20"/>
        </w:rPr>
        <w:footnoteRef/>
      </w:r>
      <w:r w:rsidRPr="00257D26">
        <w:t xml:space="preserve"> </w:t>
      </w:r>
      <w:r w:rsidRPr="00257D26">
        <w:rPr>
          <w:i/>
          <w:iCs/>
        </w:rPr>
        <w:t xml:space="preserve">See </w:t>
      </w:r>
      <w:r w:rsidRPr="00257D26">
        <w:t xml:space="preserve">47 CFR § 95.2991(b). </w:t>
      </w:r>
    </w:p>
  </w:footnote>
  <w:footnote w:id="15">
    <w:p w:rsidR="009636FD" w:rsidRPr="00AF0E0A" w:rsidP="009636FD" w14:paraId="7D39FB11" w14:textId="36B47307">
      <w:pPr>
        <w:pStyle w:val="FootnoteText"/>
        <w:rPr>
          <w:b/>
          <w:bCs/>
        </w:rPr>
      </w:pPr>
      <w:r w:rsidRPr="00AF0E0A">
        <w:rPr>
          <w:rStyle w:val="FootnoteReference"/>
          <w:sz w:val="20"/>
        </w:rPr>
        <w:footnoteRef/>
      </w:r>
      <w:r w:rsidRPr="005A3C63">
        <w:t xml:space="preserve"> </w:t>
      </w:r>
      <w:r w:rsidRPr="004A0879">
        <w:t xml:space="preserve">RTCM, </w:t>
      </w:r>
      <w:r w:rsidRPr="00257D26" w:rsidR="00F348F9">
        <w:rPr>
          <w:i/>
          <w:iCs/>
        </w:rPr>
        <w:t xml:space="preserve">supra </w:t>
      </w:r>
      <w:r w:rsidRPr="00257D26" w:rsidR="00F348F9">
        <w:t xml:space="preserve">note </w:t>
      </w:r>
      <w:r w:rsidR="00212DE2">
        <w:t>7</w:t>
      </w:r>
      <w:r w:rsidRPr="004A0879">
        <w:t>.</w:t>
      </w:r>
    </w:p>
  </w:footnote>
  <w:footnote w:id="16">
    <w:p w:rsidR="007826F8" w:rsidRPr="00AF0E0A" w:rsidP="007826F8" w14:paraId="14CB1C30" w14:textId="7B6952F3">
      <w:pPr>
        <w:pStyle w:val="FootnoteText"/>
        <w:rPr>
          <w:b/>
          <w:bCs/>
        </w:rPr>
      </w:pPr>
      <w:r w:rsidRPr="00AF0E0A">
        <w:rPr>
          <w:rStyle w:val="FootnoteReference"/>
          <w:sz w:val="20"/>
        </w:rPr>
        <w:footnoteRef/>
      </w:r>
      <w:r w:rsidRPr="005A3C63">
        <w:t xml:space="preserve"> </w:t>
      </w:r>
      <w:r>
        <w:rPr>
          <w:i/>
          <w:iCs/>
        </w:rPr>
        <w:t>Id</w:t>
      </w:r>
      <w:r w:rsidRPr="004A0879">
        <w:t>.</w:t>
      </w:r>
    </w:p>
  </w:footnote>
  <w:footnote w:id="17">
    <w:p w:rsidR="00C90997" w:rsidRPr="00257D26" w:rsidP="00C90997" w14:paraId="75A84026" w14:textId="77777777">
      <w:pPr>
        <w:pStyle w:val="FootnoteText"/>
      </w:pPr>
      <w:r w:rsidRPr="00257D26">
        <w:rPr>
          <w:rStyle w:val="FootnoteReference"/>
          <w:sz w:val="20"/>
        </w:rPr>
        <w:footnoteRef/>
      </w:r>
      <w:r w:rsidRPr="00257D26">
        <w:t xml:space="preserve"> Ocean Signal, </w:t>
      </w:r>
      <w:r w:rsidRPr="00257D26">
        <w:rPr>
          <w:i/>
          <w:iCs/>
        </w:rPr>
        <w:t>supra</w:t>
      </w:r>
      <w:r w:rsidRPr="00257D26">
        <w:t xml:space="preserve"> note 1.</w:t>
      </w:r>
    </w:p>
  </w:footnote>
  <w:footnote w:id="18">
    <w:p w:rsidR="00C90997" w:rsidRPr="00257D26" w:rsidP="00C90997" w14:paraId="52B1E4E5" w14:textId="77777777">
      <w:pPr>
        <w:pStyle w:val="FootnoteText"/>
      </w:pPr>
      <w:r w:rsidRPr="00257D26">
        <w:rPr>
          <w:rStyle w:val="FootnoteReference"/>
          <w:sz w:val="20"/>
        </w:rPr>
        <w:footnoteRef/>
      </w:r>
      <w:r w:rsidRPr="00257D26">
        <w:t xml:space="preserve"> On March 31, 2025, RTCM filed a petition for rulemaking, proposing the incorporation by reference of the revised RTCM standard.  Radio Technical Commission for Maritime Services Petition for rulemaking to amend Part 95 Subpart K of the Commission’s rules to provide for updated standards on Personal Locator Beacons and Maritime Survivor Locating Devices, WTB RM-12004 (filed Mar. 31, 2025), </w:t>
      </w:r>
      <w:hyperlink r:id="rId7" w:history="1">
        <w:r w:rsidRPr="00257D26">
          <w:rPr>
            <w:rStyle w:val="Hyperlink"/>
          </w:rPr>
          <w:t>https://www.fcc.gov/ecfs/search/search-filings/filing/103310147126193</w:t>
        </w:r>
      </w:hyperlink>
      <w:r w:rsidRPr="00257D26">
        <w:t xml:space="preserve">.  The petition was placed on </w:t>
      </w:r>
      <w:r w:rsidRPr="00257D26">
        <w:rPr>
          <w:iCs/>
        </w:rPr>
        <w:t>Public Notice</w:t>
      </w:r>
      <w:r w:rsidRPr="00257D26">
        <w:t xml:space="preserve"> on June 17, 2025.  </w:t>
      </w:r>
      <w:r w:rsidRPr="00257D26">
        <w:rPr>
          <w:i/>
          <w:iCs/>
        </w:rPr>
        <w:t>OFFICE OF THE SECRETARY REFERENCE INFORMATION CENTER PETITION FOR RULE MAKING FILED</w:t>
      </w:r>
      <w:r w:rsidRPr="00257D26">
        <w:t>, RM-12004, Public Notice, Report No. 3214 (OMD 2025).</w:t>
      </w:r>
    </w:p>
  </w:footnote>
  <w:footnote w:id="19">
    <w:p w:rsidR="0026512D" w:rsidRPr="00257D26" w:rsidP="0026512D" w14:paraId="7A74EF8C" w14:textId="77777777">
      <w:pPr>
        <w:pStyle w:val="FootnoteText"/>
      </w:pPr>
      <w:r w:rsidRPr="00257D26">
        <w:rPr>
          <w:rStyle w:val="FootnoteReference"/>
          <w:sz w:val="20"/>
        </w:rPr>
        <w:footnoteRef/>
      </w:r>
      <w:r w:rsidRPr="00257D26">
        <w:t xml:space="preserve"> </w:t>
      </w:r>
      <w:r w:rsidRPr="00257D26">
        <w:rPr>
          <w:i/>
        </w:rPr>
        <w:t>See</w:t>
      </w:r>
      <w:r w:rsidRPr="00257D26">
        <w:t xml:space="preserve"> 47 CFR §§ 1.1200(a), 1.1206.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F7A6B2B" w14:textId="6172FEDA">
    <w:pPr>
      <w:tabs>
        <w:tab w:val="center" w:pos="4680"/>
        <w:tab w:val="right" w:pos="9360"/>
      </w:tabs>
    </w:pPr>
    <w:r>
      <w:rPr>
        <w:b/>
      </w:rPr>
      <w:tab/>
      <w:t>Federal Communications Commission</w:t>
    </w:r>
    <w:r>
      <w:rPr>
        <w:b/>
      </w:rPr>
      <w:tab/>
    </w:r>
    <w:r w:rsidR="001D1FCD">
      <w:rPr>
        <w:b/>
      </w:rPr>
      <w:t>DA 26-975</w:t>
    </w:r>
  </w:p>
  <w:p w:rsidR="00BA3BA8" w14:paraId="566E32ED" w14:textId="29D08482">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5CA493EC"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0B2E77CB" w14:textId="4F737F18">
    <w:pPr>
      <w:pStyle w:val="Header"/>
    </w:pPr>
    <w:r>
      <w:rPr>
        <w:noProof/>
      </w:rPr>
      <w:drawing>
        <wp:inline distT="0" distB="0" distL="0" distR="0">
          <wp:extent cx="5953125"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3125"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0AC2E9C"/>
    <w:multiLevelType w:val="hybridMultilevel"/>
    <w:tmpl w:val="3A2406F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2D2DAB"/>
    <w:multiLevelType w:val="hybridMultilevel"/>
    <w:tmpl w:val="6ECE62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1648315836">
    <w:abstractNumId w:val="2"/>
  </w:num>
  <w:num w:numId="2" w16cid:durableId="1551843411">
    <w:abstractNumId w:val="7"/>
  </w:num>
  <w:num w:numId="3" w16cid:durableId="2241986">
    <w:abstractNumId w:val="5"/>
  </w:num>
  <w:num w:numId="4" w16cid:durableId="41683290">
    <w:abstractNumId w:val="6"/>
  </w:num>
  <w:num w:numId="5" w16cid:durableId="1654333612">
    <w:abstractNumId w:val="3"/>
  </w:num>
  <w:num w:numId="6" w16cid:durableId="824398529">
    <w:abstractNumId w:val="0"/>
  </w:num>
  <w:num w:numId="7" w16cid:durableId="1509324012">
    <w:abstractNumId w:val="1"/>
  </w:num>
  <w:num w:numId="8" w16cid:durableId="1539930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997"/>
    <w:rsid w:val="00043D1A"/>
    <w:rsid w:val="000F58BF"/>
    <w:rsid w:val="001408BF"/>
    <w:rsid w:val="00141774"/>
    <w:rsid w:val="00172369"/>
    <w:rsid w:val="00172BBA"/>
    <w:rsid w:val="001C5482"/>
    <w:rsid w:val="001D1FCD"/>
    <w:rsid w:val="001D2B3B"/>
    <w:rsid w:val="001E6C3E"/>
    <w:rsid w:val="001F3B4A"/>
    <w:rsid w:val="00212DE2"/>
    <w:rsid w:val="00214B64"/>
    <w:rsid w:val="002464A3"/>
    <w:rsid w:val="00257D26"/>
    <w:rsid w:val="0026512D"/>
    <w:rsid w:val="00270F73"/>
    <w:rsid w:val="00273037"/>
    <w:rsid w:val="002D1F34"/>
    <w:rsid w:val="002D39A9"/>
    <w:rsid w:val="003043F2"/>
    <w:rsid w:val="00307D40"/>
    <w:rsid w:val="00321B0E"/>
    <w:rsid w:val="0032415F"/>
    <w:rsid w:val="003754FC"/>
    <w:rsid w:val="003902C6"/>
    <w:rsid w:val="00397E89"/>
    <w:rsid w:val="003D618A"/>
    <w:rsid w:val="003D799F"/>
    <w:rsid w:val="003D7FB2"/>
    <w:rsid w:val="00410819"/>
    <w:rsid w:val="00430183"/>
    <w:rsid w:val="00442B2C"/>
    <w:rsid w:val="0047667C"/>
    <w:rsid w:val="0048245D"/>
    <w:rsid w:val="004A0879"/>
    <w:rsid w:val="004D64DC"/>
    <w:rsid w:val="0050241D"/>
    <w:rsid w:val="00523C4D"/>
    <w:rsid w:val="005673BE"/>
    <w:rsid w:val="0057198C"/>
    <w:rsid w:val="00583B98"/>
    <w:rsid w:val="005A3C63"/>
    <w:rsid w:val="005A6F25"/>
    <w:rsid w:val="005F031A"/>
    <w:rsid w:val="00603199"/>
    <w:rsid w:val="00613C80"/>
    <w:rsid w:val="006B37F5"/>
    <w:rsid w:val="006B7352"/>
    <w:rsid w:val="006C4047"/>
    <w:rsid w:val="006D6908"/>
    <w:rsid w:val="006D6A5D"/>
    <w:rsid w:val="006E0029"/>
    <w:rsid w:val="006F119C"/>
    <w:rsid w:val="007012EB"/>
    <w:rsid w:val="0073110C"/>
    <w:rsid w:val="00776760"/>
    <w:rsid w:val="007826F8"/>
    <w:rsid w:val="00790E0B"/>
    <w:rsid w:val="00797B49"/>
    <w:rsid w:val="007E7217"/>
    <w:rsid w:val="00801837"/>
    <w:rsid w:val="00812E52"/>
    <w:rsid w:val="008376BE"/>
    <w:rsid w:val="00841B3D"/>
    <w:rsid w:val="00854ABC"/>
    <w:rsid w:val="008A058C"/>
    <w:rsid w:val="008B7711"/>
    <w:rsid w:val="008D06F9"/>
    <w:rsid w:val="00904E4A"/>
    <w:rsid w:val="009636FD"/>
    <w:rsid w:val="009661BF"/>
    <w:rsid w:val="0099693B"/>
    <w:rsid w:val="009A613E"/>
    <w:rsid w:val="009B0E82"/>
    <w:rsid w:val="009D2D2D"/>
    <w:rsid w:val="00A04E20"/>
    <w:rsid w:val="00A073A2"/>
    <w:rsid w:val="00A20679"/>
    <w:rsid w:val="00A22CA9"/>
    <w:rsid w:val="00A26559"/>
    <w:rsid w:val="00A337AF"/>
    <w:rsid w:val="00A418DB"/>
    <w:rsid w:val="00A54609"/>
    <w:rsid w:val="00A61F68"/>
    <w:rsid w:val="00A7172B"/>
    <w:rsid w:val="00A92C8F"/>
    <w:rsid w:val="00A94BCF"/>
    <w:rsid w:val="00AB651B"/>
    <w:rsid w:val="00AF0E0A"/>
    <w:rsid w:val="00AF23C3"/>
    <w:rsid w:val="00B123F6"/>
    <w:rsid w:val="00B4739C"/>
    <w:rsid w:val="00B86E60"/>
    <w:rsid w:val="00BA0089"/>
    <w:rsid w:val="00BA3BA8"/>
    <w:rsid w:val="00BC5473"/>
    <w:rsid w:val="00BD3E47"/>
    <w:rsid w:val="00BE2149"/>
    <w:rsid w:val="00BF7699"/>
    <w:rsid w:val="00C24068"/>
    <w:rsid w:val="00C36E68"/>
    <w:rsid w:val="00C71986"/>
    <w:rsid w:val="00C90997"/>
    <w:rsid w:val="00C91DCB"/>
    <w:rsid w:val="00CC163E"/>
    <w:rsid w:val="00CC7D7F"/>
    <w:rsid w:val="00CD20B0"/>
    <w:rsid w:val="00CD6798"/>
    <w:rsid w:val="00D721F4"/>
    <w:rsid w:val="00D7488D"/>
    <w:rsid w:val="00D931D2"/>
    <w:rsid w:val="00D9679F"/>
    <w:rsid w:val="00DA0321"/>
    <w:rsid w:val="00DA554A"/>
    <w:rsid w:val="00DD0090"/>
    <w:rsid w:val="00DD2C1C"/>
    <w:rsid w:val="00DF388A"/>
    <w:rsid w:val="00DF499A"/>
    <w:rsid w:val="00E24CCA"/>
    <w:rsid w:val="00E34B9A"/>
    <w:rsid w:val="00E57650"/>
    <w:rsid w:val="00EA0BA6"/>
    <w:rsid w:val="00EB2A43"/>
    <w:rsid w:val="00ED4E59"/>
    <w:rsid w:val="00EE4953"/>
    <w:rsid w:val="00EF466B"/>
    <w:rsid w:val="00F02DE0"/>
    <w:rsid w:val="00F03EA1"/>
    <w:rsid w:val="00F100C3"/>
    <w:rsid w:val="00F14D9D"/>
    <w:rsid w:val="00F348F9"/>
    <w:rsid w:val="00F41D72"/>
    <w:rsid w:val="00F63504"/>
    <w:rsid w:val="00F6484E"/>
    <w:rsid w:val="00F95815"/>
    <w:rsid w:val="00FD4D87"/>
    <w:rsid w:val="00FD6406"/>
    <w:rsid w:val="00FE49CA"/>
    <w:rsid w:val="00FF58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CC29A4E"/>
  <w15:chartTrackingRefBased/>
  <w15:docId w15:val="{14F687DA-D0CA-4AA1-81D8-2B05F4660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E47"/>
    <w:pPr>
      <w:widowControl w:val="0"/>
    </w:pPr>
    <w:rPr>
      <w:snapToGrid w:val="0"/>
      <w:kern w:val="28"/>
      <w:sz w:val="22"/>
    </w:rPr>
  </w:style>
  <w:style w:type="paragraph" w:styleId="Heading1">
    <w:name w:val="heading 1"/>
    <w:basedOn w:val="Normal"/>
    <w:next w:val="ParaNum"/>
    <w:qFormat/>
    <w:rsid w:val="00BD3E47"/>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BD3E47"/>
    <w:pPr>
      <w:keepNext/>
      <w:numPr>
        <w:ilvl w:val="1"/>
        <w:numId w:val="3"/>
      </w:numPr>
      <w:spacing w:after="120"/>
      <w:outlineLvl w:val="1"/>
    </w:pPr>
    <w:rPr>
      <w:b/>
    </w:rPr>
  </w:style>
  <w:style w:type="paragraph" w:styleId="Heading3">
    <w:name w:val="heading 3"/>
    <w:basedOn w:val="Normal"/>
    <w:next w:val="ParaNum"/>
    <w:qFormat/>
    <w:rsid w:val="00BD3E47"/>
    <w:pPr>
      <w:keepNext/>
      <w:numPr>
        <w:ilvl w:val="2"/>
        <w:numId w:val="3"/>
      </w:numPr>
      <w:tabs>
        <w:tab w:val="left" w:pos="2160"/>
      </w:tabs>
      <w:spacing w:after="120"/>
      <w:outlineLvl w:val="2"/>
    </w:pPr>
    <w:rPr>
      <w:b/>
    </w:rPr>
  </w:style>
  <w:style w:type="paragraph" w:styleId="Heading4">
    <w:name w:val="heading 4"/>
    <w:basedOn w:val="Normal"/>
    <w:next w:val="ParaNum"/>
    <w:qFormat/>
    <w:rsid w:val="00BD3E47"/>
    <w:pPr>
      <w:keepNext/>
      <w:numPr>
        <w:ilvl w:val="3"/>
        <w:numId w:val="3"/>
      </w:numPr>
      <w:tabs>
        <w:tab w:val="left" w:pos="2880"/>
      </w:tabs>
      <w:spacing w:after="120"/>
      <w:outlineLvl w:val="3"/>
    </w:pPr>
    <w:rPr>
      <w:b/>
    </w:rPr>
  </w:style>
  <w:style w:type="paragraph" w:styleId="Heading5">
    <w:name w:val="heading 5"/>
    <w:basedOn w:val="Normal"/>
    <w:next w:val="ParaNum"/>
    <w:qFormat/>
    <w:rsid w:val="00BD3E47"/>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BD3E47"/>
    <w:pPr>
      <w:numPr>
        <w:ilvl w:val="5"/>
        <w:numId w:val="3"/>
      </w:numPr>
      <w:tabs>
        <w:tab w:val="left" w:pos="4320"/>
      </w:tabs>
      <w:spacing w:after="120"/>
      <w:outlineLvl w:val="5"/>
    </w:pPr>
    <w:rPr>
      <w:b/>
    </w:rPr>
  </w:style>
  <w:style w:type="paragraph" w:styleId="Heading7">
    <w:name w:val="heading 7"/>
    <w:basedOn w:val="Normal"/>
    <w:next w:val="ParaNum"/>
    <w:qFormat/>
    <w:rsid w:val="00BD3E47"/>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BD3E47"/>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BD3E47"/>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semiHidden/>
    <w:rsid w:val="00BD3E4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rsid w:val="00BD3E47"/>
  </w:style>
  <w:style w:type="paragraph" w:customStyle="1" w:styleId="ParaNum">
    <w:name w:val="ParaNum"/>
    <w:basedOn w:val="Normal"/>
    <w:rsid w:val="00BD3E47"/>
    <w:pPr>
      <w:numPr>
        <w:numId w:val="2"/>
      </w:numPr>
      <w:tabs>
        <w:tab w:val="clear" w:pos="1080"/>
        <w:tab w:val="num" w:pos="1440"/>
      </w:tabs>
      <w:spacing w:after="120"/>
    </w:pPr>
  </w:style>
  <w:style w:type="paragraph" w:styleId="EndnoteText">
    <w:name w:val="endnote text"/>
    <w:basedOn w:val="Normal"/>
    <w:semiHidden/>
    <w:rsid w:val="00BD3E47"/>
    <w:rPr>
      <w:sz w:val="20"/>
    </w:rPr>
  </w:style>
  <w:style w:type="character" w:styleId="EndnoteReference">
    <w:name w:val="endnote reference"/>
    <w:semiHidden/>
    <w:rsid w:val="00BD3E47"/>
    <w:rPr>
      <w:vertAlign w:val="superscript"/>
    </w:rPr>
  </w:style>
  <w:style w:type="paragraph" w:styleId="FootnoteText">
    <w:name w:val="footnote text"/>
    <w:aliases w:val="Footnote Text Char Char Char Char,Footnote Text Char1 Char,Footnote Text Char1 Char Char,Footnote Text Char1 Char1 Char Char Char Char,Footnote Text Char2,Footnote Text Char2 Char,Footnote Text Char2 Char Char Char Char,Footnote Text Char"/>
    <w:link w:val="FootnoteTextChar1"/>
    <w:rsid w:val="00BD3E47"/>
    <w:pPr>
      <w:spacing w:after="120"/>
    </w:pPr>
  </w:style>
  <w:style w:type="character" w:styleId="FootnoteReference">
    <w:name w:val="footnote reference"/>
    <w:aliases w:val="(NECG) Footnote Reference,Appel note de bas de p,FR,Footnote Reference/,Footnote Reference1,Style 12,Style 124,Style 13,Style 17,Style 3,Style 4,Style 6,Style 7,fr,o,-E Funotenzeichen,A,Ref,Style 1,Style 20,Style 34,Style 9,callout"/>
    <w:rsid w:val="00BD3E47"/>
    <w:rPr>
      <w:rFonts w:ascii="Times New Roman" w:hAnsi="Times New Roman"/>
      <w:dstrike w:val="0"/>
      <w:color w:val="auto"/>
      <w:sz w:val="22"/>
      <w:vertAlign w:val="superscript"/>
    </w:rPr>
  </w:style>
  <w:style w:type="paragraph" w:styleId="TOC1">
    <w:name w:val="toc 1"/>
    <w:basedOn w:val="Normal"/>
    <w:next w:val="Normal"/>
    <w:uiPriority w:val="39"/>
    <w:rsid w:val="00BD3E47"/>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BD3E47"/>
    <w:pPr>
      <w:tabs>
        <w:tab w:val="left" w:pos="720"/>
        <w:tab w:val="right" w:leader="dot" w:pos="9360"/>
      </w:tabs>
      <w:suppressAutoHyphens/>
      <w:ind w:left="720" w:right="720" w:hanging="360"/>
    </w:pPr>
    <w:rPr>
      <w:noProof/>
    </w:rPr>
  </w:style>
  <w:style w:type="paragraph" w:styleId="TOC3">
    <w:name w:val="toc 3"/>
    <w:basedOn w:val="Normal"/>
    <w:next w:val="Normal"/>
    <w:semiHidden/>
    <w:rsid w:val="00BD3E47"/>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BD3E47"/>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BD3E47"/>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BD3E47"/>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BD3E47"/>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BD3E47"/>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BD3E47"/>
    <w:pPr>
      <w:tabs>
        <w:tab w:val="left" w:pos="3240"/>
        <w:tab w:val="right" w:leader="dot" w:pos="9360"/>
      </w:tabs>
      <w:suppressAutoHyphens/>
      <w:ind w:left="3240" w:hanging="360"/>
    </w:pPr>
    <w:rPr>
      <w:noProof/>
    </w:rPr>
  </w:style>
  <w:style w:type="paragraph" w:styleId="TOAHeading">
    <w:name w:val="toa heading"/>
    <w:basedOn w:val="Normal"/>
    <w:next w:val="Normal"/>
    <w:semiHidden/>
    <w:rsid w:val="00BD3E47"/>
    <w:pPr>
      <w:tabs>
        <w:tab w:val="right" w:pos="9360"/>
      </w:tabs>
      <w:suppressAutoHyphens/>
    </w:pPr>
  </w:style>
  <w:style w:type="character" w:customStyle="1" w:styleId="EquationCaption">
    <w:name w:val="_Equation Caption"/>
    <w:rsid w:val="00BD3E47"/>
  </w:style>
  <w:style w:type="paragraph" w:styleId="Header">
    <w:name w:val="header"/>
    <w:basedOn w:val="Normal"/>
    <w:autoRedefine/>
    <w:rsid w:val="00BD3E47"/>
    <w:pPr>
      <w:tabs>
        <w:tab w:val="center" w:pos="4680"/>
        <w:tab w:val="right" w:pos="9360"/>
      </w:tabs>
    </w:pPr>
    <w:rPr>
      <w:rFonts w:ascii="Arial" w:hAnsi="Arial" w:cs="Arial"/>
      <w:b/>
      <w:sz w:val="96"/>
      <w:szCs w:val="96"/>
    </w:rPr>
  </w:style>
  <w:style w:type="paragraph" w:styleId="Footer">
    <w:name w:val="footer"/>
    <w:basedOn w:val="Normal"/>
    <w:link w:val="FooterChar"/>
    <w:uiPriority w:val="99"/>
    <w:rsid w:val="00BD3E47"/>
    <w:pPr>
      <w:tabs>
        <w:tab w:val="center" w:pos="4320"/>
        <w:tab w:val="right" w:pos="8640"/>
      </w:tabs>
    </w:pPr>
  </w:style>
  <w:style w:type="character" w:styleId="PageNumber">
    <w:name w:val="page number"/>
    <w:basedOn w:val="DefaultParagraphFont"/>
    <w:rsid w:val="00BD3E47"/>
  </w:style>
  <w:style w:type="paragraph" w:styleId="BlockText">
    <w:name w:val="Block Text"/>
    <w:basedOn w:val="Normal"/>
    <w:rsid w:val="00BD3E47"/>
    <w:pPr>
      <w:spacing w:after="240"/>
      <w:ind w:left="1440" w:right="1440"/>
    </w:pPr>
  </w:style>
  <w:style w:type="paragraph" w:customStyle="1" w:styleId="Paratitle">
    <w:name w:val="Para title"/>
    <w:basedOn w:val="Normal"/>
    <w:rsid w:val="00BD3E47"/>
    <w:pPr>
      <w:tabs>
        <w:tab w:val="center" w:pos="9270"/>
      </w:tabs>
      <w:spacing w:after="240"/>
    </w:pPr>
    <w:rPr>
      <w:spacing w:val="-2"/>
    </w:rPr>
  </w:style>
  <w:style w:type="paragraph" w:customStyle="1" w:styleId="Bullet">
    <w:name w:val="Bullet"/>
    <w:basedOn w:val="Normal"/>
    <w:rsid w:val="00BD3E47"/>
    <w:pPr>
      <w:numPr>
        <w:numId w:val="1"/>
      </w:numPr>
      <w:tabs>
        <w:tab w:val="clear" w:pos="360"/>
        <w:tab w:val="left" w:pos="2160"/>
      </w:tabs>
      <w:spacing w:after="220"/>
      <w:ind w:left="2160" w:hanging="720"/>
    </w:pPr>
  </w:style>
  <w:style w:type="paragraph" w:customStyle="1" w:styleId="TableFormat">
    <w:name w:val="TableFormat"/>
    <w:basedOn w:val="Bullet"/>
    <w:rsid w:val="00BD3E47"/>
    <w:pPr>
      <w:numPr>
        <w:numId w:val="0"/>
      </w:numPr>
      <w:tabs>
        <w:tab w:val="clear" w:pos="2160"/>
        <w:tab w:val="left" w:pos="5040"/>
      </w:tabs>
      <w:ind w:left="5040" w:hanging="3600"/>
    </w:pPr>
  </w:style>
  <w:style w:type="paragraph" w:customStyle="1" w:styleId="TOCTitle">
    <w:name w:val="TOC Title"/>
    <w:basedOn w:val="Normal"/>
    <w:rsid w:val="00BD3E47"/>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BD3E47"/>
    <w:pPr>
      <w:jc w:val="center"/>
    </w:pPr>
    <w:rPr>
      <w:rFonts w:ascii="Times New Roman Bold" w:hAnsi="Times New Roman Bold"/>
      <w:b/>
      <w:bCs/>
      <w:caps/>
      <w:szCs w:val="22"/>
    </w:rPr>
  </w:style>
  <w:style w:type="character" w:styleId="Hyperlink">
    <w:name w:val="Hyperlink"/>
    <w:rsid w:val="00BD3E47"/>
    <w:rPr>
      <w:color w:val="0000FF"/>
      <w:u w:val="single"/>
    </w:rPr>
  </w:style>
  <w:style w:type="character" w:customStyle="1" w:styleId="FooterChar">
    <w:name w:val="Footer Char"/>
    <w:link w:val="Footer"/>
    <w:uiPriority w:val="99"/>
    <w:rsid w:val="00BD3E47"/>
    <w:rPr>
      <w:snapToGrid w:val="0"/>
      <w:kern w:val="28"/>
      <w:sz w:val="22"/>
    </w:rPr>
  </w:style>
  <w:style w:type="character" w:styleId="UnresolvedMention">
    <w:name w:val="Unresolved Mention"/>
    <w:uiPriority w:val="99"/>
    <w:semiHidden/>
    <w:unhideWhenUsed/>
    <w:rsid w:val="00BD3E47"/>
    <w:rPr>
      <w:color w:val="605E5C"/>
      <w:shd w:val="clear" w:color="auto" w:fill="E1DFDD"/>
    </w:rPr>
  </w:style>
  <w:style w:type="paragraph" w:styleId="ListParagraph">
    <w:name w:val="List Paragraph"/>
    <w:basedOn w:val="Normal"/>
    <w:uiPriority w:val="34"/>
    <w:qFormat/>
    <w:rsid w:val="00C90997"/>
    <w:pPr>
      <w:spacing w:after="200" w:line="276" w:lineRule="auto"/>
      <w:ind w:left="720"/>
      <w:contextualSpacing/>
    </w:pPr>
    <w:rPr>
      <w:rFonts w:ascii="Calibri" w:eastAsia="Calibri" w:hAnsi="Calibri"/>
      <w:snapToGrid/>
      <w:kern w:val="0"/>
      <w:szCs w:val="22"/>
    </w:rPr>
  </w:style>
  <w:style w:type="character" w:customStyle="1" w:styleId="FootnoteTextChar1">
    <w:name w:val="Footnote Text Char1"/>
    <w:aliases w:val="Footnote Text Char Char Char Char Char,Footnote Text Char1 Char Char1,Footnote Text Char1 Char Char Char,Footnote Text Char1 Char1 Char Char Char Char Char,Footnote Text Char2 Char1,Footnote Text Char2 Char Char"/>
    <w:link w:val="FootnoteText"/>
    <w:rsid w:val="00C90997"/>
  </w:style>
  <w:style w:type="paragraph" w:styleId="Revision">
    <w:name w:val="Revision"/>
    <w:hidden/>
    <w:uiPriority w:val="99"/>
    <w:semiHidden/>
    <w:rsid w:val="00DF388A"/>
    <w:rPr>
      <w:snapToGrid w:val="0"/>
      <w:kern w:val="28"/>
      <w:sz w:val="22"/>
    </w:rPr>
  </w:style>
  <w:style w:type="character" w:styleId="CommentReference">
    <w:name w:val="annotation reference"/>
    <w:uiPriority w:val="99"/>
    <w:semiHidden/>
    <w:unhideWhenUsed/>
    <w:rsid w:val="00F14D9D"/>
    <w:rPr>
      <w:sz w:val="16"/>
      <w:szCs w:val="16"/>
    </w:rPr>
  </w:style>
  <w:style w:type="paragraph" w:styleId="CommentText">
    <w:name w:val="annotation text"/>
    <w:basedOn w:val="Normal"/>
    <w:link w:val="CommentTextChar"/>
    <w:uiPriority w:val="99"/>
    <w:unhideWhenUsed/>
    <w:rsid w:val="00F14D9D"/>
    <w:rPr>
      <w:sz w:val="20"/>
    </w:rPr>
  </w:style>
  <w:style w:type="character" w:customStyle="1" w:styleId="CommentTextChar">
    <w:name w:val="Comment Text Char"/>
    <w:link w:val="CommentText"/>
    <w:uiPriority w:val="99"/>
    <w:rsid w:val="00F14D9D"/>
    <w:rPr>
      <w:snapToGrid w:val="0"/>
      <w:kern w:val="28"/>
    </w:rPr>
  </w:style>
  <w:style w:type="paragraph" w:styleId="CommentSubject">
    <w:name w:val="annotation subject"/>
    <w:basedOn w:val="CommentText"/>
    <w:next w:val="CommentText"/>
    <w:link w:val="CommentSubjectChar"/>
    <w:uiPriority w:val="99"/>
    <w:semiHidden/>
    <w:unhideWhenUsed/>
    <w:rsid w:val="00F14D9D"/>
    <w:rPr>
      <w:b/>
      <w:bCs/>
    </w:rPr>
  </w:style>
  <w:style w:type="character" w:customStyle="1" w:styleId="CommentSubjectChar">
    <w:name w:val="Comment Subject Char"/>
    <w:link w:val="CommentSubject"/>
    <w:uiPriority w:val="99"/>
    <w:semiHidden/>
    <w:rsid w:val="00F14D9D"/>
    <w:rPr>
      <w:b/>
      <w:bCs/>
      <w:snapToGrid w:val="0"/>
      <w:kern w:val="28"/>
    </w:rPr>
  </w:style>
  <w:style w:type="character" w:styleId="FollowedHyperlink">
    <w:name w:val="FollowedHyperlink"/>
    <w:uiPriority w:val="99"/>
    <w:semiHidden/>
    <w:unhideWhenUsed/>
    <w:rsid w:val="00CC163E"/>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fcc504@fcc.gov" TargetMode="External" /><Relationship Id="rId7" Type="http://schemas.openxmlformats.org/officeDocument/2006/relationships/hyperlink" Target="mailto:maritime@fcc.gov" TargetMode="External" /><Relationship Id="rId8" Type="http://schemas.openxmlformats.org/officeDocument/2006/relationships/hyperlink" Target="mailto:katie.knox@fcc.gov" TargetMode="External" /><Relationship Id="rId9" Type="http://schemas.openxmlformats.org/officeDocument/2006/relationships/hyperlink" Target="mailto:kathleen.curameng@fcc.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ecfs/search/search-filings/filing/1043006200474" TargetMode="External" /><Relationship Id="rId2" Type="http://schemas.openxmlformats.org/officeDocument/2006/relationships/hyperlink" Target="https://oceansignal.com/products/mob2/" TargetMode="External" /><Relationship Id="rId3" Type="http://schemas.openxmlformats.org/officeDocument/2006/relationships/hyperlink" Target="https://www.navcen.uscg.gov/digital-selective-calling" TargetMode="External" /><Relationship Id="rId4" Type="http://schemas.openxmlformats.org/officeDocument/2006/relationships/hyperlink" Target="https://www.rtcm.org/about-rtcm" TargetMode="External" /><Relationship Id="rId5" Type="http://schemas.openxmlformats.org/officeDocument/2006/relationships/hyperlink" Target="https://www.rtcm.org/publications" TargetMode="External" /><Relationship Id="rId6" Type="http://schemas.openxmlformats.org/officeDocument/2006/relationships/hyperlink" Target="https://www.fcc.gov/wireless/bureau-divisions/mobility-division/maritime-survivor-locating-devices-mslds%23:~:text=Maritime%20Survivor%20Locating%20Devices%20%28MSLDs%29%20are%20transmitters%20are,surface%20out%20of%20sight%20of%20their%20dive%20boats" TargetMode="External" /><Relationship Id="rId7" Type="http://schemas.openxmlformats.org/officeDocument/2006/relationships/hyperlink" Target="https://www.fcc.gov/ecfs/search/search-filings/filing/103310147126193"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Legacy%20OS%20Template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