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60" w:rsidRDefault="003C53E6" w:rsidP="009D5C60">
      <w:pPr>
        <w:spacing w:after="0" w:line="240" w:lineRule="auto"/>
        <w:jc w:val="center"/>
        <w:rPr>
          <w:rFonts w:ascii="Times New Roman" w:hAnsi="Times New Roman" w:cs="Times New Roman"/>
          <w:b/>
        </w:rPr>
      </w:pPr>
      <w:bookmarkStart w:id="0" w:name="_GoBack"/>
      <w:bookmarkEnd w:id="0"/>
      <w:r w:rsidRPr="00146255">
        <w:rPr>
          <w:rFonts w:ascii="Times New Roman" w:hAnsi="Times New Roman" w:cs="Times New Roman"/>
          <w:b/>
        </w:rPr>
        <w:t xml:space="preserve">STATEMENT OF </w:t>
      </w:r>
    </w:p>
    <w:p w:rsidR="003C53E6" w:rsidRDefault="003C53E6" w:rsidP="009D5C60">
      <w:pPr>
        <w:spacing w:after="0" w:line="240" w:lineRule="auto"/>
        <w:jc w:val="center"/>
        <w:rPr>
          <w:rFonts w:ascii="Times New Roman" w:hAnsi="Times New Roman" w:cs="Times New Roman"/>
          <w:b/>
        </w:rPr>
      </w:pPr>
      <w:r w:rsidRPr="00146255">
        <w:rPr>
          <w:rFonts w:ascii="Times New Roman" w:hAnsi="Times New Roman" w:cs="Times New Roman"/>
          <w:b/>
        </w:rPr>
        <w:t>COMMISSIONER AJIT PAI</w:t>
      </w:r>
    </w:p>
    <w:p w:rsidR="009D5C60" w:rsidRPr="00146255" w:rsidRDefault="009D5C60" w:rsidP="009D5C60">
      <w:pPr>
        <w:spacing w:after="0" w:line="240" w:lineRule="auto"/>
        <w:jc w:val="center"/>
        <w:rPr>
          <w:rFonts w:ascii="Times New Roman" w:hAnsi="Times New Roman" w:cs="Times New Roman"/>
          <w:b/>
        </w:rPr>
      </w:pPr>
    </w:p>
    <w:p w:rsidR="003C53E6" w:rsidRPr="009D5C60" w:rsidRDefault="003C53E6" w:rsidP="009D5C60">
      <w:pPr>
        <w:spacing w:after="120" w:line="240" w:lineRule="auto"/>
        <w:ind w:left="720" w:hanging="720"/>
        <w:rPr>
          <w:rFonts w:ascii="Times New Roman" w:hAnsi="Times New Roman" w:cs="Times New Roman"/>
          <w:i/>
        </w:rPr>
      </w:pPr>
      <w:r w:rsidRPr="00567881">
        <w:rPr>
          <w:rFonts w:ascii="Times New Roman" w:hAnsi="Times New Roman" w:cs="Times New Roman"/>
        </w:rPr>
        <w:t>Re:</w:t>
      </w:r>
      <w:r w:rsidRPr="00146255">
        <w:rPr>
          <w:rFonts w:ascii="Times New Roman" w:hAnsi="Times New Roman" w:cs="Times New Roman"/>
          <w:i/>
        </w:rPr>
        <w:t xml:space="preserve"> </w:t>
      </w:r>
      <w:r w:rsidRPr="00146255">
        <w:rPr>
          <w:rFonts w:ascii="Times New Roman" w:hAnsi="Times New Roman" w:cs="Times New Roman"/>
          <w:i/>
        </w:rPr>
        <w:tab/>
      </w:r>
      <w:r w:rsidRPr="009D5C60">
        <w:rPr>
          <w:rFonts w:ascii="Times New Roman" w:hAnsi="Times New Roman" w:cs="Times New Roman"/>
          <w:i/>
        </w:rPr>
        <w:t xml:space="preserve">Promoting Expanded Opportunities for Radio Experimentation and Market Trials under Part 5  </w:t>
      </w:r>
      <w:r w:rsidR="009D5C60" w:rsidRPr="009D5C60">
        <w:rPr>
          <w:rFonts w:ascii="Times New Roman" w:hAnsi="Times New Roman" w:cs="Times New Roman"/>
          <w:i/>
        </w:rPr>
        <w:t xml:space="preserve">of </w:t>
      </w:r>
      <w:r w:rsidRPr="009D5C60">
        <w:rPr>
          <w:rFonts w:ascii="Times New Roman" w:hAnsi="Times New Roman" w:cs="Times New Roman"/>
          <w:i/>
        </w:rPr>
        <w:t>the Commission’s Rules and Streamlining Other Related Rules, ET Docket No. 10-236; 2006 Biennial Review of Telecommunications Regulations–Part 2 Administered by the Office of Engineering and Technology (OET), ET Docket No. 06-155</w:t>
      </w:r>
    </w:p>
    <w:p w:rsidR="009D5C60" w:rsidRPr="00146255" w:rsidRDefault="009D5C60" w:rsidP="009D5C60">
      <w:pPr>
        <w:spacing w:after="120" w:line="240" w:lineRule="auto"/>
        <w:ind w:left="720" w:hanging="720"/>
        <w:rPr>
          <w:rFonts w:ascii="Times New Roman" w:hAnsi="Times New Roman" w:cs="Times New Roman"/>
          <w:i/>
        </w:rPr>
      </w:pP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Experimentation is a hallmark of the American tradition.  Indeed, one might argue that it is America itself.  In 1831, Alexis de Tocqueville famously described this co</w:t>
      </w:r>
      <w:r>
        <w:rPr>
          <w:rFonts w:ascii="Times New Roman" w:hAnsi="Times New Roman" w:cs="Times New Roman"/>
        </w:rPr>
        <w:t>untry as a “great experiment.”</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 xml:space="preserve">In the communications context, the experimental spirit is reflected in laws and regulations.  Section 303(g) of the Communications Act of 1934, for instance, directs us to “[s]tudy new uses for radio, provide for experimental uses of frequencies, and generally encourage the larger and more effective use of radio in the public interest.”  Our longstanding Experimental Radio Service rules fulfill this mandate.  These regulations have been an unquestionable success, enabling a broad range of experiments and testing throughout the radio spectrum while protecting incumbent licensees from interference.  </w:t>
      </w:r>
      <w:r>
        <w:rPr>
          <w:rFonts w:ascii="Times New Roman" w:hAnsi="Times New Roman" w:cs="Times New Roman"/>
        </w:rPr>
        <w:t>And</w:t>
      </w:r>
      <w:r w:rsidRPr="00146255">
        <w:rPr>
          <w:rFonts w:ascii="Times New Roman" w:hAnsi="Times New Roman" w:cs="Times New Roman"/>
        </w:rPr>
        <w:t xml:space="preserve"> these experiments have led to significant breakthroughs</w:t>
      </w:r>
      <w:r>
        <w:rPr>
          <w:rFonts w:ascii="Times New Roman" w:hAnsi="Times New Roman" w:cs="Times New Roman"/>
        </w:rPr>
        <w:t>: from the Mayo Clinic’s development of patient monitoring equipment, to the development of direct sequence spread spectrum modulation techniques used by some Wi-Fi standards, to light-up bracelets that the band Coldplay distributed at the 2012 Grammy Awards</w:t>
      </w:r>
      <w:r w:rsidRPr="00146255">
        <w:rPr>
          <w:rFonts w:ascii="Times New Roman" w:hAnsi="Times New Roman" w:cs="Times New Roman"/>
        </w:rPr>
        <w:t>.</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Today’s item improves the existing experimental license process</w:t>
      </w:r>
      <w:r>
        <w:rPr>
          <w:rFonts w:ascii="Times New Roman" w:hAnsi="Times New Roman" w:cs="Times New Roman"/>
        </w:rPr>
        <w:t>.  It consolidates</w:t>
      </w:r>
      <w:r w:rsidRPr="00146255">
        <w:rPr>
          <w:rFonts w:ascii="Times New Roman" w:hAnsi="Times New Roman" w:cs="Times New Roman"/>
        </w:rPr>
        <w:t xml:space="preserve"> all the rules that experimenters </w:t>
      </w:r>
      <w:r>
        <w:rPr>
          <w:rFonts w:ascii="Times New Roman" w:hAnsi="Times New Roman" w:cs="Times New Roman"/>
        </w:rPr>
        <w:t xml:space="preserve">must follow into one location: </w:t>
      </w:r>
      <w:r w:rsidRPr="00146255">
        <w:rPr>
          <w:rFonts w:ascii="Times New Roman" w:hAnsi="Times New Roman" w:cs="Times New Roman"/>
        </w:rPr>
        <w:t xml:space="preserve">Part 5 of our </w:t>
      </w:r>
      <w:r>
        <w:rPr>
          <w:rFonts w:ascii="Times New Roman" w:hAnsi="Times New Roman" w:cs="Times New Roman"/>
        </w:rPr>
        <w:t>rules</w:t>
      </w:r>
      <w:r w:rsidRPr="00146255">
        <w:rPr>
          <w:rFonts w:ascii="Times New Roman" w:hAnsi="Times New Roman" w:cs="Times New Roman"/>
        </w:rPr>
        <w:t xml:space="preserve">.  It also creates new opportunities for innovators to </w:t>
      </w:r>
      <w:r>
        <w:rPr>
          <w:rFonts w:ascii="Times New Roman" w:hAnsi="Times New Roman" w:cs="Times New Roman"/>
        </w:rPr>
        <w:t xml:space="preserve">more easily </w:t>
      </w:r>
      <w:r w:rsidRPr="00146255">
        <w:rPr>
          <w:rFonts w:ascii="Times New Roman" w:hAnsi="Times New Roman" w:cs="Times New Roman"/>
        </w:rPr>
        <w:t xml:space="preserve">conduct experiments that may </w:t>
      </w:r>
      <w:r>
        <w:rPr>
          <w:rFonts w:ascii="Times New Roman" w:hAnsi="Times New Roman" w:cs="Times New Roman"/>
        </w:rPr>
        <w:t>lead to</w:t>
      </w:r>
      <w:r w:rsidRPr="00146255">
        <w:rPr>
          <w:rFonts w:ascii="Times New Roman" w:hAnsi="Times New Roman" w:cs="Times New Roman"/>
        </w:rPr>
        <w:t xml:space="preserve"> the next technological success.  Overall, I believe that this order will encourage wireless research and development, and I am therefore pleased to support it.</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 xml:space="preserve">To be sure, there is another side </w:t>
      </w:r>
      <w:r>
        <w:rPr>
          <w:rFonts w:ascii="Times New Roman" w:hAnsi="Times New Roman" w:cs="Times New Roman"/>
        </w:rPr>
        <w:t>of the coin when it comes to</w:t>
      </w:r>
      <w:r w:rsidRPr="00146255">
        <w:rPr>
          <w:rFonts w:ascii="Times New Roman" w:hAnsi="Times New Roman" w:cs="Times New Roman"/>
        </w:rPr>
        <w:t xml:space="preserve"> experimental radio, and that is the interests of licensees</w:t>
      </w:r>
      <w:r>
        <w:rPr>
          <w:rFonts w:ascii="Times New Roman" w:hAnsi="Times New Roman" w:cs="Times New Roman"/>
        </w:rPr>
        <w:t xml:space="preserve"> and the hundreds of millions of Americans that use licensed wireless services</w:t>
      </w:r>
      <w:r w:rsidRPr="00146255">
        <w:rPr>
          <w:rFonts w:ascii="Times New Roman" w:hAnsi="Times New Roman" w:cs="Times New Roman"/>
        </w:rPr>
        <w:t xml:space="preserve">.  </w:t>
      </w:r>
      <w:r>
        <w:rPr>
          <w:rFonts w:ascii="Times New Roman" w:hAnsi="Times New Roman" w:cs="Times New Roman"/>
        </w:rPr>
        <w:t>L</w:t>
      </w:r>
      <w:r w:rsidRPr="00146255">
        <w:rPr>
          <w:rFonts w:ascii="Times New Roman" w:hAnsi="Times New Roman" w:cs="Times New Roman"/>
        </w:rPr>
        <w:t xml:space="preserve">icensees </w:t>
      </w:r>
      <w:r>
        <w:rPr>
          <w:rFonts w:ascii="Times New Roman" w:hAnsi="Times New Roman" w:cs="Times New Roman"/>
        </w:rPr>
        <w:t xml:space="preserve">must </w:t>
      </w:r>
      <w:r w:rsidRPr="00146255">
        <w:rPr>
          <w:rFonts w:ascii="Times New Roman" w:hAnsi="Times New Roman" w:cs="Times New Roman"/>
        </w:rPr>
        <w:t xml:space="preserve">be able to </w:t>
      </w:r>
      <w:r>
        <w:rPr>
          <w:rFonts w:ascii="Times New Roman" w:hAnsi="Times New Roman" w:cs="Times New Roman"/>
        </w:rPr>
        <w:t>manage</w:t>
      </w:r>
      <w:r w:rsidRPr="00146255">
        <w:rPr>
          <w:rFonts w:ascii="Times New Roman" w:hAnsi="Times New Roman" w:cs="Times New Roman"/>
        </w:rPr>
        <w:t xml:space="preserve"> their spectrum without impingement</w:t>
      </w:r>
      <w:r>
        <w:rPr>
          <w:rFonts w:ascii="Times New Roman" w:hAnsi="Times New Roman" w:cs="Times New Roman"/>
        </w:rPr>
        <w:t>, and consumers who rely on licensed services should not be subject to harmful interference</w:t>
      </w:r>
      <w:r w:rsidRPr="00146255">
        <w:rPr>
          <w:rFonts w:ascii="Times New Roman" w:hAnsi="Times New Roman" w:cs="Times New Roman"/>
        </w:rPr>
        <w:t xml:space="preserve">.  </w:t>
      </w:r>
      <w:r>
        <w:rPr>
          <w:rFonts w:ascii="Times New Roman" w:hAnsi="Times New Roman" w:cs="Times New Roman"/>
        </w:rPr>
        <w:t>The</w:t>
      </w:r>
      <w:r w:rsidRPr="00146255">
        <w:rPr>
          <w:rFonts w:ascii="Times New Roman" w:hAnsi="Times New Roman" w:cs="Times New Roman"/>
        </w:rPr>
        <w:t xml:space="preserve"> common-sense safeguards embedded throughout the order</w:t>
      </w:r>
      <w:r>
        <w:rPr>
          <w:rFonts w:ascii="Times New Roman" w:hAnsi="Times New Roman" w:cs="Times New Roman"/>
        </w:rPr>
        <w:t xml:space="preserve"> protect these interests</w:t>
      </w:r>
      <w:r w:rsidRPr="00146255">
        <w:rPr>
          <w:rFonts w:ascii="Times New Roman" w:hAnsi="Times New Roman" w:cs="Times New Roman"/>
        </w:rPr>
        <w:t xml:space="preserve">.  For example, experimenters </w:t>
      </w:r>
      <w:r>
        <w:rPr>
          <w:rFonts w:ascii="Times New Roman" w:hAnsi="Times New Roman" w:cs="Times New Roman"/>
        </w:rPr>
        <w:t>may</w:t>
      </w:r>
      <w:r w:rsidRPr="00146255">
        <w:rPr>
          <w:rFonts w:ascii="Times New Roman" w:hAnsi="Times New Roman" w:cs="Times New Roman"/>
        </w:rPr>
        <w:t xml:space="preserve"> not cause interference to any licensed users</w:t>
      </w:r>
      <w:r>
        <w:rPr>
          <w:rFonts w:ascii="Times New Roman" w:hAnsi="Times New Roman" w:cs="Times New Roman"/>
        </w:rPr>
        <w:t>—</w:t>
      </w:r>
      <w:r w:rsidRPr="00146255">
        <w:rPr>
          <w:rFonts w:ascii="Times New Roman" w:hAnsi="Times New Roman" w:cs="Times New Roman"/>
        </w:rPr>
        <w:t>primary or secondary</w:t>
      </w:r>
      <w:r>
        <w:rPr>
          <w:rFonts w:ascii="Times New Roman" w:hAnsi="Times New Roman" w:cs="Times New Roman"/>
        </w:rPr>
        <w:t>—</w:t>
      </w:r>
      <w:r w:rsidRPr="00146255">
        <w:rPr>
          <w:rFonts w:ascii="Times New Roman" w:hAnsi="Times New Roman" w:cs="Times New Roman"/>
        </w:rPr>
        <w:t xml:space="preserve">and must </w:t>
      </w:r>
      <w:r>
        <w:rPr>
          <w:rFonts w:ascii="Times New Roman" w:hAnsi="Times New Roman" w:cs="Times New Roman"/>
        </w:rPr>
        <w:t xml:space="preserve">show their work in that regard </w:t>
      </w:r>
      <w:r w:rsidRPr="00146255">
        <w:rPr>
          <w:rFonts w:ascii="Times New Roman" w:hAnsi="Times New Roman" w:cs="Times New Roman"/>
        </w:rPr>
        <w:t xml:space="preserve">prior to every experiment.  </w:t>
      </w:r>
      <w:r>
        <w:rPr>
          <w:rFonts w:ascii="Times New Roman" w:hAnsi="Times New Roman" w:cs="Times New Roman"/>
        </w:rPr>
        <w:t>E</w:t>
      </w:r>
      <w:r w:rsidRPr="00146255">
        <w:rPr>
          <w:rFonts w:ascii="Times New Roman" w:hAnsi="Times New Roman" w:cs="Times New Roman"/>
        </w:rPr>
        <w:t xml:space="preserve">xperimenters that seek to use critical service bands, such as those involving Commercial Mobile Radio Service and public safety, </w:t>
      </w:r>
      <w:r>
        <w:rPr>
          <w:rFonts w:ascii="Times New Roman" w:hAnsi="Times New Roman" w:cs="Times New Roman"/>
        </w:rPr>
        <w:t>must</w:t>
      </w:r>
      <w:r w:rsidRPr="00146255">
        <w:rPr>
          <w:rFonts w:ascii="Times New Roman" w:hAnsi="Times New Roman" w:cs="Times New Roman"/>
        </w:rPr>
        <w:t xml:space="preserve"> notify potentially</w:t>
      </w:r>
      <w:r>
        <w:rPr>
          <w:rFonts w:ascii="Times New Roman" w:hAnsi="Times New Roman" w:cs="Times New Roman"/>
        </w:rPr>
        <w:t xml:space="preserve"> </w:t>
      </w:r>
      <w:r w:rsidRPr="00146255">
        <w:rPr>
          <w:rFonts w:ascii="Times New Roman" w:hAnsi="Times New Roman" w:cs="Times New Roman"/>
        </w:rPr>
        <w:t xml:space="preserve">affected licensees.  </w:t>
      </w:r>
      <w:r>
        <w:rPr>
          <w:rFonts w:ascii="Times New Roman" w:hAnsi="Times New Roman" w:cs="Times New Roman"/>
        </w:rPr>
        <w:t>E</w:t>
      </w:r>
      <w:r w:rsidRPr="00146255">
        <w:rPr>
          <w:rFonts w:ascii="Times New Roman" w:hAnsi="Times New Roman" w:cs="Times New Roman"/>
        </w:rPr>
        <w:t xml:space="preserve">xperimenters </w:t>
      </w:r>
      <w:r>
        <w:rPr>
          <w:rFonts w:ascii="Times New Roman" w:hAnsi="Times New Roman" w:cs="Times New Roman"/>
        </w:rPr>
        <w:t>must</w:t>
      </w:r>
      <w:r w:rsidRPr="00146255">
        <w:rPr>
          <w:rFonts w:ascii="Times New Roman" w:hAnsi="Times New Roman" w:cs="Times New Roman"/>
        </w:rPr>
        <w:t xml:space="preserve"> post the details of their proposed experiment </w:t>
      </w:r>
      <w:r>
        <w:rPr>
          <w:rFonts w:ascii="Times New Roman" w:hAnsi="Times New Roman" w:cs="Times New Roman"/>
        </w:rPr>
        <w:t xml:space="preserve">on </w:t>
      </w:r>
      <w:r w:rsidRPr="00146255">
        <w:rPr>
          <w:rFonts w:ascii="Times New Roman" w:hAnsi="Times New Roman" w:cs="Times New Roman"/>
        </w:rPr>
        <w:t xml:space="preserve">the Commission’s web-based registration system.  </w:t>
      </w:r>
      <w:r>
        <w:rPr>
          <w:rFonts w:ascii="Times New Roman" w:hAnsi="Times New Roman" w:cs="Times New Roman"/>
        </w:rPr>
        <w:t>They must</w:t>
      </w:r>
      <w:r w:rsidRPr="00146255">
        <w:rPr>
          <w:rFonts w:ascii="Times New Roman" w:hAnsi="Times New Roman" w:cs="Times New Roman"/>
        </w:rPr>
        <w:t xml:space="preserve"> provide a </w:t>
      </w:r>
      <w:r>
        <w:rPr>
          <w:rFonts w:ascii="Times New Roman" w:hAnsi="Times New Roman" w:cs="Times New Roman"/>
        </w:rPr>
        <w:t xml:space="preserve">point of </w:t>
      </w:r>
      <w:r w:rsidRPr="00146255">
        <w:rPr>
          <w:rFonts w:ascii="Times New Roman" w:hAnsi="Times New Roman" w:cs="Times New Roman"/>
        </w:rPr>
        <w:t xml:space="preserve">contact to enable an immediate shutdown of the experiment should a problem </w:t>
      </w:r>
      <w:r>
        <w:rPr>
          <w:rFonts w:ascii="Times New Roman" w:hAnsi="Times New Roman" w:cs="Times New Roman"/>
        </w:rPr>
        <w:t>occur</w:t>
      </w:r>
      <w:r w:rsidRPr="00146255">
        <w:rPr>
          <w:rFonts w:ascii="Times New Roman" w:hAnsi="Times New Roman" w:cs="Times New Roman"/>
        </w:rPr>
        <w:t xml:space="preserve">.  We also may </w:t>
      </w:r>
      <w:r>
        <w:rPr>
          <w:rFonts w:ascii="Times New Roman" w:hAnsi="Times New Roman" w:cs="Times New Roman"/>
        </w:rPr>
        <w:t>require</w:t>
      </w:r>
      <w:r w:rsidRPr="00146255">
        <w:rPr>
          <w:rFonts w:ascii="Times New Roman" w:hAnsi="Times New Roman" w:cs="Times New Roman"/>
        </w:rPr>
        <w:t xml:space="preserve"> an </w:t>
      </w:r>
      <w:r>
        <w:rPr>
          <w:rFonts w:ascii="Times New Roman" w:hAnsi="Times New Roman" w:cs="Times New Roman"/>
        </w:rPr>
        <w:t>experimenter</w:t>
      </w:r>
      <w:r w:rsidRPr="00146255">
        <w:rPr>
          <w:rFonts w:ascii="Times New Roman" w:hAnsi="Times New Roman" w:cs="Times New Roman"/>
        </w:rPr>
        <w:t xml:space="preserve"> at any time to </w:t>
      </w:r>
      <w:r>
        <w:rPr>
          <w:rFonts w:ascii="Times New Roman" w:hAnsi="Times New Roman" w:cs="Times New Roman"/>
        </w:rPr>
        <w:t>coordinate</w:t>
      </w:r>
      <w:r w:rsidRPr="00146255">
        <w:rPr>
          <w:rFonts w:ascii="Times New Roman" w:hAnsi="Times New Roman" w:cs="Times New Roman"/>
        </w:rPr>
        <w:t xml:space="preserve"> with an incumbent licensee.  Finally, we require </w:t>
      </w:r>
      <w:r>
        <w:rPr>
          <w:rFonts w:ascii="Times New Roman" w:hAnsi="Times New Roman" w:cs="Times New Roman"/>
        </w:rPr>
        <w:t>experimenters</w:t>
      </w:r>
      <w:r w:rsidRPr="00146255">
        <w:rPr>
          <w:rFonts w:ascii="Times New Roman" w:hAnsi="Times New Roman" w:cs="Times New Roman"/>
        </w:rPr>
        <w:t xml:space="preserve"> to </w:t>
      </w:r>
      <w:r>
        <w:rPr>
          <w:rFonts w:ascii="Times New Roman" w:hAnsi="Times New Roman" w:cs="Times New Roman"/>
        </w:rPr>
        <w:t>report on the results of</w:t>
      </w:r>
      <w:r w:rsidRPr="00146255">
        <w:rPr>
          <w:rFonts w:ascii="Times New Roman" w:hAnsi="Times New Roman" w:cs="Times New Roman"/>
        </w:rPr>
        <w:t xml:space="preserve"> their experiments, including interference.  These safeguards, and others applicable to holders of the new medical and compliance licenses, </w:t>
      </w:r>
      <w:r>
        <w:rPr>
          <w:rFonts w:ascii="Times New Roman" w:hAnsi="Times New Roman" w:cs="Times New Roman"/>
        </w:rPr>
        <w:t>should</w:t>
      </w:r>
      <w:r w:rsidRPr="00146255">
        <w:rPr>
          <w:rFonts w:ascii="Times New Roman" w:hAnsi="Times New Roman" w:cs="Times New Roman"/>
        </w:rPr>
        <w:t xml:space="preserve"> promote the happy balance of robust experimentation and the unencumbered use of spectrum purchased at auction.</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Of course, this prediction presumes general adherence to the old-fashioned virtue of good faith.  The Office of Engineering Technology (OET) has informed us that the vast majority of experimental applications do not come close to threatening harmful interference.  But experimentation, by definition, means trying something where the outcome is not always known.  As Amazon CEO Jeff Bezos once put it, “</w:t>
      </w:r>
      <w:r>
        <w:rPr>
          <w:rFonts w:ascii="Times New Roman" w:hAnsi="Times New Roman" w:cs="Times New Roman"/>
        </w:rPr>
        <w:t>I</w:t>
      </w:r>
      <w:r w:rsidRPr="00146255">
        <w:rPr>
          <w:rFonts w:ascii="Times New Roman" w:hAnsi="Times New Roman" w:cs="Times New Roman"/>
        </w:rPr>
        <w:t xml:space="preserve">t’s not an experiment if you know it’s going to work.” </w:t>
      </w:r>
      <w:r>
        <w:rPr>
          <w:rFonts w:ascii="Times New Roman" w:hAnsi="Times New Roman" w:cs="Times New Roman"/>
        </w:rPr>
        <w:t xml:space="preserve"> </w:t>
      </w:r>
      <w:r w:rsidRPr="00146255">
        <w:rPr>
          <w:rFonts w:ascii="Times New Roman" w:hAnsi="Times New Roman" w:cs="Times New Roman"/>
        </w:rPr>
        <w:t xml:space="preserve">One unintended consequence of an experiment could be interference.  To address this possibility, I hope that in the coming months OET will </w:t>
      </w:r>
      <w:r w:rsidRPr="00146255">
        <w:rPr>
          <w:rFonts w:ascii="Times New Roman" w:hAnsi="Times New Roman" w:cs="Times New Roman"/>
        </w:rPr>
        <w:lastRenderedPageBreak/>
        <w:t>establish a formal complaint procedure</w:t>
      </w:r>
      <w:r w:rsidRPr="00146255">
        <w:rPr>
          <w:rStyle w:val="FootnoteReference"/>
          <w:rFonts w:ascii="Times New Roman" w:hAnsi="Times New Roman" w:cs="Times New Roman"/>
        </w:rPr>
        <w:footnoteReference w:id="1"/>
      </w:r>
      <w:r w:rsidRPr="00146255">
        <w:rPr>
          <w:rFonts w:ascii="Times New Roman" w:hAnsi="Times New Roman" w:cs="Times New Roman"/>
        </w:rPr>
        <w:t xml:space="preserve"> so that any dispute about interference can be resolved fairly and expeditiously.  And it goes without saying that we expect all parties involved to work together to identify and resolve any dispute</w:t>
      </w:r>
      <w:r>
        <w:rPr>
          <w:rFonts w:ascii="Times New Roman" w:hAnsi="Times New Roman" w:cs="Times New Roman"/>
        </w:rPr>
        <w:t xml:space="preserve"> before it gets to that point.</w:t>
      </w:r>
    </w:p>
    <w:p w:rsidR="008417D6" w:rsidRPr="003C53E6"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 xml:space="preserve">Finally, the thoughtfulness, institutional knowledge, and hard work that went into this item evince the extraordinary professionalism of OET.  I especially would like to thank Julie Knapp, Bruce Romano, Rodney Small, and Ira Keltz for their dedication to this effort.  I am excited to see what American innovation holds in store for us </w:t>
      </w:r>
      <w:r>
        <w:rPr>
          <w:rFonts w:ascii="Times New Roman" w:hAnsi="Times New Roman" w:cs="Times New Roman"/>
        </w:rPr>
        <w:t>as a result of today’s action.</w:t>
      </w:r>
    </w:p>
    <w:sectPr w:rsidR="008417D6" w:rsidRPr="003C53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E6" w:rsidRDefault="003C53E6" w:rsidP="003C53E6">
      <w:pPr>
        <w:spacing w:after="0" w:line="240" w:lineRule="auto"/>
      </w:pPr>
      <w:r>
        <w:separator/>
      </w:r>
    </w:p>
  </w:endnote>
  <w:endnote w:type="continuationSeparator" w:id="0">
    <w:p w:rsidR="003C53E6" w:rsidRDefault="003C53E6" w:rsidP="003C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29" w:rsidRDefault="00D31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29" w:rsidRDefault="00D31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29" w:rsidRDefault="00D3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E6" w:rsidRDefault="003C53E6" w:rsidP="003C53E6">
      <w:pPr>
        <w:spacing w:after="0" w:line="240" w:lineRule="auto"/>
      </w:pPr>
      <w:r>
        <w:separator/>
      </w:r>
    </w:p>
  </w:footnote>
  <w:footnote w:type="continuationSeparator" w:id="0">
    <w:p w:rsidR="003C53E6" w:rsidRDefault="003C53E6" w:rsidP="003C53E6">
      <w:pPr>
        <w:spacing w:after="0" w:line="240" w:lineRule="auto"/>
      </w:pPr>
      <w:r>
        <w:continuationSeparator/>
      </w:r>
    </w:p>
  </w:footnote>
  <w:footnote w:id="1">
    <w:p w:rsidR="003C53E6" w:rsidRPr="00597C5A" w:rsidRDefault="003C53E6" w:rsidP="003C53E6">
      <w:pPr>
        <w:pStyle w:val="FootnoteText"/>
        <w:spacing w:after="120"/>
        <w:rPr>
          <w:rFonts w:ascii="Times New Roman" w:hAnsi="Times New Roman" w:cs="Times New Roman"/>
        </w:rPr>
      </w:pPr>
      <w:r w:rsidRPr="00597C5A">
        <w:rPr>
          <w:rStyle w:val="FootnoteReference"/>
          <w:rFonts w:ascii="Times New Roman" w:hAnsi="Times New Roman" w:cs="Times New Roman"/>
        </w:rPr>
        <w:footnoteRef/>
      </w:r>
      <w:r w:rsidRPr="00597C5A">
        <w:rPr>
          <w:rFonts w:ascii="Times New Roman" w:hAnsi="Times New Roman" w:cs="Times New Roman"/>
        </w:rPr>
        <w:t xml:space="preserve"> </w:t>
      </w:r>
      <w:r w:rsidRPr="0059372C">
        <w:rPr>
          <w:rFonts w:ascii="Times New Roman" w:hAnsi="Times New Roman" w:cs="Times New Roman"/>
          <w:i/>
        </w:rPr>
        <w:t>Report and Order</w:t>
      </w:r>
      <w:r>
        <w:rPr>
          <w:rFonts w:ascii="Times New Roman" w:hAnsi="Times New Roman" w:cs="Times New Roman"/>
        </w:rPr>
        <w:t>, para.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29" w:rsidRDefault="00D31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29" w:rsidRDefault="00D31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29" w:rsidRDefault="00D3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E6"/>
    <w:rsid w:val="00030D29"/>
    <w:rsid w:val="00313650"/>
    <w:rsid w:val="003C53E6"/>
    <w:rsid w:val="00567881"/>
    <w:rsid w:val="006C2F6C"/>
    <w:rsid w:val="00737646"/>
    <w:rsid w:val="007E43D3"/>
    <w:rsid w:val="009D5C60"/>
    <w:rsid w:val="00D31B29"/>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3E6"/>
    <w:rPr>
      <w:sz w:val="20"/>
      <w:szCs w:val="20"/>
    </w:rPr>
  </w:style>
  <w:style w:type="character" w:styleId="FootnoteReference">
    <w:name w:val="footnote reference"/>
    <w:basedOn w:val="DefaultParagraphFont"/>
    <w:uiPriority w:val="99"/>
    <w:semiHidden/>
    <w:unhideWhenUsed/>
    <w:rsid w:val="003C53E6"/>
    <w:rPr>
      <w:vertAlign w:val="superscript"/>
    </w:rPr>
  </w:style>
  <w:style w:type="paragraph" w:styleId="BalloonText">
    <w:name w:val="Balloon Text"/>
    <w:basedOn w:val="Normal"/>
    <w:link w:val="BalloonTextChar"/>
    <w:uiPriority w:val="99"/>
    <w:semiHidden/>
    <w:unhideWhenUsed/>
    <w:rsid w:val="0056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81"/>
    <w:rPr>
      <w:rFonts w:ascii="Tahoma" w:hAnsi="Tahoma" w:cs="Tahoma"/>
      <w:sz w:val="16"/>
      <w:szCs w:val="16"/>
    </w:rPr>
  </w:style>
  <w:style w:type="paragraph" w:styleId="Header">
    <w:name w:val="header"/>
    <w:basedOn w:val="Normal"/>
    <w:link w:val="HeaderChar"/>
    <w:uiPriority w:val="99"/>
    <w:unhideWhenUsed/>
    <w:rsid w:val="00D3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29"/>
  </w:style>
  <w:style w:type="paragraph" w:styleId="Footer">
    <w:name w:val="footer"/>
    <w:basedOn w:val="Normal"/>
    <w:link w:val="FooterChar"/>
    <w:uiPriority w:val="99"/>
    <w:unhideWhenUsed/>
    <w:rsid w:val="00D3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3E6"/>
    <w:rPr>
      <w:sz w:val="20"/>
      <w:szCs w:val="20"/>
    </w:rPr>
  </w:style>
  <w:style w:type="character" w:styleId="FootnoteReference">
    <w:name w:val="footnote reference"/>
    <w:basedOn w:val="DefaultParagraphFont"/>
    <w:uiPriority w:val="99"/>
    <w:semiHidden/>
    <w:unhideWhenUsed/>
    <w:rsid w:val="003C53E6"/>
    <w:rPr>
      <w:vertAlign w:val="superscript"/>
    </w:rPr>
  </w:style>
  <w:style w:type="paragraph" w:styleId="BalloonText">
    <w:name w:val="Balloon Text"/>
    <w:basedOn w:val="Normal"/>
    <w:link w:val="BalloonTextChar"/>
    <w:uiPriority w:val="99"/>
    <w:semiHidden/>
    <w:unhideWhenUsed/>
    <w:rsid w:val="0056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81"/>
    <w:rPr>
      <w:rFonts w:ascii="Tahoma" w:hAnsi="Tahoma" w:cs="Tahoma"/>
      <w:sz w:val="16"/>
      <w:szCs w:val="16"/>
    </w:rPr>
  </w:style>
  <w:style w:type="paragraph" w:styleId="Header">
    <w:name w:val="header"/>
    <w:basedOn w:val="Normal"/>
    <w:link w:val="HeaderChar"/>
    <w:uiPriority w:val="99"/>
    <w:unhideWhenUsed/>
    <w:rsid w:val="00D3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29"/>
  </w:style>
  <w:style w:type="paragraph" w:styleId="Footer">
    <w:name w:val="footer"/>
    <w:basedOn w:val="Normal"/>
    <w:link w:val="FooterChar"/>
    <w:uiPriority w:val="99"/>
    <w:unhideWhenUsed/>
    <w:rsid w:val="00D3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3864</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2013-01-31T17:33:00Z</cp:lastPrinted>
  <dcterms:created xsi:type="dcterms:W3CDTF">2013-01-31T18:23:00Z</dcterms:created>
  <dcterms:modified xsi:type="dcterms:W3CDTF">2013-01-31T18:23:00Z</dcterms:modified>
  <cp:category> </cp:category>
  <cp:contentStatus> </cp:contentStatus>
</cp:coreProperties>
</file>