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1387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  <w:gridCol w:w="4230"/>
      </w:tblGrid>
      <w:tr w:rsidR="00884624" w:rsidTr="00884624">
        <w:tc>
          <w:tcPr>
            <w:tcW w:w="4698" w:type="dxa"/>
          </w:tcPr>
          <w:p w:rsidR="00884624" w:rsidRDefault="00884624" w:rsidP="00012BDC">
            <w:pPr>
              <w:ind w:right="-18"/>
            </w:pPr>
            <w:r>
              <w:t>In the Matter of</w:t>
            </w:r>
          </w:p>
          <w:p w:rsidR="00884624" w:rsidRDefault="00884624" w:rsidP="00012BDC">
            <w:pPr>
              <w:ind w:right="-18"/>
            </w:pPr>
          </w:p>
          <w:p w:rsidR="008D351C" w:rsidRPr="00A96021" w:rsidRDefault="008D351C" w:rsidP="008D351C">
            <w:pPr>
              <w:ind w:right="-18"/>
              <w:rPr>
                <w:szCs w:val="22"/>
              </w:rPr>
            </w:pPr>
            <w:r>
              <w:rPr>
                <w:szCs w:val="22"/>
              </w:rPr>
              <w:t>Procedures for Assess</w:t>
            </w:r>
            <w:r w:rsidRPr="00A96021">
              <w:rPr>
                <w:szCs w:val="22"/>
              </w:rPr>
              <w:t>ment and Collection of Regulatory Fees</w:t>
            </w:r>
          </w:p>
          <w:p w:rsidR="008D351C" w:rsidRPr="00A96021" w:rsidRDefault="008D351C" w:rsidP="008D351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FA0DF1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zCs w:val="22"/>
              </w:rPr>
              <w:t>Assessment and Collection of Regulatory Fees    for Fiscal Year 2013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884624" w:rsidP="00012BDC">
            <w:pPr>
              <w:ind w:right="-18"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Assessment and Collection of Regulatory Fees for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Fiscal Year 2008</w:t>
            </w:r>
          </w:p>
          <w:p w:rsidR="00884624" w:rsidRDefault="00884624" w:rsidP="00012BDC">
            <w:pPr>
              <w:ind w:right="-18"/>
            </w:pPr>
          </w:p>
        </w:tc>
        <w:tc>
          <w:tcPr>
            <w:tcW w:w="720" w:type="dxa"/>
          </w:tcPr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884624" w:rsidRDefault="00884624" w:rsidP="00012BDC"/>
          <w:p w:rsidR="00884624" w:rsidRDefault="00884624" w:rsidP="00012BDC"/>
          <w:p w:rsidR="008D351C" w:rsidRPr="00A96021" w:rsidRDefault="008D351C" w:rsidP="008D351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>
              <w:rPr>
                <w:spacing w:val="-2"/>
                <w:szCs w:val="22"/>
              </w:rPr>
              <w:t>2</w:t>
            </w:r>
            <w:r w:rsidRPr="00A96021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201</w:t>
            </w:r>
          </w:p>
          <w:p w:rsidR="008D351C" w:rsidRDefault="008D351C" w:rsidP="008D351C"/>
          <w:p w:rsidR="008D351C" w:rsidRDefault="008D351C" w:rsidP="008D351C"/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 w:rsidR="00FA0DF1">
              <w:rPr>
                <w:spacing w:val="-2"/>
                <w:szCs w:val="22"/>
              </w:rPr>
              <w:t>3</w:t>
            </w:r>
            <w:r w:rsidRPr="00A96021">
              <w:rPr>
                <w:spacing w:val="-2"/>
                <w:szCs w:val="22"/>
              </w:rPr>
              <w:t>-</w:t>
            </w:r>
            <w:r w:rsidR="005D005E">
              <w:rPr>
                <w:spacing w:val="-2"/>
                <w:szCs w:val="22"/>
              </w:rPr>
              <w:t>58</w:t>
            </w:r>
          </w:p>
          <w:p w:rsidR="00884624" w:rsidRDefault="00884624" w:rsidP="00012BDC"/>
          <w:p w:rsidR="00884624" w:rsidRDefault="00884624" w:rsidP="00012BDC"/>
          <w:p w:rsidR="00884624" w:rsidRDefault="00884624" w:rsidP="00012BDC">
            <w:r w:rsidRPr="00A96021">
              <w:rPr>
                <w:spacing w:val="-2"/>
                <w:szCs w:val="22"/>
              </w:rPr>
              <w:t>MD Docket No. 08-65</w:t>
            </w:r>
          </w:p>
        </w:tc>
        <w:tc>
          <w:tcPr>
            <w:tcW w:w="4230" w:type="dxa"/>
          </w:tcPr>
          <w:p w:rsidR="00884624" w:rsidRDefault="00884624"/>
          <w:p w:rsidR="00884624" w:rsidRDefault="00884624"/>
          <w:p w:rsidR="00884624" w:rsidRDefault="00884624"/>
          <w:p w:rsidR="00884624" w:rsidRPr="00EB1A95" w:rsidRDefault="00884624">
            <w:pPr>
              <w:rPr>
                <w:b/>
              </w:rPr>
            </w:pP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  <w:rPr>
          <w:b/>
        </w:rPr>
      </w:pPr>
      <w:r>
        <w:rPr>
          <w:b/>
        </w:rPr>
        <w:tab/>
        <w:t xml:space="preserve">Released:  </w:t>
      </w:r>
      <w:r w:rsidR="00763490">
        <w:rPr>
          <w:b/>
        </w:rPr>
        <w:t>June 5</w:t>
      </w:r>
      <w:r w:rsidR="00884624">
        <w:rPr>
          <w:b/>
        </w:rPr>
        <w:t>, 2013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6927AA">
        <w:rPr>
          <w:spacing w:val="-2"/>
        </w:rPr>
        <w:t>Deputy Managing Director, Office of Managing Director</w:t>
      </w:r>
      <w:r>
        <w:rPr>
          <w:spacing w:val="-2"/>
        </w:rPr>
        <w:t>:</w:t>
      </w:r>
    </w:p>
    <w:p w:rsidR="0060228B" w:rsidRDefault="0060228B"/>
    <w:p w:rsidR="005D005E" w:rsidRDefault="00643452" w:rsidP="009F7406">
      <w:pPr>
        <w:pStyle w:val="ParaNum"/>
        <w:numPr>
          <w:ilvl w:val="0"/>
          <w:numId w:val="0"/>
        </w:numPr>
        <w:tabs>
          <w:tab w:val="clear" w:pos="1440"/>
          <w:tab w:val="left" w:pos="720"/>
        </w:tabs>
        <w:spacing w:after="0"/>
        <w:jc w:val="left"/>
      </w:pPr>
      <w:r>
        <w:tab/>
      </w:r>
      <w:r w:rsidR="00B07300">
        <w:t xml:space="preserve">On </w:t>
      </w:r>
      <w:r w:rsidR="006927AA">
        <w:t>May 23, 2013</w:t>
      </w:r>
      <w:r w:rsidR="00B07300">
        <w:t xml:space="preserve">, the </w:t>
      </w:r>
      <w:r w:rsidR="006927AA">
        <w:t xml:space="preserve">Office of the Managing Director </w:t>
      </w:r>
      <w:r w:rsidR="00B07300">
        <w:t>released a</w:t>
      </w:r>
      <w:r w:rsidR="006927AA">
        <w:t xml:space="preserve"> </w:t>
      </w:r>
      <w:r w:rsidR="006927AA">
        <w:rPr>
          <w:i/>
        </w:rPr>
        <w:t>Notice of Proposed Rulemaking and Further Notice of Proposed Rulemaking</w:t>
      </w:r>
      <w:r w:rsidR="006927AA">
        <w:t>, FCC 13-74,</w:t>
      </w:r>
      <w:r w:rsidR="00B07300">
        <w:t xml:space="preserve"> in the above captioned proceeding.  This Erratum</w:t>
      </w:r>
      <w:r w:rsidR="00FA0DF1">
        <w:t xml:space="preserve"> </w:t>
      </w:r>
      <w:r w:rsidR="008D351C">
        <w:t>amends th</w:t>
      </w:r>
      <w:r w:rsidR="00164C55">
        <w:t>e released</w:t>
      </w:r>
      <w:r w:rsidR="008D351C">
        <w:t xml:space="preserve"> document by replacing </w:t>
      </w:r>
      <w:r w:rsidR="00FA0DF1">
        <w:t xml:space="preserve">MD Docket No. </w:t>
      </w:r>
      <w:r w:rsidR="005D005E">
        <w:t>“</w:t>
      </w:r>
      <w:r w:rsidR="00164C55">
        <w:t>13-58” with “</w:t>
      </w:r>
      <w:r w:rsidR="00FA0DF1">
        <w:t>13-140</w:t>
      </w:r>
      <w:r w:rsidR="002B7641">
        <w:t>,</w:t>
      </w:r>
      <w:r w:rsidR="008D351C">
        <w:t>” and correcting the caption to read as follows:</w:t>
      </w:r>
    </w:p>
    <w:p w:rsidR="008D351C" w:rsidRDefault="008D351C" w:rsidP="009F7406">
      <w:pPr>
        <w:pStyle w:val="ParaNum"/>
        <w:numPr>
          <w:ilvl w:val="0"/>
          <w:numId w:val="0"/>
        </w:numPr>
        <w:tabs>
          <w:tab w:val="clear" w:pos="1440"/>
          <w:tab w:val="left" w:pos="720"/>
        </w:tabs>
        <w:spacing w:after="0"/>
      </w:pP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510"/>
      </w:tblGrid>
      <w:tr w:rsidR="005D005E" w:rsidTr="005D005E">
        <w:tc>
          <w:tcPr>
            <w:tcW w:w="3870" w:type="dxa"/>
          </w:tcPr>
          <w:p w:rsidR="008D351C" w:rsidRDefault="008D351C" w:rsidP="000B5C9D">
            <w:pPr>
              <w:ind w:right="-18"/>
            </w:pPr>
            <w:r>
              <w:t>In the Matter of</w:t>
            </w:r>
          </w:p>
          <w:p w:rsidR="008D351C" w:rsidRDefault="008D351C" w:rsidP="000B5C9D">
            <w:pPr>
              <w:ind w:right="-18"/>
            </w:pPr>
          </w:p>
          <w:p w:rsidR="008D351C" w:rsidRPr="00A96021" w:rsidRDefault="008D351C" w:rsidP="000B5C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zCs w:val="22"/>
              </w:rPr>
              <w:t>Assessment and Collection of Regulatory Fees for Fiscal Year 2013</w:t>
            </w:r>
          </w:p>
          <w:p w:rsidR="008D351C" w:rsidRPr="00A96021" w:rsidRDefault="008D351C" w:rsidP="000B5C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D351C" w:rsidRPr="00A96021" w:rsidRDefault="008D351C" w:rsidP="000B5C9D">
            <w:pPr>
              <w:ind w:right="-18"/>
              <w:rPr>
                <w:szCs w:val="22"/>
              </w:rPr>
            </w:pPr>
            <w:r>
              <w:rPr>
                <w:szCs w:val="22"/>
              </w:rPr>
              <w:t>Procedures for Assess</w:t>
            </w:r>
            <w:r w:rsidRPr="00A96021">
              <w:rPr>
                <w:szCs w:val="22"/>
              </w:rPr>
              <w:t>ment and Collection of Regulatory Fees</w:t>
            </w:r>
          </w:p>
          <w:p w:rsidR="008D351C" w:rsidRPr="00A96021" w:rsidRDefault="008D351C" w:rsidP="000B5C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D351C" w:rsidRPr="00A96021" w:rsidRDefault="008D351C" w:rsidP="009F7406">
            <w:pPr>
              <w:ind w:right="-18"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Assessment and Collection of Regulatory Fees for</w:t>
            </w:r>
            <w:r w:rsidR="005D005E">
              <w:rPr>
                <w:spacing w:val="-2"/>
                <w:szCs w:val="22"/>
              </w:rPr>
              <w:t xml:space="preserve"> </w:t>
            </w:r>
            <w:r w:rsidRPr="00A96021">
              <w:rPr>
                <w:spacing w:val="-2"/>
                <w:szCs w:val="22"/>
              </w:rPr>
              <w:t>Fiscal Year 2008</w:t>
            </w:r>
          </w:p>
          <w:p w:rsidR="008D351C" w:rsidRDefault="008D351C" w:rsidP="000B5C9D">
            <w:pPr>
              <w:ind w:right="-18"/>
            </w:pPr>
          </w:p>
        </w:tc>
        <w:tc>
          <w:tcPr>
            <w:tcW w:w="630" w:type="dxa"/>
          </w:tcPr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D351C" w:rsidRDefault="008D351C" w:rsidP="000B5C9D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3510" w:type="dxa"/>
          </w:tcPr>
          <w:p w:rsidR="008D351C" w:rsidRDefault="008D351C" w:rsidP="000B5C9D"/>
          <w:p w:rsidR="008D351C" w:rsidRDefault="008D351C" w:rsidP="000B5C9D"/>
          <w:p w:rsidR="008D351C" w:rsidRPr="00A96021" w:rsidRDefault="008D351C" w:rsidP="009F7406">
            <w:pPr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>
              <w:rPr>
                <w:spacing w:val="-2"/>
                <w:szCs w:val="22"/>
              </w:rPr>
              <w:t>3</w:t>
            </w:r>
            <w:r w:rsidRPr="00A96021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140</w:t>
            </w:r>
          </w:p>
          <w:p w:rsidR="008D351C" w:rsidRDefault="008D351C" w:rsidP="000B5C9D"/>
          <w:p w:rsidR="008D351C" w:rsidRDefault="008D351C" w:rsidP="000B5C9D"/>
          <w:p w:rsidR="008D351C" w:rsidRPr="00A96021" w:rsidRDefault="008D351C" w:rsidP="000B5C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>
              <w:rPr>
                <w:spacing w:val="-2"/>
                <w:szCs w:val="22"/>
              </w:rPr>
              <w:t>2</w:t>
            </w:r>
            <w:r w:rsidRPr="00A96021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201</w:t>
            </w:r>
          </w:p>
          <w:p w:rsidR="008D351C" w:rsidRDefault="008D351C" w:rsidP="000B5C9D"/>
          <w:p w:rsidR="008D351C" w:rsidRDefault="008D351C" w:rsidP="000B5C9D"/>
          <w:p w:rsidR="008D351C" w:rsidRDefault="008D351C" w:rsidP="000B5C9D">
            <w:r w:rsidRPr="00A96021">
              <w:rPr>
                <w:spacing w:val="-2"/>
                <w:szCs w:val="22"/>
              </w:rPr>
              <w:t>MD Docket No. 08-65</w:t>
            </w:r>
          </w:p>
        </w:tc>
      </w:tr>
    </w:tbl>
    <w:p w:rsidR="00B07300" w:rsidRDefault="00B07300" w:rsidP="00643452">
      <w:pPr>
        <w:pStyle w:val="ParaNum"/>
        <w:numPr>
          <w:ilvl w:val="0"/>
          <w:numId w:val="0"/>
        </w:numPr>
        <w:tabs>
          <w:tab w:val="clear" w:pos="1440"/>
          <w:tab w:val="left" w:pos="720"/>
        </w:tabs>
      </w:pP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FEDERAL COMMUNICATIONS COMMISSION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Dana Shaffer</w:t>
      </w:r>
      <w:r>
        <w:rPr>
          <w:b w:val="0"/>
          <w:caps w:val="0"/>
          <w:spacing w:val="-2"/>
        </w:rPr>
        <w:t xml:space="preserve"> </w:t>
      </w: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Deputy Managing Director</w:t>
      </w:r>
    </w:p>
    <w:p w:rsidR="00B07300" w:rsidRPr="00722146" w:rsidRDefault="00B07300" w:rsidP="00B07300">
      <w:pPr>
        <w:pStyle w:val="Heading1"/>
        <w:numPr>
          <w:ilvl w:val="0"/>
          <w:numId w:val="0"/>
        </w:numPr>
        <w:spacing w:after="0"/>
        <w:rPr>
          <w:i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Office of Managing Director</w:t>
      </w:r>
    </w:p>
    <w:p w:rsidR="0060228B" w:rsidRDefault="0060228B"/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B" w:rsidRDefault="00FA298B">
      <w:r>
        <w:separator/>
      </w:r>
    </w:p>
  </w:endnote>
  <w:endnote w:type="continuationSeparator" w:id="0">
    <w:p w:rsidR="00FA298B" w:rsidRDefault="00F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C" w:rsidRDefault="00460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C" w:rsidRDefault="0046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B" w:rsidRDefault="00FA298B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A298B" w:rsidRDefault="00FA298B">
      <w:pPr>
        <w:rPr>
          <w:sz w:val="20"/>
        </w:rPr>
      </w:pPr>
      <w:r>
        <w:rPr>
          <w:sz w:val="20"/>
        </w:rPr>
        <w:separator/>
      </w:r>
    </w:p>
    <w:p w:rsidR="00FA298B" w:rsidRDefault="00FA298B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FA298B" w:rsidRDefault="00FA298B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C" w:rsidRDefault="00460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60228B" w:rsidRDefault="003304A3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 </w:t>
    </w:r>
  </w:p>
  <w:p w:rsidR="0060228B" w:rsidRDefault="003304A3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12BDC"/>
    <w:rsid w:val="000B5C9D"/>
    <w:rsid w:val="000C7186"/>
    <w:rsid w:val="00164C55"/>
    <w:rsid w:val="00177515"/>
    <w:rsid w:val="00220835"/>
    <w:rsid w:val="002A4E36"/>
    <w:rsid w:val="002B7641"/>
    <w:rsid w:val="002C568F"/>
    <w:rsid w:val="002E484C"/>
    <w:rsid w:val="003304A3"/>
    <w:rsid w:val="00456E40"/>
    <w:rsid w:val="00460A4C"/>
    <w:rsid w:val="00487791"/>
    <w:rsid w:val="005D005E"/>
    <w:rsid w:val="0060228B"/>
    <w:rsid w:val="00643452"/>
    <w:rsid w:val="006927AA"/>
    <w:rsid w:val="00763490"/>
    <w:rsid w:val="00884624"/>
    <w:rsid w:val="00891ADC"/>
    <w:rsid w:val="008D351C"/>
    <w:rsid w:val="009F7406"/>
    <w:rsid w:val="00AF05AA"/>
    <w:rsid w:val="00B07300"/>
    <w:rsid w:val="00D34CD7"/>
    <w:rsid w:val="00D5368F"/>
    <w:rsid w:val="00DF1B8D"/>
    <w:rsid w:val="00E00E22"/>
    <w:rsid w:val="00EB1A95"/>
    <w:rsid w:val="00ED2EA8"/>
    <w:rsid w:val="00FA0DF1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8D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5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0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005E"/>
  </w:style>
  <w:style w:type="paragraph" w:styleId="CommentSubject">
    <w:name w:val="annotation subject"/>
    <w:basedOn w:val="CommentText"/>
    <w:next w:val="CommentText"/>
    <w:link w:val="CommentSubjectChar"/>
    <w:rsid w:val="005D005E"/>
    <w:rPr>
      <w:b/>
      <w:bCs/>
    </w:rPr>
  </w:style>
  <w:style w:type="character" w:customStyle="1" w:styleId="CommentSubjectChar">
    <w:name w:val="Comment Subject Char"/>
    <w:link w:val="CommentSubject"/>
    <w:rsid w:val="005D0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8D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5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0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005E"/>
  </w:style>
  <w:style w:type="paragraph" w:styleId="CommentSubject">
    <w:name w:val="annotation subject"/>
    <w:basedOn w:val="CommentText"/>
    <w:next w:val="CommentText"/>
    <w:link w:val="CommentSubjectChar"/>
    <w:rsid w:val="005D005E"/>
    <w:rPr>
      <w:b/>
      <w:bCs/>
    </w:rPr>
  </w:style>
  <w:style w:type="character" w:customStyle="1" w:styleId="CommentSubjectChar">
    <w:name w:val="Comment Subject Char"/>
    <w:link w:val="CommentSubject"/>
    <w:rsid w:val="005D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971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1150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2013-06-05T20:21:00Z</dcterms:created>
  <dcterms:modified xsi:type="dcterms:W3CDTF">2013-06-05T20:21:00Z</dcterms:modified>
  <cp:category> </cp:category>
  <cp:contentStatus> </cp:contentStatus>
</cp:coreProperties>
</file>